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2A983" w14:textId="77777777" w:rsidR="001A5518" w:rsidRPr="009307C4" w:rsidRDefault="001A5518" w:rsidP="00C4333D">
      <w:pPr>
        <w:jc w:val="both"/>
        <w:rPr>
          <w:b/>
          <w:bCs/>
          <w:i/>
          <w:iCs/>
          <w:sz w:val="22"/>
          <w:szCs w:val="22"/>
          <w:u w:val="single"/>
          <w:lang w:val="sr-Latn-ME"/>
        </w:rPr>
      </w:pPr>
      <w:bookmarkStart w:id="0" w:name="_GoBack"/>
    </w:p>
    <w:p w14:paraId="23FDE99C" w14:textId="77777777" w:rsidR="00F91C7B" w:rsidRPr="009307C4" w:rsidRDefault="00F91C7B" w:rsidP="00C4333D">
      <w:pPr>
        <w:jc w:val="both"/>
        <w:rPr>
          <w:b/>
          <w:bCs/>
          <w:i/>
          <w:iCs/>
          <w:sz w:val="22"/>
          <w:szCs w:val="22"/>
          <w:u w:val="single"/>
          <w:lang w:val="sr-Latn-ME"/>
        </w:rPr>
      </w:pPr>
    </w:p>
    <w:p w14:paraId="5EF7CDC0" w14:textId="77777777" w:rsidR="002510A5" w:rsidRPr="009307C4" w:rsidRDefault="002510A5" w:rsidP="00D0262A">
      <w:pPr>
        <w:jc w:val="center"/>
        <w:rPr>
          <w:b/>
          <w:bCs/>
          <w:iCs/>
          <w:sz w:val="22"/>
          <w:szCs w:val="22"/>
          <w:u w:val="single"/>
          <w:lang w:val="sr-Latn-ME"/>
        </w:rPr>
      </w:pPr>
      <w:r w:rsidRPr="009307C4">
        <w:rPr>
          <w:b/>
          <w:bCs/>
          <w:iCs/>
          <w:sz w:val="22"/>
          <w:szCs w:val="22"/>
          <w:u w:val="single"/>
          <w:lang w:val="sr-Latn-ME"/>
        </w:rPr>
        <w:t>SAŽETAK KARAKTERISTIKA LIJEKA</w:t>
      </w:r>
    </w:p>
    <w:p w14:paraId="639D34E9" w14:textId="77777777" w:rsidR="002510A5" w:rsidRPr="009307C4" w:rsidRDefault="002510A5" w:rsidP="00C4333D">
      <w:pPr>
        <w:jc w:val="both"/>
        <w:rPr>
          <w:b/>
          <w:bCs/>
          <w:i/>
          <w:iCs/>
          <w:sz w:val="22"/>
          <w:szCs w:val="22"/>
          <w:u w:val="single"/>
          <w:lang w:val="sr-Latn-ME"/>
        </w:rPr>
      </w:pPr>
    </w:p>
    <w:p w14:paraId="3A981B32" w14:textId="77777777" w:rsidR="003C17AB" w:rsidRPr="009307C4" w:rsidRDefault="003C17AB" w:rsidP="00C4333D">
      <w:pPr>
        <w:tabs>
          <w:tab w:val="left" w:pos="540"/>
          <w:tab w:val="left" w:pos="569"/>
        </w:tabs>
        <w:jc w:val="both"/>
        <w:rPr>
          <w:noProof/>
          <w:sz w:val="22"/>
          <w:szCs w:val="22"/>
          <w:lang w:val="sr-Latn-ME"/>
        </w:rPr>
      </w:pPr>
    </w:p>
    <w:p w14:paraId="78582474" w14:textId="77777777" w:rsidR="00C37FD7" w:rsidRPr="009307C4" w:rsidRDefault="00C37FD7" w:rsidP="00C4333D">
      <w:pPr>
        <w:tabs>
          <w:tab w:val="left" w:pos="540"/>
          <w:tab w:val="left" w:pos="569"/>
        </w:tabs>
        <w:jc w:val="both"/>
        <w:rPr>
          <w:bCs/>
          <w:sz w:val="22"/>
          <w:szCs w:val="22"/>
          <w:lang w:val="sr-Latn-ME"/>
        </w:rPr>
      </w:pPr>
    </w:p>
    <w:p w14:paraId="687B676E"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1.</w:t>
      </w:r>
      <w:r w:rsidR="00F5167F" w:rsidRPr="009307C4">
        <w:rPr>
          <w:b/>
          <w:bCs/>
          <w:sz w:val="22"/>
          <w:szCs w:val="22"/>
          <w:lang w:val="sr-Latn-ME"/>
        </w:rPr>
        <w:tab/>
      </w:r>
      <w:r w:rsidR="002846DB" w:rsidRPr="009307C4">
        <w:rPr>
          <w:b/>
          <w:bCs/>
          <w:sz w:val="22"/>
          <w:szCs w:val="22"/>
          <w:lang w:val="sr-Latn-ME"/>
        </w:rPr>
        <w:t xml:space="preserve">NAZIV </w:t>
      </w:r>
      <w:r w:rsidRPr="009307C4">
        <w:rPr>
          <w:b/>
          <w:bCs/>
          <w:sz w:val="22"/>
          <w:szCs w:val="22"/>
          <w:lang w:val="sr-Latn-ME"/>
        </w:rPr>
        <w:t>LIJEKA</w:t>
      </w:r>
    </w:p>
    <w:p w14:paraId="613BD960" w14:textId="77777777" w:rsidR="00EC2532" w:rsidRPr="009307C4" w:rsidRDefault="00EC2532" w:rsidP="00C4333D">
      <w:pPr>
        <w:jc w:val="both"/>
        <w:rPr>
          <w:sz w:val="22"/>
          <w:szCs w:val="22"/>
          <w:lang w:val="sr-Latn-ME"/>
        </w:rPr>
      </w:pPr>
    </w:p>
    <w:p w14:paraId="500F1FBA" w14:textId="2F472900" w:rsidR="00107BF7" w:rsidRPr="009307C4" w:rsidRDefault="0089562E" w:rsidP="00C4333D">
      <w:pPr>
        <w:jc w:val="both"/>
        <w:rPr>
          <w:sz w:val="22"/>
          <w:szCs w:val="22"/>
          <w:lang w:val="sr-Latn-ME"/>
        </w:rPr>
      </w:pPr>
      <w:r w:rsidRPr="009307C4">
        <w:rPr>
          <w:sz w:val="22"/>
          <w:szCs w:val="22"/>
          <w:lang w:val="sr-Latn-ME"/>
        </w:rPr>
        <w:t>Singulair</w:t>
      </w:r>
      <w:r w:rsidR="00C37FD7" w:rsidRPr="009307C4">
        <w:rPr>
          <w:sz w:val="22"/>
          <w:szCs w:val="22"/>
          <w:lang w:val="sr-Latn-ME"/>
        </w:rPr>
        <w:t xml:space="preserve">, </w:t>
      </w:r>
      <w:r w:rsidR="008808CA" w:rsidRPr="009307C4">
        <w:rPr>
          <w:sz w:val="22"/>
          <w:szCs w:val="22"/>
          <w:lang w:val="sr-Latn-ME"/>
        </w:rPr>
        <w:t>4 mg, granule</w:t>
      </w:r>
    </w:p>
    <w:p w14:paraId="6F40F2F7" w14:textId="77777777" w:rsidR="000D425A" w:rsidRPr="009307C4" w:rsidRDefault="000D425A" w:rsidP="00C4333D">
      <w:pPr>
        <w:jc w:val="both"/>
        <w:rPr>
          <w:bCs/>
          <w:sz w:val="22"/>
          <w:szCs w:val="22"/>
          <w:lang w:val="sr-Latn-ME"/>
        </w:rPr>
      </w:pPr>
    </w:p>
    <w:p w14:paraId="29B5EA1D" w14:textId="5F75E624" w:rsidR="006D20A5" w:rsidRPr="009307C4" w:rsidRDefault="006D20A5" w:rsidP="00C4333D">
      <w:pPr>
        <w:jc w:val="both"/>
        <w:rPr>
          <w:sz w:val="22"/>
          <w:szCs w:val="22"/>
          <w:lang w:val="sr-Latn-ME"/>
        </w:rPr>
      </w:pPr>
      <w:r w:rsidRPr="009307C4">
        <w:rPr>
          <w:sz w:val="22"/>
          <w:szCs w:val="22"/>
          <w:lang w:val="sr-Latn-ME"/>
        </w:rPr>
        <w:t>INN:</w:t>
      </w:r>
      <w:r w:rsidR="008808CA" w:rsidRPr="009307C4">
        <w:rPr>
          <w:sz w:val="22"/>
          <w:szCs w:val="22"/>
          <w:lang w:val="sr-Latn-ME"/>
        </w:rPr>
        <w:t xml:space="preserve"> montelukast</w:t>
      </w:r>
    </w:p>
    <w:p w14:paraId="42E32218" w14:textId="77777777" w:rsidR="006D20A5" w:rsidRPr="009307C4" w:rsidRDefault="006D20A5" w:rsidP="00C4333D">
      <w:pPr>
        <w:jc w:val="both"/>
        <w:rPr>
          <w:bCs/>
          <w:sz w:val="22"/>
          <w:szCs w:val="22"/>
          <w:lang w:val="sr-Latn-ME"/>
        </w:rPr>
      </w:pPr>
    </w:p>
    <w:p w14:paraId="1E9FB81B" w14:textId="77777777" w:rsidR="00530BD7" w:rsidRPr="009307C4" w:rsidRDefault="00530BD7" w:rsidP="00C4333D">
      <w:pPr>
        <w:jc w:val="both"/>
        <w:rPr>
          <w:bCs/>
          <w:sz w:val="22"/>
          <w:szCs w:val="22"/>
          <w:lang w:val="sr-Latn-ME"/>
        </w:rPr>
      </w:pPr>
    </w:p>
    <w:p w14:paraId="70669EED"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2. </w:t>
      </w:r>
      <w:r w:rsidR="00F5167F" w:rsidRPr="009307C4">
        <w:rPr>
          <w:b/>
          <w:bCs/>
          <w:sz w:val="22"/>
          <w:szCs w:val="22"/>
          <w:lang w:val="sr-Latn-ME"/>
        </w:rPr>
        <w:tab/>
      </w:r>
      <w:r w:rsidRPr="009307C4">
        <w:rPr>
          <w:b/>
          <w:bCs/>
          <w:sz w:val="22"/>
          <w:szCs w:val="22"/>
          <w:lang w:val="sr-Latn-ME"/>
        </w:rPr>
        <w:t>KVALITATIVNI I KVANTITATIVNI SASTAV</w:t>
      </w:r>
    </w:p>
    <w:p w14:paraId="2BEBD000" w14:textId="77777777" w:rsidR="005A0B2E" w:rsidRPr="009307C4" w:rsidRDefault="005A0B2E" w:rsidP="00C4333D">
      <w:pPr>
        <w:jc w:val="both"/>
        <w:rPr>
          <w:sz w:val="22"/>
          <w:szCs w:val="22"/>
          <w:lang w:val="sr-Latn-ME"/>
        </w:rPr>
      </w:pPr>
    </w:p>
    <w:p w14:paraId="79CAC098" w14:textId="589E3401" w:rsidR="008808CA" w:rsidRPr="009307C4" w:rsidRDefault="008808CA" w:rsidP="00C4333D">
      <w:pPr>
        <w:pStyle w:val="Header"/>
        <w:tabs>
          <w:tab w:val="left" w:pos="284"/>
        </w:tabs>
        <w:jc w:val="both"/>
        <w:rPr>
          <w:sz w:val="22"/>
          <w:szCs w:val="22"/>
          <w:lang w:val="sr-Latn-ME"/>
        </w:rPr>
      </w:pPr>
      <w:r w:rsidRPr="009307C4">
        <w:rPr>
          <w:sz w:val="22"/>
          <w:szCs w:val="22"/>
          <w:lang w:val="sr-Latn-ME"/>
        </w:rPr>
        <w:t>Jedna kesica granula sadrži 4 mg montelukasta u obliku montelukast</w:t>
      </w:r>
      <w:r w:rsidR="007171F4" w:rsidRPr="009307C4">
        <w:rPr>
          <w:sz w:val="22"/>
          <w:szCs w:val="22"/>
          <w:lang w:val="sr-Latn-ME"/>
        </w:rPr>
        <w:t xml:space="preserve"> </w:t>
      </w:r>
      <w:r w:rsidRPr="009307C4">
        <w:rPr>
          <w:sz w:val="22"/>
          <w:szCs w:val="22"/>
          <w:lang w:val="sr-Latn-ME"/>
        </w:rPr>
        <w:t>natrijuma</w:t>
      </w:r>
      <w:r w:rsidR="003A4003" w:rsidRPr="009307C4">
        <w:rPr>
          <w:sz w:val="22"/>
          <w:szCs w:val="22"/>
          <w:lang w:val="sr-Latn-ME"/>
        </w:rPr>
        <w:t>.</w:t>
      </w:r>
    </w:p>
    <w:p w14:paraId="476E9EB1" w14:textId="36911D07" w:rsidR="008808CA" w:rsidRPr="009307C4" w:rsidRDefault="008808CA" w:rsidP="00C4333D">
      <w:pPr>
        <w:jc w:val="both"/>
        <w:rPr>
          <w:sz w:val="22"/>
          <w:szCs w:val="22"/>
          <w:lang w:val="sr-Latn-ME"/>
        </w:rPr>
      </w:pPr>
    </w:p>
    <w:p w14:paraId="10976B0B" w14:textId="60D7874E" w:rsidR="0003793F" w:rsidRPr="009307C4" w:rsidRDefault="0003793F" w:rsidP="00C4333D">
      <w:pPr>
        <w:jc w:val="both"/>
        <w:rPr>
          <w:sz w:val="22"/>
          <w:szCs w:val="22"/>
          <w:lang w:val="sr-Latn-ME"/>
        </w:rPr>
      </w:pPr>
      <w:r w:rsidRPr="009307C4">
        <w:rPr>
          <w:sz w:val="22"/>
          <w:szCs w:val="22"/>
          <w:lang w:val="sr-Latn-ME"/>
        </w:rPr>
        <w:t>Za spisak svih ekscipijenasa, pogledati dio 6.1.</w:t>
      </w:r>
    </w:p>
    <w:p w14:paraId="1BF22CB6" w14:textId="77777777" w:rsidR="0003793F" w:rsidRPr="009307C4" w:rsidRDefault="0003793F" w:rsidP="00C4333D">
      <w:pPr>
        <w:jc w:val="both"/>
        <w:rPr>
          <w:sz w:val="22"/>
          <w:szCs w:val="22"/>
          <w:lang w:val="sr-Latn-ME"/>
        </w:rPr>
      </w:pPr>
    </w:p>
    <w:p w14:paraId="34A9FFEF" w14:textId="77777777" w:rsidR="00C37FD7" w:rsidRPr="009307C4" w:rsidRDefault="00C37FD7" w:rsidP="00C4333D">
      <w:pPr>
        <w:jc w:val="both"/>
        <w:rPr>
          <w:sz w:val="22"/>
          <w:szCs w:val="22"/>
          <w:lang w:val="sr-Latn-ME"/>
        </w:rPr>
      </w:pPr>
    </w:p>
    <w:p w14:paraId="78CC480A"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3. </w:t>
      </w:r>
      <w:r w:rsidR="00F5167F" w:rsidRPr="009307C4">
        <w:rPr>
          <w:b/>
          <w:bCs/>
          <w:sz w:val="22"/>
          <w:szCs w:val="22"/>
          <w:lang w:val="sr-Latn-ME"/>
        </w:rPr>
        <w:tab/>
      </w:r>
      <w:r w:rsidRPr="009307C4">
        <w:rPr>
          <w:b/>
          <w:bCs/>
          <w:sz w:val="22"/>
          <w:szCs w:val="22"/>
          <w:lang w:val="sr-Latn-ME"/>
        </w:rPr>
        <w:t>FARMACEUTSKI OBLIK</w:t>
      </w:r>
      <w:r w:rsidR="009F2D23" w:rsidRPr="009307C4">
        <w:rPr>
          <w:b/>
          <w:bCs/>
          <w:sz w:val="22"/>
          <w:szCs w:val="22"/>
          <w:lang w:val="sr-Latn-ME"/>
        </w:rPr>
        <w:t xml:space="preserve"> </w:t>
      </w:r>
    </w:p>
    <w:p w14:paraId="4FF4AE21" w14:textId="77777777" w:rsidR="00411B4B" w:rsidRPr="009307C4" w:rsidRDefault="00411B4B" w:rsidP="00C4333D">
      <w:pPr>
        <w:jc w:val="both"/>
        <w:rPr>
          <w:bCs/>
          <w:sz w:val="22"/>
          <w:szCs w:val="22"/>
          <w:lang w:val="sr-Latn-ME"/>
        </w:rPr>
      </w:pPr>
    </w:p>
    <w:p w14:paraId="78C9039F" w14:textId="2BC57950" w:rsidR="00EC2532" w:rsidRPr="009307C4" w:rsidRDefault="008808CA" w:rsidP="00C4333D">
      <w:pPr>
        <w:jc w:val="both"/>
        <w:rPr>
          <w:sz w:val="22"/>
          <w:lang w:val="sr-Latn-ME"/>
        </w:rPr>
      </w:pPr>
      <w:r w:rsidRPr="009307C4">
        <w:rPr>
          <w:sz w:val="22"/>
          <w:lang w:val="sr-Latn-ME"/>
        </w:rPr>
        <w:t>Granule</w:t>
      </w:r>
      <w:r w:rsidR="00265EF1" w:rsidRPr="009307C4">
        <w:rPr>
          <w:sz w:val="22"/>
          <w:lang w:val="sr-Latn-ME"/>
        </w:rPr>
        <w:t>.</w:t>
      </w:r>
      <w:r w:rsidRPr="009307C4">
        <w:rPr>
          <w:sz w:val="22"/>
          <w:lang w:val="sr-Latn-ME"/>
        </w:rPr>
        <w:t xml:space="preserve"> </w:t>
      </w:r>
    </w:p>
    <w:p w14:paraId="597D20DC" w14:textId="77777777" w:rsidR="00265EF1" w:rsidRPr="009307C4" w:rsidRDefault="00265EF1" w:rsidP="00C4333D">
      <w:pPr>
        <w:jc w:val="both"/>
        <w:rPr>
          <w:sz w:val="22"/>
          <w:lang w:val="sr-Latn-ME"/>
        </w:rPr>
      </w:pPr>
    </w:p>
    <w:p w14:paraId="596503A2" w14:textId="2F5EE302" w:rsidR="00265EF1" w:rsidRPr="009307C4" w:rsidRDefault="00292AAA" w:rsidP="00C4333D">
      <w:pPr>
        <w:jc w:val="both"/>
        <w:rPr>
          <w:sz w:val="22"/>
          <w:lang w:val="sr-Latn-ME"/>
        </w:rPr>
      </w:pPr>
      <w:r w:rsidRPr="009307C4">
        <w:rPr>
          <w:sz w:val="22"/>
          <w:lang w:val="sr-Latn-ME"/>
        </w:rPr>
        <w:t xml:space="preserve">Rastresit </w:t>
      </w:r>
      <w:r w:rsidR="00042220" w:rsidRPr="009307C4">
        <w:rPr>
          <w:sz w:val="22"/>
          <w:lang w:val="sr-Latn-ME"/>
        </w:rPr>
        <w:t xml:space="preserve">granulirani prašak </w:t>
      </w:r>
      <w:r w:rsidR="00265EF1" w:rsidRPr="009307C4">
        <w:rPr>
          <w:sz w:val="22"/>
          <w:lang w:val="sr-Latn-ME"/>
        </w:rPr>
        <w:t>bijele boje bez prisustva stranih čestica.</w:t>
      </w:r>
    </w:p>
    <w:p w14:paraId="31130D4E" w14:textId="2D9AF59F" w:rsidR="008808CA" w:rsidRPr="009307C4" w:rsidRDefault="008808CA" w:rsidP="00C4333D">
      <w:pPr>
        <w:jc w:val="both"/>
        <w:rPr>
          <w:bCs/>
          <w:sz w:val="22"/>
          <w:szCs w:val="22"/>
          <w:lang w:val="sr-Latn-ME"/>
        </w:rPr>
      </w:pPr>
    </w:p>
    <w:p w14:paraId="2CCDA37A" w14:textId="77777777" w:rsidR="007171F4" w:rsidRPr="009307C4" w:rsidRDefault="007171F4" w:rsidP="00C4333D">
      <w:pPr>
        <w:jc w:val="both"/>
        <w:rPr>
          <w:bCs/>
          <w:sz w:val="22"/>
          <w:szCs w:val="22"/>
          <w:lang w:val="sr-Latn-ME"/>
        </w:rPr>
      </w:pPr>
    </w:p>
    <w:p w14:paraId="529CF095"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4. </w:t>
      </w:r>
      <w:r w:rsidR="00480FB1" w:rsidRPr="009307C4">
        <w:rPr>
          <w:b/>
          <w:bCs/>
          <w:sz w:val="22"/>
          <w:szCs w:val="22"/>
          <w:lang w:val="sr-Latn-ME"/>
        </w:rPr>
        <w:tab/>
      </w:r>
      <w:r w:rsidRPr="009307C4">
        <w:rPr>
          <w:b/>
          <w:bCs/>
          <w:sz w:val="22"/>
          <w:szCs w:val="22"/>
          <w:lang w:val="sr-Latn-ME"/>
        </w:rPr>
        <w:t>KLINIČKI PODACI</w:t>
      </w:r>
    </w:p>
    <w:p w14:paraId="69C66DDA" w14:textId="5783D58B" w:rsidR="00CD6F02" w:rsidRPr="009307C4" w:rsidRDefault="00CD6F02" w:rsidP="00C4333D">
      <w:pPr>
        <w:tabs>
          <w:tab w:val="left" w:pos="540"/>
          <w:tab w:val="left" w:pos="569"/>
        </w:tabs>
        <w:jc w:val="both"/>
        <w:rPr>
          <w:bCs/>
          <w:sz w:val="22"/>
          <w:szCs w:val="22"/>
          <w:lang w:val="sr-Latn-ME"/>
        </w:rPr>
      </w:pPr>
    </w:p>
    <w:p w14:paraId="7E10078B" w14:textId="77777777" w:rsidR="00040933" w:rsidRPr="009307C4" w:rsidRDefault="00040933" w:rsidP="00040933">
      <w:pPr>
        <w:tabs>
          <w:tab w:val="left" w:pos="540"/>
          <w:tab w:val="left" w:pos="569"/>
        </w:tabs>
        <w:jc w:val="both"/>
        <w:rPr>
          <w:b/>
          <w:bCs/>
          <w:sz w:val="22"/>
          <w:szCs w:val="22"/>
          <w:lang w:val="sr-Latn-ME"/>
        </w:rPr>
      </w:pPr>
      <w:r w:rsidRPr="009307C4">
        <w:rPr>
          <w:b/>
          <w:bCs/>
          <w:sz w:val="22"/>
          <w:szCs w:val="22"/>
          <w:lang w:val="sr-Latn-ME"/>
        </w:rPr>
        <w:t xml:space="preserve">4.1. </w:t>
      </w:r>
      <w:r w:rsidRPr="009307C4">
        <w:rPr>
          <w:b/>
          <w:bCs/>
          <w:sz w:val="22"/>
          <w:szCs w:val="22"/>
          <w:lang w:val="sr-Latn-ME"/>
        </w:rPr>
        <w:tab/>
        <w:t>Terapijske indikacije</w:t>
      </w:r>
    </w:p>
    <w:p w14:paraId="77A41015" w14:textId="77777777" w:rsidR="00040933" w:rsidRPr="009307C4" w:rsidRDefault="00040933" w:rsidP="00C4333D">
      <w:pPr>
        <w:tabs>
          <w:tab w:val="left" w:pos="540"/>
          <w:tab w:val="left" w:pos="569"/>
        </w:tabs>
        <w:jc w:val="both"/>
        <w:rPr>
          <w:bCs/>
          <w:sz w:val="22"/>
          <w:szCs w:val="22"/>
          <w:lang w:val="sr-Latn-ME"/>
        </w:rPr>
      </w:pPr>
    </w:p>
    <w:p w14:paraId="5CF2F541" w14:textId="6637A222" w:rsidR="008808CA" w:rsidRPr="009307C4" w:rsidRDefault="008808CA" w:rsidP="00C4333D">
      <w:pPr>
        <w:pStyle w:val="Header"/>
        <w:tabs>
          <w:tab w:val="left" w:pos="284"/>
        </w:tabs>
        <w:jc w:val="both"/>
        <w:rPr>
          <w:sz w:val="22"/>
          <w:szCs w:val="22"/>
          <w:lang w:val="sr-Latn-ME" w:eastAsia="sr-Latn-CS"/>
        </w:rPr>
      </w:pPr>
      <w:r w:rsidRPr="009307C4">
        <w:rPr>
          <w:bCs/>
          <w:sz w:val="22"/>
          <w:lang w:val="sr-Latn-ME"/>
        </w:rPr>
        <w:t>Lijek Singulair</w:t>
      </w:r>
      <w:r w:rsidR="00116519" w:rsidRPr="009307C4">
        <w:rPr>
          <w:bCs/>
          <w:sz w:val="22"/>
          <w:lang w:val="sr-Latn-ME"/>
        </w:rPr>
        <w:t>, granule,</w:t>
      </w:r>
      <w:r w:rsidRPr="009307C4">
        <w:rPr>
          <w:sz w:val="22"/>
          <w:lang w:val="sr-Latn-ME"/>
        </w:rPr>
        <w:t xml:space="preserve"> je indikovan u liječenju astme kao dodatna terapija kod pacijenata </w:t>
      </w:r>
      <w:r w:rsidR="00042220" w:rsidRPr="009307C4">
        <w:rPr>
          <w:sz w:val="22"/>
          <w:lang w:val="sr-Latn-ME"/>
        </w:rPr>
        <w:t xml:space="preserve">uzrasta </w:t>
      </w:r>
      <w:r w:rsidRPr="009307C4">
        <w:rPr>
          <w:sz w:val="22"/>
          <w:lang w:val="sr-Latn-ME"/>
        </w:rPr>
        <w:t>od 6 mjeseci do 5 godina</w:t>
      </w:r>
      <w:r w:rsidR="00265EF1" w:rsidRPr="009307C4">
        <w:rPr>
          <w:sz w:val="22"/>
          <w:lang w:val="sr-Latn-ME"/>
        </w:rPr>
        <w:t xml:space="preserve"> </w:t>
      </w:r>
      <w:r w:rsidR="00116519" w:rsidRPr="009307C4">
        <w:rPr>
          <w:sz w:val="22"/>
          <w:lang w:val="sr-Latn-ME"/>
        </w:rPr>
        <w:t>(</w:t>
      </w:r>
      <w:r w:rsidR="00265EF1" w:rsidRPr="009307C4">
        <w:rPr>
          <w:sz w:val="22"/>
          <w:lang w:val="sr-Latn-ME"/>
        </w:rPr>
        <w:t>sve do punih 6 godina</w:t>
      </w:r>
      <w:r w:rsidR="00116519" w:rsidRPr="009307C4">
        <w:rPr>
          <w:sz w:val="22"/>
          <w:lang w:val="sr-Latn-ME"/>
        </w:rPr>
        <w:t>)</w:t>
      </w:r>
      <w:r w:rsidRPr="009307C4">
        <w:rPr>
          <w:sz w:val="22"/>
          <w:lang w:val="sr-Latn-ME"/>
        </w:rPr>
        <w:t xml:space="preserve"> sa blagom do umjerenom perzistentnom astmom koj</w:t>
      </w:r>
      <w:r w:rsidR="00265EF1" w:rsidRPr="009307C4">
        <w:rPr>
          <w:sz w:val="22"/>
          <w:lang w:val="sr-Latn-ME"/>
        </w:rPr>
        <w:t>a</w:t>
      </w:r>
      <w:r w:rsidRPr="009307C4">
        <w:rPr>
          <w:sz w:val="22"/>
          <w:lang w:val="sr-Latn-ME"/>
        </w:rPr>
        <w:t xml:space="preserve"> nije adekvatno kontrolisan</w:t>
      </w:r>
      <w:r w:rsidR="00265EF1" w:rsidRPr="009307C4">
        <w:rPr>
          <w:sz w:val="22"/>
          <w:lang w:val="sr-Latn-ME"/>
        </w:rPr>
        <w:t>a primjenom</w:t>
      </w:r>
      <w:r w:rsidRPr="009307C4">
        <w:rPr>
          <w:sz w:val="22"/>
          <w:lang w:val="sr-Latn-ME"/>
        </w:rPr>
        <w:t xml:space="preserve"> inhalacioni</w:t>
      </w:r>
      <w:r w:rsidR="00265EF1" w:rsidRPr="009307C4">
        <w:rPr>
          <w:sz w:val="22"/>
          <w:lang w:val="sr-Latn-ME"/>
        </w:rPr>
        <w:t>h</w:t>
      </w:r>
      <w:r w:rsidRPr="009307C4">
        <w:rPr>
          <w:sz w:val="22"/>
          <w:lang w:val="sr-Latn-ME"/>
        </w:rPr>
        <w:t xml:space="preserve"> kortikosteroid</w:t>
      </w:r>
      <w:r w:rsidR="00265EF1" w:rsidRPr="009307C4">
        <w:rPr>
          <w:sz w:val="22"/>
          <w:lang w:val="sr-Latn-ME"/>
        </w:rPr>
        <w:t>a</w:t>
      </w:r>
      <w:r w:rsidRPr="009307C4">
        <w:rPr>
          <w:sz w:val="22"/>
          <w:lang w:val="sr-Latn-ME"/>
        </w:rPr>
        <w:t xml:space="preserve"> i kod kojih primjena kratkod</w:t>
      </w:r>
      <w:r w:rsidR="00040933" w:rsidRPr="009307C4">
        <w:rPr>
          <w:sz w:val="22"/>
          <w:lang w:val="sr-Latn-ME"/>
        </w:rPr>
        <w:t>j</w:t>
      </w:r>
      <w:r w:rsidRPr="009307C4">
        <w:rPr>
          <w:sz w:val="22"/>
          <w:lang w:val="sr-Latn-ME"/>
        </w:rPr>
        <w:t xml:space="preserve">elujućih </w:t>
      </w:r>
      <w:r w:rsidRPr="009307C4">
        <w:rPr>
          <w:sz w:val="22"/>
          <w:szCs w:val="22"/>
          <w:lang w:val="sr-Latn-ME" w:eastAsia="sr-Latn-CS"/>
        </w:rPr>
        <w:t>β-agonista "po potrebi" ne obezbjeđuje odgovarajuću kliničku kontrolu astme.</w:t>
      </w:r>
    </w:p>
    <w:p w14:paraId="6FB7947B" w14:textId="77777777" w:rsidR="008808CA" w:rsidRPr="009307C4" w:rsidRDefault="008808CA" w:rsidP="00C4333D">
      <w:pPr>
        <w:pStyle w:val="Header"/>
        <w:tabs>
          <w:tab w:val="left" w:pos="284"/>
        </w:tabs>
        <w:jc w:val="both"/>
        <w:rPr>
          <w:sz w:val="22"/>
          <w:lang w:val="sr-Latn-ME"/>
        </w:rPr>
      </w:pPr>
    </w:p>
    <w:p w14:paraId="70C812AA" w14:textId="1B1A5A54" w:rsidR="008808CA" w:rsidRPr="009307C4" w:rsidRDefault="008808CA" w:rsidP="00C4333D">
      <w:pPr>
        <w:pStyle w:val="Header"/>
        <w:tabs>
          <w:tab w:val="left" w:pos="284"/>
        </w:tabs>
        <w:jc w:val="both"/>
        <w:rPr>
          <w:sz w:val="22"/>
          <w:lang w:val="sr-Latn-ME"/>
        </w:rPr>
      </w:pPr>
      <w:r w:rsidRPr="009307C4">
        <w:rPr>
          <w:bCs/>
          <w:sz w:val="22"/>
          <w:lang w:val="sr-Latn-ME"/>
        </w:rPr>
        <w:t>Lijek Singulair</w:t>
      </w:r>
      <w:r w:rsidR="00116519" w:rsidRPr="009307C4">
        <w:rPr>
          <w:bCs/>
          <w:sz w:val="22"/>
          <w:lang w:val="sr-Latn-ME"/>
        </w:rPr>
        <w:t>, granule,</w:t>
      </w:r>
      <w:r w:rsidRPr="009307C4">
        <w:rPr>
          <w:b/>
          <w:bCs/>
          <w:sz w:val="22"/>
          <w:lang w:val="sr-Latn-ME"/>
        </w:rPr>
        <w:t xml:space="preserve"> </w:t>
      </w:r>
      <w:r w:rsidRPr="009307C4">
        <w:rPr>
          <w:sz w:val="22"/>
          <w:lang w:val="sr-Latn-ME"/>
        </w:rPr>
        <w:t>takođe može da predstavlja alternativnu opciju liječenj</w:t>
      </w:r>
      <w:r w:rsidR="00265EF1" w:rsidRPr="009307C4">
        <w:rPr>
          <w:sz w:val="22"/>
          <w:lang w:val="sr-Latn-ME"/>
        </w:rPr>
        <w:t>u</w:t>
      </w:r>
      <w:r w:rsidRPr="009307C4">
        <w:rPr>
          <w:sz w:val="22"/>
          <w:lang w:val="sr-Latn-ME"/>
        </w:rPr>
        <w:t xml:space="preserve"> niskim dozama inhalacionih kortikosteroida kod pacijenata </w:t>
      </w:r>
      <w:r w:rsidR="00042220" w:rsidRPr="009307C4">
        <w:rPr>
          <w:sz w:val="22"/>
          <w:lang w:val="sr-Latn-ME"/>
        </w:rPr>
        <w:t xml:space="preserve">uzrasta </w:t>
      </w:r>
      <w:r w:rsidRPr="009307C4">
        <w:rPr>
          <w:sz w:val="22"/>
          <w:lang w:val="sr-Latn-ME"/>
        </w:rPr>
        <w:t xml:space="preserve">od 2 do 5 godina </w:t>
      </w:r>
      <w:r w:rsidR="00116519" w:rsidRPr="009307C4">
        <w:rPr>
          <w:sz w:val="22"/>
          <w:lang w:val="sr-Latn-ME"/>
        </w:rPr>
        <w:t>(</w:t>
      </w:r>
      <w:r w:rsidR="00265EF1" w:rsidRPr="009307C4">
        <w:rPr>
          <w:sz w:val="22"/>
          <w:lang w:val="sr-Latn-ME"/>
        </w:rPr>
        <w:t>sve do punih 6 godina</w:t>
      </w:r>
      <w:r w:rsidR="00116519" w:rsidRPr="009307C4">
        <w:rPr>
          <w:sz w:val="22"/>
          <w:lang w:val="sr-Latn-ME"/>
        </w:rPr>
        <w:t>)</w:t>
      </w:r>
      <w:r w:rsidR="00265EF1" w:rsidRPr="009307C4">
        <w:rPr>
          <w:sz w:val="22"/>
          <w:lang w:val="sr-Latn-ME"/>
        </w:rPr>
        <w:t xml:space="preserve"> </w:t>
      </w:r>
      <w:r w:rsidRPr="009307C4">
        <w:rPr>
          <w:sz w:val="22"/>
          <w:lang w:val="sr-Latn-ME"/>
        </w:rPr>
        <w:t>sa blagom perzistentnom astmom ko</w:t>
      </w:r>
      <w:r w:rsidR="00042220" w:rsidRPr="009307C4">
        <w:rPr>
          <w:sz w:val="22"/>
          <w:lang w:val="sr-Latn-ME"/>
        </w:rPr>
        <w:t>ji</w:t>
      </w:r>
      <w:r w:rsidRPr="009307C4">
        <w:rPr>
          <w:sz w:val="22"/>
          <w:lang w:val="sr-Latn-ME"/>
        </w:rPr>
        <w:t xml:space="preserve"> u </w:t>
      </w:r>
      <w:r w:rsidR="00042220" w:rsidRPr="009307C4">
        <w:rPr>
          <w:sz w:val="22"/>
          <w:lang w:val="sr-Latn-ME"/>
        </w:rPr>
        <w:t>anamnezi nijesu imali nedavne teške</w:t>
      </w:r>
      <w:r w:rsidRPr="009307C4">
        <w:rPr>
          <w:sz w:val="22"/>
          <w:lang w:val="sr-Latn-ME"/>
        </w:rPr>
        <w:t xml:space="preserve"> napada astme koji su zahtijevali oralnu upotrebu kortikosteroida, i kod pacijenata kod kojih se pokazalo da nijesu </w:t>
      </w:r>
      <w:r w:rsidR="00265EF1" w:rsidRPr="009307C4">
        <w:rPr>
          <w:sz w:val="22"/>
          <w:lang w:val="sr-Latn-ME"/>
        </w:rPr>
        <w:t xml:space="preserve">u stanju </w:t>
      </w:r>
      <w:r w:rsidRPr="009307C4">
        <w:rPr>
          <w:sz w:val="22"/>
          <w:lang w:val="sr-Latn-ME"/>
        </w:rPr>
        <w:t>da koriste inhalacione kortikosteroide (vid</w:t>
      </w:r>
      <w:r w:rsidR="00040933" w:rsidRPr="009307C4">
        <w:rPr>
          <w:sz w:val="22"/>
          <w:lang w:val="sr-Latn-ME"/>
        </w:rPr>
        <w:t>jeti</w:t>
      </w:r>
      <w:r w:rsidRPr="009307C4">
        <w:rPr>
          <w:sz w:val="22"/>
          <w:lang w:val="sr-Latn-ME"/>
        </w:rPr>
        <w:t xml:space="preserve"> dio 4.2). </w:t>
      </w:r>
    </w:p>
    <w:p w14:paraId="4680F7D2" w14:textId="77777777" w:rsidR="008808CA" w:rsidRPr="009307C4" w:rsidRDefault="008808CA" w:rsidP="00C4333D">
      <w:pPr>
        <w:autoSpaceDE w:val="0"/>
        <w:autoSpaceDN w:val="0"/>
        <w:adjustRightInd w:val="0"/>
        <w:jc w:val="both"/>
        <w:rPr>
          <w:sz w:val="22"/>
          <w:szCs w:val="22"/>
          <w:lang w:val="sr-Latn-ME" w:eastAsia="sr-Latn-CS"/>
        </w:rPr>
      </w:pPr>
    </w:p>
    <w:p w14:paraId="5CB01B10" w14:textId="579DBC59" w:rsidR="008808CA" w:rsidRPr="009307C4" w:rsidRDefault="008808CA" w:rsidP="00C4333D">
      <w:pPr>
        <w:autoSpaceDE w:val="0"/>
        <w:autoSpaceDN w:val="0"/>
        <w:adjustRightInd w:val="0"/>
        <w:jc w:val="both"/>
        <w:rPr>
          <w:sz w:val="22"/>
          <w:szCs w:val="22"/>
          <w:lang w:val="sr-Latn-ME" w:eastAsia="sr-Latn-CS"/>
        </w:rPr>
      </w:pPr>
      <w:r w:rsidRPr="009307C4">
        <w:rPr>
          <w:bCs/>
          <w:sz w:val="22"/>
          <w:lang w:val="sr-Latn-ME"/>
        </w:rPr>
        <w:t>Lijek Singulair</w:t>
      </w:r>
      <w:r w:rsidR="00116519" w:rsidRPr="009307C4">
        <w:rPr>
          <w:bCs/>
          <w:sz w:val="22"/>
          <w:lang w:val="sr-Latn-ME"/>
        </w:rPr>
        <w:t>, granule,</w:t>
      </w:r>
      <w:r w:rsidRPr="009307C4">
        <w:rPr>
          <w:sz w:val="22"/>
          <w:lang w:val="sr-Latn-ME"/>
        </w:rPr>
        <w:t xml:space="preserve"> </w:t>
      </w:r>
      <w:r w:rsidRPr="009307C4">
        <w:rPr>
          <w:sz w:val="22"/>
          <w:szCs w:val="22"/>
          <w:lang w:val="sr-Latn-ME" w:eastAsia="sr-Latn-CS"/>
        </w:rPr>
        <w:t xml:space="preserve">indikovan </w:t>
      </w:r>
      <w:r w:rsidR="00042220" w:rsidRPr="009307C4">
        <w:rPr>
          <w:sz w:val="22"/>
          <w:szCs w:val="22"/>
          <w:lang w:val="sr-Latn-ME" w:eastAsia="sr-Latn-CS"/>
        </w:rPr>
        <w:t xml:space="preserve">je i u </w:t>
      </w:r>
      <w:r w:rsidRPr="009307C4">
        <w:rPr>
          <w:sz w:val="22"/>
          <w:szCs w:val="22"/>
          <w:lang w:val="sr-Latn-ME" w:eastAsia="sr-Latn-CS"/>
        </w:rPr>
        <w:t>profilaks</w:t>
      </w:r>
      <w:r w:rsidR="00042220" w:rsidRPr="009307C4">
        <w:rPr>
          <w:sz w:val="22"/>
          <w:szCs w:val="22"/>
          <w:lang w:val="sr-Latn-ME" w:eastAsia="sr-Latn-CS"/>
        </w:rPr>
        <w:t>i</w:t>
      </w:r>
      <w:r w:rsidRPr="009307C4">
        <w:rPr>
          <w:sz w:val="22"/>
          <w:szCs w:val="22"/>
          <w:lang w:val="sr-Latn-ME" w:eastAsia="sr-Latn-CS"/>
        </w:rPr>
        <w:t xml:space="preserve"> astme u kojoj je predominantna komponenta bronhokonstrikcija izazvana fizičkim naporom (vježbanjem) kod pacijenata od 2 godine i starijih.</w:t>
      </w:r>
    </w:p>
    <w:p w14:paraId="1C4C1D6A" w14:textId="77777777" w:rsidR="00411B4B" w:rsidRPr="009307C4" w:rsidRDefault="00411B4B" w:rsidP="00C4333D">
      <w:pPr>
        <w:tabs>
          <w:tab w:val="left" w:pos="540"/>
          <w:tab w:val="left" w:pos="569"/>
        </w:tabs>
        <w:jc w:val="both"/>
        <w:rPr>
          <w:bCs/>
          <w:sz w:val="22"/>
          <w:szCs w:val="22"/>
          <w:lang w:val="sr-Latn-ME"/>
        </w:rPr>
      </w:pPr>
    </w:p>
    <w:p w14:paraId="2F113C82"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4.2. </w:t>
      </w:r>
      <w:r w:rsidR="00480FB1" w:rsidRPr="009307C4">
        <w:rPr>
          <w:b/>
          <w:bCs/>
          <w:sz w:val="22"/>
          <w:szCs w:val="22"/>
          <w:lang w:val="sr-Latn-ME"/>
        </w:rPr>
        <w:tab/>
      </w:r>
      <w:r w:rsidRPr="009307C4">
        <w:rPr>
          <w:b/>
          <w:bCs/>
          <w:sz w:val="22"/>
          <w:szCs w:val="22"/>
          <w:lang w:val="sr-Latn-ME"/>
        </w:rPr>
        <w:t>Doziranje i način primjene</w:t>
      </w:r>
    </w:p>
    <w:p w14:paraId="434B0844" w14:textId="77777777" w:rsidR="0072020E" w:rsidRPr="009307C4" w:rsidRDefault="0072020E" w:rsidP="00C4333D">
      <w:pPr>
        <w:tabs>
          <w:tab w:val="left" w:pos="540"/>
          <w:tab w:val="left" w:pos="569"/>
        </w:tabs>
        <w:jc w:val="both"/>
        <w:rPr>
          <w:bCs/>
          <w:sz w:val="22"/>
          <w:szCs w:val="22"/>
          <w:lang w:val="sr-Latn-ME"/>
        </w:rPr>
      </w:pPr>
    </w:p>
    <w:p w14:paraId="0EDF266A" w14:textId="594F7C18" w:rsidR="00452E9D" w:rsidRPr="009307C4" w:rsidRDefault="00452E9D" w:rsidP="00C4333D">
      <w:pPr>
        <w:tabs>
          <w:tab w:val="left" w:pos="540"/>
          <w:tab w:val="left" w:pos="569"/>
        </w:tabs>
        <w:jc w:val="both"/>
        <w:rPr>
          <w:bCs/>
          <w:sz w:val="22"/>
          <w:szCs w:val="22"/>
          <w:u w:val="single"/>
          <w:lang w:val="sr-Latn-ME"/>
        </w:rPr>
      </w:pPr>
      <w:r w:rsidRPr="009307C4">
        <w:rPr>
          <w:bCs/>
          <w:sz w:val="22"/>
          <w:szCs w:val="22"/>
          <w:u w:val="single"/>
          <w:lang w:val="sr-Latn-ME"/>
        </w:rPr>
        <w:t>Doziranje</w:t>
      </w:r>
    </w:p>
    <w:p w14:paraId="6C3ED929" w14:textId="6C9B2916" w:rsidR="008808CA" w:rsidRPr="009307C4" w:rsidRDefault="00116519" w:rsidP="00C4333D">
      <w:pPr>
        <w:pStyle w:val="Header"/>
        <w:tabs>
          <w:tab w:val="left" w:pos="284"/>
        </w:tabs>
        <w:jc w:val="both"/>
        <w:rPr>
          <w:sz w:val="22"/>
          <w:lang w:val="sr-Latn-ME"/>
        </w:rPr>
      </w:pPr>
      <w:r w:rsidRPr="009307C4">
        <w:rPr>
          <w:bCs/>
          <w:sz w:val="22"/>
          <w:lang w:val="sr-Latn-ME"/>
        </w:rPr>
        <w:t>Lijek Singulair, granule,</w:t>
      </w:r>
      <w:r w:rsidRPr="009307C4">
        <w:rPr>
          <w:sz w:val="22"/>
          <w:lang w:val="sr-Latn-ME"/>
        </w:rPr>
        <w:t xml:space="preserve"> </w:t>
      </w:r>
      <w:r w:rsidR="00265EF1" w:rsidRPr="009307C4">
        <w:rPr>
          <w:bCs/>
          <w:sz w:val="22"/>
          <w:szCs w:val="22"/>
          <w:lang w:val="sr-Latn-ME"/>
        </w:rPr>
        <w:t xml:space="preserve">se daje djetetu pod nadzorom odrasle osobe. </w:t>
      </w:r>
      <w:r w:rsidR="008808CA" w:rsidRPr="009307C4">
        <w:rPr>
          <w:sz w:val="22"/>
          <w:lang w:val="sr-Latn-ME"/>
        </w:rPr>
        <w:t xml:space="preserve">Preporučena doza za pedijatrijske pacijente starosti od 6 mjeseci do 5 godina </w:t>
      </w:r>
      <w:r w:rsidR="00210E7E" w:rsidRPr="009307C4">
        <w:rPr>
          <w:sz w:val="22"/>
          <w:lang w:val="sr-Latn-ME"/>
        </w:rPr>
        <w:t>(sve do punih 6 godina)</w:t>
      </w:r>
      <w:r w:rsidR="00D43382" w:rsidRPr="009307C4">
        <w:rPr>
          <w:sz w:val="22"/>
          <w:lang w:val="sr-Latn-ME"/>
        </w:rPr>
        <w:t xml:space="preserve"> </w:t>
      </w:r>
      <w:r w:rsidR="008808CA" w:rsidRPr="009307C4">
        <w:rPr>
          <w:sz w:val="22"/>
          <w:lang w:val="sr-Latn-ME"/>
        </w:rPr>
        <w:t>je jedna kesica</w:t>
      </w:r>
      <w:r w:rsidR="00AC50D5" w:rsidRPr="009307C4">
        <w:rPr>
          <w:sz w:val="22"/>
          <w:lang w:val="sr-Latn-ME"/>
        </w:rPr>
        <w:t xml:space="preserve"> granula</w:t>
      </w:r>
      <w:r w:rsidR="008808CA" w:rsidRPr="009307C4">
        <w:rPr>
          <w:sz w:val="22"/>
          <w:lang w:val="sr-Latn-ME"/>
        </w:rPr>
        <w:t>, koja sadrži</w:t>
      </w:r>
      <w:r w:rsidR="00AC50D5" w:rsidRPr="009307C4">
        <w:rPr>
          <w:sz w:val="22"/>
          <w:lang w:val="sr-Latn-ME"/>
        </w:rPr>
        <w:t xml:space="preserve"> 4 </w:t>
      </w:r>
      <w:r w:rsidR="008808CA" w:rsidRPr="009307C4">
        <w:rPr>
          <w:sz w:val="22"/>
          <w:lang w:val="sr-Latn-ME"/>
        </w:rPr>
        <w:t>mg lijeka, dnevno</w:t>
      </w:r>
      <w:r w:rsidR="00265EF1" w:rsidRPr="009307C4">
        <w:rPr>
          <w:sz w:val="22"/>
          <w:lang w:val="sr-Latn-ME"/>
        </w:rPr>
        <w:t xml:space="preserve">, koju treba uzeti </w:t>
      </w:r>
      <w:r w:rsidR="008808CA" w:rsidRPr="009307C4">
        <w:rPr>
          <w:sz w:val="22"/>
          <w:lang w:val="sr-Latn-ME"/>
        </w:rPr>
        <w:t xml:space="preserve">uveče. Prilagođavanje doze </w:t>
      </w:r>
      <w:r w:rsidR="00AC50D5" w:rsidRPr="009307C4">
        <w:rPr>
          <w:sz w:val="22"/>
          <w:lang w:val="sr-Latn-ME"/>
        </w:rPr>
        <w:t>u okviru ove starosne</w:t>
      </w:r>
      <w:r w:rsidR="008808CA" w:rsidRPr="009307C4">
        <w:rPr>
          <w:sz w:val="22"/>
          <w:lang w:val="sr-Latn-ME"/>
        </w:rPr>
        <w:t xml:space="preserve"> grup</w:t>
      </w:r>
      <w:r w:rsidR="00AC50D5" w:rsidRPr="009307C4">
        <w:rPr>
          <w:sz w:val="22"/>
          <w:lang w:val="sr-Latn-ME"/>
        </w:rPr>
        <w:t>e</w:t>
      </w:r>
      <w:r w:rsidR="008808CA" w:rsidRPr="009307C4">
        <w:rPr>
          <w:sz w:val="22"/>
          <w:lang w:val="sr-Latn-ME"/>
        </w:rPr>
        <w:t xml:space="preserve"> nije neophodno</w:t>
      </w:r>
      <w:r w:rsidR="00373632" w:rsidRPr="009307C4">
        <w:rPr>
          <w:sz w:val="22"/>
          <w:lang w:val="sr-Latn-ME"/>
        </w:rPr>
        <w:t xml:space="preserve">. </w:t>
      </w:r>
      <w:r w:rsidR="008808CA" w:rsidRPr="009307C4">
        <w:rPr>
          <w:sz w:val="22"/>
          <w:lang w:val="sr-Latn-ME"/>
        </w:rPr>
        <w:t xml:space="preserve">Podaci o efikasnosti iz kliničkih studija na pedijatrijskim pacijentima </w:t>
      </w:r>
      <w:r w:rsidR="00AC50D5" w:rsidRPr="009307C4">
        <w:rPr>
          <w:sz w:val="22"/>
          <w:lang w:val="sr-Latn-ME"/>
        </w:rPr>
        <w:t>uzrasta</w:t>
      </w:r>
      <w:r w:rsidR="008808CA" w:rsidRPr="009307C4">
        <w:rPr>
          <w:sz w:val="22"/>
          <w:lang w:val="sr-Latn-ME"/>
        </w:rPr>
        <w:t xml:space="preserve"> od 6 mjeseci do 2 godine sa perzistentnom astmom su ograničeni. </w:t>
      </w:r>
      <w:r w:rsidR="00AC50D5" w:rsidRPr="009307C4">
        <w:rPr>
          <w:sz w:val="22"/>
          <w:lang w:val="sr-Latn-ME"/>
        </w:rPr>
        <w:t>O</w:t>
      </w:r>
      <w:r w:rsidR="008808CA" w:rsidRPr="009307C4">
        <w:rPr>
          <w:sz w:val="22"/>
          <w:lang w:val="sr-Latn-ME"/>
        </w:rPr>
        <w:t>dgovor pacijenta na terapiju montelukastom</w:t>
      </w:r>
      <w:r w:rsidR="00265EF1" w:rsidRPr="009307C4">
        <w:rPr>
          <w:sz w:val="22"/>
          <w:lang w:val="sr-Latn-ME"/>
        </w:rPr>
        <w:t xml:space="preserve"> </w:t>
      </w:r>
      <w:r w:rsidR="00AC50D5" w:rsidRPr="009307C4">
        <w:rPr>
          <w:sz w:val="22"/>
          <w:lang w:val="sr-Latn-ME"/>
        </w:rPr>
        <w:t xml:space="preserve">treba proceniti nakon </w:t>
      </w:r>
      <w:r w:rsidR="008808CA" w:rsidRPr="009307C4">
        <w:rPr>
          <w:sz w:val="22"/>
          <w:lang w:val="sr-Latn-ME"/>
        </w:rPr>
        <w:t>2 do 4 nedjelje</w:t>
      </w:r>
      <w:r w:rsidR="00672226" w:rsidRPr="009307C4">
        <w:rPr>
          <w:sz w:val="22"/>
          <w:lang w:val="sr-Latn-ME"/>
        </w:rPr>
        <w:t xml:space="preserve"> terapije</w:t>
      </w:r>
      <w:r w:rsidR="008808CA" w:rsidRPr="009307C4">
        <w:rPr>
          <w:sz w:val="22"/>
          <w:lang w:val="sr-Latn-ME"/>
        </w:rPr>
        <w:t xml:space="preserve">. U slučaju da </w:t>
      </w:r>
      <w:r w:rsidR="00265EF1" w:rsidRPr="009307C4">
        <w:rPr>
          <w:sz w:val="22"/>
          <w:lang w:val="sr-Latn-ME"/>
        </w:rPr>
        <w:t xml:space="preserve">izostane </w:t>
      </w:r>
      <w:r w:rsidR="008808CA" w:rsidRPr="009307C4">
        <w:rPr>
          <w:sz w:val="22"/>
          <w:lang w:val="sr-Latn-ME"/>
        </w:rPr>
        <w:t>odgovor</w:t>
      </w:r>
      <w:r w:rsidR="00265EF1" w:rsidRPr="009307C4">
        <w:rPr>
          <w:sz w:val="22"/>
          <w:lang w:val="sr-Latn-ME"/>
        </w:rPr>
        <w:t xml:space="preserve"> na</w:t>
      </w:r>
      <w:r w:rsidR="008808CA" w:rsidRPr="009307C4">
        <w:rPr>
          <w:sz w:val="22"/>
          <w:lang w:val="sr-Latn-ME"/>
        </w:rPr>
        <w:t xml:space="preserve"> terapiju</w:t>
      </w:r>
      <w:r w:rsidR="00265EF1" w:rsidRPr="009307C4">
        <w:rPr>
          <w:sz w:val="22"/>
          <w:lang w:val="sr-Latn-ME"/>
        </w:rPr>
        <w:t>, istu</w:t>
      </w:r>
      <w:r w:rsidR="008808CA" w:rsidRPr="009307C4">
        <w:rPr>
          <w:sz w:val="22"/>
          <w:lang w:val="sr-Latn-ME"/>
        </w:rPr>
        <w:t xml:space="preserve"> treba prekinuti. </w:t>
      </w:r>
      <w:r w:rsidR="00823D29" w:rsidRPr="009307C4">
        <w:rPr>
          <w:sz w:val="22"/>
          <w:lang w:val="sr-Latn-ME"/>
        </w:rPr>
        <w:t xml:space="preserve">Ne preporučuje se primjena </w:t>
      </w:r>
      <w:r w:rsidR="00265EF1" w:rsidRPr="009307C4">
        <w:rPr>
          <w:sz w:val="22"/>
          <w:lang w:val="sr-Latn-ME"/>
        </w:rPr>
        <w:t xml:space="preserve">lijeka </w:t>
      </w:r>
      <w:r w:rsidR="008808CA" w:rsidRPr="009307C4">
        <w:rPr>
          <w:bCs/>
          <w:sz w:val="22"/>
          <w:lang w:val="sr-Latn-ME"/>
        </w:rPr>
        <w:t>Singulair</w:t>
      </w:r>
      <w:r w:rsidR="00823D29" w:rsidRPr="009307C4">
        <w:rPr>
          <w:sz w:val="22"/>
          <w:lang w:val="sr-Latn-ME"/>
        </w:rPr>
        <w:t xml:space="preserve">, </w:t>
      </w:r>
      <w:r w:rsidR="008808CA" w:rsidRPr="009307C4">
        <w:rPr>
          <w:sz w:val="22"/>
          <w:lang w:val="sr-Latn-ME"/>
        </w:rPr>
        <w:t>granul</w:t>
      </w:r>
      <w:r w:rsidR="00823D29" w:rsidRPr="009307C4">
        <w:rPr>
          <w:sz w:val="22"/>
          <w:lang w:val="sr-Latn-ME"/>
        </w:rPr>
        <w:t>e,</w:t>
      </w:r>
      <w:r w:rsidR="006C50B6" w:rsidRPr="009307C4">
        <w:rPr>
          <w:sz w:val="22"/>
          <w:lang w:val="sr-Latn-ME"/>
        </w:rPr>
        <w:t xml:space="preserve"> </w:t>
      </w:r>
      <w:r w:rsidR="00823D29" w:rsidRPr="009307C4">
        <w:rPr>
          <w:sz w:val="22"/>
          <w:lang w:val="sr-Latn-ME"/>
        </w:rPr>
        <w:t xml:space="preserve">kod </w:t>
      </w:r>
      <w:r w:rsidR="008808CA" w:rsidRPr="009307C4">
        <w:rPr>
          <w:sz w:val="22"/>
          <w:lang w:val="sr-Latn-ME"/>
        </w:rPr>
        <w:t>djec</w:t>
      </w:r>
      <w:r w:rsidR="00823D29" w:rsidRPr="009307C4">
        <w:rPr>
          <w:sz w:val="22"/>
          <w:lang w:val="sr-Latn-ME"/>
        </w:rPr>
        <w:t>e</w:t>
      </w:r>
      <w:r w:rsidR="008808CA" w:rsidRPr="009307C4">
        <w:rPr>
          <w:sz w:val="22"/>
          <w:lang w:val="sr-Latn-ME"/>
        </w:rPr>
        <w:t xml:space="preserve"> </w:t>
      </w:r>
      <w:r w:rsidR="006C50B6" w:rsidRPr="009307C4">
        <w:rPr>
          <w:sz w:val="22"/>
          <w:lang w:val="sr-Latn-ME"/>
        </w:rPr>
        <w:t>mlađ</w:t>
      </w:r>
      <w:r w:rsidR="00823D29" w:rsidRPr="009307C4">
        <w:rPr>
          <w:sz w:val="22"/>
          <w:lang w:val="sr-Latn-ME"/>
        </w:rPr>
        <w:t>e</w:t>
      </w:r>
      <w:r w:rsidR="006C50B6" w:rsidRPr="009307C4">
        <w:rPr>
          <w:sz w:val="22"/>
          <w:lang w:val="sr-Latn-ME"/>
        </w:rPr>
        <w:t xml:space="preserve"> od </w:t>
      </w:r>
      <w:r w:rsidR="008808CA" w:rsidRPr="009307C4">
        <w:rPr>
          <w:sz w:val="22"/>
          <w:lang w:val="sr-Latn-ME"/>
        </w:rPr>
        <w:t>6 mjeseci.</w:t>
      </w:r>
    </w:p>
    <w:p w14:paraId="73778E17" w14:textId="7A56BC9B" w:rsidR="008808CA" w:rsidRPr="009307C4" w:rsidRDefault="008808CA" w:rsidP="00C4333D">
      <w:pPr>
        <w:pStyle w:val="Header"/>
        <w:tabs>
          <w:tab w:val="left" w:pos="284"/>
        </w:tabs>
        <w:jc w:val="both"/>
        <w:rPr>
          <w:sz w:val="22"/>
          <w:lang w:val="sr-Latn-ME"/>
        </w:rPr>
      </w:pPr>
    </w:p>
    <w:p w14:paraId="7901E3B1" w14:textId="77777777" w:rsidR="009307C4" w:rsidRPr="009307C4" w:rsidRDefault="009307C4" w:rsidP="00C4333D">
      <w:pPr>
        <w:pStyle w:val="Header"/>
        <w:tabs>
          <w:tab w:val="left" w:pos="284"/>
        </w:tabs>
        <w:jc w:val="both"/>
        <w:rPr>
          <w:sz w:val="22"/>
          <w:lang w:val="sr-Latn-ME"/>
        </w:rPr>
      </w:pPr>
    </w:p>
    <w:p w14:paraId="4C92EB09" w14:textId="1478CA9F" w:rsidR="008808CA" w:rsidRPr="009307C4" w:rsidRDefault="008808CA" w:rsidP="00C4333D">
      <w:pPr>
        <w:pStyle w:val="Header"/>
        <w:tabs>
          <w:tab w:val="left" w:pos="284"/>
        </w:tabs>
        <w:jc w:val="both"/>
        <w:rPr>
          <w:sz w:val="22"/>
          <w:lang w:val="sr-Latn-ME"/>
        </w:rPr>
      </w:pPr>
      <w:r w:rsidRPr="009307C4">
        <w:rPr>
          <w:sz w:val="22"/>
          <w:u w:val="single"/>
          <w:lang w:val="sr-Latn-ME"/>
        </w:rPr>
        <w:lastRenderedPageBreak/>
        <w:t>Opšte preporuke</w:t>
      </w:r>
      <w:r w:rsidRPr="009307C4">
        <w:rPr>
          <w:sz w:val="22"/>
          <w:lang w:val="sr-Latn-ME"/>
        </w:rPr>
        <w:t xml:space="preserve"> </w:t>
      </w:r>
    </w:p>
    <w:p w14:paraId="3B4F9AA7" w14:textId="454B6953" w:rsidR="008808CA" w:rsidRPr="009307C4" w:rsidRDefault="00672226" w:rsidP="00C4333D">
      <w:pPr>
        <w:pStyle w:val="Header"/>
        <w:tabs>
          <w:tab w:val="left" w:pos="284"/>
        </w:tabs>
        <w:jc w:val="both"/>
        <w:rPr>
          <w:sz w:val="22"/>
          <w:lang w:val="sr-Latn-ME"/>
        </w:rPr>
      </w:pPr>
      <w:r w:rsidRPr="009307C4">
        <w:rPr>
          <w:sz w:val="22"/>
          <w:lang w:val="sr-Latn-ME"/>
        </w:rPr>
        <w:t>Do t</w:t>
      </w:r>
      <w:r w:rsidR="008808CA" w:rsidRPr="009307C4">
        <w:rPr>
          <w:sz w:val="22"/>
          <w:lang w:val="sr-Latn-ME"/>
        </w:rPr>
        <w:t>erapijsk</w:t>
      </w:r>
      <w:r w:rsidRPr="009307C4">
        <w:rPr>
          <w:sz w:val="22"/>
          <w:lang w:val="sr-Latn-ME"/>
        </w:rPr>
        <w:t>og</w:t>
      </w:r>
      <w:r w:rsidR="008808CA" w:rsidRPr="009307C4">
        <w:rPr>
          <w:sz w:val="22"/>
          <w:lang w:val="sr-Latn-ME"/>
        </w:rPr>
        <w:t xml:space="preserve"> efek</w:t>
      </w:r>
      <w:r w:rsidRPr="009307C4">
        <w:rPr>
          <w:sz w:val="22"/>
          <w:lang w:val="sr-Latn-ME"/>
        </w:rPr>
        <w:t>ta</w:t>
      </w:r>
      <w:r w:rsidR="008808CA" w:rsidRPr="009307C4">
        <w:rPr>
          <w:sz w:val="22"/>
          <w:lang w:val="sr-Latn-ME"/>
        </w:rPr>
        <w:t xml:space="preserve"> lijeka </w:t>
      </w:r>
      <w:r w:rsidR="008808CA" w:rsidRPr="009307C4">
        <w:rPr>
          <w:bCs/>
          <w:sz w:val="22"/>
          <w:lang w:val="sr-Latn-ME"/>
        </w:rPr>
        <w:t>Singulair</w:t>
      </w:r>
      <w:r w:rsidRPr="009307C4">
        <w:rPr>
          <w:bCs/>
          <w:sz w:val="22"/>
          <w:lang w:val="sr-Latn-ME"/>
        </w:rPr>
        <w:t>, granule,</w:t>
      </w:r>
      <w:r w:rsidR="008808CA" w:rsidRPr="009307C4">
        <w:rPr>
          <w:b/>
          <w:bCs/>
          <w:sz w:val="22"/>
          <w:lang w:val="sr-Latn-ME"/>
        </w:rPr>
        <w:t xml:space="preserve"> </w:t>
      </w:r>
      <w:r w:rsidR="008808CA" w:rsidRPr="009307C4">
        <w:rPr>
          <w:sz w:val="22"/>
          <w:lang w:val="sr-Latn-ME"/>
        </w:rPr>
        <w:t xml:space="preserve">na parametre kontrole astme </w:t>
      </w:r>
      <w:r w:rsidRPr="009307C4">
        <w:rPr>
          <w:sz w:val="22"/>
          <w:lang w:val="sr-Latn-ME"/>
        </w:rPr>
        <w:t>dolazi</w:t>
      </w:r>
      <w:r w:rsidR="008808CA" w:rsidRPr="009307C4">
        <w:rPr>
          <w:sz w:val="22"/>
          <w:lang w:val="sr-Latn-ME"/>
        </w:rPr>
        <w:t xml:space="preserve"> već u toku prvog dana prim</w:t>
      </w:r>
      <w:r w:rsidR="007D46D9" w:rsidRPr="009307C4">
        <w:rPr>
          <w:sz w:val="22"/>
          <w:lang w:val="sr-Latn-ME"/>
        </w:rPr>
        <w:t>j</w:t>
      </w:r>
      <w:r w:rsidR="008808CA" w:rsidRPr="009307C4">
        <w:rPr>
          <w:sz w:val="22"/>
          <w:lang w:val="sr-Latn-ME"/>
        </w:rPr>
        <w:t xml:space="preserve">ene. </w:t>
      </w:r>
      <w:r w:rsidR="00116519" w:rsidRPr="009307C4">
        <w:rPr>
          <w:sz w:val="22"/>
          <w:lang w:val="sr-Latn-ME"/>
        </w:rPr>
        <w:t xml:space="preserve">Roditelje ili staratelje treba savjetovati da nastave sa davanjem lijeka djetetu, </w:t>
      </w:r>
      <w:r w:rsidR="008808CA" w:rsidRPr="009307C4">
        <w:rPr>
          <w:b/>
          <w:bCs/>
          <w:sz w:val="22"/>
          <w:lang w:val="sr-Latn-ME"/>
        </w:rPr>
        <w:t xml:space="preserve"> </w:t>
      </w:r>
      <w:r w:rsidR="008808CA" w:rsidRPr="009307C4">
        <w:rPr>
          <w:sz w:val="22"/>
          <w:lang w:val="sr-Latn-ME"/>
        </w:rPr>
        <w:t>čak i kada je nj</w:t>
      </w:r>
      <w:r w:rsidRPr="009307C4">
        <w:rPr>
          <w:sz w:val="22"/>
          <w:lang w:val="sr-Latn-ME"/>
        </w:rPr>
        <w:t>egova</w:t>
      </w:r>
      <w:r w:rsidR="008808CA" w:rsidRPr="009307C4">
        <w:rPr>
          <w:sz w:val="22"/>
          <w:lang w:val="sr-Latn-ME"/>
        </w:rPr>
        <w:t xml:space="preserve"> astma pod kontrolom</w:t>
      </w:r>
      <w:r w:rsidRPr="009307C4">
        <w:rPr>
          <w:sz w:val="22"/>
          <w:lang w:val="sr-Latn-ME"/>
        </w:rPr>
        <w:t>,</w:t>
      </w:r>
      <w:r w:rsidR="008808CA" w:rsidRPr="009307C4">
        <w:rPr>
          <w:sz w:val="22"/>
          <w:lang w:val="sr-Latn-ME"/>
        </w:rPr>
        <w:t xml:space="preserve"> kao i </w:t>
      </w:r>
      <w:r w:rsidRPr="009307C4">
        <w:rPr>
          <w:sz w:val="22"/>
          <w:lang w:val="sr-Latn-ME"/>
        </w:rPr>
        <w:t>u</w:t>
      </w:r>
      <w:r w:rsidR="008808CA" w:rsidRPr="009307C4">
        <w:rPr>
          <w:sz w:val="22"/>
          <w:lang w:val="sr-Latn-ME"/>
        </w:rPr>
        <w:t xml:space="preserve"> period</w:t>
      </w:r>
      <w:r w:rsidRPr="009307C4">
        <w:rPr>
          <w:sz w:val="22"/>
          <w:lang w:val="sr-Latn-ME"/>
        </w:rPr>
        <w:t>ima</w:t>
      </w:r>
      <w:r w:rsidR="008808CA" w:rsidRPr="009307C4">
        <w:rPr>
          <w:sz w:val="22"/>
          <w:lang w:val="sr-Latn-ME"/>
        </w:rPr>
        <w:t xml:space="preserve"> kad</w:t>
      </w:r>
      <w:r w:rsidRPr="009307C4">
        <w:rPr>
          <w:sz w:val="22"/>
          <w:lang w:val="sr-Latn-ME"/>
        </w:rPr>
        <w:t>a</w:t>
      </w:r>
      <w:r w:rsidR="008808CA" w:rsidRPr="009307C4">
        <w:rPr>
          <w:sz w:val="22"/>
          <w:lang w:val="sr-Latn-ME"/>
        </w:rPr>
        <w:t xml:space="preserve"> </w:t>
      </w:r>
      <w:r w:rsidRPr="009307C4">
        <w:rPr>
          <w:sz w:val="22"/>
          <w:lang w:val="sr-Latn-ME"/>
        </w:rPr>
        <w:t xml:space="preserve">se </w:t>
      </w:r>
      <w:r w:rsidR="008808CA" w:rsidRPr="009307C4">
        <w:rPr>
          <w:sz w:val="22"/>
          <w:lang w:val="sr-Latn-ME"/>
        </w:rPr>
        <w:t>stanje pogorša</w:t>
      </w:r>
      <w:r w:rsidRPr="009307C4">
        <w:rPr>
          <w:sz w:val="22"/>
          <w:lang w:val="sr-Latn-ME"/>
        </w:rPr>
        <w:t>va</w:t>
      </w:r>
      <w:r w:rsidR="008808CA" w:rsidRPr="009307C4">
        <w:rPr>
          <w:sz w:val="22"/>
          <w:lang w:val="sr-Latn-ME"/>
        </w:rPr>
        <w:t>.</w:t>
      </w:r>
    </w:p>
    <w:p w14:paraId="5DF0AD56" w14:textId="7AC39E2E" w:rsidR="008808CA" w:rsidRPr="009307C4" w:rsidRDefault="008808CA" w:rsidP="00C4333D">
      <w:pPr>
        <w:autoSpaceDE w:val="0"/>
        <w:autoSpaceDN w:val="0"/>
        <w:adjustRightInd w:val="0"/>
        <w:jc w:val="both"/>
        <w:rPr>
          <w:b/>
          <w:bCs/>
          <w:sz w:val="22"/>
          <w:lang w:val="sr-Latn-ME"/>
        </w:rPr>
      </w:pPr>
    </w:p>
    <w:p w14:paraId="7536A37E" w14:textId="02E6BF58" w:rsidR="008808CA" w:rsidRPr="009307C4" w:rsidRDefault="00116519" w:rsidP="00C4333D">
      <w:pPr>
        <w:autoSpaceDE w:val="0"/>
        <w:autoSpaceDN w:val="0"/>
        <w:adjustRightInd w:val="0"/>
        <w:jc w:val="both"/>
        <w:rPr>
          <w:sz w:val="22"/>
          <w:szCs w:val="22"/>
          <w:u w:val="single"/>
          <w:lang w:val="sr-Latn-ME" w:eastAsia="sr-Latn-CS"/>
        </w:rPr>
      </w:pPr>
      <w:r w:rsidRPr="009307C4">
        <w:rPr>
          <w:bCs/>
          <w:sz w:val="22"/>
          <w:u w:val="single"/>
          <w:lang w:val="sr-Latn-ME"/>
        </w:rPr>
        <w:t xml:space="preserve">Lijek </w:t>
      </w:r>
      <w:r w:rsidR="008808CA" w:rsidRPr="009307C4">
        <w:rPr>
          <w:bCs/>
          <w:sz w:val="22"/>
          <w:u w:val="single"/>
          <w:lang w:val="sr-Latn-ME"/>
        </w:rPr>
        <w:t>Singulair</w:t>
      </w:r>
      <w:r w:rsidR="00672226" w:rsidRPr="009307C4">
        <w:rPr>
          <w:bCs/>
          <w:sz w:val="22"/>
          <w:u w:val="single"/>
          <w:lang w:val="sr-Latn-ME"/>
        </w:rPr>
        <w:t>, granule,</w:t>
      </w:r>
      <w:r w:rsidR="008808CA" w:rsidRPr="009307C4">
        <w:rPr>
          <w:bCs/>
          <w:sz w:val="22"/>
          <w:u w:val="single"/>
          <w:lang w:val="sr-Latn-ME"/>
        </w:rPr>
        <w:t xml:space="preserve"> </w:t>
      </w:r>
      <w:r w:rsidR="008808CA" w:rsidRPr="009307C4">
        <w:rPr>
          <w:sz w:val="22"/>
          <w:szCs w:val="22"/>
          <w:u w:val="single"/>
          <w:lang w:val="sr-Latn-ME" w:eastAsia="sr-Latn-CS"/>
        </w:rPr>
        <w:t xml:space="preserve">kao alternativna opcija </w:t>
      </w:r>
      <w:r w:rsidR="00672226" w:rsidRPr="009307C4">
        <w:rPr>
          <w:sz w:val="22"/>
          <w:szCs w:val="22"/>
          <w:u w:val="single"/>
          <w:lang w:val="sr-Latn-ME" w:eastAsia="sr-Latn-CS"/>
        </w:rPr>
        <w:t xml:space="preserve">terapiji </w:t>
      </w:r>
      <w:r w:rsidR="008808CA" w:rsidRPr="009307C4">
        <w:rPr>
          <w:sz w:val="22"/>
          <w:szCs w:val="22"/>
          <w:u w:val="single"/>
          <w:lang w:val="sr-Latn-ME" w:eastAsia="sr-Latn-CS"/>
        </w:rPr>
        <w:t>niskim dozama inhalacionih kortikosteroida kod blage perzistentne astme:</w:t>
      </w:r>
    </w:p>
    <w:p w14:paraId="4C2AFE27" w14:textId="7602B762" w:rsidR="008808CA" w:rsidRPr="009307C4" w:rsidRDefault="008808CA" w:rsidP="00C4333D">
      <w:pPr>
        <w:autoSpaceDE w:val="0"/>
        <w:autoSpaceDN w:val="0"/>
        <w:adjustRightInd w:val="0"/>
        <w:jc w:val="both"/>
        <w:rPr>
          <w:sz w:val="22"/>
          <w:lang w:val="sr-Latn-ME"/>
        </w:rPr>
      </w:pPr>
      <w:r w:rsidRPr="009307C4">
        <w:rPr>
          <w:sz w:val="22"/>
          <w:szCs w:val="22"/>
          <w:lang w:val="sr-Latn-ME" w:eastAsia="sr-Latn-CS"/>
        </w:rPr>
        <w:t>Montelukast se ne preporučuje kao monoterapija kod pacijenata sa umjerenom perzistentnom astmom. Primjenu montelukasta kao alternativne opcije liječenja</w:t>
      </w:r>
      <w:r w:rsidR="006C50B6" w:rsidRPr="009307C4">
        <w:rPr>
          <w:sz w:val="22"/>
          <w:szCs w:val="22"/>
          <w:lang w:val="sr-Latn-ME" w:eastAsia="sr-Latn-CS"/>
        </w:rPr>
        <w:t xml:space="preserve"> niskim</w:t>
      </w:r>
      <w:r w:rsidRPr="009307C4">
        <w:rPr>
          <w:sz w:val="22"/>
          <w:szCs w:val="22"/>
          <w:lang w:val="sr-Latn-ME" w:eastAsia="sr-Latn-CS"/>
        </w:rPr>
        <w:t xml:space="preserve"> doz</w:t>
      </w:r>
      <w:r w:rsidR="006C50B6" w:rsidRPr="009307C4">
        <w:rPr>
          <w:sz w:val="22"/>
          <w:szCs w:val="22"/>
          <w:lang w:val="sr-Latn-ME" w:eastAsia="sr-Latn-CS"/>
        </w:rPr>
        <w:t>ama</w:t>
      </w:r>
      <w:r w:rsidRPr="009307C4">
        <w:rPr>
          <w:sz w:val="22"/>
          <w:szCs w:val="22"/>
          <w:lang w:val="sr-Latn-ME" w:eastAsia="sr-Latn-CS"/>
        </w:rPr>
        <w:t xml:space="preserve"> inhalacionih kortikosteroida kod djece starosti 2 do 5 godina </w:t>
      </w:r>
      <w:r w:rsidRPr="009307C4">
        <w:rPr>
          <w:sz w:val="22"/>
          <w:szCs w:val="22"/>
          <w:lang w:val="sr-Latn-ME"/>
        </w:rPr>
        <w:t xml:space="preserve">(sve do punih 6 godina) </w:t>
      </w:r>
      <w:r w:rsidRPr="009307C4">
        <w:rPr>
          <w:sz w:val="22"/>
          <w:szCs w:val="22"/>
          <w:lang w:val="sr-Latn-ME" w:eastAsia="sr-Latn-CS"/>
        </w:rPr>
        <w:t xml:space="preserve">sa blagom perzistentnom astmom treba razmotriti samo </w:t>
      </w:r>
      <w:r w:rsidRPr="009307C4">
        <w:rPr>
          <w:sz w:val="22"/>
          <w:lang w:val="sr-Latn-ME"/>
        </w:rPr>
        <w:t xml:space="preserve">kod pacijenata koji u </w:t>
      </w:r>
      <w:r w:rsidR="00672226" w:rsidRPr="009307C4">
        <w:rPr>
          <w:sz w:val="22"/>
          <w:lang w:val="sr-Latn-ME"/>
        </w:rPr>
        <w:t>anamnezi nijesu imali nedavno teške</w:t>
      </w:r>
      <w:r w:rsidRPr="009307C4">
        <w:rPr>
          <w:sz w:val="22"/>
          <w:lang w:val="sr-Latn-ME"/>
        </w:rPr>
        <w:t xml:space="preserve"> napade astme koji su zahtijevali primjenu oralnih kortikosteroida, i kod kojih se pokazalo da nijesu sposobni da koriste inhalacione kortikosteroide (vid</w:t>
      </w:r>
      <w:r w:rsidR="00AF1A74" w:rsidRPr="009307C4">
        <w:rPr>
          <w:sz w:val="22"/>
          <w:lang w:val="sr-Latn-ME"/>
        </w:rPr>
        <w:t>jeti</w:t>
      </w:r>
      <w:r w:rsidRPr="009307C4">
        <w:rPr>
          <w:sz w:val="22"/>
          <w:lang w:val="sr-Latn-ME"/>
        </w:rPr>
        <w:t xml:space="preserve"> dio 4.1). Blaga perzistentna astma se definiše kao simptomi astme koji se javljaju češće nego </w:t>
      </w:r>
      <w:r w:rsidR="00672226" w:rsidRPr="009307C4">
        <w:rPr>
          <w:sz w:val="22"/>
          <w:lang w:val="sr-Latn-ME"/>
        </w:rPr>
        <w:t xml:space="preserve">jednom </w:t>
      </w:r>
      <w:r w:rsidRPr="009307C4">
        <w:rPr>
          <w:sz w:val="22"/>
          <w:lang w:val="sr-Latn-ME"/>
        </w:rPr>
        <w:t xml:space="preserve">nedjeljno, ali rjeđe nego </w:t>
      </w:r>
      <w:r w:rsidR="00672226" w:rsidRPr="009307C4">
        <w:rPr>
          <w:sz w:val="22"/>
          <w:lang w:val="sr-Latn-ME"/>
        </w:rPr>
        <w:t xml:space="preserve">jednom </w:t>
      </w:r>
      <w:r w:rsidRPr="009307C4">
        <w:rPr>
          <w:sz w:val="22"/>
          <w:lang w:val="sr-Latn-ME"/>
        </w:rPr>
        <w:t xml:space="preserve">dnevno, </w:t>
      </w:r>
      <w:r w:rsidR="006C50B6" w:rsidRPr="009307C4">
        <w:rPr>
          <w:sz w:val="22"/>
          <w:lang w:val="sr-Latn-ME"/>
        </w:rPr>
        <w:t xml:space="preserve">pojava noćnih simptoma </w:t>
      </w:r>
      <w:r w:rsidRPr="009307C4">
        <w:rPr>
          <w:sz w:val="22"/>
          <w:lang w:val="sr-Latn-ME"/>
        </w:rPr>
        <w:t>češće od dva puta mjesečno, ali rjeđe nego jed</w:t>
      </w:r>
      <w:r w:rsidR="00672226" w:rsidRPr="009307C4">
        <w:rPr>
          <w:sz w:val="22"/>
          <w:lang w:val="sr-Latn-ME"/>
        </w:rPr>
        <w:t>nom</w:t>
      </w:r>
      <w:r w:rsidRPr="009307C4">
        <w:rPr>
          <w:sz w:val="22"/>
          <w:lang w:val="sr-Latn-ME"/>
        </w:rPr>
        <w:t xml:space="preserve"> nedeljno, sa normalnom funkcijom pluća između epizoda</w:t>
      </w:r>
      <w:r w:rsidR="006C50B6" w:rsidRPr="009307C4">
        <w:rPr>
          <w:sz w:val="22"/>
          <w:lang w:val="sr-Latn-ME"/>
        </w:rPr>
        <w:t xml:space="preserve"> astme</w:t>
      </w:r>
      <w:r w:rsidRPr="009307C4">
        <w:rPr>
          <w:sz w:val="22"/>
          <w:lang w:val="sr-Latn-ME"/>
        </w:rPr>
        <w:t xml:space="preserve">. </w:t>
      </w:r>
      <w:r w:rsidR="009F494E" w:rsidRPr="009307C4">
        <w:rPr>
          <w:sz w:val="22"/>
          <w:lang w:val="sr-Latn-ME"/>
        </w:rPr>
        <w:t>Ako se praćenjen ne postigne</w:t>
      </w:r>
      <w:r w:rsidR="006C50B6" w:rsidRPr="009307C4">
        <w:rPr>
          <w:sz w:val="22"/>
          <w:lang w:val="sr-Latn-ME"/>
        </w:rPr>
        <w:t xml:space="preserve"> </w:t>
      </w:r>
      <w:r w:rsidRPr="009307C4">
        <w:rPr>
          <w:sz w:val="22"/>
          <w:lang w:val="sr-Latn-ME"/>
        </w:rPr>
        <w:t xml:space="preserve">zadovoljavajuća kontrola astme (obično </w:t>
      </w:r>
      <w:r w:rsidR="009F494E" w:rsidRPr="009307C4">
        <w:rPr>
          <w:sz w:val="22"/>
          <w:lang w:val="sr-Latn-ME"/>
        </w:rPr>
        <w:t xml:space="preserve">tokom </w:t>
      </w:r>
      <w:r w:rsidRPr="009307C4">
        <w:rPr>
          <w:sz w:val="22"/>
          <w:lang w:val="sr-Latn-ME"/>
        </w:rPr>
        <w:t>mjesec</w:t>
      </w:r>
      <w:r w:rsidR="006C50B6" w:rsidRPr="009307C4">
        <w:rPr>
          <w:sz w:val="22"/>
          <w:lang w:val="sr-Latn-ME"/>
        </w:rPr>
        <w:t xml:space="preserve"> dana</w:t>
      </w:r>
      <w:r w:rsidRPr="009307C4">
        <w:rPr>
          <w:sz w:val="22"/>
          <w:lang w:val="sr-Latn-ME"/>
        </w:rPr>
        <w:t>), razmotr</w:t>
      </w:r>
      <w:r w:rsidR="009F494E" w:rsidRPr="009307C4">
        <w:rPr>
          <w:sz w:val="22"/>
          <w:lang w:val="sr-Latn-ME"/>
        </w:rPr>
        <w:t xml:space="preserve">a se </w:t>
      </w:r>
      <w:r w:rsidRPr="009307C4">
        <w:rPr>
          <w:sz w:val="22"/>
          <w:lang w:val="sr-Latn-ME"/>
        </w:rPr>
        <w:t xml:space="preserve">mogućnost dodatne ili druge antiinflamatorne terapije zasnovane na </w:t>
      </w:r>
      <w:r w:rsidR="009F494E" w:rsidRPr="009307C4">
        <w:rPr>
          <w:sz w:val="22"/>
          <w:lang w:val="sr-Latn-ME"/>
        </w:rPr>
        <w:t>stepenastom pristupu liječenja astme</w:t>
      </w:r>
      <w:r w:rsidRPr="009307C4">
        <w:rPr>
          <w:sz w:val="22"/>
          <w:lang w:val="sr-Latn-ME"/>
        </w:rPr>
        <w:t xml:space="preserve">. </w:t>
      </w:r>
      <w:r w:rsidR="009F494E" w:rsidRPr="009307C4">
        <w:rPr>
          <w:sz w:val="22"/>
          <w:lang w:val="sr-Latn-ME"/>
        </w:rPr>
        <w:t>Potrebna je p</w:t>
      </w:r>
      <w:r w:rsidR="00993131" w:rsidRPr="009307C4">
        <w:rPr>
          <w:sz w:val="22"/>
          <w:lang w:val="sr-Latn-ME"/>
        </w:rPr>
        <w:t>eriodičn</w:t>
      </w:r>
      <w:r w:rsidR="009F494E" w:rsidRPr="009307C4">
        <w:rPr>
          <w:sz w:val="22"/>
          <w:lang w:val="sr-Latn-ME"/>
        </w:rPr>
        <w:t>a evaluacija</w:t>
      </w:r>
      <w:r w:rsidR="00993131" w:rsidRPr="009307C4">
        <w:rPr>
          <w:sz w:val="22"/>
          <w:lang w:val="sr-Latn-ME"/>
        </w:rPr>
        <w:t xml:space="preserve"> </w:t>
      </w:r>
      <w:r w:rsidRPr="009307C4">
        <w:rPr>
          <w:sz w:val="22"/>
          <w:lang w:val="sr-Latn-ME"/>
        </w:rPr>
        <w:t>kontrol</w:t>
      </w:r>
      <w:r w:rsidR="009F494E" w:rsidRPr="009307C4">
        <w:rPr>
          <w:sz w:val="22"/>
          <w:lang w:val="sr-Latn-ME"/>
        </w:rPr>
        <w:t>e</w:t>
      </w:r>
      <w:r w:rsidRPr="009307C4">
        <w:rPr>
          <w:sz w:val="22"/>
          <w:lang w:val="sr-Latn-ME"/>
        </w:rPr>
        <w:t xml:space="preserve"> astme.</w:t>
      </w:r>
    </w:p>
    <w:p w14:paraId="2864EEDE" w14:textId="77777777" w:rsidR="008808CA" w:rsidRPr="009307C4" w:rsidRDefault="008808CA" w:rsidP="00C4333D">
      <w:pPr>
        <w:autoSpaceDE w:val="0"/>
        <w:autoSpaceDN w:val="0"/>
        <w:adjustRightInd w:val="0"/>
        <w:jc w:val="both"/>
        <w:rPr>
          <w:i/>
          <w:iCs/>
          <w:sz w:val="22"/>
          <w:szCs w:val="22"/>
          <w:lang w:val="sr-Latn-ME" w:eastAsia="sr-Latn-CS"/>
        </w:rPr>
      </w:pPr>
    </w:p>
    <w:p w14:paraId="432C862D" w14:textId="61422B54" w:rsidR="008808CA" w:rsidRPr="009307C4" w:rsidRDefault="00116519" w:rsidP="00C4333D">
      <w:pPr>
        <w:jc w:val="both"/>
        <w:rPr>
          <w:sz w:val="22"/>
          <w:szCs w:val="22"/>
          <w:u w:val="single"/>
          <w:lang w:val="sr-Latn-ME"/>
        </w:rPr>
      </w:pPr>
      <w:r w:rsidRPr="009307C4">
        <w:rPr>
          <w:sz w:val="22"/>
          <w:szCs w:val="22"/>
          <w:u w:val="single"/>
          <w:lang w:val="sr-Latn-ME"/>
        </w:rPr>
        <w:t xml:space="preserve">Lijek </w:t>
      </w:r>
      <w:r w:rsidR="008808CA" w:rsidRPr="009307C4">
        <w:rPr>
          <w:sz w:val="22"/>
          <w:szCs w:val="22"/>
          <w:u w:val="single"/>
          <w:lang w:val="sr-Latn-ME"/>
        </w:rPr>
        <w:t>Singulair</w:t>
      </w:r>
      <w:r w:rsidR="009F494E" w:rsidRPr="009307C4">
        <w:rPr>
          <w:sz w:val="22"/>
          <w:szCs w:val="22"/>
          <w:u w:val="single"/>
          <w:lang w:val="sr-Latn-ME"/>
        </w:rPr>
        <w:t>, granule,</w:t>
      </w:r>
      <w:r w:rsidR="008808CA" w:rsidRPr="009307C4">
        <w:rPr>
          <w:sz w:val="22"/>
          <w:szCs w:val="22"/>
          <w:u w:val="single"/>
          <w:lang w:val="sr-Latn-ME"/>
        </w:rPr>
        <w:t xml:space="preserve"> u profilaksi astme, kod djece od 2 do 5  godina starosti</w:t>
      </w:r>
      <w:r w:rsidR="00993131" w:rsidRPr="009307C4">
        <w:rPr>
          <w:sz w:val="22"/>
          <w:szCs w:val="22"/>
          <w:u w:val="single"/>
          <w:lang w:val="sr-Latn-ME"/>
        </w:rPr>
        <w:t xml:space="preserve"> (sve do punih 6 godina)</w:t>
      </w:r>
      <w:r w:rsidR="008808CA" w:rsidRPr="009307C4">
        <w:rPr>
          <w:sz w:val="22"/>
          <w:szCs w:val="22"/>
          <w:u w:val="single"/>
          <w:lang w:val="sr-Latn-ME"/>
        </w:rPr>
        <w:t>, kod koje je predominantna komponenta bronhokonstrikcija izazvana fizičkim naporom (vježbanjem):</w:t>
      </w:r>
    </w:p>
    <w:p w14:paraId="1E2449C9" w14:textId="1FC492F9" w:rsidR="008808CA" w:rsidRPr="009307C4" w:rsidRDefault="008808CA" w:rsidP="00C4333D">
      <w:pPr>
        <w:autoSpaceDE w:val="0"/>
        <w:autoSpaceDN w:val="0"/>
        <w:adjustRightInd w:val="0"/>
        <w:jc w:val="both"/>
        <w:rPr>
          <w:i/>
          <w:iCs/>
          <w:sz w:val="22"/>
          <w:szCs w:val="22"/>
          <w:lang w:val="sr-Latn-ME" w:eastAsia="sr-Latn-CS"/>
        </w:rPr>
      </w:pPr>
      <w:r w:rsidRPr="009307C4">
        <w:rPr>
          <w:sz w:val="22"/>
          <w:szCs w:val="22"/>
          <w:lang w:val="sr-Latn-ME"/>
        </w:rPr>
        <w:t xml:space="preserve">Kod pacijenata uzrasta od 2 do 5 godina (sve do punih 6 godina) bronhokonstrikcija izazvana naporom (vježbanjem) može biti predominantna manifestacija perzistentne astme koja zahtijeva liječenje inhalacionim kortikosteroidima. </w:t>
      </w:r>
      <w:r w:rsidR="00993131" w:rsidRPr="009307C4">
        <w:rPr>
          <w:sz w:val="22"/>
          <w:szCs w:val="22"/>
          <w:lang w:val="sr-Latn-ME"/>
        </w:rPr>
        <w:t>Odgovor p</w:t>
      </w:r>
      <w:r w:rsidRPr="009307C4">
        <w:rPr>
          <w:sz w:val="22"/>
          <w:szCs w:val="22"/>
          <w:lang w:val="sr-Latn-ME"/>
        </w:rPr>
        <w:t>acijent</w:t>
      </w:r>
      <w:r w:rsidR="00993131" w:rsidRPr="009307C4">
        <w:rPr>
          <w:sz w:val="22"/>
          <w:szCs w:val="22"/>
          <w:lang w:val="sr-Latn-ME"/>
        </w:rPr>
        <w:t>a na terapiju montelukastom</w:t>
      </w:r>
      <w:r w:rsidRPr="009307C4">
        <w:rPr>
          <w:sz w:val="22"/>
          <w:szCs w:val="22"/>
          <w:lang w:val="sr-Latn-ME"/>
        </w:rPr>
        <w:t xml:space="preserve"> treba procijeniti poslije 2 do 4 nedjelje terapije. </w:t>
      </w:r>
      <w:r w:rsidR="00993131" w:rsidRPr="009307C4">
        <w:rPr>
          <w:sz w:val="22"/>
          <w:szCs w:val="22"/>
          <w:lang w:val="sr-Latn-ME"/>
        </w:rPr>
        <w:t xml:space="preserve">Ukoliko se ne postigne </w:t>
      </w:r>
      <w:r w:rsidR="009F494E" w:rsidRPr="009307C4">
        <w:rPr>
          <w:sz w:val="22"/>
          <w:szCs w:val="22"/>
          <w:lang w:val="sr-Latn-ME"/>
        </w:rPr>
        <w:t xml:space="preserve">zadovoljavajući </w:t>
      </w:r>
      <w:r w:rsidRPr="009307C4">
        <w:rPr>
          <w:sz w:val="22"/>
          <w:szCs w:val="22"/>
          <w:lang w:val="sr-Latn-ME"/>
        </w:rPr>
        <w:t>odgovor, razm</w:t>
      </w:r>
      <w:r w:rsidR="009F494E" w:rsidRPr="009307C4">
        <w:rPr>
          <w:sz w:val="22"/>
          <w:szCs w:val="22"/>
          <w:lang w:val="sr-Latn-ME"/>
        </w:rPr>
        <w:t>a</w:t>
      </w:r>
      <w:r w:rsidRPr="009307C4">
        <w:rPr>
          <w:sz w:val="22"/>
          <w:szCs w:val="22"/>
          <w:lang w:val="sr-Latn-ME"/>
        </w:rPr>
        <w:t>tr</w:t>
      </w:r>
      <w:r w:rsidR="009F494E" w:rsidRPr="009307C4">
        <w:rPr>
          <w:sz w:val="22"/>
          <w:szCs w:val="22"/>
          <w:lang w:val="sr-Latn-ME"/>
        </w:rPr>
        <w:t>a se</w:t>
      </w:r>
      <w:r w:rsidR="00993131" w:rsidRPr="009307C4">
        <w:rPr>
          <w:sz w:val="22"/>
          <w:szCs w:val="22"/>
          <w:lang w:val="sr-Latn-ME"/>
        </w:rPr>
        <w:t xml:space="preserve"> </w:t>
      </w:r>
      <w:r w:rsidRPr="009307C4">
        <w:rPr>
          <w:sz w:val="22"/>
          <w:szCs w:val="22"/>
          <w:lang w:val="sr-Latn-ME"/>
        </w:rPr>
        <w:t>dodatn</w:t>
      </w:r>
      <w:r w:rsidR="009F494E" w:rsidRPr="009307C4">
        <w:rPr>
          <w:sz w:val="22"/>
          <w:szCs w:val="22"/>
          <w:lang w:val="sr-Latn-ME"/>
        </w:rPr>
        <w:t>a</w:t>
      </w:r>
      <w:r w:rsidRPr="009307C4">
        <w:rPr>
          <w:sz w:val="22"/>
          <w:szCs w:val="22"/>
          <w:lang w:val="sr-Latn-ME"/>
        </w:rPr>
        <w:t xml:space="preserve"> ili drug</w:t>
      </w:r>
      <w:r w:rsidR="009F494E" w:rsidRPr="009307C4">
        <w:rPr>
          <w:sz w:val="22"/>
          <w:szCs w:val="22"/>
          <w:lang w:val="sr-Latn-ME"/>
        </w:rPr>
        <w:t>a</w:t>
      </w:r>
      <w:r w:rsidRPr="009307C4">
        <w:rPr>
          <w:sz w:val="22"/>
          <w:szCs w:val="22"/>
          <w:lang w:val="sr-Latn-ME"/>
        </w:rPr>
        <w:t xml:space="preserve"> terapij</w:t>
      </w:r>
      <w:r w:rsidR="009F494E" w:rsidRPr="009307C4">
        <w:rPr>
          <w:sz w:val="22"/>
          <w:szCs w:val="22"/>
          <w:lang w:val="sr-Latn-ME"/>
        </w:rPr>
        <w:t>a</w:t>
      </w:r>
      <w:r w:rsidRPr="009307C4">
        <w:rPr>
          <w:sz w:val="22"/>
          <w:szCs w:val="22"/>
          <w:lang w:val="sr-Latn-ME"/>
        </w:rPr>
        <w:t>.</w:t>
      </w:r>
    </w:p>
    <w:p w14:paraId="712F6AE6" w14:textId="77777777" w:rsidR="008808CA" w:rsidRPr="009307C4" w:rsidRDefault="008808CA" w:rsidP="00C4333D">
      <w:pPr>
        <w:autoSpaceDE w:val="0"/>
        <w:autoSpaceDN w:val="0"/>
        <w:adjustRightInd w:val="0"/>
        <w:jc w:val="both"/>
        <w:rPr>
          <w:i/>
          <w:iCs/>
          <w:sz w:val="22"/>
          <w:szCs w:val="22"/>
          <w:u w:val="single"/>
          <w:lang w:val="sr-Latn-ME" w:eastAsia="sr-Latn-CS"/>
        </w:rPr>
      </w:pPr>
    </w:p>
    <w:p w14:paraId="4324F350" w14:textId="689DB39B" w:rsidR="008808CA" w:rsidRPr="009307C4" w:rsidRDefault="00116519" w:rsidP="00C4333D">
      <w:pPr>
        <w:autoSpaceDE w:val="0"/>
        <w:autoSpaceDN w:val="0"/>
        <w:adjustRightInd w:val="0"/>
        <w:jc w:val="both"/>
        <w:rPr>
          <w:iCs/>
          <w:sz w:val="22"/>
          <w:szCs w:val="22"/>
          <w:u w:val="single"/>
          <w:lang w:val="sr-Latn-ME" w:eastAsia="sr-Latn-CS"/>
        </w:rPr>
      </w:pPr>
      <w:r w:rsidRPr="009307C4">
        <w:rPr>
          <w:iCs/>
          <w:sz w:val="22"/>
          <w:szCs w:val="22"/>
          <w:u w:val="single"/>
          <w:lang w:val="sr-Latn-ME" w:eastAsia="sr-Latn-CS"/>
        </w:rPr>
        <w:t>Terapija</w:t>
      </w:r>
      <w:r w:rsidR="008808CA" w:rsidRPr="009307C4">
        <w:rPr>
          <w:iCs/>
          <w:sz w:val="22"/>
          <w:szCs w:val="22"/>
          <w:u w:val="single"/>
          <w:lang w:val="sr-Latn-ME" w:eastAsia="sr-Latn-CS"/>
        </w:rPr>
        <w:t xml:space="preserve"> lijekom </w:t>
      </w:r>
      <w:r w:rsidR="008808CA" w:rsidRPr="009307C4">
        <w:rPr>
          <w:bCs/>
          <w:sz w:val="22"/>
          <w:u w:val="single"/>
          <w:lang w:val="sr-Latn-ME"/>
        </w:rPr>
        <w:t>Singulair</w:t>
      </w:r>
      <w:r w:rsidR="009F494E" w:rsidRPr="009307C4">
        <w:rPr>
          <w:bCs/>
          <w:sz w:val="22"/>
          <w:u w:val="single"/>
          <w:lang w:val="sr-Latn-ME"/>
        </w:rPr>
        <w:t>, granule,</w:t>
      </w:r>
      <w:r w:rsidR="008808CA" w:rsidRPr="009307C4">
        <w:rPr>
          <w:b/>
          <w:bCs/>
          <w:sz w:val="22"/>
          <w:u w:val="single"/>
          <w:lang w:val="sr-Latn-ME"/>
        </w:rPr>
        <w:t xml:space="preserve"> </w:t>
      </w:r>
      <w:r w:rsidR="008808CA" w:rsidRPr="009307C4">
        <w:rPr>
          <w:iCs/>
          <w:sz w:val="22"/>
          <w:szCs w:val="22"/>
          <w:u w:val="single"/>
          <w:lang w:val="sr-Latn-ME" w:eastAsia="sr-Latn-CS"/>
        </w:rPr>
        <w:t>u odnosu na druge ljekove</w:t>
      </w:r>
      <w:r w:rsidR="00993131" w:rsidRPr="009307C4">
        <w:rPr>
          <w:iCs/>
          <w:sz w:val="22"/>
          <w:szCs w:val="22"/>
          <w:u w:val="single"/>
          <w:lang w:val="sr-Latn-ME" w:eastAsia="sr-Latn-CS"/>
        </w:rPr>
        <w:t xml:space="preserve"> koji se koriste</w:t>
      </w:r>
      <w:r w:rsidR="008808CA" w:rsidRPr="009307C4">
        <w:rPr>
          <w:iCs/>
          <w:sz w:val="22"/>
          <w:szCs w:val="22"/>
          <w:u w:val="single"/>
          <w:lang w:val="sr-Latn-ME" w:eastAsia="sr-Latn-CS"/>
        </w:rPr>
        <w:t xml:space="preserve"> </w:t>
      </w:r>
      <w:r w:rsidR="00993131" w:rsidRPr="009307C4">
        <w:rPr>
          <w:iCs/>
          <w:sz w:val="22"/>
          <w:szCs w:val="22"/>
          <w:u w:val="single"/>
          <w:lang w:val="sr-Latn-ME" w:eastAsia="sr-Latn-CS"/>
        </w:rPr>
        <w:t xml:space="preserve">u liječenju </w:t>
      </w:r>
      <w:r w:rsidR="008808CA" w:rsidRPr="009307C4">
        <w:rPr>
          <w:iCs/>
          <w:sz w:val="22"/>
          <w:szCs w:val="22"/>
          <w:u w:val="single"/>
          <w:lang w:val="sr-Latn-ME" w:eastAsia="sr-Latn-CS"/>
        </w:rPr>
        <w:t>astme:</w:t>
      </w:r>
    </w:p>
    <w:p w14:paraId="7B972458" w14:textId="45A0348D" w:rsidR="008808CA" w:rsidRPr="009307C4" w:rsidRDefault="008808CA" w:rsidP="00C4333D">
      <w:pPr>
        <w:autoSpaceDE w:val="0"/>
        <w:autoSpaceDN w:val="0"/>
        <w:adjustRightInd w:val="0"/>
        <w:jc w:val="both"/>
        <w:rPr>
          <w:iCs/>
          <w:sz w:val="22"/>
          <w:szCs w:val="22"/>
          <w:lang w:val="sr-Latn-ME" w:eastAsia="sr-Latn-CS"/>
        </w:rPr>
      </w:pPr>
      <w:r w:rsidRPr="009307C4">
        <w:rPr>
          <w:iCs/>
          <w:sz w:val="22"/>
          <w:szCs w:val="22"/>
          <w:lang w:val="sr-Latn-ME" w:eastAsia="sr-Latn-CS"/>
        </w:rPr>
        <w:t>Kad se</w:t>
      </w:r>
      <w:r w:rsidR="00993131" w:rsidRPr="009307C4">
        <w:rPr>
          <w:iCs/>
          <w:sz w:val="22"/>
          <w:szCs w:val="22"/>
          <w:lang w:val="sr-Latn-ME" w:eastAsia="sr-Latn-CS"/>
        </w:rPr>
        <w:t xml:space="preserve"> liječenje</w:t>
      </w:r>
      <w:r w:rsidRPr="009307C4">
        <w:rPr>
          <w:iCs/>
          <w:sz w:val="22"/>
          <w:szCs w:val="22"/>
          <w:lang w:val="sr-Latn-ME" w:eastAsia="sr-Latn-CS"/>
        </w:rPr>
        <w:t xml:space="preserve"> lijek</w:t>
      </w:r>
      <w:r w:rsidR="00993131" w:rsidRPr="009307C4">
        <w:rPr>
          <w:iCs/>
          <w:sz w:val="22"/>
          <w:szCs w:val="22"/>
          <w:lang w:val="sr-Latn-ME" w:eastAsia="sr-Latn-CS"/>
        </w:rPr>
        <w:t>om</w:t>
      </w:r>
      <w:r w:rsidRPr="009307C4">
        <w:rPr>
          <w:iCs/>
          <w:sz w:val="22"/>
          <w:szCs w:val="22"/>
          <w:lang w:val="sr-Latn-ME" w:eastAsia="sr-Latn-CS"/>
        </w:rPr>
        <w:t xml:space="preserve"> </w:t>
      </w:r>
      <w:r w:rsidRPr="009307C4">
        <w:rPr>
          <w:bCs/>
          <w:sz w:val="22"/>
          <w:lang w:val="sr-Latn-ME"/>
        </w:rPr>
        <w:t>Singulair</w:t>
      </w:r>
      <w:r w:rsidR="009F494E" w:rsidRPr="009307C4">
        <w:rPr>
          <w:bCs/>
          <w:sz w:val="22"/>
          <w:lang w:val="sr-Latn-ME"/>
        </w:rPr>
        <w:t>, granule,</w:t>
      </w:r>
      <w:r w:rsidRPr="009307C4">
        <w:rPr>
          <w:b/>
          <w:bCs/>
          <w:sz w:val="22"/>
          <w:lang w:val="sr-Latn-ME"/>
        </w:rPr>
        <w:t xml:space="preserve"> </w:t>
      </w:r>
      <w:r w:rsidR="00993131" w:rsidRPr="009307C4">
        <w:rPr>
          <w:sz w:val="22"/>
          <w:lang w:val="sr-Latn-ME"/>
        </w:rPr>
        <w:t>primjenjuje</w:t>
      </w:r>
      <w:r w:rsidRPr="009307C4">
        <w:rPr>
          <w:iCs/>
          <w:sz w:val="22"/>
          <w:szCs w:val="22"/>
          <w:lang w:val="sr-Latn-ME" w:eastAsia="sr-Latn-CS"/>
        </w:rPr>
        <w:t xml:space="preserve"> kao dodatna terapija uz inhalacione kortikosteroide, inhalacioni kortikosteroidi ne smiju biti naglo zamijenjeni lijekom </w:t>
      </w:r>
      <w:r w:rsidRPr="009307C4">
        <w:rPr>
          <w:bCs/>
          <w:sz w:val="22"/>
          <w:lang w:val="sr-Latn-ME"/>
        </w:rPr>
        <w:t>Singulair</w:t>
      </w:r>
      <w:r w:rsidRPr="009307C4">
        <w:rPr>
          <w:iCs/>
          <w:sz w:val="22"/>
          <w:szCs w:val="22"/>
          <w:lang w:val="sr-Latn-ME" w:eastAsia="sr-Latn-CS"/>
        </w:rPr>
        <w:t xml:space="preserve"> (vid</w:t>
      </w:r>
      <w:r w:rsidR="00A728F0" w:rsidRPr="009307C4">
        <w:rPr>
          <w:iCs/>
          <w:sz w:val="22"/>
          <w:szCs w:val="22"/>
          <w:lang w:val="sr-Latn-ME" w:eastAsia="sr-Latn-CS"/>
        </w:rPr>
        <w:t>jeti</w:t>
      </w:r>
      <w:r w:rsidRPr="009307C4">
        <w:rPr>
          <w:iCs/>
          <w:sz w:val="22"/>
          <w:szCs w:val="22"/>
          <w:lang w:val="sr-Latn-ME" w:eastAsia="sr-Latn-CS"/>
        </w:rPr>
        <w:t xml:space="preserve"> dio 4.4). </w:t>
      </w:r>
    </w:p>
    <w:p w14:paraId="705A2D77" w14:textId="77777777" w:rsidR="008808CA" w:rsidRPr="009307C4" w:rsidRDefault="008808CA" w:rsidP="00C4333D">
      <w:pPr>
        <w:autoSpaceDE w:val="0"/>
        <w:autoSpaceDN w:val="0"/>
        <w:adjustRightInd w:val="0"/>
        <w:jc w:val="both"/>
        <w:rPr>
          <w:iCs/>
          <w:sz w:val="22"/>
          <w:szCs w:val="22"/>
          <w:lang w:val="sr-Latn-ME" w:eastAsia="sr-Latn-CS"/>
        </w:rPr>
      </w:pPr>
    </w:p>
    <w:p w14:paraId="4E8F24D7" w14:textId="65A52953" w:rsidR="008808CA" w:rsidRPr="009307C4" w:rsidRDefault="009F494E" w:rsidP="009F494E">
      <w:pPr>
        <w:autoSpaceDE w:val="0"/>
        <w:autoSpaceDN w:val="0"/>
        <w:adjustRightInd w:val="0"/>
        <w:jc w:val="both"/>
        <w:rPr>
          <w:iCs/>
          <w:sz w:val="22"/>
          <w:szCs w:val="22"/>
          <w:lang w:val="sr-Latn-ME" w:eastAsia="sr-Latn-CS"/>
        </w:rPr>
      </w:pPr>
      <w:r w:rsidRPr="009307C4">
        <w:rPr>
          <w:iCs/>
          <w:sz w:val="22"/>
          <w:szCs w:val="22"/>
          <w:lang w:val="sr-Latn-ME" w:eastAsia="sr-Latn-CS"/>
        </w:rPr>
        <w:t>Napomena: Za primjenu montelukasta kod odraslih i adolescenata od 15 i više godina predviđene su film tablete jačine 10 mg.</w:t>
      </w:r>
    </w:p>
    <w:p w14:paraId="64853A9F" w14:textId="77777777" w:rsidR="008808CA" w:rsidRPr="009307C4" w:rsidRDefault="008808CA" w:rsidP="00C4333D">
      <w:pPr>
        <w:autoSpaceDE w:val="0"/>
        <w:autoSpaceDN w:val="0"/>
        <w:adjustRightInd w:val="0"/>
        <w:jc w:val="both"/>
        <w:rPr>
          <w:iCs/>
          <w:sz w:val="22"/>
          <w:szCs w:val="22"/>
          <w:lang w:val="sr-Latn-ME" w:eastAsia="sr-Latn-CS"/>
        </w:rPr>
      </w:pPr>
    </w:p>
    <w:p w14:paraId="0B59DEA9" w14:textId="5909FA3C" w:rsidR="00672226" w:rsidRPr="009307C4" w:rsidRDefault="00672226" w:rsidP="00C4333D">
      <w:pPr>
        <w:autoSpaceDE w:val="0"/>
        <w:autoSpaceDN w:val="0"/>
        <w:adjustRightInd w:val="0"/>
        <w:jc w:val="both"/>
        <w:rPr>
          <w:iCs/>
          <w:sz w:val="22"/>
          <w:szCs w:val="22"/>
          <w:u w:val="single"/>
          <w:lang w:val="sr-Latn-ME" w:eastAsia="sr-Latn-CS"/>
        </w:rPr>
      </w:pPr>
      <w:r w:rsidRPr="009307C4">
        <w:rPr>
          <w:iCs/>
          <w:sz w:val="22"/>
          <w:szCs w:val="22"/>
          <w:u w:val="single"/>
          <w:lang w:val="sr-Latn-ME" w:eastAsia="sr-Latn-CS"/>
        </w:rPr>
        <w:t>Posebne populacije pacijenata</w:t>
      </w:r>
    </w:p>
    <w:p w14:paraId="700C9CBB" w14:textId="77777777" w:rsidR="008268F5" w:rsidRPr="009307C4" w:rsidRDefault="008268F5" w:rsidP="00C4333D">
      <w:pPr>
        <w:autoSpaceDE w:val="0"/>
        <w:autoSpaceDN w:val="0"/>
        <w:adjustRightInd w:val="0"/>
        <w:jc w:val="both"/>
        <w:rPr>
          <w:iCs/>
          <w:sz w:val="22"/>
          <w:szCs w:val="22"/>
          <w:u w:val="single"/>
          <w:lang w:val="sr-Latn-ME" w:eastAsia="sr-Latn-CS"/>
        </w:rPr>
      </w:pPr>
    </w:p>
    <w:p w14:paraId="2EFC3A8D" w14:textId="7753AAAD" w:rsidR="00672226" w:rsidRPr="009307C4" w:rsidRDefault="00672226" w:rsidP="00C4333D">
      <w:pPr>
        <w:autoSpaceDE w:val="0"/>
        <w:autoSpaceDN w:val="0"/>
        <w:adjustRightInd w:val="0"/>
        <w:jc w:val="both"/>
        <w:rPr>
          <w:i/>
          <w:sz w:val="22"/>
          <w:szCs w:val="22"/>
          <w:lang w:val="sr-Latn-ME" w:eastAsia="sr-Latn-CS"/>
        </w:rPr>
      </w:pPr>
      <w:r w:rsidRPr="009307C4">
        <w:rPr>
          <w:i/>
          <w:sz w:val="22"/>
          <w:szCs w:val="22"/>
          <w:lang w:val="sr-Latn-ME" w:eastAsia="sr-Latn-CS"/>
        </w:rPr>
        <w:t>Oštećenje funkcije bubrega ili jetre</w:t>
      </w:r>
    </w:p>
    <w:p w14:paraId="5799435B" w14:textId="0DA59DB0" w:rsidR="008268F5" w:rsidRPr="009307C4" w:rsidRDefault="00672226" w:rsidP="00672226">
      <w:pPr>
        <w:pStyle w:val="Header"/>
        <w:tabs>
          <w:tab w:val="left" w:pos="284"/>
        </w:tabs>
        <w:jc w:val="both"/>
        <w:rPr>
          <w:sz w:val="22"/>
          <w:lang w:val="sr-Latn-ME"/>
        </w:rPr>
      </w:pPr>
      <w:r w:rsidRPr="009307C4">
        <w:rPr>
          <w:sz w:val="22"/>
          <w:lang w:val="sr-Latn-ME"/>
        </w:rPr>
        <w:t xml:space="preserve">Nije </w:t>
      </w:r>
      <w:r w:rsidR="008268F5" w:rsidRPr="009307C4">
        <w:rPr>
          <w:sz w:val="22"/>
          <w:lang w:val="sr-Latn-ME"/>
        </w:rPr>
        <w:t>neophodno</w:t>
      </w:r>
      <w:r w:rsidRPr="009307C4">
        <w:rPr>
          <w:sz w:val="22"/>
          <w:lang w:val="sr-Latn-ME"/>
        </w:rPr>
        <w:t xml:space="preserve"> </w:t>
      </w:r>
      <w:r w:rsidR="008268F5" w:rsidRPr="009307C4">
        <w:rPr>
          <w:sz w:val="22"/>
          <w:lang w:val="sr-Latn-ME"/>
        </w:rPr>
        <w:t>prilgođavanje</w:t>
      </w:r>
      <w:r w:rsidRPr="009307C4">
        <w:rPr>
          <w:sz w:val="22"/>
          <w:lang w:val="sr-Latn-ME"/>
        </w:rPr>
        <w:t xml:space="preserve"> doz</w:t>
      </w:r>
      <w:r w:rsidR="008268F5" w:rsidRPr="009307C4">
        <w:rPr>
          <w:sz w:val="22"/>
          <w:lang w:val="sr-Latn-ME"/>
        </w:rPr>
        <w:t>iranja</w:t>
      </w:r>
      <w:r w:rsidRPr="009307C4">
        <w:rPr>
          <w:sz w:val="22"/>
          <w:lang w:val="sr-Latn-ME"/>
        </w:rPr>
        <w:t xml:space="preserve"> kod pacijenata sa oštećen</w:t>
      </w:r>
      <w:r w:rsidR="008268F5" w:rsidRPr="009307C4">
        <w:rPr>
          <w:sz w:val="22"/>
          <w:lang w:val="sr-Latn-ME"/>
        </w:rPr>
        <w:t>jem</w:t>
      </w:r>
      <w:r w:rsidRPr="009307C4">
        <w:rPr>
          <w:sz w:val="22"/>
          <w:lang w:val="sr-Latn-ME"/>
        </w:rPr>
        <w:t xml:space="preserve"> funkcij</w:t>
      </w:r>
      <w:r w:rsidR="008268F5" w:rsidRPr="009307C4">
        <w:rPr>
          <w:sz w:val="22"/>
          <w:lang w:val="sr-Latn-ME"/>
        </w:rPr>
        <w:t>e</w:t>
      </w:r>
      <w:r w:rsidRPr="009307C4">
        <w:rPr>
          <w:sz w:val="22"/>
          <w:lang w:val="sr-Latn-ME"/>
        </w:rPr>
        <w:t xml:space="preserve"> bubrega ili blagim do umjerenim oštećenjem funkcije jetre. Nema podataka koji se odnose na </w:t>
      </w:r>
      <w:r w:rsidR="008268F5" w:rsidRPr="009307C4">
        <w:rPr>
          <w:sz w:val="22"/>
          <w:lang w:val="sr-Latn-ME"/>
        </w:rPr>
        <w:t xml:space="preserve">primjenu lijeka kod </w:t>
      </w:r>
      <w:r w:rsidRPr="009307C4">
        <w:rPr>
          <w:sz w:val="22"/>
          <w:lang w:val="sr-Latn-ME"/>
        </w:rPr>
        <w:t>pacijen</w:t>
      </w:r>
      <w:r w:rsidR="008268F5" w:rsidRPr="009307C4">
        <w:rPr>
          <w:sz w:val="22"/>
          <w:lang w:val="sr-Latn-ME"/>
        </w:rPr>
        <w:t>ata</w:t>
      </w:r>
      <w:r w:rsidRPr="009307C4">
        <w:rPr>
          <w:sz w:val="22"/>
          <w:lang w:val="sr-Latn-ME"/>
        </w:rPr>
        <w:t xml:space="preserve"> sa teškim oštećenjem funkcije jetre</w:t>
      </w:r>
      <w:r w:rsidR="00103F16" w:rsidRPr="009307C4">
        <w:rPr>
          <w:sz w:val="22"/>
          <w:lang w:val="sr-Latn-ME"/>
        </w:rPr>
        <w:t xml:space="preserve"> (vidjeti dio 5.2)</w:t>
      </w:r>
      <w:r w:rsidRPr="009307C4">
        <w:rPr>
          <w:sz w:val="22"/>
          <w:lang w:val="sr-Latn-ME"/>
        </w:rPr>
        <w:t xml:space="preserve">. </w:t>
      </w:r>
    </w:p>
    <w:p w14:paraId="2650AE4E" w14:textId="77777777" w:rsidR="008268F5" w:rsidRPr="009307C4" w:rsidRDefault="008268F5" w:rsidP="00672226">
      <w:pPr>
        <w:pStyle w:val="Header"/>
        <w:tabs>
          <w:tab w:val="left" w:pos="284"/>
        </w:tabs>
        <w:jc w:val="both"/>
        <w:rPr>
          <w:sz w:val="22"/>
          <w:lang w:val="sr-Latn-ME"/>
        </w:rPr>
      </w:pPr>
    </w:p>
    <w:p w14:paraId="72123C41" w14:textId="7A0B35E2" w:rsidR="008268F5" w:rsidRPr="009307C4" w:rsidRDefault="008268F5" w:rsidP="00672226">
      <w:pPr>
        <w:pStyle w:val="Header"/>
        <w:tabs>
          <w:tab w:val="left" w:pos="284"/>
        </w:tabs>
        <w:jc w:val="both"/>
        <w:rPr>
          <w:i/>
          <w:iCs/>
          <w:sz w:val="22"/>
          <w:lang w:val="sr-Latn-ME"/>
        </w:rPr>
      </w:pPr>
      <w:r w:rsidRPr="009307C4">
        <w:rPr>
          <w:i/>
          <w:iCs/>
          <w:sz w:val="22"/>
          <w:lang w:val="sr-Latn-ME"/>
        </w:rPr>
        <w:t>Pol</w:t>
      </w:r>
    </w:p>
    <w:p w14:paraId="4F9383C9" w14:textId="0EC07018" w:rsidR="00672226" w:rsidRPr="009307C4" w:rsidRDefault="00672226" w:rsidP="00672226">
      <w:pPr>
        <w:pStyle w:val="Header"/>
        <w:tabs>
          <w:tab w:val="left" w:pos="284"/>
        </w:tabs>
        <w:jc w:val="both"/>
        <w:rPr>
          <w:sz w:val="22"/>
          <w:lang w:val="sr-Latn-ME"/>
        </w:rPr>
      </w:pPr>
      <w:r w:rsidRPr="009307C4">
        <w:rPr>
          <w:sz w:val="22"/>
          <w:lang w:val="sr-Latn-ME"/>
        </w:rPr>
        <w:t>Ist</w:t>
      </w:r>
      <w:r w:rsidR="008268F5" w:rsidRPr="009307C4">
        <w:rPr>
          <w:sz w:val="22"/>
          <w:lang w:val="sr-Latn-ME"/>
        </w:rPr>
        <w:t>o</w:t>
      </w:r>
      <w:r w:rsidRPr="009307C4">
        <w:rPr>
          <w:sz w:val="22"/>
          <w:lang w:val="sr-Latn-ME"/>
        </w:rPr>
        <w:t xml:space="preserve"> doz</w:t>
      </w:r>
      <w:r w:rsidR="008268F5" w:rsidRPr="009307C4">
        <w:rPr>
          <w:sz w:val="22"/>
          <w:lang w:val="sr-Latn-ME"/>
        </w:rPr>
        <w:t>iranje</w:t>
      </w:r>
      <w:r w:rsidRPr="009307C4">
        <w:rPr>
          <w:sz w:val="22"/>
          <w:lang w:val="sr-Latn-ME"/>
        </w:rPr>
        <w:t xml:space="preserve"> lijeka se primjenjuje kod pacijenata muškog i ženskog pola.</w:t>
      </w:r>
    </w:p>
    <w:p w14:paraId="42A8F13B" w14:textId="77777777" w:rsidR="00672226" w:rsidRPr="009307C4" w:rsidRDefault="00672226" w:rsidP="00C4333D">
      <w:pPr>
        <w:autoSpaceDE w:val="0"/>
        <w:autoSpaceDN w:val="0"/>
        <w:adjustRightInd w:val="0"/>
        <w:jc w:val="both"/>
        <w:rPr>
          <w:iCs/>
          <w:sz w:val="22"/>
          <w:szCs w:val="22"/>
          <w:lang w:val="sr-Latn-ME" w:eastAsia="sr-Latn-CS"/>
        </w:rPr>
      </w:pPr>
    </w:p>
    <w:p w14:paraId="6626E2E4" w14:textId="77777777" w:rsidR="008808CA" w:rsidRPr="009307C4" w:rsidRDefault="008808CA" w:rsidP="00C4333D">
      <w:pPr>
        <w:jc w:val="both"/>
        <w:rPr>
          <w:i/>
          <w:sz w:val="22"/>
          <w:szCs w:val="22"/>
          <w:lang w:val="sr-Latn-ME"/>
        </w:rPr>
      </w:pPr>
      <w:r w:rsidRPr="009307C4">
        <w:rPr>
          <w:i/>
          <w:sz w:val="22"/>
          <w:szCs w:val="22"/>
          <w:lang w:val="sr-Latn-ME"/>
        </w:rPr>
        <w:t>Pedijatrijska populacija</w:t>
      </w:r>
    </w:p>
    <w:p w14:paraId="7CDB2BB4" w14:textId="5A41E944" w:rsidR="008808CA" w:rsidRPr="009307C4" w:rsidRDefault="008808CA" w:rsidP="00C4333D">
      <w:pPr>
        <w:jc w:val="both"/>
        <w:rPr>
          <w:sz w:val="22"/>
          <w:szCs w:val="22"/>
          <w:lang w:val="sr-Latn-ME"/>
        </w:rPr>
      </w:pPr>
      <w:r w:rsidRPr="009307C4">
        <w:rPr>
          <w:sz w:val="22"/>
          <w:szCs w:val="22"/>
          <w:lang w:val="sr-Latn-ME"/>
        </w:rPr>
        <w:t xml:space="preserve">Nemojte davati </w:t>
      </w:r>
      <w:r w:rsidR="00993131" w:rsidRPr="009307C4">
        <w:rPr>
          <w:sz w:val="22"/>
          <w:szCs w:val="22"/>
          <w:lang w:val="sr-Latn-ME"/>
        </w:rPr>
        <w:t xml:space="preserve">lijek Singulair, 4 mg, granule </w:t>
      </w:r>
      <w:r w:rsidRPr="009307C4">
        <w:rPr>
          <w:sz w:val="22"/>
          <w:szCs w:val="22"/>
          <w:lang w:val="sr-Latn-ME"/>
        </w:rPr>
        <w:t>djeci mlađoj od 6 mjeseci starosti</w:t>
      </w:r>
      <w:r w:rsidR="00993131" w:rsidRPr="009307C4">
        <w:rPr>
          <w:sz w:val="22"/>
          <w:szCs w:val="22"/>
          <w:lang w:val="sr-Latn-ME"/>
        </w:rPr>
        <w:t>.</w:t>
      </w:r>
      <w:r w:rsidRPr="009307C4">
        <w:rPr>
          <w:sz w:val="22"/>
          <w:szCs w:val="22"/>
          <w:lang w:val="sr-Latn-ME"/>
        </w:rPr>
        <w:t xml:space="preserve"> </w:t>
      </w:r>
      <w:r w:rsidR="00993131" w:rsidRPr="009307C4">
        <w:rPr>
          <w:sz w:val="22"/>
          <w:szCs w:val="22"/>
          <w:lang w:val="sr-Latn-ME"/>
        </w:rPr>
        <w:t>B</w:t>
      </w:r>
      <w:r w:rsidRPr="009307C4">
        <w:rPr>
          <w:sz w:val="22"/>
          <w:szCs w:val="22"/>
          <w:lang w:val="sr-Latn-ME"/>
        </w:rPr>
        <w:t>ezbjednost i efikasnost lijeka Singulair</w:t>
      </w:r>
      <w:r w:rsidR="00993131" w:rsidRPr="009307C4">
        <w:rPr>
          <w:sz w:val="22"/>
          <w:szCs w:val="22"/>
          <w:lang w:val="sr-Latn-ME"/>
        </w:rPr>
        <w:t>, 4 mg, granule,</w:t>
      </w:r>
      <w:r w:rsidRPr="009307C4">
        <w:rPr>
          <w:sz w:val="22"/>
          <w:szCs w:val="22"/>
          <w:lang w:val="sr-Latn-ME"/>
        </w:rPr>
        <w:t xml:space="preserve"> nijesu ispitivani kod djece mlađe od 6 mjeseci.</w:t>
      </w:r>
    </w:p>
    <w:p w14:paraId="7F288149" w14:textId="77777777" w:rsidR="008808CA" w:rsidRPr="009307C4" w:rsidRDefault="008808CA" w:rsidP="00C4333D">
      <w:pPr>
        <w:autoSpaceDE w:val="0"/>
        <w:autoSpaceDN w:val="0"/>
        <w:adjustRightInd w:val="0"/>
        <w:jc w:val="both"/>
        <w:rPr>
          <w:iCs/>
          <w:sz w:val="22"/>
          <w:szCs w:val="22"/>
          <w:lang w:val="sr-Latn-ME" w:eastAsia="sr-Latn-CS"/>
        </w:rPr>
      </w:pPr>
    </w:p>
    <w:p w14:paraId="4FF4D91C" w14:textId="2D9EBF94" w:rsidR="008808CA" w:rsidRPr="009307C4" w:rsidRDefault="008808CA" w:rsidP="00C4333D">
      <w:pPr>
        <w:autoSpaceDE w:val="0"/>
        <w:autoSpaceDN w:val="0"/>
        <w:adjustRightInd w:val="0"/>
        <w:jc w:val="both"/>
        <w:rPr>
          <w:iCs/>
          <w:sz w:val="22"/>
          <w:szCs w:val="22"/>
          <w:lang w:val="sr-Latn-ME" w:eastAsia="sr-Latn-CS"/>
        </w:rPr>
      </w:pPr>
      <w:r w:rsidRPr="009307C4">
        <w:rPr>
          <w:iCs/>
          <w:sz w:val="22"/>
          <w:szCs w:val="22"/>
          <w:lang w:val="sr-Latn-ME" w:eastAsia="sr-Latn-CS"/>
        </w:rPr>
        <w:t>Tablete za žvakanje od 5 mg koriste za liječenje pedijatrijskih pacijenata od 6 do 14 godina starosti</w:t>
      </w:r>
      <w:r w:rsidR="00993131" w:rsidRPr="009307C4">
        <w:rPr>
          <w:iCs/>
          <w:sz w:val="22"/>
          <w:szCs w:val="22"/>
          <w:lang w:val="sr-Latn-ME" w:eastAsia="sr-Latn-CS"/>
        </w:rPr>
        <w:t xml:space="preserve"> </w:t>
      </w:r>
      <w:r w:rsidR="00993131" w:rsidRPr="009307C4">
        <w:rPr>
          <w:sz w:val="22"/>
          <w:szCs w:val="22"/>
          <w:lang w:val="sr-Latn-ME"/>
        </w:rPr>
        <w:t>(sve do punih 15 godina)</w:t>
      </w:r>
      <w:r w:rsidRPr="009307C4">
        <w:rPr>
          <w:iCs/>
          <w:sz w:val="22"/>
          <w:szCs w:val="22"/>
          <w:lang w:val="sr-Latn-ME" w:eastAsia="sr-Latn-CS"/>
        </w:rPr>
        <w:t>.</w:t>
      </w:r>
    </w:p>
    <w:p w14:paraId="7F39F04B" w14:textId="56FAC360" w:rsidR="008808CA" w:rsidRPr="009307C4" w:rsidRDefault="008808CA" w:rsidP="00C4333D">
      <w:pPr>
        <w:autoSpaceDE w:val="0"/>
        <w:autoSpaceDN w:val="0"/>
        <w:adjustRightInd w:val="0"/>
        <w:jc w:val="both"/>
        <w:rPr>
          <w:iCs/>
          <w:sz w:val="22"/>
          <w:szCs w:val="22"/>
          <w:lang w:val="sr-Latn-ME" w:eastAsia="sr-Latn-CS"/>
        </w:rPr>
      </w:pPr>
      <w:r w:rsidRPr="009307C4">
        <w:rPr>
          <w:iCs/>
          <w:sz w:val="22"/>
          <w:szCs w:val="22"/>
          <w:lang w:val="sr-Latn-ME" w:eastAsia="sr-Latn-CS"/>
        </w:rPr>
        <w:t>Tablete za žvakanje od 4 mg koriste se kao alternativn</w:t>
      </w:r>
      <w:r w:rsidR="008268F5" w:rsidRPr="009307C4">
        <w:rPr>
          <w:iCs/>
          <w:sz w:val="22"/>
          <w:szCs w:val="22"/>
          <w:lang w:val="sr-Latn-ME" w:eastAsia="sr-Latn-CS"/>
        </w:rPr>
        <w:t>i</w:t>
      </w:r>
      <w:r w:rsidR="00993131" w:rsidRPr="009307C4">
        <w:rPr>
          <w:iCs/>
          <w:sz w:val="22"/>
          <w:szCs w:val="22"/>
          <w:lang w:val="sr-Latn-ME" w:eastAsia="sr-Latn-CS"/>
        </w:rPr>
        <w:t xml:space="preserve"> farmaceutsk</w:t>
      </w:r>
      <w:r w:rsidR="008268F5" w:rsidRPr="009307C4">
        <w:rPr>
          <w:iCs/>
          <w:sz w:val="22"/>
          <w:szCs w:val="22"/>
          <w:lang w:val="sr-Latn-ME" w:eastAsia="sr-Latn-CS"/>
        </w:rPr>
        <w:t>i</w:t>
      </w:r>
      <w:r w:rsidRPr="009307C4">
        <w:rPr>
          <w:iCs/>
          <w:sz w:val="22"/>
          <w:szCs w:val="22"/>
          <w:lang w:val="sr-Latn-ME" w:eastAsia="sr-Latn-CS"/>
        </w:rPr>
        <w:t xml:space="preserve"> </w:t>
      </w:r>
      <w:r w:rsidR="008268F5" w:rsidRPr="009307C4">
        <w:rPr>
          <w:iCs/>
          <w:sz w:val="22"/>
          <w:szCs w:val="22"/>
          <w:lang w:val="sr-Latn-ME" w:eastAsia="sr-Latn-CS"/>
        </w:rPr>
        <w:t xml:space="preserve">oblik </w:t>
      </w:r>
      <w:r w:rsidRPr="009307C4">
        <w:rPr>
          <w:iCs/>
          <w:sz w:val="22"/>
          <w:szCs w:val="22"/>
          <w:lang w:val="sr-Latn-ME" w:eastAsia="sr-Latn-CS"/>
        </w:rPr>
        <w:t xml:space="preserve">za pedijatrijske pacijente od 2 do 5 godina </w:t>
      </w:r>
      <w:r w:rsidR="00993131" w:rsidRPr="009307C4">
        <w:rPr>
          <w:sz w:val="22"/>
          <w:szCs w:val="22"/>
          <w:lang w:val="sr-Latn-ME"/>
        </w:rPr>
        <w:t>(sve do punih 6 godina)</w:t>
      </w:r>
      <w:r w:rsidRPr="009307C4">
        <w:rPr>
          <w:iCs/>
          <w:sz w:val="22"/>
          <w:szCs w:val="22"/>
          <w:lang w:val="sr-Latn-ME" w:eastAsia="sr-Latn-CS"/>
        </w:rPr>
        <w:t>.</w:t>
      </w:r>
    </w:p>
    <w:p w14:paraId="56A0A74B" w14:textId="77777777" w:rsidR="008808CA" w:rsidRPr="009307C4" w:rsidRDefault="008808CA" w:rsidP="00C4333D">
      <w:pPr>
        <w:tabs>
          <w:tab w:val="left" w:pos="540"/>
          <w:tab w:val="left" w:pos="569"/>
        </w:tabs>
        <w:jc w:val="both"/>
        <w:rPr>
          <w:bCs/>
          <w:sz w:val="22"/>
          <w:szCs w:val="22"/>
          <w:u w:val="single"/>
          <w:lang w:val="sr-Latn-ME"/>
        </w:rPr>
      </w:pPr>
    </w:p>
    <w:p w14:paraId="21D175D2" w14:textId="77777777" w:rsidR="00452E9D" w:rsidRPr="009307C4" w:rsidRDefault="00452E9D" w:rsidP="00C4333D">
      <w:pPr>
        <w:tabs>
          <w:tab w:val="left" w:pos="540"/>
          <w:tab w:val="left" w:pos="569"/>
        </w:tabs>
        <w:jc w:val="both"/>
        <w:rPr>
          <w:bCs/>
          <w:sz w:val="22"/>
          <w:szCs w:val="22"/>
          <w:u w:val="single"/>
          <w:lang w:val="sr-Latn-ME"/>
        </w:rPr>
      </w:pPr>
      <w:r w:rsidRPr="009307C4">
        <w:rPr>
          <w:bCs/>
          <w:sz w:val="22"/>
          <w:szCs w:val="22"/>
          <w:u w:val="single"/>
          <w:lang w:val="sr-Latn-ME"/>
        </w:rPr>
        <w:t>Način primjene</w:t>
      </w:r>
    </w:p>
    <w:p w14:paraId="7BA1AD70" w14:textId="69704245" w:rsidR="00452E9D" w:rsidRPr="009307C4" w:rsidRDefault="00452E9D" w:rsidP="00C4333D">
      <w:pPr>
        <w:tabs>
          <w:tab w:val="left" w:pos="540"/>
          <w:tab w:val="left" w:pos="569"/>
        </w:tabs>
        <w:jc w:val="both"/>
        <w:rPr>
          <w:bCs/>
          <w:sz w:val="22"/>
          <w:szCs w:val="22"/>
          <w:lang w:val="sr-Latn-ME"/>
        </w:rPr>
      </w:pPr>
    </w:p>
    <w:p w14:paraId="1032E96E" w14:textId="7E01C783" w:rsidR="00672226" w:rsidRPr="009307C4" w:rsidRDefault="008808CA" w:rsidP="00C4333D">
      <w:pPr>
        <w:jc w:val="both"/>
        <w:rPr>
          <w:sz w:val="22"/>
          <w:szCs w:val="22"/>
          <w:lang w:val="sr-Latn-ME"/>
        </w:rPr>
      </w:pPr>
      <w:r w:rsidRPr="009307C4">
        <w:rPr>
          <w:sz w:val="22"/>
          <w:szCs w:val="22"/>
          <w:lang w:val="sr-Latn-ME"/>
        </w:rPr>
        <w:t xml:space="preserve">Lijek je namijenjen za oralnu upotrebu. </w:t>
      </w:r>
    </w:p>
    <w:p w14:paraId="04F29BA2" w14:textId="77777777" w:rsidR="005D2DA0" w:rsidRPr="009307C4" w:rsidRDefault="00672226" w:rsidP="00672226">
      <w:pPr>
        <w:pStyle w:val="Header"/>
        <w:tabs>
          <w:tab w:val="left" w:pos="284"/>
        </w:tabs>
        <w:jc w:val="both"/>
        <w:rPr>
          <w:sz w:val="22"/>
          <w:lang w:val="sr-Latn-ME"/>
        </w:rPr>
      </w:pPr>
      <w:r w:rsidRPr="009307C4">
        <w:rPr>
          <w:bCs/>
          <w:sz w:val="22"/>
          <w:lang w:val="sr-Latn-ME"/>
        </w:rPr>
        <w:lastRenderedPageBreak/>
        <w:t>Lijek Singulair</w:t>
      </w:r>
      <w:r w:rsidRPr="009307C4">
        <w:rPr>
          <w:sz w:val="22"/>
          <w:lang w:val="sr-Latn-ME"/>
        </w:rPr>
        <w:t xml:space="preserve"> granule se može direktno progutati ili prethodno promiješati sa punom kašikom mekane hrane (npr. kašica od jabuke, sladoled, šargarepa i pirinač) na sobnoj temperaturi ili hladne. Kesicu lijeka treba otvoriti neposredno prije upotrebe. Kad se kesica jednom otvori, cijelu dozu lijeka Singulair granule treba odmah upotrijebiti (u roku od 15 minuta). </w:t>
      </w:r>
    </w:p>
    <w:p w14:paraId="1BDBF6ED" w14:textId="7F94915B" w:rsidR="00672226" w:rsidRPr="009307C4" w:rsidRDefault="00672226" w:rsidP="00672226">
      <w:pPr>
        <w:pStyle w:val="Header"/>
        <w:tabs>
          <w:tab w:val="left" w:pos="284"/>
        </w:tabs>
        <w:jc w:val="both"/>
        <w:rPr>
          <w:sz w:val="22"/>
          <w:lang w:val="sr-Latn-ME"/>
        </w:rPr>
      </w:pPr>
      <w:r w:rsidRPr="009307C4">
        <w:rPr>
          <w:sz w:val="22"/>
          <w:lang w:val="sr-Latn-ME"/>
        </w:rPr>
        <w:t>Ako s</w:t>
      </w:r>
      <w:r w:rsidR="005D2DA0" w:rsidRPr="009307C4">
        <w:rPr>
          <w:sz w:val="22"/>
          <w:lang w:val="sr-Latn-ME"/>
        </w:rPr>
        <w:t>e</w:t>
      </w:r>
      <w:r w:rsidRPr="009307C4">
        <w:rPr>
          <w:sz w:val="22"/>
          <w:lang w:val="sr-Latn-ME"/>
        </w:rPr>
        <w:t xml:space="preserve"> pomiješa sa hranom </w:t>
      </w:r>
      <w:r w:rsidR="005D2DA0" w:rsidRPr="009307C4">
        <w:rPr>
          <w:sz w:val="22"/>
          <w:lang w:val="sr-Latn-ME"/>
        </w:rPr>
        <w:t xml:space="preserve">lijek </w:t>
      </w:r>
      <w:r w:rsidRPr="009307C4">
        <w:rPr>
          <w:bCs/>
          <w:sz w:val="22"/>
          <w:lang w:val="sr-Latn-ME"/>
        </w:rPr>
        <w:t>Singulair</w:t>
      </w:r>
      <w:r w:rsidR="005D2DA0" w:rsidRPr="009307C4">
        <w:rPr>
          <w:bCs/>
          <w:sz w:val="22"/>
          <w:lang w:val="sr-Latn-ME"/>
        </w:rPr>
        <w:t>,</w:t>
      </w:r>
      <w:r w:rsidRPr="009307C4">
        <w:rPr>
          <w:b/>
          <w:bCs/>
          <w:sz w:val="22"/>
          <w:lang w:val="sr-Latn-ME"/>
        </w:rPr>
        <w:t xml:space="preserve"> </w:t>
      </w:r>
      <w:r w:rsidRPr="009307C4">
        <w:rPr>
          <w:sz w:val="22"/>
          <w:lang w:val="sr-Latn-ME"/>
        </w:rPr>
        <w:t>granule</w:t>
      </w:r>
      <w:r w:rsidR="005D2DA0" w:rsidRPr="009307C4">
        <w:rPr>
          <w:sz w:val="22"/>
          <w:lang w:val="sr-Latn-ME"/>
        </w:rPr>
        <w:t>,</w:t>
      </w:r>
      <w:r w:rsidRPr="009307C4">
        <w:rPr>
          <w:sz w:val="22"/>
          <w:lang w:val="sr-Latn-ME"/>
        </w:rPr>
        <w:t xml:space="preserve"> se ne smij</w:t>
      </w:r>
      <w:r w:rsidR="005D2DA0" w:rsidRPr="009307C4">
        <w:rPr>
          <w:sz w:val="22"/>
          <w:lang w:val="sr-Latn-ME"/>
        </w:rPr>
        <w:t>e</w:t>
      </w:r>
      <w:r w:rsidRPr="009307C4">
        <w:rPr>
          <w:sz w:val="22"/>
          <w:lang w:val="sr-Latn-ME"/>
        </w:rPr>
        <w:t xml:space="preserve"> čuvati za kasniju upotrebu. </w:t>
      </w:r>
      <w:r w:rsidR="005D2DA0" w:rsidRPr="009307C4">
        <w:rPr>
          <w:sz w:val="22"/>
          <w:lang w:val="sr-Latn-ME"/>
        </w:rPr>
        <w:t xml:space="preserve">Lijek </w:t>
      </w:r>
      <w:r w:rsidRPr="009307C4">
        <w:rPr>
          <w:bCs/>
          <w:sz w:val="22"/>
          <w:lang w:val="sr-Latn-ME"/>
        </w:rPr>
        <w:t>Singulair</w:t>
      </w:r>
      <w:r w:rsidR="005D2DA0" w:rsidRPr="009307C4">
        <w:rPr>
          <w:bCs/>
          <w:sz w:val="22"/>
          <w:lang w:val="sr-Latn-ME"/>
        </w:rPr>
        <w:t>,</w:t>
      </w:r>
      <w:r w:rsidRPr="009307C4">
        <w:rPr>
          <w:b/>
          <w:bCs/>
          <w:sz w:val="22"/>
          <w:lang w:val="sr-Latn-ME"/>
        </w:rPr>
        <w:t xml:space="preserve"> </w:t>
      </w:r>
      <w:r w:rsidRPr="009307C4">
        <w:rPr>
          <w:sz w:val="22"/>
          <w:lang w:val="sr-Latn-ME"/>
        </w:rPr>
        <w:t>granule</w:t>
      </w:r>
      <w:r w:rsidR="005D2DA0" w:rsidRPr="009307C4">
        <w:rPr>
          <w:sz w:val="22"/>
          <w:lang w:val="sr-Latn-ME"/>
        </w:rPr>
        <w:t>,</w:t>
      </w:r>
      <w:r w:rsidRPr="009307C4">
        <w:rPr>
          <w:sz w:val="22"/>
          <w:lang w:val="sr-Latn-ME"/>
        </w:rPr>
        <w:t xml:space="preserve"> nijesu namijenjene za rastvaranje u tečnosti, ali se tečnost može uzeti poslije primjene lijeka. </w:t>
      </w:r>
      <w:r w:rsidR="005D2DA0" w:rsidRPr="009307C4">
        <w:rPr>
          <w:sz w:val="22"/>
          <w:lang w:val="sr-Latn-ME"/>
        </w:rPr>
        <w:t xml:space="preserve">Lijek </w:t>
      </w:r>
      <w:r w:rsidRPr="009307C4">
        <w:rPr>
          <w:bCs/>
          <w:sz w:val="22"/>
          <w:lang w:val="sr-Latn-ME"/>
        </w:rPr>
        <w:t>Singulair</w:t>
      </w:r>
      <w:r w:rsidR="005D2DA0" w:rsidRPr="009307C4">
        <w:rPr>
          <w:bCs/>
          <w:sz w:val="22"/>
          <w:lang w:val="sr-Latn-ME"/>
        </w:rPr>
        <w:t>,</w:t>
      </w:r>
      <w:r w:rsidRPr="009307C4">
        <w:rPr>
          <w:b/>
          <w:bCs/>
          <w:sz w:val="22"/>
          <w:lang w:val="sr-Latn-ME"/>
        </w:rPr>
        <w:t xml:space="preserve"> </w:t>
      </w:r>
      <w:r w:rsidRPr="009307C4">
        <w:rPr>
          <w:sz w:val="22"/>
          <w:lang w:val="sr-Latn-ME"/>
        </w:rPr>
        <w:t>granule</w:t>
      </w:r>
      <w:r w:rsidR="005D2DA0" w:rsidRPr="009307C4">
        <w:rPr>
          <w:sz w:val="22"/>
          <w:lang w:val="sr-Latn-ME"/>
        </w:rPr>
        <w:t>,</w:t>
      </w:r>
      <w:r w:rsidRPr="009307C4">
        <w:rPr>
          <w:sz w:val="22"/>
          <w:lang w:val="sr-Latn-ME"/>
        </w:rPr>
        <w:t xml:space="preserve"> mo</w:t>
      </w:r>
      <w:r w:rsidR="005D2DA0" w:rsidRPr="009307C4">
        <w:rPr>
          <w:sz w:val="22"/>
          <w:lang w:val="sr-Latn-ME"/>
        </w:rPr>
        <w:t>že se</w:t>
      </w:r>
      <w:r w:rsidRPr="009307C4">
        <w:rPr>
          <w:sz w:val="22"/>
          <w:lang w:val="sr-Latn-ME"/>
        </w:rPr>
        <w:t xml:space="preserve"> uzimati bez obzira na vrijeme uzimanja obroka.</w:t>
      </w:r>
    </w:p>
    <w:p w14:paraId="12AB520F" w14:textId="697C9DB3" w:rsidR="008808CA" w:rsidRPr="009307C4" w:rsidRDefault="008808CA" w:rsidP="00C4333D">
      <w:pPr>
        <w:tabs>
          <w:tab w:val="left" w:pos="540"/>
          <w:tab w:val="left" w:pos="569"/>
        </w:tabs>
        <w:jc w:val="both"/>
        <w:rPr>
          <w:bCs/>
          <w:sz w:val="22"/>
          <w:szCs w:val="22"/>
          <w:lang w:val="sr-Latn-ME"/>
        </w:rPr>
      </w:pPr>
    </w:p>
    <w:p w14:paraId="04878BB7"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4.3. </w:t>
      </w:r>
      <w:r w:rsidR="00480FB1" w:rsidRPr="009307C4">
        <w:rPr>
          <w:b/>
          <w:bCs/>
          <w:sz w:val="22"/>
          <w:szCs w:val="22"/>
          <w:lang w:val="sr-Latn-ME"/>
        </w:rPr>
        <w:tab/>
      </w:r>
      <w:r w:rsidRPr="009307C4">
        <w:rPr>
          <w:b/>
          <w:bCs/>
          <w:sz w:val="22"/>
          <w:szCs w:val="22"/>
          <w:lang w:val="sr-Latn-ME"/>
        </w:rPr>
        <w:t>Kontraindikacije</w:t>
      </w:r>
    </w:p>
    <w:p w14:paraId="5F079FDB" w14:textId="4917A272" w:rsidR="0072020E" w:rsidRPr="009307C4" w:rsidRDefault="0072020E" w:rsidP="00C4333D">
      <w:pPr>
        <w:tabs>
          <w:tab w:val="left" w:pos="540"/>
          <w:tab w:val="left" w:pos="569"/>
        </w:tabs>
        <w:jc w:val="both"/>
        <w:rPr>
          <w:bCs/>
          <w:sz w:val="22"/>
          <w:szCs w:val="22"/>
          <w:lang w:val="sr-Latn-ME"/>
        </w:rPr>
      </w:pPr>
    </w:p>
    <w:p w14:paraId="1ACF31D5" w14:textId="2240A777" w:rsidR="008808CA" w:rsidRPr="009307C4" w:rsidRDefault="008808CA" w:rsidP="00C4333D">
      <w:pPr>
        <w:pStyle w:val="Header"/>
        <w:tabs>
          <w:tab w:val="left" w:pos="284"/>
        </w:tabs>
        <w:jc w:val="both"/>
        <w:rPr>
          <w:sz w:val="22"/>
          <w:lang w:val="sr-Latn-ME"/>
        </w:rPr>
      </w:pPr>
      <w:r w:rsidRPr="009307C4">
        <w:rPr>
          <w:sz w:val="22"/>
          <w:lang w:val="sr-Latn-ME"/>
        </w:rPr>
        <w:t>Preosjetljivost na aktivnu supstancu ili na bilo koj</w:t>
      </w:r>
      <w:r w:rsidR="005D2DA0" w:rsidRPr="009307C4">
        <w:rPr>
          <w:sz w:val="22"/>
          <w:lang w:val="sr-Latn-ME"/>
        </w:rPr>
        <w:t>u</w:t>
      </w:r>
      <w:r w:rsidRPr="009307C4">
        <w:rPr>
          <w:sz w:val="22"/>
          <w:lang w:val="sr-Latn-ME"/>
        </w:rPr>
        <w:t xml:space="preserve"> od </w:t>
      </w:r>
      <w:r w:rsidR="005D2DA0" w:rsidRPr="009307C4">
        <w:rPr>
          <w:sz w:val="22"/>
          <w:lang w:val="sr-Latn-ME"/>
        </w:rPr>
        <w:t xml:space="preserve">pomoćnih supstanci </w:t>
      </w:r>
      <w:r w:rsidRPr="009307C4">
        <w:rPr>
          <w:sz w:val="22"/>
          <w:lang w:val="sr-Latn-ME"/>
        </w:rPr>
        <w:t>koj</w:t>
      </w:r>
      <w:r w:rsidR="005D2DA0" w:rsidRPr="009307C4">
        <w:rPr>
          <w:sz w:val="22"/>
          <w:lang w:val="sr-Latn-ME"/>
        </w:rPr>
        <w:t>e</w:t>
      </w:r>
      <w:r w:rsidRPr="009307C4">
        <w:rPr>
          <w:sz w:val="22"/>
          <w:lang w:val="sr-Latn-ME"/>
        </w:rPr>
        <w:t xml:space="preserve"> su naveden</w:t>
      </w:r>
      <w:r w:rsidR="005D2DA0" w:rsidRPr="009307C4">
        <w:rPr>
          <w:sz w:val="22"/>
          <w:lang w:val="sr-Latn-ME"/>
        </w:rPr>
        <w:t>e</w:t>
      </w:r>
      <w:r w:rsidRPr="009307C4">
        <w:rPr>
          <w:sz w:val="22"/>
          <w:lang w:val="sr-Latn-ME"/>
        </w:rPr>
        <w:t xml:space="preserve"> u dijelu 6.1</w:t>
      </w:r>
    </w:p>
    <w:p w14:paraId="2ABFCAAE" w14:textId="77777777" w:rsidR="008808CA" w:rsidRPr="009307C4" w:rsidRDefault="008808CA" w:rsidP="00C4333D">
      <w:pPr>
        <w:tabs>
          <w:tab w:val="left" w:pos="540"/>
          <w:tab w:val="left" w:pos="569"/>
        </w:tabs>
        <w:jc w:val="both"/>
        <w:rPr>
          <w:bCs/>
          <w:sz w:val="22"/>
          <w:szCs w:val="22"/>
          <w:lang w:val="sr-Latn-ME"/>
        </w:rPr>
      </w:pPr>
    </w:p>
    <w:p w14:paraId="428C6D20"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 xml:space="preserve">4.4. </w:t>
      </w:r>
      <w:r w:rsidR="00480FB1" w:rsidRPr="009307C4">
        <w:rPr>
          <w:b/>
          <w:bCs/>
          <w:sz w:val="22"/>
          <w:szCs w:val="22"/>
          <w:lang w:val="sr-Latn-ME"/>
        </w:rPr>
        <w:tab/>
      </w:r>
      <w:r w:rsidRPr="009307C4">
        <w:rPr>
          <w:b/>
          <w:bCs/>
          <w:sz w:val="22"/>
          <w:szCs w:val="22"/>
          <w:lang w:val="sr-Latn-ME"/>
        </w:rPr>
        <w:t>Posebna upozorenja i mjere opreza pri upotrebi lijeka</w:t>
      </w:r>
    </w:p>
    <w:p w14:paraId="204332ED" w14:textId="72BB7600" w:rsidR="0072020E" w:rsidRPr="009307C4" w:rsidRDefault="0072020E" w:rsidP="00C4333D">
      <w:pPr>
        <w:tabs>
          <w:tab w:val="left" w:pos="540"/>
          <w:tab w:val="left" w:pos="569"/>
        </w:tabs>
        <w:jc w:val="both"/>
        <w:rPr>
          <w:bCs/>
          <w:sz w:val="22"/>
          <w:szCs w:val="22"/>
          <w:lang w:val="sr-Latn-ME"/>
        </w:rPr>
      </w:pPr>
    </w:p>
    <w:p w14:paraId="61AB279B" w14:textId="43247AAB" w:rsidR="008808CA" w:rsidRPr="009307C4" w:rsidRDefault="008808CA" w:rsidP="00C4333D">
      <w:pPr>
        <w:pStyle w:val="Header"/>
        <w:tabs>
          <w:tab w:val="left" w:pos="284"/>
        </w:tabs>
        <w:jc w:val="both"/>
        <w:rPr>
          <w:sz w:val="22"/>
          <w:lang w:val="sr-Latn-ME"/>
        </w:rPr>
      </w:pPr>
      <w:r w:rsidRPr="009307C4">
        <w:rPr>
          <w:sz w:val="22"/>
          <w:lang w:val="sr-Latn-ME"/>
        </w:rPr>
        <w:t xml:space="preserve">Dijagnoza perzistentne astme kod veoma male djece (6 mjeseci do 2 godine) mora biti </w:t>
      </w:r>
      <w:r w:rsidR="00993131" w:rsidRPr="009307C4">
        <w:rPr>
          <w:sz w:val="22"/>
          <w:lang w:val="sr-Latn-ME"/>
        </w:rPr>
        <w:t xml:space="preserve">postavljena </w:t>
      </w:r>
      <w:r w:rsidRPr="009307C4">
        <w:rPr>
          <w:sz w:val="22"/>
          <w:lang w:val="sr-Latn-ME"/>
        </w:rPr>
        <w:t>od strane pedijatra ili pulmologa.</w:t>
      </w:r>
    </w:p>
    <w:p w14:paraId="7E1B45F6" w14:textId="77777777" w:rsidR="008808CA" w:rsidRPr="009307C4" w:rsidRDefault="008808CA" w:rsidP="00C4333D">
      <w:pPr>
        <w:pStyle w:val="Header"/>
        <w:tabs>
          <w:tab w:val="left" w:pos="284"/>
        </w:tabs>
        <w:jc w:val="both"/>
        <w:rPr>
          <w:sz w:val="22"/>
          <w:lang w:val="sr-Latn-ME"/>
        </w:rPr>
      </w:pPr>
    </w:p>
    <w:p w14:paraId="7757FAB4" w14:textId="57BB11D1" w:rsidR="008808CA" w:rsidRPr="009307C4" w:rsidRDefault="008808CA" w:rsidP="00C4333D">
      <w:pPr>
        <w:pStyle w:val="Header"/>
        <w:tabs>
          <w:tab w:val="left" w:pos="284"/>
        </w:tabs>
        <w:jc w:val="both"/>
        <w:rPr>
          <w:sz w:val="22"/>
          <w:szCs w:val="22"/>
          <w:lang w:val="sr-Latn-ME" w:eastAsia="sr-Latn-CS"/>
        </w:rPr>
      </w:pPr>
      <w:r w:rsidRPr="009307C4">
        <w:rPr>
          <w:sz w:val="22"/>
          <w:lang w:val="sr-Latn-ME"/>
        </w:rPr>
        <w:t>Pacijente treba savjetovati da nikada ne koriste montelukast za liječenj</w:t>
      </w:r>
      <w:r w:rsidR="00734E7E" w:rsidRPr="009307C4">
        <w:rPr>
          <w:sz w:val="22"/>
          <w:lang w:val="sr-Latn-ME"/>
        </w:rPr>
        <w:t xml:space="preserve">e </w:t>
      </w:r>
      <w:r w:rsidRPr="009307C4">
        <w:rPr>
          <w:sz w:val="22"/>
          <w:lang w:val="sr-Latn-ME"/>
        </w:rPr>
        <w:t xml:space="preserve">akutnog napada astme i da imaju pripremljene odgovarajuće ljekove namijenjene za ovu svrhu. Ako </w:t>
      </w:r>
      <w:r w:rsidR="00993131" w:rsidRPr="009307C4">
        <w:rPr>
          <w:sz w:val="22"/>
          <w:lang w:val="sr-Latn-ME"/>
        </w:rPr>
        <w:t xml:space="preserve">se javi </w:t>
      </w:r>
      <w:r w:rsidRPr="009307C4">
        <w:rPr>
          <w:sz w:val="22"/>
          <w:lang w:val="sr-Latn-ME"/>
        </w:rPr>
        <w:t xml:space="preserve">akutni napad astme treba uzeti kratkodjelujući inhalacioni </w:t>
      </w:r>
      <w:r w:rsidRPr="009307C4">
        <w:rPr>
          <w:sz w:val="22"/>
          <w:szCs w:val="22"/>
          <w:lang w:val="sr-Latn-ME" w:eastAsia="sr-Latn-CS"/>
        </w:rPr>
        <w:t>β-agonist. Pacijenti treba što</w:t>
      </w:r>
      <w:r w:rsidR="00993131" w:rsidRPr="009307C4">
        <w:rPr>
          <w:sz w:val="22"/>
          <w:szCs w:val="22"/>
          <w:lang w:val="sr-Latn-ME" w:eastAsia="sr-Latn-CS"/>
        </w:rPr>
        <w:t xml:space="preserve"> je</w:t>
      </w:r>
      <w:r w:rsidRPr="009307C4">
        <w:rPr>
          <w:sz w:val="22"/>
          <w:szCs w:val="22"/>
          <w:lang w:val="sr-Latn-ME" w:eastAsia="sr-Latn-CS"/>
        </w:rPr>
        <w:t xml:space="preserve"> prije</w:t>
      </w:r>
      <w:r w:rsidR="00993131" w:rsidRPr="009307C4">
        <w:rPr>
          <w:sz w:val="22"/>
          <w:szCs w:val="22"/>
          <w:lang w:val="sr-Latn-ME" w:eastAsia="sr-Latn-CS"/>
        </w:rPr>
        <w:t xml:space="preserve"> moguće</w:t>
      </w:r>
      <w:r w:rsidRPr="009307C4">
        <w:rPr>
          <w:sz w:val="22"/>
          <w:szCs w:val="22"/>
          <w:lang w:val="sr-Latn-ME" w:eastAsia="sr-Latn-CS"/>
        </w:rPr>
        <w:t xml:space="preserve"> da konsultuju ljekara ukoliko je potrebno da više puta inhaliraju kratkodjelujuće β-agoniste nego što je to uobičajeno. </w:t>
      </w:r>
    </w:p>
    <w:p w14:paraId="0539D3D7" w14:textId="77777777" w:rsidR="008808CA" w:rsidRPr="009307C4" w:rsidRDefault="008808CA" w:rsidP="00C4333D">
      <w:pPr>
        <w:pStyle w:val="Header"/>
        <w:tabs>
          <w:tab w:val="left" w:pos="284"/>
        </w:tabs>
        <w:jc w:val="both"/>
        <w:rPr>
          <w:sz w:val="22"/>
          <w:szCs w:val="22"/>
          <w:lang w:val="sr-Latn-ME" w:eastAsia="sr-Latn-CS"/>
        </w:rPr>
      </w:pPr>
    </w:p>
    <w:p w14:paraId="168089BE" w14:textId="77777777"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 xml:space="preserve">Inhalacioni ili oralni kortikosteroidi ne smiju biti naglo zamijenjeni montelukastom. </w:t>
      </w:r>
    </w:p>
    <w:p w14:paraId="5C30FF0F" w14:textId="77777777" w:rsidR="008808CA" w:rsidRPr="009307C4" w:rsidRDefault="008808CA" w:rsidP="00C4333D">
      <w:pPr>
        <w:pStyle w:val="Header"/>
        <w:tabs>
          <w:tab w:val="left" w:pos="284"/>
        </w:tabs>
        <w:jc w:val="both"/>
        <w:rPr>
          <w:sz w:val="22"/>
          <w:szCs w:val="22"/>
          <w:lang w:val="sr-Latn-ME" w:eastAsia="sr-Latn-CS"/>
        </w:rPr>
      </w:pPr>
    </w:p>
    <w:p w14:paraId="5EB5D5C3" w14:textId="34DFCA8F"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Ne</w:t>
      </w:r>
      <w:r w:rsidR="00993131" w:rsidRPr="009307C4">
        <w:rPr>
          <w:sz w:val="22"/>
          <w:szCs w:val="22"/>
          <w:lang w:val="sr-Latn-ME" w:eastAsia="sr-Latn-CS"/>
        </w:rPr>
        <w:t xml:space="preserve">ma </w:t>
      </w:r>
      <w:r w:rsidR="00691069" w:rsidRPr="009307C4">
        <w:rPr>
          <w:sz w:val="22"/>
          <w:szCs w:val="22"/>
          <w:lang w:val="sr-Latn-ME" w:eastAsia="sr-Latn-CS"/>
        </w:rPr>
        <w:t xml:space="preserve">podataka </w:t>
      </w:r>
      <w:r w:rsidRPr="009307C4">
        <w:rPr>
          <w:sz w:val="22"/>
          <w:szCs w:val="22"/>
          <w:lang w:val="sr-Latn-ME" w:eastAsia="sr-Latn-CS"/>
        </w:rPr>
        <w:t>o tome da se doza oralnih kortikosteroida može smanjiti ako se istovremeno primjenjuje montelukast.</w:t>
      </w:r>
    </w:p>
    <w:p w14:paraId="00D68897" w14:textId="77777777" w:rsidR="008808CA" w:rsidRPr="009307C4" w:rsidRDefault="008808CA" w:rsidP="00C4333D">
      <w:pPr>
        <w:pStyle w:val="Header"/>
        <w:tabs>
          <w:tab w:val="left" w:pos="284"/>
        </w:tabs>
        <w:jc w:val="both"/>
        <w:rPr>
          <w:sz w:val="22"/>
          <w:szCs w:val="22"/>
          <w:lang w:val="sr-Latn-ME" w:eastAsia="sr-Latn-CS"/>
        </w:rPr>
      </w:pPr>
    </w:p>
    <w:p w14:paraId="4142A7CD" w14:textId="3C778DD1"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U rijetkim slučajevima se kod pacijenata</w:t>
      </w:r>
      <w:r w:rsidR="00691069" w:rsidRPr="009307C4">
        <w:rPr>
          <w:sz w:val="22"/>
          <w:szCs w:val="22"/>
          <w:lang w:val="sr-Latn-ME" w:eastAsia="sr-Latn-CS"/>
        </w:rPr>
        <w:t>,</w:t>
      </w:r>
      <w:r w:rsidRPr="009307C4">
        <w:rPr>
          <w:sz w:val="22"/>
          <w:szCs w:val="22"/>
          <w:lang w:val="sr-Latn-ME" w:eastAsia="sr-Latn-CS"/>
        </w:rPr>
        <w:t xml:space="preserve"> koji koriste lijekove za terapiju astme uključujući i montelukast</w:t>
      </w:r>
      <w:r w:rsidR="00691069" w:rsidRPr="009307C4">
        <w:rPr>
          <w:sz w:val="22"/>
          <w:szCs w:val="22"/>
          <w:lang w:val="sr-Latn-ME" w:eastAsia="sr-Latn-CS"/>
        </w:rPr>
        <w:t>,</w:t>
      </w:r>
      <w:r w:rsidRPr="009307C4">
        <w:rPr>
          <w:sz w:val="22"/>
          <w:szCs w:val="22"/>
          <w:lang w:val="sr-Latn-ME" w:eastAsia="sr-Latn-CS"/>
        </w:rPr>
        <w:t xml:space="preserve"> može </w:t>
      </w:r>
      <w:r w:rsidR="00691069" w:rsidRPr="009307C4">
        <w:rPr>
          <w:sz w:val="22"/>
          <w:szCs w:val="22"/>
          <w:lang w:val="sr-Latn-ME" w:eastAsia="sr-Latn-CS"/>
        </w:rPr>
        <w:t>po</w:t>
      </w:r>
      <w:r w:rsidRPr="009307C4">
        <w:rPr>
          <w:sz w:val="22"/>
          <w:szCs w:val="22"/>
          <w:lang w:val="sr-Latn-ME" w:eastAsia="sr-Latn-CS"/>
        </w:rPr>
        <w:t>javiti sistemska eozinofilija</w:t>
      </w:r>
      <w:r w:rsidR="00691069" w:rsidRPr="009307C4">
        <w:rPr>
          <w:sz w:val="22"/>
          <w:szCs w:val="22"/>
          <w:lang w:val="sr-Latn-ME" w:eastAsia="sr-Latn-CS"/>
        </w:rPr>
        <w:t>, koja se</w:t>
      </w:r>
      <w:r w:rsidRPr="009307C4">
        <w:rPr>
          <w:sz w:val="22"/>
          <w:szCs w:val="22"/>
          <w:lang w:val="sr-Latn-ME" w:eastAsia="sr-Latn-CS"/>
        </w:rPr>
        <w:t xml:space="preserve"> ponekad</w:t>
      </w:r>
      <w:r w:rsidR="00691069" w:rsidRPr="009307C4">
        <w:rPr>
          <w:sz w:val="22"/>
          <w:szCs w:val="22"/>
          <w:lang w:val="sr-Latn-ME" w:eastAsia="sr-Latn-CS"/>
        </w:rPr>
        <w:t xml:space="preserve"> ispoljava kao</w:t>
      </w:r>
      <w:r w:rsidRPr="009307C4">
        <w:rPr>
          <w:sz w:val="22"/>
          <w:szCs w:val="22"/>
          <w:lang w:val="sr-Latn-ME" w:eastAsia="sr-Latn-CS"/>
        </w:rPr>
        <w:t xml:space="preserve"> kliničk</w:t>
      </w:r>
      <w:r w:rsidR="00691069" w:rsidRPr="009307C4">
        <w:rPr>
          <w:sz w:val="22"/>
          <w:szCs w:val="22"/>
          <w:lang w:val="sr-Latn-ME" w:eastAsia="sr-Latn-CS"/>
        </w:rPr>
        <w:t>a</w:t>
      </w:r>
      <w:r w:rsidRPr="009307C4">
        <w:rPr>
          <w:sz w:val="22"/>
          <w:szCs w:val="22"/>
          <w:lang w:val="sr-Latn-ME" w:eastAsia="sr-Latn-CS"/>
        </w:rPr>
        <w:t xml:space="preserve"> </w:t>
      </w:r>
      <w:r w:rsidR="00691069" w:rsidRPr="009307C4">
        <w:rPr>
          <w:sz w:val="22"/>
          <w:szCs w:val="22"/>
          <w:lang w:val="sr-Latn-ME" w:eastAsia="sr-Latn-CS"/>
        </w:rPr>
        <w:t xml:space="preserve">manifestacija </w:t>
      </w:r>
      <w:r w:rsidRPr="009307C4">
        <w:rPr>
          <w:sz w:val="22"/>
          <w:szCs w:val="22"/>
          <w:lang w:val="sr-Latn-ME" w:eastAsia="sr-Latn-CS"/>
        </w:rPr>
        <w:t>vaskulitisa</w:t>
      </w:r>
      <w:r w:rsidR="00691069" w:rsidRPr="009307C4">
        <w:rPr>
          <w:sz w:val="22"/>
          <w:szCs w:val="22"/>
          <w:lang w:val="sr-Latn-ME" w:eastAsia="sr-Latn-CS"/>
        </w:rPr>
        <w:t xml:space="preserve">, što odgovara </w:t>
      </w:r>
      <w:r w:rsidRPr="009307C4">
        <w:rPr>
          <w:i/>
          <w:iCs/>
          <w:sz w:val="22"/>
          <w:szCs w:val="22"/>
          <w:lang w:val="sr-Latn-ME" w:eastAsia="sr-Latn-CS"/>
        </w:rPr>
        <w:t>Churg-Strauss</w:t>
      </w:r>
      <w:r w:rsidRPr="009307C4">
        <w:rPr>
          <w:sz w:val="22"/>
          <w:szCs w:val="22"/>
          <w:lang w:val="sr-Latn-ME" w:eastAsia="sr-Latn-CS"/>
        </w:rPr>
        <w:t xml:space="preserve"> sindrom</w:t>
      </w:r>
      <w:r w:rsidR="00691069" w:rsidRPr="009307C4">
        <w:rPr>
          <w:sz w:val="22"/>
          <w:szCs w:val="22"/>
          <w:lang w:val="sr-Latn-ME" w:eastAsia="sr-Latn-CS"/>
        </w:rPr>
        <w:t>u</w:t>
      </w:r>
      <w:r w:rsidRPr="009307C4">
        <w:rPr>
          <w:sz w:val="22"/>
          <w:szCs w:val="22"/>
          <w:lang w:val="sr-Latn-ME" w:eastAsia="sr-Latn-CS"/>
        </w:rPr>
        <w:t xml:space="preserve">, koji predstavlja stanje koje se često liječi sistemskom kortikosteroidnom terapijom. Ovi slučajevi su </w:t>
      </w:r>
      <w:r w:rsidR="00691069" w:rsidRPr="009307C4">
        <w:rPr>
          <w:sz w:val="22"/>
          <w:szCs w:val="22"/>
          <w:lang w:val="sr-Latn-ME" w:eastAsia="sr-Latn-CS"/>
        </w:rPr>
        <w:t xml:space="preserve">povremeno, ali ne uvijek, u vezi </w:t>
      </w:r>
      <w:r w:rsidRPr="009307C4">
        <w:rPr>
          <w:sz w:val="22"/>
          <w:szCs w:val="22"/>
          <w:lang w:val="sr-Latn-ME" w:eastAsia="sr-Latn-CS"/>
        </w:rPr>
        <w:t>sa smanjenjem ili ukidanjem oralne kortikosteroidne terapije.</w:t>
      </w:r>
      <w:r w:rsidR="00734E7E" w:rsidRPr="009307C4">
        <w:rPr>
          <w:sz w:val="22"/>
          <w:szCs w:val="22"/>
          <w:lang w:val="sr-Latn-ME" w:eastAsia="sr-Latn-CS"/>
        </w:rPr>
        <w:t xml:space="preserve"> </w:t>
      </w:r>
      <w:r w:rsidRPr="009307C4">
        <w:rPr>
          <w:sz w:val="22"/>
          <w:szCs w:val="22"/>
          <w:lang w:val="sr-Latn-ME" w:eastAsia="sr-Latn-CS"/>
        </w:rPr>
        <w:t xml:space="preserve">Iako </w:t>
      </w:r>
      <w:r w:rsidR="00691069" w:rsidRPr="009307C4">
        <w:rPr>
          <w:sz w:val="22"/>
          <w:szCs w:val="22"/>
          <w:lang w:val="sr-Latn-ME" w:eastAsia="sr-Latn-CS"/>
        </w:rPr>
        <w:t>nije utvrđena uzročno-</w:t>
      </w:r>
      <w:r w:rsidRPr="009307C4">
        <w:rPr>
          <w:sz w:val="22"/>
          <w:szCs w:val="22"/>
          <w:lang w:val="sr-Latn-ME" w:eastAsia="sr-Latn-CS"/>
        </w:rPr>
        <w:t>posl</w:t>
      </w:r>
      <w:r w:rsidR="00734E7E" w:rsidRPr="009307C4">
        <w:rPr>
          <w:sz w:val="22"/>
          <w:szCs w:val="22"/>
          <w:lang w:val="sr-Latn-ME" w:eastAsia="sr-Latn-CS"/>
        </w:rPr>
        <w:t>j</w:t>
      </w:r>
      <w:r w:rsidRPr="009307C4">
        <w:rPr>
          <w:sz w:val="22"/>
          <w:szCs w:val="22"/>
          <w:lang w:val="sr-Latn-ME" w:eastAsia="sr-Latn-CS"/>
        </w:rPr>
        <w:t xml:space="preserve">edična </w:t>
      </w:r>
      <w:r w:rsidR="00691069" w:rsidRPr="009307C4">
        <w:rPr>
          <w:sz w:val="22"/>
          <w:szCs w:val="22"/>
          <w:lang w:val="sr-Latn-ME" w:eastAsia="sr-Latn-CS"/>
        </w:rPr>
        <w:t xml:space="preserve">povezanost </w:t>
      </w:r>
      <w:r w:rsidRPr="009307C4">
        <w:rPr>
          <w:sz w:val="22"/>
          <w:szCs w:val="22"/>
          <w:lang w:val="sr-Latn-ME" w:eastAsia="sr-Latn-CS"/>
        </w:rPr>
        <w:t xml:space="preserve">sa </w:t>
      </w:r>
      <w:r w:rsidR="00691069" w:rsidRPr="009307C4">
        <w:rPr>
          <w:sz w:val="22"/>
          <w:szCs w:val="22"/>
          <w:lang w:val="sr-Latn-ME" w:eastAsia="sr-Latn-CS"/>
        </w:rPr>
        <w:t xml:space="preserve">primjenom </w:t>
      </w:r>
      <w:r w:rsidRPr="009307C4">
        <w:rPr>
          <w:sz w:val="22"/>
          <w:szCs w:val="22"/>
          <w:lang w:val="sr-Latn-ME" w:eastAsia="sr-Latn-CS"/>
        </w:rPr>
        <w:t>antagoni</w:t>
      </w:r>
      <w:r w:rsidR="00691069" w:rsidRPr="009307C4">
        <w:rPr>
          <w:sz w:val="22"/>
          <w:szCs w:val="22"/>
          <w:lang w:val="sr-Latn-ME" w:eastAsia="sr-Latn-CS"/>
        </w:rPr>
        <w:t>sta</w:t>
      </w:r>
      <w:r w:rsidRPr="009307C4">
        <w:rPr>
          <w:sz w:val="22"/>
          <w:szCs w:val="22"/>
          <w:lang w:val="sr-Latn-ME" w:eastAsia="sr-Latn-CS"/>
        </w:rPr>
        <w:t xml:space="preserve"> leukotrijensk</w:t>
      </w:r>
      <w:r w:rsidR="00691069" w:rsidRPr="009307C4">
        <w:rPr>
          <w:sz w:val="22"/>
          <w:szCs w:val="22"/>
          <w:lang w:val="sr-Latn-ME" w:eastAsia="sr-Latn-CS"/>
        </w:rPr>
        <w:t>ih</w:t>
      </w:r>
      <w:r w:rsidRPr="009307C4">
        <w:rPr>
          <w:sz w:val="22"/>
          <w:szCs w:val="22"/>
          <w:lang w:val="sr-Latn-ME" w:eastAsia="sr-Latn-CS"/>
        </w:rPr>
        <w:t xml:space="preserve"> receptora,</w:t>
      </w:r>
      <w:r w:rsidR="00734E7E" w:rsidRPr="009307C4">
        <w:rPr>
          <w:sz w:val="22"/>
          <w:szCs w:val="22"/>
          <w:lang w:val="sr-Latn-ME" w:eastAsia="sr-Latn-CS"/>
        </w:rPr>
        <w:t xml:space="preserve"> </w:t>
      </w:r>
      <w:r w:rsidRPr="009307C4">
        <w:rPr>
          <w:sz w:val="22"/>
          <w:szCs w:val="22"/>
          <w:lang w:val="sr-Latn-ME" w:eastAsia="sr-Latn-CS"/>
        </w:rPr>
        <w:t>ljekar</w:t>
      </w:r>
      <w:r w:rsidR="00691069" w:rsidRPr="009307C4">
        <w:rPr>
          <w:sz w:val="22"/>
          <w:szCs w:val="22"/>
          <w:lang w:val="sr-Latn-ME" w:eastAsia="sr-Latn-CS"/>
        </w:rPr>
        <w:t>i</w:t>
      </w:r>
      <w:r w:rsidRPr="009307C4">
        <w:rPr>
          <w:sz w:val="22"/>
          <w:szCs w:val="22"/>
          <w:lang w:val="sr-Latn-ME" w:eastAsia="sr-Latn-CS"/>
        </w:rPr>
        <w:t xml:space="preserve"> treba </w:t>
      </w:r>
      <w:r w:rsidR="00691069" w:rsidRPr="009307C4">
        <w:rPr>
          <w:sz w:val="22"/>
          <w:szCs w:val="22"/>
          <w:lang w:val="sr-Latn-ME" w:eastAsia="sr-Latn-CS"/>
        </w:rPr>
        <w:t>da budu na oprezu zbog</w:t>
      </w:r>
      <w:r w:rsidRPr="009307C4">
        <w:rPr>
          <w:sz w:val="22"/>
          <w:szCs w:val="22"/>
          <w:lang w:val="sr-Latn-ME" w:eastAsia="sr-Latn-CS"/>
        </w:rPr>
        <w:t xml:space="preserve"> moguć</w:t>
      </w:r>
      <w:r w:rsidR="00691069" w:rsidRPr="009307C4">
        <w:rPr>
          <w:sz w:val="22"/>
          <w:szCs w:val="22"/>
          <w:lang w:val="sr-Latn-ME" w:eastAsia="sr-Latn-CS"/>
        </w:rPr>
        <w:t>e</w:t>
      </w:r>
      <w:r w:rsidRPr="009307C4">
        <w:rPr>
          <w:sz w:val="22"/>
          <w:szCs w:val="22"/>
          <w:lang w:val="sr-Latn-ME" w:eastAsia="sr-Latn-CS"/>
        </w:rPr>
        <w:t xml:space="preserve"> pojave eozinofilije, osipa vaskularnog porijekla, pogoršanja </w:t>
      </w:r>
      <w:r w:rsidR="00691069" w:rsidRPr="009307C4">
        <w:rPr>
          <w:sz w:val="22"/>
          <w:szCs w:val="22"/>
          <w:lang w:val="sr-Latn-ME" w:eastAsia="sr-Latn-CS"/>
        </w:rPr>
        <w:t xml:space="preserve">pulmonarnih </w:t>
      </w:r>
      <w:r w:rsidRPr="009307C4">
        <w:rPr>
          <w:sz w:val="22"/>
          <w:szCs w:val="22"/>
          <w:lang w:val="sr-Latn-ME" w:eastAsia="sr-Latn-CS"/>
        </w:rPr>
        <w:t xml:space="preserve">simptoma, srčanih komplikacija i/ili neuropatije kod njihovih pacijenata. Pacijente kod kojih se </w:t>
      </w:r>
      <w:r w:rsidR="00691069" w:rsidRPr="009307C4">
        <w:rPr>
          <w:sz w:val="22"/>
          <w:szCs w:val="22"/>
          <w:lang w:val="sr-Latn-ME" w:eastAsia="sr-Latn-CS"/>
        </w:rPr>
        <w:t xml:space="preserve">pojave </w:t>
      </w:r>
      <w:r w:rsidRPr="009307C4">
        <w:rPr>
          <w:sz w:val="22"/>
          <w:szCs w:val="22"/>
          <w:lang w:val="sr-Latn-ME" w:eastAsia="sr-Latn-CS"/>
        </w:rPr>
        <w:t>ovi simptomi treba ponovo pregledati i odrediti odgovarajuću terapiju.</w:t>
      </w:r>
    </w:p>
    <w:p w14:paraId="352C3DFD" w14:textId="77777777" w:rsidR="008808CA" w:rsidRPr="009307C4" w:rsidRDefault="008808CA" w:rsidP="00C4333D">
      <w:pPr>
        <w:jc w:val="both"/>
        <w:rPr>
          <w:sz w:val="22"/>
          <w:szCs w:val="22"/>
          <w:lang w:val="sr-Latn-ME"/>
        </w:rPr>
      </w:pPr>
    </w:p>
    <w:p w14:paraId="7D52E208" w14:textId="34BE4F1E" w:rsidR="008808CA" w:rsidRPr="009307C4" w:rsidRDefault="008808CA" w:rsidP="00C4333D">
      <w:pPr>
        <w:jc w:val="both"/>
        <w:rPr>
          <w:sz w:val="22"/>
          <w:szCs w:val="22"/>
          <w:lang w:val="sr-Latn-ME"/>
        </w:rPr>
      </w:pPr>
      <w:r w:rsidRPr="009307C4">
        <w:rPr>
          <w:sz w:val="22"/>
          <w:szCs w:val="22"/>
          <w:lang w:val="sr-Latn-ME"/>
        </w:rPr>
        <w:t xml:space="preserve">Terapija montelukastom ne </w:t>
      </w:r>
      <w:r w:rsidR="00691069" w:rsidRPr="009307C4">
        <w:rPr>
          <w:sz w:val="22"/>
          <w:szCs w:val="22"/>
          <w:lang w:val="sr-Latn-ME"/>
        </w:rPr>
        <w:t xml:space="preserve">mijenja </w:t>
      </w:r>
      <w:r w:rsidRPr="009307C4">
        <w:rPr>
          <w:sz w:val="22"/>
          <w:szCs w:val="22"/>
          <w:lang w:val="sr-Latn-ME"/>
        </w:rPr>
        <w:t xml:space="preserve">potrebu pacijenata </w:t>
      </w:r>
      <w:r w:rsidR="00691069" w:rsidRPr="009307C4">
        <w:rPr>
          <w:sz w:val="22"/>
          <w:szCs w:val="22"/>
          <w:lang w:val="sr-Latn-ME"/>
        </w:rPr>
        <w:t xml:space="preserve">sa astmom </w:t>
      </w:r>
      <w:r w:rsidR="00F87BAD" w:rsidRPr="009307C4">
        <w:rPr>
          <w:sz w:val="22"/>
          <w:szCs w:val="22"/>
          <w:lang w:val="sr-Latn-ME"/>
        </w:rPr>
        <w:t xml:space="preserve">osjetljivom na aspirin </w:t>
      </w:r>
      <w:r w:rsidRPr="009307C4">
        <w:rPr>
          <w:sz w:val="22"/>
          <w:szCs w:val="22"/>
          <w:lang w:val="sr-Latn-ME"/>
        </w:rPr>
        <w:t>da izb</w:t>
      </w:r>
      <w:r w:rsidR="00734E7E" w:rsidRPr="009307C4">
        <w:rPr>
          <w:sz w:val="22"/>
          <w:szCs w:val="22"/>
          <w:lang w:val="sr-Latn-ME"/>
        </w:rPr>
        <w:t>j</w:t>
      </w:r>
      <w:r w:rsidRPr="009307C4">
        <w:rPr>
          <w:sz w:val="22"/>
          <w:szCs w:val="22"/>
          <w:lang w:val="sr-Latn-ME"/>
        </w:rPr>
        <w:t xml:space="preserve">egavaju uzimanje aspirina i </w:t>
      </w:r>
      <w:r w:rsidR="00F87BAD" w:rsidRPr="009307C4">
        <w:rPr>
          <w:sz w:val="22"/>
          <w:szCs w:val="22"/>
          <w:lang w:val="sr-Latn-ME"/>
        </w:rPr>
        <w:t xml:space="preserve">ostalih </w:t>
      </w:r>
      <w:r w:rsidR="00D22758" w:rsidRPr="009307C4">
        <w:rPr>
          <w:sz w:val="22"/>
          <w:szCs w:val="22"/>
          <w:lang w:val="sr-Latn-ME"/>
        </w:rPr>
        <w:t xml:space="preserve">nesteroidnih </w:t>
      </w:r>
      <w:r w:rsidRPr="009307C4">
        <w:rPr>
          <w:sz w:val="22"/>
          <w:szCs w:val="22"/>
          <w:lang w:val="sr-Latn-ME"/>
        </w:rPr>
        <w:t>antiinflamatornih l</w:t>
      </w:r>
      <w:r w:rsidR="00734E7E" w:rsidRPr="009307C4">
        <w:rPr>
          <w:sz w:val="22"/>
          <w:szCs w:val="22"/>
          <w:lang w:val="sr-Latn-ME"/>
        </w:rPr>
        <w:t>j</w:t>
      </w:r>
      <w:r w:rsidRPr="009307C4">
        <w:rPr>
          <w:sz w:val="22"/>
          <w:szCs w:val="22"/>
          <w:lang w:val="sr-Latn-ME"/>
        </w:rPr>
        <w:t>ekova.</w:t>
      </w:r>
    </w:p>
    <w:p w14:paraId="399A5099" w14:textId="5CDD9B41" w:rsidR="0089562E" w:rsidRPr="009307C4" w:rsidDel="0089562E" w:rsidRDefault="0089562E" w:rsidP="00C4333D">
      <w:pPr>
        <w:jc w:val="both"/>
        <w:rPr>
          <w:sz w:val="22"/>
          <w:szCs w:val="22"/>
          <w:lang w:val="sr-Latn-ME"/>
        </w:rPr>
      </w:pPr>
      <w:bookmarkStart w:id="1" w:name="_Hlk27041241"/>
    </w:p>
    <w:tbl>
      <w:tblPr>
        <w:tblStyle w:val="TableGrid"/>
        <w:tblW w:w="0" w:type="auto"/>
        <w:tblInd w:w="0" w:type="dxa"/>
        <w:tblLook w:val="04A0" w:firstRow="1" w:lastRow="0" w:firstColumn="1" w:lastColumn="0" w:noHBand="0" w:noVBand="1"/>
      </w:tblPr>
      <w:tblGrid>
        <w:gridCol w:w="9061"/>
      </w:tblGrid>
      <w:tr w:rsidR="0089562E" w:rsidRPr="009307C4" w14:paraId="1F8888C5" w14:textId="77777777" w:rsidTr="002E4651">
        <w:tc>
          <w:tcPr>
            <w:tcW w:w="9061" w:type="dxa"/>
            <w:tcBorders>
              <w:top w:val="single" w:sz="4" w:space="0" w:color="auto"/>
              <w:left w:val="single" w:sz="4" w:space="0" w:color="auto"/>
              <w:bottom w:val="single" w:sz="4" w:space="0" w:color="auto"/>
              <w:right w:val="single" w:sz="4" w:space="0" w:color="auto"/>
            </w:tcBorders>
            <w:hideMark/>
          </w:tcPr>
          <w:p w14:paraId="7012E282" w14:textId="77777777" w:rsidR="0089562E" w:rsidRPr="009307C4" w:rsidRDefault="0089562E" w:rsidP="0099206A">
            <w:pPr>
              <w:jc w:val="both"/>
              <w:rPr>
                <w:b/>
                <w:bCs/>
                <w:sz w:val="22"/>
                <w:szCs w:val="22"/>
                <w:lang w:val="sr-Latn-ME" w:eastAsia="en-GB"/>
              </w:rPr>
            </w:pPr>
            <w:r w:rsidRPr="009307C4">
              <w:rPr>
                <w:b/>
                <w:bCs/>
                <w:sz w:val="22"/>
                <w:szCs w:val="22"/>
                <w:lang w:val="sr-Latn-ME" w:eastAsia="en-GB"/>
              </w:rPr>
              <w:t>Neuropsihijatrijski događaji, kao što su bihejvioralne promjene, depresija i suicidalnost, su prijavljene u svim starosnim grupama pacijenata koji su uzimali montekulakst (vidjeti dio 4.8). Simptomi mogu biti ozbiljni i mogu da se nastave ukoliko se terapija ne prekine. Zbog toga bi trebalo obustaviti primjenu montelukasta ukoliko tokom trajanja terapije dođe do pojave nuropsihijatrijskih simptoma. Posavjetujte pacijente i/ili njegovatelje da obrate pažnju na pojavu neuropsihijatrijskih događaja i kažite im da obavijeste svog ljekara ukoliko se jave ove promjene u ponašanju.</w:t>
            </w:r>
          </w:p>
        </w:tc>
      </w:tr>
      <w:bookmarkEnd w:id="1"/>
    </w:tbl>
    <w:p w14:paraId="7483F1F4" w14:textId="77777777" w:rsidR="008C139F" w:rsidRPr="009307C4" w:rsidRDefault="008C139F" w:rsidP="00C4333D">
      <w:pPr>
        <w:jc w:val="both"/>
        <w:rPr>
          <w:sz w:val="22"/>
          <w:szCs w:val="22"/>
          <w:lang w:val="sr-Latn-ME"/>
        </w:rPr>
      </w:pPr>
    </w:p>
    <w:p w14:paraId="1B8D913E" w14:textId="12B75720" w:rsidR="0089562E" w:rsidRPr="009307C4" w:rsidRDefault="0089562E" w:rsidP="0089562E">
      <w:pPr>
        <w:jc w:val="both"/>
        <w:rPr>
          <w:sz w:val="22"/>
          <w:szCs w:val="22"/>
          <w:u w:val="single"/>
          <w:lang w:val="sr-Latn-ME"/>
        </w:rPr>
      </w:pPr>
      <w:r w:rsidRPr="009307C4">
        <w:rPr>
          <w:sz w:val="22"/>
          <w:szCs w:val="22"/>
          <w:u w:val="single"/>
          <w:lang w:val="sr-Latn-ME"/>
        </w:rPr>
        <w:t>Natrijum</w:t>
      </w:r>
    </w:p>
    <w:p w14:paraId="1E962471" w14:textId="77777777" w:rsidR="009307C4" w:rsidRPr="009307C4" w:rsidRDefault="009307C4" w:rsidP="0089562E">
      <w:pPr>
        <w:jc w:val="both"/>
        <w:rPr>
          <w:sz w:val="22"/>
          <w:szCs w:val="22"/>
          <w:u w:val="single"/>
          <w:lang w:val="sr-Latn-ME"/>
        </w:rPr>
      </w:pPr>
    </w:p>
    <w:p w14:paraId="7E034DF0" w14:textId="01476642" w:rsidR="0089562E" w:rsidRPr="009307C4" w:rsidRDefault="0089562E" w:rsidP="0089562E">
      <w:pPr>
        <w:jc w:val="both"/>
        <w:rPr>
          <w:sz w:val="22"/>
          <w:szCs w:val="22"/>
          <w:lang w:val="sr-Latn-ME"/>
        </w:rPr>
      </w:pPr>
      <w:r w:rsidRPr="009307C4">
        <w:rPr>
          <w:sz w:val="22"/>
          <w:szCs w:val="22"/>
          <w:lang w:val="sr-Latn-ME"/>
        </w:rPr>
        <w:t xml:space="preserve">Ovaj lijek sadrži manje od 1 mmol (23 mg) natrijuma po kesici, odnosno suštinski je </w:t>
      </w:r>
      <w:r w:rsidR="00AC6742" w:rsidRPr="009307C4">
        <w:rPr>
          <w:sz w:val="22"/>
          <w:szCs w:val="22"/>
          <w:lang w:val="sr-Latn-ME"/>
        </w:rPr>
        <w:t>„</w:t>
      </w:r>
      <w:r w:rsidRPr="009307C4">
        <w:rPr>
          <w:sz w:val="22"/>
          <w:szCs w:val="22"/>
          <w:lang w:val="sr-Latn-ME"/>
        </w:rPr>
        <w:t>bez natrijuma</w:t>
      </w:r>
      <w:r w:rsidR="00AC6742" w:rsidRPr="009307C4">
        <w:rPr>
          <w:sz w:val="22"/>
          <w:szCs w:val="22"/>
          <w:lang w:val="sr-Latn-ME"/>
        </w:rPr>
        <w:t>“</w:t>
      </w:r>
      <w:r w:rsidRPr="009307C4">
        <w:rPr>
          <w:sz w:val="22"/>
          <w:szCs w:val="22"/>
          <w:lang w:val="sr-Latn-ME"/>
        </w:rPr>
        <w:t>.</w:t>
      </w:r>
    </w:p>
    <w:p w14:paraId="672BC025" w14:textId="77777777" w:rsidR="00057E35" w:rsidRPr="009307C4" w:rsidRDefault="00057E35" w:rsidP="00C4333D">
      <w:pPr>
        <w:tabs>
          <w:tab w:val="left" w:pos="540"/>
          <w:tab w:val="left" w:pos="569"/>
        </w:tabs>
        <w:jc w:val="both"/>
        <w:rPr>
          <w:bCs/>
          <w:sz w:val="22"/>
          <w:szCs w:val="22"/>
          <w:lang w:val="sr-Latn-ME"/>
        </w:rPr>
      </w:pPr>
    </w:p>
    <w:p w14:paraId="14772CB4" w14:textId="77777777" w:rsidR="00411B4B" w:rsidRPr="009307C4" w:rsidRDefault="00411B4B" w:rsidP="00C4333D">
      <w:pPr>
        <w:tabs>
          <w:tab w:val="left" w:pos="540"/>
          <w:tab w:val="left" w:pos="569"/>
        </w:tabs>
        <w:jc w:val="both"/>
        <w:rPr>
          <w:b/>
          <w:bCs/>
          <w:sz w:val="22"/>
          <w:szCs w:val="22"/>
          <w:lang w:val="sr-Latn-ME"/>
        </w:rPr>
      </w:pPr>
      <w:r w:rsidRPr="009307C4">
        <w:rPr>
          <w:b/>
          <w:bCs/>
          <w:sz w:val="22"/>
          <w:szCs w:val="22"/>
          <w:lang w:val="sr-Latn-ME"/>
        </w:rPr>
        <w:t>4.5.</w:t>
      </w:r>
      <w:r w:rsidR="000D60CC" w:rsidRPr="009307C4">
        <w:rPr>
          <w:b/>
          <w:bCs/>
          <w:sz w:val="22"/>
          <w:szCs w:val="22"/>
          <w:lang w:val="sr-Latn-ME"/>
        </w:rPr>
        <w:tab/>
      </w:r>
      <w:r w:rsidRPr="009307C4">
        <w:rPr>
          <w:b/>
          <w:bCs/>
          <w:sz w:val="22"/>
          <w:szCs w:val="22"/>
          <w:lang w:val="sr-Latn-ME"/>
        </w:rPr>
        <w:t>Interakcije sa drugim ljekovima i druge vrste interakcija</w:t>
      </w:r>
    </w:p>
    <w:p w14:paraId="3AFAA007" w14:textId="6A5AF1FA" w:rsidR="0072020E" w:rsidRPr="009307C4" w:rsidRDefault="0072020E" w:rsidP="00C4333D">
      <w:pPr>
        <w:tabs>
          <w:tab w:val="left" w:pos="540"/>
          <w:tab w:val="left" w:pos="569"/>
        </w:tabs>
        <w:jc w:val="both"/>
        <w:rPr>
          <w:bCs/>
          <w:sz w:val="22"/>
          <w:szCs w:val="22"/>
          <w:lang w:val="sr-Latn-ME"/>
        </w:rPr>
      </w:pPr>
    </w:p>
    <w:p w14:paraId="6DD17251" w14:textId="3FD73A64" w:rsidR="008808CA" w:rsidRPr="009307C4" w:rsidRDefault="008808CA" w:rsidP="00C4333D">
      <w:pPr>
        <w:pStyle w:val="Header"/>
        <w:tabs>
          <w:tab w:val="left" w:pos="284"/>
        </w:tabs>
        <w:jc w:val="both"/>
        <w:rPr>
          <w:sz w:val="22"/>
          <w:lang w:val="sr-Latn-ME"/>
        </w:rPr>
      </w:pPr>
      <w:r w:rsidRPr="009307C4">
        <w:rPr>
          <w:sz w:val="22"/>
          <w:lang w:val="sr-Latn-ME"/>
        </w:rPr>
        <w:t xml:space="preserve">Montelukast se može primjenjivati sa drugom terapijom koja se rutinski koristi u profilaksi i hroničnom liječenju astme. U studijama u kojima su ispitivane interakcije ljekova, preporučena klinička doza </w:t>
      </w:r>
      <w:r w:rsidRPr="009307C4">
        <w:rPr>
          <w:sz w:val="22"/>
          <w:lang w:val="sr-Latn-ME"/>
        </w:rPr>
        <w:lastRenderedPageBreak/>
        <w:t xml:space="preserve">montelukasta nije </w:t>
      </w:r>
      <w:r w:rsidR="00F87BAD" w:rsidRPr="009307C4">
        <w:rPr>
          <w:sz w:val="22"/>
          <w:lang w:val="sr-Latn-ME"/>
        </w:rPr>
        <w:t xml:space="preserve">imala </w:t>
      </w:r>
      <w:r w:rsidRPr="009307C4">
        <w:rPr>
          <w:sz w:val="22"/>
          <w:lang w:val="sr-Latn-ME"/>
        </w:rPr>
        <w:t>klinički značajne efekte na farmakokinetiku sljedećih ljekova: teofilina, prednizona, prednizolona, oralnih kontraceptiva (etinil estradiol/noretindron 35/1), terfenadona, digoksina i varfarina.</w:t>
      </w:r>
    </w:p>
    <w:p w14:paraId="171B750E" w14:textId="77777777" w:rsidR="008808CA" w:rsidRPr="009307C4" w:rsidRDefault="008808CA" w:rsidP="00C4333D">
      <w:pPr>
        <w:pStyle w:val="Header"/>
        <w:tabs>
          <w:tab w:val="left" w:pos="284"/>
        </w:tabs>
        <w:jc w:val="both"/>
        <w:rPr>
          <w:sz w:val="22"/>
          <w:lang w:val="sr-Latn-ME"/>
        </w:rPr>
      </w:pPr>
    </w:p>
    <w:p w14:paraId="136655A8" w14:textId="47BE504B" w:rsidR="008808CA" w:rsidRPr="009307C4" w:rsidRDefault="00F87BAD" w:rsidP="00C4333D">
      <w:pPr>
        <w:pStyle w:val="Header"/>
        <w:tabs>
          <w:tab w:val="left" w:pos="284"/>
        </w:tabs>
        <w:jc w:val="both"/>
        <w:rPr>
          <w:sz w:val="22"/>
          <w:lang w:val="sr-Latn-ME"/>
        </w:rPr>
      </w:pPr>
      <w:r w:rsidRPr="009307C4">
        <w:rPr>
          <w:sz w:val="22"/>
          <w:lang w:val="sr-Latn-ME"/>
        </w:rPr>
        <w:t>Kod ispitanika koji su istovremeno uzimali fenobarbital p</w:t>
      </w:r>
      <w:r w:rsidR="008808CA" w:rsidRPr="009307C4">
        <w:rPr>
          <w:sz w:val="22"/>
          <w:lang w:val="sr-Latn-ME"/>
        </w:rPr>
        <w:t>ovršina ispod krive (</w:t>
      </w:r>
      <w:r w:rsidRPr="009307C4">
        <w:rPr>
          <w:sz w:val="22"/>
          <w:lang w:val="sr-Latn-ME"/>
        </w:rPr>
        <w:t>PIK</w:t>
      </w:r>
      <w:r w:rsidR="008808CA" w:rsidRPr="009307C4">
        <w:rPr>
          <w:sz w:val="22"/>
          <w:lang w:val="sr-Latn-ME"/>
        </w:rPr>
        <w:t xml:space="preserve">) za montelukast </w:t>
      </w:r>
      <w:r w:rsidRPr="009307C4">
        <w:rPr>
          <w:sz w:val="22"/>
          <w:lang w:val="sr-Latn-ME"/>
        </w:rPr>
        <w:t xml:space="preserve">bila </w:t>
      </w:r>
      <w:r w:rsidR="008808CA" w:rsidRPr="009307C4">
        <w:rPr>
          <w:sz w:val="22"/>
          <w:lang w:val="sr-Latn-ME"/>
        </w:rPr>
        <w:t xml:space="preserve">je smanjena za </w:t>
      </w:r>
      <w:r w:rsidRPr="009307C4">
        <w:rPr>
          <w:sz w:val="22"/>
          <w:lang w:val="sr-Latn-ME"/>
        </w:rPr>
        <w:t xml:space="preserve">približno </w:t>
      </w:r>
      <w:r w:rsidR="008808CA" w:rsidRPr="009307C4">
        <w:rPr>
          <w:sz w:val="22"/>
          <w:lang w:val="sr-Latn-ME"/>
        </w:rPr>
        <w:t xml:space="preserve">40%. Obzirom da se metaboliše </w:t>
      </w:r>
      <w:r w:rsidRPr="009307C4">
        <w:rPr>
          <w:sz w:val="22"/>
          <w:lang w:val="sr-Latn-ME"/>
        </w:rPr>
        <w:t xml:space="preserve">posredstvom </w:t>
      </w:r>
      <w:r w:rsidR="008808CA" w:rsidRPr="009307C4">
        <w:rPr>
          <w:sz w:val="22"/>
          <w:lang w:val="sr-Latn-ME"/>
        </w:rPr>
        <w:t xml:space="preserve">enzima CYP 3A4, 2C8 i 2C9, </w:t>
      </w:r>
      <w:r w:rsidRPr="009307C4">
        <w:rPr>
          <w:sz w:val="22"/>
          <w:lang w:val="sr-Latn-ME"/>
        </w:rPr>
        <w:t xml:space="preserve">potreban je oprez, posebno </w:t>
      </w:r>
      <w:r w:rsidR="008808CA" w:rsidRPr="009307C4">
        <w:rPr>
          <w:sz w:val="22"/>
          <w:lang w:val="sr-Latn-ME"/>
        </w:rPr>
        <w:t>kod djece</w:t>
      </w:r>
      <w:r w:rsidRPr="009307C4">
        <w:rPr>
          <w:sz w:val="22"/>
          <w:lang w:val="sr-Latn-ME"/>
        </w:rPr>
        <w:t>,</w:t>
      </w:r>
      <w:r w:rsidR="008808CA" w:rsidRPr="009307C4">
        <w:rPr>
          <w:sz w:val="22"/>
          <w:lang w:val="sr-Latn-ME"/>
        </w:rPr>
        <w:t xml:space="preserve"> kod </w:t>
      </w:r>
      <w:r w:rsidRPr="009307C4">
        <w:rPr>
          <w:sz w:val="22"/>
          <w:lang w:val="sr-Latn-ME"/>
        </w:rPr>
        <w:t xml:space="preserve">isovremene primjene </w:t>
      </w:r>
      <w:r w:rsidR="008808CA" w:rsidRPr="009307C4">
        <w:rPr>
          <w:sz w:val="22"/>
          <w:lang w:val="sr-Latn-ME"/>
        </w:rPr>
        <w:t>montelukast</w:t>
      </w:r>
      <w:r w:rsidRPr="009307C4">
        <w:rPr>
          <w:sz w:val="22"/>
          <w:lang w:val="sr-Latn-ME"/>
        </w:rPr>
        <w:t>a</w:t>
      </w:r>
      <w:r w:rsidR="008808CA" w:rsidRPr="009307C4">
        <w:rPr>
          <w:sz w:val="22"/>
          <w:lang w:val="sr-Latn-ME"/>
        </w:rPr>
        <w:t xml:space="preserve"> sa</w:t>
      </w:r>
      <w:r w:rsidRPr="009307C4">
        <w:rPr>
          <w:sz w:val="22"/>
          <w:lang w:val="sr-Latn-ME"/>
        </w:rPr>
        <w:t xml:space="preserve"> lijekovima koji</w:t>
      </w:r>
      <w:r w:rsidR="008808CA" w:rsidRPr="009307C4">
        <w:rPr>
          <w:sz w:val="22"/>
          <w:lang w:val="sr-Latn-ME"/>
        </w:rPr>
        <w:t xml:space="preserve"> induk</w:t>
      </w:r>
      <w:r w:rsidRPr="009307C4">
        <w:rPr>
          <w:sz w:val="22"/>
          <w:lang w:val="sr-Latn-ME"/>
        </w:rPr>
        <w:t>uju</w:t>
      </w:r>
      <w:r w:rsidR="008808CA" w:rsidRPr="009307C4">
        <w:rPr>
          <w:sz w:val="22"/>
          <w:lang w:val="sr-Latn-ME"/>
        </w:rPr>
        <w:t xml:space="preserve"> CYP 3A4,  2C8 i 2C9</w:t>
      </w:r>
      <w:r w:rsidRPr="009307C4">
        <w:rPr>
          <w:sz w:val="22"/>
          <w:lang w:val="sr-Latn-ME"/>
        </w:rPr>
        <w:t xml:space="preserve">, </w:t>
      </w:r>
      <w:r w:rsidR="008808CA" w:rsidRPr="009307C4">
        <w:rPr>
          <w:sz w:val="22"/>
          <w:lang w:val="sr-Latn-ME"/>
        </w:rPr>
        <w:t xml:space="preserve">kao što su fenitoin, fenobarbital i rifampicin. </w:t>
      </w:r>
    </w:p>
    <w:p w14:paraId="57F0D104" w14:textId="77777777" w:rsidR="008808CA" w:rsidRPr="009307C4" w:rsidRDefault="008808CA" w:rsidP="00C4333D">
      <w:pPr>
        <w:autoSpaceDE w:val="0"/>
        <w:autoSpaceDN w:val="0"/>
        <w:adjustRightInd w:val="0"/>
        <w:jc w:val="both"/>
        <w:rPr>
          <w:iCs/>
          <w:sz w:val="22"/>
          <w:szCs w:val="22"/>
          <w:lang w:val="sr-Latn-ME" w:eastAsia="sr-Latn-CS"/>
        </w:rPr>
      </w:pPr>
    </w:p>
    <w:p w14:paraId="4C8F6F21" w14:textId="5F0FC2BC" w:rsidR="008808CA" w:rsidRPr="009307C4" w:rsidRDefault="00F87BAD" w:rsidP="00C4333D">
      <w:pPr>
        <w:autoSpaceDE w:val="0"/>
        <w:autoSpaceDN w:val="0"/>
        <w:adjustRightInd w:val="0"/>
        <w:jc w:val="both"/>
        <w:rPr>
          <w:sz w:val="22"/>
          <w:lang w:val="sr-Latn-ME"/>
        </w:rPr>
      </w:pPr>
      <w:r w:rsidRPr="009307C4">
        <w:rPr>
          <w:i/>
          <w:iCs/>
          <w:sz w:val="22"/>
          <w:szCs w:val="22"/>
          <w:lang w:val="sr-Latn-ME" w:eastAsia="sr-Latn-CS"/>
        </w:rPr>
        <w:t>I</w:t>
      </w:r>
      <w:r w:rsidR="008808CA" w:rsidRPr="009307C4">
        <w:rPr>
          <w:i/>
          <w:iCs/>
          <w:sz w:val="22"/>
          <w:szCs w:val="22"/>
          <w:lang w:val="sr-Latn-ME" w:eastAsia="sr-Latn-CS"/>
        </w:rPr>
        <w:t>n vitro</w:t>
      </w:r>
      <w:r w:rsidR="008808CA" w:rsidRPr="009307C4">
        <w:rPr>
          <w:iCs/>
          <w:sz w:val="22"/>
          <w:szCs w:val="22"/>
          <w:lang w:val="sr-Latn-ME" w:eastAsia="sr-Latn-CS"/>
        </w:rPr>
        <w:t xml:space="preserve"> </w:t>
      </w:r>
      <w:r w:rsidRPr="009307C4">
        <w:rPr>
          <w:iCs/>
          <w:sz w:val="22"/>
          <w:szCs w:val="22"/>
          <w:lang w:val="sr-Latn-ME" w:eastAsia="sr-Latn-CS"/>
        </w:rPr>
        <w:t xml:space="preserve">studije </w:t>
      </w:r>
      <w:r w:rsidR="008808CA" w:rsidRPr="009307C4">
        <w:rPr>
          <w:iCs/>
          <w:sz w:val="22"/>
          <w:szCs w:val="22"/>
          <w:lang w:val="sr-Latn-ME" w:eastAsia="sr-Latn-CS"/>
        </w:rPr>
        <w:t>su pokazale da je montelukast snažan inhibitor enzima</w:t>
      </w:r>
      <w:r w:rsidR="008808CA" w:rsidRPr="009307C4">
        <w:rPr>
          <w:sz w:val="22"/>
          <w:szCs w:val="22"/>
          <w:lang w:val="sr-Latn-ME" w:eastAsia="sr-Latn-CS"/>
        </w:rPr>
        <w:t xml:space="preserve"> CYP 2C8. Međutim, podaci </w:t>
      </w:r>
      <w:r w:rsidRPr="009307C4">
        <w:rPr>
          <w:sz w:val="22"/>
          <w:szCs w:val="22"/>
          <w:lang w:val="sr-Latn-ME" w:eastAsia="sr-Latn-CS"/>
        </w:rPr>
        <w:t>iz</w:t>
      </w:r>
      <w:r w:rsidR="008808CA" w:rsidRPr="009307C4">
        <w:rPr>
          <w:sz w:val="22"/>
          <w:szCs w:val="22"/>
          <w:lang w:val="sr-Latn-ME" w:eastAsia="sr-Latn-CS"/>
        </w:rPr>
        <w:t xml:space="preserve"> kliničk</w:t>
      </w:r>
      <w:r w:rsidRPr="009307C4">
        <w:rPr>
          <w:sz w:val="22"/>
          <w:szCs w:val="22"/>
          <w:lang w:val="sr-Latn-ME" w:eastAsia="sr-Latn-CS"/>
        </w:rPr>
        <w:t>ih studija</w:t>
      </w:r>
      <w:r w:rsidR="008808CA" w:rsidRPr="009307C4">
        <w:rPr>
          <w:sz w:val="22"/>
          <w:szCs w:val="22"/>
          <w:lang w:val="sr-Latn-ME" w:eastAsia="sr-Latn-CS"/>
        </w:rPr>
        <w:t xml:space="preserve"> interakcij</w:t>
      </w:r>
      <w:r w:rsidRPr="009307C4">
        <w:rPr>
          <w:sz w:val="22"/>
          <w:szCs w:val="22"/>
          <w:lang w:val="sr-Latn-ME" w:eastAsia="sr-Latn-CS"/>
        </w:rPr>
        <w:t>a</w:t>
      </w:r>
      <w:r w:rsidR="008808CA" w:rsidRPr="009307C4">
        <w:rPr>
          <w:sz w:val="22"/>
          <w:szCs w:val="22"/>
          <w:lang w:val="sr-Latn-ME" w:eastAsia="sr-Latn-CS"/>
        </w:rPr>
        <w:t xml:space="preserve"> ljekova</w:t>
      </w:r>
      <w:r w:rsidRPr="009307C4">
        <w:rPr>
          <w:sz w:val="22"/>
          <w:szCs w:val="22"/>
          <w:lang w:val="sr-Latn-ME" w:eastAsia="sr-Latn-CS"/>
        </w:rPr>
        <w:t>, uključujući</w:t>
      </w:r>
      <w:r w:rsidR="008808CA" w:rsidRPr="009307C4">
        <w:rPr>
          <w:sz w:val="22"/>
          <w:szCs w:val="22"/>
          <w:lang w:val="sr-Latn-ME" w:eastAsia="sr-Latn-CS"/>
        </w:rPr>
        <w:t xml:space="preserve"> montelukast i rosiglitazon (</w:t>
      </w:r>
      <w:r w:rsidRPr="009307C4">
        <w:rPr>
          <w:sz w:val="22"/>
          <w:szCs w:val="22"/>
          <w:lang w:val="sr-Latn-ME" w:eastAsia="sr-Latn-CS"/>
        </w:rPr>
        <w:t xml:space="preserve">primjer </w:t>
      </w:r>
      <w:r w:rsidR="008808CA" w:rsidRPr="009307C4">
        <w:rPr>
          <w:sz w:val="22"/>
          <w:szCs w:val="22"/>
          <w:lang w:val="sr-Latn-ME" w:eastAsia="sr-Latn-CS"/>
        </w:rPr>
        <w:t>za ljekove koj</w:t>
      </w:r>
      <w:r w:rsidRPr="009307C4">
        <w:rPr>
          <w:sz w:val="22"/>
          <w:szCs w:val="22"/>
          <w:lang w:val="sr-Latn-ME" w:eastAsia="sr-Latn-CS"/>
        </w:rPr>
        <w:t>i se primarno</w:t>
      </w:r>
      <w:r w:rsidR="008808CA" w:rsidRPr="009307C4">
        <w:rPr>
          <w:sz w:val="22"/>
          <w:szCs w:val="22"/>
          <w:lang w:val="sr-Latn-ME" w:eastAsia="sr-Latn-CS"/>
        </w:rPr>
        <w:t xml:space="preserve"> metaboliš</w:t>
      </w:r>
      <w:r w:rsidRPr="009307C4">
        <w:rPr>
          <w:sz w:val="22"/>
          <w:szCs w:val="22"/>
          <w:lang w:val="sr-Latn-ME" w:eastAsia="sr-Latn-CS"/>
        </w:rPr>
        <w:t>u posredstvom</w:t>
      </w:r>
      <w:r w:rsidR="008808CA" w:rsidRPr="009307C4">
        <w:rPr>
          <w:sz w:val="22"/>
          <w:szCs w:val="22"/>
          <w:lang w:val="sr-Latn-ME" w:eastAsia="sr-Latn-CS"/>
        </w:rPr>
        <w:t xml:space="preserve"> CYP 2C8)</w:t>
      </w:r>
      <w:r w:rsidRPr="009307C4">
        <w:rPr>
          <w:sz w:val="22"/>
          <w:szCs w:val="22"/>
          <w:lang w:val="sr-Latn-ME" w:eastAsia="sr-Latn-CS"/>
        </w:rPr>
        <w:t>,</w:t>
      </w:r>
      <w:r w:rsidR="008808CA" w:rsidRPr="009307C4">
        <w:rPr>
          <w:sz w:val="22"/>
          <w:szCs w:val="22"/>
          <w:lang w:val="sr-Latn-ME" w:eastAsia="sr-Latn-CS"/>
        </w:rPr>
        <w:t xml:space="preserve"> pokazal</w:t>
      </w:r>
      <w:r w:rsidRPr="009307C4">
        <w:rPr>
          <w:sz w:val="22"/>
          <w:szCs w:val="22"/>
          <w:lang w:val="sr-Latn-ME" w:eastAsia="sr-Latn-CS"/>
        </w:rPr>
        <w:t>e</w:t>
      </w:r>
      <w:r w:rsidR="008808CA" w:rsidRPr="009307C4">
        <w:rPr>
          <w:sz w:val="22"/>
          <w:szCs w:val="22"/>
          <w:lang w:val="sr-Latn-ME" w:eastAsia="sr-Latn-CS"/>
        </w:rPr>
        <w:t xml:space="preserve"> su da montelukast ne inhibira CYP2C8 </w:t>
      </w:r>
      <w:r w:rsidR="008808CA" w:rsidRPr="009307C4">
        <w:rPr>
          <w:i/>
          <w:sz w:val="22"/>
          <w:szCs w:val="22"/>
          <w:lang w:val="sr-Latn-ME" w:eastAsia="sr-Latn-CS"/>
        </w:rPr>
        <w:t>in vivo</w:t>
      </w:r>
      <w:r w:rsidR="008808CA" w:rsidRPr="009307C4">
        <w:rPr>
          <w:sz w:val="22"/>
          <w:szCs w:val="22"/>
          <w:lang w:val="sr-Latn-ME" w:eastAsia="sr-Latn-CS"/>
        </w:rPr>
        <w:t xml:space="preserve">. </w:t>
      </w:r>
      <w:r w:rsidRPr="009307C4">
        <w:rPr>
          <w:sz w:val="22"/>
          <w:szCs w:val="22"/>
          <w:lang w:val="sr-Latn-ME" w:eastAsia="sr-Latn-CS"/>
        </w:rPr>
        <w:t xml:space="preserve">Zbog toga </w:t>
      </w:r>
      <w:r w:rsidR="008808CA" w:rsidRPr="009307C4">
        <w:rPr>
          <w:sz w:val="22"/>
          <w:szCs w:val="22"/>
          <w:lang w:val="sr-Latn-ME" w:eastAsia="sr-Latn-CS"/>
        </w:rPr>
        <w:t xml:space="preserve">se </w:t>
      </w:r>
      <w:r w:rsidRPr="009307C4">
        <w:rPr>
          <w:sz w:val="22"/>
          <w:szCs w:val="22"/>
          <w:lang w:val="sr-Latn-ME" w:eastAsia="sr-Latn-CS"/>
        </w:rPr>
        <w:t xml:space="preserve">ne očekuje </w:t>
      </w:r>
      <w:r w:rsidR="008808CA" w:rsidRPr="009307C4">
        <w:rPr>
          <w:sz w:val="22"/>
          <w:szCs w:val="22"/>
          <w:lang w:val="sr-Latn-ME" w:eastAsia="sr-Latn-CS"/>
        </w:rPr>
        <w:t>da montelukast značajno</w:t>
      </w:r>
      <w:r w:rsidRPr="009307C4">
        <w:rPr>
          <w:sz w:val="22"/>
          <w:szCs w:val="22"/>
          <w:lang w:val="sr-Latn-ME" w:eastAsia="sr-Latn-CS"/>
        </w:rPr>
        <w:t xml:space="preserve"> promijeni </w:t>
      </w:r>
      <w:r w:rsidR="008808CA" w:rsidRPr="009307C4">
        <w:rPr>
          <w:sz w:val="22"/>
          <w:szCs w:val="22"/>
          <w:lang w:val="sr-Latn-ME" w:eastAsia="sr-Latn-CS"/>
        </w:rPr>
        <w:t xml:space="preserve"> metabolizam ljekova </w:t>
      </w:r>
      <w:r w:rsidR="00BB7DE8" w:rsidRPr="009307C4">
        <w:rPr>
          <w:sz w:val="22"/>
          <w:szCs w:val="22"/>
          <w:lang w:val="sr-Latn-ME" w:eastAsia="sr-Latn-CS"/>
        </w:rPr>
        <w:t xml:space="preserve">koji se metabolišu posredstvom tog </w:t>
      </w:r>
      <w:r w:rsidR="008808CA" w:rsidRPr="009307C4">
        <w:rPr>
          <w:sz w:val="22"/>
          <w:szCs w:val="22"/>
          <w:lang w:val="sr-Latn-ME" w:eastAsia="sr-Latn-CS"/>
        </w:rPr>
        <w:t>enzim</w:t>
      </w:r>
      <w:r w:rsidR="00BB7DE8" w:rsidRPr="009307C4">
        <w:rPr>
          <w:sz w:val="22"/>
          <w:szCs w:val="22"/>
          <w:lang w:val="sr-Latn-ME" w:eastAsia="sr-Latn-CS"/>
        </w:rPr>
        <w:t>a</w:t>
      </w:r>
      <w:r w:rsidR="008808CA" w:rsidRPr="009307C4">
        <w:rPr>
          <w:sz w:val="22"/>
          <w:szCs w:val="22"/>
          <w:lang w:val="sr-Latn-ME" w:eastAsia="sr-Latn-CS"/>
        </w:rPr>
        <w:t xml:space="preserve"> (npr. paklitaksel, rosiglitazon i repaglinid).</w:t>
      </w:r>
    </w:p>
    <w:p w14:paraId="35A71550" w14:textId="77777777" w:rsidR="008808CA" w:rsidRPr="009307C4" w:rsidRDefault="008808CA" w:rsidP="00C4333D">
      <w:pPr>
        <w:autoSpaceDE w:val="0"/>
        <w:autoSpaceDN w:val="0"/>
        <w:adjustRightInd w:val="0"/>
        <w:jc w:val="both"/>
        <w:rPr>
          <w:sz w:val="22"/>
          <w:lang w:val="sr-Latn-ME"/>
        </w:rPr>
      </w:pPr>
    </w:p>
    <w:p w14:paraId="65E96D1C" w14:textId="4A78ED39" w:rsidR="008808CA" w:rsidRPr="009307C4" w:rsidRDefault="00BB7DE8" w:rsidP="00C4333D">
      <w:pPr>
        <w:tabs>
          <w:tab w:val="center" w:pos="4536"/>
          <w:tab w:val="right" w:pos="9072"/>
        </w:tabs>
        <w:jc w:val="both"/>
        <w:rPr>
          <w:sz w:val="22"/>
          <w:szCs w:val="22"/>
          <w:lang w:val="sr-Latn-ME"/>
        </w:rPr>
      </w:pPr>
      <w:r w:rsidRPr="009307C4">
        <w:rPr>
          <w:i/>
          <w:sz w:val="22"/>
          <w:szCs w:val="22"/>
          <w:lang w:val="sr-Latn-ME"/>
        </w:rPr>
        <w:t>I</w:t>
      </w:r>
      <w:r w:rsidR="008808CA" w:rsidRPr="009307C4">
        <w:rPr>
          <w:i/>
          <w:sz w:val="22"/>
          <w:szCs w:val="22"/>
          <w:lang w:val="sr-Latn-ME"/>
        </w:rPr>
        <w:t>n vitro</w:t>
      </w:r>
      <w:r w:rsidR="008808CA" w:rsidRPr="009307C4">
        <w:rPr>
          <w:sz w:val="22"/>
          <w:szCs w:val="22"/>
          <w:lang w:val="sr-Latn-ME"/>
        </w:rPr>
        <w:t xml:space="preserve"> </w:t>
      </w:r>
      <w:r w:rsidRPr="009307C4">
        <w:rPr>
          <w:sz w:val="22"/>
          <w:szCs w:val="22"/>
          <w:lang w:val="sr-Latn-ME"/>
        </w:rPr>
        <w:t xml:space="preserve">studije </w:t>
      </w:r>
      <w:r w:rsidR="008808CA" w:rsidRPr="009307C4">
        <w:rPr>
          <w:sz w:val="22"/>
          <w:szCs w:val="22"/>
          <w:lang w:val="sr-Latn-ME"/>
        </w:rPr>
        <w:t>su pokazal</w:t>
      </w:r>
      <w:r w:rsidRPr="009307C4">
        <w:rPr>
          <w:sz w:val="22"/>
          <w:szCs w:val="22"/>
          <w:lang w:val="sr-Latn-ME"/>
        </w:rPr>
        <w:t>e</w:t>
      </w:r>
      <w:r w:rsidR="008808CA" w:rsidRPr="009307C4">
        <w:rPr>
          <w:sz w:val="22"/>
          <w:szCs w:val="22"/>
          <w:lang w:val="sr-Latn-ME"/>
        </w:rPr>
        <w:t xml:space="preserve"> da je montelukast supstrat enzima CYP 2C8 </w:t>
      </w:r>
      <w:r w:rsidRPr="009307C4">
        <w:rPr>
          <w:sz w:val="22"/>
          <w:szCs w:val="22"/>
          <w:lang w:val="sr-Latn-ME"/>
        </w:rPr>
        <w:t>i,</w:t>
      </w:r>
      <w:r w:rsidR="008808CA" w:rsidRPr="009307C4">
        <w:rPr>
          <w:sz w:val="22"/>
          <w:szCs w:val="22"/>
          <w:lang w:val="sr-Latn-ME"/>
        </w:rPr>
        <w:t xml:space="preserve"> u manj</w:t>
      </w:r>
      <w:r w:rsidRPr="009307C4">
        <w:rPr>
          <w:sz w:val="22"/>
          <w:szCs w:val="22"/>
          <w:lang w:val="sr-Latn-ME"/>
        </w:rPr>
        <w:t>oj</w:t>
      </w:r>
      <w:r w:rsidR="008808CA" w:rsidRPr="009307C4">
        <w:rPr>
          <w:sz w:val="22"/>
          <w:szCs w:val="22"/>
          <w:lang w:val="sr-Latn-ME"/>
        </w:rPr>
        <w:t xml:space="preserve"> mjeri</w:t>
      </w:r>
      <w:r w:rsidRPr="009307C4">
        <w:rPr>
          <w:sz w:val="22"/>
          <w:szCs w:val="22"/>
          <w:lang w:val="sr-Latn-ME"/>
        </w:rPr>
        <w:t>,</w:t>
      </w:r>
      <w:r w:rsidR="008808CA" w:rsidRPr="009307C4">
        <w:rPr>
          <w:sz w:val="22"/>
          <w:szCs w:val="22"/>
          <w:lang w:val="sr-Latn-ME"/>
        </w:rPr>
        <w:t xml:space="preserve"> 2C9 i 3A4. U kliničkoj studiji </w:t>
      </w:r>
      <w:r w:rsidRPr="009307C4">
        <w:rPr>
          <w:sz w:val="22"/>
          <w:szCs w:val="22"/>
          <w:lang w:val="sr-Latn-ME"/>
        </w:rPr>
        <w:t>interakcije ljekova,</w:t>
      </w:r>
      <w:r w:rsidR="008808CA" w:rsidRPr="009307C4">
        <w:rPr>
          <w:sz w:val="22"/>
          <w:szCs w:val="22"/>
          <w:lang w:val="sr-Latn-ME"/>
        </w:rPr>
        <w:t xml:space="preserve"> </w:t>
      </w:r>
      <w:r w:rsidRPr="009307C4">
        <w:rPr>
          <w:sz w:val="22"/>
          <w:szCs w:val="22"/>
          <w:lang w:val="sr-Latn-ME"/>
        </w:rPr>
        <w:t xml:space="preserve">koja je uključivala </w:t>
      </w:r>
      <w:r w:rsidR="008808CA" w:rsidRPr="009307C4">
        <w:rPr>
          <w:sz w:val="22"/>
          <w:szCs w:val="22"/>
          <w:lang w:val="sr-Latn-ME"/>
        </w:rPr>
        <w:t xml:space="preserve">montelukast i gemfibrozil (inhibitor CYP 2C8 i 2C9), gemfibrozil je povećao sistemsku izloženost montelukastu 4,4 puta. </w:t>
      </w:r>
      <w:r w:rsidRPr="009307C4">
        <w:rPr>
          <w:sz w:val="22"/>
          <w:szCs w:val="22"/>
          <w:lang w:val="sr-Latn-ME"/>
        </w:rPr>
        <w:t>Kada se primjenjuje istovremeno sa gemfibrozilom ili drugim snažnim inhibitorima CYP 2C8, n</w:t>
      </w:r>
      <w:r w:rsidR="008808CA" w:rsidRPr="009307C4">
        <w:rPr>
          <w:sz w:val="22"/>
          <w:szCs w:val="22"/>
          <w:lang w:val="sr-Latn-ME"/>
        </w:rPr>
        <w:t>ije potrebno prilagođava</w:t>
      </w:r>
      <w:r w:rsidRPr="009307C4">
        <w:rPr>
          <w:sz w:val="22"/>
          <w:szCs w:val="22"/>
          <w:lang w:val="sr-Latn-ME"/>
        </w:rPr>
        <w:t>ti uobičajenu</w:t>
      </w:r>
      <w:r w:rsidR="008808CA" w:rsidRPr="009307C4">
        <w:rPr>
          <w:sz w:val="22"/>
          <w:szCs w:val="22"/>
          <w:lang w:val="sr-Latn-ME"/>
        </w:rPr>
        <w:t xml:space="preserve"> doz</w:t>
      </w:r>
      <w:r w:rsidRPr="009307C4">
        <w:rPr>
          <w:sz w:val="22"/>
          <w:szCs w:val="22"/>
          <w:lang w:val="sr-Latn-ME"/>
        </w:rPr>
        <w:t>u</w:t>
      </w:r>
      <w:r w:rsidR="008808CA" w:rsidRPr="009307C4">
        <w:rPr>
          <w:sz w:val="22"/>
          <w:szCs w:val="22"/>
          <w:lang w:val="sr-Latn-ME"/>
        </w:rPr>
        <w:t xml:space="preserve"> montelukasta, ali ljekar treba da </w:t>
      </w:r>
      <w:r w:rsidRPr="009307C4">
        <w:rPr>
          <w:sz w:val="22"/>
          <w:szCs w:val="22"/>
          <w:lang w:val="sr-Latn-ME"/>
        </w:rPr>
        <w:t xml:space="preserve">ima na umu </w:t>
      </w:r>
      <w:r w:rsidR="008808CA" w:rsidRPr="009307C4">
        <w:rPr>
          <w:sz w:val="22"/>
          <w:szCs w:val="22"/>
          <w:lang w:val="sr-Latn-ME"/>
        </w:rPr>
        <w:t>da mogućnost povećanja</w:t>
      </w:r>
      <w:r w:rsidRPr="009307C4">
        <w:rPr>
          <w:sz w:val="22"/>
          <w:szCs w:val="22"/>
          <w:lang w:val="sr-Latn-ME"/>
        </w:rPr>
        <w:t xml:space="preserve"> ispoljavanja </w:t>
      </w:r>
      <w:r w:rsidR="008808CA" w:rsidRPr="009307C4">
        <w:rPr>
          <w:sz w:val="22"/>
          <w:szCs w:val="22"/>
          <w:lang w:val="sr-Latn-ME"/>
        </w:rPr>
        <w:t xml:space="preserve">neželjenih reakcija. </w:t>
      </w:r>
    </w:p>
    <w:p w14:paraId="078BC6BA" w14:textId="77777777" w:rsidR="006B607B" w:rsidRPr="009307C4" w:rsidRDefault="006B607B" w:rsidP="00C4333D">
      <w:pPr>
        <w:tabs>
          <w:tab w:val="center" w:pos="4536"/>
          <w:tab w:val="right" w:pos="9072"/>
        </w:tabs>
        <w:jc w:val="both"/>
        <w:rPr>
          <w:sz w:val="22"/>
          <w:szCs w:val="22"/>
          <w:lang w:val="sr-Latn-ME"/>
        </w:rPr>
      </w:pPr>
    </w:p>
    <w:p w14:paraId="470BBD36" w14:textId="785FA00B" w:rsidR="008808CA" w:rsidRPr="009307C4" w:rsidRDefault="008808CA" w:rsidP="00C4333D">
      <w:pPr>
        <w:tabs>
          <w:tab w:val="center" w:pos="4536"/>
          <w:tab w:val="right" w:pos="9072"/>
        </w:tabs>
        <w:jc w:val="both"/>
        <w:rPr>
          <w:sz w:val="22"/>
          <w:szCs w:val="22"/>
          <w:lang w:val="sr-Latn-ME"/>
        </w:rPr>
      </w:pPr>
      <w:r w:rsidRPr="009307C4">
        <w:rPr>
          <w:sz w:val="22"/>
          <w:szCs w:val="22"/>
          <w:lang w:val="sr-Latn-ME"/>
        </w:rPr>
        <w:t xml:space="preserve">Na osnovu </w:t>
      </w:r>
      <w:r w:rsidRPr="009307C4">
        <w:rPr>
          <w:i/>
          <w:sz w:val="22"/>
          <w:szCs w:val="22"/>
          <w:lang w:val="sr-Latn-ME"/>
        </w:rPr>
        <w:t>in vitro</w:t>
      </w:r>
      <w:r w:rsidRPr="009307C4">
        <w:rPr>
          <w:sz w:val="22"/>
          <w:szCs w:val="22"/>
          <w:lang w:val="sr-Latn-ME"/>
        </w:rPr>
        <w:t xml:space="preserve"> podataka, ne očekuju se klinički značajne interakcije sa manje </w:t>
      </w:r>
      <w:r w:rsidR="00BB7DE8" w:rsidRPr="009307C4">
        <w:rPr>
          <w:sz w:val="22"/>
          <w:szCs w:val="22"/>
          <w:lang w:val="sr-Latn-ME"/>
        </w:rPr>
        <w:t xml:space="preserve">snažnim </w:t>
      </w:r>
      <w:r w:rsidRPr="009307C4">
        <w:rPr>
          <w:sz w:val="22"/>
          <w:szCs w:val="22"/>
          <w:lang w:val="sr-Latn-ME"/>
        </w:rPr>
        <w:t xml:space="preserve">inhibitorima CYP 2C8 (npr. trimetoprim). </w:t>
      </w:r>
      <w:r w:rsidR="00BB7DE8" w:rsidRPr="009307C4">
        <w:rPr>
          <w:sz w:val="22"/>
          <w:szCs w:val="22"/>
          <w:lang w:val="sr-Latn-ME"/>
        </w:rPr>
        <w:t>I</w:t>
      </w:r>
      <w:r w:rsidRPr="009307C4">
        <w:rPr>
          <w:sz w:val="22"/>
          <w:szCs w:val="22"/>
          <w:lang w:val="sr-Latn-ME"/>
        </w:rPr>
        <w:t>stovremen</w:t>
      </w:r>
      <w:r w:rsidR="00BB7DE8" w:rsidRPr="009307C4">
        <w:rPr>
          <w:sz w:val="22"/>
          <w:szCs w:val="22"/>
          <w:lang w:val="sr-Latn-ME"/>
        </w:rPr>
        <w:t>a</w:t>
      </w:r>
      <w:r w:rsidRPr="009307C4">
        <w:rPr>
          <w:sz w:val="22"/>
          <w:szCs w:val="22"/>
          <w:lang w:val="sr-Latn-ME"/>
        </w:rPr>
        <w:t xml:space="preserve"> primjen</w:t>
      </w:r>
      <w:r w:rsidR="00BB7DE8" w:rsidRPr="009307C4">
        <w:rPr>
          <w:sz w:val="22"/>
          <w:szCs w:val="22"/>
          <w:lang w:val="sr-Latn-ME"/>
        </w:rPr>
        <w:t>a</w:t>
      </w:r>
      <w:r w:rsidRPr="009307C4">
        <w:rPr>
          <w:sz w:val="22"/>
          <w:szCs w:val="22"/>
          <w:lang w:val="sr-Latn-ME"/>
        </w:rPr>
        <w:t xml:space="preserve"> montelukasta</w:t>
      </w:r>
      <w:r w:rsidR="00BB7DE8" w:rsidRPr="009307C4">
        <w:rPr>
          <w:sz w:val="22"/>
          <w:szCs w:val="22"/>
          <w:lang w:val="sr-Latn-ME"/>
        </w:rPr>
        <w:t xml:space="preserve"> i</w:t>
      </w:r>
      <w:r w:rsidRPr="009307C4">
        <w:rPr>
          <w:sz w:val="22"/>
          <w:szCs w:val="22"/>
          <w:lang w:val="sr-Latn-ME"/>
        </w:rPr>
        <w:t xml:space="preserve"> itrakonazol</w:t>
      </w:r>
      <w:r w:rsidR="00BB7DE8" w:rsidRPr="009307C4">
        <w:rPr>
          <w:sz w:val="22"/>
          <w:szCs w:val="22"/>
          <w:lang w:val="sr-Latn-ME"/>
        </w:rPr>
        <w:t>a</w:t>
      </w:r>
      <w:r w:rsidRPr="009307C4">
        <w:rPr>
          <w:sz w:val="22"/>
          <w:szCs w:val="22"/>
          <w:lang w:val="sr-Latn-ME"/>
        </w:rPr>
        <w:t xml:space="preserve">, </w:t>
      </w:r>
      <w:r w:rsidR="00BB7DE8" w:rsidRPr="009307C4">
        <w:rPr>
          <w:sz w:val="22"/>
          <w:szCs w:val="22"/>
          <w:lang w:val="sr-Latn-ME"/>
        </w:rPr>
        <w:t xml:space="preserve">snažnog </w:t>
      </w:r>
      <w:r w:rsidRPr="009307C4">
        <w:rPr>
          <w:sz w:val="22"/>
          <w:szCs w:val="22"/>
          <w:lang w:val="sr-Latn-ME"/>
        </w:rPr>
        <w:t>inhibitor</w:t>
      </w:r>
      <w:r w:rsidR="00BB7DE8" w:rsidRPr="009307C4">
        <w:rPr>
          <w:sz w:val="22"/>
          <w:szCs w:val="22"/>
          <w:lang w:val="sr-Latn-ME"/>
        </w:rPr>
        <w:t>a</w:t>
      </w:r>
      <w:r w:rsidRPr="009307C4">
        <w:rPr>
          <w:sz w:val="22"/>
          <w:szCs w:val="22"/>
          <w:lang w:val="sr-Latn-ME"/>
        </w:rPr>
        <w:t xml:space="preserve"> CYP 3A4, nije do</w:t>
      </w:r>
      <w:r w:rsidR="00BB7DE8" w:rsidRPr="009307C4">
        <w:rPr>
          <w:sz w:val="22"/>
          <w:szCs w:val="22"/>
          <w:lang w:val="sr-Latn-ME"/>
        </w:rPr>
        <w:t>vela</w:t>
      </w:r>
      <w:r w:rsidRPr="009307C4">
        <w:rPr>
          <w:sz w:val="22"/>
          <w:szCs w:val="22"/>
          <w:lang w:val="sr-Latn-ME"/>
        </w:rPr>
        <w:t xml:space="preserve"> do značajnog povećanja sistemske izloženosti montelukastu.</w:t>
      </w:r>
    </w:p>
    <w:p w14:paraId="3E020047" w14:textId="77777777" w:rsidR="008808CA" w:rsidRPr="009307C4" w:rsidRDefault="008808CA" w:rsidP="00C4333D">
      <w:pPr>
        <w:tabs>
          <w:tab w:val="left" w:pos="540"/>
          <w:tab w:val="left" w:pos="569"/>
        </w:tabs>
        <w:jc w:val="both"/>
        <w:rPr>
          <w:bCs/>
          <w:sz w:val="22"/>
          <w:szCs w:val="22"/>
          <w:lang w:val="sr-Latn-ME"/>
        </w:rPr>
      </w:pPr>
    </w:p>
    <w:p w14:paraId="3BD9ED95" w14:textId="77777777" w:rsidR="0072020E" w:rsidRPr="009307C4" w:rsidRDefault="0072020E" w:rsidP="00C4333D">
      <w:pPr>
        <w:tabs>
          <w:tab w:val="left" w:pos="540"/>
          <w:tab w:val="left" w:pos="569"/>
        </w:tabs>
        <w:jc w:val="both"/>
        <w:rPr>
          <w:b/>
          <w:sz w:val="22"/>
          <w:szCs w:val="22"/>
          <w:lang w:val="sr-Latn-ME"/>
        </w:rPr>
      </w:pPr>
      <w:r w:rsidRPr="009307C4">
        <w:rPr>
          <w:b/>
          <w:bCs/>
          <w:sz w:val="22"/>
          <w:szCs w:val="22"/>
          <w:lang w:val="sr-Latn-ME"/>
        </w:rPr>
        <w:t xml:space="preserve">4.6. </w:t>
      </w:r>
      <w:r w:rsidR="00480FB1" w:rsidRPr="009307C4">
        <w:rPr>
          <w:b/>
          <w:bCs/>
          <w:sz w:val="22"/>
          <w:szCs w:val="22"/>
          <w:lang w:val="sr-Latn-ME"/>
        </w:rPr>
        <w:tab/>
      </w:r>
      <w:r w:rsidR="006D20A5" w:rsidRPr="009307C4">
        <w:rPr>
          <w:b/>
          <w:sz w:val="22"/>
          <w:szCs w:val="22"/>
          <w:lang w:val="sr-Latn-ME"/>
        </w:rPr>
        <w:t>Plodnost, trudnoća i dojenje</w:t>
      </w:r>
    </w:p>
    <w:p w14:paraId="6D863865" w14:textId="77777777" w:rsidR="002031B3" w:rsidRPr="009307C4" w:rsidRDefault="002031B3" w:rsidP="00C4333D">
      <w:pPr>
        <w:tabs>
          <w:tab w:val="left" w:pos="540"/>
          <w:tab w:val="left" w:pos="569"/>
        </w:tabs>
        <w:jc w:val="both"/>
        <w:rPr>
          <w:sz w:val="22"/>
          <w:szCs w:val="22"/>
          <w:u w:val="single"/>
          <w:lang w:val="sr-Latn-ME"/>
        </w:rPr>
      </w:pPr>
    </w:p>
    <w:p w14:paraId="7F4753B2" w14:textId="105B75DB" w:rsidR="002031B3" w:rsidRPr="009307C4" w:rsidRDefault="007A3ECB">
      <w:pPr>
        <w:tabs>
          <w:tab w:val="left" w:pos="540"/>
          <w:tab w:val="left" w:pos="569"/>
        </w:tabs>
        <w:jc w:val="both"/>
        <w:rPr>
          <w:sz w:val="22"/>
          <w:szCs w:val="22"/>
          <w:u w:val="single"/>
          <w:lang w:val="sr-Latn-ME"/>
        </w:rPr>
      </w:pPr>
      <w:r w:rsidRPr="009307C4">
        <w:rPr>
          <w:sz w:val="22"/>
          <w:szCs w:val="22"/>
          <w:u w:val="single"/>
          <w:lang w:val="sr-Latn-ME"/>
        </w:rPr>
        <w:t>Trudnoća</w:t>
      </w:r>
    </w:p>
    <w:p w14:paraId="3194E2BC" w14:textId="0BBB131E" w:rsidR="008808CA" w:rsidRPr="009307C4" w:rsidRDefault="008808CA">
      <w:pPr>
        <w:pStyle w:val="Header"/>
        <w:tabs>
          <w:tab w:val="left" w:pos="284"/>
        </w:tabs>
        <w:jc w:val="both"/>
        <w:rPr>
          <w:sz w:val="22"/>
          <w:lang w:val="sr-Latn-ME"/>
        </w:rPr>
      </w:pPr>
      <w:r w:rsidRPr="009307C4">
        <w:rPr>
          <w:sz w:val="22"/>
          <w:lang w:val="sr-Latn-ME"/>
        </w:rPr>
        <w:t xml:space="preserve">Studije na životinjama nijesu ukazale na štetne efekte </w:t>
      </w:r>
      <w:r w:rsidR="00BB7DE8" w:rsidRPr="009307C4">
        <w:rPr>
          <w:sz w:val="22"/>
          <w:lang w:val="sr-Latn-ME"/>
        </w:rPr>
        <w:t xml:space="preserve">tokom </w:t>
      </w:r>
      <w:r w:rsidRPr="009307C4">
        <w:rPr>
          <w:sz w:val="22"/>
          <w:lang w:val="sr-Latn-ME"/>
        </w:rPr>
        <w:t>trudnoć</w:t>
      </w:r>
      <w:r w:rsidR="00BB7DE8" w:rsidRPr="009307C4">
        <w:rPr>
          <w:sz w:val="22"/>
          <w:lang w:val="sr-Latn-ME"/>
        </w:rPr>
        <w:t>e</w:t>
      </w:r>
      <w:r w:rsidR="00953908" w:rsidRPr="009307C4">
        <w:rPr>
          <w:sz w:val="22"/>
          <w:lang w:val="sr-Latn-ME"/>
        </w:rPr>
        <w:t xml:space="preserve"> </w:t>
      </w:r>
      <w:r w:rsidR="00BB7DE8" w:rsidRPr="009307C4">
        <w:rPr>
          <w:sz w:val="22"/>
          <w:lang w:val="sr-Latn-ME"/>
        </w:rPr>
        <w:t>niti na štetne efekte po</w:t>
      </w:r>
      <w:r w:rsidRPr="009307C4">
        <w:rPr>
          <w:sz w:val="22"/>
          <w:lang w:val="sr-Latn-ME"/>
        </w:rPr>
        <w:t xml:space="preserve"> embrionalni odnosno fetalni razvoj.</w:t>
      </w:r>
    </w:p>
    <w:p w14:paraId="37CB19C5" w14:textId="77777777" w:rsidR="008808CA" w:rsidRPr="009307C4" w:rsidRDefault="008808CA">
      <w:pPr>
        <w:pStyle w:val="Header"/>
        <w:tabs>
          <w:tab w:val="left" w:pos="284"/>
        </w:tabs>
        <w:jc w:val="both"/>
        <w:rPr>
          <w:sz w:val="22"/>
          <w:lang w:val="sr-Latn-ME"/>
        </w:rPr>
      </w:pPr>
    </w:p>
    <w:p w14:paraId="752C0168" w14:textId="6374453A" w:rsidR="00E85BE6" w:rsidRPr="009307C4" w:rsidRDefault="0089562E">
      <w:pPr>
        <w:tabs>
          <w:tab w:val="left" w:pos="540"/>
          <w:tab w:val="left" w:pos="569"/>
        </w:tabs>
        <w:jc w:val="both"/>
        <w:rPr>
          <w:bCs/>
          <w:sz w:val="22"/>
          <w:lang w:val="sr-Latn-ME"/>
        </w:rPr>
      </w:pPr>
      <w:r w:rsidRPr="009307C4">
        <w:rPr>
          <w:spacing w:val="-1"/>
          <w:sz w:val="22"/>
          <w:szCs w:val="22"/>
          <w:lang w:val="sr-Latn-ME"/>
        </w:rPr>
        <w:t xml:space="preserve">Dostupni podaci iz </w:t>
      </w:r>
      <w:r w:rsidR="00106D09" w:rsidRPr="009307C4">
        <w:rPr>
          <w:spacing w:val="-1"/>
          <w:sz w:val="22"/>
          <w:szCs w:val="22"/>
          <w:lang w:val="sr-Latn-ME"/>
        </w:rPr>
        <w:t>objavljenih</w:t>
      </w:r>
      <w:r w:rsidRPr="009307C4">
        <w:rPr>
          <w:spacing w:val="-1"/>
          <w:sz w:val="22"/>
          <w:szCs w:val="22"/>
          <w:lang w:val="sr-Latn-ME"/>
        </w:rPr>
        <w:t xml:space="preserve"> prospektivnih i retrospektivnih kohortnih studija koje su procjenjivale značajne malformacije novorođenčadi pri upotrebi montelukasta kod trudnica ni</w:t>
      </w:r>
      <w:r w:rsidR="00106D09" w:rsidRPr="009307C4">
        <w:rPr>
          <w:spacing w:val="-1"/>
          <w:sz w:val="22"/>
          <w:szCs w:val="22"/>
          <w:lang w:val="sr-Latn-ME"/>
        </w:rPr>
        <w:t>je</w:t>
      </w:r>
      <w:r w:rsidRPr="009307C4">
        <w:rPr>
          <w:spacing w:val="-1"/>
          <w:sz w:val="22"/>
          <w:szCs w:val="22"/>
          <w:lang w:val="sr-Latn-ME"/>
        </w:rPr>
        <w:t>su ustanovile rizik povezan sa ovim lijekom. Dostupne studije imaju metodološka ograničenja, koja uključuju malu veličinu uzorka, retrospektivno prikupljanje podataka u nekim slučajevima, kao i nekonzistentnost uporednih grupa.</w:t>
      </w:r>
    </w:p>
    <w:p w14:paraId="5800CBBC" w14:textId="32248888" w:rsidR="008808CA" w:rsidRPr="009307C4" w:rsidRDefault="00E85BE6">
      <w:pPr>
        <w:tabs>
          <w:tab w:val="left" w:pos="540"/>
          <w:tab w:val="left" w:pos="569"/>
        </w:tabs>
        <w:jc w:val="both"/>
        <w:rPr>
          <w:sz w:val="22"/>
          <w:lang w:val="sr-Latn-ME"/>
        </w:rPr>
      </w:pPr>
      <w:r w:rsidRPr="009307C4">
        <w:rPr>
          <w:bCs/>
          <w:sz w:val="22"/>
          <w:lang w:val="sr-Latn-ME"/>
        </w:rPr>
        <w:t xml:space="preserve">Lijek </w:t>
      </w:r>
      <w:r w:rsidR="008808CA" w:rsidRPr="009307C4">
        <w:rPr>
          <w:bCs/>
          <w:sz w:val="22"/>
          <w:lang w:val="sr-Latn-ME"/>
        </w:rPr>
        <w:t>Singulair</w:t>
      </w:r>
      <w:r w:rsidR="008808CA" w:rsidRPr="009307C4">
        <w:rPr>
          <w:b/>
          <w:bCs/>
          <w:sz w:val="22"/>
          <w:lang w:val="sr-Latn-ME"/>
        </w:rPr>
        <w:t xml:space="preserve"> </w:t>
      </w:r>
      <w:r w:rsidR="008808CA" w:rsidRPr="009307C4">
        <w:rPr>
          <w:sz w:val="22"/>
          <w:lang w:val="sr-Latn-ME"/>
        </w:rPr>
        <w:t xml:space="preserve">se može koristiti </w:t>
      </w:r>
      <w:r w:rsidRPr="009307C4">
        <w:rPr>
          <w:sz w:val="22"/>
          <w:lang w:val="sr-Latn-ME"/>
        </w:rPr>
        <w:t xml:space="preserve">tokom </w:t>
      </w:r>
      <w:r w:rsidR="008808CA" w:rsidRPr="009307C4">
        <w:rPr>
          <w:sz w:val="22"/>
          <w:lang w:val="sr-Latn-ME"/>
        </w:rPr>
        <w:t xml:space="preserve">trudnoće samo ako </w:t>
      </w:r>
      <w:r w:rsidRPr="009307C4">
        <w:rPr>
          <w:sz w:val="22"/>
          <w:lang w:val="sr-Latn-ME"/>
        </w:rPr>
        <w:t xml:space="preserve">ljekar </w:t>
      </w:r>
      <w:r w:rsidR="008808CA" w:rsidRPr="009307C4">
        <w:rPr>
          <w:sz w:val="22"/>
          <w:lang w:val="sr-Latn-ME"/>
        </w:rPr>
        <w:t>procijeni da je to neophodno.</w:t>
      </w:r>
    </w:p>
    <w:p w14:paraId="016D466B" w14:textId="77777777" w:rsidR="008808CA" w:rsidRPr="009307C4" w:rsidRDefault="008808CA">
      <w:pPr>
        <w:tabs>
          <w:tab w:val="left" w:pos="540"/>
          <w:tab w:val="left" w:pos="569"/>
        </w:tabs>
        <w:jc w:val="both"/>
        <w:rPr>
          <w:sz w:val="22"/>
          <w:szCs w:val="22"/>
          <w:u w:val="single"/>
          <w:lang w:val="sr-Latn-ME"/>
        </w:rPr>
      </w:pPr>
    </w:p>
    <w:p w14:paraId="6E62D4B0" w14:textId="77777777" w:rsidR="0072020E" w:rsidRPr="009307C4" w:rsidRDefault="007A3ECB">
      <w:pPr>
        <w:tabs>
          <w:tab w:val="left" w:pos="540"/>
          <w:tab w:val="left" w:pos="569"/>
        </w:tabs>
        <w:jc w:val="both"/>
        <w:rPr>
          <w:b/>
          <w:bCs/>
          <w:sz w:val="22"/>
          <w:szCs w:val="22"/>
          <w:lang w:val="sr-Latn-ME"/>
        </w:rPr>
      </w:pPr>
      <w:r w:rsidRPr="009307C4">
        <w:rPr>
          <w:sz w:val="22"/>
          <w:szCs w:val="22"/>
          <w:u w:val="single"/>
          <w:lang w:val="sr-Latn-ME"/>
        </w:rPr>
        <w:t xml:space="preserve">Dojenje </w:t>
      </w:r>
    </w:p>
    <w:p w14:paraId="2A06C56A" w14:textId="7D8BEF10" w:rsidR="008808CA" w:rsidRPr="009307C4" w:rsidRDefault="008808CA">
      <w:pPr>
        <w:pStyle w:val="Header"/>
        <w:tabs>
          <w:tab w:val="left" w:pos="284"/>
        </w:tabs>
        <w:jc w:val="both"/>
        <w:rPr>
          <w:sz w:val="22"/>
          <w:lang w:val="sr-Latn-ME"/>
        </w:rPr>
      </w:pPr>
      <w:r w:rsidRPr="009307C4">
        <w:rPr>
          <w:sz w:val="22"/>
          <w:lang w:val="sr-Latn-ME"/>
        </w:rPr>
        <w:t>Studije na pacovima su pokazale da se montelukast izlučuje u mlijek</w:t>
      </w:r>
      <w:r w:rsidR="00106D09" w:rsidRPr="009307C4">
        <w:rPr>
          <w:sz w:val="22"/>
          <w:lang w:val="sr-Latn-ME"/>
        </w:rPr>
        <w:t>o</w:t>
      </w:r>
      <w:r w:rsidRPr="009307C4">
        <w:rPr>
          <w:sz w:val="22"/>
          <w:lang w:val="sr-Latn-ME"/>
        </w:rPr>
        <w:t xml:space="preserve"> (vid</w:t>
      </w:r>
      <w:r w:rsidR="007818E5" w:rsidRPr="009307C4">
        <w:rPr>
          <w:sz w:val="22"/>
          <w:lang w:val="sr-Latn-ME"/>
        </w:rPr>
        <w:t>jeti</w:t>
      </w:r>
      <w:r w:rsidRPr="009307C4">
        <w:rPr>
          <w:sz w:val="22"/>
          <w:lang w:val="sr-Latn-ME"/>
        </w:rPr>
        <w:t xml:space="preserve"> dio 5.3). Nije poznato da li se montelukast ili njegovi metabolit</w:t>
      </w:r>
      <w:r w:rsidR="007818E5" w:rsidRPr="009307C4">
        <w:rPr>
          <w:sz w:val="22"/>
          <w:lang w:val="sr-Latn-ME"/>
        </w:rPr>
        <w:t>i</w:t>
      </w:r>
      <w:r w:rsidRPr="009307C4">
        <w:rPr>
          <w:sz w:val="22"/>
          <w:lang w:val="sr-Latn-ME"/>
        </w:rPr>
        <w:t xml:space="preserve"> izlučuju u humano mlijek</w:t>
      </w:r>
      <w:r w:rsidR="00106D09" w:rsidRPr="009307C4">
        <w:rPr>
          <w:sz w:val="22"/>
          <w:lang w:val="sr-Latn-ME"/>
        </w:rPr>
        <w:t>o</w:t>
      </w:r>
      <w:r w:rsidRPr="009307C4">
        <w:rPr>
          <w:sz w:val="22"/>
          <w:lang w:val="sr-Latn-ME"/>
        </w:rPr>
        <w:t>.</w:t>
      </w:r>
    </w:p>
    <w:p w14:paraId="60D04541" w14:textId="77777777" w:rsidR="008808CA" w:rsidRPr="009307C4" w:rsidRDefault="008808CA">
      <w:pPr>
        <w:pStyle w:val="Header"/>
        <w:tabs>
          <w:tab w:val="left" w:pos="284"/>
        </w:tabs>
        <w:jc w:val="both"/>
        <w:rPr>
          <w:b/>
          <w:bCs/>
          <w:sz w:val="22"/>
          <w:lang w:val="sr-Latn-ME"/>
        </w:rPr>
      </w:pPr>
    </w:p>
    <w:p w14:paraId="6DE94B9D" w14:textId="630D5022" w:rsidR="008808CA" w:rsidRPr="009307C4" w:rsidRDefault="00E85BE6">
      <w:pPr>
        <w:tabs>
          <w:tab w:val="left" w:pos="540"/>
          <w:tab w:val="left" w:pos="569"/>
        </w:tabs>
        <w:ind w:left="540" w:hanging="540"/>
        <w:jc w:val="both"/>
        <w:rPr>
          <w:sz w:val="22"/>
          <w:lang w:val="sr-Latn-ME"/>
        </w:rPr>
      </w:pPr>
      <w:r w:rsidRPr="009307C4">
        <w:rPr>
          <w:bCs/>
          <w:sz w:val="22"/>
          <w:lang w:val="sr-Latn-ME"/>
        </w:rPr>
        <w:t xml:space="preserve">Lijek </w:t>
      </w:r>
      <w:r w:rsidR="008808CA" w:rsidRPr="009307C4">
        <w:rPr>
          <w:bCs/>
          <w:sz w:val="22"/>
          <w:lang w:val="sr-Latn-ME"/>
        </w:rPr>
        <w:t>Singulair</w:t>
      </w:r>
      <w:r w:rsidR="008808CA" w:rsidRPr="009307C4">
        <w:rPr>
          <w:sz w:val="22"/>
          <w:lang w:val="sr-Latn-ME"/>
        </w:rPr>
        <w:t xml:space="preserve"> se može koristiti kod </w:t>
      </w:r>
      <w:r w:rsidRPr="009307C4">
        <w:rPr>
          <w:sz w:val="22"/>
          <w:lang w:val="sr-Latn-ME"/>
        </w:rPr>
        <w:t xml:space="preserve">žena koje doje </w:t>
      </w:r>
      <w:r w:rsidR="008808CA" w:rsidRPr="009307C4">
        <w:rPr>
          <w:sz w:val="22"/>
          <w:lang w:val="sr-Latn-ME"/>
        </w:rPr>
        <w:t xml:space="preserve">samo </w:t>
      </w:r>
      <w:r w:rsidRPr="009307C4">
        <w:rPr>
          <w:sz w:val="22"/>
          <w:lang w:val="sr-Latn-ME"/>
        </w:rPr>
        <w:t>ukoliko ljekar</w:t>
      </w:r>
      <w:r w:rsidR="008808CA" w:rsidRPr="009307C4">
        <w:rPr>
          <w:sz w:val="22"/>
          <w:lang w:val="sr-Latn-ME"/>
        </w:rPr>
        <w:t xml:space="preserve"> procijeni da je to neophodno.</w:t>
      </w:r>
    </w:p>
    <w:p w14:paraId="161335A9" w14:textId="77777777" w:rsidR="008808CA" w:rsidRPr="009307C4" w:rsidRDefault="008808CA" w:rsidP="00C4333D">
      <w:pPr>
        <w:tabs>
          <w:tab w:val="left" w:pos="540"/>
          <w:tab w:val="left" w:pos="569"/>
        </w:tabs>
        <w:ind w:left="540" w:hanging="540"/>
        <w:jc w:val="both"/>
        <w:rPr>
          <w:b/>
          <w:bCs/>
          <w:sz w:val="22"/>
          <w:szCs w:val="22"/>
          <w:lang w:val="sr-Latn-ME"/>
        </w:rPr>
      </w:pPr>
    </w:p>
    <w:p w14:paraId="1D8618CB" w14:textId="77777777" w:rsidR="0072020E" w:rsidRPr="009307C4" w:rsidRDefault="0072020E" w:rsidP="00C4333D">
      <w:pPr>
        <w:tabs>
          <w:tab w:val="left" w:pos="540"/>
          <w:tab w:val="left" w:pos="569"/>
        </w:tabs>
        <w:ind w:left="540" w:hanging="540"/>
        <w:jc w:val="both"/>
        <w:rPr>
          <w:b/>
          <w:bCs/>
          <w:sz w:val="22"/>
          <w:szCs w:val="22"/>
          <w:lang w:val="sr-Latn-ME"/>
        </w:rPr>
      </w:pPr>
      <w:r w:rsidRPr="009307C4">
        <w:rPr>
          <w:b/>
          <w:bCs/>
          <w:sz w:val="22"/>
          <w:szCs w:val="22"/>
          <w:lang w:val="sr-Latn-ME"/>
        </w:rPr>
        <w:t xml:space="preserve">4.7. </w:t>
      </w:r>
      <w:r w:rsidR="00480FB1" w:rsidRPr="009307C4">
        <w:rPr>
          <w:b/>
          <w:bCs/>
          <w:sz w:val="22"/>
          <w:szCs w:val="22"/>
          <w:lang w:val="sr-Latn-ME"/>
        </w:rPr>
        <w:tab/>
      </w:r>
      <w:r w:rsidRPr="009307C4">
        <w:rPr>
          <w:b/>
          <w:bCs/>
          <w:sz w:val="22"/>
          <w:szCs w:val="22"/>
          <w:lang w:val="sr-Latn-ME"/>
        </w:rPr>
        <w:t xml:space="preserve">Uticaj na </w:t>
      </w:r>
      <w:r w:rsidR="002031B3" w:rsidRPr="009307C4">
        <w:rPr>
          <w:b/>
          <w:bCs/>
          <w:sz w:val="22"/>
          <w:szCs w:val="22"/>
          <w:lang w:val="sr-Latn-ME"/>
        </w:rPr>
        <w:t xml:space="preserve">sposobnost </w:t>
      </w:r>
      <w:r w:rsidR="00F34554" w:rsidRPr="009307C4">
        <w:rPr>
          <w:b/>
          <w:bCs/>
          <w:sz w:val="22"/>
          <w:szCs w:val="22"/>
          <w:lang w:val="sr-Latn-ME"/>
        </w:rPr>
        <w:t>upravljanja vozili</w:t>
      </w:r>
      <w:r w:rsidRPr="009307C4">
        <w:rPr>
          <w:b/>
          <w:bCs/>
          <w:sz w:val="22"/>
          <w:szCs w:val="22"/>
          <w:lang w:val="sr-Latn-ME"/>
        </w:rPr>
        <w:t>m</w:t>
      </w:r>
      <w:r w:rsidR="00F34554" w:rsidRPr="009307C4">
        <w:rPr>
          <w:b/>
          <w:bCs/>
          <w:sz w:val="22"/>
          <w:szCs w:val="22"/>
          <w:lang w:val="sr-Latn-ME"/>
        </w:rPr>
        <w:t>a</w:t>
      </w:r>
      <w:r w:rsidRPr="009307C4">
        <w:rPr>
          <w:b/>
          <w:bCs/>
          <w:sz w:val="22"/>
          <w:szCs w:val="22"/>
          <w:lang w:val="sr-Latn-ME"/>
        </w:rPr>
        <w:t xml:space="preserve"> i </w:t>
      </w:r>
      <w:r w:rsidR="000D3449" w:rsidRPr="009307C4">
        <w:rPr>
          <w:b/>
          <w:bCs/>
          <w:sz w:val="22"/>
          <w:szCs w:val="22"/>
          <w:lang w:val="sr-Latn-ME"/>
        </w:rPr>
        <w:t xml:space="preserve">rukovanje </w:t>
      </w:r>
      <w:r w:rsidRPr="009307C4">
        <w:rPr>
          <w:b/>
          <w:bCs/>
          <w:sz w:val="22"/>
          <w:szCs w:val="22"/>
          <w:lang w:val="sr-Latn-ME"/>
        </w:rPr>
        <w:t>mašinama</w:t>
      </w:r>
    </w:p>
    <w:p w14:paraId="3C71F4D2" w14:textId="6CD64C80" w:rsidR="0072020E" w:rsidRPr="009307C4" w:rsidRDefault="0072020E" w:rsidP="00C4333D">
      <w:pPr>
        <w:tabs>
          <w:tab w:val="left" w:pos="540"/>
          <w:tab w:val="left" w:pos="569"/>
        </w:tabs>
        <w:jc w:val="both"/>
        <w:rPr>
          <w:b/>
          <w:bCs/>
          <w:sz w:val="22"/>
          <w:szCs w:val="22"/>
          <w:lang w:val="sr-Latn-ME"/>
        </w:rPr>
      </w:pPr>
    </w:p>
    <w:p w14:paraId="7441AC0E" w14:textId="359B6136" w:rsidR="008808CA" w:rsidRPr="009307C4" w:rsidRDefault="00E85BE6" w:rsidP="00C4333D">
      <w:pPr>
        <w:tabs>
          <w:tab w:val="left" w:pos="540"/>
          <w:tab w:val="left" w:pos="569"/>
        </w:tabs>
        <w:jc w:val="both"/>
        <w:rPr>
          <w:noProof/>
          <w:sz w:val="22"/>
          <w:szCs w:val="22"/>
          <w:lang w:val="sr-Latn-ME" w:eastAsia="sr-Latn-CS"/>
        </w:rPr>
      </w:pPr>
      <w:bookmarkStart w:id="2" w:name="OLE_LINK1"/>
      <w:r w:rsidRPr="009307C4">
        <w:rPr>
          <w:noProof/>
          <w:sz w:val="22"/>
          <w:szCs w:val="22"/>
          <w:lang w:val="sr-Latn-ME" w:eastAsia="sr-Latn-CS"/>
        </w:rPr>
        <w:t xml:space="preserve">Lijek </w:t>
      </w:r>
      <w:r w:rsidR="008808CA" w:rsidRPr="009307C4">
        <w:rPr>
          <w:noProof/>
          <w:sz w:val="22"/>
          <w:szCs w:val="22"/>
          <w:lang w:val="sr-Latn-ME" w:eastAsia="sr-Latn-CS"/>
        </w:rPr>
        <w:t>Singulair nema ili ima zanemarljivo mali uticaj na sposobnost upravljanja motornim vozilima ili rukovanja mašinama. Međutim,</w:t>
      </w:r>
      <w:r w:rsidR="00953908" w:rsidRPr="009307C4">
        <w:rPr>
          <w:noProof/>
          <w:sz w:val="22"/>
          <w:szCs w:val="22"/>
          <w:lang w:val="sr-Latn-ME" w:eastAsia="sr-Latn-CS"/>
        </w:rPr>
        <w:t xml:space="preserve"> </w:t>
      </w:r>
      <w:r w:rsidRPr="009307C4">
        <w:rPr>
          <w:noProof/>
          <w:sz w:val="22"/>
          <w:szCs w:val="22"/>
          <w:lang w:val="sr-Latn-ME" w:eastAsia="sr-Latn-CS"/>
        </w:rPr>
        <w:t xml:space="preserve">kod </w:t>
      </w:r>
      <w:r w:rsidR="008808CA" w:rsidRPr="009307C4">
        <w:rPr>
          <w:noProof/>
          <w:sz w:val="22"/>
          <w:szCs w:val="22"/>
          <w:lang w:val="sr-Latn-ME" w:eastAsia="sr-Latn-CS"/>
        </w:rPr>
        <w:t>pojedini</w:t>
      </w:r>
      <w:r w:rsidRPr="009307C4">
        <w:rPr>
          <w:noProof/>
          <w:sz w:val="22"/>
          <w:szCs w:val="22"/>
          <w:lang w:val="sr-Latn-ME" w:eastAsia="sr-Latn-CS"/>
        </w:rPr>
        <w:t>h pacijenata dolazilo je do pojave</w:t>
      </w:r>
      <w:r w:rsidR="008808CA" w:rsidRPr="009307C4">
        <w:rPr>
          <w:noProof/>
          <w:sz w:val="22"/>
          <w:szCs w:val="22"/>
          <w:lang w:val="sr-Latn-ME" w:eastAsia="sr-Latn-CS"/>
        </w:rPr>
        <w:t xml:space="preserve"> pospanost</w:t>
      </w:r>
      <w:r w:rsidRPr="009307C4">
        <w:rPr>
          <w:noProof/>
          <w:sz w:val="22"/>
          <w:szCs w:val="22"/>
          <w:lang w:val="sr-Latn-ME" w:eastAsia="sr-Latn-CS"/>
        </w:rPr>
        <w:t>i</w:t>
      </w:r>
      <w:r w:rsidR="008808CA" w:rsidRPr="009307C4">
        <w:rPr>
          <w:noProof/>
          <w:sz w:val="22"/>
          <w:szCs w:val="22"/>
          <w:lang w:val="sr-Latn-ME" w:eastAsia="sr-Latn-CS"/>
        </w:rPr>
        <w:t xml:space="preserve"> ili vrtoglavic</w:t>
      </w:r>
      <w:r w:rsidRPr="009307C4">
        <w:rPr>
          <w:noProof/>
          <w:sz w:val="22"/>
          <w:szCs w:val="22"/>
          <w:lang w:val="sr-Latn-ME" w:eastAsia="sr-Latn-CS"/>
        </w:rPr>
        <w:t>e</w:t>
      </w:r>
      <w:bookmarkEnd w:id="2"/>
      <w:r w:rsidR="008808CA" w:rsidRPr="009307C4">
        <w:rPr>
          <w:noProof/>
          <w:sz w:val="22"/>
          <w:szCs w:val="22"/>
          <w:lang w:val="sr-Latn-ME" w:eastAsia="sr-Latn-CS"/>
        </w:rPr>
        <w:t>.</w:t>
      </w:r>
    </w:p>
    <w:p w14:paraId="459E35ED" w14:textId="77777777" w:rsidR="008808CA" w:rsidRPr="009307C4" w:rsidRDefault="008808CA" w:rsidP="00C4333D">
      <w:pPr>
        <w:tabs>
          <w:tab w:val="left" w:pos="540"/>
          <w:tab w:val="left" w:pos="569"/>
        </w:tabs>
        <w:jc w:val="both"/>
        <w:rPr>
          <w:b/>
          <w:bCs/>
          <w:sz w:val="22"/>
          <w:szCs w:val="22"/>
          <w:lang w:val="sr-Latn-ME"/>
        </w:rPr>
      </w:pPr>
    </w:p>
    <w:p w14:paraId="1850C178" w14:textId="4086A055" w:rsidR="0039724B" w:rsidRPr="009307C4" w:rsidRDefault="0072020E" w:rsidP="009307C4">
      <w:pPr>
        <w:tabs>
          <w:tab w:val="left" w:pos="540"/>
          <w:tab w:val="left" w:pos="569"/>
        </w:tabs>
        <w:jc w:val="both"/>
        <w:rPr>
          <w:b/>
          <w:bCs/>
          <w:sz w:val="22"/>
          <w:szCs w:val="22"/>
          <w:lang w:val="sr-Latn-ME"/>
        </w:rPr>
      </w:pPr>
      <w:r w:rsidRPr="009307C4">
        <w:rPr>
          <w:b/>
          <w:bCs/>
          <w:sz w:val="22"/>
          <w:szCs w:val="22"/>
          <w:lang w:val="sr-Latn-ME"/>
        </w:rPr>
        <w:t xml:space="preserve">4.8. </w:t>
      </w:r>
      <w:r w:rsidR="00480FB1" w:rsidRPr="009307C4">
        <w:rPr>
          <w:b/>
          <w:bCs/>
          <w:sz w:val="22"/>
          <w:szCs w:val="22"/>
          <w:lang w:val="sr-Latn-ME"/>
        </w:rPr>
        <w:tab/>
      </w:r>
      <w:r w:rsidRPr="009307C4">
        <w:rPr>
          <w:b/>
          <w:bCs/>
          <w:sz w:val="22"/>
          <w:szCs w:val="22"/>
          <w:lang w:val="sr-Latn-ME"/>
        </w:rPr>
        <w:t>Neželjena dejstva</w:t>
      </w:r>
    </w:p>
    <w:p w14:paraId="07C1AD35" w14:textId="77777777" w:rsidR="009307C4" w:rsidRPr="009307C4" w:rsidRDefault="009307C4" w:rsidP="009307C4">
      <w:pPr>
        <w:tabs>
          <w:tab w:val="left" w:pos="540"/>
          <w:tab w:val="left" w:pos="569"/>
        </w:tabs>
        <w:jc w:val="both"/>
        <w:rPr>
          <w:b/>
          <w:bCs/>
          <w:sz w:val="22"/>
          <w:szCs w:val="22"/>
          <w:lang w:val="sr-Latn-ME"/>
        </w:rPr>
      </w:pPr>
    </w:p>
    <w:p w14:paraId="3110DB66" w14:textId="77777777"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Montelukast je ispitivan u kliničkim studijama sa perzistentnom astmom u sljedećem obimu:</w:t>
      </w:r>
    </w:p>
    <w:p w14:paraId="6EBDA288" w14:textId="7C5F3318" w:rsidR="008808CA" w:rsidRPr="009307C4" w:rsidRDefault="008808CA" w:rsidP="00C4333D">
      <w:pPr>
        <w:numPr>
          <w:ilvl w:val="0"/>
          <w:numId w:val="12"/>
        </w:numPr>
        <w:autoSpaceDE w:val="0"/>
        <w:autoSpaceDN w:val="0"/>
        <w:adjustRightInd w:val="0"/>
        <w:jc w:val="both"/>
        <w:rPr>
          <w:sz w:val="22"/>
          <w:szCs w:val="22"/>
          <w:lang w:val="sr-Latn-ME" w:eastAsia="sr-Latn-CS"/>
        </w:rPr>
      </w:pPr>
      <w:r w:rsidRPr="009307C4">
        <w:rPr>
          <w:sz w:val="22"/>
          <w:szCs w:val="22"/>
          <w:lang w:val="sr-Latn-ME" w:eastAsia="sr-Latn-CS"/>
        </w:rPr>
        <w:t xml:space="preserve">film tablete od 10 mg </w:t>
      </w:r>
      <w:r w:rsidR="009D26EC" w:rsidRPr="009307C4">
        <w:rPr>
          <w:sz w:val="22"/>
          <w:szCs w:val="22"/>
          <w:lang w:val="sr-Latn-ME" w:eastAsia="sr-Latn-CS"/>
        </w:rPr>
        <w:t>kod</w:t>
      </w:r>
      <w:r w:rsidRPr="009307C4">
        <w:rPr>
          <w:sz w:val="22"/>
          <w:szCs w:val="22"/>
          <w:lang w:val="sr-Latn-ME" w:eastAsia="sr-Latn-CS"/>
        </w:rPr>
        <w:t xml:space="preserve"> oko 4000 odraslih i adolescenata od 15 godina i</w:t>
      </w:r>
      <w:r w:rsidR="00E85BE6" w:rsidRPr="009307C4">
        <w:rPr>
          <w:sz w:val="22"/>
          <w:szCs w:val="22"/>
          <w:lang w:val="sr-Latn-ME" w:eastAsia="sr-Latn-CS"/>
        </w:rPr>
        <w:t xml:space="preserve"> starijih</w:t>
      </w:r>
    </w:p>
    <w:p w14:paraId="7C112A5F" w14:textId="6B380A57" w:rsidR="008808CA" w:rsidRPr="009307C4" w:rsidRDefault="008808CA" w:rsidP="00C4333D">
      <w:pPr>
        <w:numPr>
          <w:ilvl w:val="0"/>
          <w:numId w:val="13"/>
        </w:numPr>
        <w:autoSpaceDE w:val="0"/>
        <w:autoSpaceDN w:val="0"/>
        <w:adjustRightInd w:val="0"/>
        <w:jc w:val="both"/>
        <w:rPr>
          <w:sz w:val="22"/>
          <w:szCs w:val="22"/>
          <w:lang w:val="sr-Latn-ME" w:eastAsia="sr-Latn-CS"/>
        </w:rPr>
      </w:pPr>
      <w:r w:rsidRPr="009307C4">
        <w:rPr>
          <w:sz w:val="22"/>
          <w:szCs w:val="22"/>
          <w:lang w:val="sr-Latn-ME" w:eastAsia="sr-Latn-CS"/>
        </w:rPr>
        <w:t xml:space="preserve">tablete za žvakanje od 5 mg </w:t>
      </w:r>
      <w:r w:rsidR="009D26EC" w:rsidRPr="009307C4">
        <w:rPr>
          <w:sz w:val="22"/>
          <w:szCs w:val="22"/>
          <w:lang w:val="sr-Latn-ME" w:eastAsia="sr-Latn-CS"/>
        </w:rPr>
        <w:t>kod</w:t>
      </w:r>
      <w:r w:rsidRPr="009307C4">
        <w:rPr>
          <w:sz w:val="22"/>
          <w:szCs w:val="22"/>
          <w:lang w:val="sr-Latn-ME" w:eastAsia="sr-Latn-CS"/>
        </w:rPr>
        <w:t xml:space="preserve"> oko 1750 pedijatrijskih pacijenata starosti od 6 do 14 godina </w:t>
      </w:r>
    </w:p>
    <w:p w14:paraId="39937F2A" w14:textId="77777777" w:rsidR="008808CA" w:rsidRPr="009307C4" w:rsidRDefault="008808CA" w:rsidP="00C4333D">
      <w:pPr>
        <w:numPr>
          <w:ilvl w:val="0"/>
          <w:numId w:val="13"/>
        </w:numPr>
        <w:autoSpaceDE w:val="0"/>
        <w:autoSpaceDN w:val="0"/>
        <w:adjustRightInd w:val="0"/>
        <w:jc w:val="both"/>
        <w:rPr>
          <w:sz w:val="22"/>
          <w:szCs w:val="22"/>
          <w:lang w:val="sr-Latn-ME" w:eastAsia="sr-Latn-CS"/>
        </w:rPr>
      </w:pPr>
      <w:r w:rsidRPr="009307C4">
        <w:rPr>
          <w:sz w:val="22"/>
          <w:szCs w:val="22"/>
          <w:lang w:val="sr-Latn-ME" w:eastAsia="sr-Latn-CS"/>
        </w:rPr>
        <w:t>tablete za žvakanje od 4 mg kod 851 pedijatrijskog pacijenta starosti 2-5 godina, i</w:t>
      </w:r>
    </w:p>
    <w:p w14:paraId="6A824373" w14:textId="77777777" w:rsidR="008808CA" w:rsidRPr="009307C4" w:rsidRDefault="008808CA" w:rsidP="00C4333D">
      <w:pPr>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granule od 4 mg kod 175 pacijenata starosti od 6 mjeseci do 2 godine.</w:t>
      </w:r>
    </w:p>
    <w:p w14:paraId="2F6CB9EE" w14:textId="77777777" w:rsidR="00E85BE6" w:rsidRPr="009307C4" w:rsidRDefault="00E85BE6" w:rsidP="00C4333D">
      <w:pPr>
        <w:pStyle w:val="Default"/>
        <w:jc w:val="both"/>
        <w:rPr>
          <w:sz w:val="22"/>
          <w:szCs w:val="22"/>
          <w:lang w:val="sr-Latn-ME"/>
        </w:rPr>
      </w:pPr>
    </w:p>
    <w:p w14:paraId="226280C6" w14:textId="23D7F8B3" w:rsidR="008808CA" w:rsidRPr="009307C4" w:rsidRDefault="008808CA" w:rsidP="00C4333D">
      <w:pPr>
        <w:pStyle w:val="Default"/>
        <w:jc w:val="both"/>
        <w:rPr>
          <w:sz w:val="22"/>
          <w:szCs w:val="22"/>
          <w:lang w:val="sr-Latn-ME"/>
        </w:rPr>
      </w:pPr>
      <w:r w:rsidRPr="009307C4">
        <w:rPr>
          <w:sz w:val="22"/>
          <w:szCs w:val="22"/>
          <w:lang w:val="sr-Latn-ME"/>
        </w:rPr>
        <w:t>Montelukast je ispitivan u kliničkim studijama kod pacijenata sa intermitentnom astmom u sl</w:t>
      </w:r>
      <w:r w:rsidR="0039724B" w:rsidRPr="009307C4">
        <w:rPr>
          <w:sz w:val="22"/>
          <w:szCs w:val="22"/>
          <w:lang w:val="sr-Latn-ME"/>
        </w:rPr>
        <w:t>j</w:t>
      </w:r>
      <w:r w:rsidRPr="009307C4">
        <w:rPr>
          <w:sz w:val="22"/>
          <w:szCs w:val="22"/>
          <w:lang w:val="sr-Latn-ME"/>
        </w:rPr>
        <w:t xml:space="preserve">edećem obimu: </w:t>
      </w:r>
    </w:p>
    <w:p w14:paraId="37F2F848" w14:textId="0A1376FC" w:rsidR="008808CA" w:rsidRPr="009307C4" w:rsidRDefault="008808CA" w:rsidP="00C4333D">
      <w:pPr>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granule i tablete za žvakanje od 4mg kod 1038 pedijatrijskih pacijenata starosi od 6 meseci do 5 godina</w:t>
      </w:r>
      <w:r w:rsidR="00E85BE6" w:rsidRPr="009307C4">
        <w:rPr>
          <w:sz w:val="22"/>
          <w:szCs w:val="22"/>
          <w:lang w:val="sr-Latn-ME" w:eastAsia="sr-Latn-CS"/>
        </w:rPr>
        <w:t xml:space="preserve"> i sve do punih 6 godina</w:t>
      </w:r>
    </w:p>
    <w:p w14:paraId="7F2BBF83" w14:textId="77777777" w:rsidR="008808CA" w:rsidRPr="009307C4" w:rsidRDefault="008808CA" w:rsidP="00C4333D">
      <w:pPr>
        <w:autoSpaceDE w:val="0"/>
        <w:autoSpaceDN w:val="0"/>
        <w:adjustRightInd w:val="0"/>
        <w:jc w:val="both"/>
        <w:rPr>
          <w:sz w:val="22"/>
          <w:szCs w:val="22"/>
          <w:lang w:val="sr-Latn-ME" w:eastAsia="sr-Latn-CS"/>
        </w:rPr>
      </w:pPr>
    </w:p>
    <w:p w14:paraId="4C5F113B" w14:textId="3AEAE09A"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Kod pacijenata liječenih montelukastom sljedeće sa lijekom povezane neželjene reakcije u kliničkim studijama su prijavljene često (</w:t>
      </w:r>
      <w:r w:rsidR="00C42282" w:rsidRPr="009307C4">
        <w:rPr>
          <w:sz w:val="22"/>
          <w:szCs w:val="22"/>
          <w:lang w:val="sr-Latn-ME" w:eastAsia="sr-Latn-CS"/>
        </w:rPr>
        <w:t>≥</w:t>
      </w:r>
      <w:r w:rsidRPr="009307C4">
        <w:rPr>
          <w:sz w:val="22"/>
          <w:szCs w:val="22"/>
          <w:lang w:val="sr-Latn-ME" w:eastAsia="sr-Latn-CS"/>
        </w:rPr>
        <w:t>1/100</w:t>
      </w:r>
      <w:r w:rsidR="0039724B" w:rsidRPr="009307C4">
        <w:rPr>
          <w:sz w:val="22"/>
          <w:szCs w:val="22"/>
          <w:lang w:val="sr-Latn-ME" w:eastAsia="sr-Latn-CS"/>
        </w:rPr>
        <w:t xml:space="preserve"> do</w:t>
      </w:r>
      <w:r w:rsidRPr="009307C4">
        <w:rPr>
          <w:sz w:val="22"/>
          <w:szCs w:val="22"/>
          <w:lang w:val="sr-Latn-ME" w:eastAsia="sr-Latn-CS"/>
        </w:rPr>
        <w:t xml:space="preserve"> &lt;1/10), i sa većom </w:t>
      </w:r>
      <w:r w:rsidR="00D11CD4" w:rsidRPr="009307C4">
        <w:rPr>
          <w:sz w:val="22"/>
          <w:szCs w:val="22"/>
          <w:lang w:val="sr-Latn-ME" w:eastAsia="sr-Latn-CS"/>
        </w:rPr>
        <w:t xml:space="preserve">učestalošću </w:t>
      </w:r>
      <w:r w:rsidRPr="009307C4">
        <w:rPr>
          <w:sz w:val="22"/>
          <w:szCs w:val="22"/>
          <w:lang w:val="sr-Latn-ME" w:eastAsia="sr-Latn-CS"/>
        </w:rPr>
        <w:t xml:space="preserve">u odnosu na pacijente koji su </w:t>
      </w:r>
      <w:r w:rsidR="00E85BE6" w:rsidRPr="009307C4">
        <w:rPr>
          <w:sz w:val="22"/>
          <w:szCs w:val="22"/>
          <w:lang w:val="sr-Latn-ME" w:eastAsia="sr-Latn-CS"/>
        </w:rPr>
        <w:t xml:space="preserve">uzimali </w:t>
      </w:r>
      <w:r w:rsidRPr="009307C4">
        <w:rPr>
          <w:sz w:val="22"/>
          <w:szCs w:val="22"/>
          <w:lang w:val="sr-Latn-ME" w:eastAsia="sr-Latn-CS"/>
        </w:rPr>
        <w:t xml:space="preserve">placebo: </w:t>
      </w:r>
    </w:p>
    <w:p w14:paraId="1322973E" w14:textId="0FABD703" w:rsidR="008808CA" w:rsidRPr="009307C4" w:rsidRDefault="008808CA" w:rsidP="00C4333D">
      <w:pPr>
        <w:spacing w:after="200" w:line="276" w:lineRule="auto"/>
        <w:jc w:val="both"/>
        <w:rPr>
          <w:rFonts w:eastAsia="Calibri"/>
          <w:sz w:val="22"/>
          <w:szCs w:val="22"/>
          <w:u w:val="single"/>
          <w:lang w:val="sr-Latn-M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842"/>
        <w:gridCol w:w="1842"/>
        <w:gridCol w:w="1953"/>
        <w:gridCol w:w="1730"/>
      </w:tblGrid>
      <w:tr w:rsidR="008808CA" w:rsidRPr="009307C4" w14:paraId="3C01D87C" w14:textId="77777777" w:rsidTr="00265EF1">
        <w:tc>
          <w:tcPr>
            <w:tcW w:w="1842" w:type="dxa"/>
          </w:tcPr>
          <w:p w14:paraId="7628EC60" w14:textId="77777777" w:rsidR="008808CA" w:rsidRPr="009307C4" w:rsidRDefault="008808CA" w:rsidP="00C4333D">
            <w:pPr>
              <w:tabs>
                <w:tab w:val="center" w:pos="4536"/>
                <w:tab w:val="right" w:pos="9072"/>
              </w:tabs>
              <w:autoSpaceDE w:val="0"/>
              <w:autoSpaceDN w:val="0"/>
              <w:adjustRightInd w:val="0"/>
              <w:jc w:val="both"/>
              <w:rPr>
                <w:b/>
                <w:sz w:val="22"/>
                <w:szCs w:val="20"/>
                <w:lang w:val="sr-Latn-ME" w:eastAsia="sr-Latn-CS"/>
              </w:rPr>
            </w:pPr>
            <w:r w:rsidRPr="009307C4">
              <w:rPr>
                <w:b/>
                <w:sz w:val="22"/>
                <w:szCs w:val="20"/>
                <w:lang w:val="sr-Latn-ME" w:eastAsia="sr-Latn-CS"/>
              </w:rPr>
              <w:t>Klasa sistema organa</w:t>
            </w:r>
          </w:p>
          <w:p w14:paraId="1B011530" w14:textId="77777777" w:rsidR="008808CA" w:rsidRPr="009307C4" w:rsidRDefault="008808CA" w:rsidP="00C4333D">
            <w:pPr>
              <w:tabs>
                <w:tab w:val="center" w:pos="4536"/>
                <w:tab w:val="right" w:pos="9072"/>
              </w:tabs>
              <w:jc w:val="both"/>
              <w:rPr>
                <w:b/>
                <w:sz w:val="22"/>
                <w:szCs w:val="20"/>
                <w:lang w:val="sr-Latn-ME"/>
              </w:rPr>
            </w:pPr>
          </w:p>
        </w:tc>
        <w:tc>
          <w:tcPr>
            <w:tcW w:w="1842" w:type="dxa"/>
          </w:tcPr>
          <w:p w14:paraId="1396A516" w14:textId="0BA4EFFC" w:rsidR="008808CA" w:rsidRPr="009307C4" w:rsidRDefault="008808CA" w:rsidP="00265EF1">
            <w:pPr>
              <w:tabs>
                <w:tab w:val="center" w:pos="4536"/>
                <w:tab w:val="right" w:pos="9072"/>
              </w:tabs>
              <w:autoSpaceDE w:val="0"/>
              <w:autoSpaceDN w:val="0"/>
              <w:adjustRightInd w:val="0"/>
              <w:rPr>
                <w:b/>
                <w:sz w:val="22"/>
                <w:szCs w:val="20"/>
                <w:lang w:val="sr-Latn-ME"/>
              </w:rPr>
            </w:pPr>
            <w:r w:rsidRPr="009307C4">
              <w:rPr>
                <w:b/>
                <w:sz w:val="22"/>
                <w:szCs w:val="20"/>
                <w:lang w:val="sr-Latn-ME" w:eastAsia="sr-Latn-CS"/>
              </w:rPr>
              <w:t>Odr</w:t>
            </w:r>
            <w:r w:rsidR="00D11CD4" w:rsidRPr="009307C4">
              <w:rPr>
                <w:b/>
                <w:sz w:val="22"/>
                <w:szCs w:val="20"/>
                <w:lang w:val="sr-Latn-ME" w:eastAsia="sr-Latn-CS"/>
              </w:rPr>
              <w:t>a</w:t>
            </w:r>
            <w:r w:rsidRPr="009307C4">
              <w:rPr>
                <w:b/>
                <w:sz w:val="22"/>
                <w:szCs w:val="20"/>
                <w:lang w:val="sr-Latn-ME" w:eastAsia="sr-Latn-CS"/>
              </w:rPr>
              <w:t>sli i adolescenti od 15 godina i stariji (dvije studije koje su trajale 12 nedjelja; sa 795 pacijenata)</w:t>
            </w:r>
          </w:p>
        </w:tc>
        <w:tc>
          <w:tcPr>
            <w:tcW w:w="1842" w:type="dxa"/>
          </w:tcPr>
          <w:p w14:paraId="1547FDE2" w14:textId="77777777" w:rsidR="008808CA" w:rsidRPr="009307C4" w:rsidRDefault="008808CA" w:rsidP="00265EF1">
            <w:pPr>
              <w:tabs>
                <w:tab w:val="center" w:pos="4536"/>
                <w:tab w:val="right" w:pos="9072"/>
              </w:tabs>
              <w:autoSpaceDE w:val="0"/>
              <w:autoSpaceDN w:val="0"/>
              <w:adjustRightInd w:val="0"/>
              <w:rPr>
                <w:b/>
                <w:sz w:val="22"/>
                <w:szCs w:val="20"/>
                <w:lang w:val="sr-Latn-ME" w:eastAsia="sr-Latn-CS"/>
              </w:rPr>
            </w:pPr>
            <w:r w:rsidRPr="009307C4">
              <w:rPr>
                <w:b/>
                <w:sz w:val="22"/>
                <w:szCs w:val="20"/>
                <w:lang w:val="sr-Latn-ME" w:eastAsia="sr-Latn-CS"/>
              </w:rPr>
              <w:t xml:space="preserve">Pedijatrijski pacijenti starosti 6 do 14 godina </w:t>
            </w:r>
          </w:p>
          <w:p w14:paraId="05E3861F" w14:textId="77777777" w:rsidR="008808CA" w:rsidRPr="009307C4" w:rsidRDefault="008808CA" w:rsidP="00265EF1">
            <w:pPr>
              <w:tabs>
                <w:tab w:val="center" w:pos="4536"/>
                <w:tab w:val="right" w:pos="9072"/>
              </w:tabs>
              <w:autoSpaceDE w:val="0"/>
              <w:autoSpaceDN w:val="0"/>
              <w:adjustRightInd w:val="0"/>
              <w:rPr>
                <w:b/>
                <w:sz w:val="22"/>
                <w:szCs w:val="20"/>
                <w:lang w:val="sr-Latn-ME" w:eastAsia="sr-Latn-CS"/>
              </w:rPr>
            </w:pPr>
            <w:r w:rsidRPr="009307C4">
              <w:rPr>
                <w:b/>
                <w:sz w:val="22"/>
                <w:szCs w:val="20"/>
                <w:lang w:val="sr-Latn-ME" w:eastAsia="sr-Latn-CS"/>
              </w:rPr>
              <w:t>(jedna studija od 8 nedjelja, n =201)</w:t>
            </w:r>
          </w:p>
          <w:p w14:paraId="049CFD86" w14:textId="3B13DA1D" w:rsidR="008808CA" w:rsidRPr="009307C4" w:rsidRDefault="008808CA" w:rsidP="00265EF1">
            <w:pPr>
              <w:tabs>
                <w:tab w:val="center" w:pos="4536"/>
                <w:tab w:val="right" w:pos="9072"/>
              </w:tabs>
              <w:rPr>
                <w:b/>
                <w:sz w:val="22"/>
                <w:szCs w:val="20"/>
                <w:lang w:val="sr-Latn-ME"/>
              </w:rPr>
            </w:pPr>
            <w:r w:rsidRPr="009307C4">
              <w:rPr>
                <w:b/>
                <w:sz w:val="22"/>
                <w:szCs w:val="20"/>
                <w:lang w:val="sr-Latn-ME" w:eastAsia="sr-Latn-CS"/>
              </w:rPr>
              <w:t>(dvije studije</w:t>
            </w:r>
            <w:r w:rsidR="00E85BE6" w:rsidRPr="009307C4">
              <w:rPr>
                <w:b/>
                <w:sz w:val="22"/>
                <w:szCs w:val="20"/>
                <w:lang w:val="sr-Latn-ME" w:eastAsia="sr-Latn-CS"/>
              </w:rPr>
              <w:t xml:space="preserve"> </w:t>
            </w:r>
            <w:r w:rsidR="00D11CD4" w:rsidRPr="009307C4">
              <w:rPr>
                <w:b/>
                <w:sz w:val="22"/>
                <w:szCs w:val="20"/>
                <w:lang w:val="sr-Latn-ME" w:eastAsia="sr-Latn-CS"/>
              </w:rPr>
              <w:t>u trajanju</w:t>
            </w:r>
            <w:r w:rsidRPr="009307C4">
              <w:rPr>
                <w:b/>
                <w:sz w:val="22"/>
                <w:szCs w:val="20"/>
                <w:lang w:val="sr-Latn-ME" w:eastAsia="sr-Latn-CS"/>
              </w:rPr>
              <w:t xml:space="preserve"> od 56 nedjelja, n=615)</w:t>
            </w:r>
          </w:p>
        </w:tc>
        <w:tc>
          <w:tcPr>
            <w:tcW w:w="1953" w:type="dxa"/>
          </w:tcPr>
          <w:p w14:paraId="15B6C23E" w14:textId="77777777" w:rsidR="008808CA" w:rsidRPr="009307C4" w:rsidRDefault="008808CA" w:rsidP="00265EF1">
            <w:pPr>
              <w:tabs>
                <w:tab w:val="center" w:pos="4536"/>
                <w:tab w:val="right" w:pos="9072"/>
              </w:tabs>
              <w:autoSpaceDE w:val="0"/>
              <w:autoSpaceDN w:val="0"/>
              <w:adjustRightInd w:val="0"/>
              <w:rPr>
                <w:rFonts w:eastAsia="Calibri"/>
                <w:b/>
                <w:sz w:val="22"/>
                <w:szCs w:val="20"/>
                <w:lang w:val="sr-Latn-ME"/>
              </w:rPr>
            </w:pPr>
            <w:r w:rsidRPr="009307C4">
              <w:rPr>
                <w:rFonts w:eastAsia="Calibri"/>
                <w:b/>
                <w:sz w:val="22"/>
                <w:szCs w:val="20"/>
                <w:lang w:val="sr-Latn-ME"/>
              </w:rPr>
              <w:t>Pedijatrijski pacijenti starosti 2 do 5 godina (jedna studija od 12 nedjelja; n=461)</w:t>
            </w:r>
          </w:p>
          <w:p w14:paraId="1F467FB8" w14:textId="77777777" w:rsidR="008808CA" w:rsidRPr="009307C4" w:rsidRDefault="008808CA" w:rsidP="00265EF1">
            <w:pPr>
              <w:tabs>
                <w:tab w:val="center" w:pos="4536"/>
                <w:tab w:val="right" w:pos="9072"/>
              </w:tabs>
              <w:autoSpaceDE w:val="0"/>
              <w:autoSpaceDN w:val="0"/>
              <w:adjustRightInd w:val="0"/>
              <w:rPr>
                <w:b/>
                <w:sz w:val="22"/>
                <w:szCs w:val="20"/>
                <w:lang w:val="sr-Latn-ME"/>
              </w:rPr>
            </w:pPr>
            <w:r w:rsidRPr="009307C4">
              <w:rPr>
                <w:rFonts w:eastAsia="Calibri"/>
                <w:b/>
                <w:sz w:val="22"/>
                <w:szCs w:val="20"/>
                <w:lang w:val="sr-Latn-ME"/>
              </w:rPr>
              <w:t>(jedna studija od 48 nedjelja; n=278)</w:t>
            </w:r>
          </w:p>
        </w:tc>
        <w:tc>
          <w:tcPr>
            <w:tcW w:w="1730" w:type="dxa"/>
          </w:tcPr>
          <w:p w14:paraId="6E9E7C59" w14:textId="77777777" w:rsidR="008808CA" w:rsidRPr="009307C4" w:rsidRDefault="008808CA" w:rsidP="00265EF1">
            <w:pPr>
              <w:tabs>
                <w:tab w:val="center" w:pos="4536"/>
                <w:tab w:val="right" w:pos="9072"/>
              </w:tabs>
              <w:autoSpaceDE w:val="0"/>
              <w:autoSpaceDN w:val="0"/>
              <w:adjustRightInd w:val="0"/>
              <w:rPr>
                <w:rFonts w:eastAsia="Calibri"/>
                <w:b/>
                <w:sz w:val="22"/>
                <w:szCs w:val="20"/>
                <w:lang w:val="sr-Latn-ME"/>
              </w:rPr>
            </w:pPr>
            <w:r w:rsidRPr="009307C4">
              <w:rPr>
                <w:rFonts w:eastAsia="Calibri"/>
                <w:b/>
                <w:sz w:val="22"/>
                <w:szCs w:val="20"/>
                <w:lang w:val="sr-Latn-ME"/>
              </w:rPr>
              <w:t>Pedjatrijski pacijenti starosti od 6 mjeseci do 2 godine</w:t>
            </w:r>
          </w:p>
          <w:p w14:paraId="51155F9D" w14:textId="77777777" w:rsidR="008808CA" w:rsidRPr="009307C4" w:rsidRDefault="008808CA" w:rsidP="00265EF1">
            <w:pPr>
              <w:tabs>
                <w:tab w:val="center" w:pos="4536"/>
                <w:tab w:val="right" w:pos="9072"/>
              </w:tabs>
              <w:autoSpaceDE w:val="0"/>
              <w:autoSpaceDN w:val="0"/>
              <w:adjustRightInd w:val="0"/>
              <w:rPr>
                <w:b/>
                <w:sz w:val="22"/>
                <w:szCs w:val="20"/>
                <w:lang w:val="sr-Latn-ME"/>
              </w:rPr>
            </w:pPr>
            <w:r w:rsidRPr="009307C4">
              <w:rPr>
                <w:rFonts w:eastAsia="Calibri"/>
                <w:b/>
                <w:sz w:val="22"/>
                <w:szCs w:val="20"/>
                <w:lang w:val="sr-Latn-ME"/>
              </w:rPr>
              <w:t>(jedna studija od 6 nedjelja; n=175)</w:t>
            </w:r>
          </w:p>
        </w:tc>
      </w:tr>
      <w:tr w:rsidR="008808CA" w:rsidRPr="009307C4" w14:paraId="603631A4" w14:textId="77777777" w:rsidTr="00265EF1">
        <w:tc>
          <w:tcPr>
            <w:tcW w:w="1842" w:type="dxa"/>
          </w:tcPr>
          <w:p w14:paraId="2DDAEDB5" w14:textId="77777777" w:rsidR="008808CA" w:rsidRPr="009307C4" w:rsidRDefault="008808CA" w:rsidP="00C4333D">
            <w:pPr>
              <w:tabs>
                <w:tab w:val="center" w:pos="4536"/>
                <w:tab w:val="right" w:pos="9072"/>
              </w:tabs>
              <w:jc w:val="both"/>
              <w:rPr>
                <w:b/>
                <w:sz w:val="22"/>
                <w:szCs w:val="20"/>
                <w:lang w:val="sr-Latn-ME"/>
              </w:rPr>
            </w:pPr>
            <w:r w:rsidRPr="009307C4">
              <w:rPr>
                <w:b/>
                <w:sz w:val="22"/>
                <w:szCs w:val="20"/>
                <w:lang w:val="sr-Latn-ME" w:eastAsia="sr-Latn-CS"/>
              </w:rPr>
              <w:t>Poremećaji nervnog sistema</w:t>
            </w:r>
          </w:p>
        </w:tc>
        <w:tc>
          <w:tcPr>
            <w:tcW w:w="1842" w:type="dxa"/>
          </w:tcPr>
          <w:p w14:paraId="42DDF85E"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eastAsia="sr-Latn-CS"/>
              </w:rPr>
              <w:t>glavobolja</w:t>
            </w:r>
          </w:p>
        </w:tc>
        <w:tc>
          <w:tcPr>
            <w:tcW w:w="1842" w:type="dxa"/>
          </w:tcPr>
          <w:p w14:paraId="588E1027"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eastAsia="sr-Latn-CS"/>
              </w:rPr>
              <w:t>glavobolja</w:t>
            </w:r>
          </w:p>
        </w:tc>
        <w:tc>
          <w:tcPr>
            <w:tcW w:w="1953" w:type="dxa"/>
          </w:tcPr>
          <w:p w14:paraId="5D0E987C" w14:textId="77777777" w:rsidR="008808CA" w:rsidRPr="009307C4" w:rsidRDefault="008808CA" w:rsidP="00C4333D">
            <w:pPr>
              <w:tabs>
                <w:tab w:val="center" w:pos="4536"/>
                <w:tab w:val="right" w:pos="9072"/>
              </w:tabs>
              <w:jc w:val="both"/>
              <w:rPr>
                <w:sz w:val="22"/>
                <w:szCs w:val="20"/>
                <w:lang w:val="sr-Latn-ME"/>
              </w:rPr>
            </w:pPr>
          </w:p>
        </w:tc>
        <w:tc>
          <w:tcPr>
            <w:tcW w:w="1730" w:type="dxa"/>
          </w:tcPr>
          <w:p w14:paraId="13FCB19B"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rPr>
              <w:t>hiperkinezija</w:t>
            </w:r>
          </w:p>
        </w:tc>
      </w:tr>
      <w:tr w:rsidR="008808CA" w:rsidRPr="009307C4" w14:paraId="2F6B8308" w14:textId="77777777" w:rsidTr="00265EF1">
        <w:tc>
          <w:tcPr>
            <w:tcW w:w="1842" w:type="dxa"/>
          </w:tcPr>
          <w:p w14:paraId="1A1B5279" w14:textId="77777777" w:rsidR="008808CA" w:rsidRPr="009307C4" w:rsidRDefault="008808CA" w:rsidP="00C4333D">
            <w:pPr>
              <w:tabs>
                <w:tab w:val="center" w:pos="4536"/>
                <w:tab w:val="right" w:pos="9072"/>
              </w:tabs>
              <w:autoSpaceDE w:val="0"/>
              <w:autoSpaceDN w:val="0"/>
              <w:adjustRightInd w:val="0"/>
              <w:jc w:val="both"/>
              <w:rPr>
                <w:b/>
                <w:sz w:val="22"/>
                <w:szCs w:val="20"/>
                <w:lang w:val="sr-Latn-ME"/>
              </w:rPr>
            </w:pPr>
            <w:r w:rsidRPr="009307C4">
              <w:rPr>
                <w:rFonts w:eastAsia="Calibri"/>
                <w:b/>
                <w:sz w:val="22"/>
                <w:szCs w:val="20"/>
                <w:lang w:val="sr-Latn-ME"/>
              </w:rPr>
              <w:t>Respiratorni, torakalni i medijastinalni poremećaji</w:t>
            </w:r>
          </w:p>
        </w:tc>
        <w:tc>
          <w:tcPr>
            <w:tcW w:w="1842" w:type="dxa"/>
          </w:tcPr>
          <w:p w14:paraId="2537A308" w14:textId="77777777" w:rsidR="008808CA" w:rsidRPr="009307C4" w:rsidRDefault="008808CA" w:rsidP="00C4333D">
            <w:pPr>
              <w:tabs>
                <w:tab w:val="center" w:pos="4536"/>
                <w:tab w:val="right" w:pos="9072"/>
              </w:tabs>
              <w:jc w:val="both"/>
              <w:rPr>
                <w:sz w:val="22"/>
                <w:szCs w:val="20"/>
                <w:lang w:val="sr-Latn-ME"/>
              </w:rPr>
            </w:pPr>
          </w:p>
        </w:tc>
        <w:tc>
          <w:tcPr>
            <w:tcW w:w="1842" w:type="dxa"/>
          </w:tcPr>
          <w:p w14:paraId="627630C9" w14:textId="77777777" w:rsidR="008808CA" w:rsidRPr="009307C4" w:rsidRDefault="008808CA" w:rsidP="00C4333D">
            <w:pPr>
              <w:tabs>
                <w:tab w:val="center" w:pos="4536"/>
                <w:tab w:val="right" w:pos="9072"/>
              </w:tabs>
              <w:jc w:val="both"/>
              <w:rPr>
                <w:sz w:val="22"/>
                <w:szCs w:val="20"/>
                <w:lang w:val="sr-Latn-ME"/>
              </w:rPr>
            </w:pPr>
          </w:p>
        </w:tc>
        <w:tc>
          <w:tcPr>
            <w:tcW w:w="1953" w:type="dxa"/>
          </w:tcPr>
          <w:p w14:paraId="6B3A88C7" w14:textId="77777777" w:rsidR="008808CA" w:rsidRPr="009307C4" w:rsidRDefault="008808CA" w:rsidP="00C4333D">
            <w:pPr>
              <w:tabs>
                <w:tab w:val="center" w:pos="4536"/>
                <w:tab w:val="right" w:pos="9072"/>
              </w:tabs>
              <w:jc w:val="both"/>
              <w:rPr>
                <w:sz w:val="22"/>
                <w:szCs w:val="20"/>
                <w:lang w:val="sr-Latn-ME"/>
              </w:rPr>
            </w:pPr>
          </w:p>
        </w:tc>
        <w:tc>
          <w:tcPr>
            <w:tcW w:w="1730" w:type="dxa"/>
          </w:tcPr>
          <w:p w14:paraId="3F9E1A80"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rPr>
              <w:t>astma</w:t>
            </w:r>
          </w:p>
        </w:tc>
      </w:tr>
      <w:tr w:rsidR="008808CA" w:rsidRPr="009307C4" w14:paraId="0B333DB1" w14:textId="77777777" w:rsidTr="00265EF1">
        <w:tc>
          <w:tcPr>
            <w:tcW w:w="1842" w:type="dxa"/>
          </w:tcPr>
          <w:p w14:paraId="4A8E9E46" w14:textId="77777777" w:rsidR="008808CA" w:rsidRPr="009307C4" w:rsidRDefault="008808CA" w:rsidP="00C4333D">
            <w:pPr>
              <w:tabs>
                <w:tab w:val="center" w:pos="4536"/>
                <w:tab w:val="right" w:pos="9072"/>
              </w:tabs>
              <w:jc w:val="both"/>
              <w:rPr>
                <w:b/>
                <w:sz w:val="22"/>
                <w:szCs w:val="20"/>
                <w:lang w:val="sr-Latn-ME"/>
              </w:rPr>
            </w:pPr>
            <w:r w:rsidRPr="009307C4">
              <w:rPr>
                <w:b/>
                <w:sz w:val="22"/>
                <w:szCs w:val="20"/>
                <w:lang w:val="sr-Latn-ME" w:eastAsia="sr-Latn-CS"/>
              </w:rPr>
              <w:t>Gastrointestinalni poremećaji</w:t>
            </w:r>
          </w:p>
        </w:tc>
        <w:tc>
          <w:tcPr>
            <w:tcW w:w="1842" w:type="dxa"/>
          </w:tcPr>
          <w:p w14:paraId="5C5AD17F" w14:textId="77777777" w:rsidR="008808CA" w:rsidRPr="009307C4" w:rsidRDefault="008808CA" w:rsidP="00C4333D">
            <w:pPr>
              <w:tabs>
                <w:tab w:val="center" w:pos="4536"/>
                <w:tab w:val="right" w:pos="9072"/>
              </w:tabs>
              <w:autoSpaceDE w:val="0"/>
              <w:autoSpaceDN w:val="0"/>
              <w:adjustRightInd w:val="0"/>
              <w:jc w:val="both"/>
              <w:rPr>
                <w:sz w:val="22"/>
                <w:szCs w:val="20"/>
                <w:lang w:val="sr-Latn-ME" w:eastAsia="sr-Latn-CS"/>
              </w:rPr>
            </w:pPr>
            <w:r w:rsidRPr="009307C4">
              <w:rPr>
                <w:sz w:val="22"/>
                <w:szCs w:val="20"/>
                <w:lang w:val="sr-Latn-ME" w:eastAsia="sr-Latn-CS"/>
              </w:rPr>
              <w:t>bol u abdomenu</w:t>
            </w:r>
          </w:p>
          <w:p w14:paraId="2323EED3" w14:textId="77777777" w:rsidR="008808CA" w:rsidRPr="009307C4" w:rsidRDefault="008808CA" w:rsidP="00C4333D">
            <w:pPr>
              <w:tabs>
                <w:tab w:val="center" w:pos="4536"/>
                <w:tab w:val="right" w:pos="9072"/>
              </w:tabs>
              <w:jc w:val="both"/>
              <w:rPr>
                <w:sz w:val="22"/>
                <w:szCs w:val="20"/>
                <w:lang w:val="sr-Latn-ME"/>
              </w:rPr>
            </w:pPr>
          </w:p>
        </w:tc>
        <w:tc>
          <w:tcPr>
            <w:tcW w:w="1842" w:type="dxa"/>
          </w:tcPr>
          <w:p w14:paraId="348DC788" w14:textId="77777777" w:rsidR="008808CA" w:rsidRPr="009307C4" w:rsidRDefault="008808CA" w:rsidP="00C4333D">
            <w:pPr>
              <w:tabs>
                <w:tab w:val="center" w:pos="4536"/>
                <w:tab w:val="right" w:pos="9072"/>
              </w:tabs>
              <w:jc w:val="both"/>
              <w:rPr>
                <w:sz w:val="22"/>
                <w:szCs w:val="20"/>
                <w:lang w:val="sr-Latn-ME"/>
              </w:rPr>
            </w:pPr>
          </w:p>
        </w:tc>
        <w:tc>
          <w:tcPr>
            <w:tcW w:w="1953" w:type="dxa"/>
          </w:tcPr>
          <w:p w14:paraId="3E2C6CB2" w14:textId="77777777" w:rsidR="008808CA" w:rsidRPr="009307C4" w:rsidRDefault="008808CA" w:rsidP="00C4333D">
            <w:pPr>
              <w:tabs>
                <w:tab w:val="center" w:pos="4536"/>
                <w:tab w:val="right" w:pos="9072"/>
              </w:tabs>
              <w:autoSpaceDE w:val="0"/>
              <w:autoSpaceDN w:val="0"/>
              <w:adjustRightInd w:val="0"/>
              <w:jc w:val="both"/>
              <w:rPr>
                <w:sz w:val="22"/>
                <w:szCs w:val="20"/>
                <w:lang w:val="sr-Latn-ME" w:eastAsia="sr-Latn-CS"/>
              </w:rPr>
            </w:pPr>
            <w:r w:rsidRPr="009307C4">
              <w:rPr>
                <w:sz w:val="22"/>
                <w:szCs w:val="20"/>
                <w:lang w:val="sr-Latn-ME" w:eastAsia="sr-Latn-CS"/>
              </w:rPr>
              <w:t>bol u abdomenu</w:t>
            </w:r>
          </w:p>
          <w:p w14:paraId="4952BCA9" w14:textId="77777777" w:rsidR="008808CA" w:rsidRPr="009307C4" w:rsidRDefault="008808CA" w:rsidP="00C4333D">
            <w:pPr>
              <w:tabs>
                <w:tab w:val="center" w:pos="4536"/>
                <w:tab w:val="right" w:pos="9072"/>
              </w:tabs>
              <w:jc w:val="both"/>
              <w:rPr>
                <w:sz w:val="22"/>
                <w:szCs w:val="20"/>
                <w:lang w:val="sr-Latn-ME"/>
              </w:rPr>
            </w:pPr>
          </w:p>
        </w:tc>
        <w:tc>
          <w:tcPr>
            <w:tcW w:w="1730" w:type="dxa"/>
          </w:tcPr>
          <w:p w14:paraId="061C6AA0"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rPr>
              <w:t>dijareja</w:t>
            </w:r>
          </w:p>
        </w:tc>
      </w:tr>
      <w:tr w:rsidR="008808CA" w:rsidRPr="009307C4" w14:paraId="159FE26C" w14:textId="77777777" w:rsidTr="00265EF1">
        <w:trPr>
          <w:trHeight w:val="1097"/>
        </w:trPr>
        <w:tc>
          <w:tcPr>
            <w:tcW w:w="1842" w:type="dxa"/>
          </w:tcPr>
          <w:p w14:paraId="47D2604E" w14:textId="77777777" w:rsidR="008808CA" w:rsidRPr="009307C4" w:rsidRDefault="008808CA" w:rsidP="00C4333D">
            <w:pPr>
              <w:tabs>
                <w:tab w:val="center" w:pos="4536"/>
                <w:tab w:val="right" w:pos="9072"/>
              </w:tabs>
              <w:autoSpaceDE w:val="0"/>
              <w:autoSpaceDN w:val="0"/>
              <w:adjustRightInd w:val="0"/>
              <w:jc w:val="both"/>
              <w:rPr>
                <w:b/>
                <w:sz w:val="22"/>
                <w:szCs w:val="20"/>
                <w:lang w:val="sr-Latn-ME"/>
              </w:rPr>
            </w:pPr>
            <w:r w:rsidRPr="009307C4">
              <w:rPr>
                <w:rFonts w:eastAsia="Calibri"/>
                <w:b/>
                <w:sz w:val="22"/>
                <w:szCs w:val="20"/>
                <w:lang w:val="sr-Latn-ME"/>
              </w:rPr>
              <w:t>Poremećaji kože i potkožnog tkiva</w:t>
            </w:r>
          </w:p>
        </w:tc>
        <w:tc>
          <w:tcPr>
            <w:tcW w:w="1842" w:type="dxa"/>
          </w:tcPr>
          <w:p w14:paraId="6CC5623B" w14:textId="77777777" w:rsidR="008808CA" w:rsidRPr="009307C4" w:rsidRDefault="008808CA" w:rsidP="00C4333D">
            <w:pPr>
              <w:tabs>
                <w:tab w:val="center" w:pos="4536"/>
                <w:tab w:val="right" w:pos="9072"/>
              </w:tabs>
              <w:jc w:val="both"/>
              <w:rPr>
                <w:sz w:val="22"/>
                <w:szCs w:val="20"/>
                <w:lang w:val="sr-Latn-ME"/>
              </w:rPr>
            </w:pPr>
          </w:p>
        </w:tc>
        <w:tc>
          <w:tcPr>
            <w:tcW w:w="1842" w:type="dxa"/>
          </w:tcPr>
          <w:p w14:paraId="6B565FBA" w14:textId="77777777" w:rsidR="008808CA" w:rsidRPr="009307C4" w:rsidRDefault="008808CA" w:rsidP="00C4333D">
            <w:pPr>
              <w:tabs>
                <w:tab w:val="center" w:pos="4536"/>
                <w:tab w:val="right" w:pos="9072"/>
              </w:tabs>
              <w:jc w:val="both"/>
              <w:rPr>
                <w:sz w:val="22"/>
                <w:szCs w:val="20"/>
                <w:lang w:val="sr-Latn-ME"/>
              </w:rPr>
            </w:pPr>
          </w:p>
        </w:tc>
        <w:tc>
          <w:tcPr>
            <w:tcW w:w="1953" w:type="dxa"/>
          </w:tcPr>
          <w:p w14:paraId="6BA34ACB" w14:textId="77777777" w:rsidR="008808CA" w:rsidRPr="009307C4" w:rsidRDefault="008808CA" w:rsidP="00C4333D">
            <w:pPr>
              <w:tabs>
                <w:tab w:val="center" w:pos="4536"/>
                <w:tab w:val="right" w:pos="9072"/>
              </w:tabs>
              <w:jc w:val="both"/>
              <w:rPr>
                <w:sz w:val="22"/>
                <w:szCs w:val="20"/>
                <w:lang w:val="sr-Latn-ME"/>
              </w:rPr>
            </w:pPr>
          </w:p>
        </w:tc>
        <w:tc>
          <w:tcPr>
            <w:tcW w:w="1730" w:type="dxa"/>
          </w:tcPr>
          <w:p w14:paraId="7279410F" w14:textId="77777777" w:rsidR="008808CA" w:rsidRPr="009307C4" w:rsidRDefault="008808CA" w:rsidP="00C4333D">
            <w:pPr>
              <w:tabs>
                <w:tab w:val="center" w:pos="4536"/>
                <w:tab w:val="right" w:pos="9072"/>
              </w:tabs>
              <w:jc w:val="both"/>
              <w:rPr>
                <w:rFonts w:eastAsia="Calibri"/>
                <w:sz w:val="22"/>
                <w:szCs w:val="20"/>
                <w:lang w:val="sr-Latn-ME"/>
              </w:rPr>
            </w:pPr>
            <w:r w:rsidRPr="009307C4">
              <w:rPr>
                <w:rFonts w:eastAsia="Calibri"/>
                <w:sz w:val="22"/>
                <w:szCs w:val="20"/>
                <w:lang w:val="sr-Latn-ME"/>
              </w:rPr>
              <w:t xml:space="preserve">ekcematozni dermatitis, </w:t>
            </w:r>
          </w:p>
          <w:p w14:paraId="30C1CB45" w14:textId="77777777" w:rsidR="008808CA" w:rsidRPr="009307C4" w:rsidRDefault="008808CA" w:rsidP="00C4333D">
            <w:pPr>
              <w:tabs>
                <w:tab w:val="center" w:pos="4536"/>
                <w:tab w:val="right" w:pos="9072"/>
              </w:tabs>
              <w:jc w:val="both"/>
              <w:rPr>
                <w:sz w:val="22"/>
                <w:szCs w:val="20"/>
                <w:lang w:val="sr-Latn-ME"/>
              </w:rPr>
            </w:pPr>
            <w:r w:rsidRPr="009307C4">
              <w:rPr>
                <w:rFonts w:eastAsia="Calibri"/>
                <w:sz w:val="22"/>
                <w:szCs w:val="20"/>
                <w:lang w:val="sr-Latn-ME"/>
              </w:rPr>
              <w:t>osip</w:t>
            </w:r>
          </w:p>
        </w:tc>
      </w:tr>
      <w:tr w:rsidR="008808CA" w:rsidRPr="009307C4" w14:paraId="344EE87D" w14:textId="77777777" w:rsidTr="00265EF1">
        <w:tc>
          <w:tcPr>
            <w:tcW w:w="1842" w:type="dxa"/>
          </w:tcPr>
          <w:p w14:paraId="31BE003C" w14:textId="5FB74072" w:rsidR="008808CA" w:rsidRPr="009307C4" w:rsidRDefault="008808CA">
            <w:pPr>
              <w:tabs>
                <w:tab w:val="center" w:pos="4536"/>
                <w:tab w:val="right" w:pos="9072"/>
              </w:tabs>
              <w:autoSpaceDE w:val="0"/>
              <w:autoSpaceDN w:val="0"/>
              <w:adjustRightInd w:val="0"/>
              <w:jc w:val="both"/>
              <w:rPr>
                <w:b/>
                <w:sz w:val="22"/>
                <w:szCs w:val="20"/>
                <w:lang w:val="sr-Latn-ME"/>
              </w:rPr>
            </w:pPr>
            <w:r w:rsidRPr="009307C4">
              <w:rPr>
                <w:rFonts w:eastAsia="Calibri"/>
                <w:b/>
                <w:sz w:val="22"/>
                <w:szCs w:val="20"/>
                <w:lang w:val="sr-Latn-ME"/>
              </w:rPr>
              <w:t xml:space="preserve">Opšti poremećaji i </w:t>
            </w:r>
            <w:r w:rsidR="00D11CD4" w:rsidRPr="009307C4">
              <w:rPr>
                <w:rFonts w:eastAsia="Calibri"/>
                <w:b/>
                <w:sz w:val="22"/>
                <w:szCs w:val="20"/>
                <w:lang w:val="sr-Latn-ME"/>
              </w:rPr>
              <w:t xml:space="preserve">reakcije </w:t>
            </w:r>
            <w:r w:rsidRPr="009307C4">
              <w:rPr>
                <w:rFonts w:eastAsia="Calibri"/>
                <w:b/>
                <w:sz w:val="22"/>
                <w:szCs w:val="20"/>
                <w:lang w:val="sr-Latn-ME"/>
              </w:rPr>
              <w:t xml:space="preserve">na mjestu </w:t>
            </w:r>
            <w:r w:rsidR="00E85BE6" w:rsidRPr="009307C4">
              <w:rPr>
                <w:rFonts w:eastAsia="Calibri"/>
                <w:b/>
                <w:sz w:val="22"/>
                <w:szCs w:val="20"/>
                <w:lang w:val="sr-Latn-ME"/>
              </w:rPr>
              <w:t>primjene</w:t>
            </w:r>
          </w:p>
        </w:tc>
        <w:tc>
          <w:tcPr>
            <w:tcW w:w="1842" w:type="dxa"/>
          </w:tcPr>
          <w:p w14:paraId="611BBDB6" w14:textId="77777777" w:rsidR="008808CA" w:rsidRPr="009307C4" w:rsidRDefault="008808CA" w:rsidP="00C4333D">
            <w:pPr>
              <w:tabs>
                <w:tab w:val="center" w:pos="4536"/>
                <w:tab w:val="right" w:pos="9072"/>
              </w:tabs>
              <w:jc w:val="both"/>
              <w:rPr>
                <w:sz w:val="22"/>
                <w:szCs w:val="20"/>
                <w:lang w:val="sr-Latn-ME"/>
              </w:rPr>
            </w:pPr>
          </w:p>
        </w:tc>
        <w:tc>
          <w:tcPr>
            <w:tcW w:w="1842" w:type="dxa"/>
          </w:tcPr>
          <w:p w14:paraId="0049C6A3" w14:textId="77777777" w:rsidR="008808CA" w:rsidRPr="009307C4" w:rsidRDefault="008808CA" w:rsidP="00C4333D">
            <w:pPr>
              <w:tabs>
                <w:tab w:val="center" w:pos="4536"/>
                <w:tab w:val="right" w:pos="9072"/>
              </w:tabs>
              <w:jc w:val="both"/>
              <w:rPr>
                <w:sz w:val="22"/>
                <w:szCs w:val="20"/>
                <w:lang w:val="sr-Latn-ME"/>
              </w:rPr>
            </w:pPr>
          </w:p>
        </w:tc>
        <w:tc>
          <w:tcPr>
            <w:tcW w:w="1953" w:type="dxa"/>
          </w:tcPr>
          <w:p w14:paraId="295614B0" w14:textId="77777777" w:rsidR="008808CA" w:rsidRPr="009307C4" w:rsidRDefault="008808CA" w:rsidP="00C4333D">
            <w:pPr>
              <w:tabs>
                <w:tab w:val="center" w:pos="4536"/>
                <w:tab w:val="right" w:pos="9072"/>
              </w:tabs>
              <w:jc w:val="both"/>
              <w:rPr>
                <w:sz w:val="22"/>
                <w:szCs w:val="20"/>
                <w:lang w:val="sr-Latn-ME"/>
              </w:rPr>
            </w:pPr>
            <w:r w:rsidRPr="009307C4">
              <w:rPr>
                <w:sz w:val="22"/>
                <w:szCs w:val="20"/>
                <w:lang w:val="sr-Latn-ME"/>
              </w:rPr>
              <w:t>žeđ</w:t>
            </w:r>
          </w:p>
        </w:tc>
        <w:tc>
          <w:tcPr>
            <w:tcW w:w="1730" w:type="dxa"/>
          </w:tcPr>
          <w:p w14:paraId="666463A0" w14:textId="77777777" w:rsidR="008808CA" w:rsidRPr="009307C4" w:rsidRDefault="008808CA" w:rsidP="00C4333D">
            <w:pPr>
              <w:tabs>
                <w:tab w:val="center" w:pos="4536"/>
                <w:tab w:val="right" w:pos="9072"/>
              </w:tabs>
              <w:jc w:val="both"/>
              <w:rPr>
                <w:sz w:val="22"/>
                <w:szCs w:val="20"/>
                <w:lang w:val="sr-Latn-ME"/>
              </w:rPr>
            </w:pPr>
          </w:p>
        </w:tc>
      </w:tr>
    </w:tbl>
    <w:p w14:paraId="4E643A99" w14:textId="755FD68D" w:rsidR="008808CA" w:rsidRPr="009307C4" w:rsidRDefault="008808CA" w:rsidP="00C4333D">
      <w:pPr>
        <w:spacing w:after="200" w:line="276" w:lineRule="auto"/>
        <w:jc w:val="both"/>
        <w:rPr>
          <w:rFonts w:eastAsia="Calibri"/>
          <w:sz w:val="22"/>
          <w:szCs w:val="22"/>
          <w:u w:val="single"/>
          <w:lang w:val="sr-Latn-ME"/>
        </w:rPr>
      </w:pPr>
    </w:p>
    <w:p w14:paraId="16565C02" w14:textId="5256989B"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U </w:t>
      </w:r>
      <w:r w:rsidR="00D11CD4" w:rsidRPr="009307C4">
        <w:rPr>
          <w:sz w:val="22"/>
          <w:szCs w:val="22"/>
          <w:lang w:val="sr-Latn-ME" w:eastAsia="sr-Latn-CS"/>
        </w:rPr>
        <w:t>kliničkim studijama produženog liječena</w:t>
      </w:r>
      <w:r w:rsidRPr="009307C4">
        <w:rPr>
          <w:sz w:val="22"/>
          <w:szCs w:val="22"/>
          <w:lang w:val="sr-Latn-ME" w:eastAsia="sr-Latn-CS"/>
        </w:rPr>
        <w:t xml:space="preserve"> na ograničenom broju pacijenata koje su trajale do 2 godine na odraslim pacijentima i do 12 mjeseci na pedijatrijskim pacijentima starosti 6-14 godina, bezbjednos</w:t>
      </w:r>
      <w:r w:rsidR="00490401" w:rsidRPr="009307C4">
        <w:rPr>
          <w:sz w:val="22"/>
          <w:szCs w:val="22"/>
          <w:lang w:val="sr-Latn-ME" w:eastAsia="sr-Latn-CS"/>
        </w:rPr>
        <w:t>n</w:t>
      </w:r>
      <w:r w:rsidRPr="009307C4">
        <w:rPr>
          <w:sz w:val="22"/>
          <w:szCs w:val="22"/>
          <w:lang w:val="sr-Latn-ME" w:eastAsia="sr-Latn-CS"/>
        </w:rPr>
        <w:t xml:space="preserve">i </w:t>
      </w:r>
      <w:r w:rsidR="00490401" w:rsidRPr="009307C4">
        <w:rPr>
          <w:sz w:val="22"/>
          <w:szCs w:val="22"/>
          <w:lang w:val="sr-Latn-ME" w:eastAsia="sr-Latn-CS"/>
        </w:rPr>
        <w:t xml:space="preserve">profil </w:t>
      </w:r>
      <w:r w:rsidRPr="009307C4">
        <w:rPr>
          <w:sz w:val="22"/>
          <w:szCs w:val="22"/>
          <w:lang w:val="sr-Latn-ME" w:eastAsia="sr-Latn-CS"/>
        </w:rPr>
        <w:t>se nije mijenjao.</w:t>
      </w:r>
    </w:p>
    <w:p w14:paraId="4A23E73D" w14:textId="77777777" w:rsidR="00E85BE6" w:rsidRPr="009307C4" w:rsidRDefault="00E85BE6" w:rsidP="00C4333D">
      <w:pPr>
        <w:autoSpaceDE w:val="0"/>
        <w:autoSpaceDN w:val="0"/>
        <w:adjustRightInd w:val="0"/>
        <w:jc w:val="both"/>
        <w:rPr>
          <w:sz w:val="22"/>
          <w:szCs w:val="22"/>
          <w:lang w:val="sr-Latn-ME" w:eastAsia="sr-Latn-CS"/>
        </w:rPr>
      </w:pPr>
    </w:p>
    <w:p w14:paraId="0A147C64" w14:textId="5F294A93"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Kumulativno, 502 pedijatrijska pacijenta starosti 2-5 godina s</w:t>
      </w:r>
      <w:r w:rsidR="00D11CD4" w:rsidRPr="009307C4">
        <w:rPr>
          <w:sz w:val="22"/>
          <w:szCs w:val="22"/>
          <w:lang w:val="sr-Latn-ME" w:eastAsia="sr-Latn-CS"/>
        </w:rPr>
        <w:t>u</w:t>
      </w:r>
      <w:r w:rsidRPr="009307C4">
        <w:rPr>
          <w:sz w:val="22"/>
          <w:szCs w:val="22"/>
          <w:lang w:val="sr-Latn-ME" w:eastAsia="sr-Latn-CS"/>
        </w:rPr>
        <w:t xml:space="preserve"> liječen</w:t>
      </w:r>
      <w:r w:rsidR="00490401" w:rsidRPr="009307C4">
        <w:rPr>
          <w:sz w:val="22"/>
          <w:szCs w:val="22"/>
          <w:lang w:val="sr-Latn-ME" w:eastAsia="sr-Latn-CS"/>
        </w:rPr>
        <w:t>a</w:t>
      </w:r>
      <w:r w:rsidRPr="009307C4">
        <w:rPr>
          <w:sz w:val="22"/>
          <w:szCs w:val="22"/>
          <w:lang w:val="sr-Latn-ME" w:eastAsia="sr-Latn-CS"/>
        </w:rPr>
        <w:t xml:space="preserve"> montelukastom najmanje 3 mjeseca, 338 je liječeno 6 mjeseci ili duže, a 534 pacijenta su liječena u toku 12 mjeseci ili duže. </w:t>
      </w:r>
      <w:r w:rsidR="00E85BE6" w:rsidRPr="009307C4">
        <w:rPr>
          <w:sz w:val="22"/>
          <w:szCs w:val="22"/>
          <w:lang w:val="sr-Latn-ME" w:eastAsia="sr-Latn-CS"/>
        </w:rPr>
        <w:t>Poslije duže upotrebe lijeka</w:t>
      </w:r>
      <w:r w:rsidRPr="009307C4">
        <w:rPr>
          <w:sz w:val="22"/>
          <w:szCs w:val="22"/>
          <w:lang w:val="sr-Latn-ME" w:eastAsia="sr-Latn-CS"/>
        </w:rPr>
        <w:t xml:space="preserve"> bezbjednosni profil se nije mijenjao ni kod ovih pacijenata.</w:t>
      </w:r>
    </w:p>
    <w:p w14:paraId="1DF53E16" w14:textId="64D51A40"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Bezbjednosni profil kod pedijatrijskih pacijenata starosti od 6 mjeseci do 2 godine nije se mijenjao u toku liječenja koje je trajalo do 3 mjeseca. </w:t>
      </w:r>
    </w:p>
    <w:p w14:paraId="645BA469" w14:textId="77777777" w:rsidR="008808CA" w:rsidRPr="009307C4" w:rsidRDefault="008808CA" w:rsidP="00C4333D">
      <w:pPr>
        <w:autoSpaceDE w:val="0"/>
        <w:autoSpaceDN w:val="0"/>
        <w:adjustRightInd w:val="0"/>
        <w:jc w:val="both"/>
        <w:rPr>
          <w:sz w:val="22"/>
          <w:szCs w:val="22"/>
          <w:lang w:val="sr-Latn-ME" w:eastAsia="sr-Latn-CS"/>
        </w:rPr>
      </w:pPr>
    </w:p>
    <w:p w14:paraId="4A1B474B" w14:textId="1A2F6428" w:rsidR="00E85BE6" w:rsidRPr="009307C4" w:rsidRDefault="008808CA" w:rsidP="00C4333D">
      <w:pPr>
        <w:autoSpaceDE w:val="0"/>
        <w:autoSpaceDN w:val="0"/>
        <w:adjustRightInd w:val="0"/>
        <w:jc w:val="both"/>
        <w:rPr>
          <w:sz w:val="22"/>
          <w:szCs w:val="22"/>
          <w:lang w:val="sr-Latn-ME" w:eastAsia="sr-Latn-CS"/>
        </w:rPr>
      </w:pPr>
      <w:r w:rsidRPr="009307C4">
        <w:rPr>
          <w:b/>
          <w:sz w:val="22"/>
          <w:szCs w:val="22"/>
          <w:lang w:val="sr-Latn-ME"/>
        </w:rPr>
        <w:t>Tabelarni prikaz neželjenih reakcija</w:t>
      </w:r>
      <w:r w:rsidR="00AA1DA8" w:rsidRPr="009307C4">
        <w:rPr>
          <w:b/>
          <w:sz w:val="22"/>
          <w:szCs w:val="22"/>
          <w:lang w:val="sr-Latn-ME"/>
        </w:rPr>
        <w:t>:</w:t>
      </w:r>
    </w:p>
    <w:p w14:paraId="2ABF48DB" w14:textId="2722046F"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rPr>
        <w:t>Neželjene reakcije prijavljene tokom postmarketinškog praćenja</w:t>
      </w:r>
      <w:r w:rsidR="00E85BE6" w:rsidRPr="009307C4">
        <w:rPr>
          <w:sz w:val="22"/>
          <w:szCs w:val="22"/>
          <w:lang w:val="sr-Latn-ME"/>
        </w:rPr>
        <w:t>, koje su prikazane tabelarno,</w:t>
      </w:r>
      <w:r w:rsidRPr="009307C4">
        <w:rPr>
          <w:sz w:val="22"/>
          <w:szCs w:val="22"/>
          <w:lang w:val="sr-Latn-ME"/>
        </w:rPr>
        <w:t xml:space="preserve"> su razvrstane po sistemima organa, a kategorije učestalosti su određene na osnovu relevantnih kliničkih studija.</w:t>
      </w:r>
    </w:p>
    <w:p w14:paraId="075AC4F1" w14:textId="77777777" w:rsidR="008808CA" w:rsidRPr="009307C4" w:rsidRDefault="008808CA" w:rsidP="00C4333D">
      <w:pPr>
        <w:autoSpaceDE w:val="0"/>
        <w:autoSpaceDN w:val="0"/>
        <w:adjustRightInd w:val="0"/>
        <w:jc w:val="both"/>
        <w:rPr>
          <w:sz w:val="22"/>
          <w:szCs w:val="22"/>
          <w:lang w:val="sr-Latn-ME" w:eastAsia="sr-Latn-CS"/>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613"/>
        <w:gridCol w:w="3055"/>
      </w:tblGrid>
      <w:tr w:rsidR="008808CA" w:rsidRPr="009307C4" w14:paraId="5D0690C1" w14:textId="77777777" w:rsidTr="00265EF1">
        <w:trPr>
          <w:jc w:val="center"/>
        </w:trPr>
        <w:tc>
          <w:tcPr>
            <w:tcW w:w="3294" w:type="dxa"/>
            <w:shd w:val="clear" w:color="auto" w:fill="auto"/>
          </w:tcPr>
          <w:p w14:paraId="4041FAB0" w14:textId="765DC9F2" w:rsidR="008808CA" w:rsidRPr="009307C4" w:rsidRDefault="00AA1DA8" w:rsidP="00C4333D">
            <w:pPr>
              <w:jc w:val="both"/>
              <w:rPr>
                <w:b/>
                <w:sz w:val="22"/>
                <w:szCs w:val="22"/>
                <w:lang w:val="sr-Latn-ME"/>
              </w:rPr>
            </w:pPr>
            <w:r w:rsidRPr="009307C4">
              <w:rPr>
                <w:b/>
                <w:sz w:val="22"/>
                <w:szCs w:val="22"/>
                <w:lang w:val="sr-Latn-ME"/>
              </w:rPr>
              <w:t>Klasa s</w:t>
            </w:r>
            <w:r w:rsidR="008808CA" w:rsidRPr="009307C4">
              <w:rPr>
                <w:b/>
                <w:sz w:val="22"/>
                <w:szCs w:val="22"/>
                <w:lang w:val="sr-Latn-ME"/>
              </w:rPr>
              <w:t>istem</w:t>
            </w:r>
            <w:r w:rsidRPr="009307C4">
              <w:rPr>
                <w:b/>
                <w:sz w:val="22"/>
                <w:szCs w:val="22"/>
                <w:lang w:val="sr-Latn-ME"/>
              </w:rPr>
              <w:t>a</w:t>
            </w:r>
            <w:r w:rsidR="008808CA" w:rsidRPr="009307C4">
              <w:rPr>
                <w:b/>
                <w:sz w:val="22"/>
                <w:szCs w:val="22"/>
                <w:lang w:val="sr-Latn-ME"/>
              </w:rPr>
              <w:t xml:space="preserve"> organa</w:t>
            </w:r>
          </w:p>
        </w:tc>
        <w:tc>
          <w:tcPr>
            <w:tcW w:w="3613" w:type="dxa"/>
            <w:shd w:val="clear" w:color="auto" w:fill="auto"/>
          </w:tcPr>
          <w:p w14:paraId="3E3B0110" w14:textId="77777777" w:rsidR="008808CA" w:rsidRPr="009307C4" w:rsidRDefault="008808CA" w:rsidP="00C4333D">
            <w:pPr>
              <w:jc w:val="both"/>
              <w:rPr>
                <w:b/>
                <w:sz w:val="22"/>
                <w:szCs w:val="22"/>
                <w:lang w:val="sr-Latn-ME"/>
              </w:rPr>
            </w:pPr>
            <w:r w:rsidRPr="009307C4">
              <w:rPr>
                <w:b/>
                <w:sz w:val="22"/>
                <w:szCs w:val="22"/>
                <w:lang w:val="sr-Latn-ME"/>
              </w:rPr>
              <w:t>Neželjena reakcija</w:t>
            </w:r>
          </w:p>
        </w:tc>
        <w:tc>
          <w:tcPr>
            <w:tcW w:w="3055" w:type="dxa"/>
            <w:shd w:val="clear" w:color="auto" w:fill="auto"/>
          </w:tcPr>
          <w:p w14:paraId="78A49575" w14:textId="77777777" w:rsidR="008808CA" w:rsidRPr="009307C4" w:rsidRDefault="008808CA" w:rsidP="00C4333D">
            <w:pPr>
              <w:jc w:val="both"/>
              <w:rPr>
                <w:b/>
                <w:sz w:val="22"/>
                <w:szCs w:val="22"/>
                <w:lang w:val="sr-Latn-ME"/>
              </w:rPr>
            </w:pPr>
            <w:r w:rsidRPr="009307C4">
              <w:rPr>
                <w:b/>
                <w:sz w:val="22"/>
                <w:szCs w:val="22"/>
                <w:lang w:val="sr-Latn-ME"/>
              </w:rPr>
              <w:t>Kategorija učestalosti*</w:t>
            </w:r>
          </w:p>
        </w:tc>
      </w:tr>
      <w:tr w:rsidR="008808CA" w:rsidRPr="009307C4" w14:paraId="318D2900" w14:textId="77777777" w:rsidTr="00265EF1">
        <w:trPr>
          <w:jc w:val="center"/>
        </w:trPr>
        <w:tc>
          <w:tcPr>
            <w:tcW w:w="3294" w:type="dxa"/>
            <w:shd w:val="clear" w:color="auto" w:fill="auto"/>
          </w:tcPr>
          <w:p w14:paraId="5FEC21A4" w14:textId="77777777" w:rsidR="008808CA" w:rsidRPr="009307C4" w:rsidRDefault="008808CA" w:rsidP="00C4333D">
            <w:pPr>
              <w:jc w:val="both"/>
              <w:rPr>
                <w:sz w:val="22"/>
                <w:szCs w:val="22"/>
                <w:lang w:val="sr-Latn-ME"/>
              </w:rPr>
            </w:pPr>
            <w:r w:rsidRPr="009307C4">
              <w:rPr>
                <w:sz w:val="22"/>
                <w:szCs w:val="22"/>
                <w:lang w:val="sr-Latn-ME"/>
              </w:rPr>
              <w:t>Infekcije i infestacije</w:t>
            </w:r>
          </w:p>
        </w:tc>
        <w:tc>
          <w:tcPr>
            <w:tcW w:w="3613" w:type="dxa"/>
            <w:shd w:val="clear" w:color="auto" w:fill="auto"/>
          </w:tcPr>
          <w:p w14:paraId="00D36F24" w14:textId="5F10EF1D" w:rsidR="008808CA" w:rsidRPr="009307C4" w:rsidRDefault="008808CA" w:rsidP="004C6094">
            <w:pPr>
              <w:rPr>
                <w:sz w:val="22"/>
                <w:szCs w:val="22"/>
                <w:lang w:val="sr-Latn-ME"/>
              </w:rPr>
            </w:pPr>
            <w:r w:rsidRPr="009307C4">
              <w:rPr>
                <w:sz w:val="22"/>
                <w:szCs w:val="22"/>
                <w:lang w:val="sr-Latn-ME"/>
              </w:rPr>
              <w:t>Infekcije gornj</w:t>
            </w:r>
            <w:r w:rsidR="00E85BE6" w:rsidRPr="009307C4">
              <w:rPr>
                <w:sz w:val="22"/>
                <w:szCs w:val="22"/>
                <w:lang w:val="sr-Latn-ME"/>
              </w:rPr>
              <w:t>eg respiratornog trakta</w:t>
            </w:r>
            <w:r w:rsidR="00E85BE6" w:rsidRPr="009307C4" w:rsidDel="00E85BE6">
              <w:rPr>
                <w:sz w:val="22"/>
                <w:szCs w:val="22"/>
                <w:lang w:val="sr-Latn-ME"/>
              </w:rPr>
              <w:t xml:space="preserve"> </w:t>
            </w:r>
            <w:r w:rsidRPr="009307C4">
              <w:rPr>
                <w:sz w:val="22"/>
                <w:szCs w:val="22"/>
                <w:lang w:val="sr-Latn-ME"/>
              </w:rPr>
              <w:t>†</w:t>
            </w:r>
          </w:p>
        </w:tc>
        <w:tc>
          <w:tcPr>
            <w:tcW w:w="3055" w:type="dxa"/>
            <w:shd w:val="clear" w:color="auto" w:fill="auto"/>
          </w:tcPr>
          <w:p w14:paraId="4A5B7465" w14:textId="77777777" w:rsidR="008808CA" w:rsidRPr="009307C4" w:rsidRDefault="008808CA" w:rsidP="00C4333D">
            <w:pPr>
              <w:jc w:val="both"/>
              <w:rPr>
                <w:sz w:val="22"/>
                <w:szCs w:val="22"/>
                <w:lang w:val="sr-Latn-ME"/>
              </w:rPr>
            </w:pPr>
            <w:r w:rsidRPr="009307C4">
              <w:rPr>
                <w:sz w:val="22"/>
                <w:szCs w:val="22"/>
                <w:lang w:val="sr-Latn-ME"/>
              </w:rPr>
              <w:t>Veoma često</w:t>
            </w:r>
          </w:p>
        </w:tc>
      </w:tr>
      <w:tr w:rsidR="002E0246" w:rsidRPr="009307C4" w14:paraId="573D9573" w14:textId="77777777" w:rsidTr="00265EF1">
        <w:trPr>
          <w:jc w:val="center"/>
        </w:trPr>
        <w:tc>
          <w:tcPr>
            <w:tcW w:w="3294" w:type="dxa"/>
            <w:vMerge w:val="restart"/>
            <w:shd w:val="clear" w:color="auto" w:fill="auto"/>
          </w:tcPr>
          <w:p w14:paraId="0F6AAFEE" w14:textId="27B20EBE" w:rsidR="002E0246" w:rsidRPr="009307C4" w:rsidRDefault="002E0246" w:rsidP="00C4333D">
            <w:pPr>
              <w:jc w:val="both"/>
              <w:rPr>
                <w:sz w:val="22"/>
                <w:szCs w:val="22"/>
                <w:lang w:val="sr-Latn-ME"/>
              </w:rPr>
            </w:pPr>
            <w:r w:rsidRPr="009307C4">
              <w:rPr>
                <w:sz w:val="22"/>
                <w:szCs w:val="22"/>
                <w:lang w:val="sr-Latn-ME"/>
              </w:rPr>
              <w:t>Poremećaji krvi i limfnog sistema</w:t>
            </w:r>
          </w:p>
        </w:tc>
        <w:tc>
          <w:tcPr>
            <w:tcW w:w="3613" w:type="dxa"/>
            <w:shd w:val="clear" w:color="auto" w:fill="auto"/>
          </w:tcPr>
          <w:p w14:paraId="0AEC0984" w14:textId="77777777" w:rsidR="002E0246" w:rsidRPr="009307C4" w:rsidRDefault="002E0246" w:rsidP="004C6094">
            <w:pPr>
              <w:rPr>
                <w:sz w:val="22"/>
                <w:szCs w:val="22"/>
                <w:lang w:val="sr-Latn-ME"/>
              </w:rPr>
            </w:pPr>
            <w:r w:rsidRPr="009307C4">
              <w:rPr>
                <w:sz w:val="22"/>
                <w:szCs w:val="22"/>
                <w:lang w:val="sr-Latn-ME"/>
              </w:rPr>
              <w:t>Pojačana sklonost ka krvarenju</w:t>
            </w:r>
          </w:p>
        </w:tc>
        <w:tc>
          <w:tcPr>
            <w:tcW w:w="3055" w:type="dxa"/>
            <w:shd w:val="clear" w:color="auto" w:fill="auto"/>
          </w:tcPr>
          <w:p w14:paraId="1C35CE71" w14:textId="77777777" w:rsidR="002E0246" w:rsidRPr="009307C4" w:rsidRDefault="002E0246" w:rsidP="00C4333D">
            <w:pPr>
              <w:jc w:val="both"/>
              <w:rPr>
                <w:sz w:val="22"/>
                <w:szCs w:val="22"/>
                <w:lang w:val="sr-Latn-ME"/>
              </w:rPr>
            </w:pPr>
            <w:r w:rsidRPr="009307C4">
              <w:rPr>
                <w:sz w:val="22"/>
                <w:szCs w:val="22"/>
                <w:lang w:val="sr-Latn-ME"/>
              </w:rPr>
              <w:t xml:space="preserve">Rijetko </w:t>
            </w:r>
          </w:p>
        </w:tc>
      </w:tr>
      <w:tr w:rsidR="002E0246" w:rsidRPr="009307C4" w14:paraId="075645D3" w14:textId="77777777" w:rsidTr="00265EF1">
        <w:trPr>
          <w:jc w:val="center"/>
        </w:trPr>
        <w:tc>
          <w:tcPr>
            <w:tcW w:w="3294" w:type="dxa"/>
            <w:vMerge/>
            <w:shd w:val="clear" w:color="auto" w:fill="auto"/>
          </w:tcPr>
          <w:p w14:paraId="759C5C48" w14:textId="77777777" w:rsidR="002E0246" w:rsidRPr="009307C4" w:rsidRDefault="002E0246" w:rsidP="002E0246">
            <w:pPr>
              <w:jc w:val="both"/>
              <w:rPr>
                <w:sz w:val="22"/>
                <w:szCs w:val="22"/>
                <w:lang w:val="sr-Latn-ME"/>
              </w:rPr>
            </w:pPr>
          </w:p>
        </w:tc>
        <w:tc>
          <w:tcPr>
            <w:tcW w:w="3613" w:type="dxa"/>
            <w:shd w:val="clear" w:color="auto" w:fill="auto"/>
          </w:tcPr>
          <w:p w14:paraId="0A8D346A" w14:textId="163BE3DE" w:rsidR="002E0246" w:rsidRPr="009307C4" w:rsidRDefault="002E0246" w:rsidP="004C6094">
            <w:pPr>
              <w:rPr>
                <w:sz w:val="22"/>
                <w:szCs w:val="22"/>
                <w:lang w:val="sr-Latn-ME"/>
              </w:rPr>
            </w:pPr>
            <w:r w:rsidRPr="009307C4">
              <w:rPr>
                <w:sz w:val="22"/>
                <w:szCs w:val="22"/>
                <w:lang w:val="sr-Latn-ME"/>
              </w:rPr>
              <w:t>Trombocitopenija</w:t>
            </w:r>
          </w:p>
        </w:tc>
        <w:tc>
          <w:tcPr>
            <w:tcW w:w="3055" w:type="dxa"/>
            <w:shd w:val="clear" w:color="auto" w:fill="auto"/>
          </w:tcPr>
          <w:p w14:paraId="66207C87" w14:textId="589254E1" w:rsidR="002E0246" w:rsidRPr="009307C4" w:rsidRDefault="002E0246" w:rsidP="002E0246">
            <w:pPr>
              <w:jc w:val="both"/>
              <w:rPr>
                <w:sz w:val="22"/>
                <w:szCs w:val="22"/>
                <w:lang w:val="sr-Latn-ME"/>
              </w:rPr>
            </w:pPr>
            <w:r w:rsidRPr="009307C4">
              <w:rPr>
                <w:sz w:val="22"/>
                <w:szCs w:val="22"/>
                <w:lang w:val="sr-Latn-ME"/>
              </w:rPr>
              <w:t>Veoma rijetko</w:t>
            </w:r>
          </w:p>
        </w:tc>
      </w:tr>
      <w:tr w:rsidR="008808CA" w:rsidRPr="009307C4" w14:paraId="0FE9A238" w14:textId="77777777" w:rsidTr="00265EF1">
        <w:trPr>
          <w:trHeight w:val="520"/>
          <w:jc w:val="center"/>
        </w:trPr>
        <w:tc>
          <w:tcPr>
            <w:tcW w:w="3294" w:type="dxa"/>
            <w:vMerge w:val="restart"/>
            <w:shd w:val="clear" w:color="auto" w:fill="auto"/>
          </w:tcPr>
          <w:p w14:paraId="709B32CB" w14:textId="74EC5561" w:rsidR="008808CA" w:rsidRPr="009307C4" w:rsidRDefault="00E85BE6" w:rsidP="00C4333D">
            <w:pPr>
              <w:jc w:val="both"/>
              <w:rPr>
                <w:sz w:val="22"/>
                <w:szCs w:val="22"/>
                <w:lang w:val="sr-Latn-ME"/>
              </w:rPr>
            </w:pPr>
            <w:r w:rsidRPr="009307C4">
              <w:rPr>
                <w:sz w:val="22"/>
                <w:szCs w:val="22"/>
                <w:lang w:val="sr-Latn-ME"/>
              </w:rPr>
              <w:t>Poremećaji imunskog sistema</w:t>
            </w:r>
          </w:p>
        </w:tc>
        <w:tc>
          <w:tcPr>
            <w:tcW w:w="3613" w:type="dxa"/>
            <w:shd w:val="clear" w:color="auto" w:fill="auto"/>
          </w:tcPr>
          <w:p w14:paraId="0CF883AB" w14:textId="77777777" w:rsidR="008808CA" w:rsidRPr="009307C4" w:rsidRDefault="008808CA" w:rsidP="004C6094">
            <w:pPr>
              <w:rPr>
                <w:sz w:val="22"/>
                <w:szCs w:val="22"/>
                <w:lang w:val="sr-Latn-ME"/>
              </w:rPr>
            </w:pPr>
            <w:r w:rsidRPr="009307C4">
              <w:rPr>
                <w:sz w:val="22"/>
                <w:szCs w:val="22"/>
                <w:lang w:val="sr-Latn-ME"/>
              </w:rPr>
              <w:t>Reakcije preosjetljivosti uključujući anafilaksu</w:t>
            </w:r>
          </w:p>
        </w:tc>
        <w:tc>
          <w:tcPr>
            <w:tcW w:w="3055" w:type="dxa"/>
            <w:shd w:val="clear" w:color="auto" w:fill="auto"/>
          </w:tcPr>
          <w:p w14:paraId="34DFFC95"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6DCD3A44" w14:textId="77777777" w:rsidTr="00265EF1">
        <w:trPr>
          <w:trHeight w:val="127"/>
          <w:jc w:val="center"/>
        </w:trPr>
        <w:tc>
          <w:tcPr>
            <w:tcW w:w="3294" w:type="dxa"/>
            <w:vMerge/>
            <w:shd w:val="clear" w:color="auto" w:fill="auto"/>
          </w:tcPr>
          <w:p w14:paraId="1100F9C4" w14:textId="77777777" w:rsidR="008808CA" w:rsidRPr="009307C4" w:rsidRDefault="008808CA" w:rsidP="00C4333D">
            <w:pPr>
              <w:jc w:val="both"/>
              <w:rPr>
                <w:sz w:val="22"/>
                <w:szCs w:val="22"/>
                <w:lang w:val="sr-Latn-ME"/>
              </w:rPr>
            </w:pPr>
          </w:p>
        </w:tc>
        <w:tc>
          <w:tcPr>
            <w:tcW w:w="3613" w:type="dxa"/>
            <w:shd w:val="clear" w:color="auto" w:fill="auto"/>
          </w:tcPr>
          <w:p w14:paraId="6D7A8940" w14:textId="03A9FFEF" w:rsidR="008808CA" w:rsidRPr="009307C4" w:rsidRDefault="008808CA" w:rsidP="004C6094">
            <w:pPr>
              <w:rPr>
                <w:sz w:val="22"/>
                <w:szCs w:val="22"/>
                <w:lang w:val="sr-Latn-ME"/>
              </w:rPr>
            </w:pPr>
            <w:r w:rsidRPr="009307C4">
              <w:rPr>
                <w:sz w:val="22"/>
                <w:szCs w:val="22"/>
                <w:lang w:val="sr-Latn-ME"/>
              </w:rPr>
              <w:t>Hepatičk</w:t>
            </w:r>
            <w:r w:rsidR="00AA1DA8" w:rsidRPr="009307C4">
              <w:rPr>
                <w:sz w:val="22"/>
                <w:szCs w:val="22"/>
                <w:lang w:val="sr-Latn-ME"/>
              </w:rPr>
              <w:t>a</w:t>
            </w:r>
            <w:r w:rsidRPr="009307C4">
              <w:rPr>
                <w:sz w:val="22"/>
                <w:szCs w:val="22"/>
                <w:lang w:val="sr-Latn-ME"/>
              </w:rPr>
              <w:t xml:space="preserve"> eozinofiln</w:t>
            </w:r>
            <w:r w:rsidR="00AA1DA8" w:rsidRPr="009307C4">
              <w:rPr>
                <w:sz w:val="22"/>
                <w:szCs w:val="22"/>
                <w:lang w:val="sr-Latn-ME"/>
              </w:rPr>
              <w:t>a</w:t>
            </w:r>
            <w:r w:rsidRPr="009307C4">
              <w:rPr>
                <w:sz w:val="22"/>
                <w:szCs w:val="22"/>
                <w:lang w:val="sr-Latn-ME"/>
              </w:rPr>
              <w:t xml:space="preserve"> infiltracij</w:t>
            </w:r>
            <w:r w:rsidR="00AA1DA8" w:rsidRPr="009307C4">
              <w:rPr>
                <w:sz w:val="22"/>
                <w:szCs w:val="22"/>
                <w:lang w:val="sr-Latn-ME"/>
              </w:rPr>
              <w:t>a</w:t>
            </w:r>
          </w:p>
        </w:tc>
        <w:tc>
          <w:tcPr>
            <w:tcW w:w="3055" w:type="dxa"/>
            <w:shd w:val="clear" w:color="auto" w:fill="auto"/>
          </w:tcPr>
          <w:p w14:paraId="10F04D2C"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0C51F681" w14:textId="77777777" w:rsidTr="00265EF1">
        <w:trPr>
          <w:trHeight w:val="85"/>
          <w:jc w:val="center"/>
        </w:trPr>
        <w:tc>
          <w:tcPr>
            <w:tcW w:w="3294" w:type="dxa"/>
            <w:vMerge w:val="restart"/>
            <w:shd w:val="clear" w:color="auto" w:fill="auto"/>
          </w:tcPr>
          <w:p w14:paraId="75414620" w14:textId="77777777" w:rsidR="008808CA" w:rsidRPr="009307C4" w:rsidRDefault="008808CA" w:rsidP="00C4333D">
            <w:pPr>
              <w:jc w:val="both"/>
              <w:rPr>
                <w:sz w:val="22"/>
                <w:szCs w:val="22"/>
                <w:lang w:val="sr-Latn-ME"/>
              </w:rPr>
            </w:pPr>
            <w:r w:rsidRPr="009307C4">
              <w:rPr>
                <w:sz w:val="22"/>
                <w:szCs w:val="22"/>
                <w:lang w:val="sr-Latn-ME"/>
              </w:rPr>
              <w:t>Psihijatrijski poremećaji</w:t>
            </w:r>
          </w:p>
        </w:tc>
        <w:tc>
          <w:tcPr>
            <w:tcW w:w="3613" w:type="dxa"/>
            <w:shd w:val="clear" w:color="auto" w:fill="auto"/>
          </w:tcPr>
          <w:p w14:paraId="642C2A8A" w14:textId="0D0CB502" w:rsidR="008808CA" w:rsidRPr="009307C4" w:rsidRDefault="008808CA" w:rsidP="004C6094">
            <w:pPr>
              <w:rPr>
                <w:sz w:val="22"/>
                <w:szCs w:val="22"/>
                <w:lang w:val="sr-Latn-ME"/>
              </w:rPr>
            </w:pPr>
            <w:r w:rsidRPr="009307C4">
              <w:rPr>
                <w:sz w:val="22"/>
                <w:szCs w:val="22"/>
                <w:lang w:val="sr-Latn-ME"/>
              </w:rPr>
              <w:t xml:space="preserve">Poremećaji sna uključujući noćne more, nesanicu, somnambulizam, </w:t>
            </w:r>
            <w:r w:rsidR="006B607B" w:rsidRPr="009307C4">
              <w:rPr>
                <w:sz w:val="22"/>
                <w:szCs w:val="22"/>
                <w:lang w:val="sr-Latn-ME"/>
              </w:rPr>
              <w:t>anksioznost</w:t>
            </w:r>
            <w:r w:rsidRPr="009307C4">
              <w:rPr>
                <w:sz w:val="22"/>
                <w:szCs w:val="22"/>
                <w:lang w:val="sr-Latn-ME"/>
              </w:rPr>
              <w:t xml:space="preserve">, agitaciju uz agresivno i neprijateljsko ponašanje, depresija, psihomotorna hiperaktivnost (uključujući iritabilnost, </w:t>
            </w:r>
            <w:r w:rsidR="00490401" w:rsidRPr="009307C4">
              <w:rPr>
                <w:sz w:val="22"/>
                <w:szCs w:val="22"/>
                <w:lang w:val="sr-Latn-ME"/>
              </w:rPr>
              <w:t>uz</w:t>
            </w:r>
            <w:r w:rsidR="006B607B" w:rsidRPr="009307C4">
              <w:rPr>
                <w:sz w:val="22"/>
                <w:szCs w:val="22"/>
                <w:lang w:val="sr-Latn-ME"/>
              </w:rPr>
              <w:t>nemir</w:t>
            </w:r>
            <w:r w:rsidR="00490401" w:rsidRPr="009307C4">
              <w:rPr>
                <w:sz w:val="22"/>
                <w:szCs w:val="22"/>
                <w:lang w:val="sr-Latn-ME"/>
              </w:rPr>
              <w:t>enost</w:t>
            </w:r>
            <w:r w:rsidRPr="009307C4">
              <w:rPr>
                <w:sz w:val="22"/>
                <w:szCs w:val="22"/>
                <w:lang w:val="sr-Latn-ME"/>
              </w:rPr>
              <w:t>, tremor</w:t>
            </w:r>
            <w:r w:rsidRPr="009307C4">
              <w:rPr>
                <w:sz w:val="22"/>
                <w:szCs w:val="22"/>
                <w:vertAlign w:val="superscript"/>
                <w:lang w:val="sr-Latn-ME"/>
              </w:rPr>
              <w:t>§</w:t>
            </w:r>
            <w:r w:rsidRPr="009307C4">
              <w:rPr>
                <w:sz w:val="22"/>
                <w:szCs w:val="22"/>
                <w:lang w:val="sr-Latn-ME"/>
              </w:rPr>
              <w:t>)</w:t>
            </w:r>
          </w:p>
        </w:tc>
        <w:tc>
          <w:tcPr>
            <w:tcW w:w="3055" w:type="dxa"/>
            <w:shd w:val="clear" w:color="auto" w:fill="auto"/>
          </w:tcPr>
          <w:p w14:paraId="0D68E626"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1222116D" w14:textId="77777777" w:rsidTr="00265EF1">
        <w:trPr>
          <w:trHeight w:val="85"/>
          <w:jc w:val="center"/>
        </w:trPr>
        <w:tc>
          <w:tcPr>
            <w:tcW w:w="3294" w:type="dxa"/>
            <w:vMerge/>
            <w:shd w:val="clear" w:color="auto" w:fill="auto"/>
          </w:tcPr>
          <w:p w14:paraId="3F6A7D44" w14:textId="77777777" w:rsidR="008808CA" w:rsidRPr="009307C4" w:rsidRDefault="008808CA" w:rsidP="00C4333D">
            <w:pPr>
              <w:jc w:val="both"/>
              <w:rPr>
                <w:sz w:val="22"/>
                <w:szCs w:val="22"/>
                <w:lang w:val="sr-Latn-ME"/>
              </w:rPr>
            </w:pPr>
          </w:p>
        </w:tc>
        <w:tc>
          <w:tcPr>
            <w:tcW w:w="3613" w:type="dxa"/>
            <w:shd w:val="clear" w:color="auto" w:fill="auto"/>
          </w:tcPr>
          <w:p w14:paraId="44D10B99" w14:textId="3B88D416" w:rsidR="00490401" w:rsidRPr="009307C4" w:rsidRDefault="008808CA" w:rsidP="00490401">
            <w:pPr>
              <w:rPr>
                <w:sz w:val="22"/>
                <w:szCs w:val="22"/>
                <w:lang w:val="sr-Latn-ME"/>
              </w:rPr>
            </w:pPr>
            <w:r w:rsidRPr="009307C4">
              <w:rPr>
                <w:sz w:val="22"/>
                <w:szCs w:val="22"/>
                <w:lang w:val="sr-Latn-ME"/>
              </w:rPr>
              <w:t xml:space="preserve">Poremećaj pažnje, </w:t>
            </w:r>
            <w:r w:rsidR="00490401" w:rsidRPr="009307C4">
              <w:rPr>
                <w:sz w:val="22"/>
                <w:szCs w:val="22"/>
                <w:lang w:val="sr-Latn-ME"/>
              </w:rPr>
              <w:t>poremećaj pamćenja</w:t>
            </w:r>
            <w:r w:rsidR="002E0246" w:rsidRPr="009307C4">
              <w:rPr>
                <w:sz w:val="22"/>
                <w:szCs w:val="22"/>
                <w:lang w:val="sr-Latn-ME"/>
              </w:rPr>
              <w:t xml:space="preserve">, </w:t>
            </w:r>
            <w:r w:rsidR="00490401" w:rsidRPr="009307C4">
              <w:rPr>
                <w:sz w:val="22"/>
                <w:szCs w:val="22"/>
                <w:lang w:val="sr-Latn-ME"/>
              </w:rPr>
              <w:t xml:space="preserve">nekontrolirani mišićni </w:t>
            </w:r>
          </w:p>
          <w:p w14:paraId="735481B3" w14:textId="02C9417E" w:rsidR="008808CA" w:rsidRPr="009307C4" w:rsidRDefault="00490401" w:rsidP="00490401">
            <w:pPr>
              <w:rPr>
                <w:sz w:val="22"/>
                <w:szCs w:val="22"/>
                <w:lang w:val="sr-Latn-ME"/>
              </w:rPr>
            </w:pPr>
            <w:r w:rsidRPr="009307C4">
              <w:rPr>
                <w:sz w:val="22"/>
                <w:szCs w:val="22"/>
                <w:lang w:val="sr-Latn-ME"/>
              </w:rPr>
              <w:t>pokreti (</w:t>
            </w:r>
            <w:r w:rsidR="002E0246" w:rsidRPr="009307C4">
              <w:rPr>
                <w:sz w:val="22"/>
                <w:szCs w:val="22"/>
                <w:lang w:val="sr-Latn-ME"/>
              </w:rPr>
              <w:t>tikovi</w:t>
            </w:r>
            <w:r w:rsidRPr="009307C4">
              <w:rPr>
                <w:sz w:val="22"/>
                <w:szCs w:val="22"/>
                <w:lang w:val="sr-Latn-ME"/>
              </w:rPr>
              <w:t>)</w:t>
            </w:r>
          </w:p>
        </w:tc>
        <w:tc>
          <w:tcPr>
            <w:tcW w:w="3055" w:type="dxa"/>
            <w:shd w:val="clear" w:color="auto" w:fill="auto"/>
          </w:tcPr>
          <w:p w14:paraId="0C00B4BB" w14:textId="77777777" w:rsidR="008808CA" w:rsidRPr="009307C4" w:rsidRDefault="008808CA" w:rsidP="00C4333D">
            <w:pPr>
              <w:jc w:val="both"/>
              <w:rPr>
                <w:sz w:val="22"/>
                <w:szCs w:val="22"/>
                <w:lang w:val="sr-Latn-ME"/>
              </w:rPr>
            </w:pPr>
            <w:r w:rsidRPr="009307C4">
              <w:rPr>
                <w:sz w:val="22"/>
                <w:szCs w:val="22"/>
                <w:lang w:val="sr-Latn-ME"/>
              </w:rPr>
              <w:t xml:space="preserve">Rijetko </w:t>
            </w:r>
          </w:p>
        </w:tc>
      </w:tr>
      <w:tr w:rsidR="008808CA" w:rsidRPr="009307C4" w14:paraId="3D1CF562" w14:textId="77777777" w:rsidTr="00265EF1">
        <w:trPr>
          <w:trHeight w:val="85"/>
          <w:jc w:val="center"/>
        </w:trPr>
        <w:tc>
          <w:tcPr>
            <w:tcW w:w="3294" w:type="dxa"/>
            <w:vMerge/>
            <w:shd w:val="clear" w:color="auto" w:fill="auto"/>
          </w:tcPr>
          <w:p w14:paraId="40032B82" w14:textId="77777777" w:rsidR="008808CA" w:rsidRPr="009307C4" w:rsidRDefault="008808CA" w:rsidP="00C4333D">
            <w:pPr>
              <w:jc w:val="both"/>
              <w:rPr>
                <w:sz w:val="22"/>
                <w:szCs w:val="22"/>
                <w:lang w:val="sr-Latn-ME"/>
              </w:rPr>
            </w:pPr>
          </w:p>
        </w:tc>
        <w:tc>
          <w:tcPr>
            <w:tcW w:w="3613" w:type="dxa"/>
            <w:shd w:val="clear" w:color="auto" w:fill="auto"/>
          </w:tcPr>
          <w:p w14:paraId="54A8FACF" w14:textId="0B3D18FA" w:rsidR="008808CA" w:rsidRPr="009307C4" w:rsidRDefault="00C47829" w:rsidP="004C6094">
            <w:pPr>
              <w:rPr>
                <w:sz w:val="22"/>
                <w:szCs w:val="22"/>
                <w:lang w:val="sr-Latn-ME"/>
              </w:rPr>
            </w:pPr>
            <w:r w:rsidRPr="009307C4">
              <w:rPr>
                <w:sz w:val="22"/>
                <w:szCs w:val="22"/>
                <w:lang w:val="sr-Latn-ME"/>
              </w:rPr>
              <w:t>Halucinacije,</w:t>
            </w:r>
            <w:r w:rsidR="00AA1DA8" w:rsidRPr="009307C4">
              <w:rPr>
                <w:sz w:val="22"/>
                <w:szCs w:val="22"/>
                <w:lang w:val="sr-Latn-ME"/>
              </w:rPr>
              <w:t xml:space="preserve"> </w:t>
            </w:r>
            <w:r w:rsidRPr="009307C4">
              <w:rPr>
                <w:sz w:val="22"/>
                <w:szCs w:val="22"/>
                <w:lang w:val="sr-Latn-ME"/>
              </w:rPr>
              <w:t>dezorjent</w:t>
            </w:r>
            <w:r w:rsidR="00E85BE6" w:rsidRPr="009307C4">
              <w:rPr>
                <w:sz w:val="22"/>
                <w:szCs w:val="22"/>
                <w:lang w:val="sr-Latn-ME"/>
              </w:rPr>
              <w:t>isanost</w:t>
            </w:r>
            <w:r w:rsidRPr="009307C4">
              <w:rPr>
                <w:sz w:val="22"/>
                <w:szCs w:val="22"/>
                <w:lang w:val="sr-Latn-ME"/>
              </w:rPr>
              <w:t>, suicidalne misli i ponašanje (suicidalnost), opsesivno-kompulzivni simptomi, disfemija</w:t>
            </w:r>
          </w:p>
        </w:tc>
        <w:tc>
          <w:tcPr>
            <w:tcW w:w="3055" w:type="dxa"/>
            <w:shd w:val="clear" w:color="auto" w:fill="auto"/>
          </w:tcPr>
          <w:p w14:paraId="71AAB635"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580D8C02" w14:textId="77777777" w:rsidTr="00265EF1">
        <w:trPr>
          <w:jc w:val="center"/>
        </w:trPr>
        <w:tc>
          <w:tcPr>
            <w:tcW w:w="3294" w:type="dxa"/>
            <w:shd w:val="clear" w:color="auto" w:fill="auto"/>
          </w:tcPr>
          <w:p w14:paraId="1AFE7A42" w14:textId="77777777" w:rsidR="008808CA" w:rsidRPr="009307C4" w:rsidRDefault="008808CA" w:rsidP="00C4333D">
            <w:pPr>
              <w:jc w:val="both"/>
              <w:rPr>
                <w:sz w:val="22"/>
                <w:szCs w:val="22"/>
                <w:lang w:val="sr-Latn-ME"/>
              </w:rPr>
            </w:pPr>
            <w:r w:rsidRPr="009307C4">
              <w:rPr>
                <w:sz w:val="22"/>
                <w:szCs w:val="22"/>
                <w:lang w:val="sr-Latn-ME"/>
              </w:rPr>
              <w:t>Poremećaji nervnog sistema</w:t>
            </w:r>
          </w:p>
        </w:tc>
        <w:tc>
          <w:tcPr>
            <w:tcW w:w="3613" w:type="dxa"/>
            <w:shd w:val="clear" w:color="auto" w:fill="auto"/>
          </w:tcPr>
          <w:p w14:paraId="2FA4FEA9" w14:textId="41F3DF26" w:rsidR="008808CA" w:rsidRPr="009307C4" w:rsidRDefault="008808CA" w:rsidP="004C6094">
            <w:pPr>
              <w:rPr>
                <w:sz w:val="22"/>
                <w:szCs w:val="22"/>
                <w:lang w:val="sr-Latn-ME"/>
              </w:rPr>
            </w:pPr>
            <w:r w:rsidRPr="009307C4">
              <w:rPr>
                <w:sz w:val="22"/>
                <w:szCs w:val="22"/>
                <w:lang w:val="sr-Latn-ME"/>
              </w:rPr>
              <w:t xml:space="preserve">Vrtoglavica, </w:t>
            </w:r>
            <w:r w:rsidR="004D712D" w:rsidRPr="009307C4">
              <w:rPr>
                <w:sz w:val="22"/>
                <w:szCs w:val="22"/>
                <w:lang w:val="sr-Latn-ME"/>
              </w:rPr>
              <w:t>ošamućenost</w:t>
            </w:r>
            <w:r w:rsidRPr="009307C4">
              <w:rPr>
                <w:sz w:val="22"/>
                <w:szCs w:val="22"/>
                <w:lang w:val="sr-Latn-ME"/>
              </w:rPr>
              <w:t>, parestezija/hipoestezija, konvulzija</w:t>
            </w:r>
          </w:p>
        </w:tc>
        <w:tc>
          <w:tcPr>
            <w:tcW w:w="3055" w:type="dxa"/>
            <w:shd w:val="clear" w:color="auto" w:fill="auto"/>
          </w:tcPr>
          <w:p w14:paraId="67CA5436"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19D0805D" w14:textId="77777777" w:rsidTr="00265EF1">
        <w:trPr>
          <w:jc w:val="center"/>
        </w:trPr>
        <w:tc>
          <w:tcPr>
            <w:tcW w:w="3294" w:type="dxa"/>
            <w:shd w:val="clear" w:color="auto" w:fill="auto"/>
          </w:tcPr>
          <w:p w14:paraId="1AC11440" w14:textId="77777777" w:rsidR="008808CA" w:rsidRPr="009307C4" w:rsidRDefault="008808CA" w:rsidP="00C4333D">
            <w:pPr>
              <w:jc w:val="both"/>
              <w:rPr>
                <w:sz w:val="22"/>
                <w:szCs w:val="22"/>
                <w:lang w:val="sr-Latn-ME"/>
              </w:rPr>
            </w:pPr>
            <w:r w:rsidRPr="009307C4">
              <w:rPr>
                <w:sz w:val="22"/>
                <w:szCs w:val="22"/>
                <w:lang w:val="sr-Latn-ME"/>
              </w:rPr>
              <w:t>Kardiološki poremećaji</w:t>
            </w:r>
          </w:p>
        </w:tc>
        <w:tc>
          <w:tcPr>
            <w:tcW w:w="3613" w:type="dxa"/>
            <w:shd w:val="clear" w:color="auto" w:fill="auto"/>
          </w:tcPr>
          <w:p w14:paraId="7C32A7D3" w14:textId="77777777" w:rsidR="008808CA" w:rsidRPr="009307C4" w:rsidRDefault="008808CA" w:rsidP="004C6094">
            <w:pPr>
              <w:rPr>
                <w:sz w:val="22"/>
                <w:szCs w:val="22"/>
                <w:lang w:val="sr-Latn-ME"/>
              </w:rPr>
            </w:pPr>
            <w:r w:rsidRPr="009307C4">
              <w:rPr>
                <w:sz w:val="22"/>
                <w:szCs w:val="22"/>
                <w:lang w:val="sr-Latn-ME"/>
              </w:rPr>
              <w:t>Palpitacije</w:t>
            </w:r>
          </w:p>
        </w:tc>
        <w:tc>
          <w:tcPr>
            <w:tcW w:w="3055" w:type="dxa"/>
            <w:shd w:val="clear" w:color="auto" w:fill="auto"/>
          </w:tcPr>
          <w:p w14:paraId="3E5D3BEB" w14:textId="77777777" w:rsidR="008808CA" w:rsidRPr="009307C4" w:rsidRDefault="008808CA" w:rsidP="00C4333D">
            <w:pPr>
              <w:jc w:val="both"/>
              <w:rPr>
                <w:sz w:val="22"/>
                <w:szCs w:val="22"/>
                <w:lang w:val="sr-Latn-ME"/>
              </w:rPr>
            </w:pPr>
            <w:r w:rsidRPr="009307C4">
              <w:rPr>
                <w:sz w:val="22"/>
                <w:szCs w:val="22"/>
                <w:lang w:val="sr-Latn-ME"/>
              </w:rPr>
              <w:t xml:space="preserve">Rijetko </w:t>
            </w:r>
          </w:p>
        </w:tc>
      </w:tr>
      <w:tr w:rsidR="008808CA" w:rsidRPr="009307C4" w14:paraId="56274364" w14:textId="77777777" w:rsidTr="00265EF1">
        <w:trPr>
          <w:trHeight w:val="128"/>
          <w:jc w:val="center"/>
        </w:trPr>
        <w:tc>
          <w:tcPr>
            <w:tcW w:w="3294" w:type="dxa"/>
            <w:vMerge w:val="restart"/>
            <w:shd w:val="clear" w:color="auto" w:fill="auto"/>
          </w:tcPr>
          <w:p w14:paraId="6ED92907" w14:textId="092009F2" w:rsidR="008808CA" w:rsidRPr="009307C4" w:rsidRDefault="008808CA" w:rsidP="00C4333D">
            <w:pPr>
              <w:jc w:val="both"/>
              <w:rPr>
                <w:sz w:val="22"/>
                <w:szCs w:val="22"/>
                <w:lang w:val="sr-Latn-ME"/>
              </w:rPr>
            </w:pPr>
            <w:r w:rsidRPr="009307C4">
              <w:rPr>
                <w:sz w:val="22"/>
                <w:szCs w:val="22"/>
                <w:lang w:val="sr-Latn-ME"/>
              </w:rPr>
              <w:t>Respiratorni, torakalni i medi</w:t>
            </w:r>
            <w:r w:rsidR="00AA1DA8" w:rsidRPr="009307C4">
              <w:rPr>
                <w:sz w:val="22"/>
                <w:szCs w:val="22"/>
                <w:lang w:val="sr-Latn-ME"/>
              </w:rPr>
              <w:t>j</w:t>
            </w:r>
            <w:r w:rsidRPr="009307C4">
              <w:rPr>
                <w:sz w:val="22"/>
                <w:szCs w:val="22"/>
                <w:lang w:val="sr-Latn-ME"/>
              </w:rPr>
              <w:t>astinalni poremećaji</w:t>
            </w:r>
          </w:p>
        </w:tc>
        <w:tc>
          <w:tcPr>
            <w:tcW w:w="3613" w:type="dxa"/>
            <w:shd w:val="clear" w:color="auto" w:fill="auto"/>
          </w:tcPr>
          <w:p w14:paraId="1C07E90E" w14:textId="77777777" w:rsidR="008808CA" w:rsidRPr="009307C4" w:rsidRDefault="008808CA" w:rsidP="004C6094">
            <w:pPr>
              <w:rPr>
                <w:sz w:val="22"/>
                <w:szCs w:val="22"/>
                <w:lang w:val="sr-Latn-ME"/>
              </w:rPr>
            </w:pPr>
            <w:r w:rsidRPr="009307C4">
              <w:rPr>
                <w:sz w:val="22"/>
                <w:szCs w:val="22"/>
                <w:lang w:val="sr-Latn-ME"/>
              </w:rPr>
              <w:t>Epistaksa</w:t>
            </w:r>
          </w:p>
        </w:tc>
        <w:tc>
          <w:tcPr>
            <w:tcW w:w="3055" w:type="dxa"/>
            <w:shd w:val="clear" w:color="auto" w:fill="auto"/>
          </w:tcPr>
          <w:p w14:paraId="76848D22"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32D7A54B" w14:textId="77777777" w:rsidTr="00265EF1">
        <w:trPr>
          <w:trHeight w:val="127"/>
          <w:jc w:val="center"/>
        </w:trPr>
        <w:tc>
          <w:tcPr>
            <w:tcW w:w="3294" w:type="dxa"/>
            <w:vMerge/>
            <w:shd w:val="clear" w:color="auto" w:fill="auto"/>
          </w:tcPr>
          <w:p w14:paraId="3B513EDA" w14:textId="77777777" w:rsidR="008808CA" w:rsidRPr="009307C4" w:rsidRDefault="008808CA" w:rsidP="00C4333D">
            <w:pPr>
              <w:jc w:val="both"/>
              <w:rPr>
                <w:sz w:val="22"/>
                <w:szCs w:val="22"/>
                <w:lang w:val="sr-Latn-ME"/>
              </w:rPr>
            </w:pPr>
          </w:p>
        </w:tc>
        <w:tc>
          <w:tcPr>
            <w:tcW w:w="3613" w:type="dxa"/>
            <w:shd w:val="clear" w:color="auto" w:fill="auto"/>
          </w:tcPr>
          <w:p w14:paraId="36E4FDC6" w14:textId="3B3D7FF9" w:rsidR="008808CA" w:rsidRPr="009307C4" w:rsidRDefault="008808CA" w:rsidP="004C6094">
            <w:pPr>
              <w:rPr>
                <w:sz w:val="22"/>
                <w:szCs w:val="22"/>
                <w:lang w:val="sr-Latn-ME"/>
              </w:rPr>
            </w:pPr>
            <w:r w:rsidRPr="009307C4">
              <w:rPr>
                <w:i/>
                <w:sz w:val="22"/>
                <w:szCs w:val="22"/>
                <w:lang w:val="sr-Latn-ME"/>
              </w:rPr>
              <w:t>Churg-Strauss</w:t>
            </w:r>
            <w:r w:rsidR="00E85BE6" w:rsidRPr="009307C4">
              <w:rPr>
                <w:i/>
                <w:sz w:val="22"/>
                <w:szCs w:val="22"/>
                <w:lang w:val="sr-Latn-ME"/>
              </w:rPr>
              <w:t>-</w:t>
            </w:r>
            <w:r w:rsidR="00E85BE6" w:rsidRPr="009307C4">
              <w:rPr>
                <w:iCs/>
                <w:sz w:val="22"/>
                <w:szCs w:val="22"/>
                <w:lang w:val="sr-Latn-ME"/>
              </w:rPr>
              <w:t>ov</w:t>
            </w:r>
            <w:r w:rsidRPr="009307C4">
              <w:rPr>
                <w:iCs/>
                <w:sz w:val="22"/>
                <w:szCs w:val="22"/>
                <w:lang w:val="sr-Latn-ME"/>
              </w:rPr>
              <w:t xml:space="preserve"> </w:t>
            </w:r>
            <w:r w:rsidR="000D1F29" w:rsidRPr="009307C4">
              <w:rPr>
                <w:sz w:val="22"/>
                <w:szCs w:val="22"/>
                <w:lang w:val="sr-Latn-ME"/>
              </w:rPr>
              <w:t>s</w:t>
            </w:r>
            <w:r w:rsidRPr="009307C4">
              <w:rPr>
                <w:sz w:val="22"/>
                <w:szCs w:val="22"/>
                <w:lang w:val="sr-Latn-ME"/>
              </w:rPr>
              <w:t xml:space="preserve">indrom (CSS) </w:t>
            </w:r>
            <w:r w:rsidR="00AA1DA8" w:rsidRPr="009307C4">
              <w:rPr>
                <w:sz w:val="22"/>
                <w:szCs w:val="22"/>
                <w:lang w:val="sr-Latn-ME"/>
              </w:rPr>
              <w:t>(</w:t>
            </w:r>
            <w:r w:rsidRPr="009307C4">
              <w:rPr>
                <w:sz w:val="22"/>
                <w:szCs w:val="22"/>
                <w:lang w:val="sr-Latn-ME"/>
              </w:rPr>
              <w:t>vid</w:t>
            </w:r>
            <w:r w:rsidR="00AA1DA8" w:rsidRPr="009307C4">
              <w:rPr>
                <w:sz w:val="22"/>
                <w:szCs w:val="22"/>
                <w:lang w:val="sr-Latn-ME"/>
              </w:rPr>
              <w:t>jeti</w:t>
            </w:r>
            <w:r w:rsidRPr="009307C4">
              <w:rPr>
                <w:sz w:val="22"/>
                <w:szCs w:val="22"/>
                <w:lang w:val="sr-Latn-ME"/>
              </w:rPr>
              <w:t xml:space="preserve"> </w:t>
            </w:r>
            <w:r w:rsidR="00AA1DA8" w:rsidRPr="009307C4">
              <w:rPr>
                <w:sz w:val="22"/>
                <w:szCs w:val="22"/>
                <w:lang w:val="sr-Latn-ME"/>
              </w:rPr>
              <w:t>dio</w:t>
            </w:r>
            <w:r w:rsidRPr="009307C4">
              <w:rPr>
                <w:sz w:val="22"/>
                <w:szCs w:val="22"/>
                <w:lang w:val="sr-Latn-ME"/>
              </w:rPr>
              <w:t xml:space="preserve"> 4.4</w:t>
            </w:r>
            <w:r w:rsidR="00AA1DA8" w:rsidRPr="009307C4">
              <w:rPr>
                <w:sz w:val="22"/>
                <w:szCs w:val="22"/>
                <w:lang w:val="sr-Latn-ME"/>
              </w:rPr>
              <w:t>)</w:t>
            </w:r>
          </w:p>
        </w:tc>
        <w:tc>
          <w:tcPr>
            <w:tcW w:w="3055" w:type="dxa"/>
            <w:shd w:val="clear" w:color="auto" w:fill="auto"/>
          </w:tcPr>
          <w:p w14:paraId="09E860D6"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6F7C90C8" w14:textId="77777777" w:rsidTr="00265EF1">
        <w:trPr>
          <w:trHeight w:val="127"/>
          <w:jc w:val="center"/>
        </w:trPr>
        <w:tc>
          <w:tcPr>
            <w:tcW w:w="3294" w:type="dxa"/>
            <w:vMerge/>
            <w:shd w:val="clear" w:color="auto" w:fill="auto"/>
          </w:tcPr>
          <w:p w14:paraId="15ED06E4" w14:textId="77777777" w:rsidR="008808CA" w:rsidRPr="009307C4" w:rsidRDefault="008808CA" w:rsidP="00C4333D">
            <w:pPr>
              <w:jc w:val="both"/>
              <w:rPr>
                <w:sz w:val="22"/>
                <w:szCs w:val="22"/>
                <w:lang w:val="sr-Latn-ME"/>
              </w:rPr>
            </w:pPr>
          </w:p>
        </w:tc>
        <w:tc>
          <w:tcPr>
            <w:tcW w:w="3613" w:type="dxa"/>
            <w:shd w:val="clear" w:color="auto" w:fill="auto"/>
          </w:tcPr>
          <w:p w14:paraId="412E07BC" w14:textId="77777777" w:rsidR="008808CA" w:rsidRPr="009307C4" w:rsidRDefault="008808CA" w:rsidP="004C6094">
            <w:pPr>
              <w:rPr>
                <w:sz w:val="22"/>
                <w:szCs w:val="22"/>
                <w:lang w:val="sr-Latn-ME"/>
              </w:rPr>
            </w:pPr>
            <w:r w:rsidRPr="009307C4">
              <w:rPr>
                <w:sz w:val="22"/>
                <w:szCs w:val="22"/>
                <w:lang w:val="sr-Latn-ME"/>
              </w:rPr>
              <w:t>Pulmonarna eozinofilija</w:t>
            </w:r>
          </w:p>
        </w:tc>
        <w:tc>
          <w:tcPr>
            <w:tcW w:w="3055" w:type="dxa"/>
            <w:shd w:val="clear" w:color="auto" w:fill="auto"/>
          </w:tcPr>
          <w:p w14:paraId="1DEB85E6"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1A2C3C56" w14:textId="77777777" w:rsidTr="00265EF1">
        <w:trPr>
          <w:trHeight w:val="128"/>
          <w:jc w:val="center"/>
        </w:trPr>
        <w:tc>
          <w:tcPr>
            <w:tcW w:w="3294" w:type="dxa"/>
            <w:vMerge w:val="restart"/>
            <w:shd w:val="clear" w:color="auto" w:fill="auto"/>
          </w:tcPr>
          <w:p w14:paraId="18CB4CC2" w14:textId="77777777" w:rsidR="008808CA" w:rsidRPr="009307C4" w:rsidRDefault="008808CA" w:rsidP="00C4333D">
            <w:pPr>
              <w:jc w:val="both"/>
              <w:rPr>
                <w:sz w:val="22"/>
                <w:szCs w:val="22"/>
                <w:lang w:val="sr-Latn-ME"/>
              </w:rPr>
            </w:pPr>
            <w:r w:rsidRPr="009307C4">
              <w:rPr>
                <w:sz w:val="22"/>
                <w:szCs w:val="22"/>
                <w:lang w:val="sr-Latn-ME"/>
              </w:rPr>
              <w:t>Gastrointestinalni poremećaji</w:t>
            </w:r>
          </w:p>
        </w:tc>
        <w:tc>
          <w:tcPr>
            <w:tcW w:w="3613" w:type="dxa"/>
            <w:shd w:val="clear" w:color="auto" w:fill="auto"/>
          </w:tcPr>
          <w:p w14:paraId="4A4C6AF2" w14:textId="77777777" w:rsidR="008808CA" w:rsidRPr="009307C4" w:rsidRDefault="008808CA" w:rsidP="004C6094">
            <w:pPr>
              <w:rPr>
                <w:sz w:val="22"/>
                <w:szCs w:val="22"/>
                <w:lang w:val="sr-Latn-ME"/>
              </w:rPr>
            </w:pPr>
            <w:r w:rsidRPr="009307C4">
              <w:rPr>
                <w:sz w:val="22"/>
                <w:szCs w:val="22"/>
                <w:lang w:val="sr-Latn-ME"/>
              </w:rPr>
              <w:t>Dijareja‡, nauzeja‡, povraćanje‡</w:t>
            </w:r>
          </w:p>
        </w:tc>
        <w:tc>
          <w:tcPr>
            <w:tcW w:w="3055" w:type="dxa"/>
            <w:shd w:val="clear" w:color="auto" w:fill="auto"/>
          </w:tcPr>
          <w:p w14:paraId="70AF8FCA" w14:textId="77777777" w:rsidR="008808CA" w:rsidRPr="009307C4" w:rsidRDefault="008808CA" w:rsidP="00C4333D">
            <w:pPr>
              <w:jc w:val="both"/>
              <w:rPr>
                <w:sz w:val="22"/>
                <w:szCs w:val="22"/>
                <w:lang w:val="sr-Latn-ME"/>
              </w:rPr>
            </w:pPr>
            <w:r w:rsidRPr="009307C4">
              <w:rPr>
                <w:sz w:val="22"/>
                <w:szCs w:val="22"/>
                <w:lang w:val="sr-Latn-ME"/>
              </w:rPr>
              <w:t xml:space="preserve">Često </w:t>
            </w:r>
          </w:p>
        </w:tc>
      </w:tr>
      <w:tr w:rsidR="008808CA" w:rsidRPr="009307C4" w14:paraId="05A93BD1" w14:textId="77777777" w:rsidTr="00265EF1">
        <w:trPr>
          <w:trHeight w:val="127"/>
          <w:jc w:val="center"/>
        </w:trPr>
        <w:tc>
          <w:tcPr>
            <w:tcW w:w="3294" w:type="dxa"/>
            <w:vMerge/>
            <w:shd w:val="clear" w:color="auto" w:fill="auto"/>
          </w:tcPr>
          <w:p w14:paraId="2E135DC6" w14:textId="77777777" w:rsidR="008808CA" w:rsidRPr="009307C4" w:rsidRDefault="008808CA" w:rsidP="00C4333D">
            <w:pPr>
              <w:jc w:val="both"/>
              <w:rPr>
                <w:sz w:val="22"/>
                <w:szCs w:val="22"/>
                <w:lang w:val="sr-Latn-ME"/>
              </w:rPr>
            </w:pPr>
          </w:p>
        </w:tc>
        <w:tc>
          <w:tcPr>
            <w:tcW w:w="3613" w:type="dxa"/>
            <w:shd w:val="clear" w:color="auto" w:fill="auto"/>
          </w:tcPr>
          <w:p w14:paraId="3801470D" w14:textId="77777777" w:rsidR="008808CA" w:rsidRPr="009307C4" w:rsidRDefault="008808CA" w:rsidP="004C6094">
            <w:pPr>
              <w:rPr>
                <w:sz w:val="22"/>
                <w:szCs w:val="22"/>
                <w:lang w:val="sr-Latn-ME"/>
              </w:rPr>
            </w:pPr>
            <w:r w:rsidRPr="009307C4">
              <w:rPr>
                <w:sz w:val="22"/>
                <w:szCs w:val="22"/>
                <w:lang w:val="sr-Latn-ME"/>
              </w:rPr>
              <w:t>Suva usta, dispepsija</w:t>
            </w:r>
          </w:p>
        </w:tc>
        <w:tc>
          <w:tcPr>
            <w:tcW w:w="3055" w:type="dxa"/>
            <w:shd w:val="clear" w:color="auto" w:fill="auto"/>
          </w:tcPr>
          <w:p w14:paraId="240F9A90" w14:textId="77777777" w:rsidR="008808CA" w:rsidRPr="009307C4" w:rsidRDefault="008808CA" w:rsidP="00C4333D">
            <w:pPr>
              <w:jc w:val="both"/>
              <w:rPr>
                <w:sz w:val="22"/>
                <w:szCs w:val="22"/>
                <w:lang w:val="sr-Latn-ME"/>
              </w:rPr>
            </w:pPr>
            <w:r w:rsidRPr="009307C4">
              <w:rPr>
                <w:sz w:val="22"/>
                <w:szCs w:val="22"/>
                <w:lang w:val="sr-Latn-ME"/>
              </w:rPr>
              <w:t>Povremeno</w:t>
            </w:r>
          </w:p>
        </w:tc>
      </w:tr>
      <w:tr w:rsidR="008808CA" w:rsidRPr="009307C4" w14:paraId="16F37994" w14:textId="77777777" w:rsidTr="00265EF1">
        <w:trPr>
          <w:trHeight w:val="128"/>
          <w:jc w:val="center"/>
        </w:trPr>
        <w:tc>
          <w:tcPr>
            <w:tcW w:w="3294" w:type="dxa"/>
            <w:vMerge w:val="restart"/>
            <w:shd w:val="clear" w:color="auto" w:fill="auto"/>
          </w:tcPr>
          <w:p w14:paraId="48686890" w14:textId="77777777" w:rsidR="008808CA" w:rsidRPr="009307C4" w:rsidRDefault="008808CA" w:rsidP="00C4333D">
            <w:pPr>
              <w:jc w:val="both"/>
              <w:rPr>
                <w:sz w:val="22"/>
                <w:szCs w:val="22"/>
                <w:lang w:val="sr-Latn-ME"/>
              </w:rPr>
            </w:pPr>
            <w:r w:rsidRPr="009307C4">
              <w:rPr>
                <w:sz w:val="22"/>
                <w:szCs w:val="22"/>
                <w:lang w:val="sr-Latn-ME"/>
              </w:rPr>
              <w:t>Hepatobilijarni poremećaji</w:t>
            </w:r>
          </w:p>
        </w:tc>
        <w:tc>
          <w:tcPr>
            <w:tcW w:w="3613" w:type="dxa"/>
            <w:shd w:val="clear" w:color="auto" w:fill="auto"/>
          </w:tcPr>
          <w:p w14:paraId="68803985" w14:textId="41633AF0" w:rsidR="008808CA" w:rsidRPr="009307C4" w:rsidRDefault="000D1F29" w:rsidP="004C6094">
            <w:pPr>
              <w:rPr>
                <w:sz w:val="22"/>
                <w:szCs w:val="22"/>
                <w:lang w:val="sr-Latn-ME"/>
              </w:rPr>
            </w:pPr>
            <w:r w:rsidRPr="009307C4">
              <w:rPr>
                <w:sz w:val="22"/>
                <w:szCs w:val="22"/>
                <w:lang w:val="sr-Latn-ME"/>
              </w:rPr>
              <w:t xml:space="preserve">Povećane vrijednosti </w:t>
            </w:r>
            <w:r w:rsidR="008808CA" w:rsidRPr="009307C4">
              <w:rPr>
                <w:sz w:val="22"/>
                <w:szCs w:val="22"/>
                <w:lang w:val="sr-Latn-ME"/>
              </w:rPr>
              <w:t>serumskih transaminaza (ALT, AST)</w:t>
            </w:r>
          </w:p>
        </w:tc>
        <w:tc>
          <w:tcPr>
            <w:tcW w:w="3055" w:type="dxa"/>
            <w:shd w:val="clear" w:color="auto" w:fill="auto"/>
          </w:tcPr>
          <w:p w14:paraId="1A2BA206" w14:textId="77777777" w:rsidR="008808CA" w:rsidRPr="009307C4" w:rsidRDefault="008808CA" w:rsidP="00C4333D">
            <w:pPr>
              <w:jc w:val="both"/>
              <w:rPr>
                <w:sz w:val="22"/>
                <w:szCs w:val="22"/>
                <w:lang w:val="sr-Latn-ME"/>
              </w:rPr>
            </w:pPr>
            <w:r w:rsidRPr="009307C4">
              <w:rPr>
                <w:sz w:val="22"/>
                <w:szCs w:val="22"/>
                <w:lang w:val="sr-Latn-ME"/>
              </w:rPr>
              <w:t xml:space="preserve">Često </w:t>
            </w:r>
          </w:p>
        </w:tc>
      </w:tr>
      <w:tr w:rsidR="008808CA" w:rsidRPr="009307C4" w14:paraId="6540C901" w14:textId="77777777" w:rsidTr="00265EF1">
        <w:trPr>
          <w:trHeight w:val="127"/>
          <w:jc w:val="center"/>
        </w:trPr>
        <w:tc>
          <w:tcPr>
            <w:tcW w:w="3294" w:type="dxa"/>
            <w:vMerge/>
            <w:shd w:val="clear" w:color="auto" w:fill="auto"/>
          </w:tcPr>
          <w:p w14:paraId="158BDB7D" w14:textId="77777777" w:rsidR="008808CA" w:rsidRPr="009307C4" w:rsidRDefault="008808CA" w:rsidP="00C4333D">
            <w:pPr>
              <w:jc w:val="both"/>
              <w:rPr>
                <w:sz w:val="22"/>
                <w:szCs w:val="22"/>
                <w:lang w:val="sr-Latn-ME"/>
              </w:rPr>
            </w:pPr>
          </w:p>
        </w:tc>
        <w:tc>
          <w:tcPr>
            <w:tcW w:w="3613" w:type="dxa"/>
            <w:shd w:val="clear" w:color="auto" w:fill="auto"/>
          </w:tcPr>
          <w:p w14:paraId="31701125" w14:textId="77777777" w:rsidR="008808CA" w:rsidRPr="009307C4" w:rsidRDefault="008808CA" w:rsidP="004C6094">
            <w:pPr>
              <w:rPr>
                <w:sz w:val="22"/>
                <w:szCs w:val="22"/>
                <w:lang w:val="sr-Latn-ME"/>
              </w:rPr>
            </w:pPr>
            <w:r w:rsidRPr="009307C4">
              <w:rPr>
                <w:sz w:val="22"/>
                <w:szCs w:val="22"/>
                <w:lang w:val="sr-Latn-ME"/>
              </w:rPr>
              <w:t>Hepatitis (uključujući holestazni, hepatocelularni hepatitis i oštećenja jetre mešovitog tipa)</w:t>
            </w:r>
          </w:p>
        </w:tc>
        <w:tc>
          <w:tcPr>
            <w:tcW w:w="3055" w:type="dxa"/>
            <w:shd w:val="clear" w:color="auto" w:fill="auto"/>
          </w:tcPr>
          <w:p w14:paraId="334E7DE7"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58CF369C" w14:textId="77777777" w:rsidTr="00265EF1">
        <w:trPr>
          <w:trHeight w:val="66"/>
          <w:jc w:val="center"/>
        </w:trPr>
        <w:tc>
          <w:tcPr>
            <w:tcW w:w="3294" w:type="dxa"/>
            <w:vMerge w:val="restart"/>
            <w:shd w:val="clear" w:color="auto" w:fill="auto"/>
          </w:tcPr>
          <w:p w14:paraId="016C0D26" w14:textId="77777777" w:rsidR="008808CA" w:rsidRPr="009307C4" w:rsidRDefault="008808CA" w:rsidP="00C4333D">
            <w:pPr>
              <w:jc w:val="both"/>
              <w:rPr>
                <w:sz w:val="22"/>
                <w:szCs w:val="22"/>
                <w:lang w:val="sr-Latn-ME"/>
              </w:rPr>
            </w:pPr>
            <w:r w:rsidRPr="009307C4">
              <w:rPr>
                <w:sz w:val="22"/>
                <w:szCs w:val="22"/>
                <w:lang w:val="sr-Latn-ME"/>
              </w:rPr>
              <w:t>Poremećaji na nivou kože i potkožnog tkiva</w:t>
            </w:r>
          </w:p>
        </w:tc>
        <w:tc>
          <w:tcPr>
            <w:tcW w:w="3613" w:type="dxa"/>
            <w:shd w:val="clear" w:color="auto" w:fill="auto"/>
          </w:tcPr>
          <w:p w14:paraId="29411FDB" w14:textId="77777777" w:rsidR="008808CA" w:rsidRPr="009307C4" w:rsidRDefault="008808CA" w:rsidP="004C6094">
            <w:pPr>
              <w:rPr>
                <w:sz w:val="22"/>
                <w:szCs w:val="22"/>
                <w:lang w:val="sr-Latn-ME"/>
              </w:rPr>
            </w:pPr>
            <w:r w:rsidRPr="009307C4">
              <w:rPr>
                <w:sz w:val="22"/>
                <w:szCs w:val="22"/>
                <w:lang w:val="sr-Latn-ME"/>
              </w:rPr>
              <w:t>Osip‡</w:t>
            </w:r>
          </w:p>
        </w:tc>
        <w:tc>
          <w:tcPr>
            <w:tcW w:w="3055" w:type="dxa"/>
            <w:shd w:val="clear" w:color="auto" w:fill="auto"/>
          </w:tcPr>
          <w:p w14:paraId="426FDF1D" w14:textId="77777777" w:rsidR="008808CA" w:rsidRPr="009307C4" w:rsidRDefault="008808CA" w:rsidP="00C4333D">
            <w:pPr>
              <w:jc w:val="both"/>
              <w:rPr>
                <w:sz w:val="22"/>
                <w:szCs w:val="22"/>
                <w:lang w:val="sr-Latn-ME"/>
              </w:rPr>
            </w:pPr>
            <w:r w:rsidRPr="009307C4">
              <w:rPr>
                <w:sz w:val="22"/>
                <w:szCs w:val="22"/>
                <w:lang w:val="sr-Latn-ME"/>
              </w:rPr>
              <w:t xml:space="preserve">Često </w:t>
            </w:r>
          </w:p>
        </w:tc>
      </w:tr>
      <w:tr w:rsidR="008808CA" w:rsidRPr="009307C4" w14:paraId="07B03B90" w14:textId="77777777" w:rsidTr="00265EF1">
        <w:trPr>
          <w:trHeight w:val="63"/>
          <w:jc w:val="center"/>
        </w:trPr>
        <w:tc>
          <w:tcPr>
            <w:tcW w:w="3294" w:type="dxa"/>
            <w:vMerge/>
            <w:shd w:val="clear" w:color="auto" w:fill="auto"/>
          </w:tcPr>
          <w:p w14:paraId="206EE361" w14:textId="77777777" w:rsidR="008808CA" w:rsidRPr="009307C4" w:rsidRDefault="008808CA" w:rsidP="00C4333D">
            <w:pPr>
              <w:jc w:val="both"/>
              <w:rPr>
                <w:sz w:val="22"/>
                <w:szCs w:val="22"/>
                <w:lang w:val="sr-Latn-ME"/>
              </w:rPr>
            </w:pPr>
          </w:p>
        </w:tc>
        <w:tc>
          <w:tcPr>
            <w:tcW w:w="3613" w:type="dxa"/>
            <w:shd w:val="clear" w:color="auto" w:fill="auto"/>
          </w:tcPr>
          <w:p w14:paraId="5915B882" w14:textId="77777777" w:rsidR="008808CA" w:rsidRPr="009307C4" w:rsidRDefault="008808CA" w:rsidP="004C6094">
            <w:pPr>
              <w:rPr>
                <w:sz w:val="22"/>
                <w:szCs w:val="22"/>
                <w:lang w:val="sr-Latn-ME"/>
              </w:rPr>
            </w:pPr>
            <w:r w:rsidRPr="009307C4">
              <w:rPr>
                <w:sz w:val="22"/>
                <w:szCs w:val="22"/>
                <w:lang w:val="sr-Latn-ME"/>
              </w:rPr>
              <w:t>Pojava modrica, urtikarija, svrab</w:t>
            </w:r>
          </w:p>
        </w:tc>
        <w:tc>
          <w:tcPr>
            <w:tcW w:w="3055" w:type="dxa"/>
            <w:shd w:val="clear" w:color="auto" w:fill="auto"/>
          </w:tcPr>
          <w:p w14:paraId="31543CE0"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78394F00" w14:textId="77777777" w:rsidTr="00265EF1">
        <w:trPr>
          <w:trHeight w:val="63"/>
          <w:jc w:val="center"/>
        </w:trPr>
        <w:tc>
          <w:tcPr>
            <w:tcW w:w="3294" w:type="dxa"/>
            <w:vMerge/>
            <w:shd w:val="clear" w:color="auto" w:fill="auto"/>
          </w:tcPr>
          <w:p w14:paraId="0EE9C328" w14:textId="77777777" w:rsidR="008808CA" w:rsidRPr="009307C4" w:rsidRDefault="008808CA" w:rsidP="00C4333D">
            <w:pPr>
              <w:jc w:val="both"/>
              <w:rPr>
                <w:sz w:val="22"/>
                <w:szCs w:val="22"/>
                <w:lang w:val="sr-Latn-ME"/>
              </w:rPr>
            </w:pPr>
          </w:p>
        </w:tc>
        <w:tc>
          <w:tcPr>
            <w:tcW w:w="3613" w:type="dxa"/>
            <w:shd w:val="clear" w:color="auto" w:fill="auto"/>
          </w:tcPr>
          <w:p w14:paraId="38F07FB7" w14:textId="77777777" w:rsidR="008808CA" w:rsidRPr="009307C4" w:rsidRDefault="008808CA" w:rsidP="004C6094">
            <w:pPr>
              <w:rPr>
                <w:sz w:val="22"/>
                <w:szCs w:val="22"/>
                <w:lang w:val="sr-Latn-ME"/>
              </w:rPr>
            </w:pPr>
            <w:r w:rsidRPr="009307C4">
              <w:rPr>
                <w:sz w:val="22"/>
                <w:szCs w:val="22"/>
                <w:lang w:val="sr-Latn-ME"/>
              </w:rPr>
              <w:t>Angioedem</w:t>
            </w:r>
          </w:p>
        </w:tc>
        <w:tc>
          <w:tcPr>
            <w:tcW w:w="3055" w:type="dxa"/>
            <w:shd w:val="clear" w:color="auto" w:fill="auto"/>
          </w:tcPr>
          <w:p w14:paraId="7D60736E" w14:textId="77777777" w:rsidR="008808CA" w:rsidRPr="009307C4" w:rsidRDefault="008808CA" w:rsidP="00C4333D">
            <w:pPr>
              <w:jc w:val="both"/>
              <w:rPr>
                <w:sz w:val="22"/>
                <w:szCs w:val="22"/>
                <w:lang w:val="sr-Latn-ME"/>
              </w:rPr>
            </w:pPr>
            <w:r w:rsidRPr="009307C4">
              <w:rPr>
                <w:sz w:val="22"/>
                <w:szCs w:val="22"/>
                <w:lang w:val="sr-Latn-ME"/>
              </w:rPr>
              <w:t xml:space="preserve">Rijetko </w:t>
            </w:r>
          </w:p>
        </w:tc>
      </w:tr>
      <w:tr w:rsidR="008808CA" w:rsidRPr="009307C4" w14:paraId="4431B062" w14:textId="77777777" w:rsidTr="00265EF1">
        <w:trPr>
          <w:trHeight w:val="63"/>
          <w:jc w:val="center"/>
        </w:trPr>
        <w:tc>
          <w:tcPr>
            <w:tcW w:w="3294" w:type="dxa"/>
            <w:vMerge/>
            <w:shd w:val="clear" w:color="auto" w:fill="auto"/>
          </w:tcPr>
          <w:p w14:paraId="49989F92" w14:textId="77777777" w:rsidR="008808CA" w:rsidRPr="009307C4" w:rsidRDefault="008808CA" w:rsidP="00C4333D">
            <w:pPr>
              <w:jc w:val="both"/>
              <w:rPr>
                <w:sz w:val="22"/>
                <w:szCs w:val="22"/>
                <w:lang w:val="sr-Latn-ME"/>
              </w:rPr>
            </w:pPr>
          </w:p>
        </w:tc>
        <w:tc>
          <w:tcPr>
            <w:tcW w:w="3613" w:type="dxa"/>
            <w:shd w:val="clear" w:color="auto" w:fill="auto"/>
          </w:tcPr>
          <w:p w14:paraId="7F2E8584" w14:textId="16D8EDF8" w:rsidR="008808CA" w:rsidRPr="009307C4" w:rsidRDefault="000D1F29" w:rsidP="004C6094">
            <w:pPr>
              <w:rPr>
                <w:sz w:val="22"/>
                <w:szCs w:val="22"/>
                <w:lang w:val="sr-Latn-ME"/>
              </w:rPr>
            </w:pPr>
            <w:r w:rsidRPr="009307C4">
              <w:rPr>
                <w:sz w:val="22"/>
                <w:szCs w:val="22"/>
                <w:lang w:val="sr-Latn-ME"/>
              </w:rPr>
              <w:t>N</w:t>
            </w:r>
            <w:r w:rsidR="00AA1DA8" w:rsidRPr="009307C4">
              <w:rPr>
                <w:sz w:val="22"/>
                <w:szCs w:val="22"/>
                <w:lang w:val="sr-Latn-ME"/>
              </w:rPr>
              <w:t>odozni eritem</w:t>
            </w:r>
            <w:r w:rsidR="008808CA" w:rsidRPr="009307C4">
              <w:rPr>
                <w:sz w:val="22"/>
                <w:szCs w:val="22"/>
                <w:lang w:val="sr-Latn-ME"/>
              </w:rPr>
              <w:t xml:space="preserve">, </w:t>
            </w:r>
            <w:r w:rsidR="00AA1DA8" w:rsidRPr="009307C4">
              <w:rPr>
                <w:sz w:val="22"/>
                <w:szCs w:val="22"/>
                <w:lang w:val="sr-Latn-ME"/>
              </w:rPr>
              <w:t>multiformni eritem</w:t>
            </w:r>
          </w:p>
        </w:tc>
        <w:tc>
          <w:tcPr>
            <w:tcW w:w="3055" w:type="dxa"/>
            <w:shd w:val="clear" w:color="auto" w:fill="auto"/>
          </w:tcPr>
          <w:p w14:paraId="36C52538" w14:textId="77777777" w:rsidR="008808CA" w:rsidRPr="009307C4" w:rsidRDefault="008808CA" w:rsidP="00C4333D">
            <w:pPr>
              <w:jc w:val="both"/>
              <w:rPr>
                <w:sz w:val="22"/>
                <w:szCs w:val="22"/>
                <w:lang w:val="sr-Latn-ME"/>
              </w:rPr>
            </w:pPr>
            <w:r w:rsidRPr="009307C4">
              <w:rPr>
                <w:sz w:val="22"/>
                <w:szCs w:val="22"/>
                <w:lang w:val="sr-Latn-ME"/>
              </w:rPr>
              <w:t>Veoma rijetko</w:t>
            </w:r>
          </w:p>
        </w:tc>
      </w:tr>
      <w:tr w:rsidR="008808CA" w:rsidRPr="009307C4" w14:paraId="19CDB2FA" w14:textId="77777777" w:rsidTr="00265EF1">
        <w:trPr>
          <w:jc w:val="center"/>
        </w:trPr>
        <w:tc>
          <w:tcPr>
            <w:tcW w:w="3294" w:type="dxa"/>
            <w:shd w:val="clear" w:color="auto" w:fill="auto"/>
          </w:tcPr>
          <w:p w14:paraId="41486DAD" w14:textId="1B2E0256" w:rsidR="008808CA" w:rsidRPr="009307C4" w:rsidRDefault="008808CA" w:rsidP="00C4333D">
            <w:pPr>
              <w:jc w:val="both"/>
              <w:rPr>
                <w:sz w:val="22"/>
                <w:szCs w:val="22"/>
                <w:lang w:val="sr-Latn-ME"/>
              </w:rPr>
            </w:pPr>
            <w:r w:rsidRPr="009307C4">
              <w:rPr>
                <w:sz w:val="22"/>
                <w:szCs w:val="22"/>
                <w:lang w:val="sr-Latn-ME"/>
              </w:rPr>
              <w:t>Poremećaji mišićno-</w:t>
            </w:r>
            <w:r w:rsidR="000D1F29" w:rsidRPr="009307C4">
              <w:rPr>
                <w:sz w:val="22"/>
                <w:szCs w:val="22"/>
                <w:lang w:val="sr-Latn-ME"/>
              </w:rPr>
              <w:t>koštanog</w:t>
            </w:r>
            <w:r w:rsidRPr="009307C4">
              <w:rPr>
                <w:sz w:val="22"/>
                <w:szCs w:val="22"/>
                <w:lang w:val="sr-Latn-ME"/>
              </w:rPr>
              <w:t xml:space="preserve"> sistema i vezivnog tkiva</w:t>
            </w:r>
          </w:p>
        </w:tc>
        <w:tc>
          <w:tcPr>
            <w:tcW w:w="3613" w:type="dxa"/>
            <w:shd w:val="clear" w:color="auto" w:fill="auto"/>
          </w:tcPr>
          <w:p w14:paraId="12A46A08" w14:textId="77777777" w:rsidR="008808CA" w:rsidRPr="009307C4" w:rsidRDefault="008808CA" w:rsidP="004C6094">
            <w:pPr>
              <w:rPr>
                <w:sz w:val="22"/>
                <w:szCs w:val="22"/>
                <w:lang w:val="sr-Latn-ME"/>
              </w:rPr>
            </w:pPr>
            <w:r w:rsidRPr="009307C4">
              <w:rPr>
                <w:sz w:val="22"/>
                <w:szCs w:val="22"/>
                <w:lang w:val="sr-Latn-ME"/>
              </w:rPr>
              <w:t>Artralgija, mialgija, uključujući mišićne grčeve</w:t>
            </w:r>
          </w:p>
        </w:tc>
        <w:tc>
          <w:tcPr>
            <w:tcW w:w="3055" w:type="dxa"/>
            <w:shd w:val="clear" w:color="auto" w:fill="auto"/>
          </w:tcPr>
          <w:p w14:paraId="488462C3" w14:textId="5E4C3399" w:rsidR="008808CA" w:rsidRPr="009307C4" w:rsidRDefault="008808CA" w:rsidP="00C4333D">
            <w:pPr>
              <w:jc w:val="both"/>
              <w:rPr>
                <w:sz w:val="22"/>
                <w:szCs w:val="22"/>
                <w:lang w:val="sr-Latn-ME"/>
              </w:rPr>
            </w:pPr>
            <w:r w:rsidRPr="009307C4">
              <w:rPr>
                <w:sz w:val="22"/>
                <w:szCs w:val="22"/>
                <w:lang w:val="sr-Latn-ME"/>
              </w:rPr>
              <w:t>Povremen</w:t>
            </w:r>
            <w:r w:rsidR="00C47829" w:rsidRPr="009307C4">
              <w:rPr>
                <w:sz w:val="22"/>
                <w:szCs w:val="22"/>
                <w:lang w:val="sr-Latn-ME"/>
              </w:rPr>
              <w:t>o</w:t>
            </w:r>
          </w:p>
        </w:tc>
      </w:tr>
      <w:tr w:rsidR="00FF7F56" w:rsidRPr="009307C4" w14:paraId="179A2A2A" w14:textId="77777777" w:rsidTr="00265EF1">
        <w:trPr>
          <w:jc w:val="center"/>
        </w:trPr>
        <w:tc>
          <w:tcPr>
            <w:tcW w:w="3294" w:type="dxa"/>
            <w:shd w:val="clear" w:color="auto" w:fill="auto"/>
          </w:tcPr>
          <w:p w14:paraId="6DE15456" w14:textId="2B1249FA" w:rsidR="00FF7F56" w:rsidRPr="009307C4" w:rsidRDefault="00FF7F56" w:rsidP="00FF7F56">
            <w:pPr>
              <w:jc w:val="both"/>
              <w:rPr>
                <w:sz w:val="22"/>
                <w:szCs w:val="22"/>
                <w:lang w:val="sr-Latn-ME"/>
              </w:rPr>
            </w:pPr>
            <w:r w:rsidRPr="009307C4">
              <w:rPr>
                <w:sz w:val="22"/>
                <w:szCs w:val="22"/>
                <w:lang w:val="sr-Latn-ME"/>
              </w:rPr>
              <w:t>Poremećaji bubrega i urinarnog sistema</w:t>
            </w:r>
            <w:r w:rsidRPr="009307C4" w:rsidDel="009A0FF5">
              <w:rPr>
                <w:szCs w:val="22"/>
                <w:lang w:val="sr-Latn-ME"/>
              </w:rPr>
              <w:t xml:space="preserve"> </w:t>
            </w:r>
          </w:p>
        </w:tc>
        <w:tc>
          <w:tcPr>
            <w:tcW w:w="3613" w:type="dxa"/>
            <w:shd w:val="clear" w:color="auto" w:fill="auto"/>
          </w:tcPr>
          <w:p w14:paraId="786D5250" w14:textId="77ACB8CF" w:rsidR="00FF7F56" w:rsidRPr="009307C4" w:rsidRDefault="00FF7F56" w:rsidP="004C6094">
            <w:pPr>
              <w:rPr>
                <w:sz w:val="22"/>
                <w:szCs w:val="22"/>
                <w:lang w:val="sr-Latn-ME"/>
              </w:rPr>
            </w:pPr>
            <w:r w:rsidRPr="009307C4">
              <w:rPr>
                <w:sz w:val="22"/>
                <w:szCs w:val="22"/>
                <w:lang w:val="sr-Latn-ME"/>
              </w:rPr>
              <w:t>Enureza kod djece</w:t>
            </w:r>
          </w:p>
        </w:tc>
        <w:tc>
          <w:tcPr>
            <w:tcW w:w="3055" w:type="dxa"/>
            <w:shd w:val="clear" w:color="auto" w:fill="auto"/>
          </w:tcPr>
          <w:p w14:paraId="14FBB6A2" w14:textId="4477D3BC" w:rsidR="00FF7F56" w:rsidRPr="009307C4" w:rsidRDefault="00FF7F56" w:rsidP="00FF7F56">
            <w:pPr>
              <w:jc w:val="both"/>
              <w:rPr>
                <w:sz w:val="22"/>
                <w:szCs w:val="22"/>
                <w:lang w:val="sr-Latn-ME"/>
              </w:rPr>
            </w:pPr>
            <w:r w:rsidRPr="009307C4">
              <w:rPr>
                <w:sz w:val="22"/>
                <w:szCs w:val="22"/>
                <w:lang w:val="sr-Latn-ME"/>
              </w:rPr>
              <w:t>Povremeno</w:t>
            </w:r>
          </w:p>
        </w:tc>
      </w:tr>
      <w:tr w:rsidR="008808CA" w:rsidRPr="009307C4" w14:paraId="5B3EF5BF" w14:textId="77777777" w:rsidTr="00265EF1">
        <w:trPr>
          <w:trHeight w:val="128"/>
          <w:jc w:val="center"/>
        </w:trPr>
        <w:tc>
          <w:tcPr>
            <w:tcW w:w="3294" w:type="dxa"/>
            <w:vMerge w:val="restart"/>
            <w:shd w:val="clear" w:color="auto" w:fill="auto"/>
          </w:tcPr>
          <w:p w14:paraId="0357D606" w14:textId="77777777" w:rsidR="008808CA" w:rsidRPr="009307C4" w:rsidRDefault="008808CA" w:rsidP="00C4333D">
            <w:pPr>
              <w:jc w:val="both"/>
              <w:rPr>
                <w:sz w:val="22"/>
                <w:szCs w:val="22"/>
                <w:lang w:val="sr-Latn-ME"/>
              </w:rPr>
            </w:pPr>
            <w:r w:rsidRPr="009307C4">
              <w:rPr>
                <w:sz w:val="22"/>
                <w:szCs w:val="22"/>
                <w:lang w:val="sr-Latn-ME"/>
              </w:rPr>
              <w:t>Opšti poremećaji i reakcije na mjestu primjene</w:t>
            </w:r>
          </w:p>
        </w:tc>
        <w:tc>
          <w:tcPr>
            <w:tcW w:w="3613" w:type="dxa"/>
            <w:shd w:val="clear" w:color="auto" w:fill="auto"/>
          </w:tcPr>
          <w:p w14:paraId="5BBA564E" w14:textId="77777777" w:rsidR="008808CA" w:rsidRPr="009307C4" w:rsidRDefault="008808CA" w:rsidP="004C6094">
            <w:pPr>
              <w:rPr>
                <w:sz w:val="22"/>
                <w:szCs w:val="22"/>
                <w:lang w:val="sr-Latn-ME"/>
              </w:rPr>
            </w:pPr>
            <w:r w:rsidRPr="009307C4">
              <w:rPr>
                <w:sz w:val="22"/>
                <w:szCs w:val="22"/>
                <w:lang w:val="sr-Latn-ME"/>
              </w:rPr>
              <w:t>Pireksija‡</w:t>
            </w:r>
          </w:p>
        </w:tc>
        <w:tc>
          <w:tcPr>
            <w:tcW w:w="3055" w:type="dxa"/>
            <w:shd w:val="clear" w:color="auto" w:fill="auto"/>
          </w:tcPr>
          <w:p w14:paraId="168DDC09" w14:textId="77777777" w:rsidR="008808CA" w:rsidRPr="009307C4" w:rsidRDefault="008808CA" w:rsidP="00C4333D">
            <w:pPr>
              <w:jc w:val="both"/>
              <w:rPr>
                <w:sz w:val="22"/>
                <w:szCs w:val="22"/>
                <w:lang w:val="sr-Latn-ME"/>
              </w:rPr>
            </w:pPr>
            <w:r w:rsidRPr="009307C4">
              <w:rPr>
                <w:sz w:val="22"/>
                <w:szCs w:val="22"/>
                <w:lang w:val="sr-Latn-ME"/>
              </w:rPr>
              <w:t xml:space="preserve">Često </w:t>
            </w:r>
          </w:p>
        </w:tc>
      </w:tr>
      <w:tr w:rsidR="008808CA" w:rsidRPr="009307C4" w14:paraId="4B1094DF" w14:textId="77777777" w:rsidTr="00265EF1">
        <w:trPr>
          <w:trHeight w:val="127"/>
          <w:jc w:val="center"/>
        </w:trPr>
        <w:tc>
          <w:tcPr>
            <w:tcW w:w="3294" w:type="dxa"/>
            <w:vMerge/>
            <w:shd w:val="clear" w:color="auto" w:fill="auto"/>
          </w:tcPr>
          <w:p w14:paraId="19668E3C" w14:textId="77777777" w:rsidR="008808CA" w:rsidRPr="009307C4" w:rsidRDefault="008808CA" w:rsidP="00C4333D">
            <w:pPr>
              <w:jc w:val="both"/>
              <w:rPr>
                <w:sz w:val="22"/>
                <w:szCs w:val="22"/>
                <w:lang w:val="sr-Latn-ME"/>
              </w:rPr>
            </w:pPr>
          </w:p>
        </w:tc>
        <w:tc>
          <w:tcPr>
            <w:tcW w:w="3613" w:type="dxa"/>
            <w:shd w:val="clear" w:color="auto" w:fill="auto"/>
          </w:tcPr>
          <w:p w14:paraId="0E6B5237" w14:textId="77777777" w:rsidR="008808CA" w:rsidRPr="009307C4" w:rsidRDefault="008808CA" w:rsidP="004C6094">
            <w:pPr>
              <w:rPr>
                <w:sz w:val="22"/>
                <w:szCs w:val="22"/>
                <w:lang w:val="sr-Latn-ME"/>
              </w:rPr>
            </w:pPr>
            <w:r w:rsidRPr="009307C4">
              <w:rPr>
                <w:sz w:val="22"/>
                <w:szCs w:val="22"/>
                <w:lang w:val="sr-Latn-ME"/>
              </w:rPr>
              <w:t>Astenija/zamor, opšta slabost, edem</w:t>
            </w:r>
          </w:p>
        </w:tc>
        <w:tc>
          <w:tcPr>
            <w:tcW w:w="3055" w:type="dxa"/>
            <w:shd w:val="clear" w:color="auto" w:fill="auto"/>
          </w:tcPr>
          <w:p w14:paraId="463DC738" w14:textId="77777777" w:rsidR="008808CA" w:rsidRPr="009307C4" w:rsidRDefault="008808CA" w:rsidP="00C4333D">
            <w:pPr>
              <w:jc w:val="both"/>
              <w:rPr>
                <w:sz w:val="22"/>
                <w:szCs w:val="22"/>
                <w:lang w:val="sr-Latn-ME"/>
              </w:rPr>
            </w:pPr>
            <w:r w:rsidRPr="009307C4">
              <w:rPr>
                <w:sz w:val="22"/>
                <w:szCs w:val="22"/>
                <w:lang w:val="sr-Latn-ME"/>
              </w:rPr>
              <w:t xml:space="preserve">Povremeno </w:t>
            </w:r>
          </w:p>
        </w:tc>
      </w:tr>
      <w:tr w:rsidR="008808CA" w:rsidRPr="009307C4" w14:paraId="3A3904B7" w14:textId="77777777" w:rsidTr="00265EF1">
        <w:trPr>
          <w:jc w:val="center"/>
        </w:trPr>
        <w:tc>
          <w:tcPr>
            <w:tcW w:w="9962" w:type="dxa"/>
            <w:gridSpan w:val="3"/>
            <w:shd w:val="clear" w:color="auto" w:fill="auto"/>
          </w:tcPr>
          <w:p w14:paraId="562C0D92" w14:textId="16DF954C" w:rsidR="008808CA" w:rsidRPr="009307C4" w:rsidRDefault="008808CA" w:rsidP="00C4333D">
            <w:pPr>
              <w:pStyle w:val="Header"/>
              <w:tabs>
                <w:tab w:val="left" w:pos="284"/>
              </w:tabs>
              <w:jc w:val="both"/>
              <w:rPr>
                <w:i/>
                <w:sz w:val="22"/>
                <w:szCs w:val="22"/>
                <w:lang w:val="sr-Latn-ME"/>
              </w:rPr>
            </w:pPr>
            <w:r w:rsidRPr="009307C4">
              <w:rPr>
                <w:i/>
                <w:sz w:val="22"/>
                <w:szCs w:val="22"/>
                <w:lang w:val="sr-Latn-ME"/>
              </w:rPr>
              <w:t xml:space="preserve">*Kategorije učestalosti su definisane za svaku neželjenu reakciju koja je prijavljena u bazi podataka odgovarajućih kliničkih istraživanja. </w:t>
            </w:r>
            <w:r w:rsidRPr="009307C4">
              <w:rPr>
                <w:i/>
                <w:sz w:val="22"/>
                <w:szCs w:val="22"/>
                <w:lang w:val="sr-Latn-ME"/>
              </w:rPr>
              <w:sym w:font="Symbol" w:char="F05B"/>
            </w:r>
            <w:r w:rsidRPr="009307C4">
              <w:rPr>
                <w:i/>
                <w:sz w:val="22"/>
                <w:szCs w:val="22"/>
                <w:lang w:val="sr-Latn-ME"/>
              </w:rPr>
              <w:t>Veoma čest</w:t>
            </w:r>
            <w:r w:rsidR="001A739C" w:rsidRPr="009307C4">
              <w:rPr>
                <w:i/>
                <w:sz w:val="22"/>
                <w:szCs w:val="22"/>
                <w:lang w:val="sr-Latn-ME"/>
              </w:rPr>
              <w:t>o</w:t>
            </w:r>
            <w:r w:rsidRPr="009307C4">
              <w:rPr>
                <w:i/>
                <w:sz w:val="22"/>
                <w:szCs w:val="22"/>
                <w:lang w:val="sr-Latn-ME"/>
              </w:rPr>
              <w:t>, (≥10), Čest</w:t>
            </w:r>
            <w:r w:rsidR="001A739C" w:rsidRPr="009307C4">
              <w:rPr>
                <w:i/>
                <w:sz w:val="22"/>
                <w:szCs w:val="22"/>
                <w:lang w:val="sr-Latn-ME"/>
              </w:rPr>
              <w:t>o</w:t>
            </w:r>
            <w:r w:rsidRPr="009307C4">
              <w:rPr>
                <w:i/>
                <w:sz w:val="22"/>
                <w:szCs w:val="22"/>
                <w:lang w:val="sr-Latn-ME"/>
              </w:rPr>
              <w:t xml:space="preserve"> (</w:t>
            </w:r>
            <w:r w:rsidRPr="009307C4">
              <w:rPr>
                <w:i/>
                <w:sz w:val="22"/>
                <w:szCs w:val="22"/>
                <w:lang w:val="sr-Latn-ME"/>
              </w:rPr>
              <w:sym w:font="Symbol" w:char="F0B3"/>
            </w:r>
            <w:r w:rsidRPr="009307C4">
              <w:rPr>
                <w:i/>
                <w:sz w:val="22"/>
                <w:szCs w:val="22"/>
                <w:lang w:val="sr-Latn-ME"/>
              </w:rPr>
              <w:t>1/100</w:t>
            </w:r>
            <w:r w:rsidR="001A739C" w:rsidRPr="009307C4">
              <w:rPr>
                <w:i/>
                <w:sz w:val="22"/>
                <w:szCs w:val="22"/>
                <w:lang w:val="sr-Latn-ME"/>
              </w:rPr>
              <w:t xml:space="preserve"> do</w:t>
            </w:r>
            <w:r w:rsidRPr="009307C4">
              <w:rPr>
                <w:i/>
                <w:sz w:val="22"/>
                <w:szCs w:val="22"/>
                <w:lang w:val="sr-Latn-ME"/>
              </w:rPr>
              <w:t xml:space="preserve"> </w:t>
            </w:r>
            <w:r w:rsidRPr="009307C4">
              <w:rPr>
                <w:i/>
                <w:sz w:val="22"/>
                <w:szCs w:val="22"/>
                <w:lang w:val="sr-Latn-ME"/>
              </w:rPr>
              <w:sym w:font="Symbol" w:char="F03C"/>
            </w:r>
            <w:r w:rsidRPr="009307C4">
              <w:rPr>
                <w:i/>
                <w:sz w:val="22"/>
                <w:szCs w:val="22"/>
                <w:lang w:val="sr-Latn-ME"/>
              </w:rPr>
              <w:t>1/10), povremen</w:t>
            </w:r>
            <w:r w:rsidR="001A739C" w:rsidRPr="009307C4">
              <w:rPr>
                <w:i/>
                <w:sz w:val="22"/>
                <w:szCs w:val="22"/>
                <w:lang w:val="sr-Latn-ME"/>
              </w:rPr>
              <w:t>o</w:t>
            </w:r>
            <w:r w:rsidRPr="009307C4">
              <w:rPr>
                <w:i/>
                <w:sz w:val="22"/>
                <w:szCs w:val="22"/>
                <w:lang w:val="sr-Latn-ME"/>
              </w:rPr>
              <w:t xml:space="preserve"> (</w:t>
            </w:r>
            <w:r w:rsidRPr="009307C4">
              <w:rPr>
                <w:i/>
                <w:sz w:val="22"/>
                <w:szCs w:val="22"/>
                <w:lang w:val="sr-Latn-ME"/>
              </w:rPr>
              <w:sym w:font="Symbol" w:char="F0B3"/>
            </w:r>
            <w:r w:rsidRPr="009307C4">
              <w:rPr>
                <w:i/>
                <w:sz w:val="22"/>
                <w:szCs w:val="22"/>
                <w:lang w:val="sr-Latn-ME"/>
              </w:rPr>
              <w:t>1/1000</w:t>
            </w:r>
            <w:r w:rsidR="001A739C" w:rsidRPr="009307C4">
              <w:rPr>
                <w:i/>
                <w:sz w:val="22"/>
                <w:szCs w:val="22"/>
                <w:lang w:val="sr-Latn-ME"/>
              </w:rPr>
              <w:t xml:space="preserve"> do</w:t>
            </w:r>
            <w:r w:rsidRPr="009307C4">
              <w:rPr>
                <w:i/>
                <w:sz w:val="22"/>
                <w:szCs w:val="22"/>
                <w:lang w:val="sr-Latn-ME"/>
              </w:rPr>
              <w:t xml:space="preserve"> </w:t>
            </w:r>
            <w:r w:rsidRPr="009307C4">
              <w:rPr>
                <w:i/>
                <w:sz w:val="22"/>
                <w:szCs w:val="22"/>
                <w:lang w:val="sr-Latn-ME"/>
              </w:rPr>
              <w:sym w:font="Symbol" w:char="F03C"/>
            </w:r>
            <w:r w:rsidRPr="009307C4">
              <w:rPr>
                <w:i/>
                <w:sz w:val="22"/>
                <w:szCs w:val="22"/>
                <w:lang w:val="sr-Latn-ME"/>
              </w:rPr>
              <w:t>1/100), rijetk</w:t>
            </w:r>
            <w:r w:rsidR="001A739C" w:rsidRPr="009307C4">
              <w:rPr>
                <w:i/>
                <w:sz w:val="22"/>
                <w:szCs w:val="22"/>
                <w:lang w:val="sr-Latn-ME"/>
              </w:rPr>
              <w:t>o</w:t>
            </w:r>
            <w:r w:rsidRPr="009307C4">
              <w:rPr>
                <w:i/>
                <w:sz w:val="22"/>
                <w:szCs w:val="22"/>
                <w:lang w:val="sr-Latn-ME"/>
              </w:rPr>
              <w:t xml:space="preserve"> (</w:t>
            </w:r>
            <w:r w:rsidRPr="009307C4">
              <w:rPr>
                <w:i/>
                <w:sz w:val="22"/>
                <w:szCs w:val="22"/>
                <w:lang w:val="sr-Latn-ME"/>
              </w:rPr>
              <w:sym w:font="Symbol" w:char="F0B3"/>
            </w:r>
            <w:r w:rsidRPr="009307C4">
              <w:rPr>
                <w:i/>
                <w:sz w:val="22"/>
                <w:szCs w:val="22"/>
                <w:lang w:val="sr-Latn-ME"/>
              </w:rPr>
              <w:t>1/10000</w:t>
            </w:r>
            <w:r w:rsidR="001A739C" w:rsidRPr="009307C4">
              <w:rPr>
                <w:i/>
                <w:sz w:val="22"/>
                <w:szCs w:val="22"/>
                <w:lang w:val="sr-Latn-ME"/>
              </w:rPr>
              <w:t xml:space="preserve"> do</w:t>
            </w:r>
            <w:r w:rsidRPr="009307C4">
              <w:rPr>
                <w:i/>
                <w:sz w:val="22"/>
                <w:szCs w:val="22"/>
                <w:lang w:val="sr-Latn-ME"/>
              </w:rPr>
              <w:t xml:space="preserve"> </w:t>
            </w:r>
            <w:r w:rsidRPr="009307C4">
              <w:rPr>
                <w:i/>
                <w:sz w:val="22"/>
                <w:szCs w:val="22"/>
                <w:lang w:val="sr-Latn-ME"/>
              </w:rPr>
              <w:sym w:font="Symbol" w:char="F03C"/>
            </w:r>
            <w:r w:rsidRPr="009307C4">
              <w:rPr>
                <w:i/>
                <w:sz w:val="22"/>
                <w:szCs w:val="22"/>
                <w:lang w:val="sr-Latn-ME"/>
              </w:rPr>
              <w:t>1/1000), veoma rijetk</w:t>
            </w:r>
            <w:r w:rsidR="001A739C" w:rsidRPr="009307C4">
              <w:rPr>
                <w:i/>
                <w:sz w:val="22"/>
                <w:szCs w:val="22"/>
                <w:lang w:val="sr-Latn-ME"/>
              </w:rPr>
              <w:t>o</w:t>
            </w:r>
            <w:r w:rsidRPr="009307C4">
              <w:rPr>
                <w:i/>
                <w:sz w:val="22"/>
                <w:szCs w:val="22"/>
                <w:lang w:val="sr-Latn-ME"/>
              </w:rPr>
              <w:t xml:space="preserve"> (</w:t>
            </w:r>
            <w:r w:rsidRPr="009307C4">
              <w:rPr>
                <w:i/>
                <w:sz w:val="22"/>
                <w:szCs w:val="22"/>
                <w:lang w:val="sr-Latn-ME"/>
              </w:rPr>
              <w:sym w:font="Symbol" w:char="F03C"/>
            </w:r>
            <w:r w:rsidRPr="009307C4">
              <w:rPr>
                <w:i/>
                <w:sz w:val="22"/>
                <w:szCs w:val="22"/>
                <w:lang w:val="sr-Latn-ME"/>
              </w:rPr>
              <w:t>1/10.000 uključujući i sporadične slučajeve)</w:t>
            </w:r>
          </w:p>
          <w:p w14:paraId="73117CB8" w14:textId="77777777" w:rsidR="008808CA" w:rsidRPr="009307C4" w:rsidRDefault="008808CA" w:rsidP="00C4333D">
            <w:pPr>
              <w:pStyle w:val="Header"/>
              <w:tabs>
                <w:tab w:val="left" w:pos="284"/>
              </w:tabs>
              <w:jc w:val="both"/>
              <w:rPr>
                <w:i/>
                <w:sz w:val="22"/>
                <w:szCs w:val="22"/>
                <w:lang w:val="sr-Latn-ME"/>
              </w:rPr>
            </w:pPr>
          </w:p>
          <w:p w14:paraId="00EA8127" w14:textId="33167FC7" w:rsidR="008808CA" w:rsidRPr="009307C4" w:rsidRDefault="008808CA" w:rsidP="00C4333D">
            <w:pPr>
              <w:pStyle w:val="Header"/>
              <w:tabs>
                <w:tab w:val="left" w:pos="284"/>
              </w:tabs>
              <w:jc w:val="both"/>
              <w:rPr>
                <w:sz w:val="22"/>
                <w:szCs w:val="22"/>
                <w:lang w:val="sr-Latn-ME"/>
              </w:rPr>
            </w:pPr>
            <w:r w:rsidRPr="009307C4">
              <w:rPr>
                <w:sz w:val="22"/>
                <w:szCs w:val="22"/>
                <w:lang w:val="sr-Latn-ME"/>
              </w:rPr>
              <w:t>† Ove neželjene reakcije prijavljene  "v</w:t>
            </w:r>
            <w:r w:rsidR="001A739C" w:rsidRPr="009307C4">
              <w:rPr>
                <w:sz w:val="22"/>
                <w:szCs w:val="22"/>
                <w:lang w:val="sr-Latn-ME"/>
              </w:rPr>
              <w:t>eoma</w:t>
            </w:r>
            <w:r w:rsidRPr="009307C4">
              <w:rPr>
                <w:sz w:val="22"/>
                <w:szCs w:val="22"/>
                <w:lang w:val="sr-Latn-ME"/>
              </w:rPr>
              <w:t xml:space="preserve"> čest</w:t>
            </w:r>
            <w:r w:rsidR="001A739C" w:rsidRPr="009307C4">
              <w:rPr>
                <w:sz w:val="22"/>
                <w:szCs w:val="22"/>
                <w:lang w:val="sr-Latn-ME"/>
              </w:rPr>
              <w:t>o</w:t>
            </w:r>
            <w:r w:rsidRPr="009307C4">
              <w:rPr>
                <w:sz w:val="22"/>
                <w:szCs w:val="22"/>
                <w:lang w:val="sr-Latn-ME"/>
              </w:rPr>
              <w:t>" kod pacijenata koji su dobijali montelukast, prijavljene su i  "v</w:t>
            </w:r>
            <w:r w:rsidR="001A739C" w:rsidRPr="009307C4">
              <w:rPr>
                <w:sz w:val="22"/>
                <w:szCs w:val="22"/>
                <w:lang w:val="sr-Latn-ME"/>
              </w:rPr>
              <w:t>eoma</w:t>
            </w:r>
            <w:r w:rsidRPr="009307C4">
              <w:rPr>
                <w:sz w:val="22"/>
                <w:szCs w:val="22"/>
                <w:lang w:val="sr-Latn-ME"/>
              </w:rPr>
              <w:t xml:space="preserve"> čest</w:t>
            </w:r>
            <w:r w:rsidR="001A739C" w:rsidRPr="009307C4">
              <w:rPr>
                <w:sz w:val="22"/>
                <w:szCs w:val="22"/>
                <w:lang w:val="sr-Latn-ME"/>
              </w:rPr>
              <w:t>o</w:t>
            </w:r>
            <w:r w:rsidRPr="009307C4">
              <w:rPr>
                <w:sz w:val="22"/>
                <w:szCs w:val="22"/>
                <w:lang w:val="sr-Latn-ME"/>
              </w:rPr>
              <w:t>" kod pacijenata koji su dobijali placebo u kliničkim studijama.</w:t>
            </w:r>
          </w:p>
          <w:p w14:paraId="3F6974A2" w14:textId="77777777" w:rsidR="008808CA" w:rsidRPr="009307C4" w:rsidRDefault="008808CA" w:rsidP="00C4333D">
            <w:pPr>
              <w:pStyle w:val="Header"/>
              <w:tabs>
                <w:tab w:val="left" w:pos="284"/>
              </w:tabs>
              <w:jc w:val="both"/>
              <w:rPr>
                <w:sz w:val="22"/>
                <w:szCs w:val="22"/>
                <w:lang w:val="sr-Latn-ME"/>
              </w:rPr>
            </w:pPr>
          </w:p>
          <w:p w14:paraId="4BAC3EEC" w14:textId="4CEE0257" w:rsidR="008808CA" w:rsidRPr="009307C4" w:rsidRDefault="008808CA" w:rsidP="00C4333D">
            <w:pPr>
              <w:pStyle w:val="Header"/>
              <w:tabs>
                <w:tab w:val="left" w:pos="284"/>
              </w:tabs>
              <w:jc w:val="both"/>
              <w:rPr>
                <w:sz w:val="22"/>
                <w:szCs w:val="22"/>
                <w:lang w:val="sr-Latn-ME"/>
              </w:rPr>
            </w:pPr>
            <w:r w:rsidRPr="009307C4">
              <w:rPr>
                <w:sz w:val="22"/>
                <w:szCs w:val="22"/>
                <w:lang w:val="sr-Latn-ME"/>
              </w:rPr>
              <w:t>‡ Ove neželjene reakcije prijavljene "čest</w:t>
            </w:r>
            <w:r w:rsidR="001A739C" w:rsidRPr="009307C4">
              <w:rPr>
                <w:sz w:val="22"/>
                <w:szCs w:val="22"/>
                <w:lang w:val="sr-Latn-ME"/>
              </w:rPr>
              <w:t>o</w:t>
            </w:r>
            <w:r w:rsidRPr="009307C4">
              <w:rPr>
                <w:sz w:val="22"/>
                <w:szCs w:val="22"/>
                <w:lang w:val="sr-Latn-ME"/>
              </w:rPr>
              <w:t>" kod pacijenata koji su dobijali montelukast, prijavljene su i "čest</w:t>
            </w:r>
            <w:r w:rsidR="001A739C" w:rsidRPr="009307C4">
              <w:rPr>
                <w:sz w:val="22"/>
                <w:szCs w:val="22"/>
                <w:lang w:val="sr-Latn-ME"/>
              </w:rPr>
              <w:t>o</w:t>
            </w:r>
            <w:r w:rsidRPr="009307C4">
              <w:rPr>
                <w:sz w:val="22"/>
                <w:szCs w:val="22"/>
                <w:lang w:val="sr-Latn-ME"/>
              </w:rPr>
              <w:t>" kod pacijenata koji su dobijali placebo u kliničkim studijama.</w:t>
            </w:r>
          </w:p>
          <w:p w14:paraId="29F6C165" w14:textId="61DCAB14" w:rsidR="008808CA" w:rsidRPr="009307C4" w:rsidRDefault="008808CA" w:rsidP="00C4333D">
            <w:pPr>
              <w:jc w:val="both"/>
              <w:rPr>
                <w:sz w:val="22"/>
                <w:szCs w:val="22"/>
                <w:lang w:val="sr-Latn-ME"/>
              </w:rPr>
            </w:pPr>
            <w:r w:rsidRPr="009307C4">
              <w:rPr>
                <w:sz w:val="22"/>
                <w:szCs w:val="22"/>
                <w:lang w:val="sr-Latn-ME"/>
              </w:rPr>
              <w:t>§ Kategorija učestalosti: rijetk</w:t>
            </w:r>
            <w:r w:rsidR="001A739C" w:rsidRPr="009307C4">
              <w:rPr>
                <w:sz w:val="22"/>
                <w:szCs w:val="22"/>
                <w:lang w:val="sr-Latn-ME"/>
              </w:rPr>
              <w:t>o</w:t>
            </w:r>
          </w:p>
          <w:p w14:paraId="7A661B7A" w14:textId="77777777" w:rsidR="008808CA" w:rsidRPr="009307C4" w:rsidRDefault="008808CA" w:rsidP="00C4333D">
            <w:pPr>
              <w:jc w:val="both"/>
              <w:rPr>
                <w:sz w:val="22"/>
                <w:szCs w:val="22"/>
                <w:lang w:val="sr-Latn-ME"/>
              </w:rPr>
            </w:pPr>
          </w:p>
        </w:tc>
      </w:tr>
    </w:tbl>
    <w:p w14:paraId="78B6C2A6" w14:textId="016E1200" w:rsidR="008808CA" w:rsidRPr="009307C4" w:rsidRDefault="008808CA" w:rsidP="00C4333D">
      <w:pPr>
        <w:spacing w:after="200" w:line="276" w:lineRule="auto"/>
        <w:jc w:val="both"/>
        <w:rPr>
          <w:rFonts w:eastAsia="Calibri"/>
          <w:sz w:val="22"/>
          <w:szCs w:val="22"/>
          <w:u w:val="single"/>
          <w:lang w:val="sr-Latn-ME"/>
        </w:rPr>
      </w:pPr>
    </w:p>
    <w:p w14:paraId="76B53BF9" w14:textId="77777777" w:rsidR="009307C4" w:rsidRPr="009307C4" w:rsidRDefault="009307C4" w:rsidP="00C4333D">
      <w:pPr>
        <w:spacing w:after="200" w:line="276" w:lineRule="auto"/>
        <w:jc w:val="both"/>
        <w:rPr>
          <w:rFonts w:eastAsia="Calibri"/>
          <w:sz w:val="22"/>
          <w:szCs w:val="22"/>
          <w:u w:val="single"/>
          <w:lang w:val="sr-Latn-ME"/>
        </w:rPr>
      </w:pPr>
    </w:p>
    <w:p w14:paraId="0552F2EA" w14:textId="77777777" w:rsidR="00256C1B" w:rsidRPr="009307C4" w:rsidRDefault="00256C1B" w:rsidP="00256C1B">
      <w:pPr>
        <w:spacing w:after="200" w:line="276" w:lineRule="auto"/>
        <w:rPr>
          <w:rFonts w:eastAsia="Calibri"/>
          <w:sz w:val="22"/>
          <w:szCs w:val="22"/>
          <w:u w:val="single"/>
          <w:lang w:val="sr-Latn-ME"/>
        </w:rPr>
      </w:pPr>
      <w:r w:rsidRPr="009307C4">
        <w:rPr>
          <w:rFonts w:eastAsia="Calibri"/>
          <w:sz w:val="22"/>
          <w:szCs w:val="22"/>
          <w:u w:val="single"/>
          <w:lang w:val="sr-Latn-ME"/>
        </w:rPr>
        <w:lastRenderedPageBreak/>
        <w:t>Prijavljivanje sumnji na neželjena dejstva</w:t>
      </w:r>
    </w:p>
    <w:p w14:paraId="5A3DAE08" w14:textId="77777777" w:rsidR="00256C1B" w:rsidRPr="009307C4" w:rsidRDefault="00256C1B" w:rsidP="00256C1B">
      <w:pPr>
        <w:spacing w:after="200"/>
        <w:jc w:val="both"/>
        <w:rPr>
          <w:rFonts w:eastAsia="Calibri"/>
          <w:sz w:val="22"/>
          <w:szCs w:val="22"/>
          <w:lang w:val="sr-Latn-ME"/>
        </w:rPr>
      </w:pPr>
      <w:r w:rsidRPr="009307C4">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B4A5D80" w14:textId="7777777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 xml:space="preserve">Institut za ljekove i medicinska sredstva </w:t>
      </w:r>
    </w:p>
    <w:p w14:paraId="3EF19CE4" w14:textId="7777777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Odjeljenje za farmakovigilancu</w:t>
      </w:r>
    </w:p>
    <w:p w14:paraId="561CA2CE" w14:textId="7777777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Bulevar Ivana Crnojevića 64a, 81000 Podgorica</w:t>
      </w:r>
    </w:p>
    <w:p w14:paraId="239E99B8" w14:textId="77777777" w:rsidR="00256C1B" w:rsidRPr="009307C4" w:rsidRDefault="00256C1B" w:rsidP="00256C1B">
      <w:pPr>
        <w:pStyle w:val="NoSpacing"/>
        <w:rPr>
          <w:rFonts w:eastAsia="Calibri"/>
          <w:sz w:val="22"/>
          <w:szCs w:val="22"/>
          <w:lang w:val="sr-Latn-ME"/>
        </w:rPr>
      </w:pPr>
    </w:p>
    <w:p w14:paraId="167BFC5E" w14:textId="7777777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tel: +382 (0) 20 310 280</w:t>
      </w:r>
    </w:p>
    <w:p w14:paraId="2D8D516E" w14:textId="7777777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fax: +382 (0) 20 310 581</w:t>
      </w:r>
    </w:p>
    <w:p w14:paraId="2179B40B" w14:textId="77777777" w:rsidR="00256C1B" w:rsidRPr="009307C4" w:rsidRDefault="00B01C05" w:rsidP="00256C1B">
      <w:pPr>
        <w:pStyle w:val="NoSpacing"/>
        <w:jc w:val="both"/>
        <w:rPr>
          <w:rFonts w:eastAsia="Calibri"/>
          <w:sz w:val="22"/>
          <w:szCs w:val="22"/>
          <w:lang w:val="sr-Latn-ME"/>
        </w:rPr>
      </w:pPr>
      <w:hyperlink r:id="rId9" w:history="1">
        <w:r w:rsidR="00256C1B" w:rsidRPr="009307C4">
          <w:rPr>
            <w:rStyle w:val="Hyperlink"/>
            <w:rFonts w:eastAsia="Calibri"/>
            <w:sz w:val="22"/>
            <w:szCs w:val="22"/>
            <w:lang w:val="sr-Latn-ME"/>
          </w:rPr>
          <w:t>www.cinmed.me</w:t>
        </w:r>
      </w:hyperlink>
    </w:p>
    <w:p w14:paraId="54FCBD9F" w14:textId="77777777" w:rsidR="00256C1B" w:rsidRPr="009307C4" w:rsidRDefault="00B01C05" w:rsidP="00256C1B">
      <w:pPr>
        <w:pStyle w:val="NoSpacing"/>
        <w:jc w:val="both"/>
        <w:rPr>
          <w:rFonts w:eastAsia="Calibri"/>
          <w:color w:val="0000FF"/>
          <w:sz w:val="22"/>
          <w:szCs w:val="22"/>
          <w:u w:val="single"/>
          <w:lang w:val="sr-Latn-ME"/>
        </w:rPr>
      </w:pPr>
      <w:hyperlink r:id="rId10" w:history="1">
        <w:r w:rsidR="00256C1B" w:rsidRPr="009307C4">
          <w:rPr>
            <w:rStyle w:val="Hyperlink"/>
            <w:rFonts w:eastAsia="Calibri"/>
            <w:sz w:val="22"/>
            <w:szCs w:val="22"/>
            <w:lang w:val="sr-Latn-ME"/>
          </w:rPr>
          <w:t>nezeljenadejstva@cinmed.me</w:t>
        </w:r>
      </w:hyperlink>
    </w:p>
    <w:p w14:paraId="7F035C5E" w14:textId="737070E7" w:rsidR="00256C1B" w:rsidRPr="009307C4" w:rsidRDefault="00256C1B" w:rsidP="00256C1B">
      <w:pPr>
        <w:pStyle w:val="NoSpacing"/>
        <w:jc w:val="both"/>
        <w:rPr>
          <w:rFonts w:eastAsia="Calibri"/>
          <w:sz w:val="22"/>
          <w:szCs w:val="22"/>
          <w:lang w:val="sr-Latn-ME"/>
        </w:rPr>
      </w:pPr>
      <w:r w:rsidRPr="009307C4">
        <w:rPr>
          <w:rFonts w:eastAsia="Calibri"/>
          <w:sz w:val="22"/>
          <w:szCs w:val="22"/>
          <w:lang w:val="sr-Latn-ME"/>
        </w:rPr>
        <w:t>putem IS zdravstvene zaštite</w:t>
      </w:r>
    </w:p>
    <w:p w14:paraId="601D958E" w14:textId="77777777" w:rsidR="00436C37" w:rsidRPr="009307C4" w:rsidRDefault="00436C37" w:rsidP="00436C37">
      <w:pPr>
        <w:pStyle w:val="NoSpacing"/>
        <w:jc w:val="both"/>
        <w:rPr>
          <w:rFonts w:eastAsia="Calibri"/>
          <w:sz w:val="22"/>
          <w:szCs w:val="22"/>
          <w:lang w:val="sr-Latn-ME"/>
        </w:rPr>
      </w:pPr>
      <w:r w:rsidRPr="009307C4">
        <w:rPr>
          <w:rFonts w:eastAsia="Calibri"/>
          <w:sz w:val="22"/>
          <w:szCs w:val="22"/>
          <w:lang w:val="sr-Latn-ME"/>
        </w:rPr>
        <w:t>QR kod za online prijavu sumnje na neželjeno dejstvo lijeka:</w:t>
      </w:r>
    </w:p>
    <w:p w14:paraId="69FF5634" w14:textId="77777777" w:rsidR="00436C37" w:rsidRPr="009307C4" w:rsidRDefault="00436C37" w:rsidP="00436C37">
      <w:pPr>
        <w:pStyle w:val="NoSpacing"/>
        <w:jc w:val="both"/>
        <w:rPr>
          <w:rFonts w:eastAsia="Calibri"/>
          <w:sz w:val="22"/>
          <w:szCs w:val="22"/>
          <w:lang w:val="sr-Latn-ME"/>
        </w:rPr>
      </w:pPr>
    </w:p>
    <w:p w14:paraId="039AFF22" w14:textId="77777777" w:rsidR="00436C37" w:rsidRPr="009307C4" w:rsidRDefault="00436C37" w:rsidP="00436C37">
      <w:pPr>
        <w:pStyle w:val="NoSpacing"/>
        <w:rPr>
          <w:rFonts w:eastAsia="Calibri"/>
          <w:sz w:val="22"/>
          <w:szCs w:val="22"/>
          <w:lang w:val="sr-Latn-ME"/>
        </w:rPr>
      </w:pPr>
      <w:r w:rsidRPr="009307C4">
        <w:rPr>
          <w:noProof/>
          <w:lang w:val="sr-Latn-ME"/>
        </w:rPr>
        <w:drawing>
          <wp:inline distT="0" distB="0" distL="0" distR="0" wp14:anchorId="6C3A6097" wp14:editId="16986543">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D665979" w14:textId="43383CDF" w:rsidR="00836B35" w:rsidRPr="009307C4" w:rsidRDefault="00836B35" w:rsidP="00C4333D">
      <w:pPr>
        <w:tabs>
          <w:tab w:val="left" w:pos="540"/>
          <w:tab w:val="left" w:pos="569"/>
        </w:tabs>
        <w:jc w:val="both"/>
        <w:rPr>
          <w:b/>
          <w:bCs/>
          <w:sz w:val="22"/>
          <w:szCs w:val="22"/>
          <w:lang w:val="sr-Latn-ME"/>
        </w:rPr>
      </w:pPr>
    </w:p>
    <w:p w14:paraId="2A834230" w14:textId="77777777" w:rsidR="00CD6F02"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4.9. </w:t>
      </w:r>
      <w:r w:rsidR="00480FB1" w:rsidRPr="009307C4">
        <w:rPr>
          <w:b/>
          <w:bCs/>
          <w:sz w:val="22"/>
          <w:szCs w:val="22"/>
          <w:lang w:val="sr-Latn-ME"/>
        </w:rPr>
        <w:tab/>
      </w:r>
      <w:r w:rsidRPr="009307C4">
        <w:rPr>
          <w:b/>
          <w:bCs/>
          <w:sz w:val="22"/>
          <w:szCs w:val="22"/>
          <w:lang w:val="sr-Latn-ME"/>
        </w:rPr>
        <w:t>Predoziranje</w:t>
      </w:r>
      <w:r w:rsidR="002846DB" w:rsidRPr="009307C4">
        <w:rPr>
          <w:b/>
          <w:bCs/>
          <w:sz w:val="22"/>
          <w:szCs w:val="22"/>
          <w:lang w:val="sr-Latn-ME"/>
        </w:rPr>
        <w:t xml:space="preserve"> </w:t>
      </w:r>
    </w:p>
    <w:p w14:paraId="088EED01" w14:textId="77777777" w:rsidR="00CD6F02" w:rsidRPr="009307C4" w:rsidRDefault="00CD6F02" w:rsidP="00C4333D">
      <w:pPr>
        <w:tabs>
          <w:tab w:val="left" w:pos="540"/>
          <w:tab w:val="left" w:pos="569"/>
        </w:tabs>
        <w:jc w:val="both"/>
        <w:rPr>
          <w:b/>
          <w:bCs/>
          <w:sz w:val="22"/>
          <w:szCs w:val="22"/>
          <w:lang w:val="sr-Latn-ME"/>
        </w:rPr>
      </w:pPr>
    </w:p>
    <w:p w14:paraId="4340C8AE" w14:textId="32DADE92"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U </w:t>
      </w:r>
      <w:r w:rsidR="000D1F29" w:rsidRPr="009307C4">
        <w:rPr>
          <w:sz w:val="22"/>
          <w:szCs w:val="22"/>
          <w:lang w:val="sr-Latn-ME" w:eastAsia="sr-Latn-CS"/>
        </w:rPr>
        <w:t xml:space="preserve">ispitivanjim hroničnih slučajeva </w:t>
      </w:r>
      <w:r w:rsidRPr="009307C4">
        <w:rPr>
          <w:sz w:val="22"/>
          <w:szCs w:val="22"/>
          <w:lang w:val="sr-Latn-ME" w:eastAsia="sr-Latn-CS"/>
        </w:rPr>
        <w:t>astme montelukast je primjenjivan u dozama</w:t>
      </w:r>
      <w:r w:rsidR="00A71EA6" w:rsidRPr="009307C4">
        <w:rPr>
          <w:sz w:val="22"/>
          <w:szCs w:val="22"/>
          <w:lang w:val="sr-Latn-ME" w:eastAsia="sr-Latn-CS"/>
        </w:rPr>
        <w:t xml:space="preserve"> koje su iznosile</w:t>
      </w:r>
      <w:r w:rsidRPr="009307C4">
        <w:rPr>
          <w:sz w:val="22"/>
          <w:szCs w:val="22"/>
          <w:lang w:val="sr-Latn-ME" w:eastAsia="sr-Latn-CS"/>
        </w:rPr>
        <w:t xml:space="preserve"> do 200 mg</w:t>
      </w:r>
      <w:r w:rsidR="000D1F29" w:rsidRPr="009307C4">
        <w:rPr>
          <w:sz w:val="22"/>
          <w:szCs w:val="22"/>
          <w:lang w:val="sr-Latn-ME" w:eastAsia="sr-Latn-CS"/>
        </w:rPr>
        <w:t xml:space="preserve">/dan i to </w:t>
      </w:r>
      <w:r w:rsidRPr="009307C4">
        <w:rPr>
          <w:sz w:val="22"/>
          <w:szCs w:val="22"/>
          <w:lang w:val="sr-Latn-ME" w:eastAsia="sr-Latn-CS"/>
        </w:rPr>
        <w:t xml:space="preserve">kod odraslih pacijenata u </w:t>
      </w:r>
      <w:r w:rsidR="000D1F29" w:rsidRPr="009307C4">
        <w:rPr>
          <w:sz w:val="22"/>
          <w:szCs w:val="22"/>
          <w:lang w:val="sr-Latn-ME" w:eastAsia="sr-Latn-CS"/>
        </w:rPr>
        <w:t xml:space="preserve">trajanju od </w:t>
      </w:r>
      <w:r w:rsidRPr="009307C4">
        <w:rPr>
          <w:sz w:val="22"/>
          <w:szCs w:val="22"/>
          <w:lang w:val="sr-Latn-ME" w:eastAsia="sr-Latn-CS"/>
        </w:rPr>
        <w:t>22 nedjelje</w:t>
      </w:r>
      <w:r w:rsidR="000D1F29" w:rsidRPr="009307C4">
        <w:rPr>
          <w:sz w:val="22"/>
          <w:szCs w:val="22"/>
          <w:lang w:val="sr-Latn-ME" w:eastAsia="sr-Latn-CS"/>
        </w:rPr>
        <w:t>. Osim toga</w:t>
      </w:r>
      <w:r w:rsidR="00A71EA6" w:rsidRPr="009307C4">
        <w:rPr>
          <w:sz w:val="22"/>
          <w:szCs w:val="22"/>
          <w:lang w:val="sr-Latn-ME" w:eastAsia="sr-Latn-CS"/>
        </w:rPr>
        <w:t>,</w:t>
      </w:r>
      <w:r w:rsidR="000D1F29" w:rsidRPr="009307C4">
        <w:rPr>
          <w:sz w:val="22"/>
          <w:szCs w:val="22"/>
          <w:lang w:val="sr-Latn-ME" w:eastAsia="sr-Latn-CS"/>
        </w:rPr>
        <w:t xml:space="preserve"> sprovedene su i</w:t>
      </w:r>
      <w:r w:rsidRPr="009307C4">
        <w:rPr>
          <w:sz w:val="22"/>
          <w:szCs w:val="22"/>
          <w:lang w:val="sr-Latn-ME" w:eastAsia="sr-Latn-CS"/>
        </w:rPr>
        <w:t xml:space="preserve"> kratko</w:t>
      </w:r>
      <w:r w:rsidR="00A71EA6" w:rsidRPr="009307C4">
        <w:rPr>
          <w:sz w:val="22"/>
          <w:szCs w:val="22"/>
          <w:lang w:val="sr-Latn-ME" w:eastAsia="sr-Latn-CS"/>
        </w:rPr>
        <w:t>ročne</w:t>
      </w:r>
      <w:r w:rsidRPr="009307C4">
        <w:rPr>
          <w:sz w:val="22"/>
          <w:szCs w:val="22"/>
          <w:lang w:val="sr-Latn-ME" w:eastAsia="sr-Latn-CS"/>
        </w:rPr>
        <w:t xml:space="preserve"> studij</w:t>
      </w:r>
      <w:r w:rsidR="000D1F29" w:rsidRPr="009307C4">
        <w:rPr>
          <w:sz w:val="22"/>
          <w:szCs w:val="22"/>
          <w:lang w:val="sr-Latn-ME" w:eastAsia="sr-Latn-CS"/>
        </w:rPr>
        <w:t>e tokom kojih su pacijentima davane doze i</w:t>
      </w:r>
      <w:r w:rsidRPr="009307C4">
        <w:rPr>
          <w:sz w:val="22"/>
          <w:szCs w:val="22"/>
          <w:lang w:val="sr-Latn-ME" w:eastAsia="sr-Latn-CS"/>
        </w:rPr>
        <w:t xml:space="preserve"> do 900 mg</w:t>
      </w:r>
      <w:r w:rsidR="000D1F29" w:rsidRPr="009307C4">
        <w:rPr>
          <w:sz w:val="22"/>
          <w:szCs w:val="22"/>
          <w:lang w:val="sr-Latn-ME" w:eastAsia="sr-Latn-CS"/>
        </w:rPr>
        <w:t xml:space="preserve"> montelukasta</w:t>
      </w:r>
      <w:r w:rsidRPr="009307C4">
        <w:rPr>
          <w:sz w:val="22"/>
          <w:szCs w:val="22"/>
          <w:lang w:val="sr-Latn-ME" w:eastAsia="sr-Latn-CS"/>
        </w:rPr>
        <w:t xml:space="preserve"> dnevno </w:t>
      </w:r>
      <w:r w:rsidR="000D1F29" w:rsidRPr="009307C4">
        <w:rPr>
          <w:sz w:val="22"/>
          <w:szCs w:val="22"/>
          <w:lang w:val="sr-Latn-ME" w:eastAsia="sr-Latn-CS"/>
        </w:rPr>
        <w:t xml:space="preserve">u periodu od oko </w:t>
      </w:r>
      <w:r w:rsidRPr="009307C4">
        <w:rPr>
          <w:sz w:val="22"/>
          <w:szCs w:val="22"/>
          <w:lang w:val="sr-Latn-ME" w:eastAsia="sr-Latn-CS"/>
        </w:rPr>
        <w:t>nedjel</w:t>
      </w:r>
      <w:r w:rsidR="000D1F29" w:rsidRPr="009307C4">
        <w:rPr>
          <w:sz w:val="22"/>
          <w:szCs w:val="22"/>
          <w:lang w:val="sr-Latn-ME" w:eastAsia="sr-Latn-CS"/>
        </w:rPr>
        <w:t>ju dana. Navedene studije</w:t>
      </w:r>
      <w:r w:rsidRPr="009307C4">
        <w:rPr>
          <w:sz w:val="22"/>
          <w:szCs w:val="22"/>
          <w:lang w:val="sr-Latn-ME" w:eastAsia="sr-Latn-CS"/>
        </w:rPr>
        <w:t xml:space="preserve"> nijesu </w:t>
      </w:r>
      <w:r w:rsidR="000D1F29" w:rsidRPr="009307C4">
        <w:rPr>
          <w:sz w:val="22"/>
          <w:szCs w:val="22"/>
          <w:lang w:val="sr-Latn-ME" w:eastAsia="sr-Latn-CS"/>
        </w:rPr>
        <w:t xml:space="preserve">pokazale klinički </w:t>
      </w:r>
      <w:r w:rsidRPr="009307C4">
        <w:rPr>
          <w:sz w:val="22"/>
          <w:szCs w:val="22"/>
          <w:lang w:val="sr-Latn-ME" w:eastAsia="sr-Latn-CS"/>
        </w:rPr>
        <w:t>značajn</w:t>
      </w:r>
      <w:r w:rsidR="000D1F29" w:rsidRPr="009307C4">
        <w:rPr>
          <w:sz w:val="22"/>
          <w:szCs w:val="22"/>
          <w:lang w:val="sr-Latn-ME" w:eastAsia="sr-Latn-CS"/>
        </w:rPr>
        <w:t>e</w:t>
      </w:r>
      <w:r w:rsidRPr="009307C4">
        <w:rPr>
          <w:sz w:val="22"/>
          <w:szCs w:val="22"/>
          <w:lang w:val="sr-Latn-ME" w:eastAsia="sr-Latn-CS"/>
        </w:rPr>
        <w:t xml:space="preserve"> neželjen</w:t>
      </w:r>
      <w:r w:rsidR="000D1F29" w:rsidRPr="009307C4">
        <w:rPr>
          <w:sz w:val="22"/>
          <w:szCs w:val="22"/>
          <w:lang w:val="sr-Latn-ME" w:eastAsia="sr-Latn-CS"/>
        </w:rPr>
        <w:t>e reakcije</w:t>
      </w:r>
      <w:r w:rsidRPr="009307C4">
        <w:rPr>
          <w:sz w:val="22"/>
          <w:szCs w:val="22"/>
          <w:lang w:val="sr-Latn-ME" w:eastAsia="sr-Latn-CS"/>
        </w:rPr>
        <w:t xml:space="preserve">. </w:t>
      </w:r>
    </w:p>
    <w:p w14:paraId="275F82D8" w14:textId="77777777" w:rsidR="008808CA" w:rsidRPr="009307C4" w:rsidRDefault="008808CA" w:rsidP="00C4333D">
      <w:pPr>
        <w:autoSpaceDE w:val="0"/>
        <w:autoSpaceDN w:val="0"/>
        <w:adjustRightInd w:val="0"/>
        <w:jc w:val="both"/>
        <w:rPr>
          <w:sz w:val="22"/>
          <w:szCs w:val="22"/>
          <w:lang w:val="sr-Latn-ME" w:eastAsia="sr-Latn-CS"/>
        </w:rPr>
      </w:pPr>
    </w:p>
    <w:p w14:paraId="162B64D3" w14:textId="11994D40"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Postoje izvještaji o akutnom predoziranju montelukasta koji su dobijeni na osnovu postmarketinškog iskustva i kliničkih ispitivanja. Ovi izvještaji su uključili odrasle i djecu </w:t>
      </w:r>
      <w:r w:rsidR="000D1F29" w:rsidRPr="009307C4">
        <w:rPr>
          <w:sz w:val="22"/>
          <w:szCs w:val="22"/>
          <w:lang w:val="sr-Latn-ME" w:eastAsia="sr-Latn-CS"/>
        </w:rPr>
        <w:t>sa visokim dozama i</w:t>
      </w:r>
      <w:r w:rsidRPr="009307C4">
        <w:rPr>
          <w:sz w:val="22"/>
          <w:szCs w:val="22"/>
          <w:lang w:val="sr-Latn-ME" w:eastAsia="sr-Latn-CS"/>
        </w:rPr>
        <w:t xml:space="preserve"> do 1000 mg (oko 61 mg/kg kod djeteta starosti 42 mjeseca). </w:t>
      </w:r>
      <w:r w:rsidR="000D1F29" w:rsidRPr="009307C4">
        <w:rPr>
          <w:sz w:val="22"/>
          <w:szCs w:val="22"/>
          <w:lang w:val="sr-Latn-ME" w:eastAsia="sr-Latn-CS"/>
        </w:rPr>
        <w:t>Dobijeni k</w:t>
      </w:r>
      <w:r w:rsidRPr="009307C4">
        <w:rPr>
          <w:sz w:val="22"/>
          <w:szCs w:val="22"/>
          <w:lang w:val="sr-Latn-ME" w:eastAsia="sr-Latn-CS"/>
        </w:rPr>
        <w:t>linički i laboratorijski</w:t>
      </w:r>
      <w:r w:rsidR="000D1F29" w:rsidRPr="009307C4">
        <w:rPr>
          <w:sz w:val="22"/>
          <w:szCs w:val="22"/>
          <w:lang w:val="sr-Latn-ME" w:eastAsia="sr-Latn-CS"/>
        </w:rPr>
        <w:t xml:space="preserve"> nalazi </w:t>
      </w:r>
      <w:r w:rsidRPr="009307C4">
        <w:rPr>
          <w:sz w:val="22"/>
          <w:szCs w:val="22"/>
          <w:lang w:val="sr-Latn-ME" w:eastAsia="sr-Latn-CS"/>
        </w:rPr>
        <w:t xml:space="preserve">bili </w:t>
      </w:r>
      <w:r w:rsidR="000D1F29" w:rsidRPr="009307C4">
        <w:rPr>
          <w:sz w:val="22"/>
          <w:szCs w:val="22"/>
          <w:lang w:val="sr-Latn-ME" w:eastAsia="sr-Latn-CS"/>
        </w:rPr>
        <w:t xml:space="preserve">su konzistentni </w:t>
      </w:r>
      <w:r w:rsidRPr="009307C4">
        <w:rPr>
          <w:sz w:val="22"/>
          <w:szCs w:val="22"/>
          <w:lang w:val="sr-Latn-ME" w:eastAsia="sr-Latn-CS"/>
        </w:rPr>
        <w:t xml:space="preserve">sa bezbjednosnim profilom kod odraslih i pedijatrijskih pacijenata. </w:t>
      </w:r>
      <w:r w:rsidR="000D1F29" w:rsidRPr="009307C4">
        <w:rPr>
          <w:sz w:val="22"/>
          <w:szCs w:val="22"/>
          <w:lang w:val="sr-Latn-ME" w:eastAsia="sr-Latn-CS"/>
        </w:rPr>
        <w:t xml:space="preserve">Nije bilo </w:t>
      </w:r>
      <w:r w:rsidRPr="009307C4">
        <w:rPr>
          <w:sz w:val="22"/>
          <w:szCs w:val="22"/>
          <w:lang w:val="sr-Latn-ME" w:eastAsia="sr-Latn-CS"/>
        </w:rPr>
        <w:t>neželjen</w:t>
      </w:r>
      <w:r w:rsidR="000D1F29" w:rsidRPr="009307C4">
        <w:rPr>
          <w:sz w:val="22"/>
          <w:szCs w:val="22"/>
          <w:lang w:val="sr-Latn-ME" w:eastAsia="sr-Latn-CS"/>
        </w:rPr>
        <w:t>ih reakcija</w:t>
      </w:r>
      <w:r w:rsidRPr="009307C4">
        <w:rPr>
          <w:sz w:val="22"/>
          <w:szCs w:val="22"/>
          <w:lang w:val="sr-Latn-ME" w:eastAsia="sr-Latn-CS"/>
        </w:rPr>
        <w:t xml:space="preserve"> u većini </w:t>
      </w:r>
      <w:r w:rsidR="000D1F29" w:rsidRPr="009307C4">
        <w:rPr>
          <w:sz w:val="22"/>
          <w:szCs w:val="22"/>
          <w:lang w:val="sr-Latn-ME" w:eastAsia="sr-Latn-CS"/>
        </w:rPr>
        <w:t>prijavljenih slučaj</w:t>
      </w:r>
      <w:r w:rsidR="00A71EA6" w:rsidRPr="009307C4">
        <w:rPr>
          <w:sz w:val="22"/>
          <w:szCs w:val="22"/>
          <w:lang w:val="sr-Latn-ME" w:eastAsia="sr-Latn-CS"/>
        </w:rPr>
        <w:t>eva</w:t>
      </w:r>
      <w:r w:rsidR="000D1F29" w:rsidRPr="009307C4">
        <w:rPr>
          <w:sz w:val="22"/>
          <w:szCs w:val="22"/>
          <w:lang w:val="sr-Latn-ME" w:eastAsia="sr-Latn-CS"/>
        </w:rPr>
        <w:t xml:space="preserve"> </w:t>
      </w:r>
      <w:r w:rsidRPr="009307C4">
        <w:rPr>
          <w:sz w:val="22"/>
          <w:szCs w:val="22"/>
          <w:lang w:val="sr-Latn-ME" w:eastAsia="sr-Latn-CS"/>
        </w:rPr>
        <w:t>predoziranj</w:t>
      </w:r>
      <w:r w:rsidR="000D1F29" w:rsidRPr="009307C4">
        <w:rPr>
          <w:sz w:val="22"/>
          <w:szCs w:val="22"/>
          <w:lang w:val="sr-Latn-ME" w:eastAsia="sr-Latn-CS"/>
        </w:rPr>
        <w:t>a</w:t>
      </w:r>
      <w:r w:rsidRPr="009307C4">
        <w:rPr>
          <w:sz w:val="22"/>
          <w:szCs w:val="22"/>
          <w:lang w:val="sr-Latn-ME" w:eastAsia="sr-Latn-CS"/>
        </w:rPr>
        <w:t xml:space="preserve">. </w:t>
      </w:r>
    </w:p>
    <w:p w14:paraId="19C7A9A7" w14:textId="77777777" w:rsidR="008808CA" w:rsidRPr="009307C4" w:rsidRDefault="008808CA" w:rsidP="00C4333D">
      <w:pPr>
        <w:autoSpaceDE w:val="0"/>
        <w:autoSpaceDN w:val="0"/>
        <w:adjustRightInd w:val="0"/>
        <w:jc w:val="both"/>
        <w:rPr>
          <w:sz w:val="22"/>
          <w:szCs w:val="22"/>
          <w:lang w:val="sr-Latn-ME" w:eastAsia="sr-Latn-CS"/>
        </w:rPr>
      </w:pPr>
    </w:p>
    <w:p w14:paraId="1BC42B96" w14:textId="77777777" w:rsidR="008808CA" w:rsidRPr="009307C4" w:rsidRDefault="008808CA" w:rsidP="00C4333D">
      <w:pPr>
        <w:autoSpaceDE w:val="0"/>
        <w:autoSpaceDN w:val="0"/>
        <w:adjustRightInd w:val="0"/>
        <w:jc w:val="both"/>
        <w:rPr>
          <w:sz w:val="22"/>
          <w:szCs w:val="22"/>
          <w:u w:val="single"/>
          <w:lang w:val="sr-Latn-ME" w:eastAsia="sr-Latn-CS"/>
        </w:rPr>
      </w:pPr>
      <w:r w:rsidRPr="009307C4">
        <w:rPr>
          <w:sz w:val="22"/>
          <w:szCs w:val="22"/>
          <w:u w:val="single"/>
          <w:lang w:val="sr-Latn-ME" w:eastAsia="sr-Latn-CS"/>
        </w:rPr>
        <w:t>Simptomi predoziranja</w:t>
      </w:r>
    </w:p>
    <w:p w14:paraId="4FC8CAA5" w14:textId="77777777"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Neželjene reakcije koje su se najčešće pojavljivale su bile konzistentne sa bezbjednosnim profilom montelukasta i uključivale su bol u abdomenu, somnolenciju, žeđ, glavobolju, povraćanje i psihomotornu hiperaktivnost.</w:t>
      </w:r>
    </w:p>
    <w:p w14:paraId="6512FBC6" w14:textId="77777777" w:rsidR="008808CA" w:rsidRPr="009307C4" w:rsidRDefault="008808CA" w:rsidP="00C4333D">
      <w:pPr>
        <w:autoSpaceDE w:val="0"/>
        <w:autoSpaceDN w:val="0"/>
        <w:adjustRightInd w:val="0"/>
        <w:jc w:val="both"/>
        <w:rPr>
          <w:sz w:val="22"/>
          <w:szCs w:val="22"/>
          <w:u w:val="single"/>
          <w:lang w:val="sr-Latn-ME" w:eastAsia="sr-Latn-CS"/>
        </w:rPr>
      </w:pPr>
    </w:p>
    <w:p w14:paraId="2451C0FC" w14:textId="77777777" w:rsidR="008808CA" w:rsidRPr="009307C4" w:rsidRDefault="008808CA" w:rsidP="00C4333D">
      <w:pPr>
        <w:autoSpaceDE w:val="0"/>
        <w:autoSpaceDN w:val="0"/>
        <w:adjustRightInd w:val="0"/>
        <w:jc w:val="both"/>
        <w:rPr>
          <w:sz w:val="22"/>
          <w:szCs w:val="22"/>
          <w:u w:val="single"/>
          <w:lang w:val="sr-Latn-ME" w:eastAsia="sr-Latn-CS"/>
        </w:rPr>
      </w:pPr>
      <w:r w:rsidRPr="009307C4">
        <w:rPr>
          <w:sz w:val="22"/>
          <w:szCs w:val="22"/>
          <w:u w:val="single"/>
          <w:lang w:val="sr-Latn-ME" w:eastAsia="sr-Latn-CS"/>
        </w:rPr>
        <w:t>Terapija kod predoziranja</w:t>
      </w:r>
    </w:p>
    <w:p w14:paraId="6F654628" w14:textId="744C8B2D"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Ni</w:t>
      </w:r>
      <w:r w:rsidR="000C7E23" w:rsidRPr="009307C4">
        <w:rPr>
          <w:sz w:val="22"/>
          <w:szCs w:val="22"/>
          <w:lang w:val="sr-Latn-ME" w:eastAsia="sr-Latn-CS"/>
        </w:rPr>
        <w:t>je</w:t>
      </w:r>
      <w:r w:rsidRPr="009307C4">
        <w:rPr>
          <w:sz w:val="22"/>
          <w:szCs w:val="22"/>
          <w:lang w:val="sr-Latn-ME" w:eastAsia="sr-Latn-CS"/>
        </w:rPr>
        <w:t>su dostupni specifični podaci o terapiji predoziranja montelukastom.</w:t>
      </w:r>
    </w:p>
    <w:p w14:paraId="1B4158BB" w14:textId="076BF415"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Nije poznato da li </w:t>
      </w:r>
      <w:r w:rsidR="000D1F29" w:rsidRPr="009307C4">
        <w:rPr>
          <w:sz w:val="22"/>
          <w:szCs w:val="22"/>
          <w:lang w:val="sr-Latn-ME" w:eastAsia="sr-Latn-CS"/>
        </w:rPr>
        <w:t>je</w:t>
      </w:r>
      <w:r w:rsidRPr="009307C4">
        <w:rPr>
          <w:sz w:val="22"/>
          <w:szCs w:val="22"/>
          <w:lang w:val="sr-Latn-ME" w:eastAsia="sr-Latn-CS"/>
        </w:rPr>
        <w:t xml:space="preserve"> montelukast mo</w:t>
      </w:r>
      <w:r w:rsidR="000D1F29" w:rsidRPr="009307C4">
        <w:rPr>
          <w:sz w:val="22"/>
          <w:szCs w:val="22"/>
          <w:lang w:val="sr-Latn-ME" w:eastAsia="sr-Latn-CS"/>
        </w:rPr>
        <w:t>guće</w:t>
      </w:r>
      <w:r w:rsidRPr="009307C4">
        <w:rPr>
          <w:sz w:val="22"/>
          <w:szCs w:val="22"/>
          <w:lang w:val="sr-Latn-ME" w:eastAsia="sr-Latn-CS"/>
        </w:rPr>
        <w:t xml:space="preserve"> ukloniti peritonealnom</w:t>
      </w:r>
      <w:r w:rsidR="000C7E23" w:rsidRPr="009307C4">
        <w:rPr>
          <w:sz w:val="22"/>
          <w:szCs w:val="22"/>
          <w:lang w:val="sr-Latn-ME" w:eastAsia="sr-Latn-CS"/>
        </w:rPr>
        <w:t xml:space="preserve"> dijalizom</w:t>
      </w:r>
      <w:r w:rsidRPr="009307C4">
        <w:rPr>
          <w:sz w:val="22"/>
          <w:szCs w:val="22"/>
          <w:lang w:val="sr-Latn-ME" w:eastAsia="sr-Latn-CS"/>
        </w:rPr>
        <w:t xml:space="preserve"> ili hemodijalizom.  </w:t>
      </w:r>
    </w:p>
    <w:p w14:paraId="6E26F05D" w14:textId="559257AA" w:rsidR="00227BDB" w:rsidRPr="009307C4" w:rsidRDefault="00227BDB" w:rsidP="00C4333D">
      <w:pPr>
        <w:tabs>
          <w:tab w:val="left" w:pos="540"/>
          <w:tab w:val="left" w:pos="569"/>
        </w:tabs>
        <w:jc w:val="both"/>
        <w:rPr>
          <w:b/>
          <w:bCs/>
          <w:sz w:val="22"/>
          <w:szCs w:val="22"/>
          <w:lang w:val="sr-Latn-ME"/>
        </w:rPr>
      </w:pPr>
    </w:p>
    <w:p w14:paraId="6A3A0872" w14:textId="77777777" w:rsidR="007171F4" w:rsidRPr="009307C4" w:rsidRDefault="007171F4" w:rsidP="00C4333D">
      <w:pPr>
        <w:tabs>
          <w:tab w:val="left" w:pos="540"/>
          <w:tab w:val="left" w:pos="569"/>
        </w:tabs>
        <w:jc w:val="both"/>
        <w:rPr>
          <w:b/>
          <w:bCs/>
          <w:sz w:val="22"/>
          <w:szCs w:val="22"/>
          <w:lang w:val="sr-Latn-ME"/>
        </w:rPr>
      </w:pPr>
    </w:p>
    <w:p w14:paraId="66E0180B"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5. </w:t>
      </w:r>
      <w:r w:rsidR="00480FB1" w:rsidRPr="009307C4">
        <w:rPr>
          <w:b/>
          <w:bCs/>
          <w:sz w:val="22"/>
          <w:szCs w:val="22"/>
          <w:lang w:val="sr-Latn-ME"/>
        </w:rPr>
        <w:tab/>
      </w:r>
      <w:r w:rsidRPr="009307C4">
        <w:rPr>
          <w:b/>
          <w:bCs/>
          <w:sz w:val="22"/>
          <w:szCs w:val="22"/>
          <w:lang w:val="sr-Latn-ME"/>
        </w:rPr>
        <w:t>FARMAKOLOŠK</w:t>
      </w:r>
      <w:r w:rsidR="000D425A" w:rsidRPr="009307C4">
        <w:rPr>
          <w:b/>
          <w:bCs/>
          <w:sz w:val="22"/>
          <w:szCs w:val="22"/>
          <w:lang w:val="sr-Latn-ME"/>
        </w:rPr>
        <w:t>I</w:t>
      </w:r>
      <w:r w:rsidRPr="009307C4">
        <w:rPr>
          <w:b/>
          <w:bCs/>
          <w:sz w:val="22"/>
          <w:szCs w:val="22"/>
          <w:lang w:val="sr-Latn-ME"/>
        </w:rPr>
        <w:t xml:space="preserve"> PODACI</w:t>
      </w:r>
    </w:p>
    <w:p w14:paraId="3E074C5E" w14:textId="77777777" w:rsidR="0072020E" w:rsidRPr="009307C4" w:rsidRDefault="0072020E" w:rsidP="00C4333D">
      <w:pPr>
        <w:tabs>
          <w:tab w:val="left" w:pos="540"/>
          <w:tab w:val="left" w:pos="569"/>
        </w:tabs>
        <w:jc w:val="both"/>
        <w:rPr>
          <w:b/>
          <w:bCs/>
          <w:sz w:val="22"/>
          <w:szCs w:val="22"/>
          <w:lang w:val="sr-Latn-ME"/>
        </w:rPr>
      </w:pPr>
    </w:p>
    <w:p w14:paraId="39097AFB"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5.1. </w:t>
      </w:r>
      <w:r w:rsidR="00480FB1" w:rsidRPr="009307C4">
        <w:rPr>
          <w:b/>
          <w:bCs/>
          <w:sz w:val="22"/>
          <w:szCs w:val="22"/>
          <w:lang w:val="sr-Latn-ME"/>
        </w:rPr>
        <w:tab/>
      </w:r>
      <w:r w:rsidRPr="009307C4">
        <w:rPr>
          <w:b/>
          <w:bCs/>
          <w:sz w:val="22"/>
          <w:szCs w:val="22"/>
          <w:lang w:val="sr-Latn-ME"/>
        </w:rPr>
        <w:t>Farmakodinamski podaci</w:t>
      </w:r>
      <w:r w:rsidR="003A7059" w:rsidRPr="009307C4">
        <w:rPr>
          <w:b/>
          <w:bCs/>
          <w:sz w:val="22"/>
          <w:szCs w:val="22"/>
          <w:lang w:val="sr-Latn-ME"/>
        </w:rPr>
        <w:t xml:space="preserve"> </w:t>
      </w:r>
    </w:p>
    <w:p w14:paraId="3BBFB7F1" w14:textId="77777777" w:rsidR="00F45F77" w:rsidRPr="009307C4" w:rsidRDefault="00F45F77" w:rsidP="00C4333D">
      <w:pPr>
        <w:tabs>
          <w:tab w:val="left" w:pos="540"/>
          <w:tab w:val="left" w:pos="569"/>
        </w:tabs>
        <w:jc w:val="both"/>
        <w:rPr>
          <w:b/>
          <w:bCs/>
          <w:sz w:val="22"/>
          <w:szCs w:val="22"/>
          <w:lang w:val="sr-Latn-ME"/>
        </w:rPr>
      </w:pPr>
    </w:p>
    <w:p w14:paraId="45005A56" w14:textId="34965B2E" w:rsidR="0072020E" w:rsidRPr="009307C4" w:rsidRDefault="0072020E" w:rsidP="00C4333D">
      <w:pPr>
        <w:tabs>
          <w:tab w:val="left" w:pos="540"/>
          <w:tab w:val="left" w:pos="569"/>
        </w:tabs>
        <w:jc w:val="both"/>
        <w:rPr>
          <w:bCs/>
          <w:sz w:val="22"/>
          <w:szCs w:val="22"/>
          <w:lang w:val="sr-Latn-ME"/>
        </w:rPr>
      </w:pPr>
      <w:r w:rsidRPr="009307C4">
        <w:rPr>
          <w:bCs/>
          <w:sz w:val="22"/>
          <w:szCs w:val="22"/>
          <w:lang w:val="sr-Latn-ME"/>
        </w:rPr>
        <w:t>Farmakoterapijska grupa:</w:t>
      </w:r>
      <w:r w:rsidR="008808CA" w:rsidRPr="009307C4">
        <w:rPr>
          <w:bCs/>
          <w:sz w:val="22"/>
          <w:szCs w:val="22"/>
          <w:lang w:val="sr-Latn-ME"/>
        </w:rPr>
        <w:t xml:space="preserve"> </w:t>
      </w:r>
      <w:r w:rsidR="00A71EA6" w:rsidRPr="009307C4">
        <w:rPr>
          <w:bCs/>
          <w:sz w:val="22"/>
          <w:szCs w:val="22"/>
          <w:lang w:val="sr-Latn-ME"/>
        </w:rPr>
        <w:t xml:space="preserve">Ljekovi koji se primjenjuju u opstruktivnim bolestima disajnih puteva; </w:t>
      </w:r>
      <w:r w:rsidR="008808CA" w:rsidRPr="009307C4">
        <w:rPr>
          <w:sz w:val="22"/>
          <w:szCs w:val="22"/>
          <w:lang w:val="sr-Latn-ME" w:eastAsia="sr-Latn-CS"/>
        </w:rPr>
        <w:t>antagonisti leukotri</w:t>
      </w:r>
      <w:r w:rsidR="00EF69D4" w:rsidRPr="009307C4">
        <w:rPr>
          <w:sz w:val="22"/>
          <w:szCs w:val="22"/>
          <w:lang w:val="sr-Latn-ME" w:eastAsia="sr-Latn-CS"/>
        </w:rPr>
        <w:t>j</w:t>
      </w:r>
      <w:r w:rsidR="008808CA" w:rsidRPr="009307C4">
        <w:rPr>
          <w:sz w:val="22"/>
          <w:szCs w:val="22"/>
          <w:lang w:val="sr-Latn-ME" w:eastAsia="sr-Latn-CS"/>
        </w:rPr>
        <w:t>en</w:t>
      </w:r>
      <w:r w:rsidR="00A71EA6" w:rsidRPr="009307C4">
        <w:rPr>
          <w:sz w:val="22"/>
          <w:szCs w:val="22"/>
          <w:lang w:val="sr-Latn-ME" w:eastAsia="sr-Latn-CS"/>
        </w:rPr>
        <w:t>skih receptora</w:t>
      </w:r>
    </w:p>
    <w:p w14:paraId="39968184" w14:textId="77777777" w:rsidR="0072020E" w:rsidRPr="009307C4" w:rsidRDefault="0072020E" w:rsidP="00C4333D">
      <w:pPr>
        <w:tabs>
          <w:tab w:val="left" w:pos="540"/>
          <w:tab w:val="left" w:pos="569"/>
        </w:tabs>
        <w:jc w:val="both"/>
        <w:rPr>
          <w:bCs/>
          <w:sz w:val="22"/>
          <w:szCs w:val="22"/>
          <w:lang w:val="sr-Latn-ME"/>
        </w:rPr>
      </w:pPr>
    </w:p>
    <w:p w14:paraId="5DF36A7C" w14:textId="41F587FE" w:rsidR="0072020E" w:rsidRPr="009307C4" w:rsidRDefault="0072020E" w:rsidP="00C4333D">
      <w:pPr>
        <w:tabs>
          <w:tab w:val="left" w:pos="540"/>
          <w:tab w:val="left" w:pos="569"/>
        </w:tabs>
        <w:jc w:val="both"/>
        <w:rPr>
          <w:bCs/>
          <w:sz w:val="22"/>
          <w:szCs w:val="22"/>
          <w:lang w:val="sr-Latn-ME"/>
        </w:rPr>
      </w:pPr>
      <w:r w:rsidRPr="009307C4">
        <w:rPr>
          <w:bCs/>
          <w:sz w:val="22"/>
          <w:szCs w:val="22"/>
          <w:lang w:val="sr-Latn-ME"/>
        </w:rPr>
        <w:t>ATC kod:</w:t>
      </w:r>
      <w:r w:rsidR="008808CA" w:rsidRPr="009307C4">
        <w:rPr>
          <w:bCs/>
          <w:sz w:val="22"/>
          <w:szCs w:val="22"/>
          <w:lang w:val="sr-Latn-ME"/>
        </w:rPr>
        <w:t xml:space="preserve"> </w:t>
      </w:r>
      <w:r w:rsidR="008808CA" w:rsidRPr="009307C4">
        <w:rPr>
          <w:sz w:val="22"/>
          <w:szCs w:val="22"/>
          <w:lang w:val="sr-Latn-ME" w:eastAsia="sr-Latn-CS"/>
        </w:rPr>
        <w:t>R03DC03</w:t>
      </w:r>
    </w:p>
    <w:p w14:paraId="5E490677" w14:textId="66DC7945" w:rsidR="002E37A5" w:rsidRPr="009307C4" w:rsidRDefault="002E37A5" w:rsidP="00C4333D">
      <w:pPr>
        <w:tabs>
          <w:tab w:val="left" w:pos="540"/>
          <w:tab w:val="left" w:pos="569"/>
        </w:tabs>
        <w:jc w:val="both"/>
        <w:rPr>
          <w:b/>
          <w:bCs/>
          <w:sz w:val="22"/>
          <w:szCs w:val="22"/>
          <w:lang w:val="sr-Latn-ME"/>
        </w:rPr>
      </w:pPr>
    </w:p>
    <w:p w14:paraId="33254214" w14:textId="77777777" w:rsidR="009307C4" w:rsidRPr="009307C4" w:rsidRDefault="009307C4" w:rsidP="00C4333D">
      <w:pPr>
        <w:tabs>
          <w:tab w:val="left" w:pos="540"/>
          <w:tab w:val="left" w:pos="569"/>
        </w:tabs>
        <w:jc w:val="both"/>
        <w:rPr>
          <w:b/>
          <w:bCs/>
          <w:sz w:val="22"/>
          <w:szCs w:val="22"/>
          <w:lang w:val="sr-Latn-ME"/>
        </w:rPr>
      </w:pPr>
    </w:p>
    <w:p w14:paraId="37B5AE12" w14:textId="77777777" w:rsidR="008808CA" w:rsidRPr="009307C4" w:rsidRDefault="008808CA" w:rsidP="00C4333D">
      <w:pPr>
        <w:jc w:val="both"/>
        <w:rPr>
          <w:sz w:val="22"/>
          <w:szCs w:val="22"/>
          <w:u w:val="single"/>
          <w:lang w:val="sr-Latn-ME"/>
        </w:rPr>
      </w:pPr>
      <w:r w:rsidRPr="009307C4">
        <w:rPr>
          <w:sz w:val="22"/>
          <w:szCs w:val="22"/>
          <w:u w:val="single"/>
          <w:lang w:val="sr-Latn-ME"/>
        </w:rPr>
        <w:lastRenderedPageBreak/>
        <w:t>Mehanizam dejstva</w:t>
      </w:r>
    </w:p>
    <w:p w14:paraId="4FE3AEE5" w14:textId="0734D2E0" w:rsidR="008808CA" w:rsidRPr="009307C4" w:rsidRDefault="008808CA" w:rsidP="00C4333D">
      <w:pPr>
        <w:pStyle w:val="Header"/>
        <w:tabs>
          <w:tab w:val="left" w:pos="284"/>
        </w:tabs>
        <w:jc w:val="both"/>
        <w:rPr>
          <w:sz w:val="22"/>
          <w:lang w:val="sr-Latn-ME"/>
        </w:rPr>
      </w:pPr>
      <w:r w:rsidRPr="009307C4">
        <w:rPr>
          <w:sz w:val="22"/>
          <w:lang w:val="sr-Latn-ME"/>
        </w:rPr>
        <w:t>Cisteinil leukotrieni (LTC</w:t>
      </w:r>
      <w:r w:rsidRPr="009307C4">
        <w:rPr>
          <w:sz w:val="22"/>
          <w:vertAlign w:val="subscript"/>
          <w:lang w:val="sr-Latn-ME"/>
        </w:rPr>
        <w:t>4</w:t>
      </w:r>
      <w:r w:rsidRPr="009307C4">
        <w:rPr>
          <w:sz w:val="22"/>
          <w:lang w:val="sr-Latn-ME"/>
        </w:rPr>
        <w:t>, LTD</w:t>
      </w:r>
      <w:r w:rsidRPr="009307C4">
        <w:rPr>
          <w:sz w:val="22"/>
          <w:vertAlign w:val="subscript"/>
          <w:lang w:val="sr-Latn-ME"/>
        </w:rPr>
        <w:t>4</w:t>
      </w:r>
      <w:r w:rsidRPr="009307C4">
        <w:rPr>
          <w:sz w:val="22"/>
          <w:lang w:val="sr-Latn-ME"/>
        </w:rPr>
        <w:t>, LTE</w:t>
      </w:r>
      <w:r w:rsidRPr="009307C4">
        <w:rPr>
          <w:sz w:val="22"/>
          <w:vertAlign w:val="subscript"/>
          <w:lang w:val="sr-Latn-ME"/>
        </w:rPr>
        <w:t>4</w:t>
      </w:r>
      <w:r w:rsidRPr="009307C4">
        <w:rPr>
          <w:sz w:val="22"/>
          <w:lang w:val="sr-Latn-ME"/>
        </w:rPr>
        <w:t>) predstavljaju potentne inflamatorne eiko</w:t>
      </w:r>
      <w:r w:rsidR="00EF69D4" w:rsidRPr="009307C4">
        <w:rPr>
          <w:sz w:val="22"/>
          <w:lang w:val="sr-Latn-ME"/>
        </w:rPr>
        <w:t>z</w:t>
      </w:r>
      <w:r w:rsidRPr="009307C4">
        <w:rPr>
          <w:sz w:val="22"/>
          <w:lang w:val="sr-Latn-ME"/>
        </w:rPr>
        <w:t>anoide koji se oslobađaju iz različitih ćelija uključujući mast</w:t>
      </w:r>
      <w:r w:rsidR="00EF69D4" w:rsidRPr="009307C4">
        <w:rPr>
          <w:sz w:val="22"/>
          <w:lang w:val="sr-Latn-ME"/>
        </w:rPr>
        <w:t>ocite</w:t>
      </w:r>
      <w:r w:rsidRPr="009307C4">
        <w:rPr>
          <w:sz w:val="22"/>
          <w:lang w:val="sr-Latn-ME"/>
        </w:rPr>
        <w:t xml:space="preserve"> i eozinofile. Ovi važni proastmatični medijatori vezuju se za cisteinil leukotri</w:t>
      </w:r>
      <w:r w:rsidR="00EF69D4" w:rsidRPr="009307C4">
        <w:rPr>
          <w:sz w:val="22"/>
          <w:lang w:val="sr-Latn-ME"/>
        </w:rPr>
        <w:t>j</w:t>
      </w:r>
      <w:r w:rsidRPr="009307C4">
        <w:rPr>
          <w:sz w:val="22"/>
          <w:lang w:val="sr-Latn-ME"/>
        </w:rPr>
        <w:t xml:space="preserve">enske receptore (CysLT) koji se kod ljudi nalaze u disajnim putevima i ispoljavaju dejstva kao što su bronhokonstrikcija, sekrecija mukusa, vaskularna permeabilnost i </w:t>
      </w:r>
      <w:r w:rsidR="00D638A1" w:rsidRPr="009307C4">
        <w:rPr>
          <w:sz w:val="22"/>
          <w:lang w:val="sr-Latn-ME"/>
        </w:rPr>
        <w:t xml:space="preserve">nakupljanje </w:t>
      </w:r>
      <w:r w:rsidRPr="009307C4">
        <w:rPr>
          <w:sz w:val="22"/>
          <w:lang w:val="sr-Latn-ME"/>
        </w:rPr>
        <w:t>eozinofila.</w:t>
      </w:r>
    </w:p>
    <w:p w14:paraId="6CB97688" w14:textId="77777777" w:rsidR="008808CA" w:rsidRPr="009307C4" w:rsidRDefault="008808CA" w:rsidP="00C4333D">
      <w:pPr>
        <w:pStyle w:val="Header"/>
        <w:tabs>
          <w:tab w:val="left" w:pos="284"/>
        </w:tabs>
        <w:jc w:val="both"/>
        <w:rPr>
          <w:sz w:val="22"/>
          <w:lang w:val="sr-Latn-ME"/>
        </w:rPr>
      </w:pPr>
    </w:p>
    <w:p w14:paraId="22053C77" w14:textId="77777777" w:rsidR="008808CA" w:rsidRPr="009307C4" w:rsidRDefault="008808CA" w:rsidP="00C4333D">
      <w:pPr>
        <w:jc w:val="both"/>
        <w:rPr>
          <w:sz w:val="22"/>
          <w:szCs w:val="22"/>
          <w:u w:val="single"/>
          <w:lang w:val="sr-Latn-ME"/>
        </w:rPr>
      </w:pPr>
      <w:r w:rsidRPr="009307C4">
        <w:rPr>
          <w:sz w:val="22"/>
          <w:szCs w:val="22"/>
          <w:u w:val="single"/>
          <w:lang w:val="sr-Latn-ME"/>
        </w:rPr>
        <w:t>Farmakodinamski efekti</w:t>
      </w:r>
    </w:p>
    <w:p w14:paraId="3DED5ADA" w14:textId="4AC3398F" w:rsidR="008808CA" w:rsidRPr="009307C4" w:rsidRDefault="008808CA" w:rsidP="00C4333D">
      <w:pPr>
        <w:pStyle w:val="Header"/>
        <w:tabs>
          <w:tab w:val="left" w:pos="284"/>
        </w:tabs>
        <w:jc w:val="both"/>
        <w:rPr>
          <w:sz w:val="22"/>
          <w:szCs w:val="22"/>
          <w:lang w:val="sr-Latn-ME" w:eastAsia="sr-Latn-CS"/>
        </w:rPr>
      </w:pPr>
      <w:r w:rsidRPr="009307C4">
        <w:rPr>
          <w:sz w:val="22"/>
          <w:lang w:val="sr-Latn-ME"/>
        </w:rPr>
        <w:t>Montelukast predstavlja supstancu aktivnu nakon oralne primjene</w:t>
      </w:r>
      <w:r w:rsidR="00953908" w:rsidRPr="009307C4">
        <w:rPr>
          <w:sz w:val="22"/>
          <w:lang w:val="sr-Latn-ME"/>
        </w:rPr>
        <w:t>,</w:t>
      </w:r>
      <w:r w:rsidRPr="009307C4">
        <w:rPr>
          <w:sz w:val="22"/>
          <w:lang w:val="sr-Latn-ME"/>
        </w:rPr>
        <w:t xml:space="preserve"> koja se visokim afinitetom i selektivnošću vezuje za CysLT</w:t>
      </w:r>
      <w:r w:rsidRPr="009307C4">
        <w:rPr>
          <w:sz w:val="22"/>
          <w:vertAlign w:val="subscript"/>
          <w:lang w:val="sr-Latn-ME"/>
        </w:rPr>
        <w:t>1</w:t>
      </w:r>
      <w:r w:rsidRPr="009307C4">
        <w:rPr>
          <w:sz w:val="22"/>
          <w:lang w:val="sr-Latn-ME"/>
        </w:rPr>
        <w:t xml:space="preserve"> receptor. U kliničkim studijama je pokazano da montelukast inhibira bronhokonstrikciju nastalu usljed inhalacije LTD</w:t>
      </w:r>
      <w:r w:rsidRPr="009307C4">
        <w:rPr>
          <w:sz w:val="22"/>
          <w:vertAlign w:val="subscript"/>
          <w:lang w:val="sr-Latn-ME"/>
        </w:rPr>
        <w:t>4</w:t>
      </w:r>
      <w:r w:rsidRPr="009307C4">
        <w:rPr>
          <w:sz w:val="22"/>
          <w:lang w:val="sr-Latn-ME"/>
        </w:rPr>
        <w:t xml:space="preserve">, i to </w:t>
      </w:r>
      <w:r w:rsidR="005C28CE" w:rsidRPr="009307C4">
        <w:rPr>
          <w:sz w:val="22"/>
          <w:lang w:val="sr-Latn-ME"/>
        </w:rPr>
        <w:t xml:space="preserve">primijenjen </w:t>
      </w:r>
      <w:r w:rsidRPr="009307C4">
        <w:rPr>
          <w:sz w:val="22"/>
          <w:lang w:val="sr-Latn-ME"/>
        </w:rPr>
        <w:t>u malim dozama kao što je doza od 5 mg. Bronhodilatacija nastaje u roku od 2 sata od oralno primjenjenog lijeka. Bronhodilatatorni efek</w:t>
      </w:r>
      <w:r w:rsidR="00EF69D4" w:rsidRPr="009307C4">
        <w:rPr>
          <w:sz w:val="22"/>
          <w:lang w:val="sr-Latn-ME"/>
        </w:rPr>
        <w:t>a</w:t>
      </w:r>
      <w:r w:rsidRPr="009307C4">
        <w:rPr>
          <w:sz w:val="22"/>
          <w:lang w:val="sr-Latn-ME"/>
        </w:rPr>
        <w:t xml:space="preserve">t prouzrokovan </w:t>
      </w:r>
      <w:r w:rsidRPr="009307C4">
        <w:rPr>
          <w:sz w:val="22"/>
          <w:szCs w:val="22"/>
          <w:lang w:val="sr-Latn-ME" w:eastAsia="sr-Latn-CS"/>
        </w:rPr>
        <w:t>β-agonistom je aditivan na efekat montelukasta. Liječenje montelukastom inhibira i ranu i kasnu fazu bronhokonstrikcije izazvanu antigenima. Montelukast je, u poređenju sa placebom, smanjio broj eozinofila u perifernoj krvi kod odraslih i pedijatrijskih pacijenata. U posebnoj studiji je pokazano da montelukast značajno smanjuje broj eozinofila u disajnim putevima (mjereno u sputumu). Kod odraslih i pedijatrijskih pacijenata od 2 do</w:t>
      </w:r>
      <w:r w:rsidR="00EF69D4" w:rsidRPr="009307C4">
        <w:rPr>
          <w:sz w:val="22"/>
          <w:szCs w:val="22"/>
          <w:lang w:val="sr-Latn-ME" w:eastAsia="sr-Latn-CS"/>
        </w:rPr>
        <w:t xml:space="preserve"> </w:t>
      </w:r>
      <w:r w:rsidRPr="009307C4">
        <w:rPr>
          <w:sz w:val="22"/>
          <w:szCs w:val="22"/>
          <w:lang w:val="sr-Latn-ME" w:eastAsia="sr-Latn-CS"/>
        </w:rPr>
        <w:t xml:space="preserve">14 godina starosti montelukast je u poređenju sa placebom smanjio broj eozinofila u perifernoj krvi </w:t>
      </w:r>
      <w:r w:rsidR="005C28CE" w:rsidRPr="009307C4">
        <w:rPr>
          <w:sz w:val="22"/>
          <w:szCs w:val="22"/>
          <w:lang w:val="sr-Latn-ME" w:eastAsia="sr-Latn-CS"/>
        </w:rPr>
        <w:t xml:space="preserve">uz kliničko poboljšanje </w:t>
      </w:r>
      <w:r w:rsidRPr="009307C4">
        <w:rPr>
          <w:sz w:val="22"/>
          <w:szCs w:val="22"/>
          <w:lang w:val="sr-Latn-ME" w:eastAsia="sr-Latn-CS"/>
        </w:rPr>
        <w:t>kontrol</w:t>
      </w:r>
      <w:r w:rsidR="005C28CE" w:rsidRPr="009307C4">
        <w:rPr>
          <w:sz w:val="22"/>
          <w:szCs w:val="22"/>
          <w:lang w:val="sr-Latn-ME" w:eastAsia="sr-Latn-CS"/>
        </w:rPr>
        <w:t>e</w:t>
      </w:r>
      <w:r w:rsidRPr="009307C4">
        <w:rPr>
          <w:sz w:val="22"/>
          <w:szCs w:val="22"/>
          <w:lang w:val="sr-Latn-ME" w:eastAsia="sr-Latn-CS"/>
        </w:rPr>
        <w:t xml:space="preserve"> astme.</w:t>
      </w:r>
    </w:p>
    <w:p w14:paraId="55C32AD2" w14:textId="77777777" w:rsidR="008808CA" w:rsidRPr="009307C4" w:rsidRDefault="008808CA" w:rsidP="00C4333D">
      <w:pPr>
        <w:pStyle w:val="Header"/>
        <w:tabs>
          <w:tab w:val="left" w:pos="284"/>
        </w:tabs>
        <w:jc w:val="both"/>
        <w:rPr>
          <w:sz w:val="22"/>
          <w:szCs w:val="22"/>
          <w:lang w:val="sr-Latn-ME" w:eastAsia="sr-Latn-CS"/>
        </w:rPr>
      </w:pPr>
    </w:p>
    <w:p w14:paraId="3B4E9B06" w14:textId="7E2CBAF0" w:rsidR="008808CA" w:rsidRPr="009307C4" w:rsidRDefault="008808CA" w:rsidP="00C4333D">
      <w:pPr>
        <w:pStyle w:val="Header"/>
        <w:tabs>
          <w:tab w:val="left" w:pos="284"/>
        </w:tabs>
        <w:jc w:val="both"/>
        <w:rPr>
          <w:sz w:val="22"/>
          <w:szCs w:val="22"/>
          <w:u w:val="single"/>
          <w:lang w:val="sr-Latn-ME" w:eastAsia="sr-Latn-CS"/>
        </w:rPr>
      </w:pPr>
      <w:r w:rsidRPr="009307C4">
        <w:rPr>
          <w:sz w:val="22"/>
          <w:szCs w:val="22"/>
          <w:u w:val="single"/>
          <w:lang w:val="sr-Latn-ME" w:eastAsia="sr-Latn-CS"/>
        </w:rPr>
        <w:t>Klinička efikasnost i bezb</w:t>
      </w:r>
      <w:r w:rsidR="00436C37" w:rsidRPr="009307C4">
        <w:rPr>
          <w:sz w:val="22"/>
          <w:szCs w:val="22"/>
          <w:u w:val="single"/>
          <w:lang w:val="sr-Latn-ME" w:eastAsia="sr-Latn-CS"/>
        </w:rPr>
        <w:t>j</w:t>
      </w:r>
      <w:r w:rsidRPr="009307C4">
        <w:rPr>
          <w:sz w:val="22"/>
          <w:szCs w:val="22"/>
          <w:u w:val="single"/>
          <w:lang w:val="sr-Latn-ME" w:eastAsia="sr-Latn-CS"/>
        </w:rPr>
        <w:t>ednost</w:t>
      </w:r>
    </w:p>
    <w:p w14:paraId="34D045BA" w14:textId="3FF55F18"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U studijama koje su sprovedene na odraslim pacijentima montelukast, u dozi od 10 mg jednom dnevno, u poređenju sa placebom, je pokazao značajno poboljšanje u jutarnjem FEV</w:t>
      </w:r>
      <w:r w:rsidRPr="009307C4">
        <w:rPr>
          <w:sz w:val="22"/>
          <w:szCs w:val="22"/>
          <w:vertAlign w:val="subscript"/>
          <w:lang w:val="sr-Latn-ME" w:eastAsia="sr-Latn-CS"/>
        </w:rPr>
        <w:t>1</w:t>
      </w:r>
      <w:r w:rsidRPr="009307C4">
        <w:rPr>
          <w:sz w:val="22"/>
          <w:szCs w:val="22"/>
          <w:lang w:val="sr-Latn-ME" w:eastAsia="sr-Latn-CS"/>
        </w:rPr>
        <w:t xml:space="preserve"> (10.4% </w:t>
      </w:r>
      <w:r w:rsidR="00600339" w:rsidRPr="009307C4">
        <w:rPr>
          <w:sz w:val="22"/>
          <w:szCs w:val="22"/>
          <w:lang w:val="sr-Latn-ME" w:eastAsia="sr-Latn-CS"/>
        </w:rPr>
        <w:t>naspram</w:t>
      </w:r>
      <w:r w:rsidRPr="009307C4">
        <w:rPr>
          <w:sz w:val="22"/>
          <w:szCs w:val="22"/>
          <w:lang w:val="sr-Latn-ME" w:eastAsia="sr-Latn-CS"/>
        </w:rPr>
        <w:t xml:space="preserve"> 2.7% promjena u odnosu na početne vrijednosti), </w:t>
      </w:r>
      <w:r w:rsidRPr="009307C4">
        <w:rPr>
          <w:i/>
          <w:iCs/>
          <w:sz w:val="22"/>
          <w:szCs w:val="22"/>
          <w:lang w:val="sr-Latn-ME" w:eastAsia="sr-Latn-CS"/>
        </w:rPr>
        <w:t>AM peak expiratory flow rate</w:t>
      </w:r>
      <w:r w:rsidRPr="009307C4">
        <w:rPr>
          <w:sz w:val="22"/>
          <w:szCs w:val="22"/>
          <w:lang w:val="sr-Latn-ME" w:eastAsia="sr-Latn-CS"/>
        </w:rPr>
        <w:t xml:space="preserve"> (PEFR)</w:t>
      </w:r>
      <w:r w:rsidR="00600339" w:rsidRPr="009307C4">
        <w:rPr>
          <w:sz w:val="22"/>
          <w:szCs w:val="22"/>
          <w:lang w:val="sr-Latn-ME" w:eastAsia="sr-Latn-CS"/>
        </w:rPr>
        <w:t xml:space="preserve"> </w:t>
      </w:r>
      <w:r w:rsidRPr="009307C4">
        <w:rPr>
          <w:sz w:val="22"/>
          <w:szCs w:val="22"/>
          <w:lang w:val="sr-Latn-ME" w:eastAsia="sr-Latn-CS"/>
        </w:rPr>
        <w:t xml:space="preserve">(24.5 </w:t>
      </w:r>
      <w:r w:rsidR="00600339" w:rsidRPr="009307C4">
        <w:rPr>
          <w:sz w:val="22"/>
          <w:szCs w:val="22"/>
          <w:lang w:val="sr-Latn-ME" w:eastAsia="sr-Latn-CS"/>
        </w:rPr>
        <w:t>l</w:t>
      </w:r>
      <w:r w:rsidRPr="009307C4">
        <w:rPr>
          <w:sz w:val="22"/>
          <w:szCs w:val="22"/>
          <w:lang w:val="sr-Latn-ME" w:eastAsia="sr-Latn-CS"/>
        </w:rPr>
        <w:t xml:space="preserve">/min </w:t>
      </w:r>
      <w:r w:rsidR="00600339" w:rsidRPr="009307C4">
        <w:rPr>
          <w:sz w:val="22"/>
          <w:szCs w:val="22"/>
          <w:lang w:val="sr-Latn-ME" w:eastAsia="sr-Latn-CS"/>
        </w:rPr>
        <w:t>naspram</w:t>
      </w:r>
      <w:r w:rsidRPr="009307C4">
        <w:rPr>
          <w:sz w:val="22"/>
          <w:szCs w:val="22"/>
          <w:lang w:val="sr-Latn-ME" w:eastAsia="sr-Latn-CS"/>
        </w:rPr>
        <w:t xml:space="preserve"> 3.3 </w:t>
      </w:r>
      <w:r w:rsidR="00600339" w:rsidRPr="009307C4">
        <w:rPr>
          <w:sz w:val="22"/>
          <w:szCs w:val="22"/>
          <w:lang w:val="sr-Latn-ME" w:eastAsia="sr-Latn-CS"/>
        </w:rPr>
        <w:t>l</w:t>
      </w:r>
      <w:r w:rsidRPr="009307C4">
        <w:rPr>
          <w:sz w:val="22"/>
          <w:szCs w:val="22"/>
          <w:lang w:val="sr-Latn-ME" w:eastAsia="sr-Latn-CS"/>
        </w:rPr>
        <w:t xml:space="preserve">/min, promjena u odnosu na početne vrijednosti), kao i značajno smanjenje u ukupnoj primjeni β-agonista (-26.1% </w:t>
      </w:r>
      <w:r w:rsidR="00600339" w:rsidRPr="009307C4">
        <w:rPr>
          <w:sz w:val="22"/>
          <w:szCs w:val="22"/>
          <w:lang w:val="sr-Latn-ME" w:eastAsia="sr-Latn-CS"/>
        </w:rPr>
        <w:t>naspram</w:t>
      </w:r>
      <w:r w:rsidRPr="009307C4">
        <w:rPr>
          <w:sz w:val="22"/>
          <w:szCs w:val="22"/>
          <w:lang w:val="sr-Latn-ME" w:eastAsia="sr-Latn-CS"/>
        </w:rPr>
        <w:t xml:space="preserve"> -4.6% promjena u odnosu na početne vrijednosti). Poboljšanje skora simptoma astme u toku dana i noći, koji su prijavljivali pacijenti, bilo je značajno veće u odnosu na placebo.</w:t>
      </w:r>
    </w:p>
    <w:p w14:paraId="350FBAE6" w14:textId="77777777" w:rsidR="008808CA" w:rsidRPr="009307C4" w:rsidRDefault="008808CA" w:rsidP="00C4333D">
      <w:pPr>
        <w:pStyle w:val="Header"/>
        <w:tabs>
          <w:tab w:val="left" w:pos="284"/>
        </w:tabs>
        <w:jc w:val="both"/>
        <w:rPr>
          <w:sz w:val="22"/>
          <w:lang w:val="sr-Latn-ME"/>
        </w:rPr>
      </w:pPr>
    </w:p>
    <w:p w14:paraId="3781EA96" w14:textId="6812A83A" w:rsidR="008808CA" w:rsidRPr="009307C4" w:rsidRDefault="008808CA" w:rsidP="00C4333D">
      <w:pPr>
        <w:pStyle w:val="Header"/>
        <w:tabs>
          <w:tab w:val="left" w:pos="284"/>
        </w:tabs>
        <w:jc w:val="both"/>
        <w:rPr>
          <w:sz w:val="22"/>
          <w:szCs w:val="22"/>
          <w:lang w:val="sr-Latn-ME" w:eastAsia="sr-Latn-CS"/>
        </w:rPr>
      </w:pPr>
      <w:r w:rsidRPr="009307C4">
        <w:rPr>
          <w:sz w:val="22"/>
          <w:lang w:val="sr-Latn-ME"/>
        </w:rPr>
        <w:t>Studije na odraslim pacijentima pokazale su da montelukast može da poveća klinički efekat inhalacionih kortikosteroida (% promjene u odnosu na početne vrijednosti za kombinaciju inhalacioni beklometazon plus monteluk</w:t>
      </w:r>
      <w:r w:rsidR="00F62A62" w:rsidRPr="009307C4">
        <w:rPr>
          <w:sz w:val="22"/>
          <w:lang w:val="sr-Latn-ME"/>
        </w:rPr>
        <w:t>a</w:t>
      </w:r>
      <w:r w:rsidRPr="009307C4">
        <w:rPr>
          <w:sz w:val="22"/>
          <w:lang w:val="sr-Latn-ME"/>
        </w:rPr>
        <w:t xml:space="preserve">st </w:t>
      </w:r>
      <w:r w:rsidR="00F62A62" w:rsidRPr="009307C4">
        <w:rPr>
          <w:sz w:val="22"/>
          <w:lang w:val="sr-Latn-ME"/>
        </w:rPr>
        <w:t>naspram</w:t>
      </w:r>
      <w:r w:rsidRPr="009307C4">
        <w:rPr>
          <w:sz w:val="22"/>
          <w:lang w:val="sr-Latn-ME"/>
        </w:rPr>
        <w:t xml:space="preserve"> sam beklometazon: FEV</w:t>
      </w:r>
      <w:r w:rsidRPr="009307C4">
        <w:rPr>
          <w:sz w:val="22"/>
          <w:vertAlign w:val="subscript"/>
          <w:lang w:val="sr-Latn-ME"/>
        </w:rPr>
        <w:t>1</w:t>
      </w:r>
      <w:r w:rsidRPr="009307C4">
        <w:rPr>
          <w:sz w:val="22"/>
          <w:lang w:val="sr-Latn-ME"/>
        </w:rPr>
        <w:t xml:space="preserve">: 5.43% </w:t>
      </w:r>
      <w:r w:rsidR="00F62A62" w:rsidRPr="009307C4">
        <w:rPr>
          <w:sz w:val="22"/>
          <w:lang w:val="sr-Latn-ME"/>
        </w:rPr>
        <w:t>naspram</w:t>
      </w:r>
      <w:r w:rsidRPr="009307C4">
        <w:rPr>
          <w:sz w:val="22"/>
          <w:lang w:val="sr-Latn-ME"/>
        </w:rPr>
        <w:t xml:space="preserve"> 1.04%; upotreba </w:t>
      </w:r>
      <w:r w:rsidRPr="009307C4">
        <w:rPr>
          <w:sz w:val="22"/>
          <w:szCs w:val="22"/>
          <w:lang w:val="sr-Latn-ME" w:eastAsia="sr-Latn-CS"/>
        </w:rPr>
        <w:t xml:space="preserve">β-agonista: -8.70% </w:t>
      </w:r>
      <w:r w:rsidR="00F62A62" w:rsidRPr="009307C4">
        <w:rPr>
          <w:sz w:val="22"/>
          <w:szCs w:val="22"/>
          <w:lang w:val="sr-Latn-ME" w:eastAsia="sr-Latn-CS"/>
        </w:rPr>
        <w:t>naspram</w:t>
      </w:r>
      <w:r w:rsidRPr="009307C4">
        <w:rPr>
          <w:sz w:val="22"/>
          <w:szCs w:val="22"/>
          <w:lang w:val="sr-Latn-ME" w:eastAsia="sr-Latn-CS"/>
        </w:rPr>
        <w:t xml:space="preserve"> 2.64%). U poređenju sa inhalacionim beklometazonom (200 μg dva puta dnevno</w:t>
      </w:r>
      <w:r w:rsidR="005C28CE" w:rsidRPr="009307C4">
        <w:rPr>
          <w:sz w:val="22"/>
          <w:szCs w:val="22"/>
          <w:lang w:val="sr-Latn-ME" w:eastAsia="sr-Latn-CS"/>
        </w:rPr>
        <w:t xml:space="preserve"> pomoću spejsera</w:t>
      </w:r>
      <w:r w:rsidRPr="009307C4">
        <w:rPr>
          <w:sz w:val="22"/>
          <w:szCs w:val="22"/>
          <w:lang w:val="sr-Latn-ME" w:eastAsia="sr-Latn-CS"/>
        </w:rPr>
        <w:t>) montelukast je pokazao brži inicijalni odgovor, iako je u studiji koja je trajala 12 nedjelja beklometazon obezbijedio bolji ukupni efekat liječenja (% promjene u odnosu na početne vrijednosti za montelukast</w:t>
      </w:r>
      <w:r w:rsidR="00F62A62" w:rsidRPr="009307C4">
        <w:rPr>
          <w:sz w:val="22"/>
          <w:szCs w:val="22"/>
          <w:lang w:val="sr-Latn-ME" w:eastAsia="sr-Latn-CS"/>
        </w:rPr>
        <w:t xml:space="preserve"> naspram</w:t>
      </w:r>
      <w:r w:rsidRPr="009307C4">
        <w:rPr>
          <w:sz w:val="22"/>
          <w:szCs w:val="22"/>
          <w:lang w:val="sr-Latn-ME" w:eastAsia="sr-Latn-CS"/>
        </w:rPr>
        <w:t xml:space="preserve"> beklometazon za FEV</w:t>
      </w:r>
      <w:r w:rsidRPr="009307C4">
        <w:rPr>
          <w:sz w:val="22"/>
          <w:szCs w:val="22"/>
          <w:vertAlign w:val="subscript"/>
          <w:lang w:val="sr-Latn-ME" w:eastAsia="sr-Latn-CS"/>
        </w:rPr>
        <w:t>1</w:t>
      </w:r>
      <w:r w:rsidRPr="009307C4">
        <w:rPr>
          <w:sz w:val="22"/>
          <w:szCs w:val="22"/>
          <w:lang w:val="sr-Latn-ME" w:eastAsia="sr-Latn-CS"/>
        </w:rPr>
        <w:t xml:space="preserve">: 7.49% </w:t>
      </w:r>
      <w:r w:rsidR="00F62A62" w:rsidRPr="009307C4">
        <w:rPr>
          <w:sz w:val="22"/>
          <w:szCs w:val="22"/>
          <w:lang w:val="sr-Latn-ME" w:eastAsia="sr-Latn-CS"/>
        </w:rPr>
        <w:t>naspram</w:t>
      </w:r>
      <w:r w:rsidRPr="009307C4">
        <w:rPr>
          <w:sz w:val="22"/>
          <w:szCs w:val="22"/>
          <w:lang w:val="sr-Latn-ME" w:eastAsia="sr-Latn-CS"/>
        </w:rPr>
        <w:t xml:space="preserve"> 13.3%; upotreba β-agonista: -28.28% </w:t>
      </w:r>
      <w:r w:rsidR="00F62A62" w:rsidRPr="009307C4">
        <w:rPr>
          <w:sz w:val="22"/>
          <w:szCs w:val="22"/>
          <w:lang w:val="sr-Latn-ME" w:eastAsia="sr-Latn-CS"/>
        </w:rPr>
        <w:t>naspram</w:t>
      </w:r>
      <w:r w:rsidRPr="009307C4">
        <w:rPr>
          <w:sz w:val="22"/>
          <w:szCs w:val="22"/>
          <w:lang w:val="sr-Latn-ME" w:eastAsia="sr-Latn-CS"/>
        </w:rPr>
        <w:t xml:space="preserve"> -43.89%). Međutim, u poređenju sa beklometazonom, kod visokog procenta pacijenata koji su liječeni montelukastom postignut je sličan klinički odgovor (npr. kod 50% pacijenata koji su liječeni beklometazonom postignuto je poboljšanje FEV</w:t>
      </w:r>
      <w:r w:rsidRPr="009307C4">
        <w:rPr>
          <w:sz w:val="22"/>
          <w:szCs w:val="22"/>
          <w:vertAlign w:val="subscript"/>
          <w:lang w:val="sr-Latn-ME" w:eastAsia="sr-Latn-CS"/>
        </w:rPr>
        <w:t>1</w:t>
      </w:r>
      <w:r w:rsidRPr="009307C4">
        <w:rPr>
          <w:sz w:val="22"/>
          <w:szCs w:val="22"/>
          <w:lang w:val="sr-Latn-ME" w:eastAsia="sr-Latn-CS"/>
        </w:rPr>
        <w:t xml:space="preserve"> od oko 11% ili više u odnosu na početne vrijednosti, dok je oko 42% pacijenata koji su liječeni montelukastom postig</w:t>
      </w:r>
      <w:r w:rsidR="005C28CE" w:rsidRPr="009307C4">
        <w:rPr>
          <w:sz w:val="22"/>
          <w:szCs w:val="22"/>
          <w:lang w:val="sr-Latn-ME" w:eastAsia="sr-Latn-CS"/>
        </w:rPr>
        <w:t>lo</w:t>
      </w:r>
      <w:r w:rsidRPr="009307C4">
        <w:rPr>
          <w:sz w:val="22"/>
          <w:szCs w:val="22"/>
          <w:lang w:val="sr-Latn-ME" w:eastAsia="sr-Latn-CS"/>
        </w:rPr>
        <w:t xml:space="preserve"> isti odgovor). </w:t>
      </w:r>
    </w:p>
    <w:p w14:paraId="0E115EF4" w14:textId="77777777" w:rsidR="008808CA" w:rsidRPr="009307C4" w:rsidRDefault="008808CA" w:rsidP="00C4333D">
      <w:pPr>
        <w:pStyle w:val="Header"/>
        <w:tabs>
          <w:tab w:val="left" w:pos="284"/>
        </w:tabs>
        <w:jc w:val="both"/>
        <w:rPr>
          <w:sz w:val="22"/>
          <w:szCs w:val="22"/>
          <w:lang w:val="sr-Latn-ME" w:eastAsia="sr-Latn-CS"/>
        </w:rPr>
      </w:pPr>
    </w:p>
    <w:p w14:paraId="4B745DAE" w14:textId="454B78CF"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U studiji na pedijatrijskim pacijentima starosti 6-14 godina koja je trajala 8 nedjelja montelukast</w:t>
      </w:r>
      <w:r w:rsidR="005C28CE" w:rsidRPr="009307C4">
        <w:rPr>
          <w:sz w:val="22"/>
          <w:szCs w:val="22"/>
          <w:lang w:val="sr-Latn-ME" w:eastAsia="sr-Latn-CS"/>
        </w:rPr>
        <w:t xml:space="preserve"> u dozi od</w:t>
      </w:r>
      <w:r w:rsidRPr="009307C4">
        <w:rPr>
          <w:sz w:val="22"/>
          <w:szCs w:val="22"/>
          <w:lang w:val="sr-Latn-ME" w:eastAsia="sr-Latn-CS"/>
        </w:rPr>
        <w:t xml:space="preserve"> 5 mg jednom dnevno, u poređenju sa placebom, je značajno poboljšao respiratornu funkciju (FEV</w:t>
      </w:r>
      <w:r w:rsidRPr="009307C4">
        <w:rPr>
          <w:sz w:val="22"/>
          <w:szCs w:val="22"/>
          <w:vertAlign w:val="subscript"/>
          <w:lang w:val="sr-Latn-ME" w:eastAsia="sr-Latn-CS"/>
        </w:rPr>
        <w:t>1</w:t>
      </w:r>
      <w:r w:rsidRPr="009307C4">
        <w:rPr>
          <w:sz w:val="22"/>
          <w:szCs w:val="22"/>
          <w:lang w:val="sr-Latn-ME" w:eastAsia="sr-Latn-CS"/>
        </w:rPr>
        <w:t xml:space="preserve"> 8.71% </w:t>
      </w:r>
      <w:r w:rsidR="00216163" w:rsidRPr="009307C4">
        <w:rPr>
          <w:sz w:val="22"/>
          <w:szCs w:val="22"/>
          <w:lang w:val="sr-Latn-ME" w:eastAsia="sr-Latn-CS"/>
        </w:rPr>
        <w:t>naspram</w:t>
      </w:r>
      <w:r w:rsidRPr="009307C4">
        <w:rPr>
          <w:sz w:val="22"/>
          <w:szCs w:val="22"/>
          <w:lang w:val="sr-Latn-ME" w:eastAsia="sr-Latn-CS"/>
        </w:rPr>
        <w:t xml:space="preserve"> 4.16% u odnosu na početne vrijednosti; AM PEFR 27.9 </w:t>
      </w:r>
      <w:r w:rsidR="00216163" w:rsidRPr="009307C4">
        <w:rPr>
          <w:sz w:val="22"/>
          <w:szCs w:val="22"/>
          <w:lang w:val="sr-Latn-ME" w:eastAsia="sr-Latn-CS"/>
        </w:rPr>
        <w:t>l</w:t>
      </w:r>
      <w:r w:rsidRPr="009307C4">
        <w:rPr>
          <w:sz w:val="22"/>
          <w:szCs w:val="22"/>
          <w:lang w:val="sr-Latn-ME" w:eastAsia="sr-Latn-CS"/>
        </w:rPr>
        <w:t xml:space="preserve">/min </w:t>
      </w:r>
      <w:r w:rsidR="00216163" w:rsidRPr="009307C4">
        <w:rPr>
          <w:sz w:val="22"/>
          <w:szCs w:val="22"/>
          <w:lang w:val="sr-Latn-ME" w:eastAsia="sr-Latn-CS"/>
        </w:rPr>
        <w:t>naspram</w:t>
      </w:r>
      <w:r w:rsidRPr="009307C4">
        <w:rPr>
          <w:sz w:val="22"/>
          <w:szCs w:val="22"/>
          <w:lang w:val="sr-Latn-ME" w:eastAsia="sr-Latn-CS"/>
        </w:rPr>
        <w:t xml:space="preserve"> 17.8 </w:t>
      </w:r>
      <w:r w:rsidR="00216163" w:rsidRPr="009307C4">
        <w:rPr>
          <w:sz w:val="22"/>
          <w:szCs w:val="22"/>
          <w:lang w:val="sr-Latn-ME" w:eastAsia="sr-Latn-CS"/>
        </w:rPr>
        <w:t>l</w:t>
      </w:r>
      <w:r w:rsidRPr="009307C4">
        <w:rPr>
          <w:sz w:val="22"/>
          <w:szCs w:val="22"/>
          <w:lang w:val="sr-Latn-ME" w:eastAsia="sr-Latn-CS"/>
        </w:rPr>
        <w:t xml:space="preserve">/min promjena u odnosu na početne vrijednosti) i smanjio primjenu β-agonista "po potrebi" (-11.7% </w:t>
      </w:r>
      <w:r w:rsidR="00216163" w:rsidRPr="009307C4">
        <w:rPr>
          <w:sz w:val="22"/>
          <w:szCs w:val="22"/>
          <w:lang w:val="sr-Latn-ME" w:eastAsia="sr-Latn-CS"/>
        </w:rPr>
        <w:t>naspram</w:t>
      </w:r>
      <w:r w:rsidRPr="009307C4">
        <w:rPr>
          <w:sz w:val="22"/>
          <w:szCs w:val="22"/>
          <w:lang w:val="sr-Latn-ME" w:eastAsia="sr-Latn-CS"/>
        </w:rPr>
        <w:t xml:space="preserve"> +8.2% u odnosu na početne vrijednosti).</w:t>
      </w:r>
    </w:p>
    <w:p w14:paraId="4A3AA80A" w14:textId="77777777" w:rsidR="008808CA" w:rsidRPr="009307C4" w:rsidRDefault="008808CA" w:rsidP="00C4333D">
      <w:pPr>
        <w:pStyle w:val="Header"/>
        <w:tabs>
          <w:tab w:val="left" w:pos="284"/>
        </w:tabs>
        <w:jc w:val="both"/>
        <w:rPr>
          <w:sz w:val="22"/>
          <w:szCs w:val="22"/>
          <w:lang w:val="sr-Latn-ME" w:eastAsia="sr-Latn-CS"/>
        </w:rPr>
      </w:pPr>
    </w:p>
    <w:p w14:paraId="474D5A94" w14:textId="6244F623"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U studiji koja je trajala 12 mjeseci upoređivana je efikasnost montelukasta u odnosu na inhalacioni flutikazon u kontroli astme kod pedijatrijskih pacijenata starosti 6-14 godina koji su imali blagu perzistentnu astmu. Montelukast nije pokazao slabije dejstvo u odnosu na flutikazon u povećanju broja dana bez astme (</w:t>
      </w:r>
      <w:r w:rsidR="00D638A1" w:rsidRPr="009307C4">
        <w:rPr>
          <w:sz w:val="22"/>
          <w:szCs w:val="22"/>
          <w:lang w:val="sr-Latn-ME" w:eastAsia="sr-Latn-CS"/>
        </w:rPr>
        <w:t xml:space="preserve">engl. </w:t>
      </w:r>
      <w:r w:rsidR="003F18CA" w:rsidRPr="009307C4">
        <w:rPr>
          <w:i/>
          <w:iCs/>
          <w:sz w:val="22"/>
          <w:szCs w:val="22"/>
          <w:lang w:val="sr-Latn-ME" w:eastAsia="sr-Latn-CS"/>
        </w:rPr>
        <w:t xml:space="preserve">asthma </w:t>
      </w:r>
      <w:r w:rsidRPr="009307C4">
        <w:rPr>
          <w:i/>
          <w:iCs/>
          <w:sz w:val="22"/>
          <w:szCs w:val="22"/>
          <w:lang w:val="sr-Latn-ME" w:eastAsia="sr-Latn-CS"/>
        </w:rPr>
        <w:t>rescue</w:t>
      </w:r>
      <w:r w:rsidR="003F18CA" w:rsidRPr="009307C4">
        <w:rPr>
          <w:i/>
          <w:iCs/>
          <w:sz w:val="22"/>
          <w:szCs w:val="22"/>
          <w:lang w:val="sr-Latn-ME" w:eastAsia="sr-Latn-CS"/>
        </w:rPr>
        <w:t>-</w:t>
      </w:r>
      <w:r w:rsidRPr="009307C4">
        <w:rPr>
          <w:i/>
          <w:iCs/>
          <w:sz w:val="22"/>
          <w:szCs w:val="22"/>
          <w:lang w:val="sr-Latn-ME" w:eastAsia="sr-Latn-CS"/>
        </w:rPr>
        <w:t>free da</w:t>
      </w:r>
      <w:r w:rsidR="005C28CE" w:rsidRPr="009307C4">
        <w:rPr>
          <w:i/>
          <w:iCs/>
          <w:sz w:val="22"/>
          <w:szCs w:val="22"/>
          <w:lang w:val="sr-Latn-ME" w:eastAsia="sr-Latn-CS"/>
        </w:rPr>
        <w:t>y</w:t>
      </w:r>
      <w:r w:rsidRPr="009307C4">
        <w:rPr>
          <w:i/>
          <w:iCs/>
          <w:sz w:val="22"/>
          <w:szCs w:val="22"/>
          <w:lang w:val="sr-Latn-ME" w:eastAsia="sr-Latn-CS"/>
        </w:rPr>
        <w:t xml:space="preserve">s </w:t>
      </w:r>
      <w:r w:rsidRPr="009307C4">
        <w:rPr>
          <w:sz w:val="22"/>
          <w:szCs w:val="22"/>
          <w:lang w:val="sr-Latn-ME" w:eastAsia="sr-Latn-CS"/>
        </w:rPr>
        <w:t>- RFD) što je bilo</w:t>
      </w:r>
      <w:r w:rsidR="003F18CA" w:rsidRPr="009307C4">
        <w:rPr>
          <w:sz w:val="22"/>
          <w:szCs w:val="22"/>
          <w:lang w:val="sr-Latn-ME" w:eastAsia="sr-Latn-CS"/>
        </w:rPr>
        <w:t xml:space="preserve"> i najvažniji</w:t>
      </w:r>
      <w:r w:rsidRPr="009307C4">
        <w:rPr>
          <w:sz w:val="22"/>
          <w:szCs w:val="22"/>
          <w:lang w:val="sr-Latn-ME" w:eastAsia="sr-Latn-CS"/>
        </w:rPr>
        <w:t xml:space="preserve"> primarni parametar</w:t>
      </w:r>
      <w:r w:rsidR="003F18CA" w:rsidRPr="009307C4">
        <w:rPr>
          <w:sz w:val="22"/>
          <w:szCs w:val="22"/>
          <w:lang w:val="sr-Latn-ME" w:eastAsia="sr-Latn-CS"/>
        </w:rPr>
        <w:t xml:space="preserve"> u poređenju dejstva ova dva lijeka</w:t>
      </w:r>
      <w:r w:rsidRPr="009307C4">
        <w:rPr>
          <w:sz w:val="22"/>
          <w:szCs w:val="22"/>
          <w:lang w:val="sr-Latn-ME" w:eastAsia="sr-Latn-CS"/>
        </w:rPr>
        <w:t xml:space="preserve">. U prosjeku, u toku </w:t>
      </w:r>
      <w:r w:rsidR="003F18CA" w:rsidRPr="009307C4">
        <w:rPr>
          <w:sz w:val="22"/>
          <w:szCs w:val="22"/>
          <w:lang w:val="sr-Latn-ME" w:eastAsia="sr-Latn-CS"/>
        </w:rPr>
        <w:t xml:space="preserve">ove studije </w:t>
      </w:r>
      <w:r w:rsidRPr="009307C4">
        <w:rPr>
          <w:sz w:val="22"/>
          <w:szCs w:val="22"/>
          <w:lang w:val="sr-Latn-ME" w:eastAsia="sr-Latn-CS"/>
        </w:rPr>
        <w:t>procenat</w:t>
      </w:r>
      <w:r w:rsidR="003F18CA" w:rsidRPr="009307C4">
        <w:rPr>
          <w:sz w:val="22"/>
          <w:szCs w:val="22"/>
          <w:lang w:val="sr-Latn-ME" w:eastAsia="sr-Latn-CS"/>
        </w:rPr>
        <w:t xml:space="preserve"> broja</w:t>
      </w:r>
      <w:r w:rsidRPr="009307C4">
        <w:rPr>
          <w:sz w:val="22"/>
          <w:szCs w:val="22"/>
          <w:lang w:val="sr-Latn-ME" w:eastAsia="sr-Latn-CS"/>
        </w:rPr>
        <w:t xml:space="preserve"> dana bez astme je povećan sa 61.6 na 84.0 u grupi koja je uzimala montelukast i sa 60.9 na 86.7 dana u grupi</w:t>
      </w:r>
      <w:r w:rsidR="003F18CA" w:rsidRPr="009307C4">
        <w:rPr>
          <w:sz w:val="22"/>
          <w:szCs w:val="22"/>
          <w:lang w:val="sr-Latn-ME" w:eastAsia="sr-Latn-CS"/>
        </w:rPr>
        <w:t xml:space="preserve"> koja je uzimala flutikazon</w:t>
      </w:r>
      <w:r w:rsidRPr="009307C4">
        <w:rPr>
          <w:sz w:val="22"/>
          <w:szCs w:val="22"/>
          <w:lang w:val="sr-Latn-ME" w:eastAsia="sr-Latn-CS"/>
        </w:rPr>
        <w:t>. Razlika među grupama u povećanju broja dana bez astme (RFD) u % bila je statistički značajna (-2.8% sa 95% CI od -4.7, -0.9), ali u</w:t>
      </w:r>
      <w:r w:rsidR="003F18CA" w:rsidRPr="009307C4">
        <w:rPr>
          <w:sz w:val="22"/>
          <w:szCs w:val="22"/>
          <w:lang w:val="sr-Latn-ME" w:eastAsia="sr-Latn-CS"/>
        </w:rPr>
        <w:t xml:space="preserve"> prethodno utvrđenim okvirima efekat nije bio klinički slabiji</w:t>
      </w:r>
      <w:r w:rsidRPr="009307C4">
        <w:rPr>
          <w:sz w:val="22"/>
          <w:szCs w:val="22"/>
          <w:lang w:val="sr-Latn-ME" w:eastAsia="sr-Latn-CS"/>
        </w:rPr>
        <w:t>.</w:t>
      </w:r>
    </w:p>
    <w:p w14:paraId="0AA37DC0" w14:textId="77777777" w:rsidR="009307C4" w:rsidRPr="009307C4" w:rsidRDefault="009307C4" w:rsidP="00C4333D">
      <w:pPr>
        <w:pStyle w:val="Header"/>
        <w:tabs>
          <w:tab w:val="left" w:pos="284"/>
        </w:tabs>
        <w:jc w:val="both"/>
        <w:rPr>
          <w:sz w:val="22"/>
          <w:szCs w:val="22"/>
          <w:lang w:val="sr-Latn-ME" w:eastAsia="sr-Latn-CS"/>
        </w:rPr>
      </w:pPr>
    </w:p>
    <w:p w14:paraId="7D98BC86" w14:textId="77777777"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lastRenderedPageBreak/>
        <w:t xml:space="preserve">I montelukast i flutikazon su poboljšali kontrolu astme prema sekundarnim parametrima praćenja u toku 12-mjesečne studije: </w:t>
      </w:r>
    </w:p>
    <w:p w14:paraId="67855BEF" w14:textId="10F45B48" w:rsidR="008808CA" w:rsidRPr="009307C4" w:rsidRDefault="008808CA" w:rsidP="004C6094">
      <w:pPr>
        <w:pStyle w:val="ListParagraph"/>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FEV</w:t>
      </w:r>
      <w:r w:rsidRPr="009307C4">
        <w:rPr>
          <w:sz w:val="22"/>
          <w:szCs w:val="22"/>
          <w:vertAlign w:val="subscript"/>
          <w:lang w:val="sr-Latn-ME" w:eastAsia="sr-Latn-CS"/>
        </w:rPr>
        <w:t>1</w:t>
      </w:r>
      <w:r w:rsidRPr="009307C4">
        <w:rPr>
          <w:sz w:val="22"/>
          <w:szCs w:val="22"/>
          <w:lang w:val="sr-Latn-ME" w:eastAsia="sr-Latn-CS"/>
        </w:rPr>
        <w:t xml:space="preserve"> je povećan sa 1.83 L na 2.09 L u grupi sa montelukastom i sa 1.85 L na 2.14 L u grupi sa flutikazonom. Razlika među grupama u LS srednjem povećanju FEV</w:t>
      </w:r>
      <w:r w:rsidRPr="009307C4">
        <w:rPr>
          <w:sz w:val="22"/>
          <w:szCs w:val="22"/>
          <w:vertAlign w:val="subscript"/>
          <w:lang w:val="sr-Latn-ME" w:eastAsia="sr-Latn-CS"/>
        </w:rPr>
        <w:t>1</w:t>
      </w:r>
      <w:r w:rsidRPr="009307C4">
        <w:rPr>
          <w:sz w:val="22"/>
          <w:szCs w:val="22"/>
          <w:lang w:val="sr-Latn-ME" w:eastAsia="sr-Latn-CS"/>
        </w:rPr>
        <w:t xml:space="preserve"> bila je -0.02 L sa 95% CI od -0.06, 0.02. </w:t>
      </w:r>
      <w:r w:rsidR="003F18CA" w:rsidRPr="009307C4">
        <w:rPr>
          <w:sz w:val="22"/>
          <w:szCs w:val="22"/>
          <w:lang w:val="sr-Latn-ME" w:eastAsia="sr-Latn-CS"/>
        </w:rPr>
        <w:t xml:space="preserve">Prosječno </w:t>
      </w:r>
      <w:r w:rsidRPr="009307C4">
        <w:rPr>
          <w:sz w:val="22"/>
          <w:szCs w:val="22"/>
          <w:lang w:val="sr-Latn-ME" w:eastAsia="sr-Latn-CS"/>
        </w:rPr>
        <w:t xml:space="preserve">povećanje </w:t>
      </w:r>
      <w:r w:rsidR="003F18CA" w:rsidRPr="009307C4">
        <w:rPr>
          <w:sz w:val="22"/>
          <w:szCs w:val="22"/>
          <w:lang w:val="sr-Latn-ME" w:eastAsia="sr-Latn-CS"/>
        </w:rPr>
        <w:t xml:space="preserve">u odnosu na početne </w:t>
      </w:r>
      <w:r w:rsidRPr="009307C4">
        <w:rPr>
          <w:sz w:val="22"/>
          <w:szCs w:val="22"/>
          <w:lang w:val="sr-Latn-ME" w:eastAsia="sr-Latn-CS"/>
        </w:rPr>
        <w:t>vrijednosti FEV</w:t>
      </w:r>
      <w:r w:rsidRPr="009307C4">
        <w:rPr>
          <w:sz w:val="22"/>
          <w:szCs w:val="22"/>
          <w:vertAlign w:val="subscript"/>
          <w:lang w:val="sr-Latn-ME" w:eastAsia="sr-Latn-CS"/>
        </w:rPr>
        <w:t>1</w:t>
      </w:r>
      <w:r w:rsidRPr="009307C4">
        <w:rPr>
          <w:sz w:val="22"/>
          <w:szCs w:val="22"/>
          <w:lang w:val="sr-Latn-ME" w:eastAsia="sr-Latn-CS"/>
        </w:rPr>
        <w:t xml:space="preserve"> u procentima u odnosu na početne vrijednosti bilo je 0.6% u grupi sa montelukastom i 2.7% u grupi koja je liječena flutikazonom. Razlika među grupama u LS srednjoj promjeni predviđenog FEV</w:t>
      </w:r>
      <w:r w:rsidRPr="009307C4">
        <w:rPr>
          <w:sz w:val="22"/>
          <w:szCs w:val="22"/>
          <w:vertAlign w:val="subscript"/>
          <w:lang w:val="sr-Latn-ME" w:eastAsia="sr-Latn-CS"/>
        </w:rPr>
        <w:t>1</w:t>
      </w:r>
      <w:r w:rsidRPr="009307C4">
        <w:rPr>
          <w:sz w:val="22"/>
          <w:szCs w:val="22"/>
          <w:lang w:val="sr-Latn-ME" w:eastAsia="sr-Latn-CS"/>
        </w:rPr>
        <w:t xml:space="preserve"> u odnosu na početne vrijednosti u % bila je značajna: -2.2% sa 95% CI od -3.6, -0.7.  </w:t>
      </w:r>
    </w:p>
    <w:p w14:paraId="0224D863" w14:textId="5ED7DEC8" w:rsidR="008808CA" w:rsidRPr="009307C4" w:rsidRDefault="008808CA" w:rsidP="004C6094">
      <w:pPr>
        <w:pStyle w:val="ListParagraph"/>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 xml:space="preserve">Procenat dana u kojima je korišćen β-agonist smanjen je sa 38.0 na 15.4 u grupi </w:t>
      </w:r>
      <w:r w:rsidR="003F18CA" w:rsidRPr="009307C4">
        <w:rPr>
          <w:sz w:val="22"/>
          <w:szCs w:val="22"/>
          <w:lang w:val="sr-Latn-ME" w:eastAsia="sr-Latn-CS"/>
        </w:rPr>
        <w:t xml:space="preserve">koja je primala </w:t>
      </w:r>
      <w:r w:rsidRPr="009307C4">
        <w:rPr>
          <w:sz w:val="22"/>
          <w:szCs w:val="22"/>
          <w:lang w:val="sr-Latn-ME" w:eastAsia="sr-Latn-CS"/>
        </w:rPr>
        <w:t xml:space="preserve">montelukast, kao i sa 38.5 na 12.8 dana u grupi koje je liječena flutikazonom. Razlika između </w:t>
      </w:r>
      <w:r w:rsidR="003F18CA" w:rsidRPr="009307C4">
        <w:rPr>
          <w:sz w:val="22"/>
          <w:szCs w:val="22"/>
          <w:lang w:val="sr-Latn-ME" w:eastAsia="sr-Latn-CS"/>
        </w:rPr>
        <w:t xml:space="preserve">ispitivanih </w:t>
      </w:r>
      <w:r w:rsidRPr="009307C4">
        <w:rPr>
          <w:sz w:val="22"/>
          <w:szCs w:val="22"/>
          <w:lang w:val="sr-Latn-ME" w:eastAsia="sr-Latn-CS"/>
        </w:rPr>
        <w:t>grupa u LS srednj</w:t>
      </w:r>
      <w:r w:rsidR="003F18CA" w:rsidRPr="009307C4">
        <w:rPr>
          <w:sz w:val="22"/>
          <w:szCs w:val="22"/>
          <w:lang w:val="sr-Latn-ME" w:eastAsia="sr-Latn-CS"/>
        </w:rPr>
        <w:t>im vrijednostima</w:t>
      </w:r>
      <w:r w:rsidRPr="009307C4">
        <w:rPr>
          <w:sz w:val="22"/>
          <w:szCs w:val="22"/>
          <w:lang w:val="sr-Latn-ME" w:eastAsia="sr-Latn-CS"/>
        </w:rPr>
        <w:t xml:space="preserve"> </w:t>
      </w:r>
      <w:r w:rsidR="003F18CA" w:rsidRPr="009307C4">
        <w:rPr>
          <w:sz w:val="22"/>
          <w:szCs w:val="22"/>
          <w:lang w:val="sr-Latn-ME" w:eastAsia="sr-Latn-CS"/>
        </w:rPr>
        <w:t xml:space="preserve">dobijenih metodom najmanjih kvadrata u odnosu na početne vrijednosti izražene u % </w:t>
      </w:r>
      <w:r w:rsidRPr="009307C4">
        <w:rPr>
          <w:sz w:val="22"/>
          <w:szCs w:val="22"/>
          <w:lang w:val="sr-Latn-ME" w:eastAsia="sr-Latn-CS"/>
        </w:rPr>
        <w:t xml:space="preserve">dana </w:t>
      </w:r>
      <w:r w:rsidR="003F18CA" w:rsidRPr="009307C4">
        <w:rPr>
          <w:sz w:val="22"/>
          <w:szCs w:val="22"/>
          <w:lang w:val="sr-Latn-ME" w:eastAsia="sr-Latn-CS"/>
        </w:rPr>
        <w:t xml:space="preserve">sa primjenom </w:t>
      </w:r>
      <w:r w:rsidRPr="009307C4">
        <w:rPr>
          <w:sz w:val="22"/>
          <w:szCs w:val="22"/>
          <w:lang w:val="sr-Latn-ME" w:eastAsia="sr-Latn-CS"/>
        </w:rPr>
        <w:t>β-agonist</w:t>
      </w:r>
      <w:r w:rsidR="003F18CA" w:rsidRPr="009307C4">
        <w:rPr>
          <w:sz w:val="22"/>
          <w:szCs w:val="22"/>
          <w:lang w:val="sr-Latn-ME" w:eastAsia="sr-Latn-CS"/>
        </w:rPr>
        <w:t>a</w:t>
      </w:r>
      <w:r w:rsidRPr="009307C4">
        <w:rPr>
          <w:sz w:val="22"/>
          <w:szCs w:val="22"/>
          <w:lang w:val="sr-Latn-ME" w:eastAsia="sr-Latn-CS"/>
        </w:rPr>
        <w:t xml:space="preserve"> bila je značajna: 2.7 sa 95% CI od 0.9, 4.5.</w:t>
      </w:r>
    </w:p>
    <w:p w14:paraId="5A8E0B68" w14:textId="592E8284" w:rsidR="008808CA" w:rsidRPr="009307C4" w:rsidRDefault="008808CA" w:rsidP="004C6094">
      <w:pPr>
        <w:pStyle w:val="ListParagraph"/>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 xml:space="preserve">Procenat pacijenata koji su imali napad astme (napad astme je definisan kao period pogoršanja astme koji je zahtijevao liječenje oralnim kortikosteroidima, neplaniranu posjetu ljekaru, </w:t>
      </w:r>
      <w:r w:rsidR="003F18CA" w:rsidRPr="009307C4">
        <w:rPr>
          <w:sz w:val="22"/>
          <w:szCs w:val="22"/>
          <w:lang w:val="sr-Latn-ME" w:eastAsia="sr-Latn-CS"/>
        </w:rPr>
        <w:t xml:space="preserve">odlazak u </w:t>
      </w:r>
      <w:r w:rsidRPr="009307C4">
        <w:rPr>
          <w:sz w:val="22"/>
          <w:szCs w:val="22"/>
          <w:lang w:val="sr-Latn-ME" w:eastAsia="sr-Latn-CS"/>
        </w:rPr>
        <w:t>služb</w:t>
      </w:r>
      <w:r w:rsidR="007F10C4" w:rsidRPr="009307C4">
        <w:rPr>
          <w:sz w:val="22"/>
          <w:szCs w:val="22"/>
          <w:lang w:val="sr-Latn-ME" w:eastAsia="sr-Latn-CS"/>
        </w:rPr>
        <w:t>u</w:t>
      </w:r>
      <w:r w:rsidRPr="009307C4">
        <w:rPr>
          <w:sz w:val="22"/>
          <w:szCs w:val="22"/>
          <w:lang w:val="sr-Latn-ME" w:eastAsia="sr-Latn-CS"/>
        </w:rPr>
        <w:t xml:space="preserve"> hitne pomoći ili hospitalizaciju)</w:t>
      </w:r>
      <w:r w:rsidR="007F10C4" w:rsidRPr="009307C4">
        <w:rPr>
          <w:sz w:val="22"/>
          <w:szCs w:val="22"/>
          <w:lang w:val="sr-Latn-ME" w:eastAsia="sr-Latn-CS"/>
        </w:rPr>
        <w:t xml:space="preserve"> u grupi koja je primala montelukast</w:t>
      </w:r>
      <w:r w:rsidRPr="009307C4">
        <w:rPr>
          <w:sz w:val="22"/>
          <w:szCs w:val="22"/>
          <w:lang w:val="sr-Latn-ME" w:eastAsia="sr-Latn-CS"/>
        </w:rPr>
        <w:t xml:space="preserve"> bio je 32.2</w:t>
      </w:r>
      <w:r w:rsidR="007F10C4" w:rsidRPr="009307C4">
        <w:rPr>
          <w:sz w:val="22"/>
          <w:szCs w:val="22"/>
          <w:lang w:val="sr-Latn-ME" w:eastAsia="sr-Latn-CS"/>
        </w:rPr>
        <w:t xml:space="preserve">, a </w:t>
      </w:r>
      <w:r w:rsidRPr="009307C4">
        <w:rPr>
          <w:sz w:val="22"/>
          <w:szCs w:val="22"/>
          <w:lang w:val="sr-Latn-ME" w:eastAsia="sr-Latn-CS"/>
        </w:rPr>
        <w:t xml:space="preserve"> 25.6 u grupi </w:t>
      </w:r>
      <w:r w:rsidR="007F10C4" w:rsidRPr="009307C4">
        <w:rPr>
          <w:sz w:val="22"/>
          <w:szCs w:val="22"/>
          <w:lang w:val="sr-Latn-ME" w:eastAsia="sr-Latn-CS"/>
        </w:rPr>
        <w:t xml:space="preserve">koja je primala </w:t>
      </w:r>
      <w:r w:rsidRPr="009307C4">
        <w:rPr>
          <w:sz w:val="22"/>
          <w:szCs w:val="22"/>
          <w:lang w:val="sr-Latn-ME" w:eastAsia="sr-Latn-CS"/>
        </w:rPr>
        <w:t>flutikazo</w:t>
      </w:r>
      <w:r w:rsidR="007F10C4" w:rsidRPr="009307C4">
        <w:rPr>
          <w:sz w:val="22"/>
          <w:szCs w:val="22"/>
          <w:lang w:val="sr-Latn-ME" w:eastAsia="sr-Latn-CS"/>
        </w:rPr>
        <w:t>n</w:t>
      </w:r>
      <w:r w:rsidRPr="009307C4">
        <w:rPr>
          <w:sz w:val="22"/>
          <w:szCs w:val="22"/>
          <w:lang w:val="sr-Latn-ME" w:eastAsia="sr-Latn-CS"/>
        </w:rPr>
        <w:t xml:space="preserve">; </w:t>
      </w:r>
      <w:r w:rsidR="007F10C4" w:rsidRPr="009307C4">
        <w:rPr>
          <w:i/>
          <w:iCs/>
          <w:sz w:val="22"/>
          <w:szCs w:val="22"/>
          <w:lang w:val="sr-Latn-ME" w:eastAsia="sr-Latn-CS"/>
        </w:rPr>
        <w:t>odds ratio</w:t>
      </w:r>
      <w:r w:rsidR="007F10C4" w:rsidRPr="009307C4">
        <w:rPr>
          <w:sz w:val="22"/>
          <w:szCs w:val="22"/>
          <w:lang w:val="sr-Latn-ME" w:eastAsia="sr-Latn-CS"/>
        </w:rPr>
        <w:t xml:space="preserve"> </w:t>
      </w:r>
      <w:r w:rsidRPr="009307C4">
        <w:rPr>
          <w:sz w:val="22"/>
          <w:szCs w:val="22"/>
          <w:lang w:val="sr-Latn-ME" w:eastAsia="sr-Latn-CS"/>
        </w:rPr>
        <w:t>(95% CI) je bio značajan: 1.38 (1.04, 1.84).</w:t>
      </w:r>
    </w:p>
    <w:p w14:paraId="16586C87" w14:textId="6851D5CC" w:rsidR="008808CA" w:rsidRPr="009307C4" w:rsidRDefault="008808CA" w:rsidP="004C6094">
      <w:pPr>
        <w:pStyle w:val="ListParagraph"/>
        <w:numPr>
          <w:ilvl w:val="0"/>
          <w:numId w:val="14"/>
        </w:numPr>
        <w:autoSpaceDE w:val="0"/>
        <w:autoSpaceDN w:val="0"/>
        <w:adjustRightInd w:val="0"/>
        <w:jc w:val="both"/>
        <w:rPr>
          <w:sz w:val="22"/>
          <w:szCs w:val="22"/>
          <w:lang w:val="sr-Latn-ME" w:eastAsia="sr-Latn-CS"/>
        </w:rPr>
      </w:pPr>
      <w:r w:rsidRPr="009307C4">
        <w:rPr>
          <w:sz w:val="22"/>
          <w:szCs w:val="22"/>
          <w:lang w:val="sr-Latn-ME" w:eastAsia="sr-Latn-CS"/>
        </w:rPr>
        <w:t xml:space="preserve">Procenat pacijenata koji su koristili sistemske (uglavnom oralne) kortikosteroide u toku studije bio je 17.8% u grupi sa montelukastom i 10.5% u grupi tretiranoj flutikazonom. Razlika između </w:t>
      </w:r>
      <w:r w:rsidR="007F10C4" w:rsidRPr="009307C4">
        <w:rPr>
          <w:sz w:val="22"/>
          <w:szCs w:val="22"/>
          <w:lang w:val="sr-Latn-ME" w:eastAsia="sr-Latn-CS"/>
        </w:rPr>
        <w:t xml:space="preserve">ispitivanih </w:t>
      </w:r>
      <w:r w:rsidRPr="009307C4">
        <w:rPr>
          <w:sz w:val="22"/>
          <w:szCs w:val="22"/>
          <w:lang w:val="sr-Latn-ME" w:eastAsia="sr-Latn-CS"/>
        </w:rPr>
        <w:t>grupa u srednjim vrijednostima</w:t>
      </w:r>
      <w:r w:rsidR="007F10C4" w:rsidRPr="009307C4">
        <w:rPr>
          <w:sz w:val="22"/>
          <w:szCs w:val="22"/>
          <w:lang w:val="sr-Latn-ME" w:eastAsia="sr-Latn-CS"/>
        </w:rPr>
        <w:t xml:space="preserve"> dobijena metodom najmanjih kvadrata</w:t>
      </w:r>
      <w:r w:rsidRPr="009307C4">
        <w:rPr>
          <w:sz w:val="22"/>
          <w:szCs w:val="22"/>
          <w:lang w:val="sr-Latn-ME" w:eastAsia="sr-Latn-CS"/>
        </w:rPr>
        <w:t xml:space="preserve"> je bila značajna: 7.3% sa 95% CI od 2.9, 11.7.</w:t>
      </w:r>
    </w:p>
    <w:p w14:paraId="5948360E" w14:textId="77777777" w:rsidR="008808CA" w:rsidRPr="009307C4" w:rsidRDefault="008808CA" w:rsidP="00C4333D">
      <w:pPr>
        <w:autoSpaceDE w:val="0"/>
        <w:autoSpaceDN w:val="0"/>
        <w:adjustRightInd w:val="0"/>
        <w:jc w:val="both"/>
        <w:rPr>
          <w:sz w:val="22"/>
          <w:szCs w:val="22"/>
          <w:lang w:val="sr-Latn-ME" w:eastAsia="sr-Latn-CS"/>
        </w:rPr>
      </w:pPr>
    </w:p>
    <w:p w14:paraId="424EAE12" w14:textId="4AFB24C9"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U placebo-kontrolisanoj studiji  na pedijatrijskim pacijentima starosti od 2-5 godina koja je trajala 12 nedjelja, montelukast, </w:t>
      </w:r>
      <w:r w:rsidR="007F10C4" w:rsidRPr="009307C4">
        <w:rPr>
          <w:sz w:val="22"/>
          <w:szCs w:val="22"/>
          <w:lang w:val="sr-Latn-ME" w:eastAsia="sr-Latn-CS"/>
        </w:rPr>
        <w:t xml:space="preserve">primjenjivan u dozi od </w:t>
      </w:r>
      <w:r w:rsidRPr="009307C4">
        <w:rPr>
          <w:sz w:val="22"/>
          <w:szCs w:val="22"/>
          <w:lang w:val="sr-Latn-ME" w:eastAsia="sr-Latn-CS"/>
        </w:rPr>
        <w:t>4 mg jednom dnevno</w:t>
      </w:r>
      <w:r w:rsidR="007F10C4" w:rsidRPr="009307C4">
        <w:rPr>
          <w:sz w:val="22"/>
          <w:szCs w:val="22"/>
          <w:lang w:val="sr-Latn-ME" w:eastAsia="sr-Latn-CS"/>
        </w:rPr>
        <w:t>,</w:t>
      </w:r>
      <w:r w:rsidRPr="009307C4">
        <w:rPr>
          <w:sz w:val="22"/>
          <w:szCs w:val="22"/>
          <w:lang w:val="sr-Latn-ME" w:eastAsia="sr-Latn-CS"/>
        </w:rPr>
        <w:t xml:space="preserve"> je poboljšao parametre kontrole astme u poređenju sa placebom nezavisno od istovremeno primjenjene kontrolne terapije (inhalacija/nebulizacija kortikosteroida ili inhalacija/nebulizacija natrijum hromoglikata). Šezdeset posto pacijenata nije bilo na bilo kojoj drugoj kontrolnoj terapiji. Montelukast je poboljšao dnevne simptome (kao što su kašalj, zviždanje</w:t>
      </w:r>
      <w:r w:rsidR="007F10C4" w:rsidRPr="009307C4">
        <w:rPr>
          <w:sz w:val="22"/>
          <w:szCs w:val="22"/>
          <w:lang w:val="sr-Latn-ME" w:eastAsia="sr-Latn-CS"/>
        </w:rPr>
        <w:t xml:space="preserve"> u grudima</w:t>
      </w:r>
      <w:r w:rsidRPr="009307C4">
        <w:rPr>
          <w:sz w:val="22"/>
          <w:szCs w:val="22"/>
          <w:lang w:val="sr-Latn-ME" w:eastAsia="sr-Latn-CS"/>
        </w:rPr>
        <w:t xml:space="preserve">, </w:t>
      </w:r>
      <w:r w:rsidR="007F10C4" w:rsidRPr="009307C4">
        <w:rPr>
          <w:sz w:val="22"/>
          <w:szCs w:val="22"/>
          <w:lang w:val="sr-Latn-ME" w:eastAsia="sr-Latn-CS"/>
        </w:rPr>
        <w:t xml:space="preserve">otežano </w:t>
      </w:r>
      <w:r w:rsidRPr="009307C4">
        <w:rPr>
          <w:sz w:val="22"/>
          <w:szCs w:val="22"/>
          <w:lang w:val="sr-Latn-ME" w:eastAsia="sr-Latn-CS"/>
        </w:rPr>
        <w:t>disanje i ograničenja u dnevnim aktivnosti</w:t>
      </w:r>
      <w:r w:rsidR="007F10C4" w:rsidRPr="009307C4">
        <w:rPr>
          <w:sz w:val="22"/>
          <w:szCs w:val="22"/>
          <w:lang w:val="sr-Latn-ME" w:eastAsia="sr-Latn-CS"/>
        </w:rPr>
        <w:t>ma</w:t>
      </w:r>
      <w:r w:rsidRPr="009307C4">
        <w:rPr>
          <w:sz w:val="22"/>
          <w:szCs w:val="22"/>
          <w:lang w:val="sr-Latn-ME" w:eastAsia="sr-Latn-CS"/>
        </w:rPr>
        <w:t xml:space="preserve">) i noćne simptome u poređenju sa placebom. Montelukast je takođe smanjio primjenu β-agonista "po potrebi" i </w:t>
      </w:r>
      <w:r w:rsidR="007F10C4" w:rsidRPr="009307C4">
        <w:rPr>
          <w:sz w:val="22"/>
          <w:szCs w:val="22"/>
          <w:lang w:val="sr-Latn-ME" w:eastAsia="sr-Latn-CS"/>
        </w:rPr>
        <w:t xml:space="preserve">akutnu potrebu za uzimanjem </w:t>
      </w:r>
      <w:r w:rsidRPr="009307C4">
        <w:rPr>
          <w:sz w:val="22"/>
          <w:szCs w:val="22"/>
          <w:lang w:val="sr-Latn-ME" w:eastAsia="sr-Latn-CS"/>
        </w:rPr>
        <w:t xml:space="preserve">kortikosteroida, u poređenju sa placebom. Pacijenti koji su uzimali montelukast imali su više dana bez astme u poređenju sa pacijentima koji su bili na placebu. Efekat liječenja je postignut </w:t>
      </w:r>
      <w:r w:rsidR="007F10C4" w:rsidRPr="009307C4">
        <w:rPr>
          <w:sz w:val="22"/>
          <w:szCs w:val="22"/>
          <w:lang w:val="sr-Latn-ME" w:eastAsia="sr-Latn-CS"/>
        </w:rPr>
        <w:t xml:space="preserve"> već </w:t>
      </w:r>
      <w:r w:rsidRPr="009307C4">
        <w:rPr>
          <w:sz w:val="22"/>
          <w:szCs w:val="22"/>
          <w:lang w:val="sr-Latn-ME" w:eastAsia="sr-Latn-CS"/>
        </w:rPr>
        <w:t xml:space="preserve">poslije prve doze. </w:t>
      </w:r>
    </w:p>
    <w:p w14:paraId="5F78D376" w14:textId="77777777" w:rsidR="008808CA" w:rsidRPr="009307C4" w:rsidRDefault="008808CA" w:rsidP="00C4333D">
      <w:pPr>
        <w:autoSpaceDE w:val="0"/>
        <w:autoSpaceDN w:val="0"/>
        <w:adjustRightInd w:val="0"/>
        <w:jc w:val="both"/>
        <w:rPr>
          <w:sz w:val="22"/>
          <w:szCs w:val="22"/>
          <w:lang w:val="sr-Latn-ME" w:eastAsia="sr-Latn-CS"/>
        </w:rPr>
      </w:pPr>
    </w:p>
    <w:p w14:paraId="3955376D" w14:textId="24C7479B"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U 12-mjesečnoj, placebo-kontrolisanoj studiji  na pedijatrijskim pacijentima starosti od 2-5 godina, koji su imali blagu astmu sa epizodama pogoršanja, montelukast,</w:t>
      </w:r>
      <w:r w:rsidR="00B764A3" w:rsidRPr="009307C4">
        <w:rPr>
          <w:sz w:val="22"/>
          <w:szCs w:val="22"/>
          <w:lang w:val="sr-Latn-ME" w:eastAsia="sr-Latn-CS"/>
        </w:rPr>
        <w:t xml:space="preserve"> primjenjivan u dozi od</w:t>
      </w:r>
      <w:r w:rsidRPr="009307C4">
        <w:rPr>
          <w:sz w:val="22"/>
          <w:szCs w:val="22"/>
          <w:lang w:val="sr-Latn-ME" w:eastAsia="sr-Latn-CS"/>
        </w:rPr>
        <w:t xml:space="preserve"> 4 mg jednom dnevno</w:t>
      </w:r>
      <w:r w:rsidR="00B764A3" w:rsidRPr="009307C4">
        <w:rPr>
          <w:sz w:val="22"/>
          <w:szCs w:val="22"/>
          <w:lang w:val="sr-Latn-ME" w:eastAsia="sr-Latn-CS"/>
        </w:rPr>
        <w:t xml:space="preserve">, je </w:t>
      </w:r>
      <w:r w:rsidRPr="009307C4">
        <w:rPr>
          <w:sz w:val="22"/>
          <w:szCs w:val="22"/>
          <w:lang w:val="sr-Latn-ME" w:eastAsia="sr-Latn-CS"/>
        </w:rPr>
        <w:t>značajno  (p≤0.001)  smanjio godišnji broj epizoda pogoršanja astme (</w:t>
      </w:r>
      <w:r w:rsidR="00F243B4" w:rsidRPr="009307C4">
        <w:rPr>
          <w:sz w:val="22"/>
          <w:szCs w:val="22"/>
          <w:lang w:val="sr-Latn-ME" w:eastAsia="sr-Latn-CS"/>
        </w:rPr>
        <w:t xml:space="preserve">engl. </w:t>
      </w:r>
      <w:r w:rsidRPr="009307C4">
        <w:rPr>
          <w:i/>
          <w:iCs/>
          <w:sz w:val="22"/>
          <w:szCs w:val="22"/>
          <w:lang w:val="sr-Latn-ME" w:eastAsia="sr-Latn-CS"/>
        </w:rPr>
        <w:t>exarcebation episodes</w:t>
      </w:r>
      <w:r w:rsidR="00B764A3" w:rsidRPr="009307C4">
        <w:rPr>
          <w:sz w:val="22"/>
          <w:szCs w:val="22"/>
          <w:lang w:val="sr-Latn-ME" w:eastAsia="sr-Latn-CS"/>
        </w:rPr>
        <w:t xml:space="preserve"> -</w:t>
      </w:r>
      <w:r w:rsidRPr="009307C4">
        <w:rPr>
          <w:sz w:val="22"/>
          <w:szCs w:val="22"/>
          <w:lang w:val="sr-Latn-ME" w:eastAsia="sr-Latn-CS"/>
        </w:rPr>
        <w:t xml:space="preserve"> EE) u poređenju sa placebom (1.60 EE u poređenju sa 2.34 EE) [EE se definiše kao ≥ 3 uzastopna dana sa dnevnim simptomima</w:t>
      </w:r>
      <w:r w:rsidR="00B764A3" w:rsidRPr="009307C4">
        <w:rPr>
          <w:sz w:val="22"/>
          <w:szCs w:val="22"/>
          <w:lang w:val="sr-Latn-ME" w:eastAsia="sr-Latn-CS"/>
        </w:rPr>
        <w:t xml:space="preserve"> astme</w:t>
      </w:r>
      <w:r w:rsidRPr="009307C4">
        <w:rPr>
          <w:sz w:val="22"/>
          <w:szCs w:val="22"/>
          <w:lang w:val="sr-Latn-ME" w:eastAsia="sr-Latn-CS"/>
        </w:rPr>
        <w:t xml:space="preserve"> koji zahtijevaju </w:t>
      </w:r>
      <w:r w:rsidR="00B764A3" w:rsidRPr="009307C4">
        <w:rPr>
          <w:sz w:val="22"/>
          <w:szCs w:val="22"/>
          <w:lang w:val="sr-Latn-ME" w:eastAsia="sr-Latn-CS"/>
        </w:rPr>
        <w:t>primjenu</w:t>
      </w:r>
      <w:r w:rsidRPr="009307C4">
        <w:rPr>
          <w:sz w:val="22"/>
          <w:szCs w:val="22"/>
          <w:lang w:val="sr-Latn-ME" w:eastAsia="sr-Latn-CS"/>
        </w:rPr>
        <w:t xml:space="preserve"> β-agonista, ili kortikosteroida (oralnih ili inhalacionih) ili hospitalizaciju zbog astme]. Procenat smanjenja broja EE u toku godine je bio 31.9% sa 95% CI od 16.9, 44.1.</w:t>
      </w:r>
    </w:p>
    <w:p w14:paraId="153C171C" w14:textId="77777777" w:rsidR="008808CA" w:rsidRPr="009307C4" w:rsidRDefault="008808CA" w:rsidP="00C4333D">
      <w:pPr>
        <w:jc w:val="both"/>
        <w:rPr>
          <w:sz w:val="22"/>
          <w:szCs w:val="22"/>
          <w:lang w:val="sr-Latn-ME"/>
        </w:rPr>
      </w:pPr>
    </w:p>
    <w:p w14:paraId="3D4F3DBA" w14:textId="108A82B7" w:rsidR="008808CA" w:rsidRPr="009307C4" w:rsidRDefault="008808CA" w:rsidP="00C4333D">
      <w:pPr>
        <w:jc w:val="both"/>
        <w:rPr>
          <w:sz w:val="22"/>
          <w:szCs w:val="22"/>
          <w:lang w:val="sr-Latn-ME"/>
        </w:rPr>
      </w:pPr>
      <w:r w:rsidRPr="009307C4">
        <w:rPr>
          <w:sz w:val="22"/>
          <w:szCs w:val="22"/>
          <w:lang w:val="sr-Latn-ME"/>
        </w:rPr>
        <w:t>U placebo kontrolisanoj studiji pedijatrijski pacijenti starosti od 6 mjeseci do 5 godina, koji su imali intermite</w:t>
      </w:r>
      <w:r w:rsidR="00F243B4" w:rsidRPr="009307C4">
        <w:rPr>
          <w:sz w:val="22"/>
          <w:szCs w:val="22"/>
          <w:lang w:val="sr-Latn-ME"/>
        </w:rPr>
        <w:t>n</w:t>
      </w:r>
      <w:r w:rsidRPr="009307C4">
        <w:rPr>
          <w:sz w:val="22"/>
          <w:szCs w:val="22"/>
          <w:lang w:val="sr-Latn-ME"/>
        </w:rPr>
        <w:t>tnu</w:t>
      </w:r>
      <w:r w:rsidR="00B764A3" w:rsidRPr="009307C4">
        <w:rPr>
          <w:sz w:val="22"/>
          <w:szCs w:val="22"/>
          <w:lang w:val="sr-Latn-ME"/>
        </w:rPr>
        <w:t>,</w:t>
      </w:r>
      <w:r w:rsidRPr="009307C4">
        <w:rPr>
          <w:sz w:val="22"/>
          <w:szCs w:val="22"/>
          <w:lang w:val="sr-Latn-ME"/>
        </w:rPr>
        <w:t xml:space="preserve"> a</w:t>
      </w:r>
      <w:r w:rsidR="00B764A3" w:rsidRPr="009307C4">
        <w:rPr>
          <w:sz w:val="22"/>
          <w:szCs w:val="22"/>
          <w:lang w:val="sr-Latn-ME"/>
        </w:rPr>
        <w:t>li</w:t>
      </w:r>
      <w:r w:rsidRPr="009307C4">
        <w:rPr>
          <w:sz w:val="22"/>
          <w:szCs w:val="22"/>
          <w:lang w:val="sr-Latn-ME"/>
        </w:rPr>
        <w:t xml:space="preserve"> ne</w:t>
      </w:r>
      <w:r w:rsidR="00B764A3" w:rsidRPr="009307C4">
        <w:rPr>
          <w:sz w:val="22"/>
          <w:szCs w:val="22"/>
          <w:lang w:val="sr-Latn-ME"/>
        </w:rPr>
        <w:t xml:space="preserve"> i</w:t>
      </w:r>
      <w:r w:rsidRPr="009307C4">
        <w:rPr>
          <w:sz w:val="22"/>
          <w:szCs w:val="22"/>
          <w:lang w:val="sr-Latn-ME"/>
        </w:rPr>
        <w:t xml:space="preserve"> perzistentnu astmu, </w:t>
      </w:r>
      <w:r w:rsidR="00B764A3" w:rsidRPr="009307C4">
        <w:rPr>
          <w:sz w:val="22"/>
          <w:szCs w:val="22"/>
          <w:lang w:val="sr-Latn-ME"/>
        </w:rPr>
        <w:t>terapija</w:t>
      </w:r>
      <w:r w:rsidRPr="009307C4">
        <w:rPr>
          <w:sz w:val="22"/>
          <w:szCs w:val="22"/>
          <w:lang w:val="sr-Latn-ME"/>
        </w:rPr>
        <w:t xml:space="preserve"> montelukast</w:t>
      </w:r>
      <w:r w:rsidR="005B0330" w:rsidRPr="009307C4">
        <w:rPr>
          <w:sz w:val="22"/>
          <w:szCs w:val="22"/>
          <w:lang w:val="sr-Latn-ME"/>
        </w:rPr>
        <w:t>om</w:t>
      </w:r>
      <w:r w:rsidRPr="009307C4">
        <w:rPr>
          <w:sz w:val="22"/>
          <w:szCs w:val="22"/>
          <w:lang w:val="sr-Latn-ME"/>
        </w:rPr>
        <w:t xml:space="preserve"> u dozi od 4mg,</w:t>
      </w:r>
      <w:r w:rsidR="005B0330" w:rsidRPr="009307C4">
        <w:rPr>
          <w:sz w:val="22"/>
          <w:szCs w:val="22"/>
          <w:lang w:val="sr-Latn-ME"/>
        </w:rPr>
        <w:t xml:space="preserve"> jednom dnevno, primjenjivana je</w:t>
      </w:r>
      <w:r w:rsidRPr="009307C4">
        <w:rPr>
          <w:sz w:val="22"/>
          <w:szCs w:val="22"/>
          <w:lang w:val="sr-Latn-ME"/>
        </w:rPr>
        <w:t xml:space="preserve"> tokom 12 mjeseci, ili </w:t>
      </w:r>
      <w:r w:rsidR="005B0330" w:rsidRPr="009307C4">
        <w:rPr>
          <w:sz w:val="22"/>
          <w:szCs w:val="22"/>
          <w:lang w:val="sr-Latn-ME"/>
        </w:rPr>
        <w:t xml:space="preserve">u </w:t>
      </w:r>
      <w:r w:rsidRPr="009307C4">
        <w:rPr>
          <w:sz w:val="22"/>
          <w:szCs w:val="22"/>
          <w:lang w:val="sr-Latn-ME"/>
        </w:rPr>
        <w:t>serij</w:t>
      </w:r>
      <w:r w:rsidR="005B0330" w:rsidRPr="009307C4">
        <w:rPr>
          <w:sz w:val="22"/>
          <w:szCs w:val="22"/>
          <w:lang w:val="sr-Latn-ME"/>
        </w:rPr>
        <w:t>ama od 12 dana</w:t>
      </w:r>
      <w:r w:rsidRPr="009307C4">
        <w:rPr>
          <w:sz w:val="22"/>
          <w:szCs w:val="22"/>
          <w:lang w:val="sr-Latn-ME"/>
        </w:rPr>
        <w:t xml:space="preserve"> </w:t>
      </w:r>
      <w:r w:rsidR="005B0330" w:rsidRPr="009307C4">
        <w:rPr>
          <w:sz w:val="22"/>
          <w:szCs w:val="22"/>
          <w:lang w:val="sr-Latn-ME"/>
        </w:rPr>
        <w:t xml:space="preserve">koje su započinjane nakon pojave </w:t>
      </w:r>
      <w:r w:rsidRPr="009307C4">
        <w:rPr>
          <w:sz w:val="22"/>
          <w:szCs w:val="22"/>
          <w:lang w:val="sr-Latn-ME"/>
        </w:rPr>
        <w:t>simptoma intermite</w:t>
      </w:r>
      <w:r w:rsidR="00F243B4" w:rsidRPr="009307C4">
        <w:rPr>
          <w:sz w:val="22"/>
          <w:szCs w:val="22"/>
          <w:lang w:val="sr-Latn-ME"/>
        </w:rPr>
        <w:t>n</w:t>
      </w:r>
      <w:r w:rsidRPr="009307C4">
        <w:rPr>
          <w:sz w:val="22"/>
          <w:szCs w:val="22"/>
          <w:lang w:val="sr-Latn-ME"/>
        </w:rPr>
        <w:t>tne astme.</w:t>
      </w:r>
      <w:r w:rsidR="00F243B4" w:rsidRPr="009307C4">
        <w:rPr>
          <w:sz w:val="22"/>
          <w:szCs w:val="22"/>
          <w:lang w:val="sr-Latn-ME"/>
        </w:rPr>
        <w:t xml:space="preserve"> </w:t>
      </w:r>
      <w:r w:rsidR="005B0330" w:rsidRPr="009307C4">
        <w:rPr>
          <w:sz w:val="22"/>
          <w:szCs w:val="22"/>
          <w:lang w:val="sr-Latn-ME"/>
        </w:rPr>
        <w:t>Kod pacijenata koji su uzimali montelukast u dozi od 4 mg ili placebo n</w:t>
      </w:r>
      <w:r w:rsidRPr="009307C4">
        <w:rPr>
          <w:sz w:val="22"/>
          <w:szCs w:val="22"/>
          <w:lang w:val="sr-Latn-ME"/>
        </w:rPr>
        <w:t xml:space="preserve">ije </w:t>
      </w:r>
      <w:r w:rsidR="005B0330" w:rsidRPr="009307C4">
        <w:rPr>
          <w:sz w:val="22"/>
          <w:szCs w:val="22"/>
          <w:lang w:val="sr-Latn-ME"/>
        </w:rPr>
        <w:t xml:space="preserve">zabilježena </w:t>
      </w:r>
      <w:r w:rsidRPr="009307C4">
        <w:rPr>
          <w:sz w:val="22"/>
          <w:szCs w:val="22"/>
          <w:lang w:val="sr-Latn-ME"/>
        </w:rPr>
        <w:t>značajn</w:t>
      </w:r>
      <w:r w:rsidR="005B0330" w:rsidRPr="009307C4">
        <w:rPr>
          <w:sz w:val="22"/>
          <w:szCs w:val="22"/>
          <w:lang w:val="sr-Latn-ME"/>
        </w:rPr>
        <w:t>a</w:t>
      </w:r>
      <w:r w:rsidRPr="009307C4">
        <w:rPr>
          <w:sz w:val="22"/>
          <w:szCs w:val="22"/>
          <w:lang w:val="sr-Latn-ME"/>
        </w:rPr>
        <w:t xml:space="preserve"> razlik</w:t>
      </w:r>
      <w:r w:rsidR="005B0330" w:rsidRPr="009307C4">
        <w:rPr>
          <w:sz w:val="22"/>
          <w:szCs w:val="22"/>
          <w:lang w:val="sr-Latn-ME"/>
        </w:rPr>
        <w:t>a</w:t>
      </w:r>
      <w:r w:rsidRPr="009307C4">
        <w:rPr>
          <w:sz w:val="22"/>
          <w:szCs w:val="22"/>
          <w:lang w:val="sr-Latn-ME"/>
        </w:rPr>
        <w:t xml:space="preserve"> u broju epizoda</w:t>
      </w:r>
      <w:r w:rsidR="005B0330" w:rsidRPr="009307C4">
        <w:rPr>
          <w:sz w:val="22"/>
          <w:szCs w:val="22"/>
          <w:lang w:val="sr-Latn-ME"/>
        </w:rPr>
        <w:t xml:space="preserve"> astme</w:t>
      </w:r>
      <w:r w:rsidRPr="009307C4">
        <w:rPr>
          <w:sz w:val="22"/>
          <w:szCs w:val="22"/>
          <w:lang w:val="sr-Latn-ME"/>
        </w:rPr>
        <w:t xml:space="preserve"> koje su </w:t>
      </w:r>
      <w:r w:rsidR="005B0330" w:rsidRPr="009307C4">
        <w:rPr>
          <w:sz w:val="22"/>
          <w:szCs w:val="22"/>
          <w:lang w:val="sr-Latn-ME"/>
        </w:rPr>
        <w:t xml:space="preserve">kulminirale </w:t>
      </w:r>
      <w:r w:rsidRPr="009307C4">
        <w:rPr>
          <w:sz w:val="22"/>
          <w:szCs w:val="22"/>
          <w:lang w:val="sr-Latn-ME"/>
        </w:rPr>
        <w:t>u napad</w:t>
      </w:r>
      <w:r w:rsidR="005B0330" w:rsidRPr="009307C4">
        <w:rPr>
          <w:sz w:val="22"/>
          <w:szCs w:val="22"/>
          <w:lang w:val="sr-Latn-ME"/>
        </w:rPr>
        <w:t xml:space="preserve"> astme</w:t>
      </w:r>
      <w:r w:rsidR="00B0494C" w:rsidRPr="009307C4">
        <w:rPr>
          <w:sz w:val="22"/>
          <w:szCs w:val="22"/>
          <w:lang w:val="sr-Latn-ME"/>
        </w:rPr>
        <w:t xml:space="preserve"> </w:t>
      </w:r>
      <w:r w:rsidR="005B0330" w:rsidRPr="009307C4">
        <w:rPr>
          <w:sz w:val="22"/>
          <w:szCs w:val="22"/>
          <w:lang w:val="sr-Latn-ME"/>
        </w:rPr>
        <w:t>(</w:t>
      </w:r>
      <w:r w:rsidRPr="009307C4">
        <w:rPr>
          <w:sz w:val="22"/>
          <w:szCs w:val="22"/>
          <w:lang w:val="sr-Latn-ME"/>
        </w:rPr>
        <w:t>definisan kao</w:t>
      </w:r>
      <w:r w:rsidR="005B0330" w:rsidRPr="009307C4">
        <w:rPr>
          <w:sz w:val="22"/>
          <w:szCs w:val="22"/>
          <w:lang w:val="sr-Latn-ME"/>
        </w:rPr>
        <w:t xml:space="preserve"> period pogoršanja astme zbog kojeg je </w:t>
      </w:r>
      <w:r w:rsidRPr="009307C4">
        <w:rPr>
          <w:sz w:val="22"/>
          <w:szCs w:val="22"/>
          <w:lang w:val="sr-Latn-ME"/>
        </w:rPr>
        <w:t>potreb</w:t>
      </w:r>
      <w:r w:rsidR="005B0330" w:rsidRPr="009307C4">
        <w:rPr>
          <w:sz w:val="22"/>
          <w:szCs w:val="22"/>
          <w:lang w:val="sr-Latn-ME"/>
        </w:rPr>
        <w:t>no</w:t>
      </w:r>
      <w:r w:rsidRPr="009307C4">
        <w:rPr>
          <w:sz w:val="22"/>
          <w:szCs w:val="22"/>
          <w:lang w:val="sr-Latn-ME"/>
        </w:rPr>
        <w:t xml:space="preserve"> </w:t>
      </w:r>
      <w:r w:rsidR="005B0330" w:rsidRPr="009307C4">
        <w:rPr>
          <w:sz w:val="22"/>
          <w:szCs w:val="22"/>
          <w:lang w:val="sr-Latn-ME"/>
        </w:rPr>
        <w:t xml:space="preserve">primijeniti hitne medicinske mjere </w:t>
      </w:r>
      <w:r w:rsidRPr="009307C4">
        <w:rPr>
          <w:sz w:val="22"/>
          <w:szCs w:val="22"/>
          <w:lang w:val="sr-Latn-ME"/>
        </w:rPr>
        <w:t>kao što su: neplaniran</w:t>
      </w:r>
      <w:r w:rsidR="005B0330" w:rsidRPr="009307C4">
        <w:rPr>
          <w:sz w:val="22"/>
          <w:szCs w:val="22"/>
          <w:lang w:val="sr-Latn-ME"/>
        </w:rPr>
        <w:t>a</w:t>
      </w:r>
      <w:r w:rsidRPr="009307C4">
        <w:rPr>
          <w:sz w:val="22"/>
          <w:szCs w:val="22"/>
          <w:lang w:val="sr-Latn-ME"/>
        </w:rPr>
        <w:t xml:space="preserve"> pos</w:t>
      </w:r>
      <w:r w:rsidR="005B0330" w:rsidRPr="009307C4">
        <w:rPr>
          <w:sz w:val="22"/>
          <w:szCs w:val="22"/>
          <w:lang w:val="sr-Latn-ME"/>
        </w:rPr>
        <w:t>j</w:t>
      </w:r>
      <w:r w:rsidRPr="009307C4">
        <w:rPr>
          <w:sz w:val="22"/>
          <w:szCs w:val="22"/>
          <w:lang w:val="sr-Latn-ME"/>
        </w:rPr>
        <w:t>et</w:t>
      </w:r>
      <w:r w:rsidR="005B0330" w:rsidRPr="009307C4">
        <w:rPr>
          <w:sz w:val="22"/>
          <w:szCs w:val="22"/>
          <w:lang w:val="sr-Latn-ME"/>
        </w:rPr>
        <w:t>a</w:t>
      </w:r>
      <w:r w:rsidRPr="009307C4">
        <w:rPr>
          <w:sz w:val="22"/>
          <w:szCs w:val="22"/>
          <w:lang w:val="sr-Latn-ME"/>
        </w:rPr>
        <w:t xml:space="preserve"> ljekaru,</w:t>
      </w:r>
      <w:r w:rsidR="005B0330" w:rsidRPr="009307C4">
        <w:rPr>
          <w:sz w:val="22"/>
          <w:szCs w:val="22"/>
          <w:lang w:val="sr-Latn-ME"/>
        </w:rPr>
        <w:t xml:space="preserve"> odlazak u službu </w:t>
      </w:r>
      <w:r w:rsidRPr="009307C4">
        <w:rPr>
          <w:sz w:val="22"/>
          <w:szCs w:val="22"/>
          <w:lang w:val="sr-Latn-ME"/>
        </w:rPr>
        <w:t>hitn</w:t>
      </w:r>
      <w:r w:rsidR="005B0330" w:rsidRPr="009307C4">
        <w:rPr>
          <w:sz w:val="22"/>
          <w:szCs w:val="22"/>
          <w:lang w:val="sr-Latn-ME"/>
        </w:rPr>
        <w:t>e</w:t>
      </w:r>
      <w:r w:rsidRPr="009307C4">
        <w:rPr>
          <w:sz w:val="22"/>
          <w:szCs w:val="22"/>
          <w:lang w:val="sr-Latn-ME"/>
        </w:rPr>
        <w:t xml:space="preserve"> </w:t>
      </w:r>
      <w:r w:rsidR="005B0330" w:rsidRPr="009307C4">
        <w:rPr>
          <w:sz w:val="22"/>
          <w:szCs w:val="22"/>
          <w:lang w:val="sr-Latn-ME"/>
        </w:rPr>
        <w:t xml:space="preserve">pomoći </w:t>
      </w:r>
      <w:r w:rsidRPr="009307C4">
        <w:rPr>
          <w:sz w:val="22"/>
          <w:szCs w:val="22"/>
          <w:lang w:val="sr-Latn-ME"/>
        </w:rPr>
        <w:t>ili</w:t>
      </w:r>
      <w:r w:rsidR="00953908" w:rsidRPr="009307C4">
        <w:rPr>
          <w:sz w:val="22"/>
          <w:szCs w:val="22"/>
          <w:lang w:val="sr-Latn-ME"/>
        </w:rPr>
        <w:t xml:space="preserve"> </w:t>
      </w:r>
      <w:r w:rsidR="005B0330" w:rsidRPr="009307C4">
        <w:rPr>
          <w:sz w:val="22"/>
          <w:szCs w:val="22"/>
          <w:lang w:val="sr-Latn-ME"/>
        </w:rPr>
        <w:t>u bolnicu</w:t>
      </w:r>
      <w:r w:rsidRPr="009307C4">
        <w:rPr>
          <w:sz w:val="22"/>
          <w:szCs w:val="22"/>
          <w:lang w:val="sr-Latn-ME"/>
        </w:rPr>
        <w:t xml:space="preserve">, </w:t>
      </w:r>
      <w:r w:rsidR="00B0494C" w:rsidRPr="009307C4">
        <w:rPr>
          <w:sz w:val="22"/>
          <w:szCs w:val="22"/>
          <w:lang w:val="sr-Latn-ME"/>
        </w:rPr>
        <w:t xml:space="preserve">ili primjena </w:t>
      </w:r>
      <w:r w:rsidRPr="009307C4">
        <w:rPr>
          <w:sz w:val="22"/>
          <w:szCs w:val="22"/>
          <w:lang w:val="sr-Latn-ME"/>
        </w:rPr>
        <w:t>oralnih, intravenskih i</w:t>
      </w:r>
      <w:r w:rsidR="00322237" w:rsidRPr="009307C4">
        <w:rPr>
          <w:sz w:val="22"/>
          <w:szCs w:val="22"/>
          <w:lang w:val="sr-Latn-ME"/>
        </w:rPr>
        <w:t>li</w:t>
      </w:r>
      <w:r w:rsidRPr="009307C4">
        <w:rPr>
          <w:sz w:val="22"/>
          <w:szCs w:val="22"/>
          <w:lang w:val="sr-Latn-ME"/>
        </w:rPr>
        <w:t xml:space="preserve"> intramuskularnih kortikosteroida</w:t>
      </w:r>
      <w:r w:rsidR="00B0494C" w:rsidRPr="009307C4">
        <w:rPr>
          <w:sz w:val="22"/>
          <w:szCs w:val="22"/>
          <w:lang w:val="sr-Latn-ME"/>
        </w:rPr>
        <w:t>)</w:t>
      </w:r>
      <w:r w:rsidRPr="009307C4">
        <w:rPr>
          <w:sz w:val="22"/>
          <w:szCs w:val="22"/>
          <w:lang w:val="sr-Latn-ME"/>
        </w:rPr>
        <w:t>.</w:t>
      </w:r>
    </w:p>
    <w:p w14:paraId="23FFD706" w14:textId="77777777" w:rsidR="008808CA" w:rsidRPr="009307C4" w:rsidRDefault="008808CA" w:rsidP="00C4333D">
      <w:pPr>
        <w:autoSpaceDE w:val="0"/>
        <w:autoSpaceDN w:val="0"/>
        <w:adjustRightInd w:val="0"/>
        <w:jc w:val="both"/>
        <w:rPr>
          <w:sz w:val="22"/>
          <w:szCs w:val="22"/>
          <w:lang w:val="sr-Latn-ME" w:eastAsia="sr-Latn-CS"/>
        </w:rPr>
      </w:pPr>
    </w:p>
    <w:p w14:paraId="28E8BB7A" w14:textId="5BE0FBF6"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Efikasnost montelukasta kod pedijatrijskih pacijenata starosti od 6 mjeseci do 2 godine je </w:t>
      </w:r>
      <w:r w:rsidR="00996A89" w:rsidRPr="009307C4">
        <w:rPr>
          <w:sz w:val="22"/>
          <w:szCs w:val="22"/>
          <w:lang w:val="sr-Latn-ME" w:eastAsia="sr-Latn-CS"/>
        </w:rPr>
        <w:t>potvrđena</w:t>
      </w:r>
      <w:r w:rsidRPr="009307C4">
        <w:rPr>
          <w:sz w:val="22"/>
          <w:szCs w:val="22"/>
          <w:lang w:val="sr-Latn-ME" w:eastAsia="sr-Latn-CS"/>
        </w:rPr>
        <w:t xml:space="preserve"> </w:t>
      </w:r>
      <w:r w:rsidR="00996A89" w:rsidRPr="009307C4">
        <w:rPr>
          <w:sz w:val="22"/>
          <w:szCs w:val="22"/>
          <w:lang w:val="sr-Latn-ME" w:eastAsia="sr-Latn-CS"/>
        </w:rPr>
        <w:t xml:space="preserve">ekstrapolacijom </w:t>
      </w:r>
      <w:r w:rsidR="00B0494C" w:rsidRPr="009307C4">
        <w:rPr>
          <w:sz w:val="22"/>
          <w:szCs w:val="22"/>
          <w:lang w:val="sr-Latn-ME" w:eastAsia="sr-Latn-CS"/>
        </w:rPr>
        <w:t xml:space="preserve">utvrđene </w:t>
      </w:r>
      <w:r w:rsidRPr="009307C4">
        <w:rPr>
          <w:sz w:val="22"/>
          <w:szCs w:val="22"/>
          <w:lang w:val="sr-Latn-ME" w:eastAsia="sr-Latn-CS"/>
        </w:rPr>
        <w:t>efikasnosti kod pacijenata sa astmom starih 2 godine ili više</w:t>
      </w:r>
      <w:r w:rsidR="00996A89" w:rsidRPr="009307C4">
        <w:rPr>
          <w:sz w:val="22"/>
          <w:szCs w:val="22"/>
          <w:lang w:val="sr-Latn-ME" w:eastAsia="sr-Latn-CS"/>
        </w:rPr>
        <w:t xml:space="preserve">, </w:t>
      </w:r>
      <w:r w:rsidR="00B0494C" w:rsidRPr="009307C4">
        <w:rPr>
          <w:sz w:val="22"/>
          <w:szCs w:val="22"/>
          <w:lang w:val="sr-Latn-ME" w:eastAsia="sr-Latn-CS"/>
        </w:rPr>
        <w:t xml:space="preserve">a na osnovu </w:t>
      </w:r>
      <w:r w:rsidRPr="009307C4">
        <w:rPr>
          <w:sz w:val="22"/>
          <w:szCs w:val="22"/>
          <w:lang w:val="sr-Latn-ME" w:eastAsia="sr-Latn-CS"/>
        </w:rPr>
        <w:t>slič</w:t>
      </w:r>
      <w:r w:rsidR="00996A89" w:rsidRPr="009307C4">
        <w:rPr>
          <w:sz w:val="22"/>
          <w:szCs w:val="22"/>
          <w:lang w:val="sr-Latn-ME" w:eastAsia="sr-Latn-CS"/>
        </w:rPr>
        <w:t>n</w:t>
      </w:r>
      <w:r w:rsidR="00B0494C" w:rsidRPr="009307C4">
        <w:rPr>
          <w:sz w:val="22"/>
          <w:szCs w:val="22"/>
          <w:lang w:val="sr-Latn-ME" w:eastAsia="sr-Latn-CS"/>
        </w:rPr>
        <w:t>ih</w:t>
      </w:r>
      <w:r w:rsidR="00996A89" w:rsidRPr="009307C4">
        <w:rPr>
          <w:sz w:val="22"/>
          <w:szCs w:val="22"/>
          <w:lang w:val="sr-Latn-ME" w:eastAsia="sr-Latn-CS"/>
        </w:rPr>
        <w:t xml:space="preserve"> </w:t>
      </w:r>
      <w:r w:rsidRPr="009307C4">
        <w:rPr>
          <w:sz w:val="22"/>
          <w:szCs w:val="22"/>
          <w:lang w:val="sr-Latn-ME" w:eastAsia="sr-Latn-CS"/>
        </w:rPr>
        <w:t>farmakokineti</w:t>
      </w:r>
      <w:r w:rsidR="00B0494C" w:rsidRPr="009307C4">
        <w:rPr>
          <w:sz w:val="22"/>
          <w:szCs w:val="22"/>
          <w:lang w:val="sr-Latn-ME" w:eastAsia="sr-Latn-CS"/>
        </w:rPr>
        <w:t>čkih podataka</w:t>
      </w:r>
      <w:r w:rsidR="00996A89" w:rsidRPr="009307C4">
        <w:rPr>
          <w:sz w:val="22"/>
          <w:szCs w:val="22"/>
          <w:lang w:val="sr-Latn-ME" w:eastAsia="sr-Latn-CS"/>
        </w:rPr>
        <w:t xml:space="preserve">, </w:t>
      </w:r>
      <w:r w:rsidR="00B0494C" w:rsidRPr="009307C4">
        <w:rPr>
          <w:sz w:val="22"/>
          <w:szCs w:val="22"/>
          <w:lang w:val="sr-Latn-ME" w:eastAsia="sr-Latn-CS"/>
        </w:rPr>
        <w:t xml:space="preserve">kao i na osnovu pretpostavke da su tok </w:t>
      </w:r>
      <w:r w:rsidR="00996A89" w:rsidRPr="009307C4">
        <w:rPr>
          <w:sz w:val="22"/>
          <w:szCs w:val="22"/>
          <w:lang w:val="sr-Latn-ME" w:eastAsia="sr-Latn-CS"/>
        </w:rPr>
        <w:t>bolesti, patofiziologij</w:t>
      </w:r>
      <w:r w:rsidR="00B0494C" w:rsidRPr="009307C4">
        <w:rPr>
          <w:sz w:val="22"/>
          <w:szCs w:val="22"/>
          <w:lang w:val="sr-Latn-ME" w:eastAsia="sr-Latn-CS"/>
        </w:rPr>
        <w:t>a</w:t>
      </w:r>
      <w:r w:rsidR="00996A89" w:rsidRPr="009307C4">
        <w:rPr>
          <w:sz w:val="22"/>
          <w:szCs w:val="22"/>
          <w:lang w:val="sr-Latn-ME" w:eastAsia="sr-Latn-CS"/>
        </w:rPr>
        <w:t xml:space="preserve"> </w:t>
      </w:r>
      <w:r w:rsidR="00B0494C" w:rsidRPr="009307C4">
        <w:rPr>
          <w:sz w:val="22"/>
          <w:szCs w:val="22"/>
          <w:lang w:val="sr-Latn-ME" w:eastAsia="sr-Latn-CS"/>
        </w:rPr>
        <w:t xml:space="preserve">i </w:t>
      </w:r>
      <w:r w:rsidR="00996A89" w:rsidRPr="009307C4">
        <w:rPr>
          <w:sz w:val="22"/>
          <w:szCs w:val="22"/>
          <w:lang w:val="sr-Latn-ME" w:eastAsia="sr-Latn-CS"/>
        </w:rPr>
        <w:t xml:space="preserve"> efek</w:t>
      </w:r>
      <w:r w:rsidR="00B0494C" w:rsidRPr="009307C4">
        <w:rPr>
          <w:sz w:val="22"/>
          <w:szCs w:val="22"/>
          <w:lang w:val="sr-Latn-ME" w:eastAsia="sr-Latn-CS"/>
        </w:rPr>
        <w:t>at</w:t>
      </w:r>
      <w:r w:rsidR="00996A89" w:rsidRPr="009307C4">
        <w:rPr>
          <w:sz w:val="22"/>
          <w:szCs w:val="22"/>
          <w:lang w:val="sr-Latn-ME" w:eastAsia="sr-Latn-CS"/>
        </w:rPr>
        <w:t xml:space="preserve"> l</w:t>
      </w:r>
      <w:r w:rsidR="00B0494C" w:rsidRPr="009307C4">
        <w:rPr>
          <w:sz w:val="22"/>
          <w:szCs w:val="22"/>
          <w:lang w:val="sr-Latn-ME" w:eastAsia="sr-Latn-CS"/>
        </w:rPr>
        <w:t>ijeka</w:t>
      </w:r>
      <w:r w:rsidR="00953908" w:rsidRPr="009307C4">
        <w:rPr>
          <w:sz w:val="22"/>
          <w:szCs w:val="22"/>
          <w:lang w:val="sr-Latn-ME" w:eastAsia="sr-Latn-CS"/>
        </w:rPr>
        <w:t xml:space="preserve"> </w:t>
      </w:r>
      <w:r w:rsidR="00B0494C" w:rsidRPr="009307C4">
        <w:rPr>
          <w:sz w:val="22"/>
          <w:szCs w:val="22"/>
          <w:lang w:val="sr-Latn-ME" w:eastAsia="sr-Latn-CS"/>
        </w:rPr>
        <w:t>između ovih populacija slični</w:t>
      </w:r>
      <w:r w:rsidR="00996A89" w:rsidRPr="009307C4">
        <w:rPr>
          <w:sz w:val="22"/>
          <w:szCs w:val="22"/>
          <w:lang w:val="sr-Latn-ME" w:eastAsia="sr-Latn-CS"/>
        </w:rPr>
        <w:t xml:space="preserve">. </w:t>
      </w:r>
    </w:p>
    <w:p w14:paraId="036CF6F0" w14:textId="77777777" w:rsidR="008808CA" w:rsidRPr="009307C4" w:rsidRDefault="008808CA" w:rsidP="00C4333D">
      <w:pPr>
        <w:autoSpaceDE w:val="0"/>
        <w:autoSpaceDN w:val="0"/>
        <w:adjustRightInd w:val="0"/>
        <w:jc w:val="both"/>
        <w:rPr>
          <w:sz w:val="22"/>
          <w:szCs w:val="22"/>
          <w:lang w:val="sr-Latn-ME" w:eastAsia="sr-Latn-CS"/>
        </w:rPr>
      </w:pPr>
    </w:p>
    <w:p w14:paraId="064A10D6" w14:textId="1B445550"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lastRenderedPageBreak/>
        <w:t>Značajna redukcija bronhokonstrikcije izazvane naporom (</w:t>
      </w:r>
      <w:r w:rsidR="00CA22A5" w:rsidRPr="009307C4">
        <w:rPr>
          <w:sz w:val="22"/>
          <w:szCs w:val="22"/>
          <w:lang w:val="sr-Latn-ME" w:eastAsia="sr-Latn-CS"/>
        </w:rPr>
        <w:t xml:space="preserve">engl. </w:t>
      </w:r>
      <w:r w:rsidRPr="009307C4">
        <w:rPr>
          <w:i/>
          <w:iCs/>
          <w:sz w:val="22"/>
          <w:szCs w:val="22"/>
          <w:lang w:val="sr-Latn-ME" w:eastAsia="sr-Latn-CS"/>
        </w:rPr>
        <w:t>exercise induced bronchoconstriction</w:t>
      </w:r>
      <w:r w:rsidRPr="009307C4">
        <w:rPr>
          <w:sz w:val="22"/>
          <w:szCs w:val="22"/>
          <w:lang w:val="sr-Latn-ME" w:eastAsia="sr-Latn-CS"/>
        </w:rPr>
        <w:t xml:space="preserve"> </w:t>
      </w:r>
      <w:r w:rsidR="00B0494C" w:rsidRPr="009307C4">
        <w:rPr>
          <w:sz w:val="22"/>
          <w:szCs w:val="22"/>
          <w:lang w:val="sr-Latn-ME" w:eastAsia="sr-Latn-CS"/>
        </w:rPr>
        <w:t xml:space="preserve">- </w:t>
      </w:r>
      <w:r w:rsidRPr="009307C4">
        <w:rPr>
          <w:sz w:val="22"/>
          <w:szCs w:val="22"/>
          <w:lang w:val="sr-Latn-ME" w:eastAsia="sr-Latn-CS"/>
        </w:rPr>
        <w:t>EIB) je pokazana u studiji na odraslim pacijentima koja je trajala 12 nedjelja (maksimalni pad FEV</w:t>
      </w:r>
      <w:r w:rsidRPr="009307C4">
        <w:rPr>
          <w:sz w:val="22"/>
          <w:szCs w:val="22"/>
          <w:vertAlign w:val="subscript"/>
          <w:lang w:val="sr-Latn-ME" w:eastAsia="sr-Latn-CS"/>
        </w:rPr>
        <w:t>1</w:t>
      </w:r>
      <w:r w:rsidRPr="009307C4">
        <w:rPr>
          <w:sz w:val="22"/>
          <w:szCs w:val="22"/>
          <w:lang w:val="sr-Latn-ME" w:eastAsia="sr-Latn-CS"/>
        </w:rPr>
        <w:t xml:space="preserve"> bio je 22.33% u montelukast grupi </w:t>
      </w:r>
      <w:r w:rsidR="00565C86" w:rsidRPr="009307C4">
        <w:rPr>
          <w:sz w:val="22"/>
          <w:szCs w:val="22"/>
          <w:lang w:val="sr-Latn-ME" w:eastAsia="sr-Latn-CS"/>
        </w:rPr>
        <w:t>naspram</w:t>
      </w:r>
      <w:r w:rsidRPr="009307C4">
        <w:rPr>
          <w:sz w:val="22"/>
          <w:szCs w:val="22"/>
          <w:lang w:val="sr-Latn-ME" w:eastAsia="sr-Latn-CS"/>
        </w:rPr>
        <w:t xml:space="preserve"> 32.40% u placebo grupi; vrijeme oporavka do 5% u odnosu na početne vrijednosti FEV</w:t>
      </w:r>
      <w:r w:rsidRPr="009307C4">
        <w:rPr>
          <w:sz w:val="22"/>
          <w:szCs w:val="22"/>
          <w:vertAlign w:val="subscript"/>
          <w:lang w:val="sr-Latn-ME" w:eastAsia="sr-Latn-CS"/>
        </w:rPr>
        <w:t>1</w:t>
      </w:r>
      <w:r w:rsidRPr="009307C4">
        <w:rPr>
          <w:sz w:val="22"/>
          <w:szCs w:val="22"/>
          <w:lang w:val="sr-Latn-ME" w:eastAsia="sr-Latn-CS"/>
        </w:rPr>
        <w:t xml:space="preserve"> bilo je 44.22 min u montelukast grupi i 60.64 min u placebo grupi). Ovaj efekat bio je konzistentan u toku 12 nedjelja trajanja studije. Smanjenje EIB je takođe pokazano u kratkotrajnoj studiji na pedijatrijskim pacijentima starosti 6-14 godina (maksimalno smanjenje FEV</w:t>
      </w:r>
      <w:r w:rsidRPr="009307C4">
        <w:rPr>
          <w:sz w:val="22"/>
          <w:szCs w:val="22"/>
          <w:vertAlign w:val="subscript"/>
          <w:lang w:val="sr-Latn-ME" w:eastAsia="sr-Latn-CS"/>
        </w:rPr>
        <w:t>1</w:t>
      </w:r>
      <w:r w:rsidRPr="009307C4">
        <w:rPr>
          <w:sz w:val="22"/>
          <w:szCs w:val="22"/>
          <w:lang w:val="sr-Latn-ME" w:eastAsia="sr-Latn-CS"/>
        </w:rPr>
        <w:t xml:space="preserve"> je bilo 18.27% </w:t>
      </w:r>
      <w:r w:rsidR="00565C86" w:rsidRPr="009307C4">
        <w:rPr>
          <w:sz w:val="22"/>
          <w:szCs w:val="22"/>
          <w:lang w:val="sr-Latn-ME" w:eastAsia="sr-Latn-CS"/>
        </w:rPr>
        <w:t>naspram</w:t>
      </w:r>
      <w:r w:rsidRPr="009307C4">
        <w:rPr>
          <w:sz w:val="22"/>
          <w:szCs w:val="22"/>
          <w:lang w:val="sr-Latn-ME" w:eastAsia="sr-Latn-CS"/>
        </w:rPr>
        <w:t xml:space="preserve"> 26.11%; vrijeme oporavka do 5% od početne vrijednosti FEV</w:t>
      </w:r>
      <w:r w:rsidRPr="009307C4">
        <w:rPr>
          <w:sz w:val="22"/>
          <w:szCs w:val="22"/>
          <w:vertAlign w:val="subscript"/>
          <w:lang w:val="sr-Latn-ME" w:eastAsia="sr-Latn-CS"/>
        </w:rPr>
        <w:t>1</w:t>
      </w:r>
      <w:r w:rsidRPr="009307C4">
        <w:rPr>
          <w:sz w:val="22"/>
          <w:szCs w:val="22"/>
          <w:lang w:val="sr-Latn-ME" w:eastAsia="sr-Latn-CS"/>
        </w:rPr>
        <w:t xml:space="preserve"> je bilo 17.76 min</w:t>
      </w:r>
      <w:r w:rsidR="00565C86" w:rsidRPr="009307C4">
        <w:rPr>
          <w:sz w:val="22"/>
          <w:szCs w:val="22"/>
          <w:lang w:val="sr-Latn-ME" w:eastAsia="sr-Latn-CS"/>
        </w:rPr>
        <w:t xml:space="preserve"> naspram</w:t>
      </w:r>
      <w:r w:rsidRPr="009307C4">
        <w:rPr>
          <w:sz w:val="22"/>
          <w:szCs w:val="22"/>
          <w:lang w:val="sr-Latn-ME" w:eastAsia="sr-Latn-CS"/>
        </w:rPr>
        <w:t xml:space="preserve"> 27.98 min). U obje studije efekat je pokazan na kraju doznog intervala pri čemu je doziranje bilo jednom dnevno. </w:t>
      </w:r>
    </w:p>
    <w:p w14:paraId="62748555" w14:textId="77777777" w:rsidR="008808CA" w:rsidRPr="009307C4" w:rsidRDefault="008808CA" w:rsidP="00C4333D">
      <w:pPr>
        <w:autoSpaceDE w:val="0"/>
        <w:autoSpaceDN w:val="0"/>
        <w:adjustRightInd w:val="0"/>
        <w:jc w:val="both"/>
        <w:rPr>
          <w:sz w:val="22"/>
          <w:szCs w:val="22"/>
          <w:lang w:val="sr-Latn-ME" w:eastAsia="sr-Latn-CS"/>
        </w:rPr>
      </w:pPr>
    </w:p>
    <w:p w14:paraId="74BDFD92" w14:textId="032A2921" w:rsidR="008808CA" w:rsidRPr="009307C4" w:rsidRDefault="008808CA" w:rsidP="00C4333D">
      <w:pPr>
        <w:tabs>
          <w:tab w:val="left" w:pos="540"/>
          <w:tab w:val="left" w:pos="569"/>
        </w:tabs>
        <w:jc w:val="both"/>
        <w:rPr>
          <w:sz w:val="22"/>
          <w:szCs w:val="22"/>
          <w:lang w:val="sr-Latn-ME" w:eastAsia="sr-Latn-CS"/>
        </w:rPr>
      </w:pPr>
      <w:r w:rsidRPr="009307C4">
        <w:rPr>
          <w:sz w:val="22"/>
          <w:szCs w:val="22"/>
          <w:lang w:val="sr-Latn-ME" w:eastAsia="sr-Latn-CS"/>
        </w:rPr>
        <w:t xml:space="preserve">Kod astmatičnih pacijenata osjetljivih na aspirin koji su istovremeno dobijali inhalacione i/ili oralne kortikosteroide, liječenje montelukastom u poređenju sa placebom, </w:t>
      </w:r>
      <w:r w:rsidR="00B0494C" w:rsidRPr="009307C4">
        <w:rPr>
          <w:sz w:val="22"/>
          <w:szCs w:val="22"/>
          <w:lang w:val="sr-Latn-ME" w:eastAsia="sr-Latn-CS"/>
        </w:rPr>
        <w:t xml:space="preserve">dovelo </w:t>
      </w:r>
      <w:r w:rsidRPr="009307C4">
        <w:rPr>
          <w:sz w:val="22"/>
          <w:szCs w:val="22"/>
          <w:lang w:val="sr-Latn-ME" w:eastAsia="sr-Latn-CS"/>
        </w:rPr>
        <w:t>je</w:t>
      </w:r>
      <w:r w:rsidR="00B0494C" w:rsidRPr="009307C4">
        <w:rPr>
          <w:sz w:val="22"/>
          <w:szCs w:val="22"/>
          <w:lang w:val="sr-Latn-ME" w:eastAsia="sr-Latn-CS"/>
        </w:rPr>
        <w:t xml:space="preserve"> do</w:t>
      </w:r>
      <w:r w:rsidRPr="009307C4">
        <w:rPr>
          <w:sz w:val="22"/>
          <w:szCs w:val="22"/>
          <w:lang w:val="sr-Latn-ME" w:eastAsia="sr-Latn-CS"/>
        </w:rPr>
        <w:t xml:space="preserve"> značajno</w:t>
      </w:r>
      <w:r w:rsidR="00B0494C" w:rsidRPr="009307C4">
        <w:rPr>
          <w:sz w:val="22"/>
          <w:szCs w:val="22"/>
          <w:lang w:val="sr-Latn-ME" w:eastAsia="sr-Latn-CS"/>
        </w:rPr>
        <w:t>g</w:t>
      </w:r>
      <w:r w:rsidRPr="009307C4">
        <w:rPr>
          <w:sz w:val="22"/>
          <w:szCs w:val="22"/>
          <w:lang w:val="sr-Latn-ME" w:eastAsia="sr-Latn-CS"/>
        </w:rPr>
        <w:t xml:space="preserve"> poboljšanj</w:t>
      </w:r>
      <w:r w:rsidR="00B0494C" w:rsidRPr="009307C4">
        <w:rPr>
          <w:sz w:val="22"/>
          <w:szCs w:val="22"/>
          <w:lang w:val="sr-Latn-ME" w:eastAsia="sr-Latn-CS"/>
        </w:rPr>
        <w:t>a</w:t>
      </w:r>
      <w:r w:rsidRPr="009307C4">
        <w:rPr>
          <w:sz w:val="22"/>
          <w:szCs w:val="22"/>
          <w:lang w:val="sr-Latn-ME" w:eastAsia="sr-Latn-CS"/>
        </w:rPr>
        <w:t xml:space="preserve"> u kontroli astme (promjena FEV</w:t>
      </w:r>
      <w:r w:rsidRPr="009307C4">
        <w:rPr>
          <w:sz w:val="22"/>
          <w:szCs w:val="22"/>
          <w:vertAlign w:val="subscript"/>
          <w:lang w:val="sr-Latn-ME" w:eastAsia="sr-Latn-CS"/>
        </w:rPr>
        <w:t>1</w:t>
      </w:r>
      <w:r w:rsidRPr="009307C4">
        <w:rPr>
          <w:sz w:val="22"/>
          <w:szCs w:val="22"/>
          <w:lang w:val="sr-Latn-ME" w:eastAsia="sr-Latn-CS"/>
        </w:rPr>
        <w:t xml:space="preserve"> od 8.55% </w:t>
      </w:r>
      <w:r w:rsidR="00565C86" w:rsidRPr="009307C4">
        <w:rPr>
          <w:sz w:val="22"/>
          <w:szCs w:val="22"/>
          <w:lang w:val="sr-Latn-ME" w:eastAsia="sr-Latn-CS"/>
        </w:rPr>
        <w:t>naspram</w:t>
      </w:r>
      <w:r w:rsidRPr="009307C4">
        <w:rPr>
          <w:sz w:val="22"/>
          <w:szCs w:val="22"/>
          <w:lang w:val="sr-Latn-ME" w:eastAsia="sr-Latn-CS"/>
        </w:rPr>
        <w:t xml:space="preserve"> -1.74% u odnosu na početne vrijednosti i smanjenje ukupne upotrebe β-agonista od - 27.78% </w:t>
      </w:r>
      <w:r w:rsidR="005F57C3" w:rsidRPr="009307C4">
        <w:rPr>
          <w:sz w:val="22"/>
          <w:szCs w:val="22"/>
          <w:lang w:val="sr-Latn-ME" w:eastAsia="sr-Latn-CS"/>
        </w:rPr>
        <w:t>naspram</w:t>
      </w:r>
      <w:r w:rsidRPr="009307C4">
        <w:rPr>
          <w:sz w:val="22"/>
          <w:szCs w:val="22"/>
          <w:lang w:val="sr-Latn-ME" w:eastAsia="sr-Latn-CS"/>
        </w:rPr>
        <w:t xml:space="preserve"> 2.09% promjena u odnosu na početne vrijednosti).</w:t>
      </w:r>
    </w:p>
    <w:p w14:paraId="2014A03E" w14:textId="77777777" w:rsidR="008808CA" w:rsidRPr="009307C4" w:rsidRDefault="008808CA" w:rsidP="00C4333D">
      <w:pPr>
        <w:tabs>
          <w:tab w:val="left" w:pos="540"/>
          <w:tab w:val="left" w:pos="569"/>
        </w:tabs>
        <w:jc w:val="both"/>
        <w:rPr>
          <w:b/>
          <w:bCs/>
          <w:sz w:val="22"/>
          <w:szCs w:val="22"/>
          <w:lang w:val="sr-Latn-ME"/>
        </w:rPr>
      </w:pPr>
    </w:p>
    <w:p w14:paraId="3289E0E4"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5.2. </w:t>
      </w:r>
      <w:r w:rsidR="00480FB1" w:rsidRPr="009307C4">
        <w:rPr>
          <w:b/>
          <w:bCs/>
          <w:sz w:val="22"/>
          <w:szCs w:val="22"/>
          <w:lang w:val="sr-Latn-ME"/>
        </w:rPr>
        <w:tab/>
      </w:r>
      <w:r w:rsidRPr="009307C4">
        <w:rPr>
          <w:b/>
          <w:bCs/>
          <w:sz w:val="22"/>
          <w:szCs w:val="22"/>
          <w:lang w:val="sr-Latn-ME"/>
        </w:rPr>
        <w:t>Farmakokinetički podaci</w:t>
      </w:r>
      <w:r w:rsidR="003A7059" w:rsidRPr="009307C4">
        <w:rPr>
          <w:b/>
          <w:bCs/>
          <w:sz w:val="22"/>
          <w:szCs w:val="22"/>
          <w:lang w:val="sr-Latn-ME"/>
        </w:rPr>
        <w:t xml:space="preserve"> </w:t>
      </w:r>
    </w:p>
    <w:p w14:paraId="6E85669D" w14:textId="12AB9BF3" w:rsidR="0072020E" w:rsidRPr="009307C4" w:rsidRDefault="0072020E" w:rsidP="00C4333D">
      <w:pPr>
        <w:tabs>
          <w:tab w:val="left" w:pos="540"/>
          <w:tab w:val="left" w:pos="569"/>
        </w:tabs>
        <w:jc w:val="both"/>
        <w:rPr>
          <w:bCs/>
          <w:sz w:val="22"/>
          <w:szCs w:val="22"/>
          <w:lang w:val="sr-Latn-ME"/>
        </w:rPr>
      </w:pPr>
    </w:p>
    <w:p w14:paraId="45611AF3" w14:textId="77777777" w:rsidR="008808CA" w:rsidRPr="009307C4" w:rsidRDefault="008808CA" w:rsidP="00C4333D">
      <w:pPr>
        <w:pStyle w:val="Header"/>
        <w:tabs>
          <w:tab w:val="left" w:pos="284"/>
        </w:tabs>
        <w:jc w:val="both"/>
        <w:rPr>
          <w:sz w:val="22"/>
          <w:u w:val="single"/>
          <w:lang w:val="sr-Latn-ME"/>
        </w:rPr>
      </w:pPr>
      <w:r w:rsidRPr="009307C4">
        <w:rPr>
          <w:sz w:val="22"/>
          <w:u w:val="single"/>
          <w:lang w:val="sr-Latn-ME"/>
        </w:rPr>
        <w:t>Resorpcija</w:t>
      </w:r>
    </w:p>
    <w:p w14:paraId="3953B465" w14:textId="48BB2494" w:rsidR="008808CA" w:rsidRPr="009307C4" w:rsidRDefault="008808CA" w:rsidP="00C4333D">
      <w:pPr>
        <w:pStyle w:val="Header"/>
        <w:tabs>
          <w:tab w:val="left" w:pos="284"/>
        </w:tabs>
        <w:jc w:val="both"/>
        <w:rPr>
          <w:sz w:val="22"/>
          <w:lang w:val="sr-Latn-ME"/>
        </w:rPr>
      </w:pPr>
      <w:r w:rsidRPr="009307C4">
        <w:rPr>
          <w:sz w:val="22"/>
          <w:lang w:val="sr-Latn-ME"/>
        </w:rPr>
        <w:t>Montelukast se brzo resorbuje poslije</w:t>
      </w:r>
      <w:r w:rsidRPr="009307C4">
        <w:rPr>
          <w:i/>
          <w:sz w:val="22"/>
          <w:lang w:val="sr-Latn-ME"/>
        </w:rPr>
        <w:t xml:space="preserve"> </w:t>
      </w:r>
      <w:r w:rsidRPr="009307C4">
        <w:rPr>
          <w:sz w:val="22"/>
          <w:lang w:val="sr-Latn-ME"/>
        </w:rPr>
        <w:t>peroralne primjene. Za 10 mg film tablete srednja maksimalna koncentracija u plazmi (C</w:t>
      </w:r>
      <w:r w:rsidRPr="009307C4">
        <w:rPr>
          <w:sz w:val="22"/>
          <w:vertAlign w:val="subscript"/>
          <w:lang w:val="sr-Latn-ME"/>
        </w:rPr>
        <w:t>max</w:t>
      </w:r>
      <w:r w:rsidRPr="009307C4">
        <w:rPr>
          <w:sz w:val="22"/>
          <w:lang w:val="sr-Latn-ME"/>
        </w:rPr>
        <w:t>) se postiže za 3 sata (T</w:t>
      </w:r>
      <w:r w:rsidRPr="009307C4">
        <w:rPr>
          <w:sz w:val="22"/>
          <w:vertAlign w:val="subscript"/>
          <w:lang w:val="sr-Latn-ME"/>
        </w:rPr>
        <w:t>max</w:t>
      </w:r>
      <w:r w:rsidRPr="009307C4">
        <w:rPr>
          <w:sz w:val="22"/>
          <w:lang w:val="sr-Latn-ME"/>
        </w:rPr>
        <w:t xml:space="preserve">) nakon </w:t>
      </w:r>
      <w:r w:rsidR="00B0494C" w:rsidRPr="009307C4">
        <w:rPr>
          <w:sz w:val="22"/>
          <w:lang w:val="sr-Latn-ME"/>
        </w:rPr>
        <w:t xml:space="preserve">uzimanja lijeka natašte. </w:t>
      </w:r>
      <w:r w:rsidRPr="009307C4">
        <w:rPr>
          <w:sz w:val="22"/>
          <w:lang w:val="sr-Latn-ME"/>
        </w:rPr>
        <w:t>Prosječna bioraspoloživost poslije oralne primjene je 64%. Standardni obrok ne utiče na bioraspoloživost nakon oralne primjene i na C</w:t>
      </w:r>
      <w:r w:rsidRPr="009307C4">
        <w:rPr>
          <w:sz w:val="22"/>
          <w:vertAlign w:val="subscript"/>
          <w:lang w:val="sr-Latn-ME"/>
        </w:rPr>
        <w:t>max</w:t>
      </w:r>
      <w:r w:rsidRPr="009307C4">
        <w:rPr>
          <w:sz w:val="22"/>
          <w:lang w:val="sr-Latn-ME"/>
        </w:rPr>
        <w:t>. Bezb</w:t>
      </w:r>
      <w:r w:rsidR="0099666F" w:rsidRPr="009307C4">
        <w:rPr>
          <w:sz w:val="22"/>
          <w:lang w:val="sr-Latn-ME"/>
        </w:rPr>
        <w:t>j</w:t>
      </w:r>
      <w:r w:rsidRPr="009307C4">
        <w:rPr>
          <w:sz w:val="22"/>
          <w:lang w:val="sr-Latn-ME"/>
        </w:rPr>
        <w:t>ednost i efikasnost su pokazane u kliničkim ispitivanjima u kojima su film tablete od 10 mg prim</w:t>
      </w:r>
      <w:r w:rsidR="0099666F" w:rsidRPr="009307C4">
        <w:rPr>
          <w:sz w:val="22"/>
          <w:lang w:val="sr-Latn-ME"/>
        </w:rPr>
        <w:t>j</w:t>
      </w:r>
      <w:r w:rsidRPr="009307C4">
        <w:rPr>
          <w:sz w:val="22"/>
          <w:lang w:val="sr-Latn-ME"/>
        </w:rPr>
        <w:t>enjivane bez obzira na vrijeme obroka.</w:t>
      </w:r>
    </w:p>
    <w:p w14:paraId="5B3C518B" w14:textId="77777777" w:rsidR="008808CA" w:rsidRPr="009307C4" w:rsidRDefault="008808CA" w:rsidP="00C4333D">
      <w:pPr>
        <w:pStyle w:val="Header"/>
        <w:tabs>
          <w:tab w:val="left" w:pos="284"/>
        </w:tabs>
        <w:jc w:val="both"/>
        <w:rPr>
          <w:sz w:val="22"/>
          <w:lang w:val="sr-Latn-ME"/>
        </w:rPr>
      </w:pPr>
    </w:p>
    <w:p w14:paraId="34112CF2" w14:textId="6CE65584" w:rsidR="008808CA" w:rsidRPr="009307C4" w:rsidRDefault="008808CA" w:rsidP="00C4333D">
      <w:pPr>
        <w:pStyle w:val="Header"/>
        <w:tabs>
          <w:tab w:val="left" w:pos="284"/>
        </w:tabs>
        <w:jc w:val="both"/>
        <w:rPr>
          <w:sz w:val="22"/>
          <w:lang w:val="sr-Latn-ME"/>
        </w:rPr>
      </w:pPr>
      <w:r w:rsidRPr="009307C4">
        <w:rPr>
          <w:sz w:val="22"/>
          <w:lang w:val="sr-Latn-ME"/>
        </w:rPr>
        <w:t>Za tablete za žvakanje od 5 mg C</w:t>
      </w:r>
      <w:r w:rsidRPr="009307C4">
        <w:rPr>
          <w:sz w:val="22"/>
          <w:vertAlign w:val="subscript"/>
          <w:lang w:val="sr-Latn-ME"/>
        </w:rPr>
        <w:t>max</w:t>
      </w:r>
      <w:r w:rsidRPr="009307C4">
        <w:rPr>
          <w:sz w:val="22"/>
          <w:lang w:val="sr-Latn-ME"/>
        </w:rPr>
        <w:t xml:space="preserve"> je dostignuta </w:t>
      </w:r>
      <w:r w:rsidR="00B0494C" w:rsidRPr="009307C4">
        <w:rPr>
          <w:sz w:val="22"/>
          <w:lang w:val="sr-Latn-ME"/>
        </w:rPr>
        <w:t xml:space="preserve">kod odraslih </w:t>
      </w:r>
      <w:r w:rsidRPr="009307C4">
        <w:rPr>
          <w:sz w:val="22"/>
          <w:lang w:val="sr-Latn-ME"/>
        </w:rPr>
        <w:t>za 2 sata nakon</w:t>
      </w:r>
      <w:r w:rsidR="00B0494C" w:rsidRPr="009307C4">
        <w:rPr>
          <w:sz w:val="22"/>
          <w:lang w:val="sr-Latn-ME"/>
        </w:rPr>
        <w:t xml:space="preserve"> uzimanja lijeka natašte</w:t>
      </w:r>
      <w:r w:rsidRPr="009307C4">
        <w:rPr>
          <w:sz w:val="22"/>
          <w:lang w:val="sr-Latn-ME"/>
        </w:rPr>
        <w:t>. Prosječna bioraspoloživost nakon oralne primjene je 73%, i smanjuje se na 63% nakon uzimanja standard</w:t>
      </w:r>
      <w:r w:rsidR="0099666F" w:rsidRPr="009307C4">
        <w:rPr>
          <w:sz w:val="22"/>
          <w:lang w:val="sr-Latn-ME"/>
        </w:rPr>
        <w:t>nog</w:t>
      </w:r>
      <w:r w:rsidRPr="009307C4">
        <w:rPr>
          <w:sz w:val="22"/>
          <w:lang w:val="sr-Latn-ME"/>
        </w:rPr>
        <w:t xml:space="preserve"> obroka.</w:t>
      </w:r>
    </w:p>
    <w:p w14:paraId="11F60587" w14:textId="77777777" w:rsidR="008808CA" w:rsidRPr="009307C4" w:rsidRDefault="008808CA" w:rsidP="00C4333D">
      <w:pPr>
        <w:pStyle w:val="Header"/>
        <w:tabs>
          <w:tab w:val="left" w:pos="284"/>
        </w:tabs>
        <w:jc w:val="both"/>
        <w:rPr>
          <w:sz w:val="22"/>
          <w:lang w:val="sr-Latn-ME"/>
        </w:rPr>
      </w:pPr>
    </w:p>
    <w:p w14:paraId="263EB5B4" w14:textId="5442038D" w:rsidR="008808CA" w:rsidRPr="009307C4" w:rsidRDefault="008808CA" w:rsidP="00C4333D">
      <w:pPr>
        <w:pStyle w:val="Header"/>
        <w:tabs>
          <w:tab w:val="left" w:pos="284"/>
        </w:tabs>
        <w:jc w:val="both"/>
        <w:rPr>
          <w:rFonts w:cs="TimesNewRomanPSMT"/>
          <w:sz w:val="22"/>
          <w:szCs w:val="22"/>
          <w:lang w:val="sr-Latn-ME" w:eastAsia="sr-Latn-CS"/>
        </w:rPr>
      </w:pPr>
      <w:r w:rsidRPr="009307C4">
        <w:rPr>
          <w:sz w:val="22"/>
          <w:lang w:val="sr-Latn-ME"/>
        </w:rPr>
        <w:t xml:space="preserve">Nakon primjene tablete za žvakanje od 4 mg pedijatrijskim pacijentima starosti od 2 do 5 godina </w:t>
      </w:r>
      <w:r w:rsidR="00B0494C" w:rsidRPr="009307C4">
        <w:rPr>
          <w:sz w:val="22"/>
          <w:lang w:val="sr-Latn-ME"/>
        </w:rPr>
        <w:t xml:space="preserve">natašte, </w:t>
      </w:r>
      <w:r w:rsidRPr="009307C4">
        <w:rPr>
          <w:rFonts w:cs="TimesNewRomanPSMT"/>
          <w:sz w:val="22"/>
          <w:szCs w:val="22"/>
          <w:lang w:val="sr-Latn-ME" w:eastAsia="sr-Latn-CS"/>
        </w:rPr>
        <w:t>C</w:t>
      </w:r>
      <w:r w:rsidRPr="009307C4">
        <w:rPr>
          <w:rFonts w:cs="TimesNewRomanPSMT"/>
          <w:sz w:val="22"/>
          <w:szCs w:val="14"/>
          <w:vertAlign w:val="subscript"/>
          <w:lang w:val="sr-Latn-ME" w:eastAsia="sr-Latn-CS"/>
        </w:rPr>
        <w:t>max</w:t>
      </w:r>
      <w:r w:rsidRPr="009307C4">
        <w:rPr>
          <w:sz w:val="22"/>
          <w:lang w:val="sr-Latn-ME"/>
        </w:rPr>
        <w:t xml:space="preserve"> je dostignuta 2 sata nakon primjene</w:t>
      </w:r>
      <w:r w:rsidR="00B0494C" w:rsidRPr="009307C4">
        <w:rPr>
          <w:sz w:val="22"/>
          <w:lang w:val="sr-Latn-ME"/>
        </w:rPr>
        <w:t xml:space="preserve"> lijeka</w:t>
      </w:r>
      <w:r w:rsidRPr="009307C4">
        <w:rPr>
          <w:sz w:val="22"/>
          <w:lang w:val="sr-Latn-ME"/>
        </w:rPr>
        <w:t xml:space="preserve">. </w:t>
      </w:r>
      <w:r w:rsidR="00B0494C" w:rsidRPr="009307C4">
        <w:rPr>
          <w:sz w:val="22"/>
          <w:lang w:val="sr-Latn-ME"/>
        </w:rPr>
        <w:t xml:space="preserve">Ova prosječna </w:t>
      </w:r>
      <w:r w:rsidRPr="009307C4">
        <w:rPr>
          <w:rFonts w:cs="TimesNewRomanPSMT"/>
          <w:sz w:val="22"/>
          <w:szCs w:val="22"/>
          <w:lang w:val="sr-Latn-ME" w:eastAsia="sr-Latn-CS"/>
        </w:rPr>
        <w:t>C</w:t>
      </w:r>
      <w:r w:rsidRPr="009307C4">
        <w:rPr>
          <w:rFonts w:cs="TimesNewRomanPSMT"/>
          <w:sz w:val="22"/>
          <w:szCs w:val="14"/>
          <w:vertAlign w:val="subscript"/>
          <w:lang w:val="sr-Latn-ME" w:eastAsia="sr-Latn-CS"/>
        </w:rPr>
        <w:t>max</w:t>
      </w:r>
      <w:r w:rsidRPr="009307C4">
        <w:rPr>
          <w:sz w:val="22"/>
          <w:lang w:val="sr-Latn-ME"/>
        </w:rPr>
        <w:t xml:space="preserve"> je za 66% već</w:t>
      </w:r>
      <w:r w:rsidR="00C43D2A" w:rsidRPr="009307C4">
        <w:rPr>
          <w:sz w:val="22"/>
          <w:lang w:val="sr-Latn-ME"/>
        </w:rPr>
        <w:t>a</w:t>
      </w:r>
      <w:r w:rsidRPr="009307C4">
        <w:rPr>
          <w:sz w:val="22"/>
          <w:lang w:val="sr-Latn-ME"/>
        </w:rPr>
        <w:t xml:space="preserve">, dok je </w:t>
      </w:r>
      <w:r w:rsidRPr="009307C4">
        <w:rPr>
          <w:rFonts w:cs="TimesNewRomanPSMT"/>
          <w:sz w:val="22"/>
          <w:szCs w:val="22"/>
          <w:lang w:val="sr-Latn-ME" w:eastAsia="sr-Latn-CS"/>
        </w:rPr>
        <w:t>C</w:t>
      </w:r>
      <w:r w:rsidRPr="009307C4">
        <w:rPr>
          <w:rFonts w:cs="TimesNewRomanPSMT"/>
          <w:sz w:val="22"/>
          <w:szCs w:val="14"/>
          <w:vertAlign w:val="subscript"/>
          <w:lang w:val="sr-Latn-ME" w:eastAsia="sr-Latn-CS"/>
        </w:rPr>
        <w:t>min</w:t>
      </w:r>
      <w:r w:rsidRPr="009307C4">
        <w:rPr>
          <w:sz w:val="22"/>
          <w:lang w:val="sr-Latn-ME"/>
        </w:rPr>
        <w:t xml:space="preserve"> niža nego kod odraslih koji su dobili tabletu od 10 mg.   </w:t>
      </w:r>
    </w:p>
    <w:p w14:paraId="4ECD93EE" w14:textId="77777777" w:rsidR="008808CA" w:rsidRPr="009307C4" w:rsidRDefault="008808CA" w:rsidP="00C4333D">
      <w:pPr>
        <w:autoSpaceDE w:val="0"/>
        <w:autoSpaceDN w:val="0"/>
        <w:adjustRightInd w:val="0"/>
        <w:jc w:val="both"/>
        <w:rPr>
          <w:rFonts w:cs="TimesNewRomanPSMT"/>
          <w:sz w:val="22"/>
          <w:szCs w:val="22"/>
          <w:lang w:val="sr-Latn-ME" w:eastAsia="sr-Latn-CS"/>
        </w:rPr>
      </w:pPr>
    </w:p>
    <w:p w14:paraId="3FB0EDA0" w14:textId="2CC567D2" w:rsidR="008808CA" w:rsidRPr="009307C4" w:rsidRDefault="008808CA" w:rsidP="00C4333D">
      <w:pPr>
        <w:autoSpaceDE w:val="0"/>
        <w:autoSpaceDN w:val="0"/>
        <w:adjustRightInd w:val="0"/>
        <w:jc w:val="both"/>
        <w:rPr>
          <w:sz w:val="22"/>
          <w:lang w:val="sr-Latn-ME"/>
        </w:rPr>
      </w:pPr>
      <w:r w:rsidRPr="009307C4">
        <w:rPr>
          <w:rFonts w:cs="TimesNewRomanPSMT"/>
          <w:sz w:val="22"/>
          <w:szCs w:val="22"/>
          <w:lang w:val="sr-Latn-ME" w:eastAsia="sr-Latn-CS"/>
        </w:rPr>
        <w:t>Formulacija granula od 4 mg je bioekvivalentna sa tabletama za žvakanje od 4 mg kad su primjenjene odraslim osobama</w:t>
      </w:r>
      <w:r w:rsidR="00B0494C" w:rsidRPr="009307C4">
        <w:rPr>
          <w:rFonts w:cs="TimesNewRomanPSMT"/>
          <w:sz w:val="22"/>
          <w:szCs w:val="22"/>
          <w:lang w:val="sr-Latn-ME" w:eastAsia="sr-Latn-CS"/>
        </w:rPr>
        <w:t xml:space="preserve"> natašte</w:t>
      </w:r>
      <w:r w:rsidRPr="009307C4">
        <w:rPr>
          <w:rFonts w:cs="TimesNewRomanPSMT"/>
          <w:sz w:val="22"/>
          <w:szCs w:val="22"/>
          <w:lang w:val="sr-Latn-ME" w:eastAsia="sr-Latn-CS"/>
        </w:rPr>
        <w:t>. Kod pedijatrijskih pacijenata starosti 6 mjeseci do 2 godine C</w:t>
      </w:r>
      <w:r w:rsidRPr="009307C4">
        <w:rPr>
          <w:rFonts w:cs="TimesNewRomanPSMT"/>
          <w:sz w:val="22"/>
          <w:szCs w:val="22"/>
          <w:vertAlign w:val="subscript"/>
          <w:lang w:val="sr-Latn-ME" w:eastAsia="sr-Latn-CS"/>
        </w:rPr>
        <w:t>max</w:t>
      </w:r>
      <w:r w:rsidRPr="009307C4">
        <w:rPr>
          <w:rFonts w:cs="TimesNewRomanPSMT"/>
          <w:sz w:val="22"/>
          <w:szCs w:val="22"/>
          <w:lang w:val="sr-Latn-ME" w:eastAsia="sr-Latn-CS"/>
        </w:rPr>
        <w:t xml:space="preserve"> se postiže 2 sata nakon davanja formulacije granula od 4 mg. C</w:t>
      </w:r>
      <w:r w:rsidRPr="009307C4">
        <w:rPr>
          <w:rFonts w:cs="TimesNewRomanPSMT"/>
          <w:sz w:val="22"/>
          <w:szCs w:val="22"/>
          <w:vertAlign w:val="subscript"/>
          <w:lang w:val="sr-Latn-ME" w:eastAsia="sr-Latn-CS"/>
        </w:rPr>
        <w:t>max</w:t>
      </w:r>
      <w:r w:rsidRPr="009307C4">
        <w:rPr>
          <w:rFonts w:cs="TimesNewRomanPSMT"/>
          <w:sz w:val="22"/>
          <w:szCs w:val="22"/>
          <w:lang w:val="sr-Latn-ME" w:eastAsia="sr-Latn-CS"/>
        </w:rPr>
        <w:t xml:space="preserve"> je skoro 2 puta</w:t>
      </w:r>
      <w:r w:rsidR="00B0494C" w:rsidRPr="009307C4">
        <w:rPr>
          <w:rFonts w:cs="TimesNewRomanPSMT"/>
          <w:sz w:val="22"/>
          <w:szCs w:val="22"/>
          <w:lang w:val="sr-Latn-ME" w:eastAsia="sr-Latn-CS"/>
        </w:rPr>
        <w:t xml:space="preserve"> veća</w:t>
      </w:r>
      <w:r w:rsidRPr="009307C4">
        <w:rPr>
          <w:rFonts w:cs="TimesNewRomanPSMT"/>
          <w:sz w:val="22"/>
          <w:szCs w:val="22"/>
          <w:lang w:val="sr-Latn-ME" w:eastAsia="sr-Latn-CS"/>
        </w:rPr>
        <w:t xml:space="preserve"> </w:t>
      </w:r>
      <w:r w:rsidR="00B0494C" w:rsidRPr="009307C4">
        <w:rPr>
          <w:rFonts w:cs="TimesNewRomanPSMT"/>
          <w:sz w:val="22"/>
          <w:szCs w:val="22"/>
          <w:lang w:val="sr-Latn-ME" w:eastAsia="sr-Latn-CS"/>
        </w:rPr>
        <w:t xml:space="preserve">nego kod </w:t>
      </w:r>
      <w:r w:rsidRPr="009307C4">
        <w:rPr>
          <w:rFonts w:cs="TimesNewRomanPSMT"/>
          <w:sz w:val="22"/>
          <w:szCs w:val="22"/>
          <w:lang w:val="sr-Latn-ME" w:eastAsia="sr-Latn-CS"/>
        </w:rPr>
        <w:t>odras</w:t>
      </w:r>
      <w:r w:rsidR="00B0494C" w:rsidRPr="009307C4">
        <w:rPr>
          <w:rFonts w:cs="TimesNewRomanPSMT"/>
          <w:sz w:val="22"/>
          <w:szCs w:val="22"/>
          <w:lang w:val="sr-Latn-ME" w:eastAsia="sr-Latn-CS"/>
        </w:rPr>
        <w:t xml:space="preserve">ih </w:t>
      </w:r>
      <w:r w:rsidRPr="009307C4">
        <w:rPr>
          <w:rFonts w:cs="TimesNewRomanPSMT"/>
          <w:sz w:val="22"/>
          <w:szCs w:val="22"/>
          <w:lang w:val="sr-Latn-ME" w:eastAsia="sr-Latn-CS"/>
        </w:rPr>
        <w:t>koj</w:t>
      </w:r>
      <w:r w:rsidR="00B0494C" w:rsidRPr="009307C4">
        <w:rPr>
          <w:rFonts w:cs="TimesNewRomanPSMT"/>
          <w:sz w:val="22"/>
          <w:szCs w:val="22"/>
          <w:lang w:val="sr-Latn-ME" w:eastAsia="sr-Latn-CS"/>
        </w:rPr>
        <w:t>i</w:t>
      </w:r>
      <w:r w:rsidRPr="009307C4">
        <w:rPr>
          <w:rFonts w:cs="TimesNewRomanPSMT"/>
          <w:sz w:val="22"/>
          <w:szCs w:val="22"/>
          <w:lang w:val="sr-Latn-ME" w:eastAsia="sr-Latn-CS"/>
        </w:rPr>
        <w:t xml:space="preserve"> su dobil</w:t>
      </w:r>
      <w:r w:rsidR="00B0494C" w:rsidRPr="009307C4">
        <w:rPr>
          <w:rFonts w:cs="TimesNewRomanPSMT"/>
          <w:sz w:val="22"/>
          <w:szCs w:val="22"/>
          <w:lang w:val="sr-Latn-ME" w:eastAsia="sr-Latn-CS"/>
        </w:rPr>
        <w:t>i</w:t>
      </w:r>
      <w:r w:rsidRPr="009307C4">
        <w:rPr>
          <w:rFonts w:cs="TimesNewRomanPSMT"/>
          <w:sz w:val="22"/>
          <w:szCs w:val="22"/>
          <w:lang w:val="sr-Latn-ME" w:eastAsia="sr-Latn-CS"/>
        </w:rPr>
        <w:t xml:space="preserve"> tabletu od 10 mg. Davanje kašice od jabuka ili standardizovanog obroka sa visokim sadržajem masti sa formulacijom granula nije imalo klinički značajan efekat na farmakokinetiku montelukasta</w:t>
      </w:r>
      <w:r w:rsidR="00953908" w:rsidRPr="009307C4">
        <w:rPr>
          <w:rFonts w:cs="TimesNewRomanPSMT"/>
          <w:sz w:val="22"/>
          <w:szCs w:val="22"/>
          <w:lang w:val="sr-Latn-ME" w:eastAsia="sr-Latn-CS"/>
        </w:rPr>
        <w:t>,</w:t>
      </w:r>
      <w:r w:rsidRPr="009307C4">
        <w:rPr>
          <w:rFonts w:cs="TimesNewRomanPSMT"/>
          <w:sz w:val="22"/>
          <w:szCs w:val="22"/>
          <w:lang w:val="sr-Latn-ME" w:eastAsia="sr-Latn-CS"/>
        </w:rPr>
        <w:t xml:space="preserve"> što je određeno na osnovu vrijednosti površina ispod krive (</w:t>
      </w:r>
      <w:r w:rsidR="00B0494C" w:rsidRPr="009307C4">
        <w:rPr>
          <w:rFonts w:cs="TimesNewRomanPSMT"/>
          <w:sz w:val="22"/>
          <w:szCs w:val="22"/>
          <w:lang w:val="sr-Latn-ME" w:eastAsia="sr-Latn-CS"/>
        </w:rPr>
        <w:t>PIK</w:t>
      </w:r>
      <w:r w:rsidRPr="009307C4">
        <w:rPr>
          <w:rFonts w:cs="TimesNewRomanPSMT"/>
          <w:sz w:val="22"/>
          <w:szCs w:val="22"/>
          <w:lang w:val="sr-Latn-ME" w:eastAsia="sr-Latn-CS"/>
        </w:rPr>
        <w:t>) (1225.7</w:t>
      </w:r>
      <w:r w:rsidR="004962EE" w:rsidRPr="009307C4">
        <w:rPr>
          <w:rFonts w:cs="TimesNewRomanPSMT"/>
          <w:sz w:val="22"/>
          <w:szCs w:val="22"/>
          <w:lang w:val="sr-Latn-ME" w:eastAsia="sr-Latn-CS"/>
        </w:rPr>
        <w:t xml:space="preserve"> </w:t>
      </w:r>
      <w:r w:rsidR="00FE1B8A" w:rsidRPr="009307C4">
        <w:rPr>
          <w:rFonts w:cs="TimesNewRomanPSMT"/>
          <w:sz w:val="22"/>
          <w:szCs w:val="22"/>
          <w:lang w:val="sr-Latn-ME" w:eastAsia="sr-Latn-CS"/>
        </w:rPr>
        <w:t>naspram</w:t>
      </w:r>
      <w:r w:rsidRPr="009307C4">
        <w:rPr>
          <w:rFonts w:cs="TimesNewRomanPSMT"/>
          <w:sz w:val="22"/>
          <w:szCs w:val="22"/>
          <w:lang w:val="sr-Latn-ME" w:eastAsia="sr-Latn-CS"/>
        </w:rPr>
        <w:t xml:space="preserve"> 1223.1 ng</w:t>
      </w:r>
      <w:r w:rsidRPr="009307C4">
        <w:rPr>
          <w:b/>
          <w:bCs/>
          <w:sz w:val="22"/>
          <w:szCs w:val="22"/>
          <w:lang w:val="sr-Latn-ME" w:eastAsia="sr-Latn-CS"/>
        </w:rPr>
        <w:t>·</w:t>
      </w:r>
      <w:r w:rsidRPr="009307C4">
        <w:rPr>
          <w:rFonts w:cs="TimesNewRomanPSMT"/>
          <w:sz w:val="22"/>
          <w:szCs w:val="22"/>
          <w:lang w:val="sr-Latn-ME" w:eastAsia="sr-Latn-CS"/>
        </w:rPr>
        <w:t xml:space="preserve">hr/mL sa ili bez kašice od jabuka, kao i 1191.8 </w:t>
      </w:r>
      <w:r w:rsidR="00084C2C" w:rsidRPr="009307C4">
        <w:rPr>
          <w:rFonts w:cs="TimesNewRomanPSMT"/>
          <w:sz w:val="22"/>
          <w:szCs w:val="22"/>
          <w:lang w:val="sr-Latn-ME" w:eastAsia="sr-Latn-CS"/>
        </w:rPr>
        <w:t>naspram</w:t>
      </w:r>
      <w:r w:rsidRPr="009307C4">
        <w:rPr>
          <w:rFonts w:cs="TimesNewRomanPSMT"/>
          <w:sz w:val="22"/>
          <w:szCs w:val="22"/>
          <w:lang w:val="sr-Latn-ME" w:eastAsia="sr-Latn-CS"/>
        </w:rPr>
        <w:t xml:space="preserve"> 1148.5 ng</w:t>
      </w:r>
      <w:r w:rsidRPr="009307C4">
        <w:rPr>
          <w:b/>
          <w:bCs/>
          <w:sz w:val="22"/>
          <w:szCs w:val="22"/>
          <w:lang w:val="sr-Latn-ME" w:eastAsia="sr-Latn-CS"/>
        </w:rPr>
        <w:t>·</w:t>
      </w:r>
      <w:r w:rsidRPr="009307C4">
        <w:rPr>
          <w:rFonts w:cs="TimesNewRomanPSMT"/>
          <w:sz w:val="22"/>
          <w:szCs w:val="22"/>
          <w:lang w:val="sr-Latn-ME" w:eastAsia="sr-Latn-CS"/>
        </w:rPr>
        <w:t>hr/mL sa i bez standardnog obroka sa visokim sadržajem masti</w:t>
      </w:r>
      <w:r w:rsidR="00B0494C" w:rsidRPr="009307C4">
        <w:rPr>
          <w:rFonts w:cs="TimesNewRomanPSMT"/>
          <w:sz w:val="22"/>
          <w:szCs w:val="22"/>
          <w:lang w:val="sr-Latn-ME" w:eastAsia="sr-Latn-CS"/>
        </w:rPr>
        <w:t xml:space="preserve"> odnosno bez njega</w:t>
      </w:r>
      <w:r w:rsidRPr="009307C4">
        <w:rPr>
          <w:rFonts w:cs="TimesNewRomanPSMT"/>
          <w:sz w:val="22"/>
          <w:szCs w:val="22"/>
          <w:lang w:val="sr-Latn-ME" w:eastAsia="sr-Latn-CS"/>
        </w:rPr>
        <w:t>).</w:t>
      </w:r>
    </w:p>
    <w:p w14:paraId="0198D6A4" w14:textId="77777777" w:rsidR="008808CA" w:rsidRPr="009307C4" w:rsidRDefault="008808CA" w:rsidP="00C4333D">
      <w:pPr>
        <w:pStyle w:val="Header"/>
        <w:tabs>
          <w:tab w:val="left" w:pos="284"/>
        </w:tabs>
        <w:jc w:val="both"/>
        <w:rPr>
          <w:i/>
          <w:sz w:val="22"/>
          <w:lang w:val="sr-Latn-ME"/>
        </w:rPr>
      </w:pPr>
    </w:p>
    <w:p w14:paraId="5F6EF7F1" w14:textId="77777777" w:rsidR="008808CA" w:rsidRPr="009307C4" w:rsidRDefault="008808CA" w:rsidP="00C4333D">
      <w:pPr>
        <w:pStyle w:val="Header"/>
        <w:tabs>
          <w:tab w:val="left" w:pos="284"/>
        </w:tabs>
        <w:jc w:val="both"/>
        <w:rPr>
          <w:sz w:val="22"/>
          <w:lang w:val="sr-Latn-ME"/>
        </w:rPr>
      </w:pPr>
      <w:r w:rsidRPr="009307C4">
        <w:rPr>
          <w:sz w:val="22"/>
          <w:u w:val="single"/>
          <w:lang w:val="sr-Latn-ME"/>
        </w:rPr>
        <w:t>Distribucija</w:t>
      </w:r>
    </w:p>
    <w:p w14:paraId="3F2AB264" w14:textId="40553686" w:rsidR="008808CA" w:rsidRPr="009307C4" w:rsidRDefault="008808CA" w:rsidP="00C4333D">
      <w:pPr>
        <w:pStyle w:val="Header"/>
        <w:tabs>
          <w:tab w:val="left" w:pos="284"/>
        </w:tabs>
        <w:jc w:val="both"/>
        <w:rPr>
          <w:sz w:val="22"/>
          <w:lang w:val="sr-Latn-ME"/>
        </w:rPr>
      </w:pPr>
      <w:r w:rsidRPr="009307C4">
        <w:rPr>
          <w:sz w:val="22"/>
          <w:lang w:val="sr-Latn-ME"/>
        </w:rPr>
        <w:t>Montelukast se vezuje više od 99% za proteine plazme. Volumen distribucije u stanju ravnoteže za montelukast je u posjeku 8-11 litara. Studije na pacovima koji su tretirani radioobl</w:t>
      </w:r>
      <w:r w:rsidR="005C77B5" w:rsidRPr="009307C4">
        <w:rPr>
          <w:sz w:val="22"/>
          <w:lang w:val="sr-Latn-ME"/>
        </w:rPr>
        <w:t>j</w:t>
      </w:r>
      <w:r w:rsidRPr="009307C4">
        <w:rPr>
          <w:sz w:val="22"/>
          <w:lang w:val="sr-Latn-ME"/>
        </w:rPr>
        <w:t>eženim montelukastom ukazuju da montelukast minimalno prolazi krvno-moždanu barijeru. Pored toga, koncentracije radioob</w:t>
      </w:r>
      <w:r w:rsidR="005C77B5" w:rsidRPr="009307C4">
        <w:rPr>
          <w:sz w:val="22"/>
          <w:lang w:val="sr-Latn-ME"/>
        </w:rPr>
        <w:t>i</w:t>
      </w:r>
      <w:r w:rsidRPr="009307C4">
        <w:rPr>
          <w:sz w:val="22"/>
          <w:lang w:val="sr-Latn-ME"/>
        </w:rPr>
        <w:t>l</w:t>
      </w:r>
      <w:r w:rsidR="005C77B5" w:rsidRPr="009307C4">
        <w:rPr>
          <w:sz w:val="22"/>
          <w:lang w:val="sr-Latn-ME"/>
        </w:rPr>
        <w:t>j</w:t>
      </w:r>
      <w:r w:rsidRPr="009307C4">
        <w:rPr>
          <w:sz w:val="22"/>
          <w:lang w:val="sr-Latn-ME"/>
        </w:rPr>
        <w:t>eženog materijala u tkivima 24 sata poslije doziranja su bile minimalne u svim drugim tkivima.</w:t>
      </w:r>
    </w:p>
    <w:p w14:paraId="640A8376" w14:textId="77777777" w:rsidR="008808CA" w:rsidRPr="009307C4" w:rsidRDefault="008808CA" w:rsidP="00C4333D">
      <w:pPr>
        <w:pStyle w:val="Header"/>
        <w:tabs>
          <w:tab w:val="left" w:pos="284"/>
        </w:tabs>
        <w:jc w:val="both"/>
        <w:rPr>
          <w:i/>
          <w:sz w:val="22"/>
          <w:lang w:val="sr-Latn-ME"/>
        </w:rPr>
      </w:pPr>
    </w:p>
    <w:p w14:paraId="02623D9B" w14:textId="77777777" w:rsidR="008808CA" w:rsidRPr="009307C4" w:rsidRDefault="008808CA" w:rsidP="00C4333D">
      <w:pPr>
        <w:pStyle w:val="Header"/>
        <w:tabs>
          <w:tab w:val="left" w:pos="284"/>
        </w:tabs>
        <w:jc w:val="both"/>
        <w:rPr>
          <w:sz w:val="22"/>
          <w:lang w:val="sr-Latn-ME"/>
        </w:rPr>
      </w:pPr>
      <w:r w:rsidRPr="009307C4">
        <w:rPr>
          <w:sz w:val="22"/>
          <w:u w:val="single"/>
          <w:lang w:val="sr-Latn-ME"/>
        </w:rPr>
        <w:t>Biotransformacija</w:t>
      </w:r>
      <w:r w:rsidRPr="009307C4">
        <w:rPr>
          <w:sz w:val="22"/>
          <w:lang w:val="sr-Latn-ME"/>
        </w:rPr>
        <w:t xml:space="preserve"> </w:t>
      </w:r>
    </w:p>
    <w:p w14:paraId="0DE220D4" w14:textId="20197E5C" w:rsidR="008808CA" w:rsidRPr="009307C4" w:rsidRDefault="008808CA" w:rsidP="00C4333D">
      <w:pPr>
        <w:pStyle w:val="Header"/>
        <w:tabs>
          <w:tab w:val="left" w:pos="284"/>
        </w:tabs>
        <w:jc w:val="both"/>
        <w:rPr>
          <w:sz w:val="22"/>
          <w:lang w:val="sr-Latn-ME"/>
        </w:rPr>
      </w:pPr>
      <w:r w:rsidRPr="009307C4">
        <w:rPr>
          <w:sz w:val="22"/>
          <w:lang w:val="sr-Latn-ME"/>
        </w:rPr>
        <w:t>Montelukast se intenzivno metaboliše. U studijama sa terapijskim dozama montelukasta, koncentracije metabolita u plazmi se nijesu mogle detektova</w:t>
      </w:r>
      <w:r w:rsidR="007B0E13" w:rsidRPr="009307C4">
        <w:rPr>
          <w:sz w:val="22"/>
          <w:lang w:val="sr-Latn-ME"/>
        </w:rPr>
        <w:t>t</w:t>
      </w:r>
      <w:r w:rsidRPr="009307C4">
        <w:rPr>
          <w:sz w:val="22"/>
          <w:lang w:val="sr-Latn-ME"/>
        </w:rPr>
        <w:t xml:space="preserve">i u stanju ravnoteže ni kod odraslih ni kod djece. </w:t>
      </w:r>
    </w:p>
    <w:p w14:paraId="37121D5D" w14:textId="77777777" w:rsidR="008808CA" w:rsidRPr="009307C4" w:rsidRDefault="008808CA" w:rsidP="00C4333D">
      <w:pPr>
        <w:pStyle w:val="Header"/>
        <w:tabs>
          <w:tab w:val="left" w:pos="284"/>
        </w:tabs>
        <w:jc w:val="both"/>
        <w:rPr>
          <w:i/>
          <w:sz w:val="22"/>
          <w:lang w:val="sr-Latn-ME"/>
        </w:rPr>
      </w:pPr>
    </w:p>
    <w:p w14:paraId="585A6E5F" w14:textId="37CCB4D5" w:rsidR="00AC6DF2" w:rsidRPr="009307C4" w:rsidRDefault="008808CA" w:rsidP="00C4333D">
      <w:pPr>
        <w:pStyle w:val="Header"/>
        <w:tabs>
          <w:tab w:val="left" w:pos="284"/>
        </w:tabs>
        <w:jc w:val="both"/>
        <w:rPr>
          <w:sz w:val="22"/>
          <w:lang w:val="sr-Latn-ME"/>
        </w:rPr>
      </w:pPr>
      <w:r w:rsidRPr="009307C4">
        <w:rPr>
          <w:sz w:val="22"/>
          <w:lang w:val="sr-Latn-ME"/>
        </w:rPr>
        <w:t xml:space="preserve">Citiohrom P450 2C8 je </w:t>
      </w:r>
      <w:r w:rsidR="00AC6DF2" w:rsidRPr="009307C4">
        <w:rPr>
          <w:sz w:val="22"/>
          <w:lang w:val="sr-Latn-ME"/>
        </w:rPr>
        <w:t xml:space="preserve">glavni </w:t>
      </w:r>
      <w:r w:rsidRPr="009307C4">
        <w:rPr>
          <w:sz w:val="22"/>
          <w:lang w:val="sr-Latn-ME"/>
        </w:rPr>
        <w:t>enzim u metabolizmu montelukasta. CYP 3A4 i 2C9</w:t>
      </w:r>
      <w:r w:rsidR="00AC6DF2" w:rsidRPr="009307C4">
        <w:rPr>
          <w:sz w:val="22"/>
          <w:lang w:val="sr-Latn-ME"/>
        </w:rPr>
        <w:t xml:space="preserve"> takođe</w:t>
      </w:r>
      <w:r w:rsidRPr="009307C4">
        <w:rPr>
          <w:sz w:val="22"/>
          <w:lang w:val="sr-Latn-ME"/>
        </w:rPr>
        <w:t xml:space="preserve"> mogu</w:t>
      </w:r>
      <w:r w:rsidR="00307F67" w:rsidRPr="009307C4">
        <w:rPr>
          <w:sz w:val="22"/>
          <w:lang w:val="sr-Latn-ME"/>
        </w:rPr>
        <w:t xml:space="preserve"> </w:t>
      </w:r>
      <w:r w:rsidR="00AC6DF2" w:rsidRPr="009307C4">
        <w:rPr>
          <w:sz w:val="22"/>
          <w:lang w:val="sr-Latn-ME"/>
        </w:rPr>
        <w:t>da imaju minimalan doprinos</w:t>
      </w:r>
      <w:r w:rsidRPr="009307C4">
        <w:rPr>
          <w:sz w:val="22"/>
          <w:lang w:val="sr-Latn-ME"/>
        </w:rPr>
        <w:t>,</w:t>
      </w:r>
      <w:r w:rsidRPr="009307C4">
        <w:rPr>
          <w:lang w:val="sr-Latn-ME"/>
        </w:rPr>
        <w:t xml:space="preserve"> </w:t>
      </w:r>
      <w:r w:rsidRPr="009307C4">
        <w:rPr>
          <w:sz w:val="22"/>
          <w:lang w:val="sr-Latn-ME"/>
        </w:rPr>
        <w:t>iako</w:t>
      </w:r>
      <w:r w:rsidR="00AC6DF2" w:rsidRPr="009307C4">
        <w:rPr>
          <w:sz w:val="22"/>
          <w:lang w:val="sr-Latn-ME"/>
        </w:rPr>
        <w:t xml:space="preserve"> se za</w:t>
      </w:r>
      <w:r w:rsidRPr="009307C4">
        <w:rPr>
          <w:sz w:val="22"/>
          <w:lang w:val="sr-Latn-ME"/>
        </w:rPr>
        <w:t xml:space="preserve"> itrakonazol, </w:t>
      </w:r>
      <w:r w:rsidR="00AC6DF2" w:rsidRPr="009307C4">
        <w:rPr>
          <w:sz w:val="22"/>
          <w:lang w:val="sr-Latn-ME"/>
        </w:rPr>
        <w:t xml:space="preserve">koji je </w:t>
      </w:r>
      <w:r w:rsidRPr="009307C4">
        <w:rPr>
          <w:sz w:val="22"/>
          <w:lang w:val="sr-Latn-ME"/>
        </w:rPr>
        <w:t xml:space="preserve">inhibitor CYP 3A4, </w:t>
      </w:r>
      <w:r w:rsidR="00AC6DF2" w:rsidRPr="009307C4">
        <w:rPr>
          <w:sz w:val="22"/>
          <w:lang w:val="sr-Latn-ME"/>
        </w:rPr>
        <w:t xml:space="preserve">pokazalo da ne mijenja </w:t>
      </w:r>
      <w:r w:rsidRPr="009307C4">
        <w:rPr>
          <w:sz w:val="22"/>
          <w:lang w:val="sr-Latn-ME"/>
        </w:rPr>
        <w:t>farmakokinetičk</w:t>
      </w:r>
      <w:r w:rsidR="00AC6DF2" w:rsidRPr="009307C4">
        <w:rPr>
          <w:sz w:val="22"/>
          <w:lang w:val="sr-Latn-ME"/>
        </w:rPr>
        <w:t>e</w:t>
      </w:r>
      <w:r w:rsidRPr="009307C4">
        <w:rPr>
          <w:sz w:val="22"/>
          <w:lang w:val="sr-Latn-ME"/>
        </w:rPr>
        <w:t xml:space="preserve"> </w:t>
      </w:r>
      <w:r w:rsidR="00AC6DF2" w:rsidRPr="009307C4">
        <w:rPr>
          <w:sz w:val="22"/>
          <w:lang w:val="sr-Latn-ME"/>
        </w:rPr>
        <w:t xml:space="preserve">parametre </w:t>
      </w:r>
      <w:r w:rsidRPr="009307C4">
        <w:rPr>
          <w:sz w:val="22"/>
          <w:lang w:val="sr-Latn-ME"/>
        </w:rPr>
        <w:t>montelukasta kod zdravih ispitanika koji su uzimali 10 mg montelukasta</w:t>
      </w:r>
      <w:r w:rsidR="00AC6DF2" w:rsidRPr="009307C4">
        <w:rPr>
          <w:sz w:val="22"/>
          <w:lang w:val="sr-Latn-ME"/>
        </w:rPr>
        <w:t>na dan</w:t>
      </w:r>
      <w:r w:rsidRPr="009307C4">
        <w:rPr>
          <w:sz w:val="22"/>
          <w:lang w:val="sr-Latn-ME"/>
        </w:rPr>
        <w:t xml:space="preserve">. </w:t>
      </w:r>
    </w:p>
    <w:p w14:paraId="14E6B157" w14:textId="77777777" w:rsidR="00EB509B" w:rsidRPr="009307C4" w:rsidRDefault="00EB509B" w:rsidP="00C4333D">
      <w:pPr>
        <w:pStyle w:val="Header"/>
        <w:tabs>
          <w:tab w:val="left" w:pos="284"/>
        </w:tabs>
        <w:jc w:val="both"/>
        <w:rPr>
          <w:i/>
          <w:sz w:val="22"/>
          <w:lang w:val="sr-Latn-ME"/>
        </w:rPr>
      </w:pPr>
    </w:p>
    <w:p w14:paraId="4CFD5A0B" w14:textId="1577182A" w:rsidR="008808CA" w:rsidRPr="009307C4" w:rsidRDefault="00AC6DF2" w:rsidP="00C4333D">
      <w:pPr>
        <w:pStyle w:val="Header"/>
        <w:tabs>
          <w:tab w:val="left" w:pos="284"/>
        </w:tabs>
        <w:jc w:val="both"/>
        <w:rPr>
          <w:sz w:val="22"/>
          <w:lang w:val="sr-Latn-ME"/>
        </w:rPr>
      </w:pPr>
      <w:r w:rsidRPr="009307C4">
        <w:rPr>
          <w:i/>
          <w:sz w:val="22"/>
          <w:lang w:val="sr-Latn-ME"/>
        </w:rPr>
        <w:lastRenderedPageBreak/>
        <w:t>I</w:t>
      </w:r>
      <w:r w:rsidR="008808CA" w:rsidRPr="009307C4">
        <w:rPr>
          <w:i/>
          <w:sz w:val="22"/>
          <w:lang w:val="sr-Latn-ME"/>
        </w:rPr>
        <w:t>n vitro</w:t>
      </w:r>
      <w:r w:rsidR="008808CA" w:rsidRPr="009307C4">
        <w:rPr>
          <w:sz w:val="22"/>
          <w:lang w:val="sr-Latn-ME"/>
        </w:rPr>
        <w:t xml:space="preserve"> </w:t>
      </w:r>
      <w:r w:rsidRPr="009307C4">
        <w:rPr>
          <w:sz w:val="22"/>
          <w:lang w:val="sr-Latn-ME"/>
        </w:rPr>
        <w:t xml:space="preserve"> studije </w:t>
      </w:r>
      <w:r w:rsidR="008808CA" w:rsidRPr="009307C4">
        <w:rPr>
          <w:sz w:val="22"/>
          <w:lang w:val="sr-Latn-ME"/>
        </w:rPr>
        <w:t xml:space="preserve">na mikrozomima humane jetre </w:t>
      </w:r>
      <w:r w:rsidRPr="009307C4">
        <w:rPr>
          <w:sz w:val="22"/>
          <w:lang w:val="sr-Latn-ME"/>
        </w:rPr>
        <w:t xml:space="preserve"> su pokazale </w:t>
      </w:r>
      <w:r w:rsidR="008808CA" w:rsidRPr="009307C4">
        <w:rPr>
          <w:sz w:val="22"/>
          <w:lang w:val="sr-Latn-ME"/>
        </w:rPr>
        <w:t>da</w:t>
      </w:r>
      <w:r w:rsidRPr="009307C4">
        <w:rPr>
          <w:sz w:val="22"/>
          <w:lang w:val="sr-Latn-ME"/>
        </w:rPr>
        <w:t xml:space="preserve"> montelukast primijenjen u</w:t>
      </w:r>
      <w:r w:rsidR="008808CA" w:rsidRPr="009307C4">
        <w:rPr>
          <w:sz w:val="22"/>
          <w:lang w:val="sr-Latn-ME"/>
        </w:rPr>
        <w:t xml:space="preserve"> terapijsk</w:t>
      </w:r>
      <w:r w:rsidRPr="009307C4">
        <w:rPr>
          <w:sz w:val="22"/>
          <w:lang w:val="sr-Latn-ME"/>
        </w:rPr>
        <w:t>im</w:t>
      </w:r>
      <w:r w:rsidR="008808CA" w:rsidRPr="009307C4">
        <w:rPr>
          <w:sz w:val="22"/>
          <w:lang w:val="sr-Latn-ME"/>
        </w:rPr>
        <w:t xml:space="preserve"> </w:t>
      </w:r>
      <w:r w:rsidRPr="009307C4">
        <w:rPr>
          <w:sz w:val="22"/>
          <w:lang w:val="sr-Latn-ME"/>
        </w:rPr>
        <w:t xml:space="preserve">dozama </w:t>
      </w:r>
      <w:r w:rsidR="008808CA" w:rsidRPr="009307C4">
        <w:rPr>
          <w:sz w:val="22"/>
          <w:lang w:val="sr-Latn-ME"/>
        </w:rPr>
        <w:t>ne inhibira citohrome P450 3A4, 2C9, 1A2, 2A6, 2C19 i</w:t>
      </w:r>
      <w:r w:rsidRPr="009307C4">
        <w:rPr>
          <w:sz w:val="22"/>
          <w:lang w:val="sr-Latn-ME"/>
        </w:rPr>
        <w:t>li</w:t>
      </w:r>
      <w:r w:rsidR="008808CA" w:rsidRPr="009307C4">
        <w:rPr>
          <w:sz w:val="22"/>
          <w:lang w:val="sr-Latn-ME"/>
        </w:rPr>
        <w:t xml:space="preserve"> 2D6. Doprinos metabolita</w:t>
      </w:r>
      <w:r w:rsidRPr="009307C4">
        <w:rPr>
          <w:sz w:val="22"/>
          <w:lang w:val="sr-Latn-ME"/>
        </w:rPr>
        <w:t xml:space="preserve"> u ostvarivanju</w:t>
      </w:r>
      <w:r w:rsidR="008808CA" w:rsidRPr="009307C4">
        <w:rPr>
          <w:sz w:val="22"/>
          <w:lang w:val="sr-Latn-ME"/>
        </w:rPr>
        <w:t xml:space="preserve"> terapijsko</w:t>
      </w:r>
      <w:r w:rsidRPr="009307C4">
        <w:rPr>
          <w:sz w:val="22"/>
          <w:lang w:val="sr-Latn-ME"/>
        </w:rPr>
        <w:t>g</w:t>
      </w:r>
      <w:r w:rsidR="008808CA" w:rsidRPr="009307C4">
        <w:rPr>
          <w:sz w:val="22"/>
          <w:lang w:val="sr-Latn-ME"/>
        </w:rPr>
        <w:t xml:space="preserve"> dejstv</w:t>
      </w:r>
      <w:r w:rsidRPr="009307C4">
        <w:rPr>
          <w:sz w:val="22"/>
          <w:lang w:val="sr-Latn-ME"/>
        </w:rPr>
        <w:t>a</w:t>
      </w:r>
      <w:r w:rsidR="008808CA" w:rsidRPr="009307C4">
        <w:rPr>
          <w:sz w:val="22"/>
          <w:lang w:val="sr-Latn-ME"/>
        </w:rPr>
        <w:t xml:space="preserve"> montelukasta je minimalan.</w:t>
      </w:r>
    </w:p>
    <w:p w14:paraId="2E7428FF" w14:textId="77777777" w:rsidR="008808CA" w:rsidRPr="009307C4" w:rsidRDefault="008808CA" w:rsidP="00C4333D">
      <w:pPr>
        <w:pStyle w:val="Header"/>
        <w:tabs>
          <w:tab w:val="left" w:pos="284"/>
        </w:tabs>
        <w:jc w:val="both"/>
        <w:rPr>
          <w:i/>
          <w:sz w:val="22"/>
          <w:lang w:val="sr-Latn-ME"/>
        </w:rPr>
      </w:pPr>
    </w:p>
    <w:p w14:paraId="39557FAD" w14:textId="77777777" w:rsidR="008808CA" w:rsidRPr="009307C4" w:rsidRDefault="008808CA" w:rsidP="00C4333D">
      <w:pPr>
        <w:pStyle w:val="Header"/>
        <w:tabs>
          <w:tab w:val="left" w:pos="284"/>
        </w:tabs>
        <w:jc w:val="both"/>
        <w:rPr>
          <w:sz w:val="22"/>
          <w:lang w:val="sr-Latn-ME"/>
        </w:rPr>
      </w:pPr>
      <w:r w:rsidRPr="009307C4">
        <w:rPr>
          <w:sz w:val="22"/>
          <w:u w:val="single"/>
          <w:lang w:val="sr-Latn-ME"/>
        </w:rPr>
        <w:t>Eliminacija</w:t>
      </w:r>
      <w:r w:rsidRPr="009307C4">
        <w:rPr>
          <w:sz w:val="22"/>
          <w:lang w:val="sr-Latn-ME"/>
        </w:rPr>
        <w:t xml:space="preserve"> </w:t>
      </w:r>
    </w:p>
    <w:p w14:paraId="200FDCCD" w14:textId="05035B1E" w:rsidR="008808CA" w:rsidRPr="009307C4" w:rsidRDefault="008808CA" w:rsidP="00C4333D">
      <w:pPr>
        <w:pStyle w:val="Header"/>
        <w:tabs>
          <w:tab w:val="left" w:pos="284"/>
        </w:tabs>
        <w:jc w:val="both"/>
        <w:rPr>
          <w:i/>
          <w:sz w:val="22"/>
          <w:lang w:val="sr-Latn-ME"/>
        </w:rPr>
      </w:pPr>
      <w:r w:rsidRPr="009307C4">
        <w:rPr>
          <w:sz w:val="22"/>
          <w:lang w:val="sr-Latn-ME"/>
        </w:rPr>
        <w:t>Plazma klirens montelukasta kod zdravih odraslih osoba je u prosjeku 45 ml/min. Pos</w:t>
      </w:r>
      <w:r w:rsidR="00084C2C" w:rsidRPr="009307C4">
        <w:rPr>
          <w:sz w:val="22"/>
          <w:lang w:val="sr-Latn-ME"/>
        </w:rPr>
        <w:t>lije</w:t>
      </w:r>
      <w:r w:rsidRPr="009307C4">
        <w:rPr>
          <w:sz w:val="22"/>
          <w:lang w:val="sr-Latn-ME"/>
        </w:rPr>
        <w:t xml:space="preserve"> oralne primjene obiilježenog montelukasta 86% radioaktivnosti se može detektovati u fecesu prikupljenom tokom 5 dana, i </w:t>
      </w:r>
      <w:r w:rsidRPr="009307C4">
        <w:rPr>
          <w:sz w:val="22"/>
          <w:szCs w:val="22"/>
          <w:lang w:val="sr-Latn-ME" w:eastAsia="sr-Latn-CS"/>
        </w:rPr>
        <w:t xml:space="preserve">&lt; od 0.2% se detektuje u urinu. </w:t>
      </w:r>
      <w:r w:rsidR="00AC6DF2" w:rsidRPr="009307C4">
        <w:rPr>
          <w:sz w:val="22"/>
          <w:szCs w:val="22"/>
          <w:lang w:val="sr-Latn-ME" w:eastAsia="sr-Latn-CS"/>
        </w:rPr>
        <w:t>Ukoliko se uzme u obzir i procijenjena</w:t>
      </w:r>
      <w:r w:rsidRPr="009307C4">
        <w:rPr>
          <w:sz w:val="22"/>
          <w:szCs w:val="22"/>
          <w:lang w:val="sr-Latn-ME" w:eastAsia="sr-Latn-CS"/>
        </w:rPr>
        <w:t xml:space="preserve"> biorapoloživost</w:t>
      </w:r>
      <w:r w:rsidR="00AC6DF2" w:rsidRPr="009307C4">
        <w:rPr>
          <w:sz w:val="22"/>
          <w:szCs w:val="22"/>
          <w:lang w:val="sr-Latn-ME" w:eastAsia="sr-Latn-CS"/>
        </w:rPr>
        <w:t xml:space="preserve"> montelukasta nakon oralne primjene, može se zaključiti </w:t>
      </w:r>
      <w:r w:rsidRPr="009307C4">
        <w:rPr>
          <w:sz w:val="22"/>
          <w:szCs w:val="22"/>
          <w:lang w:val="sr-Latn-ME" w:eastAsia="sr-Latn-CS"/>
        </w:rPr>
        <w:t>da se montelukast i njegovi metaboliti skoro isključivo eliminišu putem žuči.</w:t>
      </w:r>
      <w:r w:rsidRPr="009307C4">
        <w:rPr>
          <w:sz w:val="22"/>
          <w:lang w:val="sr-Latn-ME"/>
        </w:rPr>
        <w:t xml:space="preserve"> </w:t>
      </w:r>
    </w:p>
    <w:p w14:paraId="1B966CDB" w14:textId="77777777" w:rsidR="008808CA" w:rsidRPr="009307C4" w:rsidRDefault="008808CA" w:rsidP="00C4333D">
      <w:pPr>
        <w:pStyle w:val="Header"/>
        <w:tabs>
          <w:tab w:val="left" w:pos="284"/>
        </w:tabs>
        <w:jc w:val="both"/>
        <w:rPr>
          <w:i/>
          <w:sz w:val="22"/>
          <w:lang w:val="sr-Latn-ME"/>
        </w:rPr>
      </w:pPr>
    </w:p>
    <w:p w14:paraId="74DAD2DD" w14:textId="77777777" w:rsidR="008808CA" w:rsidRPr="009307C4" w:rsidRDefault="008808CA" w:rsidP="00C4333D">
      <w:pPr>
        <w:pStyle w:val="Header"/>
        <w:tabs>
          <w:tab w:val="left" w:pos="284"/>
        </w:tabs>
        <w:jc w:val="both"/>
        <w:rPr>
          <w:sz w:val="22"/>
          <w:lang w:val="sr-Latn-ME"/>
        </w:rPr>
      </w:pPr>
      <w:r w:rsidRPr="009307C4">
        <w:rPr>
          <w:sz w:val="22"/>
          <w:u w:val="single"/>
          <w:lang w:val="sr-Latn-ME"/>
        </w:rPr>
        <w:t>Karakteristike kod pacijenata</w:t>
      </w:r>
      <w:r w:rsidRPr="009307C4">
        <w:rPr>
          <w:i/>
          <w:sz w:val="22"/>
          <w:lang w:val="sr-Latn-ME"/>
        </w:rPr>
        <w:t>.</w:t>
      </w:r>
      <w:r w:rsidRPr="009307C4">
        <w:rPr>
          <w:sz w:val="22"/>
          <w:lang w:val="sr-Latn-ME"/>
        </w:rPr>
        <w:t xml:space="preserve"> </w:t>
      </w:r>
    </w:p>
    <w:p w14:paraId="09D8692A" w14:textId="4129E341" w:rsidR="008808CA" w:rsidRPr="009307C4" w:rsidRDefault="008808CA" w:rsidP="00C4333D">
      <w:pPr>
        <w:pStyle w:val="Header"/>
        <w:tabs>
          <w:tab w:val="left" w:pos="284"/>
        </w:tabs>
        <w:jc w:val="both"/>
        <w:rPr>
          <w:sz w:val="22"/>
          <w:lang w:val="sr-Latn-ME"/>
        </w:rPr>
      </w:pPr>
      <w:r w:rsidRPr="009307C4">
        <w:rPr>
          <w:sz w:val="22"/>
          <w:lang w:val="sr-Latn-ME"/>
        </w:rPr>
        <w:t>Nije neophodno prilagođavanje doze kod starih osoba ili kod pacijenata sa blag</w:t>
      </w:r>
      <w:r w:rsidR="00AC6DF2" w:rsidRPr="009307C4">
        <w:rPr>
          <w:sz w:val="22"/>
          <w:lang w:val="sr-Latn-ME"/>
        </w:rPr>
        <w:t>i</w:t>
      </w:r>
      <w:r w:rsidRPr="009307C4">
        <w:rPr>
          <w:sz w:val="22"/>
          <w:lang w:val="sr-Latn-ME"/>
        </w:rPr>
        <w:t>m do umjeren</w:t>
      </w:r>
      <w:r w:rsidR="00AC6DF2" w:rsidRPr="009307C4">
        <w:rPr>
          <w:sz w:val="22"/>
          <w:lang w:val="sr-Latn-ME"/>
        </w:rPr>
        <w:t>i</w:t>
      </w:r>
      <w:r w:rsidRPr="009307C4">
        <w:rPr>
          <w:sz w:val="22"/>
          <w:lang w:val="sr-Latn-ME"/>
        </w:rPr>
        <w:t xml:space="preserve">m </w:t>
      </w:r>
      <w:r w:rsidR="00AC6DF2" w:rsidRPr="009307C4">
        <w:rPr>
          <w:sz w:val="22"/>
          <w:lang w:val="sr-Latn-ME"/>
        </w:rPr>
        <w:t xml:space="preserve">ođtećenjem funkcije </w:t>
      </w:r>
      <w:r w:rsidRPr="009307C4">
        <w:rPr>
          <w:sz w:val="22"/>
          <w:lang w:val="sr-Latn-ME"/>
        </w:rPr>
        <w:t>jetre. Nijesu sprovedena klinička ispitivanja na pacijentima sa oštećenom funkcijom bubrega. Pošto se montelukast i njegovi metaboliti eliminišu bilijarnim putem pretpostavlja se da nije potrebno prilagođavanje doze kod pacijenata sa</w:t>
      </w:r>
      <w:r w:rsidR="00AC6DF2" w:rsidRPr="009307C4">
        <w:rPr>
          <w:sz w:val="22"/>
          <w:lang w:val="sr-Latn-ME"/>
        </w:rPr>
        <w:t>oštećenom funkcijom bubrega</w:t>
      </w:r>
      <w:r w:rsidRPr="009307C4">
        <w:rPr>
          <w:sz w:val="22"/>
          <w:lang w:val="sr-Latn-ME"/>
        </w:rPr>
        <w:t>. Nema podataka o farmakokinetici montelukasta kod pacijenata sa tešk</w:t>
      </w:r>
      <w:r w:rsidR="00AC6DF2" w:rsidRPr="009307C4">
        <w:rPr>
          <w:sz w:val="22"/>
          <w:lang w:val="sr-Latn-ME"/>
        </w:rPr>
        <w:t>im oštećenjem funkcije</w:t>
      </w:r>
      <w:r w:rsidRPr="009307C4">
        <w:rPr>
          <w:sz w:val="22"/>
          <w:lang w:val="sr-Latn-ME"/>
        </w:rPr>
        <w:t xml:space="preserve"> jetre (</w:t>
      </w:r>
      <w:r w:rsidRPr="009307C4">
        <w:rPr>
          <w:i/>
          <w:iCs/>
          <w:sz w:val="22"/>
          <w:lang w:val="sr-Latn-ME"/>
        </w:rPr>
        <w:t>Child-Pugh</w:t>
      </w:r>
      <w:r w:rsidRPr="009307C4">
        <w:rPr>
          <w:sz w:val="22"/>
          <w:lang w:val="sr-Latn-ME"/>
        </w:rPr>
        <w:t xml:space="preserve"> skor &gt;9). </w:t>
      </w:r>
    </w:p>
    <w:p w14:paraId="4E4733EB" w14:textId="77777777" w:rsidR="008808CA" w:rsidRPr="009307C4" w:rsidRDefault="008808CA" w:rsidP="00C4333D">
      <w:pPr>
        <w:autoSpaceDE w:val="0"/>
        <w:autoSpaceDN w:val="0"/>
        <w:adjustRightInd w:val="0"/>
        <w:jc w:val="both"/>
        <w:rPr>
          <w:sz w:val="22"/>
          <w:szCs w:val="22"/>
          <w:lang w:val="sr-Latn-ME" w:eastAsia="sr-Latn-CS"/>
        </w:rPr>
      </w:pPr>
    </w:p>
    <w:p w14:paraId="1C9F9909" w14:textId="1E81FAF2"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Nakon primjene visokih doza montelukasta (koje su 20 do 60 puta veće od preporučenih doza za odrasle) uočeno je smanjenje koncentracije teofilina u plazmi. Ov</w:t>
      </w:r>
      <w:r w:rsidR="00AC6DF2" w:rsidRPr="009307C4">
        <w:rPr>
          <w:sz w:val="22"/>
          <w:szCs w:val="22"/>
          <w:lang w:val="sr-Latn-ME" w:eastAsia="sr-Latn-CS"/>
        </w:rPr>
        <w:t>o dejstvo</w:t>
      </w:r>
      <w:r w:rsidRPr="009307C4">
        <w:rPr>
          <w:sz w:val="22"/>
          <w:szCs w:val="22"/>
          <w:lang w:val="sr-Latn-ME" w:eastAsia="sr-Latn-CS"/>
        </w:rPr>
        <w:t xml:space="preserve"> nije</w:t>
      </w:r>
      <w:r w:rsidR="00AC6DF2" w:rsidRPr="009307C4">
        <w:rPr>
          <w:sz w:val="22"/>
          <w:szCs w:val="22"/>
          <w:lang w:val="sr-Latn-ME" w:eastAsia="sr-Latn-CS"/>
        </w:rPr>
        <w:t xml:space="preserve"> bilo</w:t>
      </w:r>
      <w:r w:rsidRPr="009307C4">
        <w:rPr>
          <w:sz w:val="22"/>
          <w:szCs w:val="22"/>
          <w:lang w:val="sr-Latn-ME" w:eastAsia="sr-Latn-CS"/>
        </w:rPr>
        <w:t xml:space="preserve"> </w:t>
      </w:r>
      <w:r w:rsidR="00AC6DF2" w:rsidRPr="009307C4">
        <w:rPr>
          <w:sz w:val="22"/>
          <w:szCs w:val="22"/>
          <w:lang w:val="sr-Latn-ME" w:eastAsia="sr-Latn-CS"/>
        </w:rPr>
        <w:t>zabilježeno kod</w:t>
      </w:r>
      <w:r w:rsidRPr="009307C4">
        <w:rPr>
          <w:sz w:val="22"/>
          <w:szCs w:val="22"/>
          <w:lang w:val="sr-Latn-ME" w:eastAsia="sr-Latn-CS"/>
        </w:rPr>
        <w:t xml:space="preserve"> primjene </w:t>
      </w:r>
      <w:r w:rsidR="00AC6DF2" w:rsidRPr="009307C4">
        <w:rPr>
          <w:sz w:val="22"/>
          <w:szCs w:val="22"/>
          <w:lang w:val="sr-Latn-ME" w:eastAsia="sr-Latn-CS"/>
        </w:rPr>
        <w:t xml:space="preserve">preporučene </w:t>
      </w:r>
      <w:r w:rsidRPr="009307C4">
        <w:rPr>
          <w:sz w:val="22"/>
          <w:szCs w:val="22"/>
          <w:lang w:val="sr-Latn-ME" w:eastAsia="sr-Latn-CS"/>
        </w:rPr>
        <w:t xml:space="preserve">doze od 10 mg jedanput dnevno.  </w:t>
      </w:r>
    </w:p>
    <w:p w14:paraId="5C8A6C14" w14:textId="77777777" w:rsidR="008808CA" w:rsidRPr="009307C4" w:rsidRDefault="008808CA" w:rsidP="00C4333D">
      <w:pPr>
        <w:tabs>
          <w:tab w:val="left" w:pos="540"/>
          <w:tab w:val="left" w:pos="569"/>
        </w:tabs>
        <w:jc w:val="both"/>
        <w:rPr>
          <w:bCs/>
          <w:sz w:val="22"/>
          <w:szCs w:val="22"/>
          <w:lang w:val="sr-Latn-ME"/>
        </w:rPr>
      </w:pPr>
    </w:p>
    <w:p w14:paraId="0EBE826F"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5.3. </w:t>
      </w:r>
      <w:r w:rsidR="00480FB1" w:rsidRPr="009307C4">
        <w:rPr>
          <w:b/>
          <w:bCs/>
          <w:sz w:val="22"/>
          <w:szCs w:val="22"/>
          <w:lang w:val="sr-Latn-ME"/>
        </w:rPr>
        <w:tab/>
      </w:r>
      <w:r w:rsidRPr="009307C4">
        <w:rPr>
          <w:b/>
          <w:bCs/>
          <w:sz w:val="22"/>
          <w:szCs w:val="22"/>
          <w:lang w:val="sr-Latn-ME"/>
        </w:rPr>
        <w:t xml:space="preserve">Pretklinički podaci o bezbjednosti </w:t>
      </w:r>
    </w:p>
    <w:p w14:paraId="3D9E974B" w14:textId="77777777" w:rsidR="00836B35" w:rsidRPr="009307C4" w:rsidRDefault="00836B35" w:rsidP="00C4333D">
      <w:pPr>
        <w:tabs>
          <w:tab w:val="left" w:pos="540"/>
          <w:tab w:val="left" w:pos="569"/>
        </w:tabs>
        <w:jc w:val="both"/>
        <w:rPr>
          <w:bCs/>
          <w:sz w:val="22"/>
          <w:szCs w:val="22"/>
          <w:lang w:val="sr-Latn-ME"/>
        </w:rPr>
      </w:pPr>
    </w:p>
    <w:p w14:paraId="162CA679" w14:textId="69482698" w:rsidR="008808CA" w:rsidRPr="009307C4" w:rsidRDefault="008808CA" w:rsidP="00C4333D">
      <w:pPr>
        <w:pStyle w:val="Header"/>
        <w:tabs>
          <w:tab w:val="left" w:pos="284"/>
        </w:tabs>
        <w:jc w:val="both"/>
        <w:rPr>
          <w:sz w:val="22"/>
          <w:lang w:val="sr-Latn-ME"/>
        </w:rPr>
      </w:pPr>
      <w:r w:rsidRPr="009307C4">
        <w:rPr>
          <w:sz w:val="22"/>
          <w:lang w:val="sr-Latn-ME"/>
        </w:rPr>
        <w:t>U ispitivanju toksičnosti na životinjama uočene su manje prolazne promjene u serumskim biohemijskim parametrima kao što su ALT, glukoza, fosfor i trigliceridi. Znaci toksičnosti bili su pojačana salivacija, gastrointestinalni simptomi, proliv i jonska neravnoteža. Do ovih efekata došlo je u dozama koje su obezbijedile 17 puta veću sistemsku ekspoziciju u odnosu na kliničke doze. Kod majmuna, neželjena toksična dejstva su počela sa dozom od 150 mg/kg dnevno (&gt;232 puta veća sistemska ekspozicija u odnosu na</w:t>
      </w:r>
      <w:r w:rsidR="00EA2120" w:rsidRPr="009307C4">
        <w:rPr>
          <w:sz w:val="22"/>
          <w:lang w:val="sr-Latn-ME"/>
        </w:rPr>
        <w:t xml:space="preserve"> onu zabilježenu pri</w:t>
      </w:r>
      <w:r w:rsidRPr="009307C4">
        <w:rPr>
          <w:sz w:val="22"/>
          <w:lang w:val="sr-Latn-ME"/>
        </w:rPr>
        <w:t xml:space="preserve"> kliničk</w:t>
      </w:r>
      <w:r w:rsidR="00EA2120" w:rsidRPr="009307C4">
        <w:rPr>
          <w:sz w:val="22"/>
          <w:lang w:val="sr-Latn-ME"/>
        </w:rPr>
        <w:t>oj</w:t>
      </w:r>
      <w:r w:rsidRPr="009307C4">
        <w:rPr>
          <w:sz w:val="22"/>
          <w:lang w:val="sr-Latn-ME"/>
        </w:rPr>
        <w:t xml:space="preserve"> doz</w:t>
      </w:r>
      <w:r w:rsidR="00EA2120" w:rsidRPr="009307C4">
        <w:rPr>
          <w:sz w:val="22"/>
          <w:lang w:val="sr-Latn-ME"/>
        </w:rPr>
        <w:t>i</w:t>
      </w:r>
      <w:r w:rsidRPr="009307C4">
        <w:rPr>
          <w:sz w:val="22"/>
          <w:lang w:val="sr-Latn-ME"/>
        </w:rPr>
        <w:t>). U ispitivanju na životinjama montelukast nije uticao na fertilitet ili reproduktivn</w:t>
      </w:r>
      <w:r w:rsidR="00AC6DF2" w:rsidRPr="009307C4">
        <w:rPr>
          <w:sz w:val="22"/>
          <w:lang w:val="sr-Latn-ME"/>
        </w:rPr>
        <w:t>e</w:t>
      </w:r>
      <w:r w:rsidRPr="009307C4">
        <w:rPr>
          <w:sz w:val="22"/>
          <w:lang w:val="sr-Latn-ME"/>
        </w:rPr>
        <w:t xml:space="preserve"> </w:t>
      </w:r>
      <w:r w:rsidR="00AC6DF2" w:rsidRPr="009307C4">
        <w:rPr>
          <w:sz w:val="22"/>
          <w:lang w:val="sr-Latn-ME"/>
        </w:rPr>
        <w:t xml:space="preserve">sposobnosti </w:t>
      </w:r>
      <w:r w:rsidRPr="009307C4">
        <w:rPr>
          <w:sz w:val="22"/>
          <w:lang w:val="sr-Latn-ME"/>
        </w:rPr>
        <w:t>poslije sistemske ekspozicije koja je bila veća od kliničkog izlaganja za 24 puta. Malo smanjenje tjelesne težine mladunaca je zabilježeno u ispitivanju fertiliteta kod ženki pacova u dozi od 200 mg/kg dnevno (&gt;69 puta veća izlaganje od kliničke sistemske ekspozicije). U studijama na kunićima došlo je do češće pojave nepotpune osifikacije poslije &gt;24 puta većeg izlaganja u poređenju sa kliničkom sistemskom ekspozicijom u odnosu na odgovarajuće kontrolne životinje. Kod pacova nijesu u</w:t>
      </w:r>
      <w:r w:rsidR="002476A5" w:rsidRPr="009307C4">
        <w:rPr>
          <w:sz w:val="22"/>
          <w:lang w:val="sr-Latn-ME"/>
        </w:rPr>
        <w:t>o</w:t>
      </w:r>
      <w:r w:rsidRPr="009307C4">
        <w:rPr>
          <w:sz w:val="22"/>
          <w:lang w:val="sr-Latn-ME"/>
        </w:rPr>
        <w:t xml:space="preserve">čene bilo kakve </w:t>
      </w:r>
      <w:r w:rsidR="000366F3" w:rsidRPr="009307C4">
        <w:rPr>
          <w:sz w:val="22"/>
          <w:lang w:val="sr-Latn-ME"/>
        </w:rPr>
        <w:t>ab</w:t>
      </w:r>
      <w:r w:rsidRPr="009307C4">
        <w:rPr>
          <w:sz w:val="22"/>
          <w:lang w:val="sr-Latn-ME"/>
        </w:rPr>
        <w:t>normalnosti. Pokazano je da montelukast prolazi kroz placentu i da se izlučuje u mlijek</w:t>
      </w:r>
      <w:r w:rsidR="00AC6DF2" w:rsidRPr="009307C4">
        <w:rPr>
          <w:sz w:val="22"/>
          <w:lang w:val="sr-Latn-ME"/>
        </w:rPr>
        <w:t>o</w:t>
      </w:r>
      <w:r w:rsidRPr="009307C4">
        <w:rPr>
          <w:sz w:val="22"/>
          <w:lang w:val="sr-Latn-ME"/>
        </w:rPr>
        <w:t xml:space="preserve"> životinja.  </w:t>
      </w:r>
    </w:p>
    <w:p w14:paraId="49FB4081" w14:textId="77777777" w:rsidR="008808CA" w:rsidRPr="009307C4" w:rsidRDefault="008808CA" w:rsidP="00C4333D">
      <w:pPr>
        <w:autoSpaceDE w:val="0"/>
        <w:autoSpaceDN w:val="0"/>
        <w:adjustRightInd w:val="0"/>
        <w:jc w:val="both"/>
        <w:rPr>
          <w:sz w:val="22"/>
          <w:szCs w:val="22"/>
          <w:lang w:val="sr-Latn-ME" w:eastAsia="sr-Latn-CS"/>
        </w:rPr>
      </w:pPr>
    </w:p>
    <w:p w14:paraId="46E678D1" w14:textId="7046DF34"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Nije bilo </w:t>
      </w:r>
      <w:r w:rsidR="00AC6DF2" w:rsidRPr="009307C4">
        <w:rPr>
          <w:sz w:val="22"/>
          <w:szCs w:val="22"/>
          <w:lang w:val="sr-Latn-ME" w:eastAsia="sr-Latn-CS"/>
        </w:rPr>
        <w:t>smrtnih slučajeva nakon</w:t>
      </w:r>
      <w:r w:rsidRPr="009307C4">
        <w:rPr>
          <w:sz w:val="22"/>
          <w:szCs w:val="22"/>
          <w:lang w:val="sr-Latn-ME" w:eastAsia="sr-Latn-CS"/>
        </w:rPr>
        <w:t xml:space="preserve"> primjene </w:t>
      </w:r>
      <w:r w:rsidR="00610E1D" w:rsidRPr="009307C4">
        <w:rPr>
          <w:sz w:val="22"/>
          <w:szCs w:val="22"/>
          <w:lang w:val="sr-Latn-ME" w:eastAsia="sr-Latn-CS"/>
        </w:rPr>
        <w:t xml:space="preserve">pojedinačnih </w:t>
      </w:r>
      <w:r w:rsidRPr="009307C4">
        <w:rPr>
          <w:sz w:val="22"/>
          <w:szCs w:val="22"/>
          <w:lang w:val="sr-Latn-ME" w:eastAsia="sr-Latn-CS"/>
        </w:rPr>
        <w:t>oral</w:t>
      </w:r>
      <w:r w:rsidR="00610E1D" w:rsidRPr="009307C4">
        <w:rPr>
          <w:sz w:val="22"/>
          <w:szCs w:val="22"/>
          <w:lang w:val="sr-Latn-ME" w:eastAsia="sr-Latn-CS"/>
        </w:rPr>
        <w:t>nih</w:t>
      </w:r>
      <w:r w:rsidRPr="009307C4">
        <w:rPr>
          <w:sz w:val="22"/>
          <w:szCs w:val="22"/>
          <w:lang w:val="sr-Latn-ME" w:eastAsia="sr-Latn-CS"/>
        </w:rPr>
        <w:t xml:space="preserve"> doz</w:t>
      </w:r>
      <w:r w:rsidR="00610E1D" w:rsidRPr="009307C4">
        <w:rPr>
          <w:sz w:val="22"/>
          <w:szCs w:val="22"/>
          <w:lang w:val="sr-Latn-ME" w:eastAsia="sr-Latn-CS"/>
        </w:rPr>
        <w:t>a</w:t>
      </w:r>
      <w:r w:rsidRPr="009307C4">
        <w:rPr>
          <w:sz w:val="22"/>
          <w:szCs w:val="22"/>
          <w:lang w:val="sr-Latn-ME" w:eastAsia="sr-Latn-CS"/>
        </w:rPr>
        <w:t xml:space="preserve"> montelukast natrijuma </w:t>
      </w:r>
      <w:r w:rsidR="00610E1D" w:rsidRPr="009307C4">
        <w:rPr>
          <w:sz w:val="22"/>
          <w:szCs w:val="22"/>
          <w:lang w:val="sr-Latn-ME" w:eastAsia="sr-Latn-CS"/>
        </w:rPr>
        <w:t xml:space="preserve">i </w:t>
      </w:r>
      <w:r w:rsidRPr="009307C4">
        <w:rPr>
          <w:sz w:val="22"/>
          <w:szCs w:val="22"/>
          <w:lang w:val="sr-Latn-ME" w:eastAsia="sr-Latn-CS"/>
        </w:rPr>
        <w:t>do 5000 mg/kg kod miševa i pacova (15000 mg/m</w:t>
      </w:r>
      <w:r w:rsidRPr="009307C4">
        <w:rPr>
          <w:sz w:val="22"/>
          <w:szCs w:val="22"/>
          <w:vertAlign w:val="superscript"/>
          <w:lang w:val="sr-Latn-ME" w:eastAsia="sr-Latn-CS"/>
        </w:rPr>
        <w:t>2</w:t>
      </w:r>
      <w:r w:rsidRPr="009307C4">
        <w:rPr>
          <w:sz w:val="22"/>
          <w:szCs w:val="22"/>
          <w:lang w:val="sr-Latn-ME" w:eastAsia="sr-Latn-CS"/>
        </w:rPr>
        <w:t xml:space="preserve"> kod miševa i 30000 mg/m</w:t>
      </w:r>
      <w:r w:rsidRPr="009307C4">
        <w:rPr>
          <w:sz w:val="22"/>
          <w:szCs w:val="22"/>
          <w:vertAlign w:val="superscript"/>
          <w:lang w:val="sr-Latn-ME" w:eastAsia="sr-Latn-CS"/>
        </w:rPr>
        <w:t>2</w:t>
      </w:r>
      <w:r w:rsidRPr="009307C4">
        <w:rPr>
          <w:sz w:val="22"/>
          <w:szCs w:val="22"/>
          <w:lang w:val="sr-Latn-ME" w:eastAsia="sr-Latn-CS"/>
        </w:rPr>
        <w:t xml:space="preserve"> kod pacova), što je bilo i najveća ispitivana doza. Ova doza je 25000 puta veća od preporučene dnevne doze kod</w:t>
      </w:r>
      <w:r w:rsidR="00610E1D" w:rsidRPr="009307C4">
        <w:rPr>
          <w:sz w:val="22"/>
          <w:szCs w:val="22"/>
          <w:lang w:val="sr-Latn-ME" w:eastAsia="sr-Latn-CS"/>
        </w:rPr>
        <w:t xml:space="preserve"> odraslih</w:t>
      </w:r>
      <w:r w:rsidRPr="009307C4">
        <w:rPr>
          <w:sz w:val="22"/>
          <w:szCs w:val="22"/>
          <w:lang w:val="sr-Latn-ME" w:eastAsia="sr-Latn-CS"/>
        </w:rPr>
        <w:t xml:space="preserve"> ljudi (</w:t>
      </w:r>
      <w:r w:rsidR="00610E1D" w:rsidRPr="009307C4">
        <w:rPr>
          <w:sz w:val="22"/>
          <w:szCs w:val="22"/>
          <w:lang w:val="sr-Latn-ME" w:eastAsia="sr-Latn-CS"/>
        </w:rPr>
        <w:t>iz</w:t>
      </w:r>
      <w:r w:rsidRPr="009307C4">
        <w:rPr>
          <w:sz w:val="22"/>
          <w:szCs w:val="22"/>
          <w:lang w:val="sr-Latn-ME" w:eastAsia="sr-Latn-CS"/>
        </w:rPr>
        <w:t xml:space="preserve">računato </w:t>
      </w:r>
      <w:r w:rsidR="00610E1D" w:rsidRPr="009307C4">
        <w:rPr>
          <w:sz w:val="22"/>
          <w:szCs w:val="22"/>
          <w:lang w:val="sr-Latn-ME" w:eastAsia="sr-Latn-CS"/>
        </w:rPr>
        <w:t xml:space="preserve">prema tjelesnoj masi odrasle osobe </w:t>
      </w:r>
      <w:r w:rsidRPr="009307C4">
        <w:rPr>
          <w:sz w:val="22"/>
          <w:szCs w:val="22"/>
          <w:lang w:val="sr-Latn-ME" w:eastAsia="sr-Latn-CS"/>
        </w:rPr>
        <w:t>od 50 kg).</w:t>
      </w:r>
    </w:p>
    <w:p w14:paraId="12B5CF9B" w14:textId="77777777" w:rsidR="008808CA" w:rsidRPr="009307C4" w:rsidRDefault="008808CA" w:rsidP="00C4333D">
      <w:pPr>
        <w:autoSpaceDE w:val="0"/>
        <w:autoSpaceDN w:val="0"/>
        <w:adjustRightInd w:val="0"/>
        <w:jc w:val="both"/>
        <w:rPr>
          <w:sz w:val="22"/>
          <w:szCs w:val="22"/>
          <w:lang w:val="sr-Latn-ME" w:eastAsia="sr-Latn-CS"/>
        </w:rPr>
      </w:pPr>
    </w:p>
    <w:p w14:paraId="63EA3371" w14:textId="38BC4704"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Utvrđeno je da montelukast</w:t>
      </w:r>
      <w:r w:rsidR="00610E1D" w:rsidRPr="009307C4">
        <w:rPr>
          <w:sz w:val="22"/>
          <w:szCs w:val="22"/>
          <w:lang w:val="sr-Latn-ME" w:eastAsia="sr-Latn-CS"/>
        </w:rPr>
        <w:t xml:space="preserve"> primijenjen u dozama i do 500 mg/kg dnevno (&gt;200 puta više od sistemskih kliničkih ekspozicija) nema</w:t>
      </w:r>
      <w:r w:rsidRPr="009307C4">
        <w:rPr>
          <w:sz w:val="22"/>
          <w:szCs w:val="22"/>
          <w:lang w:val="sr-Latn-ME" w:eastAsia="sr-Latn-CS"/>
        </w:rPr>
        <w:t xml:space="preserve"> fototoksič</w:t>
      </w:r>
      <w:r w:rsidR="00610E1D" w:rsidRPr="009307C4">
        <w:rPr>
          <w:sz w:val="22"/>
          <w:szCs w:val="22"/>
          <w:lang w:val="sr-Latn-ME" w:eastAsia="sr-Latn-CS"/>
        </w:rPr>
        <w:t>na dejstva</w:t>
      </w:r>
      <w:r w:rsidRPr="009307C4">
        <w:rPr>
          <w:sz w:val="22"/>
          <w:szCs w:val="22"/>
          <w:lang w:val="sr-Latn-ME" w:eastAsia="sr-Latn-CS"/>
        </w:rPr>
        <w:t xml:space="preserve"> kod miševa</w:t>
      </w:r>
      <w:r w:rsidR="00610E1D" w:rsidRPr="009307C4">
        <w:rPr>
          <w:sz w:val="22"/>
          <w:szCs w:val="22"/>
          <w:lang w:val="sr-Latn-ME" w:eastAsia="sr-Latn-CS"/>
        </w:rPr>
        <w:t>, vezana</w:t>
      </w:r>
      <w:r w:rsidRPr="009307C4">
        <w:rPr>
          <w:sz w:val="22"/>
          <w:szCs w:val="22"/>
          <w:lang w:val="sr-Latn-ME" w:eastAsia="sr-Latn-CS"/>
        </w:rPr>
        <w:t xml:space="preserve"> za UVA, UVB ili spektar</w:t>
      </w:r>
      <w:r w:rsidR="00610E1D" w:rsidRPr="009307C4">
        <w:rPr>
          <w:sz w:val="22"/>
          <w:szCs w:val="22"/>
          <w:lang w:val="sr-Latn-ME" w:eastAsia="sr-Latn-CS"/>
        </w:rPr>
        <w:t xml:space="preserve"> vidljive</w:t>
      </w:r>
      <w:r w:rsidRPr="009307C4">
        <w:rPr>
          <w:sz w:val="22"/>
          <w:szCs w:val="22"/>
          <w:lang w:val="sr-Latn-ME" w:eastAsia="sr-Latn-CS"/>
        </w:rPr>
        <w:t xml:space="preserve"> svjetlosti</w:t>
      </w:r>
      <w:r w:rsidR="00610E1D" w:rsidRPr="009307C4">
        <w:rPr>
          <w:sz w:val="22"/>
          <w:szCs w:val="22"/>
          <w:lang w:val="sr-Latn-ME" w:eastAsia="sr-Latn-CS"/>
        </w:rPr>
        <w:t>.</w:t>
      </w:r>
      <w:r w:rsidRPr="009307C4">
        <w:rPr>
          <w:sz w:val="22"/>
          <w:szCs w:val="22"/>
          <w:lang w:val="sr-Latn-ME" w:eastAsia="sr-Latn-CS"/>
        </w:rPr>
        <w:t xml:space="preserve"> </w:t>
      </w:r>
    </w:p>
    <w:p w14:paraId="2AC4507E" w14:textId="77777777" w:rsidR="008808CA" w:rsidRPr="009307C4" w:rsidRDefault="008808CA" w:rsidP="00C4333D">
      <w:pPr>
        <w:autoSpaceDE w:val="0"/>
        <w:autoSpaceDN w:val="0"/>
        <w:adjustRightInd w:val="0"/>
        <w:jc w:val="both"/>
        <w:rPr>
          <w:sz w:val="22"/>
          <w:szCs w:val="22"/>
          <w:lang w:val="sr-Latn-ME" w:eastAsia="sr-Latn-CS"/>
        </w:rPr>
      </w:pPr>
    </w:p>
    <w:p w14:paraId="4850AE77" w14:textId="6705E8E3" w:rsidR="008808CA" w:rsidRPr="009307C4" w:rsidRDefault="00610E1D" w:rsidP="00C4333D">
      <w:pPr>
        <w:autoSpaceDE w:val="0"/>
        <w:autoSpaceDN w:val="0"/>
        <w:adjustRightInd w:val="0"/>
        <w:jc w:val="both"/>
        <w:rPr>
          <w:sz w:val="22"/>
          <w:szCs w:val="22"/>
          <w:lang w:val="sr-Latn-ME" w:eastAsia="sr-Latn-CS"/>
        </w:rPr>
      </w:pPr>
      <w:r w:rsidRPr="009307C4">
        <w:rPr>
          <w:sz w:val="22"/>
          <w:szCs w:val="22"/>
          <w:lang w:val="sr-Latn-ME" w:eastAsia="sr-Latn-CS"/>
        </w:rPr>
        <w:t xml:space="preserve">U </w:t>
      </w:r>
      <w:r w:rsidRPr="009307C4">
        <w:rPr>
          <w:i/>
          <w:sz w:val="22"/>
          <w:szCs w:val="22"/>
          <w:lang w:val="sr-Latn-ME" w:eastAsia="sr-Latn-CS"/>
        </w:rPr>
        <w:t>in vitro</w:t>
      </w:r>
      <w:r w:rsidRPr="009307C4">
        <w:rPr>
          <w:sz w:val="22"/>
          <w:szCs w:val="22"/>
          <w:lang w:val="sr-Latn-ME" w:eastAsia="sr-Latn-CS"/>
        </w:rPr>
        <w:t xml:space="preserve"> i </w:t>
      </w:r>
      <w:r w:rsidRPr="009307C4">
        <w:rPr>
          <w:i/>
          <w:sz w:val="22"/>
          <w:szCs w:val="22"/>
          <w:lang w:val="sr-Latn-ME" w:eastAsia="sr-Latn-CS"/>
        </w:rPr>
        <w:t>in vivo</w:t>
      </w:r>
      <w:r w:rsidRPr="009307C4">
        <w:rPr>
          <w:sz w:val="22"/>
          <w:szCs w:val="22"/>
          <w:lang w:val="sr-Latn-ME" w:eastAsia="sr-Latn-CS"/>
        </w:rPr>
        <w:t xml:space="preserve"> testovima na glodarima m</w:t>
      </w:r>
      <w:r w:rsidR="008808CA" w:rsidRPr="009307C4">
        <w:rPr>
          <w:sz w:val="22"/>
          <w:szCs w:val="22"/>
          <w:lang w:val="sr-Latn-ME" w:eastAsia="sr-Latn-CS"/>
        </w:rPr>
        <w:t xml:space="preserve">ontelukast nije </w:t>
      </w:r>
      <w:r w:rsidRPr="009307C4">
        <w:rPr>
          <w:sz w:val="22"/>
          <w:szCs w:val="22"/>
          <w:lang w:val="sr-Latn-ME" w:eastAsia="sr-Latn-CS"/>
        </w:rPr>
        <w:t xml:space="preserve">imao </w:t>
      </w:r>
      <w:r w:rsidR="008808CA" w:rsidRPr="009307C4">
        <w:rPr>
          <w:sz w:val="22"/>
          <w:szCs w:val="22"/>
          <w:lang w:val="sr-Latn-ME" w:eastAsia="sr-Latn-CS"/>
        </w:rPr>
        <w:t>mutagen</w:t>
      </w:r>
      <w:r w:rsidRPr="009307C4">
        <w:rPr>
          <w:sz w:val="22"/>
          <w:szCs w:val="22"/>
          <w:lang w:val="sr-Latn-ME" w:eastAsia="sr-Latn-CS"/>
        </w:rPr>
        <w:t>a</w:t>
      </w:r>
      <w:r w:rsidR="008808CA" w:rsidRPr="009307C4">
        <w:rPr>
          <w:sz w:val="22"/>
          <w:szCs w:val="22"/>
          <w:lang w:val="sr-Latn-ME" w:eastAsia="sr-Latn-CS"/>
        </w:rPr>
        <w:t xml:space="preserve"> ni tumorigen</w:t>
      </w:r>
      <w:r w:rsidRPr="009307C4">
        <w:rPr>
          <w:sz w:val="22"/>
          <w:szCs w:val="22"/>
          <w:lang w:val="sr-Latn-ME" w:eastAsia="sr-Latn-CS"/>
        </w:rPr>
        <w:t>a</w:t>
      </w:r>
      <w:r w:rsidR="008808CA" w:rsidRPr="009307C4">
        <w:rPr>
          <w:sz w:val="22"/>
          <w:szCs w:val="22"/>
          <w:lang w:val="sr-Latn-ME" w:eastAsia="sr-Latn-CS"/>
        </w:rPr>
        <w:t xml:space="preserve"> </w:t>
      </w:r>
      <w:r w:rsidRPr="009307C4">
        <w:rPr>
          <w:sz w:val="22"/>
          <w:szCs w:val="22"/>
          <w:lang w:val="sr-Latn-ME" w:eastAsia="sr-Latn-CS"/>
        </w:rPr>
        <w:t>dejstva</w:t>
      </w:r>
      <w:r w:rsidR="008808CA" w:rsidRPr="009307C4">
        <w:rPr>
          <w:sz w:val="22"/>
          <w:szCs w:val="22"/>
          <w:lang w:val="sr-Latn-ME" w:eastAsia="sr-Latn-CS"/>
        </w:rPr>
        <w:t>.</w:t>
      </w:r>
    </w:p>
    <w:p w14:paraId="081EF037" w14:textId="09848D92" w:rsidR="00396DFD" w:rsidRPr="009307C4" w:rsidRDefault="00396DFD" w:rsidP="00C4333D">
      <w:pPr>
        <w:tabs>
          <w:tab w:val="left" w:pos="540"/>
          <w:tab w:val="left" w:pos="569"/>
        </w:tabs>
        <w:jc w:val="both"/>
        <w:rPr>
          <w:b/>
          <w:bCs/>
          <w:sz w:val="22"/>
          <w:szCs w:val="22"/>
          <w:lang w:val="sr-Latn-ME"/>
        </w:rPr>
      </w:pPr>
    </w:p>
    <w:p w14:paraId="3D37E26C" w14:textId="77777777" w:rsidR="007171F4" w:rsidRPr="009307C4" w:rsidRDefault="007171F4" w:rsidP="00C4333D">
      <w:pPr>
        <w:tabs>
          <w:tab w:val="left" w:pos="540"/>
          <w:tab w:val="left" w:pos="569"/>
        </w:tabs>
        <w:jc w:val="both"/>
        <w:rPr>
          <w:b/>
          <w:bCs/>
          <w:sz w:val="22"/>
          <w:szCs w:val="22"/>
          <w:lang w:val="sr-Latn-ME"/>
        </w:rPr>
      </w:pPr>
    </w:p>
    <w:p w14:paraId="25F22AE6"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 </w:t>
      </w:r>
      <w:r w:rsidR="00480FB1" w:rsidRPr="009307C4">
        <w:rPr>
          <w:b/>
          <w:bCs/>
          <w:sz w:val="22"/>
          <w:szCs w:val="22"/>
          <w:lang w:val="sr-Latn-ME"/>
        </w:rPr>
        <w:tab/>
      </w:r>
      <w:r w:rsidRPr="009307C4">
        <w:rPr>
          <w:b/>
          <w:bCs/>
          <w:sz w:val="22"/>
          <w:szCs w:val="22"/>
          <w:lang w:val="sr-Latn-ME"/>
        </w:rPr>
        <w:t>FARMACEUTSKI PODACI</w:t>
      </w:r>
    </w:p>
    <w:p w14:paraId="566486E1" w14:textId="77777777" w:rsidR="00836B35" w:rsidRPr="009307C4" w:rsidRDefault="00836B35" w:rsidP="00C4333D">
      <w:pPr>
        <w:tabs>
          <w:tab w:val="left" w:pos="540"/>
          <w:tab w:val="left" w:pos="569"/>
        </w:tabs>
        <w:jc w:val="both"/>
        <w:rPr>
          <w:bCs/>
          <w:sz w:val="22"/>
          <w:szCs w:val="22"/>
          <w:lang w:val="sr-Latn-ME"/>
        </w:rPr>
      </w:pPr>
    </w:p>
    <w:p w14:paraId="699750F5"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6.1. </w:t>
      </w:r>
      <w:r w:rsidR="00480FB1" w:rsidRPr="009307C4">
        <w:rPr>
          <w:b/>
          <w:bCs/>
          <w:sz w:val="22"/>
          <w:szCs w:val="22"/>
          <w:lang w:val="sr-Latn-ME"/>
        </w:rPr>
        <w:tab/>
      </w:r>
      <w:r w:rsidRPr="009307C4">
        <w:rPr>
          <w:b/>
          <w:bCs/>
          <w:sz w:val="22"/>
          <w:szCs w:val="22"/>
          <w:lang w:val="sr-Latn-ME"/>
        </w:rPr>
        <w:t>Lista pomoćnih supstanci</w:t>
      </w:r>
      <w:r w:rsidR="002E0135" w:rsidRPr="009307C4">
        <w:rPr>
          <w:b/>
          <w:bCs/>
          <w:sz w:val="22"/>
          <w:szCs w:val="22"/>
          <w:lang w:val="sr-Latn-ME"/>
        </w:rPr>
        <w:t xml:space="preserve"> (ekscipijenasa)</w:t>
      </w:r>
    </w:p>
    <w:p w14:paraId="6D09C46E" w14:textId="3BF7A932" w:rsidR="0072020E" w:rsidRPr="009307C4" w:rsidRDefault="0072020E" w:rsidP="00C4333D">
      <w:pPr>
        <w:tabs>
          <w:tab w:val="left" w:pos="540"/>
          <w:tab w:val="left" w:pos="569"/>
        </w:tabs>
        <w:jc w:val="both"/>
        <w:rPr>
          <w:bCs/>
          <w:sz w:val="22"/>
          <w:szCs w:val="22"/>
          <w:lang w:val="sr-Latn-ME"/>
        </w:rPr>
      </w:pPr>
    </w:p>
    <w:p w14:paraId="7A29E780" w14:textId="77777777"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Manitol (E421)</w:t>
      </w:r>
    </w:p>
    <w:p w14:paraId="34A30120" w14:textId="77777777"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Hiproksipropilceluloza (E 463)</w:t>
      </w:r>
    </w:p>
    <w:p w14:paraId="6C6F0A8E" w14:textId="069F7C0F"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lastRenderedPageBreak/>
        <w:t>Magnezijum</w:t>
      </w:r>
      <w:r w:rsidR="007171F4" w:rsidRPr="009307C4">
        <w:rPr>
          <w:sz w:val="22"/>
          <w:szCs w:val="22"/>
          <w:lang w:val="sr-Latn-ME" w:eastAsia="sr-Latn-CS"/>
        </w:rPr>
        <w:t xml:space="preserve"> </w:t>
      </w:r>
      <w:r w:rsidRPr="009307C4">
        <w:rPr>
          <w:sz w:val="22"/>
          <w:szCs w:val="22"/>
          <w:lang w:val="sr-Latn-ME" w:eastAsia="sr-Latn-CS"/>
        </w:rPr>
        <w:t>stearat (E572)</w:t>
      </w:r>
    </w:p>
    <w:p w14:paraId="2722B942" w14:textId="77777777" w:rsidR="008808CA" w:rsidRPr="009307C4" w:rsidRDefault="008808CA" w:rsidP="00C4333D">
      <w:pPr>
        <w:tabs>
          <w:tab w:val="left" w:pos="540"/>
          <w:tab w:val="left" w:pos="569"/>
        </w:tabs>
        <w:jc w:val="both"/>
        <w:rPr>
          <w:bCs/>
          <w:sz w:val="22"/>
          <w:szCs w:val="22"/>
          <w:lang w:val="sr-Latn-ME"/>
        </w:rPr>
      </w:pPr>
    </w:p>
    <w:p w14:paraId="2AC1B2B6" w14:textId="02263F2E"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6.2. </w:t>
      </w:r>
      <w:r w:rsidR="00480FB1" w:rsidRPr="009307C4">
        <w:rPr>
          <w:b/>
          <w:bCs/>
          <w:sz w:val="22"/>
          <w:szCs w:val="22"/>
          <w:lang w:val="sr-Latn-ME"/>
        </w:rPr>
        <w:tab/>
      </w:r>
      <w:r w:rsidRPr="009307C4">
        <w:rPr>
          <w:b/>
          <w:bCs/>
          <w:sz w:val="22"/>
          <w:szCs w:val="22"/>
          <w:lang w:val="sr-Latn-ME"/>
        </w:rPr>
        <w:t>Inkompatibilnost</w:t>
      </w:r>
      <w:r w:rsidR="002846DB" w:rsidRPr="009307C4">
        <w:rPr>
          <w:b/>
          <w:bCs/>
          <w:sz w:val="22"/>
          <w:szCs w:val="22"/>
          <w:lang w:val="sr-Latn-ME"/>
        </w:rPr>
        <w:t>i</w:t>
      </w:r>
    </w:p>
    <w:p w14:paraId="63F1C89B" w14:textId="2F148E21" w:rsidR="0072020E" w:rsidRPr="009307C4" w:rsidRDefault="0072020E" w:rsidP="00C4333D">
      <w:pPr>
        <w:tabs>
          <w:tab w:val="left" w:pos="540"/>
          <w:tab w:val="left" w:pos="569"/>
        </w:tabs>
        <w:jc w:val="both"/>
        <w:rPr>
          <w:bCs/>
          <w:sz w:val="22"/>
          <w:szCs w:val="22"/>
          <w:lang w:val="sr-Latn-ME"/>
        </w:rPr>
      </w:pPr>
    </w:p>
    <w:p w14:paraId="429D47D4" w14:textId="2F6703F2" w:rsidR="008808CA" w:rsidRPr="009307C4" w:rsidRDefault="008808CA" w:rsidP="00C4333D">
      <w:pPr>
        <w:tabs>
          <w:tab w:val="left" w:pos="540"/>
          <w:tab w:val="left" w:pos="569"/>
        </w:tabs>
        <w:jc w:val="both"/>
        <w:rPr>
          <w:sz w:val="22"/>
          <w:szCs w:val="22"/>
          <w:lang w:val="sr-Latn-ME" w:eastAsia="sr-Latn-CS"/>
        </w:rPr>
      </w:pPr>
      <w:r w:rsidRPr="009307C4">
        <w:rPr>
          <w:sz w:val="22"/>
          <w:szCs w:val="22"/>
          <w:lang w:val="sr-Latn-ME" w:eastAsia="sr-Latn-CS"/>
        </w:rPr>
        <w:t>Nema podataka</w:t>
      </w:r>
      <w:r w:rsidR="00DF2046" w:rsidRPr="009307C4">
        <w:rPr>
          <w:sz w:val="22"/>
          <w:szCs w:val="22"/>
          <w:lang w:val="sr-Latn-ME" w:eastAsia="sr-Latn-CS"/>
        </w:rPr>
        <w:t xml:space="preserve"> o inkompatibilnosti.</w:t>
      </w:r>
    </w:p>
    <w:p w14:paraId="0D67C1D1" w14:textId="77777777" w:rsidR="008808CA" w:rsidRPr="009307C4" w:rsidRDefault="008808CA" w:rsidP="00C4333D">
      <w:pPr>
        <w:tabs>
          <w:tab w:val="left" w:pos="540"/>
          <w:tab w:val="left" w:pos="569"/>
        </w:tabs>
        <w:jc w:val="both"/>
        <w:rPr>
          <w:bCs/>
          <w:sz w:val="22"/>
          <w:szCs w:val="22"/>
          <w:lang w:val="sr-Latn-ME"/>
        </w:rPr>
      </w:pPr>
    </w:p>
    <w:p w14:paraId="4DA9D001"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6.3.</w:t>
      </w:r>
      <w:r w:rsidR="00C05DF8" w:rsidRPr="009307C4">
        <w:rPr>
          <w:b/>
          <w:bCs/>
          <w:sz w:val="22"/>
          <w:szCs w:val="22"/>
          <w:lang w:val="sr-Latn-ME"/>
        </w:rPr>
        <w:t xml:space="preserve"> </w:t>
      </w:r>
      <w:r w:rsidR="00480FB1" w:rsidRPr="009307C4">
        <w:rPr>
          <w:b/>
          <w:bCs/>
          <w:sz w:val="22"/>
          <w:szCs w:val="22"/>
          <w:lang w:val="sr-Latn-ME"/>
        </w:rPr>
        <w:tab/>
      </w:r>
      <w:r w:rsidRPr="009307C4">
        <w:rPr>
          <w:b/>
          <w:bCs/>
          <w:sz w:val="22"/>
          <w:szCs w:val="22"/>
          <w:lang w:val="sr-Latn-ME"/>
        </w:rPr>
        <w:t>Rok upotrebe</w:t>
      </w:r>
    </w:p>
    <w:p w14:paraId="069D8D36" w14:textId="0544024C" w:rsidR="0072020E" w:rsidRPr="009307C4" w:rsidRDefault="0072020E" w:rsidP="00C4333D">
      <w:pPr>
        <w:tabs>
          <w:tab w:val="left" w:pos="540"/>
          <w:tab w:val="left" w:pos="569"/>
        </w:tabs>
        <w:jc w:val="both"/>
        <w:rPr>
          <w:bCs/>
          <w:sz w:val="22"/>
          <w:szCs w:val="22"/>
          <w:lang w:val="sr-Latn-ME"/>
        </w:rPr>
      </w:pPr>
    </w:p>
    <w:p w14:paraId="1D18DB94" w14:textId="74A82657" w:rsidR="008808CA" w:rsidRPr="009307C4" w:rsidRDefault="008808CA" w:rsidP="00C4333D">
      <w:pPr>
        <w:tabs>
          <w:tab w:val="left" w:pos="540"/>
          <w:tab w:val="left" w:pos="569"/>
        </w:tabs>
        <w:jc w:val="both"/>
        <w:rPr>
          <w:sz w:val="22"/>
          <w:szCs w:val="22"/>
          <w:lang w:val="sr-Latn-ME" w:eastAsia="sr-Latn-CS"/>
        </w:rPr>
      </w:pPr>
      <w:r w:rsidRPr="009307C4">
        <w:rPr>
          <w:sz w:val="22"/>
          <w:szCs w:val="22"/>
          <w:lang w:val="sr-Latn-ME" w:eastAsia="sr-Latn-CS"/>
        </w:rPr>
        <w:t>2 godine.</w:t>
      </w:r>
    </w:p>
    <w:p w14:paraId="74E2B363" w14:textId="4D1B4813" w:rsidR="00610E1D" w:rsidRPr="009307C4" w:rsidRDefault="00610E1D" w:rsidP="00C4333D">
      <w:pPr>
        <w:tabs>
          <w:tab w:val="left" w:pos="540"/>
          <w:tab w:val="left" w:pos="569"/>
        </w:tabs>
        <w:jc w:val="both"/>
        <w:rPr>
          <w:sz w:val="22"/>
          <w:szCs w:val="22"/>
          <w:lang w:val="sr-Latn-ME" w:eastAsia="sr-Latn-CS"/>
        </w:rPr>
      </w:pPr>
      <w:r w:rsidRPr="009307C4">
        <w:rPr>
          <w:sz w:val="22"/>
          <w:szCs w:val="22"/>
          <w:lang w:val="sr-Latn-ME" w:eastAsia="sr-Latn-CS"/>
        </w:rPr>
        <w:t>Nakon otvaranja kesice,</w:t>
      </w:r>
      <w:r w:rsidR="00645A45" w:rsidRPr="009307C4">
        <w:rPr>
          <w:sz w:val="22"/>
          <w:szCs w:val="22"/>
          <w:lang w:val="sr-Latn-ME" w:eastAsia="sr-Latn-CS"/>
        </w:rPr>
        <w:t xml:space="preserve"> upotrijebiti od</w:t>
      </w:r>
      <w:r w:rsidRPr="009307C4">
        <w:rPr>
          <w:sz w:val="22"/>
          <w:szCs w:val="22"/>
          <w:lang w:val="sr-Latn-ME" w:eastAsia="sr-Latn-CS"/>
        </w:rPr>
        <w:t>m</w:t>
      </w:r>
      <w:r w:rsidR="00645A45" w:rsidRPr="009307C4">
        <w:rPr>
          <w:sz w:val="22"/>
          <w:szCs w:val="22"/>
          <w:lang w:val="sr-Latn-ME" w:eastAsia="sr-Latn-CS"/>
        </w:rPr>
        <w:t>a</w:t>
      </w:r>
      <w:r w:rsidRPr="009307C4">
        <w:rPr>
          <w:sz w:val="22"/>
          <w:szCs w:val="22"/>
          <w:lang w:val="sr-Latn-ME" w:eastAsia="sr-Latn-CS"/>
        </w:rPr>
        <w:t>h.</w:t>
      </w:r>
    </w:p>
    <w:p w14:paraId="71D3DEA0" w14:textId="77777777" w:rsidR="008808CA" w:rsidRPr="009307C4" w:rsidRDefault="008808CA" w:rsidP="00C4333D">
      <w:pPr>
        <w:tabs>
          <w:tab w:val="left" w:pos="540"/>
          <w:tab w:val="left" w:pos="569"/>
        </w:tabs>
        <w:jc w:val="both"/>
        <w:rPr>
          <w:bCs/>
          <w:sz w:val="22"/>
          <w:szCs w:val="22"/>
          <w:lang w:val="sr-Latn-ME"/>
        </w:rPr>
      </w:pPr>
    </w:p>
    <w:p w14:paraId="653EF1BC"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6.4. </w:t>
      </w:r>
      <w:r w:rsidR="00480FB1" w:rsidRPr="009307C4">
        <w:rPr>
          <w:b/>
          <w:bCs/>
          <w:sz w:val="22"/>
          <w:szCs w:val="22"/>
          <w:lang w:val="sr-Latn-ME"/>
        </w:rPr>
        <w:tab/>
      </w:r>
      <w:r w:rsidRPr="009307C4">
        <w:rPr>
          <w:b/>
          <w:bCs/>
          <w:sz w:val="22"/>
          <w:szCs w:val="22"/>
          <w:lang w:val="sr-Latn-ME"/>
        </w:rPr>
        <w:t>Posebne mjere upozorenja pri čuvanju</w:t>
      </w:r>
      <w:r w:rsidR="00F8570A" w:rsidRPr="009307C4">
        <w:rPr>
          <w:b/>
          <w:bCs/>
          <w:sz w:val="22"/>
          <w:szCs w:val="22"/>
          <w:lang w:val="sr-Latn-ME"/>
        </w:rPr>
        <w:t xml:space="preserve"> lijeka</w:t>
      </w:r>
    </w:p>
    <w:p w14:paraId="3ACC9E13" w14:textId="5B908B11" w:rsidR="00EC2532" w:rsidRPr="009307C4" w:rsidRDefault="00EC2532" w:rsidP="00C4333D">
      <w:pPr>
        <w:tabs>
          <w:tab w:val="left" w:pos="540"/>
          <w:tab w:val="left" w:pos="569"/>
        </w:tabs>
        <w:jc w:val="both"/>
        <w:rPr>
          <w:bCs/>
          <w:sz w:val="22"/>
          <w:szCs w:val="22"/>
          <w:lang w:val="sr-Latn-ME"/>
        </w:rPr>
      </w:pPr>
    </w:p>
    <w:p w14:paraId="7DC1C487" w14:textId="77777777" w:rsidR="008808CA" w:rsidRPr="009307C4" w:rsidRDefault="008808CA" w:rsidP="00C4333D">
      <w:pPr>
        <w:pStyle w:val="Header"/>
        <w:tabs>
          <w:tab w:val="left" w:pos="284"/>
        </w:tabs>
        <w:jc w:val="both"/>
        <w:rPr>
          <w:sz w:val="22"/>
          <w:szCs w:val="22"/>
          <w:lang w:val="sr-Latn-ME" w:eastAsia="sr-Latn-CS"/>
        </w:rPr>
      </w:pPr>
      <w:r w:rsidRPr="009307C4">
        <w:rPr>
          <w:sz w:val="22"/>
          <w:szCs w:val="22"/>
          <w:lang w:val="sr-Latn-ME" w:eastAsia="sr-Latn-CS"/>
        </w:rPr>
        <w:t>Čuvati na temperaturi do 25°C u originalnom pakovanju, zaštićeno od svjetlosti i vlage.</w:t>
      </w:r>
    </w:p>
    <w:p w14:paraId="5333F6B2" w14:textId="77777777" w:rsidR="008808CA" w:rsidRPr="009307C4" w:rsidRDefault="008808CA" w:rsidP="00C4333D">
      <w:pPr>
        <w:tabs>
          <w:tab w:val="left" w:pos="540"/>
          <w:tab w:val="left" w:pos="569"/>
        </w:tabs>
        <w:jc w:val="both"/>
        <w:rPr>
          <w:bCs/>
          <w:sz w:val="22"/>
          <w:szCs w:val="22"/>
          <w:lang w:val="sr-Latn-ME"/>
        </w:rPr>
      </w:pPr>
    </w:p>
    <w:p w14:paraId="56D92481"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6.5. </w:t>
      </w:r>
      <w:r w:rsidR="00480FB1" w:rsidRPr="009307C4">
        <w:rPr>
          <w:b/>
          <w:bCs/>
          <w:sz w:val="22"/>
          <w:szCs w:val="22"/>
          <w:lang w:val="sr-Latn-ME"/>
        </w:rPr>
        <w:tab/>
      </w:r>
      <w:r w:rsidR="002846DB" w:rsidRPr="009307C4">
        <w:rPr>
          <w:b/>
          <w:bCs/>
          <w:sz w:val="22"/>
          <w:szCs w:val="22"/>
          <w:lang w:val="sr-Latn-ME"/>
        </w:rPr>
        <w:t xml:space="preserve">Vrsta i sadržaj </w:t>
      </w:r>
      <w:r w:rsidR="00F8570A" w:rsidRPr="009307C4">
        <w:rPr>
          <w:b/>
          <w:bCs/>
          <w:sz w:val="22"/>
          <w:szCs w:val="22"/>
          <w:lang w:val="sr-Latn-ME"/>
        </w:rPr>
        <w:t>pakovanja</w:t>
      </w:r>
      <w:r w:rsidR="00C06864" w:rsidRPr="009307C4">
        <w:rPr>
          <w:b/>
          <w:bCs/>
          <w:sz w:val="22"/>
          <w:szCs w:val="22"/>
          <w:lang w:val="sr-Latn-ME"/>
        </w:rPr>
        <w:t xml:space="preserve"> </w:t>
      </w:r>
    </w:p>
    <w:p w14:paraId="635A4E64" w14:textId="6A0B5BAC" w:rsidR="0072020E" w:rsidRPr="009307C4" w:rsidRDefault="0072020E" w:rsidP="00C4333D">
      <w:pPr>
        <w:tabs>
          <w:tab w:val="left" w:pos="540"/>
          <w:tab w:val="left" w:pos="569"/>
        </w:tabs>
        <w:jc w:val="both"/>
        <w:rPr>
          <w:bCs/>
          <w:sz w:val="22"/>
          <w:szCs w:val="22"/>
          <w:lang w:val="sr-Latn-ME"/>
        </w:rPr>
      </w:pPr>
    </w:p>
    <w:p w14:paraId="43981429" w14:textId="77777777" w:rsidR="008808CA" w:rsidRPr="009307C4" w:rsidRDefault="008808CA" w:rsidP="00C4333D">
      <w:pPr>
        <w:autoSpaceDE w:val="0"/>
        <w:autoSpaceDN w:val="0"/>
        <w:adjustRightInd w:val="0"/>
        <w:jc w:val="both"/>
        <w:rPr>
          <w:sz w:val="22"/>
          <w:szCs w:val="22"/>
          <w:lang w:val="sr-Latn-ME" w:eastAsia="sr-Latn-CS"/>
        </w:rPr>
      </w:pPr>
      <w:r w:rsidRPr="009307C4">
        <w:rPr>
          <w:sz w:val="22"/>
          <w:szCs w:val="22"/>
          <w:lang w:val="sr-Latn-ME" w:eastAsia="sr-Latn-CS"/>
        </w:rPr>
        <w:t>Unutrašnje pakovanje je od polietilenska/aluminijumska/poliesterska kesica.</w:t>
      </w:r>
    </w:p>
    <w:p w14:paraId="50C8D4C9" w14:textId="0561F783" w:rsidR="008808CA" w:rsidRPr="009307C4" w:rsidRDefault="008808CA" w:rsidP="00C4333D">
      <w:pPr>
        <w:tabs>
          <w:tab w:val="left" w:pos="540"/>
          <w:tab w:val="left" w:pos="569"/>
        </w:tabs>
        <w:jc w:val="both"/>
        <w:rPr>
          <w:sz w:val="22"/>
          <w:szCs w:val="22"/>
          <w:lang w:val="sr-Latn-ME" w:eastAsia="sr-Latn-CS"/>
        </w:rPr>
      </w:pPr>
      <w:r w:rsidRPr="009307C4">
        <w:rPr>
          <w:sz w:val="22"/>
          <w:szCs w:val="22"/>
          <w:lang w:val="sr-Latn-ME" w:eastAsia="sr-Latn-CS"/>
        </w:rPr>
        <w:t xml:space="preserve">Spoljno pakovanje je složiva kartonska kutija u kojoj se nalazi 28 kesica i </w:t>
      </w:r>
      <w:r w:rsidR="00610E1D" w:rsidRPr="009307C4">
        <w:rPr>
          <w:sz w:val="22"/>
          <w:szCs w:val="22"/>
          <w:lang w:val="sr-Latn-ME" w:eastAsia="sr-Latn-CS"/>
        </w:rPr>
        <w:t>U</w:t>
      </w:r>
      <w:r w:rsidRPr="009307C4">
        <w:rPr>
          <w:sz w:val="22"/>
          <w:szCs w:val="22"/>
          <w:lang w:val="sr-Latn-ME" w:eastAsia="sr-Latn-CS"/>
        </w:rPr>
        <w:t>putstvo z</w:t>
      </w:r>
      <w:r w:rsidR="00307F67" w:rsidRPr="009307C4">
        <w:rPr>
          <w:sz w:val="22"/>
          <w:szCs w:val="22"/>
          <w:lang w:val="sr-Latn-ME" w:eastAsia="sr-Latn-CS"/>
        </w:rPr>
        <w:t xml:space="preserve">a </w:t>
      </w:r>
      <w:r w:rsidR="00610E1D" w:rsidRPr="009307C4">
        <w:rPr>
          <w:sz w:val="22"/>
          <w:szCs w:val="22"/>
          <w:lang w:val="sr-Latn-ME" w:eastAsia="sr-Latn-CS"/>
        </w:rPr>
        <w:t>lijek</w:t>
      </w:r>
      <w:r w:rsidRPr="009307C4">
        <w:rPr>
          <w:sz w:val="22"/>
          <w:szCs w:val="22"/>
          <w:lang w:val="sr-Latn-ME" w:eastAsia="sr-Latn-CS"/>
        </w:rPr>
        <w:t>.</w:t>
      </w:r>
    </w:p>
    <w:p w14:paraId="4F465FDF" w14:textId="77777777" w:rsidR="008808CA" w:rsidRPr="009307C4" w:rsidRDefault="008808CA" w:rsidP="00C4333D">
      <w:pPr>
        <w:tabs>
          <w:tab w:val="left" w:pos="540"/>
          <w:tab w:val="left" w:pos="569"/>
        </w:tabs>
        <w:jc w:val="both"/>
        <w:rPr>
          <w:bCs/>
          <w:sz w:val="22"/>
          <w:szCs w:val="22"/>
          <w:lang w:val="sr-Latn-ME"/>
        </w:rPr>
      </w:pPr>
    </w:p>
    <w:p w14:paraId="1A7E30E4" w14:textId="77777777" w:rsidR="002846DB"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6.6. </w:t>
      </w:r>
      <w:r w:rsidR="00480FB1" w:rsidRPr="009307C4">
        <w:rPr>
          <w:b/>
          <w:bCs/>
          <w:sz w:val="22"/>
          <w:szCs w:val="22"/>
          <w:lang w:val="sr-Latn-ME"/>
        </w:rPr>
        <w:tab/>
      </w:r>
      <w:r w:rsidRPr="009307C4">
        <w:rPr>
          <w:b/>
          <w:bCs/>
          <w:color w:val="000000"/>
          <w:sz w:val="22"/>
          <w:szCs w:val="22"/>
          <w:lang w:val="sr-Latn-ME"/>
        </w:rPr>
        <w:t>Posebne mjere opreza pri odlaganju materijala koji treba odbaciti nakon primjene lijeka</w:t>
      </w:r>
      <w:r w:rsidRPr="009307C4">
        <w:rPr>
          <w:b/>
          <w:bCs/>
          <w:sz w:val="22"/>
          <w:szCs w:val="22"/>
          <w:lang w:val="sr-Latn-ME"/>
        </w:rPr>
        <w:t xml:space="preserve"> </w:t>
      </w:r>
      <w:r w:rsidR="00310F03" w:rsidRPr="009307C4">
        <w:rPr>
          <w:b/>
          <w:bCs/>
          <w:sz w:val="22"/>
          <w:szCs w:val="22"/>
          <w:lang w:val="sr-Latn-ME"/>
        </w:rPr>
        <w:t>(i druga uputs</w:t>
      </w:r>
      <w:r w:rsidR="004109FA" w:rsidRPr="009307C4">
        <w:rPr>
          <w:b/>
          <w:bCs/>
          <w:sz w:val="22"/>
          <w:szCs w:val="22"/>
          <w:lang w:val="sr-Latn-ME"/>
        </w:rPr>
        <w:t>t</w:t>
      </w:r>
      <w:r w:rsidR="00310F03" w:rsidRPr="009307C4">
        <w:rPr>
          <w:b/>
          <w:bCs/>
          <w:sz w:val="22"/>
          <w:szCs w:val="22"/>
          <w:lang w:val="sr-Latn-ME"/>
        </w:rPr>
        <w:t xml:space="preserve">va za rukovanje lijekom) </w:t>
      </w:r>
    </w:p>
    <w:p w14:paraId="76265724" w14:textId="77777777" w:rsidR="00B66A70" w:rsidRPr="009307C4" w:rsidRDefault="00B66A70" w:rsidP="00C4333D">
      <w:pPr>
        <w:tabs>
          <w:tab w:val="left" w:pos="540"/>
          <w:tab w:val="left" w:pos="569"/>
        </w:tabs>
        <w:jc w:val="both"/>
        <w:rPr>
          <w:b/>
          <w:bCs/>
          <w:sz w:val="22"/>
          <w:szCs w:val="22"/>
          <w:lang w:val="sr-Latn-ME"/>
        </w:rPr>
      </w:pPr>
    </w:p>
    <w:p w14:paraId="717C5D62" w14:textId="77777777" w:rsidR="008808CA" w:rsidRPr="009307C4" w:rsidRDefault="008808CA" w:rsidP="00C4333D">
      <w:pPr>
        <w:pStyle w:val="Header"/>
        <w:tabs>
          <w:tab w:val="left" w:pos="284"/>
        </w:tabs>
        <w:jc w:val="both"/>
        <w:rPr>
          <w:sz w:val="22"/>
          <w:lang w:val="sr-Latn-ME"/>
        </w:rPr>
      </w:pPr>
      <w:r w:rsidRPr="009307C4">
        <w:rPr>
          <w:sz w:val="22"/>
          <w:lang w:val="sr-Latn-ME"/>
        </w:rPr>
        <w:t>Neupotrijebljeni lijek se uništava u skladu sa važećim propisima.</w:t>
      </w:r>
    </w:p>
    <w:p w14:paraId="6352FDBC" w14:textId="44B142B0" w:rsidR="009D216A" w:rsidRPr="009307C4" w:rsidRDefault="009D216A" w:rsidP="00C4333D">
      <w:pPr>
        <w:tabs>
          <w:tab w:val="left" w:pos="540"/>
          <w:tab w:val="left" w:pos="569"/>
        </w:tabs>
        <w:jc w:val="both"/>
        <w:rPr>
          <w:bCs/>
          <w:sz w:val="22"/>
          <w:szCs w:val="22"/>
          <w:lang w:val="sr-Latn-ME"/>
        </w:rPr>
      </w:pPr>
    </w:p>
    <w:p w14:paraId="5F5828D6" w14:textId="77777777" w:rsidR="009307C4" w:rsidRPr="009307C4" w:rsidRDefault="009307C4" w:rsidP="00C4333D">
      <w:pPr>
        <w:tabs>
          <w:tab w:val="left" w:pos="540"/>
          <w:tab w:val="left" w:pos="569"/>
        </w:tabs>
        <w:jc w:val="both"/>
        <w:rPr>
          <w:bCs/>
          <w:sz w:val="22"/>
          <w:szCs w:val="22"/>
          <w:lang w:val="sr-Latn-ME"/>
        </w:rPr>
      </w:pPr>
    </w:p>
    <w:p w14:paraId="285E6D37" w14:textId="77777777" w:rsidR="00F8570A"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7. </w:t>
      </w:r>
      <w:r w:rsidR="00480FB1" w:rsidRPr="009307C4">
        <w:rPr>
          <w:b/>
          <w:bCs/>
          <w:sz w:val="22"/>
          <w:szCs w:val="22"/>
          <w:lang w:val="sr-Latn-ME"/>
        </w:rPr>
        <w:tab/>
      </w:r>
      <w:r w:rsidRPr="009307C4">
        <w:rPr>
          <w:b/>
          <w:bCs/>
          <w:sz w:val="22"/>
          <w:szCs w:val="22"/>
          <w:lang w:val="sr-Latn-ME"/>
        </w:rPr>
        <w:t>NOSILAC DOZVOLE</w:t>
      </w:r>
      <w:r w:rsidR="00483928" w:rsidRPr="009307C4">
        <w:rPr>
          <w:b/>
          <w:bCs/>
          <w:sz w:val="22"/>
          <w:szCs w:val="22"/>
          <w:lang w:val="sr-Latn-ME"/>
        </w:rPr>
        <w:t xml:space="preserve"> </w:t>
      </w:r>
    </w:p>
    <w:p w14:paraId="4990AB0D" w14:textId="77777777" w:rsidR="00C61BE0" w:rsidRPr="009307C4" w:rsidRDefault="00C61BE0" w:rsidP="00C4333D">
      <w:pPr>
        <w:tabs>
          <w:tab w:val="left" w:pos="540"/>
          <w:tab w:val="left" w:pos="569"/>
        </w:tabs>
        <w:jc w:val="both"/>
        <w:rPr>
          <w:bCs/>
          <w:sz w:val="22"/>
          <w:szCs w:val="22"/>
          <w:lang w:val="sr-Latn-ME"/>
        </w:rPr>
      </w:pPr>
    </w:p>
    <w:p w14:paraId="04B1264E" w14:textId="77777777" w:rsidR="009D216A" w:rsidRPr="009307C4" w:rsidRDefault="009D216A" w:rsidP="009D216A">
      <w:pPr>
        <w:rPr>
          <w:sz w:val="22"/>
          <w:szCs w:val="22"/>
          <w:lang w:val="sr-Latn-ME"/>
        </w:rPr>
      </w:pPr>
      <w:r w:rsidRPr="009307C4">
        <w:rPr>
          <w:sz w:val="22"/>
          <w:szCs w:val="22"/>
          <w:lang w:val="sr-Latn-ME"/>
        </w:rPr>
        <w:t>Glosarij d.o.o.</w:t>
      </w:r>
    </w:p>
    <w:p w14:paraId="1B173590" w14:textId="77777777" w:rsidR="009D216A" w:rsidRPr="009307C4" w:rsidRDefault="009D216A" w:rsidP="009D216A">
      <w:pPr>
        <w:rPr>
          <w:sz w:val="22"/>
          <w:szCs w:val="22"/>
          <w:lang w:val="sr-Latn-ME"/>
        </w:rPr>
      </w:pPr>
      <w:r w:rsidRPr="009307C4">
        <w:rPr>
          <w:sz w:val="22"/>
          <w:szCs w:val="22"/>
          <w:lang w:val="sr-Latn-ME"/>
        </w:rPr>
        <w:t>Vojislavljevića 76, Podgorica, Crna Gora</w:t>
      </w:r>
    </w:p>
    <w:p w14:paraId="4DFEE3EB" w14:textId="1B4CE77B" w:rsidR="00C37FD7" w:rsidRPr="009307C4" w:rsidRDefault="00C37FD7" w:rsidP="00C4333D">
      <w:pPr>
        <w:tabs>
          <w:tab w:val="left" w:pos="540"/>
          <w:tab w:val="left" w:pos="569"/>
        </w:tabs>
        <w:jc w:val="both"/>
        <w:rPr>
          <w:bCs/>
          <w:sz w:val="22"/>
          <w:szCs w:val="22"/>
          <w:lang w:val="sr-Latn-ME"/>
        </w:rPr>
      </w:pPr>
    </w:p>
    <w:p w14:paraId="70591FD0" w14:textId="77777777" w:rsidR="009307C4" w:rsidRPr="009307C4" w:rsidRDefault="009307C4" w:rsidP="00C4333D">
      <w:pPr>
        <w:tabs>
          <w:tab w:val="left" w:pos="540"/>
          <w:tab w:val="left" w:pos="569"/>
        </w:tabs>
        <w:jc w:val="both"/>
        <w:rPr>
          <w:bCs/>
          <w:sz w:val="22"/>
          <w:szCs w:val="22"/>
          <w:lang w:val="sr-Latn-ME"/>
        </w:rPr>
      </w:pPr>
    </w:p>
    <w:p w14:paraId="467A922D" w14:textId="77777777"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8. </w:t>
      </w:r>
      <w:r w:rsidR="00480FB1" w:rsidRPr="009307C4">
        <w:rPr>
          <w:b/>
          <w:bCs/>
          <w:sz w:val="22"/>
          <w:szCs w:val="22"/>
          <w:lang w:val="sr-Latn-ME"/>
        </w:rPr>
        <w:tab/>
      </w:r>
      <w:r w:rsidRPr="009307C4">
        <w:rPr>
          <w:b/>
          <w:bCs/>
          <w:sz w:val="22"/>
          <w:szCs w:val="22"/>
          <w:lang w:val="sr-Latn-ME"/>
        </w:rPr>
        <w:t>BROJ DOZVOLE</w:t>
      </w:r>
      <w:r w:rsidR="008A6D43" w:rsidRPr="009307C4">
        <w:rPr>
          <w:b/>
          <w:bCs/>
          <w:sz w:val="22"/>
          <w:szCs w:val="22"/>
          <w:lang w:val="sr-Latn-ME"/>
        </w:rPr>
        <w:t xml:space="preserve"> ZA STAVLJANJE LIJEKA U PROMET</w:t>
      </w:r>
    </w:p>
    <w:p w14:paraId="4B4FC813" w14:textId="0D447FDF" w:rsidR="009D216A" w:rsidRPr="009307C4" w:rsidRDefault="009D216A" w:rsidP="00C4333D">
      <w:pPr>
        <w:tabs>
          <w:tab w:val="left" w:pos="540"/>
          <w:tab w:val="left" w:pos="569"/>
        </w:tabs>
        <w:jc w:val="both"/>
        <w:rPr>
          <w:sz w:val="22"/>
          <w:lang w:val="sr-Latn-ME"/>
        </w:rPr>
      </w:pPr>
    </w:p>
    <w:p w14:paraId="26BCD75D" w14:textId="2F63181C" w:rsidR="009D216A" w:rsidRPr="009307C4" w:rsidRDefault="00747E5F" w:rsidP="00C4333D">
      <w:pPr>
        <w:tabs>
          <w:tab w:val="left" w:pos="540"/>
          <w:tab w:val="left" w:pos="569"/>
        </w:tabs>
        <w:jc w:val="both"/>
        <w:rPr>
          <w:sz w:val="22"/>
          <w:lang w:val="sr-Latn-ME"/>
        </w:rPr>
      </w:pPr>
      <w:r w:rsidRPr="009307C4">
        <w:rPr>
          <w:sz w:val="22"/>
          <w:szCs w:val="22"/>
          <w:lang w:val="sr-Latn-ME" w:eastAsia="sr-Latn-ME"/>
        </w:rPr>
        <w:t>2030/23/1387 - 6660</w:t>
      </w:r>
    </w:p>
    <w:p w14:paraId="4B385031" w14:textId="550AA8DD" w:rsidR="00EA3A3C" w:rsidRPr="009307C4" w:rsidRDefault="00EA3A3C" w:rsidP="00C4333D">
      <w:pPr>
        <w:tabs>
          <w:tab w:val="left" w:pos="540"/>
          <w:tab w:val="left" w:pos="569"/>
        </w:tabs>
        <w:jc w:val="both"/>
        <w:rPr>
          <w:bCs/>
          <w:sz w:val="22"/>
          <w:szCs w:val="22"/>
          <w:lang w:val="sr-Latn-ME"/>
        </w:rPr>
      </w:pPr>
    </w:p>
    <w:p w14:paraId="14FD1003" w14:textId="77777777" w:rsidR="009307C4" w:rsidRPr="009307C4" w:rsidRDefault="009307C4" w:rsidP="00C4333D">
      <w:pPr>
        <w:tabs>
          <w:tab w:val="left" w:pos="540"/>
          <w:tab w:val="left" w:pos="569"/>
        </w:tabs>
        <w:jc w:val="both"/>
        <w:rPr>
          <w:bCs/>
          <w:sz w:val="22"/>
          <w:szCs w:val="22"/>
          <w:lang w:val="sr-Latn-ME"/>
        </w:rPr>
      </w:pPr>
    </w:p>
    <w:p w14:paraId="7423BF9F" w14:textId="3E0736F0" w:rsidR="0072020E" w:rsidRPr="009307C4" w:rsidRDefault="0072020E" w:rsidP="00C4333D">
      <w:pPr>
        <w:tabs>
          <w:tab w:val="left" w:pos="540"/>
          <w:tab w:val="left" w:pos="569"/>
        </w:tabs>
        <w:jc w:val="both"/>
        <w:rPr>
          <w:b/>
          <w:bCs/>
          <w:sz w:val="22"/>
          <w:szCs w:val="22"/>
          <w:lang w:val="sr-Latn-ME"/>
        </w:rPr>
      </w:pPr>
      <w:r w:rsidRPr="009307C4">
        <w:rPr>
          <w:b/>
          <w:bCs/>
          <w:sz w:val="22"/>
          <w:szCs w:val="22"/>
          <w:lang w:val="sr-Latn-ME"/>
        </w:rPr>
        <w:t xml:space="preserve">9. </w:t>
      </w:r>
      <w:r w:rsidR="00480FB1" w:rsidRPr="009307C4">
        <w:rPr>
          <w:b/>
          <w:bCs/>
          <w:sz w:val="22"/>
          <w:szCs w:val="22"/>
          <w:lang w:val="sr-Latn-ME"/>
        </w:rPr>
        <w:tab/>
      </w:r>
      <w:r w:rsidRPr="009307C4">
        <w:rPr>
          <w:b/>
          <w:bCs/>
          <w:sz w:val="22"/>
          <w:szCs w:val="22"/>
          <w:lang w:val="sr-Latn-ME"/>
        </w:rPr>
        <w:t xml:space="preserve">DATUM </w:t>
      </w:r>
      <w:r w:rsidR="00C05DF8" w:rsidRPr="009307C4">
        <w:rPr>
          <w:b/>
          <w:bCs/>
          <w:sz w:val="22"/>
          <w:szCs w:val="22"/>
          <w:lang w:val="sr-Latn-ME"/>
        </w:rPr>
        <w:t xml:space="preserve">PRVE </w:t>
      </w:r>
      <w:r w:rsidR="008A6D43" w:rsidRPr="009307C4">
        <w:rPr>
          <w:b/>
          <w:bCs/>
          <w:sz w:val="22"/>
          <w:szCs w:val="22"/>
          <w:lang w:val="sr-Latn-ME"/>
        </w:rPr>
        <w:t>DOZVOLE</w:t>
      </w:r>
      <w:r w:rsidR="00C05DF8" w:rsidRPr="009307C4">
        <w:rPr>
          <w:b/>
          <w:bCs/>
          <w:sz w:val="22"/>
          <w:szCs w:val="22"/>
          <w:lang w:val="sr-Latn-ME"/>
        </w:rPr>
        <w:t>/OBNOVE DOZVOLE</w:t>
      </w:r>
      <w:r w:rsidR="008A6D43" w:rsidRPr="009307C4">
        <w:rPr>
          <w:b/>
          <w:bCs/>
          <w:sz w:val="22"/>
          <w:szCs w:val="22"/>
          <w:lang w:val="sr-Latn-ME"/>
        </w:rPr>
        <w:t xml:space="preserve"> ZA STAVLJANJE LIJEKA U PROMET</w:t>
      </w:r>
    </w:p>
    <w:p w14:paraId="35D36630" w14:textId="77777777" w:rsidR="009D216A" w:rsidRPr="009307C4" w:rsidRDefault="009D216A" w:rsidP="00C4333D">
      <w:pPr>
        <w:tabs>
          <w:tab w:val="left" w:pos="540"/>
          <w:tab w:val="left" w:pos="569"/>
        </w:tabs>
        <w:jc w:val="both"/>
        <w:rPr>
          <w:b/>
          <w:bCs/>
          <w:sz w:val="22"/>
          <w:szCs w:val="22"/>
          <w:lang w:val="sr-Latn-ME"/>
        </w:rPr>
      </w:pPr>
    </w:p>
    <w:p w14:paraId="1A7B20DD" w14:textId="29C749FF" w:rsidR="0072020E" w:rsidRPr="009307C4" w:rsidRDefault="009D216A" w:rsidP="00C4333D">
      <w:pPr>
        <w:tabs>
          <w:tab w:val="left" w:pos="540"/>
          <w:tab w:val="left" w:pos="569"/>
        </w:tabs>
        <w:jc w:val="both"/>
        <w:rPr>
          <w:bCs/>
          <w:sz w:val="22"/>
          <w:szCs w:val="22"/>
          <w:lang w:val="sr-Latn-ME"/>
        </w:rPr>
      </w:pPr>
      <w:r w:rsidRPr="009307C4">
        <w:rPr>
          <w:bCs/>
          <w:sz w:val="22"/>
          <w:szCs w:val="22"/>
          <w:lang w:val="sr-Latn-ME"/>
        </w:rPr>
        <w:t>Datum prve dozvole:</w:t>
      </w:r>
      <w:r w:rsidR="00635529" w:rsidRPr="009307C4">
        <w:rPr>
          <w:bCs/>
          <w:sz w:val="22"/>
          <w:szCs w:val="22"/>
          <w:lang w:val="sr-Latn-ME"/>
        </w:rPr>
        <w:t xml:space="preserve"> 15.06.2011.</w:t>
      </w:r>
    </w:p>
    <w:p w14:paraId="1DC602A1" w14:textId="12F4CEA0" w:rsidR="009D216A" w:rsidRPr="009307C4" w:rsidRDefault="009D216A" w:rsidP="00C4333D">
      <w:pPr>
        <w:tabs>
          <w:tab w:val="left" w:pos="540"/>
          <w:tab w:val="left" w:pos="569"/>
        </w:tabs>
        <w:jc w:val="both"/>
        <w:rPr>
          <w:bCs/>
          <w:sz w:val="22"/>
          <w:szCs w:val="22"/>
          <w:lang w:val="sr-Latn-ME"/>
        </w:rPr>
      </w:pPr>
      <w:r w:rsidRPr="009307C4">
        <w:rPr>
          <w:bCs/>
          <w:sz w:val="22"/>
          <w:szCs w:val="22"/>
          <w:lang w:val="sr-Latn-ME"/>
        </w:rPr>
        <w:t>Datum poslednje obnove dozvole:</w:t>
      </w:r>
      <w:r w:rsidR="00747E5F" w:rsidRPr="009307C4">
        <w:rPr>
          <w:bCs/>
          <w:sz w:val="22"/>
          <w:szCs w:val="22"/>
          <w:lang w:val="sr-Latn-ME"/>
        </w:rPr>
        <w:t xml:space="preserve"> </w:t>
      </w:r>
      <w:r w:rsidR="00747E5F" w:rsidRPr="009307C4">
        <w:rPr>
          <w:sz w:val="22"/>
          <w:szCs w:val="22"/>
          <w:lang w:val="sr-Latn-ME" w:eastAsia="sr-Latn-ME"/>
        </w:rPr>
        <w:t>20.07.2023. godine</w:t>
      </w:r>
    </w:p>
    <w:p w14:paraId="1DC1FA0A" w14:textId="1F5F119F" w:rsidR="00EA3A3C" w:rsidRPr="009307C4" w:rsidRDefault="00EA3A3C" w:rsidP="00C4333D">
      <w:pPr>
        <w:tabs>
          <w:tab w:val="left" w:pos="540"/>
          <w:tab w:val="left" w:pos="569"/>
        </w:tabs>
        <w:jc w:val="both"/>
        <w:rPr>
          <w:bCs/>
          <w:sz w:val="22"/>
          <w:szCs w:val="22"/>
          <w:lang w:val="sr-Latn-ME"/>
        </w:rPr>
      </w:pPr>
    </w:p>
    <w:p w14:paraId="1D33D5CF" w14:textId="77777777" w:rsidR="009307C4" w:rsidRPr="009307C4" w:rsidRDefault="009307C4" w:rsidP="00C4333D">
      <w:pPr>
        <w:tabs>
          <w:tab w:val="left" w:pos="540"/>
          <w:tab w:val="left" w:pos="569"/>
        </w:tabs>
        <w:jc w:val="both"/>
        <w:rPr>
          <w:bCs/>
          <w:sz w:val="22"/>
          <w:szCs w:val="22"/>
          <w:lang w:val="sr-Latn-ME"/>
        </w:rPr>
      </w:pPr>
    </w:p>
    <w:p w14:paraId="5A4C0A0F" w14:textId="7C926B2C" w:rsidR="003F6A59" w:rsidRPr="009307C4" w:rsidRDefault="0072020E" w:rsidP="00C4333D">
      <w:pPr>
        <w:tabs>
          <w:tab w:val="left" w:pos="540"/>
          <w:tab w:val="left" w:pos="569"/>
        </w:tabs>
        <w:ind w:left="540" w:hanging="540"/>
        <w:jc w:val="both"/>
        <w:rPr>
          <w:b/>
          <w:bCs/>
          <w:sz w:val="22"/>
          <w:szCs w:val="22"/>
          <w:lang w:val="sr-Latn-ME"/>
        </w:rPr>
      </w:pPr>
      <w:r w:rsidRPr="009307C4">
        <w:rPr>
          <w:b/>
          <w:bCs/>
          <w:sz w:val="22"/>
          <w:szCs w:val="22"/>
          <w:lang w:val="sr-Latn-ME"/>
        </w:rPr>
        <w:t xml:space="preserve">10. </w:t>
      </w:r>
      <w:r w:rsidR="00480FB1" w:rsidRPr="009307C4">
        <w:rPr>
          <w:b/>
          <w:bCs/>
          <w:sz w:val="22"/>
          <w:szCs w:val="22"/>
          <w:lang w:val="sr-Latn-ME"/>
        </w:rPr>
        <w:tab/>
      </w:r>
      <w:r w:rsidR="002846DB" w:rsidRPr="009307C4">
        <w:rPr>
          <w:b/>
          <w:bCs/>
          <w:sz w:val="22"/>
          <w:szCs w:val="22"/>
          <w:lang w:val="sr-Latn-ME"/>
        </w:rPr>
        <w:t>D</w:t>
      </w:r>
      <w:r w:rsidR="00EC2532" w:rsidRPr="009307C4">
        <w:rPr>
          <w:b/>
          <w:bCs/>
          <w:sz w:val="22"/>
          <w:szCs w:val="22"/>
          <w:lang w:val="sr-Latn-ME"/>
        </w:rPr>
        <w:t xml:space="preserve">ATUM REVIZIJE TEKSTA </w:t>
      </w:r>
    </w:p>
    <w:p w14:paraId="182682A7" w14:textId="0DFB7FA8" w:rsidR="009307C4" w:rsidRPr="009307C4" w:rsidRDefault="009307C4" w:rsidP="00C4333D">
      <w:pPr>
        <w:tabs>
          <w:tab w:val="left" w:pos="540"/>
          <w:tab w:val="left" w:pos="569"/>
        </w:tabs>
        <w:ind w:left="540" w:hanging="540"/>
        <w:jc w:val="both"/>
        <w:rPr>
          <w:b/>
          <w:bCs/>
          <w:sz w:val="22"/>
          <w:szCs w:val="22"/>
          <w:lang w:val="sr-Latn-ME"/>
        </w:rPr>
      </w:pPr>
    </w:p>
    <w:p w14:paraId="045CF8F2" w14:textId="0140987E" w:rsidR="009307C4" w:rsidRPr="009307C4" w:rsidRDefault="009307C4" w:rsidP="00C4333D">
      <w:pPr>
        <w:tabs>
          <w:tab w:val="left" w:pos="540"/>
          <w:tab w:val="left" w:pos="569"/>
        </w:tabs>
        <w:ind w:left="540" w:hanging="540"/>
        <w:jc w:val="both"/>
        <w:rPr>
          <w:bCs/>
          <w:sz w:val="22"/>
          <w:szCs w:val="22"/>
          <w:lang w:val="sr-Latn-ME"/>
        </w:rPr>
      </w:pPr>
      <w:r w:rsidRPr="009307C4">
        <w:rPr>
          <w:bCs/>
          <w:sz w:val="22"/>
          <w:szCs w:val="22"/>
          <w:lang w:val="sr-Latn-ME"/>
        </w:rPr>
        <w:t>Oktobar, 2024. godine</w:t>
      </w:r>
    </w:p>
    <w:p w14:paraId="322ADA9C" w14:textId="77777777" w:rsidR="003F6A59" w:rsidRPr="009307C4" w:rsidRDefault="003F6A59" w:rsidP="00C4333D">
      <w:pPr>
        <w:tabs>
          <w:tab w:val="left" w:pos="540"/>
          <w:tab w:val="left" w:pos="569"/>
        </w:tabs>
        <w:jc w:val="both"/>
        <w:rPr>
          <w:bCs/>
          <w:sz w:val="22"/>
          <w:szCs w:val="22"/>
          <w:lang w:val="sr-Latn-ME"/>
        </w:rPr>
      </w:pPr>
    </w:p>
    <w:bookmarkEnd w:id="0"/>
    <w:p w14:paraId="3FB88EB1" w14:textId="67645AE5" w:rsidR="003F6A59" w:rsidRPr="009307C4" w:rsidRDefault="003F6A59" w:rsidP="00D0262A">
      <w:pPr>
        <w:tabs>
          <w:tab w:val="left" w:pos="540"/>
          <w:tab w:val="left" w:pos="569"/>
        </w:tabs>
        <w:jc w:val="both"/>
        <w:rPr>
          <w:sz w:val="22"/>
          <w:szCs w:val="22"/>
          <w:lang w:val="sr-Latn-ME"/>
        </w:rPr>
      </w:pPr>
    </w:p>
    <w:sectPr w:rsidR="003F6A59" w:rsidRPr="009307C4"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1DAC" w14:textId="77777777" w:rsidR="00B01C05" w:rsidRDefault="00B01C05">
      <w:r>
        <w:separator/>
      </w:r>
    </w:p>
  </w:endnote>
  <w:endnote w:type="continuationSeparator" w:id="0">
    <w:p w14:paraId="3CE6FA39" w14:textId="77777777" w:rsidR="00B01C05" w:rsidRDefault="00B0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C8E7" w14:textId="5D2C1461" w:rsidR="00565C86" w:rsidRPr="00B23F69" w:rsidRDefault="00565C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307C4">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307C4">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89F0E" w14:textId="77777777" w:rsidR="00B01C05" w:rsidRDefault="00B01C05">
      <w:r>
        <w:separator/>
      </w:r>
    </w:p>
  </w:footnote>
  <w:footnote w:type="continuationSeparator" w:id="0">
    <w:p w14:paraId="437EB645" w14:textId="77777777" w:rsidR="00B01C05" w:rsidRDefault="00B0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5pt;height:13.15pt;visibility:visible" o:bullet="t">
        <v:imagedata r:id="rId1" o:title="BT_1000x858px"/>
      </v:shape>
    </w:pict>
  </w:numPicBullet>
  <w:abstractNum w:abstractNumId="0" w15:restartNumberingAfterBreak="0">
    <w:nsid w:val="0B57273C"/>
    <w:multiLevelType w:val="hybridMultilevel"/>
    <w:tmpl w:val="E018BD4C"/>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DA713D7"/>
    <w:multiLevelType w:val="hybridMultilevel"/>
    <w:tmpl w:val="87B6EED0"/>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AA54DBB"/>
    <w:multiLevelType w:val="hybridMultilevel"/>
    <w:tmpl w:val="7308907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9"/>
  </w:num>
  <w:num w:numId="8">
    <w:abstractNumId w:val="4"/>
  </w:num>
  <w:num w:numId="9">
    <w:abstractNumId w:val="7"/>
  </w:num>
  <w:num w:numId="10">
    <w:abstractNumId w:val="13"/>
  </w:num>
  <w:num w:numId="11">
    <w:abstractNumId w:val="6"/>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483"/>
    <w:rsid w:val="000176CA"/>
    <w:rsid w:val="000366F3"/>
    <w:rsid w:val="00036FA0"/>
    <w:rsid w:val="0003793F"/>
    <w:rsid w:val="00040933"/>
    <w:rsid w:val="00042220"/>
    <w:rsid w:val="00057E35"/>
    <w:rsid w:val="00076726"/>
    <w:rsid w:val="00080303"/>
    <w:rsid w:val="00084C2C"/>
    <w:rsid w:val="000A3F58"/>
    <w:rsid w:val="000B20FE"/>
    <w:rsid w:val="000C5EE4"/>
    <w:rsid w:val="000C7E23"/>
    <w:rsid w:val="000D1F29"/>
    <w:rsid w:val="000D2343"/>
    <w:rsid w:val="000D3449"/>
    <w:rsid w:val="000D425A"/>
    <w:rsid w:val="000D60CC"/>
    <w:rsid w:val="000E2084"/>
    <w:rsid w:val="000E6F55"/>
    <w:rsid w:val="000F77FA"/>
    <w:rsid w:val="00103F16"/>
    <w:rsid w:val="00106D09"/>
    <w:rsid w:val="00107BF7"/>
    <w:rsid w:val="00116519"/>
    <w:rsid w:val="001256DF"/>
    <w:rsid w:val="00126F53"/>
    <w:rsid w:val="0014766D"/>
    <w:rsid w:val="001536CC"/>
    <w:rsid w:val="001675C4"/>
    <w:rsid w:val="00181810"/>
    <w:rsid w:val="00186C51"/>
    <w:rsid w:val="001A3FBA"/>
    <w:rsid w:val="001A5518"/>
    <w:rsid w:val="001A739C"/>
    <w:rsid w:val="001B1C6A"/>
    <w:rsid w:val="001C1263"/>
    <w:rsid w:val="001C1417"/>
    <w:rsid w:val="001D675A"/>
    <w:rsid w:val="001E2D97"/>
    <w:rsid w:val="001E390B"/>
    <w:rsid w:val="001F42FB"/>
    <w:rsid w:val="001F719A"/>
    <w:rsid w:val="002031B3"/>
    <w:rsid w:val="00210E7E"/>
    <w:rsid w:val="00215931"/>
    <w:rsid w:val="00216163"/>
    <w:rsid w:val="002244AD"/>
    <w:rsid w:val="00227BDB"/>
    <w:rsid w:val="00234CB1"/>
    <w:rsid w:val="002352F8"/>
    <w:rsid w:val="00241250"/>
    <w:rsid w:val="002476A5"/>
    <w:rsid w:val="002510A5"/>
    <w:rsid w:val="00254545"/>
    <w:rsid w:val="00254A0A"/>
    <w:rsid w:val="00256C1B"/>
    <w:rsid w:val="00265EF1"/>
    <w:rsid w:val="00266046"/>
    <w:rsid w:val="0027063D"/>
    <w:rsid w:val="00275C21"/>
    <w:rsid w:val="002846DB"/>
    <w:rsid w:val="00284CCD"/>
    <w:rsid w:val="00292AAA"/>
    <w:rsid w:val="002C6637"/>
    <w:rsid w:val="002C752E"/>
    <w:rsid w:val="002E0135"/>
    <w:rsid w:val="002E0246"/>
    <w:rsid w:val="002E37A5"/>
    <w:rsid w:val="003056B6"/>
    <w:rsid w:val="00307F67"/>
    <w:rsid w:val="00310F03"/>
    <w:rsid w:val="00322237"/>
    <w:rsid w:val="003247D2"/>
    <w:rsid w:val="00324B31"/>
    <w:rsid w:val="00332AD7"/>
    <w:rsid w:val="00334610"/>
    <w:rsid w:val="003445C1"/>
    <w:rsid w:val="00355B61"/>
    <w:rsid w:val="00362686"/>
    <w:rsid w:val="00371510"/>
    <w:rsid w:val="00373632"/>
    <w:rsid w:val="00396DFD"/>
    <w:rsid w:val="0039724B"/>
    <w:rsid w:val="003A4003"/>
    <w:rsid w:val="003A6484"/>
    <w:rsid w:val="003A7059"/>
    <w:rsid w:val="003B7A36"/>
    <w:rsid w:val="003C17AB"/>
    <w:rsid w:val="003C7264"/>
    <w:rsid w:val="003C7823"/>
    <w:rsid w:val="003D349D"/>
    <w:rsid w:val="003E0C0C"/>
    <w:rsid w:val="003E1DCC"/>
    <w:rsid w:val="003F18CA"/>
    <w:rsid w:val="003F1EE7"/>
    <w:rsid w:val="003F6A59"/>
    <w:rsid w:val="003F6D93"/>
    <w:rsid w:val="004065C8"/>
    <w:rsid w:val="004109FA"/>
    <w:rsid w:val="00411B4B"/>
    <w:rsid w:val="00415BEE"/>
    <w:rsid w:val="00427F85"/>
    <w:rsid w:val="00436C37"/>
    <w:rsid w:val="00436F42"/>
    <w:rsid w:val="004378B4"/>
    <w:rsid w:val="0044414A"/>
    <w:rsid w:val="00451314"/>
    <w:rsid w:val="00452E9D"/>
    <w:rsid w:val="004534C7"/>
    <w:rsid w:val="004671AA"/>
    <w:rsid w:val="00480FB1"/>
    <w:rsid w:val="00483928"/>
    <w:rsid w:val="00490401"/>
    <w:rsid w:val="004962EE"/>
    <w:rsid w:val="004963C2"/>
    <w:rsid w:val="004C1F6A"/>
    <w:rsid w:val="004C6094"/>
    <w:rsid w:val="004D6103"/>
    <w:rsid w:val="004D712D"/>
    <w:rsid w:val="004E3BCE"/>
    <w:rsid w:val="004F0E97"/>
    <w:rsid w:val="00501DD1"/>
    <w:rsid w:val="00515C21"/>
    <w:rsid w:val="00530BD7"/>
    <w:rsid w:val="00536E2D"/>
    <w:rsid w:val="00545CD2"/>
    <w:rsid w:val="005476F3"/>
    <w:rsid w:val="00565C86"/>
    <w:rsid w:val="00572527"/>
    <w:rsid w:val="00573E40"/>
    <w:rsid w:val="00576348"/>
    <w:rsid w:val="00591B95"/>
    <w:rsid w:val="005A0B2E"/>
    <w:rsid w:val="005A23D2"/>
    <w:rsid w:val="005A36CB"/>
    <w:rsid w:val="005A79B5"/>
    <w:rsid w:val="005B0330"/>
    <w:rsid w:val="005B49B8"/>
    <w:rsid w:val="005C0741"/>
    <w:rsid w:val="005C28CE"/>
    <w:rsid w:val="005C5EF4"/>
    <w:rsid w:val="005C77B5"/>
    <w:rsid w:val="005D2DA0"/>
    <w:rsid w:val="005E2E0B"/>
    <w:rsid w:val="005E3906"/>
    <w:rsid w:val="005E7A7D"/>
    <w:rsid w:val="005F0BB3"/>
    <w:rsid w:val="005F57C3"/>
    <w:rsid w:val="00600339"/>
    <w:rsid w:val="00602457"/>
    <w:rsid w:val="00610E1D"/>
    <w:rsid w:val="00635529"/>
    <w:rsid w:val="00645A45"/>
    <w:rsid w:val="00646BD1"/>
    <w:rsid w:val="00651F1A"/>
    <w:rsid w:val="006561C2"/>
    <w:rsid w:val="00671CB3"/>
    <w:rsid w:val="00672226"/>
    <w:rsid w:val="00674BAF"/>
    <w:rsid w:val="00682200"/>
    <w:rsid w:val="00691069"/>
    <w:rsid w:val="00692BF6"/>
    <w:rsid w:val="006A1497"/>
    <w:rsid w:val="006A7A6D"/>
    <w:rsid w:val="006B0BD1"/>
    <w:rsid w:val="006B11CD"/>
    <w:rsid w:val="006B607B"/>
    <w:rsid w:val="006C50B6"/>
    <w:rsid w:val="006D20A5"/>
    <w:rsid w:val="006D37BF"/>
    <w:rsid w:val="00702E22"/>
    <w:rsid w:val="007171F4"/>
    <w:rsid w:val="0072020E"/>
    <w:rsid w:val="00734E7E"/>
    <w:rsid w:val="00741466"/>
    <w:rsid w:val="00747E5F"/>
    <w:rsid w:val="0075203C"/>
    <w:rsid w:val="007566BB"/>
    <w:rsid w:val="00773846"/>
    <w:rsid w:val="007818E5"/>
    <w:rsid w:val="00786071"/>
    <w:rsid w:val="00796D6E"/>
    <w:rsid w:val="007A3ECB"/>
    <w:rsid w:val="007B0E13"/>
    <w:rsid w:val="007D46D9"/>
    <w:rsid w:val="007F10C4"/>
    <w:rsid w:val="00823D29"/>
    <w:rsid w:val="00824AB9"/>
    <w:rsid w:val="008268F5"/>
    <w:rsid w:val="00836B35"/>
    <w:rsid w:val="00843BDE"/>
    <w:rsid w:val="00870DA4"/>
    <w:rsid w:val="00877669"/>
    <w:rsid w:val="008808CA"/>
    <w:rsid w:val="00884CAD"/>
    <w:rsid w:val="0089562E"/>
    <w:rsid w:val="0089705C"/>
    <w:rsid w:val="008A6D43"/>
    <w:rsid w:val="008B491E"/>
    <w:rsid w:val="008C139F"/>
    <w:rsid w:val="008C1A28"/>
    <w:rsid w:val="008C2E98"/>
    <w:rsid w:val="008E1E3E"/>
    <w:rsid w:val="008E49BD"/>
    <w:rsid w:val="008E53E9"/>
    <w:rsid w:val="008E5771"/>
    <w:rsid w:val="008F4ACF"/>
    <w:rsid w:val="00901A7C"/>
    <w:rsid w:val="009307C4"/>
    <w:rsid w:val="00940B9B"/>
    <w:rsid w:val="00953908"/>
    <w:rsid w:val="0095676E"/>
    <w:rsid w:val="00956983"/>
    <w:rsid w:val="00963CF0"/>
    <w:rsid w:val="00964BB1"/>
    <w:rsid w:val="009775D9"/>
    <w:rsid w:val="00981112"/>
    <w:rsid w:val="0098377F"/>
    <w:rsid w:val="00986FC8"/>
    <w:rsid w:val="0099206A"/>
    <w:rsid w:val="00993131"/>
    <w:rsid w:val="0099666F"/>
    <w:rsid w:val="00996A89"/>
    <w:rsid w:val="00997175"/>
    <w:rsid w:val="009A1847"/>
    <w:rsid w:val="009B062A"/>
    <w:rsid w:val="009D216A"/>
    <w:rsid w:val="009D26EC"/>
    <w:rsid w:val="009E41BF"/>
    <w:rsid w:val="009E7C6F"/>
    <w:rsid w:val="009F1793"/>
    <w:rsid w:val="009F1C75"/>
    <w:rsid w:val="009F2D23"/>
    <w:rsid w:val="009F494E"/>
    <w:rsid w:val="00A01D69"/>
    <w:rsid w:val="00A02335"/>
    <w:rsid w:val="00A079EA"/>
    <w:rsid w:val="00A30523"/>
    <w:rsid w:val="00A41E50"/>
    <w:rsid w:val="00A46C9A"/>
    <w:rsid w:val="00A619F3"/>
    <w:rsid w:val="00A61A3D"/>
    <w:rsid w:val="00A62A73"/>
    <w:rsid w:val="00A71EA6"/>
    <w:rsid w:val="00A728F0"/>
    <w:rsid w:val="00A77EAE"/>
    <w:rsid w:val="00A87FF6"/>
    <w:rsid w:val="00AA0A3B"/>
    <w:rsid w:val="00AA1DA8"/>
    <w:rsid w:val="00AA2763"/>
    <w:rsid w:val="00AA33B6"/>
    <w:rsid w:val="00AB2E90"/>
    <w:rsid w:val="00AB50CA"/>
    <w:rsid w:val="00AB5AE8"/>
    <w:rsid w:val="00AB6D64"/>
    <w:rsid w:val="00AC50D5"/>
    <w:rsid w:val="00AC53CE"/>
    <w:rsid w:val="00AC6742"/>
    <w:rsid w:val="00AC6DF2"/>
    <w:rsid w:val="00AD2193"/>
    <w:rsid w:val="00AF1A74"/>
    <w:rsid w:val="00AF2AC7"/>
    <w:rsid w:val="00AF3FD4"/>
    <w:rsid w:val="00AF74CE"/>
    <w:rsid w:val="00B01C05"/>
    <w:rsid w:val="00B037A8"/>
    <w:rsid w:val="00B0494C"/>
    <w:rsid w:val="00B208DB"/>
    <w:rsid w:val="00B213BB"/>
    <w:rsid w:val="00B23F69"/>
    <w:rsid w:val="00B60619"/>
    <w:rsid w:val="00B66A70"/>
    <w:rsid w:val="00B67366"/>
    <w:rsid w:val="00B74ED7"/>
    <w:rsid w:val="00B764A3"/>
    <w:rsid w:val="00B80EE1"/>
    <w:rsid w:val="00B82A02"/>
    <w:rsid w:val="00B84135"/>
    <w:rsid w:val="00BA7957"/>
    <w:rsid w:val="00BB7DE8"/>
    <w:rsid w:val="00C04D34"/>
    <w:rsid w:val="00C05DF8"/>
    <w:rsid w:val="00C06864"/>
    <w:rsid w:val="00C10F54"/>
    <w:rsid w:val="00C152B4"/>
    <w:rsid w:val="00C23D8D"/>
    <w:rsid w:val="00C37AA3"/>
    <w:rsid w:val="00C37FD7"/>
    <w:rsid w:val="00C42282"/>
    <w:rsid w:val="00C4333D"/>
    <w:rsid w:val="00C43419"/>
    <w:rsid w:val="00C43D2A"/>
    <w:rsid w:val="00C44CF3"/>
    <w:rsid w:val="00C47829"/>
    <w:rsid w:val="00C61BE0"/>
    <w:rsid w:val="00C70B0E"/>
    <w:rsid w:val="00C773CA"/>
    <w:rsid w:val="00C83785"/>
    <w:rsid w:val="00C91713"/>
    <w:rsid w:val="00C94C0D"/>
    <w:rsid w:val="00CA1FEB"/>
    <w:rsid w:val="00CA22A5"/>
    <w:rsid w:val="00CA3717"/>
    <w:rsid w:val="00CB4F58"/>
    <w:rsid w:val="00CD4F85"/>
    <w:rsid w:val="00CD6F02"/>
    <w:rsid w:val="00CE246D"/>
    <w:rsid w:val="00CF07A0"/>
    <w:rsid w:val="00CF3E03"/>
    <w:rsid w:val="00D0082A"/>
    <w:rsid w:val="00D0262A"/>
    <w:rsid w:val="00D11CD4"/>
    <w:rsid w:val="00D21455"/>
    <w:rsid w:val="00D22758"/>
    <w:rsid w:val="00D37027"/>
    <w:rsid w:val="00D43382"/>
    <w:rsid w:val="00D46EC9"/>
    <w:rsid w:val="00D47634"/>
    <w:rsid w:val="00D638A1"/>
    <w:rsid w:val="00D709B3"/>
    <w:rsid w:val="00DA2ED6"/>
    <w:rsid w:val="00DB76B8"/>
    <w:rsid w:val="00DC2EA1"/>
    <w:rsid w:val="00DD4B07"/>
    <w:rsid w:val="00DD6AAF"/>
    <w:rsid w:val="00DE3F5C"/>
    <w:rsid w:val="00DF1D20"/>
    <w:rsid w:val="00DF2046"/>
    <w:rsid w:val="00E21324"/>
    <w:rsid w:val="00E246B9"/>
    <w:rsid w:val="00E31FEA"/>
    <w:rsid w:val="00E45169"/>
    <w:rsid w:val="00E47787"/>
    <w:rsid w:val="00E51C30"/>
    <w:rsid w:val="00E64180"/>
    <w:rsid w:val="00E74AEE"/>
    <w:rsid w:val="00E85BE6"/>
    <w:rsid w:val="00E868E5"/>
    <w:rsid w:val="00E9237A"/>
    <w:rsid w:val="00E939FA"/>
    <w:rsid w:val="00EA2120"/>
    <w:rsid w:val="00EA3A3C"/>
    <w:rsid w:val="00EA5765"/>
    <w:rsid w:val="00EB509B"/>
    <w:rsid w:val="00EB7957"/>
    <w:rsid w:val="00EC2532"/>
    <w:rsid w:val="00ED3FA1"/>
    <w:rsid w:val="00ED7812"/>
    <w:rsid w:val="00EF3B86"/>
    <w:rsid w:val="00EF69D4"/>
    <w:rsid w:val="00F243B4"/>
    <w:rsid w:val="00F317E9"/>
    <w:rsid w:val="00F34554"/>
    <w:rsid w:val="00F45F77"/>
    <w:rsid w:val="00F5167F"/>
    <w:rsid w:val="00F52258"/>
    <w:rsid w:val="00F53350"/>
    <w:rsid w:val="00F62A62"/>
    <w:rsid w:val="00F741D9"/>
    <w:rsid w:val="00F81736"/>
    <w:rsid w:val="00F8570A"/>
    <w:rsid w:val="00F87BAD"/>
    <w:rsid w:val="00F91BB2"/>
    <w:rsid w:val="00F91C7B"/>
    <w:rsid w:val="00FA5F41"/>
    <w:rsid w:val="00FD1CA5"/>
    <w:rsid w:val="00FE1B8A"/>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8312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Header Char1 Char Char,Header Char Char Char Char, Char Char Char Char Char, Char Char1 Char Char,Header Char1, Char Char1, Char Char1 Char,Char,Char Char Char Char Char,Char Char1 Char Char,Char Char1,Char Char1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Char Char,Char Char1 Char1"/>
    <w:link w:val="Header"/>
    <w:rsid w:val="008808CA"/>
    <w:rPr>
      <w:sz w:val="24"/>
      <w:szCs w:val="24"/>
      <w:lang w:val="en-US" w:eastAsia="en-US"/>
    </w:rPr>
  </w:style>
  <w:style w:type="paragraph" w:customStyle="1" w:styleId="Default">
    <w:name w:val="Default"/>
    <w:rsid w:val="008808CA"/>
    <w:pPr>
      <w:autoSpaceDE w:val="0"/>
      <w:autoSpaceDN w:val="0"/>
      <w:adjustRightInd w:val="0"/>
    </w:pPr>
    <w:rPr>
      <w:color w:val="000000"/>
      <w:sz w:val="24"/>
      <w:szCs w:val="24"/>
      <w:lang w:val="en-US" w:eastAsia="en-US"/>
    </w:rPr>
  </w:style>
  <w:style w:type="character" w:styleId="Hyperlink">
    <w:name w:val="Hyperlink"/>
    <w:basedOn w:val="DefaultParagraphFont"/>
    <w:rsid w:val="00256C1B"/>
    <w:rPr>
      <w:color w:val="0563C1" w:themeColor="hyperlink"/>
      <w:u w:val="single"/>
    </w:rPr>
  </w:style>
  <w:style w:type="paragraph" w:styleId="Revision">
    <w:name w:val="Revision"/>
    <w:hidden/>
    <w:uiPriority w:val="99"/>
    <w:semiHidden/>
    <w:rsid w:val="00265EF1"/>
    <w:rPr>
      <w:sz w:val="24"/>
      <w:szCs w:val="24"/>
      <w:lang w:val="en-US" w:eastAsia="en-US"/>
    </w:rPr>
  </w:style>
  <w:style w:type="paragraph" w:styleId="ListParagraph">
    <w:name w:val="List Paragraph"/>
    <w:basedOn w:val="Normal"/>
    <w:uiPriority w:val="34"/>
    <w:qFormat/>
    <w:rsid w:val="003F18CA"/>
    <w:pPr>
      <w:ind w:left="720"/>
      <w:contextualSpacing/>
    </w:pPr>
  </w:style>
  <w:style w:type="table" w:styleId="TableGrid">
    <w:name w:val="Table Grid"/>
    <w:basedOn w:val="TableNormal"/>
    <w:rsid w:val="0089562E"/>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61FC-9B86-4BCA-BFBE-41DB14F0EBD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6EFF1C8-AA40-410B-865E-805A631A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37215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Marijanović</cp:lastModifiedBy>
  <cp:revision>2</cp:revision>
  <dcterms:created xsi:type="dcterms:W3CDTF">2024-10-10T11:21:00Z</dcterms:created>
  <dcterms:modified xsi:type="dcterms:W3CDTF">2024-10-10T11:21:00Z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be525bc2-1cbe-43fa-9a86-38fe969efa51</vt:lpwstr>
  </property>
  <property fmtid="{D5CDD505-2E9C-101B-9397-08002B2CF9AE}" pid="3" name="bjSaver">
    <vt:lpwstr>TAvzsvFs7v5j+dDpgIwcKBNzogUjMz+B</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MSIP_Label_04f783dd-f5fe-4e6c-8816-198fd9c95f56_Enabled">
    <vt:lpwstr>true</vt:lpwstr>
  </property>
  <property fmtid="{D5CDD505-2E9C-101B-9397-08002B2CF9AE}" pid="9" name="MSIP_Label_04f783dd-f5fe-4e6c-8816-198fd9c95f56_SetDate">
    <vt:lpwstr>2024-10-07T15:02:08Z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32708ec9-4e90-443e-965a-fd4fb00a5d80</vt:lpwstr>
  </property>
  <property fmtid="{D5CDD505-2E9C-101B-9397-08002B2CF9AE}" pid="14" name="MSIP_Label_04f783dd-f5fe-4e6c-8816-198fd9c95f56_ContentBits">
    <vt:lpwstr>0</vt:lpwstr>
  </property>
</Properties>
</file>