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D0EC7B" w14:textId="77777777" w:rsidR="001A5518" w:rsidRPr="00BD78F9" w:rsidRDefault="001A5518" w:rsidP="001A5518">
      <w:pPr>
        <w:rPr>
          <w:b/>
          <w:bCs/>
          <w:i/>
          <w:iCs/>
          <w:sz w:val="22"/>
          <w:szCs w:val="22"/>
          <w:u w:val="single"/>
          <w:lang w:val="sr-Latn-ME"/>
        </w:rPr>
      </w:pPr>
    </w:p>
    <w:p w14:paraId="1E0D0054" w14:textId="77777777" w:rsidR="00F91C7B" w:rsidRPr="00BD78F9" w:rsidRDefault="00F91C7B" w:rsidP="001A5518">
      <w:pPr>
        <w:rPr>
          <w:b/>
          <w:bCs/>
          <w:i/>
          <w:iCs/>
          <w:sz w:val="22"/>
          <w:szCs w:val="22"/>
          <w:u w:val="single"/>
          <w:lang w:val="sr-Latn-ME"/>
        </w:rPr>
      </w:pPr>
    </w:p>
    <w:p w14:paraId="73D26197" w14:textId="77777777" w:rsidR="002510A5" w:rsidRPr="00BD78F9" w:rsidRDefault="002510A5" w:rsidP="002510A5">
      <w:pPr>
        <w:jc w:val="center"/>
        <w:rPr>
          <w:b/>
          <w:bCs/>
          <w:iCs/>
          <w:sz w:val="22"/>
          <w:szCs w:val="22"/>
          <w:u w:val="single"/>
          <w:lang w:val="sr-Latn-ME"/>
        </w:rPr>
      </w:pPr>
      <w:r w:rsidRPr="00BD78F9">
        <w:rPr>
          <w:b/>
          <w:bCs/>
          <w:iCs/>
          <w:sz w:val="22"/>
          <w:szCs w:val="22"/>
          <w:u w:val="single"/>
          <w:lang w:val="sr-Latn-ME"/>
        </w:rPr>
        <w:t>SAŽETAK KARAKTERISTIKA LIJEKA</w:t>
      </w:r>
    </w:p>
    <w:p w14:paraId="68F6DE35" w14:textId="77777777" w:rsidR="002510A5" w:rsidRPr="00BD78F9" w:rsidRDefault="002510A5" w:rsidP="002510A5">
      <w:pPr>
        <w:rPr>
          <w:b/>
          <w:bCs/>
          <w:i/>
          <w:iCs/>
          <w:sz w:val="22"/>
          <w:szCs w:val="22"/>
          <w:u w:val="single"/>
          <w:lang w:val="sr-Latn-ME"/>
        </w:rPr>
      </w:pPr>
    </w:p>
    <w:p w14:paraId="6725A0E2" w14:textId="77777777" w:rsidR="00C37FD7" w:rsidRPr="00BD78F9" w:rsidRDefault="00C37FD7" w:rsidP="00F5167F">
      <w:pPr>
        <w:tabs>
          <w:tab w:val="left" w:pos="540"/>
          <w:tab w:val="left" w:pos="569"/>
        </w:tabs>
        <w:rPr>
          <w:bCs/>
          <w:sz w:val="22"/>
          <w:szCs w:val="22"/>
          <w:lang w:val="sr-Latn-ME"/>
        </w:rPr>
      </w:pPr>
    </w:p>
    <w:p w14:paraId="2999EA3A" w14:textId="77777777" w:rsidR="00411B4B" w:rsidRPr="00BD78F9" w:rsidRDefault="00411B4B" w:rsidP="00F5167F">
      <w:pPr>
        <w:tabs>
          <w:tab w:val="left" w:pos="540"/>
          <w:tab w:val="left" w:pos="569"/>
        </w:tabs>
        <w:rPr>
          <w:b/>
          <w:bCs/>
          <w:sz w:val="22"/>
          <w:szCs w:val="22"/>
          <w:lang w:val="sr-Latn-ME"/>
        </w:rPr>
      </w:pPr>
      <w:r w:rsidRPr="00BD78F9">
        <w:rPr>
          <w:b/>
          <w:bCs/>
          <w:sz w:val="22"/>
          <w:szCs w:val="22"/>
          <w:lang w:val="sr-Latn-ME"/>
        </w:rPr>
        <w:t>1.</w:t>
      </w:r>
      <w:r w:rsidR="00F5167F" w:rsidRPr="00BD78F9">
        <w:rPr>
          <w:b/>
          <w:bCs/>
          <w:sz w:val="22"/>
          <w:szCs w:val="22"/>
          <w:lang w:val="sr-Latn-ME"/>
        </w:rPr>
        <w:tab/>
      </w:r>
      <w:r w:rsidR="002846DB" w:rsidRPr="00BD78F9">
        <w:rPr>
          <w:b/>
          <w:bCs/>
          <w:sz w:val="22"/>
          <w:szCs w:val="22"/>
          <w:lang w:val="sr-Latn-ME"/>
        </w:rPr>
        <w:t xml:space="preserve">NAZIV </w:t>
      </w:r>
      <w:r w:rsidRPr="00BD78F9">
        <w:rPr>
          <w:b/>
          <w:bCs/>
          <w:sz w:val="22"/>
          <w:szCs w:val="22"/>
          <w:lang w:val="sr-Latn-ME"/>
        </w:rPr>
        <w:t>LIJEKA</w:t>
      </w:r>
    </w:p>
    <w:p w14:paraId="10BB6AAC" w14:textId="77777777" w:rsidR="00EC2532" w:rsidRPr="00BD78F9" w:rsidRDefault="00EC2532">
      <w:pPr>
        <w:rPr>
          <w:sz w:val="22"/>
          <w:szCs w:val="22"/>
          <w:lang w:val="sr-Latn-ME"/>
        </w:rPr>
      </w:pPr>
    </w:p>
    <w:p w14:paraId="78F89827" w14:textId="4888D054" w:rsidR="00B73F2A" w:rsidRDefault="00594ED2" w:rsidP="00B73F2A">
      <w:pPr>
        <w:tabs>
          <w:tab w:val="left" w:pos="284"/>
        </w:tabs>
        <w:jc w:val="both"/>
        <w:rPr>
          <w:sz w:val="22"/>
          <w:szCs w:val="22"/>
          <w:lang w:val="sr-Latn-ME"/>
        </w:rPr>
      </w:pPr>
      <w:r w:rsidRPr="00271855">
        <w:rPr>
          <w:bCs/>
          <w:sz w:val="22"/>
          <w:szCs w:val="22"/>
          <w:lang w:val="sr-Latn-ME"/>
        </w:rPr>
        <w:t>Trixeo</w:t>
      </w:r>
      <w:r w:rsidR="00B73F2A" w:rsidRPr="00271855">
        <w:rPr>
          <w:bCs/>
          <w:sz w:val="22"/>
          <w:szCs w:val="22"/>
          <w:lang w:val="sr-Latn-ME"/>
        </w:rPr>
        <w:t xml:space="preserve"> Aerosphere</w:t>
      </w:r>
      <w:r w:rsidR="00606BB0">
        <w:rPr>
          <w:bCs/>
          <w:sz w:val="22"/>
          <w:szCs w:val="22"/>
          <w:lang w:val="sr-Latn-ME"/>
        </w:rPr>
        <w:t>,</w:t>
      </w:r>
      <w:r w:rsidR="00B73F2A" w:rsidRPr="00BD78F9">
        <w:rPr>
          <w:sz w:val="22"/>
          <w:szCs w:val="22"/>
          <w:lang w:val="sr-Latn-ME"/>
        </w:rPr>
        <w:t xml:space="preserve"> 5 mikrograma</w:t>
      </w:r>
      <w:r w:rsidR="00BD78F9">
        <w:rPr>
          <w:sz w:val="22"/>
          <w:szCs w:val="22"/>
          <w:lang w:val="sr-Latn-ME"/>
        </w:rPr>
        <w:t xml:space="preserve"> +</w:t>
      </w:r>
      <w:r w:rsidR="00B73F2A" w:rsidRPr="00BD78F9">
        <w:rPr>
          <w:sz w:val="22"/>
          <w:szCs w:val="22"/>
          <w:lang w:val="sr-Latn-ME"/>
        </w:rPr>
        <w:t xml:space="preserve"> 7,2 mikrograma </w:t>
      </w:r>
      <w:r w:rsidR="00BD78F9">
        <w:rPr>
          <w:sz w:val="22"/>
          <w:szCs w:val="22"/>
          <w:lang w:val="sr-Latn-ME"/>
        </w:rPr>
        <w:t>+</w:t>
      </w:r>
      <w:r w:rsidR="00B73F2A" w:rsidRPr="00BD78F9">
        <w:rPr>
          <w:sz w:val="22"/>
          <w:szCs w:val="22"/>
          <w:lang w:val="sr-Latn-ME"/>
        </w:rPr>
        <w:t xml:space="preserve"> 160 mikrograma, suspenzija za inhalaciju pod pritiskom</w:t>
      </w:r>
    </w:p>
    <w:p w14:paraId="43AD0AD8" w14:textId="77777777" w:rsidR="00425570" w:rsidRPr="00BD78F9" w:rsidRDefault="00425570" w:rsidP="00B73F2A">
      <w:pPr>
        <w:tabs>
          <w:tab w:val="left" w:pos="284"/>
        </w:tabs>
        <w:jc w:val="both"/>
        <w:rPr>
          <w:b/>
          <w:bCs/>
          <w:sz w:val="22"/>
          <w:szCs w:val="22"/>
          <w:vertAlign w:val="superscript"/>
          <w:lang w:val="sr-Latn-ME"/>
        </w:rPr>
      </w:pPr>
      <w:bookmarkStart w:id="0" w:name="_GoBack"/>
      <w:bookmarkEnd w:id="0"/>
    </w:p>
    <w:p w14:paraId="261AB8E7" w14:textId="5DB0ECFD" w:rsidR="00B73F2A" w:rsidRPr="00BD78F9" w:rsidRDefault="00B73F2A" w:rsidP="00B73F2A">
      <w:pPr>
        <w:tabs>
          <w:tab w:val="left" w:pos="284"/>
        </w:tabs>
        <w:jc w:val="both"/>
        <w:rPr>
          <w:noProof/>
          <w:sz w:val="22"/>
          <w:szCs w:val="22"/>
          <w:lang w:val="sr-Latn-ME"/>
        </w:rPr>
      </w:pPr>
      <w:r w:rsidRPr="00BD78F9">
        <w:rPr>
          <w:sz w:val="22"/>
          <w:szCs w:val="22"/>
          <w:lang w:val="sr-Latn-ME"/>
        </w:rPr>
        <w:t>INN:</w:t>
      </w:r>
      <w:r w:rsidRPr="00BD78F9">
        <w:rPr>
          <w:noProof/>
          <w:sz w:val="22"/>
          <w:szCs w:val="22"/>
          <w:lang w:val="sr-Latn-ME"/>
        </w:rPr>
        <w:t xml:space="preserve"> formoterol</w:t>
      </w:r>
      <w:r w:rsidR="00BD78F9">
        <w:rPr>
          <w:noProof/>
          <w:sz w:val="22"/>
          <w:szCs w:val="22"/>
          <w:lang w:val="sr-Latn-ME"/>
        </w:rPr>
        <w:t xml:space="preserve">, </w:t>
      </w:r>
      <w:r w:rsidRPr="00BD78F9">
        <w:rPr>
          <w:noProof/>
          <w:sz w:val="22"/>
          <w:szCs w:val="22"/>
          <w:lang w:val="sr-Latn-ME"/>
        </w:rPr>
        <w:t>glikopiron</w:t>
      </w:r>
      <w:r w:rsidR="0017024F">
        <w:rPr>
          <w:noProof/>
          <w:sz w:val="22"/>
          <w:szCs w:val="22"/>
          <w:lang w:val="sr-Latn-ME"/>
        </w:rPr>
        <w:t>i</w:t>
      </w:r>
      <w:r w:rsidRPr="00BD78F9">
        <w:rPr>
          <w:noProof/>
          <w:sz w:val="22"/>
          <w:szCs w:val="22"/>
          <w:lang w:val="sr-Latn-ME"/>
        </w:rPr>
        <w:t>jum</w:t>
      </w:r>
      <w:r w:rsidR="001805DC">
        <w:rPr>
          <w:noProof/>
          <w:sz w:val="22"/>
          <w:szCs w:val="22"/>
          <w:lang w:val="sr-Latn-ME"/>
        </w:rPr>
        <w:t xml:space="preserve"> bromid</w:t>
      </w:r>
      <w:r w:rsidR="00BD78F9">
        <w:rPr>
          <w:noProof/>
          <w:sz w:val="22"/>
          <w:szCs w:val="22"/>
          <w:lang w:val="sr-Latn-ME"/>
        </w:rPr>
        <w:t xml:space="preserve">, </w:t>
      </w:r>
      <w:r w:rsidRPr="00BD78F9">
        <w:rPr>
          <w:noProof/>
          <w:sz w:val="22"/>
          <w:szCs w:val="22"/>
          <w:lang w:val="sr-Latn-ME"/>
        </w:rPr>
        <w:t>budesonid</w:t>
      </w:r>
    </w:p>
    <w:p w14:paraId="53A3ABC1" w14:textId="77777777" w:rsidR="006D20A5" w:rsidRPr="00BD78F9" w:rsidRDefault="006D20A5">
      <w:pPr>
        <w:rPr>
          <w:bCs/>
          <w:sz w:val="22"/>
          <w:szCs w:val="22"/>
          <w:lang w:val="sr-Latn-ME"/>
        </w:rPr>
      </w:pPr>
    </w:p>
    <w:p w14:paraId="4900E0AE" w14:textId="77777777" w:rsidR="00530BD7" w:rsidRPr="00BD78F9" w:rsidRDefault="00530BD7">
      <w:pPr>
        <w:rPr>
          <w:bCs/>
          <w:sz w:val="22"/>
          <w:szCs w:val="22"/>
          <w:lang w:val="sr-Latn-ME"/>
        </w:rPr>
      </w:pPr>
    </w:p>
    <w:p w14:paraId="41B85DAF" w14:textId="3AE93018" w:rsidR="00411B4B" w:rsidRPr="00BD78F9" w:rsidRDefault="00411B4B" w:rsidP="00F5167F">
      <w:pPr>
        <w:tabs>
          <w:tab w:val="left" w:pos="540"/>
          <w:tab w:val="left" w:pos="569"/>
        </w:tabs>
        <w:rPr>
          <w:b/>
          <w:bCs/>
          <w:sz w:val="22"/>
          <w:szCs w:val="22"/>
          <w:lang w:val="sr-Latn-ME"/>
        </w:rPr>
      </w:pPr>
      <w:r w:rsidRPr="00BD78F9">
        <w:rPr>
          <w:b/>
          <w:bCs/>
          <w:sz w:val="22"/>
          <w:szCs w:val="22"/>
          <w:lang w:val="sr-Latn-ME"/>
        </w:rPr>
        <w:t xml:space="preserve">2. </w:t>
      </w:r>
      <w:r w:rsidR="00F5167F" w:rsidRPr="00BD78F9">
        <w:rPr>
          <w:b/>
          <w:bCs/>
          <w:sz w:val="22"/>
          <w:szCs w:val="22"/>
          <w:lang w:val="sr-Latn-ME"/>
        </w:rPr>
        <w:tab/>
      </w:r>
      <w:r w:rsidRPr="00BD78F9">
        <w:rPr>
          <w:b/>
          <w:bCs/>
          <w:sz w:val="22"/>
          <w:szCs w:val="22"/>
          <w:lang w:val="sr-Latn-ME"/>
        </w:rPr>
        <w:t>KVALITATIVNI I KVANTITATIVNI SASTAV</w:t>
      </w:r>
    </w:p>
    <w:p w14:paraId="1EE6EE40" w14:textId="77777777" w:rsidR="00B73F2A" w:rsidRPr="00BD78F9" w:rsidRDefault="00B73F2A" w:rsidP="00F5167F">
      <w:pPr>
        <w:tabs>
          <w:tab w:val="left" w:pos="540"/>
          <w:tab w:val="left" w:pos="569"/>
        </w:tabs>
        <w:rPr>
          <w:b/>
          <w:bCs/>
          <w:sz w:val="22"/>
          <w:szCs w:val="22"/>
          <w:lang w:val="sr-Latn-ME"/>
        </w:rPr>
      </w:pPr>
    </w:p>
    <w:p w14:paraId="60BF76C5" w14:textId="54A86C87" w:rsidR="00B73F2A" w:rsidRPr="00BD78F9" w:rsidRDefault="00B73F2A" w:rsidP="00B73F2A">
      <w:pPr>
        <w:tabs>
          <w:tab w:val="left" w:pos="284"/>
        </w:tabs>
        <w:jc w:val="both"/>
        <w:rPr>
          <w:sz w:val="22"/>
          <w:szCs w:val="22"/>
          <w:lang w:val="sr-Latn-ME"/>
        </w:rPr>
      </w:pPr>
      <w:r w:rsidRPr="00BD78F9">
        <w:rPr>
          <w:sz w:val="22"/>
          <w:szCs w:val="22"/>
          <w:lang w:val="sr-Latn-ME"/>
        </w:rPr>
        <w:t>Svaki pojedinačni potisak (isporučena doza, iz aktivatora) sadrži 5 mikrograma formoterol</w:t>
      </w:r>
      <w:r w:rsidR="00BD78F9">
        <w:rPr>
          <w:sz w:val="22"/>
          <w:szCs w:val="22"/>
          <w:lang w:val="sr-Latn-ME"/>
        </w:rPr>
        <w:t xml:space="preserve"> </w:t>
      </w:r>
      <w:r w:rsidRPr="00BD78F9">
        <w:rPr>
          <w:sz w:val="22"/>
          <w:szCs w:val="22"/>
          <w:lang w:val="sr-Latn-ME"/>
        </w:rPr>
        <w:t>fumarat</w:t>
      </w:r>
      <w:r w:rsidR="00BD78F9">
        <w:rPr>
          <w:sz w:val="22"/>
          <w:szCs w:val="22"/>
          <w:lang w:val="sr-Latn-ME"/>
        </w:rPr>
        <w:t xml:space="preserve"> </w:t>
      </w:r>
      <w:r w:rsidRPr="00BD78F9">
        <w:rPr>
          <w:sz w:val="22"/>
          <w:szCs w:val="22"/>
          <w:lang w:val="sr-Latn-ME"/>
        </w:rPr>
        <w:t>dihidrata, 9 mikrograma glikopironijum</w:t>
      </w:r>
      <w:r w:rsidR="00BD78F9">
        <w:rPr>
          <w:sz w:val="22"/>
          <w:szCs w:val="22"/>
          <w:lang w:val="sr-Latn-ME"/>
        </w:rPr>
        <w:t xml:space="preserve"> </w:t>
      </w:r>
      <w:r w:rsidRPr="00BD78F9">
        <w:rPr>
          <w:sz w:val="22"/>
          <w:szCs w:val="22"/>
          <w:lang w:val="sr-Latn-ME"/>
        </w:rPr>
        <w:t xml:space="preserve">bromida što odgovara količini od 7,2 mikrograma glikopironijuma i 160 mikrograma budesonida. </w:t>
      </w:r>
    </w:p>
    <w:p w14:paraId="2C3C5E73" w14:textId="77777777" w:rsidR="00B73F2A" w:rsidRPr="00BD78F9" w:rsidRDefault="00B73F2A" w:rsidP="00B73F2A">
      <w:pPr>
        <w:tabs>
          <w:tab w:val="left" w:pos="284"/>
        </w:tabs>
        <w:jc w:val="both"/>
        <w:rPr>
          <w:sz w:val="22"/>
          <w:szCs w:val="22"/>
          <w:lang w:val="sr-Latn-ME"/>
        </w:rPr>
      </w:pPr>
    </w:p>
    <w:p w14:paraId="064A4A56" w14:textId="02E0F92E" w:rsidR="00B73F2A" w:rsidRPr="00BD78F9" w:rsidRDefault="00B73F2A" w:rsidP="00B73F2A">
      <w:pPr>
        <w:tabs>
          <w:tab w:val="left" w:pos="284"/>
        </w:tabs>
        <w:jc w:val="both"/>
        <w:rPr>
          <w:sz w:val="22"/>
          <w:szCs w:val="22"/>
          <w:lang w:val="sr-Latn-ME"/>
        </w:rPr>
      </w:pPr>
      <w:r w:rsidRPr="00BD78F9">
        <w:rPr>
          <w:sz w:val="22"/>
          <w:szCs w:val="22"/>
          <w:lang w:val="sr-Latn-ME"/>
        </w:rPr>
        <w:t>To odgovara odm</w:t>
      </w:r>
      <w:r w:rsidR="004D0E29" w:rsidRPr="00BD78F9">
        <w:rPr>
          <w:sz w:val="22"/>
          <w:szCs w:val="22"/>
          <w:lang w:val="sr-Latn-ME"/>
        </w:rPr>
        <w:t>j</w:t>
      </w:r>
      <w:r w:rsidRPr="00BD78F9">
        <w:rPr>
          <w:sz w:val="22"/>
          <w:szCs w:val="22"/>
          <w:lang w:val="sr-Latn-ME"/>
        </w:rPr>
        <w:t>erenoj dozi od 5,3 mikrograma formoterol</w:t>
      </w:r>
      <w:r w:rsidR="00BD78F9">
        <w:rPr>
          <w:sz w:val="22"/>
          <w:szCs w:val="22"/>
          <w:lang w:val="sr-Latn-ME"/>
        </w:rPr>
        <w:t xml:space="preserve"> </w:t>
      </w:r>
      <w:r w:rsidRPr="00BD78F9">
        <w:rPr>
          <w:sz w:val="22"/>
          <w:szCs w:val="22"/>
          <w:lang w:val="sr-Latn-ME"/>
        </w:rPr>
        <w:t>fumarat</w:t>
      </w:r>
      <w:r w:rsidR="00BD78F9">
        <w:rPr>
          <w:sz w:val="22"/>
          <w:szCs w:val="22"/>
          <w:lang w:val="sr-Latn-ME"/>
        </w:rPr>
        <w:t xml:space="preserve"> </w:t>
      </w:r>
      <w:r w:rsidRPr="00BD78F9">
        <w:rPr>
          <w:sz w:val="22"/>
          <w:szCs w:val="22"/>
          <w:lang w:val="sr-Latn-ME"/>
        </w:rPr>
        <w:t>dihidrata, 9,6 mikrograma glikopironijum</w:t>
      </w:r>
      <w:r w:rsidR="00BD78F9">
        <w:rPr>
          <w:sz w:val="22"/>
          <w:szCs w:val="22"/>
          <w:lang w:val="sr-Latn-ME"/>
        </w:rPr>
        <w:t xml:space="preserve"> </w:t>
      </w:r>
      <w:r w:rsidRPr="00BD78F9">
        <w:rPr>
          <w:sz w:val="22"/>
          <w:szCs w:val="22"/>
          <w:lang w:val="sr-Latn-ME"/>
        </w:rPr>
        <w:t xml:space="preserve">bromida, što je </w:t>
      </w:r>
      <w:r w:rsidR="000D4BBB" w:rsidRPr="00BD78F9">
        <w:rPr>
          <w:sz w:val="22"/>
          <w:szCs w:val="22"/>
          <w:lang w:val="sr-Latn-ME"/>
        </w:rPr>
        <w:t xml:space="preserve">odgovara </w:t>
      </w:r>
      <w:r w:rsidRPr="00BD78F9">
        <w:rPr>
          <w:sz w:val="22"/>
          <w:szCs w:val="22"/>
          <w:lang w:val="sr-Latn-ME"/>
        </w:rPr>
        <w:t>količini od 7,7 mikrograma glikopironijuma, i 170 mikrograma budesonida.</w:t>
      </w:r>
    </w:p>
    <w:p w14:paraId="58EEE0AF" w14:textId="77777777" w:rsidR="005A0B2E" w:rsidRPr="00BD78F9" w:rsidRDefault="005A0B2E">
      <w:pPr>
        <w:rPr>
          <w:sz w:val="22"/>
          <w:szCs w:val="22"/>
          <w:lang w:val="sr-Latn-ME"/>
        </w:rPr>
      </w:pPr>
    </w:p>
    <w:p w14:paraId="5F2E78CE" w14:textId="77777777" w:rsidR="0003793F" w:rsidRPr="00BD78F9" w:rsidRDefault="0003793F">
      <w:pPr>
        <w:rPr>
          <w:sz w:val="22"/>
          <w:szCs w:val="22"/>
          <w:lang w:val="sr-Latn-ME"/>
        </w:rPr>
      </w:pPr>
      <w:r w:rsidRPr="00BD78F9">
        <w:rPr>
          <w:sz w:val="22"/>
          <w:szCs w:val="22"/>
          <w:lang w:val="sr-Latn-ME"/>
        </w:rPr>
        <w:t>Za spisak svih ekscipijenasa, pogledati dio 6.1.</w:t>
      </w:r>
    </w:p>
    <w:p w14:paraId="14DD71DF" w14:textId="77777777" w:rsidR="0003793F" w:rsidRPr="00BD78F9" w:rsidRDefault="0003793F">
      <w:pPr>
        <w:rPr>
          <w:sz w:val="22"/>
          <w:szCs w:val="22"/>
          <w:lang w:val="sr-Latn-ME"/>
        </w:rPr>
      </w:pPr>
    </w:p>
    <w:p w14:paraId="0E66353B" w14:textId="77777777" w:rsidR="00C37FD7" w:rsidRPr="00BD78F9" w:rsidRDefault="00C37FD7">
      <w:pPr>
        <w:rPr>
          <w:sz w:val="22"/>
          <w:szCs w:val="22"/>
          <w:lang w:val="sr-Latn-ME"/>
        </w:rPr>
      </w:pPr>
    </w:p>
    <w:p w14:paraId="0214DB46" w14:textId="77777777" w:rsidR="00411B4B" w:rsidRPr="00BD78F9" w:rsidRDefault="00411B4B" w:rsidP="00F5167F">
      <w:pPr>
        <w:tabs>
          <w:tab w:val="left" w:pos="540"/>
          <w:tab w:val="left" w:pos="569"/>
        </w:tabs>
        <w:rPr>
          <w:b/>
          <w:bCs/>
          <w:sz w:val="22"/>
          <w:szCs w:val="22"/>
          <w:lang w:val="sr-Latn-ME"/>
        </w:rPr>
      </w:pPr>
      <w:r w:rsidRPr="00BD78F9">
        <w:rPr>
          <w:b/>
          <w:bCs/>
          <w:sz w:val="22"/>
          <w:szCs w:val="22"/>
          <w:lang w:val="sr-Latn-ME"/>
        </w:rPr>
        <w:t xml:space="preserve">3. </w:t>
      </w:r>
      <w:r w:rsidR="00F5167F" w:rsidRPr="00BD78F9">
        <w:rPr>
          <w:b/>
          <w:bCs/>
          <w:sz w:val="22"/>
          <w:szCs w:val="22"/>
          <w:lang w:val="sr-Latn-ME"/>
        </w:rPr>
        <w:tab/>
      </w:r>
      <w:r w:rsidRPr="00BD78F9">
        <w:rPr>
          <w:b/>
          <w:bCs/>
          <w:sz w:val="22"/>
          <w:szCs w:val="22"/>
          <w:lang w:val="sr-Latn-ME"/>
        </w:rPr>
        <w:t>FARMACEUTSKI OBLIK</w:t>
      </w:r>
      <w:r w:rsidR="009F2D23" w:rsidRPr="00BD78F9">
        <w:rPr>
          <w:b/>
          <w:bCs/>
          <w:sz w:val="22"/>
          <w:szCs w:val="22"/>
          <w:lang w:val="sr-Latn-ME"/>
        </w:rPr>
        <w:t xml:space="preserve"> </w:t>
      </w:r>
    </w:p>
    <w:p w14:paraId="752CC0CD" w14:textId="77777777" w:rsidR="00411B4B" w:rsidRPr="00BD78F9" w:rsidRDefault="00411B4B">
      <w:pPr>
        <w:rPr>
          <w:bCs/>
          <w:sz w:val="22"/>
          <w:szCs w:val="22"/>
          <w:lang w:val="sr-Latn-ME"/>
        </w:rPr>
      </w:pPr>
    </w:p>
    <w:p w14:paraId="4B5E0C02" w14:textId="77777777" w:rsidR="00B73F2A" w:rsidRPr="00BD78F9" w:rsidRDefault="00B73F2A" w:rsidP="00B73F2A">
      <w:pPr>
        <w:tabs>
          <w:tab w:val="left" w:pos="284"/>
        </w:tabs>
        <w:jc w:val="both"/>
        <w:rPr>
          <w:noProof/>
          <w:sz w:val="22"/>
          <w:szCs w:val="22"/>
          <w:lang w:val="sr-Latn-ME"/>
        </w:rPr>
      </w:pPr>
      <w:r w:rsidRPr="00BD78F9">
        <w:rPr>
          <w:noProof/>
          <w:sz w:val="22"/>
          <w:szCs w:val="22"/>
          <w:lang w:val="sr-Latn-ME"/>
        </w:rPr>
        <w:t>Suspenzija za inhalaciju pod pritiskom.</w:t>
      </w:r>
    </w:p>
    <w:p w14:paraId="71FF7CCB" w14:textId="77777777" w:rsidR="00B73F2A" w:rsidRPr="00BD78F9" w:rsidRDefault="00B73F2A" w:rsidP="00B73F2A">
      <w:pPr>
        <w:tabs>
          <w:tab w:val="left" w:pos="284"/>
        </w:tabs>
        <w:jc w:val="both"/>
        <w:rPr>
          <w:noProof/>
          <w:sz w:val="22"/>
          <w:szCs w:val="22"/>
          <w:lang w:val="sr-Latn-ME"/>
        </w:rPr>
      </w:pPr>
    </w:p>
    <w:p w14:paraId="7163704E" w14:textId="3D8BD735" w:rsidR="00B73F2A" w:rsidRPr="00BD78F9" w:rsidRDefault="00B73F2A" w:rsidP="00B73F2A">
      <w:pPr>
        <w:tabs>
          <w:tab w:val="left" w:pos="284"/>
        </w:tabs>
        <w:jc w:val="both"/>
        <w:rPr>
          <w:noProof/>
          <w:sz w:val="22"/>
          <w:szCs w:val="22"/>
          <w:lang w:val="sr-Latn-ME"/>
        </w:rPr>
      </w:pPr>
      <w:r w:rsidRPr="00BD78F9">
        <w:rPr>
          <w:noProof/>
          <w:sz w:val="22"/>
          <w:szCs w:val="22"/>
          <w:lang w:val="sr-Latn-ME"/>
        </w:rPr>
        <w:t>B</w:t>
      </w:r>
      <w:r w:rsidR="004D0E29" w:rsidRPr="00BD78F9">
        <w:rPr>
          <w:noProof/>
          <w:sz w:val="22"/>
          <w:szCs w:val="22"/>
          <w:lang w:val="sr-Latn-ME"/>
        </w:rPr>
        <w:t>ij</w:t>
      </w:r>
      <w:r w:rsidRPr="00BD78F9">
        <w:rPr>
          <w:noProof/>
          <w:sz w:val="22"/>
          <w:szCs w:val="22"/>
          <w:lang w:val="sr-Latn-ME"/>
        </w:rPr>
        <w:t xml:space="preserve">ela suspenzija. </w:t>
      </w:r>
    </w:p>
    <w:p w14:paraId="50ED7767" w14:textId="54ACC62A" w:rsidR="00EC2532" w:rsidRDefault="00EC2532">
      <w:pPr>
        <w:rPr>
          <w:bCs/>
          <w:sz w:val="22"/>
          <w:szCs w:val="22"/>
          <w:lang w:val="sr-Latn-ME"/>
        </w:rPr>
      </w:pPr>
    </w:p>
    <w:p w14:paraId="05685CC9" w14:textId="77777777" w:rsidR="00BD78F9" w:rsidRPr="00BD78F9" w:rsidRDefault="00BD78F9">
      <w:pPr>
        <w:rPr>
          <w:bCs/>
          <w:sz w:val="22"/>
          <w:szCs w:val="22"/>
          <w:lang w:val="sr-Latn-ME"/>
        </w:rPr>
      </w:pPr>
    </w:p>
    <w:p w14:paraId="410A8FCC" w14:textId="1AE561EC" w:rsidR="00411B4B" w:rsidRPr="00BD78F9" w:rsidRDefault="00411B4B" w:rsidP="00271855">
      <w:pPr>
        <w:tabs>
          <w:tab w:val="left" w:pos="540"/>
          <w:tab w:val="left" w:pos="569"/>
        </w:tabs>
        <w:jc w:val="both"/>
        <w:rPr>
          <w:b/>
          <w:bCs/>
          <w:sz w:val="22"/>
          <w:szCs w:val="22"/>
          <w:lang w:val="sr-Latn-ME"/>
        </w:rPr>
      </w:pPr>
      <w:r w:rsidRPr="00BD78F9">
        <w:rPr>
          <w:b/>
          <w:bCs/>
          <w:sz w:val="22"/>
          <w:szCs w:val="22"/>
          <w:lang w:val="sr-Latn-ME"/>
        </w:rPr>
        <w:t xml:space="preserve">4. </w:t>
      </w:r>
      <w:r w:rsidR="00480FB1" w:rsidRPr="00BD78F9">
        <w:rPr>
          <w:b/>
          <w:bCs/>
          <w:sz w:val="22"/>
          <w:szCs w:val="22"/>
          <w:lang w:val="sr-Latn-ME"/>
        </w:rPr>
        <w:tab/>
      </w:r>
      <w:r w:rsidRPr="00BD78F9">
        <w:rPr>
          <w:b/>
          <w:bCs/>
          <w:sz w:val="22"/>
          <w:szCs w:val="22"/>
          <w:lang w:val="sr-Latn-ME"/>
        </w:rPr>
        <w:t>KLINIČKI PODACI</w:t>
      </w:r>
    </w:p>
    <w:p w14:paraId="6CEA6C2E" w14:textId="77777777" w:rsidR="00107A30" w:rsidRPr="00BD78F9" w:rsidRDefault="00107A30" w:rsidP="00271855">
      <w:pPr>
        <w:tabs>
          <w:tab w:val="left" w:pos="540"/>
          <w:tab w:val="left" w:pos="569"/>
        </w:tabs>
        <w:jc w:val="both"/>
        <w:rPr>
          <w:b/>
          <w:bCs/>
          <w:sz w:val="22"/>
          <w:szCs w:val="22"/>
          <w:lang w:val="sr-Latn-ME"/>
        </w:rPr>
      </w:pPr>
    </w:p>
    <w:p w14:paraId="4D3B55BB" w14:textId="77777777" w:rsidR="00CD6F02" w:rsidRPr="00BD78F9" w:rsidRDefault="00CD6F02" w:rsidP="00271855">
      <w:pPr>
        <w:tabs>
          <w:tab w:val="left" w:pos="540"/>
          <w:tab w:val="left" w:pos="569"/>
        </w:tabs>
        <w:jc w:val="both"/>
        <w:rPr>
          <w:bCs/>
          <w:sz w:val="22"/>
          <w:szCs w:val="22"/>
          <w:lang w:val="sr-Latn-ME"/>
        </w:rPr>
      </w:pPr>
    </w:p>
    <w:p w14:paraId="7854D1DA" w14:textId="77777777" w:rsidR="00411B4B" w:rsidRPr="00BD78F9" w:rsidRDefault="00411B4B" w:rsidP="00271855">
      <w:pPr>
        <w:tabs>
          <w:tab w:val="left" w:pos="540"/>
          <w:tab w:val="left" w:pos="569"/>
        </w:tabs>
        <w:jc w:val="both"/>
        <w:rPr>
          <w:b/>
          <w:bCs/>
          <w:sz w:val="22"/>
          <w:szCs w:val="22"/>
          <w:lang w:val="sr-Latn-ME"/>
        </w:rPr>
      </w:pPr>
      <w:r w:rsidRPr="00BD78F9">
        <w:rPr>
          <w:b/>
          <w:bCs/>
          <w:sz w:val="22"/>
          <w:szCs w:val="22"/>
          <w:lang w:val="sr-Latn-ME"/>
        </w:rPr>
        <w:t xml:space="preserve">4.1. </w:t>
      </w:r>
      <w:r w:rsidR="00480FB1" w:rsidRPr="00BD78F9">
        <w:rPr>
          <w:b/>
          <w:bCs/>
          <w:sz w:val="22"/>
          <w:szCs w:val="22"/>
          <w:lang w:val="sr-Latn-ME"/>
        </w:rPr>
        <w:tab/>
      </w:r>
      <w:r w:rsidRPr="00BD78F9">
        <w:rPr>
          <w:b/>
          <w:bCs/>
          <w:sz w:val="22"/>
          <w:szCs w:val="22"/>
          <w:lang w:val="sr-Latn-ME"/>
        </w:rPr>
        <w:t>Terapijske indikacije</w:t>
      </w:r>
    </w:p>
    <w:p w14:paraId="6903A01D" w14:textId="54566226" w:rsidR="00411B4B" w:rsidRPr="00BD78F9" w:rsidRDefault="00411B4B" w:rsidP="00271855">
      <w:pPr>
        <w:tabs>
          <w:tab w:val="left" w:pos="540"/>
          <w:tab w:val="left" w:pos="569"/>
        </w:tabs>
        <w:jc w:val="both"/>
        <w:rPr>
          <w:bCs/>
          <w:sz w:val="22"/>
          <w:szCs w:val="22"/>
          <w:lang w:val="sr-Latn-ME"/>
        </w:rPr>
      </w:pPr>
    </w:p>
    <w:p w14:paraId="76AFB9C4" w14:textId="36DC475F" w:rsidR="00B73F2A" w:rsidRPr="00BD78F9" w:rsidRDefault="00107A30" w:rsidP="000A71FF">
      <w:pPr>
        <w:shd w:val="clear" w:color="auto" w:fill="FFFFFF"/>
        <w:tabs>
          <w:tab w:val="left" w:pos="284"/>
        </w:tabs>
        <w:jc w:val="both"/>
        <w:rPr>
          <w:color w:val="000000"/>
          <w:sz w:val="22"/>
          <w:szCs w:val="22"/>
          <w:lang w:val="sr-Latn-ME"/>
        </w:rPr>
      </w:pPr>
      <w:r w:rsidRPr="00BD78F9">
        <w:rPr>
          <w:sz w:val="22"/>
          <w:szCs w:val="22"/>
          <w:lang w:val="sr-Latn-ME"/>
        </w:rPr>
        <w:t xml:space="preserve">Lijek </w:t>
      </w:r>
      <w:r w:rsidR="00B73F2A" w:rsidRPr="00BD78F9">
        <w:rPr>
          <w:sz w:val="22"/>
          <w:szCs w:val="22"/>
          <w:lang w:val="sr-Latn-ME"/>
        </w:rPr>
        <w:t>Trixeo Aerosphere</w:t>
      </w:r>
      <w:r w:rsidR="00B73F2A" w:rsidRPr="00BD78F9">
        <w:rPr>
          <w:color w:val="000000"/>
          <w:sz w:val="22"/>
          <w:szCs w:val="22"/>
          <w:lang w:val="sr-Latn-ME"/>
        </w:rPr>
        <w:t xml:space="preserve"> je indikovan kao terapija održavanja kod odraslih pacijenata sa </w:t>
      </w:r>
      <w:r w:rsidR="004D0E29" w:rsidRPr="00BD78F9">
        <w:rPr>
          <w:color w:val="000000"/>
          <w:sz w:val="22"/>
          <w:szCs w:val="22"/>
          <w:lang w:val="sr-Latn-ME"/>
        </w:rPr>
        <w:t>umjerenom</w:t>
      </w:r>
      <w:r w:rsidR="00B73F2A" w:rsidRPr="00BD78F9">
        <w:rPr>
          <w:color w:val="000000"/>
          <w:sz w:val="22"/>
          <w:szCs w:val="22"/>
          <w:lang w:val="sr-Latn-ME"/>
        </w:rPr>
        <w:t xml:space="preserve"> do teškom hroničnom opstruktivnom bolešću pluća (HOBP) koji </w:t>
      </w:r>
      <w:r w:rsidR="004D0E29" w:rsidRPr="00BD78F9">
        <w:rPr>
          <w:color w:val="000000"/>
          <w:sz w:val="22"/>
          <w:szCs w:val="22"/>
          <w:lang w:val="sr-Latn-ME"/>
        </w:rPr>
        <w:t>nijesu</w:t>
      </w:r>
      <w:r w:rsidR="00B73F2A" w:rsidRPr="00BD78F9">
        <w:rPr>
          <w:color w:val="000000"/>
          <w:sz w:val="22"/>
          <w:szCs w:val="22"/>
          <w:lang w:val="sr-Latn-ME"/>
        </w:rPr>
        <w:t xml:space="preserve"> odgovarajuće l</w:t>
      </w:r>
      <w:r w:rsidR="002A2FA3" w:rsidRPr="00BD78F9">
        <w:rPr>
          <w:color w:val="000000"/>
          <w:sz w:val="22"/>
          <w:szCs w:val="22"/>
          <w:lang w:val="sr-Latn-ME"/>
        </w:rPr>
        <w:t>ij</w:t>
      </w:r>
      <w:r w:rsidR="00B73F2A" w:rsidRPr="00BD78F9">
        <w:rPr>
          <w:color w:val="000000"/>
          <w:sz w:val="22"/>
          <w:szCs w:val="22"/>
          <w:lang w:val="sr-Latn-ME"/>
        </w:rPr>
        <w:t xml:space="preserve">ečeni kombinacijom inhalacionog kortikosteroida i </w:t>
      </w:r>
      <w:r w:rsidR="004D0E29" w:rsidRPr="00BD78F9">
        <w:rPr>
          <w:color w:val="000000"/>
          <w:sz w:val="22"/>
          <w:szCs w:val="22"/>
          <w:lang w:val="sr-Latn-ME"/>
        </w:rPr>
        <w:t>dugodjel</w:t>
      </w:r>
      <w:r w:rsidR="00B73F2A" w:rsidRPr="00BD78F9">
        <w:rPr>
          <w:color w:val="000000"/>
          <w:sz w:val="22"/>
          <w:szCs w:val="22"/>
          <w:lang w:val="sr-Latn-ME"/>
        </w:rPr>
        <w:t xml:space="preserve">ujućeg beta2-agonista ili kombinacijom </w:t>
      </w:r>
      <w:r w:rsidR="004D0E29" w:rsidRPr="00BD78F9">
        <w:rPr>
          <w:color w:val="000000"/>
          <w:sz w:val="22"/>
          <w:szCs w:val="22"/>
          <w:lang w:val="sr-Latn-ME"/>
        </w:rPr>
        <w:t>dugodjel</w:t>
      </w:r>
      <w:r w:rsidR="00B73F2A" w:rsidRPr="00BD78F9">
        <w:rPr>
          <w:color w:val="000000"/>
          <w:sz w:val="22"/>
          <w:szCs w:val="22"/>
          <w:lang w:val="sr-Latn-ME"/>
        </w:rPr>
        <w:t xml:space="preserve">ujućeg beta2-agonista i </w:t>
      </w:r>
      <w:r w:rsidR="004D0E29" w:rsidRPr="00BD78F9">
        <w:rPr>
          <w:color w:val="000000"/>
          <w:sz w:val="22"/>
          <w:szCs w:val="22"/>
          <w:lang w:val="sr-Latn-ME"/>
        </w:rPr>
        <w:t>dugodjel</w:t>
      </w:r>
      <w:r w:rsidR="00B73F2A" w:rsidRPr="00BD78F9">
        <w:rPr>
          <w:color w:val="000000"/>
          <w:sz w:val="22"/>
          <w:szCs w:val="22"/>
          <w:lang w:val="sr-Latn-ME"/>
        </w:rPr>
        <w:t xml:space="preserve">ujućeg antagonista muskarinskih receptora (za dejstva na kontrolu simptoma i sprečavanje egzacerbacija </w:t>
      </w:r>
      <w:r w:rsidR="00B37D33" w:rsidRPr="00BD78F9">
        <w:rPr>
          <w:color w:val="000000"/>
          <w:sz w:val="22"/>
          <w:szCs w:val="22"/>
          <w:lang w:val="sr-Latn-ME"/>
        </w:rPr>
        <w:t>(</w:t>
      </w:r>
      <w:r w:rsidR="004D0E29" w:rsidRPr="00BD78F9">
        <w:rPr>
          <w:color w:val="000000"/>
          <w:sz w:val="22"/>
          <w:szCs w:val="22"/>
          <w:lang w:val="sr-Latn-ME"/>
        </w:rPr>
        <w:t>vidjeti</w:t>
      </w:r>
      <w:r w:rsidR="00B73F2A" w:rsidRPr="00BD78F9">
        <w:rPr>
          <w:color w:val="000000"/>
          <w:sz w:val="22"/>
          <w:szCs w:val="22"/>
          <w:lang w:val="sr-Latn-ME"/>
        </w:rPr>
        <w:t xml:space="preserve"> </w:t>
      </w:r>
      <w:r w:rsidR="004D0E29" w:rsidRPr="00BD78F9">
        <w:rPr>
          <w:color w:val="000000"/>
          <w:sz w:val="22"/>
          <w:szCs w:val="22"/>
          <w:lang w:val="sr-Latn-ME"/>
        </w:rPr>
        <w:t>odjeljak</w:t>
      </w:r>
      <w:r w:rsidR="00B73F2A" w:rsidRPr="00BD78F9">
        <w:rPr>
          <w:color w:val="000000"/>
          <w:sz w:val="22"/>
          <w:szCs w:val="22"/>
          <w:lang w:val="sr-Latn-ME"/>
        </w:rPr>
        <w:t xml:space="preserve"> 5.1).</w:t>
      </w:r>
    </w:p>
    <w:p w14:paraId="110041AC" w14:textId="77777777" w:rsidR="00B73F2A" w:rsidRPr="00BD78F9" w:rsidRDefault="00B73F2A" w:rsidP="00271855">
      <w:pPr>
        <w:tabs>
          <w:tab w:val="left" w:pos="540"/>
          <w:tab w:val="left" w:pos="569"/>
        </w:tabs>
        <w:jc w:val="both"/>
        <w:rPr>
          <w:bCs/>
          <w:sz w:val="22"/>
          <w:szCs w:val="22"/>
          <w:lang w:val="sr-Latn-ME"/>
        </w:rPr>
      </w:pPr>
    </w:p>
    <w:p w14:paraId="4B22658E" w14:textId="77777777" w:rsidR="00411B4B" w:rsidRPr="00BD78F9" w:rsidRDefault="00411B4B" w:rsidP="00271855">
      <w:pPr>
        <w:tabs>
          <w:tab w:val="left" w:pos="540"/>
          <w:tab w:val="left" w:pos="569"/>
        </w:tabs>
        <w:jc w:val="both"/>
        <w:rPr>
          <w:b/>
          <w:bCs/>
          <w:sz w:val="22"/>
          <w:szCs w:val="22"/>
          <w:lang w:val="sr-Latn-ME"/>
        </w:rPr>
      </w:pPr>
      <w:r w:rsidRPr="00BD78F9">
        <w:rPr>
          <w:b/>
          <w:bCs/>
          <w:sz w:val="22"/>
          <w:szCs w:val="22"/>
          <w:lang w:val="sr-Latn-ME"/>
        </w:rPr>
        <w:t xml:space="preserve">4.2. </w:t>
      </w:r>
      <w:r w:rsidR="00480FB1" w:rsidRPr="00BD78F9">
        <w:rPr>
          <w:b/>
          <w:bCs/>
          <w:sz w:val="22"/>
          <w:szCs w:val="22"/>
          <w:lang w:val="sr-Latn-ME"/>
        </w:rPr>
        <w:tab/>
      </w:r>
      <w:r w:rsidRPr="00BD78F9">
        <w:rPr>
          <w:b/>
          <w:bCs/>
          <w:sz w:val="22"/>
          <w:szCs w:val="22"/>
          <w:lang w:val="sr-Latn-ME"/>
        </w:rPr>
        <w:t>Doziranje i način primjene</w:t>
      </w:r>
    </w:p>
    <w:p w14:paraId="4FA40B62" w14:textId="7EA165D0" w:rsidR="00452E9D" w:rsidRPr="00BD78F9" w:rsidRDefault="00452E9D" w:rsidP="00271855">
      <w:pPr>
        <w:tabs>
          <w:tab w:val="left" w:pos="540"/>
          <w:tab w:val="left" w:pos="569"/>
        </w:tabs>
        <w:jc w:val="both"/>
        <w:rPr>
          <w:bCs/>
          <w:sz w:val="22"/>
          <w:szCs w:val="22"/>
          <w:u w:val="single"/>
          <w:lang w:val="sr-Latn-ME"/>
        </w:rPr>
      </w:pPr>
    </w:p>
    <w:p w14:paraId="79E0C5ED" w14:textId="77777777" w:rsidR="00B73F2A" w:rsidRPr="00BD78F9" w:rsidRDefault="00B73F2A" w:rsidP="000A71FF">
      <w:pPr>
        <w:tabs>
          <w:tab w:val="left" w:pos="284"/>
        </w:tabs>
        <w:jc w:val="both"/>
        <w:rPr>
          <w:sz w:val="22"/>
          <w:szCs w:val="22"/>
          <w:u w:val="single"/>
          <w:lang w:val="sr-Latn-ME"/>
        </w:rPr>
      </w:pPr>
      <w:r w:rsidRPr="00BD78F9">
        <w:rPr>
          <w:sz w:val="22"/>
          <w:szCs w:val="22"/>
          <w:u w:val="single"/>
          <w:lang w:val="sr-Latn-ME"/>
        </w:rPr>
        <w:t>Doziranje</w:t>
      </w:r>
    </w:p>
    <w:p w14:paraId="3F16172C" w14:textId="77777777" w:rsidR="00B73F2A" w:rsidRPr="00BD78F9" w:rsidRDefault="00B73F2A" w:rsidP="007019B9">
      <w:pPr>
        <w:tabs>
          <w:tab w:val="left" w:pos="284"/>
        </w:tabs>
        <w:jc w:val="both"/>
        <w:rPr>
          <w:sz w:val="22"/>
          <w:szCs w:val="22"/>
          <w:lang w:val="sr-Latn-ME"/>
        </w:rPr>
      </w:pPr>
    </w:p>
    <w:p w14:paraId="4D83D969" w14:textId="56F53F4B" w:rsidR="00B73F2A" w:rsidRPr="00BD78F9" w:rsidRDefault="00B73F2A" w:rsidP="00A52822">
      <w:pPr>
        <w:keepNext/>
        <w:keepLines/>
        <w:tabs>
          <w:tab w:val="left" w:pos="284"/>
        </w:tabs>
        <w:jc w:val="both"/>
        <w:rPr>
          <w:sz w:val="22"/>
          <w:szCs w:val="22"/>
          <w:lang w:val="sr-Latn-ME"/>
        </w:rPr>
      </w:pPr>
      <w:r w:rsidRPr="00BD78F9">
        <w:rPr>
          <w:sz w:val="22"/>
          <w:szCs w:val="22"/>
          <w:lang w:val="sr-Latn-ME"/>
        </w:rPr>
        <w:t>Preporučena i maksimalna doza iznosi dv</w:t>
      </w:r>
      <w:r w:rsidR="00107A30" w:rsidRPr="00BD78F9">
        <w:rPr>
          <w:sz w:val="22"/>
          <w:szCs w:val="22"/>
          <w:lang w:val="sr-Latn-ME"/>
        </w:rPr>
        <w:t>ij</w:t>
      </w:r>
      <w:r w:rsidRPr="00BD78F9">
        <w:rPr>
          <w:sz w:val="22"/>
          <w:szCs w:val="22"/>
          <w:lang w:val="sr-Latn-ME"/>
        </w:rPr>
        <w:t>e inhalacije dva puta dnevno (dv</w:t>
      </w:r>
      <w:r w:rsidR="004D0E29" w:rsidRPr="00BD78F9">
        <w:rPr>
          <w:sz w:val="22"/>
          <w:szCs w:val="22"/>
          <w:lang w:val="sr-Latn-ME"/>
        </w:rPr>
        <w:t>ij</w:t>
      </w:r>
      <w:r w:rsidRPr="00BD78F9">
        <w:rPr>
          <w:sz w:val="22"/>
          <w:szCs w:val="22"/>
          <w:lang w:val="sr-Latn-ME"/>
        </w:rPr>
        <w:t>e inhalacije ujutro i dv</w:t>
      </w:r>
      <w:r w:rsidR="004D0E29" w:rsidRPr="00BD78F9">
        <w:rPr>
          <w:sz w:val="22"/>
          <w:szCs w:val="22"/>
          <w:lang w:val="sr-Latn-ME"/>
        </w:rPr>
        <w:t>ij</w:t>
      </w:r>
      <w:r w:rsidRPr="00BD78F9">
        <w:rPr>
          <w:sz w:val="22"/>
          <w:szCs w:val="22"/>
          <w:lang w:val="sr-Latn-ME"/>
        </w:rPr>
        <w:t xml:space="preserve">e inhalacije uveče).  </w:t>
      </w:r>
    </w:p>
    <w:p w14:paraId="56387699" w14:textId="77777777" w:rsidR="00B73F2A" w:rsidRPr="00BD78F9" w:rsidRDefault="00B73F2A">
      <w:pPr>
        <w:keepNext/>
        <w:keepLines/>
        <w:tabs>
          <w:tab w:val="left" w:pos="284"/>
        </w:tabs>
        <w:jc w:val="both"/>
        <w:rPr>
          <w:sz w:val="22"/>
          <w:szCs w:val="22"/>
          <w:lang w:val="sr-Latn-ME"/>
        </w:rPr>
      </w:pPr>
    </w:p>
    <w:p w14:paraId="4F2AA32C" w14:textId="5A42F719" w:rsidR="00B73F2A" w:rsidRPr="00BD78F9" w:rsidRDefault="00B73F2A">
      <w:pPr>
        <w:tabs>
          <w:tab w:val="left" w:pos="284"/>
        </w:tabs>
        <w:jc w:val="both"/>
        <w:rPr>
          <w:noProof/>
          <w:sz w:val="22"/>
          <w:szCs w:val="22"/>
          <w:lang w:val="sr-Latn-ME"/>
        </w:rPr>
      </w:pPr>
      <w:r w:rsidRPr="00BD78F9">
        <w:rPr>
          <w:noProof/>
          <w:sz w:val="22"/>
          <w:szCs w:val="22"/>
          <w:lang w:val="sr-Latn-ME"/>
        </w:rPr>
        <w:t>Ako se propusti doza, treba je uzeti što je pr</w:t>
      </w:r>
      <w:r w:rsidR="004D0E29" w:rsidRPr="00BD78F9">
        <w:rPr>
          <w:noProof/>
          <w:sz w:val="22"/>
          <w:szCs w:val="22"/>
          <w:lang w:val="sr-Latn-ME"/>
        </w:rPr>
        <w:t>ij</w:t>
      </w:r>
      <w:r w:rsidRPr="00BD78F9">
        <w:rPr>
          <w:noProof/>
          <w:sz w:val="22"/>
          <w:szCs w:val="22"/>
          <w:lang w:val="sr-Latn-ME"/>
        </w:rPr>
        <w:t>e moguće, a sl</w:t>
      </w:r>
      <w:r w:rsidR="00107A30" w:rsidRPr="00BD78F9">
        <w:rPr>
          <w:noProof/>
          <w:sz w:val="22"/>
          <w:szCs w:val="22"/>
          <w:lang w:val="sr-Latn-ME"/>
        </w:rPr>
        <w:t>j</w:t>
      </w:r>
      <w:r w:rsidRPr="00BD78F9">
        <w:rPr>
          <w:noProof/>
          <w:sz w:val="22"/>
          <w:szCs w:val="22"/>
          <w:lang w:val="sr-Latn-ME"/>
        </w:rPr>
        <w:t xml:space="preserve">edeću dozu treba uzeti u uobičajeno </w:t>
      </w:r>
      <w:r w:rsidR="004D0E29" w:rsidRPr="00BD78F9">
        <w:rPr>
          <w:noProof/>
          <w:sz w:val="22"/>
          <w:szCs w:val="22"/>
          <w:lang w:val="sr-Latn-ME"/>
        </w:rPr>
        <w:t>vrijeme</w:t>
      </w:r>
      <w:r w:rsidRPr="00BD78F9">
        <w:rPr>
          <w:noProof/>
          <w:sz w:val="22"/>
          <w:szCs w:val="22"/>
          <w:lang w:val="sr-Latn-ME"/>
        </w:rPr>
        <w:t xml:space="preserve">. </w:t>
      </w:r>
      <w:r w:rsidR="004D0E29" w:rsidRPr="00BD78F9">
        <w:rPr>
          <w:noProof/>
          <w:sz w:val="22"/>
          <w:szCs w:val="22"/>
          <w:lang w:val="sr-Latn-ME"/>
        </w:rPr>
        <w:t>Ne smije</w:t>
      </w:r>
      <w:r w:rsidRPr="00BD78F9">
        <w:rPr>
          <w:noProof/>
          <w:sz w:val="22"/>
          <w:szCs w:val="22"/>
          <w:lang w:val="sr-Latn-ME"/>
        </w:rPr>
        <w:t xml:space="preserve"> se prim</w:t>
      </w:r>
      <w:r w:rsidR="00107A30" w:rsidRPr="00BD78F9">
        <w:rPr>
          <w:noProof/>
          <w:sz w:val="22"/>
          <w:szCs w:val="22"/>
          <w:lang w:val="sr-Latn-ME"/>
        </w:rPr>
        <w:t>j</w:t>
      </w:r>
      <w:r w:rsidRPr="00BD78F9">
        <w:rPr>
          <w:noProof/>
          <w:sz w:val="22"/>
          <w:szCs w:val="22"/>
          <w:lang w:val="sr-Latn-ME"/>
        </w:rPr>
        <w:t>eniti dvostruka doza kako bi se nadoknadila propuštena doza.</w:t>
      </w:r>
    </w:p>
    <w:p w14:paraId="560E69A6" w14:textId="7BBEEB4D" w:rsidR="00107A30" w:rsidRPr="00BD78F9" w:rsidRDefault="00107A30">
      <w:pPr>
        <w:tabs>
          <w:tab w:val="left" w:pos="284"/>
        </w:tabs>
        <w:jc w:val="both"/>
        <w:rPr>
          <w:noProof/>
          <w:sz w:val="22"/>
          <w:szCs w:val="22"/>
          <w:lang w:val="sr-Latn-ME"/>
        </w:rPr>
      </w:pPr>
    </w:p>
    <w:p w14:paraId="6655D850" w14:textId="742E3D38" w:rsidR="00107A30" w:rsidRPr="00271855" w:rsidRDefault="00107A30">
      <w:pPr>
        <w:tabs>
          <w:tab w:val="left" w:pos="284"/>
        </w:tabs>
        <w:jc w:val="both"/>
        <w:rPr>
          <w:noProof/>
          <w:sz w:val="22"/>
          <w:szCs w:val="22"/>
          <w:u w:val="single"/>
          <w:lang w:val="sr-Latn-ME"/>
        </w:rPr>
      </w:pPr>
      <w:r w:rsidRPr="00271855">
        <w:rPr>
          <w:noProof/>
          <w:sz w:val="22"/>
          <w:szCs w:val="22"/>
          <w:u w:val="single"/>
          <w:lang w:val="sr-Latn-ME"/>
        </w:rPr>
        <w:t>Posebne populacije</w:t>
      </w:r>
    </w:p>
    <w:p w14:paraId="600208AD" w14:textId="77777777" w:rsidR="00107A30" w:rsidRPr="00BD78F9" w:rsidRDefault="00107A30">
      <w:pPr>
        <w:tabs>
          <w:tab w:val="left" w:pos="284"/>
        </w:tabs>
        <w:jc w:val="both"/>
        <w:rPr>
          <w:noProof/>
          <w:sz w:val="22"/>
          <w:szCs w:val="22"/>
          <w:lang w:val="sr-Latn-ME"/>
        </w:rPr>
      </w:pPr>
    </w:p>
    <w:p w14:paraId="52118E65" w14:textId="77777777" w:rsidR="00B73F2A" w:rsidRPr="00BD78F9" w:rsidRDefault="00B73F2A">
      <w:pPr>
        <w:tabs>
          <w:tab w:val="left" w:pos="284"/>
        </w:tabs>
        <w:jc w:val="both"/>
        <w:rPr>
          <w:i/>
          <w:sz w:val="22"/>
          <w:lang w:val="sr-Latn-ME"/>
        </w:rPr>
      </w:pPr>
      <w:r w:rsidRPr="00BD78F9">
        <w:rPr>
          <w:i/>
          <w:iCs/>
          <w:sz w:val="22"/>
          <w:lang w:val="sr-Latn-ME"/>
        </w:rPr>
        <w:t>Stariji pacijenti</w:t>
      </w:r>
    </w:p>
    <w:p w14:paraId="0690A7D0" w14:textId="009B9E7E" w:rsidR="00B73F2A" w:rsidRPr="00BD78F9" w:rsidRDefault="004D0E29">
      <w:pPr>
        <w:tabs>
          <w:tab w:val="left" w:pos="284"/>
        </w:tabs>
        <w:jc w:val="both"/>
        <w:rPr>
          <w:sz w:val="22"/>
          <w:lang w:val="sr-Latn-ME"/>
        </w:rPr>
      </w:pPr>
      <w:r w:rsidRPr="00BD78F9">
        <w:rPr>
          <w:sz w:val="22"/>
          <w:lang w:val="sr-Latn-ME"/>
        </w:rPr>
        <w:lastRenderedPageBreak/>
        <w:t>Nijesu</w:t>
      </w:r>
      <w:r w:rsidR="00B73F2A" w:rsidRPr="00BD78F9">
        <w:rPr>
          <w:sz w:val="22"/>
          <w:lang w:val="sr-Latn-ME"/>
        </w:rPr>
        <w:t xml:space="preserve"> potrebna podešavanja doze kod starijih pacijenata (</w:t>
      </w:r>
      <w:r w:rsidRPr="00BD78F9">
        <w:rPr>
          <w:sz w:val="22"/>
          <w:lang w:val="sr-Latn-ME"/>
        </w:rPr>
        <w:t>vidjeti</w:t>
      </w:r>
      <w:r w:rsidR="00B73F2A" w:rsidRPr="00BD78F9">
        <w:rPr>
          <w:sz w:val="22"/>
          <w:lang w:val="sr-Latn-ME"/>
        </w:rPr>
        <w:t xml:space="preserve"> </w:t>
      </w:r>
      <w:r w:rsidRPr="00BD78F9">
        <w:rPr>
          <w:sz w:val="22"/>
          <w:lang w:val="sr-Latn-ME"/>
        </w:rPr>
        <w:t>odjeljak</w:t>
      </w:r>
      <w:r w:rsidR="00B73F2A" w:rsidRPr="00BD78F9">
        <w:rPr>
          <w:sz w:val="22"/>
          <w:lang w:val="sr-Latn-ME"/>
        </w:rPr>
        <w:t xml:space="preserve"> 5.2). </w:t>
      </w:r>
    </w:p>
    <w:p w14:paraId="0B1B7A9B" w14:textId="77777777" w:rsidR="00B73F2A" w:rsidRPr="00BD78F9" w:rsidRDefault="00B73F2A">
      <w:pPr>
        <w:tabs>
          <w:tab w:val="left" w:pos="284"/>
        </w:tabs>
        <w:jc w:val="both"/>
        <w:rPr>
          <w:i/>
          <w:sz w:val="22"/>
          <w:lang w:val="sr-Latn-ME"/>
        </w:rPr>
      </w:pPr>
      <w:r w:rsidRPr="00BD78F9">
        <w:rPr>
          <w:i/>
          <w:iCs/>
          <w:sz w:val="22"/>
          <w:lang w:val="sr-Latn-ME"/>
        </w:rPr>
        <w:t>Oštećenje funkcije bubrega</w:t>
      </w:r>
    </w:p>
    <w:p w14:paraId="56C27465" w14:textId="0BC40D1E" w:rsidR="00B73F2A" w:rsidRPr="00BD78F9" w:rsidRDefault="00B73F2A">
      <w:pPr>
        <w:tabs>
          <w:tab w:val="left" w:pos="284"/>
        </w:tabs>
        <w:autoSpaceDE w:val="0"/>
        <w:autoSpaceDN w:val="0"/>
        <w:adjustRightInd w:val="0"/>
        <w:jc w:val="both"/>
        <w:rPr>
          <w:sz w:val="22"/>
          <w:lang w:val="sr-Latn-ME"/>
        </w:rPr>
      </w:pPr>
      <w:r w:rsidRPr="00BD78F9">
        <w:rPr>
          <w:sz w:val="22"/>
          <w:szCs w:val="22"/>
          <w:lang w:val="sr-Latn-ME"/>
        </w:rPr>
        <w:t xml:space="preserve">Ovaj </w:t>
      </w:r>
      <w:r w:rsidR="004D0E29" w:rsidRPr="00BD78F9">
        <w:rPr>
          <w:sz w:val="22"/>
          <w:szCs w:val="22"/>
          <w:lang w:val="sr-Latn-ME"/>
        </w:rPr>
        <w:t xml:space="preserve">lijek </w:t>
      </w:r>
      <w:r w:rsidRPr="00BD78F9">
        <w:rPr>
          <w:sz w:val="22"/>
          <w:lang w:val="sr-Latn-ME"/>
        </w:rPr>
        <w:t>se može koristiti u preporučenoj dozi kod pacijenata sa blagim do um</w:t>
      </w:r>
      <w:r w:rsidR="004D0E29" w:rsidRPr="00BD78F9">
        <w:rPr>
          <w:sz w:val="22"/>
          <w:lang w:val="sr-Latn-ME"/>
        </w:rPr>
        <w:t>j</w:t>
      </w:r>
      <w:r w:rsidRPr="00BD78F9">
        <w:rPr>
          <w:sz w:val="22"/>
          <w:lang w:val="sr-Latn-ME"/>
        </w:rPr>
        <w:t>erenim oštećenjem funkcije</w:t>
      </w:r>
      <w:r w:rsidR="004D0E29" w:rsidRPr="00BD78F9">
        <w:rPr>
          <w:sz w:val="22"/>
          <w:lang w:val="sr-Latn-ME"/>
        </w:rPr>
        <w:t xml:space="preserve"> </w:t>
      </w:r>
      <w:r w:rsidRPr="00BD78F9">
        <w:rPr>
          <w:sz w:val="22"/>
          <w:lang w:val="sr-Latn-ME"/>
        </w:rPr>
        <w:t>bubrega. Kod pacijenata sa teškim oštećenjem funkcije bubrega ili onih u završnom stadijumu bubrežne bolesti kojima je potrebna dijaliza može se prim</w:t>
      </w:r>
      <w:r w:rsidR="004D0E29" w:rsidRPr="00BD78F9">
        <w:rPr>
          <w:sz w:val="22"/>
          <w:lang w:val="sr-Latn-ME"/>
        </w:rPr>
        <w:t>j</w:t>
      </w:r>
      <w:r w:rsidRPr="00BD78F9">
        <w:rPr>
          <w:sz w:val="22"/>
          <w:lang w:val="sr-Latn-ME"/>
        </w:rPr>
        <w:t xml:space="preserve">enjivati u preporučenoj dozi samo ako očekivana korist </w:t>
      </w:r>
      <w:r w:rsidR="00107A30" w:rsidRPr="00BD78F9">
        <w:rPr>
          <w:sz w:val="22"/>
          <w:lang w:val="sr-Latn-ME"/>
        </w:rPr>
        <w:t xml:space="preserve">prevazilazi </w:t>
      </w:r>
      <w:r w:rsidRPr="00BD78F9">
        <w:rPr>
          <w:sz w:val="22"/>
          <w:lang w:val="sr-Latn-ME"/>
        </w:rPr>
        <w:t>potencijalni rizik (</w:t>
      </w:r>
      <w:r w:rsidR="004D0E29" w:rsidRPr="00BD78F9">
        <w:rPr>
          <w:sz w:val="22"/>
          <w:lang w:val="sr-Latn-ME"/>
        </w:rPr>
        <w:t>vidjeti</w:t>
      </w:r>
      <w:r w:rsidRPr="00BD78F9">
        <w:rPr>
          <w:sz w:val="22"/>
          <w:lang w:val="sr-Latn-ME"/>
        </w:rPr>
        <w:t xml:space="preserve"> od</w:t>
      </w:r>
      <w:r w:rsidR="004D0E29" w:rsidRPr="00BD78F9">
        <w:rPr>
          <w:sz w:val="22"/>
          <w:lang w:val="sr-Latn-ME"/>
        </w:rPr>
        <w:t>j</w:t>
      </w:r>
      <w:r w:rsidRPr="00BD78F9">
        <w:rPr>
          <w:sz w:val="22"/>
          <w:lang w:val="sr-Latn-ME"/>
        </w:rPr>
        <w:t>eljke 4.4 i 5.2).</w:t>
      </w:r>
    </w:p>
    <w:p w14:paraId="7CF8203A" w14:textId="77777777" w:rsidR="00B73F2A" w:rsidRPr="00BD78F9" w:rsidRDefault="00B73F2A">
      <w:pPr>
        <w:tabs>
          <w:tab w:val="left" w:pos="284"/>
        </w:tabs>
        <w:autoSpaceDE w:val="0"/>
        <w:autoSpaceDN w:val="0"/>
        <w:adjustRightInd w:val="0"/>
        <w:jc w:val="both"/>
        <w:rPr>
          <w:sz w:val="22"/>
          <w:lang w:val="sr-Latn-ME"/>
        </w:rPr>
      </w:pPr>
    </w:p>
    <w:p w14:paraId="55F95398" w14:textId="77777777" w:rsidR="00B73F2A" w:rsidRPr="00BD78F9" w:rsidRDefault="00B73F2A">
      <w:pPr>
        <w:tabs>
          <w:tab w:val="left" w:pos="284"/>
        </w:tabs>
        <w:jc w:val="both"/>
        <w:rPr>
          <w:i/>
          <w:sz w:val="22"/>
          <w:lang w:val="sr-Latn-ME"/>
        </w:rPr>
      </w:pPr>
      <w:r w:rsidRPr="00BD78F9">
        <w:rPr>
          <w:i/>
          <w:iCs/>
          <w:sz w:val="22"/>
          <w:lang w:val="sr-Latn-ME"/>
        </w:rPr>
        <w:t>Oštećenje funkcije jetre</w:t>
      </w:r>
    </w:p>
    <w:p w14:paraId="5908D83E" w14:textId="7B37DC3D" w:rsidR="00B73F2A" w:rsidRPr="00BD78F9" w:rsidRDefault="00B73F2A">
      <w:pPr>
        <w:tabs>
          <w:tab w:val="left" w:pos="284"/>
        </w:tabs>
        <w:autoSpaceDE w:val="0"/>
        <w:autoSpaceDN w:val="0"/>
        <w:adjustRightInd w:val="0"/>
        <w:jc w:val="both"/>
        <w:rPr>
          <w:sz w:val="22"/>
          <w:szCs w:val="22"/>
          <w:lang w:val="sr-Latn-ME"/>
        </w:rPr>
      </w:pPr>
      <w:r w:rsidRPr="00BD78F9">
        <w:rPr>
          <w:sz w:val="22"/>
          <w:szCs w:val="22"/>
          <w:lang w:val="sr-Latn-ME"/>
        </w:rPr>
        <w:t xml:space="preserve">Ovaj </w:t>
      </w:r>
      <w:r w:rsidR="004D0E29" w:rsidRPr="00BD78F9">
        <w:rPr>
          <w:sz w:val="22"/>
          <w:szCs w:val="22"/>
          <w:lang w:val="sr-Latn-ME"/>
        </w:rPr>
        <w:t xml:space="preserve">lijek </w:t>
      </w:r>
      <w:r w:rsidRPr="00BD78F9">
        <w:rPr>
          <w:sz w:val="22"/>
          <w:lang w:val="sr-Latn-ME"/>
        </w:rPr>
        <w:t>se može koristiti u preporučenoj dozi kod pacijenata sa blagim do um</w:t>
      </w:r>
      <w:r w:rsidR="004D0E29" w:rsidRPr="00BD78F9">
        <w:rPr>
          <w:sz w:val="22"/>
          <w:lang w:val="sr-Latn-ME"/>
        </w:rPr>
        <w:t>j</w:t>
      </w:r>
      <w:r w:rsidRPr="00BD78F9">
        <w:rPr>
          <w:sz w:val="22"/>
          <w:lang w:val="sr-Latn-ME"/>
        </w:rPr>
        <w:t xml:space="preserve">erenim oštećenjem funkcije jetre. Kod pacijenata sa teškim oštećenjem funkcije jetre može se </w:t>
      </w:r>
      <w:r w:rsidR="004D0E29" w:rsidRPr="00BD78F9">
        <w:rPr>
          <w:sz w:val="22"/>
          <w:lang w:val="sr-Latn-ME"/>
        </w:rPr>
        <w:t>primjenjivati</w:t>
      </w:r>
      <w:r w:rsidRPr="00BD78F9">
        <w:rPr>
          <w:sz w:val="22"/>
          <w:lang w:val="sr-Latn-ME"/>
        </w:rPr>
        <w:t xml:space="preserve"> u preporučenoj dozi samo ako očekivana korist </w:t>
      </w:r>
      <w:r w:rsidR="002B4B5C" w:rsidRPr="00BD78F9">
        <w:rPr>
          <w:sz w:val="22"/>
          <w:lang w:val="sr-Latn-ME"/>
        </w:rPr>
        <w:t xml:space="preserve">prevazilazi </w:t>
      </w:r>
      <w:r w:rsidRPr="00BD78F9">
        <w:rPr>
          <w:sz w:val="22"/>
          <w:lang w:val="sr-Latn-ME"/>
        </w:rPr>
        <w:t>potencijalni rizik</w:t>
      </w:r>
      <w:r w:rsidRPr="00BD78F9">
        <w:rPr>
          <w:sz w:val="22"/>
          <w:szCs w:val="22"/>
          <w:lang w:val="sr-Latn-ME"/>
        </w:rPr>
        <w:t xml:space="preserve"> (</w:t>
      </w:r>
      <w:r w:rsidR="004D0E29" w:rsidRPr="00BD78F9">
        <w:rPr>
          <w:sz w:val="22"/>
          <w:szCs w:val="22"/>
          <w:lang w:val="sr-Latn-ME"/>
        </w:rPr>
        <w:t>vidjeti</w:t>
      </w:r>
      <w:r w:rsidRPr="00BD78F9">
        <w:rPr>
          <w:sz w:val="22"/>
          <w:szCs w:val="22"/>
          <w:lang w:val="sr-Latn-ME"/>
        </w:rPr>
        <w:t xml:space="preserve"> od</w:t>
      </w:r>
      <w:r w:rsidR="006B32D6" w:rsidRPr="00BD78F9">
        <w:rPr>
          <w:sz w:val="22"/>
          <w:szCs w:val="22"/>
          <w:lang w:val="sr-Latn-ME"/>
        </w:rPr>
        <w:t>j</w:t>
      </w:r>
      <w:r w:rsidRPr="00BD78F9">
        <w:rPr>
          <w:sz w:val="22"/>
          <w:szCs w:val="22"/>
          <w:lang w:val="sr-Latn-ME"/>
        </w:rPr>
        <w:t>eljke 4.4 i 5.2).</w:t>
      </w:r>
    </w:p>
    <w:p w14:paraId="435C9D30" w14:textId="77777777" w:rsidR="00B73F2A" w:rsidRPr="00BD78F9" w:rsidRDefault="00B73F2A">
      <w:pPr>
        <w:tabs>
          <w:tab w:val="left" w:pos="284"/>
        </w:tabs>
        <w:jc w:val="both"/>
        <w:rPr>
          <w:sz w:val="22"/>
          <w:szCs w:val="22"/>
          <w:lang w:val="sr-Latn-ME"/>
        </w:rPr>
      </w:pPr>
    </w:p>
    <w:p w14:paraId="53070C09" w14:textId="77777777" w:rsidR="00B73F2A" w:rsidRPr="00BD78F9" w:rsidRDefault="00B73F2A">
      <w:pPr>
        <w:tabs>
          <w:tab w:val="left" w:pos="284"/>
        </w:tabs>
        <w:jc w:val="both"/>
        <w:rPr>
          <w:bCs/>
          <w:i/>
          <w:iCs/>
          <w:sz w:val="22"/>
          <w:szCs w:val="22"/>
          <w:lang w:val="sr-Latn-ME"/>
        </w:rPr>
      </w:pPr>
      <w:r w:rsidRPr="00BD78F9">
        <w:rPr>
          <w:i/>
          <w:iCs/>
          <w:sz w:val="22"/>
          <w:szCs w:val="22"/>
          <w:lang w:val="sr-Latn-ME"/>
        </w:rPr>
        <w:t>Pedijatrijska populacija</w:t>
      </w:r>
    </w:p>
    <w:p w14:paraId="506587B1" w14:textId="3892003C" w:rsidR="00B73F2A" w:rsidRPr="00BD78F9" w:rsidRDefault="00B73F2A">
      <w:pPr>
        <w:tabs>
          <w:tab w:val="left" w:pos="284"/>
        </w:tabs>
        <w:jc w:val="both"/>
        <w:rPr>
          <w:bCs/>
          <w:iCs/>
          <w:sz w:val="22"/>
          <w:szCs w:val="22"/>
          <w:lang w:val="sr-Latn-ME"/>
        </w:rPr>
      </w:pPr>
      <w:r w:rsidRPr="00BD78F9">
        <w:rPr>
          <w:sz w:val="22"/>
          <w:szCs w:val="22"/>
          <w:lang w:val="sr-Latn-ME"/>
        </w:rPr>
        <w:t>Nema relevantne prim</w:t>
      </w:r>
      <w:r w:rsidR="004D0E29" w:rsidRPr="00BD78F9">
        <w:rPr>
          <w:sz w:val="22"/>
          <w:szCs w:val="22"/>
          <w:lang w:val="sr-Latn-ME"/>
        </w:rPr>
        <w:t>j</w:t>
      </w:r>
      <w:r w:rsidRPr="00BD78F9">
        <w:rPr>
          <w:sz w:val="22"/>
          <w:szCs w:val="22"/>
          <w:lang w:val="sr-Latn-ME"/>
        </w:rPr>
        <w:t>ene ovog l</w:t>
      </w:r>
      <w:r w:rsidR="004D0E29" w:rsidRPr="00BD78F9">
        <w:rPr>
          <w:sz w:val="22"/>
          <w:szCs w:val="22"/>
          <w:lang w:val="sr-Latn-ME"/>
        </w:rPr>
        <w:t>ij</w:t>
      </w:r>
      <w:r w:rsidRPr="00BD78F9">
        <w:rPr>
          <w:sz w:val="22"/>
          <w:szCs w:val="22"/>
          <w:lang w:val="sr-Latn-ME"/>
        </w:rPr>
        <w:t>eka</w:t>
      </w:r>
      <w:r w:rsidRPr="00BD78F9">
        <w:rPr>
          <w:sz w:val="22"/>
          <w:lang w:val="sr-Latn-ME"/>
        </w:rPr>
        <w:t xml:space="preserve"> </w:t>
      </w:r>
      <w:r w:rsidRPr="00BD78F9">
        <w:rPr>
          <w:sz w:val="22"/>
          <w:szCs w:val="22"/>
          <w:lang w:val="sr-Latn-ME"/>
        </w:rPr>
        <w:t>kod d</w:t>
      </w:r>
      <w:r w:rsidR="002A2FA3" w:rsidRPr="00BD78F9">
        <w:rPr>
          <w:sz w:val="22"/>
          <w:szCs w:val="22"/>
          <w:lang w:val="sr-Latn-ME"/>
        </w:rPr>
        <w:t>j</w:t>
      </w:r>
      <w:r w:rsidRPr="00BD78F9">
        <w:rPr>
          <w:sz w:val="22"/>
          <w:szCs w:val="22"/>
          <w:lang w:val="sr-Latn-ME"/>
        </w:rPr>
        <w:t xml:space="preserve">ece i adolescenata (mlađih od 18 godina) za indikaciju HOBP. </w:t>
      </w:r>
    </w:p>
    <w:p w14:paraId="621363A5" w14:textId="77777777" w:rsidR="00B73F2A" w:rsidRPr="00BD78F9" w:rsidRDefault="00B73F2A">
      <w:pPr>
        <w:tabs>
          <w:tab w:val="left" w:pos="284"/>
        </w:tabs>
        <w:jc w:val="both"/>
        <w:rPr>
          <w:sz w:val="22"/>
          <w:szCs w:val="22"/>
          <w:u w:val="single"/>
          <w:lang w:val="sr-Latn-ME"/>
        </w:rPr>
      </w:pPr>
      <w:r w:rsidRPr="00BD78F9">
        <w:rPr>
          <w:i/>
          <w:iCs/>
          <w:sz w:val="22"/>
          <w:szCs w:val="22"/>
          <w:lang w:val="sr-Latn-ME"/>
        </w:rPr>
        <w:t xml:space="preserve"> </w:t>
      </w:r>
    </w:p>
    <w:p w14:paraId="1CE2A2AF" w14:textId="63E4959D" w:rsidR="00B73F2A" w:rsidRPr="00BD78F9" w:rsidRDefault="00B73F2A">
      <w:pPr>
        <w:tabs>
          <w:tab w:val="left" w:pos="284"/>
        </w:tabs>
        <w:jc w:val="both"/>
        <w:rPr>
          <w:sz w:val="22"/>
          <w:szCs w:val="22"/>
          <w:u w:val="single"/>
          <w:lang w:val="sr-Latn-ME"/>
        </w:rPr>
      </w:pPr>
      <w:r w:rsidRPr="00BD78F9">
        <w:rPr>
          <w:sz w:val="22"/>
          <w:szCs w:val="22"/>
          <w:u w:val="single"/>
          <w:lang w:val="sr-Latn-ME"/>
        </w:rPr>
        <w:t>Način prim</w:t>
      </w:r>
      <w:r w:rsidR="004D0E29" w:rsidRPr="00BD78F9">
        <w:rPr>
          <w:sz w:val="22"/>
          <w:szCs w:val="22"/>
          <w:u w:val="single"/>
          <w:lang w:val="sr-Latn-ME"/>
        </w:rPr>
        <w:t>j</w:t>
      </w:r>
      <w:r w:rsidRPr="00BD78F9">
        <w:rPr>
          <w:sz w:val="22"/>
          <w:szCs w:val="22"/>
          <w:u w:val="single"/>
          <w:lang w:val="sr-Latn-ME"/>
        </w:rPr>
        <w:t xml:space="preserve">ene </w:t>
      </w:r>
    </w:p>
    <w:p w14:paraId="3D87E313" w14:textId="77777777" w:rsidR="00B73F2A" w:rsidRPr="00BD78F9" w:rsidRDefault="00B73F2A">
      <w:pPr>
        <w:tabs>
          <w:tab w:val="left" w:pos="284"/>
        </w:tabs>
        <w:jc w:val="both"/>
        <w:rPr>
          <w:sz w:val="22"/>
          <w:szCs w:val="22"/>
          <w:u w:val="single"/>
          <w:lang w:val="sr-Latn-ME"/>
        </w:rPr>
      </w:pPr>
    </w:p>
    <w:p w14:paraId="211F1F07" w14:textId="77777777" w:rsidR="00B73F2A" w:rsidRPr="00BD78F9" w:rsidRDefault="00B73F2A">
      <w:pPr>
        <w:tabs>
          <w:tab w:val="left" w:pos="284"/>
        </w:tabs>
        <w:jc w:val="both"/>
        <w:rPr>
          <w:sz w:val="22"/>
          <w:szCs w:val="22"/>
          <w:lang w:val="sr-Latn-ME"/>
        </w:rPr>
      </w:pPr>
      <w:r w:rsidRPr="00BD78F9">
        <w:rPr>
          <w:sz w:val="22"/>
          <w:szCs w:val="22"/>
          <w:lang w:val="sr-Latn-ME"/>
        </w:rPr>
        <w:t>Za inhalaciju.</w:t>
      </w:r>
    </w:p>
    <w:p w14:paraId="41F62230" w14:textId="77777777" w:rsidR="00B73F2A" w:rsidRPr="00BD78F9" w:rsidRDefault="00B73F2A">
      <w:pPr>
        <w:tabs>
          <w:tab w:val="left" w:pos="284"/>
        </w:tabs>
        <w:jc w:val="both"/>
        <w:rPr>
          <w:sz w:val="22"/>
          <w:szCs w:val="22"/>
          <w:u w:val="single"/>
          <w:lang w:val="sr-Latn-ME"/>
        </w:rPr>
      </w:pPr>
    </w:p>
    <w:p w14:paraId="1A8A72B1" w14:textId="77777777" w:rsidR="00B73F2A" w:rsidRPr="00BD78F9" w:rsidRDefault="00B73F2A">
      <w:pPr>
        <w:tabs>
          <w:tab w:val="left" w:pos="284"/>
        </w:tabs>
        <w:jc w:val="both"/>
        <w:rPr>
          <w:i/>
          <w:sz w:val="22"/>
          <w:szCs w:val="22"/>
          <w:lang w:val="sr-Latn-ME"/>
        </w:rPr>
      </w:pPr>
      <w:r w:rsidRPr="00BD78F9">
        <w:rPr>
          <w:i/>
          <w:iCs/>
          <w:sz w:val="22"/>
          <w:szCs w:val="22"/>
          <w:lang w:val="sr-Latn-ME"/>
        </w:rPr>
        <w:t>Uputstva za upotrebu</w:t>
      </w:r>
    </w:p>
    <w:p w14:paraId="4C5EAF51" w14:textId="5A04C9B2" w:rsidR="00B73F2A" w:rsidRPr="00BD78F9" w:rsidRDefault="00B73F2A">
      <w:pPr>
        <w:tabs>
          <w:tab w:val="left" w:pos="284"/>
        </w:tabs>
        <w:jc w:val="both"/>
        <w:rPr>
          <w:color w:val="000000"/>
          <w:sz w:val="22"/>
          <w:szCs w:val="22"/>
          <w:lang w:val="sr-Latn-ME"/>
        </w:rPr>
      </w:pPr>
      <w:r w:rsidRPr="00BD78F9">
        <w:rPr>
          <w:color w:val="000000"/>
          <w:sz w:val="22"/>
          <w:szCs w:val="22"/>
          <w:lang w:val="sr-Latn-ME"/>
        </w:rPr>
        <w:t xml:space="preserve">Kako bi se </w:t>
      </w:r>
      <w:r w:rsidR="006B32D6" w:rsidRPr="00BD78F9">
        <w:rPr>
          <w:color w:val="000000"/>
          <w:sz w:val="22"/>
          <w:szCs w:val="22"/>
          <w:lang w:val="sr-Latn-ME"/>
        </w:rPr>
        <w:t xml:space="preserve">obezbjedila </w:t>
      </w:r>
      <w:r w:rsidRPr="00BD78F9">
        <w:rPr>
          <w:color w:val="000000"/>
          <w:sz w:val="22"/>
          <w:szCs w:val="22"/>
          <w:lang w:val="sr-Latn-ME"/>
        </w:rPr>
        <w:t>pravilna prim</w:t>
      </w:r>
      <w:r w:rsidR="004D0E29" w:rsidRPr="00BD78F9">
        <w:rPr>
          <w:color w:val="000000"/>
          <w:sz w:val="22"/>
          <w:szCs w:val="22"/>
          <w:lang w:val="sr-Latn-ME"/>
        </w:rPr>
        <w:t>j</w:t>
      </w:r>
      <w:r w:rsidRPr="00BD78F9">
        <w:rPr>
          <w:color w:val="000000"/>
          <w:sz w:val="22"/>
          <w:szCs w:val="22"/>
          <w:lang w:val="sr-Latn-ME"/>
        </w:rPr>
        <w:t>ena l</w:t>
      </w:r>
      <w:r w:rsidR="004D0E29" w:rsidRPr="00BD78F9">
        <w:rPr>
          <w:color w:val="000000"/>
          <w:sz w:val="22"/>
          <w:szCs w:val="22"/>
          <w:lang w:val="sr-Latn-ME"/>
        </w:rPr>
        <w:t>ij</w:t>
      </w:r>
      <w:r w:rsidRPr="00BD78F9">
        <w:rPr>
          <w:color w:val="000000"/>
          <w:sz w:val="22"/>
          <w:szCs w:val="22"/>
          <w:lang w:val="sr-Latn-ME"/>
        </w:rPr>
        <w:t xml:space="preserve">eka, </w:t>
      </w:r>
      <w:r w:rsidR="004D0E29" w:rsidRPr="00BD78F9">
        <w:rPr>
          <w:color w:val="000000"/>
          <w:sz w:val="22"/>
          <w:szCs w:val="22"/>
          <w:lang w:val="sr-Latn-ME"/>
        </w:rPr>
        <w:t>ljeka</w:t>
      </w:r>
      <w:r w:rsidRPr="00BD78F9">
        <w:rPr>
          <w:color w:val="000000"/>
          <w:sz w:val="22"/>
          <w:szCs w:val="22"/>
          <w:lang w:val="sr-Latn-ME"/>
        </w:rPr>
        <w:t>r ili drugi zdravstveni radnik treba da pokažu pacijentu kako se pravilno prim</w:t>
      </w:r>
      <w:r w:rsidR="004D0E29" w:rsidRPr="00BD78F9">
        <w:rPr>
          <w:color w:val="000000"/>
          <w:sz w:val="22"/>
          <w:szCs w:val="22"/>
          <w:lang w:val="sr-Latn-ME"/>
        </w:rPr>
        <w:t>j</w:t>
      </w:r>
      <w:r w:rsidRPr="00BD78F9">
        <w:rPr>
          <w:color w:val="000000"/>
          <w:sz w:val="22"/>
          <w:szCs w:val="22"/>
          <w:lang w:val="sr-Latn-ME"/>
        </w:rPr>
        <w:t>enjuje inhalator, kao i da redovno prov</w:t>
      </w:r>
      <w:r w:rsidR="004D0E29" w:rsidRPr="00BD78F9">
        <w:rPr>
          <w:color w:val="000000"/>
          <w:sz w:val="22"/>
          <w:szCs w:val="22"/>
          <w:lang w:val="sr-Latn-ME"/>
        </w:rPr>
        <w:t>j</w:t>
      </w:r>
      <w:r w:rsidRPr="00BD78F9">
        <w:rPr>
          <w:color w:val="000000"/>
          <w:sz w:val="22"/>
          <w:szCs w:val="22"/>
          <w:lang w:val="sr-Latn-ME"/>
        </w:rPr>
        <w:t xml:space="preserve">eravaju da li je pacijentova tehnika inhaliranja odgovarajuća. Pacijenta treba uputiti da pažljivo pročita uputstvo za </w:t>
      </w:r>
      <w:r w:rsidR="004D0E29" w:rsidRPr="00BD78F9">
        <w:rPr>
          <w:color w:val="000000"/>
          <w:sz w:val="22"/>
          <w:szCs w:val="22"/>
          <w:lang w:val="sr-Latn-ME"/>
        </w:rPr>
        <w:t xml:space="preserve">lijek </w:t>
      </w:r>
      <w:r w:rsidRPr="00BD78F9">
        <w:rPr>
          <w:color w:val="000000"/>
          <w:sz w:val="22"/>
          <w:szCs w:val="22"/>
          <w:lang w:val="sr-Latn-ME"/>
        </w:rPr>
        <w:t>i da se pridržava uputstava za upotrebu koja su u njemu navedena.</w:t>
      </w:r>
    </w:p>
    <w:p w14:paraId="15E1C249" w14:textId="77777777" w:rsidR="00B73F2A" w:rsidRPr="00BD78F9" w:rsidRDefault="00B73F2A">
      <w:pPr>
        <w:tabs>
          <w:tab w:val="left" w:pos="284"/>
        </w:tabs>
        <w:jc w:val="both"/>
        <w:rPr>
          <w:sz w:val="22"/>
          <w:szCs w:val="22"/>
          <w:lang w:val="sr-Latn-ME"/>
        </w:rPr>
      </w:pPr>
      <w:r w:rsidRPr="00BD78F9">
        <w:rPr>
          <w:b/>
          <w:bCs/>
          <w:sz w:val="22"/>
          <w:szCs w:val="22"/>
          <w:lang w:val="sr-Latn-ME"/>
        </w:rPr>
        <w:t>Napomena:</w:t>
      </w:r>
      <w:r w:rsidRPr="00BD78F9">
        <w:rPr>
          <w:sz w:val="22"/>
          <w:szCs w:val="22"/>
          <w:lang w:val="sr-Latn-ME"/>
        </w:rPr>
        <w:t xml:space="preserve"> Važno je uputiti pacijente da:</w:t>
      </w:r>
    </w:p>
    <w:p w14:paraId="0E9EA3FE" w14:textId="1E8A1DE4" w:rsidR="00B73F2A" w:rsidRPr="00BD78F9" w:rsidRDefault="00B73F2A" w:rsidP="00271855">
      <w:pPr>
        <w:numPr>
          <w:ilvl w:val="0"/>
          <w:numId w:val="12"/>
        </w:numPr>
        <w:tabs>
          <w:tab w:val="left" w:pos="284"/>
        </w:tabs>
        <w:ind w:left="284" w:hanging="284"/>
        <w:jc w:val="both"/>
        <w:rPr>
          <w:sz w:val="22"/>
          <w:szCs w:val="22"/>
          <w:lang w:val="sr-Latn-ME"/>
        </w:rPr>
      </w:pPr>
      <w:r w:rsidRPr="00BD78F9">
        <w:rPr>
          <w:sz w:val="22"/>
          <w:szCs w:val="22"/>
          <w:lang w:val="sr-Latn-ME"/>
        </w:rPr>
        <w:t>ne koriste inhalator ako je sredstvo za sušenje, koje se nalazi u kesici od folije, iscurilo iz svog pakovanja; za najbolje rezultate inhalator treba da bude na sobnoj temperaturi pr</w:t>
      </w:r>
      <w:r w:rsidR="004D0E29" w:rsidRPr="00BD78F9">
        <w:rPr>
          <w:sz w:val="22"/>
          <w:szCs w:val="22"/>
          <w:lang w:val="sr-Latn-ME"/>
        </w:rPr>
        <w:t>ij</w:t>
      </w:r>
      <w:r w:rsidRPr="00BD78F9">
        <w:rPr>
          <w:sz w:val="22"/>
          <w:szCs w:val="22"/>
          <w:lang w:val="sr-Latn-ME"/>
        </w:rPr>
        <w:t xml:space="preserve">e upotrebe; </w:t>
      </w:r>
    </w:p>
    <w:p w14:paraId="7705F7D3" w14:textId="1E2C305C" w:rsidR="00B73F2A" w:rsidRPr="00BD78F9" w:rsidRDefault="00B73F2A" w:rsidP="006B32D6">
      <w:pPr>
        <w:numPr>
          <w:ilvl w:val="0"/>
          <w:numId w:val="12"/>
        </w:numPr>
        <w:tabs>
          <w:tab w:val="left" w:pos="284"/>
        </w:tabs>
        <w:ind w:left="284" w:hanging="284"/>
        <w:jc w:val="both"/>
        <w:rPr>
          <w:sz w:val="22"/>
          <w:szCs w:val="22"/>
          <w:lang w:val="sr-Latn-ME"/>
        </w:rPr>
      </w:pPr>
      <w:r w:rsidRPr="00BD78F9">
        <w:rPr>
          <w:sz w:val="22"/>
          <w:szCs w:val="22"/>
          <w:lang w:val="sr-Latn-ME"/>
        </w:rPr>
        <w:t>pripreme inhalator tako što ga protresu i ispuste u vazduh četiri doze pr</w:t>
      </w:r>
      <w:r w:rsidR="004D0E29" w:rsidRPr="00BD78F9">
        <w:rPr>
          <w:sz w:val="22"/>
          <w:szCs w:val="22"/>
          <w:lang w:val="sr-Latn-ME"/>
        </w:rPr>
        <w:t>ij</w:t>
      </w:r>
      <w:r w:rsidRPr="00BD78F9">
        <w:rPr>
          <w:sz w:val="22"/>
          <w:szCs w:val="22"/>
          <w:lang w:val="sr-Latn-ME"/>
        </w:rPr>
        <w:t>e prve upotrebe ili dv</w:t>
      </w:r>
      <w:r w:rsidR="006B32D6" w:rsidRPr="00BD78F9">
        <w:rPr>
          <w:sz w:val="22"/>
          <w:szCs w:val="22"/>
          <w:lang w:val="sr-Latn-ME"/>
        </w:rPr>
        <w:t>ij</w:t>
      </w:r>
      <w:r w:rsidRPr="00BD78F9">
        <w:rPr>
          <w:sz w:val="22"/>
          <w:szCs w:val="22"/>
          <w:lang w:val="sr-Latn-ME"/>
        </w:rPr>
        <w:t>e doze ako inhalator nije bio korišćen duže od sedam dana, nakon ned</w:t>
      </w:r>
      <w:r w:rsidR="006B32D6" w:rsidRPr="00BD78F9">
        <w:rPr>
          <w:sz w:val="22"/>
          <w:szCs w:val="22"/>
          <w:lang w:val="sr-Latn-ME"/>
        </w:rPr>
        <w:t>j</w:t>
      </w:r>
      <w:r w:rsidRPr="00BD78F9">
        <w:rPr>
          <w:sz w:val="22"/>
          <w:szCs w:val="22"/>
          <w:lang w:val="sr-Latn-ME"/>
        </w:rPr>
        <w:t xml:space="preserve">eljnog čišćenja inhalatora ili ako je ispušten na pod; </w:t>
      </w:r>
    </w:p>
    <w:p w14:paraId="3B014E77" w14:textId="04BA86A3" w:rsidR="00B73F2A" w:rsidRPr="00BD78F9" w:rsidRDefault="00B73F2A" w:rsidP="006B32D6">
      <w:pPr>
        <w:numPr>
          <w:ilvl w:val="0"/>
          <w:numId w:val="12"/>
        </w:numPr>
        <w:tabs>
          <w:tab w:val="left" w:pos="284"/>
        </w:tabs>
        <w:ind w:left="284" w:hanging="284"/>
        <w:jc w:val="both"/>
        <w:rPr>
          <w:sz w:val="22"/>
          <w:szCs w:val="22"/>
          <w:lang w:val="sr-Latn-ME"/>
        </w:rPr>
      </w:pPr>
      <w:r w:rsidRPr="00BD78F9">
        <w:rPr>
          <w:sz w:val="22"/>
          <w:szCs w:val="22"/>
          <w:lang w:val="sr-Latn-ME"/>
        </w:rPr>
        <w:t>isperu usta vodom nakon inhaliranja doze da bi se na najmanju moguću m</w:t>
      </w:r>
      <w:r w:rsidR="004D0E29" w:rsidRPr="00BD78F9">
        <w:rPr>
          <w:sz w:val="22"/>
          <w:szCs w:val="22"/>
          <w:lang w:val="sr-Latn-ME"/>
        </w:rPr>
        <w:t>j</w:t>
      </w:r>
      <w:r w:rsidRPr="00BD78F9">
        <w:rPr>
          <w:sz w:val="22"/>
          <w:szCs w:val="22"/>
          <w:lang w:val="sr-Latn-ME"/>
        </w:rPr>
        <w:t xml:space="preserve">eru sveo rizik od orofaringealne kandidijaze; vodu </w:t>
      </w:r>
      <w:r w:rsidR="004D0E29" w:rsidRPr="00BD78F9">
        <w:rPr>
          <w:sz w:val="22"/>
          <w:szCs w:val="22"/>
          <w:lang w:val="sr-Latn-ME"/>
        </w:rPr>
        <w:t>ne smij</w:t>
      </w:r>
      <w:r w:rsidRPr="00BD78F9">
        <w:rPr>
          <w:sz w:val="22"/>
          <w:szCs w:val="22"/>
          <w:lang w:val="sr-Latn-ME"/>
        </w:rPr>
        <w:t xml:space="preserve">u </w:t>
      </w:r>
      <w:r w:rsidR="007019B9" w:rsidRPr="00BD78F9">
        <w:rPr>
          <w:sz w:val="22"/>
          <w:szCs w:val="22"/>
          <w:lang w:val="sr-Latn-ME"/>
        </w:rPr>
        <w:t>progutati</w:t>
      </w:r>
      <w:r w:rsidRPr="00BD78F9">
        <w:rPr>
          <w:sz w:val="22"/>
          <w:szCs w:val="22"/>
          <w:lang w:val="sr-Latn-ME"/>
        </w:rPr>
        <w:t xml:space="preserve">. </w:t>
      </w:r>
    </w:p>
    <w:p w14:paraId="3C2C0BF7" w14:textId="77777777" w:rsidR="00B73F2A" w:rsidRPr="00BD78F9" w:rsidRDefault="00B73F2A" w:rsidP="006B32D6">
      <w:pPr>
        <w:tabs>
          <w:tab w:val="left" w:pos="284"/>
        </w:tabs>
        <w:jc w:val="both"/>
        <w:rPr>
          <w:sz w:val="22"/>
          <w:szCs w:val="22"/>
          <w:lang w:val="sr-Latn-ME"/>
        </w:rPr>
      </w:pPr>
    </w:p>
    <w:p w14:paraId="00D3C951" w14:textId="546BB1F5" w:rsidR="00B73F2A" w:rsidRPr="00BD78F9" w:rsidRDefault="00B73F2A" w:rsidP="007019B9">
      <w:pPr>
        <w:tabs>
          <w:tab w:val="left" w:pos="284"/>
        </w:tabs>
        <w:jc w:val="both"/>
        <w:rPr>
          <w:sz w:val="22"/>
          <w:szCs w:val="22"/>
          <w:lang w:val="sr-Latn-ME"/>
        </w:rPr>
      </w:pPr>
      <w:r w:rsidRPr="00BD78F9">
        <w:rPr>
          <w:sz w:val="22"/>
          <w:szCs w:val="22"/>
          <w:lang w:val="sr-Latn-ME"/>
        </w:rPr>
        <w:t xml:space="preserve">Aktivacijom </w:t>
      </w:r>
      <w:r w:rsidR="007019B9" w:rsidRPr="00BD78F9">
        <w:rPr>
          <w:sz w:val="22"/>
          <w:szCs w:val="22"/>
          <w:lang w:val="sr-Latn-ME"/>
        </w:rPr>
        <w:t xml:space="preserve">inhalatora lijeka </w:t>
      </w:r>
      <w:r w:rsidRPr="00BD78F9">
        <w:rPr>
          <w:sz w:val="22"/>
          <w:szCs w:val="22"/>
          <w:lang w:val="sr-Latn-ME"/>
        </w:rPr>
        <w:t xml:space="preserve">Trixeo Aerosphere iz posude pod pritiskom oslobađa se određena zapremina suspenzije. Kada pacijent udahne kroz nastavak za usta </w:t>
      </w:r>
      <w:r w:rsidR="004D0E29" w:rsidRPr="00BD78F9">
        <w:rPr>
          <w:sz w:val="22"/>
          <w:szCs w:val="22"/>
          <w:lang w:val="sr-Latn-ME"/>
        </w:rPr>
        <w:t>istovremeno</w:t>
      </w:r>
      <w:r w:rsidRPr="00BD78F9">
        <w:rPr>
          <w:sz w:val="22"/>
          <w:szCs w:val="22"/>
          <w:lang w:val="sr-Latn-ME"/>
        </w:rPr>
        <w:t xml:space="preserve"> kada aktivira inhalator, </w:t>
      </w:r>
      <w:r w:rsidR="004D0E29" w:rsidRPr="00BD78F9">
        <w:rPr>
          <w:sz w:val="22"/>
          <w:szCs w:val="22"/>
          <w:lang w:val="sr-Latn-ME"/>
        </w:rPr>
        <w:t xml:space="preserve">lijek </w:t>
      </w:r>
      <w:r w:rsidRPr="00BD78F9">
        <w:rPr>
          <w:sz w:val="22"/>
          <w:szCs w:val="22"/>
          <w:lang w:val="sr-Latn-ME"/>
        </w:rPr>
        <w:t xml:space="preserve">će zajedno sa udahnutim vazduhom ući u disajne puteve. </w:t>
      </w:r>
    </w:p>
    <w:p w14:paraId="57DEDFF2" w14:textId="77777777" w:rsidR="00B73F2A" w:rsidRPr="00BD78F9" w:rsidRDefault="00B73F2A" w:rsidP="00A52822">
      <w:pPr>
        <w:tabs>
          <w:tab w:val="left" w:pos="284"/>
        </w:tabs>
        <w:jc w:val="both"/>
        <w:rPr>
          <w:sz w:val="22"/>
          <w:szCs w:val="22"/>
          <w:lang w:val="sr-Latn-ME"/>
        </w:rPr>
      </w:pPr>
    </w:p>
    <w:p w14:paraId="5B4FFA3E" w14:textId="5FA86F44" w:rsidR="00B73F2A" w:rsidRPr="00BD78F9" w:rsidRDefault="00B73F2A">
      <w:pPr>
        <w:tabs>
          <w:tab w:val="left" w:pos="284"/>
        </w:tabs>
        <w:jc w:val="both"/>
        <w:rPr>
          <w:noProof/>
          <w:sz w:val="22"/>
          <w:szCs w:val="22"/>
          <w:lang w:val="sr-Latn-ME"/>
        </w:rPr>
      </w:pPr>
      <w:r w:rsidRPr="00BD78F9">
        <w:rPr>
          <w:sz w:val="22"/>
          <w:lang w:val="sr-Latn-ME"/>
        </w:rPr>
        <w:t>Pacijenti koji imaju poteškoća sa usklađivanjem potisaka i udisaja mogu da prim</w:t>
      </w:r>
      <w:r w:rsidR="004D0E29" w:rsidRPr="00BD78F9">
        <w:rPr>
          <w:sz w:val="22"/>
          <w:lang w:val="sr-Latn-ME"/>
        </w:rPr>
        <w:t>j</w:t>
      </w:r>
      <w:r w:rsidRPr="00BD78F9">
        <w:rPr>
          <w:sz w:val="22"/>
          <w:lang w:val="sr-Latn-ME"/>
        </w:rPr>
        <w:t xml:space="preserve">enjuju </w:t>
      </w:r>
      <w:r w:rsidR="007019B9" w:rsidRPr="00BD78F9">
        <w:rPr>
          <w:sz w:val="22"/>
          <w:lang w:val="sr-Latn-ME"/>
        </w:rPr>
        <w:t xml:space="preserve">lijek </w:t>
      </w:r>
      <w:r w:rsidRPr="00BD78F9">
        <w:rPr>
          <w:sz w:val="22"/>
          <w:szCs w:val="22"/>
          <w:lang w:val="sr-Latn-ME"/>
        </w:rPr>
        <w:t>Trixeo Aerosphere</w:t>
      </w:r>
      <w:r w:rsidRPr="00BD78F9">
        <w:rPr>
          <w:sz w:val="22"/>
          <w:lang w:val="sr-Latn-ME"/>
        </w:rPr>
        <w:t xml:space="preserve"> pomoću komore za inhalaciju kako bi </w:t>
      </w:r>
      <w:r w:rsidR="007019B9" w:rsidRPr="00BD78F9">
        <w:rPr>
          <w:sz w:val="22"/>
          <w:lang w:val="sr-Latn-ME"/>
        </w:rPr>
        <w:t xml:space="preserve">obezbjedili </w:t>
      </w:r>
      <w:r w:rsidRPr="00BD78F9">
        <w:rPr>
          <w:sz w:val="22"/>
          <w:lang w:val="sr-Latn-ME"/>
        </w:rPr>
        <w:t>pravilnu prim</w:t>
      </w:r>
      <w:r w:rsidR="007019B9" w:rsidRPr="00BD78F9">
        <w:rPr>
          <w:sz w:val="22"/>
          <w:lang w:val="sr-Latn-ME"/>
        </w:rPr>
        <w:t>j</w:t>
      </w:r>
      <w:r w:rsidRPr="00BD78F9">
        <w:rPr>
          <w:sz w:val="22"/>
          <w:lang w:val="sr-Latn-ME"/>
        </w:rPr>
        <w:t>enu l</w:t>
      </w:r>
      <w:r w:rsidR="004D0E29" w:rsidRPr="00BD78F9">
        <w:rPr>
          <w:sz w:val="22"/>
          <w:lang w:val="sr-Latn-ME"/>
        </w:rPr>
        <w:t>ij</w:t>
      </w:r>
      <w:r w:rsidRPr="00BD78F9">
        <w:rPr>
          <w:sz w:val="22"/>
          <w:lang w:val="sr-Latn-ME"/>
        </w:rPr>
        <w:t xml:space="preserve">eka. </w:t>
      </w:r>
      <w:r w:rsidR="007019B9" w:rsidRPr="00BD78F9">
        <w:rPr>
          <w:sz w:val="22"/>
          <w:lang w:val="sr-Latn-ME"/>
        </w:rPr>
        <w:t xml:space="preserve">Lijek </w:t>
      </w:r>
      <w:r w:rsidRPr="00BD78F9">
        <w:rPr>
          <w:sz w:val="22"/>
          <w:lang w:val="sr-Latn-ME"/>
        </w:rPr>
        <w:t>Trixeo Aerosphere se može koristiti sa komorama za inhalaciju uključujući Aerochamber Plus Flow-Vu (</w:t>
      </w:r>
      <w:r w:rsidR="004D0E29" w:rsidRPr="00BD78F9">
        <w:rPr>
          <w:sz w:val="22"/>
          <w:lang w:val="sr-Latn-ME"/>
        </w:rPr>
        <w:t>vidjeti</w:t>
      </w:r>
      <w:r w:rsidRPr="00BD78F9">
        <w:rPr>
          <w:sz w:val="22"/>
          <w:lang w:val="sr-Latn-ME"/>
        </w:rPr>
        <w:t xml:space="preserve"> </w:t>
      </w:r>
      <w:r w:rsidR="004D0E29" w:rsidRPr="00BD78F9">
        <w:rPr>
          <w:sz w:val="22"/>
          <w:lang w:val="sr-Latn-ME"/>
        </w:rPr>
        <w:t>odjeljak</w:t>
      </w:r>
      <w:r w:rsidRPr="00BD78F9">
        <w:rPr>
          <w:sz w:val="22"/>
          <w:lang w:val="sr-Latn-ME"/>
        </w:rPr>
        <w:t xml:space="preserve"> 5.2).</w:t>
      </w:r>
    </w:p>
    <w:p w14:paraId="7BAE465C" w14:textId="77777777" w:rsidR="00B73F2A" w:rsidRPr="00BD78F9" w:rsidRDefault="00B73F2A">
      <w:pPr>
        <w:tabs>
          <w:tab w:val="left" w:pos="284"/>
        </w:tabs>
        <w:jc w:val="both"/>
        <w:rPr>
          <w:sz w:val="22"/>
          <w:u w:val="single"/>
          <w:lang w:val="sr-Latn-ME"/>
        </w:rPr>
      </w:pPr>
    </w:p>
    <w:p w14:paraId="2DD0846F" w14:textId="542EF39C" w:rsidR="00411B4B" w:rsidRPr="00BD78F9" w:rsidRDefault="00411B4B" w:rsidP="00271855">
      <w:pPr>
        <w:tabs>
          <w:tab w:val="left" w:pos="540"/>
          <w:tab w:val="left" w:pos="569"/>
        </w:tabs>
        <w:jc w:val="both"/>
        <w:rPr>
          <w:b/>
          <w:bCs/>
          <w:sz w:val="22"/>
          <w:szCs w:val="22"/>
          <w:lang w:val="sr-Latn-ME"/>
        </w:rPr>
      </w:pPr>
      <w:r w:rsidRPr="00BD78F9">
        <w:rPr>
          <w:b/>
          <w:bCs/>
          <w:sz w:val="22"/>
          <w:szCs w:val="22"/>
          <w:lang w:val="sr-Latn-ME"/>
        </w:rPr>
        <w:t xml:space="preserve">4.3. </w:t>
      </w:r>
      <w:r w:rsidR="00480FB1" w:rsidRPr="00BD78F9">
        <w:rPr>
          <w:b/>
          <w:bCs/>
          <w:sz w:val="22"/>
          <w:szCs w:val="22"/>
          <w:lang w:val="sr-Latn-ME"/>
        </w:rPr>
        <w:tab/>
      </w:r>
      <w:r w:rsidRPr="00BD78F9">
        <w:rPr>
          <w:b/>
          <w:bCs/>
          <w:sz w:val="22"/>
          <w:szCs w:val="22"/>
          <w:lang w:val="sr-Latn-ME"/>
        </w:rPr>
        <w:t>Kontraindikacije</w:t>
      </w:r>
    </w:p>
    <w:p w14:paraId="28448AF4" w14:textId="77777777" w:rsidR="00B73F2A" w:rsidRPr="00BD78F9" w:rsidRDefault="00B73F2A" w:rsidP="00271855">
      <w:pPr>
        <w:tabs>
          <w:tab w:val="left" w:pos="540"/>
          <w:tab w:val="left" w:pos="569"/>
        </w:tabs>
        <w:jc w:val="both"/>
        <w:rPr>
          <w:b/>
          <w:bCs/>
          <w:sz w:val="22"/>
          <w:szCs w:val="22"/>
          <w:lang w:val="sr-Latn-ME"/>
        </w:rPr>
      </w:pPr>
    </w:p>
    <w:p w14:paraId="61908548" w14:textId="5BC15FF1" w:rsidR="00B73F2A" w:rsidRPr="00BD78F9" w:rsidRDefault="00B73F2A" w:rsidP="00107A30">
      <w:pPr>
        <w:tabs>
          <w:tab w:val="left" w:pos="284"/>
        </w:tabs>
        <w:jc w:val="both"/>
        <w:rPr>
          <w:sz w:val="22"/>
          <w:szCs w:val="22"/>
          <w:lang w:val="sr-Latn-ME"/>
        </w:rPr>
      </w:pPr>
      <w:r w:rsidRPr="00BD78F9">
        <w:rPr>
          <w:sz w:val="22"/>
          <w:szCs w:val="22"/>
          <w:lang w:val="sr-Latn-ME"/>
        </w:rPr>
        <w:t>Preos</w:t>
      </w:r>
      <w:r w:rsidR="004D0E29" w:rsidRPr="00BD78F9">
        <w:rPr>
          <w:sz w:val="22"/>
          <w:szCs w:val="22"/>
          <w:lang w:val="sr-Latn-ME"/>
        </w:rPr>
        <w:t>j</w:t>
      </w:r>
      <w:r w:rsidRPr="00BD78F9">
        <w:rPr>
          <w:sz w:val="22"/>
          <w:szCs w:val="22"/>
          <w:lang w:val="sr-Latn-ME"/>
        </w:rPr>
        <w:t>etljivost na aktivne supstance ili bilo koju od pomoćnih supstanci navedenih u od</w:t>
      </w:r>
      <w:r w:rsidR="007019B9" w:rsidRPr="00BD78F9">
        <w:rPr>
          <w:sz w:val="22"/>
          <w:szCs w:val="22"/>
          <w:lang w:val="sr-Latn-ME"/>
        </w:rPr>
        <w:t>j</w:t>
      </w:r>
      <w:r w:rsidRPr="00BD78F9">
        <w:rPr>
          <w:sz w:val="22"/>
          <w:szCs w:val="22"/>
          <w:lang w:val="sr-Latn-ME"/>
        </w:rPr>
        <w:t>eljku 6.1.</w:t>
      </w:r>
    </w:p>
    <w:p w14:paraId="33756A9F" w14:textId="77777777" w:rsidR="0072020E" w:rsidRPr="00BD78F9" w:rsidRDefault="0072020E" w:rsidP="00271855">
      <w:pPr>
        <w:tabs>
          <w:tab w:val="left" w:pos="540"/>
          <w:tab w:val="left" w:pos="569"/>
        </w:tabs>
        <w:jc w:val="both"/>
        <w:rPr>
          <w:bCs/>
          <w:sz w:val="22"/>
          <w:szCs w:val="22"/>
          <w:lang w:val="sr-Latn-ME"/>
        </w:rPr>
      </w:pPr>
    </w:p>
    <w:p w14:paraId="3A881680" w14:textId="5863C352" w:rsidR="00411B4B" w:rsidRPr="00BD78F9" w:rsidRDefault="00411B4B" w:rsidP="00271855">
      <w:pPr>
        <w:tabs>
          <w:tab w:val="left" w:pos="540"/>
          <w:tab w:val="left" w:pos="569"/>
        </w:tabs>
        <w:jc w:val="both"/>
        <w:rPr>
          <w:b/>
          <w:bCs/>
          <w:sz w:val="22"/>
          <w:szCs w:val="22"/>
          <w:lang w:val="sr-Latn-ME"/>
        </w:rPr>
      </w:pPr>
      <w:r w:rsidRPr="00BD78F9">
        <w:rPr>
          <w:b/>
          <w:bCs/>
          <w:sz w:val="22"/>
          <w:szCs w:val="22"/>
          <w:lang w:val="sr-Latn-ME"/>
        </w:rPr>
        <w:t xml:space="preserve">4.4. </w:t>
      </w:r>
      <w:r w:rsidR="00480FB1" w:rsidRPr="00BD78F9">
        <w:rPr>
          <w:b/>
          <w:bCs/>
          <w:sz w:val="22"/>
          <w:szCs w:val="22"/>
          <w:lang w:val="sr-Latn-ME"/>
        </w:rPr>
        <w:tab/>
      </w:r>
      <w:r w:rsidRPr="00BD78F9">
        <w:rPr>
          <w:b/>
          <w:bCs/>
          <w:sz w:val="22"/>
          <w:szCs w:val="22"/>
          <w:lang w:val="sr-Latn-ME"/>
        </w:rPr>
        <w:t>Posebna upozorenja i mjere opreza pri upotrebi lijeka</w:t>
      </w:r>
    </w:p>
    <w:p w14:paraId="06490113" w14:textId="39BAF90A" w:rsidR="00B73F2A" w:rsidRPr="00BD78F9" w:rsidRDefault="00B73F2A" w:rsidP="00271855">
      <w:pPr>
        <w:tabs>
          <w:tab w:val="left" w:pos="540"/>
          <w:tab w:val="left" w:pos="569"/>
        </w:tabs>
        <w:jc w:val="both"/>
        <w:rPr>
          <w:b/>
          <w:bCs/>
          <w:sz w:val="22"/>
          <w:szCs w:val="22"/>
          <w:lang w:val="sr-Latn-ME"/>
        </w:rPr>
      </w:pPr>
    </w:p>
    <w:p w14:paraId="33BDDA2F" w14:textId="77777777" w:rsidR="00B73F2A" w:rsidRPr="00BD78F9" w:rsidRDefault="00B73F2A" w:rsidP="000A71FF">
      <w:pPr>
        <w:tabs>
          <w:tab w:val="left" w:pos="284"/>
        </w:tabs>
        <w:jc w:val="both"/>
        <w:rPr>
          <w:rFonts w:eastAsia="SimSun"/>
          <w:sz w:val="22"/>
          <w:szCs w:val="22"/>
          <w:u w:val="single"/>
          <w:lang w:val="sr-Latn-ME"/>
        </w:rPr>
      </w:pPr>
      <w:r w:rsidRPr="00BD78F9">
        <w:rPr>
          <w:rFonts w:eastAsia="SimSun"/>
          <w:sz w:val="22"/>
          <w:szCs w:val="22"/>
          <w:u w:val="single"/>
          <w:lang w:val="sr-Latn-ME"/>
        </w:rPr>
        <w:t>Nije za akutnu upotrebu</w:t>
      </w:r>
    </w:p>
    <w:p w14:paraId="54F0C4E1" w14:textId="77777777" w:rsidR="00B73F2A" w:rsidRPr="00BD78F9" w:rsidRDefault="00B73F2A" w:rsidP="00271855">
      <w:pPr>
        <w:tabs>
          <w:tab w:val="left" w:pos="540"/>
          <w:tab w:val="left" w:pos="569"/>
        </w:tabs>
        <w:jc w:val="both"/>
        <w:rPr>
          <w:b/>
          <w:bCs/>
          <w:sz w:val="22"/>
          <w:szCs w:val="22"/>
          <w:lang w:val="sr-Latn-ME"/>
        </w:rPr>
      </w:pPr>
    </w:p>
    <w:p w14:paraId="7D3D0BA1" w14:textId="6E5037CF" w:rsidR="00B73F2A" w:rsidRPr="00BD78F9" w:rsidRDefault="00B73F2A" w:rsidP="000A71FF">
      <w:pPr>
        <w:tabs>
          <w:tab w:val="left" w:pos="284"/>
        </w:tabs>
        <w:jc w:val="both"/>
        <w:rPr>
          <w:rFonts w:eastAsia="TimesNewRoman"/>
          <w:sz w:val="22"/>
          <w:szCs w:val="22"/>
          <w:lang w:val="sr-Latn-ME"/>
        </w:rPr>
      </w:pPr>
      <w:r w:rsidRPr="00BD78F9">
        <w:rPr>
          <w:sz w:val="22"/>
          <w:szCs w:val="22"/>
          <w:lang w:val="sr-Latn-ME"/>
        </w:rPr>
        <w:t xml:space="preserve">Ovaj </w:t>
      </w:r>
      <w:r w:rsidR="004D0E29" w:rsidRPr="00BD78F9">
        <w:rPr>
          <w:sz w:val="22"/>
          <w:szCs w:val="22"/>
          <w:lang w:val="sr-Latn-ME"/>
        </w:rPr>
        <w:t xml:space="preserve">lijek </w:t>
      </w:r>
      <w:r w:rsidRPr="00BD78F9">
        <w:rPr>
          <w:sz w:val="22"/>
          <w:szCs w:val="22"/>
          <w:lang w:val="sr-Latn-ME"/>
        </w:rPr>
        <w:t>nije indikovan za l</w:t>
      </w:r>
      <w:r w:rsidR="004D0E29" w:rsidRPr="00BD78F9">
        <w:rPr>
          <w:sz w:val="22"/>
          <w:szCs w:val="22"/>
          <w:lang w:val="sr-Latn-ME"/>
        </w:rPr>
        <w:t>ij</w:t>
      </w:r>
      <w:r w:rsidRPr="00BD78F9">
        <w:rPr>
          <w:sz w:val="22"/>
          <w:szCs w:val="22"/>
          <w:lang w:val="sr-Latn-ME"/>
        </w:rPr>
        <w:t>ečenje akutnih epizoda bronhospazma, tj. kao terapija za hitno ublažavanje simptoma.</w:t>
      </w:r>
    </w:p>
    <w:p w14:paraId="29F413A2" w14:textId="77777777" w:rsidR="00B73F2A" w:rsidRPr="00BD78F9" w:rsidRDefault="00B73F2A" w:rsidP="00107A30">
      <w:pPr>
        <w:tabs>
          <w:tab w:val="left" w:pos="284"/>
        </w:tabs>
        <w:jc w:val="both"/>
        <w:rPr>
          <w:rFonts w:eastAsia="TimesNewRoman"/>
          <w:sz w:val="22"/>
          <w:szCs w:val="22"/>
          <w:lang w:val="sr-Latn-ME"/>
        </w:rPr>
      </w:pPr>
    </w:p>
    <w:p w14:paraId="13A1E6E0" w14:textId="77777777" w:rsidR="00B73F2A" w:rsidRPr="00BD78F9" w:rsidRDefault="00B73F2A" w:rsidP="007019B9">
      <w:pPr>
        <w:tabs>
          <w:tab w:val="left" w:pos="284"/>
        </w:tabs>
        <w:jc w:val="both"/>
        <w:rPr>
          <w:rFonts w:eastAsia="SimSun"/>
          <w:sz w:val="22"/>
          <w:szCs w:val="22"/>
          <w:u w:val="single"/>
          <w:lang w:val="sr-Latn-ME"/>
        </w:rPr>
      </w:pPr>
      <w:r w:rsidRPr="00BD78F9">
        <w:rPr>
          <w:rFonts w:eastAsia="SimSun"/>
          <w:sz w:val="22"/>
          <w:szCs w:val="22"/>
          <w:u w:val="single"/>
          <w:lang w:val="sr-Latn-ME"/>
        </w:rPr>
        <w:t>Paradoksalni bronhospazam</w:t>
      </w:r>
    </w:p>
    <w:p w14:paraId="4522DB9E" w14:textId="77777777" w:rsidR="00B73F2A" w:rsidRPr="00BD78F9" w:rsidRDefault="00B73F2A" w:rsidP="00A52822">
      <w:pPr>
        <w:tabs>
          <w:tab w:val="left" w:pos="284"/>
        </w:tabs>
        <w:jc w:val="both"/>
        <w:rPr>
          <w:rFonts w:eastAsia="TimesNewRoman"/>
          <w:sz w:val="22"/>
          <w:szCs w:val="22"/>
          <w:lang w:val="sr-Latn-ME"/>
        </w:rPr>
      </w:pPr>
    </w:p>
    <w:p w14:paraId="655017BC" w14:textId="34D47ED4" w:rsidR="00B73F2A" w:rsidRPr="00BD78F9" w:rsidRDefault="004D0E29">
      <w:pPr>
        <w:tabs>
          <w:tab w:val="left" w:pos="284"/>
        </w:tabs>
        <w:jc w:val="both"/>
        <w:rPr>
          <w:sz w:val="22"/>
          <w:szCs w:val="22"/>
          <w:lang w:val="sr-Latn-ME"/>
        </w:rPr>
      </w:pPr>
      <w:r w:rsidRPr="00BD78F9">
        <w:rPr>
          <w:sz w:val="22"/>
          <w:szCs w:val="22"/>
          <w:lang w:val="sr-Latn-ME"/>
        </w:rPr>
        <w:lastRenderedPageBreak/>
        <w:t>Primjena</w:t>
      </w:r>
      <w:r w:rsidR="00B73F2A" w:rsidRPr="00BD78F9">
        <w:rPr>
          <w:sz w:val="22"/>
          <w:szCs w:val="22"/>
          <w:lang w:val="sr-Latn-ME"/>
        </w:rPr>
        <w:t xml:space="preserve"> formoterola/glikopironijuma/budesonida može da uzrokuje paradoksalni bronhospazam praćen šištanjem pri disanju i gubitkom daha neposredno nakon prim</w:t>
      </w:r>
      <w:r w:rsidRPr="00BD78F9">
        <w:rPr>
          <w:sz w:val="22"/>
          <w:szCs w:val="22"/>
          <w:lang w:val="sr-Latn-ME"/>
        </w:rPr>
        <w:t>j</w:t>
      </w:r>
      <w:r w:rsidR="00B73F2A" w:rsidRPr="00BD78F9">
        <w:rPr>
          <w:sz w:val="22"/>
          <w:szCs w:val="22"/>
          <w:lang w:val="sr-Latn-ME"/>
        </w:rPr>
        <w:t xml:space="preserve">ene, što može biti opasno po život. </w:t>
      </w:r>
      <w:r w:rsidRPr="00BD78F9">
        <w:rPr>
          <w:sz w:val="22"/>
          <w:szCs w:val="22"/>
          <w:lang w:val="sr-Latn-ME"/>
        </w:rPr>
        <w:t>Liječenje</w:t>
      </w:r>
      <w:r w:rsidR="00B73F2A" w:rsidRPr="00BD78F9">
        <w:rPr>
          <w:sz w:val="22"/>
          <w:szCs w:val="22"/>
          <w:lang w:val="sr-Latn-ME"/>
        </w:rPr>
        <w:t xml:space="preserve"> ovim l</w:t>
      </w:r>
      <w:r w:rsidRPr="00BD78F9">
        <w:rPr>
          <w:sz w:val="22"/>
          <w:szCs w:val="22"/>
          <w:lang w:val="sr-Latn-ME"/>
        </w:rPr>
        <w:t>ij</w:t>
      </w:r>
      <w:r w:rsidR="00B73F2A" w:rsidRPr="00BD78F9">
        <w:rPr>
          <w:sz w:val="22"/>
          <w:szCs w:val="22"/>
          <w:lang w:val="sr-Latn-ME"/>
        </w:rPr>
        <w:t>ekom</w:t>
      </w:r>
      <w:r w:rsidR="00B73F2A" w:rsidRPr="00BD78F9">
        <w:rPr>
          <w:sz w:val="22"/>
          <w:lang w:val="sr-Latn-ME"/>
        </w:rPr>
        <w:t xml:space="preserve"> </w:t>
      </w:r>
      <w:r w:rsidR="00B73F2A" w:rsidRPr="00BD78F9">
        <w:rPr>
          <w:sz w:val="22"/>
          <w:szCs w:val="22"/>
          <w:lang w:val="sr-Latn-ME"/>
        </w:rPr>
        <w:t>treba prekinuti odmah ukoliko se javi paradoksalni bronhospazam. Treba proc</w:t>
      </w:r>
      <w:r w:rsidRPr="00BD78F9">
        <w:rPr>
          <w:sz w:val="22"/>
          <w:szCs w:val="22"/>
          <w:lang w:val="sr-Latn-ME"/>
        </w:rPr>
        <w:t>ij</w:t>
      </w:r>
      <w:r w:rsidR="00B73F2A" w:rsidRPr="00BD78F9">
        <w:rPr>
          <w:sz w:val="22"/>
          <w:szCs w:val="22"/>
          <w:lang w:val="sr-Latn-ME"/>
        </w:rPr>
        <w:t>eniti stanje pacijenta i po potrebi uvesti neku drugu terapiju.</w:t>
      </w:r>
    </w:p>
    <w:p w14:paraId="4CAB713F" w14:textId="77777777" w:rsidR="00B73F2A" w:rsidRPr="00BD78F9" w:rsidRDefault="00B73F2A">
      <w:pPr>
        <w:tabs>
          <w:tab w:val="left" w:pos="284"/>
        </w:tabs>
        <w:jc w:val="both"/>
        <w:rPr>
          <w:rFonts w:eastAsia="SimSun"/>
          <w:sz w:val="22"/>
          <w:szCs w:val="22"/>
          <w:lang w:val="sr-Latn-ME"/>
        </w:rPr>
      </w:pPr>
    </w:p>
    <w:p w14:paraId="68245194" w14:textId="77777777" w:rsidR="00B73F2A" w:rsidRPr="00BD78F9" w:rsidRDefault="00B73F2A">
      <w:pPr>
        <w:tabs>
          <w:tab w:val="left" w:pos="284"/>
        </w:tabs>
        <w:autoSpaceDE w:val="0"/>
        <w:autoSpaceDN w:val="0"/>
        <w:adjustRightInd w:val="0"/>
        <w:jc w:val="both"/>
        <w:rPr>
          <w:rFonts w:eastAsia="SimSun"/>
          <w:color w:val="000000"/>
          <w:sz w:val="22"/>
          <w:szCs w:val="22"/>
          <w:u w:val="single"/>
          <w:lang w:val="sr-Latn-ME"/>
        </w:rPr>
      </w:pPr>
      <w:r w:rsidRPr="00BD78F9">
        <w:rPr>
          <w:rFonts w:eastAsia="SimSun"/>
          <w:color w:val="000000"/>
          <w:sz w:val="22"/>
          <w:szCs w:val="22"/>
          <w:u w:val="single"/>
          <w:lang w:val="sr-Latn-ME"/>
        </w:rPr>
        <w:t>Pogoršanje bolesti</w:t>
      </w:r>
    </w:p>
    <w:p w14:paraId="545A96D9" w14:textId="77777777" w:rsidR="00B73F2A" w:rsidRPr="00BD78F9" w:rsidRDefault="00B73F2A">
      <w:pPr>
        <w:tabs>
          <w:tab w:val="left" w:pos="284"/>
        </w:tabs>
        <w:jc w:val="both"/>
        <w:rPr>
          <w:color w:val="000000"/>
          <w:sz w:val="22"/>
          <w:szCs w:val="22"/>
          <w:lang w:val="sr-Latn-ME"/>
        </w:rPr>
      </w:pPr>
    </w:p>
    <w:p w14:paraId="3259D4E1" w14:textId="70AB52CE" w:rsidR="00B73F2A" w:rsidRPr="00BD78F9" w:rsidRDefault="00B73F2A">
      <w:pPr>
        <w:tabs>
          <w:tab w:val="left" w:pos="284"/>
        </w:tabs>
        <w:jc w:val="both"/>
        <w:rPr>
          <w:rFonts w:eastAsia="TimesNewRoman"/>
          <w:sz w:val="22"/>
          <w:szCs w:val="22"/>
          <w:lang w:val="sr-Latn-ME"/>
        </w:rPr>
      </w:pPr>
      <w:r w:rsidRPr="00BD78F9">
        <w:rPr>
          <w:color w:val="000000"/>
          <w:sz w:val="22"/>
          <w:szCs w:val="22"/>
          <w:lang w:val="sr-Latn-ME"/>
        </w:rPr>
        <w:t xml:space="preserve">Ne preporučuje se </w:t>
      </w:r>
      <w:r w:rsidRPr="00BD78F9">
        <w:rPr>
          <w:sz w:val="22"/>
          <w:szCs w:val="22"/>
          <w:lang w:val="sr-Latn-ME"/>
        </w:rPr>
        <w:t>nagli prekid l</w:t>
      </w:r>
      <w:r w:rsidR="004D0E29" w:rsidRPr="00BD78F9">
        <w:rPr>
          <w:sz w:val="22"/>
          <w:szCs w:val="22"/>
          <w:lang w:val="sr-Latn-ME"/>
        </w:rPr>
        <w:t>ij</w:t>
      </w:r>
      <w:r w:rsidRPr="00BD78F9">
        <w:rPr>
          <w:sz w:val="22"/>
          <w:szCs w:val="22"/>
          <w:lang w:val="sr-Latn-ME"/>
        </w:rPr>
        <w:t xml:space="preserve">ečenja </w:t>
      </w:r>
      <w:r w:rsidRPr="00BD78F9">
        <w:rPr>
          <w:color w:val="000000"/>
          <w:sz w:val="22"/>
          <w:szCs w:val="22"/>
          <w:lang w:val="sr-Latn-ME"/>
        </w:rPr>
        <w:t>ovim l</w:t>
      </w:r>
      <w:r w:rsidR="004D0E29" w:rsidRPr="00BD78F9">
        <w:rPr>
          <w:color w:val="000000"/>
          <w:sz w:val="22"/>
          <w:szCs w:val="22"/>
          <w:lang w:val="sr-Latn-ME"/>
        </w:rPr>
        <w:t>ij</w:t>
      </w:r>
      <w:r w:rsidRPr="00BD78F9">
        <w:rPr>
          <w:color w:val="000000"/>
          <w:sz w:val="22"/>
          <w:szCs w:val="22"/>
          <w:lang w:val="sr-Latn-ME"/>
        </w:rPr>
        <w:t xml:space="preserve">ekom. Ako pacijenti smatraju da </w:t>
      </w:r>
      <w:r w:rsidR="004D0E29" w:rsidRPr="00BD78F9">
        <w:rPr>
          <w:color w:val="000000"/>
          <w:sz w:val="22"/>
          <w:szCs w:val="22"/>
          <w:lang w:val="sr-Latn-ME"/>
        </w:rPr>
        <w:t>liječenje</w:t>
      </w:r>
      <w:r w:rsidRPr="00BD78F9">
        <w:rPr>
          <w:color w:val="000000"/>
          <w:sz w:val="22"/>
          <w:szCs w:val="22"/>
          <w:lang w:val="sr-Latn-ME"/>
        </w:rPr>
        <w:t xml:space="preserve"> nije </w:t>
      </w:r>
      <w:r w:rsidR="007019B9" w:rsidRPr="00BD78F9">
        <w:rPr>
          <w:color w:val="000000"/>
          <w:sz w:val="22"/>
          <w:szCs w:val="22"/>
          <w:lang w:val="sr-Latn-ME"/>
        </w:rPr>
        <w:t>efikasno</w:t>
      </w:r>
      <w:r w:rsidRPr="00BD78F9">
        <w:rPr>
          <w:color w:val="000000"/>
          <w:sz w:val="22"/>
          <w:szCs w:val="22"/>
          <w:lang w:val="sr-Latn-ME"/>
        </w:rPr>
        <w:t>, treba da nastave sa prim</w:t>
      </w:r>
      <w:r w:rsidR="007019B9" w:rsidRPr="00BD78F9">
        <w:rPr>
          <w:color w:val="000000"/>
          <w:sz w:val="22"/>
          <w:szCs w:val="22"/>
          <w:lang w:val="sr-Latn-ME"/>
        </w:rPr>
        <w:t>j</w:t>
      </w:r>
      <w:r w:rsidRPr="00BD78F9">
        <w:rPr>
          <w:color w:val="000000"/>
          <w:sz w:val="22"/>
          <w:szCs w:val="22"/>
          <w:lang w:val="sr-Latn-ME"/>
        </w:rPr>
        <w:t>enom l</w:t>
      </w:r>
      <w:r w:rsidR="004D0E29" w:rsidRPr="00BD78F9">
        <w:rPr>
          <w:color w:val="000000"/>
          <w:sz w:val="22"/>
          <w:szCs w:val="22"/>
          <w:lang w:val="sr-Latn-ME"/>
        </w:rPr>
        <w:t>ij</w:t>
      </w:r>
      <w:r w:rsidRPr="00BD78F9">
        <w:rPr>
          <w:color w:val="000000"/>
          <w:sz w:val="22"/>
          <w:szCs w:val="22"/>
          <w:lang w:val="sr-Latn-ME"/>
        </w:rPr>
        <w:t>eka, ali moraju da potraže pomoć l</w:t>
      </w:r>
      <w:r w:rsidR="004D0E29" w:rsidRPr="00BD78F9">
        <w:rPr>
          <w:color w:val="000000"/>
          <w:sz w:val="22"/>
          <w:szCs w:val="22"/>
          <w:lang w:val="sr-Latn-ME"/>
        </w:rPr>
        <w:t>j</w:t>
      </w:r>
      <w:r w:rsidRPr="00BD78F9">
        <w:rPr>
          <w:color w:val="000000"/>
          <w:sz w:val="22"/>
          <w:szCs w:val="22"/>
          <w:lang w:val="sr-Latn-ME"/>
        </w:rPr>
        <w:t>ekara. Povećana upotreba bronhodilatatora za hitno ublažavanje simptoma ukazuje na pogoršanje osnovnog stanja i zaht</w:t>
      </w:r>
      <w:r w:rsidR="007019B9" w:rsidRPr="00BD78F9">
        <w:rPr>
          <w:color w:val="000000"/>
          <w:sz w:val="22"/>
          <w:szCs w:val="22"/>
          <w:lang w:val="sr-Latn-ME"/>
        </w:rPr>
        <w:t>ij</w:t>
      </w:r>
      <w:r w:rsidRPr="00BD78F9">
        <w:rPr>
          <w:color w:val="000000"/>
          <w:sz w:val="22"/>
          <w:szCs w:val="22"/>
          <w:lang w:val="sr-Latn-ME"/>
        </w:rPr>
        <w:t>eva ponovnu proc</w:t>
      </w:r>
      <w:r w:rsidR="004D0E29" w:rsidRPr="00BD78F9">
        <w:rPr>
          <w:color w:val="000000"/>
          <w:sz w:val="22"/>
          <w:szCs w:val="22"/>
          <w:lang w:val="sr-Latn-ME"/>
        </w:rPr>
        <w:t>j</w:t>
      </w:r>
      <w:r w:rsidRPr="00BD78F9">
        <w:rPr>
          <w:color w:val="000000"/>
          <w:sz w:val="22"/>
          <w:szCs w:val="22"/>
          <w:lang w:val="sr-Latn-ME"/>
        </w:rPr>
        <w:t>enu terapije. Iznenadno i progresivno pogoršanje simptoma HOBP može biti opasno po život i zaht</w:t>
      </w:r>
      <w:r w:rsidR="007019B9" w:rsidRPr="00BD78F9">
        <w:rPr>
          <w:color w:val="000000"/>
          <w:sz w:val="22"/>
          <w:szCs w:val="22"/>
          <w:lang w:val="sr-Latn-ME"/>
        </w:rPr>
        <w:t>ij</w:t>
      </w:r>
      <w:r w:rsidRPr="00BD78F9">
        <w:rPr>
          <w:color w:val="000000"/>
          <w:sz w:val="22"/>
          <w:szCs w:val="22"/>
          <w:lang w:val="sr-Latn-ME"/>
        </w:rPr>
        <w:t>eva hitnu medicinsku proc</w:t>
      </w:r>
      <w:r w:rsidR="004D0E29" w:rsidRPr="00BD78F9">
        <w:rPr>
          <w:color w:val="000000"/>
          <w:sz w:val="22"/>
          <w:szCs w:val="22"/>
          <w:lang w:val="sr-Latn-ME"/>
        </w:rPr>
        <w:t>j</w:t>
      </w:r>
      <w:r w:rsidRPr="00BD78F9">
        <w:rPr>
          <w:color w:val="000000"/>
          <w:sz w:val="22"/>
          <w:szCs w:val="22"/>
          <w:lang w:val="sr-Latn-ME"/>
        </w:rPr>
        <w:t>enu pacijenta.</w:t>
      </w:r>
    </w:p>
    <w:p w14:paraId="3B48919B" w14:textId="77777777" w:rsidR="00B73F2A" w:rsidRPr="00BD78F9" w:rsidRDefault="00B73F2A">
      <w:pPr>
        <w:tabs>
          <w:tab w:val="left" w:pos="284"/>
        </w:tabs>
        <w:jc w:val="both"/>
        <w:rPr>
          <w:rFonts w:eastAsia="SimSun"/>
          <w:sz w:val="22"/>
          <w:szCs w:val="22"/>
          <w:lang w:val="sr-Latn-ME"/>
        </w:rPr>
      </w:pPr>
    </w:p>
    <w:p w14:paraId="6A06C74A" w14:textId="77777777" w:rsidR="00B73F2A" w:rsidRPr="00BD78F9" w:rsidRDefault="00B73F2A">
      <w:pPr>
        <w:tabs>
          <w:tab w:val="left" w:pos="284"/>
        </w:tabs>
        <w:jc w:val="both"/>
        <w:rPr>
          <w:rFonts w:eastAsia="SimSun"/>
          <w:sz w:val="22"/>
          <w:szCs w:val="22"/>
          <w:u w:val="single"/>
          <w:lang w:val="sr-Latn-ME"/>
        </w:rPr>
      </w:pPr>
      <w:r w:rsidRPr="00BD78F9">
        <w:rPr>
          <w:rFonts w:eastAsia="SimSun"/>
          <w:sz w:val="22"/>
          <w:szCs w:val="22"/>
          <w:u w:val="single"/>
          <w:lang w:val="sr-Latn-ME"/>
        </w:rPr>
        <w:t xml:space="preserve">Kardiovaskularni efekti </w:t>
      </w:r>
    </w:p>
    <w:p w14:paraId="211855E0" w14:textId="77777777" w:rsidR="00B73F2A" w:rsidRPr="00BD78F9" w:rsidRDefault="00B73F2A">
      <w:pPr>
        <w:tabs>
          <w:tab w:val="left" w:pos="284"/>
        </w:tabs>
        <w:jc w:val="both"/>
        <w:rPr>
          <w:rFonts w:eastAsia="TimesNewRoman"/>
          <w:sz w:val="22"/>
          <w:szCs w:val="22"/>
          <w:lang w:val="sr-Latn-ME"/>
        </w:rPr>
      </w:pPr>
    </w:p>
    <w:p w14:paraId="3DA32CBF" w14:textId="1BF61FA3" w:rsidR="00B73F2A" w:rsidRPr="00BD78F9" w:rsidRDefault="00B73F2A">
      <w:pPr>
        <w:tabs>
          <w:tab w:val="left" w:pos="284"/>
        </w:tabs>
        <w:jc w:val="both"/>
        <w:rPr>
          <w:rFonts w:eastAsia="TimesNewRoman"/>
          <w:sz w:val="22"/>
          <w:szCs w:val="22"/>
          <w:lang w:val="sr-Latn-ME"/>
        </w:rPr>
      </w:pPr>
      <w:r w:rsidRPr="00BD78F9">
        <w:rPr>
          <w:sz w:val="22"/>
          <w:szCs w:val="22"/>
          <w:lang w:val="sr-Latn-ME"/>
        </w:rPr>
        <w:t>Nakon prim</w:t>
      </w:r>
      <w:r w:rsidR="004D0E29" w:rsidRPr="00BD78F9">
        <w:rPr>
          <w:sz w:val="22"/>
          <w:szCs w:val="22"/>
          <w:lang w:val="sr-Latn-ME"/>
        </w:rPr>
        <w:t>j</w:t>
      </w:r>
      <w:r w:rsidRPr="00BD78F9">
        <w:rPr>
          <w:sz w:val="22"/>
          <w:szCs w:val="22"/>
          <w:lang w:val="sr-Latn-ME"/>
        </w:rPr>
        <w:t xml:space="preserve">ene antagonista muskarinskih receptora i simpatomimetika, uključujući glikopironijum i formoterol, mogu da nastupe kardiovaskularni efekti poput srčanih aritmija, npr. atrijalna fibrilacija i tahikardija. Ovaj </w:t>
      </w:r>
      <w:r w:rsidR="004D0E29" w:rsidRPr="00BD78F9">
        <w:rPr>
          <w:sz w:val="22"/>
          <w:szCs w:val="22"/>
          <w:lang w:val="sr-Latn-ME"/>
        </w:rPr>
        <w:t xml:space="preserve">lijek </w:t>
      </w:r>
      <w:r w:rsidRPr="00BD78F9">
        <w:rPr>
          <w:sz w:val="22"/>
          <w:lang w:val="sr-Latn-ME"/>
        </w:rPr>
        <w:t>treba prim</w:t>
      </w:r>
      <w:r w:rsidR="004D0E29" w:rsidRPr="00BD78F9">
        <w:rPr>
          <w:sz w:val="22"/>
          <w:lang w:val="sr-Latn-ME"/>
        </w:rPr>
        <w:t>j</w:t>
      </w:r>
      <w:r w:rsidRPr="00BD78F9">
        <w:rPr>
          <w:sz w:val="22"/>
          <w:lang w:val="sr-Latn-ME"/>
        </w:rPr>
        <w:t>enjivati uz oprez kod pacijenata sa klinički značajnim nekontrolisanim i teškim kardiovaskularnim bolestima, kao što su nestabilna ishemijska bolest srca, akutni infarkt miokarda, kardiomiopatija, srčane aritmije i teška srčana insuficijencija.</w:t>
      </w:r>
    </w:p>
    <w:p w14:paraId="37F861F8" w14:textId="77777777" w:rsidR="00B73F2A" w:rsidRPr="00BD78F9" w:rsidRDefault="00B73F2A">
      <w:pPr>
        <w:tabs>
          <w:tab w:val="left" w:pos="284"/>
        </w:tabs>
        <w:jc w:val="both"/>
        <w:rPr>
          <w:rFonts w:eastAsia="TimesNewRoman"/>
          <w:sz w:val="22"/>
          <w:szCs w:val="22"/>
          <w:lang w:val="sr-Latn-ME"/>
        </w:rPr>
      </w:pPr>
    </w:p>
    <w:p w14:paraId="4ED344FA" w14:textId="7794AA3C" w:rsidR="00B73F2A" w:rsidRPr="00BD78F9" w:rsidRDefault="00B73F2A">
      <w:pPr>
        <w:tabs>
          <w:tab w:val="left" w:pos="284"/>
        </w:tabs>
        <w:jc w:val="both"/>
        <w:rPr>
          <w:rFonts w:eastAsia="TimesNewRoman"/>
          <w:sz w:val="22"/>
          <w:szCs w:val="22"/>
          <w:lang w:val="sr-Latn-ME"/>
        </w:rPr>
      </w:pPr>
      <w:r w:rsidRPr="00BD78F9">
        <w:rPr>
          <w:sz w:val="22"/>
          <w:szCs w:val="22"/>
          <w:lang w:val="sr-Latn-ME"/>
        </w:rPr>
        <w:t>Potreban je oprez i pri l</w:t>
      </w:r>
      <w:r w:rsidR="004D0E29" w:rsidRPr="00BD78F9">
        <w:rPr>
          <w:sz w:val="22"/>
          <w:szCs w:val="22"/>
          <w:lang w:val="sr-Latn-ME"/>
        </w:rPr>
        <w:t>ij</w:t>
      </w:r>
      <w:r w:rsidRPr="00BD78F9">
        <w:rPr>
          <w:sz w:val="22"/>
          <w:szCs w:val="22"/>
          <w:lang w:val="sr-Latn-ME"/>
        </w:rPr>
        <w:t>ečenju pacijenata sa poznatim ili suspektnim produženjem QTc intervala (QTc &gt; 450 milisekundi za muškarce ili &gt; 470 milisekundi za žene), bilo da je to stanje urođeno ili uzrokovano dejstvom l</w:t>
      </w:r>
      <w:r w:rsidR="004D0E29" w:rsidRPr="00BD78F9">
        <w:rPr>
          <w:sz w:val="22"/>
          <w:szCs w:val="22"/>
          <w:lang w:val="sr-Latn-ME"/>
        </w:rPr>
        <w:t>j</w:t>
      </w:r>
      <w:r w:rsidRPr="00BD78F9">
        <w:rPr>
          <w:sz w:val="22"/>
          <w:szCs w:val="22"/>
          <w:lang w:val="sr-Latn-ME"/>
        </w:rPr>
        <w:t xml:space="preserve">ekova. </w:t>
      </w:r>
    </w:p>
    <w:p w14:paraId="1A0A1B84" w14:textId="77777777" w:rsidR="00B73F2A" w:rsidRPr="00BD78F9" w:rsidRDefault="00B73F2A">
      <w:pPr>
        <w:tabs>
          <w:tab w:val="left" w:pos="284"/>
        </w:tabs>
        <w:autoSpaceDE w:val="0"/>
        <w:autoSpaceDN w:val="0"/>
        <w:adjustRightInd w:val="0"/>
        <w:jc w:val="both"/>
        <w:rPr>
          <w:rFonts w:eastAsia="SimSun"/>
          <w:color w:val="000000"/>
          <w:sz w:val="22"/>
          <w:szCs w:val="22"/>
          <w:u w:val="single"/>
          <w:lang w:val="sr-Latn-ME"/>
        </w:rPr>
      </w:pPr>
    </w:p>
    <w:p w14:paraId="10CE51A0" w14:textId="77777777" w:rsidR="00B73F2A" w:rsidRPr="00BD78F9" w:rsidRDefault="00B73F2A">
      <w:pPr>
        <w:tabs>
          <w:tab w:val="left" w:pos="284"/>
        </w:tabs>
        <w:autoSpaceDE w:val="0"/>
        <w:autoSpaceDN w:val="0"/>
        <w:adjustRightInd w:val="0"/>
        <w:jc w:val="both"/>
        <w:rPr>
          <w:rFonts w:eastAsia="SimSun"/>
          <w:color w:val="000000"/>
          <w:sz w:val="22"/>
          <w:szCs w:val="22"/>
          <w:u w:val="single"/>
          <w:lang w:val="sr-Latn-ME"/>
        </w:rPr>
      </w:pPr>
      <w:r w:rsidRPr="00BD78F9">
        <w:rPr>
          <w:rFonts w:eastAsia="SimSun"/>
          <w:color w:val="000000"/>
          <w:sz w:val="22"/>
          <w:szCs w:val="22"/>
          <w:u w:val="single"/>
          <w:lang w:val="sr-Latn-ME"/>
        </w:rPr>
        <w:t xml:space="preserve">Sistemska dejstva kortikosteroida </w:t>
      </w:r>
    </w:p>
    <w:p w14:paraId="561E2337" w14:textId="77777777" w:rsidR="00B73F2A" w:rsidRPr="00BD78F9" w:rsidRDefault="00B73F2A">
      <w:pPr>
        <w:tabs>
          <w:tab w:val="left" w:pos="284"/>
        </w:tabs>
        <w:jc w:val="both"/>
        <w:rPr>
          <w:rFonts w:eastAsia="TimesNewRoman"/>
          <w:sz w:val="22"/>
          <w:szCs w:val="22"/>
          <w:lang w:val="sr-Latn-ME"/>
        </w:rPr>
      </w:pPr>
    </w:p>
    <w:p w14:paraId="5D39E8BE" w14:textId="2F3925EC" w:rsidR="00B73F2A" w:rsidRPr="00BD78F9" w:rsidRDefault="00B73F2A">
      <w:pPr>
        <w:tabs>
          <w:tab w:val="left" w:pos="284"/>
        </w:tabs>
        <w:jc w:val="both"/>
        <w:rPr>
          <w:rFonts w:eastAsia="TimesNewRoman"/>
          <w:sz w:val="22"/>
          <w:szCs w:val="22"/>
          <w:lang w:val="sr-Latn-ME"/>
        </w:rPr>
      </w:pPr>
      <w:r w:rsidRPr="00BD78F9">
        <w:rPr>
          <w:rFonts w:eastAsia="TimesNewRoman"/>
          <w:sz w:val="22"/>
          <w:szCs w:val="22"/>
          <w:lang w:val="sr-Latn-ME"/>
        </w:rPr>
        <w:t>Svi inhalacioni kortikosteroidi mogu da imaju sistemska dejstva, posebno ako su dužim periodima propisane visoke doze. V</w:t>
      </w:r>
      <w:r w:rsidR="007019B9" w:rsidRPr="00BD78F9">
        <w:rPr>
          <w:rFonts w:eastAsia="TimesNewRoman"/>
          <w:sz w:val="22"/>
          <w:szCs w:val="22"/>
          <w:lang w:val="sr-Latn-ME"/>
        </w:rPr>
        <w:t>j</w:t>
      </w:r>
      <w:r w:rsidRPr="00BD78F9">
        <w:rPr>
          <w:rFonts w:eastAsia="TimesNewRoman"/>
          <w:sz w:val="22"/>
          <w:szCs w:val="22"/>
          <w:lang w:val="sr-Latn-ME"/>
        </w:rPr>
        <w:t xml:space="preserve">erovatnoća pojave tih dejstava mnogo je manja kod inhalacione terapije nego kod </w:t>
      </w:r>
      <w:r w:rsidR="004D0E29" w:rsidRPr="00BD78F9">
        <w:rPr>
          <w:rFonts w:eastAsia="TimesNewRoman"/>
          <w:sz w:val="22"/>
          <w:szCs w:val="22"/>
          <w:lang w:val="sr-Latn-ME"/>
        </w:rPr>
        <w:t>primjene</w:t>
      </w:r>
      <w:r w:rsidRPr="00BD78F9">
        <w:rPr>
          <w:rFonts w:eastAsia="TimesNewRoman"/>
          <w:sz w:val="22"/>
          <w:szCs w:val="22"/>
          <w:lang w:val="sr-Latn-ME"/>
        </w:rPr>
        <w:t xml:space="preserve"> oralnih kortikosteroida. Moguća sistemska dejstva uključuju Kušingov sindrom, kušingoidni izgled, supresiju nadbubrežne žl</w:t>
      </w:r>
      <w:r w:rsidR="00A85432" w:rsidRPr="00BD78F9">
        <w:rPr>
          <w:rFonts w:eastAsia="TimesNewRoman"/>
          <w:sz w:val="22"/>
          <w:szCs w:val="22"/>
          <w:lang w:val="sr-Latn-ME"/>
        </w:rPr>
        <w:t>ij</w:t>
      </w:r>
      <w:r w:rsidRPr="00BD78F9">
        <w:rPr>
          <w:rFonts w:eastAsia="TimesNewRoman"/>
          <w:sz w:val="22"/>
          <w:szCs w:val="22"/>
          <w:lang w:val="sr-Latn-ME"/>
        </w:rPr>
        <w:t>ezde, smanjenje mineralne gust</w:t>
      </w:r>
      <w:r w:rsidR="007019B9" w:rsidRPr="00BD78F9">
        <w:rPr>
          <w:rFonts w:eastAsia="TimesNewRoman"/>
          <w:sz w:val="22"/>
          <w:szCs w:val="22"/>
          <w:lang w:val="sr-Latn-ME"/>
        </w:rPr>
        <w:t>ine</w:t>
      </w:r>
      <w:r w:rsidRPr="00BD78F9">
        <w:rPr>
          <w:rFonts w:eastAsia="TimesNewRoman"/>
          <w:sz w:val="22"/>
          <w:szCs w:val="22"/>
          <w:lang w:val="sr-Latn-ME"/>
        </w:rPr>
        <w:t xml:space="preserve"> kostiju, kataraktu i glaukom. Potencijalna dejstva na gust</w:t>
      </w:r>
      <w:r w:rsidR="007019B9" w:rsidRPr="00BD78F9">
        <w:rPr>
          <w:rFonts w:eastAsia="TimesNewRoman"/>
          <w:sz w:val="22"/>
          <w:szCs w:val="22"/>
          <w:lang w:val="sr-Latn-ME"/>
        </w:rPr>
        <w:t>ine</w:t>
      </w:r>
      <w:r w:rsidRPr="00BD78F9">
        <w:rPr>
          <w:rFonts w:eastAsia="TimesNewRoman"/>
          <w:sz w:val="22"/>
          <w:szCs w:val="22"/>
          <w:lang w:val="sr-Latn-ME"/>
        </w:rPr>
        <w:t xml:space="preserve"> kostiju posebno treba razmotriti kod pacijenata koji dugotrajno </w:t>
      </w:r>
      <w:r w:rsidR="004D0E29" w:rsidRPr="00BD78F9">
        <w:rPr>
          <w:rFonts w:eastAsia="TimesNewRoman"/>
          <w:sz w:val="22"/>
          <w:szCs w:val="22"/>
          <w:lang w:val="sr-Latn-ME"/>
        </w:rPr>
        <w:t>primjenjuju</w:t>
      </w:r>
      <w:r w:rsidRPr="00BD78F9">
        <w:rPr>
          <w:rFonts w:eastAsia="TimesNewRoman"/>
          <w:sz w:val="22"/>
          <w:szCs w:val="22"/>
          <w:lang w:val="sr-Latn-ME"/>
        </w:rPr>
        <w:t xml:space="preserve"> visoke doze </w:t>
      </w:r>
      <w:r w:rsidR="004D0E29" w:rsidRPr="00BD78F9">
        <w:rPr>
          <w:rFonts w:eastAsia="TimesNewRoman"/>
          <w:sz w:val="22"/>
          <w:szCs w:val="22"/>
          <w:lang w:val="sr-Latn-ME"/>
        </w:rPr>
        <w:t>lijeka</w:t>
      </w:r>
      <w:r w:rsidRPr="00BD78F9">
        <w:rPr>
          <w:rFonts w:eastAsia="TimesNewRoman"/>
          <w:sz w:val="22"/>
          <w:szCs w:val="22"/>
          <w:lang w:val="sr-Latn-ME"/>
        </w:rPr>
        <w:t xml:space="preserve">, a imaju faktore rizika za osteoporozu. </w:t>
      </w:r>
    </w:p>
    <w:p w14:paraId="11A2B338" w14:textId="77777777" w:rsidR="00B73F2A" w:rsidRPr="00BD78F9" w:rsidRDefault="00B73F2A">
      <w:pPr>
        <w:tabs>
          <w:tab w:val="left" w:pos="284"/>
        </w:tabs>
        <w:jc w:val="both"/>
        <w:rPr>
          <w:rFonts w:eastAsia="TimesNewRoman"/>
          <w:sz w:val="22"/>
          <w:szCs w:val="22"/>
          <w:lang w:val="sr-Latn-ME"/>
        </w:rPr>
      </w:pPr>
    </w:p>
    <w:p w14:paraId="29C217EE" w14:textId="77777777" w:rsidR="00B73F2A" w:rsidRPr="00BD78F9" w:rsidRDefault="00B73F2A">
      <w:pPr>
        <w:tabs>
          <w:tab w:val="left" w:pos="284"/>
        </w:tabs>
        <w:jc w:val="both"/>
        <w:rPr>
          <w:sz w:val="22"/>
          <w:u w:val="single"/>
          <w:lang w:val="sr-Latn-ME"/>
        </w:rPr>
      </w:pPr>
      <w:r w:rsidRPr="00BD78F9">
        <w:rPr>
          <w:sz w:val="22"/>
          <w:u w:val="single"/>
          <w:lang w:val="sr-Latn-ME"/>
        </w:rPr>
        <w:t>Poremećaji vida</w:t>
      </w:r>
    </w:p>
    <w:p w14:paraId="161CBBDD" w14:textId="77777777" w:rsidR="00B73F2A" w:rsidRPr="00BD78F9" w:rsidRDefault="00B73F2A">
      <w:pPr>
        <w:tabs>
          <w:tab w:val="left" w:pos="284"/>
        </w:tabs>
        <w:jc w:val="both"/>
        <w:rPr>
          <w:sz w:val="22"/>
          <w:lang w:val="sr-Latn-ME"/>
        </w:rPr>
      </w:pPr>
    </w:p>
    <w:p w14:paraId="675FBBD0" w14:textId="3E70A5CD" w:rsidR="00B73F2A" w:rsidRPr="00BD78F9" w:rsidRDefault="00B73F2A">
      <w:pPr>
        <w:tabs>
          <w:tab w:val="left" w:pos="284"/>
        </w:tabs>
        <w:jc w:val="both"/>
        <w:rPr>
          <w:rFonts w:eastAsia="TimesNewRoman"/>
          <w:sz w:val="22"/>
          <w:szCs w:val="22"/>
          <w:lang w:val="sr-Latn-ME"/>
        </w:rPr>
      </w:pPr>
      <w:r w:rsidRPr="00BD78F9">
        <w:rPr>
          <w:sz w:val="22"/>
          <w:lang w:val="sr-Latn-ME"/>
        </w:rPr>
        <w:t xml:space="preserve">Kod </w:t>
      </w:r>
      <w:r w:rsidR="004D0E29" w:rsidRPr="00BD78F9">
        <w:rPr>
          <w:sz w:val="22"/>
          <w:lang w:val="sr-Latn-ME"/>
        </w:rPr>
        <w:t>primjene</w:t>
      </w:r>
      <w:r w:rsidRPr="00BD78F9">
        <w:rPr>
          <w:sz w:val="22"/>
          <w:lang w:val="sr-Latn-ME"/>
        </w:rPr>
        <w:t xml:space="preserve"> sistemskih i topikalnih kortikosteroida može se javiti poremećaj vida. Ako se kod pacijenta jave simptomi poput zamućenog vida ili drugih poremećaja vida, potrebno je razmotriti upućivanje pacijenta oftalmologu radi </w:t>
      </w:r>
      <w:r w:rsidR="004D0E29" w:rsidRPr="00BD78F9">
        <w:rPr>
          <w:sz w:val="22"/>
          <w:lang w:val="sr-Latn-ME"/>
        </w:rPr>
        <w:t>procjene</w:t>
      </w:r>
      <w:r w:rsidRPr="00BD78F9">
        <w:rPr>
          <w:sz w:val="22"/>
          <w:lang w:val="sr-Latn-ME"/>
        </w:rPr>
        <w:t xml:space="preserve"> mogućih uzroka, koji mogu uključivati kataraktu, glaukom ili r</w:t>
      </w:r>
      <w:r w:rsidR="007019B9" w:rsidRPr="00BD78F9">
        <w:rPr>
          <w:sz w:val="22"/>
          <w:lang w:val="sr-Latn-ME"/>
        </w:rPr>
        <w:t>ij</w:t>
      </w:r>
      <w:r w:rsidRPr="00BD78F9">
        <w:rPr>
          <w:sz w:val="22"/>
          <w:lang w:val="sr-Latn-ME"/>
        </w:rPr>
        <w:t>etke bolesti poput centralne serozne horioretinopatije (CSCR), zab</w:t>
      </w:r>
      <w:r w:rsidR="007019B9" w:rsidRPr="00BD78F9">
        <w:rPr>
          <w:sz w:val="22"/>
          <w:lang w:val="sr-Latn-ME"/>
        </w:rPr>
        <w:t>i</w:t>
      </w:r>
      <w:r w:rsidRPr="00BD78F9">
        <w:rPr>
          <w:sz w:val="22"/>
          <w:lang w:val="sr-Latn-ME"/>
        </w:rPr>
        <w:t>l</w:t>
      </w:r>
      <w:r w:rsidR="007019B9" w:rsidRPr="00BD78F9">
        <w:rPr>
          <w:sz w:val="22"/>
          <w:lang w:val="sr-Latn-ME"/>
        </w:rPr>
        <w:t>j</w:t>
      </w:r>
      <w:r w:rsidRPr="00BD78F9">
        <w:rPr>
          <w:sz w:val="22"/>
          <w:lang w:val="sr-Latn-ME"/>
        </w:rPr>
        <w:t xml:space="preserve">ežene nakon </w:t>
      </w:r>
      <w:r w:rsidR="004D0E29" w:rsidRPr="00BD78F9">
        <w:rPr>
          <w:sz w:val="22"/>
          <w:lang w:val="sr-Latn-ME"/>
        </w:rPr>
        <w:t>primjene</w:t>
      </w:r>
      <w:r w:rsidRPr="00BD78F9">
        <w:rPr>
          <w:sz w:val="22"/>
          <w:lang w:val="sr-Latn-ME"/>
        </w:rPr>
        <w:t xml:space="preserve"> sistemskih i topikalnih kortikosteroida (</w:t>
      </w:r>
      <w:r w:rsidR="004D0E29" w:rsidRPr="00BD78F9">
        <w:rPr>
          <w:sz w:val="22"/>
          <w:lang w:val="sr-Latn-ME"/>
        </w:rPr>
        <w:t>vidjeti</w:t>
      </w:r>
      <w:r w:rsidRPr="00BD78F9">
        <w:rPr>
          <w:sz w:val="22"/>
          <w:lang w:val="sr-Latn-ME"/>
        </w:rPr>
        <w:t xml:space="preserve"> </w:t>
      </w:r>
      <w:r w:rsidR="004D0E29" w:rsidRPr="00BD78F9">
        <w:rPr>
          <w:sz w:val="22"/>
          <w:lang w:val="sr-Latn-ME"/>
        </w:rPr>
        <w:t>odjeljak</w:t>
      </w:r>
      <w:r w:rsidRPr="00BD78F9">
        <w:rPr>
          <w:sz w:val="22"/>
          <w:lang w:val="sr-Latn-ME"/>
        </w:rPr>
        <w:t xml:space="preserve"> 4.8).</w:t>
      </w:r>
    </w:p>
    <w:p w14:paraId="5EB5130C" w14:textId="77777777" w:rsidR="00B73F2A" w:rsidRPr="00BD78F9" w:rsidRDefault="00B73F2A">
      <w:pPr>
        <w:tabs>
          <w:tab w:val="left" w:pos="284"/>
        </w:tabs>
        <w:jc w:val="both"/>
        <w:rPr>
          <w:rFonts w:eastAsia="TimesNewRoman"/>
          <w:sz w:val="22"/>
          <w:szCs w:val="22"/>
          <w:u w:val="single"/>
          <w:lang w:val="sr-Latn-ME"/>
        </w:rPr>
      </w:pPr>
    </w:p>
    <w:p w14:paraId="63A89032" w14:textId="77777777" w:rsidR="00B73F2A" w:rsidRPr="00BD78F9" w:rsidRDefault="00B73F2A">
      <w:pPr>
        <w:tabs>
          <w:tab w:val="left" w:pos="284"/>
        </w:tabs>
        <w:jc w:val="both"/>
        <w:rPr>
          <w:rFonts w:eastAsia="TimesNewRoman"/>
          <w:sz w:val="22"/>
          <w:szCs w:val="22"/>
          <w:u w:val="single"/>
          <w:lang w:val="sr-Latn-ME"/>
        </w:rPr>
      </w:pPr>
      <w:r w:rsidRPr="00BD78F9">
        <w:rPr>
          <w:rFonts w:eastAsia="TimesNewRoman"/>
          <w:sz w:val="22"/>
          <w:szCs w:val="22"/>
          <w:u w:val="single"/>
          <w:lang w:val="sr-Latn-ME"/>
        </w:rPr>
        <w:t>Prelazak sa oralne terapije</w:t>
      </w:r>
    </w:p>
    <w:p w14:paraId="54B0AA06" w14:textId="77777777" w:rsidR="00B73F2A" w:rsidRPr="00BD78F9" w:rsidRDefault="00B73F2A">
      <w:pPr>
        <w:tabs>
          <w:tab w:val="left" w:pos="284"/>
        </w:tabs>
        <w:jc w:val="both"/>
        <w:rPr>
          <w:rFonts w:eastAsia="TimesNewRoman"/>
          <w:sz w:val="22"/>
          <w:szCs w:val="22"/>
          <w:lang w:val="sr-Latn-ME"/>
        </w:rPr>
      </w:pPr>
    </w:p>
    <w:p w14:paraId="18779C8C" w14:textId="227449F1" w:rsidR="00B73F2A" w:rsidRPr="00BD78F9" w:rsidRDefault="00B73F2A">
      <w:pPr>
        <w:tabs>
          <w:tab w:val="left" w:pos="284"/>
        </w:tabs>
        <w:jc w:val="both"/>
        <w:rPr>
          <w:rFonts w:eastAsia="TimesNewRoman"/>
          <w:sz w:val="22"/>
          <w:szCs w:val="22"/>
          <w:lang w:val="sr-Latn-ME"/>
        </w:rPr>
      </w:pPr>
      <w:r w:rsidRPr="00BD78F9">
        <w:rPr>
          <w:rFonts w:eastAsia="TimesNewRoman"/>
          <w:sz w:val="22"/>
          <w:szCs w:val="22"/>
          <w:lang w:val="sr-Latn-ME"/>
        </w:rPr>
        <w:t>Potreban je poseban oprez kod pacijenata koji prelaze sa oralnih steroida jer oni još prilično dugo mogu biti izloženi riziku od oštećenja funkcije nadbubrežne žl</w:t>
      </w:r>
      <w:r w:rsidR="007019B9" w:rsidRPr="00BD78F9">
        <w:rPr>
          <w:rFonts w:eastAsia="TimesNewRoman"/>
          <w:sz w:val="22"/>
          <w:szCs w:val="22"/>
          <w:lang w:val="sr-Latn-ME"/>
        </w:rPr>
        <w:t>ij</w:t>
      </w:r>
      <w:r w:rsidRPr="00BD78F9">
        <w:rPr>
          <w:rFonts w:eastAsia="TimesNewRoman"/>
          <w:sz w:val="22"/>
          <w:szCs w:val="22"/>
          <w:lang w:val="sr-Latn-ME"/>
        </w:rPr>
        <w:t>ezde. Riziku mogu biti izloženi i pacijenti kojima je bila potrebna terapija visokim dozama kortikosteroida ili dugotrajna terapija najvišim preporučenim dozama inhalacionih kortikosteroida. Pri izlaganju velikom stresu kod tih pacijenata mogu da se jave znaci i simptomi insuficijencije nadbubrežne žl</w:t>
      </w:r>
      <w:r w:rsidR="007019B9" w:rsidRPr="00BD78F9">
        <w:rPr>
          <w:rFonts w:eastAsia="TimesNewRoman"/>
          <w:sz w:val="22"/>
          <w:szCs w:val="22"/>
          <w:lang w:val="sr-Latn-ME"/>
        </w:rPr>
        <w:t>ij</w:t>
      </w:r>
      <w:r w:rsidRPr="00BD78F9">
        <w:rPr>
          <w:rFonts w:eastAsia="TimesNewRoman"/>
          <w:sz w:val="22"/>
          <w:szCs w:val="22"/>
          <w:lang w:val="sr-Latn-ME"/>
        </w:rPr>
        <w:t>ezde. U slučaju stresa ili elektivnog hirurškog zahvata potrebno je razmotriti prim</w:t>
      </w:r>
      <w:r w:rsidR="007019B9" w:rsidRPr="00BD78F9">
        <w:rPr>
          <w:rFonts w:eastAsia="TimesNewRoman"/>
          <w:sz w:val="22"/>
          <w:szCs w:val="22"/>
          <w:lang w:val="sr-Latn-ME"/>
        </w:rPr>
        <w:t>j</w:t>
      </w:r>
      <w:r w:rsidRPr="00BD78F9">
        <w:rPr>
          <w:rFonts w:eastAsia="TimesNewRoman"/>
          <w:sz w:val="22"/>
          <w:szCs w:val="22"/>
          <w:lang w:val="sr-Latn-ME"/>
        </w:rPr>
        <w:t>enu dodatnih sistemskih kortikosteroida.</w:t>
      </w:r>
    </w:p>
    <w:p w14:paraId="1F79E670" w14:textId="74811F66" w:rsidR="007019B9" w:rsidRPr="00BD78F9" w:rsidRDefault="007019B9" w:rsidP="000A71FF">
      <w:pPr>
        <w:tabs>
          <w:tab w:val="left" w:pos="284"/>
        </w:tabs>
        <w:autoSpaceDE w:val="0"/>
        <w:autoSpaceDN w:val="0"/>
        <w:adjustRightInd w:val="0"/>
        <w:jc w:val="both"/>
        <w:rPr>
          <w:rFonts w:eastAsia="SimSun"/>
          <w:color w:val="000000"/>
          <w:sz w:val="22"/>
          <w:szCs w:val="22"/>
          <w:u w:val="single"/>
          <w:lang w:val="sr-Latn-ME"/>
        </w:rPr>
      </w:pPr>
    </w:p>
    <w:p w14:paraId="0E3691A7" w14:textId="3DFC9F59" w:rsidR="00B73F2A" w:rsidRPr="00BD78F9" w:rsidRDefault="00B73F2A" w:rsidP="000A71FF">
      <w:pPr>
        <w:tabs>
          <w:tab w:val="left" w:pos="284"/>
        </w:tabs>
        <w:autoSpaceDE w:val="0"/>
        <w:autoSpaceDN w:val="0"/>
        <w:adjustRightInd w:val="0"/>
        <w:jc w:val="both"/>
        <w:rPr>
          <w:rFonts w:eastAsia="SimSun"/>
          <w:color w:val="000000"/>
          <w:sz w:val="22"/>
          <w:szCs w:val="22"/>
          <w:u w:val="single"/>
          <w:lang w:val="sr-Latn-ME"/>
        </w:rPr>
      </w:pPr>
      <w:r w:rsidRPr="00BD78F9">
        <w:rPr>
          <w:rFonts w:eastAsia="SimSun"/>
          <w:color w:val="000000"/>
          <w:sz w:val="22"/>
          <w:szCs w:val="22"/>
          <w:u w:val="single"/>
          <w:lang w:val="sr-Latn-ME"/>
        </w:rPr>
        <w:t xml:space="preserve">Pneumonija kod pacijenata sa HOBP </w:t>
      </w:r>
    </w:p>
    <w:p w14:paraId="5E7E6F89" w14:textId="77777777" w:rsidR="00B73F2A" w:rsidRPr="00BD78F9" w:rsidRDefault="00B73F2A" w:rsidP="00107A30">
      <w:pPr>
        <w:tabs>
          <w:tab w:val="left" w:pos="284"/>
        </w:tabs>
        <w:autoSpaceDE w:val="0"/>
        <w:autoSpaceDN w:val="0"/>
        <w:adjustRightInd w:val="0"/>
        <w:jc w:val="both"/>
        <w:rPr>
          <w:rFonts w:eastAsia="SimSun"/>
          <w:color w:val="000000"/>
          <w:sz w:val="22"/>
          <w:szCs w:val="22"/>
          <w:lang w:val="sr-Latn-ME"/>
        </w:rPr>
      </w:pPr>
    </w:p>
    <w:p w14:paraId="3389B9A1" w14:textId="029585DD" w:rsidR="00B73F2A" w:rsidRPr="00BD78F9" w:rsidRDefault="00B73F2A" w:rsidP="007019B9">
      <w:pPr>
        <w:tabs>
          <w:tab w:val="left" w:pos="284"/>
        </w:tabs>
        <w:jc w:val="both"/>
        <w:rPr>
          <w:sz w:val="22"/>
          <w:lang w:val="sr-Latn-ME"/>
        </w:rPr>
      </w:pPr>
      <w:bookmarkStart w:id="1" w:name="_Hlk22124474"/>
      <w:r w:rsidRPr="00BD78F9">
        <w:rPr>
          <w:sz w:val="22"/>
          <w:lang w:val="sr-Latn-ME"/>
        </w:rPr>
        <w:t>Kod pacijenata sa HOBP koji su primali inhalacione kortikosteroide zab</w:t>
      </w:r>
      <w:r w:rsidR="006614C4" w:rsidRPr="00BD78F9">
        <w:rPr>
          <w:sz w:val="22"/>
          <w:lang w:val="sr-Latn-ME"/>
        </w:rPr>
        <w:t>i</w:t>
      </w:r>
      <w:r w:rsidRPr="00BD78F9">
        <w:rPr>
          <w:sz w:val="22"/>
          <w:lang w:val="sr-Latn-ME"/>
        </w:rPr>
        <w:t>l</w:t>
      </w:r>
      <w:r w:rsidR="006614C4" w:rsidRPr="00BD78F9">
        <w:rPr>
          <w:sz w:val="22"/>
          <w:lang w:val="sr-Latn-ME"/>
        </w:rPr>
        <w:t>j</w:t>
      </w:r>
      <w:r w:rsidRPr="00BD78F9">
        <w:rPr>
          <w:sz w:val="22"/>
          <w:lang w:val="sr-Latn-ME"/>
        </w:rPr>
        <w:t>ežen je porast incidence pneumonije, uključujući pneumoniju koja je zaht</w:t>
      </w:r>
      <w:r w:rsidR="006614C4" w:rsidRPr="00BD78F9">
        <w:rPr>
          <w:sz w:val="22"/>
          <w:lang w:val="sr-Latn-ME"/>
        </w:rPr>
        <w:t>ij</w:t>
      </w:r>
      <w:r w:rsidRPr="00BD78F9">
        <w:rPr>
          <w:sz w:val="22"/>
          <w:lang w:val="sr-Latn-ME"/>
        </w:rPr>
        <w:t>evala hospitalizaciju. Postoje neki dokazi povećanog rizika od pneumonije sa povećanjem doze steroida, ali to nije uv</w:t>
      </w:r>
      <w:r w:rsidR="004D0E29" w:rsidRPr="00BD78F9">
        <w:rPr>
          <w:sz w:val="22"/>
          <w:lang w:val="sr-Latn-ME"/>
        </w:rPr>
        <w:t>j</w:t>
      </w:r>
      <w:r w:rsidRPr="00BD78F9">
        <w:rPr>
          <w:sz w:val="22"/>
          <w:lang w:val="sr-Latn-ME"/>
        </w:rPr>
        <w:t>erljivo dokazano u svim studijama.</w:t>
      </w:r>
    </w:p>
    <w:p w14:paraId="45A32DAE" w14:textId="77777777" w:rsidR="00B73F2A" w:rsidRPr="00BD78F9" w:rsidRDefault="00B73F2A" w:rsidP="00A52822">
      <w:pPr>
        <w:tabs>
          <w:tab w:val="left" w:pos="284"/>
        </w:tabs>
        <w:jc w:val="both"/>
        <w:rPr>
          <w:sz w:val="22"/>
          <w:lang w:val="sr-Latn-ME"/>
        </w:rPr>
      </w:pPr>
    </w:p>
    <w:p w14:paraId="201C3E09" w14:textId="0201BB24" w:rsidR="00B73F2A" w:rsidRPr="00BD78F9" w:rsidRDefault="00B73F2A">
      <w:pPr>
        <w:tabs>
          <w:tab w:val="left" w:pos="284"/>
        </w:tabs>
        <w:jc w:val="both"/>
        <w:rPr>
          <w:sz w:val="22"/>
          <w:lang w:val="sr-Latn-ME"/>
        </w:rPr>
      </w:pPr>
      <w:r w:rsidRPr="00BD78F9">
        <w:rPr>
          <w:sz w:val="22"/>
          <w:lang w:val="sr-Latn-ME"/>
        </w:rPr>
        <w:lastRenderedPageBreak/>
        <w:t>Nema uv</w:t>
      </w:r>
      <w:r w:rsidR="004D0E29" w:rsidRPr="00BD78F9">
        <w:rPr>
          <w:sz w:val="22"/>
          <w:lang w:val="sr-Latn-ME"/>
        </w:rPr>
        <w:t>j</w:t>
      </w:r>
      <w:r w:rsidRPr="00BD78F9">
        <w:rPr>
          <w:sz w:val="22"/>
          <w:lang w:val="sr-Latn-ME"/>
        </w:rPr>
        <w:t>erljivih kliničkih dokaza o postojanju razlika u obimu rizika od pneumonije između pojedinih l</w:t>
      </w:r>
      <w:r w:rsidR="004D0E29" w:rsidRPr="00BD78F9">
        <w:rPr>
          <w:sz w:val="22"/>
          <w:lang w:val="sr-Latn-ME"/>
        </w:rPr>
        <w:t>j</w:t>
      </w:r>
      <w:r w:rsidRPr="00BD78F9">
        <w:rPr>
          <w:sz w:val="22"/>
          <w:lang w:val="sr-Latn-ME"/>
        </w:rPr>
        <w:t>ekova iz grupe inhalacionih kortikosteroida.</w:t>
      </w:r>
    </w:p>
    <w:p w14:paraId="7684A03B" w14:textId="77777777" w:rsidR="00B73F2A" w:rsidRPr="00BD78F9" w:rsidRDefault="00B73F2A">
      <w:pPr>
        <w:tabs>
          <w:tab w:val="left" w:pos="284"/>
        </w:tabs>
        <w:jc w:val="both"/>
        <w:rPr>
          <w:rFonts w:eastAsia="SimSun"/>
          <w:color w:val="000000"/>
          <w:sz w:val="22"/>
          <w:szCs w:val="22"/>
          <w:lang w:val="sr-Latn-ME"/>
        </w:rPr>
      </w:pPr>
    </w:p>
    <w:p w14:paraId="5903E3C7" w14:textId="5B08C5ED" w:rsidR="00B73F2A" w:rsidRPr="00BD78F9" w:rsidRDefault="005277F8" w:rsidP="00271855">
      <w:pPr>
        <w:jc w:val="both"/>
        <w:rPr>
          <w:color w:val="000000"/>
          <w:sz w:val="22"/>
          <w:szCs w:val="22"/>
          <w:lang w:val="sr-Latn-ME" w:eastAsia="en-GB"/>
        </w:rPr>
      </w:pPr>
      <w:r w:rsidRPr="00BD78F9">
        <w:rPr>
          <w:color w:val="000000"/>
          <w:sz w:val="22"/>
          <w:szCs w:val="22"/>
          <w:lang w:val="sr-Latn-ME" w:eastAsia="en-GB"/>
        </w:rPr>
        <w:t>Ljekari</w:t>
      </w:r>
      <w:r w:rsidR="00B73F2A" w:rsidRPr="00BD78F9">
        <w:rPr>
          <w:color w:val="000000"/>
          <w:sz w:val="22"/>
          <w:szCs w:val="22"/>
          <w:lang w:val="sr-Latn-ME" w:eastAsia="en-GB"/>
        </w:rPr>
        <w:t xml:space="preserve"> </w:t>
      </w:r>
      <w:r w:rsidRPr="00BD78F9">
        <w:rPr>
          <w:color w:val="000000"/>
          <w:sz w:val="22"/>
          <w:szCs w:val="22"/>
          <w:lang w:val="sr-Latn-ME" w:eastAsia="en-GB"/>
        </w:rPr>
        <w:t>moraju pažljivo</w:t>
      </w:r>
      <w:r w:rsidR="00B73F2A" w:rsidRPr="00BD78F9">
        <w:rPr>
          <w:color w:val="000000"/>
          <w:sz w:val="22"/>
          <w:szCs w:val="22"/>
          <w:lang w:val="sr-Latn-ME" w:eastAsia="en-GB"/>
        </w:rPr>
        <w:t xml:space="preserve"> prat</w:t>
      </w:r>
      <w:r w:rsidRPr="00BD78F9">
        <w:rPr>
          <w:color w:val="000000"/>
          <w:sz w:val="22"/>
          <w:szCs w:val="22"/>
          <w:lang w:val="sr-Latn-ME" w:eastAsia="en-GB"/>
        </w:rPr>
        <w:t>iti</w:t>
      </w:r>
      <w:r w:rsidR="00B73F2A" w:rsidRPr="00BD78F9">
        <w:rPr>
          <w:color w:val="000000"/>
          <w:sz w:val="22"/>
          <w:szCs w:val="22"/>
          <w:lang w:val="sr-Latn-ME" w:eastAsia="en-GB"/>
        </w:rPr>
        <w:t xml:space="preserve"> mogući razvoj pneumonije kod pacijenata sa HOBP jer se kliničke manifestacije takvih infekcija podudaraju sa simptomima egzacerbacija HOBP. </w:t>
      </w:r>
    </w:p>
    <w:p w14:paraId="05463C50" w14:textId="1EC9B588" w:rsidR="00B73F2A" w:rsidRPr="00BD78F9" w:rsidRDefault="00B73F2A" w:rsidP="000A71FF">
      <w:pPr>
        <w:tabs>
          <w:tab w:val="left" w:pos="284"/>
        </w:tabs>
        <w:jc w:val="both"/>
        <w:rPr>
          <w:sz w:val="22"/>
          <w:lang w:val="sr-Latn-ME"/>
        </w:rPr>
      </w:pPr>
      <w:r w:rsidRPr="00BD78F9">
        <w:rPr>
          <w:sz w:val="22"/>
          <w:lang w:val="sr-Latn-ME"/>
        </w:rPr>
        <w:t>Faktori rizika za pneumoniju kod pacijenata sa HOBP uključuju aktivno pušenje, starije životno doba, nizak indeks t</w:t>
      </w:r>
      <w:r w:rsidR="005277F8" w:rsidRPr="00BD78F9">
        <w:rPr>
          <w:sz w:val="22"/>
          <w:lang w:val="sr-Latn-ME"/>
        </w:rPr>
        <w:t>j</w:t>
      </w:r>
      <w:r w:rsidRPr="00BD78F9">
        <w:rPr>
          <w:sz w:val="22"/>
          <w:lang w:val="sr-Latn-ME"/>
        </w:rPr>
        <w:t>elesne mase (BMI) i tešku HOBP.</w:t>
      </w:r>
    </w:p>
    <w:bookmarkEnd w:id="1"/>
    <w:p w14:paraId="72847591" w14:textId="77777777" w:rsidR="00B73F2A" w:rsidRPr="00BD78F9" w:rsidRDefault="00B73F2A" w:rsidP="007019B9">
      <w:pPr>
        <w:tabs>
          <w:tab w:val="left" w:pos="284"/>
        </w:tabs>
        <w:jc w:val="both"/>
        <w:rPr>
          <w:sz w:val="22"/>
          <w:lang w:val="sr-Latn-ME"/>
        </w:rPr>
      </w:pPr>
    </w:p>
    <w:p w14:paraId="5E9F37D5" w14:textId="77777777" w:rsidR="00B73F2A" w:rsidRPr="00BD78F9" w:rsidRDefault="00B73F2A" w:rsidP="00A52822">
      <w:pPr>
        <w:tabs>
          <w:tab w:val="left" w:pos="284"/>
        </w:tabs>
        <w:jc w:val="both"/>
        <w:rPr>
          <w:rFonts w:eastAsia="TimesNewRoman"/>
          <w:sz w:val="22"/>
          <w:u w:val="single"/>
          <w:lang w:val="sr-Latn-ME"/>
        </w:rPr>
      </w:pPr>
      <w:r w:rsidRPr="00BD78F9">
        <w:rPr>
          <w:rFonts w:eastAsia="TimesNewRoman"/>
          <w:sz w:val="22"/>
          <w:u w:val="single"/>
          <w:lang w:val="sr-Latn-ME"/>
        </w:rPr>
        <w:t xml:space="preserve">Hipokalijemija </w:t>
      </w:r>
    </w:p>
    <w:p w14:paraId="1D2DBF79" w14:textId="77777777" w:rsidR="00B73F2A" w:rsidRPr="00BD78F9" w:rsidRDefault="00B73F2A">
      <w:pPr>
        <w:tabs>
          <w:tab w:val="left" w:pos="284"/>
        </w:tabs>
        <w:jc w:val="both"/>
        <w:rPr>
          <w:rFonts w:eastAsia="TimesNewRoman"/>
          <w:sz w:val="22"/>
          <w:szCs w:val="22"/>
          <w:lang w:val="sr-Latn-ME"/>
        </w:rPr>
      </w:pPr>
    </w:p>
    <w:p w14:paraId="38B1ADF0" w14:textId="19FD30EA" w:rsidR="00B73F2A" w:rsidRPr="00BD78F9" w:rsidRDefault="00B73F2A">
      <w:pPr>
        <w:tabs>
          <w:tab w:val="left" w:pos="284"/>
        </w:tabs>
        <w:jc w:val="both"/>
        <w:rPr>
          <w:rFonts w:eastAsia="TimesNewRoman"/>
          <w:sz w:val="22"/>
          <w:szCs w:val="22"/>
          <w:lang w:val="sr-Latn-ME"/>
        </w:rPr>
      </w:pPr>
      <w:r w:rsidRPr="00BD78F9">
        <w:rPr>
          <w:rFonts w:eastAsia="TimesNewRoman"/>
          <w:sz w:val="22"/>
          <w:szCs w:val="22"/>
          <w:lang w:val="sr-Latn-ME"/>
        </w:rPr>
        <w:t xml:space="preserve">Potencijalno ozbiljna hipokalijemija može se javiti kao rezultat terapije </w:t>
      </w:r>
      <w:r w:rsidRPr="00BD78F9">
        <w:rPr>
          <w:rFonts w:eastAsia="TimesNewRoman"/>
          <w:sz w:val="22"/>
          <w:lang w:val="sr-Latn-ME"/>
        </w:rPr>
        <w:t>β</w:t>
      </w:r>
      <w:r w:rsidRPr="00BD78F9">
        <w:rPr>
          <w:rFonts w:eastAsia="TimesNewRoman"/>
          <w:sz w:val="22"/>
          <w:szCs w:val="22"/>
          <w:vertAlign w:val="subscript"/>
          <w:lang w:val="sr-Latn-ME"/>
        </w:rPr>
        <w:t>2</w:t>
      </w:r>
      <w:r w:rsidRPr="00BD78F9">
        <w:rPr>
          <w:rFonts w:eastAsia="TimesNewRoman"/>
          <w:sz w:val="22"/>
          <w:szCs w:val="22"/>
          <w:lang w:val="sr-Latn-ME"/>
        </w:rPr>
        <w:t xml:space="preserve"> agonistima. Ona ima potencijal da dovede do neželjenih kardiovaskularnih dejstava. Poseban oprez se preporučuje kod teške HOBP jer hipoksija može dodatno pojačati to dejstvo. Hipokalijemiju može pogoršati i isto</w:t>
      </w:r>
      <w:r w:rsidR="004D0E29" w:rsidRPr="00BD78F9">
        <w:rPr>
          <w:rFonts w:eastAsia="TimesNewRoman"/>
          <w:sz w:val="22"/>
          <w:szCs w:val="22"/>
          <w:lang w:val="sr-Latn-ME"/>
        </w:rPr>
        <w:t>vreme</w:t>
      </w:r>
      <w:r w:rsidRPr="00BD78F9">
        <w:rPr>
          <w:rFonts w:eastAsia="TimesNewRoman"/>
          <w:sz w:val="22"/>
          <w:szCs w:val="22"/>
          <w:lang w:val="sr-Latn-ME"/>
        </w:rPr>
        <w:t xml:space="preserve">na </w:t>
      </w:r>
      <w:r w:rsidR="004D0E29" w:rsidRPr="00BD78F9">
        <w:rPr>
          <w:rFonts w:eastAsia="TimesNewRoman"/>
          <w:sz w:val="22"/>
          <w:szCs w:val="22"/>
          <w:lang w:val="sr-Latn-ME"/>
        </w:rPr>
        <w:t>primjena</w:t>
      </w:r>
      <w:r w:rsidRPr="00BD78F9">
        <w:rPr>
          <w:rFonts w:eastAsia="TimesNewRoman"/>
          <w:sz w:val="22"/>
          <w:szCs w:val="22"/>
          <w:lang w:val="sr-Latn-ME"/>
        </w:rPr>
        <w:t xml:space="preserve"> drugih l</w:t>
      </w:r>
      <w:r w:rsidR="004D0E29" w:rsidRPr="00BD78F9">
        <w:rPr>
          <w:rFonts w:eastAsia="TimesNewRoman"/>
          <w:sz w:val="22"/>
          <w:szCs w:val="22"/>
          <w:lang w:val="sr-Latn-ME"/>
        </w:rPr>
        <w:t>j</w:t>
      </w:r>
      <w:r w:rsidRPr="00BD78F9">
        <w:rPr>
          <w:rFonts w:eastAsia="TimesNewRoman"/>
          <w:sz w:val="22"/>
          <w:szCs w:val="22"/>
          <w:lang w:val="sr-Latn-ME"/>
        </w:rPr>
        <w:t>ekova koji mogu izazvati hipokalijemiju, kao što su derivati ksantina, steroidi i diuretici (</w:t>
      </w:r>
      <w:r w:rsidR="004D0E29" w:rsidRPr="00BD78F9">
        <w:rPr>
          <w:rFonts w:eastAsia="TimesNewRoman"/>
          <w:sz w:val="22"/>
          <w:szCs w:val="22"/>
          <w:lang w:val="sr-Latn-ME"/>
        </w:rPr>
        <w:t>vidjeti</w:t>
      </w:r>
      <w:r w:rsidRPr="00BD78F9">
        <w:rPr>
          <w:rFonts w:eastAsia="TimesNewRoman"/>
          <w:sz w:val="22"/>
          <w:szCs w:val="22"/>
          <w:lang w:val="sr-Latn-ME"/>
        </w:rPr>
        <w:t xml:space="preserve"> </w:t>
      </w:r>
      <w:r w:rsidR="004D0E29" w:rsidRPr="00BD78F9">
        <w:rPr>
          <w:rFonts w:eastAsia="TimesNewRoman"/>
          <w:sz w:val="22"/>
          <w:szCs w:val="22"/>
          <w:lang w:val="sr-Latn-ME"/>
        </w:rPr>
        <w:t>odjeljak</w:t>
      </w:r>
      <w:r w:rsidRPr="00BD78F9">
        <w:rPr>
          <w:rFonts w:eastAsia="TimesNewRoman"/>
          <w:sz w:val="22"/>
          <w:szCs w:val="22"/>
          <w:lang w:val="sr-Latn-ME"/>
        </w:rPr>
        <w:t xml:space="preserve"> 4.5). </w:t>
      </w:r>
    </w:p>
    <w:p w14:paraId="136A9ABF" w14:textId="77777777" w:rsidR="00B73F2A" w:rsidRPr="00BD78F9" w:rsidRDefault="00B73F2A">
      <w:pPr>
        <w:tabs>
          <w:tab w:val="left" w:pos="284"/>
        </w:tabs>
        <w:jc w:val="both"/>
        <w:rPr>
          <w:rFonts w:eastAsia="TimesNewRoman"/>
          <w:sz w:val="22"/>
          <w:szCs w:val="22"/>
          <w:lang w:val="sr-Latn-ME"/>
        </w:rPr>
      </w:pPr>
    </w:p>
    <w:p w14:paraId="7BBF3A98" w14:textId="77777777" w:rsidR="00B73F2A" w:rsidRPr="00BD78F9" w:rsidRDefault="00B73F2A">
      <w:pPr>
        <w:tabs>
          <w:tab w:val="left" w:pos="284"/>
        </w:tabs>
        <w:jc w:val="both"/>
        <w:rPr>
          <w:rFonts w:eastAsia="TimesNewRoman"/>
          <w:sz w:val="22"/>
          <w:u w:val="single"/>
          <w:lang w:val="sr-Latn-ME"/>
        </w:rPr>
      </w:pPr>
      <w:r w:rsidRPr="00BD78F9">
        <w:rPr>
          <w:rFonts w:eastAsia="TimesNewRoman"/>
          <w:sz w:val="22"/>
          <w:u w:val="single"/>
          <w:lang w:val="sr-Latn-ME"/>
        </w:rPr>
        <w:t xml:space="preserve">Hiperglikemija </w:t>
      </w:r>
    </w:p>
    <w:p w14:paraId="7237D5AC" w14:textId="77777777" w:rsidR="00B73F2A" w:rsidRPr="00BD78F9" w:rsidRDefault="00B73F2A">
      <w:pPr>
        <w:tabs>
          <w:tab w:val="left" w:pos="284"/>
        </w:tabs>
        <w:jc w:val="both"/>
        <w:rPr>
          <w:rFonts w:eastAsia="TimesNewRoman"/>
          <w:sz w:val="22"/>
          <w:lang w:val="sr-Latn-ME"/>
        </w:rPr>
      </w:pPr>
    </w:p>
    <w:p w14:paraId="630D1C72" w14:textId="7078F565" w:rsidR="00B73F2A" w:rsidRPr="00BD78F9" w:rsidRDefault="00B73F2A">
      <w:pPr>
        <w:tabs>
          <w:tab w:val="left" w:pos="284"/>
        </w:tabs>
        <w:jc w:val="both"/>
        <w:rPr>
          <w:rFonts w:eastAsia="TimesNewRoman"/>
          <w:sz w:val="22"/>
          <w:lang w:val="sr-Latn-ME"/>
        </w:rPr>
      </w:pPr>
      <w:r w:rsidRPr="00BD78F9">
        <w:rPr>
          <w:sz w:val="22"/>
          <w:lang w:val="sr-Latn-ME"/>
        </w:rPr>
        <w:t xml:space="preserve">Inhalacija visokih doza β2 adrinergičkih agonista može da dovede do porasta nivoa glukoze u plazmi. </w:t>
      </w:r>
      <w:r w:rsidRPr="00BD78F9">
        <w:rPr>
          <w:sz w:val="22"/>
          <w:szCs w:val="22"/>
          <w:lang w:val="sr-Latn-ME"/>
        </w:rPr>
        <w:t>Zato treba pratiti nivoe glukoze u krvi tokom l</w:t>
      </w:r>
      <w:r w:rsidR="004D0E29" w:rsidRPr="00BD78F9">
        <w:rPr>
          <w:sz w:val="22"/>
          <w:szCs w:val="22"/>
          <w:lang w:val="sr-Latn-ME"/>
        </w:rPr>
        <w:t>ij</w:t>
      </w:r>
      <w:r w:rsidRPr="00BD78F9">
        <w:rPr>
          <w:sz w:val="22"/>
          <w:szCs w:val="22"/>
          <w:lang w:val="sr-Latn-ME"/>
        </w:rPr>
        <w:t>ečenja u skladu sa utvrđenim sm</w:t>
      </w:r>
      <w:r w:rsidR="005277F8" w:rsidRPr="00BD78F9">
        <w:rPr>
          <w:sz w:val="22"/>
          <w:szCs w:val="22"/>
          <w:lang w:val="sr-Latn-ME"/>
        </w:rPr>
        <w:t>j</w:t>
      </w:r>
      <w:r w:rsidRPr="00BD78F9">
        <w:rPr>
          <w:sz w:val="22"/>
          <w:szCs w:val="22"/>
          <w:lang w:val="sr-Latn-ME"/>
        </w:rPr>
        <w:t xml:space="preserve">ernicama za </w:t>
      </w:r>
      <w:r w:rsidR="004D0E29" w:rsidRPr="00BD78F9">
        <w:rPr>
          <w:sz w:val="22"/>
          <w:szCs w:val="22"/>
          <w:lang w:val="sr-Latn-ME"/>
        </w:rPr>
        <w:t>liječenje</w:t>
      </w:r>
      <w:r w:rsidRPr="00BD78F9">
        <w:rPr>
          <w:sz w:val="22"/>
          <w:szCs w:val="22"/>
          <w:lang w:val="sr-Latn-ME"/>
        </w:rPr>
        <w:t xml:space="preserve"> pacijenata sa dijabetesom</w:t>
      </w:r>
      <w:r w:rsidRPr="00BD78F9">
        <w:rPr>
          <w:sz w:val="22"/>
          <w:lang w:val="sr-Latn-ME"/>
        </w:rPr>
        <w:t xml:space="preserve">. </w:t>
      </w:r>
    </w:p>
    <w:p w14:paraId="09093016" w14:textId="77777777" w:rsidR="00B73F2A" w:rsidRPr="00BD78F9" w:rsidRDefault="00B73F2A">
      <w:pPr>
        <w:tabs>
          <w:tab w:val="left" w:pos="284"/>
        </w:tabs>
        <w:jc w:val="both"/>
        <w:rPr>
          <w:rFonts w:eastAsia="SimSun"/>
          <w:sz w:val="22"/>
          <w:szCs w:val="22"/>
          <w:u w:val="single"/>
          <w:lang w:val="sr-Latn-ME"/>
        </w:rPr>
      </w:pPr>
    </w:p>
    <w:p w14:paraId="40867A55" w14:textId="4A7C185D" w:rsidR="00B73F2A" w:rsidRPr="00BD78F9" w:rsidRDefault="004D0E29">
      <w:pPr>
        <w:tabs>
          <w:tab w:val="left" w:pos="284"/>
        </w:tabs>
        <w:jc w:val="both"/>
        <w:rPr>
          <w:rFonts w:eastAsia="SimSun"/>
          <w:sz w:val="22"/>
          <w:szCs w:val="22"/>
          <w:u w:val="single"/>
          <w:lang w:val="sr-Latn-ME"/>
        </w:rPr>
      </w:pPr>
      <w:r w:rsidRPr="00BD78F9">
        <w:rPr>
          <w:rFonts w:eastAsia="SimSun"/>
          <w:sz w:val="22"/>
          <w:szCs w:val="22"/>
          <w:u w:val="single"/>
          <w:lang w:val="sr-Latn-ME"/>
        </w:rPr>
        <w:t>Istovremeno</w:t>
      </w:r>
      <w:r w:rsidR="00B73F2A" w:rsidRPr="00BD78F9">
        <w:rPr>
          <w:rFonts w:eastAsia="SimSun"/>
          <w:sz w:val="22"/>
          <w:szCs w:val="22"/>
          <w:u w:val="single"/>
          <w:lang w:val="sr-Latn-ME"/>
        </w:rPr>
        <w:t xml:space="preserve"> prisutna stanja</w:t>
      </w:r>
    </w:p>
    <w:p w14:paraId="020FED84" w14:textId="77777777" w:rsidR="00B73F2A" w:rsidRPr="00BD78F9" w:rsidRDefault="00B73F2A">
      <w:pPr>
        <w:tabs>
          <w:tab w:val="left" w:pos="284"/>
        </w:tabs>
        <w:jc w:val="both"/>
        <w:rPr>
          <w:rFonts w:eastAsia="SimSun"/>
          <w:sz w:val="22"/>
          <w:szCs w:val="22"/>
          <w:u w:val="single"/>
          <w:lang w:val="sr-Latn-ME"/>
        </w:rPr>
      </w:pPr>
    </w:p>
    <w:p w14:paraId="3817A43D" w14:textId="1F815A3D" w:rsidR="00B73F2A" w:rsidRPr="00BD78F9" w:rsidRDefault="00B73F2A">
      <w:pPr>
        <w:tabs>
          <w:tab w:val="left" w:pos="284"/>
        </w:tabs>
        <w:jc w:val="both"/>
        <w:rPr>
          <w:rFonts w:eastAsia="SimSun"/>
          <w:sz w:val="22"/>
          <w:szCs w:val="22"/>
          <w:lang w:val="sr-Latn-ME"/>
        </w:rPr>
      </w:pPr>
      <w:r w:rsidRPr="00BD78F9">
        <w:rPr>
          <w:sz w:val="22"/>
          <w:szCs w:val="22"/>
          <w:lang w:val="sr-Latn-ME"/>
        </w:rPr>
        <w:t xml:space="preserve">Ovaj </w:t>
      </w:r>
      <w:r w:rsidR="004D0E29" w:rsidRPr="00BD78F9">
        <w:rPr>
          <w:sz w:val="22"/>
          <w:szCs w:val="22"/>
          <w:lang w:val="sr-Latn-ME"/>
        </w:rPr>
        <w:t xml:space="preserve">lijek </w:t>
      </w:r>
      <w:r w:rsidRPr="00BD78F9">
        <w:rPr>
          <w:sz w:val="22"/>
          <w:szCs w:val="22"/>
          <w:lang w:val="sr-Latn-ME"/>
        </w:rPr>
        <w:t>treba koristiti oprezno kod pacijenata sa tirotoksikozom.</w:t>
      </w:r>
    </w:p>
    <w:p w14:paraId="7E049658" w14:textId="77777777" w:rsidR="00B73F2A" w:rsidRPr="00BD78F9" w:rsidRDefault="00B73F2A">
      <w:pPr>
        <w:tabs>
          <w:tab w:val="left" w:pos="284"/>
        </w:tabs>
        <w:jc w:val="both"/>
        <w:rPr>
          <w:rFonts w:eastAsia="SimSun"/>
          <w:sz w:val="22"/>
          <w:szCs w:val="22"/>
          <w:u w:val="single"/>
          <w:lang w:val="sr-Latn-ME"/>
        </w:rPr>
      </w:pPr>
    </w:p>
    <w:p w14:paraId="1108AB2D" w14:textId="214A5262" w:rsidR="00B73F2A" w:rsidRPr="00BD78F9" w:rsidRDefault="00B73F2A">
      <w:pPr>
        <w:tabs>
          <w:tab w:val="left" w:pos="284"/>
        </w:tabs>
        <w:jc w:val="both"/>
        <w:rPr>
          <w:rFonts w:eastAsia="SimSun"/>
          <w:sz w:val="22"/>
          <w:szCs w:val="22"/>
          <w:u w:val="single"/>
          <w:lang w:val="sr-Latn-ME"/>
        </w:rPr>
      </w:pPr>
      <w:r w:rsidRPr="00BD78F9">
        <w:rPr>
          <w:rFonts w:eastAsia="SimSun"/>
          <w:sz w:val="22"/>
          <w:szCs w:val="22"/>
          <w:u w:val="single"/>
          <w:lang w:val="sr-Latn-ME"/>
        </w:rPr>
        <w:t>Antiholinergi</w:t>
      </w:r>
      <w:r w:rsidR="00FE0F45" w:rsidRPr="00BD78F9">
        <w:rPr>
          <w:rFonts w:eastAsia="SimSun"/>
          <w:sz w:val="22"/>
          <w:szCs w:val="22"/>
          <w:u w:val="single"/>
          <w:lang w:val="sr-Latn-ME"/>
        </w:rPr>
        <w:t>čka</w:t>
      </w:r>
      <w:r w:rsidRPr="00BD78F9">
        <w:rPr>
          <w:rFonts w:eastAsia="SimSun"/>
          <w:sz w:val="22"/>
          <w:szCs w:val="22"/>
          <w:u w:val="single"/>
          <w:lang w:val="sr-Latn-ME"/>
        </w:rPr>
        <w:t xml:space="preserve"> aktivnost</w:t>
      </w:r>
    </w:p>
    <w:p w14:paraId="149BA4E8" w14:textId="77777777" w:rsidR="00B73F2A" w:rsidRPr="00BD78F9" w:rsidRDefault="00B73F2A">
      <w:pPr>
        <w:tabs>
          <w:tab w:val="left" w:pos="284"/>
        </w:tabs>
        <w:jc w:val="both"/>
        <w:rPr>
          <w:rFonts w:eastAsia="TimesNewRoman"/>
          <w:sz w:val="22"/>
          <w:szCs w:val="22"/>
          <w:lang w:val="sr-Latn-ME"/>
        </w:rPr>
      </w:pPr>
    </w:p>
    <w:p w14:paraId="32121DAB" w14:textId="3B47371E" w:rsidR="00B73F2A" w:rsidRPr="00BD78F9" w:rsidRDefault="00B73F2A">
      <w:pPr>
        <w:tabs>
          <w:tab w:val="left" w:pos="284"/>
        </w:tabs>
        <w:jc w:val="both"/>
        <w:rPr>
          <w:rFonts w:eastAsia="TimesNewRoman"/>
          <w:sz w:val="22"/>
          <w:szCs w:val="22"/>
          <w:lang w:val="sr-Latn-ME"/>
        </w:rPr>
      </w:pPr>
      <w:r w:rsidRPr="00BD78F9">
        <w:rPr>
          <w:sz w:val="22"/>
          <w:szCs w:val="22"/>
          <w:lang w:val="sr-Latn-ME"/>
        </w:rPr>
        <w:t>Zbog njegove antiholinergi</w:t>
      </w:r>
      <w:r w:rsidR="00CC7002" w:rsidRPr="00BD78F9">
        <w:rPr>
          <w:sz w:val="22"/>
          <w:szCs w:val="22"/>
          <w:lang w:val="sr-Latn-ME"/>
        </w:rPr>
        <w:t>čke</w:t>
      </w:r>
      <w:r w:rsidRPr="00BD78F9">
        <w:rPr>
          <w:sz w:val="22"/>
          <w:szCs w:val="22"/>
          <w:lang w:val="sr-Latn-ME"/>
        </w:rPr>
        <w:t xml:space="preserve"> aktivnosti, ovaj </w:t>
      </w:r>
      <w:r w:rsidR="004D0E29" w:rsidRPr="00BD78F9">
        <w:rPr>
          <w:sz w:val="22"/>
          <w:szCs w:val="22"/>
          <w:lang w:val="sr-Latn-ME"/>
        </w:rPr>
        <w:t xml:space="preserve">lijek </w:t>
      </w:r>
      <w:r w:rsidRPr="00BD78F9">
        <w:rPr>
          <w:sz w:val="22"/>
          <w:szCs w:val="22"/>
          <w:lang w:val="sr-Latn-ME"/>
        </w:rPr>
        <w:t>treba oprezno prim</w:t>
      </w:r>
      <w:r w:rsidR="004D0E29" w:rsidRPr="00BD78F9">
        <w:rPr>
          <w:sz w:val="22"/>
          <w:szCs w:val="22"/>
          <w:lang w:val="sr-Latn-ME"/>
        </w:rPr>
        <w:t>j</w:t>
      </w:r>
      <w:r w:rsidRPr="00BD78F9">
        <w:rPr>
          <w:sz w:val="22"/>
          <w:szCs w:val="22"/>
          <w:lang w:val="sr-Latn-ME"/>
        </w:rPr>
        <w:t xml:space="preserve">enjivati kod pacijenata sa simptomatskom hiperplazijom prostate, retencijom urina ili glaukomom uskog ugla. Pacijente treba upoznati sa znacima i simptomima akutnog glaukoma uskog ugla i reći im da u slučaju razvoja bilo kog od tih znaka ili simptoma prestanu da </w:t>
      </w:r>
      <w:r w:rsidR="004D0E29" w:rsidRPr="00BD78F9">
        <w:rPr>
          <w:sz w:val="22"/>
          <w:szCs w:val="22"/>
          <w:lang w:val="sr-Latn-ME"/>
        </w:rPr>
        <w:t>primjenjuju</w:t>
      </w:r>
      <w:r w:rsidRPr="00BD78F9">
        <w:rPr>
          <w:sz w:val="22"/>
          <w:szCs w:val="22"/>
          <w:lang w:val="sr-Latn-ME"/>
        </w:rPr>
        <w:t xml:space="preserve"> ovaj </w:t>
      </w:r>
      <w:r w:rsidR="004D0E29" w:rsidRPr="00BD78F9">
        <w:rPr>
          <w:sz w:val="22"/>
          <w:szCs w:val="22"/>
          <w:lang w:val="sr-Latn-ME"/>
        </w:rPr>
        <w:t xml:space="preserve">lijek </w:t>
      </w:r>
      <w:r w:rsidRPr="00BD78F9">
        <w:rPr>
          <w:sz w:val="22"/>
          <w:szCs w:val="22"/>
          <w:lang w:val="sr-Latn-ME"/>
        </w:rPr>
        <w:t xml:space="preserve">i da se odmah obrate </w:t>
      </w:r>
      <w:r w:rsidR="004D0E29" w:rsidRPr="00BD78F9">
        <w:rPr>
          <w:sz w:val="22"/>
          <w:szCs w:val="22"/>
          <w:lang w:val="sr-Latn-ME"/>
        </w:rPr>
        <w:t>ljekaru</w:t>
      </w:r>
      <w:r w:rsidRPr="00BD78F9">
        <w:rPr>
          <w:sz w:val="22"/>
          <w:szCs w:val="22"/>
          <w:lang w:val="sr-Latn-ME"/>
        </w:rPr>
        <w:t>.</w:t>
      </w:r>
    </w:p>
    <w:p w14:paraId="7C08E43C" w14:textId="77777777" w:rsidR="00B73F2A" w:rsidRPr="00BD78F9" w:rsidRDefault="00B73F2A">
      <w:pPr>
        <w:tabs>
          <w:tab w:val="left" w:pos="284"/>
        </w:tabs>
        <w:jc w:val="both"/>
        <w:rPr>
          <w:rFonts w:eastAsia="TimesNewRoman"/>
          <w:sz w:val="22"/>
          <w:szCs w:val="22"/>
          <w:lang w:val="sr-Latn-ME"/>
        </w:rPr>
      </w:pPr>
    </w:p>
    <w:p w14:paraId="7C28DE0F" w14:textId="541F12F1" w:rsidR="00B73F2A" w:rsidRPr="00BD78F9" w:rsidRDefault="00B73F2A">
      <w:pPr>
        <w:tabs>
          <w:tab w:val="left" w:pos="284"/>
        </w:tabs>
        <w:jc w:val="both"/>
        <w:rPr>
          <w:rFonts w:eastAsia="TimesNewRoman"/>
          <w:sz w:val="22"/>
          <w:szCs w:val="22"/>
          <w:lang w:val="sr-Latn-ME"/>
        </w:rPr>
      </w:pPr>
      <w:r w:rsidRPr="00BD78F9">
        <w:rPr>
          <w:sz w:val="22"/>
          <w:szCs w:val="22"/>
          <w:lang w:val="sr-Latn-ME"/>
        </w:rPr>
        <w:t xml:space="preserve">Ne preporučuje se </w:t>
      </w:r>
      <w:r w:rsidR="004D0E29" w:rsidRPr="00BD78F9">
        <w:rPr>
          <w:sz w:val="22"/>
          <w:szCs w:val="22"/>
          <w:lang w:val="sr-Latn-ME"/>
        </w:rPr>
        <w:t>istovremena</w:t>
      </w:r>
      <w:r w:rsidRPr="00BD78F9">
        <w:rPr>
          <w:sz w:val="22"/>
          <w:szCs w:val="22"/>
          <w:lang w:val="sr-Latn-ME"/>
        </w:rPr>
        <w:t xml:space="preserve"> </w:t>
      </w:r>
      <w:r w:rsidR="004D0E29" w:rsidRPr="00BD78F9">
        <w:rPr>
          <w:sz w:val="22"/>
          <w:szCs w:val="22"/>
          <w:lang w:val="sr-Latn-ME"/>
        </w:rPr>
        <w:t>primjena</w:t>
      </w:r>
      <w:r w:rsidRPr="00BD78F9">
        <w:rPr>
          <w:sz w:val="22"/>
          <w:szCs w:val="22"/>
          <w:lang w:val="sr-Latn-ME"/>
        </w:rPr>
        <w:t xml:space="preserve"> ovog </w:t>
      </w:r>
      <w:r w:rsidR="004D0E29" w:rsidRPr="00BD78F9">
        <w:rPr>
          <w:sz w:val="22"/>
          <w:szCs w:val="22"/>
          <w:lang w:val="sr-Latn-ME"/>
        </w:rPr>
        <w:t xml:space="preserve">lijeka </w:t>
      </w:r>
      <w:r w:rsidRPr="00BD78F9">
        <w:rPr>
          <w:sz w:val="22"/>
          <w:szCs w:val="22"/>
          <w:lang w:val="sr-Latn-ME"/>
        </w:rPr>
        <w:t xml:space="preserve">i drugih </w:t>
      </w:r>
      <w:r w:rsidR="004D0E29" w:rsidRPr="00BD78F9">
        <w:rPr>
          <w:sz w:val="22"/>
          <w:szCs w:val="22"/>
          <w:lang w:val="sr-Latn-ME"/>
        </w:rPr>
        <w:t>ljekova</w:t>
      </w:r>
      <w:r w:rsidRPr="00BD78F9">
        <w:rPr>
          <w:sz w:val="22"/>
          <w:szCs w:val="22"/>
          <w:lang w:val="sr-Latn-ME"/>
        </w:rPr>
        <w:t xml:space="preserve"> koji sadrže antiholinergike (</w:t>
      </w:r>
      <w:r w:rsidR="004D0E29" w:rsidRPr="00BD78F9">
        <w:rPr>
          <w:sz w:val="22"/>
          <w:szCs w:val="22"/>
          <w:lang w:val="sr-Latn-ME"/>
        </w:rPr>
        <w:t>vidjeti</w:t>
      </w:r>
      <w:r w:rsidRPr="00BD78F9">
        <w:rPr>
          <w:sz w:val="22"/>
          <w:szCs w:val="22"/>
          <w:lang w:val="sr-Latn-ME"/>
        </w:rPr>
        <w:t xml:space="preserve"> </w:t>
      </w:r>
      <w:r w:rsidR="004D0E29" w:rsidRPr="00BD78F9">
        <w:rPr>
          <w:sz w:val="22"/>
          <w:szCs w:val="22"/>
          <w:lang w:val="sr-Latn-ME"/>
        </w:rPr>
        <w:t>odjeljak</w:t>
      </w:r>
      <w:r w:rsidRPr="00BD78F9">
        <w:rPr>
          <w:sz w:val="22"/>
          <w:szCs w:val="22"/>
          <w:lang w:val="sr-Latn-ME"/>
        </w:rPr>
        <w:t xml:space="preserve"> 4.5). </w:t>
      </w:r>
    </w:p>
    <w:p w14:paraId="46DBE6DA" w14:textId="77777777" w:rsidR="00B73F2A" w:rsidRPr="00BD78F9" w:rsidRDefault="00B73F2A">
      <w:pPr>
        <w:tabs>
          <w:tab w:val="left" w:pos="284"/>
        </w:tabs>
        <w:jc w:val="both"/>
        <w:rPr>
          <w:rFonts w:eastAsia="SimSun"/>
          <w:sz w:val="22"/>
          <w:szCs w:val="22"/>
          <w:lang w:val="sr-Latn-ME"/>
        </w:rPr>
      </w:pPr>
    </w:p>
    <w:p w14:paraId="7D340758" w14:textId="77777777" w:rsidR="00B73F2A" w:rsidRPr="00BD78F9" w:rsidRDefault="00B73F2A">
      <w:pPr>
        <w:tabs>
          <w:tab w:val="left" w:pos="284"/>
        </w:tabs>
        <w:jc w:val="both"/>
        <w:rPr>
          <w:rFonts w:eastAsia="SimSun"/>
          <w:sz w:val="22"/>
          <w:szCs w:val="22"/>
          <w:u w:val="single"/>
          <w:lang w:val="sr-Latn-ME"/>
        </w:rPr>
      </w:pPr>
      <w:r w:rsidRPr="00BD78F9">
        <w:rPr>
          <w:rFonts w:eastAsia="SimSun"/>
          <w:sz w:val="22"/>
          <w:szCs w:val="22"/>
          <w:u w:val="single"/>
          <w:lang w:val="sr-Latn-ME"/>
        </w:rPr>
        <w:t xml:space="preserve">Oštećenje funkcije bubrega </w:t>
      </w:r>
    </w:p>
    <w:p w14:paraId="500AA61E" w14:textId="77777777" w:rsidR="00B73F2A" w:rsidRPr="00BD78F9" w:rsidRDefault="00B73F2A">
      <w:pPr>
        <w:tabs>
          <w:tab w:val="left" w:pos="284"/>
        </w:tabs>
        <w:jc w:val="both"/>
        <w:rPr>
          <w:rFonts w:eastAsia="TimesNewRoman"/>
          <w:sz w:val="22"/>
          <w:lang w:val="sr-Latn-ME"/>
        </w:rPr>
      </w:pPr>
    </w:p>
    <w:p w14:paraId="43939D26" w14:textId="2BC622ED" w:rsidR="00B73F2A" w:rsidRPr="00BD78F9" w:rsidRDefault="00B73F2A">
      <w:pPr>
        <w:tabs>
          <w:tab w:val="left" w:pos="284"/>
        </w:tabs>
        <w:jc w:val="both"/>
        <w:rPr>
          <w:rFonts w:eastAsia="TimesNewRoman"/>
          <w:sz w:val="22"/>
          <w:lang w:val="sr-Latn-ME"/>
        </w:rPr>
      </w:pPr>
      <w:r w:rsidRPr="00BD78F9">
        <w:rPr>
          <w:sz w:val="22"/>
          <w:lang w:val="sr-Latn-ME"/>
        </w:rPr>
        <w:t>Pošto se glikopironijum pretežno izlučuje putem bubrega, pacijente sa teškim oštećenjem funkcije bubrega (klirens kreatinina &lt;30</w:t>
      </w:r>
      <w:r w:rsidR="00925438" w:rsidRPr="00BD78F9">
        <w:rPr>
          <w:sz w:val="22"/>
          <w:lang w:val="sr-Latn-ME"/>
        </w:rPr>
        <w:t xml:space="preserve"> </w:t>
      </w:r>
      <w:r w:rsidRPr="00BD78F9">
        <w:rPr>
          <w:sz w:val="22"/>
          <w:lang w:val="sr-Latn-ME"/>
        </w:rPr>
        <w:t>ml/min), uključujući one u završnom stadijumu bubrežne bolesti kojima je potrebna dijaliza, treba l</w:t>
      </w:r>
      <w:r w:rsidR="004D0E29" w:rsidRPr="00BD78F9">
        <w:rPr>
          <w:sz w:val="22"/>
          <w:lang w:val="sr-Latn-ME"/>
        </w:rPr>
        <w:t>ij</w:t>
      </w:r>
      <w:r w:rsidRPr="00BD78F9">
        <w:rPr>
          <w:sz w:val="22"/>
          <w:lang w:val="sr-Latn-ME"/>
        </w:rPr>
        <w:t xml:space="preserve">ečiti </w:t>
      </w:r>
      <w:r w:rsidRPr="00BD78F9">
        <w:rPr>
          <w:sz w:val="22"/>
          <w:szCs w:val="22"/>
          <w:lang w:val="sr-Latn-ME"/>
        </w:rPr>
        <w:t>ovim l</w:t>
      </w:r>
      <w:r w:rsidR="004D0E29" w:rsidRPr="00BD78F9">
        <w:rPr>
          <w:sz w:val="22"/>
          <w:szCs w:val="22"/>
          <w:lang w:val="sr-Latn-ME"/>
        </w:rPr>
        <w:t>ij</w:t>
      </w:r>
      <w:r w:rsidRPr="00BD78F9">
        <w:rPr>
          <w:sz w:val="22"/>
          <w:szCs w:val="22"/>
          <w:lang w:val="sr-Latn-ME"/>
        </w:rPr>
        <w:t>ekom</w:t>
      </w:r>
      <w:r w:rsidRPr="00BD78F9">
        <w:rPr>
          <w:sz w:val="22"/>
          <w:lang w:val="sr-Latn-ME"/>
        </w:rPr>
        <w:t xml:space="preserve"> samo ako očekivana korist </w:t>
      </w:r>
      <w:r w:rsidR="008C256F" w:rsidRPr="00BD78F9">
        <w:rPr>
          <w:sz w:val="22"/>
          <w:lang w:val="sr-Latn-ME"/>
        </w:rPr>
        <w:t xml:space="preserve">prevazilazi </w:t>
      </w:r>
      <w:r w:rsidRPr="00BD78F9">
        <w:rPr>
          <w:sz w:val="22"/>
          <w:lang w:val="sr-Latn-ME"/>
        </w:rPr>
        <w:t>potencijalni rizik (</w:t>
      </w:r>
      <w:r w:rsidR="004D0E29" w:rsidRPr="00BD78F9">
        <w:rPr>
          <w:sz w:val="22"/>
          <w:lang w:val="sr-Latn-ME"/>
        </w:rPr>
        <w:t>vidjeti</w:t>
      </w:r>
      <w:r w:rsidRPr="00BD78F9">
        <w:rPr>
          <w:sz w:val="22"/>
          <w:lang w:val="sr-Latn-ME"/>
        </w:rPr>
        <w:t xml:space="preserve"> </w:t>
      </w:r>
      <w:r w:rsidR="004D0E29" w:rsidRPr="00BD78F9">
        <w:rPr>
          <w:sz w:val="22"/>
          <w:lang w:val="sr-Latn-ME"/>
        </w:rPr>
        <w:t>odjeljak</w:t>
      </w:r>
      <w:r w:rsidRPr="00BD78F9">
        <w:rPr>
          <w:sz w:val="22"/>
          <w:lang w:val="sr-Latn-ME"/>
        </w:rPr>
        <w:t xml:space="preserve"> 5.2).  </w:t>
      </w:r>
    </w:p>
    <w:p w14:paraId="110082E4" w14:textId="77777777" w:rsidR="00B73F2A" w:rsidRPr="00BD78F9" w:rsidRDefault="00B73F2A">
      <w:pPr>
        <w:tabs>
          <w:tab w:val="left" w:pos="284"/>
        </w:tabs>
        <w:jc w:val="both"/>
        <w:rPr>
          <w:rFonts w:eastAsia="TimesNewRoman"/>
          <w:sz w:val="22"/>
          <w:lang w:val="sr-Latn-ME"/>
        </w:rPr>
      </w:pPr>
    </w:p>
    <w:p w14:paraId="5BAA0E43" w14:textId="77777777" w:rsidR="00B73F2A" w:rsidRPr="00BD78F9" w:rsidRDefault="00B73F2A">
      <w:pPr>
        <w:tabs>
          <w:tab w:val="left" w:pos="284"/>
        </w:tabs>
        <w:jc w:val="both"/>
        <w:rPr>
          <w:rFonts w:eastAsia="TimesNewRoman"/>
          <w:sz w:val="22"/>
          <w:u w:val="single"/>
          <w:lang w:val="sr-Latn-ME"/>
        </w:rPr>
      </w:pPr>
      <w:r w:rsidRPr="00BD78F9">
        <w:rPr>
          <w:rFonts w:eastAsia="TimesNewRoman"/>
          <w:sz w:val="22"/>
          <w:u w:val="single"/>
          <w:lang w:val="sr-Latn-ME"/>
        </w:rPr>
        <w:t xml:space="preserve">Oštećenje funkcije jetre </w:t>
      </w:r>
    </w:p>
    <w:p w14:paraId="25F20B57" w14:textId="77777777" w:rsidR="00B73F2A" w:rsidRPr="00BD78F9" w:rsidRDefault="00B73F2A">
      <w:pPr>
        <w:tabs>
          <w:tab w:val="left" w:pos="284"/>
        </w:tabs>
        <w:jc w:val="both"/>
        <w:rPr>
          <w:sz w:val="22"/>
          <w:lang w:val="sr-Latn-ME"/>
        </w:rPr>
      </w:pPr>
    </w:p>
    <w:p w14:paraId="51A9CAC4" w14:textId="6B36B829" w:rsidR="00B73F2A" w:rsidRPr="00BD78F9" w:rsidRDefault="00B73F2A">
      <w:pPr>
        <w:tabs>
          <w:tab w:val="left" w:pos="284"/>
        </w:tabs>
        <w:jc w:val="both"/>
        <w:rPr>
          <w:sz w:val="22"/>
          <w:lang w:val="sr-Latn-ME"/>
        </w:rPr>
      </w:pPr>
      <w:r w:rsidRPr="00BD78F9">
        <w:rPr>
          <w:sz w:val="22"/>
          <w:lang w:val="sr-Latn-ME"/>
        </w:rPr>
        <w:t xml:space="preserve">Kod pacijenata sa teškim oštećenjem funkcije jetre </w:t>
      </w:r>
      <w:r w:rsidRPr="00BD78F9">
        <w:rPr>
          <w:sz w:val="22"/>
          <w:szCs w:val="22"/>
          <w:lang w:val="sr-Latn-ME"/>
        </w:rPr>
        <w:t xml:space="preserve">ovaj </w:t>
      </w:r>
      <w:r w:rsidR="004D0E29" w:rsidRPr="00BD78F9">
        <w:rPr>
          <w:sz w:val="22"/>
          <w:szCs w:val="22"/>
          <w:lang w:val="sr-Latn-ME"/>
        </w:rPr>
        <w:t xml:space="preserve">lijek </w:t>
      </w:r>
      <w:r w:rsidRPr="00BD78F9">
        <w:rPr>
          <w:sz w:val="22"/>
          <w:lang w:val="sr-Latn-ME"/>
        </w:rPr>
        <w:t>treba prim</w:t>
      </w:r>
      <w:r w:rsidR="004D0E29" w:rsidRPr="00BD78F9">
        <w:rPr>
          <w:sz w:val="22"/>
          <w:lang w:val="sr-Latn-ME"/>
        </w:rPr>
        <w:t>j</w:t>
      </w:r>
      <w:r w:rsidRPr="00BD78F9">
        <w:rPr>
          <w:sz w:val="22"/>
          <w:lang w:val="sr-Latn-ME"/>
        </w:rPr>
        <w:t xml:space="preserve">enjivati samo ako očekivana korist </w:t>
      </w:r>
      <w:r w:rsidR="008C256F" w:rsidRPr="00BD78F9">
        <w:rPr>
          <w:sz w:val="22"/>
          <w:lang w:val="sr-Latn-ME"/>
        </w:rPr>
        <w:t xml:space="preserve">prevazilazi </w:t>
      </w:r>
      <w:r w:rsidRPr="00BD78F9">
        <w:rPr>
          <w:sz w:val="22"/>
          <w:lang w:val="sr-Latn-ME"/>
        </w:rPr>
        <w:t>potencijalni rizik (</w:t>
      </w:r>
      <w:r w:rsidR="004D0E29" w:rsidRPr="00BD78F9">
        <w:rPr>
          <w:sz w:val="22"/>
          <w:lang w:val="sr-Latn-ME"/>
        </w:rPr>
        <w:t>vidjeti</w:t>
      </w:r>
      <w:r w:rsidRPr="00BD78F9">
        <w:rPr>
          <w:sz w:val="22"/>
          <w:lang w:val="sr-Latn-ME"/>
        </w:rPr>
        <w:t xml:space="preserve"> </w:t>
      </w:r>
      <w:r w:rsidR="004D0E29" w:rsidRPr="00BD78F9">
        <w:rPr>
          <w:sz w:val="22"/>
          <w:lang w:val="sr-Latn-ME"/>
        </w:rPr>
        <w:t>odjeljak</w:t>
      </w:r>
      <w:r w:rsidRPr="00BD78F9">
        <w:rPr>
          <w:sz w:val="22"/>
          <w:lang w:val="sr-Latn-ME"/>
        </w:rPr>
        <w:t xml:space="preserve"> 5.2). Te pacijente treba pratiti zbog pojave eventualnih neželjenih reakcija.</w:t>
      </w:r>
    </w:p>
    <w:p w14:paraId="540E1CA1" w14:textId="77777777" w:rsidR="00B73F2A" w:rsidRPr="00BD78F9" w:rsidRDefault="00B73F2A" w:rsidP="00271855">
      <w:pPr>
        <w:tabs>
          <w:tab w:val="left" w:pos="540"/>
          <w:tab w:val="left" w:pos="569"/>
        </w:tabs>
        <w:jc w:val="both"/>
        <w:rPr>
          <w:bCs/>
          <w:sz w:val="22"/>
          <w:szCs w:val="22"/>
          <w:lang w:val="sr-Latn-ME"/>
        </w:rPr>
      </w:pPr>
    </w:p>
    <w:p w14:paraId="52F400C9" w14:textId="2D43E379" w:rsidR="0079247C" w:rsidRPr="00BD78F9" w:rsidRDefault="00411B4B" w:rsidP="00271855">
      <w:pPr>
        <w:tabs>
          <w:tab w:val="left" w:pos="540"/>
          <w:tab w:val="left" w:pos="569"/>
        </w:tabs>
        <w:jc w:val="both"/>
        <w:rPr>
          <w:b/>
          <w:bCs/>
          <w:sz w:val="22"/>
          <w:szCs w:val="22"/>
          <w:lang w:val="sr-Latn-ME"/>
        </w:rPr>
      </w:pPr>
      <w:r w:rsidRPr="00BD78F9">
        <w:rPr>
          <w:b/>
          <w:bCs/>
          <w:sz w:val="22"/>
          <w:szCs w:val="22"/>
          <w:lang w:val="sr-Latn-ME"/>
        </w:rPr>
        <w:t>4.5.</w:t>
      </w:r>
      <w:r w:rsidR="000D60CC" w:rsidRPr="00BD78F9">
        <w:rPr>
          <w:b/>
          <w:bCs/>
          <w:sz w:val="22"/>
          <w:szCs w:val="22"/>
          <w:lang w:val="sr-Latn-ME"/>
        </w:rPr>
        <w:tab/>
      </w:r>
      <w:r w:rsidRPr="00BD78F9">
        <w:rPr>
          <w:b/>
          <w:bCs/>
          <w:sz w:val="22"/>
          <w:szCs w:val="22"/>
          <w:lang w:val="sr-Latn-ME"/>
        </w:rPr>
        <w:t>Interakcije sa drugim ljekovima i druge vrste interakcija</w:t>
      </w:r>
    </w:p>
    <w:p w14:paraId="3BA09118" w14:textId="0C5221D1" w:rsidR="0079247C" w:rsidRPr="00BD78F9" w:rsidRDefault="0079247C" w:rsidP="00271855">
      <w:pPr>
        <w:tabs>
          <w:tab w:val="left" w:pos="540"/>
          <w:tab w:val="left" w:pos="569"/>
        </w:tabs>
        <w:jc w:val="both"/>
        <w:rPr>
          <w:bCs/>
          <w:sz w:val="22"/>
          <w:szCs w:val="22"/>
          <w:lang w:val="sr-Latn-ME"/>
        </w:rPr>
      </w:pPr>
    </w:p>
    <w:p w14:paraId="17281A0A" w14:textId="77777777" w:rsidR="00B73F2A" w:rsidRPr="00BD78F9" w:rsidRDefault="00B73F2A" w:rsidP="000A71FF">
      <w:pPr>
        <w:tabs>
          <w:tab w:val="left" w:pos="284"/>
        </w:tabs>
        <w:jc w:val="both"/>
        <w:rPr>
          <w:noProof/>
          <w:sz w:val="22"/>
          <w:u w:val="single"/>
          <w:lang w:val="sr-Latn-ME"/>
        </w:rPr>
      </w:pPr>
      <w:r w:rsidRPr="00BD78F9">
        <w:rPr>
          <w:noProof/>
          <w:sz w:val="22"/>
          <w:u w:val="single"/>
          <w:lang w:val="sr-Latn-ME"/>
        </w:rPr>
        <w:t>Farmakokinetičke interakcije</w:t>
      </w:r>
    </w:p>
    <w:p w14:paraId="787BBE0E" w14:textId="77777777" w:rsidR="00B73F2A" w:rsidRPr="00BD78F9" w:rsidRDefault="00B73F2A" w:rsidP="000A71FF">
      <w:pPr>
        <w:tabs>
          <w:tab w:val="left" w:pos="284"/>
        </w:tabs>
        <w:jc w:val="both"/>
        <w:rPr>
          <w:noProof/>
          <w:sz w:val="22"/>
          <w:lang w:val="sr-Latn-ME"/>
        </w:rPr>
      </w:pPr>
    </w:p>
    <w:p w14:paraId="3E3729C7" w14:textId="5CE3CD2D" w:rsidR="00B73F2A" w:rsidRPr="00BD78F9" w:rsidRDefault="004D0E29" w:rsidP="007019B9">
      <w:pPr>
        <w:tabs>
          <w:tab w:val="left" w:pos="284"/>
        </w:tabs>
        <w:autoSpaceDE w:val="0"/>
        <w:autoSpaceDN w:val="0"/>
        <w:adjustRightInd w:val="0"/>
        <w:ind w:right="-23"/>
        <w:jc w:val="both"/>
        <w:rPr>
          <w:noProof/>
          <w:sz w:val="22"/>
          <w:szCs w:val="22"/>
          <w:lang w:val="sr-Latn-ME"/>
        </w:rPr>
      </w:pPr>
      <w:r w:rsidRPr="00BD78F9">
        <w:rPr>
          <w:noProof/>
          <w:sz w:val="22"/>
          <w:szCs w:val="22"/>
          <w:lang w:val="sr-Latn-ME"/>
        </w:rPr>
        <w:t>Nijesu</w:t>
      </w:r>
      <w:r w:rsidR="00B73F2A" w:rsidRPr="00BD78F9">
        <w:rPr>
          <w:noProof/>
          <w:sz w:val="22"/>
          <w:szCs w:val="22"/>
          <w:lang w:val="sr-Latn-ME"/>
        </w:rPr>
        <w:t xml:space="preserve"> sprovedene kliničke studije interakcija između ovog </w:t>
      </w:r>
      <w:r w:rsidRPr="00BD78F9">
        <w:rPr>
          <w:sz w:val="22"/>
          <w:szCs w:val="22"/>
          <w:lang w:val="sr-Latn-ME"/>
        </w:rPr>
        <w:t xml:space="preserve">lijeka </w:t>
      </w:r>
      <w:r w:rsidR="00B73F2A" w:rsidRPr="00BD78F9">
        <w:rPr>
          <w:noProof/>
          <w:sz w:val="22"/>
          <w:szCs w:val="22"/>
          <w:lang w:val="sr-Latn-ME"/>
        </w:rPr>
        <w:t xml:space="preserve">i drugih </w:t>
      </w:r>
      <w:r w:rsidRPr="00BD78F9">
        <w:rPr>
          <w:noProof/>
          <w:sz w:val="22"/>
          <w:szCs w:val="22"/>
          <w:lang w:val="sr-Latn-ME"/>
        </w:rPr>
        <w:t>ljekova</w:t>
      </w:r>
      <w:r w:rsidR="00B73F2A" w:rsidRPr="00BD78F9">
        <w:rPr>
          <w:noProof/>
          <w:sz w:val="22"/>
          <w:szCs w:val="22"/>
          <w:lang w:val="sr-Latn-ME"/>
        </w:rPr>
        <w:t xml:space="preserve">, ali na osnovu podataka iz </w:t>
      </w:r>
      <w:r w:rsidR="00B73F2A" w:rsidRPr="00BD78F9">
        <w:rPr>
          <w:i/>
          <w:iCs/>
          <w:noProof/>
          <w:sz w:val="22"/>
          <w:szCs w:val="22"/>
          <w:lang w:val="sr-Latn-ME"/>
        </w:rPr>
        <w:t>in vitro</w:t>
      </w:r>
      <w:r w:rsidR="00B73F2A" w:rsidRPr="00BD78F9">
        <w:rPr>
          <w:noProof/>
          <w:sz w:val="22"/>
          <w:szCs w:val="22"/>
          <w:lang w:val="sr-Latn-ME"/>
        </w:rPr>
        <w:t xml:space="preserve"> studija, smatra se da je potencijal za metaboličke interakcije mali (</w:t>
      </w:r>
      <w:r w:rsidRPr="00BD78F9">
        <w:rPr>
          <w:noProof/>
          <w:sz w:val="22"/>
          <w:szCs w:val="22"/>
          <w:lang w:val="sr-Latn-ME"/>
        </w:rPr>
        <w:t>vidjeti</w:t>
      </w:r>
      <w:r w:rsidR="00B73F2A" w:rsidRPr="00BD78F9">
        <w:rPr>
          <w:noProof/>
          <w:sz w:val="22"/>
          <w:szCs w:val="22"/>
          <w:lang w:val="sr-Latn-ME"/>
        </w:rPr>
        <w:t xml:space="preserve"> </w:t>
      </w:r>
      <w:r w:rsidRPr="00BD78F9">
        <w:rPr>
          <w:noProof/>
          <w:sz w:val="22"/>
          <w:szCs w:val="22"/>
          <w:lang w:val="sr-Latn-ME"/>
        </w:rPr>
        <w:t>odjeljak</w:t>
      </w:r>
      <w:r w:rsidR="00B73F2A" w:rsidRPr="00BD78F9">
        <w:rPr>
          <w:noProof/>
          <w:sz w:val="22"/>
          <w:szCs w:val="22"/>
          <w:lang w:val="sr-Latn-ME"/>
        </w:rPr>
        <w:t xml:space="preserve"> 5.2).</w:t>
      </w:r>
    </w:p>
    <w:p w14:paraId="654A9986" w14:textId="77777777" w:rsidR="00B73F2A" w:rsidRPr="00BD78F9" w:rsidRDefault="00B73F2A" w:rsidP="00A52822">
      <w:pPr>
        <w:tabs>
          <w:tab w:val="left" w:pos="284"/>
        </w:tabs>
        <w:autoSpaceDE w:val="0"/>
        <w:autoSpaceDN w:val="0"/>
        <w:adjustRightInd w:val="0"/>
        <w:ind w:right="-23"/>
        <w:jc w:val="both"/>
        <w:rPr>
          <w:noProof/>
          <w:sz w:val="22"/>
          <w:szCs w:val="22"/>
          <w:lang w:val="sr-Latn-ME"/>
        </w:rPr>
      </w:pPr>
    </w:p>
    <w:p w14:paraId="79F08889" w14:textId="52616331" w:rsidR="00B73F2A" w:rsidRPr="00BD78F9" w:rsidRDefault="00B73F2A">
      <w:pPr>
        <w:tabs>
          <w:tab w:val="left" w:pos="284"/>
        </w:tabs>
        <w:autoSpaceDE w:val="0"/>
        <w:autoSpaceDN w:val="0"/>
        <w:adjustRightInd w:val="0"/>
        <w:ind w:right="-23"/>
        <w:jc w:val="both"/>
        <w:rPr>
          <w:rFonts w:eastAsia="TimesNewRoman"/>
          <w:sz w:val="22"/>
          <w:lang w:val="sr-Latn-ME"/>
        </w:rPr>
      </w:pPr>
      <w:r w:rsidRPr="00BD78F9">
        <w:rPr>
          <w:noProof/>
          <w:sz w:val="22"/>
          <w:lang w:val="sr-Latn-ME"/>
        </w:rPr>
        <w:lastRenderedPageBreak/>
        <w:t>Formoterol ne inhibira enzime CYP450 u terapijski relevantnim koncentracijama (</w:t>
      </w:r>
      <w:r w:rsidR="004D0E29" w:rsidRPr="00BD78F9">
        <w:rPr>
          <w:noProof/>
          <w:sz w:val="22"/>
          <w:lang w:val="sr-Latn-ME"/>
        </w:rPr>
        <w:t>vidjeti</w:t>
      </w:r>
      <w:r w:rsidRPr="00BD78F9">
        <w:rPr>
          <w:noProof/>
          <w:sz w:val="22"/>
          <w:lang w:val="sr-Latn-ME"/>
        </w:rPr>
        <w:t xml:space="preserve"> </w:t>
      </w:r>
      <w:r w:rsidR="004D0E29" w:rsidRPr="00BD78F9">
        <w:rPr>
          <w:noProof/>
          <w:sz w:val="22"/>
          <w:lang w:val="sr-Latn-ME"/>
        </w:rPr>
        <w:t>odjeljak</w:t>
      </w:r>
      <w:r w:rsidRPr="00BD78F9">
        <w:rPr>
          <w:noProof/>
          <w:sz w:val="22"/>
          <w:lang w:val="sr-Latn-ME"/>
        </w:rPr>
        <w:t xml:space="preserve"> 5.2). Budesonid i </w:t>
      </w:r>
      <w:r w:rsidRPr="00BD78F9">
        <w:rPr>
          <w:sz w:val="22"/>
          <w:lang w:val="sr-Latn-ME"/>
        </w:rPr>
        <w:t xml:space="preserve">glikopironijum ne inhibiraju, niti indukuju enzime CYP450 u terapijski relevantnim koncentracijama. </w:t>
      </w:r>
    </w:p>
    <w:p w14:paraId="1BB2EE53" w14:textId="77777777" w:rsidR="00B73F2A" w:rsidRPr="00BD78F9" w:rsidRDefault="00B73F2A">
      <w:pPr>
        <w:tabs>
          <w:tab w:val="left" w:pos="284"/>
        </w:tabs>
        <w:jc w:val="both"/>
        <w:rPr>
          <w:noProof/>
          <w:sz w:val="22"/>
          <w:szCs w:val="22"/>
          <w:lang w:val="sr-Latn-ME"/>
        </w:rPr>
      </w:pPr>
    </w:p>
    <w:p w14:paraId="3A6DB80D" w14:textId="12AA23C5" w:rsidR="00B73F2A" w:rsidRPr="00BD78F9" w:rsidRDefault="00B73F2A">
      <w:pPr>
        <w:tabs>
          <w:tab w:val="left" w:pos="284"/>
        </w:tabs>
        <w:autoSpaceDE w:val="0"/>
        <w:autoSpaceDN w:val="0"/>
        <w:adjustRightInd w:val="0"/>
        <w:jc w:val="both"/>
        <w:rPr>
          <w:iCs/>
          <w:sz w:val="22"/>
          <w:lang w:val="sr-Latn-ME"/>
        </w:rPr>
      </w:pPr>
      <w:r w:rsidRPr="00BD78F9">
        <w:rPr>
          <w:color w:val="000000"/>
          <w:sz w:val="22"/>
          <w:lang w:val="sr-Latn-ME"/>
        </w:rPr>
        <w:t>U metabolizmu budesonida prvenstveno posreduje CYP3A4 (</w:t>
      </w:r>
      <w:r w:rsidR="004D0E29" w:rsidRPr="00BD78F9">
        <w:rPr>
          <w:color w:val="000000"/>
          <w:sz w:val="22"/>
          <w:lang w:val="sr-Latn-ME"/>
        </w:rPr>
        <w:t>vidjeti</w:t>
      </w:r>
      <w:r w:rsidRPr="00BD78F9">
        <w:rPr>
          <w:color w:val="000000"/>
          <w:sz w:val="22"/>
          <w:lang w:val="sr-Latn-ME"/>
        </w:rPr>
        <w:t xml:space="preserve"> </w:t>
      </w:r>
      <w:r w:rsidR="004D0E29" w:rsidRPr="00BD78F9">
        <w:rPr>
          <w:color w:val="000000"/>
          <w:sz w:val="22"/>
          <w:lang w:val="sr-Latn-ME"/>
        </w:rPr>
        <w:t>odjeljak</w:t>
      </w:r>
      <w:r w:rsidRPr="00BD78F9">
        <w:rPr>
          <w:color w:val="000000"/>
          <w:sz w:val="22"/>
          <w:lang w:val="sr-Latn-ME"/>
        </w:rPr>
        <w:t xml:space="preserve"> 5.2). Očekuje se da će </w:t>
      </w:r>
      <w:r w:rsidR="004D0E29" w:rsidRPr="00BD78F9">
        <w:rPr>
          <w:color w:val="000000"/>
          <w:sz w:val="22"/>
          <w:lang w:val="sr-Latn-ME"/>
        </w:rPr>
        <w:t>istovremeno</w:t>
      </w:r>
      <w:r w:rsidRPr="00BD78F9">
        <w:rPr>
          <w:color w:val="000000"/>
          <w:sz w:val="22"/>
          <w:lang w:val="sr-Latn-ME"/>
        </w:rPr>
        <w:t xml:space="preserve"> </w:t>
      </w:r>
      <w:r w:rsidR="004D0E29" w:rsidRPr="00BD78F9">
        <w:rPr>
          <w:color w:val="000000"/>
          <w:sz w:val="22"/>
          <w:lang w:val="sr-Latn-ME"/>
        </w:rPr>
        <w:t>liječenje</w:t>
      </w:r>
      <w:r w:rsidRPr="00BD78F9">
        <w:rPr>
          <w:color w:val="000000"/>
          <w:sz w:val="22"/>
          <w:lang w:val="sr-Latn-ME"/>
        </w:rPr>
        <w:t xml:space="preserve"> snažnim inhibitorima CYP3A, npr. itrakonazolom, ketokonazolom, inhibitorima proteaze HIV-a i l</w:t>
      </w:r>
      <w:r w:rsidR="004D0E29" w:rsidRPr="00BD78F9">
        <w:rPr>
          <w:color w:val="000000"/>
          <w:sz w:val="22"/>
          <w:lang w:val="sr-Latn-ME"/>
        </w:rPr>
        <w:t>j</w:t>
      </w:r>
      <w:r w:rsidRPr="00BD78F9">
        <w:rPr>
          <w:color w:val="000000"/>
          <w:sz w:val="22"/>
          <w:lang w:val="sr-Latn-ME"/>
        </w:rPr>
        <w:t xml:space="preserve">ekovima koji sadrže kobicistat, povećati rizik od sistemskih neželjenih dejstava, pa njihovu </w:t>
      </w:r>
      <w:r w:rsidR="004D0E29" w:rsidRPr="00BD78F9">
        <w:rPr>
          <w:color w:val="000000"/>
          <w:sz w:val="22"/>
          <w:lang w:val="sr-Latn-ME"/>
        </w:rPr>
        <w:t>istovremenu</w:t>
      </w:r>
      <w:r w:rsidRPr="00BD78F9">
        <w:rPr>
          <w:color w:val="000000"/>
          <w:sz w:val="22"/>
          <w:lang w:val="sr-Latn-ME"/>
        </w:rPr>
        <w:t xml:space="preserve"> prim</w:t>
      </w:r>
      <w:r w:rsidR="004D0E29" w:rsidRPr="00BD78F9">
        <w:rPr>
          <w:color w:val="000000"/>
          <w:sz w:val="22"/>
          <w:lang w:val="sr-Latn-ME"/>
        </w:rPr>
        <w:t>j</w:t>
      </w:r>
      <w:r w:rsidRPr="00BD78F9">
        <w:rPr>
          <w:color w:val="000000"/>
          <w:sz w:val="22"/>
          <w:lang w:val="sr-Latn-ME"/>
        </w:rPr>
        <w:t>enu treba izb</w:t>
      </w:r>
      <w:r w:rsidR="00364E02" w:rsidRPr="00BD78F9">
        <w:rPr>
          <w:color w:val="000000"/>
          <w:sz w:val="22"/>
          <w:lang w:val="sr-Latn-ME"/>
        </w:rPr>
        <w:t>j</w:t>
      </w:r>
      <w:r w:rsidRPr="00BD78F9">
        <w:rPr>
          <w:color w:val="000000"/>
          <w:sz w:val="22"/>
          <w:lang w:val="sr-Latn-ME"/>
        </w:rPr>
        <w:t>egavati, osim ako koristi l</w:t>
      </w:r>
      <w:r w:rsidR="004D0E29" w:rsidRPr="00BD78F9">
        <w:rPr>
          <w:color w:val="000000"/>
          <w:sz w:val="22"/>
          <w:lang w:val="sr-Latn-ME"/>
        </w:rPr>
        <w:t>ij</w:t>
      </w:r>
      <w:r w:rsidRPr="00BD78F9">
        <w:rPr>
          <w:color w:val="000000"/>
          <w:sz w:val="22"/>
          <w:lang w:val="sr-Latn-ME"/>
        </w:rPr>
        <w:t xml:space="preserve">ečenja ne </w:t>
      </w:r>
      <w:r w:rsidR="00364E02" w:rsidRPr="00BD78F9">
        <w:rPr>
          <w:color w:val="000000"/>
          <w:sz w:val="22"/>
          <w:lang w:val="sr-Latn-ME"/>
        </w:rPr>
        <w:t xml:space="preserve">prevazilazi </w:t>
      </w:r>
      <w:r w:rsidRPr="00BD78F9">
        <w:rPr>
          <w:color w:val="000000"/>
          <w:sz w:val="22"/>
          <w:lang w:val="sr-Latn-ME"/>
        </w:rPr>
        <w:t>povećan rizik od sistemskih neželjenih dejstava kortikosteroida, u slučaju čega pacijente treba pratiti zbog mogućeg razvoja takvih neželjenih reakcija</w:t>
      </w:r>
      <w:r w:rsidRPr="00BD78F9">
        <w:rPr>
          <w:sz w:val="22"/>
          <w:szCs w:val="22"/>
          <w:lang w:val="sr-Latn-ME"/>
        </w:rPr>
        <w:t xml:space="preserve">. </w:t>
      </w:r>
      <w:r w:rsidRPr="00BD78F9">
        <w:rPr>
          <w:sz w:val="22"/>
          <w:lang w:val="sr-Latn-ME"/>
        </w:rPr>
        <w:t xml:space="preserve">Taj nalaz ima ograničen klinički značaj za </w:t>
      </w:r>
      <w:r w:rsidR="008C256F" w:rsidRPr="00BD78F9">
        <w:rPr>
          <w:sz w:val="22"/>
          <w:lang w:val="sr-Latn-ME"/>
        </w:rPr>
        <w:t xml:space="preserve">kratkotrajno </w:t>
      </w:r>
      <w:r w:rsidR="004D0E29" w:rsidRPr="00BD78F9">
        <w:rPr>
          <w:sz w:val="22"/>
          <w:lang w:val="sr-Latn-ME"/>
        </w:rPr>
        <w:t>liječenje</w:t>
      </w:r>
      <w:r w:rsidRPr="00BD78F9">
        <w:rPr>
          <w:sz w:val="22"/>
          <w:lang w:val="sr-Latn-ME"/>
        </w:rPr>
        <w:t xml:space="preserve"> (1–2 ned</w:t>
      </w:r>
      <w:r w:rsidR="00364E02" w:rsidRPr="00BD78F9">
        <w:rPr>
          <w:sz w:val="22"/>
          <w:lang w:val="sr-Latn-ME"/>
        </w:rPr>
        <w:t>j</w:t>
      </w:r>
      <w:r w:rsidRPr="00BD78F9">
        <w:rPr>
          <w:sz w:val="22"/>
          <w:lang w:val="sr-Latn-ME"/>
        </w:rPr>
        <w:t xml:space="preserve">elje). </w:t>
      </w:r>
    </w:p>
    <w:p w14:paraId="1E3A92A8" w14:textId="77777777" w:rsidR="00B73F2A" w:rsidRPr="00BD78F9" w:rsidRDefault="00B73F2A">
      <w:pPr>
        <w:tabs>
          <w:tab w:val="left" w:pos="284"/>
        </w:tabs>
        <w:autoSpaceDE w:val="0"/>
        <w:autoSpaceDN w:val="0"/>
        <w:adjustRightInd w:val="0"/>
        <w:jc w:val="both"/>
        <w:rPr>
          <w:iCs/>
          <w:sz w:val="22"/>
          <w:lang w:val="sr-Latn-ME"/>
        </w:rPr>
      </w:pPr>
    </w:p>
    <w:p w14:paraId="4818F8E5" w14:textId="49B628A1" w:rsidR="00B73F2A" w:rsidRPr="00BD78F9" w:rsidRDefault="00B73F2A">
      <w:pPr>
        <w:tabs>
          <w:tab w:val="left" w:pos="284"/>
        </w:tabs>
        <w:autoSpaceDE w:val="0"/>
        <w:autoSpaceDN w:val="0"/>
        <w:adjustRightInd w:val="0"/>
        <w:jc w:val="both"/>
        <w:rPr>
          <w:iCs/>
          <w:sz w:val="22"/>
          <w:lang w:val="sr-Latn-ME"/>
        </w:rPr>
      </w:pPr>
      <w:r w:rsidRPr="00BD78F9">
        <w:rPr>
          <w:sz w:val="22"/>
          <w:szCs w:val="22"/>
          <w:lang w:val="sr-Latn-ME"/>
        </w:rPr>
        <w:t>Ograničeni podaci o ovoj interakciji dostupni za visoke doze inhalacionog budesonida ukazuju na moguća znatna povišenja nivoa u plazmi (pros</w:t>
      </w:r>
      <w:r w:rsidR="004D0E29" w:rsidRPr="00BD78F9">
        <w:rPr>
          <w:sz w:val="22"/>
          <w:szCs w:val="22"/>
          <w:lang w:val="sr-Latn-ME"/>
        </w:rPr>
        <w:t>j</w:t>
      </w:r>
      <w:r w:rsidRPr="00BD78F9">
        <w:rPr>
          <w:sz w:val="22"/>
          <w:szCs w:val="22"/>
          <w:lang w:val="sr-Latn-ME"/>
        </w:rPr>
        <w:t xml:space="preserve">ečno četvorostruka) kod </w:t>
      </w:r>
      <w:r w:rsidR="004D0E29" w:rsidRPr="00BD78F9">
        <w:rPr>
          <w:sz w:val="22"/>
          <w:szCs w:val="22"/>
          <w:lang w:val="sr-Latn-ME"/>
        </w:rPr>
        <w:t>istovremene</w:t>
      </w:r>
      <w:r w:rsidRPr="00BD78F9">
        <w:rPr>
          <w:sz w:val="22"/>
          <w:szCs w:val="22"/>
          <w:lang w:val="sr-Latn-ME"/>
        </w:rPr>
        <w:t xml:space="preserve"> </w:t>
      </w:r>
      <w:r w:rsidR="004D0E29" w:rsidRPr="00BD78F9">
        <w:rPr>
          <w:sz w:val="22"/>
          <w:szCs w:val="22"/>
          <w:lang w:val="sr-Latn-ME"/>
        </w:rPr>
        <w:t>primjene</w:t>
      </w:r>
      <w:r w:rsidRPr="00BD78F9">
        <w:rPr>
          <w:sz w:val="22"/>
          <w:szCs w:val="22"/>
          <w:lang w:val="sr-Latn-ME"/>
        </w:rPr>
        <w:t xml:space="preserve"> itrakonazola u dozi od 200 mg jednom dnevno i inhalacionog budesonida (jedna doza od 1000 mikrograma).</w:t>
      </w:r>
    </w:p>
    <w:p w14:paraId="01113612" w14:textId="77777777" w:rsidR="00B73F2A" w:rsidRPr="00BD78F9" w:rsidRDefault="00B73F2A">
      <w:pPr>
        <w:tabs>
          <w:tab w:val="left" w:pos="284"/>
        </w:tabs>
        <w:autoSpaceDE w:val="0"/>
        <w:autoSpaceDN w:val="0"/>
        <w:adjustRightInd w:val="0"/>
        <w:jc w:val="both"/>
        <w:rPr>
          <w:iCs/>
          <w:sz w:val="22"/>
          <w:lang w:val="sr-Latn-ME"/>
        </w:rPr>
      </w:pPr>
    </w:p>
    <w:p w14:paraId="0C5411F4" w14:textId="43D021D4" w:rsidR="00B73F2A" w:rsidRPr="00BD78F9" w:rsidRDefault="00B73F2A">
      <w:pPr>
        <w:tabs>
          <w:tab w:val="left" w:pos="284"/>
        </w:tabs>
        <w:jc w:val="both"/>
        <w:rPr>
          <w:sz w:val="22"/>
          <w:szCs w:val="22"/>
          <w:lang w:val="sr-Latn-ME"/>
        </w:rPr>
      </w:pPr>
      <w:r w:rsidRPr="00BD78F9">
        <w:rPr>
          <w:sz w:val="22"/>
          <w:szCs w:val="22"/>
          <w:lang w:val="sr-Latn-ME"/>
        </w:rPr>
        <w:t>Pošto se glikopironijum izlučuje prvenstveno kroz bubrege, moglo bi doći do interakcije sa l</w:t>
      </w:r>
      <w:r w:rsidR="004D0E29" w:rsidRPr="00BD78F9">
        <w:rPr>
          <w:sz w:val="22"/>
          <w:szCs w:val="22"/>
          <w:lang w:val="sr-Latn-ME"/>
        </w:rPr>
        <w:t>j</w:t>
      </w:r>
      <w:r w:rsidRPr="00BD78F9">
        <w:rPr>
          <w:sz w:val="22"/>
          <w:szCs w:val="22"/>
          <w:lang w:val="sr-Latn-ME"/>
        </w:rPr>
        <w:t xml:space="preserve">ekovima koji utiču na mehanizme bubrežnog izlučivanja. </w:t>
      </w:r>
      <w:r w:rsidRPr="00BD78F9">
        <w:rPr>
          <w:i/>
          <w:iCs/>
          <w:sz w:val="22"/>
          <w:szCs w:val="22"/>
          <w:lang w:val="sr-Latn-ME"/>
        </w:rPr>
        <w:t>In vitro,</w:t>
      </w:r>
      <w:r w:rsidRPr="00BD78F9">
        <w:rPr>
          <w:sz w:val="22"/>
          <w:szCs w:val="22"/>
          <w:lang w:val="sr-Latn-ME"/>
        </w:rPr>
        <w:t xml:space="preserve"> glikopironijum predstavlja supstrat za bubrežne transportere OCT2 i MATE1/2K. Dejstvo cimetidina, probnog inhibitora OCT2 i MATE1, na raspoloživost inhaliranog glikopironijuma pokazalo se kao ograničeno povećanje ukupne sistemske izloženosti glikopironijumu (AUC</w:t>
      </w:r>
      <w:r w:rsidRPr="00BD78F9">
        <w:rPr>
          <w:sz w:val="22"/>
          <w:szCs w:val="22"/>
          <w:vertAlign w:val="subscript"/>
          <w:lang w:val="sr-Latn-ME"/>
        </w:rPr>
        <w:t>0-t</w:t>
      </w:r>
      <w:r w:rsidRPr="00BD78F9">
        <w:rPr>
          <w:sz w:val="22"/>
          <w:szCs w:val="22"/>
          <w:lang w:val="sr-Latn-ME"/>
        </w:rPr>
        <w:t xml:space="preserve">) za 22% i blago smanjenje bubrežnog klirensa za 23% zbog </w:t>
      </w:r>
      <w:r w:rsidR="004D0E29" w:rsidRPr="00BD78F9">
        <w:rPr>
          <w:sz w:val="22"/>
          <w:szCs w:val="22"/>
          <w:lang w:val="sr-Latn-ME"/>
        </w:rPr>
        <w:t>istovremene</w:t>
      </w:r>
      <w:r w:rsidRPr="00BD78F9">
        <w:rPr>
          <w:sz w:val="22"/>
          <w:szCs w:val="22"/>
          <w:lang w:val="sr-Latn-ME"/>
        </w:rPr>
        <w:t xml:space="preserve"> </w:t>
      </w:r>
      <w:r w:rsidR="004D0E29" w:rsidRPr="00BD78F9">
        <w:rPr>
          <w:sz w:val="22"/>
          <w:szCs w:val="22"/>
          <w:lang w:val="sr-Latn-ME"/>
        </w:rPr>
        <w:t>primjene</w:t>
      </w:r>
      <w:r w:rsidRPr="00BD78F9">
        <w:rPr>
          <w:sz w:val="22"/>
          <w:szCs w:val="22"/>
          <w:lang w:val="sr-Latn-ME"/>
        </w:rPr>
        <w:t xml:space="preserve"> cimetidina.</w:t>
      </w:r>
    </w:p>
    <w:p w14:paraId="10418713" w14:textId="77777777" w:rsidR="00B73F2A" w:rsidRPr="00BD78F9" w:rsidRDefault="00B73F2A" w:rsidP="00271855">
      <w:pPr>
        <w:tabs>
          <w:tab w:val="left" w:pos="284"/>
        </w:tabs>
        <w:autoSpaceDE w:val="0"/>
        <w:autoSpaceDN w:val="0"/>
        <w:adjustRightInd w:val="0"/>
        <w:jc w:val="both"/>
        <w:rPr>
          <w:sz w:val="22"/>
          <w:lang w:val="sr-Latn-ME"/>
        </w:rPr>
      </w:pPr>
    </w:p>
    <w:p w14:paraId="3CE7A32E" w14:textId="77777777" w:rsidR="00B73F2A" w:rsidRPr="00BD78F9" w:rsidRDefault="00B73F2A" w:rsidP="00364E02">
      <w:pPr>
        <w:tabs>
          <w:tab w:val="left" w:pos="284"/>
        </w:tabs>
        <w:jc w:val="both"/>
        <w:rPr>
          <w:noProof/>
          <w:sz w:val="22"/>
          <w:u w:val="single"/>
          <w:lang w:val="sr-Latn-ME"/>
        </w:rPr>
      </w:pPr>
      <w:r w:rsidRPr="00BD78F9">
        <w:rPr>
          <w:noProof/>
          <w:sz w:val="22"/>
          <w:u w:val="single"/>
          <w:lang w:val="sr-Latn-ME"/>
        </w:rPr>
        <w:t>Farmakodinamske interakcije</w:t>
      </w:r>
    </w:p>
    <w:p w14:paraId="1D6BF18B" w14:textId="77777777" w:rsidR="00B73F2A" w:rsidRPr="00BD78F9" w:rsidRDefault="00B73F2A" w:rsidP="00A52822">
      <w:pPr>
        <w:tabs>
          <w:tab w:val="left" w:pos="284"/>
        </w:tabs>
        <w:jc w:val="both"/>
        <w:rPr>
          <w:b/>
          <w:noProof/>
          <w:sz w:val="22"/>
          <w:lang w:val="sr-Latn-ME"/>
        </w:rPr>
      </w:pPr>
    </w:p>
    <w:p w14:paraId="511E2AC6" w14:textId="77777777" w:rsidR="00B73F2A" w:rsidRPr="00BD78F9" w:rsidRDefault="00B73F2A">
      <w:pPr>
        <w:tabs>
          <w:tab w:val="left" w:pos="284"/>
        </w:tabs>
        <w:jc w:val="both"/>
        <w:rPr>
          <w:i/>
          <w:noProof/>
          <w:sz w:val="22"/>
          <w:lang w:val="sr-Latn-ME"/>
        </w:rPr>
      </w:pPr>
      <w:r w:rsidRPr="00BD78F9">
        <w:rPr>
          <w:i/>
          <w:iCs/>
          <w:noProof/>
          <w:sz w:val="22"/>
          <w:lang w:val="sr-Latn-ME"/>
        </w:rPr>
        <w:t>Ostali antimuskarinici i simpatomimetici</w:t>
      </w:r>
    </w:p>
    <w:p w14:paraId="0D5BE080" w14:textId="242AF9A3" w:rsidR="00B73F2A" w:rsidRPr="00BD78F9" w:rsidRDefault="004D0E29">
      <w:pPr>
        <w:tabs>
          <w:tab w:val="left" w:pos="284"/>
        </w:tabs>
        <w:jc w:val="both"/>
        <w:rPr>
          <w:noProof/>
          <w:sz w:val="22"/>
          <w:lang w:val="sr-Latn-ME"/>
        </w:rPr>
      </w:pPr>
      <w:r w:rsidRPr="00BD78F9">
        <w:rPr>
          <w:noProof/>
          <w:sz w:val="22"/>
          <w:lang w:val="sr-Latn-ME"/>
        </w:rPr>
        <w:t>Istovremena</w:t>
      </w:r>
      <w:r w:rsidR="00B73F2A" w:rsidRPr="00BD78F9">
        <w:rPr>
          <w:noProof/>
          <w:sz w:val="22"/>
          <w:lang w:val="sr-Latn-ME"/>
        </w:rPr>
        <w:t xml:space="preserve"> </w:t>
      </w:r>
      <w:r w:rsidRPr="00BD78F9">
        <w:rPr>
          <w:noProof/>
          <w:sz w:val="22"/>
          <w:lang w:val="sr-Latn-ME"/>
        </w:rPr>
        <w:t>primjena</w:t>
      </w:r>
      <w:r w:rsidR="00B73F2A" w:rsidRPr="00BD78F9">
        <w:rPr>
          <w:noProof/>
          <w:sz w:val="22"/>
          <w:lang w:val="sr-Latn-ME"/>
        </w:rPr>
        <w:t xml:space="preserve"> </w:t>
      </w:r>
      <w:r w:rsidR="00B73F2A" w:rsidRPr="00BD78F9">
        <w:rPr>
          <w:sz w:val="22"/>
          <w:szCs w:val="22"/>
          <w:lang w:val="sr-Latn-ME"/>
        </w:rPr>
        <w:t xml:space="preserve">ovog </w:t>
      </w:r>
      <w:r w:rsidRPr="00BD78F9">
        <w:rPr>
          <w:sz w:val="22"/>
          <w:szCs w:val="22"/>
          <w:lang w:val="sr-Latn-ME"/>
        </w:rPr>
        <w:t xml:space="preserve">lijeka </w:t>
      </w:r>
      <w:r w:rsidR="00B73F2A" w:rsidRPr="00BD78F9">
        <w:rPr>
          <w:sz w:val="22"/>
          <w:szCs w:val="22"/>
          <w:lang w:val="sr-Latn-ME"/>
        </w:rPr>
        <w:t xml:space="preserve">i </w:t>
      </w:r>
      <w:r w:rsidR="00B73F2A" w:rsidRPr="00BD78F9">
        <w:rPr>
          <w:noProof/>
          <w:sz w:val="22"/>
          <w:lang w:val="sr-Latn-ME"/>
        </w:rPr>
        <w:t xml:space="preserve">drugih </w:t>
      </w:r>
      <w:r w:rsidRPr="00BD78F9">
        <w:rPr>
          <w:noProof/>
          <w:sz w:val="22"/>
          <w:lang w:val="sr-Latn-ME"/>
        </w:rPr>
        <w:t>ljekova</w:t>
      </w:r>
      <w:r w:rsidR="00B73F2A" w:rsidRPr="00BD78F9">
        <w:rPr>
          <w:noProof/>
          <w:sz w:val="22"/>
          <w:lang w:val="sr-Latn-ME"/>
        </w:rPr>
        <w:t xml:space="preserve"> koji sadrže antiholinergike odnosno </w:t>
      </w:r>
      <w:r w:rsidRPr="00BD78F9">
        <w:rPr>
          <w:noProof/>
          <w:sz w:val="22"/>
          <w:lang w:val="sr-Latn-ME"/>
        </w:rPr>
        <w:t>dugodjel</w:t>
      </w:r>
      <w:r w:rsidR="00B73F2A" w:rsidRPr="00BD78F9">
        <w:rPr>
          <w:noProof/>
          <w:sz w:val="22"/>
          <w:lang w:val="sr-Latn-ME"/>
        </w:rPr>
        <w:t xml:space="preserve">ujuće β2-adrenergičke agoniste nije ispitana, pa se ne preporučuje </w:t>
      </w:r>
      <w:r w:rsidR="00B73F2A" w:rsidRPr="00BD78F9">
        <w:rPr>
          <w:noProof/>
          <w:sz w:val="22"/>
          <w:szCs w:val="22"/>
          <w:lang w:val="sr-Latn-ME"/>
        </w:rPr>
        <w:t>jer može da potencira poznata neželjena dejstva koja se javljaju pri inhalaciji muskarinskih antagonista ili β2-adrenergičkih agonista (</w:t>
      </w:r>
      <w:r w:rsidRPr="00BD78F9">
        <w:rPr>
          <w:noProof/>
          <w:sz w:val="22"/>
          <w:szCs w:val="22"/>
          <w:lang w:val="sr-Latn-ME"/>
        </w:rPr>
        <w:t>vidjeti</w:t>
      </w:r>
      <w:r w:rsidR="00B73F2A" w:rsidRPr="00BD78F9">
        <w:rPr>
          <w:noProof/>
          <w:sz w:val="22"/>
          <w:szCs w:val="22"/>
          <w:lang w:val="sr-Latn-ME"/>
        </w:rPr>
        <w:t xml:space="preserve"> od</w:t>
      </w:r>
      <w:r w:rsidR="00A32950" w:rsidRPr="00BD78F9">
        <w:rPr>
          <w:noProof/>
          <w:sz w:val="22"/>
          <w:szCs w:val="22"/>
          <w:lang w:val="sr-Latn-ME"/>
        </w:rPr>
        <w:t>j</w:t>
      </w:r>
      <w:r w:rsidR="00B73F2A" w:rsidRPr="00BD78F9">
        <w:rPr>
          <w:noProof/>
          <w:sz w:val="22"/>
          <w:szCs w:val="22"/>
          <w:lang w:val="sr-Latn-ME"/>
        </w:rPr>
        <w:t>eljke 4.4 i 4.9).</w:t>
      </w:r>
    </w:p>
    <w:p w14:paraId="18C03790" w14:textId="77777777" w:rsidR="00B73F2A" w:rsidRPr="00BD78F9" w:rsidRDefault="00B73F2A">
      <w:pPr>
        <w:tabs>
          <w:tab w:val="left" w:pos="284"/>
        </w:tabs>
        <w:jc w:val="both"/>
        <w:rPr>
          <w:noProof/>
          <w:sz w:val="22"/>
          <w:lang w:val="sr-Latn-ME"/>
        </w:rPr>
      </w:pPr>
    </w:p>
    <w:p w14:paraId="21205778" w14:textId="6762C82E" w:rsidR="00B73F2A" w:rsidRPr="00BD78F9" w:rsidRDefault="004D0E29">
      <w:pPr>
        <w:tabs>
          <w:tab w:val="left" w:pos="284"/>
        </w:tabs>
        <w:jc w:val="both"/>
        <w:rPr>
          <w:noProof/>
          <w:sz w:val="22"/>
          <w:lang w:val="sr-Latn-ME"/>
        </w:rPr>
      </w:pPr>
      <w:r w:rsidRPr="00BD78F9">
        <w:rPr>
          <w:noProof/>
          <w:sz w:val="22"/>
          <w:lang w:val="sr-Latn-ME"/>
        </w:rPr>
        <w:t>Istovremena</w:t>
      </w:r>
      <w:r w:rsidR="00B73F2A" w:rsidRPr="00BD78F9">
        <w:rPr>
          <w:noProof/>
          <w:sz w:val="22"/>
          <w:lang w:val="sr-Latn-ME"/>
        </w:rPr>
        <w:t xml:space="preserve"> </w:t>
      </w:r>
      <w:r w:rsidRPr="00BD78F9">
        <w:rPr>
          <w:noProof/>
          <w:sz w:val="22"/>
          <w:lang w:val="sr-Latn-ME"/>
        </w:rPr>
        <w:t>primjena</w:t>
      </w:r>
      <w:r w:rsidR="00B73F2A" w:rsidRPr="00BD78F9">
        <w:rPr>
          <w:noProof/>
          <w:sz w:val="22"/>
          <w:lang w:val="sr-Latn-ME"/>
        </w:rPr>
        <w:t xml:space="preserve"> drugih beta-adrenergičkih </w:t>
      </w:r>
      <w:r w:rsidRPr="00BD78F9">
        <w:rPr>
          <w:noProof/>
          <w:sz w:val="22"/>
          <w:lang w:val="sr-Latn-ME"/>
        </w:rPr>
        <w:t>ljekova</w:t>
      </w:r>
      <w:r w:rsidR="00B73F2A" w:rsidRPr="00BD78F9">
        <w:rPr>
          <w:noProof/>
          <w:sz w:val="22"/>
          <w:lang w:val="sr-Latn-ME"/>
        </w:rPr>
        <w:t xml:space="preserve"> može imati potencijalno aditivna dejstva; stoga je potreban oprez kad se </w:t>
      </w:r>
      <w:r w:rsidRPr="00BD78F9">
        <w:rPr>
          <w:noProof/>
          <w:sz w:val="22"/>
          <w:lang w:val="sr-Latn-ME"/>
        </w:rPr>
        <w:t>istovremeno</w:t>
      </w:r>
      <w:r w:rsidR="00B73F2A" w:rsidRPr="00BD78F9">
        <w:rPr>
          <w:noProof/>
          <w:sz w:val="22"/>
          <w:lang w:val="sr-Latn-ME"/>
        </w:rPr>
        <w:t xml:space="preserve"> sa formoterolom propisuju i drugi beta-adrenergički </w:t>
      </w:r>
      <w:r w:rsidRPr="00BD78F9">
        <w:rPr>
          <w:noProof/>
          <w:sz w:val="22"/>
          <w:lang w:val="sr-Latn-ME"/>
        </w:rPr>
        <w:t>ljekovi</w:t>
      </w:r>
      <w:r w:rsidR="00B73F2A" w:rsidRPr="00BD78F9">
        <w:rPr>
          <w:noProof/>
          <w:sz w:val="22"/>
          <w:lang w:val="sr-Latn-ME"/>
        </w:rPr>
        <w:t xml:space="preserve">. </w:t>
      </w:r>
    </w:p>
    <w:p w14:paraId="70C86D5C" w14:textId="77777777" w:rsidR="00B73F2A" w:rsidRPr="00BD78F9" w:rsidRDefault="00B73F2A">
      <w:pPr>
        <w:tabs>
          <w:tab w:val="left" w:pos="284"/>
        </w:tabs>
        <w:autoSpaceDE w:val="0"/>
        <w:autoSpaceDN w:val="0"/>
        <w:adjustRightInd w:val="0"/>
        <w:jc w:val="both"/>
        <w:rPr>
          <w:noProof/>
          <w:sz w:val="22"/>
          <w:lang w:val="sr-Latn-ME"/>
        </w:rPr>
      </w:pPr>
    </w:p>
    <w:p w14:paraId="5418494C" w14:textId="2ACC713F" w:rsidR="00B73F2A" w:rsidRPr="00BD78F9" w:rsidRDefault="00B73F2A">
      <w:pPr>
        <w:keepNext/>
        <w:tabs>
          <w:tab w:val="left" w:pos="284"/>
        </w:tabs>
        <w:jc w:val="both"/>
        <w:rPr>
          <w:i/>
          <w:noProof/>
          <w:sz w:val="22"/>
          <w:lang w:val="sr-Latn-ME"/>
        </w:rPr>
      </w:pPr>
      <w:r w:rsidRPr="00BD78F9">
        <w:rPr>
          <w:i/>
          <w:iCs/>
          <w:noProof/>
          <w:sz w:val="22"/>
          <w:lang w:val="sr-Latn-ME"/>
        </w:rPr>
        <w:t>Hipokalijemija uzrokovana l</w:t>
      </w:r>
      <w:r w:rsidR="00A32950" w:rsidRPr="00BD78F9">
        <w:rPr>
          <w:i/>
          <w:iCs/>
          <w:noProof/>
          <w:sz w:val="22"/>
          <w:lang w:val="sr-Latn-ME"/>
        </w:rPr>
        <w:t>ij</w:t>
      </w:r>
      <w:r w:rsidRPr="00BD78F9">
        <w:rPr>
          <w:i/>
          <w:iCs/>
          <w:noProof/>
          <w:sz w:val="22"/>
          <w:lang w:val="sr-Latn-ME"/>
        </w:rPr>
        <w:t>ekom</w:t>
      </w:r>
    </w:p>
    <w:p w14:paraId="42C0D196" w14:textId="142DE623" w:rsidR="00B73F2A" w:rsidRPr="00BD78F9" w:rsidRDefault="004D0E29">
      <w:pPr>
        <w:tabs>
          <w:tab w:val="left" w:pos="284"/>
        </w:tabs>
        <w:jc w:val="both"/>
        <w:rPr>
          <w:sz w:val="22"/>
          <w:lang w:val="sr-Latn-ME"/>
        </w:rPr>
      </w:pPr>
      <w:r w:rsidRPr="00BD78F9">
        <w:rPr>
          <w:noProof/>
          <w:sz w:val="22"/>
          <w:lang w:val="sr-Latn-ME"/>
        </w:rPr>
        <w:t>Istovremena</w:t>
      </w:r>
      <w:r w:rsidR="00B73F2A" w:rsidRPr="00BD78F9">
        <w:rPr>
          <w:noProof/>
          <w:sz w:val="22"/>
          <w:lang w:val="sr-Latn-ME"/>
        </w:rPr>
        <w:t xml:space="preserve"> </w:t>
      </w:r>
      <w:r w:rsidRPr="00BD78F9">
        <w:rPr>
          <w:noProof/>
          <w:sz w:val="22"/>
          <w:lang w:val="sr-Latn-ME"/>
        </w:rPr>
        <w:t>primjena</w:t>
      </w:r>
      <w:r w:rsidR="00B73F2A" w:rsidRPr="00BD78F9">
        <w:rPr>
          <w:noProof/>
          <w:sz w:val="22"/>
          <w:lang w:val="sr-Latn-ME"/>
        </w:rPr>
        <w:t xml:space="preserve"> drugih </w:t>
      </w:r>
      <w:r w:rsidRPr="00BD78F9">
        <w:rPr>
          <w:noProof/>
          <w:sz w:val="22"/>
          <w:lang w:val="sr-Latn-ME"/>
        </w:rPr>
        <w:t>ljekova</w:t>
      </w:r>
      <w:r w:rsidR="00B73F2A" w:rsidRPr="00BD78F9">
        <w:rPr>
          <w:noProof/>
          <w:sz w:val="22"/>
          <w:lang w:val="sr-Latn-ME"/>
        </w:rPr>
        <w:t xml:space="preserve">, uključujući </w:t>
      </w:r>
      <w:r w:rsidR="00B73F2A" w:rsidRPr="00BD78F9">
        <w:rPr>
          <w:sz w:val="22"/>
          <w:szCs w:val="22"/>
          <w:lang w:val="sr-Latn-ME"/>
        </w:rPr>
        <w:t xml:space="preserve">derivate ksantina, steroide </w:t>
      </w:r>
      <w:r w:rsidR="00B73F2A" w:rsidRPr="00BD78F9">
        <w:rPr>
          <w:noProof/>
          <w:sz w:val="22"/>
          <w:lang w:val="sr-Latn-ME"/>
        </w:rPr>
        <w:t>i diuretike koji ne štede kalijum, može pojačati mogući početni hipokalijemijski efekat (</w:t>
      </w:r>
      <w:r w:rsidRPr="00BD78F9">
        <w:rPr>
          <w:noProof/>
          <w:sz w:val="22"/>
          <w:lang w:val="sr-Latn-ME"/>
        </w:rPr>
        <w:t>vidjeti</w:t>
      </w:r>
      <w:r w:rsidR="00B73F2A" w:rsidRPr="00BD78F9">
        <w:rPr>
          <w:noProof/>
          <w:sz w:val="22"/>
          <w:lang w:val="sr-Latn-ME"/>
        </w:rPr>
        <w:t xml:space="preserve"> </w:t>
      </w:r>
      <w:r w:rsidRPr="00BD78F9">
        <w:rPr>
          <w:noProof/>
          <w:sz w:val="22"/>
          <w:lang w:val="sr-Latn-ME"/>
        </w:rPr>
        <w:t>odjeljak</w:t>
      </w:r>
      <w:r w:rsidR="00B73F2A" w:rsidRPr="00BD78F9">
        <w:rPr>
          <w:noProof/>
          <w:sz w:val="22"/>
          <w:lang w:val="sr-Latn-ME"/>
        </w:rPr>
        <w:t xml:space="preserve"> 4.4). Hipokalijemija može da poveća sklonost aritmijama kod pacijenata l</w:t>
      </w:r>
      <w:r w:rsidR="00A32950" w:rsidRPr="00BD78F9">
        <w:rPr>
          <w:noProof/>
          <w:sz w:val="22"/>
          <w:lang w:val="sr-Latn-ME"/>
        </w:rPr>
        <w:t>ij</w:t>
      </w:r>
      <w:r w:rsidR="00B73F2A" w:rsidRPr="00BD78F9">
        <w:rPr>
          <w:noProof/>
          <w:sz w:val="22"/>
          <w:lang w:val="sr-Latn-ME"/>
        </w:rPr>
        <w:t xml:space="preserve">ečenih glikozidima digitalisa.  </w:t>
      </w:r>
    </w:p>
    <w:p w14:paraId="7A352D52" w14:textId="77777777" w:rsidR="00B73F2A" w:rsidRPr="00BD78F9" w:rsidRDefault="00B73F2A">
      <w:pPr>
        <w:tabs>
          <w:tab w:val="left" w:pos="284"/>
        </w:tabs>
        <w:jc w:val="both"/>
        <w:rPr>
          <w:b/>
          <w:noProof/>
          <w:sz w:val="22"/>
          <w:lang w:val="sr-Latn-ME"/>
        </w:rPr>
      </w:pPr>
    </w:p>
    <w:p w14:paraId="6518AE14" w14:textId="77777777" w:rsidR="00B73F2A" w:rsidRPr="00BD78F9" w:rsidRDefault="00B73F2A">
      <w:pPr>
        <w:tabs>
          <w:tab w:val="left" w:pos="284"/>
        </w:tabs>
        <w:jc w:val="both"/>
        <w:rPr>
          <w:i/>
          <w:noProof/>
          <w:sz w:val="22"/>
          <w:lang w:val="sr-Latn-ME"/>
        </w:rPr>
      </w:pPr>
      <w:r w:rsidRPr="00BD78F9">
        <w:rPr>
          <w:i/>
          <w:iCs/>
          <w:noProof/>
          <w:sz w:val="22"/>
          <w:lang w:val="sr-Latn-ME"/>
        </w:rPr>
        <w:t>β-adrenergički blokatori</w:t>
      </w:r>
    </w:p>
    <w:p w14:paraId="7EDB28E0" w14:textId="1FB7971E" w:rsidR="00B73F2A" w:rsidRPr="00BD78F9" w:rsidRDefault="00B73F2A">
      <w:pPr>
        <w:tabs>
          <w:tab w:val="left" w:pos="284"/>
        </w:tabs>
        <w:jc w:val="both"/>
        <w:rPr>
          <w:noProof/>
          <w:sz w:val="22"/>
          <w:lang w:val="sr-Latn-ME"/>
        </w:rPr>
      </w:pPr>
      <w:r w:rsidRPr="00BD78F9">
        <w:rPr>
          <w:sz w:val="22"/>
          <w:lang w:val="sr-Latn-ME"/>
        </w:rPr>
        <w:t xml:space="preserve">β-adrenergički blokatori (uključujući kapi za oči) mogu da oslabe ili inhibiraju dejstvo formoterola. </w:t>
      </w:r>
      <w:r w:rsidR="004D0E29" w:rsidRPr="00BD78F9">
        <w:rPr>
          <w:sz w:val="22"/>
          <w:szCs w:val="22"/>
          <w:lang w:val="sr-Latn-ME"/>
        </w:rPr>
        <w:t>Istovremenu</w:t>
      </w:r>
      <w:r w:rsidRPr="00BD78F9">
        <w:rPr>
          <w:sz w:val="22"/>
          <w:szCs w:val="22"/>
          <w:lang w:val="sr-Latn-ME"/>
        </w:rPr>
        <w:t xml:space="preserve"> prim</w:t>
      </w:r>
      <w:r w:rsidR="00A32950" w:rsidRPr="00BD78F9">
        <w:rPr>
          <w:sz w:val="22"/>
          <w:szCs w:val="22"/>
          <w:lang w:val="sr-Latn-ME"/>
        </w:rPr>
        <w:t>j</w:t>
      </w:r>
      <w:r w:rsidRPr="00BD78F9">
        <w:rPr>
          <w:sz w:val="22"/>
          <w:szCs w:val="22"/>
          <w:lang w:val="sr-Latn-ME"/>
        </w:rPr>
        <w:t>enu β-adrenergičkih blokatora treba izb</w:t>
      </w:r>
      <w:r w:rsidR="00A32950" w:rsidRPr="00BD78F9">
        <w:rPr>
          <w:sz w:val="22"/>
          <w:szCs w:val="22"/>
          <w:lang w:val="sr-Latn-ME"/>
        </w:rPr>
        <w:t>j</w:t>
      </w:r>
      <w:r w:rsidRPr="00BD78F9">
        <w:rPr>
          <w:sz w:val="22"/>
          <w:szCs w:val="22"/>
          <w:lang w:val="sr-Latn-ME"/>
        </w:rPr>
        <w:t xml:space="preserve">egavati, osim ukoliko očekivana korist </w:t>
      </w:r>
      <w:r w:rsidR="00A32950" w:rsidRPr="00BD78F9">
        <w:rPr>
          <w:sz w:val="22"/>
          <w:szCs w:val="22"/>
          <w:lang w:val="sr-Latn-ME"/>
        </w:rPr>
        <w:t xml:space="preserve">prevazilazi </w:t>
      </w:r>
      <w:r w:rsidRPr="00BD78F9">
        <w:rPr>
          <w:sz w:val="22"/>
          <w:szCs w:val="22"/>
          <w:lang w:val="sr-Latn-ME"/>
        </w:rPr>
        <w:t>potencijalni rizik. Ukoliko su potrebni β-adrenergički blokatori, poželjni su kardioselektivni β-adrenergički blokatori.</w:t>
      </w:r>
    </w:p>
    <w:p w14:paraId="38BC23FE" w14:textId="77777777" w:rsidR="00B73F2A" w:rsidRPr="00BD78F9" w:rsidRDefault="00B73F2A">
      <w:pPr>
        <w:tabs>
          <w:tab w:val="left" w:pos="284"/>
        </w:tabs>
        <w:jc w:val="both"/>
        <w:rPr>
          <w:b/>
          <w:noProof/>
          <w:sz w:val="22"/>
          <w:lang w:val="sr-Latn-ME"/>
        </w:rPr>
      </w:pPr>
    </w:p>
    <w:p w14:paraId="24BDA29D" w14:textId="77777777" w:rsidR="00B73F2A" w:rsidRPr="00BD78F9" w:rsidRDefault="00B73F2A">
      <w:pPr>
        <w:tabs>
          <w:tab w:val="left" w:pos="284"/>
        </w:tabs>
        <w:jc w:val="both"/>
        <w:rPr>
          <w:i/>
          <w:noProof/>
          <w:sz w:val="22"/>
          <w:lang w:val="sr-Latn-ME"/>
        </w:rPr>
      </w:pPr>
      <w:r w:rsidRPr="00BD78F9">
        <w:rPr>
          <w:i/>
          <w:iCs/>
          <w:noProof/>
          <w:sz w:val="22"/>
          <w:lang w:val="sr-Latn-ME"/>
        </w:rPr>
        <w:t>Ostale farmakodinamske interakcije</w:t>
      </w:r>
    </w:p>
    <w:p w14:paraId="1A1424A0" w14:textId="0BB4FC50" w:rsidR="00B73F2A" w:rsidRPr="00BD78F9" w:rsidRDefault="004D0E29">
      <w:pPr>
        <w:tabs>
          <w:tab w:val="left" w:pos="284"/>
        </w:tabs>
        <w:jc w:val="both"/>
        <w:rPr>
          <w:noProof/>
          <w:sz w:val="22"/>
          <w:lang w:val="sr-Latn-ME"/>
        </w:rPr>
      </w:pPr>
      <w:r w:rsidRPr="00BD78F9">
        <w:rPr>
          <w:noProof/>
          <w:sz w:val="22"/>
          <w:lang w:val="sr-Latn-ME"/>
        </w:rPr>
        <w:t>Istovremeno</w:t>
      </w:r>
      <w:r w:rsidR="00B73F2A" w:rsidRPr="00BD78F9">
        <w:rPr>
          <w:noProof/>
          <w:sz w:val="22"/>
          <w:lang w:val="sr-Latn-ME"/>
        </w:rPr>
        <w:t xml:space="preserve"> </w:t>
      </w:r>
      <w:r w:rsidRPr="00BD78F9">
        <w:rPr>
          <w:noProof/>
          <w:sz w:val="22"/>
          <w:lang w:val="sr-Latn-ME"/>
        </w:rPr>
        <w:t>liječenje</w:t>
      </w:r>
      <w:r w:rsidR="00B73F2A" w:rsidRPr="00BD78F9">
        <w:rPr>
          <w:noProof/>
          <w:sz w:val="22"/>
          <w:lang w:val="sr-Latn-ME"/>
        </w:rPr>
        <w:t xml:space="preserve"> kinidinom, dizopiramidom, prokainamidom, antihistaminicima, inhibitorima monoaminooksidaze, tricikličkim antidepresivima i fenotiazinima može da produži QT interval i poveća rizik od ventrikularnih aritmija. Dalje, L-dopa, L-tiroksin, oksitocin i alkohol mogu da smanje srčanu toleranciju u pogledu beta2-simpatomimetika. </w:t>
      </w:r>
    </w:p>
    <w:p w14:paraId="11CDBB76" w14:textId="77777777" w:rsidR="00B73F2A" w:rsidRPr="00BD78F9" w:rsidRDefault="00B73F2A">
      <w:pPr>
        <w:tabs>
          <w:tab w:val="left" w:pos="284"/>
        </w:tabs>
        <w:jc w:val="both"/>
        <w:rPr>
          <w:noProof/>
          <w:sz w:val="22"/>
          <w:lang w:val="sr-Latn-ME"/>
        </w:rPr>
      </w:pPr>
    </w:p>
    <w:p w14:paraId="1C9D4D39" w14:textId="167141F7" w:rsidR="00B73F2A" w:rsidRPr="00BD78F9" w:rsidRDefault="004D0E29">
      <w:pPr>
        <w:tabs>
          <w:tab w:val="left" w:pos="284"/>
        </w:tabs>
        <w:jc w:val="both"/>
        <w:rPr>
          <w:noProof/>
          <w:sz w:val="22"/>
          <w:lang w:val="sr-Latn-ME"/>
        </w:rPr>
      </w:pPr>
      <w:r w:rsidRPr="00BD78F9">
        <w:rPr>
          <w:noProof/>
          <w:sz w:val="22"/>
          <w:lang w:val="sr-Latn-ME"/>
        </w:rPr>
        <w:t>Istovremeno</w:t>
      </w:r>
      <w:r w:rsidR="00B73F2A" w:rsidRPr="00BD78F9">
        <w:rPr>
          <w:noProof/>
          <w:sz w:val="22"/>
          <w:lang w:val="sr-Latn-ME"/>
        </w:rPr>
        <w:t xml:space="preserve"> </w:t>
      </w:r>
      <w:r w:rsidRPr="00BD78F9">
        <w:rPr>
          <w:noProof/>
          <w:sz w:val="22"/>
          <w:lang w:val="sr-Latn-ME"/>
        </w:rPr>
        <w:t>liječenje</w:t>
      </w:r>
      <w:r w:rsidR="00B73F2A" w:rsidRPr="00BD78F9">
        <w:rPr>
          <w:noProof/>
          <w:sz w:val="22"/>
          <w:lang w:val="sr-Latn-ME"/>
        </w:rPr>
        <w:t xml:space="preserve"> inhibitorima monoaminooksidaze, uključujući l</w:t>
      </w:r>
      <w:r w:rsidR="00A32950" w:rsidRPr="00BD78F9">
        <w:rPr>
          <w:noProof/>
          <w:sz w:val="22"/>
          <w:lang w:val="sr-Latn-ME"/>
        </w:rPr>
        <w:t>j</w:t>
      </w:r>
      <w:r w:rsidR="00B73F2A" w:rsidRPr="00BD78F9">
        <w:rPr>
          <w:noProof/>
          <w:sz w:val="22"/>
          <w:lang w:val="sr-Latn-ME"/>
        </w:rPr>
        <w:t xml:space="preserve">ekove sa sličnim svojstvima, kao što su furazolidon i prokarbazin, može da pospeši pojavu hipertenzivnih reakcija. </w:t>
      </w:r>
    </w:p>
    <w:p w14:paraId="59A855C1" w14:textId="77777777" w:rsidR="00B73F2A" w:rsidRPr="00BD78F9" w:rsidRDefault="00B73F2A">
      <w:pPr>
        <w:tabs>
          <w:tab w:val="left" w:pos="284"/>
        </w:tabs>
        <w:jc w:val="both"/>
        <w:rPr>
          <w:noProof/>
          <w:sz w:val="22"/>
          <w:lang w:val="sr-Latn-ME"/>
        </w:rPr>
      </w:pPr>
    </w:p>
    <w:p w14:paraId="29EEA2FC" w14:textId="4A071ED5" w:rsidR="00B73F2A" w:rsidRPr="00BD78F9" w:rsidRDefault="00B73F2A">
      <w:pPr>
        <w:tabs>
          <w:tab w:val="left" w:pos="284"/>
        </w:tabs>
        <w:jc w:val="both"/>
        <w:rPr>
          <w:noProof/>
          <w:sz w:val="22"/>
          <w:lang w:val="sr-Latn-ME"/>
        </w:rPr>
      </w:pPr>
      <w:r w:rsidRPr="00BD78F9">
        <w:rPr>
          <w:noProof/>
          <w:sz w:val="22"/>
          <w:lang w:val="sr-Latn-ME"/>
        </w:rPr>
        <w:t xml:space="preserve">Kod pacijenata koji </w:t>
      </w:r>
      <w:r w:rsidR="004D0E29" w:rsidRPr="00BD78F9">
        <w:rPr>
          <w:noProof/>
          <w:sz w:val="22"/>
          <w:lang w:val="sr-Latn-ME"/>
        </w:rPr>
        <w:t>istovremeno</w:t>
      </w:r>
      <w:r w:rsidRPr="00BD78F9">
        <w:rPr>
          <w:noProof/>
          <w:sz w:val="22"/>
          <w:lang w:val="sr-Latn-ME"/>
        </w:rPr>
        <w:t xml:space="preserve"> primaju anesteziju halogenisanim ugljovodonicima prisutan je povećani rizik od aritmija. </w:t>
      </w:r>
    </w:p>
    <w:p w14:paraId="6CA7718B" w14:textId="2CCFD3B6" w:rsidR="0072020E" w:rsidRPr="00BD78F9" w:rsidRDefault="0072020E" w:rsidP="00271855">
      <w:pPr>
        <w:tabs>
          <w:tab w:val="left" w:pos="540"/>
          <w:tab w:val="left" w:pos="569"/>
        </w:tabs>
        <w:jc w:val="both"/>
        <w:rPr>
          <w:b/>
          <w:sz w:val="22"/>
          <w:szCs w:val="22"/>
          <w:lang w:val="sr-Latn-ME"/>
        </w:rPr>
      </w:pPr>
      <w:r w:rsidRPr="00BD78F9">
        <w:rPr>
          <w:b/>
          <w:bCs/>
          <w:sz w:val="22"/>
          <w:szCs w:val="22"/>
          <w:lang w:val="sr-Latn-ME"/>
        </w:rPr>
        <w:lastRenderedPageBreak/>
        <w:t xml:space="preserve">4.6. </w:t>
      </w:r>
      <w:r w:rsidR="00480FB1" w:rsidRPr="00BD78F9">
        <w:rPr>
          <w:b/>
          <w:bCs/>
          <w:sz w:val="22"/>
          <w:szCs w:val="22"/>
          <w:lang w:val="sr-Latn-ME"/>
        </w:rPr>
        <w:tab/>
      </w:r>
      <w:r w:rsidR="006D20A5" w:rsidRPr="00BD78F9">
        <w:rPr>
          <w:b/>
          <w:sz w:val="22"/>
          <w:szCs w:val="22"/>
          <w:lang w:val="sr-Latn-ME"/>
        </w:rPr>
        <w:t>Plodnost, trudnoća i dojenje</w:t>
      </w:r>
    </w:p>
    <w:p w14:paraId="3BF9C250" w14:textId="77A03EB1" w:rsidR="00B73F2A" w:rsidRPr="00BD78F9" w:rsidRDefault="00B73F2A" w:rsidP="00271855">
      <w:pPr>
        <w:tabs>
          <w:tab w:val="left" w:pos="540"/>
          <w:tab w:val="left" w:pos="569"/>
        </w:tabs>
        <w:jc w:val="both"/>
        <w:rPr>
          <w:b/>
          <w:sz w:val="22"/>
          <w:szCs w:val="22"/>
          <w:lang w:val="sr-Latn-ME"/>
        </w:rPr>
      </w:pPr>
    </w:p>
    <w:p w14:paraId="6A2810A3" w14:textId="77777777" w:rsidR="00B73F2A" w:rsidRPr="00BD78F9" w:rsidRDefault="00B73F2A" w:rsidP="000A71FF">
      <w:pPr>
        <w:autoSpaceDE w:val="0"/>
        <w:autoSpaceDN w:val="0"/>
        <w:adjustRightInd w:val="0"/>
        <w:jc w:val="both"/>
        <w:rPr>
          <w:rFonts w:eastAsia="SimSun"/>
          <w:bCs/>
          <w:sz w:val="22"/>
          <w:szCs w:val="22"/>
          <w:u w:val="single"/>
          <w:lang w:val="sr-Latn-ME" w:eastAsia="en-GB"/>
        </w:rPr>
      </w:pPr>
      <w:r w:rsidRPr="00BD78F9">
        <w:rPr>
          <w:rFonts w:eastAsia="SimSun"/>
          <w:sz w:val="22"/>
          <w:szCs w:val="22"/>
          <w:u w:val="single"/>
          <w:lang w:val="sr-Latn-ME" w:eastAsia="en-GB"/>
        </w:rPr>
        <w:t>Plodnost</w:t>
      </w:r>
    </w:p>
    <w:p w14:paraId="1E1337F3" w14:textId="77777777" w:rsidR="00B73F2A" w:rsidRPr="00BD78F9" w:rsidRDefault="00B73F2A" w:rsidP="007019B9">
      <w:pPr>
        <w:tabs>
          <w:tab w:val="left" w:pos="284"/>
        </w:tabs>
        <w:jc w:val="both"/>
        <w:rPr>
          <w:sz w:val="22"/>
          <w:szCs w:val="22"/>
          <w:lang w:val="sr-Latn-ME"/>
        </w:rPr>
      </w:pPr>
    </w:p>
    <w:p w14:paraId="62562CFB" w14:textId="3B6A0AD5" w:rsidR="00B73F2A" w:rsidRPr="00BD78F9" w:rsidRDefault="00B73F2A" w:rsidP="00A52822">
      <w:pPr>
        <w:tabs>
          <w:tab w:val="left" w:pos="284"/>
        </w:tabs>
        <w:jc w:val="both"/>
        <w:rPr>
          <w:noProof/>
          <w:sz w:val="22"/>
          <w:szCs w:val="22"/>
          <w:lang w:val="sr-Latn-ME"/>
        </w:rPr>
      </w:pPr>
      <w:r w:rsidRPr="00BD78F9">
        <w:rPr>
          <w:sz w:val="22"/>
          <w:szCs w:val="22"/>
          <w:lang w:val="sr-Latn-ME"/>
        </w:rPr>
        <w:t xml:space="preserve">Ispitivanja na pacovima su pokazala štetna dejstva na plodnost samo kod </w:t>
      </w:r>
      <w:r w:rsidR="004D0E29" w:rsidRPr="00BD78F9">
        <w:rPr>
          <w:sz w:val="22"/>
          <w:szCs w:val="22"/>
          <w:lang w:val="sr-Latn-ME"/>
        </w:rPr>
        <w:t>primjene</w:t>
      </w:r>
      <w:r w:rsidRPr="00BD78F9">
        <w:rPr>
          <w:sz w:val="22"/>
          <w:szCs w:val="22"/>
          <w:lang w:val="sr-Latn-ME"/>
        </w:rPr>
        <w:t xml:space="preserve"> doza kojima se postiže izloženost veća od maksimalne izloženosti formoterolu kod ljudi (</w:t>
      </w:r>
      <w:r w:rsidR="004D0E29" w:rsidRPr="00BD78F9">
        <w:rPr>
          <w:sz w:val="22"/>
          <w:szCs w:val="22"/>
          <w:lang w:val="sr-Latn-ME"/>
        </w:rPr>
        <w:t>vidjeti</w:t>
      </w:r>
      <w:r w:rsidRPr="00BD78F9">
        <w:rPr>
          <w:sz w:val="22"/>
          <w:szCs w:val="22"/>
          <w:lang w:val="sr-Latn-ME"/>
        </w:rPr>
        <w:t xml:space="preserve"> </w:t>
      </w:r>
      <w:r w:rsidR="004D0E29" w:rsidRPr="00BD78F9">
        <w:rPr>
          <w:sz w:val="22"/>
          <w:szCs w:val="22"/>
          <w:lang w:val="sr-Latn-ME"/>
        </w:rPr>
        <w:t>odjeljak</w:t>
      </w:r>
      <w:r w:rsidRPr="00BD78F9">
        <w:rPr>
          <w:sz w:val="22"/>
          <w:szCs w:val="22"/>
          <w:lang w:val="sr-Latn-ME"/>
        </w:rPr>
        <w:t xml:space="preserve"> 5.3). Budesonid i glikopironijum pojedinačno </w:t>
      </w:r>
      <w:r w:rsidR="004D0E29" w:rsidRPr="00BD78F9">
        <w:rPr>
          <w:sz w:val="22"/>
          <w:szCs w:val="22"/>
          <w:lang w:val="sr-Latn-ME"/>
        </w:rPr>
        <w:t>nijesu</w:t>
      </w:r>
      <w:r w:rsidRPr="00BD78F9">
        <w:rPr>
          <w:sz w:val="22"/>
          <w:szCs w:val="22"/>
          <w:lang w:val="sr-Latn-ME"/>
        </w:rPr>
        <w:t xml:space="preserve"> imali štetna dejstva na plodnost pacova. Nije v</w:t>
      </w:r>
      <w:r w:rsidR="00A32950" w:rsidRPr="00BD78F9">
        <w:rPr>
          <w:sz w:val="22"/>
          <w:szCs w:val="22"/>
          <w:lang w:val="sr-Latn-ME"/>
        </w:rPr>
        <w:t>j</w:t>
      </w:r>
      <w:r w:rsidRPr="00BD78F9">
        <w:rPr>
          <w:sz w:val="22"/>
          <w:szCs w:val="22"/>
          <w:lang w:val="sr-Latn-ME"/>
        </w:rPr>
        <w:t xml:space="preserve">erovatno da će ovaj </w:t>
      </w:r>
      <w:r w:rsidR="004D0E29" w:rsidRPr="00BD78F9">
        <w:rPr>
          <w:sz w:val="22"/>
          <w:szCs w:val="22"/>
          <w:lang w:val="sr-Latn-ME"/>
        </w:rPr>
        <w:t xml:space="preserve">lijek </w:t>
      </w:r>
      <w:r w:rsidRPr="00BD78F9">
        <w:rPr>
          <w:sz w:val="22"/>
          <w:szCs w:val="22"/>
          <w:lang w:val="sr-Latn-ME"/>
        </w:rPr>
        <w:t>prim</w:t>
      </w:r>
      <w:r w:rsidR="004D0E29" w:rsidRPr="00BD78F9">
        <w:rPr>
          <w:sz w:val="22"/>
          <w:szCs w:val="22"/>
          <w:lang w:val="sr-Latn-ME"/>
        </w:rPr>
        <w:t>ij</w:t>
      </w:r>
      <w:r w:rsidRPr="00BD78F9">
        <w:rPr>
          <w:sz w:val="22"/>
          <w:szCs w:val="22"/>
          <w:lang w:val="sr-Latn-ME"/>
        </w:rPr>
        <w:t>enjen u preporučenoj dozi uticati na plodnost ljudi.</w:t>
      </w:r>
    </w:p>
    <w:p w14:paraId="6EBBCA18" w14:textId="0E1A7E4C" w:rsidR="002031B3" w:rsidRPr="00BD78F9" w:rsidRDefault="002031B3" w:rsidP="00271855">
      <w:pPr>
        <w:tabs>
          <w:tab w:val="left" w:pos="540"/>
          <w:tab w:val="left" w:pos="569"/>
        </w:tabs>
        <w:jc w:val="both"/>
        <w:rPr>
          <w:sz w:val="22"/>
          <w:szCs w:val="22"/>
          <w:u w:val="single"/>
          <w:lang w:val="sr-Latn-ME"/>
        </w:rPr>
      </w:pPr>
    </w:p>
    <w:p w14:paraId="3CF8124C" w14:textId="77777777" w:rsidR="00B73F2A" w:rsidRPr="00BD78F9" w:rsidRDefault="00B73F2A" w:rsidP="000A71FF">
      <w:pPr>
        <w:keepNext/>
        <w:tabs>
          <w:tab w:val="left" w:pos="284"/>
        </w:tabs>
        <w:ind w:left="720" w:hanging="720"/>
        <w:jc w:val="both"/>
        <w:rPr>
          <w:bCs/>
          <w:sz w:val="22"/>
          <w:szCs w:val="22"/>
          <w:u w:val="single"/>
          <w:lang w:val="sr-Latn-ME"/>
        </w:rPr>
      </w:pPr>
      <w:r w:rsidRPr="00BD78F9">
        <w:rPr>
          <w:sz w:val="22"/>
          <w:szCs w:val="22"/>
          <w:u w:val="single"/>
          <w:lang w:val="sr-Latn-ME"/>
        </w:rPr>
        <w:t>Trudnoća</w:t>
      </w:r>
    </w:p>
    <w:p w14:paraId="13E2B4A5" w14:textId="77777777" w:rsidR="00B73F2A" w:rsidRPr="00BD78F9" w:rsidRDefault="00B73F2A" w:rsidP="007019B9">
      <w:pPr>
        <w:tabs>
          <w:tab w:val="left" w:pos="284"/>
        </w:tabs>
        <w:jc w:val="both"/>
        <w:rPr>
          <w:sz w:val="22"/>
          <w:szCs w:val="22"/>
          <w:lang w:val="sr-Latn-ME"/>
        </w:rPr>
      </w:pPr>
    </w:p>
    <w:p w14:paraId="7B38D8E8" w14:textId="79948452" w:rsidR="00B73F2A" w:rsidRPr="00BD78F9" w:rsidRDefault="00B73F2A" w:rsidP="00A52822">
      <w:pPr>
        <w:autoSpaceDE w:val="0"/>
        <w:autoSpaceDN w:val="0"/>
        <w:adjustRightInd w:val="0"/>
        <w:jc w:val="both"/>
        <w:rPr>
          <w:rFonts w:eastAsia="SimSun"/>
          <w:color w:val="000000"/>
          <w:sz w:val="22"/>
          <w:szCs w:val="22"/>
          <w:lang w:val="sr-Latn-ME" w:eastAsia="en-GB"/>
        </w:rPr>
      </w:pPr>
      <w:r w:rsidRPr="00BD78F9">
        <w:rPr>
          <w:rFonts w:eastAsia="SimSun"/>
          <w:color w:val="000000"/>
          <w:sz w:val="22"/>
          <w:szCs w:val="22"/>
          <w:lang w:val="sr-Latn-ME" w:eastAsia="en-GB"/>
        </w:rPr>
        <w:t>Nema podataka o prim</w:t>
      </w:r>
      <w:r w:rsidR="004D0E29" w:rsidRPr="00BD78F9">
        <w:rPr>
          <w:rFonts w:eastAsia="SimSun"/>
          <w:color w:val="000000"/>
          <w:sz w:val="22"/>
          <w:szCs w:val="22"/>
          <w:lang w:val="sr-Latn-ME" w:eastAsia="en-GB"/>
        </w:rPr>
        <w:t>j</w:t>
      </w:r>
      <w:r w:rsidRPr="00BD78F9">
        <w:rPr>
          <w:rFonts w:eastAsia="SimSun"/>
          <w:color w:val="000000"/>
          <w:sz w:val="22"/>
          <w:szCs w:val="22"/>
          <w:lang w:val="sr-Latn-ME" w:eastAsia="en-GB"/>
        </w:rPr>
        <w:t xml:space="preserve">eni budesonida, glikopironijuma i formoterola kod trudnica ili su ti podaci ograničeni. </w:t>
      </w:r>
    </w:p>
    <w:p w14:paraId="4EE63A9C" w14:textId="77777777" w:rsidR="00B73F2A" w:rsidRPr="00BD78F9" w:rsidRDefault="00B73F2A">
      <w:pPr>
        <w:tabs>
          <w:tab w:val="left" w:pos="284"/>
        </w:tabs>
        <w:jc w:val="both"/>
        <w:rPr>
          <w:sz w:val="22"/>
          <w:szCs w:val="22"/>
          <w:lang w:val="sr-Latn-ME"/>
        </w:rPr>
      </w:pPr>
    </w:p>
    <w:p w14:paraId="71635619" w14:textId="19C59DC6" w:rsidR="00B73F2A" w:rsidRPr="00BD78F9" w:rsidRDefault="00B73F2A">
      <w:pPr>
        <w:tabs>
          <w:tab w:val="left" w:pos="284"/>
        </w:tabs>
        <w:jc w:val="both"/>
        <w:rPr>
          <w:sz w:val="22"/>
          <w:szCs w:val="22"/>
          <w:lang w:val="sr-Latn-ME"/>
        </w:rPr>
      </w:pPr>
      <w:r w:rsidRPr="00BD78F9">
        <w:rPr>
          <w:sz w:val="22"/>
          <w:szCs w:val="22"/>
          <w:lang w:val="sr-Latn-ME"/>
        </w:rPr>
        <w:t>Podaci o prim</w:t>
      </w:r>
      <w:r w:rsidR="004D0E29" w:rsidRPr="00BD78F9">
        <w:rPr>
          <w:sz w:val="22"/>
          <w:szCs w:val="22"/>
          <w:lang w:val="sr-Latn-ME"/>
        </w:rPr>
        <w:t>j</w:t>
      </w:r>
      <w:r w:rsidRPr="00BD78F9">
        <w:rPr>
          <w:sz w:val="22"/>
          <w:szCs w:val="22"/>
          <w:lang w:val="sr-Latn-ME"/>
        </w:rPr>
        <w:t xml:space="preserve">eni inhalacionog budesonida u više od 2500 izloženih trudnoća ne ukazuju na povećani rizik od teratogenih dejstava tog </w:t>
      </w:r>
      <w:r w:rsidR="004D0E29" w:rsidRPr="00BD78F9">
        <w:rPr>
          <w:sz w:val="22"/>
          <w:szCs w:val="22"/>
          <w:lang w:val="sr-Latn-ME"/>
        </w:rPr>
        <w:t>lijeka</w:t>
      </w:r>
      <w:r w:rsidRPr="00BD78F9">
        <w:rPr>
          <w:sz w:val="22"/>
          <w:szCs w:val="22"/>
          <w:lang w:val="sr-Latn-ME"/>
        </w:rPr>
        <w:t>.</w:t>
      </w:r>
      <w:r w:rsidR="00D55198" w:rsidRPr="00BD78F9">
        <w:rPr>
          <w:sz w:val="22"/>
          <w:szCs w:val="22"/>
          <w:lang w:val="sr-Latn-ME"/>
        </w:rPr>
        <w:t xml:space="preserve"> </w:t>
      </w:r>
      <w:r w:rsidRPr="00BD78F9">
        <w:rPr>
          <w:sz w:val="22"/>
          <w:szCs w:val="22"/>
          <w:lang w:val="sr-Latn-ME"/>
        </w:rPr>
        <w:t xml:space="preserve">Studije </w:t>
      </w:r>
      <w:r w:rsidR="004D0E29" w:rsidRPr="00BD78F9">
        <w:rPr>
          <w:sz w:val="22"/>
          <w:szCs w:val="22"/>
          <w:lang w:val="sr-Latn-ME"/>
        </w:rPr>
        <w:t>primjene</w:t>
      </w:r>
      <w:r w:rsidRPr="00BD78F9">
        <w:rPr>
          <w:sz w:val="22"/>
          <w:szCs w:val="22"/>
          <w:lang w:val="sr-Latn-ME"/>
        </w:rPr>
        <w:t xml:space="preserve"> </w:t>
      </w:r>
      <w:r w:rsidR="00A32950" w:rsidRPr="00BD78F9">
        <w:rPr>
          <w:sz w:val="22"/>
          <w:szCs w:val="22"/>
          <w:lang w:val="sr-Latn-ME"/>
        </w:rPr>
        <w:t xml:space="preserve">pojedinačne </w:t>
      </w:r>
      <w:r w:rsidRPr="00BD78F9">
        <w:rPr>
          <w:sz w:val="22"/>
          <w:szCs w:val="22"/>
          <w:lang w:val="sr-Latn-ME"/>
        </w:rPr>
        <w:t>doze kod ljudi pokazale su da kroz placentalnu barijeru prolaze vrlo male količine glikopironijuma</w:t>
      </w:r>
      <w:r w:rsidRPr="00BD78F9">
        <w:rPr>
          <w:color w:val="1F497D"/>
          <w:sz w:val="22"/>
          <w:szCs w:val="22"/>
          <w:lang w:val="sr-Latn-ME"/>
        </w:rPr>
        <w:t xml:space="preserve">. </w:t>
      </w:r>
    </w:p>
    <w:p w14:paraId="0AEAFEB6" w14:textId="77777777" w:rsidR="00B73F2A" w:rsidRPr="00BD78F9" w:rsidRDefault="00B73F2A">
      <w:pPr>
        <w:tabs>
          <w:tab w:val="left" w:pos="284"/>
        </w:tabs>
        <w:jc w:val="both"/>
        <w:rPr>
          <w:color w:val="1F497D"/>
          <w:sz w:val="22"/>
          <w:szCs w:val="22"/>
          <w:lang w:val="sr-Latn-ME"/>
        </w:rPr>
      </w:pPr>
    </w:p>
    <w:p w14:paraId="743A48E2" w14:textId="4D4263E9" w:rsidR="00B73F2A" w:rsidRPr="00BD78F9" w:rsidRDefault="00B73F2A">
      <w:pPr>
        <w:tabs>
          <w:tab w:val="left" w:pos="284"/>
        </w:tabs>
        <w:jc w:val="both"/>
        <w:rPr>
          <w:sz w:val="22"/>
          <w:szCs w:val="22"/>
          <w:lang w:val="sr-Latn-ME"/>
        </w:rPr>
      </w:pPr>
      <w:r w:rsidRPr="00BD78F9">
        <w:rPr>
          <w:sz w:val="22"/>
          <w:szCs w:val="22"/>
          <w:lang w:val="sr-Latn-ME"/>
        </w:rPr>
        <w:t xml:space="preserve">Nema iskustva ni dokaza o </w:t>
      </w:r>
      <w:r w:rsidR="00A32950" w:rsidRPr="00BD78F9">
        <w:rPr>
          <w:sz w:val="22"/>
          <w:szCs w:val="22"/>
          <w:lang w:val="sr-Latn-ME"/>
        </w:rPr>
        <w:t xml:space="preserve">bezbjednosnim </w:t>
      </w:r>
      <w:r w:rsidRPr="00BD78F9">
        <w:rPr>
          <w:sz w:val="22"/>
          <w:szCs w:val="22"/>
          <w:lang w:val="sr-Latn-ME"/>
        </w:rPr>
        <w:t xml:space="preserve">problemima kod </w:t>
      </w:r>
      <w:r w:rsidR="004D0E29" w:rsidRPr="00BD78F9">
        <w:rPr>
          <w:sz w:val="22"/>
          <w:szCs w:val="22"/>
          <w:lang w:val="sr-Latn-ME"/>
        </w:rPr>
        <w:t>primjene</w:t>
      </w:r>
      <w:r w:rsidRPr="00BD78F9">
        <w:rPr>
          <w:sz w:val="22"/>
          <w:szCs w:val="22"/>
          <w:lang w:val="sr-Latn-ME"/>
        </w:rPr>
        <w:t xml:space="preserve"> potisnog norflurana (HFA134a) tokom trudnoće ili laktacije kod ljudi. Međutim, studije dejstava HFA134a na reproduktivnu funkciju i embriofetalni razvoj kod životinja </w:t>
      </w:r>
      <w:r w:rsidR="004D0E29" w:rsidRPr="00BD78F9">
        <w:rPr>
          <w:sz w:val="22"/>
          <w:szCs w:val="22"/>
          <w:lang w:val="sr-Latn-ME"/>
        </w:rPr>
        <w:t>nijesu</w:t>
      </w:r>
      <w:r w:rsidRPr="00BD78F9">
        <w:rPr>
          <w:sz w:val="22"/>
          <w:szCs w:val="22"/>
          <w:lang w:val="sr-Latn-ME"/>
        </w:rPr>
        <w:t xml:space="preserve"> ukazale ni na kakva klinički važna štetna dejstva.</w:t>
      </w:r>
    </w:p>
    <w:p w14:paraId="7B0AEBDA" w14:textId="77777777" w:rsidR="00B73F2A" w:rsidRPr="00BD78F9" w:rsidRDefault="00B73F2A">
      <w:pPr>
        <w:tabs>
          <w:tab w:val="left" w:pos="284"/>
        </w:tabs>
        <w:jc w:val="both"/>
        <w:rPr>
          <w:b/>
          <w:noProof/>
          <w:sz w:val="22"/>
          <w:szCs w:val="22"/>
          <w:lang w:val="sr-Latn-ME"/>
        </w:rPr>
      </w:pPr>
    </w:p>
    <w:p w14:paraId="6D06FDCF" w14:textId="06FFB737" w:rsidR="00B73F2A" w:rsidRPr="00BD78F9" w:rsidRDefault="004D0E29">
      <w:pPr>
        <w:tabs>
          <w:tab w:val="left" w:pos="284"/>
        </w:tabs>
        <w:jc w:val="both"/>
        <w:rPr>
          <w:sz w:val="22"/>
          <w:szCs w:val="22"/>
          <w:lang w:val="sr-Latn-ME"/>
        </w:rPr>
      </w:pPr>
      <w:r w:rsidRPr="00BD78F9">
        <w:rPr>
          <w:sz w:val="22"/>
          <w:szCs w:val="22"/>
          <w:lang w:val="sr-Latn-ME"/>
        </w:rPr>
        <w:t>Nijesu</w:t>
      </w:r>
      <w:r w:rsidR="00B73F2A" w:rsidRPr="00BD78F9">
        <w:rPr>
          <w:sz w:val="22"/>
          <w:szCs w:val="22"/>
          <w:lang w:val="sr-Latn-ME"/>
        </w:rPr>
        <w:t xml:space="preserve"> sprovedene studije reproduktivne toksičnosti ovog </w:t>
      </w:r>
      <w:r w:rsidRPr="00BD78F9">
        <w:rPr>
          <w:sz w:val="22"/>
          <w:szCs w:val="22"/>
          <w:lang w:val="sr-Latn-ME"/>
        </w:rPr>
        <w:t xml:space="preserve">lijeka </w:t>
      </w:r>
      <w:r w:rsidR="00B73F2A" w:rsidRPr="00BD78F9">
        <w:rPr>
          <w:sz w:val="22"/>
          <w:szCs w:val="22"/>
          <w:lang w:val="sr-Latn-ME"/>
        </w:rPr>
        <w:t>na životinjama. Pokazalo se da kod pacova i kunića budesonid uzrokuje embriofetalnu toksičnost, što je dejstvo klase glukokortikoida.</w:t>
      </w:r>
      <w:r w:rsidR="0003197D" w:rsidRPr="00BD78F9">
        <w:rPr>
          <w:sz w:val="22"/>
          <w:szCs w:val="22"/>
          <w:lang w:val="sr-Latn-ME"/>
        </w:rPr>
        <w:t xml:space="preserve"> </w:t>
      </w:r>
      <w:r w:rsidR="00B73F2A" w:rsidRPr="00BD78F9">
        <w:rPr>
          <w:sz w:val="22"/>
          <w:szCs w:val="22"/>
          <w:lang w:val="sr-Latn-ME"/>
        </w:rPr>
        <w:t>Formoterol je pri vrlo visokim dozama/nivoima sistemske izloženosti uzrokovao implantacione gubitke, kao i smanjenu t</w:t>
      </w:r>
      <w:r w:rsidRPr="00BD78F9">
        <w:rPr>
          <w:sz w:val="22"/>
          <w:szCs w:val="22"/>
          <w:lang w:val="sr-Latn-ME"/>
        </w:rPr>
        <w:t>j</w:t>
      </w:r>
      <w:r w:rsidR="00B73F2A" w:rsidRPr="00BD78F9">
        <w:rPr>
          <w:sz w:val="22"/>
          <w:szCs w:val="22"/>
          <w:lang w:val="sr-Latn-ME"/>
        </w:rPr>
        <w:t>elesnu masu mladunaca pri okotu i smanjeno preživljavanje u ranoj postnatalnoj fazi, dok glikopironijum nije imao značajnih dejstava na reprodukciju (</w:t>
      </w:r>
      <w:r w:rsidRPr="00BD78F9">
        <w:rPr>
          <w:sz w:val="22"/>
          <w:szCs w:val="22"/>
          <w:lang w:val="sr-Latn-ME"/>
        </w:rPr>
        <w:t>vidjeti</w:t>
      </w:r>
      <w:r w:rsidR="00B73F2A" w:rsidRPr="00BD78F9">
        <w:rPr>
          <w:sz w:val="22"/>
          <w:szCs w:val="22"/>
          <w:lang w:val="sr-Latn-ME"/>
        </w:rPr>
        <w:t xml:space="preserve"> </w:t>
      </w:r>
      <w:r w:rsidRPr="00BD78F9">
        <w:rPr>
          <w:sz w:val="22"/>
          <w:szCs w:val="22"/>
          <w:lang w:val="sr-Latn-ME"/>
        </w:rPr>
        <w:t>odjeljak</w:t>
      </w:r>
      <w:r w:rsidR="00B73F2A" w:rsidRPr="00BD78F9">
        <w:rPr>
          <w:sz w:val="22"/>
          <w:szCs w:val="22"/>
          <w:lang w:val="sr-Latn-ME"/>
        </w:rPr>
        <w:t xml:space="preserve"> 5.3).</w:t>
      </w:r>
    </w:p>
    <w:p w14:paraId="4043D287" w14:textId="77777777" w:rsidR="00B73F2A" w:rsidRPr="00BD78F9" w:rsidRDefault="00B73F2A">
      <w:pPr>
        <w:tabs>
          <w:tab w:val="left" w:pos="284"/>
        </w:tabs>
        <w:jc w:val="both"/>
        <w:rPr>
          <w:sz w:val="22"/>
          <w:szCs w:val="22"/>
          <w:lang w:val="sr-Latn-ME"/>
        </w:rPr>
      </w:pPr>
    </w:p>
    <w:p w14:paraId="04F06747" w14:textId="70EA3730" w:rsidR="00B73F2A" w:rsidRPr="00BD78F9" w:rsidRDefault="00B73F2A">
      <w:pPr>
        <w:tabs>
          <w:tab w:val="left" w:pos="284"/>
        </w:tabs>
        <w:autoSpaceDE w:val="0"/>
        <w:autoSpaceDN w:val="0"/>
        <w:adjustRightInd w:val="0"/>
        <w:jc w:val="both"/>
        <w:rPr>
          <w:sz w:val="22"/>
          <w:szCs w:val="22"/>
          <w:lang w:val="sr-Latn-ME"/>
        </w:rPr>
      </w:pPr>
      <w:r w:rsidRPr="00BD78F9">
        <w:rPr>
          <w:sz w:val="22"/>
          <w:szCs w:val="22"/>
          <w:lang w:val="sr-Latn-ME"/>
        </w:rPr>
        <w:t>Prim</w:t>
      </w:r>
      <w:r w:rsidR="004D0E29" w:rsidRPr="00BD78F9">
        <w:rPr>
          <w:sz w:val="22"/>
          <w:szCs w:val="22"/>
          <w:lang w:val="sr-Latn-ME"/>
        </w:rPr>
        <w:t>j</w:t>
      </w:r>
      <w:r w:rsidRPr="00BD78F9">
        <w:rPr>
          <w:sz w:val="22"/>
          <w:szCs w:val="22"/>
          <w:lang w:val="sr-Latn-ME"/>
        </w:rPr>
        <w:t xml:space="preserve">enu ovog </w:t>
      </w:r>
      <w:r w:rsidR="004D0E29" w:rsidRPr="00BD78F9">
        <w:rPr>
          <w:sz w:val="22"/>
          <w:szCs w:val="22"/>
          <w:lang w:val="sr-Latn-ME"/>
        </w:rPr>
        <w:t xml:space="preserve">lijeka </w:t>
      </w:r>
      <w:r w:rsidRPr="00BD78F9">
        <w:rPr>
          <w:sz w:val="22"/>
          <w:szCs w:val="22"/>
          <w:lang w:val="sr-Latn-ME"/>
        </w:rPr>
        <w:t>kod trudnica treba razmotriti samo ako očekivana korist za majku opravdava potencijalni rizik za plod.</w:t>
      </w:r>
    </w:p>
    <w:p w14:paraId="15B6C74B" w14:textId="77777777" w:rsidR="00B73F2A" w:rsidRPr="00BD78F9" w:rsidRDefault="00B73F2A">
      <w:pPr>
        <w:tabs>
          <w:tab w:val="left" w:pos="284"/>
        </w:tabs>
        <w:jc w:val="both"/>
        <w:rPr>
          <w:sz w:val="22"/>
          <w:szCs w:val="22"/>
          <w:lang w:val="sr-Latn-ME"/>
        </w:rPr>
      </w:pPr>
    </w:p>
    <w:p w14:paraId="20083A13" w14:textId="77777777" w:rsidR="00B73F2A" w:rsidRPr="00BD78F9" w:rsidRDefault="00B73F2A">
      <w:pPr>
        <w:keepNext/>
        <w:tabs>
          <w:tab w:val="left" w:pos="284"/>
        </w:tabs>
        <w:jc w:val="both"/>
        <w:rPr>
          <w:bCs/>
          <w:sz w:val="22"/>
          <w:szCs w:val="22"/>
          <w:u w:val="single"/>
          <w:lang w:val="sr-Latn-ME"/>
        </w:rPr>
      </w:pPr>
      <w:r w:rsidRPr="00BD78F9">
        <w:rPr>
          <w:sz w:val="22"/>
          <w:szCs w:val="22"/>
          <w:u w:val="single"/>
          <w:lang w:val="sr-Latn-ME"/>
        </w:rPr>
        <w:t>Dojenje</w:t>
      </w:r>
    </w:p>
    <w:p w14:paraId="76A8BCB9" w14:textId="77777777" w:rsidR="00B73F2A" w:rsidRPr="00BD78F9" w:rsidRDefault="00B73F2A">
      <w:pPr>
        <w:tabs>
          <w:tab w:val="left" w:pos="284"/>
        </w:tabs>
        <w:jc w:val="both"/>
        <w:rPr>
          <w:sz w:val="22"/>
          <w:szCs w:val="22"/>
          <w:lang w:val="sr-Latn-ME"/>
        </w:rPr>
      </w:pPr>
    </w:p>
    <w:p w14:paraId="425CEC89" w14:textId="0F3B4EE7" w:rsidR="00B73F2A" w:rsidRPr="00BD78F9" w:rsidRDefault="00B73F2A">
      <w:pPr>
        <w:tabs>
          <w:tab w:val="left" w:pos="284"/>
        </w:tabs>
        <w:jc w:val="both"/>
        <w:rPr>
          <w:sz w:val="22"/>
          <w:szCs w:val="22"/>
          <w:lang w:val="sr-Latn-ME"/>
        </w:rPr>
      </w:pPr>
      <w:r w:rsidRPr="00BD78F9">
        <w:rPr>
          <w:sz w:val="22"/>
          <w:szCs w:val="22"/>
          <w:lang w:val="sr-Latn-ME"/>
        </w:rPr>
        <w:t>Klinička farmakološka studija pokazala je da se inhalacioni budesonid izlučuje u majčino ml</w:t>
      </w:r>
      <w:r w:rsidR="004D0E29" w:rsidRPr="00BD78F9">
        <w:rPr>
          <w:sz w:val="22"/>
          <w:szCs w:val="22"/>
          <w:lang w:val="sr-Latn-ME"/>
        </w:rPr>
        <w:t>ij</w:t>
      </w:r>
      <w:r w:rsidRPr="00BD78F9">
        <w:rPr>
          <w:sz w:val="22"/>
          <w:szCs w:val="22"/>
          <w:lang w:val="sr-Latn-ME"/>
        </w:rPr>
        <w:t>eko. Međutim, budesonid nije otkriven u uzorcima krvi odojčadi. Na osnovu farmakokinetičkih parametara, proc</w:t>
      </w:r>
      <w:r w:rsidR="00A32950" w:rsidRPr="00BD78F9">
        <w:rPr>
          <w:sz w:val="22"/>
          <w:szCs w:val="22"/>
          <w:lang w:val="sr-Latn-ME"/>
        </w:rPr>
        <w:t>j</w:t>
      </w:r>
      <w:r w:rsidRPr="00BD78F9">
        <w:rPr>
          <w:sz w:val="22"/>
          <w:szCs w:val="22"/>
          <w:lang w:val="sr-Latn-ME"/>
        </w:rPr>
        <w:t xml:space="preserve">enjuje se da koncentracija </w:t>
      </w:r>
      <w:r w:rsidR="004D0E29" w:rsidRPr="00BD78F9">
        <w:rPr>
          <w:sz w:val="22"/>
          <w:szCs w:val="22"/>
          <w:lang w:val="sr-Latn-ME"/>
        </w:rPr>
        <w:t xml:space="preserve">lijeka </w:t>
      </w:r>
      <w:r w:rsidRPr="00BD78F9">
        <w:rPr>
          <w:sz w:val="22"/>
          <w:szCs w:val="22"/>
          <w:lang w:val="sr-Latn-ME"/>
        </w:rPr>
        <w:t>u plazmi d</w:t>
      </w:r>
      <w:r w:rsidR="004D0E29" w:rsidRPr="00BD78F9">
        <w:rPr>
          <w:sz w:val="22"/>
          <w:szCs w:val="22"/>
          <w:lang w:val="sr-Latn-ME"/>
        </w:rPr>
        <w:t>j</w:t>
      </w:r>
      <w:r w:rsidRPr="00BD78F9">
        <w:rPr>
          <w:sz w:val="22"/>
          <w:szCs w:val="22"/>
          <w:lang w:val="sr-Latn-ME"/>
        </w:rPr>
        <w:t xml:space="preserve">eteta iznosi manje od 0,17% njegove koncentracije u plazmi majke. Stoga se ne očekuju nikakvi </w:t>
      </w:r>
      <w:r w:rsidR="00A32950" w:rsidRPr="00BD78F9">
        <w:rPr>
          <w:sz w:val="22"/>
          <w:szCs w:val="22"/>
          <w:lang w:val="sr-Latn-ME"/>
        </w:rPr>
        <w:t xml:space="preserve">efekti </w:t>
      </w:r>
      <w:r w:rsidRPr="00BD78F9">
        <w:rPr>
          <w:sz w:val="22"/>
          <w:szCs w:val="22"/>
          <w:lang w:val="sr-Latn-ME"/>
        </w:rPr>
        <w:t xml:space="preserve">budesonida na dojenu </w:t>
      </w:r>
      <w:r w:rsidR="004D0E29" w:rsidRPr="00BD78F9">
        <w:rPr>
          <w:sz w:val="22"/>
          <w:szCs w:val="22"/>
          <w:lang w:val="sr-Latn-ME"/>
        </w:rPr>
        <w:t>djecu</w:t>
      </w:r>
      <w:r w:rsidRPr="00BD78F9">
        <w:rPr>
          <w:sz w:val="22"/>
          <w:szCs w:val="22"/>
          <w:lang w:val="sr-Latn-ME"/>
        </w:rPr>
        <w:t xml:space="preserve"> čije majke uzimaju terapijske doze ovog </w:t>
      </w:r>
      <w:r w:rsidR="004D0E29" w:rsidRPr="00BD78F9">
        <w:rPr>
          <w:sz w:val="22"/>
          <w:szCs w:val="22"/>
          <w:lang w:val="sr-Latn-ME"/>
        </w:rPr>
        <w:t>lijeka</w:t>
      </w:r>
      <w:r w:rsidRPr="00BD78F9">
        <w:rPr>
          <w:sz w:val="22"/>
          <w:szCs w:val="22"/>
          <w:lang w:val="sr-Latn-ME"/>
        </w:rPr>
        <w:t>.</w:t>
      </w:r>
      <w:r w:rsidR="0003197D" w:rsidRPr="00BD78F9">
        <w:rPr>
          <w:sz w:val="22"/>
          <w:szCs w:val="22"/>
          <w:lang w:val="sr-Latn-ME"/>
        </w:rPr>
        <w:t xml:space="preserve"> </w:t>
      </w:r>
      <w:r w:rsidRPr="00BD78F9">
        <w:rPr>
          <w:sz w:val="22"/>
          <w:szCs w:val="22"/>
          <w:lang w:val="sr-Latn-ME"/>
        </w:rPr>
        <w:t xml:space="preserve">Nije poznato da li se glikopironijum ili formoterol izlučuju u majčino </w:t>
      </w:r>
      <w:r w:rsidR="004D0E29" w:rsidRPr="00BD78F9">
        <w:rPr>
          <w:sz w:val="22"/>
          <w:szCs w:val="22"/>
          <w:lang w:val="sr-Latn-ME"/>
        </w:rPr>
        <w:t>mlijeko</w:t>
      </w:r>
      <w:r w:rsidRPr="00BD78F9">
        <w:rPr>
          <w:sz w:val="22"/>
          <w:szCs w:val="22"/>
          <w:lang w:val="sr-Latn-ME"/>
        </w:rPr>
        <w:t>. Zab</w:t>
      </w:r>
      <w:r w:rsidR="00A32950" w:rsidRPr="00BD78F9">
        <w:rPr>
          <w:sz w:val="22"/>
          <w:szCs w:val="22"/>
          <w:lang w:val="sr-Latn-ME"/>
        </w:rPr>
        <w:t>i</w:t>
      </w:r>
      <w:r w:rsidRPr="00BD78F9">
        <w:rPr>
          <w:sz w:val="22"/>
          <w:szCs w:val="22"/>
          <w:lang w:val="sr-Latn-ME"/>
        </w:rPr>
        <w:t>l</w:t>
      </w:r>
      <w:r w:rsidR="00A32950" w:rsidRPr="00BD78F9">
        <w:rPr>
          <w:sz w:val="22"/>
          <w:szCs w:val="22"/>
          <w:lang w:val="sr-Latn-ME"/>
        </w:rPr>
        <w:t>j</w:t>
      </w:r>
      <w:r w:rsidRPr="00BD78F9">
        <w:rPr>
          <w:sz w:val="22"/>
          <w:szCs w:val="22"/>
          <w:lang w:val="sr-Latn-ME"/>
        </w:rPr>
        <w:t>eženi su dokazi o tome da glikopironijum i formoterol pr</w:t>
      </w:r>
      <w:r w:rsidR="00A32950" w:rsidRPr="00BD78F9">
        <w:rPr>
          <w:sz w:val="22"/>
          <w:szCs w:val="22"/>
          <w:lang w:val="sr-Latn-ME"/>
        </w:rPr>
        <w:t>o</w:t>
      </w:r>
      <w:r w:rsidRPr="00BD78F9">
        <w:rPr>
          <w:sz w:val="22"/>
          <w:szCs w:val="22"/>
          <w:lang w:val="sr-Latn-ME"/>
        </w:rPr>
        <w:t xml:space="preserve">laze u </w:t>
      </w:r>
      <w:r w:rsidR="004D0E29" w:rsidRPr="00BD78F9">
        <w:rPr>
          <w:sz w:val="22"/>
          <w:szCs w:val="22"/>
          <w:lang w:val="sr-Latn-ME"/>
        </w:rPr>
        <w:t>mlijeko</w:t>
      </w:r>
      <w:r w:rsidRPr="00BD78F9">
        <w:rPr>
          <w:sz w:val="22"/>
          <w:szCs w:val="22"/>
          <w:lang w:val="sr-Latn-ME"/>
        </w:rPr>
        <w:t xml:space="preserve"> ženki pacova.  </w:t>
      </w:r>
    </w:p>
    <w:p w14:paraId="01EB09D5" w14:textId="77777777" w:rsidR="00B73F2A" w:rsidRPr="00BD78F9" w:rsidRDefault="00B73F2A">
      <w:pPr>
        <w:tabs>
          <w:tab w:val="left" w:pos="284"/>
        </w:tabs>
        <w:autoSpaceDE w:val="0"/>
        <w:autoSpaceDN w:val="0"/>
        <w:jc w:val="both"/>
        <w:rPr>
          <w:sz w:val="22"/>
          <w:szCs w:val="22"/>
          <w:lang w:val="sr-Latn-ME"/>
        </w:rPr>
      </w:pPr>
    </w:p>
    <w:p w14:paraId="30E4DD7D" w14:textId="4D4E04A5" w:rsidR="00B73F2A" w:rsidRPr="00BD78F9" w:rsidRDefault="00B73F2A">
      <w:pPr>
        <w:tabs>
          <w:tab w:val="left" w:pos="284"/>
        </w:tabs>
        <w:autoSpaceDE w:val="0"/>
        <w:autoSpaceDN w:val="0"/>
        <w:jc w:val="both"/>
        <w:rPr>
          <w:sz w:val="22"/>
          <w:szCs w:val="22"/>
          <w:lang w:val="sr-Latn-ME"/>
        </w:rPr>
      </w:pPr>
      <w:r w:rsidRPr="00BD78F9">
        <w:rPr>
          <w:sz w:val="22"/>
          <w:szCs w:val="22"/>
          <w:lang w:val="sr-Latn-ME"/>
        </w:rPr>
        <w:t>Prim</w:t>
      </w:r>
      <w:r w:rsidR="004D0E29" w:rsidRPr="00BD78F9">
        <w:rPr>
          <w:sz w:val="22"/>
          <w:szCs w:val="22"/>
          <w:lang w:val="sr-Latn-ME"/>
        </w:rPr>
        <w:t>j</w:t>
      </w:r>
      <w:r w:rsidRPr="00BD78F9">
        <w:rPr>
          <w:sz w:val="22"/>
          <w:szCs w:val="22"/>
          <w:lang w:val="sr-Latn-ME"/>
        </w:rPr>
        <w:t xml:space="preserve">enu ovog </w:t>
      </w:r>
      <w:r w:rsidR="004D0E29" w:rsidRPr="00BD78F9">
        <w:rPr>
          <w:sz w:val="22"/>
          <w:szCs w:val="22"/>
          <w:lang w:val="sr-Latn-ME"/>
        </w:rPr>
        <w:t xml:space="preserve">lijeka </w:t>
      </w:r>
      <w:r w:rsidRPr="00BD78F9">
        <w:rPr>
          <w:sz w:val="22"/>
          <w:szCs w:val="22"/>
          <w:lang w:val="sr-Latn-ME"/>
        </w:rPr>
        <w:t xml:space="preserve">kod žena koje doje treba razmotriti samo ako je očekivana korist za majku veća od bilo kog mogućeg rizika za </w:t>
      </w:r>
      <w:r w:rsidR="004D0E29" w:rsidRPr="00BD78F9">
        <w:rPr>
          <w:sz w:val="22"/>
          <w:szCs w:val="22"/>
          <w:lang w:val="sr-Latn-ME"/>
        </w:rPr>
        <w:t>dijete</w:t>
      </w:r>
      <w:r w:rsidRPr="00BD78F9">
        <w:rPr>
          <w:sz w:val="22"/>
          <w:szCs w:val="22"/>
          <w:lang w:val="sr-Latn-ME"/>
        </w:rPr>
        <w:t>.</w:t>
      </w:r>
    </w:p>
    <w:p w14:paraId="1DA4E972" w14:textId="77777777" w:rsidR="00227BDB" w:rsidRPr="00BD78F9" w:rsidRDefault="00227BDB" w:rsidP="00271855">
      <w:pPr>
        <w:tabs>
          <w:tab w:val="left" w:pos="540"/>
          <w:tab w:val="left" w:pos="569"/>
        </w:tabs>
        <w:jc w:val="both"/>
        <w:rPr>
          <w:b/>
          <w:bCs/>
          <w:sz w:val="22"/>
          <w:szCs w:val="22"/>
          <w:lang w:val="sr-Latn-ME"/>
        </w:rPr>
      </w:pPr>
    </w:p>
    <w:p w14:paraId="5A9C6A38" w14:textId="77777777" w:rsidR="0072020E" w:rsidRPr="00BD78F9" w:rsidRDefault="0072020E" w:rsidP="00271855">
      <w:pPr>
        <w:tabs>
          <w:tab w:val="left" w:pos="540"/>
          <w:tab w:val="left" w:pos="569"/>
        </w:tabs>
        <w:ind w:left="540" w:hanging="540"/>
        <w:jc w:val="both"/>
        <w:rPr>
          <w:b/>
          <w:bCs/>
          <w:sz w:val="22"/>
          <w:szCs w:val="22"/>
          <w:lang w:val="sr-Latn-ME"/>
        </w:rPr>
      </w:pPr>
      <w:r w:rsidRPr="00BD78F9">
        <w:rPr>
          <w:b/>
          <w:bCs/>
          <w:sz w:val="22"/>
          <w:szCs w:val="22"/>
          <w:lang w:val="sr-Latn-ME"/>
        </w:rPr>
        <w:t xml:space="preserve">4.7. </w:t>
      </w:r>
      <w:r w:rsidR="00480FB1" w:rsidRPr="00BD78F9">
        <w:rPr>
          <w:b/>
          <w:bCs/>
          <w:sz w:val="22"/>
          <w:szCs w:val="22"/>
          <w:lang w:val="sr-Latn-ME"/>
        </w:rPr>
        <w:tab/>
      </w:r>
      <w:r w:rsidRPr="00BD78F9">
        <w:rPr>
          <w:b/>
          <w:bCs/>
          <w:sz w:val="22"/>
          <w:szCs w:val="22"/>
          <w:lang w:val="sr-Latn-ME"/>
        </w:rPr>
        <w:t xml:space="preserve">Uticaj na </w:t>
      </w:r>
      <w:r w:rsidR="002031B3" w:rsidRPr="00BD78F9">
        <w:rPr>
          <w:b/>
          <w:bCs/>
          <w:sz w:val="22"/>
          <w:szCs w:val="22"/>
          <w:lang w:val="sr-Latn-ME"/>
        </w:rPr>
        <w:t xml:space="preserve">sposobnost </w:t>
      </w:r>
      <w:r w:rsidR="00F34554" w:rsidRPr="00BD78F9">
        <w:rPr>
          <w:b/>
          <w:bCs/>
          <w:sz w:val="22"/>
          <w:szCs w:val="22"/>
          <w:lang w:val="sr-Latn-ME"/>
        </w:rPr>
        <w:t>upravljanja vozili</w:t>
      </w:r>
      <w:r w:rsidRPr="00BD78F9">
        <w:rPr>
          <w:b/>
          <w:bCs/>
          <w:sz w:val="22"/>
          <w:szCs w:val="22"/>
          <w:lang w:val="sr-Latn-ME"/>
        </w:rPr>
        <w:t>m</w:t>
      </w:r>
      <w:r w:rsidR="00F34554" w:rsidRPr="00BD78F9">
        <w:rPr>
          <w:b/>
          <w:bCs/>
          <w:sz w:val="22"/>
          <w:szCs w:val="22"/>
          <w:lang w:val="sr-Latn-ME"/>
        </w:rPr>
        <w:t>a</w:t>
      </w:r>
      <w:r w:rsidRPr="00BD78F9">
        <w:rPr>
          <w:b/>
          <w:bCs/>
          <w:sz w:val="22"/>
          <w:szCs w:val="22"/>
          <w:lang w:val="sr-Latn-ME"/>
        </w:rPr>
        <w:t xml:space="preserve"> i </w:t>
      </w:r>
      <w:r w:rsidR="000D3449" w:rsidRPr="00BD78F9">
        <w:rPr>
          <w:b/>
          <w:bCs/>
          <w:sz w:val="22"/>
          <w:szCs w:val="22"/>
          <w:lang w:val="sr-Latn-ME"/>
        </w:rPr>
        <w:t xml:space="preserve">rukovanje </w:t>
      </w:r>
      <w:r w:rsidRPr="00BD78F9">
        <w:rPr>
          <w:b/>
          <w:bCs/>
          <w:sz w:val="22"/>
          <w:szCs w:val="22"/>
          <w:lang w:val="sr-Latn-ME"/>
        </w:rPr>
        <w:t>mašinama</w:t>
      </w:r>
    </w:p>
    <w:p w14:paraId="3DA3BBD6" w14:textId="5EF28F5D" w:rsidR="0072020E" w:rsidRPr="00BD78F9" w:rsidRDefault="0072020E" w:rsidP="00271855">
      <w:pPr>
        <w:tabs>
          <w:tab w:val="left" w:pos="540"/>
          <w:tab w:val="left" w:pos="569"/>
        </w:tabs>
        <w:jc w:val="both"/>
        <w:rPr>
          <w:b/>
          <w:bCs/>
          <w:sz w:val="22"/>
          <w:szCs w:val="22"/>
          <w:lang w:val="sr-Latn-ME"/>
        </w:rPr>
      </w:pPr>
    </w:p>
    <w:p w14:paraId="2D077FAE" w14:textId="2DB8B874" w:rsidR="00B73F2A" w:rsidRPr="00BD78F9" w:rsidRDefault="004D0E29" w:rsidP="000A71FF">
      <w:pPr>
        <w:tabs>
          <w:tab w:val="left" w:pos="284"/>
        </w:tabs>
        <w:jc w:val="both"/>
        <w:rPr>
          <w:noProof/>
          <w:sz w:val="22"/>
          <w:szCs w:val="22"/>
          <w:lang w:val="sr-Latn-ME"/>
        </w:rPr>
      </w:pPr>
      <w:r w:rsidRPr="00BD78F9">
        <w:rPr>
          <w:sz w:val="22"/>
          <w:lang w:val="sr-Latn-ME"/>
        </w:rPr>
        <w:t xml:space="preserve">Lijek </w:t>
      </w:r>
      <w:r w:rsidR="00B73F2A" w:rsidRPr="00BD78F9">
        <w:rPr>
          <w:sz w:val="22"/>
          <w:szCs w:val="22"/>
          <w:lang w:val="sr-Latn-ME"/>
        </w:rPr>
        <w:t>Trixeo Aerosphere</w:t>
      </w:r>
      <w:r w:rsidR="00B73F2A" w:rsidRPr="00BD78F9">
        <w:rPr>
          <w:noProof/>
          <w:sz w:val="22"/>
          <w:szCs w:val="22"/>
          <w:lang w:val="sr-Latn-ME"/>
        </w:rPr>
        <w:t xml:space="preserve"> nema nikakav ili ima zanemarljiv uticaj na sposobnost upravljanja vozilima i rukovanja mašinama. Ipak, vrtoglavica predstavlja po</w:t>
      </w:r>
      <w:r w:rsidRPr="00BD78F9">
        <w:rPr>
          <w:noProof/>
          <w:sz w:val="22"/>
          <w:szCs w:val="22"/>
          <w:lang w:val="sr-Latn-ME"/>
        </w:rPr>
        <w:t>vreme</w:t>
      </w:r>
      <w:r w:rsidR="00B73F2A" w:rsidRPr="00BD78F9">
        <w:rPr>
          <w:noProof/>
          <w:sz w:val="22"/>
          <w:szCs w:val="22"/>
          <w:lang w:val="sr-Latn-ME"/>
        </w:rPr>
        <w:t xml:space="preserve">no neželjeno dejstvo koje treba uzeti u obzir prilikom upravljanja vozilima i rukovanja mašinama. </w:t>
      </w:r>
    </w:p>
    <w:p w14:paraId="1A72DB6C" w14:textId="77777777" w:rsidR="00B73F2A" w:rsidRPr="00BD78F9" w:rsidRDefault="00B73F2A" w:rsidP="00271855">
      <w:pPr>
        <w:tabs>
          <w:tab w:val="left" w:pos="540"/>
          <w:tab w:val="left" w:pos="569"/>
        </w:tabs>
        <w:jc w:val="both"/>
        <w:rPr>
          <w:b/>
          <w:bCs/>
          <w:sz w:val="22"/>
          <w:szCs w:val="22"/>
          <w:lang w:val="sr-Latn-ME"/>
        </w:rPr>
      </w:pPr>
    </w:p>
    <w:p w14:paraId="4D69E43F" w14:textId="652FEB5E" w:rsidR="0072020E" w:rsidRPr="00BD78F9" w:rsidRDefault="0072020E" w:rsidP="00271855">
      <w:pPr>
        <w:tabs>
          <w:tab w:val="left" w:pos="540"/>
          <w:tab w:val="left" w:pos="569"/>
        </w:tabs>
        <w:jc w:val="both"/>
        <w:rPr>
          <w:b/>
          <w:bCs/>
          <w:sz w:val="22"/>
          <w:szCs w:val="22"/>
          <w:lang w:val="sr-Latn-ME"/>
        </w:rPr>
      </w:pPr>
      <w:r w:rsidRPr="00BD78F9">
        <w:rPr>
          <w:b/>
          <w:bCs/>
          <w:sz w:val="22"/>
          <w:szCs w:val="22"/>
          <w:lang w:val="sr-Latn-ME"/>
        </w:rPr>
        <w:t xml:space="preserve">4.8. </w:t>
      </w:r>
      <w:r w:rsidR="00480FB1" w:rsidRPr="00BD78F9">
        <w:rPr>
          <w:b/>
          <w:bCs/>
          <w:sz w:val="22"/>
          <w:szCs w:val="22"/>
          <w:lang w:val="sr-Latn-ME"/>
        </w:rPr>
        <w:tab/>
      </w:r>
      <w:r w:rsidRPr="00BD78F9">
        <w:rPr>
          <w:b/>
          <w:bCs/>
          <w:sz w:val="22"/>
          <w:szCs w:val="22"/>
          <w:lang w:val="sr-Latn-ME"/>
        </w:rPr>
        <w:t>Neželjena dejstva</w:t>
      </w:r>
    </w:p>
    <w:p w14:paraId="7A656D2E" w14:textId="201A7D77" w:rsidR="00B73F2A" w:rsidRPr="00BD78F9" w:rsidRDefault="00B73F2A" w:rsidP="00271855">
      <w:pPr>
        <w:tabs>
          <w:tab w:val="left" w:pos="540"/>
          <w:tab w:val="left" w:pos="569"/>
        </w:tabs>
        <w:jc w:val="both"/>
        <w:rPr>
          <w:b/>
          <w:bCs/>
          <w:sz w:val="22"/>
          <w:szCs w:val="22"/>
          <w:lang w:val="sr-Latn-ME"/>
        </w:rPr>
      </w:pPr>
    </w:p>
    <w:p w14:paraId="1D333627" w14:textId="3E7D27DD" w:rsidR="00B73F2A" w:rsidRPr="00BD78F9" w:rsidRDefault="00B73F2A" w:rsidP="000A71FF">
      <w:pPr>
        <w:tabs>
          <w:tab w:val="left" w:pos="284"/>
        </w:tabs>
        <w:autoSpaceDE w:val="0"/>
        <w:autoSpaceDN w:val="0"/>
        <w:adjustRightInd w:val="0"/>
        <w:jc w:val="both"/>
        <w:rPr>
          <w:sz w:val="22"/>
          <w:szCs w:val="22"/>
          <w:u w:val="single"/>
          <w:lang w:val="sr-Latn-ME"/>
        </w:rPr>
      </w:pPr>
      <w:r w:rsidRPr="00BD78F9">
        <w:rPr>
          <w:noProof/>
          <w:sz w:val="22"/>
          <w:szCs w:val="22"/>
          <w:u w:val="single"/>
          <w:lang w:val="sr-Latn-ME"/>
        </w:rPr>
        <w:t>Kratak pregled bezb</w:t>
      </w:r>
      <w:r w:rsidR="00F92051" w:rsidRPr="00BD78F9">
        <w:rPr>
          <w:noProof/>
          <w:sz w:val="22"/>
          <w:szCs w:val="22"/>
          <w:u w:val="single"/>
          <w:lang w:val="sr-Latn-ME"/>
        </w:rPr>
        <w:t>j</w:t>
      </w:r>
      <w:r w:rsidRPr="00BD78F9">
        <w:rPr>
          <w:noProof/>
          <w:sz w:val="22"/>
          <w:szCs w:val="22"/>
          <w:u w:val="single"/>
          <w:lang w:val="sr-Latn-ME"/>
        </w:rPr>
        <w:t>ednosnog profila</w:t>
      </w:r>
    </w:p>
    <w:p w14:paraId="50B14A16" w14:textId="77777777" w:rsidR="00B73F2A" w:rsidRPr="00BD78F9" w:rsidRDefault="00B73F2A" w:rsidP="007019B9">
      <w:pPr>
        <w:tabs>
          <w:tab w:val="left" w:pos="284"/>
        </w:tabs>
        <w:autoSpaceDE w:val="0"/>
        <w:autoSpaceDN w:val="0"/>
        <w:adjustRightInd w:val="0"/>
        <w:jc w:val="both"/>
        <w:rPr>
          <w:sz w:val="22"/>
          <w:szCs w:val="22"/>
          <w:lang w:val="sr-Latn-ME"/>
        </w:rPr>
      </w:pPr>
    </w:p>
    <w:p w14:paraId="3C74189E" w14:textId="4B48BE38" w:rsidR="00B73F2A" w:rsidRPr="00BD78F9" w:rsidRDefault="00B73F2A" w:rsidP="00F92051">
      <w:pPr>
        <w:tabs>
          <w:tab w:val="left" w:pos="284"/>
        </w:tabs>
        <w:autoSpaceDE w:val="0"/>
        <w:autoSpaceDN w:val="0"/>
        <w:adjustRightInd w:val="0"/>
        <w:jc w:val="both"/>
        <w:rPr>
          <w:sz w:val="22"/>
          <w:szCs w:val="22"/>
          <w:lang w:val="sr-Latn-ME"/>
        </w:rPr>
      </w:pPr>
      <w:r w:rsidRPr="00BD78F9">
        <w:rPr>
          <w:sz w:val="22"/>
          <w:szCs w:val="22"/>
          <w:lang w:val="sr-Latn-ME"/>
        </w:rPr>
        <w:t>Bezb</w:t>
      </w:r>
      <w:r w:rsidR="00F92051" w:rsidRPr="00BD78F9">
        <w:rPr>
          <w:sz w:val="22"/>
          <w:szCs w:val="22"/>
          <w:lang w:val="sr-Latn-ME"/>
        </w:rPr>
        <w:t>j</w:t>
      </w:r>
      <w:r w:rsidRPr="00BD78F9">
        <w:rPr>
          <w:sz w:val="22"/>
          <w:szCs w:val="22"/>
          <w:lang w:val="sr-Latn-ME"/>
        </w:rPr>
        <w:t xml:space="preserve">ednosni profil karakterišu dejstva klase za kortikosteroide, antiholinergike i β2-adrenergike povezana sa pojedinačnim komponentama kombinacije. Najčešće prijavljena neželjena dejstva kod pacijenata koji su primali ovaj </w:t>
      </w:r>
      <w:r w:rsidR="004D0E29" w:rsidRPr="00BD78F9">
        <w:rPr>
          <w:sz w:val="22"/>
          <w:szCs w:val="22"/>
          <w:lang w:val="sr-Latn-ME"/>
        </w:rPr>
        <w:t xml:space="preserve">lijek </w:t>
      </w:r>
      <w:r w:rsidRPr="00BD78F9">
        <w:rPr>
          <w:sz w:val="22"/>
          <w:szCs w:val="22"/>
          <w:lang w:val="sr-Latn-ME"/>
        </w:rPr>
        <w:t xml:space="preserve">bila su pneumonija (4,6%), glavobolja (2,7%) i infekcija urinarnog trakta (2,7%). </w:t>
      </w:r>
    </w:p>
    <w:p w14:paraId="753E9B9E" w14:textId="77777777" w:rsidR="00B73F2A" w:rsidRPr="00BD78F9" w:rsidRDefault="00B73F2A">
      <w:pPr>
        <w:tabs>
          <w:tab w:val="left" w:pos="284"/>
        </w:tabs>
        <w:autoSpaceDE w:val="0"/>
        <w:autoSpaceDN w:val="0"/>
        <w:adjustRightInd w:val="0"/>
        <w:jc w:val="both"/>
        <w:rPr>
          <w:sz w:val="22"/>
          <w:szCs w:val="22"/>
          <w:u w:val="single"/>
          <w:lang w:val="sr-Latn-ME"/>
        </w:rPr>
      </w:pPr>
      <w:r w:rsidRPr="00BD78F9">
        <w:rPr>
          <w:sz w:val="22"/>
          <w:szCs w:val="22"/>
          <w:u w:val="single"/>
          <w:lang w:val="sr-Latn-ME"/>
        </w:rPr>
        <w:lastRenderedPageBreak/>
        <w:t>Tabelarni prikaz neželjenih reakcija</w:t>
      </w:r>
    </w:p>
    <w:p w14:paraId="7DE4F82D" w14:textId="61156611" w:rsidR="00B73F2A" w:rsidRPr="00BD78F9" w:rsidRDefault="00B73F2A">
      <w:pPr>
        <w:tabs>
          <w:tab w:val="left" w:pos="284"/>
        </w:tabs>
        <w:autoSpaceDE w:val="0"/>
        <w:autoSpaceDN w:val="0"/>
        <w:adjustRightInd w:val="0"/>
        <w:jc w:val="both"/>
        <w:rPr>
          <w:sz w:val="22"/>
          <w:szCs w:val="22"/>
          <w:lang w:val="sr-Latn-ME"/>
        </w:rPr>
      </w:pPr>
    </w:p>
    <w:p w14:paraId="5411D93F" w14:textId="5A3DFA52" w:rsidR="00B73F2A" w:rsidRPr="00BD78F9" w:rsidRDefault="00B73F2A">
      <w:pPr>
        <w:tabs>
          <w:tab w:val="left" w:pos="284"/>
        </w:tabs>
        <w:autoSpaceDE w:val="0"/>
        <w:autoSpaceDN w:val="0"/>
        <w:adjustRightInd w:val="0"/>
        <w:jc w:val="both"/>
        <w:rPr>
          <w:sz w:val="22"/>
          <w:szCs w:val="22"/>
          <w:lang w:val="sr-Latn-ME"/>
        </w:rPr>
      </w:pPr>
      <w:r w:rsidRPr="00BD78F9">
        <w:rPr>
          <w:sz w:val="22"/>
          <w:szCs w:val="22"/>
          <w:lang w:val="sr-Latn-ME"/>
        </w:rPr>
        <w:t>Tabelarni prikaz neželjenih reakcija zasniva se na iskustvu sa prim</w:t>
      </w:r>
      <w:r w:rsidR="004D0E29" w:rsidRPr="00BD78F9">
        <w:rPr>
          <w:sz w:val="22"/>
          <w:szCs w:val="22"/>
          <w:lang w:val="sr-Latn-ME"/>
        </w:rPr>
        <w:t>j</w:t>
      </w:r>
      <w:r w:rsidRPr="00BD78F9">
        <w:rPr>
          <w:sz w:val="22"/>
          <w:szCs w:val="22"/>
          <w:lang w:val="sr-Latn-ME"/>
        </w:rPr>
        <w:t xml:space="preserve">enom ovog </w:t>
      </w:r>
      <w:r w:rsidR="004D0E29" w:rsidRPr="00BD78F9">
        <w:rPr>
          <w:sz w:val="22"/>
          <w:szCs w:val="22"/>
          <w:lang w:val="sr-Latn-ME"/>
        </w:rPr>
        <w:t xml:space="preserve">lijeka </w:t>
      </w:r>
      <w:r w:rsidRPr="00BD78F9">
        <w:rPr>
          <w:sz w:val="22"/>
          <w:szCs w:val="22"/>
          <w:lang w:val="sr-Latn-ME"/>
        </w:rPr>
        <w:t>u</w:t>
      </w:r>
      <w:r w:rsidRPr="00BD78F9">
        <w:rPr>
          <w:sz w:val="22"/>
          <w:lang w:val="sr-Latn-ME"/>
        </w:rPr>
        <w:t xml:space="preserve"> </w:t>
      </w:r>
      <w:r w:rsidRPr="00BD78F9">
        <w:rPr>
          <w:sz w:val="22"/>
          <w:szCs w:val="22"/>
          <w:lang w:val="sr-Latn-ME"/>
        </w:rPr>
        <w:t>kliničkim ispitivanjima, kao i na iskustvu sa prim</w:t>
      </w:r>
      <w:r w:rsidR="00F92051" w:rsidRPr="00BD78F9">
        <w:rPr>
          <w:sz w:val="22"/>
          <w:szCs w:val="22"/>
          <w:lang w:val="sr-Latn-ME"/>
        </w:rPr>
        <w:t>j</w:t>
      </w:r>
      <w:r w:rsidRPr="00BD78F9">
        <w:rPr>
          <w:sz w:val="22"/>
          <w:szCs w:val="22"/>
          <w:lang w:val="sr-Latn-ME"/>
        </w:rPr>
        <w:t>enom njegovih pojedinačnih komponenata.</w:t>
      </w:r>
    </w:p>
    <w:p w14:paraId="4BC82C50" w14:textId="77777777" w:rsidR="00B73F2A" w:rsidRPr="00BD78F9" w:rsidRDefault="00B73F2A">
      <w:pPr>
        <w:tabs>
          <w:tab w:val="left" w:pos="284"/>
        </w:tabs>
        <w:autoSpaceDE w:val="0"/>
        <w:autoSpaceDN w:val="0"/>
        <w:adjustRightInd w:val="0"/>
        <w:jc w:val="both"/>
        <w:rPr>
          <w:sz w:val="22"/>
          <w:szCs w:val="22"/>
          <w:lang w:val="sr-Latn-ME"/>
        </w:rPr>
      </w:pPr>
    </w:p>
    <w:p w14:paraId="3241CC4D" w14:textId="607D2301" w:rsidR="00B73F2A" w:rsidRPr="00BD78F9" w:rsidRDefault="00B73F2A">
      <w:pPr>
        <w:tabs>
          <w:tab w:val="left" w:pos="284"/>
        </w:tabs>
        <w:autoSpaceDE w:val="0"/>
        <w:autoSpaceDN w:val="0"/>
        <w:adjustRightInd w:val="0"/>
        <w:jc w:val="both"/>
        <w:rPr>
          <w:sz w:val="22"/>
          <w:szCs w:val="22"/>
          <w:lang w:val="sr-Latn-ME"/>
        </w:rPr>
      </w:pPr>
      <w:r w:rsidRPr="00BD78F9">
        <w:rPr>
          <w:sz w:val="22"/>
          <w:szCs w:val="22"/>
          <w:lang w:val="sr-Latn-ME"/>
        </w:rPr>
        <w:t>Učestalost neželjenih reakcija definiše se prim</w:t>
      </w:r>
      <w:r w:rsidR="004D0E29" w:rsidRPr="00BD78F9">
        <w:rPr>
          <w:sz w:val="22"/>
          <w:szCs w:val="22"/>
          <w:lang w:val="sr-Latn-ME"/>
        </w:rPr>
        <w:t>j</w:t>
      </w:r>
      <w:r w:rsidRPr="00BD78F9">
        <w:rPr>
          <w:sz w:val="22"/>
          <w:szCs w:val="22"/>
          <w:lang w:val="sr-Latn-ME"/>
        </w:rPr>
        <w:t>enom sl</w:t>
      </w:r>
      <w:r w:rsidR="00F92051" w:rsidRPr="00BD78F9">
        <w:rPr>
          <w:sz w:val="22"/>
          <w:szCs w:val="22"/>
          <w:lang w:val="sr-Latn-ME"/>
        </w:rPr>
        <w:t>j</w:t>
      </w:r>
      <w:r w:rsidRPr="00BD78F9">
        <w:rPr>
          <w:sz w:val="22"/>
          <w:szCs w:val="22"/>
          <w:lang w:val="sr-Latn-ME"/>
        </w:rPr>
        <w:t>edeće konvencije: veoma česta (≥ 1/10),</w:t>
      </w:r>
      <w:r w:rsidR="00F92051" w:rsidRPr="00BD78F9">
        <w:rPr>
          <w:sz w:val="22"/>
          <w:szCs w:val="22"/>
          <w:lang w:val="sr-Latn-ME"/>
        </w:rPr>
        <w:t xml:space="preserve"> </w:t>
      </w:r>
      <w:r w:rsidRPr="00BD78F9">
        <w:rPr>
          <w:sz w:val="22"/>
          <w:szCs w:val="22"/>
          <w:lang w:val="sr-Latn-ME"/>
        </w:rPr>
        <w:t xml:space="preserve">česta (od ≥ 1/100 do &lt; 1/10), </w:t>
      </w:r>
      <w:r w:rsidR="004D0E29" w:rsidRPr="00BD78F9">
        <w:rPr>
          <w:sz w:val="22"/>
          <w:szCs w:val="22"/>
          <w:lang w:val="sr-Latn-ME"/>
        </w:rPr>
        <w:t>povremena</w:t>
      </w:r>
      <w:r w:rsidRPr="00BD78F9">
        <w:rPr>
          <w:sz w:val="22"/>
          <w:szCs w:val="22"/>
          <w:lang w:val="sr-Latn-ME"/>
        </w:rPr>
        <w:t xml:space="preserve"> (od ≥ 1/1000 do &lt; 1/100), r</w:t>
      </w:r>
      <w:r w:rsidR="004D0E29" w:rsidRPr="00BD78F9">
        <w:rPr>
          <w:sz w:val="22"/>
          <w:szCs w:val="22"/>
          <w:lang w:val="sr-Latn-ME"/>
        </w:rPr>
        <w:t>ij</w:t>
      </w:r>
      <w:r w:rsidRPr="00BD78F9">
        <w:rPr>
          <w:sz w:val="22"/>
          <w:szCs w:val="22"/>
          <w:lang w:val="sr-Latn-ME"/>
        </w:rPr>
        <w:t xml:space="preserve">etka (od ≥ 1/10.000 do &lt; 1/1000), veoma </w:t>
      </w:r>
      <w:r w:rsidR="004D0E29" w:rsidRPr="00BD78F9">
        <w:rPr>
          <w:sz w:val="22"/>
          <w:szCs w:val="22"/>
          <w:lang w:val="sr-Latn-ME"/>
        </w:rPr>
        <w:t>rijetka</w:t>
      </w:r>
      <w:r w:rsidR="00F92051" w:rsidRPr="00BD78F9">
        <w:rPr>
          <w:sz w:val="22"/>
          <w:szCs w:val="22"/>
          <w:lang w:val="sr-Latn-ME"/>
        </w:rPr>
        <w:t xml:space="preserve"> </w:t>
      </w:r>
      <w:r w:rsidRPr="00BD78F9">
        <w:rPr>
          <w:sz w:val="22"/>
          <w:szCs w:val="22"/>
          <w:lang w:val="sr-Latn-ME"/>
        </w:rPr>
        <w:t>(</w:t>
      </w:r>
      <w:r w:rsidR="00E246DC" w:rsidRPr="00BD78F9">
        <w:rPr>
          <w:sz w:val="22"/>
          <w:szCs w:val="22"/>
          <w:lang w:val="sr-Latn-ME"/>
        </w:rPr>
        <w:t xml:space="preserve"> </w:t>
      </w:r>
      <w:r w:rsidRPr="00BD78F9">
        <w:rPr>
          <w:sz w:val="22"/>
          <w:szCs w:val="22"/>
          <w:lang w:val="sr-Latn-ME"/>
        </w:rPr>
        <w:t>&lt;</w:t>
      </w:r>
      <w:r w:rsidR="00E246DC" w:rsidRPr="00BD78F9">
        <w:rPr>
          <w:sz w:val="22"/>
          <w:szCs w:val="22"/>
          <w:lang w:val="sr-Latn-ME"/>
        </w:rPr>
        <w:t xml:space="preserve"> </w:t>
      </w:r>
      <w:r w:rsidRPr="00BD78F9">
        <w:rPr>
          <w:sz w:val="22"/>
          <w:szCs w:val="22"/>
          <w:lang w:val="sr-Latn-ME"/>
        </w:rPr>
        <w:t>1/10.000) i n</w:t>
      </w:r>
      <w:r w:rsidR="00F92051" w:rsidRPr="00BD78F9">
        <w:rPr>
          <w:sz w:val="22"/>
          <w:szCs w:val="22"/>
          <w:lang w:val="sr-Latn-ME"/>
        </w:rPr>
        <w:t>epoznata</w:t>
      </w:r>
      <w:r w:rsidRPr="00BD78F9">
        <w:rPr>
          <w:sz w:val="22"/>
          <w:szCs w:val="22"/>
          <w:lang w:val="sr-Latn-ME"/>
        </w:rPr>
        <w:t xml:space="preserve"> (učestalost se ne može proc</w:t>
      </w:r>
      <w:r w:rsidR="004D0E29" w:rsidRPr="00BD78F9">
        <w:rPr>
          <w:sz w:val="22"/>
          <w:szCs w:val="22"/>
          <w:lang w:val="sr-Latn-ME"/>
        </w:rPr>
        <w:t>ij</w:t>
      </w:r>
      <w:r w:rsidRPr="00BD78F9">
        <w:rPr>
          <w:sz w:val="22"/>
          <w:szCs w:val="22"/>
          <w:lang w:val="sr-Latn-ME"/>
        </w:rPr>
        <w:t>eniti na osnovu postojećih podataka).</w:t>
      </w:r>
    </w:p>
    <w:p w14:paraId="2147618B" w14:textId="77777777" w:rsidR="00B73F2A" w:rsidRPr="00BD78F9" w:rsidRDefault="00B73F2A">
      <w:pPr>
        <w:tabs>
          <w:tab w:val="left" w:pos="284"/>
        </w:tabs>
        <w:autoSpaceDE w:val="0"/>
        <w:autoSpaceDN w:val="0"/>
        <w:adjustRightInd w:val="0"/>
        <w:jc w:val="both"/>
        <w:rPr>
          <w:sz w:val="22"/>
          <w:szCs w:val="22"/>
          <w:lang w:val="sr-Latn-ME"/>
        </w:rPr>
      </w:pPr>
    </w:p>
    <w:p w14:paraId="25655B5C" w14:textId="3BB4D8FF" w:rsidR="00B73F2A" w:rsidRPr="00BD78F9" w:rsidRDefault="00B73F2A">
      <w:pPr>
        <w:tabs>
          <w:tab w:val="left" w:pos="284"/>
        </w:tabs>
        <w:autoSpaceDE w:val="0"/>
        <w:autoSpaceDN w:val="0"/>
        <w:adjustRightInd w:val="0"/>
        <w:jc w:val="both"/>
        <w:rPr>
          <w:b/>
          <w:sz w:val="22"/>
          <w:szCs w:val="22"/>
          <w:lang w:val="sr-Latn-ME"/>
        </w:rPr>
      </w:pPr>
      <w:r w:rsidRPr="00BD78F9">
        <w:rPr>
          <w:b/>
          <w:bCs/>
          <w:sz w:val="22"/>
          <w:szCs w:val="22"/>
          <w:lang w:val="sr-Latn-ME"/>
        </w:rPr>
        <w:t>Tabela 1: Neželjene reakcije prema učestalosti i klasi sistema organa (SOC)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4403"/>
        <w:gridCol w:w="2049"/>
      </w:tblGrid>
      <w:tr w:rsidR="00B73F2A" w:rsidRPr="00BD78F9" w14:paraId="6DF8454E" w14:textId="77777777" w:rsidTr="00B73F2A">
        <w:tc>
          <w:tcPr>
            <w:tcW w:w="2609" w:type="dxa"/>
          </w:tcPr>
          <w:p w14:paraId="3C6EA8BF" w14:textId="77777777" w:rsidR="00B73F2A" w:rsidRPr="00BD78F9" w:rsidRDefault="00B73F2A" w:rsidP="00271855">
            <w:pPr>
              <w:tabs>
                <w:tab w:val="left" w:pos="284"/>
              </w:tabs>
              <w:outlineLvl w:val="1"/>
              <w:rPr>
                <w:b/>
                <w:sz w:val="22"/>
                <w:szCs w:val="22"/>
                <w:lang w:val="sr-Latn-ME"/>
              </w:rPr>
            </w:pPr>
            <w:r w:rsidRPr="00BD78F9">
              <w:rPr>
                <w:b/>
                <w:bCs/>
                <w:sz w:val="22"/>
                <w:szCs w:val="22"/>
                <w:lang w:val="sr-Latn-ME"/>
              </w:rPr>
              <w:t>Klasa sistema organa</w:t>
            </w:r>
          </w:p>
        </w:tc>
        <w:tc>
          <w:tcPr>
            <w:tcW w:w="4403" w:type="dxa"/>
          </w:tcPr>
          <w:p w14:paraId="7C4C766F" w14:textId="77777777" w:rsidR="00B73F2A" w:rsidRPr="00BD78F9" w:rsidRDefault="00B73F2A" w:rsidP="00B73F2A">
            <w:pPr>
              <w:tabs>
                <w:tab w:val="left" w:pos="284"/>
              </w:tabs>
              <w:spacing w:line="240" w:lineRule="atLeast"/>
              <w:contextualSpacing/>
              <w:jc w:val="both"/>
              <w:outlineLvl w:val="1"/>
              <w:rPr>
                <w:b/>
                <w:sz w:val="22"/>
                <w:szCs w:val="22"/>
                <w:lang w:val="sr-Latn-ME"/>
              </w:rPr>
            </w:pPr>
            <w:r w:rsidRPr="00BD78F9">
              <w:rPr>
                <w:b/>
                <w:bCs/>
                <w:sz w:val="22"/>
                <w:szCs w:val="22"/>
                <w:lang w:val="sr-Latn-ME"/>
              </w:rPr>
              <w:t>Poželjni termin</w:t>
            </w:r>
          </w:p>
        </w:tc>
        <w:tc>
          <w:tcPr>
            <w:tcW w:w="2049" w:type="dxa"/>
          </w:tcPr>
          <w:p w14:paraId="1C68725E" w14:textId="77777777" w:rsidR="00B73F2A" w:rsidRPr="00BD78F9" w:rsidRDefault="00B73F2A" w:rsidP="00B73F2A">
            <w:pPr>
              <w:tabs>
                <w:tab w:val="left" w:pos="284"/>
              </w:tabs>
              <w:jc w:val="both"/>
              <w:outlineLvl w:val="1"/>
              <w:rPr>
                <w:b/>
                <w:sz w:val="22"/>
                <w:szCs w:val="22"/>
                <w:lang w:val="sr-Latn-ME"/>
              </w:rPr>
            </w:pPr>
            <w:r w:rsidRPr="00BD78F9">
              <w:rPr>
                <w:b/>
                <w:bCs/>
                <w:sz w:val="22"/>
                <w:szCs w:val="22"/>
                <w:lang w:val="sr-Latn-ME"/>
              </w:rPr>
              <w:t>Učestalost</w:t>
            </w:r>
          </w:p>
        </w:tc>
      </w:tr>
      <w:tr w:rsidR="00B73F2A" w:rsidRPr="00BD78F9" w14:paraId="6DAB8E87" w14:textId="77777777" w:rsidTr="00B73F2A">
        <w:tc>
          <w:tcPr>
            <w:tcW w:w="2609" w:type="dxa"/>
          </w:tcPr>
          <w:p w14:paraId="6887B446" w14:textId="77777777" w:rsidR="00B73F2A" w:rsidRPr="00BD78F9" w:rsidRDefault="00B73F2A" w:rsidP="00271855">
            <w:pPr>
              <w:tabs>
                <w:tab w:val="left" w:pos="284"/>
              </w:tabs>
              <w:outlineLvl w:val="1"/>
              <w:rPr>
                <w:i/>
                <w:sz w:val="22"/>
                <w:szCs w:val="22"/>
                <w:lang w:val="sr-Latn-ME"/>
              </w:rPr>
            </w:pPr>
            <w:r w:rsidRPr="00BD78F9">
              <w:rPr>
                <w:i/>
                <w:iCs/>
                <w:sz w:val="22"/>
                <w:szCs w:val="22"/>
                <w:lang w:val="sr-Latn-ME"/>
              </w:rPr>
              <w:t>Infekcije i infestacije</w:t>
            </w:r>
          </w:p>
        </w:tc>
        <w:tc>
          <w:tcPr>
            <w:tcW w:w="4403" w:type="dxa"/>
          </w:tcPr>
          <w:p w14:paraId="391BD3D9" w14:textId="77777777" w:rsidR="00B73F2A" w:rsidRPr="00BD78F9" w:rsidRDefault="00B73F2A" w:rsidP="00271855">
            <w:pPr>
              <w:tabs>
                <w:tab w:val="left" w:pos="284"/>
              </w:tabs>
              <w:spacing w:line="240" w:lineRule="atLeast"/>
              <w:contextualSpacing/>
              <w:outlineLvl w:val="1"/>
              <w:rPr>
                <w:sz w:val="22"/>
                <w:szCs w:val="22"/>
                <w:lang w:val="sr-Latn-ME"/>
              </w:rPr>
            </w:pPr>
            <w:r w:rsidRPr="00BD78F9">
              <w:rPr>
                <w:sz w:val="22"/>
                <w:szCs w:val="22"/>
                <w:lang w:val="sr-Latn-ME"/>
              </w:rPr>
              <w:t>Oralna kandidijaza</w:t>
            </w:r>
          </w:p>
          <w:p w14:paraId="7B9AED51" w14:textId="77777777" w:rsidR="00B73F2A" w:rsidRPr="00BD78F9" w:rsidRDefault="00B73F2A" w:rsidP="00271855">
            <w:pPr>
              <w:tabs>
                <w:tab w:val="left" w:pos="284"/>
              </w:tabs>
              <w:spacing w:line="240" w:lineRule="atLeast"/>
              <w:contextualSpacing/>
              <w:outlineLvl w:val="1"/>
              <w:rPr>
                <w:sz w:val="22"/>
                <w:szCs w:val="22"/>
                <w:lang w:val="sr-Latn-ME"/>
              </w:rPr>
            </w:pPr>
            <w:r w:rsidRPr="00BD78F9">
              <w:rPr>
                <w:sz w:val="22"/>
                <w:szCs w:val="22"/>
                <w:lang w:val="sr-Latn-ME"/>
              </w:rPr>
              <w:t>Pneumonija</w:t>
            </w:r>
          </w:p>
        </w:tc>
        <w:tc>
          <w:tcPr>
            <w:tcW w:w="2049" w:type="dxa"/>
          </w:tcPr>
          <w:p w14:paraId="018F3331" w14:textId="77777777" w:rsidR="00B73F2A" w:rsidRPr="00BD78F9" w:rsidRDefault="00B73F2A" w:rsidP="00271855">
            <w:pPr>
              <w:tabs>
                <w:tab w:val="left" w:pos="284"/>
              </w:tabs>
              <w:outlineLvl w:val="1"/>
              <w:rPr>
                <w:sz w:val="22"/>
                <w:szCs w:val="22"/>
                <w:lang w:val="sr-Latn-ME"/>
              </w:rPr>
            </w:pPr>
            <w:r w:rsidRPr="00BD78F9">
              <w:rPr>
                <w:sz w:val="22"/>
                <w:szCs w:val="22"/>
                <w:lang w:val="sr-Latn-ME"/>
              </w:rPr>
              <w:t>Česta</w:t>
            </w:r>
          </w:p>
        </w:tc>
      </w:tr>
      <w:tr w:rsidR="00B73F2A" w:rsidRPr="00BD78F9" w14:paraId="5092EE60" w14:textId="77777777" w:rsidTr="00B73F2A">
        <w:tc>
          <w:tcPr>
            <w:tcW w:w="2609" w:type="dxa"/>
            <w:vMerge w:val="restart"/>
          </w:tcPr>
          <w:p w14:paraId="6987C5EE" w14:textId="77777777" w:rsidR="00B73F2A" w:rsidRPr="00BD78F9" w:rsidRDefault="00B73F2A" w:rsidP="00271855">
            <w:pPr>
              <w:tabs>
                <w:tab w:val="left" w:pos="284"/>
              </w:tabs>
              <w:outlineLvl w:val="1"/>
              <w:rPr>
                <w:b/>
                <w:sz w:val="22"/>
                <w:szCs w:val="22"/>
                <w:lang w:val="sr-Latn-ME"/>
              </w:rPr>
            </w:pPr>
            <w:r w:rsidRPr="00BD78F9">
              <w:rPr>
                <w:i/>
                <w:iCs/>
                <w:sz w:val="22"/>
                <w:szCs w:val="22"/>
                <w:lang w:val="sr-Latn-ME"/>
              </w:rPr>
              <w:t>Poremećaji imunskog sistema</w:t>
            </w:r>
          </w:p>
        </w:tc>
        <w:tc>
          <w:tcPr>
            <w:tcW w:w="4403" w:type="dxa"/>
          </w:tcPr>
          <w:p w14:paraId="18C12EA1" w14:textId="3E37663A" w:rsidR="00B73F2A" w:rsidRPr="00BD78F9" w:rsidRDefault="004D0E29" w:rsidP="00271855">
            <w:pPr>
              <w:tabs>
                <w:tab w:val="left" w:pos="284"/>
              </w:tabs>
              <w:spacing w:line="240" w:lineRule="atLeast"/>
              <w:contextualSpacing/>
              <w:outlineLvl w:val="1"/>
              <w:rPr>
                <w:i/>
                <w:sz w:val="22"/>
                <w:szCs w:val="22"/>
                <w:lang w:val="sr-Latn-ME"/>
              </w:rPr>
            </w:pPr>
            <w:r w:rsidRPr="00BD78F9">
              <w:rPr>
                <w:sz w:val="22"/>
                <w:szCs w:val="22"/>
                <w:lang w:val="sr-Latn-ME"/>
              </w:rPr>
              <w:t>Preosjetljivost</w:t>
            </w:r>
          </w:p>
        </w:tc>
        <w:tc>
          <w:tcPr>
            <w:tcW w:w="2049" w:type="dxa"/>
          </w:tcPr>
          <w:p w14:paraId="462690EF" w14:textId="48903B16" w:rsidR="00B73F2A" w:rsidRPr="00BD78F9" w:rsidRDefault="004D0E29" w:rsidP="00271855">
            <w:pPr>
              <w:tabs>
                <w:tab w:val="left" w:pos="284"/>
              </w:tabs>
              <w:outlineLvl w:val="1"/>
              <w:rPr>
                <w:sz w:val="22"/>
                <w:szCs w:val="22"/>
                <w:lang w:val="sr-Latn-ME"/>
              </w:rPr>
            </w:pPr>
            <w:r w:rsidRPr="00BD78F9">
              <w:rPr>
                <w:sz w:val="22"/>
                <w:szCs w:val="22"/>
                <w:lang w:val="sr-Latn-ME"/>
              </w:rPr>
              <w:t>Povremena</w:t>
            </w:r>
          </w:p>
        </w:tc>
      </w:tr>
      <w:tr w:rsidR="00B73F2A" w:rsidRPr="00BD78F9" w14:paraId="666360F8" w14:textId="77777777" w:rsidTr="00B73F2A">
        <w:tc>
          <w:tcPr>
            <w:tcW w:w="2609" w:type="dxa"/>
            <w:vMerge/>
          </w:tcPr>
          <w:p w14:paraId="2FCFB2A4" w14:textId="77777777" w:rsidR="00B73F2A" w:rsidRPr="00BD78F9" w:rsidRDefault="00B73F2A" w:rsidP="00271855">
            <w:pPr>
              <w:tabs>
                <w:tab w:val="left" w:pos="284"/>
              </w:tabs>
              <w:outlineLvl w:val="1"/>
              <w:rPr>
                <w:i/>
                <w:sz w:val="22"/>
                <w:szCs w:val="22"/>
                <w:lang w:val="sr-Latn-ME"/>
              </w:rPr>
            </w:pPr>
          </w:p>
        </w:tc>
        <w:tc>
          <w:tcPr>
            <w:tcW w:w="4403" w:type="dxa"/>
          </w:tcPr>
          <w:p w14:paraId="4E050848" w14:textId="77777777" w:rsidR="00B73F2A" w:rsidRPr="00BD78F9" w:rsidRDefault="00B73F2A" w:rsidP="00271855">
            <w:pPr>
              <w:tabs>
                <w:tab w:val="left" w:pos="284"/>
              </w:tabs>
              <w:spacing w:line="240" w:lineRule="atLeast"/>
              <w:contextualSpacing/>
              <w:outlineLvl w:val="1"/>
              <w:rPr>
                <w:iCs/>
                <w:sz w:val="22"/>
                <w:szCs w:val="22"/>
                <w:lang w:val="sr-Latn-ME"/>
              </w:rPr>
            </w:pPr>
            <w:r w:rsidRPr="00BD78F9">
              <w:rPr>
                <w:sz w:val="22"/>
                <w:szCs w:val="22"/>
                <w:lang w:val="sr-Latn-ME"/>
              </w:rPr>
              <w:t>Angioedem</w:t>
            </w:r>
          </w:p>
        </w:tc>
        <w:tc>
          <w:tcPr>
            <w:tcW w:w="2049" w:type="dxa"/>
          </w:tcPr>
          <w:p w14:paraId="321B8FAB" w14:textId="1BD25565" w:rsidR="00B73F2A" w:rsidRPr="00BD78F9" w:rsidRDefault="00B73F2A" w:rsidP="00271855">
            <w:pPr>
              <w:tabs>
                <w:tab w:val="left" w:pos="284"/>
              </w:tabs>
              <w:outlineLvl w:val="1"/>
              <w:rPr>
                <w:sz w:val="22"/>
                <w:szCs w:val="22"/>
                <w:lang w:val="sr-Latn-ME"/>
              </w:rPr>
            </w:pPr>
            <w:r w:rsidRPr="00BD78F9">
              <w:rPr>
                <w:sz w:val="22"/>
                <w:szCs w:val="22"/>
                <w:lang w:val="sr-Latn-ME"/>
              </w:rPr>
              <w:t>Nepoznata</w:t>
            </w:r>
          </w:p>
        </w:tc>
      </w:tr>
      <w:tr w:rsidR="00B73F2A" w:rsidRPr="00BD78F9" w14:paraId="3D90A27F" w14:textId="77777777" w:rsidTr="00B73F2A">
        <w:tc>
          <w:tcPr>
            <w:tcW w:w="2609" w:type="dxa"/>
          </w:tcPr>
          <w:p w14:paraId="0D8BFFBC" w14:textId="77777777" w:rsidR="00B73F2A" w:rsidRPr="00BD78F9" w:rsidRDefault="00B73F2A" w:rsidP="00271855">
            <w:pPr>
              <w:tabs>
                <w:tab w:val="left" w:pos="284"/>
              </w:tabs>
              <w:outlineLvl w:val="1"/>
              <w:rPr>
                <w:i/>
                <w:sz w:val="22"/>
                <w:szCs w:val="22"/>
                <w:lang w:val="sr-Latn-ME"/>
              </w:rPr>
            </w:pPr>
            <w:r w:rsidRPr="00BD78F9">
              <w:rPr>
                <w:i/>
                <w:iCs/>
                <w:sz w:val="22"/>
                <w:szCs w:val="22"/>
                <w:lang w:val="sr-Latn-ME"/>
              </w:rPr>
              <w:t>Endokrini poremećaji</w:t>
            </w:r>
          </w:p>
        </w:tc>
        <w:tc>
          <w:tcPr>
            <w:tcW w:w="4403" w:type="dxa"/>
          </w:tcPr>
          <w:p w14:paraId="4EDE8984" w14:textId="41792473" w:rsidR="00B73F2A" w:rsidRPr="00BD78F9" w:rsidRDefault="00B73F2A" w:rsidP="00271855">
            <w:pPr>
              <w:tabs>
                <w:tab w:val="left" w:pos="284"/>
              </w:tabs>
              <w:spacing w:line="240" w:lineRule="atLeast"/>
              <w:contextualSpacing/>
              <w:outlineLvl w:val="1"/>
              <w:rPr>
                <w:iCs/>
                <w:sz w:val="22"/>
                <w:szCs w:val="22"/>
                <w:lang w:val="sr-Latn-ME"/>
              </w:rPr>
            </w:pPr>
            <w:r w:rsidRPr="00BD78F9">
              <w:rPr>
                <w:sz w:val="22"/>
                <w:szCs w:val="22"/>
                <w:lang w:val="sr-Latn-ME"/>
              </w:rPr>
              <w:t>Znaci ili simptomi sistemskih dejstava glukokortikosteroida, npr. smanjena funkcija nadbubrežne žl</w:t>
            </w:r>
            <w:r w:rsidR="00F92051" w:rsidRPr="00BD78F9">
              <w:rPr>
                <w:sz w:val="22"/>
                <w:szCs w:val="22"/>
                <w:lang w:val="sr-Latn-ME"/>
              </w:rPr>
              <w:t>ij</w:t>
            </w:r>
            <w:r w:rsidRPr="00BD78F9">
              <w:rPr>
                <w:sz w:val="22"/>
                <w:szCs w:val="22"/>
                <w:lang w:val="sr-Latn-ME"/>
              </w:rPr>
              <w:t>ezde</w:t>
            </w:r>
          </w:p>
        </w:tc>
        <w:tc>
          <w:tcPr>
            <w:tcW w:w="2049" w:type="dxa"/>
          </w:tcPr>
          <w:p w14:paraId="4A4E6BF6" w14:textId="1728ED3B" w:rsidR="00B73F2A" w:rsidRPr="00BD78F9" w:rsidRDefault="00B73F2A" w:rsidP="00271855">
            <w:pPr>
              <w:tabs>
                <w:tab w:val="left" w:pos="284"/>
              </w:tabs>
              <w:outlineLvl w:val="1"/>
              <w:rPr>
                <w:sz w:val="22"/>
                <w:szCs w:val="22"/>
                <w:lang w:val="sr-Latn-ME"/>
              </w:rPr>
            </w:pPr>
            <w:r w:rsidRPr="00BD78F9">
              <w:rPr>
                <w:sz w:val="22"/>
                <w:szCs w:val="22"/>
                <w:lang w:val="sr-Latn-ME"/>
              </w:rPr>
              <w:t>Veoma r</w:t>
            </w:r>
            <w:r w:rsidR="004D0E29" w:rsidRPr="00BD78F9">
              <w:rPr>
                <w:sz w:val="22"/>
                <w:szCs w:val="22"/>
                <w:lang w:val="sr-Latn-ME"/>
              </w:rPr>
              <w:t>ij</w:t>
            </w:r>
            <w:r w:rsidRPr="00BD78F9">
              <w:rPr>
                <w:sz w:val="22"/>
                <w:szCs w:val="22"/>
                <w:lang w:val="sr-Latn-ME"/>
              </w:rPr>
              <w:t>etka</w:t>
            </w:r>
          </w:p>
        </w:tc>
      </w:tr>
      <w:tr w:rsidR="00B73F2A" w:rsidRPr="00BD78F9" w14:paraId="27FB1B5B" w14:textId="77777777" w:rsidTr="00B73F2A">
        <w:tc>
          <w:tcPr>
            <w:tcW w:w="2609" w:type="dxa"/>
          </w:tcPr>
          <w:p w14:paraId="70B6ABB7" w14:textId="77777777" w:rsidR="00B73F2A" w:rsidRPr="00BD78F9" w:rsidRDefault="00B73F2A" w:rsidP="00271855">
            <w:pPr>
              <w:tabs>
                <w:tab w:val="left" w:pos="284"/>
              </w:tabs>
              <w:outlineLvl w:val="1"/>
              <w:rPr>
                <w:sz w:val="22"/>
                <w:szCs w:val="22"/>
                <w:lang w:val="sr-Latn-ME"/>
              </w:rPr>
            </w:pPr>
            <w:r w:rsidRPr="00BD78F9">
              <w:rPr>
                <w:i/>
                <w:iCs/>
                <w:sz w:val="22"/>
                <w:szCs w:val="22"/>
                <w:lang w:val="sr-Latn-ME"/>
              </w:rPr>
              <w:t>Poremećaji metabolizma i ishrane</w:t>
            </w:r>
          </w:p>
        </w:tc>
        <w:tc>
          <w:tcPr>
            <w:tcW w:w="4403" w:type="dxa"/>
          </w:tcPr>
          <w:p w14:paraId="2AE6738F" w14:textId="77777777" w:rsidR="00B73F2A" w:rsidRPr="00BD78F9" w:rsidRDefault="00B73F2A" w:rsidP="00271855">
            <w:pPr>
              <w:tabs>
                <w:tab w:val="left" w:pos="284"/>
              </w:tabs>
              <w:spacing w:line="240" w:lineRule="atLeast"/>
              <w:contextualSpacing/>
              <w:outlineLvl w:val="1"/>
              <w:rPr>
                <w:i/>
                <w:sz w:val="22"/>
                <w:szCs w:val="22"/>
                <w:lang w:val="sr-Latn-ME"/>
              </w:rPr>
            </w:pPr>
            <w:r w:rsidRPr="00BD78F9">
              <w:rPr>
                <w:sz w:val="22"/>
                <w:szCs w:val="22"/>
                <w:lang w:val="sr-Latn-ME"/>
              </w:rPr>
              <w:t>Hiperglikemija</w:t>
            </w:r>
          </w:p>
        </w:tc>
        <w:tc>
          <w:tcPr>
            <w:tcW w:w="2049" w:type="dxa"/>
          </w:tcPr>
          <w:p w14:paraId="65EBF3F6" w14:textId="77777777" w:rsidR="00B73F2A" w:rsidRPr="00BD78F9" w:rsidRDefault="00B73F2A" w:rsidP="00271855">
            <w:pPr>
              <w:tabs>
                <w:tab w:val="left" w:pos="284"/>
              </w:tabs>
              <w:outlineLvl w:val="1"/>
              <w:rPr>
                <w:sz w:val="22"/>
                <w:szCs w:val="22"/>
                <w:lang w:val="sr-Latn-ME"/>
              </w:rPr>
            </w:pPr>
            <w:r w:rsidRPr="00BD78F9">
              <w:rPr>
                <w:sz w:val="22"/>
                <w:szCs w:val="22"/>
                <w:lang w:val="sr-Latn-ME"/>
              </w:rPr>
              <w:t>Česta</w:t>
            </w:r>
          </w:p>
        </w:tc>
      </w:tr>
      <w:tr w:rsidR="00B73F2A" w:rsidRPr="00BD78F9" w14:paraId="73D1E2AC" w14:textId="77777777" w:rsidTr="00B73F2A">
        <w:trPr>
          <w:trHeight w:val="501"/>
        </w:trPr>
        <w:tc>
          <w:tcPr>
            <w:tcW w:w="2609" w:type="dxa"/>
            <w:vMerge w:val="restart"/>
          </w:tcPr>
          <w:p w14:paraId="6755369E" w14:textId="77777777" w:rsidR="00B73F2A" w:rsidRPr="00BD78F9" w:rsidRDefault="00B73F2A" w:rsidP="00271855">
            <w:pPr>
              <w:tabs>
                <w:tab w:val="left" w:pos="284"/>
              </w:tabs>
              <w:outlineLvl w:val="1"/>
              <w:rPr>
                <w:i/>
                <w:sz w:val="22"/>
                <w:szCs w:val="22"/>
                <w:lang w:val="sr-Latn-ME"/>
              </w:rPr>
            </w:pPr>
            <w:r w:rsidRPr="00BD78F9">
              <w:rPr>
                <w:i/>
                <w:iCs/>
                <w:sz w:val="22"/>
                <w:szCs w:val="22"/>
                <w:lang w:val="sr-Latn-ME"/>
              </w:rPr>
              <w:t>Psihijatrijski poremećaji</w:t>
            </w:r>
          </w:p>
        </w:tc>
        <w:tc>
          <w:tcPr>
            <w:tcW w:w="4403" w:type="dxa"/>
          </w:tcPr>
          <w:p w14:paraId="4B1D2CF4" w14:textId="77777777" w:rsidR="00B73F2A" w:rsidRPr="00BD78F9" w:rsidRDefault="00B73F2A" w:rsidP="00271855">
            <w:pPr>
              <w:tabs>
                <w:tab w:val="left" w:pos="284"/>
              </w:tabs>
              <w:spacing w:line="240" w:lineRule="atLeast"/>
              <w:contextualSpacing/>
              <w:outlineLvl w:val="1"/>
              <w:rPr>
                <w:sz w:val="22"/>
                <w:szCs w:val="22"/>
                <w:lang w:val="sr-Latn-ME"/>
              </w:rPr>
            </w:pPr>
            <w:r w:rsidRPr="00BD78F9">
              <w:rPr>
                <w:sz w:val="22"/>
                <w:szCs w:val="22"/>
                <w:lang w:val="sr-Latn-ME"/>
              </w:rPr>
              <w:t>Anksioznost</w:t>
            </w:r>
          </w:p>
          <w:p w14:paraId="39527983" w14:textId="77777777" w:rsidR="00B73F2A" w:rsidRPr="00BD78F9" w:rsidRDefault="00B73F2A" w:rsidP="00271855">
            <w:pPr>
              <w:tabs>
                <w:tab w:val="left" w:pos="284"/>
              </w:tabs>
              <w:spacing w:line="240" w:lineRule="atLeast"/>
              <w:contextualSpacing/>
              <w:outlineLvl w:val="1"/>
              <w:rPr>
                <w:sz w:val="22"/>
                <w:szCs w:val="22"/>
                <w:lang w:val="sr-Latn-ME"/>
              </w:rPr>
            </w:pPr>
            <w:r w:rsidRPr="00BD78F9">
              <w:rPr>
                <w:sz w:val="22"/>
                <w:szCs w:val="22"/>
                <w:lang w:val="sr-Latn-ME"/>
              </w:rPr>
              <w:t>Insomnija</w:t>
            </w:r>
          </w:p>
        </w:tc>
        <w:tc>
          <w:tcPr>
            <w:tcW w:w="2049" w:type="dxa"/>
          </w:tcPr>
          <w:p w14:paraId="2C0C6D82" w14:textId="77777777" w:rsidR="00B73F2A" w:rsidRPr="00BD78F9" w:rsidRDefault="00B73F2A" w:rsidP="00271855">
            <w:pPr>
              <w:tabs>
                <w:tab w:val="left" w:pos="284"/>
              </w:tabs>
              <w:outlineLvl w:val="1"/>
              <w:rPr>
                <w:sz w:val="22"/>
                <w:szCs w:val="22"/>
                <w:lang w:val="sr-Latn-ME"/>
              </w:rPr>
            </w:pPr>
            <w:r w:rsidRPr="00BD78F9">
              <w:rPr>
                <w:sz w:val="22"/>
                <w:szCs w:val="22"/>
                <w:lang w:val="sr-Latn-ME"/>
              </w:rPr>
              <w:t>Česta</w:t>
            </w:r>
          </w:p>
        </w:tc>
      </w:tr>
      <w:tr w:rsidR="00B73F2A" w:rsidRPr="00BD78F9" w14:paraId="639DCD60" w14:textId="77777777" w:rsidTr="00B73F2A">
        <w:trPr>
          <w:trHeight w:val="976"/>
        </w:trPr>
        <w:tc>
          <w:tcPr>
            <w:tcW w:w="2609" w:type="dxa"/>
            <w:vMerge/>
          </w:tcPr>
          <w:p w14:paraId="55F1E781" w14:textId="77777777" w:rsidR="00B73F2A" w:rsidRPr="00BD78F9" w:rsidRDefault="00B73F2A" w:rsidP="00271855">
            <w:pPr>
              <w:tabs>
                <w:tab w:val="left" w:pos="284"/>
              </w:tabs>
              <w:outlineLvl w:val="1"/>
              <w:rPr>
                <w:i/>
                <w:sz w:val="22"/>
                <w:szCs w:val="22"/>
                <w:lang w:val="sr-Latn-ME"/>
              </w:rPr>
            </w:pPr>
          </w:p>
        </w:tc>
        <w:tc>
          <w:tcPr>
            <w:tcW w:w="4403" w:type="dxa"/>
          </w:tcPr>
          <w:p w14:paraId="3C4B25FE" w14:textId="77777777" w:rsidR="00B73F2A" w:rsidRPr="00BD78F9" w:rsidRDefault="00B73F2A" w:rsidP="00271855">
            <w:pPr>
              <w:tabs>
                <w:tab w:val="left" w:pos="284"/>
              </w:tabs>
              <w:spacing w:line="240" w:lineRule="atLeast"/>
              <w:contextualSpacing/>
              <w:outlineLvl w:val="1"/>
              <w:rPr>
                <w:sz w:val="22"/>
                <w:szCs w:val="22"/>
                <w:lang w:val="sr-Latn-ME"/>
              </w:rPr>
            </w:pPr>
            <w:r w:rsidRPr="00BD78F9">
              <w:rPr>
                <w:sz w:val="22"/>
                <w:szCs w:val="22"/>
                <w:lang w:val="sr-Latn-ME"/>
              </w:rPr>
              <w:t>Depresija</w:t>
            </w:r>
          </w:p>
          <w:p w14:paraId="29FD4ADB" w14:textId="77777777" w:rsidR="00B73F2A" w:rsidRPr="00BD78F9" w:rsidRDefault="00B73F2A" w:rsidP="00271855">
            <w:pPr>
              <w:tabs>
                <w:tab w:val="left" w:pos="284"/>
              </w:tabs>
              <w:spacing w:line="240" w:lineRule="atLeast"/>
              <w:contextualSpacing/>
              <w:outlineLvl w:val="1"/>
              <w:rPr>
                <w:sz w:val="22"/>
                <w:szCs w:val="22"/>
                <w:lang w:val="sr-Latn-ME"/>
              </w:rPr>
            </w:pPr>
            <w:r w:rsidRPr="00BD78F9">
              <w:rPr>
                <w:sz w:val="22"/>
                <w:szCs w:val="22"/>
                <w:lang w:val="sr-Latn-ME"/>
              </w:rPr>
              <w:t xml:space="preserve">Agitacija </w:t>
            </w:r>
          </w:p>
          <w:p w14:paraId="752D7545" w14:textId="77777777" w:rsidR="00B73F2A" w:rsidRPr="00BD78F9" w:rsidRDefault="00B73F2A" w:rsidP="00271855">
            <w:pPr>
              <w:tabs>
                <w:tab w:val="left" w:pos="284"/>
              </w:tabs>
              <w:spacing w:line="240" w:lineRule="atLeast"/>
              <w:contextualSpacing/>
              <w:outlineLvl w:val="1"/>
              <w:rPr>
                <w:sz w:val="22"/>
                <w:szCs w:val="22"/>
                <w:lang w:val="sr-Latn-ME"/>
              </w:rPr>
            </w:pPr>
            <w:r w:rsidRPr="00BD78F9">
              <w:rPr>
                <w:sz w:val="22"/>
                <w:szCs w:val="22"/>
                <w:lang w:val="sr-Latn-ME"/>
              </w:rPr>
              <w:t xml:space="preserve">Nemir </w:t>
            </w:r>
          </w:p>
          <w:p w14:paraId="6BF8BD5E" w14:textId="77777777" w:rsidR="00B73F2A" w:rsidRPr="00BD78F9" w:rsidRDefault="00B73F2A" w:rsidP="00271855">
            <w:pPr>
              <w:tabs>
                <w:tab w:val="left" w:pos="284"/>
              </w:tabs>
              <w:spacing w:line="240" w:lineRule="atLeast"/>
              <w:contextualSpacing/>
              <w:outlineLvl w:val="1"/>
              <w:rPr>
                <w:sz w:val="22"/>
                <w:szCs w:val="22"/>
                <w:lang w:val="sr-Latn-ME"/>
              </w:rPr>
            </w:pPr>
            <w:r w:rsidRPr="00BD78F9">
              <w:rPr>
                <w:sz w:val="22"/>
                <w:szCs w:val="22"/>
                <w:lang w:val="sr-Latn-ME"/>
              </w:rPr>
              <w:t>Nervoza</w:t>
            </w:r>
          </w:p>
        </w:tc>
        <w:tc>
          <w:tcPr>
            <w:tcW w:w="2049" w:type="dxa"/>
          </w:tcPr>
          <w:p w14:paraId="4085AF2B" w14:textId="220EABFB" w:rsidR="00B73F2A" w:rsidRPr="00BD78F9" w:rsidRDefault="004D0E29" w:rsidP="00271855">
            <w:pPr>
              <w:tabs>
                <w:tab w:val="left" w:pos="284"/>
              </w:tabs>
              <w:outlineLvl w:val="1"/>
              <w:rPr>
                <w:sz w:val="22"/>
                <w:szCs w:val="22"/>
                <w:lang w:val="sr-Latn-ME"/>
              </w:rPr>
            </w:pPr>
            <w:r w:rsidRPr="00BD78F9">
              <w:rPr>
                <w:sz w:val="22"/>
                <w:szCs w:val="22"/>
                <w:lang w:val="sr-Latn-ME"/>
              </w:rPr>
              <w:t>Povremena</w:t>
            </w:r>
          </w:p>
        </w:tc>
      </w:tr>
      <w:tr w:rsidR="00B73F2A" w:rsidRPr="00BD78F9" w14:paraId="2B3896E8" w14:textId="77777777" w:rsidTr="00B73F2A">
        <w:trPr>
          <w:trHeight w:val="273"/>
        </w:trPr>
        <w:tc>
          <w:tcPr>
            <w:tcW w:w="2609" w:type="dxa"/>
            <w:vMerge/>
          </w:tcPr>
          <w:p w14:paraId="37DCC407" w14:textId="77777777" w:rsidR="00B73F2A" w:rsidRPr="00BD78F9" w:rsidRDefault="00B73F2A" w:rsidP="00271855">
            <w:pPr>
              <w:tabs>
                <w:tab w:val="left" w:pos="284"/>
              </w:tabs>
              <w:outlineLvl w:val="1"/>
              <w:rPr>
                <w:i/>
                <w:sz w:val="22"/>
                <w:szCs w:val="22"/>
                <w:lang w:val="sr-Latn-ME"/>
              </w:rPr>
            </w:pPr>
          </w:p>
        </w:tc>
        <w:tc>
          <w:tcPr>
            <w:tcW w:w="4403" w:type="dxa"/>
          </w:tcPr>
          <w:p w14:paraId="2B590674" w14:textId="77777777" w:rsidR="00B73F2A" w:rsidRPr="00BD78F9" w:rsidRDefault="00B73F2A" w:rsidP="00271855">
            <w:pPr>
              <w:tabs>
                <w:tab w:val="left" w:pos="284"/>
              </w:tabs>
              <w:spacing w:line="240" w:lineRule="atLeast"/>
              <w:contextualSpacing/>
              <w:outlineLvl w:val="1"/>
              <w:rPr>
                <w:sz w:val="22"/>
                <w:szCs w:val="22"/>
                <w:lang w:val="sr-Latn-ME"/>
              </w:rPr>
            </w:pPr>
            <w:r w:rsidRPr="00BD78F9">
              <w:rPr>
                <w:sz w:val="22"/>
                <w:szCs w:val="22"/>
                <w:lang w:val="sr-Latn-ME"/>
              </w:rPr>
              <w:t>Neuobičajeno ponašanje</w:t>
            </w:r>
          </w:p>
        </w:tc>
        <w:tc>
          <w:tcPr>
            <w:tcW w:w="2049" w:type="dxa"/>
          </w:tcPr>
          <w:p w14:paraId="115955AD" w14:textId="616B4758" w:rsidR="00B73F2A" w:rsidRPr="00BD78F9" w:rsidRDefault="00B73F2A" w:rsidP="00271855">
            <w:pPr>
              <w:tabs>
                <w:tab w:val="left" w:pos="284"/>
              </w:tabs>
              <w:outlineLvl w:val="1"/>
              <w:rPr>
                <w:sz w:val="22"/>
                <w:szCs w:val="22"/>
                <w:lang w:val="sr-Latn-ME"/>
              </w:rPr>
            </w:pPr>
            <w:r w:rsidRPr="00BD78F9">
              <w:rPr>
                <w:sz w:val="22"/>
                <w:szCs w:val="22"/>
                <w:lang w:val="sr-Latn-ME"/>
              </w:rPr>
              <w:t xml:space="preserve">Veoma </w:t>
            </w:r>
            <w:r w:rsidR="004D0E29" w:rsidRPr="00BD78F9">
              <w:rPr>
                <w:sz w:val="22"/>
                <w:szCs w:val="22"/>
                <w:lang w:val="sr-Latn-ME"/>
              </w:rPr>
              <w:t>rijetka</w:t>
            </w:r>
          </w:p>
        </w:tc>
      </w:tr>
      <w:tr w:rsidR="00B73F2A" w:rsidRPr="00BD78F9" w14:paraId="365092BB" w14:textId="77777777" w:rsidTr="00B73F2A">
        <w:tc>
          <w:tcPr>
            <w:tcW w:w="2609" w:type="dxa"/>
            <w:vMerge w:val="restart"/>
          </w:tcPr>
          <w:p w14:paraId="3501F994" w14:textId="77777777" w:rsidR="00B73F2A" w:rsidRPr="00BD78F9" w:rsidRDefault="00B73F2A" w:rsidP="00271855">
            <w:pPr>
              <w:tabs>
                <w:tab w:val="left" w:pos="284"/>
              </w:tabs>
              <w:outlineLvl w:val="1"/>
              <w:rPr>
                <w:sz w:val="22"/>
                <w:szCs w:val="22"/>
                <w:lang w:val="sr-Latn-ME"/>
              </w:rPr>
            </w:pPr>
            <w:r w:rsidRPr="00BD78F9">
              <w:rPr>
                <w:i/>
                <w:iCs/>
                <w:sz w:val="22"/>
                <w:szCs w:val="22"/>
                <w:lang w:val="sr-Latn-ME"/>
              </w:rPr>
              <w:t>Poremećaji nervnog sistema</w:t>
            </w:r>
          </w:p>
        </w:tc>
        <w:tc>
          <w:tcPr>
            <w:tcW w:w="4403" w:type="dxa"/>
          </w:tcPr>
          <w:p w14:paraId="27D07E8E" w14:textId="77777777" w:rsidR="00B73F2A" w:rsidRPr="00BD78F9" w:rsidRDefault="00B73F2A" w:rsidP="00271855">
            <w:pPr>
              <w:tabs>
                <w:tab w:val="left" w:pos="284"/>
              </w:tabs>
              <w:spacing w:line="240" w:lineRule="atLeast"/>
              <w:contextualSpacing/>
              <w:outlineLvl w:val="1"/>
              <w:rPr>
                <w:i/>
                <w:sz w:val="22"/>
                <w:szCs w:val="22"/>
                <w:lang w:val="sr-Latn-ME"/>
              </w:rPr>
            </w:pPr>
            <w:r w:rsidRPr="00BD78F9">
              <w:rPr>
                <w:sz w:val="22"/>
                <w:szCs w:val="22"/>
                <w:lang w:val="sr-Latn-ME"/>
              </w:rPr>
              <w:t xml:space="preserve">Glavobolja </w:t>
            </w:r>
          </w:p>
        </w:tc>
        <w:tc>
          <w:tcPr>
            <w:tcW w:w="2049" w:type="dxa"/>
          </w:tcPr>
          <w:p w14:paraId="0493D49F" w14:textId="77777777" w:rsidR="00B73F2A" w:rsidRPr="00BD78F9" w:rsidRDefault="00B73F2A" w:rsidP="00271855">
            <w:pPr>
              <w:tabs>
                <w:tab w:val="left" w:pos="284"/>
              </w:tabs>
              <w:outlineLvl w:val="1"/>
              <w:rPr>
                <w:sz w:val="22"/>
                <w:szCs w:val="22"/>
                <w:lang w:val="sr-Latn-ME"/>
              </w:rPr>
            </w:pPr>
            <w:r w:rsidRPr="00BD78F9">
              <w:rPr>
                <w:sz w:val="22"/>
                <w:szCs w:val="22"/>
                <w:lang w:val="sr-Latn-ME"/>
              </w:rPr>
              <w:t>Česta</w:t>
            </w:r>
          </w:p>
        </w:tc>
      </w:tr>
      <w:tr w:rsidR="00B73F2A" w:rsidRPr="00BD78F9" w14:paraId="3495CB1F" w14:textId="77777777" w:rsidTr="00B73F2A">
        <w:tc>
          <w:tcPr>
            <w:tcW w:w="2609" w:type="dxa"/>
            <w:vMerge/>
          </w:tcPr>
          <w:p w14:paraId="4C19E7E6" w14:textId="77777777" w:rsidR="00B73F2A" w:rsidRPr="00BD78F9" w:rsidRDefault="00B73F2A" w:rsidP="00271855">
            <w:pPr>
              <w:tabs>
                <w:tab w:val="left" w:pos="284"/>
              </w:tabs>
              <w:outlineLvl w:val="1"/>
              <w:rPr>
                <w:i/>
                <w:sz w:val="22"/>
                <w:szCs w:val="22"/>
                <w:lang w:val="sr-Latn-ME"/>
              </w:rPr>
            </w:pPr>
          </w:p>
        </w:tc>
        <w:tc>
          <w:tcPr>
            <w:tcW w:w="4403" w:type="dxa"/>
          </w:tcPr>
          <w:p w14:paraId="18E245D6" w14:textId="77777777" w:rsidR="00B73F2A" w:rsidRPr="00BD78F9" w:rsidRDefault="00B73F2A" w:rsidP="00271855">
            <w:pPr>
              <w:tabs>
                <w:tab w:val="left" w:pos="284"/>
              </w:tabs>
              <w:spacing w:line="240" w:lineRule="atLeast"/>
              <w:contextualSpacing/>
              <w:outlineLvl w:val="1"/>
              <w:rPr>
                <w:sz w:val="22"/>
                <w:szCs w:val="22"/>
                <w:lang w:val="sr-Latn-ME"/>
              </w:rPr>
            </w:pPr>
            <w:r w:rsidRPr="00BD78F9">
              <w:rPr>
                <w:sz w:val="22"/>
                <w:szCs w:val="22"/>
                <w:lang w:val="sr-Latn-ME"/>
              </w:rPr>
              <w:t xml:space="preserve">Vrtoglavica </w:t>
            </w:r>
          </w:p>
          <w:p w14:paraId="3B9DF012" w14:textId="77777777" w:rsidR="00B73F2A" w:rsidRPr="00BD78F9" w:rsidRDefault="00B73F2A" w:rsidP="00F92051">
            <w:pPr>
              <w:spacing w:line="240" w:lineRule="atLeast"/>
              <w:contextualSpacing/>
              <w:rPr>
                <w:sz w:val="22"/>
                <w:szCs w:val="22"/>
                <w:lang w:val="sr-Latn-ME"/>
              </w:rPr>
            </w:pPr>
            <w:r w:rsidRPr="00BD78F9">
              <w:rPr>
                <w:sz w:val="22"/>
                <w:szCs w:val="22"/>
                <w:lang w:val="sr-Latn-ME"/>
              </w:rPr>
              <w:t>Tremor</w:t>
            </w:r>
          </w:p>
        </w:tc>
        <w:tc>
          <w:tcPr>
            <w:tcW w:w="2049" w:type="dxa"/>
          </w:tcPr>
          <w:p w14:paraId="350FA766" w14:textId="1AE27A23" w:rsidR="00B73F2A" w:rsidRPr="00BD78F9" w:rsidRDefault="004D0E29" w:rsidP="00271855">
            <w:pPr>
              <w:tabs>
                <w:tab w:val="left" w:pos="284"/>
              </w:tabs>
              <w:outlineLvl w:val="1"/>
              <w:rPr>
                <w:sz w:val="22"/>
                <w:szCs w:val="22"/>
                <w:lang w:val="sr-Latn-ME"/>
              </w:rPr>
            </w:pPr>
            <w:r w:rsidRPr="00BD78F9">
              <w:rPr>
                <w:sz w:val="22"/>
                <w:szCs w:val="22"/>
                <w:lang w:val="sr-Latn-ME"/>
              </w:rPr>
              <w:t>Povremena</w:t>
            </w:r>
          </w:p>
        </w:tc>
      </w:tr>
      <w:tr w:rsidR="00B73F2A" w:rsidRPr="00BD78F9" w14:paraId="2FB76DE5" w14:textId="77777777" w:rsidTr="00B73F2A">
        <w:trPr>
          <w:trHeight w:val="276"/>
        </w:trPr>
        <w:tc>
          <w:tcPr>
            <w:tcW w:w="2609" w:type="dxa"/>
          </w:tcPr>
          <w:p w14:paraId="719E40A5" w14:textId="77777777" w:rsidR="00B73F2A" w:rsidRPr="00BD78F9" w:rsidRDefault="00B73F2A" w:rsidP="00271855">
            <w:pPr>
              <w:tabs>
                <w:tab w:val="left" w:pos="284"/>
              </w:tabs>
              <w:outlineLvl w:val="1"/>
              <w:rPr>
                <w:i/>
                <w:sz w:val="22"/>
                <w:szCs w:val="22"/>
                <w:lang w:val="sr-Latn-ME"/>
              </w:rPr>
            </w:pPr>
            <w:r w:rsidRPr="00BD78F9">
              <w:rPr>
                <w:i/>
                <w:iCs/>
                <w:sz w:val="22"/>
                <w:szCs w:val="22"/>
                <w:lang w:val="sr-Latn-ME"/>
              </w:rPr>
              <w:t>Poremećaji oka</w:t>
            </w:r>
          </w:p>
        </w:tc>
        <w:tc>
          <w:tcPr>
            <w:tcW w:w="4403" w:type="dxa"/>
          </w:tcPr>
          <w:p w14:paraId="5F22F8B8" w14:textId="2DB34C2D" w:rsidR="00B73F2A" w:rsidRPr="00BD78F9" w:rsidRDefault="00B73F2A" w:rsidP="00F92051">
            <w:pPr>
              <w:spacing w:line="240" w:lineRule="atLeast"/>
              <w:contextualSpacing/>
              <w:rPr>
                <w:sz w:val="22"/>
                <w:szCs w:val="22"/>
                <w:lang w:val="sr-Latn-ME"/>
              </w:rPr>
            </w:pPr>
            <w:r w:rsidRPr="00BD78F9">
              <w:rPr>
                <w:sz w:val="22"/>
                <w:szCs w:val="22"/>
                <w:lang w:val="sr-Latn-ME"/>
              </w:rPr>
              <w:t>Zamućeni vid (</w:t>
            </w:r>
            <w:r w:rsidR="004D0E29" w:rsidRPr="00BD78F9">
              <w:rPr>
                <w:sz w:val="22"/>
                <w:szCs w:val="22"/>
                <w:lang w:val="sr-Latn-ME"/>
              </w:rPr>
              <w:t>vidjeti</w:t>
            </w:r>
            <w:r w:rsidRPr="00BD78F9">
              <w:rPr>
                <w:sz w:val="22"/>
                <w:szCs w:val="22"/>
                <w:lang w:val="sr-Latn-ME"/>
              </w:rPr>
              <w:t xml:space="preserve"> </w:t>
            </w:r>
            <w:r w:rsidR="004D0E29" w:rsidRPr="00BD78F9">
              <w:rPr>
                <w:sz w:val="22"/>
                <w:szCs w:val="22"/>
                <w:lang w:val="sr-Latn-ME"/>
              </w:rPr>
              <w:t>odjeljak</w:t>
            </w:r>
            <w:r w:rsidRPr="00BD78F9">
              <w:rPr>
                <w:sz w:val="22"/>
                <w:szCs w:val="22"/>
                <w:lang w:val="sr-Latn-ME"/>
              </w:rPr>
              <w:t xml:space="preserve"> 4.4)</w:t>
            </w:r>
          </w:p>
          <w:p w14:paraId="5BAC9192" w14:textId="77777777" w:rsidR="00B73F2A" w:rsidRPr="00BD78F9" w:rsidRDefault="00B73F2A" w:rsidP="00A52822">
            <w:pPr>
              <w:spacing w:line="240" w:lineRule="atLeast"/>
              <w:contextualSpacing/>
              <w:rPr>
                <w:sz w:val="22"/>
                <w:szCs w:val="22"/>
                <w:lang w:val="sr-Latn-ME"/>
              </w:rPr>
            </w:pPr>
            <w:r w:rsidRPr="00BD78F9">
              <w:rPr>
                <w:sz w:val="22"/>
                <w:szCs w:val="22"/>
                <w:lang w:val="sr-Latn-ME"/>
              </w:rPr>
              <w:t>Katarakta</w:t>
            </w:r>
          </w:p>
          <w:p w14:paraId="06596901" w14:textId="77777777" w:rsidR="00B73F2A" w:rsidRPr="00BD78F9" w:rsidRDefault="00B73F2A">
            <w:pPr>
              <w:spacing w:line="240" w:lineRule="atLeast"/>
              <w:contextualSpacing/>
              <w:rPr>
                <w:sz w:val="22"/>
                <w:szCs w:val="22"/>
                <w:lang w:val="sr-Latn-ME"/>
              </w:rPr>
            </w:pPr>
            <w:r w:rsidRPr="00BD78F9">
              <w:rPr>
                <w:sz w:val="22"/>
                <w:szCs w:val="22"/>
                <w:lang w:val="sr-Latn-ME"/>
              </w:rPr>
              <w:t>Glaukom</w:t>
            </w:r>
          </w:p>
        </w:tc>
        <w:tc>
          <w:tcPr>
            <w:tcW w:w="2049" w:type="dxa"/>
          </w:tcPr>
          <w:p w14:paraId="2F1E1279" w14:textId="6F22BB10" w:rsidR="00B73F2A" w:rsidRPr="00BD78F9" w:rsidRDefault="00B73F2A" w:rsidP="00271855">
            <w:pPr>
              <w:tabs>
                <w:tab w:val="left" w:pos="284"/>
              </w:tabs>
              <w:outlineLvl w:val="1"/>
              <w:rPr>
                <w:sz w:val="22"/>
                <w:szCs w:val="22"/>
                <w:lang w:val="sr-Latn-ME"/>
              </w:rPr>
            </w:pPr>
            <w:r w:rsidRPr="00BD78F9">
              <w:rPr>
                <w:sz w:val="22"/>
                <w:szCs w:val="22"/>
                <w:lang w:val="sr-Latn-ME"/>
              </w:rPr>
              <w:t>N</w:t>
            </w:r>
            <w:r w:rsidR="00F92051" w:rsidRPr="00BD78F9">
              <w:rPr>
                <w:sz w:val="22"/>
                <w:szCs w:val="22"/>
                <w:lang w:val="sr-Latn-ME"/>
              </w:rPr>
              <w:t>e</w:t>
            </w:r>
            <w:r w:rsidRPr="00BD78F9">
              <w:rPr>
                <w:sz w:val="22"/>
                <w:szCs w:val="22"/>
                <w:lang w:val="sr-Latn-ME"/>
              </w:rPr>
              <w:t>poznata</w:t>
            </w:r>
          </w:p>
        </w:tc>
      </w:tr>
      <w:tr w:rsidR="00B73F2A" w:rsidRPr="00BD78F9" w14:paraId="69113F88" w14:textId="77777777" w:rsidTr="00B73F2A">
        <w:trPr>
          <w:trHeight w:val="199"/>
        </w:trPr>
        <w:tc>
          <w:tcPr>
            <w:tcW w:w="2609" w:type="dxa"/>
            <w:vMerge w:val="restart"/>
          </w:tcPr>
          <w:p w14:paraId="2AFFBE0A" w14:textId="77777777" w:rsidR="00B73F2A" w:rsidRPr="00BD78F9" w:rsidRDefault="00B73F2A" w:rsidP="00271855">
            <w:pPr>
              <w:tabs>
                <w:tab w:val="left" w:pos="284"/>
              </w:tabs>
              <w:outlineLvl w:val="1"/>
              <w:rPr>
                <w:sz w:val="22"/>
                <w:szCs w:val="22"/>
                <w:lang w:val="sr-Latn-ME"/>
              </w:rPr>
            </w:pPr>
            <w:r w:rsidRPr="00BD78F9">
              <w:rPr>
                <w:i/>
                <w:iCs/>
                <w:sz w:val="22"/>
                <w:szCs w:val="22"/>
                <w:lang w:val="sr-Latn-ME"/>
              </w:rPr>
              <w:t>Kardiološki poremećaji</w:t>
            </w:r>
          </w:p>
        </w:tc>
        <w:tc>
          <w:tcPr>
            <w:tcW w:w="4403" w:type="dxa"/>
          </w:tcPr>
          <w:p w14:paraId="302A42ED" w14:textId="77777777" w:rsidR="00B73F2A" w:rsidRPr="00BD78F9" w:rsidRDefault="00B73F2A" w:rsidP="00F92051">
            <w:pPr>
              <w:spacing w:line="240" w:lineRule="atLeast"/>
              <w:contextualSpacing/>
              <w:rPr>
                <w:i/>
                <w:sz w:val="22"/>
                <w:szCs w:val="22"/>
                <w:lang w:val="sr-Latn-ME"/>
              </w:rPr>
            </w:pPr>
            <w:r w:rsidRPr="00BD78F9">
              <w:rPr>
                <w:sz w:val="22"/>
                <w:szCs w:val="22"/>
                <w:lang w:val="sr-Latn-ME"/>
              </w:rPr>
              <w:t>Palpitacije</w:t>
            </w:r>
          </w:p>
        </w:tc>
        <w:tc>
          <w:tcPr>
            <w:tcW w:w="2049" w:type="dxa"/>
          </w:tcPr>
          <w:p w14:paraId="605647E6" w14:textId="77777777" w:rsidR="00B73F2A" w:rsidRPr="00BD78F9" w:rsidRDefault="00B73F2A" w:rsidP="00271855">
            <w:pPr>
              <w:tabs>
                <w:tab w:val="left" w:pos="284"/>
              </w:tabs>
              <w:outlineLvl w:val="1"/>
              <w:rPr>
                <w:sz w:val="22"/>
                <w:szCs w:val="22"/>
                <w:lang w:val="sr-Latn-ME"/>
              </w:rPr>
            </w:pPr>
            <w:r w:rsidRPr="00BD78F9">
              <w:rPr>
                <w:sz w:val="22"/>
                <w:szCs w:val="22"/>
                <w:lang w:val="sr-Latn-ME"/>
              </w:rPr>
              <w:t>Česta</w:t>
            </w:r>
          </w:p>
        </w:tc>
      </w:tr>
      <w:tr w:rsidR="00B73F2A" w:rsidRPr="00BD78F9" w14:paraId="0F0DE68D" w14:textId="77777777" w:rsidTr="00B73F2A">
        <w:trPr>
          <w:trHeight w:val="973"/>
        </w:trPr>
        <w:tc>
          <w:tcPr>
            <w:tcW w:w="2609" w:type="dxa"/>
            <w:vMerge/>
          </w:tcPr>
          <w:p w14:paraId="55BF43B5" w14:textId="77777777" w:rsidR="00B73F2A" w:rsidRPr="00BD78F9" w:rsidRDefault="00B73F2A" w:rsidP="00271855">
            <w:pPr>
              <w:tabs>
                <w:tab w:val="left" w:pos="284"/>
              </w:tabs>
              <w:outlineLvl w:val="1"/>
              <w:rPr>
                <w:i/>
                <w:sz w:val="22"/>
                <w:szCs w:val="22"/>
                <w:lang w:val="sr-Latn-ME"/>
              </w:rPr>
            </w:pPr>
          </w:p>
        </w:tc>
        <w:tc>
          <w:tcPr>
            <w:tcW w:w="4403" w:type="dxa"/>
          </w:tcPr>
          <w:p w14:paraId="259567E6" w14:textId="77777777" w:rsidR="00B73F2A" w:rsidRPr="00BD78F9" w:rsidRDefault="00B73F2A" w:rsidP="00F92051">
            <w:pPr>
              <w:spacing w:line="240" w:lineRule="atLeast"/>
              <w:contextualSpacing/>
              <w:rPr>
                <w:sz w:val="22"/>
                <w:szCs w:val="22"/>
                <w:lang w:val="sr-Latn-ME"/>
              </w:rPr>
            </w:pPr>
            <w:r w:rsidRPr="00BD78F9">
              <w:rPr>
                <w:sz w:val="22"/>
                <w:szCs w:val="22"/>
                <w:lang w:val="sr-Latn-ME"/>
              </w:rPr>
              <w:t>Angina pektoris</w:t>
            </w:r>
          </w:p>
          <w:p w14:paraId="6FBFA0AB" w14:textId="77777777" w:rsidR="00B73F2A" w:rsidRPr="00BD78F9" w:rsidRDefault="00B73F2A" w:rsidP="00A52822">
            <w:pPr>
              <w:spacing w:line="240" w:lineRule="atLeast"/>
              <w:contextualSpacing/>
              <w:rPr>
                <w:sz w:val="22"/>
                <w:szCs w:val="22"/>
                <w:lang w:val="sr-Latn-ME"/>
              </w:rPr>
            </w:pPr>
            <w:r w:rsidRPr="00BD78F9">
              <w:rPr>
                <w:sz w:val="22"/>
                <w:szCs w:val="22"/>
                <w:lang w:val="sr-Latn-ME"/>
              </w:rPr>
              <w:t xml:space="preserve">Tahikardija </w:t>
            </w:r>
          </w:p>
          <w:p w14:paraId="2583B037" w14:textId="77777777" w:rsidR="00B73F2A" w:rsidRPr="00BD78F9" w:rsidRDefault="00B73F2A" w:rsidP="00271855">
            <w:pPr>
              <w:tabs>
                <w:tab w:val="left" w:pos="284"/>
              </w:tabs>
              <w:spacing w:line="240" w:lineRule="atLeast"/>
              <w:contextualSpacing/>
              <w:outlineLvl w:val="1"/>
              <w:rPr>
                <w:sz w:val="22"/>
                <w:szCs w:val="22"/>
                <w:lang w:val="sr-Latn-ME"/>
              </w:rPr>
            </w:pPr>
            <w:r w:rsidRPr="00BD78F9">
              <w:rPr>
                <w:sz w:val="22"/>
                <w:szCs w:val="22"/>
                <w:lang w:val="sr-Latn-ME"/>
              </w:rPr>
              <w:t>Srčane aritmije (atrijalna fibrilacija, supraventrikularna tahikardija i ekstrasistole)</w:t>
            </w:r>
            <w:r w:rsidRPr="00BD78F9">
              <w:rPr>
                <w:i/>
                <w:iCs/>
                <w:sz w:val="22"/>
                <w:szCs w:val="22"/>
                <w:lang w:val="sr-Latn-ME"/>
              </w:rPr>
              <w:t xml:space="preserve"> </w:t>
            </w:r>
          </w:p>
        </w:tc>
        <w:tc>
          <w:tcPr>
            <w:tcW w:w="2049" w:type="dxa"/>
          </w:tcPr>
          <w:p w14:paraId="480BFDA1" w14:textId="74796EA7" w:rsidR="00B73F2A" w:rsidRPr="00BD78F9" w:rsidRDefault="004D0E29" w:rsidP="00271855">
            <w:pPr>
              <w:tabs>
                <w:tab w:val="left" w:pos="284"/>
              </w:tabs>
              <w:outlineLvl w:val="1"/>
              <w:rPr>
                <w:sz w:val="22"/>
                <w:szCs w:val="22"/>
                <w:lang w:val="sr-Latn-ME"/>
              </w:rPr>
            </w:pPr>
            <w:r w:rsidRPr="00BD78F9">
              <w:rPr>
                <w:sz w:val="22"/>
                <w:szCs w:val="22"/>
                <w:lang w:val="sr-Latn-ME"/>
              </w:rPr>
              <w:t>Povremena</w:t>
            </w:r>
          </w:p>
        </w:tc>
      </w:tr>
      <w:tr w:rsidR="00B73F2A" w:rsidRPr="00BD78F9" w14:paraId="006E56C0" w14:textId="77777777" w:rsidTr="00B73F2A">
        <w:trPr>
          <w:trHeight w:val="554"/>
        </w:trPr>
        <w:tc>
          <w:tcPr>
            <w:tcW w:w="2609" w:type="dxa"/>
            <w:vMerge w:val="restart"/>
          </w:tcPr>
          <w:p w14:paraId="235279A1" w14:textId="77777777" w:rsidR="00B73F2A" w:rsidRPr="00BD78F9" w:rsidRDefault="00B73F2A" w:rsidP="00271855">
            <w:pPr>
              <w:tabs>
                <w:tab w:val="left" w:pos="284"/>
              </w:tabs>
              <w:outlineLvl w:val="1"/>
              <w:rPr>
                <w:i/>
                <w:sz w:val="22"/>
                <w:szCs w:val="22"/>
                <w:lang w:val="sr-Latn-ME"/>
              </w:rPr>
            </w:pPr>
            <w:r w:rsidRPr="00BD78F9">
              <w:rPr>
                <w:i/>
                <w:iCs/>
                <w:sz w:val="22"/>
                <w:szCs w:val="22"/>
                <w:lang w:val="sr-Latn-ME"/>
              </w:rPr>
              <w:t>Respiratorni, torakalni i medijastinalni poremećaji</w:t>
            </w:r>
          </w:p>
        </w:tc>
        <w:tc>
          <w:tcPr>
            <w:tcW w:w="4403" w:type="dxa"/>
          </w:tcPr>
          <w:p w14:paraId="2E10D720" w14:textId="77777777" w:rsidR="00B73F2A" w:rsidRPr="00BD78F9" w:rsidRDefault="00B73F2A" w:rsidP="00271855">
            <w:pPr>
              <w:tabs>
                <w:tab w:val="left" w:pos="284"/>
              </w:tabs>
              <w:spacing w:line="240" w:lineRule="atLeast"/>
              <w:contextualSpacing/>
              <w:outlineLvl w:val="1"/>
              <w:rPr>
                <w:sz w:val="22"/>
                <w:szCs w:val="22"/>
                <w:lang w:val="sr-Latn-ME"/>
              </w:rPr>
            </w:pPr>
            <w:r w:rsidRPr="00BD78F9">
              <w:rPr>
                <w:sz w:val="22"/>
                <w:szCs w:val="22"/>
                <w:lang w:val="sr-Latn-ME"/>
              </w:rPr>
              <w:t>Disfonija</w:t>
            </w:r>
          </w:p>
          <w:p w14:paraId="5719C4F5" w14:textId="77777777" w:rsidR="00B73F2A" w:rsidRPr="00BD78F9" w:rsidRDefault="00B73F2A" w:rsidP="00271855">
            <w:pPr>
              <w:tabs>
                <w:tab w:val="left" w:pos="284"/>
              </w:tabs>
              <w:spacing w:line="240" w:lineRule="atLeast"/>
              <w:contextualSpacing/>
              <w:outlineLvl w:val="1"/>
              <w:rPr>
                <w:sz w:val="22"/>
                <w:szCs w:val="22"/>
                <w:lang w:val="sr-Latn-ME"/>
              </w:rPr>
            </w:pPr>
            <w:r w:rsidRPr="00BD78F9">
              <w:rPr>
                <w:sz w:val="22"/>
                <w:szCs w:val="22"/>
                <w:lang w:val="sr-Latn-ME"/>
              </w:rPr>
              <w:t>Kašalj</w:t>
            </w:r>
          </w:p>
        </w:tc>
        <w:tc>
          <w:tcPr>
            <w:tcW w:w="2049" w:type="dxa"/>
          </w:tcPr>
          <w:p w14:paraId="12A5DF25" w14:textId="77777777" w:rsidR="00B73F2A" w:rsidRPr="00BD78F9" w:rsidRDefault="00B73F2A" w:rsidP="00271855">
            <w:pPr>
              <w:tabs>
                <w:tab w:val="left" w:pos="284"/>
              </w:tabs>
              <w:outlineLvl w:val="1"/>
              <w:rPr>
                <w:sz w:val="22"/>
                <w:szCs w:val="22"/>
                <w:lang w:val="sr-Latn-ME"/>
              </w:rPr>
            </w:pPr>
            <w:r w:rsidRPr="00BD78F9">
              <w:rPr>
                <w:sz w:val="22"/>
                <w:szCs w:val="22"/>
                <w:lang w:val="sr-Latn-ME"/>
              </w:rPr>
              <w:t>Česta</w:t>
            </w:r>
          </w:p>
        </w:tc>
      </w:tr>
      <w:tr w:rsidR="00B73F2A" w:rsidRPr="00BD78F9" w14:paraId="72D6B5CE" w14:textId="77777777" w:rsidTr="00B73F2A">
        <w:trPr>
          <w:trHeight w:val="553"/>
        </w:trPr>
        <w:tc>
          <w:tcPr>
            <w:tcW w:w="2609" w:type="dxa"/>
            <w:vMerge/>
          </w:tcPr>
          <w:p w14:paraId="2402C218" w14:textId="77777777" w:rsidR="00B73F2A" w:rsidRPr="00BD78F9" w:rsidRDefault="00B73F2A" w:rsidP="00271855">
            <w:pPr>
              <w:tabs>
                <w:tab w:val="left" w:pos="284"/>
              </w:tabs>
              <w:outlineLvl w:val="1"/>
              <w:rPr>
                <w:i/>
                <w:sz w:val="22"/>
                <w:szCs w:val="22"/>
                <w:lang w:val="sr-Latn-ME"/>
              </w:rPr>
            </w:pPr>
          </w:p>
        </w:tc>
        <w:tc>
          <w:tcPr>
            <w:tcW w:w="4403" w:type="dxa"/>
          </w:tcPr>
          <w:p w14:paraId="18DCCAFE" w14:textId="77777777" w:rsidR="00B73F2A" w:rsidRPr="00BD78F9" w:rsidRDefault="00B73F2A" w:rsidP="00271855">
            <w:pPr>
              <w:tabs>
                <w:tab w:val="left" w:pos="284"/>
              </w:tabs>
              <w:spacing w:line="240" w:lineRule="atLeast"/>
              <w:contextualSpacing/>
              <w:outlineLvl w:val="1"/>
              <w:rPr>
                <w:sz w:val="22"/>
                <w:szCs w:val="22"/>
                <w:lang w:val="sr-Latn-ME"/>
              </w:rPr>
            </w:pPr>
            <w:r w:rsidRPr="00BD78F9">
              <w:rPr>
                <w:sz w:val="22"/>
                <w:szCs w:val="22"/>
                <w:lang w:val="sr-Latn-ME"/>
              </w:rPr>
              <w:t>Iritacija grla</w:t>
            </w:r>
          </w:p>
          <w:p w14:paraId="6964410F" w14:textId="77777777" w:rsidR="00B73F2A" w:rsidRPr="00BD78F9" w:rsidRDefault="00B73F2A" w:rsidP="00271855">
            <w:pPr>
              <w:tabs>
                <w:tab w:val="left" w:pos="284"/>
              </w:tabs>
              <w:spacing w:line="240" w:lineRule="atLeast"/>
              <w:contextualSpacing/>
              <w:outlineLvl w:val="1"/>
              <w:rPr>
                <w:sz w:val="22"/>
                <w:szCs w:val="22"/>
                <w:lang w:val="sr-Latn-ME"/>
              </w:rPr>
            </w:pPr>
            <w:r w:rsidRPr="00BD78F9">
              <w:rPr>
                <w:sz w:val="22"/>
                <w:szCs w:val="22"/>
                <w:lang w:val="sr-Latn-ME"/>
              </w:rPr>
              <w:t>Bronhospazam</w:t>
            </w:r>
          </w:p>
        </w:tc>
        <w:tc>
          <w:tcPr>
            <w:tcW w:w="2049" w:type="dxa"/>
          </w:tcPr>
          <w:p w14:paraId="4620C948" w14:textId="49054209" w:rsidR="00B73F2A" w:rsidRPr="00BD78F9" w:rsidRDefault="004D0E29" w:rsidP="00271855">
            <w:pPr>
              <w:tabs>
                <w:tab w:val="left" w:pos="284"/>
              </w:tabs>
              <w:outlineLvl w:val="1"/>
              <w:rPr>
                <w:sz w:val="22"/>
                <w:szCs w:val="22"/>
                <w:lang w:val="sr-Latn-ME"/>
              </w:rPr>
            </w:pPr>
            <w:r w:rsidRPr="00BD78F9">
              <w:rPr>
                <w:sz w:val="22"/>
                <w:szCs w:val="22"/>
                <w:lang w:val="sr-Latn-ME"/>
              </w:rPr>
              <w:t>Povremena</w:t>
            </w:r>
          </w:p>
        </w:tc>
      </w:tr>
      <w:tr w:rsidR="00B73F2A" w:rsidRPr="00BD78F9" w14:paraId="22A925DF" w14:textId="77777777" w:rsidTr="00B73F2A">
        <w:trPr>
          <w:trHeight w:val="280"/>
        </w:trPr>
        <w:tc>
          <w:tcPr>
            <w:tcW w:w="2609" w:type="dxa"/>
            <w:vMerge w:val="restart"/>
          </w:tcPr>
          <w:p w14:paraId="32099A32" w14:textId="77777777" w:rsidR="00B73F2A" w:rsidRPr="00BD78F9" w:rsidRDefault="00B73F2A" w:rsidP="00271855">
            <w:pPr>
              <w:tabs>
                <w:tab w:val="left" w:pos="284"/>
              </w:tabs>
              <w:outlineLvl w:val="1"/>
              <w:rPr>
                <w:sz w:val="22"/>
                <w:szCs w:val="22"/>
                <w:lang w:val="sr-Latn-ME"/>
              </w:rPr>
            </w:pPr>
            <w:r w:rsidRPr="00BD78F9">
              <w:rPr>
                <w:i/>
                <w:iCs/>
                <w:sz w:val="22"/>
                <w:szCs w:val="22"/>
                <w:lang w:val="sr-Latn-ME"/>
              </w:rPr>
              <w:t>Gastrointestinalni poremećaji</w:t>
            </w:r>
          </w:p>
        </w:tc>
        <w:tc>
          <w:tcPr>
            <w:tcW w:w="4403" w:type="dxa"/>
          </w:tcPr>
          <w:p w14:paraId="356D3B78" w14:textId="77777777" w:rsidR="00B73F2A" w:rsidRPr="00BD78F9" w:rsidRDefault="00B73F2A" w:rsidP="00271855">
            <w:pPr>
              <w:tabs>
                <w:tab w:val="left" w:pos="284"/>
              </w:tabs>
              <w:spacing w:line="240" w:lineRule="atLeast"/>
              <w:contextualSpacing/>
              <w:outlineLvl w:val="1"/>
              <w:rPr>
                <w:i/>
                <w:sz w:val="22"/>
                <w:szCs w:val="22"/>
                <w:lang w:val="sr-Latn-ME"/>
              </w:rPr>
            </w:pPr>
            <w:r w:rsidRPr="00BD78F9">
              <w:rPr>
                <w:sz w:val="22"/>
                <w:szCs w:val="22"/>
                <w:lang w:val="sr-Latn-ME"/>
              </w:rPr>
              <w:t>Mučnina</w:t>
            </w:r>
          </w:p>
        </w:tc>
        <w:tc>
          <w:tcPr>
            <w:tcW w:w="2049" w:type="dxa"/>
          </w:tcPr>
          <w:p w14:paraId="3A8F3320" w14:textId="77777777" w:rsidR="00B73F2A" w:rsidRPr="00BD78F9" w:rsidRDefault="00B73F2A" w:rsidP="00271855">
            <w:pPr>
              <w:tabs>
                <w:tab w:val="left" w:pos="284"/>
              </w:tabs>
              <w:outlineLvl w:val="1"/>
              <w:rPr>
                <w:sz w:val="22"/>
                <w:szCs w:val="22"/>
                <w:lang w:val="sr-Latn-ME"/>
              </w:rPr>
            </w:pPr>
            <w:r w:rsidRPr="00BD78F9">
              <w:rPr>
                <w:sz w:val="22"/>
                <w:szCs w:val="22"/>
                <w:lang w:val="sr-Latn-ME"/>
              </w:rPr>
              <w:t>Česta</w:t>
            </w:r>
          </w:p>
        </w:tc>
      </w:tr>
      <w:tr w:rsidR="00B73F2A" w:rsidRPr="00BD78F9" w14:paraId="286B7461" w14:textId="77777777" w:rsidTr="00B73F2A">
        <w:trPr>
          <w:trHeight w:val="280"/>
        </w:trPr>
        <w:tc>
          <w:tcPr>
            <w:tcW w:w="2609" w:type="dxa"/>
            <w:vMerge/>
          </w:tcPr>
          <w:p w14:paraId="4E1EAE48" w14:textId="77777777" w:rsidR="00B73F2A" w:rsidRPr="00BD78F9" w:rsidRDefault="00B73F2A" w:rsidP="00B73F2A">
            <w:pPr>
              <w:tabs>
                <w:tab w:val="left" w:pos="284"/>
              </w:tabs>
              <w:jc w:val="both"/>
              <w:outlineLvl w:val="1"/>
              <w:rPr>
                <w:i/>
                <w:sz w:val="22"/>
                <w:szCs w:val="22"/>
                <w:lang w:val="sr-Latn-ME"/>
              </w:rPr>
            </w:pPr>
          </w:p>
        </w:tc>
        <w:tc>
          <w:tcPr>
            <w:tcW w:w="4403" w:type="dxa"/>
          </w:tcPr>
          <w:p w14:paraId="0A10EAEF" w14:textId="77777777" w:rsidR="00B73F2A" w:rsidRPr="00BD78F9" w:rsidRDefault="00B73F2A" w:rsidP="00271855">
            <w:pPr>
              <w:tabs>
                <w:tab w:val="left" w:pos="284"/>
              </w:tabs>
              <w:spacing w:line="240" w:lineRule="atLeast"/>
              <w:contextualSpacing/>
              <w:outlineLvl w:val="1"/>
              <w:rPr>
                <w:sz w:val="22"/>
                <w:szCs w:val="22"/>
                <w:lang w:val="sr-Latn-ME"/>
              </w:rPr>
            </w:pPr>
            <w:r w:rsidRPr="00BD78F9">
              <w:rPr>
                <w:sz w:val="22"/>
                <w:szCs w:val="22"/>
                <w:lang w:val="sr-Latn-ME"/>
              </w:rPr>
              <w:t>Suva usta</w:t>
            </w:r>
          </w:p>
        </w:tc>
        <w:tc>
          <w:tcPr>
            <w:tcW w:w="2049" w:type="dxa"/>
          </w:tcPr>
          <w:p w14:paraId="46118015" w14:textId="7D44F842" w:rsidR="00B73F2A" w:rsidRPr="00BD78F9" w:rsidRDefault="004D0E29" w:rsidP="00271855">
            <w:pPr>
              <w:tabs>
                <w:tab w:val="left" w:pos="284"/>
              </w:tabs>
              <w:outlineLvl w:val="1"/>
              <w:rPr>
                <w:sz w:val="22"/>
                <w:szCs w:val="22"/>
                <w:lang w:val="sr-Latn-ME"/>
              </w:rPr>
            </w:pPr>
            <w:r w:rsidRPr="00BD78F9">
              <w:rPr>
                <w:sz w:val="22"/>
                <w:szCs w:val="22"/>
                <w:lang w:val="sr-Latn-ME"/>
              </w:rPr>
              <w:t>Povremena</w:t>
            </w:r>
          </w:p>
        </w:tc>
      </w:tr>
      <w:tr w:rsidR="00B73F2A" w:rsidRPr="00BD78F9" w14:paraId="7664250D" w14:textId="77777777" w:rsidTr="00B73F2A">
        <w:trPr>
          <w:trHeight w:val="408"/>
        </w:trPr>
        <w:tc>
          <w:tcPr>
            <w:tcW w:w="2609" w:type="dxa"/>
          </w:tcPr>
          <w:p w14:paraId="3D5C8368" w14:textId="77777777" w:rsidR="00B73F2A" w:rsidRPr="00BD78F9" w:rsidRDefault="00B73F2A" w:rsidP="00271855">
            <w:pPr>
              <w:tabs>
                <w:tab w:val="left" w:pos="284"/>
              </w:tabs>
              <w:outlineLvl w:val="1"/>
              <w:rPr>
                <w:i/>
                <w:iCs/>
                <w:sz w:val="22"/>
                <w:szCs w:val="22"/>
                <w:lang w:val="sr-Latn-ME"/>
              </w:rPr>
            </w:pPr>
            <w:r w:rsidRPr="00BD78F9">
              <w:rPr>
                <w:i/>
                <w:iCs/>
                <w:sz w:val="22"/>
                <w:szCs w:val="22"/>
                <w:lang w:val="sr-Latn-ME"/>
              </w:rPr>
              <w:t>Poremećaji kože i potkožnog tkiva</w:t>
            </w:r>
          </w:p>
        </w:tc>
        <w:tc>
          <w:tcPr>
            <w:tcW w:w="4403" w:type="dxa"/>
          </w:tcPr>
          <w:p w14:paraId="212A0247" w14:textId="77777777" w:rsidR="00B73F2A" w:rsidRPr="00BD78F9" w:rsidRDefault="00B73F2A" w:rsidP="00271855">
            <w:pPr>
              <w:tabs>
                <w:tab w:val="left" w:pos="284"/>
              </w:tabs>
              <w:spacing w:line="240" w:lineRule="atLeast"/>
              <w:contextualSpacing/>
              <w:outlineLvl w:val="1"/>
              <w:rPr>
                <w:sz w:val="22"/>
                <w:szCs w:val="22"/>
                <w:lang w:val="sr-Latn-ME"/>
              </w:rPr>
            </w:pPr>
            <w:r w:rsidRPr="00BD78F9">
              <w:rPr>
                <w:sz w:val="22"/>
                <w:szCs w:val="22"/>
                <w:lang w:val="sr-Latn-ME"/>
              </w:rPr>
              <w:t>Pojava modrica</w:t>
            </w:r>
          </w:p>
        </w:tc>
        <w:tc>
          <w:tcPr>
            <w:tcW w:w="2049" w:type="dxa"/>
          </w:tcPr>
          <w:p w14:paraId="63A61AEF" w14:textId="251C923D" w:rsidR="00B73F2A" w:rsidRPr="00BD78F9" w:rsidRDefault="004D0E29" w:rsidP="00271855">
            <w:pPr>
              <w:tabs>
                <w:tab w:val="left" w:pos="284"/>
              </w:tabs>
              <w:outlineLvl w:val="1"/>
              <w:rPr>
                <w:sz w:val="22"/>
                <w:szCs w:val="22"/>
                <w:lang w:val="sr-Latn-ME"/>
              </w:rPr>
            </w:pPr>
            <w:r w:rsidRPr="00BD78F9">
              <w:rPr>
                <w:sz w:val="22"/>
                <w:szCs w:val="22"/>
                <w:lang w:val="sr-Latn-ME"/>
              </w:rPr>
              <w:t>Povremena</w:t>
            </w:r>
          </w:p>
        </w:tc>
      </w:tr>
      <w:tr w:rsidR="00B73F2A" w:rsidRPr="00BD78F9" w14:paraId="2CC60878" w14:textId="77777777" w:rsidTr="00B73F2A">
        <w:tc>
          <w:tcPr>
            <w:tcW w:w="2609" w:type="dxa"/>
          </w:tcPr>
          <w:p w14:paraId="7AEE68F1" w14:textId="77777777" w:rsidR="00B73F2A" w:rsidRPr="00BD78F9" w:rsidRDefault="00B73F2A" w:rsidP="00271855">
            <w:pPr>
              <w:tabs>
                <w:tab w:val="left" w:pos="284"/>
              </w:tabs>
              <w:outlineLvl w:val="1"/>
              <w:rPr>
                <w:sz w:val="22"/>
                <w:szCs w:val="22"/>
                <w:lang w:val="sr-Latn-ME"/>
              </w:rPr>
            </w:pPr>
            <w:r w:rsidRPr="00BD78F9">
              <w:rPr>
                <w:i/>
                <w:iCs/>
                <w:sz w:val="22"/>
                <w:szCs w:val="22"/>
                <w:lang w:val="sr-Latn-ME"/>
              </w:rPr>
              <w:t>Poremećaji mišićno-koštanog sistema i vezivnog tkiva</w:t>
            </w:r>
          </w:p>
        </w:tc>
        <w:tc>
          <w:tcPr>
            <w:tcW w:w="4403" w:type="dxa"/>
          </w:tcPr>
          <w:p w14:paraId="273CE442" w14:textId="77777777" w:rsidR="00B73F2A" w:rsidRPr="00BD78F9" w:rsidRDefault="00B73F2A" w:rsidP="00271855">
            <w:pPr>
              <w:tabs>
                <w:tab w:val="left" w:pos="284"/>
              </w:tabs>
              <w:spacing w:line="240" w:lineRule="atLeast"/>
              <w:contextualSpacing/>
              <w:outlineLvl w:val="1"/>
              <w:rPr>
                <w:i/>
                <w:iCs/>
                <w:sz w:val="22"/>
                <w:szCs w:val="22"/>
                <w:lang w:val="sr-Latn-ME"/>
              </w:rPr>
            </w:pPr>
            <w:r w:rsidRPr="00BD78F9">
              <w:rPr>
                <w:sz w:val="22"/>
                <w:szCs w:val="22"/>
                <w:lang w:val="sr-Latn-ME"/>
              </w:rPr>
              <w:t>Grčevi u mišićima</w:t>
            </w:r>
          </w:p>
        </w:tc>
        <w:tc>
          <w:tcPr>
            <w:tcW w:w="2049" w:type="dxa"/>
          </w:tcPr>
          <w:p w14:paraId="660D7172" w14:textId="77777777" w:rsidR="00B73F2A" w:rsidRPr="00BD78F9" w:rsidRDefault="00B73F2A" w:rsidP="00271855">
            <w:pPr>
              <w:tabs>
                <w:tab w:val="left" w:pos="284"/>
              </w:tabs>
              <w:outlineLvl w:val="1"/>
              <w:rPr>
                <w:sz w:val="22"/>
                <w:szCs w:val="22"/>
                <w:lang w:val="sr-Latn-ME"/>
              </w:rPr>
            </w:pPr>
            <w:r w:rsidRPr="00BD78F9">
              <w:rPr>
                <w:sz w:val="22"/>
                <w:szCs w:val="22"/>
                <w:lang w:val="sr-Latn-ME"/>
              </w:rPr>
              <w:t>Česta</w:t>
            </w:r>
          </w:p>
        </w:tc>
      </w:tr>
      <w:tr w:rsidR="00B73F2A" w:rsidRPr="00BD78F9" w14:paraId="4F7E87E9" w14:textId="77777777" w:rsidTr="00B73F2A">
        <w:trPr>
          <w:trHeight w:val="224"/>
        </w:trPr>
        <w:tc>
          <w:tcPr>
            <w:tcW w:w="2609" w:type="dxa"/>
            <w:vMerge w:val="restart"/>
          </w:tcPr>
          <w:p w14:paraId="443FA634" w14:textId="77777777" w:rsidR="00B73F2A" w:rsidRPr="00BD78F9" w:rsidRDefault="00B73F2A" w:rsidP="00F92051">
            <w:pPr>
              <w:rPr>
                <w:i/>
                <w:sz w:val="22"/>
                <w:szCs w:val="22"/>
                <w:lang w:val="sr-Latn-ME"/>
              </w:rPr>
            </w:pPr>
            <w:r w:rsidRPr="00BD78F9">
              <w:rPr>
                <w:i/>
                <w:iCs/>
                <w:noProof/>
                <w:sz w:val="22"/>
                <w:szCs w:val="22"/>
                <w:lang w:val="sr-Latn-ME"/>
              </w:rPr>
              <w:t>Poremećaji bubrega i urinarnog sistema</w:t>
            </w:r>
          </w:p>
        </w:tc>
        <w:tc>
          <w:tcPr>
            <w:tcW w:w="4403" w:type="dxa"/>
          </w:tcPr>
          <w:p w14:paraId="58D80516" w14:textId="77777777" w:rsidR="00B73F2A" w:rsidRPr="00BD78F9" w:rsidRDefault="00B73F2A" w:rsidP="00F92051">
            <w:pPr>
              <w:spacing w:line="240" w:lineRule="atLeast"/>
              <w:contextualSpacing/>
              <w:rPr>
                <w:sz w:val="22"/>
                <w:szCs w:val="22"/>
                <w:lang w:val="sr-Latn-ME"/>
              </w:rPr>
            </w:pPr>
            <w:r w:rsidRPr="00BD78F9">
              <w:rPr>
                <w:sz w:val="22"/>
                <w:szCs w:val="22"/>
                <w:lang w:val="sr-Latn-ME"/>
              </w:rPr>
              <w:t>Infekcija urinarnog trakta</w:t>
            </w:r>
          </w:p>
        </w:tc>
        <w:tc>
          <w:tcPr>
            <w:tcW w:w="2049" w:type="dxa"/>
          </w:tcPr>
          <w:p w14:paraId="724801EB" w14:textId="77777777" w:rsidR="00B73F2A" w:rsidRPr="00BD78F9" w:rsidRDefault="00B73F2A" w:rsidP="00F92051">
            <w:pPr>
              <w:rPr>
                <w:sz w:val="22"/>
                <w:szCs w:val="22"/>
                <w:lang w:val="sr-Latn-ME"/>
              </w:rPr>
            </w:pPr>
            <w:r w:rsidRPr="00BD78F9">
              <w:rPr>
                <w:sz w:val="22"/>
                <w:szCs w:val="22"/>
                <w:lang w:val="sr-Latn-ME"/>
              </w:rPr>
              <w:t>Česta</w:t>
            </w:r>
          </w:p>
        </w:tc>
      </w:tr>
      <w:tr w:rsidR="00B73F2A" w:rsidRPr="00BD78F9" w14:paraId="3EBD32C1" w14:textId="77777777" w:rsidTr="00B73F2A">
        <w:trPr>
          <w:trHeight w:val="114"/>
        </w:trPr>
        <w:tc>
          <w:tcPr>
            <w:tcW w:w="2609" w:type="dxa"/>
            <w:vMerge/>
          </w:tcPr>
          <w:p w14:paraId="4430D315" w14:textId="77777777" w:rsidR="00B73F2A" w:rsidRPr="00BD78F9" w:rsidRDefault="00B73F2A">
            <w:pPr>
              <w:rPr>
                <w:i/>
                <w:noProof/>
                <w:sz w:val="22"/>
                <w:szCs w:val="22"/>
                <w:lang w:val="sr-Latn-ME"/>
              </w:rPr>
            </w:pPr>
          </w:p>
        </w:tc>
        <w:tc>
          <w:tcPr>
            <w:tcW w:w="4403" w:type="dxa"/>
          </w:tcPr>
          <w:p w14:paraId="201E9383" w14:textId="77777777" w:rsidR="00B73F2A" w:rsidRPr="00BD78F9" w:rsidRDefault="00B73F2A">
            <w:pPr>
              <w:spacing w:line="240" w:lineRule="atLeast"/>
              <w:contextualSpacing/>
              <w:rPr>
                <w:sz w:val="22"/>
                <w:szCs w:val="22"/>
                <w:lang w:val="sr-Latn-ME"/>
              </w:rPr>
            </w:pPr>
            <w:r w:rsidRPr="00BD78F9">
              <w:rPr>
                <w:sz w:val="22"/>
                <w:szCs w:val="22"/>
                <w:lang w:val="sr-Latn-ME"/>
              </w:rPr>
              <w:t>Retencija urina</w:t>
            </w:r>
          </w:p>
        </w:tc>
        <w:tc>
          <w:tcPr>
            <w:tcW w:w="2049" w:type="dxa"/>
          </w:tcPr>
          <w:p w14:paraId="500DDBFC" w14:textId="5ACC49A7" w:rsidR="00B73F2A" w:rsidRPr="00BD78F9" w:rsidRDefault="004D0E29">
            <w:pPr>
              <w:rPr>
                <w:sz w:val="22"/>
                <w:szCs w:val="22"/>
                <w:lang w:val="sr-Latn-ME"/>
              </w:rPr>
            </w:pPr>
            <w:r w:rsidRPr="00BD78F9">
              <w:rPr>
                <w:sz w:val="22"/>
                <w:szCs w:val="22"/>
                <w:lang w:val="sr-Latn-ME"/>
              </w:rPr>
              <w:t>Povremena</w:t>
            </w:r>
          </w:p>
        </w:tc>
      </w:tr>
      <w:tr w:rsidR="00B73F2A" w:rsidRPr="00BD78F9" w14:paraId="2EEEA2B4" w14:textId="77777777" w:rsidTr="00B73F2A">
        <w:trPr>
          <w:trHeight w:val="841"/>
        </w:trPr>
        <w:tc>
          <w:tcPr>
            <w:tcW w:w="2609" w:type="dxa"/>
          </w:tcPr>
          <w:p w14:paraId="7B50F8A4" w14:textId="3402F719" w:rsidR="00B73F2A" w:rsidRPr="00BD78F9" w:rsidRDefault="00B73F2A" w:rsidP="00F92051">
            <w:pPr>
              <w:rPr>
                <w:b/>
                <w:bCs/>
                <w:sz w:val="22"/>
                <w:szCs w:val="22"/>
                <w:lang w:val="sr-Latn-ME"/>
              </w:rPr>
            </w:pPr>
            <w:r w:rsidRPr="00BD78F9">
              <w:rPr>
                <w:i/>
                <w:iCs/>
                <w:sz w:val="22"/>
                <w:szCs w:val="22"/>
                <w:lang w:val="sr-Latn-ME"/>
              </w:rPr>
              <w:t>Opšti poremećaji i reakcije na m</w:t>
            </w:r>
            <w:r w:rsidR="00F92051" w:rsidRPr="00BD78F9">
              <w:rPr>
                <w:i/>
                <w:iCs/>
                <w:sz w:val="22"/>
                <w:szCs w:val="22"/>
                <w:lang w:val="sr-Latn-ME"/>
              </w:rPr>
              <w:t>j</w:t>
            </w:r>
            <w:r w:rsidRPr="00BD78F9">
              <w:rPr>
                <w:i/>
                <w:iCs/>
                <w:sz w:val="22"/>
                <w:szCs w:val="22"/>
                <w:lang w:val="sr-Latn-ME"/>
              </w:rPr>
              <w:t xml:space="preserve">estu </w:t>
            </w:r>
            <w:r w:rsidR="004D0E29" w:rsidRPr="00BD78F9">
              <w:rPr>
                <w:i/>
                <w:iCs/>
                <w:sz w:val="22"/>
                <w:szCs w:val="22"/>
                <w:lang w:val="sr-Latn-ME"/>
              </w:rPr>
              <w:t>primjene</w:t>
            </w:r>
          </w:p>
        </w:tc>
        <w:tc>
          <w:tcPr>
            <w:tcW w:w="4403" w:type="dxa"/>
          </w:tcPr>
          <w:p w14:paraId="6C5FA64F" w14:textId="77777777" w:rsidR="00B73F2A" w:rsidRPr="00BD78F9" w:rsidRDefault="00B73F2A" w:rsidP="00F92051">
            <w:pPr>
              <w:spacing w:line="240" w:lineRule="atLeast"/>
              <w:contextualSpacing/>
              <w:rPr>
                <w:i/>
                <w:sz w:val="22"/>
                <w:szCs w:val="22"/>
                <w:lang w:val="sr-Latn-ME"/>
              </w:rPr>
            </w:pPr>
            <w:r w:rsidRPr="00BD78F9">
              <w:rPr>
                <w:sz w:val="22"/>
                <w:szCs w:val="22"/>
                <w:lang w:val="sr-Latn-ME"/>
              </w:rPr>
              <w:t>Bol u grudima</w:t>
            </w:r>
          </w:p>
        </w:tc>
        <w:tc>
          <w:tcPr>
            <w:tcW w:w="2049" w:type="dxa"/>
          </w:tcPr>
          <w:p w14:paraId="2C7C12EC" w14:textId="29842860" w:rsidR="00B73F2A" w:rsidRPr="00BD78F9" w:rsidRDefault="004D0E29" w:rsidP="00F92051">
            <w:pPr>
              <w:rPr>
                <w:sz w:val="22"/>
                <w:szCs w:val="22"/>
                <w:lang w:val="sr-Latn-ME"/>
              </w:rPr>
            </w:pPr>
            <w:r w:rsidRPr="00BD78F9">
              <w:rPr>
                <w:sz w:val="22"/>
                <w:szCs w:val="22"/>
                <w:lang w:val="sr-Latn-ME"/>
              </w:rPr>
              <w:t>Povremena</w:t>
            </w:r>
          </w:p>
        </w:tc>
      </w:tr>
    </w:tbl>
    <w:p w14:paraId="13E4AB5C" w14:textId="77777777" w:rsidR="00B73F2A" w:rsidRPr="00BD78F9" w:rsidRDefault="00B73F2A" w:rsidP="00B73F2A">
      <w:pPr>
        <w:tabs>
          <w:tab w:val="left" w:pos="284"/>
        </w:tabs>
        <w:autoSpaceDE w:val="0"/>
        <w:autoSpaceDN w:val="0"/>
        <w:adjustRightInd w:val="0"/>
        <w:jc w:val="both"/>
        <w:rPr>
          <w:b/>
          <w:sz w:val="22"/>
          <w:szCs w:val="22"/>
          <w:lang w:val="sr-Latn-ME"/>
        </w:rPr>
      </w:pPr>
    </w:p>
    <w:p w14:paraId="468EA557" w14:textId="77777777" w:rsidR="00B73F2A" w:rsidRPr="00BD78F9" w:rsidRDefault="00B73F2A" w:rsidP="000A71FF">
      <w:pPr>
        <w:numPr>
          <w:ilvl w:val="12"/>
          <w:numId w:val="0"/>
        </w:numPr>
        <w:tabs>
          <w:tab w:val="left" w:pos="284"/>
        </w:tabs>
        <w:ind w:right="-2"/>
        <w:jc w:val="both"/>
        <w:rPr>
          <w:sz w:val="22"/>
          <w:szCs w:val="22"/>
          <w:u w:val="single"/>
          <w:lang w:val="sr-Latn-ME"/>
        </w:rPr>
      </w:pPr>
      <w:r w:rsidRPr="00BD78F9">
        <w:rPr>
          <w:sz w:val="22"/>
          <w:szCs w:val="22"/>
          <w:u w:val="single"/>
          <w:lang w:val="sr-Latn-ME"/>
        </w:rPr>
        <w:lastRenderedPageBreak/>
        <w:t>Opis odabranih neželjenih reakcija</w:t>
      </w:r>
    </w:p>
    <w:p w14:paraId="6969C7EE" w14:textId="77777777" w:rsidR="00B73F2A" w:rsidRPr="00BD78F9" w:rsidRDefault="00B73F2A" w:rsidP="007019B9">
      <w:pPr>
        <w:numPr>
          <w:ilvl w:val="12"/>
          <w:numId w:val="0"/>
        </w:numPr>
        <w:tabs>
          <w:tab w:val="left" w:pos="284"/>
        </w:tabs>
        <w:ind w:right="-2"/>
        <w:jc w:val="both"/>
        <w:rPr>
          <w:sz w:val="22"/>
          <w:szCs w:val="22"/>
          <w:u w:val="single"/>
          <w:lang w:val="sr-Latn-ME"/>
        </w:rPr>
      </w:pPr>
    </w:p>
    <w:p w14:paraId="1A27E0B0" w14:textId="77777777" w:rsidR="00B73F2A" w:rsidRPr="00BD78F9" w:rsidRDefault="00B73F2A" w:rsidP="00A52822">
      <w:pPr>
        <w:numPr>
          <w:ilvl w:val="12"/>
          <w:numId w:val="0"/>
        </w:numPr>
        <w:tabs>
          <w:tab w:val="left" w:pos="284"/>
        </w:tabs>
        <w:ind w:right="-2"/>
        <w:jc w:val="both"/>
        <w:rPr>
          <w:sz w:val="22"/>
          <w:szCs w:val="22"/>
          <w:u w:val="single"/>
          <w:lang w:val="sr-Latn-ME"/>
        </w:rPr>
      </w:pPr>
      <w:r w:rsidRPr="00BD78F9">
        <w:rPr>
          <w:sz w:val="22"/>
          <w:szCs w:val="22"/>
          <w:u w:val="single"/>
          <w:lang w:val="sr-Latn-ME"/>
        </w:rPr>
        <w:t>Pneumonija</w:t>
      </w:r>
    </w:p>
    <w:p w14:paraId="06E370A5" w14:textId="77777777" w:rsidR="00B73F2A" w:rsidRPr="00BD78F9" w:rsidRDefault="00B73F2A">
      <w:pPr>
        <w:numPr>
          <w:ilvl w:val="12"/>
          <w:numId w:val="0"/>
        </w:numPr>
        <w:tabs>
          <w:tab w:val="left" w:pos="284"/>
        </w:tabs>
        <w:jc w:val="both"/>
        <w:rPr>
          <w:iCs/>
          <w:noProof/>
          <w:sz w:val="22"/>
          <w:szCs w:val="22"/>
          <w:lang w:val="sr-Latn-ME"/>
        </w:rPr>
      </w:pPr>
    </w:p>
    <w:p w14:paraId="5E651FF7" w14:textId="76CB1EBF" w:rsidR="00B73F2A" w:rsidRPr="00BD78F9" w:rsidRDefault="00B73F2A">
      <w:pPr>
        <w:tabs>
          <w:tab w:val="left" w:pos="284"/>
        </w:tabs>
        <w:jc w:val="both"/>
        <w:rPr>
          <w:sz w:val="22"/>
          <w:lang w:val="sr-Latn-ME"/>
        </w:rPr>
      </w:pPr>
      <w:r w:rsidRPr="00BD78F9">
        <w:rPr>
          <w:sz w:val="22"/>
          <w:lang w:val="sr-Latn-ME"/>
        </w:rPr>
        <w:t>KRONOS je bila 24-ned</w:t>
      </w:r>
      <w:r w:rsidR="00F92051" w:rsidRPr="00BD78F9">
        <w:rPr>
          <w:sz w:val="22"/>
          <w:lang w:val="sr-Latn-ME"/>
        </w:rPr>
        <w:t>j</w:t>
      </w:r>
      <w:r w:rsidRPr="00BD78F9">
        <w:rPr>
          <w:sz w:val="22"/>
          <w:lang w:val="sr-Latn-ME"/>
        </w:rPr>
        <w:t xml:space="preserve">eljna studija na ukupno 1896 pacijenata sa </w:t>
      </w:r>
      <w:r w:rsidR="004D0E29" w:rsidRPr="00BD78F9">
        <w:rPr>
          <w:sz w:val="22"/>
          <w:lang w:val="sr-Latn-ME"/>
        </w:rPr>
        <w:t>umjerenom</w:t>
      </w:r>
      <w:r w:rsidRPr="00BD78F9">
        <w:rPr>
          <w:sz w:val="22"/>
          <w:lang w:val="sr-Latn-ME"/>
        </w:rPr>
        <w:t xml:space="preserve"> do veoma teškom HOBP (srednja </w:t>
      </w:r>
      <w:r w:rsidR="004D0E29" w:rsidRPr="00BD78F9">
        <w:rPr>
          <w:sz w:val="22"/>
          <w:lang w:val="sr-Latn-ME"/>
        </w:rPr>
        <w:t>vrijednost</w:t>
      </w:r>
      <w:r w:rsidRPr="00BD78F9">
        <w:rPr>
          <w:sz w:val="22"/>
          <w:lang w:val="sr-Latn-ME"/>
        </w:rPr>
        <w:t xml:space="preserve"> FEV</w:t>
      </w:r>
      <w:r w:rsidRPr="00BD78F9">
        <w:rPr>
          <w:sz w:val="22"/>
          <w:vertAlign w:val="subscript"/>
          <w:lang w:val="sr-Latn-ME"/>
        </w:rPr>
        <w:t>1</w:t>
      </w:r>
      <w:r w:rsidRPr="00BD78F9">
        <w:rPr>
          <w:sz w:val="22"/>
          <w:lang w:val="sr-Latn-ME"/>
        </w:rPr>
        <w:t xml:space="preserve"> nakon </w:t>
      </w:r>
      <w:r w:rsidR="004D0E29" w:rsidRPr="00BD78F9">
        <w:rPr>
          <w:sz w:val="22"/>
          <w:lang w:val="sr-Latn-ME"/>
        </w:rPr>
        <w:t>primjene</w:t>
      </w:r>
      <w:r w:rsidRPr="00BD78F9">
        <w:rPr>
          <w:sz w:val="22"/>
          <w:lang w:val="sr-Latn-ME"/>
        </w:rPr>
        <w:t xml:space="preserve"> bronhodilatatora pri skriningu 50% od predviđene, standardno odstupanje [SD] 14%), od kojih je kod 26% došlo do egzacerbacije HOBP u godini pr</w:t>
      </w:r>
      <w:r w:rsidR="00F92051" w:rsidRPr="00BD78F9">
        <w:rPr>
          <w:sz w:val="22"/>
          <w:lang w:val="sr-Latn-ME"/>
        </w:rPr>
        <w:t>ij</w:t>
      </w:r>
      <w:r w:rsidRPr="00BD78F9">
        <w:rPr>
          <w:sz w:val="22"/>
          <w:lang w:val="sr-Latn-ME"/>
        </w:rPr>
        <w:t>e ulaska u studiju. Incidenca potvrđenih događaja pneumonije zab</w:t>
      </w:r>
      <w:r w:rsidR="00F92051" w:rsidRPr="00BD78F9">
        <w:rPr>
          <w:sz w:val="22"/>
          <w:lang w:val="sr-Latn-ME"/>
        </w:rPr>
        <w:t>i</w:t>
      </w:r>
      <w:r w:rsidRPr="00BD78F9">
        <w:rPr>
          <w:sz w:val="22"/>
          <w:lang w:val="sr-Latn-ME"/>
        </w:rPr>
        <w:t>l</w:t>
      </w:r>
      <w:r w:rsidR="00F92051" w:rsidRPr="00BD78F9">
        <w:rPr>
          <w:sz w:val="22"/>
          <w:lang w:val="sr-Latn-ME"/>
        </w:rPr>
        <w:t>j</w:t>
      </w:r>
      <w:r w:rsidRPr="00BD78F9">
        <w:rPr>
          <w:sz w:val="22"/>
          <w:lang w:val="sr-Latn-ME"/>
        </w:rPr>
        <w:t>eženih u periodu do 24 ned</w:t>
      </w:r>
      <w:r w:rsidR="00F92051" w:rsidRPr="00BD78F9">
        <w:rPr>
          <w:sz w:val="22"/>
          <w:lang w:val="sr-Latn-ME"/>
        </w:rPr>
        <w:t>j</w:t>
      </w:r>
      <w:r w:rsidRPr="00BD78F9">
        <w:rPr>
          <w:sz w:val="22"/>
          <w:lang w:val="sr-Latn-ME"/>
        </w:rPr>
        <w:t xml:space="preserve">elje bila je 1,9% (12 pacijenata) za </w:t>
      </w:r>
      <w:r w:rsidR="00F92051" w:rsidRPr="00BD78F9">
        <w:rPr>
          <w:sz w:val="22"/>
          <w:lang w:val="sr-Latn-ME"/>
        </w:rPr>
        <w:t xml:space="preserve">lijek </w:t>
      </w:r>
      <w:r w:rsidRPr="00BD78F9">
        <w:rPr>
          <w:sz w:val="22"/>
          <w:lang w:val="sr-Latn-ME"/>
        </w:rPr>
        <w:t xml:space="preserve">Trixeo Aerosphere (n = 639), 1,6% (10 pacijenata) za formoterol-fumarat-dihidrat/glikopironijum </w:t>
      </w:r>
      <w:r w:rsidR="00E246DC" w:rsidRPr="00BD78F9">
        <w:rPr>
          <w:sz w:val="22"/>
          <w:lang w:val="sr-Latn-ME"/>
        </w:rPr>
        <w:t xml:space="preserve">u dozi od 5/7,2 mikrograma u inhalatoru fiksnih doza </w:t>
      </w:r>
      <w:r w:rsidRPr="00BD78F9">
        <w:rPr>
          <w:sz w:val="22"/>
          <w:lang w:val="sr-Latn-ME"/>
        </w:rPr>
        <w:t xml:space="preserve">(FOR/GLY) MDI (n = 625), 1,9% (6 pacijenata) za formoterol-fumarat-dihidrat/budesonid </w:t>
      </w:r>
      <w:r w:rsidR="00E246DC" w:rsidRPr="00BD78F9">
        <w:rPr>
          <w:sz w:val="22"/>
          <w:lang w:val="sr-Latn-ME"/>
        </w:rPr>
        <w:t xml:space="preserve">u dozi od 5/160 </w:t>
      </w:r>
      <w:r w:rsidR="002761D7" w:rsidRPr="00BD78F9">
        <w:rPr>
          <w:sz w:val="22"/>
          <w:lang w:val="sr-Latn-ME"/>
        </w:rPr>
        <w:t xml:space="preserve">mikrograma u inhalatoru fiksnih doza </w:t>
      </w:r>
      <w:r w:rsidRPr="00BD78F9">
        <w:rPr>
          <w:sz w:val="22"/>
          <w:lang w:val="sr-Latn-ME"/>
        </w:rPr>
        <w:t>(FOR/BUD MDI</w:t>
      </w:r>
      <w:r w:rsidR="002761D7" w:rsidRPr="00BD78F9">
        <w:rPr>
          <w:sz w:val="22"/>
          <w:lang w:val="sr-Latn-ME"/>
        </w:rPr>
        <w:t>)</w:t>
      </w:r>
      <w:r w:rsidRPr="00BD78F9">
        <w:rPr>
          <w:sz w:val="22"/>
          <w:lang w:val="sr-Latn-ME"/>
        </w:rPr>
        <w:t xml:space="preserve"> (n = 314) i 1,3% (4 pacijenta) za otvorenu prim</w:t>
      </w:r>
      <w:r w:rsidR="00F92051" w:rsidRPr="00BD78F9">
        <w:rPr>
          <w:sz w:val="22"/>
          <w:lang w:val="sr-Latn-ME"/>
        </w:rPr>
        <w:t>j</w:t>
      </w:r>
      <w:r w:rsidRPr="00BD78F9">
        <w:rPr>
          <w:sz w:val="22"/>
          <w:lang w:val="sr-Latn-ME"/>
        </w:rPr>
        <w:t xml:space="preserve">enu formoterol-fumarat-dihidrat/budesonida </w:t>
      </w:r>
      <w:r w:rsidR="002761D7" w:rsidRPr="00BD78F9">
        <w:rPr>
          <w:sz w:val="22"/>
          <w:lang w:val="sr-Latn-ME"/>
        </w:rPr>
        <w:t>u dozi od 6/200 mikrograma (n = 318)</w:t>
      </w:r>
      <w:r w:rsidR="002B4B5C" w:rsidRPr="00BD78F9">
        <w:rPr>
          <w:sz w:val="22"/>
          <w:lang w:val="sr-Latn-ME"/>
        </w:rPr>
        <w:t xml:space="preserve"> </w:t>
      </w:r>
      <w:r w:rsidRPr="00BD78F9">
        <w:rPr>
          <w:sz w:val="22"/>
          <w:lang w:val="sr-Latn-ME"/>
        </w:rPr>
        <w:t>u inhalatoru Turbuhaler (FOR/BUD TBH</w:t>
      </w:r>
      <w:r w:rsidR="002761D7" w:rsidRPr="00BD78F9">
        <w:rPr>
          <w:sz w:val="22"/>
          <w:lang w:val="sr-Latn-ME"/>
        </w:rPr>
        <w:t>)</w:t>
      </w:r>
      <w:r w:rsidR="002B4B5C" w:rsidRPr="00BD78F9">
        <w:rPr>
          <w:sz w:val="22"/>
          <w:lang w:val="sr-Latn-ME"/>
        </w:rPr>
        <w:t>.</w:t>
      </w:r>
      <w:r w:rsidRPr="00BD78F9">
        <w:rPr>
          <w:sz w:val="22"/>
          <w:lang w:val="sr-Latn-ME"/>
        </w:rPr>
        <w:t xml:space="preserve"> U studiji KRONOS nije bilo smrtnih slučajeva izazvanih pneumonijom pri prim</w:t>
      </w:r>
      <w:r w:rsidR="00F92051" w:rsidRPr="00BD78F9">
        <w:rPr>
          <w:sz w:val="22"/>
          <w:lang w:val="sr-Latn-ME"/>
        </w:rPr>
        <w:t>j</w:t>
      </w:r>
      <w:r w:rsidRPr="00BD78F9">
        <w:rPr>
          <w:sz w:val="22"/>
          <w:lang w:val="sr-Latn-ME"/>
        </w:rPr>
        <w:t xml:space="preserve">eni </w:t>
      </w:r>
      <w:r w:rsidR="009F5113" w:rsidRPr="00BD78F9">
        <w:rPr>
          <w:sz w:val="22"/>
          <w:lang w:val="sr-Latn-ME"/>
        </w:rPr>
        <w:t xml:space="preserve">lijeka </w:t>
      </w:r>
      <w:r w:rsidRPr="00BD78F9">
        <w:rPr>
          <w:sz w:val="22"/>
          <w:lang w:val="sr-Latn-ME"/>
        </w:rPr>
        <w:t xml:space="preserve">Trixeo Aerosphere.  </w:t>
      </w:r>
    </w:p>
    <w:p w14:paraId="68881F25" w14:textId="77777777" w:rsidR="00B73F2A" w:rsidRPr="00BD78F9" w:rsidRDefault="00B73F2A">
      <w:pPr>
        <w:tabs>
          <w:tab w:val="left" w:pos="284"/>
        </w:tabs>
        <w:jc w:val="both"/>
        <w:rPr>
          <w:sz w:val="22"/>
          <w:lang w:val="sr-Latn-ME"/>
        </w:rPr>
      </w:pPr>
    </w:p>
    <w:p w14:paraId="491FB52B" w14:textId="3DE81575" w:rsidR="00B73F2A" w:rsidRPr="00BD78F9" w:rsidRDefault="00B73F2A">
      <w:pPr>
        <w:tabs>
          <w:tab w:val="left" w:pos="284"/>
        </w:tabs>
        <w:jc w:val="both"/>
        <w:rPr>
          <w:sz w:val="22"/>
          <w:lang w:val="sr-Latn-ME"/>
        </w:rPr>
      </w:pPr>
      <w:r w:rsidRPr="00BD78F9">
        <w:rPr>
          <w:sz w:val="22"/>
          <w:lang w:val="sr-Latn-ME"/>
        </w:rPr>
        <w:t>ETHOS je bila 52-ned</w:t>
      </w:r>
      <w:r w:rsidR="009F5113" w:rsidRPr="00BD78F9">
        <w:rPr>
          <w:sz w:val="22"/>
          <w:lang w:val="sr-Latn-ME"/>
        </w:rPr>
        <w:t>j</w:t>
      </w:r>
      <w:r w:rsidRPr="00BD78F9">
        <w:rPr>
          <w:sz w:val="22"/>
          <w:lang w:val="sr-Latn-ME"/>
        </w:rPr>
        <w:t>eljna studija na ukupno 8529 pacijenata (populacij</w:t>
      </w:r>
      <w:r w:rsidR="00E56CC1" w:rsidRPr="00BD78F9">
        <w:rPr>
          <w:sz w:val="22"/>
          <w:lang w:val="sr-Latn-ME"/>
        </w:rPr>
        <w:t>a za procjenu bezbjednosti</w:t>
      </w:r>
      <w:r w:rsidRPr="00BD78F9">
        <w:rPr>
          <w:sz w:val="22"/>
          <w:lang w:val="sr-Latn-ME"/>
        </w:rPr>
        <w:t xml:space="preserve">) sa </w:t>
      </w:r>
      <w:r w:rsidR="004D0E29" w:rsidRPr="00BD78F9">
        <w:rPr>
          <w:sz w:val="22"/>
          <w:lang w:val="sr-Latn-ME"/>
        </w:rPr>
        <w:t>umjerenom</w:t>
      </w:r>
      <w:r w:rsidRPr="00BD78F9">
        <w:rPr>
          <w:sz w:val="22"/>
          <w:lang w:val="sr-Latn-ME"/>
        </w:rPr>
        <w:t xml:space="preserve"> do veoma teškom HOBP i </w:t>
      </w:r>
      <w:r w:rsidR="004D0E29" w:rsidRPr="00BD78F9">
        <w:rPr>
          <w:sz w:val="22"/>
          <w:lang w:val="sr-Latn-ME"/>
        </w:rPr>
        <w:t>umjerenim</w:t>
      </w:r>
      <w:r w:rsidRPr="00BD78F9">
        <w:rPr>
          <w:sz w:val="22"/>
          <w:lang w:val="sr-Latn-ME"/>
        </w:rPr>
        <w:t xml:space="preserve"> do teškim egzacerbacijama u prethodnih 12 m</w:t>
      </w:r>
      <w:r w:rsidR="009F5113" w:rsidRPr="00BD78F9">
        <w:rPr>
          <w:sz w:val="22"/>
          <w:lang w:val="sr-Latn-ME"/>
        </w:rPr>
        <w:t>j</w:t>
      </w:r>
      <w:r w:rsidRPr="00BD78F9">
        <w:rPr>
          <w:sz w:val="22"/>
          <w:lang w:val="sr-Latn-ME"/>
        </w:rPr>
        <w:t xml:space="preserve">eseci (srednja </w:t>
      </w:r>
      <w:r w:rsidR="004D0E29" w:rsidRPr="00BD78F9">
        <w:rPr>
          <w:sz w:val="22"/>
          <w:lang w:val="sr-Latn-ME"/>
        </w:rPr>
        <w:t>vrijednost</w:t>
      </w:r>
      <w:r w:rsidRPr="00BD78F9">
        <w:rPr>
          <w:sz w:val="22"/>
          <w:lang w:val="sr-Latn-ME"/>
        </w:rPr>
        <w:t xml:space="preserve"> FEV</w:t>
      </w:r>
      <w:r w:rsidRPr="00BD78F9">
        <w:rPr>
          <w:sz w:val="22"/>
          <w:vertAlign w:val="subscript"/>
          <w:lang w:val="sr-Latn-ME"/>
        </w:rPr>
        <w:t>1</w:t>
      </w:r>
      <w:r w:rsidRPr="00BD78F9">
        <w:rPr>
          <w:sz w:val="22"/>
          <w:lang w:val="sr-Latn-ME"/>
        </w:rPr>
        <w:t xml:space="preserve"> nakon </w:t>
      </w:r>
      <w:r w:rsidR="004D0E29" w:rsidRPr="00BD78F9">
        <w:rPr>
          <w:sz w:val="22"/>
          <w:lang w:val="sr-Latn-ME"/>
        </w:rPr>
        <w:t>primjene</w:t>
      </w:r>
      <w:r w:rsidRPr="00BD78F9">
        <w:rPr>
          <w:sz w:val="22"/>
          <w:lang w:val="sr-Latn-ME"/>
        </w:rPr>
        <w:t xml:space="preserve"> bronhodilatatora pri skriningu 43% od predviđene</w:t>
      </w:r>
      <w:r w:rsidR="00E56CC1" w:rsidRPr="00BD78F9">
        <w:rPr>
          <w:sz w:val="22"/>
          <w:lang w:val="sr-Latn-ME"/>
        </w:rPr>
        <w:t xml:space="preserve"> vrijednost;</w:t>
      </w:r>
      <w:r w:rsidRPr="00BD78F9">
        <w:rPr>
          <w:sz w:val="22"/>
          <w:lang w:val="sr-Latn-ME"/>
        </w:rPr>
        <w:t xml:space="preserve"> SD 10%). Incidenca potvrđene pneumonije bila je 4,2% (90 pacijenata) za </w:t>
      </w:r>
      <w:r w:rsidR="009F5113" w:rsidRPr="00BD78F9">
        <w:rPr>
          <w:sz w:val="22"/>
          <w:lang w:val="sr-Latn-ME"/>
        </w:rPr>
        <w:t xml:space="preserve">lijek </w:t>
      </w:r>
      <w:r w:rsidRPr="00BD78F9">
        <w:rPr>
          <w:sz w:val="22"/>
          <w:lang w:val="sr-Latn-ME"/>
        </w:rPr>
        <w:t>Trixeo Aerosphere</w:t>
      </w:r>
      <w:r w:rsidRPr="00BD78F9">
        <w:rPr>
          <w:sz w:val="22"/>
          <w:szCs w:val="22"/>
          <w:lang w:val="sr-Latn-ME"/>
        </w:rPr>
        <w:t xml:space="preserve"> </w:t>
      </w:r>
      <w:r w:rsidRPr="00BD78F9">
        <w:rPr>
          <w:sz w:val="22"/>
          <w:lang w:val="sr-Latn-ME"/>
        </w:rPr>
        <w:t xml:space="preserve">(n = 2144), 3,5% (75 pacijenata) za formoterol-fumarat-dihidrat/glikopironijum </w:t>
      </w:r>
      <w:r w:rsidR="00E56CC1" w:rsidRPr="00BD78F9">
        <w:rPr>
          <w:sz w:val="22"/>
          <w:lang w:val="sr-Latn-ME"/>
        </w:rPr>
        <w:t xml:space="preserve">u dozi od 5/7,2/80 mikrograma u inhalatoru fiksnih doza </w:t>
      </w:r>
      <w:r w:rsidRPr="00BD78F9">
        <w:rPr>
          <w:sz w:val="22"/>
          <w:lang w:val="sr-Latn-ME"/>
        </w:rPr>
        <w:t>(FOR/GLY MDI</w:t>
      </w:r>
      <w:r w:rsidR="00E56CC1" w:rsidRPr="00BD78F9">
        <w:rPr>
          <w:sz w:val="22"/>
          <w:lang w:val="sr-Latn-ME"/>
        </w:rPr>
        <w:t>)</w:t>
      </w:r>
      <w:r w:rsidRPr="00BD78F9">
        <w:rPr>
          <w:sz w:val="22"/>
          <w:lang w:val="sr-Latn-ME"/>
        </w:rPr>
        <w:t xml:space="preserve"> (n = 2124), 2,3% (48 osoba) za FOR/GLY MDI </w:t>
      </w:r>
      <w:r w:rsidR="00E56CC1" w:rsidRPr="00BD78F9">
        <w:rPr>
          <w:sz w:val="22"/>
          <w:lang w:val="sr-Latn-ME"/>
        </w:rPr>
        <w:t xml:space="preserve">u dozi od </w:t>
      </w:r>
      <w:r w:rsidRPr="00BD78F9">
        <w:rPr>
          <w:sz w:val="22"/>
          <w:lang w:val="sr-Latn-ME"/>
        </w:rPr>
        <w:t xml:space="preserve">5/7,2 mikrograma (n = 2125) i 4,5% (96 osoba) za FOR/BUD MDI </w:t>
      </w:r>
      <w:r w:rsidR="00E56CC1" w:rsidRPr="00BD78F9">
        <w:rPr>
          <w:sz w:val="22"/>
          <w:lang w:val="sr-Latn-ME"/>
        </w:rPr>
        <w:t xml:space="preserve">u dozi od </w:t>
      </w:r>
      <w:r w:rsidRPr="00BD78F9">
        <w:rPr>
          <w:sz w:val="22"/>
          <w:lang w:val="sr-Latn-ME"/>
        </w:rPr>
        <w:t>5/160 mikrograma (n = 2136). U studiji ETHOS je bilo pet smrtnih slučajeva usl</w:t>
      </w:r>
      <w:r w:rsidR="009F5113" w:rsidRPr="00BD78F9">
        <w:rPr>
          <w:sz w:val="22"/>
          <w:lang w:val="sr-Latn-ME"/>
        </w:rPr>
        <w:t>j</w:t>
      </w:r>
      <w:r w:rsidRPr="00BD78F9">
        <w:rPr>
          <w:sz w:val="22"/>
          <w:lang w:val="sr-Latn-ME"/>
        </w:rPr>
        <w:t xml:space="preserve">ed pneumonije tokom faze terapije u okviru studije (dva uz FOR/GLY/BUD MDI </w:t>
      </w:r>
      <w:r w:rsidR="00E56CC1" w:rsidRPr="00BD78F9">
        <w:rPr>
          <w:sz w:val="22"/>
          <w:lang w:val="sr-Latn-ME"/>
        </w:rPr>
        <w:t xml:space="preserve">u dozi od </w:t>
      </w:r>
      <w:r w:rsidRPr="00BD78F9">
        <w:rPr>
          <w:sz w:val="22"/>
          <w:lang w:val="sr-Latn-ME"/>
        </w:rPr>
        <w:t xml:space="preserve">5/7,2/80, tri uz FOR/GLY MDI i nijedan uz </w:t>
      </w:r>
      <w:r w:rsidR="009F5113" w:rsidRPr="00BD78F9">
        <w:rPr>
          <w:sz w:val="22"/>
          <w:lang w:val="sr-Latn-ME"/>
        </w:rPr>
        <w:t xml:space="preserve">lijek </w:t>
      </w:r>
      <w:r w:rsidRPr="00BD78F9">
        <w:rPr>
          <w:sz w:val="22"/>
          <w:lang w:val="sr-Latn-ME"/>
        </w:rPr>
        <w:t>Trixeo Aerosphere).</w:t>
      </w:r>
    </w:p>
    <w:p w14:paraId="7266271D" w14:textId="77777777" w:rsidR="004E70AD" w:rsidRPr="00BD78F9" w:rsidRDefault="004E70AD" w:rsidP="00271855">
      <w:pPr>
        <w:tabs>
          <w:tab w:val="left" w:pos="540"/>
          <w:tab w:val="left" w:pos="569"/>
        </w:tabs>
        <w:jc w:val="both"/>
        <w:rPr>
          <w:b/>
          <w:bCs/>
          <w:sz w:val="22"/>
          <w:szCs w:val="22"/>
          <w:lang w:val="sr-Latn-ME"/>
        </w:rPr>
      </w:pPr>
    </w:p>
    <w:p w14:paraId="1F6A8C5C" w14:textId="77777777" w:rsidR="00E23255" w:rsidRPr="00786071" w:rsidRDefault="00E23255" w:rsidP="00E23255">
      <w:pPr>
        <w:spacing w:after="200" w:line="276" w:lineRule="auto"/>
        <w:rPr>
          <w:rFonts w:eastAsia="Calibri"/>
          <w:sz w:val="22"/>
          <w:szCs w:val="22"/>
          <w:u w:val="single"/>
          <w:lang w:val="sr-Latn-RS"/>
        </w:rPr>
      </w:pPr>
      <w:r w:rsidRPr="00786071">
        <w:rPr>
          <w:rFonts w:eastAsia="Calibri"/>
          <w:sz w:val="22"/>
          <w:szCs w:val="22"/>
          <w:u w:val="single"/>
          <w:lang w:val="sr-Latn-RS"/>
        </w:rPr>
        <w:t>Prijavljivanje sumnji na neželjena dejstva</w:t>
      </w:r>
    </w:p>
    <w:p w14:paraId="55975CA5" w14:textId="77777777" w:rsidR="00E23255" w:rsidRPr="00786071" w:rsidRDefault="00E23255" w:rsidP="00E23255">
      <w:pPr>
        <w:spacing w:after="200"/>
        <w:jc w:val="both"/>
        <w:rPr>
          <w:rFonts w:eastAsia="Calibri"/>
          <w:sz w:val="22"/>
          <w:szCs w:val="22"/>
          <w:lang w:val="sr-Latn-RS"/>
        </w:rPr>
      </w:pPr>
      <w:r w:rsidRPr="00786071">
        <w:rPr>
          <w:rFonts w:eastAsia="Calibri"/>
          <w:sz w:val="22"/>
          <w:szCs w:val="22"/>
          <w:lang w:val="sr-Latn-RS"/>
        </w:rPr>
        <w:t>Prijavljivanje neželjenih dejstava nakon dobijanja dozvole je od velikog značaja jer </w:t>
      </w:r>
      <w:proofErr w:type="spellStart"/>
      <w:r w:rsidRPr="00786071">
        <w:rPr>
          <w:rFonts w:eastAsia="Calibri"/>
          <w:sz w:val="22"/>
          <w:szCs w:val="22"/>
          <w:lang w:val="sr-Latn-RS"/>
        </w:rPr>
        <w:t>obezbjeđuje</w:t>
      </w:r>
      <w:proofErr w:type="spellEnd"/>
      <w:r w:rsidRPr="00786071">
        <w:rPr>
          <w:rFonts w:eastAsia="Calibri"/>
          <w:sz w:val="22"/>
          <w:szCs w:val="22"/>
          <w:lang w:val="sr-Latn-RS"/>
        </w:rPr>
        <w:t xml:space="preserve"> kontinuirano praćenje odnosa korist/rizik </w:t>
      </w:r>
      <w:proofErr w:type="spellStart"/>
      <w:r w:rsidRPr="00786071">
        <w:rPr>
          <w:rFonts w:eastAsia="Calibri"/>
          <w:sz w:val="22"/>
          <w:szCs w:val="22"/>
          <w:lang w:val="sr-Latn-RS"/>
        </w:rPr>
        <w:t>primjene</w:t>
      </w:r>
      <w:proofErr w:type="spellEnd"/>
      <w:r w:rsidRPr="00786071">
        <w:rPr>
          <w:rFonts w:eastAsia="Calibri"/>
          <w:sz w:val="22"/>
          <w:szCs w:val="22"/>
          <w:lang w:val="sr-Latn-RS"/>
        </w:rPr>
        <w:t xml:space="preserve"> </w:t>
      </w:r>
      <w:proofErr w:type="spellStart"/>
      <w:r w:rsidRPr="00786071">
        <w:rPr>
          <w:rFonts w:eastAsia="Calibri"/>
          <w:sz w:val="22"/>
          <w:szCs w:val="22"/>
          <w:lang w:val="sr-Latn-RS"/>
        </w:rPr>
        <w:t>lijeka</w:t>
      </w:r>
      <w:proofErr w:type="spellEnd"/>
      <w:r w:rsidRPr="00786071">
        <w:rPr>
          <w:rFonts w:eastAsia="Calibri"/>
          <w:sz w:val="22"/>
          <w:szCs w:val="22"/>
          <w:lang w:val="sr-Latn-RS"/>
        </w:rPr>
        <w:t xml:space="preserve">. Zdravstveni radnici treba da prijave svaku sumnju na neželjeno dejstvo ovog </w:t>
      </w:r>
      <w:proofErr w:type="spellStart"/>
      <w:r w:rsidRPr="00786071">
        <w:rPr>
          <w:rFonts w:eastAsia="Calibri"/>
          <w:sz w:val="22"/>
          <w:szCs w:val="22"/>
          <w:lang w:val="sr-Latn-RS"/>
        </w:rPr>
        <w:t>lijeka</w:t>
      </w:r>
      <w:proofErr w:type="spellEnd"/>
      <w:r w:rsidRPr="00786071">
        <w:rPr>
          <w:rFonts w:eastAsia="Calibri"/>
          <w:sz w:val="22"/>
          <w:szCs w:val="22"/>
          <w:lang w:val="sr-Latn-RS"/>
        </w:rPr>
        <w:t xml:space="preserve"> </w:t>
      </w:r>
      <w:r>
        <w:rPr>
          <w:rFonts w:eastAsia="Calibri"/>
          <w:sz w:val="22"/>
          <w:szCs w:val="22"/>
          <w:lang w:val="sr-Latn-RS"/>
        </w:rPr>
        <w:t>Institutu</w:t>
      </w:r>
      <w:r w:rsidRPr="00786071">
        <w:rPr>
          <w:rFonts w:eastAsia="Calibri"/>
          <w:sz w:val="22"/>
          <w:szCs w:val="22"/>
          <w:lang w:val="sr-Latn-RS"/>
        </w:rPr>
        <w:t xml:space="preserve"> za </w:t>
      </w:r>
      <w:proofErr w:type="spellStart"/>
      <w:r w:rsidRPr="00786071">
        <w:rPr>
          <w:rFonts w:eastAsia="Calibri"/>
          <w:sz w:val="22"/>
          <w:szCs w:val="22"/>
          <w:lang w:val="sr-Latn-RS"/>
        </w:rPr>
        <w:t>ljekove</w:t>
      </w:r>
      <w:proofErr w:type="spellEnd"/>
      <w:r w:rsidRPr="00786071">
        <w:rPr>
          <w:rFonts w:eastAsia="Calibri"/>
          <w:sz w:val="22"/>
          <w:szCs w:val="22"/>
          <w:lang w:val="sr-Latn-RS"/>
        </w:rPr>
        <w:t xml:space="preserve"> i medicinska sredstva</w:t>
      </w:r>
      <w:r>
        <w:rPr>
          <w:rFonts w:eastAsia="Calibri"/>
          <w:sz w:val="22"/>
          <w:szCs w:val="22"/>
          <w:lang w:val="sr-Latn-RS"/>
        </w:rPr>
        <w:t xml:space="preserve"> </w:t>
      </w:r>
      <w:r w:rsidRPr="00786071">
        <w:rPr>
          <w:rFonts w:eastAsia="Calibri"/>
          <w:sz w:val="22"/>
          <w:szCs w:val="22"/>
          <w:lang w:val="sr-Latn-RS"/>
        </w:rPr>
        <w:t>(C</w:t>
      </w:r>
      <w:r>
        <w:rPr>
          <w:rFonts w:eastAsia="Calibri"/>
          <w:sz w:val="22"/>
          <w:szCs w:val="22"/>
          <w:lang w:val="sr-Latn-RS"/>
        </w:rPr>
        <w:t>InMED</w:t>
      </w:r>
      <w:r w:rsidRPr="00786071">
        <w:rPr>
          <w:rFonts w:eastAsia="Calibri"/>
          <w:sz w:val="22"/>
          <w:szCs w:val="22"/>
          <w:lang w:val="sr-Latn-RS"/>
        </w:rPr>
        <w:t>):</w:t>
      </w:r>
    </w:p>
    <w:p w14:paraId="2AC9FAC3" w14:textId="77777777" w:rsidR="00E23255" w:rsidRPr="00786071" w:rsidRDefault="00E23255" w:rsidP="00E23255">
      <w:pPr>
        <w:pStyle w:val="NoSpacing"/>
        <w:jc w:val="both"/>
        <w:rPr>
          <w:rFonts w:eastAsia="Calibri"/>
          <w:sz w:val="22"/>
          <w:szCs w:val="22"/>
          <w:lang w:val="sr-Latn-RS"/>
        </w:rPr>
      </w:pPr>
      <w:r>
        <w:rPr>
          <w:rFonts w:eastAsia="Calibri"/>
          <w:sz w:val="22"/>
          <w:szCs w:val="22"/>
          <w:lang w:val="sr-Latn-RS"/>
        </w:rPr>
        <w:t>Institut</w:t>
      </w:r>
      <w:r w:rsidRPr="00786071">
        <w:rPr>
          <w:rFonts w:eastAsia="Calibri"/>
          <w:sz w:val="22"/>
          <w:szCs w:val="22"/>
          <w:lang w:val="sr-Latn-RS"/>
        </w:rPr>
        <w:t xml:space="preserve"> za </w:t>
      </w:r>
      <w:proofErr w:type="spellStart"/>
      <w:r w:rsidRPr="00786071">
        <w:rPr>
          <w:rFonts w:eastAsia="Calibri"/>
          <w:sz w:val="22"/>
          <w:szCs w:val="22"/>
          <w:lang w:val="sr-Latn-RS"/>
        </w:rPr>
        <w:t>ljekove</w:t>
      </w:r>
      <w:proofErr w:type="spellEnd"/>
      <w:r w:rsidRPr="00786071">
        <w:rPr>
          <w:rFonts w:eastAsia="Calibri"/>
          <w:sz w:val="22"/>
          <w:szCs w:val="22"/>
          <w:lang w:val="sr-Latn-RS"/>
        </w:rPr>
        <w:t xml:space="preserve"> i medicinska sredstva </w:t>
      </w:r>
    </w:p>
    <w:p w14:paraId="21A5D5FF" w14:textId="77777777" w:rsidR="00E23255" w:rsidRPr="00786071" w:rsidRDefault="00E23255" w:rsidP="00E23255">
      <w:pPr>
        <w:pStyle w:val="NoSpacing"/>
        <w:jc w:val="both"/>
        <w:rPr>
          <w:rFonts w:eastAsia="Calibri"/>
          <w:sz w:val="22"/>
          <w:szCs w:val="22"/>
          <w:lang w:val="sr-Latn-RS"/>
        </w:rPr>
      </w:pPr>
      <w:proofErr w:type="spellStart"/>
      <w:r w:rsidRPr="00786071">
        <w:rPr>
          <w:rFonts w:eastAsia="Calibri"/>
          <w:sz w:val="22"/>
          <w:szCs w:val="22"/>
          <w:lang w:val="sr-Latn-RS"/>
        </w:rPr>
        <w:t>Odjeljenje</w:t>
      </w:r>
      <w:proofErr w:type="spellEnd"/>
      <w:r w:rsidRPr="00786071">
        <w:rPr>
          <w:rFonts w:eastAsia="Calibri"/>
          <w:sz w:val="22"/>
          <w:szCs w:val="22"/>
          <w:lang w:val="sr-Latn-RS"/>
        </w:rPr>
        <w:t xml:space="preserve"> za </w:t>
      </w:r>
      <w:proofErr w:type="spellStart"/>
      <w:r w:rsidRPr="00786071">
        <w:rPr>
          <w:rFonts w:eastAsia="Calibri"/>
          <w:sz w:val="22"/>
          <w:szCs w:val="22"/>
          <w:lang w:val="sr-Latn-RS"/>
        </w:rPr>
        <w:t>farmakovigilancu</w:t>
      </w:r>
      <w:proofErr w:type="spellEnd"/>
    </w:p>
    <w:p w14:paraId="720F523A" w14:textId="77777777" w:rsidR="00E23255" w:rsidRPr="00786071" w:rsidRDefault="00E23255" w:rsidP="00E23255">
      <w:pPr>
        <w:pStyle w:val="NoSpacing"/>
        <w:jc w:val="both"/>
        <w:rPr>
          <w:rFonts w:eastAsia="Calibri"/>
          <w:sz w:val="22"/>
          <w:szCs w:val="22"/>
          <w:lang w:val="sr-Latn-RS"/>
        </w:rPr>
      </w:pPr>
      <w:r w:rsidRPr="00786071">
        <w:rPr>
          <w:rFonts w:eastAsia="Calibri"/>
          <w:sz w:val="22"/>
          <w:szCs w:val="22"/>
          <w:lang w:val="sr-Latn-RS"/>
        </w:rPr>
        <w:t>Bulevar Ivana Crnojevića 64a, 81000 Podgorica</w:t>
      </w:r>
    </w:p>
    <w:p w14:paraId="50D27CEC" w14:textId="77777777" w:rsidR="00E23255" w:rsidRPr="00786071" w:rsidRDefault="00E23255" w:rsidP="00E23255">
      <w:pPr>
        <w:pStyle w:val="NoSpacing"/>
        <w:rPr>
          <w:rFonts w:eastAsia="Calibri"/>
          <w:sz w:val="22"/>
          <w:szCs w:val="22"/>
          <w:lang w:val="sr-Latn-RS"/>
        </w:rPr>
      </w:pPr>
    </w:p>
    <w:p w14:paraId="360F3B55" w14:textId="77777777" w:rsidR="00E23255" w:rsidRPr="00786071" w:rsidRDefault="00E23255" w:rsidP="00E23255">
      <w:pPr>
        <w:pStyle w:val="NoSpacing"/>
        <w:jc w:val="both"/>
        <w:rPr>
          <w:rFonts w:eastAsia="Calibri"/>
          <w:sz w:val="22"/>
          <w:szCs w:val="22"/>
          <w:lang w:val="sr-Latn-RS"/>
        </w:rPr>
      </w:pPr>
      <w:r w:rsidRPr="00786071">
        <w:rPr>
          <w:rFonts w:eastAsia="Calibri"/>
          <w:sz w:val="22"/>
          <w:szCs w:val="22"/>
          <w:lang w:val="sr-Latn-RS"/>
        </w:rPr>
        <w:t>tel: +382 (0) 20 310 280</w:t>
      </w:r>
    </w:p>
    <w:p w14:paraId="0163FE4E" w14:textId="77777777" w:rsidR="00E23255" w:rsidRPr="00786071" w:rsidRDefault="00E23255" w:rsidP="00E23255">
      <w:pPr>
        <w:pStyle w:val="NoSpacing"/>
        <w:tabs>
          <w:tab w:val="left" w:pos="6720"/>
        </w:tabs>
        <w:jc w:val="both"/>
        <w:rPr>
          <w:rFonts w:eastAsia="Calibri"/>
          <w:sz w:val="22"/>
          <w:szCs w:val="22"/>
          <w:lang w:val="sr-Latn-RS"/>
        </w:rPr>
      </w:pPr>
      <w:proofErr w:type="spellStart"/>
      <w:r w:rsidRPr="00786071">
        <w:rPr>
          <w:rFonts w:eastAsia="Calibri"/>
          <w:sz w:val="22"/>
          <w:szCs w:val="22"/>
          <w:lang w:val="sr-Latn-RS"/>
        </w:rPr>
        <w:t>fax</w:t>
      </w:r>
      <w:proofErr w:type="spellEnd"/>
      <w:r w:rsidRPr="00786071">
        <w:rPr>
          <w:rFonts w:eastAsia="Calibri"/>
          <w:sz w:val="22"/>
          <w:szCs w:val="22"/>
          <w:lang w:val="sr-Latn-RS"/>
        </w:rPr>
        <w:t>: +382 (0) 20 310 581</w:t>
      </w:r>
      <w:r>
        <w:rPr>
          <w:rFonts w:eastAsia="Calibri"/>
          <w:sz w:val="22"/>
          <w:szCs w:val="22"/>
          <w:lang w:val="sr-Latn-RS"/>
        </w:rPr>
        <w:tab/>
      </w:r>
    </w:p>
    <w:p w14:paraId="741FA251" w14:textId="77777777" w:rsidR="00E23255" w:rsidRPr="00786071" w:rsidRDefault="00E23255" w:rsidP="00E23255">
      <w:pPr>
        <w:pStyle w:val="NoSpacing"/>
        <w:jc w:val="both"/>
        <w:rPr>
          <w:rFonts w:eastAsia="Calibri"/>
          <w:sz w:val="22"/>
          <w:szCs w:val="22"/>
          <w:lang w:val="sr-Latn-RS"/>
        </w:rPr>
      </w:pPr>
      <w:hyperlink r:id="rId8" w:history="1">
        <w:r w:rsidRPr="00B664A0">
          <w:rPr>
            <w:rStyle w:val="Hyperlink"/>
            <w:rFonts w:eastAsia="Calibri"/>
            <w:sz w:val="22"/>
            <w:szCs w:val="22"/>
            <w:lang w:val="sr-Latn-RS"/>
          </w:rPr>
          <w:t>www.cinmed.me</w:t>
        </w:r>
      </w:hyperlink>
    </w:p>
    <w:p w14:paraId="7CA2EF2A" w14:textId="77777777" w:rsidR="00E23255" w:rsidRPr="00786071" w:rsidRDefault="00E23255" w:rsidP="00E23255">
      <w:pPr>
        <w:pStyle w:val="NoSpacing"/>
        <w:jc w:val="both"/>
        <w:rPr>
          <w:rFonts w:eastAsia="Calibri"/>
          <w:color w:val="0000FF"/>
          <w:sz w:val="22"/>
          <w:szCs w:val="22"/>
          <w:u w:val="single"/>
          <w:lang w:val="sr-Latn-RS"/>
        </w:rPr>
      </w:pPr>
      <w:hyperlink r:id="rId9" w:history="1">
        <w:r w:rsidRPr="00B664A0">
          <w:rPr>
            <w:rStyle w:val="Hyperlink"/>
            <w:rFonts w:eastAsia="Calibri"/>
            <w:sz w:val="22"/>
            <w:szCs w:val="22"/>
            <w:lang w:val="sr-Latn-RS"/>
          </w:rPr>
          <w:t>nezeljenadejstva@cinmed.me</w:t>
        </w:r>
      </w:hyperlink>
    </w:p>
    <w:p w14:paraId="11BE1FAA" w14:textId="77777777" w:rsidR="00E23255" w:rsidRDefault="00E23255" w:rsidP="00E23255">
      <w:pPr>
        <w:pStyle w:val="NoSpacing"/>
        <w:jc w:val="both"/>
        <w:rPr>
          <w:rFonts w:eastAsia="Calibri"/>
          <w:sz w:val="22"/>
          <w:szCs w:val="22"/>
          <w:lang w:val="sr-Latn-RS"/>
        </w:rPr>
      </w:pPr>
      <w:r w:rsidRPr="00786071">
        <w:rPr>
          <w:rFonts w:eastAsia="Calibri"/>
          <w:sz w:val="22"/>
          <w:szCs w:val="22"/>
          <w:lang w:val="sr-Latn-RS"/>
        </w:rPr>
        <w:t>putem IS zdravstvene zaštite</w:t>
      </w:r>
    </w:p>
    <w:p w14:paraId="45D1648B" w14:textId="77777777" w:rsidR="00E23255" w:rsidRDefault="00E23255" w:rsidP="00E23255">
      <w:pPr>
        <w:pStyle w:val="NoSpacing"/>
        <w:jc w:val="both"/>
        <w:rPr>
          <w:rFonts w:eastAsia="Calibri"/>
          <w:sz w:val="22"/>
          <w:szCs w:val="22"/>
          <w:lang w:val="sr-Latn-RS"/>
        </w:rPr>
      </w:pPr>
      <w:r>
        <w:rPr>
          <w:rFonts w:eastAsia="Calibri"/>
          <w:sz w:val="22"/>
          <w:szCs w:val="22"/>
          <w:lang w:val="sr-Latn-RS"/>
        </w:rPr>
        <w:t xml:space="preserve">QR kod za </w:t>
      </w:r>
      <w:proofErr w:type="spellStart"/>
      <w:r>
        <w:rPr>
          <w:rFonts w:eastAsia="Calibri"/>
          <w:sz w:val="22"/>
          <w:szCs w:val="22"/>
          <w:lang w:val="sr-Latn-RS"/>
        </w:rPr>
        <w:t>online</w:t>
      </w:r>
      <w:proofErr w:type="spellEnd"/>
      <w:r>
        <w:rPr>
          <w:rFonts w:eastAsia="Calibri"/>
          <w:sz w:val="22"/>
          <w:szCs w:val="22"/>
          <w:lang w:val="sr-Latn-RS"/>
        </w:rPr>
        <w:t xml:space="preserve"> prijavu sumnje na neželjeno dejstvo </w:t>
      </w:r>
      <w:proofErr w:type="spellStart"/>
      <w:r>
        <w:rPr>
          <w:rFonts w:eastAsia="Calibri"/>
          <w:sz w:val="22"/>
          <w:szCs w:val="22"/>
          <w:lang w:val="sr-Latn-RS"/>
        </w:rPr>
        <w:t>lijeka</w:t>
      </w:r>
      <w:proofErr w:type="spellEnd"/>
      <w:r>
        <w:rPr>
          <w:rFonts w:eastAsia="Calibri"/>
          <w:sz w:val="22"/>
          <w:szCs w:val="22"/>
          <w:lang w:val="sr-Latn-RS"/>
        </w:rPr>
        <w:t>:</w:t>
      </w:r>
    </w:p>
    <w:p w14:paraId="0D0B13A6" w14:textId="77777777" w:rsidR="00E23255" w:rsidRDefault="00E23255" w:rsidP="00E23255">
      <w:pPr>
        <w:pStyle w:val="NoSpacing"/>
        <w:rPr>
          <w:rFonts w:eastAsia="Calibri"/>
          <w:sz w:val="22"/>
          <w:szCs w:val="22"/>
          <w:lang w:val="sr-Latn-RS"/>
        </w:rPr>
      </w:pPr>
    </w:p>
    <w:p w14:paraId="7CFD7109" w14:textId="77777777" w:rsidR="00E23255" w:rsidRDefault="00E23255" w:rsidP="00E23255">
      <w:pPr>
        <w:tabs>
          <w:tab w:val="left" w:pos="540"/>
          <w:tab w:val="left" w:pos="569"/>
        </w:tabs>
        <w:rPr>
          <w:b/>
          <w:bCs/>
          <w:sz w:val="22"/>
          <w:szCs w:val="22"/>
        </w:rPr>
      </w:pPr>
      <w:r w:rsidRPr="007F661E">
        <w:rPr>
          <w:b/>
          <w:bCs/>
          <w:noProof/>
          <w:sz w:val="22"/>
          <w:szCs w:val="22"/>
        </w:rPr>
        <w:drawing>
          <wp:inline distT="0" distB="0" distL="0" distR="0" wp14:anchorId="1FF5D61F" wp14:editId="35242726">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21E66D25" w14:textId="77777777" w:rsidR="00E23255" w:rsidRPr="00786071" w:rsidRDefault="00E23255" w:rsidP="00E23255">
      <w:pPr>
        <w:tabs>
          <w:tab w:val="left" w:pos="540"/>
          <w:tab w:val="left" w:pos="569"/>
        </w:tabs>
        <w:rPr>
          <w:b/>
          <w:bCs/>
          <w:sz w:val="22"/>
          <w:szCs w:val="22"/>
        </w:rPr>
      </w:pPr>
    </w:p>
    <w:p w14:paraId="7A13DEE9" w14:textId="77777777" w:rsidR="00CD6F02" w:rsidRPr="00BD78F9" w:rsidRDefault="0072020E" w:rsidP="00271855">
      <w:pPr>
        <w:tabs>
          <w:tab w:val="left" w:pos="540"/>
          <w:tab w:val="left" w:pos="569"/>
        </w:tabs>
        <w:jc w:val="both"/>
        <w:rPr>
          <w:b/>
          <w:bCs/>
          <w:sz w:val="22"/>
          <w:szCs w:val="22"/>
          <w:lang w:val="sr-Latn-ME"/>
        </w:rPr>
      </w:pPr>
      <w:r w:rsidRPr="00BD78F9">
        <w:rPr>
          <w:b/>
          <w:bCs/>
          <w:sz w:val="22"/>
          <w:szCs w:val="22"/>
          <w:lang w:val="sr-Latn-ME"/>
        </w:rPr>
        <w:t xml:space="preserve">4.9. </w:t>
      </w:r>
      <w:r w:rsidR="00480FB1" w:rsidRPr="00BD78F9">
        <w:rPr>
          <w:b/>
          <w:bCs/>
          <w:sz w:val="22"/>
          <w:szCs w:val="22"/>
          <w:lang w:val="sr-Latn-ME"/>
        </w:rPr>
        <w:tab/>
      </w:r>
      <w:r w:rsidRPr="00BD78F9">
        <w:rPr>
          <w:b/>
          <w:bCs/>
          <w:sz w:val="22"/>
          <w:szCs w:val="22"/>
          <w:lang w:val="sr-Latn-ME"/>
        </w:rPr>
        <w:t>Predoziranje</w:t>
      </w:r>
      <w:r w:rsidR="002846DB" w:rsidRPr="00BD78F9">
        <w:rPr>
          <w:b/>
          <w:bCs/>
          <w:sz w:val="22"/>
          <w:szCs w:val="22"/>
          <w:lang w:val="sr-Latn-ME"/>
        </w:rPr>
        <w:t xml:space="preserve"> </w:t>
      </w:r>
    </w:p>
    <w:p w14:paraId="675B7C8A" w14:textId="77777777" w:rsidR="00CD6F02" w:rsidRPr="00BD78F9" w:rsidRDefault="00CD6F02" w:rsidP="00271855">
      <w:pPr>
        <w:tabs>
          <w:tab w:val="left" w:pos="540"/>
          <w:tab w:val="left" w:pos="569"/>
        </w:tabs>
        <w:jc w:val="both"/>
        <w:rPr>
          <w:b/>
          <w:bCs/>
          <w:sz w:val="22"/>
          <w:szCs w:val="22"/>
          <w:lang w:val="sr-Latn-ME"/>
        </w:rPr>
      </w:pPr>
    </w:p>
    <w:p w14:paraId="339EAA5F" w14:textId="0B8C06CB" w:rsidR="00B73F2A" w:rsidRPr="00BD78F9" w:rsidRDefault="00B73F2A" w:rsidP="000A71FF">
      <w:pPr>
        <w:shd w:val="clear" w:color="auto" w:fill="FFFFFF"/>
        <w:tabs>
          <w:tab w:val="left" w:pos="284"/>
        </w:tabs>
        <w:jc w:val="both"/>
        <w:rPr>
          <w:sz w:val="22"/>
          <w:szCs w:val="22"/>
          <w:lang w:val="sr-Latn-ME"/>
        </w:rPr>
      </w:pPr>
      <w:r w:rsidRPr="00BD78F9">
        <w:rPr>
          <w:sz w:val="22"/>
          <w:szCs w:val="22"/>
          <w:lang w:val="sr-Latn-ME"/>
        </w:rPr>
        <w:t>Predoziranje može da dovede do prenaglašenih antiholinergi</w:t>
      </w:r>
      <w:r w:rsidR="00CC7002" w:rsidRPr="00BD78F9">
        <w:rPr>
          <w:sz w:val="22"/>
          <w:szCs w:val="22"/>
          <w:lang w:val="sr-Latn-ME"/>
        </w:rPr>
        <w:t>čkih</w:t>
      </w:r>
      <w:r w:rsidRPr="00BD78F9">
        <w:rPr>
          <w:sz w:val="22"/>
          <w:szCs w:val="22"/>
          <w:lang w:val="sr-Latn-ME"/>
        </w:rPr>
        <w:t xml:space="preserve"> odnosno β2 adrenergičkih znaka i simptoma, od kojih su najčešći zamućen vid, suva usta, mučnina, mišićni grčevi, tremor, glavobolja, palpitacije i sistolna hipertenzija. Kod dugotrajne </w:t>
      </w:r>
      <w:r w:rsidR="004D0E29" w:rsidRPr="00BD78F9">
        <w:rPr>
          <w:sz w:val="22"/>
          <w:szCs w:val="22"/>
          <w:lang w:val="sr-Latn-ME"/>
        </w:rPr>
        <w:t>primjene</w:t>
      </w:r>
      <w:r w:rsidRPr="00BD78F9">
        <w:rPr>
          <w:sz w:val="22"/>
          <w:szCs w:val="22"/>
          <w:lang w:val="sr-Latn-ME"/>
        </w:rPr>
        <w:t xml:space="preserve"> prekom</w:t>
      </w:r>
      <w:r w:rsidR="009F5113" w:rsidRPr="00BD78F9">
        <w:rPr>
          <w:sz w:val="22"/>
          <w:szCs w:val="22"/>
          <w:lang w:val="sr-Latn-ME"/>
        </w:rPr>
        <w:t>j</w:t>
      </w:r>
      <w:r w:rsidRPr="00BD78F9">
        <w:rPr>
          <w:sz w:val="22"/>
          <w:szCs w:val="22"/>
          <w:lang w:val="sr-Latn-ME"/>
        </w:rPr>
        <w:t xml:space="preserve">ernih doza mogu se javiti sistemska dejstva glukokortikosteroida. </w:t>
      </w:r>
    </w:p>
    <w:p w14:paraId="68FAD979" w14:textId="77777777" w:rsidR="00B73F2A" w:rsidRPr="00BD78F9" w:rsidRDefault="00B73F2A" w:rsidP="007019B9">
      <w:pPr>
        <w:shd w:val="clear" w:color="auto" w:fill="FFFFFF"/>
        <w:tabs>
          <w:tab w:val="left" w:pos="284"/>
        </w:tabs>
        <w:jc w:val="both"/>
        <w:rPr>
          <w:sz w:val="22"/>
          <w:szCs w:val="22"/>
          <w:lang w:val="sr-Latn-ME"/>
        </w:rPr>
      </w:pPr>
    </w:p>
    <w:p w14:paraId="7A75E46D" w14:textId="1B3A3623" w:rsidR="00B73F2A" w:rsidRPr="00BD78F9" w:rsidRDefault="00B73F2A" w:rsidP="00A52822">
      <w:pPr>
        <w:shd w:val="clear" w:color="auto" w:fill="FFFFFF"/>
        <w:tabs>
          <w:tab w:val="left" w:pos="284"/>
        </w:tabs>
        <w:jc w:val="both"/>
        <w:rPr>
          <w:noProof/>
          <w:sz w:val="22"/>
          <w:szCs w:val="22"/>
          <w:lang w:val="sr-Latn-ME"/>
        </w:rPr>
      </w:pPr>
      <w:r w:rsidRPr="00BD78F9">
        <w:rPr>
          <w:sz w:val="22"/>
          <w:szCs w:val="22"/>
          <w:lang w:val="sr-Latn-ME"/>
        </w:rPr>
        <w:t>Ne postoji specifična terapija za predoziranje ovim l</w:t>
      </w:r>
      <w:r w:rsidR="004D0E29" w:rsidRPr="00BD78F9">
        <w:rPr>
          <w:sz w:val="22"/>
          <w:szCs w:val="22"/>
          <w:lang w:val="sr-Latn-ME"/>
        </w:rPr>
        <w:t>ij</w:t>
      </w:r>
      <w:r w:rsidRPr="00BD78F9">
        <w:rPr>
          <w:sz w:val="22"/>
          <w:szCs w:val="22"/>
          <w:lang w:val="sr-Latn-ME"/>
        </w:rPr>
        <w:t xml:space="preserve">ekom. </w:t>
      </w:r>
      <w:r w:rsidRPr="00BD78F9">
        <w:rPr>
          <w:noProof/>
          <w:sz w:val="22"/>
          <w:szCs w:val="22"/>
          <w:lang w:val="sr-Latn-ME"/>
        </w:rPr>
        <w:t>Ukoliko dođe do predoziranja, pacijenta treba suportivno l</w:t>
      </w:r>
      <w:r w:rsidR="004D0E29" w:rsidRPr="00BD78F9">
        <w:rPr>
          <w:noProof/>
          <w:sz w:val="22"/>
          <w:szCs w:val="22"/>
          <w:lang w:val="sr-Latn-ME"/>
        </w:rPr>
        <w:t>ij</w:t>
      </w:r>
      <w:r w:rsidRPr="00BD78F9">
        <w:rPr>
          <w:noProof/>
          <w:sz w:val="22"/>
          <w:szCs w:val="22"/>
          <w:lang w:val="sr-Latn-ME"/>
        </w:rPr>
        <w:t>ečiti uz odgovarajuće praćenje po potrebi.</w:t>
      </w:r>
    </w:p>
    <w:p w14:paraId="233BA04D" w14:textId="77777777" w:rsidR="009F5113" w:rsidRPr="00BD78F9" w:rsidRDefault="009F5113">
      <w:pPr>
        <w:shd w:val="clear" w:color="auto" w:fill="FFFFFF"/>
        <w:tabs>
          <w:tab w:val="left" w:pos="284"/>
        </w:tabs>
        <w:jc w:val="both"/>
        <w:rPr>
          <w:sz w:val="22"/>
          <w:szCs w:val="22"/>
          <w:lang w:val="sr-Latn-ME"/>
        </w:rPr>
      </w:pPr>
    </w:p>
    <w:p w14:paraId="3BC5A98D" w14:textId="77777777" w:rsidR="00227BDB" w:rsidRPr="00BD78F9" w:rsidRDefault="00227BDB" w:rsidP="00271855">
      <w:pPr>
        <w:tabs>
          <w:tab w:val="left" w:pos="540"/>
          <w:tab w:val="left" w:pos="569"/>
        </w:tabs>
        <w:jc w:val="both"/>
        <w:rPr>
          <w:b/>
          <w:bCs/>
          <w:sz w:val="22"/>
          <w:szCs w:val="22"/>
          <w:lang w:val="sr-Latn-ME"/>
        </w:rPr>
      </w:pPr>
    </w:p>
    <w:p w14:paraId="290663E2" w14:textId="77777777" w:rsidR="0072020E" w:rsidRPr="00BD78F9" w:rsidRDefault="0072020E" w:rsidP="00271855">
      <w:pPr>
        <w:tabs>
          <w:tab w:val="left" w:pos="540"/>
          <w:tab w:val="left" w:pos="569"/>
        </w:tabs>
        <w:jc w:val="both"/>
        <w:rPr>
          <w:b/>
          <w:bCs/>
          <w:sz w:val="22"/>
          <w:szCs w:val="22"/>
          <w:lang w:val="sr-Latn-ME"/>
        </w:rPr>
      </w:pPr>
      <w:r w:rsidRPr="00BD78F9">
        <w:rPr>
          <w:b/>
          <w:bCs/>
          <w:sz w:val="22"/>
          <w:szCs w:val="22"/>
          <w:lang w:val="sr-Latn-ME"/>
        </w:rPr>
        <w:t xml:space="preserve">5. </w:t>
      </w:r>
      <w:r w:rsidR="00480FB1" w:rsidRPr="00BD78F9">
        <w:rPr>
          <w:b/>
          <w:bCs/>
          <w:sz w:val="22"/>
          <w:szCs w:val="22"/>
          <w:lang w:val="sr-Latn-ME"/>
        </w:rPr>
        <w:tab/>
      </w:r>
      <w:r w:rsidRPr="00BD78F9">
        <w:rPr>
          <w:b/>
          <w:bCs/>
          <w:sz w:val="22"/>
          <w:szCs w:val="22"/>
          <w:lang w:val="sr-Latn-ME"/>
        </w:rPr>
        <w:t>FARMAKOLOŠK</w:t>
      </w:r>
      <w:r w:rsidR="000D425A" w:rsidRPr="00BD78F9">
        <w:rPr>
          <w:b/>
          <w:bCs/>
          <w:sz w:val="22"/>
          <w:szCs w:val="22"/>
          <w:lang w:val="sr-Latn-ME"/>
        </w:rPr>
        <w:t>I</w:t>
      </w:r>
      <w:r w:rsidRPr="00BD78F9">
        <w:rPr>
          <w:b/>
          <w:bCs/>
          <w:sz w:val="22"/>
          <w:szCs w:val="22"/>
          <w:lang w:val="sr-Latn-ME"/>
        </w:rPr>
        <w:t xml:space="preserve"> PODACI</w:t>
      </w:r>
    </w:p>
    <w:p w14:paraId="7532B0E3" w14:textId="77777777" w:rsidR="0072020E" w:rsidRPr="00BD78F9" w:rsidRDefault="0072020E" w:rsidP="00271855">
      <w:pPr>
        <w:tabs>
          <w:tab w:val="left" w:pos="540"/>
          <w:tab w:val="left" w:pos="569"/>
        </w:tabs>
        <w:jc w:val="both"/>
        <w:rPr>
          <w:b/>
          <w:bCs/>
          <w:sz w:val="22"/>
          <w:szCs w:val="22"/>
          <w:lang w:val="sr-Latn-ME"/>
        </w:rPr>
      </w:pPr>
    </w:p>
    <w:p w14:paraId="34B8E1DC" w14:textId="77777777" w:rsidR="0072020E" w:rsidRPr="00BD78F9" w:rsidRDefault="0072020E" w:rsidP="00271855">
      <w:pPr>
        <w:tabs>
          <w:tab w:val="left" w:pos="540"/>
          <w:tab w:val="left" w:pos="569"/>
        </w:tabs>
        <w:jc w:val="both"/>
        <w:rPr>
          <w:b/>
          <w:bCs/>
          <w:sz w:val="22"/>
          <w:szCs w:val="22"/>
          <w:lang w:val="sr-Latn-ME"/>
        </w:rPr>
      </w:pPr>
      <w:r w:rsidRPr="00BD78F9">
        <w:rPr>
          <w:b/>
          <w:bCs/>
          <w:sz w:val="22"/>
          <w:szCs w:val="22"/>
          <w:lang w:val="sr-Latn-ME"/>
        </w:rPr>
        <w:t xml:space="preserve">5.1. </w:t>
      </w:r>
      <w:r w:rsidR="00480FB1" w:rsidRPr="00BD78F9">
        <w:rPr>
          <w:b/>
          <w:bCs/>
          <w:sz w:val="22"/>
          <w:szCs w:val="22"/>
          <w:lang w:val="sr-Latn-ME"/>
        </w:rPr>
        <w:tab/>
      </w:r>
      <w:r w:rsidRPr="00BD78F9">
        <w:rPr>
          <w:b/>
          <w:bCs/>
          <w:sz w:val="22"/>
          <w:szCs w:val="22"/>
          <w:lang w:val="sr-Latn-ME"/>
        </w:rPr>
        <w:t>Farmakodinamski podaci</w:t>
      </w:r>
      <w:r w:rsidR="003A7059" w:rsidRPr="00BD78F9">
        <w:rPr>
          <w:b/>
          <w:bCs/>
          <w:sz w:val="22"/>
          <w:szCs w:val="22"/>
          <w:lang w:val="sr-Latn-ME"/>
        </w:rPr>
        <w:t xml:space="preserve"> </w:t>
      </w:r>
    </w:p>
    <w:p w14:paraId="33BD9641" w14:textId="77777777" w:rsidR="00F45F77" w:rsidRPr="00BD78F9" w:rsidRDefault="00F45F77" w:rsidP="00271855">
      <w:pPr>
        <w:tabs>
          <w:tab w:val="left" w:pos="540"/>
          <w:tab w:val="left" w:pos="569"/>
        </w:tabs>
        <w:jc w:val="both"/>
        <w:rPr>
          <w:b/>
          <w:bCs/>
          <w:sz w:val="22"/>
          <w:szCs w:val="22"/>
          <w:lang w:val="sr-Latn-ME"/>
        </w:rPr>
      </w:pPr>
    </w:p>
    <w:p w14:paraId="4AC4DD91" w14:textId="1E66AF7A" w:rsidR="00B73F2A" w:rsidRPr="00BD78F9" w:rsidRDefault="0072020E" w:rsidP="00271855">
      <w:pPr>
        <w:autoSpaceDE w:val="0"/>
        <w:autoSpaceDN w:val="0"/>
        <w:adjustRightInd w:val="0"/>
        <w:jc w:val="both"/>
        <w:rPr>
          <w:rFonts w:eastAsia="SimSun"/>
          <w:sz w:val="22"/>
          <w:szCs w:val="22"/>
          <w:lang w:val="sr-Latn-ME"/>
        </w:rPr>
      </w:pPr>
      <w:r w:rsidRPr="00BD78F9">
        <w:rPr>
          <w:bCs/>
          <w:sz w:val="22"/>
          <w:szCs w:val="22"/>
          <w:lang w:val="sr-Latn-ME"/>
        </w:rPr>
        <w:t>Farmakoterapijska grupa:</w:t>
      </w:r>
      <w:r w:rsidR="00B73F2A" w:rsidRPr="00BD78F9">
        <w:rPr>
          <w:sz w:val="22"/>
          <w:szCs w:val="22"/>
          <w:lang w:val="sr-Latn-ME"/>
        </w:rPr>
        <w:t xml:space="preserve"> L</w:t>
      </w:r>
      <w:r w:rsidR="004D0E29" w:rsidRPr="00BD78F9">
        <w:rPr>
          <w:sz w:val="22"/>
          <w:szCs w:val="22"/>
          <w:lang w:val="sr-Latn-ME"/>
        </w:rPr>
        <w:t>j</w:t>
      </w:r>
      <w:r w:rsidR="00B73F2A" w:rsidRPr="00BD78F9">
        <w:rPr>
          <w:sz w:val="22"/>
          <w:szCs w:val="22"/>
          <w:lang w:val="sr-Latn-ME"/>
        </w:rPr>
        <w:t>ekovi za opstruktivne bolesti disajnih puteva, adrenergici u kombinaciji sa</w:t>
      </w:r>
    </w:p>
    <w:p w14:paraId="7D74E202" w14:textId="77777777" w:rsidR="00B73F2A" w:rsidRPr="00BD78F9" w:rsidRDefault="00B73F2A" w:rsidP="000A71FF">
      <w:pPr>
        <w:tabs>
          <w:tab w:val="left" w:pos="284"/>
        </w:tabs>
        <w:jc w:val="both"/>
        <w:rPr>
          <w:b/>
          <w:bCs/>
          <w:sz w:val="22"/>
          <w:szCs w:val="22"/>
          <w:lang w:val="sr-Latn-ME"/>
        </w:rPr>
      </w:pPr>
      <w:r w:rsidRPr="00BD78F9">
        <w:rPr>
          <w:sz w:val="22"/>
          <w:szCs w:val="22"/>
          <w:lang w:val="sr-Latn-ME"/>
        </w:rPr>
        <w:t>antiholinergicima, uključujući trostruke kombinacije sa kortikosteroidima</w:t>
      </w:r>
    </w:p>
    <w:p w14:paraId="29650B6B" w14:textId="0959D1D1" w:rsidR="00B73F2A" w:rsidRPr="00BD78F9" w:rsidRDefault="0072020E" w:rsidP="00271855">
      <w:pPr>
        <w:jc w:val="both"/>
        <w:rPr>
          <w:noProof/>
          <w:sz w:val="22"/>
          <w:lang w:val="sr-Latn-ME"/>
        </w:rPr>
      </w:pPr>
      <w:r w:rsidRPr="00BD78F9">
        <w:rPr>
          <w:bCs/>
          <w:sz w:val="22"/>
          <w:szCs w:val="22"/>
          <w:lang w:val="sr-Latn-ME"/>
        </w:rPr>
        <w:t>ATC kod:</w:t>
      </w:r>
      <w:r w:rsidR="00B73F2A" w:rsidRPr="00BD78F9">
        <w:rPr>
          <w:noProof/>
          <w:sz w:val="22"/>
          <w:lang w:val="sr-Latn-ME"/>
        </w:rPr>
        <w:t xml:space="preserve"> R03AL11 </w:t>
      </w:r>
    </w:p>
    <w:p w14:paraId="08F1B1B0" w14:textId="2473CBB0" w:rsidR="0072020E" w:rsidRPr="00BD78F9" w:rsidRDefault="0072020E" w:rsidP="00271855">
      <w:pPr>
        <w:tabs>
          <w:tab w:val="left" w:pos="540"/>
          <w:tab w:val="left" w:pos="569"/>
        </w:tabs>
        <w:jc w:val="both"/>
        <w:rPr>
          <w:bCs/>
          <w:sz w:val="22"/>
          <w:szCs w:val="22"/>
          <w:lang w:val="sr-Latn-ME"/>
        </w:rPr>
      </w:pPr>
    </w:p>
    <w:p w14:paraId="3597CE6E" w14:textId="77777777" w:rsidR="00B73F2A" w:rsidRPr="00BD78F9" w:rsidRDefault="00B73F2A" w:rsidP="000A71FF">
      <w:pPr>
        <w:keepNext/>
        <w:keepLines/>
        <w:tabs>
          <w:tab w:val="left" w:pos="284"/>
        </w:tabs>
        <w:jc w:val="both"/>
        <w:rPr>
          <w:bCs/>
          <w:sz w:val="22"/>
          <w:szCs w:val="22"/>
          <w:u w:val="single"/>
          <w:lang w:val="sr-Latn-ME"/>
        </w:rPr>
      </w:pPr>
      <w:r w:rsidRPr="00BD78F9">
        <w:rPr>
          <w:sz w:val="22"/>
          <w:szCs w:val="22"/>
          <w:u w:val="single"/>
          <w:lang w:val="sr-Latn-ME"/>
        </w:rPr>
        <w:t>Mehanizam dejstva</w:t>
      </w:r>
    </w:p>
    <w:p w14:paraId="1BD71A7E" w14:textId="77777777" w:rsidR="00B73F2A" w:rsidRPr="00BD78F9" w:rsidRDefault="00B73F2A" w:rsidP="007019B9">
      <w:pPr>
        <w:tabs>
          <w:tab w:val="left" w:pos="284"/>
        </w:tabs>
        <w:jc w:val="both"/>
        <w:rPr>
          <w:sz w:val="22"/>
          <w:lang w:val="sr-Latn-ME"/>
        </w:rPr>
      </w:pPr>
    </w:p>
    <w:p w14:paraId="26202705" w14:textId="1202FF2F" w:rsidR="00B73F2A" w:rsidRPr="00BD78F9" w:rsidRDefault="009F5113" w:rsidP="009F5113">
      <w:pPr>
        <w:tabs>
          <w:tab w:val="left" w:pos="284"/>
        </w:tabs>
        <w:autoSpaceDE w:val="0"/>
        <w:autoSpaceDN w:val="0"/>
        <w:adjustRightInd w:val="0"/>
        <w:jc w:val="both"/>
        <w:rPr>
          <w:bCs/>
          <w:sz w:val="22"/>
          <w:szCs w:val="22"/>
          <w:lang w:val="sr-Latn-ME"/>
        </w:rPr>
      </w:pPr>
      <w:r w:rsidRPr="00BD78F9">
        <w:rPr>
          <w:sz w:val="22"/>
          <w:szCs w:val="22"/>
          <w:lang w:val="sr-Latn-ME"/>
        </w:rPr>
        <w:t xml:space="preserve">Lijek </w:t>
      </w:r>
      <w:r w:rsidR="00B73F2A" w:rsidRPr="00BD78F9">
        <w:rPr>
          <w:sz w:val="22"/>
          <w:szCs w:val="22"/>
          <w:lang w:val="sr-Latn-ME"/>
        </w:rPr>
        <w:t xml:space="preserve">Trixeo Aerosphere sadrži glukokortikosteroid budesonid i dva bronhodilatatora: glikopironijum, koji je </w:t>
      </w:r>
      <w:r w:rsidR="004D0E29" w:rsidRPr="00BD78F9">
        <w:rPr>
          <w:sz w:val="22"/>
          <w:szCs w:val="22"/>
          <w:lang w:val="sr-Latn-ME"/>
        </w:rPr>
        <w:t>dugodjel</w:t>
      </w:r>
      <w:r w:rsidR="00B73F2A" w:rsidRPr="00BD78F9">
        <w:rPr>
          <w:sz w:val="22"/>
          <w:szCs w:val="22"/>
          <w:lang w:val="sr-Latn-ME"/>
        </w:rPr>
        <w:t xml:space="preserve">ujući antagonist muskarinskih receptora (antiholinergik) i formoterol, koji je </w:t>
      </w:r>
      <w:r w:rsidR="004D0E29" w:rsidRPr="00BD78F9">
        <w:rPr>
          <w:sz w:val="22"/>
          <w:szCs w:val="22"/>
          <w:lang w:val="sr-Latn-ME"/>
        </w:rPr>
        <w:t>dugodjel</w:t>
      </w:r>
      <w:r w:rsidR="00B73F2A" w:rsidRPr="00BD78F9">
        <w:rPr>
          <w:sz w:val="22"/>
          <w:szCs w:val="22"/>
          <w:lang w:val="sr-Latn-ME"/>
        </w:rPr>
        <w:t xml:space="preserve">ujući β2-adrenergički agonist.  </w:t>
      </w:r>
    </w:p>
    <w:p w14:paraId="3A85BD17" w14:textId="77777777" w:rsidR="00B73F2A" w:rsidRPr="00BD78F9" w:rsidRDefault="00B73F2A" w:rsidP="00A52822">
      <w:pPr>
        <w:tabs>
          <w:tab w:val="left" w:pos="284"/>
        </w:tabs>
        <w:jc w:val="both"/>
        <w:rPr>
          <w:b/>
          <w:bCs/>
          <w:sz w:val="22"/>
          <w:szCs w:val="22"/>
          <w:lang w:val="sr-Latn-ME"/>
        </w:rPr>
      </w:pPr>
    </w:p>
    <w:p w14:paraId="37B3DFC4" w14:textId="77777777" w:rsidR="00B73F2A" w:rsidRPr="00BD78F9" w:rsidDel="00212FE7" w:rsidRDefault="00B73F2A">
      <w:pPr>
        <w:tabs>
          <w:tab w:val="left" w:pos="284"/>
        </w:tabs>
        <w:jc w:val="both"/>
        <w:rPr>
          <w:bCs/>
          <w:sz w:val="22"/>
          <w:szCs w:val="22"/>
          <w:lang w:val="sr-Latn-ME"/>
        </w:rPr>
      </w:pPr>
      <w:r w:rsidRPr="00BD78F9">
        <w:rPr>
          <w:sz w:val="22"/>
          <w:szCs w:val="22"/>
          <w:lang w:val="sr-Latn-ME"/>
        </w:rPr>
        <w:t xml:space="preserve">Budesonid je glukokortikosteroid koji nakon inhaliranja ima brzo (u okviru nekoliko sati) i od doze zavisno antiinflamatorno dejstvo u disajnim putevima. </w:t>
      </w:r>
    </w:p>
    <w:p w14:paraId="0A9C35D4" w14:textId="77777777" w:rsidR="00B73F2A" w:rsidRPr="00BD78F9" w:rsidRDefault="00B73F2A">
      <w:pPr>
        <w:tabs>
          <w:tab w:val="left" w:pos="284"/>
        </w:tabs>
        <w:jc w:val="both"/>
        <w:rPr>
          <w:b/>
          <w:bCs/>
          <w:sz w:val="22"/>
          <w:szCs w:val="22"/>
          <w:lang w:val="sr-Latn-ME"/>
        </w:rPr>
      </w:pPr>
    </w:p>
    <w:p w14:paraId="25C9AE67" w14:textId="4C8A2BF0" w:rsidR="00B73F2A" w:rsidRPr="00BD78F9" w:rsidRDefault="00B73F2A" w:rsidP="00271855">
      <w:pPr>
        <w:jc w:val="both"/>
        <w:rPr>
          <w:rFonts w:eastAsia="Calibri"/>
          <w:sz w:val="22"/>
          <w:szCs w:val="22"/>
          <w:lang w:val="sr-Latn-ME"/>
        </w:rPr>
      </w:pPr>
      <w:r w:rsidRPr="00BD78F9">
        <w:rPr>
          <w:rFonts w:eastAsia="Calibri"/>
          <w:sz w:val="22"/>
          <w:szCs w:val="22"/>
          <w:lang w:val="sr-Latn-ME"/>
        </w:rPr>
        <w:t xml:space="preserve">Glikopironijum je </w:t>
      </w:r>
      <w:r w:rsidR="004D0E29" w:rsidRPr="00BD78F9">
        <w:rPr>
          <w:rFonts w:eastAsia="Calibri"/>
          <w:sz w:val="22"/>
          <w:szCs w:val="22"/>
          <w:lang w:val="sr-Latn-ME"/>
        </w:rPr>
        <w:t>dugodjel</w:t>
      </w:r>
      <w:r w:rsidRPr="00BD78F9">
        <w:rPr>
          <w:rFonts w:eastAsia="Calibri"/>
          <w:sz w:val="22"/>
          <w:szCs w:val="22"/>
          <w:lang w:val="sr-Latn-ME"/>
        </w:rPr>
        <w:t>ujući antagonist muskarinskih receptora, koji se često naziva i antiholinergik. Glavni ciljni elementi antiholinergi</w:t>
      </w:r>
      <w:r w:rsidR="00CC7002" w:rsidRPr="00BD78F9">
        <w:rPr>
          <w:rFonts w:eastAsia="Calibri"/>
          <w:sz w:val="22"/>
          <w:szCs w:val="22"/>
          <w:lang w:val="sr-Latn-ME"/>
        </w:rPr>
        <w:t>čkih</w:t>
      </w:r>
      <w:r w:rsidRPr="00BD78F9">
        <w:rPr>
          <w:rFonts w:eastAsia="Calibri"/>
          <w:sz w:val="22"/>
          <w:szCs w:val="22"/>
          <w:lang w:val="sr-Latn-ME"/>
        </w:rPr>
        <w:t xml:space="preserve"> </w:t>
      </w:r>
      <w:r w:rsidR="004D0E29" w:rsidRPr="00BD78F9">
        <w:rPr>
          <w:rFonts w:eastAsia="Calibri"/>
          <w:sz w:val="22"/>
          <w:szCs w:val="22"/>
          <w:lang w:val="sr-Latn-ME"/>
        </w:rPr>
        <w:t>ljekova</w:t>
      </w:r>
      <w:r w:rsidRPr="00BD78F9">
        <w:rPr>
          <w:rFonts w:eastAsia="Calibri"/>
          <w:sz w:val="22"/>
          <w:szCs w:val="22"/>
          <w:lang w:val="sr-Latn-ME"/>
        </w:rPr>
        <w:t xml:space="preserve"> su muskarinski receptori koji se nalaze u respiratornom traktu. Glikopironijum u disajnim putevima ostvaruje farmakološka dejstva inhibicijom M3 receptora u glatkom mišiću, što dovodi do bronhodilatacije. Antagonizam je kompetitivan i reverzibilan. Sprečavanje bronhokonstrikcionih dejstava metilholina i acetilholina zavisilo je od doze i trajalo duže od 12 sati. </w:t>
      </w:r>
    </w:p>
    <w:p w14:paraId="45347B96" w14:textId="77777777" w:rsidR="00B73F2A" w:rsidRPr="00BD78F9" w:rsidRDefault="00B73F2A" w:rsidP="000A71FF">
      <w:pPr>
        <w:tabs>
          <w:tab w:val="left" w:pos="284"/>
        </w:tabs>
        <w:jc w:val="both"/>
        <w:rPr>
          <w:b/>
          <w:bCs/>
          <w:sz w:val="22"/>
          <w:szCs w:val="22"/>
          <w:lang w:val="sr-Latn-ME"/>
        </w:rPr>
      </w:pPr>
    </w:p>
    <w:p w14:paraId="0975FEFD" w14:textId="307D182D" w:rsidR="00B73F2A" w:rsidRPr="00BD78F9" w:rsidDel="00212FE7" w:rsidRDefault="00B73F2A" w:rsidP="007019B9">
      <w:pPr>
        <w:tabs>
          <w:tab w:val="left" w:pos="284"/>
        </w:tabs>
        <w:jc w:val="both"/>
        <w:rPr>
          <w:sz w:val="22"/>
          <w:szCs w:val="22"/>
          <w:lang w:val="sr-Latn-ME"/>
        </w:rPr>
      </w:pPr>
      <w:r w:rsidRPr="00BD78F9">
        <w:rPr>
          <w:sz w:val="22"/>
          <w:szCs w:val="22"/>
          <w:lang w:val="sr-Latn-ME"/>
        </w:rPr>
        <w:t xml:space="preserve">Formoterol je selektivni β2-adrenergički agonist koji nakon inhaliranja dovodi do brzog i </w:t>
      </w:r>
      <w:r w:rsidR="004D0E29" w:rsidRPr="00BD78F9">
        <w:rPr>
          <w:sz w:val="22"/>
          <w:szCs w:val="22"/>
          <w:lang w:val="sr-Latn-ME"/>
        </w:rPr>
        <w:t>dugodjel</w:t>
      </w:r>
      <w:r w:rsidRPr="00BD78F9">
        <w:rPr>
          <w:sz w:val="22"/>
          <w:szCs w:val="22"/>
          <w:lang w:val="sr-Latn-ME"/>
        </w:rPr>
        <w:t xml:space="preserve">ujućeg opuštanja glatkog mišića bronha kod pacijenata sa reverzibilnom opstrukcijom disajnih puteva. Bronhodilataciono dejstvo zavisi od doze, a javlja se u toku 1–3 minuta nakon inhalacije. Trajanje dejstva nakon </w:t>
      </w:r>
      <w:r w:rsidR="004D0E29" w:rsidRPr="00BD78F9">
        <w:rPr>
          <w:sz w:val="22"/>
          <w:szCs w:val="22"/>
          <w:lang w:val="sr-Latn-ME"/>
        </w:rPr>
        <w:t>primjene</w:t>
      </w:r>
      <w:r w:rsidRPr="00BD78F9">
        <w:rPr>
          <w:sz w:val="22"/>
          <w:szCs w:val="22"/>
          <w:lang w:val="sr-Latn-ME"/>
        </w:rPr>
        <w:t xml:space="preserve"> jedne doze iznosi najmanje 12 sati.</w:t>
      </w:r>
    </w:p>
    <w:p w14:paraId="0EC3ED0E" w14:textId="77777777" w:rsidR="00B73F2A" w:rsidRPr="00BD78F9" w:rsidRDefault="00B73F2A" w:rsidP="00A52822">
      <w:pPr>
        <w:tabs>
          <w:tab w:val="left" w:pos="284"/>
        </w:tabs>
        <w:jc w:val="both"/>
        <w:rPr>
          <w:sz w:val="22"/>
          <w:szCs w:val="22"/>
          <w:lang w:val="sr-Latn-ME"/>
        </w:rPr>
      </w:pPr>
    </w:p>
    <w:p w14:paraId="6E629ACA" w14:textId="77777777" w:rsidR="00B73F2A" w:rsidRPr="00BD78F9" w:rsidRDefault="00B73F2A">
      <w:pPr>
        <w:tabs>
          <w:tab w:val="left" w:pos="284"/>
        </w:tabs>
        <w:jc w:val="both"/>
        <w:rPr>
          <w:bCs/>
          <w:i/>
          <w:iCs/>
          <w:sz w:val="22"/>
          <w:szCs w:val="22"/>
          <w:u w:val="single"/>
          <w:lang w:val="sr-Latn-ME"/>
        </w:rPr>
      </w:pPr>
      <w:r w:rsidRPr="00BD78F9">
        <w:rPr>
          <w:i/>
          <w:iCs/>
          <w:sz w:val="22"/>
          <w:szCs w:val="22"/>
          <w:u w:val="single"/>
          <w:lang w:val="sr-Latn-ME"/>
        </w:rPr>
        <w:t>Klinička efikasnost</w:t>
      </w:r>
    </w:p>
    <w:p w14:paraId="57D922E7" w14:textId="77777777" w:rsidR="00B73F2A" w:rsidRPr="00BD78F9" w:rsidRDefault="00B73F2A">
      <w:pPr>
        <w:tabs>
          <w:tab w:val="left" w:pos="284"/>
        </w:tabs>
        <w:jc w:val="both"/>
        <w:rPr>
          <w:rFonts w:eastAsia="TimesNewRoman"/>
          <w:sz w:val="22"/>
          <w:szCs w:val="22"/>
          <w:lang w:val="sr-Latn-ME"/>
        </w:rPr>
      </w:pPr>
    </w:p>
    <w:p w14:paraId="401CEAEF" w14:textId="4C37DCEA" w:rsidR="00B73F2A" w:rsidRPr="00BD78F9" w:rsidRDefault="00B73F2A">
      <w:pPr>
        <w:tabs>
          <w:tab w:val="left" w:pos="284"/>
        </w:tabs>
        <w:jc w:val="both"/>
        <w:rPr>
          <w:rFonts w:eastAsia="TimesNewRoman"/>
          <w:sz w:val="22"/>
          <w:szCs w:val="22"/>
          <w:lang w:val="sr-Latn-ME"/>
        </w:rPr>
      </w:pPr>
      <w:r w:rsidRPr="00BD78F9">
        <w:rPr>
          <w:sz w:val="22"/>
          <w:szCs w:val="22"/>
          <w:lang w:val="sr-Latn-ME"/>
        </w:rPr>
        <w:t>Efikasnost i bezb</w:t>
      </w:r>
      <w:r w:rsidR="00525104" w:rsidRPr="00BD78F9">
        <w:rPr>
          <w:sz w:val="22"/>
          <w:szCs w:val="22"/>
          <w:lang w:val="sr-Latn-ME"/>
        </w:rPr>
        <w:t>j</w:t>
      </w:r>
      <w:r w:rsidRPr="00BD78F9">
        <w:rPr>
          <w:sz w:val="22"/>
          <w:szCs w:val="22"/>
          <w:lang w:val="sr-Latn-ME"/>
        </w:rPr>
        <w:t xml:space="preserve">ednost </w:t>
      </w:r>
      <w:r w:rsidR="004D0E29" w:rsidRPr="00BD78F9">
        <w:rPr>
          <w:sz w:val="22"/>
          <w:szCs w:val="22"/>
          <w:lang w:val="sr-Latn-ME"/>
        </w:rPr>
        <w:t xml:space="preserve">lijeka </w:t>
      </w:r>
      <w:r w:rsidR="00525104" w:rsidRPr="00BD78F9">
        <w:rPr>
          <w:sz w:val="22"/>
          <w:szCs w:val="22"/>
          <w:lang w:val="sr-Latn-ME"/>
        </w:rPr>
        <w:t xml:space="preserve">lijeka </w:t>
      </w:r>
      <w:r w:rsidRPr="00BD78F9">
        <w:rPr>
          <w:sz w:val="22"/>
          <w:szCs w:val="22"/>
          <w:lang w:val="sr-Latn-ME"/>
        </w:rPr>
        <w:t>Trixeo Aerosphere oc</w:t>
      </w:r>
      <w:r w:rsidR="004D0E29" w:rsidRPr="00BD78F9">
        <w:rPr>
          <w:sz w:val="22"/>
          <w:szCs w:val="22"/>
          <w:lang w:val="sr-Latn-ME"/>
        </w:rPr>
        <w:t>j</w:t>
      </w:r>
      <w:r w:rsidRPr="00BD78F9">
        <w:rPr>
          <w:sz w:val="22"/>
          <w:szCs w:val="22"/>
          <w:lang w:val="sr-Latn-ME"/>
        </w:rPr>
        <w:t xml:space="preserve">enjivane su kod pacijenata sa </w:t>
      </w:r>
      <w:r w:rsidR="004D0E29" w:rsidRPr="00BD78F9">
        <w:rPr>
          <w:sz w:val="22"/>
          <w:szCs w:val="22"/>
          <w:lang w:val="sr-Latn-ME"/>
        </w:rPr>
        <w:t>umjerenom</w:t>
      </w:r>
      <w:r w:rsidRPr="00BD78F9">
        <w:rPr>
          <w:sz w:val="22"/>
          <w:szCs w:val="22"/>
          <w:lang w:val="sr-Latn-ME"/>
        </w:rPr>
        <w:t xml:space="preserve"> do vrlo teškom HOBP u dva randomizovana ispitivanja sa paralelnim grupama, ETHOS i KRONOS. Ob</w:t>
      </w:r>
      <w:r w:rsidR="00525104" w:rsidRPr="00BD78F9">
        <w:rPr>
          <w:sz w:val="22"/>
          <w:szCs w:val="22"/>
          <w:lang w:val="sr-Latn-ME"/>
        </w:rPr>
        <w:t>j</w:t>
      </w:r>
      <w:r w:rsidRPr="00BD78F9">
        <w:rPr>
          <w:sz w:val="22"/>
          <w:szCs w:val="22"/>
          <w:lang w:val="sr-Latn-ME"/>
        </w:rPr>
        <w:t>e studije su bile multicentrične i dvostruko sl</w:t>
      </w:r>
      <w:r w:rsidR="004D0E29" w:rsidRPr="00BD78F9">
        <w:rPr>
          <w:sz w:val="22"/>
          <w:szCs w:val="22"/>
          <w:lang w:val="sr-Latn-ME"/>
        </w:rPr>
        <w:t>ij</w:t>
      </w:r>
      <w:r w:rsidRPr="00BD78F9">
        <w:rPr>
          <w:sz w:val="22"/>
          <w:szCs w:val="22"/>
          <w:lang w:val="sr-Latn-ME"/>
        </w:rPr>
        <w:t xml:space="preserve">epe. Pacijenti su </w:t>
      </w:r>
      <w:r w:rsidR="00950F06" w:rsidRPr="00BD78F9">
        <w:rPr>
          <w:sz w:val="22"/>
          <w:szCs w:val="22"/>
          <w:lang w:val="sr-Latn-ME"/>
        </w:rPr>
        <w:t xml:space="preserve">uprkos svakodnevnoj primjeni dvije ili više terapija održavanja tokom najmanje 6 nedjelja prije randomizacije imali simptome </w:t>
      </w:r>
      <w:r w:rsidRPr="00BD78F9">
        <w:rPr>
          <w:sz w:val="22"/>
          <w:szCs w:val="22"/>
          <w:lang w:val="sr-Latn-ME"/>
        </w:rPr>
        <w:t>HOBP</w:t>
      </w:r>
      <w:r w:rsidR="00950F06" w:rsidRPr="00BD78F9">
        <w:rPr>
          <w:sz w:val="22"/>
          <w:szCs w:val="22"/>
          <w:lang w:val="sr-Latn-ME"/>
        </w:rPr>
        <w:t>-a</w:t>
      </w:r>
      <w:r w:rsidRPr="00BD78F9">
        <w:rPr>
          <w:sz w:val="22"/>
          <w:szCs w:val="22"/>
          <w:lang w:val="sr-Latn-ME"/>
        </w:rPr>
        <w:t xml:space="preserve"> </w:t>
      </w:r>
      <w:r w:rsidR="00950F06" w:rsidRPr="00BD78F9">
        <w:rPr>
          <w:sz w:val="22"/>
          <w:szCs w:val="22"/>
          <w:lang w:val="sr-Latn-ME"/>
        </w:rPr>
        <w:t xml:space="preserve">i rezultat testa za procjenu HOBP-a </w:t>
      </w:r>
      <w:r w:rsidRPr="00BD78F9">
        <w:rPr>
          <w:sz w:val="22"/>
          <w:szCs w:val="22"/>
          <w:lang w:val="sr-Latn-ME"/>
        </w:rPr>
        <w:t>(</w:t>
      </w:r>
      <w:r w:rsidR="00950F06" w:rsidRPr="00271855">
        <w:rPr>
          <w:sz w:val="22"/>
          <w:szCs w:val="22"/>
          <w:lang w:val="sr-Latn-ME"/>
        </w:rPr>
        <w:t>engl. COPD Assessment Test</w:t>
      </w:r>
      <w:r w:rsidR="00950F06" w:rsidRPr="00BD78F9">
        <w:rPr>
          <w:sz w:val="22"/>
          <w:szCs w:val="22"/>
          <w:lang w:val="sr-Latn-ME"/>
        </w:rPr>
        <w:t xml:space="preserve"> </w:t>
      </w:r>
      <w:r w:rsidRPr="00BD78F9">
        <w:rPr>
          <w:sz w:val="22"/>
          <w:szCs w:val="22"/>
          <w:lang w:val="sr-Latn-ME"/>
        </w:rPr>
        <w:t>CAT) ≥</w:t>
      </w:r>
      <w:r w:rsidR="00950F06" w:rsidRPr="00BD78F9">
        <w:rPr>
          <w:sz w:val="22"/>
          <w:szCs w:val="22"/>
          <w:lang w:val="sr-Latn-ME"/>
        </w:rPr>
        <w:t>10.</w:t>
      </w:r>
    </w:p>
    <w:p w14:paraId="306DA5B2" w14:textId="77777777" w:rsidR="00B73F2A" w:rsidRPr="00BD78F9" w:rsidRDefault="00B73F2A">
      <w:pPr>
        <w:tabs>
          <w:tab w:val="left" w:pos="284"/>
        </w:tabs>
        <w:autoSpaceDE w:val="0"/>
        <w:autoSpaceDN w:val="0"/>
        <w:adjustRightInd w:val="0"/>
        <w:jc w:val="both"/>
        <w:rPr>
          <w:rFonts w:eastAsia="TimesNewRoman"/>
          <w:sz w:val="22"/>
          <w:szCs w:val="22"/>
          <w:lang w:val="sr-Latn-ME"/>
        </w:rPr>
      </w:pPr>
    </w:p>
    <w:p w14:paraId="797A7374" w14:textId="2D9F5E92" w:rsidR="00B73F2A" w:rsidRPr="00BD78F9" w:rsidRDefault="00B73F2A">
      <w:pPr>
        <w:tabs>
          <w:tab w:val="left" w:pos="284"/>
        </w:tabs>
        <w:autoSpaceDE w:val="0"/>
        <w:autoSpaceDN w:val="0"/>
        <w:adjustRightInd w:val="0"/>
        <w:jc w:val="both"/>
        <w:rPr>
          <w:rFonts w:eastAsia="Calibri"/>
          <w:sz w:val="22"/>
          <w:szCs w:val="22"/>
          <w:lang w:val="sr-Latn-ME"/>
        </w:rPr>
      </w:pPr>
      <w:r w:rsidRPr="00BD78F9">
        <w:rPr>
          <w:sz w:val="22"/>
          <w:szCs w:val="22"/>
          <w:lang w:val="sr-Latn-ME"/>
        </w:rPr>
        <w:t>ETHOS je bilo 52-ned</w:t>
      </w:r>
      <w:r w:rsidR="00525104" w:rsidRPr="00BD78F9">
        <w:rPr>
          <w:sz w:val="22"/>
          <w:szCs w:val="22"/>
          <w:lang w:val="sr-Latn-ME"/>
        </w:rPr>
        <w:t>j</w:t>
      </w:r>
      <w:r w:rsidRPr="00BD78F9">
        <w:rPr>
          <w:sz w:val="22"/>
          <w:szCs w:val="22"/>
          <w:lang w:val="sr-Latn-ME"/>
        </w:rPr>
        <w:t xml:space="preserve">eljno ispitivanje (N = 8588 randomizovanih; 60% muškaraca, srednja starost 65) </w:t>
      </w:r>
      <w:r w:rsidR="002C6861" w:rsidRPr="00BD78F9">
        <w:rPr>
          <w:sz w:val="22"/>
          <w:szCs w:val="22"/>
          <w:lang w:val="sr-Latn-ME"/>
        </w:rPr>
        <w:t>u kojem se</w:t>
      </w:r>
      <w:r w:rsidRPr="00BD78F9">
        <w:rPr>
          <w:sz w:val="22"/>
          <w:szCs w:val="22"/>
          <w:lang w:val="sr-Latn-ME"/>
        </w:rPr>
        <w:t xml:space="preserve"> </w:t>
      </w:r>
      <w:r w:rsidR="004D0E29" w:rsidRPr="00BD78F9">
        <w:rPr>
          <w:sz w:val="22"/>
          <w:szCs w:val="22"/>
          <w:lang w:val="sr-Latn-ME"/>
        </w:rPr>
        <w:t xml:space="preserve">lijeka </w:t>
      </w:r>
      <w:r w:rsidRPr="00BD78F9">
        <w:rPr>
          <w:sz w:val="22"/>
          <w:szCs w:val="22"/>
          <w:lang w:val="sr-Latn-ME"/>
        </w:rPr>
        <w:t>Trixeo Aerosphere</w:t>
      </w:r>
      <w:r w:rsidR="002C6861" w:rsidRPr="00BD78F9">
        <w:rPr>
          <w:sz w:val="22"/>
          <w:szCs w:val="22"/>
          <w:lang w:val="sr-Latn-ME"/>
        </w:rPr>
        <w:t xml:space="preserve"> upoređivao sa</w:t>
      </w:r>
      <w:r w:rsidRPr="00BD78F9">
        <w:rPr>
          <w:sz w:val="22"/>
          <w:szCs w:val="22"/>
          <w:lang w:val="sr-Latn-ME"/>
        </w:rPr>
        <w:t xml:space="preserve"> </w:t>
      </w:r>
      <w:r w:rsidR="002C6861" w:rsidRPr="00BD78F9">
        <w:rPr>
          <w:sz w:val="22"/>
          <w:szCs w:val="22"/>
          <w:lang w:val="sr-Latn-ME"/>
        </w:rPr>
        <w:t xml:space="preserve">kombinacijama </w:t>
      </w:r>
      <w:r w:rsidRPr="00BD78F9">
        <w:rPr>
          <w:sz w:val="22"/>
          <w:lang w:val="sr-Latn-ME"/>
        </w:rPr>
        <w:t xml:space="preserve">formoterol-fumarat-dihidrata/glikopironijuma (FOR/GLY) MDI </w:t>
      </w:r>
      <w:r w:rsidR="002C6861" w:rsidRPr="00BD78F9">
        <w:rPr>
          <w:sz w:val="22"/>
          <w:lang w:val="sr-Latn-ME"/>
        </w:rPr>
        <w:t xml:space="preserve">u dozi od </w:t>
      </w:r>
      <w:r w:rsidRPr="00BD78F9">
        <w:rPr>
          <w:sz w:val="22"/>
          <w:lang w:val="sr-Latn-ME"/>
        </w:rPr>
        <w:t>5/7,2 mikrograma</w:t>
      </w:r>
      <w:r w:rsidRPr="00BD78F9">
        <w:rPr>
          <w:sz w:val="22"/>
          <w:szCs w:val="22"/>
          <w:lang w:val="sr-Latn-ME"/>
        </w:rPr>
        <w:t xml:space="preserve"> i </w:t>
      </w:r>
      <w:r w:rsidRPr="00BD78F9">
        <w:rPr>
          <w:sz w:val="22"/>
          <w:lang w:val="sr-Latn-ME"/>
        </w:rPr>
        <w:t xml:space="preserve">formoterol-fumarat-dihidrata/budesonida (FOR/BUD) MDI </w:t>
      </w:r>
      <w:r w:rsidR="002C6861" w:rsidRPr="00BD78F9">
        <w:rPr>
          <w:sz w:val="22"/>
          <w:lang w:val="sr-Latn-ME"/>
        </w:rPr>
        <w:t xml:space="preserve">u dozi od </w:t>
      </w:r>
      <w:r w:rsidRPr="00BD78F9">
        <w:rPr>
          <w:sz w:val="22"/>
          <w:lang w:val="sr-Latn-ME"/>
        </w:rPr>
        <w:t>5/160 mikrograma</w:t>
      </w:r>
      <w:r w:rsidRPr="00BD78F9">
        <w:rPr>
          <w:sz w:val="22"/>
          <w:szCs w:val="22"/>
          <w:lang w:val="sr-Latn-ME"/>
        </w:rPr>
        <w:t xml:space="preserve">. Pacijenti su imali </w:t>
      </w:r>
      <w:r w:rsidR="004D0E29" w:rsidRPr="00BD78F9">
        <w:rPr>
          <w:sz w:val="22"/>
          <w:szCs w:val="22"/>
          <w:lang w:val="sr-Latn-ME"/>
        </w:rPr>
        <w:t>umjerenu</w:t>
      </w:r>
      <w:r w:rsidRPr="00BD78F9">
        <w:rPr>
          <w:sz w:val="22"/>
          <w:szCs w:val="22"/>
          <w:lang w:val="sr-Latn-ME"/>
        </w:rPr>
        <w:t xml:space="preserve"> do vrlo tešku HOBP (FEV</w:t>
      </w:r>
      <w:r w:rsidRPr="00BD78F9">
        <w:rPr>
          <w:sz w:val="14"/>
          <w:szCs w:val="14"/>
          <w:lang w:val="sr-Latn-ME"/>
        </w:rPr>
        <w:t xml:space="preserve">1 </w:t>
      </w:r>
      <w:r w:rsidRPr="00BD78F9">
        <w:rPr>
          <w:sz w:val="22"/>
          <w:szCs w:val="22"/>
          <w:lang w:val="sr-Latn-ME"/>
        </w:rPr>
        <w:t>nakon bronhodilatatora ≥ 25% do &lt; 65%</w:t>
      </w:r>
      <w:r w:rsidRPr="00BD78F9">
        <w:rPr>
          <w:sz w:val="14"/>
          <w:szCs w:val="14"/>
          <w:lang w:val="sr-Latn-ME"/>
        </w:rPr>
        <w:t xml:space="preserve"> </w:t>
      </w:r>
      <w:r w:rsidRPr="00BD78F9">
        <w:rPr>
          <w:sz w:val="22"/>
          <w:szCs w:val="22"/>
          <w:lang w:val="sr-Latn-ME"/>
        </w:rPr>
        <w:t xml:space="preserve">predviđene </w:t>
      </w:r>
      <w:r w:rsidR="004D0E29" w:rsidRPr="00BD78F9">
        <w:rPr>
          <w:sz w:val="22"/>
          <w:szCs w:val="22"/>
          <w:lang w:val="sr-Latn-ME"/>
        </w:rPr>
        <w:t>vrijednost</w:t>
      </w:r>
      <w:r w:rsidRPr="00BD78F9">
        <w:rPr>
          <w:sz w:val="22"/>
          <w:szCs w:val="22"/>
          <w:lang w:val="sr-Latn-ME"/>
        </w:rPr>
        <w:t xml:space="preserve">i) i bilo je neophodno da u anamnezi imaju jednu ili više </w:t>
      </w:r>
      <w:r w:rsidR="004D0E29" w:rsidRPr="00BD78F9">
        <w:rPr>
          <w:sz w:val="22"/>
          <w:szCs w:val="22"/>
          <w:lang w:val="sr-Latn-ME"/>
        </w:rPr>
        <w:t>umjerenih</w:t>
      </w:r>
      <w:r w:rsidRPr="00BD78F9">
        <w:rPr>
          <w:sz w:val="22"/>
          <w:szCs w:val="22"/>
          <w:lang w:val="sr-Latn-ME"/>
        </w:rPr>
        <w:t xml:space="preserve"> ili teških egzacerbacija HOBP u godini pr</w:t>
      </w:r>
      <w:r w:rsidR="00525104" w:rsidRPr="00BD78F9">
        <w:rPr>
          <w:sz w:val="22"/>
          <w:szCs w:val="22"/>
          <w:lang w:val="sr-Latn-ME"/>
        </w:rPr>
        <w:t>ij</w:t>
      </w:r>
      <w:r w:rsidRPr="00BD78F9">
        <w:rPr>
          <w:sz w:val="22"/>
          <w:szCs w:val="22"/>
          <w:lang w:val="sr-Latn-ME"/>
        </w:rPr>
        <w:t xml:space="preserve">e skrininga. </w:t>
      </w:r>
      <w:bookmarkStart w:id="2" w:name="_Hlk20215119"/>
      <w:r w:rsidRPr="00BD78F9">
        <w:rPr>
          <w:sz w:val="22"/>
          <w:lang w:val="sr-Latn-ME"/>
        </w:rPr>
        <w:t xml:space="preserve">Procenat pacijenata sa </w:t>
      </w:r>
      <w:r w:rsidR="004D0E29" w:rsidRPr="00BD78F9">
        <w:rPr>
          <w:sz w:val="22"/>
          <w:lang w:val="sr-Latn-ME"/>
        </w:rPr>
        <w:t>umjerenom</w:t>
      </w:r>
      <w:r w:rsidRPr="00BD78F9">
        <w:rPr>
          <w:sz w:val="22"/>
          <w:lang w:val="sr-Latn-ME"/>
        </w:rPr>
        <w:t xml:space="preserve">, teškom i veoma teškom HOBP bio je redom 29%, 61% i 11%. </w:t>
      </w:r>
      <w:r w:rsidRPr="00BD78F9">
        <w:rPr>
          <w:sz w:val="22"/>
          <w:szCs w:val="22"/>
          <w:lang w:val="sr-Latn-ME"/>
        </w:rPr>
        <w:t>Na početku ispitivanja srednja vr</w:t>
      </w:r>
      <w:r w:rsidR="004D0E29" w:rsidRPr="00BD78F9">
        <w:rPr>
          <w:sz w:val="22"/>
          <w:szCs w:val="22"/>
          <w:lang w:val="sr-Latn-ME"/>
        </w:rPr>
        <w:t>ij</w:t>
      </w:r>
      <w:r w:rsidRPr="00BD78F9">
        <w:rPr>
          <w:sz w:val="22"/>
          <w:szCs w:val="22"/>
          <w:lang w:val="sr-Latn-ME"/>
        </w:rPr>
        <w:t>ednost FEV</w:t>
      </w:r>
      <w:r w:rsidRPr="00BD78F9">
        <w:rPr>
          <w:sz w:val="22"/>
          <w:szCs w:val="22"/>
          <w:vertAlign w:val="subscript"/>
          <w:lang w:val="sr-Latn-ME"/>
        </w:rPr>
        <w:t>1</w:t>
      </w:r>
      <w:r w:rsidRPr="00BD78F9">
        <w:rPr>
          <w:sz w:val="22"/>
          <w:szCs w:val="22"/>
          <w:lang w:val="sr-Latn-ME"/>
        </w:rPr>
        <w:t xml:space="preserve"> u svim grupama iznosila je 1021–1066 m</w:t>
      </w:r>
      <w:r w:rsidR="00525104" w:rsidRPr="00BD78F9">
        <w:rPr>
          <w:sz w:val="22"/>
          <w:szCs w:val="22"/>
          <w:lang w:val="sr-Latn-ME"/>
        </w:rPr>
        <w:t>l</w:t>
      </w:r>
      <w:r w:rsidRPr="00BD78F9">
        <w:rPr>
          <w:sz w:val="22"/>
          <w:szCs w:val="22"/>
          <w:lang w:val="sr-Latn-ME"/>
        </w:rPr>
        <w:t>, a tokom skrininga je srednja vr</w:t>
      </w:r>
      <w:r w:rsidR="004D0E29" w:rsidRPr="00BD78F9">
        <w:rPr>
          <w:sz w:val="22"/>
          <w:szCs w:val="22"/>
          <w:lang w:val="sr-Latn-ME"/>
        </w:rPr>
        <w:t>ij</w:t>
      </w:r>
      <w:r w:rsidRPr="00BD78F9">
        <w:rPr>
          <w:sz w:val="22"/>
          <w:szCs w:val="22"/>
          <w:lang w:val="sr-Latn-ME"/>
        </w:rPr>
        <w:t>ednost FEV</w:t>
      </w:r>
      <w:r w:rsidRPr="00BD78F9">
        <w:rPr>
          <w:sz w:val="14"/>
          <w:szCs w:val="14"/>
          <w:lang w:val="sr-Latn-ME"/>
        </w:rPr>
        <w:t xml:space="preserve">1 </w:t>
      </w:r>
      <w:r w:rsidRPr="00BD78F9">
        <w:rPr>
          <w:sz w:val="22"/>
          <w:szCs w:val="22"/>
          <w:lang w:val="sr-Latn-ME"/>
        </w:rPr>
        <w:t xml:space="preserve"> nakon </w:t>
      </w:r>
      <w:r w:rsidR="004D0E29" w:rsidRPr="00BD78F9">
        <w:rPr>
          <w:sz w:val="22"/>
          <w:szCs w:val="22"/>
          <w:lang w:val="sr-Latn-ME"/>
        </w:rPr>
        <w:t>primjene</w:t>
      </w:r>
      <w:r w:rsidRPr="00BD78F9">
        <w:rPr>
          <w:sz w:val="22"/>
          <w:szCs w:val="22"/>
          <w:lang w:val="sr-Latn-ME"/>
        </w:rPr>
        <w:t xml:space="preserve"> bronhodilatatora iznosila 43%</w:t>
      </w:r>
      <w:bookmarkEnd w:id="2"/>
      <w:r w:rsidRPr="00BD78F9">
        <w:rPr>
          <w:sz w:val="22"/>
          <w:szCs w:val="22"/>
          <w:lang w:val="sr-Latn-ME"/>
        </w:rPr>
        <w:t xml:space="preserve"> predviđene vr</w:t>
      </w:r>
      <w:r w:rsidR="004D0E29" w:rsidRPr="00BD78F9">
        <w:rPr>
          <w:sz w:val="22"/>
          <w:szCs w:val="22"/>
          <w:lang w:val="sr-Latn-ME"/>
        </w:rPr>
        <w:t>ij</w:t>
      </w:r>
      <w:r w:rsidRPr="00BD78F9">
        <w:rPr>
          <w:sz w:val="22"/>
          <w:szCs w:val="22"/>
          <w:lang w:val="sr-Latn-ME"/>
        </w:rPr>
        <w:t>ednosti, dok je srednja vr</w:t>
      </w:r>
      <w:r w:rsidR="004D0E29" w:rsidRPr="00BD78F9">
        <w:rPr>
          <w:sz w:val="22"/>
          <w:szCs w:val="22"/>
          <w:lang w:val="sr-Latn-ME"/>
        </w:rPr>
        <w:t>ij</w:t>
      </w:r>
      <w:r w:rsidRPr="00BD78F9">
        <w:rPr>
          <w:sz w:val="22"/>
          <w:szCs w:val="22"/>
          <w:lang w:val="sr-Latn-ME"/>
        </w:rPr>
        <w:t xml:space="preserve">ednost CAT skora iznosila 19,6. Primarna </w:t>
      </w:r>
      <w:r w:rsidR="002C6861" w:rsidRPr="00BD78F9">
        <w:rPr>
          <w:sz w:val="22"/>
          <w:szCs w:val="22"/>
          <w:lang w:val="sr-Latn-ME"/>
        </w:rPr>
        <w:t>mjera ishoda</w:t>
      </w:r>
      <w:r w:rsidRPr="00BD78F9">
        <w:rPr>
          <w:sz w:val="22"/>
          <w:szCs w:val="22"/>
          <w:lang w:val="sr-Latn-ME"/>
        </w:rPr>
        <w:t xml:space="preserve"> ispitivanja ETHOS bila je </w:t>
      </w:r>
      <w:r w:rsidRPr="00BD78F9">
        <w:rPr>
          <w:color w:val="000000"/>
          <w:sz w:val="22"/>
          <w:szCs w:val="22"/>
          <w:lang w:val="sr-Latn-ME"/>
        </w:rPr>
        <w:t>stopa um</w:t>
      </w:r>
      <w:r w:rsidR="004D0E29" w:rsidRPr="00BD78F9">
        <w:rPr>
          <w:color w:val="000000"/>
          <w:sz w:val="22"/>
          <w:szCs w:val="22"/>
          <w:lang w:val="sr-Latn-ME"/>
        </w:rPr>
        <w:t>j</w:t>
      </w:r>
      <w:r w:rsidRPr="00BD78F9">
        <w:rPr>
          <w:color w:val="000000"/>
          <w:sz w:val="22"/>
          <w:szCs w:val="22"/>
          <w:lang w:val="sr-Latn-ME"/>
        </w:rPr>
        <w:t xml:space="preserve">erene ili teške egzacerbacije HOBP tokom terapije </w:t>
      </w:r>
      <w:r w:rsidR="00525104" w:rsidRPr="00BD78F9">
        <w:rPr>
          <w:color w:val="000000"/>
          <w:sz w:val="22"/>
          <w:szCs w:val="22"/>
          <w:lang w:val="sr-Latn-ME"/>
        </w:rPr>
        <w:t>lijek</w:t>
      </w:r>
      <w:r w:rsidR="002C6861" w:rsidRPr="00BD78F9">
        <w:rPr>
          <w:color w:val="000000"/>
          <w:sz w:val="22"/>
          <w:szCs w:val="22"/>
          <w:lang w:val="sr-Latn-ME"/>
        </w:rPr>
        <w:t>om</w:t>
      </w:r>
      <w:r w:rsidR="00525104" w:rsidRPr="00BD78F9">
        <w:rPr>
          <w:color w:val="000000"/>
          <w:sz w:val="22"/>
          <w:szCs w:val="22"/>
          <w:lang w:val="sr-Latn-ME"/>
        </w:rPr>
        <w:t xml:space="preserve"> </w:t>
      </w:r>
      <w:r w:rsidRPr="00BD78F9">
        <w:rPr>
          <w:color w:val="000000"/>
          <w:sz w:val="22"/>
          <w:szCs w:val="22"/>
          <w:lang w:val="sr-Latn-ME"/>
        </w:rPr>
        <w:t>Trixeo Aerosphere u poređenju sa FOR/GLY MDI i FOR/BUD MDI.</w:t>
      </w:r>
    </w:p>
    <w:p w14:paraId="69AC2884" w14:textId="77777777" w:rsidR="00B73F2A" w:rsidRPr="00BD78F9" w:rsidRDefault="00B73F2A">
      <w:pPr>
        <w:tabs>
          <w:tab w:val="left" w:pos="284"/>
        </w:tabs>
        <w:autoSpaceDE w:val="0"/>
        <w:autoSpaceDN w:val="0"/>
        <w:adjustRightInd w:val="0"/>
        <w:jc w:val="both"/>
        <w:rPr>
          <w:rFonts w:eastAsia="TimesNewRoman"/>
          <w:sz w:val="22"/>
          <w:szCs w:val="22"/>
          <w:lang w:val="sr-Latn-ME"/>
        </w:rPr>
      </w:pPr>
    </w:p>
    <w:p w14:paraId="0C9B4811" w14:textId="322B4EED" w:rsidR="00B73F2A" w:rsidRPr="00BD78F9" w:rsidRDefault="00B73F2A">
      <w:pPr>
        <w:tabs>
          <w:tab w:val="left" w:pos="284"/>
        </w:tabs>
        <w:jc w:val="both"/>
        <w:rPr>
          <w:sz w:val="22"/>
          <w:szCs w:val="22"/>
          <w:lang w:val="sr-Latn-ME"/>
        </w:rPr>
      </w:pPr>
      <w:r w:rsidRPr="00BD78F9">
        <w:rPr>
          <w:sz w:val="22"/>
          <w:szCs w:val="22"/>
          <w:lang w:val="sr-Latn-ME"/>
        </w:rPr>
        <w:t>KRONOS je bilo 24-ned</w:t>
      </w:r>
      <w:r w:rsidR="00525104" w:rsidRPr="00BD78F9">
        <w:rPr>
          <w:sz w:val="22"/>
          <w:szCs w:val="22"/>
          <w:lang w:val="sr-Latn-ME"/>
        </w:rPr>
        <w:t>j</w:t>
      </w:r>
      <w:r w:rsidRPr="00BD78F9">
        <w:rPr>
          <w:sz w:val="22"/>
          <w:szCs w:val="22"/>
          <w:lang w:val="sr-Latn-ME"/>
        </w:rPr>
        <w:t xml:space="preserve">eljno ispitivanje (N = 1902 randomizovano; 71% muškarci, srednja starost 65) </w:t>
      </w:r>
      <w:r w:rsidRPr="00BD78F9">
        <w:rPr>
          <w:sz w:val="22"/>
          <w:lang w:val="sr-Latn-ME"/>
        </w:rPr>
        <w:t>u ko</w:t>
      </w:r>
      <w:r w:rsidR="00216470" w:rsidRPr="00BD78F9">
        <w:rPr>
          <w:sz w:val="22"/>
          <w:lang w:val="sr-Latn-ME"/>
        </w:rPr>
        <w:t>jem se lijek</w:t>
      </w:r>
      <w:r w:rsidR="00525104" w:rsidRPr="00BD78F9">
        <w:rPr>
          <w:sz w:val="22"/>
          <w:lang w:val="sr-Latn-ME"/>
        </w:rPr>
        <w:t xml:space="preserve"> </w:t>
      </w:r>
      <w:r w:rsidRPr="00BD78F9">
        <w:rPr>
          <w:sz w:val="22"/>
          <w:szCs w:val="22"/>
          <w:lang w:val="sr-Latn-ME"/>
        </w:rPr>
        <w:t>Trixeo Aerosphere</w:t>
      </w:r>
      <w:r w:rsidR="00525104" w:rsidRPr="00BD78F9">
        <w:rPr>
          <w:sz w:val="22"/>
          <w:lang w:val="sr-Latn-ME"/>
        </w:rPr>
        <w:t xml:space="preserve"> </w:t>
      </w:r>
      <w:r w:rsidR="00216470" w:rsidRPr="00BD78F9">
        <w:rPr>
          <w:sz w:val="22"/>
          <w:lang w:val="sr-Latn-ME"/>
        </w:rPr>
        <w:t>upoređivao</w:t>
      </w:r>
      <w:r w:rsidR="00525104" w:rsidRPr="00BD78F9">
        <w:rPr>
          <w:sz w:val="22"/>
          <w:lang w:val="sr-Latn-ME"/>
        </w:rPr>
        <w:t xml:space="preserve"> sa kombinacijama</w:t>
      </w:r>
      <w:r w:rsidRPr="00BD78F9">
        <w:rPr>
          <w:sz w:val="22"/>
          <w:lang w:val="sr-Latn-ME"/>
        </w:rPr>
        <w:t xml:space="preserve"> FOR/GLY MDI </w:t>
      </w:r>
      <w:r w:rsidR="00525104" w:rsidRPr="00BD78F9">
        <w:rPr>
          <w:sz w:val="22"/>
          <w:lang w:val="sr-Latn-ME"/>
        </w:rPr>
        <w:t xml:space="preserve">u dozi od </w:t>
      </w:r>
      <w:r w:rsidRPr="00BD78F9">
        <w:rPr>
          <w:sz w:val="22"/>
          <w:lang w:val="sr-Latn-ME"/>
        </w:rPr>
        <w:t xml:space="preserve">5/7,2 </w:t>
      </w:r>
      <w:r w:rsidRPr="00BD78F9">
        <w:rPr>
          <w:sz w:val="22"/>
          <w:lang w:val="sr-Latn-ME"/>
        </w:rPr>
        <w:lastRenderedPageBreak/>
        <w:t>mikrograma</w:t>
      </w:r>
      <w:r w:rsidR="00525104" w:rsidRPr="00BD78F9">
        <w:rPr>
          <w:sz w:val="22"/>
          <w:lang w:val="sr-Latn-ME"/>
        </w:rPr>
        <w:t xml:space="preserve"> i</w:t>
      </w:r>
      <w:r w:rsidRPr="00BD78F9">
        <w:rPr>
          <w:sz w:val="22"/>
          <w:lang w:val="sr-Latn-ME"/>
        </w:rPr>
        <w:t xml:space="preserve"> FOR/BUD MDI</w:t>
      </w:r>
      <w:r w:rsidR="00525104" w:rsidRPr="00BD78F9">
        <w:rPr>
          <w:sz w:val="22"/>
          <w:lang w:val="sr-Latn-ME"/>
        </w:rPr>
        <w:t xml:space="preserve"> u dozi od </w:t>
      </w:r>
      <w:r w:rsidRPr="00BD78F9">
        <w:rPr>
          <w:sz w:val="22"/>
          <w:lang w:val="sr-Latn-ME"/>
        </w:rPr>
        <w:t>5/160 mikrograma i otvoren</w:t>
      </w:r>
      <w:r w:rsidR="00525104" w:rsidRPr="00BD78F9">
        <w:rPr>
          <w:sz w:val="22"/>
          <w:lang w:val="sr-Latn-ME"/>
        </w:rPr>
        <w:t>om</w:t>
      </w:r>
      <w:r w:rsidRPr="00BD78F9">
        <w:rPr>
          <w:sz w:val="22"/>
          <w:lang w:val="sr-Latn-ME"/>
        </w:rPr>
        <w:t xml:space="preserve"> </w:t>
      </w:r>
      <w:r w:rsidR="004D0E29" w:rsidRPr="00BD78F9">
        <w:rPr>
          <w:sz w:val="22"/>
          <w:lang w:val="sr-Latn-ME"/>
        </w:rPr>
        <w:t>primjen</w:t>
      </w:r>
      <w:r w:rsidR="00525104" w:rsidRPr="00BD78F9">
        <w:rPr>
          <w:sz w:val="22"/>
          <w:lang w:val="sr-Latn-ME"/>
        </w:rPr>
        <w:t>om</w:t>
      </w:r>
      <w:r w:rsidRPr="00BD78F9">
        <w:rPr>
          <w:sz w:val="22"/>
          <w:lang w:val="sr-Latn-ME"/>
        </w:rPr>
        <w:t xml:space="preserve"> aktivnog komparatora formoterol-fumarat-dihidrat/budesonid putem inhalatora Turbuhaler (FOR/BUD TBH) </w:t>
      </w:r>
      <w:r w:rsidR="00525104" w:rsidRPr="00BD78F9">
        <w:rPr>
          <w:sz w:val="22"/>
          <w:lang w:val="sr-Latn-ME"/>
        </w:rPr>
        <w:t xml:space="preserve">u dozi od </w:t>
      </w:r>
      <w:r w:rsidRPr="00BD78F9">
        <w:rPr>
          <w:sz w:val="22"/>
          <w:lang w:val="sr-Latn-ME"/>
        </w:rPr>
        <w:t>6/200 mikrograma</w:t>
      </w:r>
      <w:r w:rsidR="00216470" w:rsidRPr="00BD78F9">
        <w:rPr>
          <w:sz w:val="22"/>
          <w:lang w:val="sr-Latn-ME"/>
        </w:rPr>
        <w:t>; svi su se primjenjivali u dvije inhalacije dva puta na dan.</w:t>
      </w:r>
      <w:r w:rsidRPr="00BD78F9">
        <w:rPr>
          <w:sz w:val="22"/>
          <w:lang w:val="sr-Latn-ME"/>
        </w:rPr>
        <w:t xml:space="preserve"> Pacijenti su imali </w:t>
      </w:r>
      <w:r w:rsidR="004D0E29" w:rsidRPr="00BD78F9">
        <w:rPr>
          <w:sz w:val="22"/>
          <w:szCs w:val="22"/>
          <w:lang w:val="sr-Latn-ME"/>
        </w:rPr>
        <w:t>umjerenu</w:t>
      </w:r>
      <w:r w:rsidRPr="00BD78F9">
        <w:rPr>
          <w:sz w:val="22"/>
          <w:szCs w:val="22"/>
          <w:lang w:val="sr-Latn-ME"/>
        </w:rPr>
        <w:t xml:space="preserve"> do vrlo tešku HOBP (FEV</w:t>
      </w:r>
      <w:r w:rsidRPr="00BD78F9">
        <w:rPr>
          <w:sz w:val="14"/>
          <w:szCs w:val="14"/>
          <w:lang w:val="sr-Latn-ME"/>
        </w:rPr>
        <w:t xml:space="preserve">1 </w:t>
      </w:r>
      <w:r w:rsidRPr="00BD78F9">
        <w:rPr>
          <w:sz w:val="22"/>
          <w:szCs w:val="22"/>
          <w:lang w:val="sr-Latn-ME"/>
        </w:rPr>
        <w:t>nakon bronhodilatatora ≥ 25% do &lt; 80%</w:t>
      </w:r>
      <w:r w:rsidRPr="00BD78F9">
        <w:rPr>
          <w:sz w:val="14"/>
          <w:szCs w:val="14"/>
          <w:lang w:val="sr-Latn-ME"/>
        </w:rPr>
        <w:t xml:space="preserve"> </w:t>
      </w:r>
      <w:r w:rsidRPr="00BD78F9">
        <w:rPr>
          <w:sz w:val="22"/>
          <w:szCs w:val="22"/>
          <w:lang w:val="sr-Latn-ME"/>
        </w:rPr>
        <w:t xml:space="preserve">predviđene </w:t>
      </w:r>
      <w:r w:rsidR="004D0E29" w:rsidRPr="00BD78F9">
        <w:rPr>
          <w:sz w:val="22"/>
          <w:szCs w:val="22"/>
          <w:lang w:val="sr-Latn-ME"/>
        </w:rPr>
        <w:t>vrijednost</w:t>
      </w:r>
      <w:r w:rsidRPr="00BD78F9">
        <w:rPr>
          <w:sz w:val="22"/>
          <w:szCs w:val="22"/>
          <w:lang w:val="sr-Latn-ME"/>
        </w:rPr>
        <w:t xml:space="preserve">i). </w:t>
      </w:r>
      <w:r w:rsidRPr="00BD78F9">
        <w:rPr>
          <w:sz w:val="22"/>
          <w:lang w:val="sr-Latn-ME"/>
        </w:rPr>
        <w:t xml:space="preserve">Procenat pacijenata sa </w:t>
      </w:r>
      <w:r w:rsidR="004D0E29" w:rsidRPr="00BD78F9">
        <w:rPr>
          <w:sz w:val="22"/>
          <w:lang w:val="sr-Latn-ME"/>
        </w:rPr>
        <w:t>umjerenom</w:t>
      </w:r>
      <w:r w:rsidRPr="00BD78F9">
        <w:rPr>
          <w:sz w:val="22"/>
          <w:lang w:val="sr-Latn-ME"/>
        </w:rPr>
        <w:t xml:space="preserve">, teškom i veoma teškom HOBP bio je redom 49%, 43% i 8%. </w:t>
      </w:r>
      <w:r w:rsidRPr="00BD78F9">
        <w:rPr>
          <w:sz w:val="22"/>
          <w:szCs w:val="22"/>
          <w:lang w:val="sr-Latn-ME"/>
        </w:rPr>
        <w:t xml:space="preserve">Na početku ispitivanja srednja </w:t>
      </w:r>
      <w:r w:rsidR="004D0E29" w:rsidRPr="00BD78F9">
        <w:rPr>
          <w:sz w:val="22"/>
          <w:szCs w:val="22"/>
          <w:lang w:val="sr-Latn-ME"/>
        </w:rPr>
        <w:t>vrijednost</w:t>
      </w:r>
      <w:r w:rsidRPr="00BD78F9">
        <w:rPr>
          <w:sz w:val="22"/>
          <w:szCs w:val="22"/>
          <w:lang w:val="sr-Latn-ME"/>
        </w:rPr>
        <w:t xml:space="preserve"> FEV</w:t>
      </w:r>
      <w:r w:rsidRPr="00BD78F9">
        <w:rPr>
          <w:sz w:val="22"/>
          <w:szCs w:val="22"/>
          <w:vertAlign w:val="subscript"/>
          <w:lang w:val="sr-Latn-ME"/>
        </w:rPr>
        <w:t>1</w:t>
      </w:r>
      <w:r w:rsidRPr="00BD78F9">
        <w:rPr>
          <w:sz w:val="22"/>
          <w:szCs w:val="22"/>
          <w:lang w:val="sr-Latn-ME"/>
        </w:rPr>
        <w:t xml:space="preserve"> u svim grupama iznosila je 1050–1193 m</w:t>
      </w:r>
      <w:r w:rsidR="009E6E4C" w:rsidRPr="00BD78F9">
        <w:rPr>
          <w:sz w:val="22"/>
          <w:szCs w:val="22"/>
          <w:lang w:val="sr-Latn-ME"/>
        </w:rPr>
        <w:t>l</w:t>
      </w:r>
      <w:r w:rsidRPr="00BD78F9">
        <w:rPr>
          <w:sz w:val="22"/>
          <w:szCs w:val="22"/>
          <w:lang w:val="sr-Latn-ME"/>
        </w:rPr>
        <w:t xml:space="preserve">, a tokom skrininga je srednja </w:t>
      </w:r>
      <w:r w:rsidR="004D0E29" w:rsidRPr="00BD78F9">
        <w:rPr>
          <w:sz w:val="22"/>
          <w:szCs w:val="22"/>
          <w:lang w:val="sr-Latn-ME"/>
        </w:rPr>
        <w:t>vrijednost</w:t>
      </w:r>
      <w:r w:rsidRPr="00BD78F9">
        <w:rPr>
          <w:sz w:val="22"/>
          <w:szCs w:val="22"/>
          <w:lang w:val="sr-Latn-ME"/>
        </w:rPr>
        <w:t xml:space="preserve"> FEV</w:t>
      </w:r>
      <w:r w:rsidRPr="00BD78F9">
        <w:rPr>
          <w:sz w:val="14"/>
          <w:szCs w:val="14"/>
          <w:lang w:val="sr-Latn-ME"/>
        </w:rPr>
        <w:t xml:space="preserve">1 </w:t>
      </w:r>
      <w:r w:rsidRPr="00BD78F9">
        <w:rPr>
          <w:sz w:val="22"/>
          <w:szCs w:val="22"/>
          <w:lang w:val="sr-Latn-ME"/>
        </w:rPr>
        <w:t xml:space="preserve">nakon </w:t>
      </w:r>
      <w:r w:rsidR="004D0E29" w:rsidRPr="00BD78F9">
        <w:rPr>
          <w:sz w:val="22"/>
          <w:szCs w:val="22"/>
          <w:lang w:val="sr-Latn-ME"/>
        </w:rPr>
        <w:t>primjene</w:t>
      </w:r>
      <w:r w:rsidRPr="00BD78F9">
        <w:rPr>
          <w:sz w:val="22"/>
          <w:szCs w:val="22"/>
          <w:lang w:val="sr-Latn-ME"/>
        </w:rPr>
        <w:t xml:space="preserve"> bronhodilatatora iznosila 50% predviđene vr</w:t>
      </w:r>
      <w:r w:rsidR="004D0E29" w:rsidRPr="00BD78F9">
        <w:rPr>
          <w:sz w:val="22"/>
          <w:szCs w:val="22"/>
          <w:lang w:val="sr-Latn-ME"/>
        </w:rPr>
        <w:t>ij</w:t>
      </w:r>
      <w:r w:rsidRPr="00BD78F9">
        <w:rPr>
          <w:sz w:val="22"/>
          <w:szCs w:val="22"/>
          <w:lang w:val="sr-Latn-ME"/>
        </w:rPr>
        <w:t xml:space="preserve">ednosti, preko 26% pacijenata je imalo jednu ili više </w:t>
      </w:r>
      <w:r w:rsidR="004D0E29" w:rsidRPr="00BD78F9">
        <w:rPr>
          <w:sz w:val="22"/>
          <w:szCs w:val="22"/>
          <w:lang w:val="sr-Latn-ME"/>
        </w:rPr>
        <w:t>umjerenih</w:t>
      </w:r>
      <w:r w:rsidRPr="00BD78F9">
        <w:rPr>
          <w:sz w:val="22"/>
          <w:szCs w:val="22"/>
          <w:lang w:val="sr-Latn-ME"/>
        </w:rPr>
        <w:t xml:space="preserve"> do teških egzacerbacija HOBP u anamnezi u protekloj godini, dok je srednja </w:t>
      </w:r>
      <w:r w:rsidR="004D0E29" w:rsidRPr="00BD78F9">
        <w:rPr>
          <w:sz w:val="22"/>
          <w:szCs w:val="22"/>
          <w:lang w:val="sr-Latn-ME"/>
        </w:rPr>
        <w:t>vrijednost</w:t>
      </w:r>
      <w:r w:rsidRPr="00BD78F9">
        <w:rPr>
          <w:sz w:val="22"/>
          <w:szCs w:val="22"/>
          <w:lang w:val="sr-Latn-ME"/>
        </w:rPr>
        <w:t xml:space="preserve"> CAT skora iznosila 18,3. Jedna podgrupa </w:t>
      </w:r>
      <w:r w:rsidR="00D934EC" w:rsidRPr="00BD78F9">
        <w:rPr>
          <w:sz w:val="22"/>
          <w:szCs w:val="22"/>
          <w:lang w:val="sr-Latn-ME"/>
        </w:rPr>
        <w:t xml:space="preserve">ispitanika </w:t>
      </w:r>
      <w:r w:rsidRPr="00BD78F9">
        <w:rPr>
          <w:sz w:val="22"/>
          <w:szCs w:val="22"/>
          <w:lang w:val="sr-Latn-ME"/>
        </w:rPr>
        <w:t>učestvovala je u 28-ned</w:t>
      </w:r>
      <w:r w:rsidR="009E6E4C" w:rsidRPr="00BD78F9">
        <w:rPr>
          <w:sz w:val="22"/>
          <w:szCs w:val="22"/>
          <w:lang w:val="sr-Latn-ME"/>
        </w:rPr>
        <w:t>j</w:t>
      </w:r>
      <w:r w:rsidRPr="00BD78F9">
        <w:rPr>
          <w:sz w:val="22"/>
          <w:szCs w:val="22"/>
          <w:lang w:val="sr-Latn-ME"/>
        </w:rPr>
        <w:t>eljnom produžetku ispitivanja i bila l</w:t>
      </w:r>
      <w:r w:rsidR="004D0E29" w:rsidRPr="00BD78F9">
        <w:rPr>
          <w:sz w:val="22"/>
          <w:szCs w:val="22"/>
          <w:lang w:val="sr-Latn-ME"/>
        </w:rPr>
        <w:t>ij</w:t>
      </w:r>
      <w:r w:rsidRPr="00BD78F9">
        <w:rPr>
          <w:sz w:val="22"/>
          <w:szCs w:val="22"/>
          <w:lang w:val="sr-Latn-ME"/>
        </w:rPr>
        <w:t>ečena do 52 ned</w:t>
      </w:r>
      <w:r w:rsidR="009E6E4C" w:rsidRPr="00BD78F9">
        <w:rPr>
          <w:sz w:val="22"/>
          <w:szCs w:val="22"/>
          <w:lang w:val="sr-Latn-ME"/>
        </w:rPr>
        <w:t>j</w:t>
      </w:r>
      <w:r w:rsidRPr="00BD78F9">
        <w:rPr>
          <w:sz w:val="22"/>
          <w:szCs w:val="22"/>
          <w:lang w:val="sr-Latn-ME"/>
        </w:rPr>
        <w:t xml:space="preserve">elje. Primarne </w:t>
      </w:r>
      <w:r w:rsidR="00D934EC" w:rsidRPr="00BD78F9">
        <w:rPr>
          <w:sz w:val="22"/>
          <w:szCs w:val="22"/>
          <w:lang w:val="sr-Latn-ME"/>
        </w:rPr>
        <w:t>mjere ishoda</w:t>
      </w:r>
      <w:r w:rsidRPr="00BD78F9">
        <w:rPr>
          <w:sz w:val="22"/>
          <w:szCs w:val="22"/>
          <w:lang w:val="sr-Latn-ME"/>
        </w:rPr>
        <w:t xml:space="preserve"> ispitivanja KRONOS </w:t>
      </w:r>
      <w:r w:rsidRPr="00BD78F9">
        <w:rPr>
          <w:color w:val="212121"/>
          <w:sz w:val="22"/>
          <w:szCs w:val="22"/>
          <w:lang w:val="sr-Latn-ME"/>
        </w:rPr>
        <w:t xml:space="preserve">bile su </w:t>
      </w:r>
      <w:r w:rsidR="00D934EC" w:rsidRPr="00BD78F9">
        <w:rPr>
          <w:color w:val="212121"/>
          <w:sz w:val="22"/>
          <w:szCs w:val="22"/>
          <w:lang w:val="sr-Latn-ME"/>
        </w:rPr>
        <w:t xml:space="preserve">površina </w:t>
      </w:r>
      <w:r w:rsidRPr="00BD78F9">
        <w:rPr>
          <w:color w:val="212121"/>
          <w:sz w:val="22"/>
          <w:szCs w:val="22"/>
          <w:lang w:val="sr-Latn-ME"/>
        </w:rPr>
        <w:t>ispod krive FEV</w:t>
      </w:r>
      <w:r w:rsidRPr="00BD78F9">
        <w:rPr>
          <w:color w:val="212121"/>
          <w:sz w:val="14"/>
          <w:szCs w:val="14"/>
          <w:lang w:val="sr-Latn-ME"/>
        </w:rPr>
        <w:t xml:space="preserve">1 </w:t>
      </w:r>
      <w:r w:rsidRPr="00BD78F9">
        <w:rPr>
          <w:color w:val="212121"/>
          <w:sz w:val="22"/>
          <w:szCs w:val="22"/>
          <w:lang w:val="sr-Latn-ME"/>
        </w:rPr>
        <w:t>tokom terapije od 0–4 sata (FEV</w:t>
      </w:r>
      <w:r w:rsidRPr="00BD78F9">
        <w:rPr>
          <w:color w:val="212121"/>
          <w:sz w:val="14"/>
          <w:szCs w:val="14"/>
          <w:lang w:val="sr-Latn-ME"/>
        </w:rPr>
        <w:t xml:space="preserve">1 </w:t>
      </w:r>
      <w:r w:rsidRPr="00BD78F9">
        <w:rPr>
          <w:color w:val="212121"/>
          <w:sz w:val="22"/>
          <w:szCs w:val="22"/>
          <w:lang w:val="sr-Latn-ME"/>
        </w:rPr>
        <w:t>AUC</w:t>
      </w:r>
      <w:r w:rsidRPr="00BD78F9">
        <w:rPr>
          <w:color w:val="212121"/>
          <w:sz w:val="14"/>
          <w:szCs w:val="14"/>
          <w:lang w:val="sr-Latn-ME"/>
        </w:rPr>
        <w:t>0–4</w:t>
      </w:r>
      <w:r w:rsidRPr="00BD78F9">
        <w:rPr>
          <w:color w:val="212121"/>
          <w:sz w:val="22"/>
          <w:szCs w:val="22"/>
          <w:lang w:val="sr-Latn-ME"/>
        </w:rPr>
        <w:t>) u periodu od 24 ned</w:t>
      </w:r>
      <w:r w:rsidR="009E6E4C" w:rsidRPr="00BD78F9">
        <w:rPr>
          <w:color w:val="212121"/>
          <w:sz w:val="22"/>
          <w:szCs w:val="22"/>
          <w:lang w:val="sr-Latn-ME"/>
        </w:rPr>
        <w:t>j</w:t>
      </w:r>
      <w:r w:rsidRPr="00BD78F9">
        <w:rPr>
          <w:color w:val="212121"/>
          <w:sz w:val="22"/>
          <w:szCs w:val="22"/>
          <w:lang w:val="sr-Latn-ME"/>
        </w:rPr>
        <w:t xml:space="preserve">elje za </w:t>
      </w:r>
      <w:r w:rsidR="009E6E4C" w:rsidRPr="00BD78F9">
        <w:rPr>
          <w:color w:val="212121"/>
          <w:sz w:val="22"/>
          <w:szCs w:val="22"/>
          <w:lang w:val="sr-Latn-ME"/>
        </w:rPr>
        <w:t xml:space="preserve">lijek </w:t>
      </w:r>
      <w:r w:rsidRPr="00BD78F9">
        <w:rPr>
          <w:color w:val="212121"/>
          <w:sz w:val="22"/>
          <w:szCs w:val="22"/>
          <w:lang w:val="sr-Latn-ME"/>
        </w:rPr>
        <w:t>Trixeo Aerosphere u poređenju sa FOR/BUD MDI i prom</w:t>
      </w:r>
      <w:r w:rsidR="004D0E29" w:rsidRPr="00BD78F9">
        <w:rPr>
          <w:color w:val="212121"/>
          <w:sz w:val="22"/>
          <w:szCs w:val="22"/>
          <w:lang w:val="sr-Latn-ME"/>
        </w:rPr>
        <w:t>j</w:t>
      </w:r>
      <w:r w:rsidRPr="00BD78F9">
        <w:rPr>
          <w:color w:val="212121"/>
          <w:sz w:val="22"/>
          <w:szCs w:val="22"/>
          <w:lang w:val="sr-Latn-ME"/>
        </w:rPr>
        <w:t>ena početne vr</w:t>
      </w:r>
      <w:r w:rsidR="004D0E29" w:rsidRPr="00BD78F9">
        <w:rPr>
          <w:color w:val="212121"/>
          <w:sz w:val="22"/>
          <w:szCs w:val="22"/>
          <w:lang w:val="sr-Latn-ME"/>
        </w:rPr>
        <w:t>ij</w:t>
      </w:r>
      <w:r w:rsidRPr="00BD78F9">
        <w:rPr>
          <w:color w:val="212121"/>
          <w:sz w:val="22"/>
          <w:szCs w:val="22"/>
          <w:lang w:val="sr-Latn-ME"/>
        </w:rPr>
        <w:t>ednosti FEV</w:t>
      </w:r>
      <w:r w:rsidRPr="00BD78F9">
        <w:rPr>
          <w:color w:val="212121"/>
          <w:sz w:val="14"/>
          <w:szCs w:val="14"/>
          <w:lang w:val="sr-Latn-ME"/>
        </w:rPr>
        <w:t xml:space="preserve">1 </w:t>
      </w:r>
      <w:r w:rsidRPr="00BD78F9">
        <w:rPr>
          <w:color w:val="212121"/>
          <w:sz w:val="22"/>
          <w:szCs w:val="22"/>
          <w:lang w:val="sr-Latn-ME"/>
        </w:rPr>
        <w:t>pr</w:t>
      </w:r>
      <w:r w:rsidR="004D0E29" w:rsidRPr="00BD78F9">
        <w:rPr>
          <w:color w:val="212121"/>
          <w:sz w:val="22"/>
          <w:szCs w:val="22"/>
          <w:lang w:val="sr-Latn-ME"/>
        </w:rPr>
        <w:t>ij</w:t>
      </w:r>
      <w:r w:rsidRPr="00BD78F9">
        <w:rPr>
          <w:color w:val="212121"/>
          <w:sz w:val="22"/>
          <w:szCs w:val="22"/>
          <w:lang w:val="sr-Latn-ME"/>
        </w:rPr>
        <w:t xml:space="preserve">e </w:t>
      </w:r>
      <w:r w:rsidR="004D0E29" w:rsidRPr="00BD78F9">
        <w:rPr>
          <w:color w:val="212121"/>
          <w:sz w:val="22"/>
          <w:szCs w:val="22"/>
          <w:lang w:val="sr-Latn-ME"/>
        </w:rPr>
        <w:t>primjene</w:t>
      </w:r>
      <w:r w:rsidRPr="00BD78F9">
        <w:rPr>
          <w:color w:val="212121"/>
          <w:sz w:val="22"/>
          <w:szCs w:val="22"/>
          <w:lang w:val="sr-Latn-ME"/>
        </w:rPr>
        <w:t xml:space="preserve"> jutarnje doze tokom 24 ned</w:t>
      </w:r>
      <w:r w:rsidR="009E6E4C" w:rsidRPr="00BD78F9">
        <w:rPr>
          <w:color w:val="212121"/>
          <w:sz w:val="22"/>
          <w:szCs w:val="22"/>
          <w:lang w:val="sr-Latn-ME"/>
        </w:rPr>
        <w:t>j</w:t>
      </w:r>
      <w:r w:rsidRPr="00BD78F9">
        <w:rPr>
          <w:color w:val="212121"/>
          <w:sz w:val="22"/>
          <w:szCs w:val="22"/>
          <w:lang w:val="sr-Latn-ME"/>
        </w:rPr>
        <w:t xml:space="preserve">elje terapije </w:t>
      </w:r>
      <w:r w:rsidR="009E6E4C" w:rsidRPr="00BD78F9">
        <w:rPr>
          <w:color w:val="212121"/>
          <w:sz w:val="22"/>
          <w:szCs w:val="22"/>
          <w:lang w:val="sr-Latn-ME"/>
        </w:rPr>
        <w:t xml:space="preserve">lijekom </w:t>
      </w:r>
      <w:r w:rsidRPr="00BD78F9">
        <w:rPr>
          <w:color w:val="212121"/>
          <w:sz w:val="22"/>
          <w:szCs w:val="22"/>
          <w:lang w:val="sr-Latn-ME"/>
        </w:rPr>
        <w:t>Trixeo Aerosphere u poređenju sa FOR/GLY MDI.</w:t>
      </w:r>
    </w:p>
    <w:p w14:paraId="3C286E2C" w14:textId="77777777" w:rsidR="00B73F2A" w:rsidRPr="00BD78F9" w:rsidRDefault="00B73F2A">
      <w:pPr>
        <w:tabs>
          <w:tab w:val="left" w:pos="284"/>
        </w:tabs>
        <w:jc w:val="both"/>
        <w:rPr>
          <w:rFonts w:eastAsia="TimesNewRoman"/>
          <w:sz w:val="22"/>
          <w:szCs w:val="22"/>
          <w:lang w:val="sr-Latn-ME"/>
        </w:rPr>
      </w:pPr>
    </w:p>
    <w:p w14:paraId="76175816" w14:textId="31C87C1B" w:rsidR="00B73F2A" w:rsidRPr="00BD78F9" w:rsidRDefault="00B73F2A">
      <w:pPr>
        <w:tabs>
          <w:tab w:val="left" w:pos="284"/>
        </w:tabs>
        <w:autoSpaceDE w:val="0"/>
        <w:autoSpaceDN w:val="0"/>
        <w:adjustRightInd w:val="0"/>
        <w:jc w:val="both"/>
        <w:rPr>
          <w:sz w:val="22"/>
          <w:szCs w:val="22"/>
          <w:lang w:val="sr-Latn-ME"/>
        </w:rPr>
      </w:pPr>
      <w:bookmarkStart w:id="3" w:name="_Hlk30768847"/>
      <w:r w:rsidRPr="00BD78F9">
        <w:rPr>
          <w:sz w:val="22"/>
          <w:szCs w:val="22"/>
          <w:lang w:val="sr-Latn-ME"/>
        </w:rPr>
        <w:t xml:space="preserve">Pri ulasku u studiju, najčešće </w:t>
      </w:r>
      <w:r w:rsidR="004D0E29" w:rsidRPr="00BD78F9">
        <w:rPr>
          <w:sz w:val="22"/>
          <w:szCs w:val="22"/>
          <w:lang w:val="sr-Latn-ME"/>
        </w:rPr>
        <w:t>ljekovi</w:t>
      </w:r>
      <w:r w:rsidRPr="00BD78F9">
        <w:rPr>
          <w:sz w:val="22"/>
          <w:szCs w:val="22"/>
          <w:lang w:val="sr-Latn-ME"/>
        </w:rPr>
        <w:t xml:space="preserve"> za </w:t>
      </w:r>
      <w:r w:rsidR="004D0E29" w:rsidRPr="00BD78F9">
        <w:rPr>
          <w:sz w:val="22"/>
          <w:szCs w:val="22"/>
          <w:lang w:val="sr-Latn-ME"/>
        </w:rPr>
        <w:t>liječenje</w:t>
      </w:r>
      <w:r w:rsidRPr="00BD78F9">
        <w:rPr>
          <w:sz w:val="22"/>
          <w:szCs w:val="22"/>
          <w:lang w:val="sr-Latn-ME"/>
        </w:rPr>
        <w:t xml:space="preserve"> HOBP </w:t>
      </w:r>
      <w:r w:rsidR="00D934EC" w:rsidRPr="00BD78F9">
        <w:rPr>
          <w:sz w:val="22"/>
          <w:szCs w:val="22"/>
          <w:lang w:val="sr-Latn-ME"/>
        </w:rPr>
        <w:t xml:space="preserve">koje su ispitanici primjenjivali </w:t>
      </w:r>
      <w:r w:rsidRPr="00BD78F9">
        <w:rPr>
          <w:sz w:val="22"/>
          <w:szCs w:val="22"/>
          <w:lang w:val="sr-Latn-ME"/>
        </w:rPr>
        <w:t xml:space="preserve">u studijama ETHOS i KRONOS </w:t>
      </w:r>
      <w:r w:rsidR="00D934EC" w:rsidRPr="00BD78F9">
        <w:rPr>
          <w:sz w:val="22"/>
          <w:szCs w:val="22"/>
          <w:lang w:val="sr-Latn-ME"/>
        </w:rPr>
        <w:t xml:space="preserve">bili su </w:t>
      </w:r>
      <w:r w:rsidRPr="00BD78F9">
        <w:rPr>
          <w:sz w:val="22"/>
          <w:szCs w:val="22"/>
          <w:lang w:val="sr-Latn-ME"/>
        </w:rPr>
        <w:t>ICS LABA + LAMA (39% odnosno 27%), ICS + LABA (31% odnosno 38%) i LAMA + LABA (14% odnosno 20%).</w:t>
      </w:r>
      <w:bookmarkEnd w:id="3"/>
    </w:p>
    <w:p w14:paraId="789B367B" w14:textId="77777777" w:rsidR="00B73F2A" w:rsidRPr="00BD78F9" w:rsidRDefault="00B73F2A">
      <w:pPr>
        <w:tabs>
          <w:tab w:val="left" w:pos="284"/>
        </w:tabs>
        <w:jc w:val="both"/>
        <w:rPr>
          <w:rFonts w:eastAsia="TimesNewRoman"/>
          <w:sz w:val="22"/>
          <w:szCs w:val="22"/>
          <w:lang w:val="sr-Latn-ME"/>
        </w:rPr>
      </w:pPr>
    </w:p>
    <w:p w14:paraId="7585FB80" w14:textId="77777777" w:rsidR="00B73F2A" w:rsidRPr="00BD78F9" w:rsidRDefault="00B73F2A">
      <w:pPr>
        <w:tabs>
          <w:tab w:val="left" w:pos="284"/>
        </w:tabs>
        <w:jc w:val="both"/>
        <w:rPr>
          <w:i/>
          <w:sz w:val="22"/>
          <w:szCs w:val="22"/>
          <w:u w:val="single"/>
          <w:lang w:val="sr-Latn-ME"/>
        </w:rPr>
      </w:pPr>
      <w:r w:rsidRPr="00BD78F9">
        <w:rPr>
          <w:i/>
          <w:iCs/>
          <w:sz w:val="22"/>
          <w:szCs w:val="22"/>
          <w:u w:val="single"/>
          <w:lang w:val="sr-Latn-ME"/>
        </w:rPr>
        <w:t>Dejstvo na egzacerbacije</w:t>
      </w:r>
    </w:p>
    <w:p w14:paraId="300E5037" w14:textId="77777777" w:rsidR="00B73F2A" w:rsidRPr="00BD78F9" w:rsidRDefault="00B73F2A">
      <w:pPr>
        <w:tabs>
          <w:tab w:val="left" w:pos="284"/>
        </w:tabs>
        <w:jc w:val="both"/>
        <w:rPr>
          <w:i/>
          <w:sz w:val="22"/>
          <w:szCs w:val="22"/>
          <w:lang w:val="sr-Latn-ME"/>
        </w:rPr>
      </w:pPr>
    </w:p>
    <w:p w14:paraId="30282B6B" w14:textId="3C9795BE" w:rsidR="00B73F2A" w:rsidRPr="00BD78F9" w:rsidRDefault="00B73F2A">
      <w:pPr>
        <w:tabs>
          <w:tab w:val="left" w:pos="284"/>
        </w:tabs>
        <w:jc w:val="both"/>
        <w:rPr>
          <w:i/>
          <w:iCs/>
          <w:sz w:val="22"/>
          <w:szCs w:val="22"/>
          <w:lang w:val="sr-Latn-ME"/>
        </w:rPr>
      </w:pPr>
      <w:r w:rsidRPr="00BD78F9">
        <w:rPr>
          <w:i/>
          <w:iCs/>
          <w:sz w:val="22"/>
          <w:szCs w:val="22"/>
          <w:lang w:val="sr-Latn-ME"/>
        </w:rPr>
        <w:t>Um</w:t>
      </w:r>
      <w:r w:rsidR="004D0E29" w:rsidRPr="00BD78F9">
        <w:rPr>
          <w:i/>
          <w:iCs/>
          <w:sz w:val="22"/>
          <w:szCs w:val="22"/>
          <w:lang w:val="sr-Latn-ME"/>
        </w:rPr>
        <w:t>j</w:t>
      </w:r>
      <w:r w:rsidRPr="00BD78F9">
        <w:rPr>
          <w:i/>
          <w:iCs/>
          <w:sz w:val="22"/>
          <w:szCs w:val="22"/>
          <w:lang w:val="sr-Latn-ME"/>
        </w:rPr>
        <w:t xml:space="preserve">erene ili teške egzacerbacije: </w:t>
      </w:r>
    </w:p>
    <w:p w14:paraId="10166EC2" w14:textId="70AB993A" w:rsidR="00B73F2A" w:rsidRPr="00BD78F9" w:rsidRDefault="00B73F2A">
      <w:pPr>
        <w:tabs>
          <w:tab w:val="left" w:pos="284"/>
        </w:tabs>
        <w:jc w:val="both"/>
        <w:rPr>
          <w:sz w:val="22"/>
          <w:szCs w:val="22"/>
          <w:lang w:val="sr-Latn-ME"/>
        </w:rPr>
      </w:pPr>
      <w:r w:rsidRPr="00BD78F9">
        <w:rPr>
          <w:sz w:val="22"/>
          <w:szCs w:val="22"/>
          <w:lang w:val="sr-Latn-ME"/>
        </w:rPr>
        <w:t>U 52-ned</w:t>
      </w:r>
      <w:r w:rsidR="009E6E4C" w:rsidRPr="00BD78F9">
        <w:rPr>
          <w:sz w:val="22"/>
          <w:szCs w:val="22"/>
          <w:lang w:val="sr-Latn-ME"/>
        </w:rPr>
        <w:t>j</w:t>
      </w:r>
      <w:r w:rsidRPr="00BD78F9">
        <w:rPr>
          <w:sz w:val="22"/>
          <w:szCs w:val="22"/>
          <w:lang w:val="sr-Latn-ME"/>
        </w:rPr>
        <w:t xml:space="preserve">eljnoj studiji ETHOS </w:t>
      </w:r>
      <w:r w:rsidR="009E6E4C" w:rsidRPr="00BD78F9">
        <w:rPr>
          <w:sz w:val="22"/>
          <w:szCs w:val="22"/>
          <w:lang w:val="sr-Latn-ME"/>
        </w:rPr>
        <w:t xml:space="preserve">lijek </w:t>
      </w:r>
      <w:r w:rsidRPr="00BD78F9">
        <w:rPr>
          <w:sz w:val="22"/>
          <w:szCs w:val="22"/>
          <w:lang w:val="sr-Latn-ME"/>
        </w:rPr>
        <w:t xml:space="preserve">Trixeo Aerosphere značajno je smanjio godišnju stopu </w:t>
      </w:r>
      <w:r w:rsidR="004D0E29" w:rsidRPr="00BD78F9">
        <w:rPr>
          <w:sz w:val="22"/>
          <w:szCs w:val="22"/>
          <w:lang w:val="sr-Latn-ME"/>
        </w:rPr>
        <w:t>umjerenih</w:t>
      </w:r>
      <w:r w:rsidRPr="00BD78F9">
        <w:rPr>
          <w:sz w:val="22"/>
          <w:szCs w:val="22"/>
          <w:lang w:val="sr-Latn-ME"/>
        </w:rPr>
        <w:t>/teških egzacerbacija tokom l</w:t>
      </w:r>
      <w:r w:rsidR="004D0E29" w:rsidRPr="00BD78F9">
        <w:rPr>
          <w:sz w:val="22"/>
          <w:szCs w:val="22"/>
          <w:lang w:val="sr-Latn-ME"/>
        </w:rPr>
        <w:t>ij</w:t>
      </w:r>
      <w:r w:rsidRPr="00BD78F9">
        <w:rPr>
          <w:sz w:val="22"/>
          <w:szCs w:val="22"/>
          <w:lang w:val="sr-Latn-ME"/>
        </w:rPr>
        <w:t xml:space="preserve">ečenja za 24% (95% CI: 17, 31; p &lt; 0,0001) u odnosu na FOR/GLY MDI (stopa: 1,08 prema 1,42 događaja po pacijent-godini) i za 13% (95% CI: 5, 21; p = 0,0027) u odnosu na FOR/BUD MDI (stopa: 1,08 prema 1,24 događaja po pacijent-godini). </w:t>
      </w:r>
    </w:p>
    <w:p w14:paraId="47A3B582" w14:textId="77777777" w:rsidR="00B73F2A" w:rsidRPr="00BD78F9" w:rsidRDefault="00B73F2A">
      <w:pPr>
        <w:tabs>
          <w:tab w:val="left" w:pos="284"/>
        </w:tabs>
        <w:jc w:val="both"/>
        <w:rPr>
          <w:sz w:val="22"/>
          <w:szCs w:val="22"/>
          <w:lang w:val="sr-Latn-ME"/>
        </w:rPr>
      </w:pPr>
    </w:p>
    <w:p w14:paraId="6E771C6F" w14:textId="7B7E215D" w:rsidR="00B73F2A" w:rsidRPr="00BD78F9" w:rsidRDefault="00B73F2A">
      <w:pPr>
        <w:tabs>
          <w:tab w:val="left" w:pos="284"/>
        </w:tabs>
        <w:jc w:val="both"/>
        <w:rPr>
          <w:bCs/>
          <w:sz w:val="22"/>
          <w:szCs w:val="22"/>
          <w:lang w:val="sr-Latn-ME"/>
        </w:rPr>
      </w:pPr>
      <w:r w:rsidRPr="00BD78F9">
        <w:rPr>
          <w:sz w:val="22"/>
          <w:lang w:val="sr-Latn-ME"/>
        </w:rPr>
        <w:t>Zab</w:t>
      </w:r>
      <w:r w:rsidR="009E6E4C" w:rsidRPr="00BD78F9">
        <w:rPr>
          <w:sz w:val="22"/>
          <w:lang w:val="sr-Latn-ME"/>
        </w:rPr>
        <w:t>i</w:t>
      </w:r>
      <w:r w:rsidRPr="00BD78F9">
        <w:rPr>
          <w:sz w:val="22"/>
          <w:lang w:val="sr-Latn-ME"/>
        </w:rPr>
        <w:t>l</w:t>
      </w:r>
      <w:r w:rsidR="009E6E4C" w:rsidRPr="00BD78F9">
        <w:rPr>
          <w:sz w:val="22"/>
          <w:lang w:val="sr-Latn-ME"/>
        </w:rPr>
        <w:t>j</w:t>
      </w:r>
      <w:r w:rsidRPr="00BD78F9">
        <w:rPr>
          <w:sz w:val="22"/>
          <w:lang w:val="sr-Latn-ME"/>
        </w:rPr>
        <w:t xml:space="preserve">ežene koristi za anualiziovanu stopu </w:t>
      </w:r>
      <w:r w:rsidR="004D0E29" w:rsidRPr="00BD78F9">
        <w:rPr>
          <w:sz w:val="22"/>
          <w:lang w:val="sr-Latn-ME"/>
        </w:rPr>
        <w:t>umjerenih</w:t>
      </w:r>
      <w:r w:rsidRPr="00BD78F9">
        <w:rPr>
          <w:sz w:val="22"/>
          <w:lang w:val="sr-Latn-ME"/>
        </w:rPr>
        <w:t>/teških egzacerbacija HOBP tokom 24 ned</w:t>
      </w:r>
      <w:r w:rsidR="009E6E4C" w:rsidRPr="00BD78F9">
        <w:rPr>
          <w:sz w:val="22"/>
          <w:lang w:val="sr-Latn-ME"/>
        </w:rPr>
        <w:t>j</w:t>
      </w:r>
      <w:r w:rsidRPr="00BD78F9">
        <w:rPr>
          <w:sz w:val="22"/>
          <w:lang w:val="sr-Latn-ME"/>
        </w:rPr>
        <w:t>elje ispitivanja KRONOS u načelu su odgovarali onima koje su zab</w:t>
      </w:r>
      <w:r w:rsidR="009E6E4C" w:rsidRPr="00BD78F9">
        <w:rPr>
          <w:sz w:val="22"/>
          <w:lang w:val="sr-Latn-ME"/>
        </w:rPr>
        <w:t>i</w:t>
      </w:r>
      <w:r w:rsidRPr="00BD78F9">
        <w:rPr>
          <w:sz w:val="22"/>
          <w:lang w:val="sr-Latn-ME"/>
        </w:rPr>
        <w:t>l</w:t>
      </w:r>
      <w:r w:rsidR="009E6E4C" w:rsidRPr="00BD78F9">
        <w:rPr>
          <w:sz w:val="22"/>
          <w:lang w:val="sr-Latn-ME"/>
        </w:rPr>
        <w:t>j</w:t>
      </w:r>
      <w:r w:rsidRPr="00BD78F9">
        <w:rPr>
          <w:sz w:val="22"/>
          <w:lang w:val="sr-Latn-ME"/>
        </w:rPr>
        <w:t xml:space="preserve">ežene u ispitivanju ETHOS. Poboljšanja u odnosu na FOR/GLY MDI bila su statistički značajna; međutim, poboljšanja u odnosu na FOR/BUD MDI i FOR/BUD TBH </w:t>
      </w:r>
      <w:r w:rsidR="004D0E29" w:rsidRPr="00BD78F9">
        <w:rPr>
          <w:sz w:val="22"/>
          <w:lang w:val="sr-Latn-ME"/>
        </w:rPr>
        <w:t>nijesu</w:t>
      </w:r>
      <w:r w:rsidRPr="00BD78F9">
        <w:rPr>
          <w:sz w:val="22"/>
          <w:lang w:val="sr-Latn-ME"/>
        </w:rPr>
        <w:t xml:space="preserve"> dostigla statističk</w:t>
      </w:r>
      <w:r w:rsidR="00F46F4C" w:rsidRPr="00BD78F9">
        <w:rPr>
          <w:sz w:val="22"/>
          <w:lang w:val="sr-Latn-ME"/>
        </w:rPr>
        <w:t>u</w:t>
      </w:r>
      <w:r w:rsidRPr="00BD78F9">
        <w:rPr>
          <w:sz w:val="22"/>
          <w:lang w:val="sr-Latn-ME"/>
        </w:rPr>
        <w:t xml:space="preserve"> značaj</w:t>
      </w:r>
      <w:r w:rsidR="00F46F4C" w:rsidRPr="00BD78F9">
        <w:rPr>
          <w:sz w:val="22"/>
          <w:lang w:val="sr-Latn-ME"/>
        </w:rPr>
        <w:t>nost</w:t>
      </w:r>
      <w:r w:rsidRPr="00BD78F9">
        <w:rPr>
          <w:sz w:val="22"/>
          <w:lang w:val="sr-Latn-ME"/>
        </w:rPr>
        <w:t>.</w:t>
      </w:r>
    </w:p>
    <w:p w14:paraId="6A8AB0DA" w14:textId="77777777" w:rsidR="00B73F2A" w:rsidRPr="00BD78F9" w:rsidRDefault="00B73F2A">
      <w:pPr>
        <w:tabs>
          <w:tab w:val="left" w:pos="284"/>
        </w:tabs>
        <w:jc w:val="both"/>
        <w:rPr>
          <w:sz w:val="22"/>
          <w:szCs w:val="22"/>
          <w:lang w:val="sr-Latn-ME"/>
        </w:rPr>
      </w:pPr>
    </w:p>
    <w:p w14:paraId="65AF9600" w14:textId="77777777" w:rsidR="00B73F2A" w:rsidRPr="00BD78F9" w:rsidRDefault="00B73F2A">
      <w:pPr>
        <w:tabs>
          <w:tab w:val="left" w:pos="284"/>
        </w:tabs>
        <w:jc w:val="both"/>
        <w:rPr>
          <w:bCs/>
          <w:i/>
          <w:iCs/>
          <w:sz w:val="22"/>
          <w:szCs w:val="22"/>
          <w:lang w:val="sr-Latn-ME"/>
        </w:rPr>
      </w:pPr>
      <w:r w:rsidRPr="00BD78F9">
        <w:rPr>
          <w:i/>
          <w:iCs/>
          <w:sz w:val="22"/>
          <w:szCs w:val="22"/>
          <w:lang w:val="sr-Latn-ME"/>
        </w:rPr>
        <w:t xml:space="preserve">Teške egzacerbacije (koje su dovele do hospitalizacije ili smrti): </w:t>
      </w:r>
    </w:p>
    <w:p w14:paraId="1C1A730A" w14:textId="4DCA802C" w:rsidR="00B73F2A" w:rsidRPr="00BD78F9" w:rsidRDefault="00B73F2A">
      <w:pPr>
        <w:tabs>
          <w:tab w:val="left" w:pos="284"/>
        </w:tabs>
        <w:jc w:val="both"/>
        <w:rPr>
          <w:sz w:val="22"/>
          <w:szCs w:val="22"/>
          <w:lang w:val="sr-Latn-ME"/>
        </w:rPr>
      </w:pPr>
      <w:r w:rsidRPr="00BD78F9">
        <w:rPr>
          <w:sz w:val="22"/>
          <w:szCs w:val="22"/>
          <w:lang w:val="sr-Latn-ME"/>
        </w:rPr>
        <w:t xml:space="preserve">U ispitivanju ETHOS </w:t>
      </w:r>
      <w:r w:rsidR="009E6E4C" w:rsidRPr="00BD78F9">
        <w:rPr>
          <w:sz w:val="22"/>
          <w:szCs w:val="22"/>
          <w:lang w:val="sr-Latn-ME"/>
        </w:rPr>
        <w:t xml:space="preserve">lijek </w:t>
      </w:r>
      <w:r w:rsidRPr="00BD78F9">
        <w:rPr>
          <w:sz w:val="22"/>
          <w:szCs w:val="22"/>
          <w:lang w:val="sr-Latn-ME"/>
        </w:rPr>
        <w:t>Trixeo Aerosphere brojčano je smanjio godišnju stopu teških egzacerbacija tokom l</w:t>
      </w:r>
      <w:r w:rsidR="004D0E29" w:rsidRPr="00BD78F9">
        <w:rPr>
          <w:sz w:val="22"/>
          <w:szCs w:val="22"/>
          <w:lang w:val="sr-Latn-ME"/>
        </w:rPr>
        <w:t>ij</w:t>
      </w:r>
      <w:r w:rsidRPr="00BD78F9">
        <w:rPr>
          <w:sz w:val="22"/>
          <w:szCs w:val="22"/>
          <w:lang w:val="sr-Latn-ME"/>
        </w:rPr>
        <w:t>ečenja za 16% (95% CI: -3, 31; p = 0,0944) u odnosu na FOR/GLY MDI (stopa: 0,13 prema 0,15 događaja po pacijent-godini) i značajno je smanjio godišnju stopu teških egzacerbacija tokom l</w:t>
      </w:r>
      <w:r w:rsidR="004D0E29" w:rsidRPr="00BD78F9">
        <w:rPr>
          <w:sz w:val="22"/>
          <w:szCs w:val="22"/>
          <w:lang w:val="sr-Latn-ME"/>
        </w:rPr>
        <w:t>ij</w:t>
      </w:r>
      <w:r w:rsidRPr="00BD78F9">
        <w:rPr>
          <w:sz w:val="22"/>
          <w:szCs w:val="22"/>
          <w:lang w:val="sr-Latn-ME"/>
        </w:rPr>
        <w:t xml:space="preserve">ečenja za 20% (95% CI: 3, 34; p = 0,0221) u odnosu na FOR/BUD MDI (stopa: 0,13 prema 0,16 događaja po pacijent-godini). </w:t>
      </w:r>
    </w:p>
    <w:p w14:paraId="3DBC15D5" w14:textId="77777777" w:rsidR="00B73F2A" w:rsidRPr="00BD78F9" w:rsidRDefault="00B73F2A">
      <w:pPr>
        <w:tabs>
          <w:tab w:val="left" w:pos="284"/>
        </w:tabs>
        <w:jc w:val="both"/>
        <w:rPr>
          <w:sz w:val="22"/>
          <w:szCs w:val="22"/>
          <w:lang w:val="sr-Latn-ME"/>
        </w:rPr>
      </w:pPr>
    </w:p>
    <w:p w14:paraId="739E65FE" w14:textId="25FD21B1" w:rsidR="00B73F2A" w:rsidRPr="00BD78F9" w:rsidRDefault="00B73F2A">
      <w:pPr>
        <w:tabs>
          <w:tab w:val="left" w:pos="284"/>
        </w:tabs>
        <w:jc w:val="both"/>
        <w:rPr>
          <w:sz w:val="22"/>
          <w:szCs w:val="22"/>
          <w:lang w:val="sr-Latn-ME"/>
        </w:rPr>
      </w:pPr>
      <w:r w:rsidRPr="00BD78F9">
        <w:rPr>
          <w:sz w:val="22"/>
          <w:szCs w:val="22"/>
          <w:lang w:val="sr-Latn-ME"/>
        </w:rPr>
        <w:t>U ob</w:t>
      </w:r>
      <w:r w:rsidR="004D0E29" w:rsidRPr="00BD78F9">
        <w:rPr>
          <w:sz w:val="22"/>
          <w:szCs w:val="22"/>
          <w:lang w:val="sr-Latn-ME"/>
        </w:rPr>
        <w:t>j</w:t>
      </w:r>
      <w:r w:rsidRPr="00BD78F9">
        <w:rPr>
          <w:sz w:val="22"/>
          <w:szCs w:val="22"/>
          <w:lang w:val="sr-Latn-ME"/>
        </w:rPr>
        <w:t>e studije su zab</w:t>
      </w:r>
      <w:r w:rsidR="009E6E4C" w:rsidRPr="00BD78F9">
        <w:rPr>
          <w:sz w:val="22"/>
          <w:szCs w:val="22"/>
          <w:lang w:val="sr-Latn-ME"/>
        </w:rPr>
        <w:t>i</w:t>
      </w:r>
      <w:r w:rsidRPr="00BD78F9">
        <w:rPr>
          <w:sz w:val="22"/>
          <w:szCs w:val="22"/>
          <w:lang w:val="sr-Latn-ME"/>
        </w:rPr>
        <w:t>l</w:t>
      </w:r>
      <w:r w:rsidR="009E6E4C" w:rsidRPr="00BD78F9">
        <w:rPr>
          <w:sz w:val="22"/>
          <w:szCs w:val="22"/>
          <w:lang w:val="sr-Latn-ME"/>
        </w:rPr>
        <w:t>j</w:t>
      </w:r>
      <w:r w:rsidRPr="00BD78F9">
        <w:rPr>
          <w:sz w:val="22"/>
          <w:szCs w:val="22"/>
          <w:lang w:val="sr-Latn-ME"/>
        </w:rPr>
        <w:t xml:space="preserve">eženi korisni efekti na egzacerbacije kod pacijenata sa </w:t>
      </w:r>
      <w:r w:rsidR="004D0E29" w:rsidRPr="00BD78F9">
        <w:rPr>
          <w:sz w:val="22"/>
          <w:szCs w:val="22"/>
          <w:lang w:val="sr-Latn-ME"/>
        </w:rPr>
        <w:t>umjerenom</w:t>
      </w:r>
      <w:r w:rsidRPr="00BD78F9">
        <w:rPr>
          <w:sz w:val="22"/>
          <w:szCs w:val="22"/>
          <w:lang w:val="sr-Latn-ME"/>
        </w:rPr>
        <w:t>, teškom i vrlo teškom HOBP.</w:t>
      </w:r>
    </w:p>
    <w:p w14:paraId="1EBBA468" w14:textId="77777777" w:rsidR="00B73F2A" w:rsidRPr="00BD78F9" w:rsidRDefault="00B73F2A">
      <w:pPr>
        <w:tabs>
          <w:tab w:val="left" w:pos="284"/>
        </w:tabs>
        <w:jc w:val="both"/>
        <w:rPr>
          <w:i/>
          <w:sz w:val="22"/>
          <w:szCs w:val="22"/>
          <w:lang w:val="sr-Latn-ME"/>
        </w:rPr>
      </w:pPr>
    </w:p>
    <w:p w14:paraId="1F9EE93F" w14:textId="77777777" w:rsidR="00B73F2A" w:rsidRPr="00BD78F9" w:rsidRDefault="00B73F2A">
      <w:pPr>
        <w:tabs>
          <w:tab w:val="left" w:pos="284"/>
        </w:tabs>
        <w:jc w:val="both"/>
        <w:rPr>
          <w:i/>
          <w:sz w:val="22"/>
          <w:szCs w:val="22"/>
          <w:u w:val="single"/>
          <w:lang w:val="sr-Latn-ME"/>
        </w:rPr>
      </w:pPr>
      <w:r w:rsidRPr="00BD78F9">
        <w:rPr>
          <w:i/>
          <w:iCs/>
          <w:sz w:val="22"/>
          <w:szCs w:val="22"/>
          <w:u w:val="single"/>
          <w:lang w:val="sr-Latn-ME"/>
        </w:rPr>
        <w:t>Dejstva na funkciju pluća</w:t>
      </w:r>
    </w:p>
    <w:p w14:paraId="2E66E9F5" w14:textId="35F76504" w:rsidR="00B73F2A" w:rsidRPr="00BD78F9" w:rsidRDefault="00B73F2A">
      <w:pPr>
        <w:tabs>
          <w:tab w:val="left" w:pos="284"/>
        </w:tabs>
        <w:jc w:val="both"/>
        <w:rPr>
          <w:i/>
          <w:sz w:val="22"/>
          <w:szCs w:val="22"/>
          <w:lang w:val="sr-Latn-ME"/>
        </w:rPr>
      </w:pPr>
    </w:p>
    <w:p w14:paraId="3D2A2E33" w14:textId="229138B6" w:rsidR="00B73F2A" w:rsidRPr="00BD78F9" w:rsidRDefault="00B73F2A">
      <w:pPr>
        <w:tabs>
          <w:tab w:val="left" w:pos="284"/>
        </w:tabs>
        <w:jc w:val="both"/>
        <w:rPr>
          <w:sz w:val="22"/>
          <w:szCs w:val="22"/>
          <w:lang w:val="sr-Latn-ME"/>
        </w:rPr>
      </w:pPr>
      <w:r w:rsidRPr="00BD78F9">
        <w:rPr>
          <w:sz w:val="22"/>
          <w:szCs w:val="22"/>
          <w:lang w:val="sr-Latn-ME"/>
        </w:rPr>
        <w:t xml:space="preserve">U ispitivanjima ETHOS i KRONOS </w:t>
      </w:r>
      <w:r w:rsidR="009E6E4C" w:rsidRPr="00BD78F9">
        <w:rPr>
          <w:sz w:val="22"/>
          <w:szCs w:val="22"/>
          <w:lang w:val="sr-Latn-ME"/>
        </w:rPr>
        <w:t xml:space="preserve">lijek </w:t>
      </w:r>
      <w:r w:rsidRPr="00BD78F9">
        <w:rPr>
          <w:sz w:val="22"/>
          <w:szCs w:val="22"/>
          <w:lang w:val="sr-Latn-ME"/>
        </w:rPr>
        <w:t>Trixeo Aerosphere je poboljšao funkciju pluća (FEV</w:t>
      </w:r>
      <w:r w:rsidRPr="00BD78F9">
        <w:rPr>
          <w:sz w:val="22"/>
          <w:szCs w:val="22"/>
          <w:vertAlign w:val="subscript"/>
          <w:lang w:val="sr-Latn-ME"/>
        </w:rPr>
        <w:t>1</w:t>
      </w:r>
      <w:r w:rsidRPr="00BD78F9">
        <w:rPr>
          <w:sz w:val="22"/>
          <w:szCs w:val="22"/>
          <w:lang w:val="sr-Latn-ME"/>
        </w:rPr>
        <w:t xml:space="preserve">) tokom terapije u </w:t>
      </w:r>
      <w:r w:rsidR="00F46F4C" w:rsidRPr="00BD78F9">
        <w:rPr>
          <w:sz w:val="22"/>
          <w:szCs w:val="22"/>
          <w:lang w:val="sr-Latn-ME"/>
        </w:rPr>
        <w:t>odnosu na</w:t>
      </w:r>
      <w:r w:rsidRPr="00BD78F9">
        <w:rPr>
          <w:sz w:val="22"/>
          <w:szCs w:val="22"/>
          <w:lang w:val="sr-Latn-ME"/>
        </w:rPr>
        <w:t xml:space="preserve"> FOR/GLY MDI i FOR/BUD MDI (</w:t>
      </w:r>
      <w:r w:rsidR="004D0E29" w:rsidRPr="00BD78F9">
        <w:rPr>
          <w:sz w:val="22"/>
          <w:szCs w:val="22"/>
          <w:lang w:val="sr-Latn-ME"/>
        </w:rPr>
        <w:t>vidjeti</w:t>
      </w:r>
      <w:r w:rsidRPr="00BD78F9">
        <w:rPr>
          <w:sz w:val="22"/>
          <w:szCs w:val="22"/>
          <w:lang w:val="sr-Latn-ME"/>
        </w:rPr>
        <w:t xml:space="preserve"> tabelu 2 za ETHOS i tabelu 3 za KRONOS). Dejstvo se održalo u periodu l</w:t>
      </w:r>
      <w:r w:rsidR="009E6E4C" w:rsidRPr="00BD78F9">
        <w:rPr>
          <w:sz w:val="22"/>
          <w:szCs w:val="22"/>
          <w:lang w:val="sr-Latn-ME"/>
        </w:rPr>
        <w:t>ij</w:t>
      </w:r>
      <w:r w:rsidRPr="00BD78F9">
        <w:rPr>
          <w:sz w:val="22"/>
          <w:szCs w:val="22"/>
          <w:lang w:val="sr-Latn-ME"/>
        </w:rPr>
        <w:t>ečenja od 24 ned</w:t>
      </w:r>
      <w:r w:rsidR="004D0E29" w:rsidRPr="00BD78F9">
        <w:rPr>
          <w:sz w:val="22"/>
          <w:szCs w:val="22"/>
          <w:lang w:val="sr-Latn-ME"/>
        </w:rPr>
        <w:t>j</w:t>
      </w:r>
      <w:r w:rsidRPr="00BD78F9">
        <w:rPr>
          <w:sz w:val="22"/>
          <w:szCs w:val="22"/>
          <w:lang w:val="sr-Latn-ME"/>
        </w:rPr>
        <w:t>elje u ob</w:t>
      </w:r>
      <w:r w:rsidR="004D0E29" w:rsidRPr="00BD78F9">
        <w:rPr>
          <w:sz w:val="22"/>
          <w:szCs w:val="22"/>
          <w:lang w:val="sr-Latn-ME"/>
        </w:rPr>
        <w:t>j</w:t>
      </w:r>
      <w:r w:rsidRPr="00BD78F9">
        <w:rPr>
          <w:sz w:val="22"/>
          <w:szCs w:val="22"/>
          <w:lang w:val="sr-Latn-ME"/>
        </w:rPr>
        <w:t>e studije, i tokom 52 ned</w:t>
      </w:r>
      <w:r w:rsidR="004D0E29" w:rsidRPr="00BD78F9">
        <w:rPr>
          <w:sz w:val="22"/>
          <w:szCs w:val="22"/>
          <w:lang w:val="sr-Latn-ME"/>
        </w:rPr>
        <w:t>j</w:t>
      </w:r>
      <w:r w:rsidRPr="00BD78F9">
        <w:rPr>
          <w:sz w:val="22"/>
          <w:szCs w:val="22"/>
          <w:lang w:val="sr-Latn-ME"/>
        </w:rPr>
        <w:t xml:space="preserve">elje u studiji ETHOS. </w:t>
      </w:r>
    </w:p>
    <w:p w14:paraId="163B3E56" w14:textId="77777777" w:rsidR="00B73F2A" w:rsidRPr="00BD78F9" w:rsidRDefault="00B73F2A">
      <w:pPr>
        <w:tabs>
          <w:tab w:val="left" w:pos="284"/>
        </w:tabs>
        <w:jc w:val="both"/>
        <w:rPr>
          <w:sz w:val="22"/>
          <w:szCs w:val="22"/>
          <w:lang w:val="sr-Latn-ME"/>
        </w:rPr>
      </w:pPr>
    </w:p>
    <w:p w14:paraId="79D31A9E" w14:textId="77777777" w:rsidR="00B73F2A" w:rsidRPr="00BD78F9" w:rsidRDefault="00B73F2A" w:rsidP="00B73F2A">
      <w:pPr>
        <w:tabs>
          <w:tab w:val="left" w:pos="284"/>
        </w:tabs>
        <w:jc w:val="both"/>
        <w:rPr>
          <w:b/>
          <w:sz w:val="22"/>
          <w:szCs w:val="22"/>
          <w:lang w:val="sr-Latn-ME"/>
        </w:rPr>
      </w:pPr>
      <w:bookmarkStart w:id="4" w:name="_Hlk22028173"/>
      <w:r w:rsidRPr="00BD78F9">
        <w:rPr>
          <w:b/>
          <w:bCs/>
          <w:sz w:val="22"/>
          <w:szCs w:val="22"/>
          <w:lang w:val="sr-Latn-ME"/>
        </w:rPr>
        <w:t>Tabela 2: Analize funkcije pluća – ETHOS (spirometrijska podstudija)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276"/>
        <w:gridCol w:w="1276"/>
        <w:gridCol w:w="1134"/>
        <w:gridCol w:w="1853"/>
        <w:gridCol w:w="1832"/>
      </w:tblGrid>
      <w:tr w:rsidR="00B73F2A" w:rsidRPr="00BD78F9" w14:paraId="6B3D970D" w14:textId="77777777" w:rsidTr="00B73F2A">
        <w:tc>
          <w:tcPr>
            <w:tcW w:w="1696" w:type="dxa"/>
            <w:vMerge w:val="restart"/>
            <w:shd w:val="clear" w:color="auto" w:fill="auto"/>
          </w:tcPr>
          <w:p w14:paraId="32B11423" w14:textId="77777777" w:rsidR="00B73F2A" w:rsidRPr="00BD78F9" w:rsidRDefault="00B73F2A" w:rsidP="00B73F2A">
            <w:pPr>
              <w:tabs>
                <w:tab w:val="left" w:pos="284"/>
              </w:tabs>
              <w:jc w:val="both"/>
              <w:rPr>
                <w:sz w:val="22"/>
                <w:szCs w:val="22"/>
                <w:lang w:val="sr-Latn-ME"/>
              </w:rPr>
            </w:pPr>
          </w:p>
        </w:tc>
        <w:tc>
          <w:tcPr>
            <w:tcW w:w="1276" w:type="dxa"/>
            <w:vMerge w:val="restart"/>
            <w:shd w:val="clear" w:color="auto" w:fill="auto"/>
          </w:tcPr>
          <w:p w14:paraId="4E5E5C8E" w14:textId="77777777" w:rsidR="00B73F2A" w:rsidRPr="00BD78F9" w:rsidRDefault="00B73F2A" w:rsidP="00B73F2A">
            <w:pPr>
              <w:tabs>
                <w:tab w:val="left" w:pos="284"/>
              </w:tabs>
              <w:jc w:val="center"/>
              <w:rPr>
                <w:b/>
                <w:bCs/>
                <w:sz w:val="22"/>
                <w:szCs w:val="22"/>
                <w:lang w:val="sr-Latn-ME"/>
              </w:rPr>
            </w:pPr>
            <w:r w:rsidRPr="00BD78F9">
              <w:rPr>
                <w:b/>
                <w:bCs/>
                <w:sz w:val="22"/>
                <w:szCs w:val="22"/>
                <w:lang w:val="sr-Latn-ME"/>
              </w:rPr>
              <w:t xml:space="preserve">Trixeo </w:t>
            </w:r>
            <w:r w:rsidRPr="00BD78F9">
              <w:rPr>
                <w:b/>
                <w:bCs/>
                <w:sz w:val="21"/>
                <w:szCs w:val="21"/>
                <w:lang w:val="sr-Latn-ME"/>
              </w:rPr>
              <w:t>Aerosphere</w:t>
            </w:r>
            <w:r w:rsidRPr="00BD78F9">
              <w:rPr>
                <w:b/>
                <w:bCs/>
                <w:sz w:val="22"/>
                <w:szCs w:val="22"/>
                <w:lang w:val="sr-Latn-ME"/>
              </w:rPr>
              <w:t xml:space="preserve"> (N = 747)</w:t>
            </w:r>
          </w:p>
        </w:tc>
        <w:tc>
          <w:tcPr>
            <w:tcW w:w="1276" w:type="dxa"/>
            <w:vMerge w:val="restart"/>
            <w:shd w:val="clear" w:color="auto" w:fill="auto"/>
          </w:tcPr>
          <w:p w14:paraId="15118543" w14:textId="77777777" w:rsidR="00B73F2A" w:rsidRPr="00BD78F9" w:rsidRDefault="00B73F2A" w:rsidP="00B73F2A">
            <w:pPr>
              <w:tabs>
                <w:tab w:val="left" w:pos="284"/>
              </w:tabs>
              <w:jc w:val="center"/>
              <w:rPr>
                <w:b/>
                <w:bCs/>
                <w:sz w:val="22"/>
                <w:szCs w:val="22"/>
                <w:lang w:val="sr-Latn-ME"/>
              </w:rPr>
            </w:pPr>
            <w:r w:rsidRPr="00BD78F9">
              <w:rPr>
                <w:b/>
                <w:bCs/>
                <w:sz w:val="20"/>
                <w:lang w:val="sr-Latn-ME"/>
              </w:rPr>
              <w:t>FOR/GLY MDI</w:t>
            </w:r>
          </w:p>
          <w:p w14:paraId="5C320E5D" w14:textId="77777777" w:rsidR="00B73F2A" w:rsidRPr="00BD78F9" w:rsidRDefault="00B73F2A" w:rsidP="00B73F2A">
            <w:pPr>
              <w:tabs>
                <w:tab w:val="left" w:pos="284"/>
              </w:tabs>
              <w:jc w:val="center"/>
              <w:rPr>
                <w:b/>
                <w:bCs/>
                <w:sz w:val="22"/>
                <w:szCs w:val="22"/>
                <w:lang w:val="sr-Latn-ME"/>
              </w:rPr>
            </w:pPr>
            <w:r w:rsidRPr="00BD78F9">
              <w:rPr>
                <w:b/>
                <w:bCs/>
                <w:sz w:val="22"/>
                <w:szCs w:val="22"/>
                <w:lang w:val="sr-Latn-ME"/>
              </w:rPr>
              <w:t>(N = 779)</w:t>
            </w:r>
          </w:p>
        </w:tc>
        <w:tc>
          <w:tcPr>
            <w:tcW w:w="1134" w:type="dxa"/>
            <w:vMerge w:val="restart"/>
            <w:shd w:val="clear" w:color="auto" w:fill="auto"/>
          </w:tcPr>
          <w:p w14:paraId="075DFA61" w14:textId="77777777" w:rsidR="00B73F2A" w:rsidRPr="00BD78F9" w:rsidRDefault="00B73F2A" w:rsidP="00B73F2A">
            <w:pPr>
              <w:tabs>
                <w:tab w:val="left" w:pos="284"/>
              </w:tabs>
              <w:jc w:val="center"/>
              <w:rPr>
                <w:b/>
                <w:bCs/>
                <w:sz w:val="22"/>
                <w:szCs w:val="22"/>
                <w:lang w:val="sr-Latn-ME"/>
              </w:rPr>
            </w:pPr>
            <w:r w:rsidRPr="00BD78F9">
              <w:rPr>
                <w:b/>
                <w:bCs/>
                <w:sz w:val="20"/>
                <w:lang w:val="sr-Latn-ME"/>
              </w:rPr>
              <w:t>FOR/BUD MDI</w:t>
            </w:r>
          </w:p>
          <w:p w14:paraId="3B5B00A1" w14:textId="77777777" w:rsidR="00B73F2A" w:rsidRPr="00BD78F9" w:rsidRDefault="00B73F2A" w:rsidP="00B73F2A">
            <w:pPr>
              <w:tabs>
                <w:tab w:val="left" w:pos="284"/>
              </w:tabs>
              <w:jc w:val="center"/>
              <w:rPr>
                <w:b/>
                <w:bCs/>
                <w:sz w:val="22"/>
                <w:szCs w:val="22"/>
                <w:lang w:val="sr-Latn-ME"/>
              </w:rPr>
            </w:pPr>
            <w:r w:rsidRPr="00BD78F9">
              <w:rPr>
                <w:b/>
                <w:bCs/>
                <w:sz w:val="22"/>
                <w:szCs w:val="22"/>
                <w:lang w:val="sr-Latn-ME"/>
              </w:rPr>
              <w:t>(N = 755)</w:t>
            </w:r>
          </w:p>
        </w:tc>
        <w:tc>
          <w:tcPr>
            <w:tcW w:w="3685" w:type="dxa"/>
            <w:gridSpan w:val="2"/>
            <w:shd w:val="clear" w:color="auto" w:fill="auto"/>
          </w:tcPr>
          <w:p w14:paraId="2D33EC78" w14:textId="3423A2C2" w:rsidR="00B73F2A" w:rsidRPr="00BD78F9" w:rsidRDefault="00B73F2A" w:rsidP="00B73F2A">
            <w:pPr>
              <w:tabs>
                <w:tab w:val="left" w:pos="284"/>
              </w:tabs>
              <w:jc w:val="center"/>
              <w:rPr>
                <w:b/>
                <w:bCs/>
                <w:sz w:val="22"/>
                <w:szCs w:val="22"/>
                <w:lang w:val="sr-Latn-ME"/>
              </w:rPr>
            </w:pPr>
            <w:r w:rsidRPr="00BD78F9">
              <w:rPr>
                <w:b/>
                <w:bCs/>
                <w:sz w:val="22"/>
                <w:szCs w:val="22"/>
                <w:lang w:val="sr-Latn-ME"/>
              </w:rPr>
              <w:t>Razlika između l</w:t>
            </w:r>
            <w:r w:rsidR="004D0E29" w:rsidRPr="00BD78F9">
              <w:rPr>
                <w:b/>
                <w:bCs/>
                <w:sz w:val="22"/>
                <w:szCs w:val="22"/>
                <w:lang w:val="sr-Latn-ME"/>
              </w:rPr>
              <w:t>ij</w:t>
            </w:r>
            <w:r w:rsidRPr="00BD78F9">
              <w:rPr>
                <w:b/>
                <w:bCs/>
                <w:sz w:val="22"/>
                <w:szCs w:val="22"/>
                <w:lang w:val="sr-Latn-ME"/>
              </w:rPr>
              <w:t>ečenja</w:t>
            </w:r>
          </w:p>
          <w:p w14:paraId="3C03721D" w14:textId="77777777" w:rsidR="00B73F2A" w:rsidRPr="00BD78F9" w:rsidRDefault="00B73F2A" w:rsidP="00B73F2A">
            <w:pPr>
              <w:tabs>
                <w:tab w:val="left" w:pos="284"/>
              </w:tabs>
              <w:jc w:val="center"/>
              <w:rPr>
                <w:b/>
                <w:bCs/>
                <w:sz w:val="22"/>
                <w:szCs w:val="22"/>
                <w:lang w:val="sr-Latn-ME"/>
              </w:rPr>
            </w:pPr>
            <w:r w:rsidRPr="00BD78F9">
              <w:rPr>
                <w:b/>
                <w:bCs/>
                <w:sz w:val="22"/>
                <w:szCs w:val="22"/>
                <w:lang w:val="sr-Latn-ME"/>
              </w:rPr>
              <w:t>95% CI</w:t>
            </w:r>
          </w:p>
        </w:tc>
      </w:tr>
      <w:tr w:rsidR="00B73F2A" w:rsidRPr="00BD78F9" w14:paraId="36E58F21" w14:textId="77777777" w:rsidTr="00B73F2A">
        <w:tc>
          <w:tcPr>
            <w:tcW w:w="1696" w:type="dxa"/>
            <w:vMerge/>
            <w:shd w:val="clear" w:color="auto" w:fill="auto"/>
          </w:tcPr>
          <w:p w14:paraId="34D8C9BB" w14:textId="77777777" w:rsidR="00B73F2A" w:rsidRPr="00BD78F9" w:rsidRDefault="00B73F2A" w:rsidP="00B73F2A">
            <w:pPr>
              <w:tabs>
                <w:tab w:val="left" w:pos="284"/>
              </w:tabs>
              <w:jc w:val="both"/>
              <w:rPr>
                <w:sz w:val="22"/>
                <w:szCs w:val="22"/>
                <w:lang w:val="sr-Latn-ME"/>
              </w:rPr>
            </w:pPr>
          </w:p>
        </w:tc>
        <w:tc>
          <w:tcPr>
            <w:tcW w:w="1276" w:type="dxa"/>
            <w:vMerge/>
            <w:shd w:val="clear" w:color="auto" w:fill="auto"/>
          </w:tcPr>
          <w:p w14:paraId="7BBFD615" w14:textId="77777777" w:rsidR="00B73F2A" w:rsidRPr="00BD78F9" w:rsidRDefault="00B73F2A" w:rsidP="00B73F2A">
            <w:pPr>
              <w:tabs>
                <w:tab w:val="left" w:pos="284"/>
              </w:tabs>
              <w:jc w:val="center"/>
              <w:rPr>
                <w:b/>
                <w:bCs/>
                <w:sz w:val="22"/>
                <w:szCs w:val="22"/>
                <w:lang w:val="sr-Latn-ME"/>
              </w:rPr>
            </w:pPr>
          </w:p>
        </w:tc>
        <w:tc>
          <w:tcPr>
            <w:tcW w:w="1276" w:type="dxa"/>
            <w:vMerge/>
            <w:shd w:val="clear" w:color="auto" w:fill="auto"/>
          </w:tcPr>
          <w:p w14:paraId="0984EAF4" w14:textId="77777777" w:rsidR="00B73F2A" w:rsidRPr="00BD78F9" w:rsidRDefault="00B73F2A" w:rsidP="00B73F2A">
            <w:pPr>
              <w:tabs>
                <w:tab w:val="left" w:pos="284"/>
              </w:tabs>
              <w:jc w:val="center"/>
              <w:rPr>
                <w:b/>
                <w:bCs/>
                <w:sz w:val="22"/>
                <w:szCs w:val="22"/>
                <w:lang w:val="sr-Latn-ME"/>
              </w:rPr>
            </w:pPr>
          </w:p>
        </w:tc>
        <w:tc>
          <w:tcPr>
            <w:tcW w:w="1134" w:type="dxa"/>
            <w:vMerge/>
            <w:shd w:val="clear" w:color="auto" w:fill="auto"/>
          </w:tcPr>
          <w:p w14:paraId="4B3647EA" w14:textId="77777777" w:rsidR="00B73F2A" w:rsidRPr="00BD78F9" w:rsidRDefault="00B73F2A" w:rsidP="00B73F2A">
            <w:pPr>
              <w:tabs>
                <w:tab w:val="left" w:pos="284"/>
              </w:tabs>
              <w:jc w:val="center"/>
              <w:rPr>
                <w:b/>
                <w:bCs/>
                <w:sz w:val="22"/>
                <w:szCs w:val="22"/>
                <w:lang w:val="sr-Latn-ME"/>
              </w:rPr>
            </w:pPr>
          </w:p>
        </w:tc>
        <w:tc>
          <w:tcPr>
            <w:tcW w:w="1853" w:type="dxa"/>
            <w:shd w:val="clear" w:color="auto" w:fill="auto"/>
          </w:tcPr>
          <w:p w14:paraId="7C71BB77" w14:textId="77777777" w:rsidR="00B73F2A" w:rsidRPr="00BD78F9" w:rsidRDefault="00B73F2A" w:rsidP="00B73F2A">
            <w:pPr>
              <w:tabs>
                <w:tab w:val="left" w:pos="284"/>
              </w:tabs>
              <w:jc w:val="center"/>
              <w:rPr>
                <w:b/>
                <w:bCs/>
                <w:sz w:val="22"/>
                <w:szCs w:val="22"/>
                <w:lang w:val="sr-Latn-ME"/>
              </w:rPr>
            </w:pPr>
            <w:r w:rsidRPr="00BD78F9">
              <w:rPr>
                <w:b/>
                <w:bCs/>
                <w:sz w:val="22"/>
                <w:szCs w:val="22"/>
                <w:lang w:val="sr-Latn-ME"/>
              </w:rPr>
              <w:t>Trixeo Aerosphere prema FOR/GLY MDI</w:t>
            </w:r>
          </w:p>
        </w:tc>
        <w:tc>
          <w:tcPr>
            <w:tcW w:w="1832" w:type="dxa"/>
            <w:shd w:val="clear" w:color="auto" w:fill="auto"/>
          </w:tcPr>
          <w:p w14:paraId="3231ADCE" w14:textId="77777777" w:rsidR="00B73F2A" w:rsidRPr="00BD78F9" w:rsidRDefault="00B73F2A" w:rsidP="00B73F2A">
            <w:pPr>
              <w:tabs>
                <w:tab w:val="left" w:pos="284"/>
              </w:tabs>
              <w:jc w:val="center"/>
              <w:rPr>
                <w:b/>
                <w:bCs/>
                <w:sz w:val="22"/>
                <w:szCs w:val="22"/>
                <w:lang w:val="sr-Latn-ME"/>
              </w:rPr>
            </w:pPr>
            <w:r w:rsidRPr="00BD78F9">
              <w:rPr>
                <w:b/>
                <w:bCs/>
                <w:sz w:val="22"/>
                <w:szCs w:val="22"/>
                <w:lang w:val="sr-Latn-ME"/>
              </w:rPr>
              <w:t>Trixeo Aerosphere prema FOR/BUD MDI</w:t>
            </w:r>
          </w:p>
        </w:tc>
      </w:tr>
      <w:tr w:rsidR="00B73F2A" w:rsidRPr="00BD78F9" w14:paraId="1753DD5B" w14:textId="77777777" w:rsidTr="00B73F2A">
        <w:tc>
          <w:tcPr>
            <w:tcW w:w="1696" w:type="dxa"/>
            <w:shd w:val="clear" w:color="auto" w:fill="auto"/>
          </w:tcPr>
          <w:p w14:paraId="1FB0AFEB" w14:textId="38396D51" w:rsidR="00B73F2A" w:rsidRPr="00BD78F9" w:rsidRDefault="00B73F2A" w:rsidP="00271855">
            <w:pPr>
              <w:tabs>
                <w:tab w:val="left" w:pos="284"/>
              </w:tabs>
              <w:rPr>
                <w:sz w:val="18"/>
                <w:szCs w:val="18"/>
                <w:lang w:val="sr-Latn-ME"/>
              </w:rPr>
            </w:pPr>
            <w:r w:rsidRPr="00BD78F9">
              <w:rPr>
                <w:sz w:val="18"/>
                <w:szCs w:val="18"/>
                <w:lang w:val="sr-Latn-ME"/>
              </w:rPr>
              <w:lastRenderedPageBreak/>
              <w:t>Najniži FEV</w:t>
            </w:r>
            <w:r w:rsidRPr="00BD78F9">
              <w:rPr>
                <w:sz w:val="18"/>
                <w:szCs w:val="18"/>
                <w:vertAlign w:val="subscript"/>
                <w:lang w:val="sr-Latn-ME"/>
              </w:rPr>
              <w:t>1</w:t>
            </w:r>
            <w:r w:rsidRPr="00BD78F9">
              <w:rPr>
                <w:sz w:val="18"/>
                <w:szCs w:val="18"/>
                <w:lang w:val="sr-Latn-ME"/>
              </w:rPr>
              <w:t xml:space="preserve"> (m</w:t>
            </w:r>
            <w:r w:rsidR="00580541" w:rsidRPr="00BD78F9">
              <w:rPr>
                <w:sz w:val="18"/>
                <w:szCs w:val="18"/>
                <w:lang w:val="sr-Latn-ME"/>
              </w:rPr>
              <w:t>l</w:t>
            </w:r>
            <w:r w:rsidRPr="00BD78F9">
              <w:rPr>
                <w:sz w:val="18"/>
                <w:szCs w:val="18"/>
                <w:lang w:val="sr-Latn-ME"/>
              </w:rPr>
              <w:t>) tokom 24 ned</w:t>
            </w:r>
            <w:r w:rsidR="00580541" w:rsidRPr="00BD78F9">
              <w:rPr>
                <w:sz w:val="18"/>
                <w:szCs w:val="18"/>
                <w:lang w:val="sr-Latn-ME"/>
              </w:rPr>
              <w:t>j</w:t>
            </w:r>
            <w:r w:rsidRPr="00BD78F9">
              <w:rPr>
                <w:sz w:val="18"/>
                <w:szCs w:val="18"/>
                <w:lang w:val="sr-Latn-ME"/>
              </w:rPr>
              <w:t xml:space="preserve">elje; srednja </w:t>
            </w:r>
            <w:r w:rsidR="004D0E29" w:rsidRPr="00BD78F9">
              <w:rPr>
                <w:sz w:val="18"/>
                <w:szCs w:val="18"/>
                <w:lang w:val="sr-Latn-ME"/>
              </w:rPr>
              <w:t>vrijednost</w:t>
            </w:r>
            <w:r w:rsidRPr="00BD78F9">
              <w:rPr>
                <w:sz w:val="18"/>
                <w:szCs w:val="18"/>
                <w:lang w:val="sr-Latn-ME"/>
              </w:rPr>
              <w:t xml:space="preserve"> prom</w:t>
            </w:r>
            <w:r w:rsidR="00580541" w:rsidRPr="00BD78F9">
              <w:rPr>
                <w:sz w:val="18"/>
                <w:szCs w:val="18"/>
                <w:lang w:val="sr-Latn-ME"/>
              </w:rPr>
              <w:t>j</w:t>
            </w:r>
            <w:r w:rsidRPr="00BD78F9">
              <w:rPr>
                <w:sz w:val="18"/>
                <w:szCs w:val="18"/>
                <w:lang w:val="sr-Latn-ME"/>
              </w:rPr>
              <w:t xml:space="preserve">ene (LS) od početne </w:t>
            </w:r>
            <w:r w:rsidR="004D0E29" w:rsidRPr="00BD78F9">
              <w:rPr>
                <w:sz w:val="18"/>
                <w:szCs w:val="18"/>
                <w:lang w:val="sr-Latn-ME"/>
              </w:rPr>
              <w:t>vrijednost</w:t>
            </w:r>
            <w:r w:rsidRPr="00BD78F9">
              <w:rPr>
                <w:sz w:val="18"/>
                <w:szCs w:val="18"/>
                <w:lang w:val="sr-Latn-ME"/>
              </w:rPr>
              <w:t xml:space="preserve">i (SE) </w:t>
            </w:r>
          </w:p>
        </w:tc>
        <w:tc>
          <w:tcPr>
            <w:tcW w:w="1276" w:type="dxa"/>
            <w:shd w:val="clear" w:color="auto" w:fill="auto"/>
          </w:tcPr>
          <w:p w14:paraId="5859966C" w14:textId="77777777" w:rsidR="00B73F2A" w:rsidRPr="00BD78F9" w:rsidRDefault="00B73F2A" w:rsidP="00B73F2A">
            <w:pPr>
              <w:tabs>
                <w:tab w:val="left" w:pos="284"/>
              </w:tabs>
              <w:jc w:val="center"/>
              <w:rPr>
                <w:sz w:val="22"/>
                <w:szCs w:val="22"/>
                <w:lang w:val="sr-Latn-ME"/>
              </w:rPr>
            </w:pPr>
            <w:r w:rsidRPr="00BD78F9">
              <w:rPr>
                <w:sz w:val="22"/>
                <w:szCs w:val="22"/>
                <w:lang w:val="sr-Latn-ME"/>
              </w:rPr>
              <w:t>129 (6,5)</w:t>
            </w:r>
          </w:p>
        </w:tc>
        <w:tc>
          <w:tcPr>
            <w:tcW w:w="1276" w:type="dxa"/>
            <w:shd w:val="clear" w:color="auto" w:fill="auto"/>
          </w:tcPr>
          <w:p w14:paraId="7FEC9515" w14:textId="77777777" w:rsidR="00B73F2A" w:rsidRPr="00BD78F9" w:rsidRDefault="00B73F2A" w:rsidP="00B73F2A">
            <w:pPr>
              <w:tabs>
                <w:tab w:val="left" w:pos="284"/>
              </w:tabs>
              <w:jc w:val="center"/>
              <w:rPr>
                <w:sz w:val="22"/>
                <w:szCs w:val="22"/>
                <w:lang w:val="sr-Latn-ME"/>
              </w:rPr>
            </w:pPr>
            <w:r w:rsidRPr="00BD78F9">
              <w:rPr>
                <w:sz w:val="22"/>
                <w:szCs w:val="22"/>
                <w:lang w:val="sr-Latn-ME"/>
              </w:rPr>
              <w:t>86 (6,6)</w:t>
            </w:r>
          </w:p>
        </w:tc>
        <w:tc>
          <w:tcPr>
            <w:tcW w:w="1134" w:type="dxa"/>
            <w:shd w:val="clear" w:color="auto" w:fill="auto"/>
          </w:tcPr>
          <w:p w14:paraId="32203D64" w14:textId="77777777" w:rsidR="00B73F2A" w:rsidRPr="00BD78F9" w:rsidRDefault="00B73F2A" w:rsidP="00B73F2A">
            <w:pPr>
              <w:tabs>
                <w:tab w:val="left" w:pos="284"/>
              </w:tabs>
              <w:jc w:val="center"/>
              <w:rPr>
                <w:sz w:val="22"/>
                <w:szCs w:val="22"/>
                <w:lang w:val="sr-Latn-ME"/>
              </w:rPr>
            </w:pPr>
            <w:r w:rsidRPr="00BD78F9">
              <w:rPr>
                <w:sz w:val="22"/>
                <w:szCs w:val="22"/>
                <w:lang w:val="sr-Latn-ME"/>
              </w:rPr>
              <w:t>53 (6,5)</w:t>
            </w:r>
          </w:p>
        </w:tc>
        <w:tc>
          <w:tcPr>
            <w:tcW w:w="1853" w:type="dxa"/>
            <w:shd w:val="clear" w:color="auto" w:fill="auto"/>
          </w:tcPr>
          <w:p w14:paraId="19DFFB6C" w14:textId="0E23960B" w:rsidR="00B73F2A" w:rsidRPr="00BD78F9" w:rsidRDefault="00B73F2A" w:rsidP="00B73F2A">
            <w:pPr>
              <w:keepNext/>
              <w:keepLines/>
              <w:tabs>
                <w:tab w:val="left" w:pos="284"/>
              </w:tabs>
              <w:jc w:val="center"/>
              <w:rPr>
                <w:sz w:val="22"/>
                <w:szCs w:val="22"/>
                <w:lang w:val="sr-Latn-ME"/>
              </w:rPr>
            </w:pPr>
            <w:r w:rsidRPr="00BD78F9">
              <w:rPr>
                <w:sz w:val="22"/>
                <w:szCs w:val="22"/>
                <w:lang w:val="sr-Latn-ME"/>
              </w:rPr>
              <w:t>43 m</w:t>
            </w:r>
            <w:r w:rsidR="00580541" w:rsidRPr="00BD78F9">
              <w:rPr>
                <w:sz w:val="22"/>
                <w:szCs w:val="22"/>
                <w:lang w:val="sr-Latn-ME"/>
              </w:rPr>
              <w:t>l</w:t>
            </w:r>
            <w:r w:rsidRPr="00BD78F9">
              <w:rPr>
                <w:sz w:val="22"/>
                <w:szCs w:val="22"/>
                <w:lang w:val="sr-Latn-ME"/>
              </w:rPr>
              <w:br/>
              <w:t>(25, 60)</w:t>
            </w:r>
          </w:p>
          <w:p w14:paraId="40BD2CC2" w14:textId="77777777" w:rsidR="00B73F2A" w:rsidRPr="00BD78F9" w:rsidRDefault="00B73F2A" w:rsidP="00B73F2A">
            <w:pPr>
              <w:tabs>
                <w:tab w:val="left" w:pos="284"/>
              </w:tabs>
              <w:jc w:val="center"/>
              <w:rPr>
                <w:sz w:val="22"/>
                <w:szCs w:val="22"/>
                <w:lang w:val="sr-Latn-ME"/>
              </w:rPr>
            </w:pPr>
            <w:r w:rsidRPr="00BD78F9">
              <w:rPr>
                <w:sz w:val="22"/>
                <w:szCs w:val="22"/>
                <w:lang w:val="sr-Latn-ME"/>
              </w:rPr>
              <w:t>p&lt;0,0001</w:t>
            </w:r>
          </w:p>
        </w:tc>
        <w:tc>
          <w:tcPr>
            <w:tcW w:w="1832" w:type="dxa"/>
            <w:shd w:val="clear" w:color="auto" w:fill="auto"/>
          </w:tcPr>
          <w:p w14:paraId="346AF61A" w14:textId="063FE0C4" w:rsidR="00B73F2A" w:rsidRPr="00BD78F9" w:rsidRDefault="00B73F2A" w:rsidP="00B73F2A">
            <w:pPr>
              <w:keepNext/>
              <w:keepLines/>
              <w:tabs>
                <w:tab w:val="left" w:pos="284"/>
              </w:tabs>
              <w:jc w:val="center"/>
              <w:rPr>
                <w:sz w:val="22"/>
                <w:szCs w:val="22"/>
                <w:lang w:val="sr-Latn-ME"/>
              </w:rPr>
            </w:pPr>
            <w:r w:rsidRPr="00BD78F9">
              <w:rPr>
                <w:sz w:val="22"/>
                <w:szCs w:val="22"/>
                <w:lang w:val="sr-Latn-ME"/>
              </w:rPr>
              <w:t>76 m</w:t>
            </w:r>
            <w:r w:rsidR="00580541" w:rsidRPr="00BD78F9">
              <w:rPr>
                <w:sz w:val="22"/>
                <w:szCs w:val="22"/>
                <w:lang w:val="sr-Latn-ME"/>
              </w:rPr>
              <w:t>l</w:t>
            </w:r>
            <w:r w:rsidRPr="00BD78F9">
              <w:rPr>
                <w:sz w:val="22"/>
                <w:szCs w:val="22"/>
                <w:lang w:val="sr-Latn-ME"/>
              </w:rPr>
              <w:br/>
              <w:t>(58, 94)</w:t>
            </w:r>
          </w:p>
          <w:p w14:paraId="0670254E" w14:textId="77777777" w:rsidR="00B73F2A" w:rsidRPr="00BD78F9" w:rsidRDefault="00B73F2A" w:rsidP="00B73F2A">
            <w:pPr>
              <w:tabs>
                <w:tab w:val="left" w:pos="284"/>
              </w:tabs>
              <w:jc w:val="center"/>
              <w:rPr>
                <w:sz w:val="22"/>
                <w:szCs w:val="22"/>
                <w:lang w:val="sr-Latn-ME"/>
              </w:rPr>
            </w:pPr>
            <w:r w:rsidRPr="00BD78F9">
              <w:rPr>
                <w:sz w:val="22"/>
                <w:szCs w:val="22"/>
                <w:lang w:val="sr-Latn-ME"/>
              </w:rPr>
              <w:t>p&lt;0,0001</w:t>
            </w:r>
            <w:r w:rsidRPr="00BD78F9">
              <w:rPr>
                <w:sz w:val="22"/>
                <w:szCs w:val="22"/>
                <w:vertAlign w:val="superscript"/>
                <w:lang w:val="sr-Latn-ME"/>
              </w:rPr>
              <w:t>#</w:t>
            </w:r>
          </w:p>
        </w:tc>
      </w:tr>
      <w:tr w:rsidR="00B73F2A" w:rsidRPr="00BD78F9" w14:paraId="7206523F" w14:textId="77777777" w:rsidTr="00B73F2A">
        <w:tc>
          <w:tcPr>
            <w:tcW w:w="1696" w:type="dxa"/>
            <w:shd w:val="clear" w:color="auto" w:fill="auto"/>
          </w:tcPr>
          <w:p w14:paraId="075FB27F" w14:textId="43B458A3" w:rsidR="00B73F2A" w:rsidRPr="00BD78F9" w:rsidRDefault="00B73F2A" w:rsidP="00271855">
            <w:pPr>
              <w:tabs>
                <w:tab w:val="left" w:pos="284"/>
              </w:tabs>
              <w:rPr>
                <w:sz w:val="18"/>
                <w:szCs w:val="18"/>
                <w:lang w:val="sr-Latn-ME"/>
              </w:rPr>
            </w:pPr>
            <w:r w:rsidRPr="00BD78F9">
              <w:rPr>
                <w:sz w:val="18"/>
                <w:szCs w:val="18"/>
                <w:lang w:val="sr-Latn-ME"/>
              </w:rPr>
              <w:t>FEV</w:t>
            </w:r>
            <w:r w:rsidRPr="00BD78F9">
              <w:rPr>
                <w:sz w:val="18"/>
                <w:szCs w:val="18"/>
                <w:vertAlign w:val="subscript"/>
                <w:lang w:val="sr-Latn-ME"/>
              </w:rPr>
              <w:t>1</w:t>
            </w:r>
            <w:r w:rsidRPr="00BD78F9">
              <w:rPr>
                <w:sz w:val="18"/>
                <w:szCs w:val="18"/>
                <w:lang w:val="sr-Latn-ME"/>
              </w:rPr>
              <w:t xml:space="preserve"> AUC</w:t>
            </w:r>
            <w:r w:rsidRPr="00BD78F9">
              <w:rPr>
                <w:sz w:val="18"/>
                <w:szCs w:val="18"/>
                <w:vertAlign w:val="subscript"/>
                <w:lang w:val="sr-Latn-ME"/>
              </w:rPr>
              <w:t xml:space="preserve">0-4 </w:t>
            </w:r>
            <w:r w:rsidRPr="00BD78F9">
              <w:rPr>
                <w:sz w:val="18"/>
                <w:szCs w:val="18"/>
                <w:lang w:val="sr-Latn-ME"/>
              </w:rPr>
              <w:t>tokom 24 ned</w:t>
            </w:r>
            <w:r w:rsidR="00580541" w:rsidRPr="00BD78F9">
              <w:rPr>
                <w:sz w:val="18"/>
                <w:szCs w:val="18"/>
                <w:lang w:val="sr-Latn-ME"/>
              </w:rPr>
              <w:t>j</w:t>
            </w:r>
            <w:r w:rsidRPr="00BD78F9">
              <w:rPr>
                <w:sz w:val="18"/>
                <w:szCs w:val="18"/>
                <w:lang w:val="sr-Latn-ME"/>
              </w:rPr>
              <w:t xml:space="preserve">elje; srednja </w:t>
            </w:r>
            <w:r w:rsidR="004D0E29" w:rsidRPr="00BD78F9">
              <w:rPr>
                <w:sz w:val="18"/>
                <w:szCs w:val="18"/>
                <w:lang w:val="sr-Latn-ME"/>
              </w:rPr>
              <w:t>vrijednost</w:t>
            </w:r>
            <w:r w:rsidRPr="00BD78F9">
              <w:rPr>
                <w:sz w:val="18"/>
                <w:szCs w:val="18"/>
                <w:lang w:val="sr-Latn-ME"/>
              </w:rPr>
              <w:t xml:space="preserve"> prom</w:t>
            </w:r>
            <w:r w:rsidR="00580541" w:rsidRPr="00BD78F9">
              <w:rPr>
                <w:sz w:val="18"/>
                <w:szCs w:val="18"/>
                <w:lang w:val="sr-Latn-ME"/>
              </w:rPr>
              <w:t>j</w:t>
            </w:r>
            <w:r w:rsidRPr="00BD78F9">
              <w:rPr>
                <w:sz w:val="18"/>
                <w:szCs w:val="18"/>
                <w:lang w:val="sr-Latn-ME"/>
              </w:rPr>
              <w:t xml:space="preserve">ene (LS) od početne </w:t>
            </w:r>
            <w:r w:rsidR="004D0E29" w:rsidRPr="00BD78F9">
              <w:rPr>
                <w:sz w:val="18"/>
                <w:szCs w:val="18"/>
                <w:lang w:val="sr-Latn-ME"/>
              </w:rPr>
              <w:t>vrijednost</w:t>
            </w:r>
            <w:r w:rsidRPr="00BD78F9">
              <w:rPr>
                <w:sz w:val="18"/>
                <w:szCs w:val="18"/>
                <w:lang w:val="sr-Latn-ME"/>
              </w:rPr>
              <w:t>i (SE)</w:t>
            </w:r>
          </w:p>
        </w:tc>
        <w:tc>
          <w:tcPr>
            <w:tcW w:w="1276" w:type="dxa"/>
            <w:shd w:val="clear" w:color="auto" w:fill="auto"/>
          </w:tcPr>
          <w:p w14:paraId="7D4F5BB8" w14:textId="77777777" w:rsidR="00B73F2A" w:rsidRPr="00BD78F9" w:rsidRDefault="00B73F2A" w:rsidP="00B73F2A">
            <w:pPr>
              <w:tabs>
                <w:tab w:val="left" w:pos="284"/>
              </w:tabs>
              <w:jc w:val="center"/>
              <w:rPr>
                <w:sz w:val="22"/>
                <w:szCs w:val="22"/>
                <w:lang w:val="sr-Latn-ME"/>
              </w:rPr>
            </w:pPr>
            <w:r w:rsidRPr="00BD78F9">
              <w:rPr>
                <w:sz w:val="22"/>
                <w:szCs w:val="22"/>
                <w:lang w:val="sr-Latn-ME"/>
              </w:rPr>
              <w:t>294 (6,3)</w:t>
            </w:r>
          </w:p>
        </w:tc>
        <w:tc>
          <w:tcPr>
            <w:tcW w:w="1276" w:type="dxa"/>
            <w:shd w:val="clear" w:color="auto" w:fill="auto"/>
          </w:tcPr>
          <w:p w14:paraId="687E9AC7" w14:textId="77777777" w:rsidR="00B73F2A" w:rsidRPr="00BD78F9" w:rsidRDefault="00B73F2A" w:rsidP="00B73F2A">
            <w:pPr>
              <w:tabs>
                <w:tab w:val="left" w:pos="284"/>
              </w:tabs>
              <w:jc w:val="center"/>
              <w:rPr>
                <w:sz w:val="22"/>
                <w:szCs w:val="22"/>
                <w:lang w:val="sr-Latn-ME"/>
              </w:rPr>
            </w:pPr>
            <w:r w:rsidRPr="00BD78F9">
              <w:rPr>
                <w:sz w:val="22"/>
                <w:szCs w:val="22"/>
                <w:lang w:val="sr-Latn-ME"/>
              </w:rPr>
              <w:t>245 (6,3)</w:t>
            </w:r>
          </w:p>
        </w:tc>
        <w:tc>
          <w:tcPr>
            <w:tcW w:w="1134" w:type="dxa"/>
            <w:shd w:val="clear" w:color="auto" w:fill="auto"/>
          </w:tcPr>
          <w:p w14:paraId="5C04A4B9" w14:textId="77777777" w:rsidR="00B73F2A" w:rsidRPr="00BD78F9" w:rsidRDefault="00B73F2A" w:rsidP="00B73F2A">
            <w:pPr>
              <w:tabs>
                <w:tab w:val="left" w:pos="284"/>
              </w:tabs>
              <w:jc w:val="center"/>
              <w:rPr>
                <w:sz w:val="22"/>
                <w:szCs w:val="22"/>
                <w:lang w:val="sr-Latn-ME"/>
              </w:rPr>
            </w:pPr>
            <w:r w:rsidRPr="00BD78F9">
              <w:rPr>
                <w:sz w:val="22"/>
                <w:szCs w:val="22"/>
                <w:lang w:val="sr-Latn-ME"/>
              </w:rPr>
              <w:t>194 (6,3)</w:t>
            </w:r>
          </w:p>
        </w:tc>
        <w:tc>
          <w:tcPr>
            <w:tcW w:w="1853" w:type="dxa"/>
            <w:shd w:val="clear" w:color="auto" w:fill="auto"/>
          </w:tcPr>
          <w:p w14:paraId="393044A5" w14:textId="5B9E7E97" w:rsidR="00B73F2A" w:rsidRPr="00BD78F9" w:rsidRDefault="00B73F2A" w:rsidP="00B73F2A">
            <w:pPr>
              <w:keepNext/>
              <w:keepLines/>
              <w:tabs>
                <w:tab w:val="left" w:pos="284"/>
              </w:tabs>
              <w:jc w:val="center"/>
              <w:rPr>
                <w:sz w:val="22"/>
                <w:szCs w:val="22"/>
                <w:lang w:val="sr-Latn-ME"/>
              </w:rPr>
            </w:pPr>
            <w:r w:rsidRPr="00BD78F9">
              <w:rPr>
                <w:sz w:val="22"/>
                <w:szCs w:val="22"/>
                <w:lang w:val="sr-Latn-ME"/>
              </w:rPr>
              <w:t>49 m</w:t>
            </w:r>
            <w:r w:rsidR="00580541" w:rsidRPr="00BD78F9">
              <w:rPr>
                <w:sz w:val="22"/>
                <w:szCs w:val="22"/>
                <w:lang w:val="sr-Latn-ME"/>
              </w:rPr>
              <w:t>l</w:t>
            </w:r>
            <w:r w:rsidRPr="00BD78F9">
              <w:rPr>
                <w:sz w:val="22"/>
                <w:szCs w:val="22"/>
                <w:lang w:val="sr-Latn-ME"/>
              </w:rPr>
              <w:br/>
              <w:t>(31, 66)</w:t>
            </w:r>
          </w:p>
          <w:p w14:paraId="0BC635F3" w14:textId="77777777" w:rsidR="00B73F2A" w:rsidRPr="00BD78F9" w:rsidRDefault="00B73F2A" w:rsidP="00B73F2A">
            <w:pPr>
              <w:keepNext/>
              <w:keepLines/>
              <w:tabs>
                <w:tab w:val="left" w:pos="284"/>
              </w:tabs>
              <w:jc w:val="center"/>
              <w:rPr>
                <w:sz w:val="22"/>
                <w:szCs w:val="22"/>
                <w:lang w:val="sr-Latn-ME"/>
              </w:rPr>
            </w:pPr>
            <w:r w:rsidRPr="00BD78F9">
              <w:rPr>
                <w:sz w:val="22"/>
                <w:szCs w:val="22"/>
                <w:lang w:val="sr-Latn-ME"/>
              </w:rPr>
              <w:t>p&lt;0,0001</w:t>
            </w:r>
            <w:r w:rsidRPr="00BD78F9">
              <w:rPr>
                <w:sz w:val="22"/>
                <w:szCs w:val="22"/>
                <w:vertAlign w:val="superscript"/>
                <w:lang w:val="sr-Latn-ME"/>
              </w:rPr>
              <w:t>#</w:t>
            </w:r>
          </w:p>
        </w:tc>
        <w:tc>
          <w:tcPr>
            <w:tcW w:w="1832" w:type="dxa"/>
            <w:shd w:val="clear" w:color="auto" w:fill="auto"/>
          </w:tcPr>
          <w:p w14:paraId="4E10741B" w14:textId="6A6B5A51" w:rsidR="00B73F2A" w:rsidRPr="00BD78F9" w:rsidRDefault="00B73F2A" w:rsidP="00B73F2A">
            <w:pPr>
              <w:keepNext/>
              <w:keepLines/>
              <w:tabs>
                <w:tab w:val="left" w:pos="284"/>
              </w:tabs>
              <w:jc w:val="center"/>
              <w:rPr>
                <w:sz w:val="22"/>
                <w:szCs w:val="22"/>
                <w:lang w:val="sr-Latn-ME"/>
              </w:rPr>
            </w:pPr>
            <w:r w:rsidRPr="00BD78F9">
              <w:rPr>
                <w:sz w:val="22"/>
                <w:szCs w:val="22"/>
                <w:lang w:val="sr-Latn-ME"/>
              </w:rPr>
              <w:t>99 m</w:t>
            </w:r>
            <w:r w:rsidR="00580541" w:rsidRPr="00BD78F9">
              <w:rPr>
                <w:sz w:val="22"/>
                <w:szCs w:val="22"/>
                <w:lang w:val="sr-Latn-ME"/>
              </w:rPr>
              <w:t>l</w:t>
            </w:r>
            <w:r w:rsidRPr="00BD78F9">
              <w:rPr>
                <w:sz w:val="22"/>
                <w:szCs w:val="22"/>
                <w:lang w:val="sr-Latn-ME"/>
              </w:rPr>
              <w:br/>
              <w:t>(82, 117)</w:t>
            </w:r>
          </w:p>
          <w:p w14:paraId="68431EED" w14:textId="77777777" w:rsidR="00B73F2A" w:rsidRPr="00BD78F9" w:rsidRDefault="00B73F2A" w:rsidP="00B73F2A">
            <w:pPr>
              <w:keepNext/>
              <w:keepLines/>
              <w:tabs>
                <w:tab w:val="left" w:pos="284"/>
              </w:tabs>
              <w:jc w:val="center"/>
              <w:rPr>
                <w:sz w:val="22"/>
                <w:szCs w:val="22"/>
                <w:lang w:val="sr-Latn-ME"/>
              </w:rPr>
            </w:pPr>
            <w:r w:rsidRPr="00BD78F9">
              <w:rPr>
                <w:sz w:val="22"/>
                <w:szCs w:val="22"/>
                <w:lang w:val="sr-Latn-ME"/>
              </w:rPr>
              <w:t>p&lt;0,0001</w:t>
            </w:r>
          </w:p>
        </w:tc>
      </w:tr>
    </w:tbl>
    <w:p w14:paraId="778E2728" w14:textId="1AC9039C" w:rsidR="00B73F2A" w:rsidRPr="00BD78F9" w:rsidRDefault="00B73F2A" w:rsidP="00B73F2A">
      <w:pPr>
        <w:tabs>
          <w:tab w:val="left" w:pos="284"/>
        </w:tabs>
        <w:jc w:val="both"/>
        <w:rPr>
          <w:sz w:val="22"/>
          <w:szCs w:val="22"/>
          <w:lang w:val="sr-Latn-ME"/>
        </w:rPr>
      </w:pPr>
      <w:r w:rsidRPr="00BD78F9">
        <w:rPr>
          <w:sz w:val="22"/>
          <w:szCs w:val="22"/>
          <w:lang w:val="sr-Latn-ME"/>
        </w:rPr>
        <w:t># p-</w:t>
      </w:r>
      <w:r w:rsidR="004D0E29" w:rsidRPr="00BD78F9">
        <w:rPr>
          <w:sz w:val="22"/>
          <w:szCs w:val="22"/>
          <w:lang w:val="sr-Latn-ME"/>
        </w:rPr>
        <w:t>vrijednost</w:t>
      </w:r>
      <w:r w:rsidRPr="00BD78F9">
        <w:rPr>
          <w:sz w:val="22"/>
          <w:szCs w:val="22"/>
          <w:lang w:val="sr-Latn-ME"/>
        </w:rPr>
        <w:t xml:space="preserve"> nije korigovana za višestrukost u planu hijerarhijskog testiranja </w:t>
      </w:r>
    </w:p>
    <w:p w14:paraId="23811581" w14:textId="23AD393E" w:rsidR="00B73F2A" w:rsidRPr="00BD78F9" w:rsidRDefault="00B73F2A" w:rsidP="00B73F2A">
      <w:pPr>
        <w:tabs>
          <w:tab w:val="left" w:pos="284"/>
        </w:tabs>
        <w:jc w:val="both"/>
        <w:rPr>
          <w:sz w:val="22"/>
          <w:szCs w:val="22"/>
          <w:lang w:val="sr-Latn-ME"/>
        </w:rPr>
      </w:pPr>
      <w:r w:rsidRPr="00BD78F9">
        <w:rPr>
          <w:sz w:val="22"/>
          <w:szCs w:val="22"/>
          <w:lang w:val="sr-Latn-ME"/>
        </w:rPr>
        <w:t xml:space="preserve">LS = </w:t>
      </w:r>
      <w:r w:rsidR="00580541" w:rsidRPr="00BD78F9">
        <w:rPr>
          <w:sz w:val="22"/>
          <w:szCs w:val="22"/>
          <w:lang w:val="sr-Latn-ME"/>
        </w:rPr>
        <w:t xml:space="preserve">metoda </w:t>
      </w:r>
      <w:r w:rsidRPr="00BD78F9">
        <w:rPr>
          <w:sz w:val="22"/>
          <w:szCs w:val="22"/>
          <w:lang w:val="sr-Latn-ME"/>
        </w:rPr>
        <w:t>najmanji</w:t>
      </w:r>
      <w:r w:rsidR="00580541" w:rsidRPr="00BD78F9">
        <w:rPr>
          <w:sz w:val="22"/>
          <w:szCs w:val="22"/>
          <w:lang w:val="sr-Latn-ME"/>
        </w:rPr>
        <w:t>h</w:t>
      </w:r>
      <w:r w:rsidRPr="00BD78F9">
        <w:rPr>
          <w:sz w:val="22"/>
          <w:szCs w:val="22"/>
          <w:lang w:val="sr-Latn-ME"/>
        </w:rPr>
        <w:t xml:space="preserve"> kvadrat</w:t>
      </w:r>
      <w:r w:rsidR="00580541" w:rsidRPr="00BD78F9">
        <w:rPr>
          <w:sz w:val="22"/>
          <w:szCs w:val="22"/>
          <w:lang w:val="sr-Latn-ME"/>
        </w:rPr>
        <w:t>a</w:t>
      </w:r>
      <w:r w:rsidRPr="00BD78F9">
        <w:rPr>
          <w:sz w:val="22"/>
          <w:szCs w:val="22"/>
          <w:lang w:val="sr-Latn-ME"/>
        </w:rPr>
        <w:t xml:space="preserve">, SE = standardna greška, CI = intervali pouzdanosti, N = broj u populaciji predviđenoj za </w:t>
      </w:r>
      <w:r w:rsidR="004D0E29" w:rsidRPr="00BD78F9">
        <w:rPr>
          <w:sz w:val="22"/>
          <w:szCs w:val="22"/>
          <w:lang w:val="sr-Latn-ME"/>
        </w:rPr>
        <w:t>liječenje</w:t>
      </w:r>
    </w:p>
    <w:p w14:paraId="2A22C5F7" w14:textId="77777777" w:rsidR="00B73F2A" w:rsidRPr="00BD78F9" w:rsidRDefault="00B73F2A" w:rsidP="00B73F2A">
      <w:pPr>
        <w:tabs>
          <w:tab w:val="left" w:pos="284"/>
        </w:tabs>
        <w:jc w:val="both"/>
        <w:rPr>
          <w:sz w:val="22"/>
          <w:szCs w:val="22"/>
          <w:lang w:val="sr-Latn-ME"/>
        </w:rPr>
      </w:pPr>
    </w:p>
    <w:p w14:paraId="13114EE1" w14:textId="77777777" w:rsidR="00B73F2A" w:rsidRPr="00BD78F9" w:rsidRDefault="00B73F2A" w:rsidP="00B73F2A">
      <w:pPr>
        <w:tabs>
          <w:tab w:val="left" w:pos="284"/>
        </w:tabs>
        <w:jc w:val="both"/>
        <w:rPr>
          <w:b/>
          <w:i/>
          <w:sz w:val="22"/>
          <w:szCs w:val="22"/>
          <w:lang w:val="sr-Latn-ME"/>
        </w:rPr>
      </w:pPr>
      <w:r w:rsidRPr="00BD78F9">
        <w:rPr>
          <w:b/>
          <w:bCs/>
          <w:sz w:val="22"/>
          <w:szCs w:val="22"/>
          <w:lang w:val="sr-Latn-ME"/>
        </w:rPr>
        <w:t>Tabela 3: Analize funkcije pluća – KRONOS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941"/>
        <w:gridCol w:w="941"/>
        <w:gridCol w:w="941"/>
        <w:gridCol w:w="941"/>
        <w:gridCol w:w="1332"/>
        <w:gridCol w:w="1332"/>
        <w:gridCol w:w="1113"/>
      </w:tblGrid>
      <w:tr w:rsidR="00B73F2A" w:rsidRPr="00BD78F9" w14:paraId="6DA3C6A3" w14:textId="77777777" w:rsidTr="00271855">
        <w:tc>
          <w:tcPr>
            <w:tcW w:w="1526" w:type="dxa"/>
            <w:vMerge w:val="restart"/>
            <w:shd w:val="clear" w:color="auto" w:fill="auto"/>
          </w:tcPr>
          <w:p w14:paraId="1A0BBF6B" w14:textId="77777777" w:rsidR="00B73F2A" w:rsidRPr="00BD78F9" w:rsidRDefault="00B73F2A" w:rsidP="00B73F2A">
            <w:pPr>
              <w:tabs>
                <w:tab w:val="left" w:pos="284"/>
              </w:tabs>
              <w:jc w:val="both"/>
              <w:rPr>
                <w:sz w:val="22"/>
                <w:szCs w:val="22"/>
                <w:lang w:val="sr-Latn-ME"/>
              </w:rPr>
            </w:pPr>
          </w:p>
        </w:tc>
        <w:tc>
          <w:tcPr>
            <w:tcW w:w="941" w:type="dxa"/>
            <w:vMerge w:val="restart"/>
            <w:shd w:val="clear" w:color="auto" w:fill="auto"/>
          </w:tcPr>
          <w:p w14:paraId="4FBB2FC1" w14:textId="77777777" w:rsidR="00B73F2A" w:rsidRPr="00BD78F9" w:rsidRDefault="00B73F2A" w:rsidP="00B73F2A">
            <w:pPr>
              <w:tabs>
                <w:tab w:val="left" w:pos="284"/>
              </w:tabs>
              <w:jc w:val="center"/>
              <w:rPr>
                <w:b/>
                <w:bCs/>
                <w:sz w:val="20"/>
                <w:szCs w:val="22"/>
                <w:lang w:val="sr-Latn-ME"/>
              </w:rPr>
            </w:pPr>
            <w:r w:rsidRPr="00BD78F9">
              <w:rPr>
                <w:b/>
                <w:bCs/>
                <w:sz w:val="22"/>
                <w:szCs w:val="22"/>
                <w:lang w:val="sr-Latn-ME"/>
              </w:rPr>
              <w:t>Trixeo Aero-sphere</w:t>
            </w:r>
            <w:r w:rsidRPr="00BD78F9">
              <w:rPr>
                <w:b/>
                <w:bCs/>
                <w:sz w:val="20"/>
                <w:szCs w:val="18"/>
                <w:lang w:val="sr-Latn-ME"/>
              </w:rPr>
              <w:t xml:space="preserve"> </w:t>
            </w:r>
            <w:r w:rsidRPr="00BD78F9">
              <w:rPr>
                <w:b/>
                <w:bCs/>
                <w:sz w:val="20"/>
                <w:szCs w:val="22"/>
                <w:lang w:val="sr-Latn-ME"/>
              </w:rPr>
              <w:t>(N=639)</w:t>
            </w:r>
          </w:p>
        </w:tc>
        <w:tc>
          <w:tcPr>
            <w:tcW w:w="941" w:type="dxa"/>
            <w:vMerge w:val="restart"/>
            <w:shd w:val="clear" w:color="auto" w:fill="auto"/>
          </w:tcPr>
          <w:p w14:paraId="5B23EEAE" w14:textId="77777777" w:rsidR="00B73F2A" w:rsidRPr="00BD78F9" w:rsidRDefault="00B73F2A" w:rsidP="00B73F2A">
            <w:pPr>
              <w:tabs>
                <w:tab w:val="left" w:pos="284"/>
              </w:tabs>
              <w:jc w:val="center"/>
              <w:rPr>
                <w:b/>
                <w:bCs/>
                <w:sz w:val="18"/>
                <w:lang w:val="sr-Latn-ME"/>
              </w:rPr>
            </w:pPr>
            <w:r w:rsidRPr="00BD78F9">
              <w:rPr>
                <w:b/>
                <w:bCs/>
                <w:sz w:val="18"/>
                <w:lang w:val="sr-Latn-ME"/>
              </w:rPr>
              <w:t>FOR/</w:t>
            </w:r>
          </w:p>
          <w:p w14:paraId="0C8874D0" w14:textId="77777777" w:rsidR="00B73F2A" w:rsidRPr="00BD78F9" w:rsidRDefault="00B73F2A" w:rsidP="00B73F2A">
            <w:pPr>
              <w:tabs>
                <w:tab w:val="left" w:pos="284"/>
              </w:tabs>
              <w:jc w:val="center"/>
              <w:rPr>
                <w:b/>
                <w:bCs/>
                <w:sz w:val="20"/>
                <w:szCs w:val="22"/>
                <w:lang w:val="sr-Latn-ME"/>
              </w:rPr>
            </w:pPr>
            <w:r w:rsidRPr="00BD78F9">
              <w:rPr>
                <w:b/>
                <w:bCs/>
                <w:sz w:val="18"/>
                <w:lang w:val="sr-Latn-ME"/>
              </w:rPr>
              <w:t xml:space="preserve">GLY </w:t>
            </w:r>
            <w:r w:rsidRPr="00BD78F9">
              <w:rPr>
                <w:b/>
                <w:bCs/>
                <w:sz w:val="20"/>
                <w:szCs w:val="22"/>
                <w:lang w:val="sr-Latn-ME"/>
              </w:rPr>
              <w:t>MDI</w:t>
            </w:r>
          </w:p>
          <w:p w14:paraId="69F5FCBE" w14:textId="77777777" w:rsidR="00B73F2A" w:rsidRPr="00BD78F9" w:rsidRDefault="00B73F2A" w:rsidP="00B73F2A">
            <w:pPr>
              <w:tabs>
                <w:tab w:val="left" w:pos="284"/>
              </w:tabs>
              <w:jc w:val="center"/>
              <w:rPr>
                <w:b/>
                <w:bCs/>
                <w:sz w:val="20"/>
                <w:szCs w:val="22"/>
                <w:lang w:val="sr-Latn-ME"/>
              </w:rPr>
            </w:pPr>
            <w:r w:rsidRPr="00BD78F9">
              <w:rPr>
                <w:b/>
                <w:bCs/>
                <w:sz w:val="20"/>
                <w:szCs w:val="22"/>
                <w:lang w:val="sr-Latn-ME"/>
              </w:rPr>
              <w:t>(N = 625)</w:t>
            </w:r>
          </w:p>
        </w:tc>
        <w:tc>
          <w:tcPr>
            <w:tcW w:w="941" w:type="dxa"/>
            <w:vMerge w:val="restart"/>
            <w:shd w:val="clear" w:color="auto" w:fill="auto"/>
          </w:tcPr>
          <w:p w14:paraId="1CEDF32C" w14:textId="77777777" w:rsidR="00B73F2A" w:rsidRPr="00BD78F9" w:rsidRDefault="00B73F2A" w:rsidP="00B73F2A">
            <w:pPr>
              <w:tabs>
                <w:tab w:val="left" w:pos="284"/>
              </w:tabs>
              <w:jc w:val="center"/>
              <w:rPr>
                <w:b/>
                <w:bCs/>
                <w:sz w:val="20"/>
                <w:szCs w:val="22"/>
                <w:lang w:val="sr-Latn-ME"/>
              </w:rPr>
            </w:pPr>
            <w:r w:rsidRPr="00BD78F9">
              <w:rPr>
                <w:b/>
                <w:bCs/>
                <w:sz w:val="20"/>
                <w:szCs w:val="22"/>
                <w:lang w:val="sr-Latn-ME"/>
              </w:rPr>
              <w:t>FOR/</w:t>
            </w:r>
          </w:p>
          <w:p w14:paraId="6F9692E8" w14:textId="77777777" w:rsidR="00B73F2A" w:rsidRPr="00BD78F9" w:rsidRDefault="00B73F2A" w:rsidP="00B73F2A">
            <w:pPr>
              <w:tabs>
                <w:tab w:val="left" w:pos="284"/>
              </w:tabs>
              <w:jc w:val="center"/>
              <w:rPr>
                <w:b/>
                <w:bCs/>
                <w:sz w:val="20"/>
                <w:szCs w:val="22"/>
                <w:lang w:val="sr-Latn-ME"/>
              </w:rPr>
            </w:pPr>
            <w:r w:rsidRPr="00BD78F9">
              <w:rPr>
                <w:b/>
                <w:bCs/>
                <w:sz w:val="20"/>
                <w:szCs w:val="22"/>
                <w:lang w:val="sr-Latn-ME"/>
              </w:rPr>
              <w:t>BUD MDI</w:t>
            </w:r>
          </w:p>
          <w:p w14:paraId="7E8EC9C2" w14:textId="77777777" w:rsidR="00B73F2A" w:rsidRPr="00BD78F9" w:rsidRDefault="00B73F2A" w:rsidP="00B73F2A">
            <w:pPr>
              <w:tabs>
                <w:tab w:val="left" w:pos="284"/>
              </w:tabs>
              <w:jc w:val="center"/>
              <w:rPr>
                <w:b/>
                <w:bCs/>
                <w:sz w:val="22"/>
                <w:szCs w:val="22"/>
                <w:lang w:val="sr-Latn-ME"/>
              </w:rPr>
            </w:pPr>
            <w:r w:rsidRPr="00BD78F9">
              <w:rPr>
                <w:b/>
                <w:bCs/>
                <w:sz w:val="20"/>
                <w:szCs w:val="22"/>
                <w:lang w:val="sr-Latn-ME"/>
              </w:rPr>
              <w:t>(N = 314)</w:t>
            </w:r>
          </w:p>
        </w:tc>
        <w:tc>
          <w:tcPr>
            <w:tcW w:w="941" w:type="dxa"/>
            <w:vMerge w:val="restart"/>
            <w:shd w:val="clear" w:color="auto" w:fill="auto"/>
          </w:tcPr>
          <w:p w14:paraId="46DF24DE" w14:textId="77777777" w:rsidR="00B73F2A" w:rsidRPr="00BD78F9" w:rsidRDefault="00B73F2A" w:rsidP="00B73F2A">
            <w:pPr>
              <w:tabs>
                <w:tab w:val="left" w:pos="284"/>
              </w:tabs>
              <w:jc w:val="center"/>
              <w:rPr>
                <w:b/>
                <w:bCs/>
                <w:sz w:val="20"/>
                <w:szCs w:val="22"/>
                <w:lang w:val="sr-Latn-ME"/>
              </w:rPr>
            </w:pPr>
            <w:r w:rsidRPr="00BD78F9">
              <w:rPr>
                <w:b/>
                <w:bCs/>
                <w:sz w:val="20"/>
                <w:szCs w:val="22"/>
                <w:lang w:val="sr-Latn-ME"/>
              </w:rPr>
              <w:t>FOR/</w:t>
            </w:r>
          </w:p>
          <w:p w14:paraId="79962931" w14:textId="77777777" w:rsidR="00B73F2A" w:rsidRPr="00BD78F9" w:rsidRDefault="00B73F2A" w:rsidP="00B73F2A">
            <w:pPr>
              <w:tabs>
                <w:tab w:val="left" w:pos="284"/>
              </w:tabs>
              <w:jc w:val="center"/>
              <w:rPr>
                <w:b/>
                <w:bCs/>
                <w:sz w:val="22"/>
                <w:szCs w:val="22"/>
                <w:lang w:val="sr-Latn-ME"/>
              </w:rPr>
            </w:pPr>
            <w:r w:rsidRPr="00BD78F9">
              <w:rPr>
                <w:b/>
                <w:bCs/>
                <w:sz w:val="20"/>
                <w:szCs w:val="22"/>
                <w:lang w:val="sr-Latn-ME"/>
              </w:rPr>
              <w:t>BUD TBH (N = 318)</w:t>
            </w:r>
          </w:p>
        </w:tc>
        <w:tc>
          <w:tcPr>
            <w:tcW w:w="3777" w:type="dxa"/>
            <w:gridSpan w:val="3"/>
            <w:shd w:val="clear" w:color="auto" w:fill="auto"/>
          </w:tcPr>
          <w:p w14:paraId="10B7471F" w14:textId="7A500E57" w:rsidR="00B73F2A" w:rsidRPr="00BD78F9" w:rsidRDefault="00B73F2A" w:rsidP="00B73F2A">
            <w:pPr>
              <w:tabs>
                <w:tab w:val="left" w:pos="284"/>
              </w:tabs>
              <w:jc w:val="center"/>
              <w:rPr>
                <w:b/>
                <w:bCs/>
                <w:sz w:val="22"/>
                <w:szCs w:val="22"/>
                <w:lang w:val="sr-Latn-ME"/>
              </w:rPr>
            </w:pPr>
            <w:r w:rsidRPr="00BD78F9">
              <w:rPr>
                <w:b/>
                <w:bCs/>
                <w:sz w:val="22"/>
                <w:szCs w:val="22"/>
                <w:lang w:val="sr-Latn-ME"/>
              </w:rPr>
              <w:t>Razlika između l</w:t>
            </w:r>
            <w:r w:rsidR="004D0E29" w:rsidRPr="00BD78F9">
              <w:rPr>
                <w:b/>
                <w:bCs/>
                <w:sz w:val="22"/>
                <w:szCs w:val="22"/>
                <w:lang w:val="sr-Latn-ME"/>
              </w:rPr>
              <w:t>ij</w:t>
            </w:r>
            <w:r w:rsidRPr="00BD78F9">
              <w:rPr>
                <w:b/>
                <w:bCs/>
                <w:sz w:val="22"/>
                <w:szCs w:val="22"/>
                <w:lang w:val="sr-Latn-ME"/>
              </w:rPr>
              <w:t>ečenja</w:t>
            </w:r>
          </w:p>
          <w:p w14:paraId="62302FB9" w14:textId="77777777" w:rsidR="00B73F2A" w:rsidRPr="00BD78F9" w:rsidRDefault="00B73F2A" w:rsidP="00B73F2A">
            <w:pPr>
              <w:tabs>
                <w:tab w:val="left" w:pos="284"/>
              </w:tabs>
              <w:jc w:val="center"/>
              <w:rPr>
                <w:b/>
                <w:bCs/>
                <w:sz w:val="22"/>
                <w:szCs w:val="22"/>
                <w:lang w:val="sr-Latn-ME"/>
              </w:rPr>
            </w:pPr>
            <w:r w:rsidRPr="00BD78F9">
              <w:rPr>
                <w:b/>
                <w:bCs/>
                <w:sz w:val="22"/>
                <w:szCs w:val="22"/>
                <w:lang w:val="sr-Latn-ME"/>
              </w:rPr>
              <w:t>95% CI</w:t>
            </w:r>
          </w:p>
        </w:tc>
      </w:tr>
      <w:tr w:rsidR="00B73F2A" w:rsidRPr="00BD78F9" w14:paraId="60F41227" w14:textId="77777777" w:rsidTr="00271855">
        <w:tc>
          <w:tcPr>
            <w:tcW w:w="1526" w:type="dxa"/>
            <w:vMerge/>
            <w:shd w:val="clear" w:color="auto" w:fill="auto"/>
          </w:tcPr>
          <w:p w14:paraId="3F0853C6" w14:textId="77777777" w:rsidR="00B73F2A" w:rsidRPr="00BD78F9" w:rsidRDefault="00B73F2A" w:rsidP="00B73F2A">
            <w:pPr>
              <w:tabs>
                <w:tab w:val="left" w:pos="284"/>
              </w:tabs>
              <w:jc w:val="both"/>
              <w:rPr>
                <w:sz w:val="22"/>
                <w:szCs w:val="22"/>
                <w:lang w:val="sr-Latn-ME"/>
              </w:rPr>
            </w:pPr>
          </w:p>
        </w:tc>
        <w:tc>
          <w:tcPr>
            <w:tcW w:w="941" w:type="dxa"/>
            <w:vMerge/>
            <w:shd w:val="clear" w:color="auto" w:fill="auto"/>
          </w:tcPr>
          <w:p w14:paraId="3D82B6CF" w14:textId="77777777" w:rsidR="00B73F2A" w:rsidRPr="00BD78F9" w:rsidRDefault="00B73F2A" w:rsidP="00B73F2A">
            <w:pPr>
              <w:tabs>
                <w:tab w:val="left" w:pos="284"/>
              </w:tabs>
              <w:jc w:val="center"/>
              <w:rPr>
                <w:b/>
                <w:bCs/>
                <w:sz w:val="22"/>
                <w:szCs w:val="22"/>
                <w:lang w:val="sr-Latn-ME"/>
              </w:rPr>
            </w:pPr>
          </w:p>
        </w:tc>
        <w:tc>
          <w:tcPr>
            <w:tcW w:w="941" w:type="dxa"/>
            <w:vMerge/>
            <w:shd w:val="clear" w:color="auto" w:fill="auto"/>
          </w:tcPr>
          <w:p w14:paraId="5AAC01E8" w14:textId="77777777" w:rsidR="00B73F2A" w:rsidRPr="00BD78F9" w:rsidRDefault="00B73F2A" w:rsidP="00B73F2A">
            <w:pPr>
              <w:tabs>
                <w:tab w:val="left" w:pos="284"/>
              </w:tabs>
              <w:jc w:val="center"/>
              <w:rPr>
                <w:b/>
                <w:bCs/>
                <w:sz w:val="22"/>
                <w:szCs w:val="22"/>
                <w:lang w:val="sr-Latn-ME"/>
              </w:rPr>
            </w:pPr>
          </w:p>
        </w:tc>
        <w:tc>
          <w:tcPr>
            <w:tcW w:w="941" w:type="dxa"/>
            <w:vMerge/>
            <w:shd w:val="clear" w:color="auto" w:fill="auto"/>
          </w:tcPr>
          <w:p w14:paraId="13D211E7" w14:textId="77777777" w:rsidR="00B73F2A" w:rsidRPr="00BD78F9" w:rsidRDefault="00B73F2A" w:rsidP="00B73F2A">
            <w:pPr>
              <w:tabs>
                <w:tab w:val="left" w:pos="284"/>
              </w:tabs>
              <w:jc w:val="center"/>
              <w:rPr>
                <w:b/>
                <w:bCs/>
                <w:sz w:val="22"/>
                <w:szCs w:val="22"/>
                <w:lang w:val="sr-Latn-ME"/>
              </w:rPr>
            </w:pPr>
          </w:p>
        </w:tc>
        <w:tc>
          <w:tcPr>
            <w:tcW w:w="941" w:type="dxa"/>
            <w:vMerge/>
            <w:shd w:val="clear" w:color="auto" w:fill="auto"/>
          </w:tcPr>
          <w:p w14:paraId="7D057E9D" w14:textId="77777777" w:rsidR="00B73F2A" w:rsidRPr="00BD78F9" w:rsidRDefault="00B73F2A" w:rsidP="00B73F2A">
            <w:pPr>
              <w:tabs>
                <w:tab w:val="left" w:pos="284"/>
              </w:tabs>
              <w:jc w:val="center"/>
              <w:rPr>
                <w:b/>
                <w:bCs/>
                <w:sz w:val="22"/>
                <w:szCs w:val="22"/>
                <w:lang w:val="sr-Latn-ME"/>
              </w:rPr>
            </w:pPr>
          </w:p>
        </w:tc>
        <w:tc>
          <w:tcPr>
            <w:tcW w:w="1332" w:type="dxa"/>
            <w:shd w:val="clear" w:color="auto" w:fill="auto"/>
          </w:tcPr>
          <w:p w14:paraId="56D759F9" w14:textId="77777777" w:rsidR="00B73F2A" w:rsidRPr="00BD78F9" w:rsidRDefault="00B73F2A" w:rsidP="00B73F2A">
            <w:pPr>
              <w:tabs>
                <w:tab w:val="left" w:pos="284"/>
              </w:tabs>
              <w:jc w:val="center"/>
              <w:rPr>
                <w:b/>
                <w:bCs/>
                <w:sz w:val="16"/>
                <w:szCs w:val="16"/>
                <w:lang w:val="sr-Latn-ME"/>
              </w:rPr>
            </w:pPr>
            <w:r w:rsidRPr="00BD78F9">
              <w:rPr>
                <w:b/>
                <w:bCs/>
                <w:sz w:val="22"/>
                <w:szCs w:val="22"/>
                <w:lang w:val="sr-Latn-ME"/>
              </w:rPr>
              <w:t>Trixeo Aerosphere</w:t>
            </w:r>
            <w:r w:rsidRPr="00BD78F9">
              <w:rPr>
                <w:b/>
                <w:bCs/>
                <w:sz w:val="16"/>
                <w:szCs w:val="16"/>
                <w:lang w:val="sr-Latn-ME"/>
              </w:rPr>
              <w:t xml:space="preserve"> prema FOR/GLY MDI</w:t>
            </w:r>
          </w:p>
        </w:tc>
        <w:tc>
          <w:tcPr>
            <w:tcW w:w="1332" w:type="dxa"/>
            <w:shd w:val="clear" w:color="auto" w:fill="auto"/>
          </w:tcPr>
          <w:p w14:paraId="1EA398ED" w14:textId="77777777" w:rsidR="00B73F2A" w:rsidRPr="00BD78F9" w:rsidRDefault="00B73F2A" w:rsidP="00B73F2A">
            <w:pPr>
              <w:tabs>
                <w:tab w:val="left" w:pos="284"/>
              </w:tabs>
              <w:jc w:val="center"/>
              <w:rPr>
                <w:b/>
                <w:bCs/>
                <w:sz w:val="16"/>
                <w:szCs w:val="16"/>
                <w:lang w:val="sr-Latn-ME"/>
              </w:rPr>
            </w:pPr>
            <w:r w:rsidRPr="00BD78F9">
              <w:rPr>
                <w:b/>
                <w:bCs/>
                <w:sz w:val="22"/>
                <w:szCs w:val="22"/>
                <w:lang w:val="sr-Latn-ME"/>
              </w:rPr>
              <w:t>Trixeo Aerosphere</w:t>
            </w:r>
            <w:r w:rsidRPr="00BD78F9">
              <w:rPr>
                <w:b/>
                <w:bCs/>
                <w:sz w:val="16"/>
                <w:szCs w:val="16"/>
                <w:lang w:val="sr-Latn-ME"/>
              </w:rPr>
              <w:t xml:space="preserve"> prema FOR/BUD MDI</w:t>
            </w:r>
          </w:p>
        </w:tc>
        <w:tc>
          <w:tcPr>
            <w:tcW w:w="1113" w:type="dxa"/>
            <w:shd w:val="clear" w:color="auto" w:fill="auto"/>
          </w:tcPr>
          <w:p w14:paraId="052E6C0E" w14:textId="77777777" w:rsidR="00B73F2A" w:rsidRPr="00BD78F9" w:rsidRDefault="00B73F2A" w:rsidP="00B73F2A">
            <w:pPr>
              <w:tabs>
                <w:tab w:val="left" w:pos="284"/>
              </w:tabs>
              <w:jc w:val="center"/>
              <w:rPr>
                <w:b/>
                <w:bCs/>
                <w:sz w:val="16"/>
                <w:szCs w:val="16"/>
                <w:lang w:val="sr-Latn-ME"/>
              </w:rPr>
            </w:pPr>
            <w:r w:rsidRPr="00BD78F9">
              <w:rPr>
                <w:b/>
                <w:bCs/>
                <w:sz w:val="22"/>
                <w:szCs w:val="22"/>
                <w:lang w:val="sr-Latn-ME"/>
              </w:rPr>
              <w:t>Trixeo Aerosphere</w:t>
            </w:r>
            <w:r w:rsidRPr="00BD78F9">
              <w:rPr>
                <w:b/>
                <w:bCs/>
                <w:sz w:val="16"/>
                <w:szCs w:val="16"/>
                <w:lang w:val="sr-Latn-ME"/>
              </w:rPr>
              <w:t xml:space="preserve"> prema FOR/BUD TBH</w:t>
            </w:r>
          </w:p>
        </w:tc>
      </w:tr>
      <w:tr w:rsidR="00B73F2A" w:rsidRPr="00BD78F9" w14:paraId="32723FEB" w14:textId="77777777" w:rsidTr="00271855">
        <w:tc>
          <w:tcPr>
            <w:tcW w:w="1526" w:type="dxa"/>
            <w:shd w:val="clear" w:color="auto" w:fill="auto"/>
          </w:tcPr>
          <w:p w14:paraId="0E693D6F" w14:textId="4779B46C" w:rsidR="00B73F2A" w:rsidRPr="00BD78F9" w:rsidRDefault="00B73F2A" w:rsidP="00271855">
            <w:pPr>
              <w:tabs>
                <w:tab w:val="left" w:pos="284"/>
              </w:tabs>
              <w:rPr>
                <w:sz w:val="18"/>
                <w:szCs w:val="18"/>
                <w:lang w:val="sr-Latn-ME"/>
              </w:rPr>
            </w:pPr>
            <w:r w:rsidRPr="00BD78F9">
              <w:rPr>
                <w:sz w:val="18"/>
                <w:szCs w:val="18"/>
                <w:lang w:val="sr-Latn-ME"/>
              </w:rPr>
              <w:t>Najniži FEV</w:t>
            </w:r>
            <w:r w:rsidRPr="00BD78F9">
              <w:rPr>
                <w:sz w:val="18"/>
                <w:szCs w:val="18"/>
                <w:vertAlign w:val="subscript"/>
                <w:lang w:val="sr-Latn-ME"/>
              </w:rPr>
              <w:t>1</w:t>
            </w:r>
            <w:r w:rsidRPr="00BD78F9">
              <w:rPr>
                <w:sz w:val="18"/>
                <w:szCs w:val="18"/>
                <w:lang w:val="sr-Latn-ME"/>
              </w:rPr>
              <w:t xml:space="preserve"> (m</w:t>
            </w:r>
            <w:r w:rsidR="00580541" w:rsidRPr="00BD78F9">
              <w:rPr>
                <w:sz w:val="18"/>
                <w:szCs w:val="18"/>
                <w:lang w:val="sr-Latn-ME"/>
              </w:rPr>
              <w:t>l</w:t>
            </w:r>
            <w:r w:rsidRPr="00BD78F9">
              <w:rPr>
                <w:sz w:val="18"/>
                <w:szCs w:val="18"/>
                <w:lang w:val="sr-Latn-ME"/>
              </w:rPr>
              <w:t>) tokom 24 ned</w:t>
            </w:r>
            <w:r w:rsidR="00580541" w:rsidRPr="00BD78F9">
              <w:rPr>
                <w:sz w:val="18"/>
                <w:szCs w:val="18"/>
                <w:lang w:val="sr-Latn-ME"/>
              </w:rPr>
              <w:t>j</w:t>
            </w:r>
            <w:r w:rsidRPr="00BD78F9">
              <w:rPr>
                <w:sz w:val="18"/>
                <w:szCs w:val="18"/>
                <w:lang w:val="sr-Latn-ME"/>
              </w:rPr>
              <w:t xml:space="preserve">elje; srednja </w:t>
            </w:r>
            <w:r w:rsidR="004D0E29" w:rsidRPr="00BD78F9">
              <w:rPr>
                <w:sz w:val="18"/>
                <w:szCs w:val="18"/>
                <w:lang w:val="sr-Latn-ME"/>
              </w:rPr>
              <w:t>vrijednost</w:t>
            </w:r>
            <w:r w:rsidRPr="00BD78F9">
              <w:rPr>
                <w:sz w:val="18"/>
                <w:szCs w:val="18"/>
                <w:lang w:val="sr-Latn-ME"/>
              </w:rPr>
              <w:t xml:space="preserve"> prom</w:t>
            </w:r>
            <w:r w:rsidR="004D0E29" w:rsidRPr="00BD78F9">
              <w:rPr>
                <w:sz w:val="18"/>
                <w:szCs w:val="18"/>
                <w:lang w:val="sr-Latn-ME"/>
              </w:rPr>
              <w:t>j</w:t>
            </w:r>
            <w:r w:rsidRPr="00BD78F9">
              <w:rPr>
                <w:sz w:val="18"/>
                <w:szCs w:val="18"/>
                <w:lang w:val="sr-Latn-ME"/>
              </w:rPr>
              <w:t xml:space="preserve">ene (LS) od početne </w:t>
            </w:r>
            <w:r w:rsidR="004D0E29" w:rsidRPr="00BD78F9">
              <w:rPr>
                <w:sz w:val="18"/>
                <w:szCs w:val="18"/>
                <w:lang w:val="sr-Latn-ME"/>
              </w:rPr>
              <w:t>vrijednost</w:t>
            </w:r>
            <w:r w:rsidRPr="00BD78F9">
              <w:rPr>
                <w:sz w:val="18"/>
                <w:szCs w:val="18"/>
                <w:lang w:val="sr-Latn-ME"/>
              </w:rPr>
              <w:t xml:space="preserve">i (SE) </w:t>
            </w:r>
          </w:p>
        </w:tc>
        <w:tc>
          <w:tcPr>
            <w:tcW w:w="941" w:type="dxa"/>
            <w:shd w:val="clear" w:color="auto" w:fill="auto"/>
          </w:tcPr>
          <w:p w14:paraId="766687F0" w14:textId="77777777" w:rsidR="00B73F2A" w:rsidRPr="00BD78F9" w:rsidRDefault="00B73F2A" w:rsidP="00B73F2A">
            <w:pPr>
              <w:tabs>
                <w:tab w:val="left" w:pos="284"/>
              </w:tabs>
              <w:jc w:val="center"/>
              <w:rPr>
                <w:sz w:val="22"/>
                <w:szCs w:val="22"/>
                <w:lang w:val="sr-Latn-ME"/>
              </w:rPr>
            </w:pPr>
            <w:r w:rsidRPr="00BD78F9">
              <w:rPr>
                <w:sz w:val="22"/>
                <w:szCs w:val="22"/>
                <w:lang w:val="sr-Latn-ME"/>
              </w:rPr>
              <w:t>147 (6,5)</w:t>
            </w:r>
          </w:p>
        </w:tc>
        <w:tc>
          <w:tcPr>
            <w:tcW w:w="941" w:type="dxa"/>
            <w:shd w:val="clear" w:color="auto" w:fill="auto"/>
          </w:tcPr>
          <w:p w14:paraId="567A005E" w14:textId="77777777" w:rsidR="00B73F2A" w:rsidRPr="00BD78F9" w:rsidRDefault="00B73F2A" w:rsidP="00B73F2A">
            <w:pPr>
              <w:tabs>
                <w:tab w:val="left" w:pos="284"/>
              </w:tabs>
              <w:jc w:val="center"/>
              <w:rPr>
                <w:sz w:val="22"/>
                <w:szCs w:val="22"/>
                <w:lang w:val="sr-Latn-ME"/>
              </w:rPr>
            </w:pPr>
            <w:r w:rsidRPr="00BD78F9">
              <w:rPr>
                <w:sz w:val="22"/>
                <w:szCs w:val="22"/>
                <w:lang w:val="sr-Latn-ME"/>
              </w:rPr>
              <w:t>125 (6,6)</w:t>
            </w:r>
          </w:p>
        </w:tc>
        <w:tc>
          <w:tcPr>
            <w:tcW w:w="941" w:type="dxa"/>
            <w:shd w:val="clear" w:color="auto" w:fill="auto"/>
          </w:tcPr>
          <w:p w14:paraId="216CEB7E" w14:textId="77777777" w:rsidR="00B73F2A" w:rsidRPr="00BD78F9" w:rsidRDefault="00B73F2A" w:rsidP="00B73F2A">
            <w:pPr>
              <w:tabs>
                <w:tab w:val="left" w:pos="284"/>
              </w:tabs>
              <w:jc w:val="center"/>
              <w:rPr>
                <w:sz w:val="22"/>
                <w:szCs w:val="22"/>
                <w:lang w:val="sr-Latn-ME"/>
              </w:rPr>
            </w:pPr>
            <w:r w:rsidRPr="00BD78F9">
              <w:rPr>
                <w:sz w:val="22"/>
                <w:szCs w:val="22"/>
                <w:lang w:val="sr-Latn-ME"/>
              </w:rPr>
              <w:t>73 (9,2)</w:t>
            </w:r>
          </w:p>
        </w:tc>
        <w:tc>
          <w:tcPr>
            <w:tcW w:w="941" w:type="dxa"/>
            <w:shd w:val="clear" w:color="auto" w:fill="auto"/>
          </w:tcPr>
          <w:p w14:paraId="6A931657" w14:textId="77777777" w:rsidR="00B73F2A" w:rsidRPr="00BD78F9" w:rsidRDefault="00B73F2A" w:rsidP="00B73F2A">
            <w:pPr>
              <w:keepNext/>
              <w:keepLines/>
              <w:tabs>
                <w:tab w:val="left" w:pos="284"/>
              </w:tabs>
              <w:jc w:val="center"/>
              <w:rPr>
                <w:sz w:val="22"/>
                <w:szCs w:val="22"/>
                <w:lang w:val="sr-Latn-ME"/>
              </w:rPr>
            </w:pPr>
            <w:r w:rsidRPr="00BD78F9">
              <w:rPr>
                <w:sz w:val="22"/>
                <w:szCs w:val="22"/>
                <w:lang w:val="sr-Latn-ME"/>
              </w:rPr>
              <w:t>88 (9,1)</w:t>
            </w:r>
          </w:p>
        </w:tc>
        <w:tc>
          <w:tcPr>
            <w:tcW w:w="1332" w:type="dxa"/>
            <w:shd w:val="clear" w:color="auto" w:fill="auto"/>
          </w:tcPr>
          <w:p w14:paraId="27CCF215" w14:textId="230B7637" w:rsidR="00B73F2A" w:rsidRPr="00BD78F9" w:rsidRDefault="00B73F2A" w:rsidP="00B73F2A">
            <w:pPr>
              <w:tabs>
                <w:tab w:val="left" w:pos="284"/>
              </w:tabs>
              <w:jc w:val="center"/>
              <w:rPr>
                <w:sz w:val="22"/>
                <w:szCs w:val="22"/>
                <w:lang w:val="sr-Latn-ME"/>
              </w:rPr>
            </w:pPr>
            <w:r w:rsidRPr="00BD78F9">
              <w:rPr>
                <w:sz w:val="22"/>
                <w:szCs w:val="22"/>
                <w:lang w:val="sr-Latn-ME"/>
              </w:rPr>
              <w:t>22 m</w:t>
            </w:r>
            <w:r w:rsidR="00580541" w:rsidRPr="00BD78F9">
              <w:rPr>
                <w:sz w:val="22"/>
                <w:szCs w:val="22"/>
                <w:lang w:val="sr-Latn-ME"/>
              </w:rPr>
              <w:t>l</w:t>
            </w:r>
            <w:r w:rsidRPr="00BD78F9">
              <w:rPr>
                <w:sz w:val="22"/>
                <w:szCs w:val="22"/>
                <w:lang w:val="sr-Latn-ME"/>
              </w:rPr>
              <w:br/>
              <w:t>(4, 39) p = 0,0139</w:t>
            </w:r>
          </w:p>
        </w:tc>
        <w:tc>
          <w:tcPr>
            <w:tcW w:w="1332" w:type="dxa"/>
            <w:shd w:val="clear" w:color="auto" w:fill="auto"/>
          </w:tcPr>
          <w:p w14:paraId="7C6FC75F" w14:textId="09C2F3CD" w:rsidR="00B73F2A" w:rsidRPr="00BD78F9" w:rsidRDefault="00B73F2A" w:rsidP="00B73F2A">
            <w:pPr>
              <w:keepNext/>
              <w:keepLines/>
              <w:tabs>
                <w:tab w:val="left" w:pos="284"/>
              </w:tabs>
              <w:jc w:val="center"/>
              <w:rPr>
                <w:sz w:val="22"/>
                <w:szCs w:val="22"/>
                <w:lang w:val="sr-Latn-ME"/>
              </w:rPr>
            </w:pPr>
            <w:r w:rsidRPr="00BD78F9">
              <w:rPr>
                <w:sz w:val="22"/>
                <w:szCs w:val="22"/>
                <w:lang w:val="sr-Latn-ME"/>
              </w:rPr>
              <w:t>74 m</w:t>
            </w:r>
            <w:r w:rsidR="00580541" w:rsidRPr="00BD78F9">
              <w:rPr>
                <w:sz w:val="22"/>
                <w:szCs w:val="22"/>
                <w:lang w:val="sr-Latn-ME"/>
              </w:rPr>
              <w:t>l</w:t>
            </w:r>
            <w:r w:rsidRPr="00BD78F9">
              <w:rPr>
                <w:sz w:val="22"/>
                <w:szCs w:val="22"/>
                <w:lang w:val="sr-Latn-ME"/>
              </w:rPr>
              <w:br/>
              <w:t>(52, 95) p&lt;0,0001</w:t>
            </w:r>
          </w:p>
        </w:tc>
        <w:tc>
          <w:tcPr>
            <w:tcW w:w="1113" w:type="dxa"/>
            <w:shd w:val="clear" w:color="auto" w:fill="auto"/>
          </w:tcPr>
          <w:p w14:paraId="67408D1B" w14:textId="170FAE75" w:rsidR="00B73F2A" w:rsidRPr="00BD78F9" w:rsidRDefault="00B73F2A" w:rsidP="00B73F2A">
            <w:pPr>
              <w:tabs>
                <w:tab w:val="left" w:pos="284"/>
              </w:tabs>
              <w:jc w:val="center"/>
              <w:rPr>
                <w:sz w:val="22"/>
                <w:szCs w:val="22"/>
                <w:lang w:val="sr-Latn-ME"/>
              </w:rPr>
            </w:pPr>
            <w:r w:rsidRPr="00BD78F9">
              <w:rPr>
                <w:sz w:val="22"/>
                <w:szCs w:val="22"/>
                <w:lang w:val="sr-Latn-ME"/>
              </w:rPr>
              <w:t>59 m</w:t>
            </w:r>
            <w:r w:rsidR="00580541" w:rsidRPr="00BD78F9">
              <w:rPr>
                <w:sz w:val="22"/>
                <w:szCs w:val="22"/>
                <w:lang w:val="sr-Latn-ME"/>
              </w:rPr>
              <w:t>l</w:t>
            </w:r>
            <w:r w:rsidRPr="00BD78F9">
              <w:rPr>
                <w:sz w:val="22"/>
                <w:szCs w:val="22"/>
                <w:lang w:val="sr-Latn-ME"/>
              </w:rPr>
              <w:br/>
              <w:t>(38, 80) p &lt;0,0001</w:t>
            </w:r>
            <w:r w:rsidRPr="00BD78F9">
              <w:rPr>
                <w:sz w:val="22"/>
                <w:szCs w:val="22"/>
                <w:vertAlign w:val="superscript"/>
                <w:lang w:val="sr-Latn-ME"/>
              </w:rPr>
              <w:t>#</w:t>
            </w:r>
          </w:p>
        </w:tc>
      </w:tr>
      <w:tr w:rsidR="00B73F2A" w:rsidRPr="00BD78F9" w14:paraId="7BC468FA" w14:textId="77777777" w:rsidTr="00271855">
        <w:tc>
          <w:tcPr>
            <w:tcW w:w="1526" w:type="dxa"/>
            <w:shd w:val="clear" w:color="auto" w:fill="auto"/>
          </w:tcPr>
          <w:p w14:paraId="640ADE8E" w14:textId="71AD7C07" w:rsidR="00B73F2A" w:rsidRPr="00BD78F9" w:rsidRDefault="00B73F2A" w:rsidP="00271855">
            <w:pPr>
              <w:tabs>
                <w:tab w:val="left" w:pos="284"/>
              </w:tabs>
              <w:rPr>
                <w:sz w:val="18"/>
                <w:szCs w:val="18"/>
                <w:lang w:val="sr-Latn-ME"/>
              </w:rPr>
            </w:pPr>
            <w:r w:rsidRPr="00BD78F9">
              <w:rPr>
                <w:sz w:val="18"/>
                <w:szCs w:val="18"/>
                <w:lang w:val="sr-Latn-ME"/>
              </w:rPr>
              <w:t>FEV</w:t>
            </w:r>
            <w:r w:rsidRPr="00BD78F9">
              <w:rPr>
                <w:sz w:val="18"/>
                <w:szCs w:val="18"/>
                <w:vertAlign w:val="subscript"/>
                <w:lang w:val="sr-Latn-ME"/>
              </w:rPr>
              <w:t>1</w:t>
            </w:r>
            <w:r w:rsidRPr="00BD78F9">
              <w:rPr>
                <w:sz w:val="18"/>
                <w:szCs w:val="18"/>
                <w:lang w:val="sr-Latn-ME"/>
              </w:rPr>
              <w:t xml:space="preserve"> AUC</w:t>
            </w:r>
            <w:r w:rsidRPr="00BD78F9">
              <w:rPr>
                <w:sz w:val="18"/>
                <w:szCs w:val="18"/>
                <w:vertAlign w:val="subscript"/>
                <w:lang w:val="sr-Latn-ME"/>
              </w:rPr>
              <w:t xml:space="preserve">0-4 </w:t>
            </w:r>
            <w:r w:rsidRPr="00BD78F9">
              <w:rPr>
                <w:sz w:val="18"/>
                <w:szCs w:val="18"/>
                <w:lang w:val="sr-Latn-ME"/>
              </w:rPr>
              <w:t>tokom 24 ned</w:t>
            </w:r>
            <w:r w:rsidR="00580541" w:rsidRPr="00BD78F9">
              <w:rPr>
                <w:sz w:val="18"/>
                <w:szCs w:val="18"/>
                <w:lang w:val="sr-Latn-ME"/>
              </w:rPr>
              <w:t>j</w:t>
            </w:r>
            <w:r w:rsidRPr="00BD78F9">
              <w:rPr>
                <w:sz w:val="18"/>
                <w:szCs w:val="18"/>
                <w:lang w:val="sr-Latn-ME"/>
              </w:rPr>
              <w:t xml:space="preserve">elje; srednja </w:t>
            </w:r>
            <w:r w:rsidR="004D0E29" w:rsidRPr="00BD78F9">
              <w:rPr>
                <w:sz w:val="18"/>
                <w:szCs w:val="18"/>
                <w:lang w:val="sr-Latn-ME"/>
              </w:rPr>
              <w:t>vrijednost</w:t>
            </w:r>
            <w:r w:rsidRPr="00BD78F9">
              <w:rPr>
                <w:sz w:val="18"/>
                <w:szCs w:val="18"/>
                <w:lang w:val="sr-Latn-ME"/>
              </w:rPr>
              <w:t xml:space="preserve"> prom</w:t>
            </w:r>
            <w:r w:rsidR="004D0E29" w:rsidRPr="00BD78F9">
              <w:rPr>
                <w:sz w:val="18"/>
                <w:szCs w:val="18"/>
                <w:lang w:val="sr-Latn-ME"/>
              </w:rPr>
              <w:t>j</w:t>
            </w:r>
            <w:r w:rsidRPr="00BD78F9">
              <w:rPr>
                <w:sz w:val="18"/>
                <w:szCs w:val="18"/>
                <w:lang w:val="sr-Latn-ME"/>
              </w:rPr>
              <w:t xml:space="preserve">ene (LS) od početne </w:t>
            </w:r>
            <w:r w:rsidR="004D0E29" w:rsidRPr="00BD78F9">
              <w:rPr>
                <w:sz w:val="18"/>
                <w:szCs w:val="18"/>
                <w:lang w:val="sr-Latn-ME"/>
              </w:rPr>
              <w:t>vrijednost</w:t>
            </w:r>
            <w:r w:rsidRPr="00BD78F9">
              <w:rPr>
                <w:sz w:val="18"/>
                <w:szCs w:val="18"/>
                <w:lang w:val="sr-Latn-ME"/>
              </w:rPr>
              <w:t>i (SE)</w:t>
            </w:r>
          </w:p>
        </w:tc>
        <w:tc>
          <w:tcPr>
            <w:tcW w:w="941" w:type="dxa"/>
            <w:shd w:val="clear" w:color="auto" w:fill="auto"/>
          </w:tcPr>
          <w:p w14:paraId="1008D2AB" w14:textId="77777777" w:rsidR="00B73F2A" w:rsidRPr="00BD78F9" w:rsidRDefault="00B73F2A" w:rsidP="00B73F2A">
            <w:pPr>
              <w:tabs>
                <w:tab w:val="left" w:pos="284"/>
              </w:tabs>
              <w:jc w:val="center"/>
              <w:rPr>
                <w:sz w:val="22"/>
                <w:szCs w:val="22"/>
                <w:lang w:val="sr-Latn-ME"/>
              </w:rPr>
            </w:pPr>
            <w:r w:rsidRPr="00BD78F9">
              <w:rPr>
                <w:sz w:val="22"/>
                <w:szCs w:val="22"/>
                <w:lang w:val="sr-Latn-ME"/>
              </w:rPr>
              <w:t>305 (8,4)</w:t>
            </w:r>
          </w:p>
        </w:tc>
        <w:tc>
          <w:tcPr>
            <w:tcW w:w="941" w:type="dxa"/>
            <w:shd w:val="clear" w:color="auto" w:fill="auto"/>
          </w:tcPr>
          <w:p w14:paraId="3D869EDF" w14:textId="77777777" w:rsidR="00B73F2A" w:rsidRPr="00BD78F9" w:rsidRDefault="00B73F2A" w:rsidP="00B73F2A">
            <w:pPr>
              <w:tabs>
                <w:tab w:val="left" w:pos="284"/>
              </w:tabs>
              <w:jc w:val="center"/>
              <w:rPr>
                <w:sz w:val="22"/>
                <w:szCs w:val="22"/>
                <w:lang w:val="sr-Latn-ME"/>
              </w:rPr>
            </w:pPr>
            <w:r w:rsidRPr="00BD78F9">
              <w:rPr>
                <w:sz w:val="22"/>
                <w:szCs w:val="22"/>
                <w:lang w:val="sr-Latn-ME"/>
              </w:rPr>
              <w:t>288 (8,5)</w:t>
            </w:r>
          </w:p>
        </w:tc>
        <w:tc>
          <w:tcPr>
            <w:tcW w:w="941" w:type="dxa"/>
            <w:shd w:val="clear" w:color="auto" w:fill="auto"/>
          </w:tcPr>
          <w:p w14:paraId="7089A60D" w14:textId="77777777" w:rsidR="00B73F2A" w:rsidRPr="00BD78F9" w:rsidRDefault="00B73F2A" w:rsidP="00B73F2A">
            <w:pPr>
              <w:tabs>
                <w:tab w:val="left" w:pos="284"/>
              </w:tabs>
              <w:jc w:val="center"/>
              <w:rPr>
                <w:sz w:val="22"/>
                <w:szCs w:val="22"/>
                <w:lang w:val="sr-Latn-ME"/>
              </w:rPr>
            </w:pPr>
            <w:r w:rsidRPr="00BD78F9">
              <w:rPr>
                <w:sz w:val="22"/>
                <w:szCs w:val="22"/>
                <w:lang w:val="sr-Latn-ME"/>
              </w:rPr>
              <w:t>201 (11,7)</w:t>
            </w:r>
          </w:p>
        </w:tc>
        <w:tc>
          <w:tcPr>
            <w:tcW w:w="941" w:type="dxa"/>
            <w:shd w:val="clear" w:color="auto" w:fill="auto"/>
          </w:tcPr>
          <w:p w14:paraId="6BB44724" w14:textId="77777777" w:rsidR="00B73F2A" w:rsidRPr="00BD78F9" w:rsidRDefault="00B73F2A" w:rsidP="00B73F2A">
            <w:pPr>
              <w:keepNext/>
              <w:keepLines/>
              <w:tabs>
                <w:tab w:val="left" w:pos="284"/>
              </w:tabs>
              <w:jc w:val="center"/>
              <w:rPr>
                <w:sz w:val="22"/>
                <w:szCs w:val="22"/>
                <w:lang w:val="sr-Latn-ME"/>
              </w:rPr>
            </w:pPr>
            <w:r w:rsidRPr="00BD78F9">
              <w:rPr>
                <w:sz w:val="22"/>
                <w:szCs w:val="22"/>
                <w:lang w:val="sr-Latn-ME"/>
              </w:rPr>
              <w:t>214 (11,5)</w:t>
            </w:r>
          </w:p>
        </w:tc>
        <w:tc>
          <w:tcPr>
            <w:tcW w:w="1332" w:type="dxa"/>
            <w:shd w:val="clear" w:color="auto" w:fill="auto"/>
          </w:tcPr>
          <w:p w14:paraId="7E1A2B2F" w14:textId="4FA46DB5" w:rsidR="00B73F2A" w:rsidRPr="00BD78F9" w:rsidRDefault="00B73F2A" w:rsidP="00B73F2A">
            <w:pPr>
              <w:tabs>
                <w:tab w:val="left" w:pos="284"/>
              </w:tabs>
              <w:jc w:val="center"/>
              <w:rPr>
                <w:sz w:val="22"/>
                <w:szCs w:val="22"/>
                <w:lang w:val="sr-Latn-ME"/>
              </w:rPr>
            </w:pPr>
            <w:r w:rsidRPr="00BD78F9">
              <w:rPr>
                <w:sz w:val="22"/>
                <w:szCs w:val="22"/>
                <w:lang w:val="sr-Latn-ME"/>
              </w:rPr>
              <w:t>16 m</w:t>
            </w:r>
            <w:r w:rsidR="00580541" w:rsidRPr="00BD78F9">
              <w:rPr>
                <w:sz w:val="22"/>
                <w:szCs w:val="22"/>
                <w:lang w:val="sr-Latn-ME"/>
              </w:rPr>
              <w:t>l</w:t>
            </w:r>
            <w:r w:rsidRPr="00BD78F9">
              <w:rPr>
                <w:sz w:val="22"/>
                <w:szCs w:val="22"/>
                <w:lang w:val="sr-Latn-ME"/>
              </w:rPr>
              <w:br/>
              <w:t>(</w:t>
            </w:r>
            <w:r w:rsidRPr="00BD78F9">
              <w:rPr>
                <w:sz w:val="22"/>
                <w:szCs w:val="22"/>
                <w:lang w:val="sr-Latn-ME"/>
              </w:rPr>
              <w:noBreakHyphen/>
              <w:t>6, 38) p = 0,1448</w:t>
            </w:r>
            <w:r w:rsidRPr="00BD78F9">
              <w:rPr>
                <w:sz w:val="22"/>
                <w:szCs w:val="22"/>
                <w:vertAlign w:val="superscript"/>
                <w:lang w:val="sr-Latn-ME"/>
              </w:rPr>
              <w:t>#</w:t>
            </w:r>
          </w:p>
        </w:tc>
        <w:tc>
          <w:tcPr>
            <w:tcW w:w="1332" w:type="dxa"/>
            <w:shd w:val="clear" w:color="auto" w:fill="auto"/>
          </w:tcPr>
          <w:p w14:paraId="4CF794B2" w14:textId="7211A339" w:rsidR="00B73F2A" w:rsidRPr="00BD78F9" w:rsidRDefault="00B73F2A" w:rsidP="00B73F2A">
            <w:pPr>
              <w:keepNext/>
              <w:keepLines/>
              <w:tabs>
                <w:tab w:val="left" w:pos="284"/>
              </w:tabs>
              <w:jc w:val="center"/>
              <w:rPr>
                <w:sz w:val="22"/>
                <w:szCs w:val="22"/>
                <w:lang w:val="sr-Latn-ME"/>
              </w:rPr>
            </w:pPr>
            <w:r w:rsidRPr="00BD78F9">
              <w:rPr>
                <w:sz w:val="22"/>
                <w:szCs w:val="22"/>
                <w:lang w:val="sr-Latn-ME"/>
              </w:rPr>
              <w:t>104 m</w:t>
            </w:r>
            <w:r w:rsidR="00580541" w:rsidRPr="00BD78F9">
              <w:rPr>
                <w:sz w:val="22"/>
                <w:szCs w:val="22"/>
                <w:lang w:val="sr-Latn-ME"/>
              </w:rPr>
              <w:t>l</w:t>
            </w:r>
            <w:r w:rsidRPr="00BD78F9">
              <w:rPr>
                <w:sz w:val="22"/>
                <w:szCs w:val="22"/>
                <w:lang w:val="sr-Latn-ME"/>
              </w:rPr>
              <w:br/>
              <w:t>(77, 131) p&lt;0,0001</w:t>
            </w:r>
          </w:p>
        </w:tc>
        <w:tc>
          <w:tcPr>
            <w:tcW w:w="1113" w:type="dxa"/>
            <w:shd w:val="clear" w:color="auto" w:fill="auto"/>
          </w:tcPr>
          <w:p w14:paraId="51105CC9" w14:textId="29AFC62F" w:rsidR="00B73F2A" w:rsidRPr="00BD78F9" w:rsidRDefault="00B73F2A" w:rsidP="00B73F2A">
            <w:pPr>
              <w:tabs>
                <w:tab w:val="left" w:pos="284"/>
              </w:tabs>
              <w:jc w:val="center"/>
              <w:rPr>
                <w:sz w:val="22"/>
                <w:szCs w:val="22"/>
                <w:lang w:val="sr-Latn-ME"/>
              </w:rPr>
            </w:pPr>
            <w:r w:rsidRPr="00BD78F9">
              <w:rPr>
                <w:sz w:val="22"/>
                <w:szCs w:val="22"/>
                <w:lang w:val="sr-Latn-ME"/>
              </w:rPr>
              <w:t>91 m</w:t>
            </w:r>
            <w:r w:rsidR="00580541" w:rsidRPr="00BD78F9">
              <w:rPr>
                <w:sz w:val="22"/>
                <w:szCs w:val="22"/>
                <w:lang w:val="sr-Latn-ME"/>
              </w:rPr>
              <w:t>l</w:t>
            </w:r>
            <w:r w:rsidRPr="00BD78F9">
              <w:rPr>
                <w:sz w:val="22"/>
                <w:szCs w:val="22"/>
                <w:lang w:val="sr-Latn-ME"/>
              </w:rPr>
              <w:br/>
              <w:t>(64, 117) p&lt;0,0001</w:t>
            </w:r>
          </w:p>
        </w:tc>
      </w:tr>
    </w:tbl>
    <w:bookmarkEnd w:id="4"/>
    <w:p w14:paraId="38FC367B" w14:textId="48BA4952" w:rsidR="00B73F2A" w:rsidRPr="00BD78F9" w:rsidRDefault="00B73F2A" w:rsidP="00B73F2A">
      <w:pPr>
        <w:tabs>
          <w:tab w:val="left" w:pos="284"/>
        </w:tabs>
        <w:jc w:val="both"/>
        <w:rPr>
          <w:sz w:val="22"/>
          <w:szCs w:val="22"/>
          <w:lang w:val="sr-Latn-ME"/>
        </w:rPr>
      </w:pPr>
      <w:r w:rsidRPr="00BD78F9">
        <w:rPr>
          <w:sz w:val="22"/>
          <w:szCs w:val="22"/>
          <w:lang w:val="sr-Latn-ME"/>
        </w:rPr>
        <w:t># p-</w:t>
      </w:r>
      <w:r w:rsidR="004D0E29" w:rsidRPr="00BD78F9">
        <w:rPr>
          <w:sz w:val="22"/>
          <w:szCs w:val="22"/>
          <w:lang w:val="sr-Latn-ME"/>
        </w:rPr>
        <w:t>vrijednost</w:t>
      </w:r>
      <w:r w:rsidRPr="00BD78F9">
        <w:rPr>
          <w:sz w:val="22"/>
          <w:szCs w:val="22"/>
          <w:lang w:val="sr-Latn-ME"/>
        </w:rPr>
        <w:t xml:space="preserve"> nije korigovana za višestrukost u planu hijerarhijskog testiranja </w:t>
      </w:r>
    </w:p>
    <w:p w14:paraId="3EC2E9AC" w14:textId="1B9C7B62" w:rsidR="00B73F2A" w:rsidRPr="00BD78F9" w:rsidRDefault="00B73F2A" w:rsidP="00B73F2A">
      <w:pPr>
        <w:tabs>
          <w:tab w:val="left" w:pos="284"/>
        </w:tabs>
        <w:jc w:val="both"/>
        <w:rPr>
          <w:sz w:val="22"/>
          <w:szCs w:val="22"/>
          <w:lang w:val="sr-Latn-ME"/>
        </w:rPr>
      </w:pPr>
      <w:r w:rsidRPr="00BD78F9">
        <w:rPr>
          <w:sz w:val="22"/>
          <w:szCs w:val="22"/>
          <w:lang w:val="sr-Latn-ME"/>
        </w:rPr>
        <w:t xml:space="preserve">LS = </w:t>
      </w:r>
      <w:r w:rsidR="00580541" w:rsidRPr="00BD78F9">
        <w:rPr>
          <w:sz w:val="22"/>
          <w:szCs w:val="22"/>
          <w:lang w:val="sr-Latn-ME"/>
        </w:rPr>
        <w:t xml:space="preserve">metoda </w:t>
      </w:r>
      <w:r w:rsidRPr="00BD78F9">
        <w:rPr>
          <w:sz w:val="22"/>
          <w:szCs w:val="22"/>
          <w:lang w:val="sr-Latn-ME"/>
        </w:rPr>
        <w:t>najmanji</w:t>
      </w:r>
      <w:r w:rsidR="00580541" w:rsidRPr="00BD78F9">
        <w:rPr>
          <w:sz w:val="22"/>
          <w:szCs w:val="22"/>
          <w:lang w:val="sr-Latn-ME"/>
        </w:rPr>
        <w:t>h</w:t>
      </w:r>
      <w:r w:rsidRPr="00BD78F9">
        <w:rPr>
          <w:sz w:val="22"/>
          <w:szCs w:val="22"/>
          <w:lang w:val="sr-Latn-ME"/>
        </w:rPr>
        <w:t xml:space="preserve"> kvadrat</w:t>
      </w:r>
      <w:r w:rsidR="00580541" w:rsidRPr="00BD78F9">
        <w:rPr>
          <w:sz w:val="22"/>
          <w:szCs w:val="22"/>
          <w:lang w:val="sr-Latn-ME"/>
        </w:rPr>
        <w:t>a</w:t>
      </w:r>
      <w:r w:rsidRPr="00BD78F9">
        <w:rPr>
          <w:sz w:val="22"/>
          <w:szCs w:val="22"/>
          <w:lang w:val="sr-Latn-ME"/>
        </w:rPr>
        <w:t xml:space="preserve">, SE = standardna greška, CI = intervali pouzdanosti, N = broj u populaciji predviđenoj za </w:t>
      </w:r>
      <w:r w:rsidR="004D0E29" w:rsidRPr="00BD78F9">
        <w:rPr>
          <w:sz w:val="22"/>
          <w:szCs w:val="22"/>
          <w:lang w:val="sr-Latn-ME"/>
        </w:rPr>
        <w:t>liječenje</w:t>
      </w:r>
    </w:p>
    <w:p w14:paraId="568B2EEB" w14:textId="77777777" w:rsidR="00B73F2A" w:rsidRPr="00BD78F9" w:rsidRDefault="00B73F2A" w:rsidP="00B73F2A">
      <w:pPr>
        <w:tabs>
          <w:tab w:val="left" w:pos="284"/>
        </w:tabs>
        <w:jc w:val="both"/>
        <w:rPr>
          <w:bCs/>
          <w:i/>
          <w:sz w:val="22"/>
          <w:szCs w:val="22"/>
          <w:lang w:val="sr-Latn-ME"/>
        </w:rPr>
      </w:pPr>
    </w:p>
    <w:p w14:paraId="3493D97E" w14:textId="77777777" w:rsidR="00B73F2A" w:rsidRPr="00BD78F9" w:rsidRDefault="00B73F2A" w:rsidP="000A71FF">
      <w:pPr>
        <w:tabs>
          <w:tab w:val="left" w:pos="284"/>
        </w:tabs>
        <w:jc w:val="both"/>
        <w:rPr>
          <w:bCs/>
          <w:i/>
          <w:sz w:val="22"/>
          <w:szCs w:val="22"/>
          <w:u w:val="single"/>
          <w:lang w:val="sr-Latn-ME"/>
        </w:rPr>
      </w:pPr>
      <w:r w:rsidRPr="00BD78F9">
        <w:rPr>
          <w:i/>
          <w:iCs/>
          <w:sz w:val="22"/>
          <w:szCs w:val="22"/>
          <w:u w:val="single"/>
          <w:lang w:val="sr-Latn-ME"/>
        </w:rPr>
        <w:t xml:space="preserve">Ublažavanje simptoma </w:t>
      </w:r>
    </w:p>
    <w:p w14:paraId="270B94BC" w14:textId="77777777" w:rsidR="00B73F2A" w:rsidRPr="00BD78F9" w:rsidRDefault="00B73F2A" w:rsidP="007019B9">
      <w:pPr>
        <w:tabs>
          <w:tab w:val="left" w:pos="284"/>
        </w:tabs>
        <w:jc w:val="both"/>
        <w:rPr>
          <w:bCs/>
          <w:i/>
          <w:sz w:val="22"/>
          <w:szCs w:val="22"/>
          <w:lang w:val="sr-Latn-ME"/>
        </w:rPr>
      </w:pPr>
    </w:p>
    <w:p w14:paraId="0255C199" w14:textId="5D3610CD" w:rsidR="00B73F2A" w:rsidRPr="00BD78F9" w:rsidRDefault="00B73F2A" w:rsidP="00993379">
      <w:pPr>
        <w:tabs>
          <w:tab w:val="left" w:pos="284"/>
        </w:tabs>
        <w:jc w:val="both"/>
        <w:rPr>
          <w:bCs/>
          <w:sz w:val="22"/>
          <w:szCs w:val="22"/>
          <w:lang w:val="sr-Latn-ME"/>
        </w:rPr>
      </w:pPr>
      <w:r w:rsidRPr="00BD78F9">
        <w:rPr>
          <w:sz w:val="22"/>
          <w:szCs w:val="22"/>
          <w:lang w:val="sr-Latn-ME"/>
        </w:rPr>
        <w:t>Pros</w:t>
      </w:r>
      <w:r w:rsidR="004D0E29" w:rsidRPr="00BD78F9">
        <w:rPr>
          <w:sz w:val="22"/>
          <w:szCs w:val="22"/>
          <w:lang w:val="sr-Latn-ME"/>
        </w:rPr>
        <w:t>j</w:t>
      </w:r>
      <w:r w:rsidRPr="00BD78F9">
        <w:rPr>
          <w:sz w:val="22"/>
          <w:szCs w:val="22"/>
          <w:lang w:val="sr-Latn-ME"/>
        </w:rPr>
        <w:t>ečan rezultat za dispneju na početku ispitivanja ETHOS kretao se u rasponu od 5,8 do 5,9 u svim l</w:t>
      </w:r>
      <w:r w:rsidR="004D0E29" w:rsidRPr="00BD78F9">
        <w:rPr>
          <w:sz w:val="22"/>
          <w:szCs w:val="22"/>
          <w:lang w:val="sr-Latn-ME"/>
        </w:rPr>
        <w:t>ij</w:t>
      </w:r>
      <w:r w:rsidRPr="00BD78F9">
        <w:rPr>
          <w:sz w:val="22"/>
          <w:szCs w:val="22"/>
          <w:lang w:val="sr-Latn-ME"/>
        </w:rPr>
        <w:t xml:space="preserve">ečenim grupama. </w:t>
      </w:r>
      <w:r w:rsidR="00993379" w:rsidRPr="00BD78F9">
        <w:rPr>
          <w:sz w:val="22"/>
          <w:szCs w:val="22"/>
          <w:lang w:val="sr-Latn-ME"/>
        </w:rPr>
        <w:t xml:space="preserve">Lijek </w:t>
      </w:r>
      <w:r w:rsidRPr="00BD78F9">
        <w:rPr>
          <w:sz w:val="22"/>
          <w:szCs w:val="22"/>
          <w:lang w:val="sr-Latn-ME"/>
        </w:rPr>
        <w:t>Trixeo Aerosphere je značajno poboljšao nedostatak vazduha (m</w:t>
      </w:r>
      <w:r w:rsidR="00993379" w:rsidRPr="00BD78F9">
        <w:rPr>
          <w:sz w:val="22"/>
          <w:szCs w:val="22"/>
          <w:lang w:val="sr-Latn-ME"/>
        </w:rPr>
        <w:t>j</w:t>
      </w:r>
      <w:r w:rsidRPr="00BD78F9">
        <w:rPr>
          <w:sz w:val="22"/>
          <w:szCs w:val="22"/>
          <w:lang w:val="sr-Latn-ME"/>
        </w:rPr>
        <w:t>ereno ukupnim skorom upitnika za određivanje prelaznog indeksa dispneje (</w:t>
      </w:r>
      <w:r w:rsidR="00A46781" w:rsidRPr="00271855">
        <w:rPr>
          <w:sz w:val="22"/>
          <w:szCs w:val="22"/>
          <w:lang w:val="sr-Latn-ME"/>
        </w:rPr>
        <w:t xml:space="preserve">engl. </w:t>
      </w:r>
      <w:r w:rsidR="00A46781" w:rsidRPr="00271855">
        <w:rPr>
          <w:i/>
          <w:sz w:val="22"/>
          <w:szCs w:val="22"/>
          <w:lang w:val="sr-Latn-ME"/>
        </w:rPr>
        <w:t>Transition Dyspnoea Index</w:t>
      </w:r>
      <w:r w:rsidR="00A46781" w:rsidRPr="00271855">
        <w:rPr>
          <w:sz w:val="22"/>
          <w:szCs w:val="22"/>
          <w:lang w:val="sr-Latn-ME"/>
        </w:rPr>
        <w:t>,</w:t>
      </w:r>
      <w:r w:rsidR="00A46781" w:rsidRPr="00BD78F9">
        <w:rPr>
          <w:sz w:val="22"/>
          <w:szCs w:val="22"/>
          <w:lang w:val="sr-Latn-ME"/>
        </w:rPr>
        <w:t xml:space="preserve"> </w:t>
      </w:r>
      <w:r w:rsidRPr="00BD78F9">
        <w:rPr>
          <w:sz w:val="22"/>
          <w:szCs w:val="22"/>
          <w:lang w:val="sr-Latn-ME"/>
        </w:rPr>
        <w:t>TDI) tokom 24 ned</w:t>
      </w:r>
      <w:r w:rsidR="00993379" w:rsidRPr="00BD78F9">
        <w:rPr>
          <w:sz w:val="22"/>
          <w:szCs w:val="22"/>
          <w:lang w:val="sr-Latn-ME"/>
        </w:rPr>
        <w:t>j</w:t>
      </w:r>
      <w:r w:rsidRPr="00BD78F9">
        <w:rPr>
          <w:sz w:val="22"/>
          <w:szCs w:val="22"/>
          <w:lang w:val="sr-Latn-ME"/>
        </w:rPr>
        <w:t>elje) u odnosu na FOR/GLY MDI (0,40 jedinica; 95% CI: 0,24; 0,55; p &lt;0,0001) i u odnosu na FOR/BUD MDI (0,31 jedinica; 95% CI: 0,15, 0,46; p &lt;0,0001). Poboljšanja su se održala tokom 52 ned</w:t>
      </w:r>
      <w:r w:rsidR="00993379" w:rsidRPr="00BD78F9">
        <w:rPr>
          <w:sz w:val="22"/>
          <w:szCs w:val="22"/>
          <w:lang w:val="sr-Latn-ME"/>
        </w:rPr>
        <w:t>j</w:t>
      </w:r>
      <w:r w:rsidRPr="00BD78F9">
        <w:rPr>
          <w:sz w:val="22"/>
          <w:szCs w:val="22"/>
          <w:lang w:val="sr-Latn-ME"/>
        </w:rPr>
        <w:t>elje. Pros</w:t>
      </w:r>
      <w:r w:rsidR="004D0E29" w:rsidRPr="00BD78F9">
        <w:rPr>
          <w:sz w:val="22"/>
          <w:szCs w:val="22"/>
          <w:lang w:val="sr-Latn-ME"/>
        </w:rPr>
        <w:t>j</w:t>
      </w:r>
      <w:r w:rsidRPr="00BD78F9">
        <w:rPr>
          <w:sz w:val="22"/>
          <w:szCs w:val="22"/>
          <w:lang w:val="sr-Latn-ME"/>
        </w:rPr>
        <w:t>ečan rezultat za dispneju na početku ispitivanja KRONOS kretao se u rasponu od 6,3 do 6,5 u svim l</w:t>
      </w:r>
      <w:r w:rsidR="004D0E29" w:rsidRPr="00BD78F9">
        <w:rPr>
          <w:sz w:val="22"/>
          <w:szCs w:val="22"/>
          <w:lang w:val="sr-Latn-ME"/>
        </w:rPr>
        <w:t>ij</w:t>
      </w:r>
      <w:r w:rsidRPr="00BD78F9">
        <w:rPr>
          <w:sz w:val="22"/>
          <w:szCs w:val="22"/>
          <w:lang w:val="sr-Latn-ME"/>
        </w:rPr>
        <w:t xml:space="preserve">ečenim grupama. </w:t>
      </w:r>
      <w:r w:rsidR="00993379" w:rsidRPr="00BD78F9">
        <w:rPr>
          <w:sz w:val="22"/>
          <w:szCs w:val="22"/>
          <w:lang w:val="sr-Latn-ME"/>
        </w:rPr>
        <w:t xml:space="preserve">Lijek </w:t>
      </w:r>
      <w:r w:rsidRPr="00BD78F9">
        <w:rPr>
          <w:sz w:val="22"/>
          <w:szCs w:val="22"/>
          <w:lang w:val="sr-Latn-ME"/>
        </w:rPr>
        <w:t>Trixeo Aerosphere je značajno poboljšao nedostatak vazduha tokom 24 ned</w:t>
      </w:r>
      <w:r w:rsidR="004D0E29" w:rsidRPr="00BD78F9">
        <w:rPr>
          <w:sz w:val="22"/>
          <w:szCs w:val="22"/>
          <w:lang w:val="sr-Latn-ME"/>
        </w:rPr>
        <w:t>j</w:t>
      </w:r>
      <w:r w:rsidRPr="00BD78F9">
        <w:rPr>
          <w:sz w:val="22"/>
          <w:szCs w:val="22"/>
          <w:lang w:val="sr-Latn-ME"/>
        </w:rPr>
        <w:t xml:space="preserve">elje u odnosu na FOR/GLY TBH (0,46 jedinica; 95% CI: 0,16, 0,77; p = 0,0031). Poboljšanja u odnosu na FOR/GLY MDI i FOR/BUD MDI </w:t>
      </w:r>
      <w:r w:rsidR="004D0E29" w:rsidRPr="00BD78F9">
        <w:rPr>
          <w:sz w:val="22"/>
          <w:szCs w:val="22"/>
          <w:lang w:val="sr-Latn-ME"/>
        </w:rPr>
        <w:t>nijesu</w:t>
      </w:r>
      <w:r w:rsidRPr="00BD78F9">
        <w:rPr>
          <w:sz w:val="22"/>
          <w:szCs w:val="22"/>
          <w:lang w:val="sr-Latn-ME"/>
        </w:rPr>
        <w:t xml:space="preserve"> dostigla statističk</w:t>
      </w:r>
      <w:r w:rsidR="00A46781" w:rsidRPr="00BD78F9">
        <w:rPr>
          <w:sz w:val="22"/>
          <w:szCs w:val="22"/>
          <w:lang w:val="sr-Latn-ME"/>
        </w:rPr>
        <w:t>u</w:t>
      </w:r>
      <w:r w:rsidRPr="00BD78F9">
        <w:rPr>
          <w:sz w:val="22"/>
          <w:szCs w:val="22"/>
          <w:lang w:val="sr-Latn-ME"/>
        </w:rPr>
        <w:t xml:space="preserve"> značaj</w:t>
      </w:r>
      <w:r w:rsidR="00A46781" w:rsidRPr="00BD78F9">
        <w:rPr>
          <w:sz w:val="22"/>
          <w:szCs w:val="22"/>
          <w:lang w:val="sr-Latn-ME"/>
        </w:rPr>
        <w:t>nost</w:t>
      </w:r>
      <w:r w:rsidRPr="00BD78F9">
        <w:rPr>
          <w:sz w:val="22"/>
          <w:szCs w:val="22"/>
          <w:lang w:val="sr-Latn-ME"/>
        </w:rPr>
        <w:t xml:space="preserve">. </w:t>
      </w:r>
    </w:p>
    <w:p w14:paraId="2EF0C122" w14:textId="77777777" w:rsidR="00B73F2A" w:rsidRPr="00BD78F9" w:rsidRDefault="00B73F2A" w:rsidP="00A52822">
      <w:pPr>
        <w:tabs>
          <w:tab w:val="left" w:pos="284"/>
        </w:tabs>
        <w:jc w:val="both"/>
        <w:rPr>
          <w:bCs/>
          <w:sz w:val="22"/>
          <w:szCs w:val="22"/>
          <w:lang w:val="sr-Latn-ME"/>
        </w:rPr>
      </w:pPr>
    </w:p>
    <w:p w14:paraId="652DF1D2" w14:textId="77777777" w:rsidR="00B73F2A" w:rsidRPr="00BD78F9" w:rsidRDefault="00B73F2A">
      <w:pPr>
        <w:tabs>
          <w:tab w:val="left" w:pos="284"/>
        </w:tabs>
        <w:jc w:val="both"/>
        <w:rPr>
          <w:bCs/>
          <w:i/>
          <w:sz w:val="22"/>
          <w:szCs w:val="22"/>
          <w:u w:val="single"/>
          <w:lang w:val="sr-Latn-ME"/>
        </w:rPr>
      </w:pPr>
      <w:bookmarkStart w:id="5" w:name="_Hlk49269886"/>
      <w:r w:rsidRPr="00BD78F9">
        <w:rPr>
          <w:i/>
          <w:iCs/>
          <w:sz w:val="22"/>
          <w:szCs w:val="22"/>
          <w:u w:val="single"/>
          <w:lang w:val="sr-Latn-ME"/>
        </w:rPr>
        <w:t xml:space="preserve">Kvalitet života povezan sa zdravljem </w:t>
      </w:r>
    </w:p>
    <w:p w14:paraId="2EA2E62C" w14:textId="77777777" w:rsidR="00B73F2A" w:rsidRPr="00BD78F9" w:rsidRDefault="00B73F2A">
      <w:pPr>
        <w:tabs>
          <w:tab w:val="left" w:pos="284"/>
        </w:tabs>
        <w:jc w:val="both"/>
        <w:rPr>
          <w:bCs/>
          <w:sz w:val="22"/>
          <w:szCs w:val="22"/>
          <w:lang w:val="sr-Latn-ME"/>
        </w:rPr>
      </w:pPr>
    </w:p>
    <w:p w14:paraId="3A64FA81" w14:textId="7EE07A6F" w:rsidR="00B73F2A" w:rsidRPr="00BD78F9" w:rsidRDefault="00B73F2A">
      <w:pPr>
        <w:tabs>
          <w:tab w:val="left" w:pos="284"/>
        </w:tabs>
        <w:jc w:val="both"/>
        <w:rPr>
          <w:bCs/>
          <w:sz w:val="22"/>
          <w:szCs w:val="22"/>
          <w:lang w:val="sr-Latn-ME"/>
        </w:rPr>
      </w:pPr>
      <w:bookmarkStart w:id="6" w:name="_Hlk49269642"/>
      <w:r w:rsidRPr="00BD78F9">
        <w:rPr>
          <w:sz w:val="22"/>
          <w:szCs w:val="22"/>
          <w:lang w:val="sr-Latn-ME"/>
        </w:rPr>
        <w:t xml:space="preserve">U ispitivanju ETHOS </w:t>
      </w:r>
      <w:r w:rsidR="00993379" w:rsidRPr="00BD78F9">
        <w:rPr>
          <w:sz w:val="22"/>
          <w:szCs w:val="22"/>
          <w:lang w:val="sr-Latn-ME"/>
        </w:rPr>
        <w:t xml:space="preserve">lijek </w:t>
      </w:r>
      <w:r w:rsidRPr="00BD78F9">
        <w:rPr>
          <w:sz w:val="22"/>
          <w:szCs w:val="22"/>
          <w:lang w:val="sr-Latn-ME"/>
        </w:rPr>
        <w:t>Trixeo Aerosphere je značajno poboljšao zdravstveno stanje specifično za bolest (oc</w:t>
      </w:r>
      <w:r w:rsidR="004D0E29" w:rsidRPr="00BD78F9">
        <w:rPr>
          <w:sz w:val="22"/>
          <w:szCs w:val="22"/>
          <w:lang w:val="sr-Latn-ME"/>
        </w:rPr>
        <w:t>ij</w:t>
      </w:r>
      <w:r w:rsidRPr="00BD78F9">
        <w:rPr>
          <w:sz w:val="22"/>
          <w:szCs w:val="22"/>
          <w:lang w:val="sr-Latn-ME"/>
        </w:rPr>
        <w:t xml:space="preserve">enjeno ukupnim skorom upitnika o bolestima disajnih puteva </w:t>
      </w:r>
      <w:r w:rsidRPr="00271855">
        <w:rPr>
          <w:i/>
          <w:sz w:val="22"/>
          <w:szCs w:val="22"/>
          <w:lang w:val="sr-Latn-ME"/>
        </w:rPr>
        <w:t>St. George’s Respiratory Questionnaire</w:t>
      </w:r>
      <w:r w:rsidRPr="00BD78F9">
        <w:rPr>
          <w:sz w:val="22"/>
          <w:szCs w:val="22"/>
          <w:lang w:val="sr-Latn-ME"/>
        </w:rPr>
        <w:t xml:space="preserve"> [SGRQ]) tokom 24 ned</w:t>
      </w:r>
      <w:r w:rsidR="00993379" w:rsidRPr="00BD78F9">
        <w:rPr>
          <w:sz w:val="22"/>
          <w:szCs w:val="22"/>
          <w:lang w:val="sr-Latn-ME"/>
        </w:rPr>
        <w:t>j</w:t>
      </w:r>
      <w:r w:rsidRPr="00BD78F9">
        <w:rPr>
          <w:sz w:val="22"/>
          <w:szCs w:val="22"/>
          <w:lang w:val="sr-Latn-ME"/>
        </w:rPr>
        <w:t>elje u odnosu na FOR/GLY MDI (poboljšanje: -1,62; 95% CI: -2,27; -0,97; p &lt; 0,0001) i u odnosu na FOR/BUD MDI (poboljšanje: -1,38; 95% CI: -2,02; -0,73; p &lt; 0,0001). Poboljšanja su se održala tokom 52 ned</w:t>
      </w:r>
      <w:r w:rsidR="00993379" w:rsidRPr="00BD78F9">
        <w:rPr>
          <w:sz w:val="22"/>
          <w:szCs w:val="22"/>
          <w:lang w:val="sr-Latn-ME"/>
        </w:rPr>
        <w:t>j</w:t>
      </w:r>
      <w:r w:rsidRPr="00BD78F9">
        <w:rPr>
          <w:sz w:val="22"/>
          <w:szCs w:val="22"/>
          <w:lang w:val="sr-Latn-ME"/>
        </w:rPr>
        <w:t>elje. U ispitivanju KRONOS zab</w:t>
      </w:r>
      <w:r w:rsidR="00993379" w:rsidRPr="00BD78F9">
        <w:rPr>
          <w:sz w:val="22"/>
          <w:szCs w:val="22"/>
          <w:lang w:val="sr-Latn-ME"/>
        </w:rPr>
        <w:t>i</w:t>
      </w:r>
      <w:r w:rsidRPr="00BD78F9">
        <w:rPr>
          <w:sz w:val="22"/>
          <w:szCs w:val="22"/>
          <w:lang w:val="sr-Latn-ME"/>
        </w:rPr>
        <w:t>l</w:t>
      </w:r>
      <w:r w:rsidR="00993379" w:rsidRPr="00BD78F9">
        <w:rPr>
          <w:sz w:val="22"/>
          <w:szCs w:val="22"/>
          <w:lang w:val="sr-Latn-ME"/>
        </w:rPr>
        <w:t>j</w:t>
      </w:r>
      <w:r w:rsidRPr="00BD78F9">
        <w:rPr>
          <w:sz w:val="22"/>
          <w:szCs w:val="22"/>
          <w:lang w:val="sr-Latn-ME"/>
        </w:rPr>
        <w:t xml:space="preserve">ežena poboljšanja u odnosu na FOR/GLY MDI, FOR/BUD MDI i FOR/BUD TBH </w:t>
      </w:r>
      <w:r w:rsidR="004D0E29" w:rsidRPr="00BD78F9">
        <w:rPr>
          <w:sz w:val="22"/>
          <w:szCs w:val="22"/>
          <w:lang w:val="sr-Latn-ME"/>
        </w:rPr>
        <w:t>nijesu</w:t>
      </w:r>
      <w:r w:rsidRPr="00BD78F9">
        <w:rPr>
          <w:sz w:val="22"/>
          <w:szCs w:val="22"/>
          <w:lang w:val="sr-Latn-ME"/>
        </w:rPr>
        <w:t xml:space="preserve"> dostigla statističk</w:t>
      </w:r>
      <w:r w:rsidR="00D62876" w:rsidRPr="00BD78F9">
        <w:rPr>
          <w:sz w:val="22"/>
          <w:szCs w:val="22"/>
          <w:lang w:val="sr-Latn-ME"/>
        </w:rPr>
        <w:t>u</w:t>
      </w:r>
      <w:r w:rsidRPr="00BD78F9">
        <w:rPr>
          <w:sz w:val="22"/>
          <w:szCs w:val="22"/>
          <w:lang w:val="sr-Latn-ME"/>
        </w:rPr>
        <w:t xml:space="preserve"> značaj</w:t>
      </w:r>
      <w:r w:rsidR="00D62876" w:rsidRPr="00BD78F9">
        <w:rPr>
          <w:sz w:val="22"/>
          <w:szCs w:val="22"/>
          <w:lang w:val="sr-Latn-ME"/>
        </w:rPr>
        <w:t>nost</w:t>
      </w:r>
      <w:r w:rsidRPr="00BD78F9">
        <w:rPr>
          <w:sz w:val="22"/>
          <w:szCs w:val="22"/>
          <w:lang w:val="sr-Latn-ME"/>
        </w:rPr>
        <w:t xml:space="preserve">. </w:t>
      </w:r>
    </w:p>
    <w:bookmarkEnd w:id="5"/>
    <w:bookmarkEnd w:id="6"/>
    <w:p w14:paraId="4EEAFC81" w14:textId="77777777" w:rsidR="00B73F2A" w:rsidRPr="00BD78F9" w:rsidRDefault="00B73F2A">
      <w:pPr>
        <w:tabs>
          <w:tab w:val="left" w:pos="284"/>
        </w:tabs>
        <w:jc w:val="both"/>
        <w:rPr>
          <w:bCs/>
          <w:i/>
          <w:sz w:val="22"/>
          <w:szCs w:val="22"/>
          <w:lang w:val="sr-Latn-ME"/>
        </w:rPr>
      </w:pPr>
    </w:p>
    <w:p w14:paraId="27E5D24E" w14:textId="422E0BD0" w:rsidR="00B73F2A" w:rsidRPr="00BD78F9" w:rsidRDefault="004D0E29">
      <w:pPr>
        <w:tabs>
          <w:tab w:val="left" w:pos="284"/>
        </w:tabs>
        <w:jc w:val="both"/>
        <w:rPr>
          <w:bCs/>
          <w:i/>
          <w:sz w:val="22"/>
          <w:szCs w:val="22"/>
          <w:u w:val="single"/>
          <w:lang w:val="sr-Latn-ME"/>
        </w:rPr>
      </w:pPr>
      <w:r w:rsidRPr="00BD78F9">
        <w:rPr>
          <w:i/>
          <w:iCs/>
          <w:sz w:val="22"/>
          <w:szCs w:val="22"/>
          <w:u w:val="single"/>
          <w:lang w:val="sr-Latn-ME"/>
        </w:rPr>
        <w:lastRenderedPageBreak/>
        <w:t>Primjena</w:t>
      </w:r>
      <w:r w:rsidR="00B73F2A" w:rsidRPr="00BD78F9">
        <w:rPr>
          <w:i/>
          <w:iCs/>
          <w:sz w:val="22"/>
          <w:szCs w:val="22"/>
          <w:u w:val="single"/>
          <w:lang w:val="sr-Latn-ME"/>
        </w:rPr>
        <w:t xml:space="preserve"> </w:t>
      </w:r>
      <w:r w:rsidRPr="00BD78F9">
        <w:rPr>
          <w:i/>
          <w:iCs/>
          <w:sz w:val="22"/>
          <w:szCs w:val="22"/>
          <w:u w:val="single"/>
          <w:lang w:val="sr-Latn-ME"/>
        </w:rPr>
        <w:t xml:space="preserve">lijeka </w:t>
      </w:r>
      <w:r w:rsidR="00B73F2A" w:rsidRPr="00BD78F9">
        <w:rPr>
          <w:i/>
          <w:iCs/>
          <w:sz w:val="22"/>
          <w:szCs w:val="22"/>
          <w:u w:val="single"/>
          <w:lang w:val="sr-Latn-ME"/>
        </w:rPr>
        <w:t>za hitno ublažavanje simptoma</w:t>
      </w:r>
    </w:p>
    <w:p w14:paraId="36C1D453" w14:textId="77777777" w:rsidR="00B73F2A" w:rsidRPr="00BD78F9" w:rsidRDefault="00B73F2A">
      <w:pPr>
        <w:tabs>
          <w:tab w:val="left" w:pos="284"/>
        </w:tabs>
        <w:jc w:val="both"/>
        <w:rPr>
          <w:bCs/>
          <w:sz w:val="22"/>
          <w:szCs w:val="22"/>
          <w:lang w:val="sr-Latn-ME"/>
        </w:rPr>
      </w:pPr>
    </w:p>
    <w:p w14:paraId="44FB53C3" w14:textId="012F36FF" w:rsidR="00B73F2A" w:rsidRPr="00BD78F9" w:rsidRDefault="00B73F2A">
      <w:pPr>
        <w:numPr>
          <w:ilvl w:val="12"/>
          <w:numId w:val="0"/>
        </w:numPr>
        <w:tabs>
          <w:tab w:val="left" w:pos="284"/>
        </w:tabs>
        <w:ind w:right="-2"/>
        <w:jc w:val="both"/>
        <w:rPr>
          <w:iCs/>
          <w:noProof/>
          <w:sz w:val="22"/>
          <w:szCs w:val="22"/>
          <w:lang w:val="sr-Latn-ME"/>
        </w:rPr>
      </w:pPr>
      <w:r w:rsidRPr="00BD78F9">
        <w:rPr>
          <w:sz w:val="22"/>
          <w:szCs w:val="22"/>
          <w:lang w:val="sr-Latn-ME"/>
        </w:rPr>
        <w:t xml:space="preserve">U ispitivanju ETHOS </w:t>
      </w:r>
      <w:r w:rsidR="00993379" w:rsidRPr="00BD78F9">
        <w:rPr>
          <w:sz w:val="22"/>
          <w:szCs w:val="22"/>
          <w:lang w:val="sr-Latn-ME"/>
        </w:rPr>
        <w:t xml:space="preserve">Lijek </w:t>
      </w:r>
      <w:r w:rsidRPr="00BD78F9">
        <w:rPr>
          <w:sz w:val="22"/>
          <w:szCs w:val="22"/>
          <w:lang w:val="sr-Latn-ME"/>
        </w:rPr>
        <w:t xml:space="preserve">Trixeo Aerosphere je značajno smanjio </w:t>
      </w:r>
      <w:r w:rsidR="00993379" w:rsidRPr="00BD78F9">
        <w:rPr>
          <w:sz w:val="22"/>
          <w:szCs w:val="22"/>
          <w:lang w:val="sr-Latn-ME"/>
        </w:rPr>
        <w:t xml:space="preserve">učestalost </w:t>
      </w:r>
      <w:r w:rsidR="004D0E29" w:rsidRPr="00BD78F9">
        <w:rPr>
          <w:sz w:val="22"/>
          <w:szCs w:val="22"/>
          <w:lang w:val="sr-Latn-ME"/>
        </w:rPr>
        <w:t>primjene</w:t>
      </w:r>
      <w:r w:rsidRPr="00BD78F9">
        <w:rPr>
          <w:sz w:val="22"/>
          <w:szCs w:val="22"/>
          <w:lang w:val="sr-Latn-ME"/>
        </w:rPr>
        <w:t xml:space="preserve"> </w:t>
      </w:r>
      <w:r w:rsidR="004D0E29" w:rsidRPr="00BD78F9">
        <w:rPr>
          <w:sz w:val="22"/>
          <w:szCs w:val="22"/>
          <w:lang w:val="sr-Latn-ME"/>
        </w:rPr>
        <w:t xml:space="preserve">lijeka </w:t>
      </w:r>
      <w:r w:rsidRPr="00BD78F9">
        <w:rPr>
          <w:sz w:val="22"/>
          <w:szCs w:val="22"/>
          <w:lang w:val="sr-Latn-ME"/>
        </w:rPr>
        <w:t>za hitno ublažavanje simptoma tokom 24 ned</w:t>
      </w:r>
      <w:r w:rsidR="00993379" w:rsidRPr="00BD78F9">
        <w:rPr>
          <w:sz w:val="22"/>
          <w:szCs w:val="22"/>
          <w:lang w:val="sr-Latn-ME"/>
        </w:rPr>
        <w:t>j</w:t>
      </w:r>
      <w:r w:rsidRPr="00BD78F9">
        <w:rPr>
          <w:sz w:val="22"/>
          <w:szCs w:val="22"/>
          <w:lang w:val="sr-Latn-ME"/>
        </w:rPr>
        <w:t>elje l</w:t>
      </w:r>
      <w:r w:rsidR="00993379" w:rsidRPr="00BD78F9">
        <w:rPr>
          <w:sz w:val="22"/>
          <w:szCs w:val="22"/>
          <w:lang w:val="sr-Latn-ME"/>
        </w:rPr>
        <w:t>ij</w:t>
      </w:r>
      <w:r w:rsidRPr="00BD78F9">
        <w:rPr>
          <w:sz w:val="22"/>
          <w:szCs w:val="22"/>
          <w:lang w:val="sr-Latn-ME"/>
        </w:rPr>
        <w:t>ečenja u odnosu na FOR/GLY MDI (razlika između l</w:t>
      </w:r>
      <w:r w:rsidR="00993379" w:rsidRPr="00BD78F9">
        <w:rPr>
          <w:sz w:val="22"/>
          <w:szCs w:val="22"/>
          <w:lang w:val="sr-Latn-ME"/>
        </w:rPr>
        <w:t>ij</w:t>
      </w:r>
      <w:r w:rsidRPr="00BD78F9">
        <w:rPr>
          <w:sz w:val="22"/>
          <w:szCs w:val="22"/>
          <w:lang w:val="sr-Latn-ME"/>
        </w:rPr>
        <w:t>ečenja: -0,51 udisaj na dan; 95% CI: -0,68; -0,34; p &lt; 0,0001) i FOR/BUD MDI (razlika između l</w:t>
      </w:r>
      <w:r w:rsidR="004D0E29" w:rsidRPr="00BD78F9">
        <w:rPr>
          <w:sz w:val="22"/>
          <w:szCs w:val="22"/>
          <w:lang w:val="sr-Latn-ME"/>
        </w:rPr>
        <w:t>ij</w:t>
      </w:r>
      <w:r w:rsidRPr="00BD78F9">
        <w:rPr>
          <w:sz w:val="22"/>
          <w:szCs w:val="22"/>
          <w:lang w:val="sr-Latn-ME"/>
        </w:rPr>
        <w:t>ečenja: -0,37 udisaja na dan; 95% CI: -0,54; -0,20; p &lt; 0,0001). Smanjenja su se održala tokom 52 ned</w:t>
      </w:r>
      <w:r w:rsidR="00993379" w:rsidRPr="00BD78F9">
        <w:rPr>
          <w:sz w:val="22"/>
          <w:szCs w:val="22"/>
          <w:lang w:val="sr-Latn-ME"/>
        </w:rPr>
        <w:t>j</w:t>
      </w:r>
      <w:r w:rsidRPr="00BD78F9">
        <w:rPr>
          <w:sz w:val="22"/>
          <w:szCs w:val="22"/>
          <w:lang w:val="sr-Latn-ME"/>
        </w:rPr>
        <w:t xml:space="preserve">elje. U ispitivanju KRONOS razlike u odnosu na FOR/GLY MDI, FOR/BUD MDI i FOR/BUD TBH </w:t>
      </w:r>
      <w:r w:rsidR="004D0E29" w:rsidRPr="00BD78F9">
        <w:rPr>
          <w:sz w:val="22"/>
          <w:szCs w:val="22"/>
          <w:lang w:val="sr-Latn-ME"/>
        </w:rPr>
        <w:t>nijesu</w:t>
      </w:r>
      <w:r w:rsidRPr="00BD78F9">
        <w:rPr>
          <w:sz w:val="22"/>
          <w:szCs w:val="22"/>
          <w:lang w:val="sr-Latn-ME"/>
        </w:rPr>
        <w:t xml:space="preserve"> bile statistički značajne. </w:t>
      </w:r>
    </w:p>
    <w:p w14:paraId="78C930FC" w14:textId="77777777" w:rsidR="00B73F2A" w:rsidRPr="00BD78F9" w:rsidRDefault="00B73F2A">
      <w:pPr>
        <w:numPr>
          <w:ilvl w:val="12"/>
          <w:numId w:val="0"/>
        </w:numPr>
        <w:tabs>
          <w:tab w:val="left" w:pos="284"/>
        </w:tabs>
        <w:ind w:right="-2"/>
        <w:jc w:val="both"/>
        <w:rPr>
          <w:sz w:val="22"/>
          <w:szCs w:val="22"/>
          <w:lang w:val="sr-Latn-ME"/>
        </w:rPr>
      </w:pPr>
    </w:p>
    <w:p w14:paraId="596928E2" w14:textId="77777777" w:rsidR="00B73F2A" w:rsidRPr="00BD78F9" w:rsidRDefault="00B73F2A" w:rsidP="00271855">
      <w:pPr>
        <w:autoSpaceDE w:val="0"/>
        <w:autoSpaceDN w:val="0"/>
        <w:adjustRightInd w:val="0"/>
        <w:jc w:val="both"/>
        <w:rPr>
          <w:rFonts w:eastAsia="SimSun"/>
          <w:color w:val="000000"/>
          <w:sz w:val="22"/>
          <w:szCs w:val="22"/>
          <w:u w:val="single"/>
          <w:lang w:val="sr-Latn-ME" w:eastAsia="en-GB"/>
        </w:rPr>
      </w:pPr>
      <w:bookmarkStart w:id="7" w:name="_Hlk8742664"/>
      <w:r w:rsidRPr="00BD78F9">
        <w:rPr>
          <w:rFonts w:eastAsia="SimSun"/>
          <w:color w:val="000000"/>
          <w:sz w:val="22"/>
          <w:szCs w:val="22"/>
          <w:u w:val="single"/>
          <w:lang w:val="sr-Latn-ME" w:eastAsia="en-GB"/>
        </w:rPr>
        <w:t xml:space="preserve">Pedijatrijska populacija </w:t>
      </w:r>
    </w:p>
    <w:p w14:paraId="32525153" w14:textId="77777777" w:rsidR="00B73F2A" w:rsidRPr="00BD78F9" w:rsidRDefault="00B73F2A" w:rsidP="00271855">
      <w:pPr>
        <w:autoSpaceDE w:val="0"/>
        <w:autoSpaceDN w:val="0"/>
        <w:adjustRightInd w:val="0"/>
        <w:jc w:val="both"/>
        <w:rPr>
          <w:rFonts w:eastAsia="SimSun"/>
          <w:color w:val="000000"/>
          <w:sz w:val="22"/>
          <w:szCs w:val="22"/>
          <w:u w:val="single"/>
          <w:lang w:val="sr-Latn-ME" w:eastAsia="en-GB"/>
        </w:rPr>
      </w:pPr>
    </w:p>
    <w:p w14:paraId="1B06B439" w14:textId="57E6E0CB" w:rsidR="00B73F2A" w:rsidRPr="00BD78F9" w:rsidRDefault="00B73F2A" w:rsidP="000A71FF">
      <w:pPr>
        <w:tabs>
          <w:tab w:val="left" w:pos="284"/>
        </w:tabs>
        <w:jc w:val="both"/>
        <w:rPr>
          <w:rFonts w:eastAsia="SimSun"/>
          <w:color w:val="000000"/>
          <w:sz w:val="22"/>
          <w:szCs w:val="22"/>
          <w:lang w:val="sr-Latn-ME"/>
        </w:rPr>
      </w:pPr>
      <w:r w:rsidRPr="00BD78F9">
        <w:rPr>
          <w:sz w:val="22"/>
          <w:szCs w:val="22"/>
          <w:lang w:val="sr-Latn-ME"/>
        </w:rPr>
        <w:t>Evropska agencija za l</w:t>
      </w:r>
      <w:r w:rsidR="004D0E29" w:rsidRPr="00BD78F9">
        <w:rPr>
          <w:sz w:val="22"/>
          <w:szCs w:val="22"/>
          <w:lang w:val="sr-Latn-ME"/>
        </w:rPr>
        <w:t>j</w:t>
      </w:r>
      <w:r w:rsidRPr="00BD78F9">
        <w:rPr>
          <w:sz w:val="22"/>
          <w:szCs w:val="22"/>
          <w:lang w:val="sr-Latn-ME"/>
        </w:rPr>
        <w:t xml:space="preserve">ekove ukinula je obavezu podnošenja rezultata studija </w:t>
      </w:r>
      <w:r w:rsidR="004D0E29" w:rsidRPr="00BD78F9">
        <w:rPr>
          <w:sz w:val="22"/>
          <w:szCs w:val="22"/>
          <w:lang w:val="sr-Latn-ME"/>
        </w:rPr>
        <w:t xml:space="preserve">lijeka </w:t>
      </w:r>
      <w:r w:rsidRPr="00BD78F9">
        <w:rPr>
          <w:sz w:val="22"/>
          <w:szCs w:val="22"/>
          <w:lang w:val="sr-Latn-ME"/>
        </w:rPr>
        <w:t xml:space="preserve">Trixeo Aerosphere za sve podgrupe pedijatrijske populacije za </w:t>
      </w:r>
      <w:r w:rsidR="004D0E29" w:rsidRPr="00BD78F9">
        <w:rPr>
          <w:sz w:val="22"/>
          <w:szCs w:val="22"/>
          <w:lang w:val="sr-Latn-ME"/>
        </w:rPr>
        <w:t>liječenje</w:t>
      </w:r>
      <w:r w:rsidRPr="00BD78F9">
        <w:rPr>
          <w:sz w:val="22"/>
          <w:szCs w:val="22"/>
          <w:lang w:val="sr-Latn-ME"/>
        </w:rPr>
        <w:t xml:space="preserve"> HOBP (</w:t>
      </w:r>
      <w:r w:rsidR="004D0E29" w:rsidRPr="00BD78F9">
        <w:rPr>
          <w:sz w:val="22"/>
          <w:szCs w:val="22"/>
          <w:lang w:val="sr-Latn-ME"/>
        </w:rPr>
        <w:t>vidjeti</w:t>
      </w:r>
      <w:r w:rsidRPr="00BD78F9">
        <w:rPr>
          <w:sz w:val="22"/>
          <w:szCs w:val="22"/>
          <w:lang w:val="sr-Latn-ME"/>
        </w:rPr>
        <w:t xml:space="preserve"> </w:t>
      </w:r>
      <w:r w:rsidR="004D0E29" w:rsidRPr="00BD78F9">
        <w:rPr>
          <w:sz w:val="22"/>
          <w:szCs w:val="22"/>
          <w:lang w:val="sr-Latn-ME"/>
        </w:rPr>
        <w:t>odjeljak</w:t>
      </w:r>
      <w:r w:rsidRPr="00BD78F9">
        <w:rPr>
          <w:sz w:val="22"/>
          <w:szCs w:val="22"/>
          <w:lang w:val="sr-Latn-ME"/>
        </w:rPr>
        <w:t xml:space="preserve"> 4.2 za informacije o pedijatrijskoj prim</w:t>
      </w:r>
      <w:r w:rsidR="00C602CE" w:rsidRPr="00BD78F9">
        <w:rPr>
          <w:sz w:val="22"/>
          <w:szCs w:val="22"/>
          <w:lang w:val="sr-Latn-ME"/>
        </w:rPr>
        <w:t>j</w:t>
      </w:r>
      <w:r w:rsidRPr="00BD78F9">
        <w:rPr>
          <w:sz w:val="22"/>
          <w:szCs w:val="22"/>
          <w:lang w:val="sr-Latn-ME"/>
        </w:rPr>
        <w:t>eni).</w:t>
      </w:r>
    </w:p>
    <w:bookmarkEnd w:id="7"/>
    <w:p w14:paraId="3B3A71CC" w14:textId="77777777" w:rsidR="002E37A5" w:rsidRPr="00BD78F9" w:rsidRDefault="002E37A5" w:rsidP="00271855">
      <w:pPr>
        <w:tabs>
          <w:tab w:val="left" w:pos="540"/>
          <w:tab w:val="left" w:pos="569"/>
        </w:tabs>
        <w:jc w:val="both"/>
        <w:rPr>
          <w:b/>
          <w:bCs/>
          <w:sz w:val="22"/>
          <w:szCs w:val="22"/>
          <w:lang w:val="sr-Latn-ME"/>
        </w:rPr>
      </w:pPr>
    </w:p>
    <w:p w14:paraId="4C2C762D" w14:textId="445D9F90" w:rsidR="0072020E" w:rsidRPr="00BD78F9" w:rsidRDefault="0072020E" w:rsidP="00271855">
      <w:pPr>
        <w:tabs>
          <w:tab w:val="left" w:pos="540"/>
          <w:tab w:val="left" w:pos="569"/>
        </w:tabs>
        <w:jc w:val="both"/>
        <w:rPr>
          <w:b/>
          <w:bCs/>
          <w:sz w:val="22"/>
          <w:szCs w:val="22"/>
          <w:lang w:val="sr-Latn-ME"/>
        </w:rPr>
      </w:pPr>
      <w:r w:rsidRPr="00BD78F9">
        <w:rPr>
          <w:b/>
          <w:bCs/>
          <w:sz w:val="22"/>
          <w:szCs w:val="22"/>
          <w:lang w:val="sr-Latn-ME"/>
        </w:rPr>
        <w:t xml:space="preserve">5.2. </w:t>
      </w:r>
      <w:r w:rsidR="00480FB1" w:rsidRPr="00BD78F9">
        <w:rPr>
          <w:b/>
          <w:bCs/>
          <w:sz w:val="22"/>
          <w:szCs w:val="22"/>
          <w:lang w:val="sr-Latn-ME"/>
        </w:rPr>
        <w:tab/>
      </w:r>
      <w:r w:rsidRPr="00BD78F9">
        <w:rPr>
          <w:b/>
          <w:bCs/>
          <w:sz w:val="22"/>
          <w:szCs w:val="22"/>
          <w:lang w:val="sr-Latn-ME"/>
        </w:rPr>
        <w:t>Farmakokinetički podaci</w:t>
      </w:r>
      <w:r w:rsidR="003A7059" w:rsidRPr="00BD78F9">
        <w:rPr>
          <w:b/>
          <w:bCs/>
          <w:sz w:val="22"/>
          <w:szCs w:val="22"/>
          <w:lang w:val="sr-Latn-ME"/>
        </w:rPr>
        <w:t xml:space="preserve"> </w:t>
      </w:r>
    </w:p>
    <w:p w14:paraId="56BF2A8F" w14:textId="1B391799" w:rsidR="00B73F2A" w:rsidRPr="00BD78F9" w:rsidRDefault="00B73F2A" w:rsidP="00271855">
      <w:pPr>
        <w:tabs>
          <w:tab w:val="left" w:pos="540"/>
          <w:tab w:val="left" w:pos="569"/>
        </w:tabs>
        <w:jc w:val="both"/>
        <w:rPr>
          <w:b/>
          <w:bCs/>
          <w:sz w:val="22"/>
          <w:szCs w:val="22"/>
          <w:lang w:val="sr-Latn-ME"/>
        </w:rPr>
      </w:pPr>
    </w:p>
    <w:p w14:paraId="50AEAD21" w14:textId="49B977AE" w:rsidR="00B73F2A" w:rsidRPr="00BD78F9" w:rsidRDefault="00B73F2A" w:rsidP="000A71FF">
      <w:pPr>
        <w:tabs>
          <w:tab w:val="left" w:pos="284"/>
        </w:tabs>
        <w:jc w:val="both"/>
        <w:rPr>
          <w:bCs/>
          <w:iCs/>
          <w:sz w:val="22"/>
          <w:szCs w:val="22"/>
          <w:lang w:val="sr-Latn-ME"/>
        </w:rPr>
      </w:pPr>
      <w:r w:rsidRPr="00BD78F9">
        <w:rPr>
          <w:sz w:val="22"/>
          <w:szCs w:val="22"/>
          <w:lang w:val="sr-Latn-ME"/>
        </w:rPr>
        <w:t>Nakon inhalacije kombinacije formoterola, glikopironijuma i budesonida, farmakokinetika pojedinačnih komponenata bila je slična onoj zab</w:t>
      </w:r>
      <w:r w:rsidR="00993379" w:rsidRPr="00BD78F9">
        <w:rPr>
          <w:sz w:val="22"/>
          <w:szCs w:val="22"/>
          <w:lang w:val="sr-Latn-ME"/>
        </w:rPr>
        <w:t>i</w:t>
      </w:r>
      <w:r w:rsidRPr="00BD78F9">
        <w:rPr>
          <w:sz w:val="22"/>
          <w:szCs w:val="22"/>
          <w:lang w:val="sr-Latn-ME"/>
        </w:rPr>
        <w:t>l</w:t>
      </w:r>
      <w:r w:rsidR="00993379" w:rsidRPr="00BD78F9">
        <w:rPr>
          <w:sz w:val="22"/>
          <w:szCs w:val="22"/>
          <w:lang w:val="sr-Latn-ME"/>
        </w:rPr>
        <w:t>j</w:t>
      </w:r>
      <w:r w:rsidRPr="00BD78F9">
        <w:rPr>
          <w:sz w:val="22"/>
          <w:szCs w:val="22"/>
          <w:lang w:val="sr-Latn-ME"/>
        </w:rPr>
        <w:t xml:space="preserve">eženoj kod </w:t>
      </w:r>
      <w:r w:rsidR="004D0E29" w:rsidRPr="00BD78F9">
        <w:rPr>
          <w:sz w:val="22"/>
          <w:szCs w:val="22"/>
          <w:lang w:val="sr-Latn-ME"/>
        </w:rPr>
        <w:t>primjene</w:t>
      </w:r>
      <w:r w:rsidRPr="00BD78F9">
        <w:rPr>
          <w:sz w:val="22"/>
          <w:szCs w:val="22"/>
          <w:lang w:val="sr-Latn-ME"/>
        </w:rPr>
        <w:t xml:space="preserve"> svake aktivne supstance posebno. </w:t>
      </w:r>
    </w:p>
    <w:p w14:paraId="5834B4DC" w14:textId="77777777" w:rsidR="00B73F2A" w:rsidRPr="00BD78F9" w:rsidRDefault="00B73F2A" w:rsidP="007019B9">
      <w:pPr>
        <w:tabs>
          <w:tab w:val="left" w:pos="284"/>
        </w:tabs>
        <w:jc w:val="both"/>
        <w:rPr>
          <w:i/>
          <w:sz w:val="22"/>
          <w:szCs w:val="22"/>
          <w:lang w:val="sr-Latn-ME"/>
        </w:rPr>
      </w:pPr>
    </w:p>
    <w:p w14:paraId="790B4F02" w14:textId="77777777" w:rsidR="00B73F2A" w:rsidRPr="00BD78F9" w:rsidRDefault="00B73F2A" w:rsidP="00A52822">
      <w:pPr>
        <w:tabs>
          <w:tab w:val="left" w:pos="284"/>
        </w:tabs>
        <w:jc w:val="both"/>
        <w:rPr>
          <w:i/>
          <w:sz w:val="22"/>
          <w:szCs w:val="22"/>
          <w:lang w:val="sr-Latn-ME"/>
        </w:rPr>
      </w:pPr>
      <w:r w:rsidRPr="00BD78F9">
        <w:rPr>
          <w:i/>
          <w:iCs/>
          <w:sz w:val="22"/>
          <w:szCs w:val="22"/>
          <w:lang w:val="sr-Latn-ME"/>
        </w:rPr>
        <w:t>Uticaj komore za inhalaciju</w:t>
      </w:r>
    </w:p>
    <w:p w14:paraId="41E2FFEE" w14:textId="23DEFD65" w:rsidR="00B73F2A" w:rsidRPr="00BD78F9" w:rsidRDefault="004D0E29">
      <w:pPr>
        <w:tabs>
          <w:tab w:val="left" w:pos="284"/>
        </w:tabs>
        <w:jc w:val="both"/>
        <w:rPr>
          <w:sz w:val="22"/>
          <w:szCs w:val="22"/>
          <w:lang w:val="sr-Latn-ME"/>
        </w:rPr>
      </w:pPr>
      <w:r w:rsidRPr="00BD78F9">
        <w:rPr>
          <w:sz w:val="22"/>
          <w:lang w:val="sr-Latn-ME"/>
        </w:rPr>
        <w:t>Primjena</w:t>
      </w:r>
      <w:r w:rsidR="00B73F2A" w:rsidRPr="00BD78F9">
        <w:rPr>
          <w:sz w:val="22"/>
          <w:lang w:val="sr-Latn-ME"/>
        </w:rPr>
        <w:t xml:space="preserve"> </w:t>
      </w:r>
      <w:r w:rsidR="00B73F2A" w:rsidRPr="00BD78F9">
        <w:rPr>
          <w:sz w:val="22"/>
          <w:szCs w:val="22"/>
          <w:lang w:val="sr-Latn-ME"/>
        </w:rPr>
        <w:t xml:space="preserve">ovog </w:t>
      </w:r>
      <w:r w:rsidRPr="00BD78F9">
        <w:rPr>
          <w:sz w:val="22"/>
          <w:szCs w:val="22"/>
          <w:lang w:val="sr-Latn-ME"/>
        </w:rPr>
        <w:t xml:space="preserve">lijeka </w:t>
      </w:r>
      <w:r w:rsidR="00B73F2A" w:rsidRPr="00BD78F9">
        <w:rPr>
          <w:sz w:val="22"/>
          <w:lang w:val="sr-Latn-ME"/>
        </w:rPr>
        <w:t xml:space="preserve">pomoću komore za inhalaciju Aerochamber Plus Flow-Vu kod zdravih dobrovoljaca povećala je ukupnu sistemsku izloženost (određenu na osnovu </w:t>
      </w:r>
      <w:r w:rsidRPr="00BD78F9">
        <w:rPr>
          <w:sz w:val="22"/>
          <w:lang w:val="sr-Latn-ME"/>
        </w:rPr>
        <w:t>vrijednost</w:t>
      </w:r>
      <w:r w:rsidR="00B73F2A" w:rsidRPr="00BD78F9">
        <w:rPr>
          <w:sz w:val="22"/>
          <w:lang w:val="sr-Latn-ME"/>
        </w:rPr>
        <w:t>i AUC</w:t>
      </w:r>
      <w:r w:rsidR="00B73F2A" w:rsidRPr="00271855">
        <w:rPr>
          <w:sz w:val="22"/>
          <w:vertAlign w:val="subscript"/>
          <w:lang w:val="sr-Latn-ME"/>
        </w:rPr>
        <w:t>0</w:t>
      </w:r>
      <w:r w:rsidR="00B73F2A" w:rsidRPr="00BD78F9">
        <w:rPr>
          <w:sz w:val="22"/>
          <w:lang w:val="sr-Latn-ME"/>
        </w:rPr>
        <w:t>-</w:t>
      </w:r>
      <w:r w:rsidR="00B73F2A" w:rsidRPr="00271855">
        <w:rPr>
          <w:sz w:val="22"/>
          <w:vertAlign w:val="subscript"/>
          <w:lang w:val="sr-Latn-ME"/>
        </w:rPr>
        <w:t>t</w:t>
      </w:r>
      <w:r w:rsidR="00B73F2A" w:rsidRPr="00BD78F9">
        <w:rPr>
          <w:sz w:val="22"/>
          <w:lang w:val="sr-Latn-ME"/>
        </w:rPr>
        <w:t>) budesonidu i glikopironijumu za 33% odnosno 55%, dok je izloženost formoterolu ostala neprom</w:t>
      </w:r>
      <w:r w:rsidR="00993379" w:rsidRPr="00BD78F9">
        <w:rPr>
          <w:sz w:val="22"/>
          <w:lang w:val="sr-Latn-ME"/>
        </w:rPr>
        <w:t>ij</w:t>
      </w:r>
      <w:r w:rsidR="00B73F2A" w:rsidRPr="00BD78F9">
        <w:rPr>
          <w:sz w:val="22"/>
          <w:lang w:val="sr-Latn-ME"/>
        </w:rPr>
        <w:t xml:space="preserve">enjena. Kod pacijenata sa dobrom tehnikom inhalacije sistemska izloženost nije se povećala kod </w:t>
      </w:r>
      <w:r w:rsidRPr="00BD78F9">
        <w:rPr>
          <w:sz w:val="22"/>
          <w:lang w:val="sr-Latn-ME"/>
        </w:rPr>
        <w:t>primjene</w:t>
      </w:r>
      <w:r w:rsidR="00B73F2A" w:rsidRPr="00BD78F9">
        <w:rPr>
          <w:sz w:val="22"/>
          <w:lang w:val="sr-Latn-ME"/>
        </w:rPr>
        <w:t xml:space="preserve"> komore za inhalaciju. </w:t>
      </w:r>
    </w:p>
    <w:p w14:paraId="3C811F35" w14:textId="77777777" w:rsidR="00B73F2A" w:rsidRPr="00BD78F9" w:rsidRDefault="00B73F2A">
      <w:pPr>
        <w:tabs>
          <w:tab w:val="left" w:pos="284"/>
        </w:tabs>
        <w:jc w:val="both"/>
        <w:rPr>
          <w:b/>
          <w:bCs/>
          <w:iCs/>
          <w:sz w:val="22"/>
          <w:lang w:val="sr-Latn-ME"/>
        </w:rPr>
      </w:pPr>
    </w:p>
    <w:p w14:paraId="4097149D" w14:textId="77777777" w:rsidR="00B73F2A" w:rsidRPr="00BD78F9" w:rsidRDefault="00B73F2A">
      <w:pPr>
        <w:tabs>
          <w:tab w:val="left" w:pos="284"/>
        </w:tabs>
        <w:jc w:val="both"/>
        <w:rPr>
          <w:bCs/>
          <w:iCs/>
          <w:sz w:val="22"/>
          <w:u w:val="single"/>
          <w:lang w:val="sr-Latn-ME"/>
        </w:rPr>
      </w:pPr>
      <w:r w:rsidRPr="00BD78F9">
        <w:rPr>
          <w:sz w:val="22"/>
          <w:u w:val="single"/>
          <w:lang w:val="sr-Latn-ME"/>
        </w:rPr>
        <w:t>Resorpcija</w:t>
      </w:r>
    </w:p>
    <w:p w14:paraId="7EFE9523" w14:textId="77777777" w:rsidR="00B73F2A" w:rsidRPr="00BD78F9" w:rsidRDefault="00B73F2A">
      <w:pPr>
        <w:tabs>
          <w:tab w:val="left" w:pos="284"/>
        </w:tabs>
        <w:jc w:val="both"/>
        <w:rPr>
          <w:b/>
          <w:bCs/>
          <w:iCs/>
          <w:sz w:val="22"/>
          <w:lang w:val="sr-Latn-ME"/>
        </w:rPr>
      </w:pPr>
    </w:p>
    <w:p w14:paraId="07AC5236" w14:textId="77777777" w:rsidR="00B73F2A" w:rsidRPr="00BD78F9" w:rsidRDefault="00B73F2A">
      <w:pPr>
        <w:tabs>
          <w:tab w:val="left" w:pos="284"/>
        </w:tabs>
        <w:autoSpaceDE w:val="0"/>
        <w:autoSpaceDN w:val="0"/>
        <w:adjustRightInd w:val="0"/>
        <w:ind w:right="-23"/>
        <w:jc w:val="both"/>
        <w:rPr>
          <w:i/>
          <w:iCs/>
          <w:sz w:val="22"/>
          <w:lang w:val="sr-Latn-ME"/>
        </w:rPr>
      </w:pPr>
      <w:r w:rsidRPr="00BD78F9">
        <w:rPr>
          <w:i/>
          <w:iCs/>
          <w:sz w:val="22"/>
          <w:lang w:val="sr-Latn-ME"/>
        </w:rPr>
        <w:t>Budesonid</w:t>
      </w:r>
    </w:p>
    <w:p w14:paraId="78DA83B5" w14:textId="4B638A4A" w:rsidR="00B73F2A" w:rsidRPr="00BD78F9" w:rsidRDefault="00B73F2A">
      <w:pPr>
        <w:tabs>
          <w:tab w:val="left" w:pos="284"/>
        </w:tabs>
        <w:autoSpaceDE w:val="0"/>
        <w:autoSpaceDN w:val="0"/>
        <w:adjustRightInd w:val="0"/>
        <w:ind w:right="-14"/>
        <w:jc w:val="both"/>
        <w:rPr>
          <w:sz w:val="22"/>
          <w:lang w:val="sr-Latn-ME"/>
        </w:rPr>
      </w:pPr>
      <w:r w:rsidRPr="00BD78F9">
        <w:rPr>
          <w:sz w:val="22"/>
          <w:lang w:val="sr-Latn-ME"/>
        </w:rPr>
        <w:t xml:space="preserve">Nakon inhaliranja </w:t>
      </w:r>
      <w:r w:rsidRPr="00BD78F9">
        <w:rPr>
          <w:sz w:val="22"/>
          <w:szCs w:val="22"/>
          <w:lang w:val="sr-Latn-ME"/>
        </w:rPr>
        <w:t xml:space="preserve">ovog </w:t>
      </w:r>
      <w:r w:rsidR="004D0E29" w:rsidRPr="00BD78F9">
        <w:rPr>
          <w:sz w:val="22"/>
          <w:szCs w:val="22"/>
          <w:lang w:val="sr-Latn-ME"/>
        </w:rPr>
        <w:t xml:space="preserve">lijeka </w:t>
      </w:r>
      <w:r w:rsidRPr="00BD78F9">
        <w:rPr>
          <w:sz w:val="22"/>
          <w:lang w:val="sr-Latn-ME"/>
        </w:rPr>
        <w:t>kod osoba sa HOBP, C</w:t>
      </w:r>
      <w:r w:rsidRPr="00271855">
        <w:rPr>
          <w:sz w:val="22"/>
          <w:szCs w:val="22"/>
          <w:lang w:val="sr-Latn-ME"/>
        </w:rPr>
        <w:t>max</w:t>
      </w:r>
      <w:r w:rsidRPr="00BD78F9">
        <w:rPr>
          <w:sz w:val="16"/>
          <w:szCs w:val="16"/>
          <w:lang w:val="sr-Latn-ME"/>
        </w:rPr>
        <w:t xml:space="preserve"> </w:t>
      </w:r>
      <w:r w:rsidRPr="00BD78F9">
        <w:rPr>
          <w:sz w:val="22"/>
          <w:lang w:val="sr-Latn-ME"/>
        </w:rPr>
        <w:t xml:space="preserve">budesonida javljala se u roku od 20 do 40 minuta. </w:t>
      </w:r>
      <w:r w:rsidR="00792E86" w:rsidRPr="00BD78F9">
        <w:rPr>
          <w:sz w:val="22"/>
          <w:lang w:val="sr-Latn-ME"/>
        </w:rPr>
        <w:t>Stanje dinamičke ravnoteže</w:t>
      </w:r>
      <w:r w:rsidRPr="00BD78F9">
        <w:rPr>
          <w:sz w:val="22"/>
          <w:lang w:val="sr-Latn-ME"/>
        </w:rPr>
        <w:t xml:space="preserve"> se postiže nakon približno 1 dana ponovljenog doziranja </w:t>
      </w:r>
      <w:r w:rsidRPr="00BD78F9">
        <w:rPr>
          <w:sz w:val="22"/>
          <w:szCs w:val="22"/>
          <w:lang w:val="sr-Latn-ME"/>
        </w:rPr>
        <w:t xml:space="preserve">ovog </w:t>
      </w:r>
      <w:r w:rsidR="004D0E29" w:rsidRPr="00BD78F9">
        <w:rPr>
          <w:sz w:val="22"/>
          <w:szCs w:val="22"/>
          <w:lang w:val="sr-Latn-ME"/>
        </w:rPr>
        <w:t xml:space="preserve">lijeka </w:t>
      </w:r>
      <w:r w:rsidRPr="00BD78F9">
        <w:rPr>
          <w:sz w:val="22"/>
          <w:lang w:val="sr-Latn-ME"/>
        </w:rPr>
        <w:t xml:space="preserve">a </w:t>
      </w:r>
      <w:r w:rsidR="00792E86" w:rsidRPr="00BD78F9">
        <w:rPr>
          <w:sz w:val="22"/>
          <w:lang w:val="sr-Latn-ME"/>
        </w:rPr>
        <w:t xml:space="preserve">nivo </w:t>
      </w:r>
      <w:r w:rsidRPr="00BD78F9">
        <w:rPr>
          <w:sz w:val="22"/>
          <w:lang w:val="sr-Latn-ME"/>
        </w:rPr>
        <w:t xml:space="preserve">izloženosti je </w:t>
      </w:r>
      <w:r w:rsidR="00792E86" w:rsidRPr="00BD78F9">
        <w:rPr>
          <w:sz w:val="22"/>
          <w:lang w:val="sr-Latn-ME"/>
        </w:rPr>
        <w:t xml:space="preserve">približno </w:t>
      </w:r>
      <w:r w:rsidRPr="00BD78F9">
        <w:rPr>
          <w:sz w:val="22"/>
          <w:lang w:val="sr-Latn-ME"/>
        </w:rPr>
        <w:t xml:space="preserve">1,3 puta veći nego nakon </w:t>
      </w:r>
      <w:r w:rsidR="00706B5E" w:rsidRPr="00BD78F9">
        <w:rPr>
          <w:sz w:val="22"/>
          <w:lang w:val="sr-Latn-ME"/>
        </w:rPr>
        <w:t xml:space="preserve">primjene </w:t>
      </w:r>
      <w:r w:rsidRPr="00BD78F9">
        <w:rPr>
          <w:sz w:val="22"/>
          <w:lang w:val="sr-Latn-ME"/>
        </w:rPr>
        <w:t>prve doze.</w:t>
      </w:r>
    </w:p>
    <w:p w14:paraId="71FBA964" w14:textId="77777777" w:rsidR="00B73F2A" w:rsidRPr="00BD78F9" w:rsidRDefault="00B73F2A">
      <w:pPr>
        <w:tabs>
          <w:tab w:val="left" w:pos="284"/>
        </w:tabs>
        <w:autoSpaceDE w:val="0"/>
        <w:autoSpaceDN w:val="0"/>
        <w:adjustRightInd w:val="0"/>
        <w:ind w:right="-23"/>
        <w:jc w:val="both"/>
        <w:rPr>
          <w:i/>
          <w:iCs/>
          <w:sz w:val="22"/>
          <w:lang w:val="sr-Latn-ME"/>
        </w:rPr>
      </w:pPr>
    </w:p>
    <w:p w14:paraId="5E9E5E3B" w14:textId="77777777" w:rsidR="00B73F2A" w:rsidRPr="00BD78F9" w:rsidRDefault="00B73F2A">
      <w:pPr>
        <w:tabs>
          <w:tab w:val="left" w:pos="284"/>
        </w:tabs>
        <w:autoSpaceDE w:val="0"/>
        <w:autoSpaceDN w:val="0"/>
        <w:adjustRightInd w:val="0"/>
        <w:ind w:right="-20"/>
        <w:jc w:val="both"/>
        <w:rPr>
          <w:sz w:val="22"/>
          <w:lang w:val="sr-Latn-ME"/>
        </w:rPr>
      </w:pPr>
      <w:r w:rsidRPr="00BD78F9">
        <w:rPr>
          <w:i/>
          <w:iCs/>
          <w:sz w:val="22"/>
          <w:lang w:val="sr-Latn-ME"/>
        </w:rPr>
        <w:t>Glikopironijum</w:t>
      </w:r>
    </w:p>
    <w:p w14:paraId="7C91F5D7" w14:textId="10B8220C" w:rsidR="00B73F2A" w:rsidRPr="00BD78F9" w:rsidRDefault="00B73F2A">
      <w:pPr>
        <w:tabs>
          <w:tab w:val="left" w:pos="284"/>
        </w:tabs>
        <w:autoSpaceDE w:val="0"/>
        <w:autoSpaceDN w:val="0"/>
        <w:adjustRightInd w:val="0"/>
        <w:ind w:right="56"/>
        <w:jc w:val="both"/>
        <w:rPr>
          <w:sz w:val="22"/>
          <w:lang w:val="sr-Latn-ME"/>
        </w:rPr>
      </w:pPr>
      <w:r w:rsidRPr="00BD78F9">
        <w:rPr>
          <w:sz w:val="22"/>
          <w:lang w:val="sr-Latn-ME"/>
        </w:rPr>
        <w:t xml:space="preserve">Nakon inhaliranja </w:t>
      </w:r>
      <w:r w:rsidRPr="00BD78F9">
        <w:rPr>
          <w:sz w:val="22"/>
          <w:szCs w:val="22"/>
          <w:lang w:val="sr-Latn-ME"/>
        </w:rPr>
        <w:t xml:space="preserve">ovog </w:t>
      </w:r>
      <w:r w:rsidR="004D0E29" w:rsidRPr="00BD78F9">
        <w:rPr>
          <w:sz w:val="22"/>
          <w:szCs w:val="22"/>
          <w:lang w:val="sr-Latn-ME"/>
        </w:rPr>
        <w:t xml:space="preserve">lijeka </w:t>
      </w:r>
      <w:r w:rsidRPr="00BD78F9">
        <w:rPr>
          <w:sz w:val="22"/>
          <w:lang w:val="sr-Latn-ME"/>
        </w:rPr>
        <w:t>kod osoba sa HOBP, C</w:t>
      </w:r>
      <w:r w:rsidRPr="00271855">
        <w:rPr>
          <w:sz w:val="22"/>
          <w:szCs w:val="22"/>
          <w:lang w:val="sr-Latn-ME"/>
        </w:rPr>
        <w:t>max</w:t>
      </w:r>
      <w:r w:rsidRPr="00BD78F9">
        <w:rPr>
          <w:sz w:val="16"/>
          <w:szCs w:val="16"/>
          <w:lang w:val="sr-Latn-ME"/>
        </w:rPr>
        <w:t xml:space="preserve"> </w:t>
      </w:r>
      <w:r w:rsidRPr="00BD78F9">
        <w:rPr>
          <w:sz w:val="22"/>
          <w:lang w:val="sr-Latn-ME"/>
        </w:rPr>
        <w:t xml:space="preserve">glikopironijuma </w:t>
      </w:r>
      <w:r w:rsidR="009722E1" w:rsidRPr="00BD78F9">
        <w:rPr>
          <w:sz w:val="22"/>
          <w:lang w:val="sr-Latn-ME"/>
        </w:rPr>
        <w:t>dostignuto j</w:t>
      </w:r>
      <w:r w:rsidRPr="00BD78F9">
        <w:rPr>
          <w:sz w:val="22"/>
          <w:lang w:val="sr-Latn-ME"/>
        </w:rPr>
        <w:t xml:space="preserve">e nakon 6 minuta. </w:t>
      </w:r>
      <w:r w:rsidR="009722E1" w:rsidRPr="00BD78F9">
        <w:rPr>
          <w:sz w:val="22"/>
          <w:lang w:val="sr-Latn-ME"/>
        </w:rPr>
        <w:t>Stanje dinamičke ravnoteže</w:t>
      </w:r>
      <w:r w:rsidRPr="00BD78F9">
        <w:rPr>
          <w:sz w:val="22"/>
          <w:lang w:val="sr-Latn-ME"/>
        </w:rPr>
        <w:t xml:space="preserve"> se postiže nakon približno 3 dana ponovljenog doziranja </w:t>
      </w:r>
      <w:r w:rsidRPr="00BD78F9">
        <w:rPr>
          <w:sz w:val="22"/>
          <w:szCs w:val="22"/>
          <w:lang w:val="sr-Latn-ME"/>
        </w:rPr>
        <w:t xml:space="preserve">ovog </w:t>
      </w:r>
      <w:r w:rsidR="004D0E29" w:rsidRPr="00BD78F9">
        <w:rPr>
          <w:sz w:val="22"/>
          <w:szCs w:val="22"/>
          <w:lang w:val="sr-Latn-ME"/>
        </w:rPr>
        <w:t xml:space="preserve">lijeka </w:t>
      </w:r>
      <w:r w:rsidRPr="00BD78F9">
        <w:rPr>
          <w:sz w:val="22"/>
          <w:lang w:val="sr-Latn-ME"/>
        </w:rPr>
        <w:t xml:space="preserve">a </w:t>
      </w:r>
      <w:r w:rsidR="009722E1" w:rsidRPr="00BD78F9">
        <w:rPr>
          <w:sz w:val="22"/>
          <w:lang w:val="sr-Latn-ME"/>
        </w:rPr>
        <w:t xml:space="preserve">nivo </w:t>
      </w:r>
      <w:r w:rsidRPr="00BD78F9">
        <w:rPr>
          <w:sz w:val="22"/>
          <w:lang w:val="sr-Latn-ME"/>
        </w:rPr>
        <w:t xml:space="preserve">izloženosti je skoro 1,8 puta veći nego nakon </w:t>
      </w:r>
      <w:r w:rsidR="009722E1" w:rsidRPr="00BD78F9">
        <w:rPr>
          <w:sz w:val="22"/>
          <w:lang w:val="sr-Latn-ME"/>
        </w:rPr>
        <w:t xml:space="preserve">primjene </w:t>
      </w:r>
      <w:r w:rsidRPr="00BD78F9">
        <w:rPr>
          <w:sz w:val="22"/>
          <w:lang w:val="sr-Latn-ME"/>
        </w:rPr>
        <w:t>prve doze.</w:t>
      </w:r>
    </w:p>
    <w:p w14:paraId="06913557" w14:textId="77777777" w:rsidR="00B73F2A" w:rsidRPr="00BD78F9" w:rsidRDefault="00B73F2A">
      <w:pPr>
        <w:tabs>
          <w:tab w:val="left" w:pos="284"/>
        </w:tabs>
        <w:autoSpaceDE w:val="0"/>
        <w:autoSpaceDN w:val="0"/>
        <w:adjustRightInd w:val="0"/>
        <w:ind w:right="-23"/>
        <w:jc w:val="both"/>
        <w:rPr>
          <w:i/>
          <w:iCs/>
          <w:sz w:val="22"/>
          <w:lang w:val="sr-Latn-ME"/>
        </w:rPr>
      </w:pPr>
    </w:p>
    <w:p w14:paraId="0BB80461" w14:textId="77777777" w:rsidR="00B73F2A" w:rsidRPr="00BD78F9" w:rsidRDefault="00B73F2A">
      <w:pPr>
        <w:tabs>
          <w:tab w:val="left" w:pos="284"/>
        </w:tabs>
        <w:autoSpaceDE w:val="0"/>
        <w:autoSpaceDN w:val="0"/>
        <w:adjustRightInd w:val="0"/>
        <w:ind w:right="-20"/>
        <w:jc w:val="both"/>
        <w:rPr>
          <w:sz w:val="22"/>
          <w:lang w:val="sr-Latn-ME"/>
        </w:rPr>
      </w:pPr>
      <w:r w:rsidRPr="00BD78F9">
        <w:rPr>
          <w:i/>
          <w:iCs/>
          <w:sz w:val="22"/>
          <w:lang w:val="sr-Latn-ME"/>
        </w:rPr>
        <w:t>Formoterol</w:t>
      </w:r>
    </w:p>
    <w:p w14:paraId="2D8CB270" w14:textId="0F577923" w:rsidR="00B73F2A" w:rsidRPr="00BD78F9" w:rsidRDefault="00B73F2A">
      <w:pPr>
        <w:tabs>
          <w:tab w:val="left" w:pos="284"/>
        </w:tabs>
        <w:autoSpaceDE w:val="0"/>
        <w:autoSpaceDN w:val="0"/>
        <w:adjustRightInd w:val="0"/>
        <w:ind w:right="48"/>
        <w:jc w:val="both"/>
        <w:rPr>
          <w:sz w:val="22"/>
          <w:lang w:val="sr-Latn-ME"/>
        </w:rPr>
      </w:pPr>
      <w:r w:rsidRPr="00BD78F9">
        <w:rPr>
          <w:sz w:val="22"/>
          <w:lang w:val="sr-Latn-ME"/>
        </w:rPr>
        <w:t xml:space="preserve">Nakon inhaliranja </w:t>
      </w:r>
      <w:r w:rsidRPr="00BD78F9">
        <w:rPr>
          <w:sz w:val="22"/>
          <w:szCs w:val="22"/>
          <w:lang w:val="sr-Latn-ME"/>
        </w:rPr>
        <w:t xml:space="preserve">ovog </w:t>
      </w:r>
      <w:r w:rsidR="004D0E29" w:rsidRPr="00BD78F9">
        <w:rPr>
          <w:sz w:val="22"/>
          <w:szCs w:val="22"/>
          <w:lang w:val="sr-Latn-ME"/>
        </w:rPr>
        <w:t xml:space="preserve">lijeka </w:t>
      </w:r>
      <w:r w:rsidRPr="00BD78F9">
        <w:rPr>
          <w:sz w:val="22"/>
          <w:lang w:val="sr-Latn-ME"/>
        </w:rPr>
        <w:t>kod osoba sa HOBP, C</w:t>
      </w:r>
      <w:r w:rsidRPr="00BD78F9">
        <w:rPr>
          <w:sz w:val="16"/>
          <w:szCs w:val="16"/>
          <w:lang w:val="sr-Latn-ME"/>
        </w:rPr>
        <w:t xml:space="preserve">max </w:t>
      </w:r>
      <w:r w:rsidRPr="00BD78F9">
        <w:rPr>
          <w:sz w:val="22"/>
          <w:lang w:val="sr-Latn-ME"/>
        </w:rPr>
        <w:t xml:space="preserve">formoterol </w:t>
      </w:r>
      <w:r w:rsidR="009722E1" w:rsidRPr="00BD78F9">
        <w:rPr>
          <w:sz w:val="22"/>
          <w:lang w:val="sr-Latn-ME"/>
        </w:rPr>
        <w:t>dostignuto je</w:t>
      </w:r>
      <w:r w:rsidRPr="00BD78F9">
        <w:rPr>
          <w:sz w:val="22"/>
          <w:lang w:val="sr-Latn-ME"/>
        </w:rPr>
        <w:t xml:space="preserve"> u roku od 40 do 60 minuta. </w:t>
      </w:r>
      <w:r w:rsidR="009722E1" w:rsidRPr="00BD78F9">
        <w:rPr>
          <w:sz w:val="22"/>
          <w:lang w:val="sr-Latn-ME"/>
        </w:rPr>
        <w:t>Stanje dinamičke ravnoteže</w:t>
      </w:r>
      <w:r w:rsidRPr="00BD78F9">
        <w:rPr>
          <w:sz w:val="22"/>
          <w:lang w:val="sr-Latn-ME"/>
        </w:rPr>
        <w:t xml:space="preserve"> se postiže nakon približno 2 dana ponovljenog doziranja </w:t>
      </w:r>
      <w:r w:rsidRPr="00BD78F9">
        <w:rPr>
          <w:sz w:val="22"/>
          <w:szCs w:val="22"/>
          <w:lang w:val="sr-Latn-ME"/>
        </w:rPr>
        <w:t xml:space="preserve">ovog </w:t>
      </w:r>
      <w:r w:rsidR="004D0E29" w:rsidRPr="00BD78F9">
        <w:rPr>
          <w:sz w:val="22"/>
          <w:szCs w:val="22"/>
          <w:lang w:val="sr-Latn-ME"/>
        </w:rPr>
        <w:t xml:space="preserve">lijeka </w:t>
      </w:r>
      <w:r w:rsidRPr="00BD78F9">
        <w:rPr>
          <w:sz w:val="22"/>
          <w:lang w:val="sr-Latn-ME"/>
        </w:rPr>
        <w:t xml:space="preserve">a </w:t>
      </w:r>
      <w:r w:rsidR="009722E1" w:rsidRPr="00BD78F9">
        <w:rPr>
          <w:sz w:val="22"/>
          <w:lang w:val="sr-Latn-ME"/>
        </w:rPr>
        <w:t xml:space="preserve">nivo </w:t>
      </w:r>
      <w:r w:rsidRPr="00BD78F9">
        <w:rPr>
          <w:sz w:val="22"/>
          <w:lang w:val="sr-Latn-ME"/>
        </w:rPr>
        <w:t xml:space="preserve">izloženosti je skoro 1,4 puta veći nego nakon </w:t>
      </w:r>
      <w:r w:rsidR="00706B5E" w:rsidRPr="00BD78F9">
        <w:rPr>
          <w:sz w:val="22"/>
          <w:lang w:val="sr-Latn-ME"/>
        </w:rPr>
        <w:t xml:space="preserve">primjene </w:t>
      </w:r>
      <w:r w:rsidRPr="00BD78F9">
        <w:rPr>
          <w:sz w:val="22"/>
          <w:lang w:val="sr-Latn-ME"/>
        </w:rPr>
        <w:t>prve doze.</w:t>
      </w:r>
    </w:p>
    <w:p w14:paraId="09A64B2E" w14:textId="77777777" w:rsidR="00B73F2A" w:rsidRPr="00BD78F9" w:rsidRDefault="00B73F2A">
      <w:pPr>
        <w:tabs>
          <w:tab w:val="left" w:pos="284"/>
        </w:tabs>
        <w:jc w:val="both"/>
        <w:rPr>
          <w:b/>
          <w:bCs/>
          <w:iCs/>
          <w:sz w:val="22"/>
          <w:lang w:val="sr-Latn-ME"/>
        </w:rPr>
      </w:pPr>
    </w:p>
    <w:p w14:paraId="4B9EEB0B" w14:textId="77777777" w:rsidR="00B73F2A" w:rsidRPr="00BD78F9" w:rsidRDefault="00B73F2A">
      <w:pPr>
        <w:tabs>
          <w:tab w:val="left" w:pos="284"/>
        </w:tabs>
        <w:jc w:val="both"/>
        <w:rPr>
          <w:bCs/>
          <w:i/>
          <w:iCs/>
          <w:sz w:val="22"/>
          <w:u w:val="single"/>
          <w:lang w:val="sr-Latn-ME"/>
        </w:rPr>
      </w:pPr>
      <w:r w:rsidRPr="00BD78F9">
        <w:rPr>
          <w:sz w:val="22"/>
          <w:u w:val="single"/>
          <w:lang w:val="sr-Latn-ME"/>
        </w:rPr>
        <w:t>Distribucija</w:t>
      </w:r>
    </w:p>
    <w:p w14:paraId="2AABDBD7" w14:textId="77777777" w:rsidR="00B73F2A" w:rsidRPr="00BD78F9" w:rsidRDefault="00B73F2A">
      <w:pPr>
        <w:tabs>
          <w:tab w:val="left" w:pos="284"/>
        </w:tabs>
        <w:autoSpaceDE w:val="0"/>
        <w:autoSpaceDN w:val="0"/>
        <w:adjustRightInd w:val="0"/>
        <w:ind w:right="-23"/>
        <w:jc w:val="both"/>
        <w:rPr>
          <w:i/>
          <w:iCs/>
          <w:sz w:val="22"/>
          <w:lang w:val="sr-Latn-ME"/>
        </w:rPr>
      </w:pPr>
    </w:p>
    <w:p w14:paraId="1E1D8E97" w14:textId="77777777" w:rsidR="00B73F2A" w:rsidRPr="00BD78F9" w:rsidRDefault="00B73F2A">
      <w:pPr>
        <w:tabs>
          <w:tab w:val="left" w:pos="284"/>
        </w:tabs>
        <w:autoSpaceDE w:val="0"/>
        <w:autoSpaceDN w:val="0"/>
        <w:adjustRightInd w:val="0"/>
        <w:ind w:right="-20"/>
        <w:jc w:val="both"/>
        <w:rPr>
          <w:i/>
          <w:iCs/>
          <w:sz w:val="22"/>
          <w:lang w:val="sr-Latn-ME"/>
        </w:rPr>
      </w:pPr>
      <w:r w:rsidRPr="00BD78F9">
        <w:rPr>
          <w:i/>
          <w:iCs/>
          <w:sz w:val="22"/>
          <w:lang w:val="sr-Latn-ME"/>
        </w:rPr>
        <w:t>Budesonid</w:t>
      </w:r>
    </w:p>
    <w:p w14:paraId="6EF3F545" w14:textId="29CEF532" w:rsidR="00B73F2A" w:rsidRPr="00BD78F9" w:rsidRDefault="00B73F2A">
      <w:pPr>
        <w:tabs>
          <w:tab w:val="left" w:pos="284"/>
        </w:tabs>
        <w:autoSpaceDE w:val="0"/>
        <w:autoSpaceDN w:val="0"/>
        <w:adjustRightInd w:val="0"/>
        <w:ind w:right="-14"/>
        <w:jc w:val="both"/>
        <w:rPr>
          <w:sz w:val="22"/>
          <w:lang w:val="sr-Latn-ME"/>
        </w:rPr>
      </w:pPr>
      <w:r w:rsidRPr="00BD78F9">
        <w:rPr>
          <w:sz w:val="22"/>
          <w:lang w:val="sr-Latn-ME"/>
        </w:rPr>
        <w:t>Na osnovu populacione farmakokinetičke analize, proc</w:t>
      </w:r>
      <w:r w:rsidR="00706B5E" w:rsidRPr="00BD78F9">
        <w:rPr>
          <w:sz w:val="22"/>
          <w:lang w:val="sr-Latn-ME"/>
        </w:rPr>
        <w:t>ij</w:t>
      </w:r>
      <w:r w:rsidRPr="00BD78F9">
        <w:rPr>
          <w:sz w:val="22"/>
          <w:lang w:val="sr-Latn-ME"/>
        </w:rPr>
        <w:t xml:space="preserve">enjeni prividni volumen distribucije budesonida u stanju </w:t>
      </w:r>
      <w:r w:rsidR="00C17465" w:rsidRPr="00BD78F9">
        <w:rPr>
          <w:sz w:val="22"/>
          <w:lang w:val="sr-Latn-ME"/>
        </w:rPr>
        <w:t xml:space="preserve">dinamičke ravnoteže </w:t>
      </w:r>
      <w:r w:rsidRPr="00BD78F9">
        <w:rPr>
          <w:sz w:val="22"/>
          <w:lang w:val="sr-Latn-ME"/>
        </w:rPr>
        <w:t xml:space="preserve">iznosi 1200 l. Približno 90% budesonida vezuje se za proteine u plazmi. </w:t>
      </w:r>
    </w:p>
    <w:p w14:paraId="20153DAC" w14:textId="77777777" w:rsidR="00B73F2A" w:rsidRPr="00BD78F9" w:rsidRDefault="00B73F2A">
      <w:pPr>
        <w:tabs>
          <w:tab w:val="left" w:pos="284"/>
        </w:tabs>
        <w:autoSpaceDE w:val="0"/>
        <w:autoSpaceDN w:val="0"/>
        <w:adjustRightInd w:val="0"/>
        <w:ind w:right="-23"/>
        <w:jc w:val="both"/>
        <w:rPr>
          <w:i/>
          <w:iCs/>
          <w:sz w:val="22"/>
          <w:lang w:val="sr-Latn-ME"/>
        </w:rPr>
      </w:pPr>
    </w:p>
    <w:p w14:paraId="69EBAEA6" w14:textId="77777777" w:rsidR="00B73F2A" w:rsidRPr="00BD78F9" w:rsidRDefault="00B73F2A">
      <w:pPr>
        <w:tabs>
          <w:tab w:val="left" w:pos="284"/>
        </w:tabs>
        <w:autoSpaceDE w:val="0"/>
        <w:autoSpaceDN w:val="0"/>
        <w:adjustRightInd w:val="0"/>
        <w:ind w:right="-20"/>
        <w:jc w:val="both"/>
        <w:rPr>
          <w:sz w:val="22"/>
          <w:lang w:val="sr-Latn-ME"/>
        </w:rPr>
      </w:pPr>
      <w:r w:rsidRPr="00BD78F9">
        <w:rPr>
          <w:i/>
          <w:iCs/>
          <w:sz w:val="22"/>
          <w:lang w:val="sr-Latn-ME"/>
        </w:rPr>
        <w:t>Glikopironijum</w:t>
      </w:r>
    </w:p>
    <w:p w14:paraId="1197F4DE" w14:textId="03A14051" w:rsidR="00B73F2A" w:rsidRPr="00BD78F9" w:rsidRDefault="00B73F2A">
      <w:pPr>
        <w:tabs>
          <w:tab w:val="left" w:pos="284"/>
        </w:tabs>
        <w:autoSpaceDE w:val="0"/>
        <w:autoSpaceDN w:val="0"/>
        <w:adjustRightInd w:val="0"/>
        <w:jc w:val="both"/>
        <w:rPr>
          <w:color w:val="000000"/>
          <w:sz w:val="22"/>
          <w:lang w:val="sr-Latn-ME"/>
        </w:rPr>
      </w:pPr>
      <w:r w:rsidRPr="00BD78F9">
        <w:rPr>
          <w:sz w:val="22"/>
          <w:lang w:val="sr-Latn-ME"/>
        </w:rPr>
        <w:t>Na osnovu populacione farmakokinetičke analize, proc</w:t>
      </w:r>
      <w:r w:rsidR="00C17465" w:rsidRPr="00BD78F9">
        <w:rPr>
          <w:sz w:val="22"/>
          <w:lang w:val="sr-Latn-ME"/>
        </w:rPr>
        <w:t>ij</w:t>
      </w:r>
      <w:r w:rsidRPr="00BD78F9">
        <w:rPr>
          <w:sz w:val="22"/>
          <w:lang w:val="sr-Latn-ME"/>
        </w:rPr>
        <w:t xml:space="preserve">enjeni prividni volumen distribucije glikopironijuma u stanju </w:t>
      </w:r>
      <w:r w:rsidR="00C17465" w:rsidRPr="00BD78F9">
        <w:rPr>
          <w:sz w:val="22"/>
          <w:lang w:val="sr-Latn-ME"/>
        </w:rPr>
        <w:t xml:space="preserve">dinamičke ravnoteže </w:t>
      </w:r>
      <w:r w:rsidRPr="00BD78F9">
        <w:rPr>
          <w:sz w:val="22"/>
          <w:lang w:val="sr-Latn-ME"/>
        </w:rPr>
        <w:t>iznosi 5500 l</w:t>
      </w:r>
      <w:r w:rsidRPr="00BD78F9">
        <w:rPr>
          <w:color w:val="000000"/>
          <w:sz w:val="22"/>
          <w:lang w:val="sr-Latn-ME"/>
        </w:rPr>
        <w:t>.</w:t>
      </w:r>
      <w:r w:rsidRPr="00BD78F9">
        <w:rPr>
          <w:rFonts w:ascii="TimesNewRoman" w:hAnsi="TimesNewRoman"/>
          <w:color w:val="000000"/>
          <w:sz w:val="18"/>
          <w:szCs w:val="18"/>
          <w:lang w:val="sr-Latn-ME"/>
        </w:rPr>
        <w:t xml:space="preserve"> </w:t>
      </w:r>
      <w:r w:rsidRPr="00BD78F9">
        <w:rPr>
          <w:color w:val="000000"/>
          <w:sz w:val="22"/>
          <w:lang w:val="sr-Latn-ME"/>
        </w:rPr>
        <w:t>U rasponu koncentracija od 2 do 500 nmol/l vezivanje glikopironijuma za proteine u plazmi kretalo se između 43% i 54%.</w:t>
      </w:r>
    </w:p>
    <w:p w14:paraId="6F80BBF1" w14:textId="77777777" w:rsidR="00C17465" w:rsidRPr="00BD78F9" w:rsidRDefault="00C17465">
      <w:pPr>
        <w:tabs>
          <w:tab w:val="left" w:pos="284"/>
        </w:tabs>
        <w:autoSpaceDE w:val="0"/>
        <w:autoSpaceDN w:val="0"/>
        <w:adjustRightInd w:val="0"/>
        <w:ind w:right="-20"/>
        <w:jc w:val="both"/>
        <w:rPr>
          <w:i/>
          <w:iCs/>
          <w:color w:val="000000"/>
          <w:sz w:val="22"/>
          <w:lang w:val="sr-Latn-ME"/>
        </w:rPr>
      </w:pPr>
    </w:p>
    <w:p w14:paraId="5A5A7A09" w14:textId="11511AE0" w:rsidR="00B73F2A" w:rsidRPr="00BD78F9" w:rsidRDefault="00B73F2A">
      <w:pPr>
        <w:tabs>
          <w:tab w:val="left" w:pos="284"/>
        </w:tabs>
        <w:autoSpaceDE w:val="0"/>
        <w:autoSpaceDN w:val="0"/>
        <w:adjustRightInd w:val="0"/>
        <w:ind w:right="-20"/>
        <w:jc w:val="both"/>
        <w:rPr>
          <w:color w:val="000000"/>
          <w:sz w:val="22"/>
          <w:lang w:val="sr-Latn-ME"/>
        </w:rPr>
      </w:pPr>
      <w:r w:rsidRPr="00BD78F9">
        <w:rPr>
          <w:i/>
          <w:iCs/>
          <w:color w:val="000000"/>
          <w:sz w:val="22"/>
          <w:lang w:val="sr-Latn-ME"/>
        </w:rPr>
        <w:t>Formoterol</w:t>
      </w:r>
    </w:p>
    <w:p w14:paraId="5C089118" w14:textId="5C2D27A6" w:rsidR="00B73F2A" w:rsidRPr="00BD78F9" w:rsidRDefault="00B73F2A">
      <w:pPr>
        <w:tabs>
          <w:tab w:val="left" w:pos="284"/>
        </w:tabs>
        <w:autoSpaceDE w:val="0"/>
        <w:autoSpaceDN w:val="0"/>
        <w:adjustRightInd w:val="0"/>
        <w:ind w:right="52"/>
        <w:jc w:val="both"/>
        <w:rPr>
          <w:color w:val="000000"/>
          <w:sz w:val="22"/>
          <w:lang w:val="sr-Latn-ME"/>
        </w:rPr>
      </w:pPr>
      <w:r w:rsidRPr="00BD78F9">
        <w:rPr>
          <w:sz w:val="22"/>
          <w:lang w:val="sr-Latn-ME"/>
        </w:rPr>
        <w:lastRenderedPageBreak/>
        <w:t>Na osnovu populacione farmakokinetičke analize, proc</w:t>
      </w:r>
      <w:r w:rsidR="00C602CE" w:rsidRPr="00BD78F9">
        <w:rPr>
          <w:sz w:val="22"/>
          <w:lang w:val="sr-Latn-ME"/>
        </w:rPr>
        <w:t>j</w:t>
      </w:r>
      <w:r w:rsidRPr="00BD78F9">
        <w:rPr>
          <w:sz w:val="22"/>
          <w:lang w:val="sr-Latn-ME"/>
        </w:rPr>
        <w:t>enjeni prividni volumen distribucije formoterola u stanju</w:t>
      </w:r>
      <w:r w:rsidR="00C17465" w:rsidRPr="00BD78F9">
        <w:rPr>
          <w:sz w:val="22"/>
          <w:lang w:val="sr-Latn-ME"/>
        </w:rPr>
        <w:t xml:space="preserve"> dinamičke ravnoteže</w:t>
      </w:r>
      <w:r w:rsidRPr="00BD78F9">
        <w:rPr>
          <w:sz w:val="22"/>
          <w:lang w:val="sr-Latn-ME"/>
        </w:rPr>
        <w:t xml:space="preserve"> iznosi 2400 l</w:t>
      </w:r>
      <w:r w:rsidRPr="00BD78F9">
        <w:rPr>
          <w:color w:val="000000"/>
          <w:sz w:val="22"/>
          <w:lang w:val="sr-Latn-ME"/>
        </w:rPr>
        <w:t xml:space="preserve">. U rasponu koncentracija od 10 do 500 nmol/l vezivanje formoterola za proteine u plazmi kretalo se između 46% i 58%. </w:t>
      </w:r>
    </w:p>
    <w:p w14:paraId="4FB34027" w14:textId="77777777" w:rsidR="00B73F2A" w:rsidRPr="00BD78F9" w:rsidRDefault="00B73F2A">
      <w:pPr>
        <w:tabs>
          <w:tab w:val="left" w:pos="284"/>
        </w:tabs>
        <w:jc w:val="both"/>
        <w:rPr>
          <w:b/>
          <w:bCs/>
          <w:iCs/>
          <w:sz w:val="22"/>
          <w:lang w:val="sr-Latn-ME"/>
        </w:rPr>
      </w:pPr>
    </w:p>
    <w:p w14:paraId="2AB0EA5E" w14:textId="77777777" w:rsidR="00B73F2A" w:rsidRPr="00BD78F9" w:rsidRDefault="00B73F2A">
      <w:pPr>
        <w:tabs>
          <w:tab w:val="left" w:pos="284"/>
        </w:tabs>
        <w:jc w:val="both"/>
        <w:rPr>
          <w:b/>
          <w:bCs/>
          <w:i/>
          <w:iCs/>
          <w:sz w:val="22"/>
          <w:lang w:val="sr-Latn-ME"/>
        </w:rPr>
      </w:pPr>
      <w:r w:rsidRPr="00BD78F9">
        <w:rPr>
          <w:sz w:val="22"/>
          <w:u w:val="single"/>
          <w:lang w:val="sr-Latn-ME"/>
        </w:rPr>
        <w:t>Biotransformacija</w:t>
      </w:r>
    </w:p>
    <w:p w14:paraId="601BD597" w14:textId="77777777" w:rsidR="00B73F2A" w:rsidRPr="00BD78F9" w:rsidRDefault="00B73F2A">
      <w:pPr>
        <w:tabs>
          <w:tab w:val="left" w:pos="284"/>
        </w:tabs>
        <w:autoSpaceDE w:val="0"/>
        <w:autoSpaceDN w:val="0"/>
        <w:adjustRightInd w:val="0"/>
        <w:ind w:right="-23"/>
        <w:jc w:val="both"/>
        <w:rPr>
          <w:i/>
          <w:iCs/>
          <w:sz w:val="22"/>
          <w:lang w:val="sr-Latn-ME"/>
        </w:rPr>
      </w:pPr>
    </w:p>
    <w:p w14:paraId="26DDD999" w14:textId="77777777" w:rsidR="00B73F2A" w:rsidRPr="00BD78F9" w:rsidRDefault="00B73F2A">
      <w:pPr>
        <w:tabs>
          <w:tab w:val="left" w:pos="284"/>
        </w:tabs>
        <w:autoSpaceDE w:val="0"/>
        <w:autoSpaceDN w:val="0"/>
        <w:adjustRightInd w:val="0"/>
        <w:ind w:right="-20"/>
        <w:jc w:val="both"/>
        <w:rPr>
          <w:i/>
          <w:iCs/>
          <w:sz w:val="22"/>
          <w:lang w:val="sr-Latn-ME"/>
        </w:rPr>
      </w:pPr>
      <w:r w:rsidRPr="00BD78F9">
        <w:rPr>
          <w:i/>
          <w:iCs/>
          <w:sz w:val="22"/>
          <w:lang w:val="sr-Latn-ME"/>
        </w:rPr>
        <w:t>Budesonid</w:t>
      </w:r>
    </w:p>
    <w:p w14:paraId="27F190F5" w14:textId="41C65C0E" w:rsidR="00B73F2A" w:rsidRPr="00BD78F9" w:rsidRDefault="00B73F2A">
      <w:pPr>
        <w:tabs>
          <w:tab w:val="left" w:pos="284"/>
        </w:tabs>
        <w:autoSpaceDE w:val="0"/>
        <w:autoSpaceDN w:val="0"/>
        <w:adjustRightInd w:val="0"/>
        <w:ind w:right="-14"/>
        <w:jc w:val="both"/>
        <w:rPr>
          <w:sz w:val="22"/>
          <w:lang w:val="sr-Latn-ME"/>
        </w:rPr>
      </w:pPr>
      <w:r w:rsidRPr="00BD78F9">
        <w:rPr>
          <w:sz w:val="22"/>
          <w:lang w:val="sr-Latn-ME"/>
        </w:rPr>
        <w:t>Budesonid se pri prvom prolasku kroz jetru u značajnoj m</w:t>
      </w:r>
      <w:r w:rsidR="00C602CE" w:rsidRPr="00BD78F9">
        <w:rPr>
          <w:sz w:val="22"/>
          <w:lang w:val="sr-Latn-ME"/>
        </w:rPr>
        <w:t>j</w:t>
      </w:r>
      <w:r w:rsidRPr="00BD78F9">
        <w:rPr>
          <w:sz w:val="22"/>
          <w:lang w:val="sr-Latn-ME"/>
        </w:rPr>
        <w:t>eri (približno 90%) biotransformiše u metabolite male glukokortikosteroidne aktivnosti. Glukokortikosteroidna aktivnost njegovih glavnih metabolita, 6-β-hidroksibudesonida i 16</w:t>
      </w:r>
      <w:r w:rsidRPr="00BD78F9">
        <w:rPr>
          <w:rFonts w:ascii="Symbol" w:hAnsi="Symbol"/>
          <w:sz w:val="22"/>
          <w:lang w:val="sr-Latn-ME"/>
        </w:rPr>
        <w:t></w:t>
      </w:r>
      <w:r w:rsidRPr="00BD78F9">
        <w:rPr>
          <w:sz w:val="22"/>
          <w:lang w:val="sr-Latn-ME"/>
        </w:rPr>
        <w:t>-hidroksiprednizolona, iznosi manje od 1% aktivnosti budesonida.</w:t>
      </w:r>
    </w:p>
    <w:p w14:paraId="7952E0B1" w14:textId="77777777" w:rsidR="00B73F2A" w:rsidRPr="00BD78F9" w:rsidRDefault="00B73F2A">
      <w:pPr>
        <w:tabs>
          <w:tab w:val="left" w:pos="284"/>
        </w:tabs>
        <w:autoSpaceDE w:val="0"/>
        <w:autoSpaceDN w:val="0"/>
        <w:adjustRightInd w:val="0"/>
        <w:ind w:right="-23"/>
        <w:jc w:val="both"/>
        <w:rPr>
          <w:i/>
          <w:iCs/>
          <w:sz w:val="22"/>
          <w:lang w:val="sr-Latn-ME"/>
        </w:rPr>
      </w:pPr>
    </w:p>
    <w:p w14:paraId="7B82D065" w14:textId="77777777" w:rsidR="00B73F2A" w:rsidRPr="00BD78F9" w:rsidRDefault="00B73F2A">
      <w:pPr>
        <w:tabs>
          <w:tab w:val="left" w:pos="284"/>
        </w:tabs>
        <w:autoSpaceDE w:val="0"/>
        <w:autoSpaceDN w:val="0"/>
        <w:adjustRightInd w:val="0"/>
        <w:ind w:right="-20"/>
        <w:jc w:val="both"/>
        <w:rPr>
          <w:i/>
          <w:iCs/>
          <w:sz w:val="22"/>
          <w:lang w:val="sr-Latn-ME"/>
        </w:rPr>
      </w:pPr>
      <w:r w:rsidRPr="00BD78F9">
        <w:rPr>
          <w:i/>
          <w:iCs/>
          <w:sz w:val="22"/>
          <w:lang w:val="sr-Latn-ME"/>
        </w:rPr>
        <w:t>Glikopironijum</w:t>
      </w:r>
    </w:p>
    <w:p w14:paraId="6481BAAF" w14:textId="77777777" w:rsidR="00B73F2A" w:rsidRPr="00BD78F9" w:rsidRDefault="00B73F2A">
      <w:pPr>
        <w:tabs>
          <w:tab w:val="left" w:pos="284"/>
        </w:tabs>
        <w:autoSpaceDE w:val="0"/>
        <w:autoSpaceDN w:val="0"/>
        <w:adjustRightInd w:val="0"/>
        <w:ind w:right="-23"/>
        <w:jc w:val="both"/>
        <w:rPr>
          <w:sz w:val="22"/>
          <w:lang w:val="sr-Latn-ME"/>
        </w:rPr>
      </w:pPr>
      <w:r w:rsidRPr="00BD78F9">
        <w:rPr>
          <w:sz w:val="22"/>
          <w:lang w:val="sr-Latn-ME"/>
        </w:rPr>
        <w:t xml:space="preserve">Podaci iz literature i ispitivanja na ljudskim hepatocitima </w:t>
      </w:r>
      <w:r w:rsidRPr="00BD78F9">
        <w:rPr>
          <w:i/>
          <w:iCs/>
          <w:sz w:val="22"/>
          <w:lang w:val="sr-Latn-ME"/>
        </w:rPr>
        <w:t>in vitro</w:t>
      </w:r>
      <w:r w:rsidRPr="00BD78F9">
        <w:rPr>
          <w:sz w:val="22"/>
          <w:lang w:val="sr-Latn-ME"/>
        </w:rPr>
        <w:t xml:space="preserve"> pokazuju da metabolizam igra malu ulogu u ukupnoj eliminaciji glikopironijuma. Utvrđeno je da u metabolizmu glikopironijuma pretežno učestvuje enzim CYP2D6. </w:t>
      </w:r>
    </w:p>
    <w:p w14:paraId="5FE3BF7D" w14:textId="77777777" w:rsidR="00B73F2A" w:rsidRPr="00BD78F9" w:rsidRDefault="00B73F2A">
      <w:pPr>
        <w:tabs>
          <w:tab w:val="left" w:pos="284"/>
        </w:tabs>
        <w:autoSpaceDE w:val="0"/>
        <w:autoSpaceDN w:val="0"/>
        <w:adjustRightInd w:val="0"/>
        <w:ind w:right="-23"/>
        <w:jc w:val="both"/>
        <w:rPr>
          <w:i/>
          <w:iCs/>
          <w:sz w:val="22"/>
          <w:lang w:val="sr-Latn-ME"/>
        </w:rPr>
      </w:pPr>
    </w:p>
    <w:p w14:paraId="3F35F82D" w14:textId="77777777" w:rsidR="00B73F2A" w:rsidRPr="00BD78F9" w:rsidRDefault="00B73F2A">
      <w:pPr>
        <w:tabs>
          <w:tab w:val="left" w:pos="284"/>
        </w:tabs>
        <w:autoSpaceDE w:val="0"/>
        <w:autoSpaceDN w:val="0"/>
        <w:adjustRightInd w:val="0"/>
        <w:ind w:right="-20"/>
        <w:jc w:val="both"/>
        <w:rPr>
          <w:sz w:val="22"/>
          <w:lang w:val="sr-Latn-ME"/>
        </w:rPr>
      </w:pPr>
      <w:r w:rsidRPr="00BD78F9">
        <w:rPr>
          <w:i/>
          <w:iCs/>
          <w:sz w:val="22"/>
          <w:lang w:val="sr-Latn-ME"/>
        </w:rPr>
        <w:t>Formoterol</w:t>
      </w:r>
    </w:p>
    <w:p w14:paraId="147EA10E" w14:textId="4B56E0AF" w:rsidR="00B73F2A" w:rsidRPr="00BD78F9" w:rsidRDefault="00B73F2A">
      <w:pPr>
        <w:tabs>
          <w:tab w:val="left" w:pos="284"/>
        </w:tabs>
        <w:autoSpaceDE w:val="0"/>
        <w:autoSpaceDN w:val="0"/>
        <w:adjustRightInd w:val="0"/>
        <w:ind w:right="40"/>
        <w:jc w:val="both"/>
        <w:rPr>
          <w:sz w:val="22"/>
          <w:lang w:val="sr-Latn-ME"/>
        </w:rPr>
      </w:pPr>
      <w:r w:rsidRPr="00BD78F9">
        <w:rPr>
          <w:sz w:val="22"/>
          <w:lang w:val="sr-Latn-ME"/>
        </w:rPr>
        <w:t>Formoterol se prvenstveno metaboliše direktnom glukuronidacijom i O-demetilacijom, nakon kojih sl</w:t>
      </w:r>
      <w:r w:rsidR="00C33714" w:rsidRPr="00BD78F9">
        <w:rPr>
          <w:sz w:val="22"/>
          <w:lang w:val="sr-Latn-ME"/>
        </w:rPr>
        <w:t>ij</w:t>
      </w:r>
      <w:r w:rsidRPr="00BD78F9">
        <w:rPr>
          <w:sz w:val="22"/>
          <w:lang w:val="sr-Latn-ME"/>
        </w:rPr>
        <w:t>edi konjugacija u neaktivne metabolite. Sekundarni metabolički putevi uključuju deformilaciju i sulfokonjugaciju. Utvrđeno je da su za O-demetilaciju prvenstveno odgovorni CYP2D6 i CYP2C.</w:t>
      </w:r>
    </w:p>
    <w:p w14:paraId="58F54D3B" w14:textId="77777777" w:rsidR="00B73F2A" w:rsidRPr="00BD78F9" w:rsidRDefault="00B73F2A">
      <w:pPr>
        <w:tabs>
          <w:tab w:val="left" w:pos="284"/>
        </w:tabs>
        <w:jc w:val="both"/>
        <w:rPr>
          <w:b/>
          <w:bCs/>
          <w:iCs/>
          <w:sz w:val="22"/>
          <w:lang w:val="sr-Latn-ME"/>
        </w:rPr>
      </w:pPr>
    </w:p>
    <w:p w14:paraId="55A0C4A5" w14:textId="77777777" w:rsidR="00B73F2A" w:rsidRPr="00BD78F9" w:rsidRDefault="00B73F2A">
      <w:pPr>
        <w:tabs>
          <w:tab w:val="left" w:pos="284"/>
        </w:tabs>
        <w:jc w:val="both"/>
        <w:rPr>
          <w:bCs/>
          <w:i/>
          <w:iCs/>
          <w:sz w:val="22"/>
          <w:u w:val="single"/>
          <w:lang w:val="sr-Latn-ME"/>
        </w:rPr>
      </w:pPr>
      <w:r w:rsidRPr="00BD78F9">
        <w:rPr>
          <w:sz w:val="22"/>
          <w:u w:val="single"/>
          <w:lang w:val="sr-Latn-ME"/>
        </w:rPr>
        <w:t>Eliminacija</w:t>
      </w:r>
    </w:p>
    <w:p w14:paraId="13A4E395" w14:textId="77777777" w:rsidR="00B73F2A" w:rsidRPr="00BD78F9" w:rsidRDefault="00B73F2A">
      <w:pPr>
        <w:tabs>
          <w:tab w:val="left" w:pos="284"/>
        </w:tabs>
        <w:autoSpaceDE w:val="0"/>
        <w:autoSpaceDN w:val="0"/>
        <w:adjustRightInd w:val="0"/>
        <w:ind w:right="-23"/>
        <w:jc w:val="both"/>
        <w:rPr>
          <w:i/>
          <w:iCs/>
          <w:sz w:val="22"/>
          <w:lang w:val="sr-Latn-ME"/>
        </w:rPr>
      </w:pPr>
    </w:p>
    <w:p w14:paraId="37BB8559" w14:textId="77777777" w:rsidR="00B73F2A" w:rsidRPr="00BD78F9" w:rsidRDefault="00B73F2A">
      <w:pPr>
        <w:tabs>
          <w:tab w:val="left" w:pos="284"/>
        </w:tabs>
        <w:autoSpaceDE w:val="0"/>
        <w:autoSpaceDN w:val="0"/>
        <w:adjustRightInd w:val="0"/>
        <w:ind w:right="-20"/>
        <w:jc w:val="both"/>
        <w:rPr>
          <w:i/>
          <w:iCs/>
          <w:sz w:val="22"/>
          <w:lang w:val="sr-Latn-ME"/>
        </w:rPr>
      </w:pPr>
      <w:r w:rsidRPr="00BD78F9">
        <w:rPr>
          <w:i/>
          <w:iCs/>
          <w:sz w:val="22"/>
          <w:lang w:val="sr-Latn-ME"/>
        </w:rPr>
        <w:t>Budesonid</w:t>
      </w:r>
    </w:p>
    <w:p w14:paraId="2FF78658" w14:textId="5EF685C5" w:rsidR="00B73F2A" w:rsidRPr="00BD78F9" w:rsidRDefault="00B73F2A">
      <w:pPr>
        <w:tabs>
          <w:tab w:val="left" w:pos="284"/>
        </w:tabs>
        <w:autoSpaceDE w:val="0"/>
        <w:autoSpaceDN w:val="0"/>
        <w:adjustRightInd w:val="0"/>
        <w:ind w:right="-14"/>
        <w:jc w:val="both"/>
        <w:rPr>
          <w:color w:val="000000"/>
          <w:sz w:val="22"/>
          <w:lang w:val="sr-Latn-ME"/>
        </w:rPr>
      </w:pPr>
      <w:r w:rsidRPr="00BD78F9">
        <w:rPr>
          <w:sz w:val="22"/>
          <w:lang w:val="sr-Latn-ME"/>
        </w:rPr>
        <w:t xml:space="preserve">Budesonid se eliminiše metabolizmom koji prvenstveno katališe enzim CYP3A4. Metaboliti budesonida se izlučuju putem mokraće u izvornom ili konjugovanom obliku. U urinu su </w:t>
      </w:r>
      <w:r w:rsidR="004D0E29" w:rsidRPr="00BD78F9">
        <w:rPr>
          <w:sz w:val="22"/>
          <w:lang w:val="sr-Latn-ME"/>
        </w:rPr>
        <w:t>dete</w:t>
      </w:r>
      <w:r w:rsidRPr="00BD78F9">
        <w:rPr>
          <w:sz w:val="22"/>
          <w:lang w:val="sr-Latn-ME"/>
        </w:rPr>
        <w:t>ktovane samo neznatne količine neprom</w:t>
      </w:r>
      <w:r w:rsidR="00C33714" w:rsidRPr="00BD78F9">
        <w:rPr>
          <w:sz w:val="22"/>
          <w:lang w:val="sr-Latn-ME"/>
        </w:rPr>
        <w:t>ij</w:t>
      </w:r>
      <w:r w:rsidRPr="00BD78F9">
        <w:rPr>
          <w:sz w:val="22"/>
          <w:lang w:val="sr-Latn-ME"/>
        </w:rPr>
        <w:t>enjenog budesonida. Prema populacionoj farmakokinetičkoj analizi, efektivno terminalno polu</w:t>
      </w:r>
      <w:r w:rsidR="004D0E29" w:rsidRPr="00BD78F9">
        <w:rPr>
          <w:sz w:val="22"/>
          <w:lang w:val="sr-Latn-ME"/>
        </w:rPr>
        <w:t>vrijeme</w:t>
      </w:r>
      <w:r w:rsidRPr="00BD78F9">
        <w:rPr>
          <w:sz w:val="22"/>
          <w:lang w:val="sr-Latn-ME"/>
        </w:rPr>
        <w:t xml:space="preserve"> eliminacije budesonida je iznosilo 5 </w:t>
      </w:r>
      <w:r w:rsidRPr="00BD78F9">
        <w:rPr>
          <w:color w:val="000000"/>
          <w:sz w:val="22"/>
          <w:lang w:val="sr-Latn-ME"/>
        </w:rPr>
        <w:t>sati.</w:t>
      </w:r>
    </w:p>
    <w:p w14:paraId="45E99DBC" w14:textId="77777777" w:rsidR="00B73F2A" w:rsidRPr="00BD78F9" w:rsidRDefault="00B73F2A">
      <w:pPr>
        <w:tabs>
          <w:tab w:val="left" w:pos="284"/>
        </w:tabs>
        <w:autoSpaceDE w:val="0"/>
        <w:autoSpaceDN w:val="0"/>
        <w:adjustRightInd w:val="0"/>
        <w:ind w:right="-11"/>
        <w:jc w:val="both"/>
        <w:rPr>
          <w:sz w:val="22"/>
          <w:lang w:val="sr-Latn-ME"/>
        </w:rPr>
      </w:pPr>
    </w:p>
    <w:p w14:paraId="2E54FEE1" w14:textId="77777777" w:rsidR="00B73F2A" w:rsidRPr="00BD78F9" w:rsidRDefault="00B73F2A">
      <w:pPr>
        <w:tabs>
          <w:tab w:val="left" w:pos="284"/>
        </w:tabs>
        <w:autoSpaceDE w:val="0"/>
        <w:autoSpaceDN w:val="0"/>
        <w:adjustRightInd w:val="0"/>
        <w:ind w:right="-20"/>
        <w:jc w:val="both"/>
        <w:rPr>
          <w:i/>
          <w:iCs/>
          <w:sz w:val="22"/>
          <w:lang w:val="sr-Latn-ME"/>
        </w:rPr>
      </w:pPr>
      <w:r w:rsidRPr="00BD78F9">
        <w:rPr>
          <w:i/>
          <w:iCs/>
          <w:sz w:val="22"/>
          <w:lang w:val="sr-Latn-ME"/>
        </w:rPr>
        <w:t>Glikopironijum</w:t>
      </w:r>
    </w:p>
    <w:p w14:paraId="0DC2BF74" w14:textId="608B0EE8" w:rsidR="00B73F2A" w:rsidRPr="00BD78F9" w:rsidRDefault="00B73F2A">
      <w:pPr>
        <w:tabs>
          <w:tab w:val="left" w:pos="284"/>
        </w:tabs>
        <w:autoSpaceDE w:val="0"/>
        <w:autoSpaceDN w:val="0"/>
        <w:adjustRightInd w:val="0"/>
        <w:ind w:right="-11"/>
        <w:jc w:val="both"/>
        <w:rPr>
          <w:color w:val="000000"/>
          <w:sz w:val="22"/>
          <w:lang w:val="sr-Latn-ME"/>
        </w:rPr>
      </w:pPr>
      <w:r w:rsidRPr="00BD78F9">
        <w:rPr>
          <w:sz w:val="22"/>
          <w:lang w:val="sr-Latn-ME"/>
        </w:rPr>
        <w:t xml:space="preserve">Nakon intravenske </w:t>
      </w:r>
      <w:r w:rsidR="004D0E29" w:rsidRPr="00BD78F9">
        <w:rPr>
          <w:sz w:val="22"/>
          <w:lang w:val="sr-Latn-ME"/>
        </w:rPr>
        <w:t>primjene</w:t>
      </w:r>
      <w:r w:rsidRPr="00BD78F9">
        <w:rPr>
          <w:sz w:val="22"/>
          <w:lang w:val="sr-Latn-ME"/>
        </w:rPr>
        <w:t xml:space="preserve"> doze od 0,2 mg radioaktivno označenog glikopironijuma, 85% doze pronađeno je u urinu 48 sati nakon </w:t>
      </w:r>
      <w:r w:rsidR="004D0E29" w:rsidRPr="00BD78F9">
        <w:rPr>
          <w:sz w:val="22"/>
          <w:lang w:val="sr-Latn-ME"/>
        </w:rPr>
        <w:t>primjene</w:t>
      </w:r>
      <w:r w:rsidRPr="00BD78F9">
        <w:rPr>
          <w:sz w:val="22"/>
          <w:lang w:val="sr-Latn-ME"/>
        </w:rPr>
        <w:t>, a d</w:t>
      </w:r>
      <w:r w:rsidR="00C602CE" w:rsidRPr="00BD78F9">
        <w:rPr>
          <w:sz w:val="22"/>
          <w:lang w:val="sr-Latn-ME"/>
        </w:rPr>
        <w:t>i</w:t>
      </w:r>
      <w:r w:rsidRPr="00BD78F9">
        <w:rPr>
          <w:sz w:val="22"/>
          <w:lang w:val="sr-Latn-ME"/>
        </w:rPr>
        <w:t>o radioaktivnosti pronađen je i u žuči. Prema populacionoj farmakokinetičkoj analizi, efektivno terminalno polu</w:t>
      </w:r>
      <w:r w:rsidR="004D0E29" w:rsidRPr="00BD78F9">
        <w:rPr>
          <w:sz w:val="22"/>
          <w:lang w:val="sr-Latn-ME"/>
        </w:rPr>
        <w:t>vrijeme</w:t>
      </w:r>
      <w:r w:rsidRPr="00BD78F9">
        <w:rPr>
          <w:sz w:val="22"/>
          <w:lang w:val="sr-Latn-ME"/>
        </w:rPr>
        <w:t xml:space="preserve"> eliminacije glikopironijuma je iznosilo 15 </w:t>
      </w:r>
      <w:r w:rsidRPr="00BD78F9">
        <w:rPr>
          <w:color w:val="000000"/>
          <w:sz w:val="22"/>
          <w:lang w:val="sr-Latn-ME"/>
        </w:rPr>
        <w:t>sati.</w:t>
      </w:r>
    </w:p>
    <w:p w14:paraId="03378416" w14:textId="77777777" w:rsidR="00B73F2A" w:rsidRPr="00BD78F9" w:rsidRDefault="00B73F2A">
      <w:pPr>
        <w:tabs>
          <w:tab w:val="left" w:pos="284"/>
        </w:tabs>
        <w:autoSpaceDE w:val="0"/>
        <w:autoSpaceDN w:val="0"/>
        <w:adjustRightInd w:val="0"/>
        <w:ind w:right="-23"/>
        <w:jc w:val="both"/>
        <w:rPr>
          <w:i/>
          <w:iCs/>
          <w:sz w:val="22"/>
          <w:lang w:val="sr-Latn-ME"/>
        </w:rPr>
      </w:pPr>
    </w:p>
    <w:p w14:paraId="03D2E34A" w14:textId="77777777" w:rsidR="00B73F2A" w:rsidRPr="00BD78F9" w:rsidRDefault="00B73F2A">
      <w:pPr>
        <w:tabs>
          <w:tab w:val="left" w:pos="284"/>
        </w:tabs>
        <w:autoSpaceDE w:val="0"/>
        <w:autoSpaceDN w:val="0"/>
        <w:adjustRightInd w:val="0"/>
        <w:ind w:right="-20"/>
        <w:jc w:val="both"/>
        <w:rPr>
          <w:sz w:val="22"/>
          <w:lang w:val="sr-Latn-ME"/>
        </w:rPr>
      </w:pPr>
      <w:r w:rsidRPr="00BD78F9">
        <w:rPr>
          <w:i/>
          <w:iCs/>
          <w:sz w:val="22"/>
          <w:lang w:val="sr-Latn-ME"/>
        </w:rPr>
        <w:t>Formoterol</w:t>
      </w:r>
    </w:p>
    <w:p w14:paraId="4C663034" w14:textId="210B01CF" w:rsidR="00B73F2A" w:rsidRPr="00BD78F9" w:rsidRDefault="00B73F2A">
      <w:pPr>
        <w:tabs>
          <w:tab w:val="left" w:pos="284"/>
        </w:tabs>
        <w:autoSpaceDE w:val="0"/>
        <w:autoSpaceDN w:val="0"/>
        <w:adjustRightInd w:val="0"/>
        <w:spacing w:before="29"/>
        <w:ind w:right="121"/>
        <w:jc w:val="both"/>
        <w:rPr>
          <w:color w:val="000000"/>
          <w:sz w:val="22"/>
          <w:lang w:val="sr-Latn-ME"/>
        </w:rPr>
      </w:pPr>
      <w:r w:rsidRPr="00BD78F9">
        <w:rPr>
          <w:color w:val="000000"/>
          <w:sz w:val="22"/>
          <w:lang w:val="sr-Latn-ME"/>
        </w:rPr>
        <w:t xml:space="preserve">Izlučivanje formoterola ispitivano je kod šest zdravih osoba nakon </w:t>
      </w:r>
      <w:r w:rsidR="004D0E29" w:rsidRPr="00BD78F9">
        <w:rPr>
          <w:color w:val="000000"/>
          <w:sz w:val="22"/>
          <w:lang w:val="sr-Latn-ME"/>
        </w:rPr>
        <w:t>istovremene</w:t>
      </w:r>
      <w:r w:rsidRPr="00BD78F9">
        <w:rPr>
          <w:color w:val="000000"/>
          <w:sz w:val="22"/>
          <w:lang w:val="sr-Latn-ME"/>
        </w:rPr>
        <w:t xml:space="preserve"> oralne i intravenske </w:t>
      </w:r>
      <w:r w:rsidR="004D0E29" w:rsidRPr="00BD78F9">
        <w:rPr>
          <w:color w:val="000000"/>
          <w:sz w:val="22"/>
          <w:lang w:val="sr-Latn-ME"/>
        </w:rPr>
        <w:t>primjene</w:t>
      </w:r>
      <w:r w:rsidRPr="00BD78F9">
        <w:rPr>
          <w:color w:val="000000"/>
          <w:sz w:val="22"/>
          <w:lang w:val="sr-Latn-ME"/>
        </w:rPr>
        <w:t xml:space="preserve"> radioaktivno označenog formoterola. U toj studiji se 62% radioaktivno označenog formoterola izlučilo u urin, dok se 24% eliminisalo kroz feces. Prema populacionoj farmakokinetičkoj analizi, efektivno terminalno polu</w:t>
      </w:r>
      <w:r w:rsidR="004D0E29" w:rsidRPr="00BD78F9">
        <w:rPr>
          <w:color w:val="000000"/>
          <w:sz w:val="22"/>
          <w:lang w:val="sr-Latn-ME"/>
        </w:rPr>
        <w:t>vrijeme</w:t>
      </w:r>
      <w:r w:rsidRPr="00BD78F9">
        <w:rPr>
          <w:color w:val="000000"/>
          <w:sz w:val="22"/>
          <w:lang w:val="sr-Latn-ME"/>
        </w:rPr>
        <w:t xml:space="preserve"> eliminacije formoterola </w:t>
      </w:r>
      <w:r w:rsidRPr="00BD78F9">
        <w:rPr>
          <w:sz w:val="22"/>
          <w:lang w:val="sr-Latn-ME"/>
        </w:rPr>
        <w:t xml:space="preserve">iznosilo je 10 </w:t>
      </w:r>
      <w:r w:rsidRPr="00BD78F9">
        <w:rPr>
          <w:color w:val="000000"/>
          <w:sz w:val="22"/>
          <w:lang w:val="sr-Latn-ME"/>
        </w:rPr>
        <w:t>sati.</w:t>
      </w:r>
    </w:p>
    <w:p w14:paraId="07540CB5" w14:textId="77777777" w:rsidR="00B73F2A" w:rsidRPr="00BD78F9" w:rsidRDefault="00B73F2A">
      <w:pPr>
        <w:tabs>
          <w:tab w:val="left" w:pos="284"/>
        </w:tabs>
        <w:jc w:val="both"/>
        <w:rPr>
          <w:b/>
          <w:bCs/>
          <w:i/>
          <w:iCs/>
          <w:sz w:val="22"/>
          <w:lang w:val="sr-Latn-ME"/>
        </w:rPr>
      </w:pPr>
    </w:p>
    <w:p w14:paraId="3E782D6F" w14:textId="77777777" w:rsidR="00B73F2A" w:rsidRPr="00BD78F9" w:rsidRDefault="00B73F2A">
      <w:pPr>
        <w:tabs>
          <w:tab w:val="left" w:pos="284"/>
        </w:tabs>
        <w:jc w:val="both"/>
        <w:rPr>
          <w:bCs/>
          <w:i/>
          <w:iCs/>
          <w:sz w:val="22"/>
          <w:u w:val="single"/>
          <w:lang w:val="sr-Latn-ME"/>
        </w:rPr>
      </w:pPr>
      <w:r w:rsidRPr="00BD78F9">
        <w:rPr>
          <w:sz w:val="22"/>
          <w:u w:val="single"/>
          <w:lang w:val="sr-Latn-ME"/>
        </w:rPr>
        <w:t>Posebne populacije</w:t>
      </w:r>
    </w:p>
    <w:p w14:paraId="2373BF36" w14:textId="77777777" w:rsidR="00B73F2A" w:rsidRPr="00BD78F9" w:rsidRDefault="00B73F2A">
      <w:pPr>
        <w:tabs>
          <w:tab w:val="left" w:pos="284"/>
        </w:tabs>
        <w:autoSpaceDE w:val="0"/>
        <w:autoSpaceDN w:val="0"/>
        <w:adjustRightInd w:val="0"/>
        <w:ind w:right="-20"/>
        <w:jc w:val="both"/>
        <w:rPr>
          <w:i/>
          <w:iCs/>
          <w:position w:val="-1"/>
          <w:sz w:val="22"/>
          <w:lang w:val="sr-Latn-ME"/>
        </w:rPr>
      </w:pPr>
    </w:p>
    <w:p w14:paraId="2A7B43D3" w14:textId="19209FC9" w:rsidR="00B73F2A" w:rsidRPr="00BD78F9" w:rsidRDefault="00B73F2A">
      <w:pPr>
        <w:tabs>
          <w:tab w:val="left" w:pos="284"/>
        </w:tabs>
        <w:autoSpaceDE w:val="0"/>
        <w:autoSpaceDN w:val="0"/>
        <w:adjustRightInd w:val="0"/>
        <w:ind w:right="-20"/>
        <w:jc w:val="both"/>
        <w:rPr>
          <w:color w:val="000000"/>
          <w:sz w:val="16"/>
          <w:szCs w:val="16"/>
          <w:u w:val="single"/>
          <w:lang w:val="sr-Latn-ME"/>
        </w:rPr>
      </w:pPr>
      <w:r w:rsidRPr="00BD78F9">
        <w:rPr>
          <w:i/>
          <w:iCs/>
          <w:sz w:val="22"/>
          <w:u w:val="single"/>
          <w:lang w:val="sr-Latn-ME"/>
        </w:rPr>
        <w:t>Uzrast, pol, rasa/etničko por</w:t>
      </w:r>
      <w:r w:rsidR="00C33714" w:rsidRPr="00BD78F9">
        <w:rPr>
          <w:i/>
          <w:iCs/>
          <w:sz w:val="22"/>
          <w:u w:val="single"/>
          <w:lang w:val="sr-Latn-ME"/>
        </w:rPr>
        <w:t>ij</w:t>
      </w:r>
      <w:r w:rsidRPr="00BD78F9">
        <w:rPr>
          <w:i/>
          <w:iCs/>
          <w:sz w:val="22"/>
          <w:u w:val="single"/>
          <w:lang w:val="sr-Latn-ME"/>
        </w:rPr>
        <w:t>eklo i t</w:t>
      </w:r>
      <w:r w:rsidR="00C602CE" w:rsidRPr="00BD78F9">
        <w:rPr>
          <w:i/>
          <w:iCs/>
          <w:sz w:val="22"/>
          <w:u w:val="single"/>
          <w:lang w:val="sr-Latn-ME"/>
        </w:rPr>
        <w:t>j</w:t>
      </w:r>
      <w:r w:rsidRPr="00BD78F9">
        <w:rPr>
          <w:i/>
          <w:iCs/>
          <w:sz w:val="22"/>
          <w:u w:val="single"/>
          <w:lang w:val="sr-Latn-ME"/>
        </w:rPr>
        <w:t>elesna masa</w:t>
      </w:r>
    </w:p>
    <w:p w14:paraId="55E5BAE3" w14:textId="77777777" w:rsidR="00B73F2A" w:rsidRPr="00BD78F9" w:rsidRDefault="00B73F2A">
      <w:pPr>
        <w:tabs>
          <w:tab w:val="left" w:pos="284"/>
        </w:tabs>
        <w:autoSpaceDE w:val="0"/>
        <w:autoSpaceDN w:val="0"/>
        <w:adjustRightInd w:val="0"/>
        <w:ind w:right="563"/>
        <w:jc w:val="both"/>
        <w:rPr>
          <w:color w:val="000000"/>
          <w:sz w:val="22"/>
          <w:lang w:val="sr-Latn-ME"/>
        </w:rPr>
      </w:pPr>
    </w:p>
    <w:p w14:paraId="693F6A02" w14:textId="3276BB7F" w:rsidR="00B73F2A" w:rsidRPr="00BD78F9" w:rsidRDefault="00B73F2A" w:rsidP="00271855">
      <w:pPr>
        <w:tabs>
          <w:tab w:val="left" w:pos="284"/>
        </w:tabs>
        <w:autoSpaceDE w:val="0"/>
        <w:autoSpaceDN w:val="0"/>
        <w:adjustRightInd w:val="0"/>
        <w:ind w:right="142"/>
        <w:jc w:val="both"/>
        <w:rPr>
          <w:color w:val="000000"/>
          <w:sz w:val="22"/>
          <w:lang w:val="sr-Latn-ME"/>
        </w:rPr>
      </w:pPr>
      <w:r w:rsidRPr="00BD78F9">
        <w:rPr>
          <w:color w:val="000000"/>
          <w:sz w:val="22"/>
          <w:lang w:val="sr-Latn-ME"/>
        </w:rPr>
        <w:t xml:space="preserve">Podešavanja doze </w:t>
      </w:r>
      <w:r w:rsidR="004D0E29" w:rsidRPr="00BD78F9">
        <w:rPr>
          <w:color w:val="000000"/>
          <w:sz w:val="22"/>
          <w:lang w:val="sr-Latn-ME"/>
        </w:rPr>
        <w:t>nijesu</w:t>
      </w:r>
      <w:r w:rsidRPr="00BD78F9">
        <w:rPr>
          <w:color w:val="000000"/>
          <w:sz w:val="22"/>
          <w:lang w:val="sr-Latn-ME"/>
        </w:rPr>
        <w:t xml:space="preserve"> neophodna na osnovu </w:t>
      </w:r>
      <w:r w:rsidR="00C33714" w:rsidRPr="00BD78F9">
        <w:rPr>
          <w:color w:val="000000"/>
          <w:sz w:val="22"/>
          <w:lang w:val="sr-Latn-ME"/>
        </w:rPr>
        <w:t xml:space="preserve">uticaja </w:t>
      </w:r>
      <w:r w:rsidRPr="00BD78F9">
        <w:rPr>
          <w:color w:val="000000"/>
          <w:sz w:val="22"/>
          <w:lang w:val="sr-Latn-ME"/>
        </w:rPr>
        <w:t>uzrasta, pola ili t</w:t>
      </w:r>
      <w:r w:rsidR="00C602CE" w:rsidRPr="00BD78F9">
        <w:rPr>
          <w:color w:val="000000"/>
          <w:sz w:val="22"/>
          <w:lang w:val="sr-Latn-ME"/>
        </w:rPr>
        <w:t>j</w:t>
      </w:r>
      <w:r w:rsidRPr="00BD78F9">
        <w:rPr>
          <w:color w:val="000000"/>
          <w:sz w:val="22"/>
          <w:lang w:val="sr-Latn-ME"/>
        </w:rPr>
        <w:t>elesne mase na farmakokinetičke parametre budesonida, glikopironijuma i formoterola. Nije bilo značajnih razlika u ukupnoj sistemskoj izloženosti (AUC) svim komponentama između zdravih osoba iz Japana, Kine i zapadnih zemalja. Nije dostupno dovoljno farmakokinetičkih podataka za druge etničke grupe ili rase.</w:t>
      </w:r>
    </w:p>
    <w:p w14:paraId="40D2BCDF" w14:textId="77777777" w:rsidR="00B73F2A" w:rsidRPr="00BD78F9" w:rsidRDefault="00B73F2A" w:rsidP="00A52822">
      <w:pPr>
        <w:tabs>
          <w:tab w:val="left" w:pos="284"/>
        </w:tabs>
        <w:jc w:val="both"/>
        <w:rPr>
          <w:b/>
          <w:bCs/>
          <w:i/>
          <w:iCs/>
          <w:sz w:val="22"/>
          <w:lang w:val="sr-Latn-ME"/>
        </w:rPr>
      </w:pPr>
    </w:p>
    <w:p w14:paraId="6FA4914C" w14:textId="77777777" w:rsidR="00B73F2A" w:rsidRPr="00BD78F9" w:rsidRDefault="00B73F2A">
      <w:pPr>
        <w:tabs>
          <w:tab w:val="left" w:pos="284"/>
        </w:tabs>
        <w:jc w:val="both"/>
        <w:rPr>
          <w:bCs/>
          <w:i/>
          <w:iCs/>
          <w:sz w:val="22"/>
          <w:u w:val="single"/>
          <w:lang w:val="sr-Latn-ME"/>
        </w:rPr>
      </w:pPr>
      <w:r w:rsidRPr="00BD78F9">
        <w:rPr>
          <w:i/>
          <w:iCs/>
          <w:sz w:val="22"/>
          <w:u w:val="single"/>
          <w:lang w:val="sr-Latn-ME"/>
        </w:rPr>
        <w:t>Oštećenje funkcije jetre</w:t>
      </w:r>
    </w:p>
    <w:p w14:paraId="17670C18" w14:textId="07B9DD44" w:rsidR="00B73F2A" w:rsidRPr="00BD78F9" w:rsidRDefault="004D0E29">
      <w:pPr>
        <w:tabs>
          <w:tab w:val="left" w:pos="284"/>
        </w:tabs>
        <w:autoSpaceDE w:val="0"/>
        <w:autoSpaceDN w:val="0"/>
        <w:adjustRightInd w:val="0"/>
        <w:ind w:right="35"/>
        <w:jc w:val="both"/>
        <w:rPr>
          <w:color w:val="000000"/>
          <w:sz w:val="22"/>
          <w:lang w:val="sr-Latn-ME"/>
        </w:rPr>
      </w:pPr>
      <w:r w:rsidRPr="00BD78F9">
        <w:rPr>
          <w:color w:val="000000"/>
          <w:sz w:val="22"/>
          <w:lang w:val="sr-Latn-ME"/>
        </w:rPr>
        <w:t>Nijesu</w:t>
      </w:r>
      <w:r w:rsidR="00B73F2A" w:rsidRPr="00BD78F9">
        <w:rPr>
          <w:color w:val="000000"/>
          <w:sz w:val="22"/>
          <w:lang w:val="sr-Latn-ME"/>
        </w:rPr>
        <w:t xml:space="preserve"> sprovedene studije farmakokinetike </w:t>
      </w:r>
      <w:r w:rsidR="00B73F2A" w:rsidRPr="00BD78F9">
        <w:rPr>
          <w:sz w:val="22"/>
          <w:szCs w:val="22"/>
          <w:lang w:val="sr-Latn-ME"/>
        </w:rPr>
        <w:t xml:space="preserve">ovog </w:t>
      </w:r>
      <w:r w:rsidRPr="00BD78F9">
        <w:rPr>
          <w:sz w:val="22"/>
          <w:szCs w:val="22"/>
          <w:lang w:val="sr-Latn-ME"/>
        </w:rPr>
        <w:t xml:space="preserve">lijeka </w:t>
      </w:r>
      <w:r w:rsidR="00B73F2A" w:rsidRPr="00BD78F9">
        <w:rPr>
          <w:color w:val="000000"/>
          <w:sz w:val="22"/>
          <w:lang w:val="sr-Latn-ME"/>
        </w:rPr>
        <w:t>kod pacijenata sa oštećenjem funkcije jetre. Međutim, pošto se i budesonid i formoterol prvenstveno eliminišu jetrenim metabolizmom, kod pacijenata sa teškim oštećenjem funkcije jetre može se očekivati povećana izloženost. Glikopironijum se uklanja iz sistemske cirkulacije prvenstveno bubrežnim izlučivanjem, pa se ne očekuje da bi oštećenje funkcije jetre moglo uticati na sistemsku izloženost.</w:t>
      </w:r>
    </w:p>
    <w:p w14:paraId="6747B561" w14:textId="77777777" w:rsidR="00B73F2A" w:rsidRPr="00BD78F9" w:rsidRDefault="00B73F2A">
      <w:pPr>
        <w:tabs>
          <w:tab w:val="left" w:pos="284"/>
        </w:tabs>
        <w:jc w:val="both"/>
        <w:rPr>
          <w:b/>
          <w:bCs/>
          <w:i/>
          <w:iCs/>
          <w:sz w:val="22"/>
          <w:lang w:val="sr-Latn-ME"/>
        </w:rPr>
      </w:pPr>
    </w:p>
    <w:p w14:paraId="45064113" w14:textId="77777777" w:rsidR="00B73F2A" w:rsidRPr="00BD78F9" w:rsidRDefault="00B73F2A">
      <w:pPr>
        <w:tabs>
          <w:tab w:val="left" w:pos="284"/>
        </w:tabs>
        <w:jc w:val="both"/>
        <w:rPr>
          <w:bCs/>
          <w:i/>
          <w:iCs/>
          <w:sz w:val="22"/>
          <w:u w:val="single"/>
          <w:lang w:val="sr-Latn-ME"/>
        </w:rPr>
      </w:pPr>
      <w:r w:rsidRPr="00BD78F9">
        <w:rPr>
          <w:i/>
          <w:iCs/>
          <w:sz w:val="22"/>
          <w:u w:val="single"/>
          <w:lang w:val="sr-Latn-ME"/>
        </w:rPr>
        <w:t>Oštećenje funkcije bubrega</w:t>
      </w:r>
    </w:p>
    <w:p w14:paraId="1BFB52E4" w14:textId="2FA3474C" w:rsidR="00B73F2A" w:rsidRPr="00BD78F9" w:rsidRDefault="004D0E29">
      <w:pPr>
        <w:tabs>
          <w:tab w:val="left" w:pos="284"/>
        </w:tabs>
        <w:autoSpaceDE w:val="0"/>
        <w:autoSpaceDN w:val="0"/>
        <w:adjustRightInd w:val="0"/>
        <w:jc w:val="both"/>
        <w:rPr>
          <w:color w:val="000000"/>
          <w:spacing w:val="59"/>
          <w:sz w:val="22"/>
          <w:lang w:val="sr-Latn-ME"/>
        </w:rPr>
      </w:pPr>
      <w:r w:rsidRPr="00BD78F9">
        <w:rPr>
          <w:color w:val="000000"/>
          <w:sz w:val="22"/>
          <w:lang w:val="sr-Latn-ME"/>
        </w:rPr>
        <w:t>Nijesu</w:t>
      </w:r>
      <w:r w:rsidR="00B73F2A" w:rsidRPr="00BD78F9">
        <w:rPr>
          <w:color w:val="000000"/>
          <w:sz w:val="22"/>
          <w:lang w:val="sr-Latn-ME"/>
        </w:rPr>
        <w:t xml:space="preserve"> sprovedene studije uticaja oštećenja funkcije bubrega na farmakokinetiku budesonida, glikopironijuma i formoterola. </w:t>
      </w:r>
    </w:p>
    <w:p w14:paraId="13A7B844" w14:textId="77777777" w:rsidR="00B73F2A" w:rsidRPr="00BD78F9" w:rsidRDefault="00B73F2A">
      <w:pPr>
        <w:tabs>
          <w:tab w:val="left" w:pos="284"/>
        </w:tabs>
        <w:autoSpaceDE w:val="0"/>
        <w:autoSpaceDN w:val="0"/>
        <w:adjustRightInd w:val="0"/>
        <w:jc w:val="both"/>
        <w:rPr>
          <w:color w:val="000000"/>
          <w:spacing w:val="59"/>
          <w:sz w:val="22"/>
          <w:lang w:val="sr-Latn-ME"/>
        </w:rPr>
      </w:pPr>
    </w:p>
    <w:p w14:paraId="2454CE77" w14:textId="7B8F0E58" w:rsidR="00B73F2A" w:rsidRPr="00BD78F9" w:rsidRDefault="00B73F2A">
      <w:pPr>
        <w:numPr>
          <w:ilvl w:val="12"/>
          <w:numId w:val="0"/>
        </w:numPr>
        <w:tabs>
          <w:tab w:val="left" w:pos="284"/>
        </w:tabs>
        <w:ind w:right="-2"/>
        <w:jc w:val="both"/>
        <w:rPr>
          <w:spacing w:val="-1"/>
          <w:sz w:val="22"/>
          <w:lang w:val="sr-Latn-ME"/>
        </w:rPr>
      </w:pPr>
      <w:r w:rsidRPr="00BD78F9">
        <w:rPr>
          <w:sz w:val="22"/>
          <w:lang w:val="sr-Latn-ME"/>
        </w:rPr>
        <w:t>U populacionoj farmakokinetičkoj analizi oc</w:t>
      </w:r>
      <w:r w:rsidR="00C602CE" w:rsidRPr="00BD78F9">
        <w:rPr>
          <w:sz w:val="22"/>
          <w:lang w:val="sr-Latn-ME"/>
        </w:rPr>
        <w:t>j</w:t>
      </w:r>
      <w:r w:rsidRPr="00BD78F9">
        <w:rPr>
          <w:sz w:val="22"/>
          <w:lang w:val="sr-Latn-ME"/>
        </w:rPr>
        <w:t>enjivan je uticaj oštećenja funkcije bubrega na izloženost budesonidu, glikopironijumu i formoterolu tokom perioda do 24 ned</w:t>
      </w:r>
      <w:r w:rsidR="00C33714" w:rsidRPr="00BD78F9">
        <w:rPr>
          <w:sz w:val="22"/>
          <w:lang w:val="sr-Latn-ME"/>
        </w:rPr>
        <w:t>j</w:t>
      </w:r>
      <w:r w:rsidRPr="00BD78F9">
        <w:rPr>
          <w:sz w:val="22"/>
          <w:lang w:val="sr-Latn-ME"/>
        </w:rPr>
        <w:t>elje. Proc</w:t>
      </w:r>
      <w:r w:rsidR="00C33714" w:rsidRPr="00BD78F9">
        <w:rPr>
          <w:sz w:val="22"/>
          <w:lang w:val="sr-Latn-ME"/>
        </w:rPr>
        <w:t>ij</w:t>
      </w:r>
      <w:r w:rsidRPr="00BD78F9">
        <w:rPr>
          <w:sz w:val="22"/>
          <w:lang w:val="sr-Latn-ME"/>
        </w:rPr>
        <w:t>enjena brzina glomerularne filtracije (eGFR) kretala se od 31 do 192 ml/min</w:t>
      </w:r>
      <w:r w:rsidRPr="00BD78F9">
        <w:rPr>
          <w:sz w:val="16"/>
          <w:szCs w:val="16"/>
          <w:lang w:val="sr-Latn-ME"/>
        </w:rPr>
        <w:t xml:space="preserve"> </w:t>
      </w:r>
      <w:r w:rsidRPr="00BD78F9">
        <w:rPr>
          <w:sz w:val="22"/>
          <w:lang w:val="sr-Latn-ME"/>
        </w:rPr>
        <w:t>, što predstavlja raspon od um</w:t>
      </w:r>
      <w:r w:rsidR="00C602CE" w:rsidRPr="00BD78F9">
        <w:rPr>
          <w:sz w:val="22"/>
          <w:lang w:val="sr-Latn-ME"/>
        </w:rPr>
        <w:t>j</w:t>
      </w:r>
      <w:r w:rsidRPr="00BD78F9">
        <w:rPr>
          <w:sz w:val="22"/>
          <w:lang w:val="sr-Latn-ME"/>
        </w:rPr>
        <w:t>erenog oštećenja do normalne funkcije bubrega. Simulacija sistemske izloženosti (AUC</w:t>
      </w:r>
      <w:r w:rsidRPr="00BD78F9">
        <w:rPr>
          <w:sz w:val="16"/>
          <w:szCs w:val="16"/>
          <w:lang w:val="sr-Latn-ME"/>
        </w:rPr>
        <w:t>0–12</w:t>
      </w:r>
      <w:r w:rsidRPr="00BD78F9">
        <w:rPr>
          <w:sz w:val="22"/>
          <w:lang w:val="sr-Latn-ME"/>
        </w:rPr>
        <w:t xml:space="preserve">) pokazuje da je kod osoba sa HOBP i </w:t>
      </w:r>
      <w:r w:rsidR="004D0E29" w:rsidRPr="00BD78F9">
        <w:rPr>
          <w:sz w:val="22"/>
          <w:lang w:val="sr-Latn-ME"/>
        </w:rPr>
        <w:t>umjerenim</w:t>
      </w:r>
      <w:r w:rsidRPr="00BD78F9">
        <w:rPr>
          <w:sz w:val="22"/>
          <w:lang w:val="sr-Latn-ME"/>
        </w:rPr>
        <w:t xml:space="preserve"> oštećenjem funkcije bubrega (eGFR: 45 m</w:t>
      </w:r>
      <w:r w:rsidR="00C33714" w:rsidRPr="00BD78F9">
        <w:rPr>
          <w:sz w:val="22"/>
          <w:lang w:val="sr-Latn-ME"/>
        </w:rPr>
        <w:t>l</w:t>
      </w:r>
      <w:r w:rsidRPr="00BD78F9">
        <w:rPr>
          <w:sz w:val="22"/>
          <w:lang w:val="sr-Latn-ME"/>
        </w:rPr>
        <w:t>/min) sistemska izloženost glikopironijumu približno 68% veća nego kod osoba sa HOBP i normalnom funkcijom bubrega (eGFR &gt; 90 m</w:t>
      </w:r>
      <w:r w:rsidR="00C33714" w:rsidRPr="00BD78F9">
        <w:rPr>
          <w:sz w:val="22"/>
          <w:lang w:val="sr-Latn-ME"/>
        </w:rPr>
        <w:t>l</w:t>
      </w:r>
      <w:r w:rsidRPr="00BD78F9">
        <w:rPr>
          <w:sz w:val="22"/>
          <w:lang w:val="sr-Latn-ME"/>
        </w:rPr>
        <w:t>/min). Utvrđeno je da bubrežna funkcija ne utiče na izloženost budesonidu ili formoterolu. Kod osoba sa HOBP koje imaju i malu t</w:t>
      </w:r>
      <w:r w:rsidR="00C602CE" w:rsidRPr="00BD78F9">
        <w:rPr>
          <w:sz w:val="22"/>
          <w:lang w:val="sr-Latn-ME"/>
        </w:rPr>
        <w:t>j</w:t>
      </w:r>
      <w:r w:rsidRPr="00BD78F9">
        <w:rPr>
          <w:sz w:val="22"/>
          <w:lang w:val="sr-Latn-ME"/>
        </w:rPr>
        <w:t>elesnu masu i um</w:t>
      </w:r>
      <w:r w:rsidR="00C602CE" w:rsidRPr="00BD78F9">
        <w:rPr>
          <w:sz w:val="22"/>
          <w:lang w:val="sr-Latn-ME"/>
        </w:rPr>
        <w:t>j</w:t>
      </w:r>
      <w:r w:rsidRPr="00BD78F9">
        <w:rPr>
          <w:sz w:val="22"/>
          <w:lang w:val="sr-Latn-ME"/>
        </w:rPr>
        <w:t>ereno do teško oštećenje funkcije bubrega moguća je približno dvostruko veća sistemska izloženost glikopironijumu.</w:t>
      </w:r>
    </w:p>
    <w:p w14:paraId="60BE78BC" w14:textId="77777777" w:rsidR="0072020E" w:rsidRPr="00BD78F9" w:rsidRDefault="0072020E" w:rsidP="00480FB1">
      <w:pPr>
        <w:tabs>
          <w:tab w:val="left" w:pos="540"/>
          <w:tab w:val="left" w:pos="569"/>
        </w:tabs>
        <w:rPr>
          <w:bCs/>
          <w:sz w:val="22"/>
          <w:szCs w:val="22"/>
          <w:lang w:val="sr-Latn-ME"/>
        </w:rPr>
      </w:pPr>
    </w:p>
    <w:p w14:paraId="062A9CB7" w14:textId="77777777" w:rsidR="0072020E" w:rsidRPr="00BD78F9" w:rsidRDefault="0072020E" w:rsidP="00271855">
      <w:pPr>
        <w:tabs>
          <w:tab w:val="left" w:pos="540"/>
          <w:tab w:val="left" w:pos="569"/>
        </w:tabs>
        <w:jc w:val="both"/>
        <w:rPr>
          <w:b/>
          <w:bCs/>
          <w:sz w:val="22"/>
          <w:szCs w:val="22"/>
          <w:lang w:val="sr-Latn-ME"/>
        </w:rPr>
      </w:pPr>
      <w:r w:rsidRPr="00BD78F9">
        <w:rPr>
          <w:b/>
          <w:bCs/>
          <w:sz w:val="22"/>
          <w:szCs w:val="22"/>
          <w:lang w:val="sr-Latn-ME"/>
        </w:rPr>
        <w:t xml:space="preserve">5.3. </w:t>
      </w:r>
      <w:r w:rsidR="00480FB1" w:rsidRPr="00BD78F9">
        <w:rPr>
          <w:b/>
          <w:bCs/>
          <w:sz w:val="22"/>
          <w:szCs w:val="22"/>
          <w:lang w:val="sr-Latn-ME"/>
        </w:rPr>
        <w:tab/>
      </w:r>
      <w:r w:rsidRPr="00BD78F9">
        <w:rPr>
          <w:b/>
          <w:bCs/>
          <w:sz w:val="22"/>
          <w:szCs w:val="22"/>
          <w:lang w:val="sr-Latn-ME"/>
        </w:rPr>
        <w:t xml:space="preserve">Pretklinički podaci o bezbjednosti </w:t>
      </w:r>
    </w:p>
    <w:p w14:paraId="2BCAD8D8" w14:textId="77777777" w:rsidR="00836B35" w:rsidRPr="00BD78F9" w:rsidRDefault="00836B35" w:rsidP="00271855">
      <w:pPr>
        <w:tabs>
          <w:tab w:val="left" w:pos="540"/>
          <w:tab w:val="left" w:pos="569"/>
        </w:tabs>
        <w:jc w:val="both"/>
        <w:rPr>
          <w:bCs/>
          <w:sz w:val="22"/>
          <w:szCs w:val="22"/>
          <w:lang w:val="sr-Latn-ME"/>
        </w:rPr>
      </w:pPr>
    </w:p>
    <w:p w14:paraId="498807A2" w14:textId="3A264BA4" w:rsidR="00B73F2A" w:rsidRPr="00BD78F9" w:rsidRDefault="00C33714" w:rsidP="000A71FF">
      <w:pPr>
        <w:tabs>
          <w:tab w:val="left" w:pos="284"/>
        </w:tabs>
        <w:jc w:val="both"/>
        <w:rPr>
          <w:noProof/>
          <w:sz w:val="22"/>
          <w:szCs w:val="22"/>
          <w:lang w:val="sr-Latn-ME"/>
        </w:rPr>
      </w:pPr>
      <w:r w:rsidRPr="00BD78F9">
        <w:rPr>
          <w:noProof/>
          <w:sz w:val="22"/>
          <w:szCs w:val="22"/>
          <w:lang w:val="sr-Latn-ME"/>
        </w:rPr>
        <w:t>Pret</w:t>
      </w:r>
      <w:r w:rsidR="00B73F2A" w:rsidRPr="00BD78F9">
        <w:rPr>
          <w:noProof/>
          <w:sz w:val="22"/>
          <w:szCs w:val="22"/>
          <w:lang w:val="sr-Latn-ME"/>
        </w:rPr>
        <w:t>klinički podaci ne ukazuju na poseban rizik za ljude na osnovu konvencionalnih studija bezb</w:t>
      </w:r>
      <w:r w:rsidR="00C602CE" w:rsidRPr="00BD78F9">
        <w:rPr>
          <w:noProof/>
          <w:sz w:val="22"/>
          <w:szCs w:val="22"/>
          <w:lang w:val="sr-Latn-ME"/>
        </w:rPr>
        <w:t>j</w:t>
      </w:r>
      <w:r w:rsidR="00B73F2A" w:rsidRPr="00BD78F9">
        <w:rPr>
          <w:noProof/>
          <w:sz w:val="22"/>
          <w:szCs w:val="22"/>
          <w:lang w:val="sr-Latn-ME"/>
        </w:rPr>
        <w:t>ednosne farmakologije, toksičnosti ponovljenih doza, genotoksičnosti i karcinogenog potencijala.</w:t>
      </w:r>
    </w:p>
    <w:p w14:paraId="0299BC2E" w14:textId="77777777" w:rsidR="00B73F2A" w:rsidRPr="00BD78F9" w:rsidRDefault="00B73F2A" w:rsidP="007019B9">
      <w:pPr>
        <w:tabs>
          <w:tab w:val="left" w:pos="284"/>
        </w:tabs>
        <w:jc w:val="both"/>
        <w:rPr>
          <w:i/>
          <w:noProof/>
          <w:sz w:val="22"/>
          <w:szCs w:val="22"/>
          <w:lang w:val="sr-Latn-ME"/>
        </w:rPr>
      </w:pPr>
    </w:p>
    <w:p w14:paraId="5ED4DA85" w14:textId="72C3ED0E" w:rsidR="00B73F2A" w:rsidRPr="00BD78F9" w:rsidRDefault="004D0E29" w:rsidP="00A52822">
      <w:pPr>
        <w:tabs>
          <w:tab w:val="left" w:pos="284"/>
        </w:tabs>
        <w:jc w:val="both"/>
        <w:rPr>
          <w:noProof/>
          <w:sz w:val="22"/>
          <w:szCs w:val="22"/>
          <w:lang w:val="sr-Latn-ME"/>
        </w:rPr>
      </w:pPr>
      <w:r w:rsidRPr="00BD78F9">
        <w:rPr>
          <w:noProof/>
          <w:sz w:val="22"/>
          <w:szCs w:val="22"/>
          <w:lang w:val="sr-Latn-ME"/>
        </w:rPr>
        <w:t>Nijesu</w:t>
      </w:r>
      <w:r w:rsidR="00B73F2A" w:rsidRPr="00BD78F9">
        <w:rPr>
          <w:noProof/>
          <w:sz w:val="22"/>
          <w:szCs w:val="22"/>
          <w:lang w:val="sr-Latn-ME"/>
        </w:rPr>
        <w:t xml:space="preserve"> sprovedene studije genotoksičnosti, karcinogenog potencijala ni reproduktivne i razvojne toksičnosti kombinacije budesonida, glikopironijuma i formoterola.</w:t>
      </w:r>
    </w:p>
    <w:p w14:paraId="26D007CC" w14:textId="77777777" w:rsidR="00B73F2A" w:rsidRPr="00BD78F9" w:rsidRDefault="00B73F2A">
      <w:pPr>
        <w:tabs>
          <w:tab w:val="left" w:pos="284"/>
        </w:tabs>
        <w:jc w:val="both"/>
        <w:rPr>
          <w:noProof/>
          <w:sz w:val="22"/>
          <w:szCs w:val="22"/>
          <w:lang w:val="sr-Latn-ME"/>
        </w:rPr>
      </w:pPr>
    </w:p>
    <w:p w14:paraId="15C7E1AC" w14:textId="36C5D943" w:rsidR="00B73F2A" w:rsidRPr="00BD78F9" w:rsidRDefault="00B73F2A">
      <w:pPr>
        <w:tabs>
          <w:tab w:val="left" w:pos="284"/>
        </w:tabs>
        <w:jc w:val="both"/>
        <w:rPr>
          <w:noProof/>
          <w:sz w:val="22"/>
          <w:szCs w:val="22"/>
          <w:lang w:val="sr-Latn-ME"/>
        </w:rPr>
      </w:pPr>
      <w:r w:rsidRPr="00BD78F9">
        <w:rPr>
          <w:noProof/>
          <w:sz w:val="22"/>
          <w:szCs w:val="22"/>
          <w:lang w:val="sr-Latn-ME"/>
        </w:rPr>
        <w:t>U studijama dejstva na reprodukciju životinja pokazalo se da glukokortikosteroidi poput budesonida uzrokuju malformacije (rasc</w:t>
      </w:r>
      <w:r w:rsidR="00C33714" w:rsidRPr="00BD78F9">
        <w:rPr>
          <w:noProof/>
          <w:sz w:val="22"/>
          <w:szCs w:val="22"/>
          <w:lang w:val="sr-Latn-ME"/>
        </w:rPr>
        <w:t>j</w:t>
      </w:r>
      <w:r w:rsidRPr="00BD78F9">
        <w:rPr>
          <w:noProof/>
          <w:sz w:val="22"/>
          <w:szCs w:val="22"/>
          <w:lang w:val="sr-Latn-ME"/>
        </w:rPr>
        <w:t xml:space="preserve">ep nepca, malformacije skeleta). Međutim, ti rezultati eksperimentalnih ispitivanja na životinjama </w:t>
      </w:r>
      <w:r w:rsidR="004D0E29" w:rsidRPr="00BD78F9">
        <w:rPr>
          <w:noProof/>
          <w:sz w:val="22"/>
          <w:szCs w:val="22"/>
          <w:lang w:val="sr-Latn-ME"/>
        </w:rPr>
        <w:t>nijesu</w:t>
      </w:r>
      <w:r w:rsidRPr="00BD78F9">
        <w:rPr>
          <w:noProof/>
          <w:sz w:val="22"/>
          <w:szCs w:val="22"/>
          <w:lang w:val="sr-Latn-ME"/>
        </w:rPr>
        <w:t xml:space="preserve"> značajni za ljude koji primaju preporučene doze </w:t>
      </w:r>
      <w:r w:rsidR="004D0E29" w:rsidRPr="00BD78F9">
        <w:rPr>
          <w:noProof/>
          <w:sz w:val="22"/>
          <w:szCs w:val="22"/>
          <w:lang w:val="sr-Latn-ME"/>
        </w:rPr>
        <w:t xml:space="preserve">lijeka </w:t>
      </w:r>
      <w:r w:rsidRPr="00BD78F9">
        <w:rPr>
          <w:noProof/>
          <w:sz w:val="22"/>
          <w:szCs w:val="22"/>
          <w:lang w:val="sr-Latn-ME"/>
        </w:rPr>
        <w:t>(</w:t>
      </w:r>
      <w:r w:rsidR="004D0E29" w:rsidRPr="00BD78F9">
        <w:rPr>
          <w:noProof/>
          <w:sz w:val="22"/>
          <w:szCs w:val="22"/>
          <w:lang w:val="sr-Latn-ME"/>
        </w:rPr>
        <w:t>vidjeti</w:t>
      </w:r>
      <w:r w:rsidRPr="00BD78F9">
        <w:rPr>
          <w:noProof/>
          <w:sz w:val="22"/>
          <w:szCs w:val="22"/>
          <w:lang w:val="sr-Latn-ME"/>
        </w:rPr>
        <w:t xml:space="preserve"> </w:t>
      </w:r>
      <w:r w:rsidR="004D0E29" w:rsidRPr="00BD78F9">
        <w:rPr>
          <w:noProof/>
          <w:sz w:val="22"/>
          <w:szCs w:val="22"/>
          <w:lang w:val="sr-Latn-ME"/>
        </w:rPr>
        <w:t>odjeljak</w:t>
      </w:r>
      <w:r w:rsidRPr="00BD78F9">
        <w:rPr>
          <w:noProof/>
          <w:sz w:val="22"/>
          <w:szCs w:val="22"/>
          <w:lang w:val="sr-Latn-ME"/>
        </w:rPr>
        <w:t xml:space="preserve"> 4.6). Budesonid nije pokazao tumorogeni potencijal kod miševa. Kod pacova je zab</w:t>
      </w:r>
      <w:r w:rsidR="00C33714" w:rsidRPr="00BD78F9">
        <w:rPr>
          <w:noProof/>
          <w:sz w:val="22"/>
          <w:szCs w:val="22"/>
          <w:lang w:val="sr-Latn-ME"/>
        </w:rPr>
        <w:t>i</w:t>
      </w:r>
      <w:r w:rsidRPr="00BD78F9">
        <w:rPr>
          <w:noProof/>
          <w:sz w:val="22"/>
          <w:szCs w:val="22"/>
          <w:lang w:val="sr-Latn-ME"/>
        </w:rPr>
        <w:t>l</w:t>
      </w:r>
      <w:r w:rsidR="00C33714" w:rsidRPr="00BD78F9">
        <w:rPr>
          <w:noProof/>
          <w:sz w:val="22"/>
          <w:szCs w:val="22"/>
          <w:lang w:val="sr-Latn-ME"/>
        </w:rPr>
        <w:t>j</w:t>
      </w:r>
      <w:r w:rsidRPr="00BD78F9">
        <w:rPr>
          <w:noProof/>
          <w:sz w:val="22"/>
          <w:szCs w:val="22"/>
          <w:lang w:val="sr-Latn-ME"/>
        </w:rPr>
        <w:t xml:space="preserve">ežena povećana incidenca hepatocelularnih tumora, što se smatra </w:t>
      </w:r>
      <w:r w:rsidR="007276D8" w:rsidRPr="00BD78F9">
        <w:rPr>
          <w:noProof/>
          <w:sz w:val="22"/>
          <w:szCs w:val="22"/>
          <w:lang w:val="sr-Latn-ME"/>
        </w:rPr>
        <w:t>efektom grupe</w:t>
      </w:r>
      <w:r w:rsidRPr="00BD78F9">
        <w:rPr>
          <w:noProof/>
          <w:sz w:val="22"/>
          <w:szCs w:val="22"/>
          <w:lang w:val="sr-Latn-ME"/>
        </w:rPr>
        <w:t xml:space="preserve"> kod pacova nakon dugotrajnog izlaganja kortikosteroidima.</w:t>
      </w:r>
    </w:p>
    <w:p w14:paraId="30293EAE" w14:textId="77777777" w:rsidR="00B73F2A" w:rsidRPr="00BD78F9" w:rsidRDefault="00B73F2A">
      <w:pPr>
        <w:tabs>
          <w:tab w:val="left" w:pos="284"/>
        </w:tabs>
        <w:jc w:val="both"/>
        <w:rPr>
          <w:noProof/>
          <w:sz w:val="22"/>
          <w:szCs w:val="22"/>
          <w:lang w:val="sr-Latn-ME"/>
        </w:rPr>
      </w:pPr>
    </w:p>
    <w:p w14:paraId="39565FB8" w14:textId="7833D266" w:rsidR="00B73F2A" w:rsidRPr="00BD78F9" w:rsidRDefault="00B73F2A">
      <w:pPr>
        <w:tabs>
          <w:tab w:val="left" w:pos="284"/>
        </w:tabs>
        <w:jc w:val="both"/>
        <w:rPr>
          <w:noProof/>
          <w:sz w:val="22"/>
          <w:szCs w:val="22"/>
          <w:lang w:val="sr-Latn-ME"/>
        </w:rPr>
      </w:pPr>
      <w:r w:rsidRPr="00BD78F9">
        <w:rPr>
          <w:noProof/>
          <w:sz w:val="22"/>
          <w:szCs w:val="22"/>
          <w:lang w:val="sr-Latn-ME"/>
        </w:rPr>
        <w:t>Studije dejstva formoterola na reprodukciju životinja pokazale su neznatno smanjenu plodnost mužjaka pacova pri visokim nivoima sistemske izloženosti, kao i implantacione gubitke i smanjeno preživljavanje u ranoj postnatalnoj fazi i smanjenu t</w:t>
      </w:r>
      <w:r w:rsidR="00C602CE" w:rsidRPr="00BD78F9">
        <w:rPr>
          <w:noProof/>
          <w:sz w:val="22"/>
          <w:szCs w:val="22"/>
          <w:lang w:val="sr-Latn-ME"/>
        </w:rPr>
        <w:t>j</w:t>
      </w:r>
      <w:r w:rsidRPr="00BD78F9">
        <w:rPr>
          <w:noProof/>
          <w:sz w:val="22"/>
          <w:szCs w:val="22"/>
          <w:lang w:val="sr-Latn-ME"/>
        </w:rPr>
        <w:t>elesnu masu pri okotu pri nivoima izloženosti koji su bil</w:t>
      </w:r>
      <w:r w:rsidR="007276D8" w:rsidRPr="00BD78F9">
        <w:rPr>
          <w:noProof/>
          <w:sz w:val="22"/>
          <w:szCs w:val="22"/>
          <w:lang w:val="sr-Latn-ME"/>
        </w:rPr>
        <w:t>i</w:t>
      </w:r>
      <w:r w:rsidRPr="00BD78F9">
        <w:rPr>
          <w:noProof/>
          <w:sz w:val="22"/>
          <w:szCs w:val="22"/>
          <w:lang w:val="sr-Latn-ME"/>
        </w:rPr>
        <w:t xml:space="preserve"> znatno viši od onih koji se postižu tokom kliničke </w:t>
      </w:r>
      <w:r w:rsidR="004D0E29" w:rsidRPr="00BD78F9">
        <w:rPr>
          <w:noProof/>
          <w:sz w:val="22"/>
          <w:szCs w:val="22"/>
          <w:lang w:val="sr-Latn-ME"/>
        </w:rPr>
        <w:t>primjene</w:t>
      </w:r>
      <w:r w:rsidRPr="00BD78F9">
        <w:rPr>
          <w:noProof/>
          <w:sz w:val="22"/>
          <w:szCs w:val="22"/>
          <w:lang w:val="sr-Latn-ME"/>
        </w:rPr>
        <w:t>. Kod pacova i miševa izloženih formoterolu zab</w:t>
      </w:r>
      <w:r w:rsidR="00C33714" w:rsidRPr="00BD78F9">
        <w:rPr>
          <w:noProof/>
          <w:sz w:val="22"/>
          <w:szCs w:val="22"/>
          <w:lang w:val="sr-Latn-ME"/>
        </w:rPr>
        <w:t>i</w:t>
      </w:r>
      <w:r w:rsidRPr="00BD78F9">
        <w:rPr>
          <w:noProof/>
          <w:sz w:val="22"/>
          <w:szCs w:val="22"/>
          <w:lang w:val="sr-Latn-ME"/>
        </w:rPr>
        <w:t>l</w:t>
      </w:r>
      <w:r w:rsidR="00C33714" w:rsidRPr="00BD78F9">
        <w:rPr>
          <w:noProof/>
          <w:sz w:val="22"/>
          <w:szCs w:val="22"/>
          <w:lang w:val="sr-Latn-ME"/>
        </w:rPr>
        <w:t>j</w:t>
      </w:r>
      <w:r w:rsidRPr="00BD78F9">
        <w:rPr>
          <w:noProof/>
          <w:sz w:val="22"/>
          <w:szCs w:val="22"/>
          <w:lang w:val="sr-Latn-ME"/>
        </w:rPr>
        <w:t xml:space="preserve">eženo je blago povećanje incidence lejomioma materice, koje se smatra </w:t>
      </w:r>
      <w:r w:rsidR="007276D8" w:rsidRPr="00BD78F9">
        <w:rPr>
          <w:noProof/>
          <w:sz w:val="22"/>
          <w:szCs w:val="22"/>
          <w:lang w:val="sr-Latn-ME"/>
        </w:rPr>
        <w:t xml:space="preserve">efektom grupe </w:t>
      </w:r>
      <w:r w:rsidRPr="00BD78F9">
        <w:rPr>
          <w:noProof/>
          <w:sz w:val="22"/>
          <w:szCs w:val="22"/>
          <w:lang w:val="sr-Latn-ME"/>
        </w:rPr>
        <w:t>kod glodara nakon dugotrajnog izlaganja visokim dozama agonista β2-adrenoreceptora.</w:t>
      </w:r>
    </w:p>
    <w:p w14:paraId="41A2ECC3" w14:textId="77777777" w:rsidR="00B73F2A" w:rsidRPr="00BD78F9" w:rsidRDefault="00B73F2A">
      <w:pPr>
        <w:tabs>
          <w:tab w:val="left" w:pos="284"/>
        </w:tabs>
        <w:jc w:val="both"/>
        <w:rPr>
          <w:noProof/>
          <w:sz w:val="22"/>
          <w:szCs w:val="22"/>
          <w:lang w:val="sr-Latn-ME"/>
        </w:rPr>
      </w:pPr>
    </w:p>
    <w:p w14:paraId="2261C34B" w14:textId="770A06DD" w:rsidR="00B73F2A" w:rsidRPr="00BD78F9" w:rsidRDefault="00B73F2A">
      <w:pPr>
        <w:tabs>
          <w:tab w:val="left" w:pos="284"/>
        </w:tabs>
        <w:jc w:val="both"/>
        <w:rPr>
          <w:noProof/>
          <w:sz w:val="22"/>
          <w:szCs w:val="22"/>
          <w:lang w:val="sr-Latn-ME"/>
        </w:rPr>
      </w:pPr>
      <w:r w:rsidRPr="00BD78F9">
        <w:rPr>
          <w:noProof/>
          <w:sz w:val="22"/>
          <w:szCs w:val="22"/>
          <w:lang w:val="sr-Latn-ME"/>
        </w:rPr>
        <w:t>Studije dejstva glikopironijuma na reprodukciju životinja pokazale su smanjenu t</w:t>
      </w:r>
      <w:r w:rsidR="00C602CE" w:rsidRPr="00BD78F9">
        <w:rPr>
          <w:noProof/>
          <w:sz w:val="22"/>
          <w:szCs w:val="22"/>
          <w:lang w:val="sr-Latn-ME"/>
        </w:rPr>
        <w:t>j</w:t>
      </w:r>
      <w:r w:rsidRPr="00BD78F9">
        <w:rPr>
          <w:noProof/>
          <w:sz w:val="22"/>
          <w:szCs w:val="22"/>
          <w:lang w:val="sr-Latn-ME"/>
        </w:rPr>
        <w:t>elesnu masu fetusa pacova i kunića, kao i smanjeni porast t</w:t>
      </w:r>
      <w:r w:rsidR="00C602CE" w:rsidRPr="00BD78F9">
        <w:rPr>
          <w:noProof/>
          <w:sz w:val="22"/>
          <w:szCs w:val="22"/>
          <w:lang w:val="sr-Latn-ME"/>
        </w:rPr>
        <w:t>j</w:t>
      </w:r>
      <w:r w:rsidRPr="00BD78F9">
        <w:rPr>
          <w:noProof/>
          <w:sz w:val="22"/>
          <w:szCs w:val="22"/>
          <w:lang w:val="sr-Latn-ME"/>
        </w:rPr>
        <w:t>elesne mase mladunaca pacova pr</w:t>
      </w:r>
      <w:r w:rsidR="00C602CE" w:rsidRPr="00BD78F9">
        <w:rPr>
          <w:noProof/>
          <w:sz w:val="22"/>
          <w:szCs w:val="22"/>
          <w:lang w:val="sr-Latn-ME"/>
        </w:rPr>
        <w:t>ij</w:t>
      </w:r>
      <w:r w:rsidRPr="00BD78F9">
        <w:rPr>
          <w:noProof/>
          <w:sz w:val="22"/>
          <w:szCs w:val="22"/>
          <w:lang w:val="sr-Latn-ME"/>
        </w:rPr>
        <w:t>e prestanka sisanja pri nivoima sistemske izloženosti značajno višim od onih koj</w:t>
      </w:r>
      <w:r w:rsidR="007276D8" w:rsidRPr="00BD78F9">
        <w:rPr>
          <w:noProof/>
          <w:sz w:val="22"/>
          <w:szCs w:val="22"/>
          <w:lang w:val="sr-Latn-ME"/>
        </w:rPr>
        <w:t>i</w:t>
      </w:r>
      <w:r w:rsidRPr="00BD78F9">
        <w:rPr>
          <w:noProof/>
          <w:sz w:val="22"/>
          <w:szCs w:val="22"/>
          <w:lang w:val="sr-Latn-ME"/>
        </w:rPr>
        <w:t xml:space="preserve"> se postižu tokom kliničke </w:t>
      </w:r>
      <w:r w:rsidR="004D0E29" w:rsidRPr="00BD78F9">
        <w:rPr>
          <w:noProof/>
          <w:sz w:val="22"/>
          <w:szCs w:val="22"/>
          <w:lang w:val="sr-Latn-ME"/>
        </w:rPr>
        <w:t>primjene</w:t>
      </w:r>
      <w:r w:rsidRPr="00BD78F9">
        <w:rPr>
          <w:noProof/>
          <w:sz w:val="22"/>
          <w:szCs w:val="22"/>
          <w:lang w:val="sr-Latn-ME"/>
        </w:rPr>
        <w:t xml:space="preserve">. Kod pacova i miševa </w:t>
      </w:r>
      <w:r w:rsidR="004D0E29" w:rsidRPr="00BD78F9">
        <w:rPr>
          <w:noProof/>
          <w:sz w:val="22"/>
          <w:szCs w:val="22"/>
          <w:lang w:val="sr-Latn-ME"/>
        </w:rPr>
        <w:t>nijesu</w:t>
      </w:r>
      <w:r w:rsidRPr="00BD78F9">
        <w:rPr>
          <w:noProof/>
          <w:sz w:val="22"/>
          <w:szCs w:val="22"/>
          <w:lang w:val="sr-Latn-ME"/>
        </w:rPr>
        <w:t xml:space="preserve"> zab</w:t>
      </w:r>
      <w:r w:rsidR="00C33714" w:rsidRPr="00BD78F9">
        <w:rPr>
          <w:noProof/>
          <w:sz w:val="22"/>
          <w:szCs w:val="22"/>
          <w:lang w:val="sr-Latn-ME"/>
        </w:rPr>
        <w:t>i</w:t>
      </w:r>
      <w:r w:rsidRPr="00BD78F9">
        <w:rPr>
          <w:noProof/>
          <w:sz w:val="22"/>
          <w:szCs w:val="22"/>
          <w:lang w:val="sr-Latn-ME"/>
        </w:rPr>
        <w:t>l</w:t>
      </w:r>
      <w:r w:rsidR="00C33714" w:rsidRPr="00BD78F9">
        <w:rPr>
          <w:noProof/>
          <w:sz w:val="22"/>
          <w:szCs w:val="22"/>
          <w:lang w:val="sr-Latn-ME"/>
        </w:rPr>
        <w:t>j</w:t>
      </w:r>
      <w:r w:rsidRPr="00BD78F9">
        <w:rPr>
          <w:noProof/>
          <w:sz w:val="22"/>
          <w:szCs w:val="22"/>
          <w:lang w:val="sr-Latn-ME"/>
        </w:rPr>
        <w:t>eženi dokazi kancerogenosti.</w:t>
      </w:r>
    </w:p>
    <w:p w14:paraId="5AECC252" w14:textId="77777777" w:rsidR="00C33714" w:rsidRPr="00BD78F9" w:rsidRDefault="00C33714">
      <w:pPr>
        <w:tabs>
          <w:tab w:val="left" w:pos="284"/>
        </w:tabs>
        <w:jc w:val="both"/>
        <w:rPr>
          <w:noProof/>
          <w:sz w:val="22"/>
          <w:szCs w:val="22"/>
          <w:lang w:val="sr-Latn-ME"/>
        </w:rPr>
      </w:pPr>
    </w:p>
    <w:p w14:paraId="1FEDB16F" w14:textId="77777777" w:rsidR="00396DFD" w:rsidRPr="00BD78F9" w:rsidRDefault="00396DFD" w:rsidP="00271855">
      <w:pPr>
        <w:tabs>
          <w:tab w:val="left" w:pos="540"/>
          <w:tab w:val="left" w:pos="569"/>
        </w:tabs>
        <w:jc w:val="both"/>
        <w:rPr>
          <w:b/>
          <w:bCs/>
          <w:sz w:val="22"/>
          <w:szCs w:val="22"/>
          <w:lang w:val="sr-Latn-ME"/>
        </w:rPr>
      </w:pPr>
    </w:p>
    <w:p w14:paraId="7CBCB66E" w14:textId="77777777" w:rsidR="0072020E" w:rsidRPr="00BD78F9" w:rsidRDefault="0072020E" w:rsidP="00480FB1">
      <w:pPr>
        <w:tabs>
          <w:tab w:val="left" w:pos="540"/>
          <w:tab w:val="left" w:pos="569"/>
        </w:tabs>
        <w:rPr>
          <w:b/>
          <w:bCs/>
          <w:sz w:val="22"/>
          <w:szCs w:val="22"/>
          <w:lang w:val="sr-Latn-ME"/>
        </w:rPr>
      </w:pPr>
      <w:r w:rsidRPr="00BD78F9">
        <w:rPr>
          <w:b/>
          <w:bCs/>
          <w:sz w:val="22"/>
          <w:szCs w:val="22"/>
          <w:lang w:val="sr-Latn-ME"/>
        </w:rPr>
        <w:t xml:space="preserve">6. </w:t>
      </w:r>
      <w:r w:rsidR="00480FB1" w:rsidRPr="00BD78F9">
        <w:rPr>
          <w:b/>
          <w:bCs/>
          <w:sz w:val="22"/>
          <w:szCs w:val="22"/>
          <w:lang w:val="sr-Latn-ME"/>
        </w:rPr>
        <w:tab/>
      </w:r>
      <w:r w:rsidRPr="00BD78F9">
        <w:rPr>
          <w:b/>
          <w:bCs/>
          <w:sz w:val="22"/>
          <w:szCs w:val="22"/>
          <w:lang w:val="sr-Latn-ME"/>
        </w:rPr>
        <w:t>FARMACEUTSKI PODACI</w:t>
      </w:r>
    </w:p>
    <w:p w14:paraId="6EAF8242" w14:textId="77777777" w:rsidR="00836B35" w:rsidRPr="00BD78F9" w:rsidRDefault="00836B35" w:rsidP="00480FB1">
      <w:pPr>
        <w:tabs>
          <w:tab w:val="left" w:pos="540"/>
          <w:tab w:val="left" w:pos="569"/>
        </w:tabs>
        <w:rPr>
          <w:bCs/>
          <w:sz w:val="22"/>
          <w:szCs w:val="22"/>
          <w:lang w:val="sr-Latn-ME"/>
        </w:rPr>
      </w:pPr>
    </w:p>
    <w:p w14:paraId="5E25182F" w14:textId="264AD1A5" w:rsidR="0072020E" w:rsidRPr="00BD78F9" w:rsidRDefault="0072020E" w:rsidP="00480FB1">
      <w:pPr>
        <w:tabs>
          <w:tab w:val="left" w:pos="540"/>
          <w:tab w:val="left" w:pos="569"/>
        </w:tabs>
        <w:rPr>
          <w:b/>
          <w:bCs/>
          <w:sz w:val="22"/>
          <w:szCs w:val="22"/>
          <w:lang w:val="sr-Latn-ME"/>
        </w:rPr>
      </w:pPr>
      <w:r w:rsidRPr="00BD78F9">
        <w:rPr>
          <w:b/>
          <w:bCs/>
          <w:sz w:val="22"/>
          <w:szCs w:val="22"/>
          <w:lang w:val="sr-Latn-ME"/>
        </w:rPr>
        <w:t xml:space="preserve">6.1. </w:t>
      </w:r>
      <w:r w:rsidR="00480FB1" w:rsidRPr="00BD78F9">
        <w:rPr>
          <w:b/>
          <w:bCs/>
          <w:sz w:val="22"/>
          <w:szCs w:val="22"/>
          <w:lang w:val="sr-Latn-ME"/>
        </w:rPr>
        <w:tab/>
      </w:r>
      <w:r w:rsidRPr="00BD78F9">
        <w:rPr>
          <w:b/>
          <w:bCs/>
          <w:sz w:val="22"/>
          <w:szCs w:val="22"/>
          <w:lang w:val="sr-Latn-ME"/>
        </w:rPr>
        <w:t>Lista pomoćnih supstanci</w:t>
      </w:r>
      <w:r w:rsidR="002E0135" w:rsidRPr="00BD78F9">
        <w:rPr>
          <w:b/>
          <w:bCs/>
          <w:sz w:val="22"/>
          <w:szCs w:val="22"/>
          <w:lang w:val="sr-Latn-ME"/>
        </w:rPr>
        <w:t xml:space="preserve"> (ekscipijenasa)</w:t>
      </w:r>
    </w:p>
    <w:p w14:paraId="16EAC3D5" w14:textId="77777777" w:rsidR="005F0F31" w:rsidRDefault="005F0F31" w:rsidP="00B73F2A">
      <w:pPr>
        <w:tabs>
          <w:tab w:val="left" w:pos="284"/>
        </w:tabs>
        <w:jc w:val="both"/>
        <w:rPr>
          <w:sz w:val="22"/>
          <w:szCs w:val="22"/>
          <w:lang w:val="sr-Latn-ME"/>
        </w:rPr>
      </w:pPr>
    </w:p>
    <w:p w14:paraId="7C278E46" w14:textId="43F7DD1F" w:rsidR="00B73F2A" w:rsidRPr="00BD78F9" w:rsidRDefault="00B73F2A" w:rsidP="00B73F2A">
      <w:pPr>
        <w:tabs>
          <w:tab w:val="left" w:pos="284"/>
        </w:tabs>
        <w:jc w:val="both"/>
        <w:rPr>
          <w:sz w:val="22"/>
          <w:szCs w:val="22"/>
          <w:lang w:val="sr-Latn-ME"/>
        </w:rPr>
      </w:pPr>
      <w:r w:rsidRPr="00BD78F9">
        <w:rPr>
          <w:sz w:val="22"/>
          <w:szCs w:val="22"/>
          <w:lang w:val="sr-Latn-ME"/>
        </w:rPr>
        <w:t xml:space="preserve">Norfluran </w:t>
      </w:r>
    </w:p>
    <w:p w14:paraId="148A14FC" w14:textId="77777777" w:rsidR="00B73F2A" w:rsidRPr="00BD78F9" w:rsidRDefault="00B73F2A" w:rsidP="00B73F2A">
      <w:pPr>
        <w:tabs>
          <w:tab w:val="left" w:pos="284"/>
        </w:tabs>
        <w:jc w:val="both"/>
        <w:rPr>
          <w:sz w:val="22"/>
          <w:szCs w:val="22"/>
          <w:lang w:val="sr-Latn-ME"/>
        </w:rPr>
      </w:pPr>
      <w:r w:rsidRPr="00BD78F9">
        <w:rPr>
          <w:sz w:val="22"/>
          <w:szCs w:val="22"/>
          <w:lang w:val="sr-Latn-ME"/>
        </w:rPr>
        <w:t>1,2-distearoil-sn-glicero-3-fosfoholin</w:t>
      </w:r>
      <w:r w:rsidRPr="00BD78F9">
        <w:rPr>
          <w:i/>
          <w:iCs/>
          <w:sz w:val="22"/>
          <w:szCs w:val="22"/>
          <w:lang w:val="sr-Latn-ME"/>
        </w:rPr>
        <w:t xml:space="preserve"> </w:t>
      </w:r>
      <w:r w:rsidRPr="00BD78F9">
        <w:rPr>
          <w:sz w:val="22"/>
          <w:szCs w:val="22"/>
          <w:lang w:val="sr-Latn-ME"/>
        </w:rPr>
        <w:t xml:space="preserve"> </w:t>
      </w:r>
    </w:p>
    <w:p w14:paraId="1053BD46" w14:textId="5AB78FF7" w:rsidR="00B73F2A" w:rsidRPr="00BD78F9" w:rsidRDefault="005F0F31" w:rsidP="00B73F2A">
      <w:pPr>
        <w:tabs>
          <w:tab w:val="left" w:pos="284"/>
        </w:tabs>
        <w:jc w:val="both"/>
        <w:rPr>
          <w:sz w:val="22"/>
          <w:szCs w:val="22"/>
          <w:lang w:val="sr-Latn-ME"/>
        </w:rPr>
      </w:pPr>
      <w:r>
        <w:rPr>
          <w:sz w:val="22"/>
          <w:szCs w:val="22"/>
          <w:lang w:val="sr-Latn-ME"/>
        </w:rPr>
        <w:t>k</w:t>
      </w:r>
      <w:r w:rsidR="00B73F2A" w:rsidRPr="00BD78F9">
        <w:rPr>
          <w:sz w:val="22"/>
          <w:szCs w:val="22"/>
          <w:lang w:val="sr-Latn-ME"/>
        </w:rPr>
        <w:t>alcijum</w:t>
      </w:r>
      <w:r w:rsidR="00AC0C09">
        <w:rPr>
          <w:sz w:val="22"/>
          <w:szCs w:val="22"/>
          <w:lang w:val="sr-Latn-ME"/>
        </w:rPr>
        <w:t xml:space="preserve"> </w:t>
      </w:r>
      <w:r w:rsidR="00B73F2A" w:rsidRPr="00BD78F9">
        <w:rPr>
          <w:sz w:val="22"/>
          <w:szCs w:val="22"/>
          <w:lang w:val="sr-Latn-ME"/>
        </w:rPr>
        <w:t>hlorid</w:t>
      </w:r>
      <w:r>
        <w:rPr>
          <w:sz w:val="22"/>
          <w:szCs w:val="22"/>
          <w:lang w:val="sr-Latn-ME"/>
        </w:rPr>
        <w:t>.</w:t>
      </w:r>
    </w:p>
    <w:p w14:paraId="1F597D7C" w14:textId="77777777" w:rsidR="00B73F2A" w:rsidRPr="00BD78F9" w:rsidRDefault="00B73F2A" w:rsidP="00480FB1">
      <w:pPr>
        <w:tabs>
          <w:tab w:val="left" w:pos="540"/>
          <w:tab w:val="left" w:pos="569"/>
        </w:tabs>
        <w:rPr>
          <w:b/>
          <w:bCs/>
          <w:sz w:val="22"/>
          <w:szCs w:val="22"/>
          <w:lang w:val="sr-Latn-ME"/>
        </w:rPr>
      </w:pPr>
    </w:p>
    <w:p w14:paraId="1C94FD9C" w14:textId="181EE918" w:rsidR="0072020E" w:rsidRPr="00BD78F9" w:rsidRDefault="0072020E" w:rsidP="00480FB1">
      <w:pPr>
        <w:tabs>
          <w:tab w:val="left" w:pos="540"/>
          <w:tab w:val="left" w:pos="569"/>
        </w:tabs>
        <w:rPr>
          <w:b/>
          <w:bCs/>
          <w:sz w:val="22"/>
          <w:szCs w:val="22"/>
          <w:lang w:val="sr-Latn-ME"/>
        </w:rPr>
      </w:pPr>
      <w:r w:rsidRPr="00BD78F9">
        <w:rPr>
          <w:b/>
          <w:bCs/>
          <w:sz w:val="22"/>
          <w:szCs w:val="22"/>
          <w:lang w:val="sr-Latn-ME"/>
        </w:rPr>
        <w:t xml:space="preserve">6.2. </w:t>
      </w:r>
      <w:r w:rsidR="00480FB1" w:rsidRPr="00BD78F9">
        <w:rPr>
          <w:b/>
          <w:bCs/>
          <w:sz w:val="22"/>
          <w:szCs w:val="22"/>
          <w:lang w:val="sr-Latn-ME"/>
        </w:rPr>
        <w:tab/>
      </w:r>
      <w:r w:rsidRPr="00BD78F9">
        <w:rPr>
          <w:b/>
          <w:bCs/>
          <w:sz w:val="22"/>
          <w:szCs w:val="22"/>
          <w:lang w:val="sr-Latn-ME"/>
        </w:rPr>
        <w:t>Inkompatibilnost</w:t>
      </w:r>
      <w:r w:rsidR="002846DB" w:rsidRPr="00BD78F9">
        <w:rPr>
          <w:b/>
          <w:bCs/>
          <w:sz w:val="22"/>
          <w:szCs w:val="22"/>
          <w:lang w:val="sr-Latn-ME"/>
        </w:rPr>
        <w:t>i</w:t>
      </w:r>
    </w:p>
    <w:p w14:paraId="74E0F0D1" w14:textId="77777777" w:rsidR="00B73F2A" w:rsidRPr="00BD78F9" w:rsidRDefault="00B73F2A" w:rsidP="00480FB1">
      <w:pPr>
        <w:tabs>
          <w:tab w:val="left" w:pos="540"/>
          <w:tab w:val="left" w:pos="569"/>
        </w:tabs>
        <w:rPr>
          <w:b/>
          <w:bCs/>
          <w:sz w:val="22"/>
          <w:szCs w:val="22"/>
          <w:lang w:val="sr-Latn-ME"/>
        </w:rPr>
      </w:pPr>
    </w:p>
    <w:p w14:paraId="75DD85BE" w14:textId="77777777" w:rsidR="00B73F2A" w:rsidRPr="00BD78F9" w:rsidRDefault="00B73F2A" w:rsidP="00B73F2A">
      <w:pPr>
        <w:tabs>
          <w:tab w:val="left" w:pos="284"/>
        </w:tabs>
        <w:jc w:val="both"/>
        <w:rPr>
          <w:noProof/>
          <w:sz w:val="22"/>
          <w:szCs w:val="22"/>
          <w:lang w:val="sr-Latn-ME"/>
        </w:rPr>
      </w:pPr>
      <w:r w:rsidRPr="00BD78F9">
        <w:rPr>
          <w:noProof/>
          <w:sz w:val="22"/>
          <w:szCs w:val="22"/>
          <w:lang w:val="sr-Latn-ME"/>
        </w:rPr>
        <w:t xml:space="preserve">Nije primenljivo. </w:t>
      </w:r>
    </w:p>
    <w:p w14:paraId="1AD21C2C" w14:textId="77777777" w:rsidR="0072020E" w:rsidRPr="00BD78F9" w:rsidRDefault="0072020E" w:rsidP="00480FB1">
      <w:pPr>
        <w:tabs>
          <w:tab w:val="left" w:pos="540"/>
          <w:tab w:val="left" w:pos="569"/>
        </w:tabs>
        <w:rPr>
          <w:bCs/>
          <w:sz w:val="22"/>
          <w:szCs w:val="22"/>
          <w:lang w:val="sr-Latn-ME"/>
        </w:rPr>
      </w:pPr>
    </w:p>
    <w:p w14:paraId="098F76F0" w14:textId="77777777" w:rsidR="0072020E" w:rsidRPr="00BD78F9" w:rsidRDefault="0072020E" w:rsidP="00480FB1">
      <w:pPr>
        <w:tabs>
          <w:tab w:val="left" w:pos="540"/>
          <w:tab w:val="left" w:pos="569"/>
        </w:tabs>
        <w:rPr>
          <w:b/>
          <w:bCs/>
          <w:sz w:val="22"/>
          <w:szCs w:val="22"/>
          <w:lang w:val="sr-Latn-ME"/>
        </w:rPr>
      </w:pPr>
      <w:r w:rsidRPr="00BD78F9">
        <w:rPr>
          <w:b/>
          <w:bCs/>
          <w:sz w:val="22"/>
          <w:szCs w:val="22"/>
          <w:lang w:val="sr-Latn-ME"/>
        </w:rPr>
        <w:t>6.3.</w:t>
      </w:r>
      <w:r w:rsidR="00C05DF8" w:rsidRPr="00BD78F9">
        <w:rPr>
          <w:b/>
          <w:bCs/>
          <w:sz w:val="22"/>
          <w:szCs w:val="22"/>
          <w:lang w:val="sr-Latn-ME"/>
        </w:rPr>
        <w:t xml:space="preserve"> </w:t>
      </w:r>
      <w:r w:rsidR="00480FB1" w:rsidRPr="00BD78F9">
        <w:rPr>
          <w:b/>
          <w:bCs/>
          <w:sz w:val="22"/>
          <w:szCs w:val="22"/>
          <w:lang w:val="sr-Latn-ME"/>
        </w:rPr>
        <w:tab/>
      </w:r>
      <w:r w:rsidRPr="00BD78F9">
        <w:rPr>
          <w:b/>
          <w:bCs/>
          <w:sz w:val="22"/>
          <w:szCs w:val="22"/>
          <w:lang w:val="sr-Latn-ME"/>
        </w:rPr>
        <w:t>Rok upotrebe</w:t>
      </w:r>
    </w:p>
    <w:p w14:paraId="5FD29C71" w14:textId="49696B82" w:rsidR="0072020E" w:rsidRPr="00BD78F9" w:rsidRDefault="0072020E" w:rsidP="00480FB1">
      <w:pPr>
        <w:tabs>
          <w:tab w:val="left" w:pos="540"/>
          <w:tab w:val="left" w:pos="569"/>
        </w:tabs>
        <w:rPr>
          <w:bCs/>
          <w:sz w:val="22"/>
          <w:szCs w:val="22"/>
          <w:lang w:val="sr-Latn-ME"/>
        </w:rPr>
      </w:pPr>
    </w:p>
    <w:p w14:paraId="118BE6B1" w14:textId="76B17F98" w:rsidR="00B73F2A" w:rsidRPr="00BD78F9" w:rsidRDefault="005C4A4B" w:rsidP="00B73F2A">
      <w:pPr>
        <w:tabs>
          <w:tab w:val="left" w:pos="284"/>
        </w:tabs>
        <w:jc w:val="both"/>
        <w:rPr>
          <w:noProof/>
          <w:sz w:val="22"/>
          <w:szCs w:val="22"/>
          <w:lang w:val="sr-Latn-ME"/>
        </w:rPr>
      </w:pPr>
      <w:r>
        <w:rPr>
          <w:noProof/>
          <w:sz w:val="22"/>
          <w:szCs w:val="22"/>
          <w:lang w:val="sr-Latn-ME"/>
        </w:rPr>
        <w:lastRenderedPageBreak/>
        <w:t>3</w:t>
      </w:r>
      <w:r w:rsidR="00B73F2A" w:rsidRPr="00BD78F9">
        <w:rPr>
          <w:noProof/>
          <w:sz w:val="22"/>
          <w:szCs w:val="22"/>
          <w:lang w:val="sr-Latn-ME"/>
        </w:rPr>
        <w:t xml:space="preserve"> godine</w:t>
      </w:r>
    </w:p>
    <w:p w14:paraId="3F1DD843" w14:textId="77777777" w:rsidR="00B73F2A" w:rsidRPr="00BD78F9" w:rsidRDefault="00B73F2A" w:rsidP="00B73F2A">
      <w:pPr>
        <w:tabs>
          <w:tab w:val="left" w:pos="284"/>
        </w:tabs>
        <w:jc w:val="both"/>
        <w:rPr>
          <w:noProof/>
          <w:sz w:val="22"/>
          <w:szCs w:val="22"/>
          <w:lang w:val="sr-Latn-ME"/>
        </w:rPr>
      </w:pPr>
    </w:p>
    <w:p w14:paraId="76FE5283" w14:textId="0B1AE573" w:rsidR="00B73F2A" w:rsidRPr="00BD78F9" w:rsidRDefault="00B73F2A" w:rsidP="00B73F2A">
      <w:pPr>
        <w:tabs>
          <w:tab w:val="left" w:pos="284"/>
        </w:tabs>
        <w:jc w:val="both"/>
        <w:rPr>
          <w:noProof/>
          <w:sz w:val="22"/>
          <w:szCs w:val="22"/>
          <w:lang w:val="sr-Latn-ME"/>
        </w:rPr>
      </w:pPr>
      <w:r w:rsidRPr="00BD78F9">
        <w:rPr>
          <w:noProof/>
          <w:sz w:val="22"/>
          <w:szCs w:val="22"/>
          <w:lang w:val="sr-Latn-ME"/>
        </w:rPr>
        <w:t>Obavezno iskoristiti u roku od 3 m</w:t>
      </w:r>
      <w:r w:rsidR="00C602CE" w:rsidRPr="00BD78F9">
        <w:rPr>
          <w:noProof/>
          <w:sz w:val="22"/>
          <w:szCs w:val="22"/>
          <w:lang w:val="sr-Latn-ME"/>
        </w:rPr>
        <w:t>j</w:t>
      </w:r>
      <w:r w:rsidRPr="00BD78F9">
        <w:rPr>
          <w:noProof/>
          <w:sz w:val="22"/>
          <w:szCs w:val="22"/>
          <w:lang w:val="sr-Latn-ME"/>
        </w:rPr>
        <w:t xml:space="preserve">eseca od otvaranja kesice. </w:t>
      </w:r>
    </w:p>
    <w:p w14:paraId="6C4E43CC" w14:textId="77777777" w:rsidR="00B73F2A" w:rsidRPr="00BD78F9" w:rsidRDefault="00B73F2A" w:rsidP="00480FB1">
      <w:pPr>
        <w:tabs>
          <w:tab w:val="left" w:pos="540"/>
          <w:tab w:val="left" w:pos="569"/>
        </w:tabs>
        <w:rPr>
          <w:bCs/>
          <w:sz w:val="22"/>
          <w:szCs w:val="22"/>
          <w:lang w:val="sr-Latn-ME"/>
        </w:rPr>
      </w:pPr>
    </w:p>
    <w:p w14:paraId="2DC8914A" w14:textId="77777777" w:rsidR="0072020E" w:rsidRPr="00BD78F9" w:rsidRDefault="0072020E" w:rsidP="00480FB1">
      <w:pPr>
        <w:tabs>
          <w:tab w:val="left" w:pos="540"/>
          <w:tab w:val="left" w:pos="569"/>
        </w:tabs>
        <w:rPr>
          <w:b/>
          <w:bCs/>
          <w:sz w:val="22"/>
          <w:szCs w:val="22"/>
          <w:lang w:val="sr-Latn-ME"/>
        </w:rPr>
      </w:pPr>
      <w:r w:rsidRPr="00BD78F9">
        <w:rPr>
          <w:b/>
          <w:bCs/>
          <w:sz w:val="22"/>
          <w:szCs w:val="22"/>
          <w:lang w:val="sr-Latn-ME"/>
        </w:rPr>
        <w:t xml:space="preserve">6.4. </w:t>
      </w:r>
      <w:r w:rsidR="00480FB1" w:rsidRPr="00BD78F9">
        <w:rPr>
          <w:b/>
          <w:bCs/>
          <w:sz w:val="22"/>
          <w:szCs w:val="22"/>
          <w:lang w:val="sr-Latn-ME"/>
        </w:rPr>
        <w:tab/>
      </w:r>
      <w:r w:rsidRPr="00BD78F9">
        <w:rPr>
          <w:b/>
          <w:bCs/>
          <w:sz w:val="22"/>
          <w:szCs w:val="22"/>
          <w:lang w:val="sr-Latn-ME"/>
        </w:rPr>
        <w:t>Posebne mjere upozorenja pri čuvanju</w:t>
      </w:r>
      <w:r w:rsidR="00F8570A" w:rsidRPr="00BD78F9">
        <w:rPr>
          <w:b/>
          <w:bCs/>
          <w:sz w:val="22"/>
          <w:szCs w:val="22"/>
          <w:lang w:val="sr-Latn-ME"/>
        </w:rPr>
        <w:t xml:space="preserve"> lijeka</w:t>
      </w:r>
    </w:p>
    <w:p w14:paraId="027A8F7D" w14:textId="27156F26" w:rsidR="00EC2532" w:rsidRPr="00BD78F9" w:rsidRDefault="00EC2532" w:rsidP="00480FB1">
      <w:pPr>
        <w:tabs>
          <w:tab w:val="left" w:pos="540"/>
          <w:tab w:val="left" w:pos="569"/>
        </w:tabs>
        <w:rPr>
          <w:bCs/>
          <w:sz w:val="22"/>
          <w:szCs w:val="22"/>
          <w:lang w:val="sr-Latn-ME"/>
        </w:rPr>
      </w:pPr>
    </w:p>
    <w:p w14:paraId="028DD12C" w14:textId="11FDE932" w:rsidR="004D0E29" w:rsidRPr="00BD78F9" w:rsidRDefault="004D0E29" w:rsidP="004D0E29">
      <w:pPr>
        <w:tabs>
          <w:tab w:val="left" w:pos="284"/>
        </w:tabs>
        <w:jc w:val="both"/>
        <w:rPr>
          <w:noProof/>
          <w:sz w:val="22"/>
          <w:szCs w:val="22"/>
          <w:lang w:val="sr-Latn-ME"/>
        </w:rPr>
      </w:pPr>
      <w:bookmarkStart w:id="8" w:name="_Hlk528572062"/>
      <w:r w:rsidRPr="00BD78F9">
        <w:rPr>
          <w:noProof/>
          <w:sz w:val="22"/>
          <w:szCs w:val="22"/>
          <w:lang w:val="sr-Latn-ME"/>
        </w:rPr>
        <w:t>Čuvati na temperaturi do 30</w:t>
      </w:r>
      <w:r w:rsidR="00815CFE" w:rsidRPr="00DD1459">
        <w:rPr>
          <w:rFonts w:eastAsia="Calibri"/>
          <w:bCs/>
          <w:noProof/>
          <w:sz w:val="22"/>
          <w:szCs w:val="22"/>
          <w:lang w:val="sr-Latn-ME"/>
        </w:rPr>
        <w:t>°</w:t>
      </w:r>
      <w:r w:rsidRPr="00BD78F9">
        <w:rPr>
          <w:noProof/>
          <w:sz w:val="22"/>
          <w:szCs w:val="22"/>
          <w:lang w:val="sr-Latn-ME"/>
        </w:rPr>
        <w:t xml:space="preserve">C. </w:t>
      </w:r>
    </w:p>
    <w:p w14:paraId="159E4041" w14:textId="5CF9E50F" w:rsidR="004D0E29" w:rsidRPr="00BD78F9" w:rsidRDefault="004D0E29" w:rsidP="004D0E29">
      <w:pPr>
        <w:tabs>
          <w:tab w:val="left" w:pos="284"/>
        </w:tabs>
        <w:jc w:val="both"/>
        <w:rPr>
          <w:noProof/>
          <w:sz w:val="22"/>
          <w:szCs w:val="22"/>
          <w:lang w:val="sr-Latn-ME"/>
        </w:rPr>
      </w:pPr>
      <w:r w:rsidRPr="00BD78F9">
        <w:rPr>
          <w:noProof/>
          <w:sz w:val="22"/>
          <w:szCs w:val="22"/>
          <w:lang w:val="sr-Latn-ME"/>
        </w:rPr>
        <w:t>Ne izlagati temperaturama višim od 50</w:t>
      </w:r>
      <w:r w:rsidR="00815CFE" w:rsidRPr="00DD1459">
        <w:rPr>
          <w:rFonts w:eastAsia="Calibri"/>
          <w:bCs/>
          <w:noProof/>
          <w:sz w:val="22"/>
          <w:szCs w:val="22"/>
          <w:lang w:val="sr-Latn-ME"/>
        </w:rPr>
        <w:t>°</w:t>
      </w:r>
      <w:r w:rsidRPr="00BD78F9">
        <w:rPr>
          <w:noProof/>
          <w:sz w:val="22"/>
          <w:szCs w:val="22"/>
          <w:lang w:val="sr-Latn-ME"/>
        </w:rPr>
        <w:t xml:space="preserve">C. </w:t>
      </w:r>
      <w:bookmarkEnd w:id="8"/>
      <w:r w:rsidRPr="00BD78F9">
        <w:rPr>
          <w:noProof/>
          <w:sz w:val="22"/>
          <w:szCs w:val="22"/>
          <w:lang w:val="sr-Latn-ME"/>
        </w:rPr>
        <w:t>Ne bušiti posudu pod pritiskom. Čuvati na suvom m</w:t>
      </w:r>
      <w:r w:rsidR="00C602CE" w:rsidRPr="00BD78F9">
        <w:rPr>
          <w:noProof/>
          <w:sz w:val="22"/>
          <w:szCs w:val="22"/>
          <w:lang w:val="sr-Latn-ME"/>
        </w:rPr>
        <w:t>j</w:t>
      </w:r>
      <w:r w:rsidRPr="00BD78F9">
        <w:rPr>
          <w:noProof/>
          <w:sz w:val="22"/>
          <w:szCs w:val="22"/>
          <w:lang w:val="sr-Latn-ME"/>
        </w:rPr>
        <w:t xml:space="preserve">estu. </w:t>
      </w:r>
    </w:p>
    <w:p w14:paraId="7C55CC5C" w14:textId="24CA5C0A" w:rsidR="004D0E29" w:rsidRDefault="004D0E29" w:rsidP="00480FB1">
      <w:pPr>
        <w:tabs>
          <w:tab w:val="left" w:pos="540"/>
          <w:tab w:val="left" w:pos="569"/>
        </w:tabs>
        <w:rPr>
          <w:bCs/>
          <w:sz w:val="22"/>
          <w:szCs w:val="22"/>
          <w:lang w:val="sr-Latn-ME"/>
        </w:rPr>
      </w:pPr>
    </w:p>
    <w:p w14:paraId="0239C0FB" w14:textId="77777777" w:rsidR="00AC0C09" w:rsidRPr="00BD78F9" w:rsidRDefault="00AC0C09" w:rsidP="00480FB1">
      <w:pPr>
        <w:tabs>
          <w:tab w:val="left" w:pos="540"/>
          <w:tab w:val="left" w:pos="569"/>
        </w:tabs>
        <w:rPr>
          <w:bCs/>
          <w:sz w:val="22"/>
          <w:szCs w:val="22"/>
          <w:lang w:val="sr-Latn-ME"/>
        </w:rPr>
      </w:pPr>
    </w:p>
    <w:p w14:paraId="32DF6C74" w14:textId="77777777" w:rsidR="0072020E" w:rsidRPr="00BD78F9" w:rsidRDefault="0072020E" w:rsidP="00480FB1">
      <w:pPr>
        <w:tabs>
          <w:tab w:val="left" w:pos="540"/>
          <w:tab w:val="left" w:pos="569"/>
        </w:tabs>
        <w:rPr>
          <w:b/>
          <w:bCs/>
          <w:sz w:val="22"/>
          <w:szCs w:val="22"/>
          <w:lang w:val="sr-Latn-ME"/>
        </w:rPr>
      </w:pPr>
      <w:r w:rsidRPr="00BD78F9">
        <w:rPr>
          <w:b/>
          <w:bCs/>
          <w:sz w:val="22"/>
          <w:szCs w:val="22"/>
          <w:lang w:val="sr-Latn-ME"/>
        </w:rPr>
        <w:t xml:space="preserve">6.5. </w:t>
      </w:r>
      <w:r w:rsidR="00480FB1" w:rsidRPr="00BD78F9">
        <w:rPr>
          <w:b/>
          <w:bCs/>
          <w:sz w:val="22"/>
          <w:szCs w:val="22"/>
          <w:lang w:val="sr-Latn-ME"/>
        </w:rPr>
        <w:tab/>
      </w:r>
      <w:r w:rsidR="002846DB" w:rsidRPr="00BD78F9">
        <w:rPr>
          <w:b/>
          <w:bCs/>
          <w:sz w:val="22"/>
          <w:szCs w:val="22"/>
          <w:lang w:val="sr-Latn-ME"/>
        </w:rPr>
        <w:t xml:space="preserve">Vrsta i sadržaj </w:t>
      </w:r>
      <w:r w:rsidR="00F8570A" w:rsidRPr="00BD78F9">
        <w:rPr>
          <w:b/>
          <w:bCs/>
          <w:sz w:val="22"/>
          <w:szCs w:val="22"/>
          <w:lang w:val="sr-Latn-ME"/>
        </w:rPr>
        <w:t>pakovanja</w:t>
      </w:r>
      <w:r w:rsidR="00C06864" w:rsidRPr="00BD78F9">
        <w:rPr>
          <w:b/>
          <w:bCs/>
          <w:sz w:val="22"/>
          <w:szCs w:val="22"/>
          <w:lang w:val="sr-Latn-ME"/>
        </w:rPr>
        <w:t xml:space="preserve"> </w:t>
      </w:r>
    </w:p>
    <w:p w14:paraId="405060E8" w14:textId="4E8F6721" w:rsidR="0072020E" w:rsidRPr="00BD78F9" w:rsidRDefault="0072020E" w:rsidP="00480FB1">
      <w:pPr>
        <w:tabs>
          <w:tab w:val="left" w:pos="540"/>
          <w:tab w:val="left" w:pos="569"/>
        </w:tabs>
        <w:rPr>
          <w:bCs/>
          <w:sz w:val="22"/>
          <w:szCs w:val="22"/>
          <w:lang w:val="sr-Latn-ME"/>
        </w:rPr>
      </w:pPr>
    </w:p>
    <w:p w14:paraId="04A4747D" w14:textId="19E3D589" w:rsidR="004D0E29" w:rsidRPr="00BD78F9" w:rsidRDefault="004D0E29" w:rsidP="004D0E29">
      <w:pPr>
        <w:rPr>
          <w:noProof/>
          <w:sz w:val="22"/>
          <w:szCs w:val="22"/>
          <w:lang w:val="sr-Latn-ME"/>
        </w:rPr>
      </w:pPr>
      <w:r w:rsidRPr="00BD78F9">
        <w:rPr>
          <w:noProof/>
          <w:sz w:val="22"/>
          <w:szCs w:val="22"/>
          <w:lang w:val="sr-Latn-ME"/>
        </w:rPr>
        <w:t>Trixeo Aerosphere je inhalator odm</w:t>
      </w:r>
      <w:r w:rsidR="00C602CE" w:rsidRPr="00BD78F9">
        <w:rPr>
          <w:noProof/>
          <w:sz w:val="22"/>
          <w:szCs w:val="22"/>
          <w:lang w:val="sr-Latn-ME"/>
        </w:rPr>
        <w:t>j</w:t>
      </w:r>
      <w:r w:rsidRPr="00BD78F9">
        <w:rPr>
          <w:noProof/>
          <w:sz w:val="22"/>
          <w:szCs w:val="22"/>
          <w:lang w:val="sr-Latn-ME"/>
        </w:rPr>
        <w:t>erenih doza pod pritiskom, koji se sastoji od obložene aluminijske posude, žutog plastičnog aktivatora i b</w:t>
      </w:r>
      <w:r w:rsidR="00C602CE" w:rsidRPr="00BD78F9">
        <w:rPr>
          <w:noProof/>
          <w:sz w:val="22"/>
          <w:szCs w:val="22"/>
          <w:lang w:val="sr-Latn-ME"/>
        </w:rPr>
        <w:t>ij</w:t>
      </w:r>
      <w:r w:rsidRPr="00BD78F9">
        <w:rPr>
          <w:noProof/>
          <w:sz w:val="22"/>
          <w:szCs w:val="22"/>
          <w:lang w:val="sr-Latn-ME"/>
        </w:rPr>
        <w:t>elog nastavka za usta sa pričvršćenim sivim plastičnim zaštitnim zatvaračem, kao i indikatorom doze. Svaki inhalator je posebno upakovan u kesicu od laminirane folije koja sadrži kesicu sa desikantom i upakovan je u kutiju.</w:t>
      </w:r>
    </w:p>
    <w:p w14:paraId="34159788" w14:textId="77777777" w:rsidR="004D0E29" w:rsidRPr="00BD78F9" w:rsidRDefault="004D0E29" w:rsidP="004D0E29">
      <w:pPr>
        <w:tabs>
          <w:tab w:val="left" w:pos="284"/>
        </w:tabs>
        <w:jc w:val="both"/>
        <w:rPr>
          <w:noProof/>
          <w:sz w:val="22"/>
          <w:szCs w:val="22"/>
          <w:lang w:val="sr-Latn-ME"/>
        </w:rPr>
      </w:pPr>
    </w:p>
    <w:p w14:paraId="3B63181E" w14:textId="77777777" w:rsidR="004D0E29" w:rsidRPr="00BD78F9" w:rsidRDefault="004D0E29" w:rsidP="004D0E29">
      <w:pPr>
        <w:tabs>
          <w:tab w:val="left" w:pos="284"/>
        </w:tabs>
        <w:jc w:val="both"/>
        <w:rPr>
          <w:noProof/>
          <w:sz w:val="22"/>
          <w:szCs w:val="22"/>
          <w:lang w:val="sr-Latn-ME"/>
        </w:rPr>
      </w:pPr>
      <w:r w:rsidRPr="00BD78F9">
        <w:rPr>
          <w:noProof/>
          <w:sz w:val="22"/>
          <w:szCs w:val="22"/>
          <w:lang w:val="sr-Latn-ME"/>
        </w:rPr>
        <w:t>Veličina pakovanja: 1 inhalator sa 120 potisaka.</w:t>
      </w:r>
    </w:p>
    <w:p w14:paraId="36EEDE9B" w14:textId="77777777" w:rsidR="004D0E29" w:rsidRPr="00BD78F9" w:rsidRDefault="004D0E29" w:rsidP="004D0E29">
      <w:pPr>
        <w:tabs>
          <w:tab w:val="left" w:pos="284"/>
        </w:tabs>
        <w:jc w:val="both"/>
        <w:rPr>
          <w:noProof/>
          <w:sz w:val="22"/>
          <w:szCs w:val="22"/>
          <w:lang w:val="sr-Latn-ME"/>
        </w:rPr>
      </w:pPr>
    </w:p>
    <w:p w14:paraId="66A268B0" w14:textId="24ADE34E" w:rsidR="002846DB" w:rsidRPr="00BD78F9" w:rsidRDefault="0072020E" w:rsidP="00480FB1">
      <w:pPr>
        <w:tabs>
          <w:tab w:val="left" w:pos="540"/>
          <w:tab w:val="left" w:pos="569"/>
        </w:tabs>
        <w:rPr>
          <w:b/>
          <w:bCs/>
          <w:sz w:val="22"/>
          <w:szCs w:val="22"/>
          <w:lang w:val="sr-Latn-ME"/>
        </w:rPr>
      </w:pPr>
      <w:r w:rsidRPr="00BD78F9">
        <w:rPr>
          <w:b/>
          <w:bCs/>
          <w:sz w:val="22"/>
          <w:szCs w:val="22"/>
          <w:lang w:val="sr-Latn-ME"/>
        </w:rPr>
        <w:t xml:space="preserve">6.6. </w:t>
      </w:r>
      <w:r w:rsidR="00480FB1" w:rsidRPr="00BD78F9">
        <w:rPr>
          <w:b/>
          <w:bCs/>
          <w:sz w:val="22"/>
          <w:szCs w:val="22"/>
          <w:lang w:val="sr-Latn-ME"/>
        </w:rPr>
        <w:tab/>
      </w:r>
      <w:r w:rsidRPr="00BD78F9">
        <w:rPr>
          <w:b/>
          <w:bCs/>
          <w:color w:val="000000"/>
          <w:sz w:val="22"/>
          <w:szCs w:val="22"/>
          <w:lang w:val="sr-Latn-ME"/>
        </w:rPr>
        <w:t>Posebne mjere opreza pri odlaganju materijala koji treba odbaciti nakon primjene lijeka</w:t>
      </w:r>
      <w:r w:rsidRPr="00BD78F9">
        <w:rPr>
          <w:b/>
          <w:bCs/>
          <w:sz w:val="22"/>
          <w:szCs w:val="22"/>
          <w:lang w:val="sr-Latn-ME"/>
        </w:rPr>
        <w:t xml:space="preserve"> </w:t>
      </w:r>
      <w:r w:rsidR="00310F03" w:rsidRPr="00BD78F9">
        <w:rPr>
          <w:b/>
          <w:bCs/>
          <w:sz w:val="22"/>
          <w:szCs w:val="22"/>
          <w:lang w:val="sr-Latn-ME"/>
        </w:rPr>
        <w:t>(i druga uputs</w:t>
      </w:r>
      <w:r w:rsidR="004109FA" w:rsidRPr="00BD78F9">
        <w:rPr>
          <w:b/>
          <w:bCs/>
          <w:sz w:val="22"/>
          <w:szCs w:val="22"/>
          <w:lang w:val="sr-Latn-ME"/>
        </w:rPr>
        <w:t>t</w:t>
      </w:r>
      <w:r w:rsidR="00310F03" w:rsidRPr="00BD78F9">
        <w:rPr>
          <w:b/>
          <w:bCs/>
          <w:sz w:val="22"/>
          <w:szCs w:val="22"/>
          <w:lang w:val="sr-Latn-ME"/>
        </w:rPr>
        <w:t xml:space="preserve">va za rukovanje lijekom) </w:t>
      </w:r>
    </w:p>
    <w:p w14:paraId="3DF5FAE2" w14:textId="77777777" w:rsidR="004D0E29" w:rsidRPr="00BD78F9" w:rsidRDefault="004D0E29" w:rsidP="00480FB1">
      <w:pPr>
        <w:tabs>
          <w:tab w:val="left" w:pos="540"/>
          <w:tab w:val="left" w:pos="569"/>
        </w:tabs>
        <w:rPr>
          <w:b/>
          <w:bCs/>
          <w:sz w:val="22"/>
          <w:szCs w:val="22"/>
          <w:lang w:val="sr-Latn-ME"/>
        </w:rPr>
      </w:pPr>
    </w:p>
    <w:p w14:paraId="5DA49B45" w14:textId="6F950C18" w:rsidR="004D0E29" w:rsidRPr="00BD78F9" w:rsidRDefault="004D0E29" w:rsidP="004D0E29">
      <w:pPr>
        <w:tabs>
          <w:tab w:val="left" w:pos="284"/>
        </w:tabs>
        <w:jc w:val="both"/>
        <w:rPr>
          <w:noProof/>
          <w:sz w:val="22"/>
          <w:szCs w:val="22"/>
          <w:lang w:val="sr-Latn-ME"/>
        </w:rPr>
      </w:pPr>
      <w:r w:rsidRPr="00BD78F9">
        <w:rPr>
          <w:noProof/>
          <w:sz w:val="22"/>
          <w:szCs w:val="22"/>
          <w:lang w:val="sr-Latn-ME"/>
        </w:rPr>
        <w:t>Svu neiskorišćenu količinu lijeka ili otpadnog materijala treba ukloniti u skladu sa važećim lokalnim</w:t>
      </w:r>
    </w:p>
    <w:p w14:paraId="0EE57FD5" w14:textId="77777777" w:rsidR="004D0E29" w:rsidRPr="00BD78F9" w:rsidRDefault="004D0E29" w:rsidP="004D0E29">
      <w:pPr>
        <w:tabs>
          <w:tab w:val="left" w:pos="284"/>
        </w:tabs>
        <w:jc w:val="both"/>
        <w:rPr>
          <w:sz w:val="22"/>
          <w:szCs w:val="22"/>
          <w:lang w:val="sr-Latn-ME"/>
        </w:rPr>
      </w:pPr>
      <w:r w:rsidRPr="00BD78F9">
        <w:rPr>
          <w:noProof/>
          <w:sz w:val="22"/>
          <w:szCs w:val="22"/>
          <w:lang w:val="sr-Latn-ME"/>
        </w:rPr>
        <w:t>propisima. Posudu pod pritiskom ne treba lomiti, bušiti niti spaljivati, čak i kada je naizgled prazna.</w:t>
      </w:r>
    </w:p>
    <w:p w14:paraId="7F9721EB" w14:textId="77777777" w:rsidR="00B66A70" w:rsidRPr="00BD78F9" w:rsidRDefault="00B66A70" w:rsidP="00480FB1">
      <w:pPr>
        <w:tabs>
          <w:tab w:val="left" w:pos="540"/>
          <w:tab w:val="left" w:pos="569"/>
        </w:tabs>
        <w:rPr>
          <w:b/>
          <w:bCs/>
          <w:sz w:val="22"/>
          <w:szCs w:val="22"/>
          <w:lang w:val="sr-Latn-ME"/>
        </w:rPr>
      </w:pPr>
    </w:p>
    <w:p w14:paraId="63FD297B" w14:textId="77777777" w:rsidR="0072020E" w:rsidRPr="00BD78F9" w:rsidRDefault="0072020E" w:rsidP="00480FB1">
      <w:pPr>
        <w:tabs>
          <w:tab w:val="left" w:pos="540"/>
          <w:tab w:val="left" w:pos="569"/>
        </w:tabs>
        <w:rPr>
          <w:bCs/>
          <w:sz w:val="22"/>
          <w:szCs w:val="22"/>
          <w:lang w:val="sr-Latn-ME"/>
        </w:rPr>
      </w:pPr>
    </w:p>
    <w:p w14:paraId="022D504B" w14:textId="77777777" w:rsidR="00F8570A" w:rsidRPr="00BD78F9" w:rsidRDefault="0072020E" w:rsidP="00480FB1">
      <w:pPr>
        <w:tabs>
          <w:tab w:val="left" w:pos="540"/>
          <w:tab w:val="left" w:pos="569"/>
        </w:tabs>
        <w:rPr>
          <w:b/>
          <w:bCs/>
          <w:sz w:val="22"/>
          <w:szCs w:val="22"/>
          <w:lang w:val="sr-Latn-ME"/>
        </w:rPr>
      </w:pPr>
      <w:r w:rsidRPr="00BD78F9">
        <w:rPr>
          <w:b/>
          <w:bCs/>
          <w:sz w:val="22"/>
          <w:szCs w:val="22"/>
          <w:lang w:val="sr-Latn-ME"/>
        </w:rPr>
        <w:t xml:space="preserve">7. </w:t>
      </w:r>
      <w:r w:rsidR="00480FB1" w:rsidRPr="00BD78F9">
        <w:rPr>
          <w:b/>
          <w:bCs/>
          <w:sz w:val="22"/>
          <w:szCs w:val="22"/>
          <w:lang w:val="sr-Latn-ME"/>
        </w:rPr>
        <w:tab/>
      </w:r>
      <w:r w:rsidRPr="00BD78F9">
        <w:rPr>
          <w:b/>
          <w:bCs/>
          <w:sz w:val="22"/>
          <w:szCs w:val="22"/>
          <w:lang w:val="sr-Latn-ME"/>
        </w:rPr>
        <w:t>NOSILAC DOZVOLE</w:t>
      </w:r>
      <w:r w:rsidR="00483928" w:rsidRPr="00BD78F9">
        <w:rPr>
          <w:b/>
          <w:bCs/>
          <w:sz w:val="22"/>
          <w:szCs w:val="22"/>
          <w:lang w:val="sr-Latn-ME"/>
        </w:rPr>
        <w:t xml:space="preserve"> </w:t>
      </w:r>
    </w:p>
    <w:p w14:paraId="230CA08F" w14:textId="77777777" w:rsidR="00AC0C09" w:rsidRDefault="00AC0C09" w:rsidP="00480FB1">
      <w:pPr>
        <w:tabs>
          <w:tab w:val="left" w:pos="540"/>
          <w:tab w:val="left" w:pos="569"/>
        </w:tabs>
        <w:rPr>
          <w:bCs/>
          <w:sz w:val="22"/>
          <w:szCs w:val="22"/>
          <w:lang w:val="sr-Latn-ME"/>
        </w:rPr>
      </w:pPr>
    </w:p>
    <w:p w14:paraId="1F6E0359" w14:textId="7E5F249D" w:rsidR="00C61BE0" w:rsidRPr="00BD78F9" w:rsidRDefault="004D0E29" w:rsidP="00480FB1">
      <w:pPr>
        <w:tabs>
          <w:tab w:val="left" w:pos="540"/>
          <w:tab w:val="left" w:pos="569"/>
        </w:tabs>
        <w:rPr>
          <w:bCs/>
          <w:sz w:val="22"/>
          <w:szCs w:val="22"/>
          <w:lang w:val="sr-Latn-ME"/>
        </w:rPr>
      </w:pPr>
      <w:r w:rsidRPr="00BD78F9">
        <w:rPr>
          <w:bCs/>
          <w:sz w:val="22"/>
          <w:szCs w:val="22"/>
          <w:lang w:val="sr-Latn-ME"/>
        </w:rPr>
        <w:t xml:space="preserve">Glosarij d.o.o. </w:t>
      </w:r>
    </w:p>
    <w:p w14:paraId="49170C43" w14:textId="791F92BF" w:rsidR="001D06D0" w:rsidRPr="00BD78F9" w:rsidRDefault="00DA43C4" w:rsidP="00480FB1">
      <w:pPr>
        <w:tabs>
          <w:tab w:val="left" w:pos="540"/>
          <w:tab w:val="left" w:pos="569"/>
        </w:tabs>
        <w:rPr>
          <w:bCs/>
          <w:sz w:val="22"/>
          <w:szCs w:val="22"/>
          <w:lang w:val="sr-Latn-ME"/>
        </w:rPr>
      </w:pPr>
      <w:r w:rsidRPr="00BD78F9">
        <w:rPr>
          <w:bCs/>
          <w:sz w:val="22"/>
          <w:szCs w:val="22"/>
          <w:lang w:val="sr-Latn-ME"/>
        </w:rPr>
        <w:t xml:space="preserve">Vojislavljevića 76, </w:t>
      </w:r>
      <w:r w:rsidR="009F1E24" w:rsidRPr="001000DB">
        <w:rPr>
          <w:sz w:val="22"/>
          <w:szCs w:val="22"/>
          <w:lang w:val="sr-Latn-ME"/>
        </w:rPr>
        <w:t xml:space="preserve">81 000 </w:t>
      </w:r>
      <w:r w:rsidRPr="00BD78F9">
        <w:rPr>
          <w:bCs/>
          <w:sz w:val="22"/>
          <w:szCs w:val="22"/>
          <w:lang w:val="sr-Latn-ME"/>
        </w:rPr>
        <w:t>Podgorica</w:t>
      </w:r>
      <w:r w:rsidR="009F1E24">
        <w:rPr>
          <w:bCs/>
          <w:sz w:val="22"/>
          <w:szCs w:val="22"/>
          <w:lang w:val="sr-Latn-ME"/>
        </w:rPr>
        <w:t xml:space="preserve">, </w:t>
      </w:r>
      <w:r w:rsidR="009F1E24" w:rsidRPr="001000DB">
        <w:rPr>
          <w:sz w:val="22"/>
          <w:szCs w:val="22"/>
          <w:lang w:val="sr-Latn-ME"/>
        </w:rPr>
        <w:t>Crna Gora</w:t>
      </w:r>
    </w:p>
    <w:p w14:paraId="5A83265A" w14:textId="575D531B" w:rsidR="00C37FD7" w:rsidRDefault="00C37FD7" w:rsidP="00480FB1">
      <w:pPr>
        <w:tabs>
          <w:tab w:val="left" w:pos="540"/>
          <w:tab w:val="left" w:pos="569"/>
        </w:tabs>
        <w:rPr>
          <w:bCs/>
          <w:sz w:val="22"/>
          <w:szCs w:val="22"/>
          <w:lang w:val="sr-Latn-ME"/>
        </w:rPr>
      </w:pPr>
    </w:p>
    <w:p w14:paraId="324A2380" w14:textId="77777777" w:rsidR="00AC0C09" w:rsidRPr="00BD78F9" w:rsidRDefault="00AC0C09" w:rsidP="00480FB1">
      <w:pPr>
        <w:tabs>
          <w:tab w:val="left" w:pos="540"/>
          <w:tab w:val="left" w:pos="569"/>
        </w:tabs>
        <w:rPr>
          <w:bCs/>
          <w:sz w:val="22"/>
          <w:szCs w:val="22"/>
          <w:lang w:val="sr-Latn-ME"/>
        </w:rPr>
      </w:pPr>
    </w:p>
    <w:p w14:paraId="7463444D" w14:textId="77777777" w:rsidR="0072020E" w:rsidRPr="00BD78F9" w:rsidRDefault="0072020E" w:rsidP="00480FB1">
      <w:pPr>
        <w:tabs>
          <w:tab w:val="left" w:pos="540"/>
          <w:tab w:val="left" w:pos="569"/>
        </w:tabs>
        <w:rPr>
          <w:b/>
          <w:bCs/>
          <w:sz w:val="22"/>
          <w:szCs w:val="22"/>
          <w:lang w:val="sr-Latn-ME"/>
        </w:rPr>
      </w:pPr>
      <w:r w:rsidRPr="00BD78F9">
        <w:rPr>
          <w:b/>
          <w:bCs/>
          <w:sz w:val="22"/>
          <w:szCs w:val="22"/>
          <w:lang w:val="sr-Latn-ME"/>
        </w:rPr>
        <w:t xml:space="preserve">8. </w:t>
      </w:r>
      <w:r w:rsidR="00480FB1" w:rsidRPr="00BD78F9">
        <w:rPr>
          <w:b/>
          <w:bCs/>
          <w:sz w:val="22"/>
          <w:szCs w:val="22"/>
          <w:lang w:val="sr-Latn-ME"/>
        </w:rPr>
        <w:tab/>
      </w:r>
      <w:r w:rsidRPr="00BD78F9">
        <w:rPr>
          <w:b/>
          <w:bCs/>
          <w:sz w:val="22"/>
          <w:szCs w:val="22"/>
          <w:lang w:val="sr-Latn-ME"/>
        </w:rPr>
        <w:t>BROJ DOZVOLE</w:t>
      </w:r>
      <w:r w:rsidR="008A6D43" w:rsidRPr="00BD78F9">
        <w:rPr>
          <w:b/>
          <w:bCs/>
          <w:sz w:val="22"/>
          <w:szCs w:val="22"/>
          <w:lang w:val="sr-Latn-ME"/>
        </w:rPr>
        <w:t xml:space="preserve"> ZA STAVLJANJE LIJEKA U PROMET</w:t>
      </w:r>
    </w:p>
    <w:p w14:paraId="1F40369C" w14:textId="77777777" w:rsidR="0072020E" w:rsidRPr="00BD78F9" w:rsidRDefault="0072020E" w:rsidP="00480FB1">
      <w:pPr>
        <w:tabs>
          <w:tab w:val="left" w:pos="540"/>
          <w:tab w:val="left" w:pos="569"/>
        </w:tabs>
        <w:rPr>
          <w:bCs/>
          <w:sz w:val="22"/>
          <w:szCs w:val="22"/>
          <w:lang w:val="sr-Latn-ME"/>
        </w:rPr>
      </w:pPr>
    </w:p>
    <w:p w14:paraId="7D7BC33A" w14:textId="67C06ABB" w:rsidR="00F45F77" w:rsidRPr="00D10A3E" w:rsidRDefault="00D10A3E" w:rsidP="00480FB1">
      <w:pPr>
        <w:tabs>
          <w:tab w:val="left" w:pos="540"/>
          <w:tab w:val="left" w:pos="569"/>
        </w:tabs>
        <w:rPr>
          <w:bCs/>
          <w:sz w:val="22"/>
          <w:szCs w:val="22"/>
          <w:lang w:val="sr-Latn-ME"/>
        </w:rPr>
      </w:pPr>
      <w:r w:rsidRPr="00D10A3E">
        <w:rPr>
          <w:rFonts w:ascii="TimesNewRoman" w:hAnsi="TimesNewRoman" w:cs="TimesNewRoman"/>
          <w:sz w:val="22"/>
          <w:szCs w:val="22"/>
          <w:lang w:val="sr-Latn-ME" w:eastAsia="sr-Latn-ME"/>
        </w:rPr>
        <w:t>2030/22/3623 - 1658</w:t>
      </w:r>
    </w:p>
    <w:p w14:paraId="784E0F52" w14:textId="09B38DE4" w:rsidR="00AC0C09" w:rsidRPr="00D10A3E" w:rsidRDefault="00AC0C09" w:rsidP="00480FB1">
      <w:pPr>
        <w:tabs>
          <w:tab w:val="left" w:pos="540"/>
          <w:tab w:val="left" w:pos="569"/>
        </w:tabs>
        <w:rPr>
          <w:bCs/>
          <w:sz w:val="22"/>
          <w:szCs w:val="22"/>
          <w:lang w:val="sr-Latn-ME"/>
        </w:rPr>
      </w:pPr>
    </w:p>
    <w:p w14:paraId="48571D26" w14:textId="77777777" w:rsidR="00AC0C09" w:rsidRPr="00D10A3E" w:rsidRDefault="00AC0C09" w:rsidP="00480FB1">
      <w:pPr>
        <w:tabs>
          <w:tab w:val="left" w:pos="540"/>
          <w:tab w:val="left" w:pos="569"/>
        </w:tabs>
        <w:rPr>
          <w:bCs/>
          <w:sz w:val="22"/>
          <w:szCs w:val="22"/>
          <w:lang w:val="sr-Latn-ME"/>
        </w:rPr>
      </w:pPr>
    </w:p>
    <w:p w14:paraId="0FFD8FFE" w14:textId="77777777" w:rsidR="0072020E" w:rsidRPr="00D10A3E" w:rsidRDefault="0072020E" w:rsidP="00480FB1">
      <w:pPr>
        <w:tabs>
          <w:tab w:val="left" w:pos="540"/>
          <w:tab w:val="left" w:pos="569"/>
        </w:tabs>
        <w:rPr>
          <w:b/>
          <w:bCs/>
          <w:sz w:val="22"/>
          <w:szCs w:val="22"/>
          <w:lang w:val="sr-Latn-ME"/>
        </w:rPr>
      </w:pPr>
      <w:r w:rsidRPr="00D10A3E">
        <w:rPr>
          <w:b/>
          <w:bCs/>
          <w:sz w:val="22"/>
          <w:szCs w:val="22"/>
          <w:lang w:val="sr-Latn-ME"/>
        </w:rPr>
        <w:t xml:space="preserve">9. </w:t>
      </w:r>
      <w:r w:rsidR="00480FB1" w:rsidRPr="00D10A3E">
        <w:rPr>
          <w:b/>
          <w:bCs/>
          <w:sz w:val="22"/>
          <w:szCs w:val="22"/>
          <w:lang w:val="sr-Latn-ME"/>
        </w:rPr>
        <w:tab/>
      </w:r>
      <w:r w:rsidRPr="00D10A3E">
        <w:rPr>
          <w:b/>
          <w:bCs/>
          <w:sz w:val="22"/>
          <w:szCs w:val="22"/>
          <w:lang w:val="sr-Latn-ME"/>
        </w:rPr>
        <w:t xml:space="preserve">DATUM </w:t>
      </w:r>
      <w:r w:rsidR="00C05DF8" w:rsidRPr="00D10A3E">
        <w:rPr>
          <w:b/>
          <w:bCs/>
          <w:sz w:val="22"/>
          <w:szCs w:val="22"/>
          <w:lang w:val="sr-Latn-ME"/>
        </w:rPr>
        <w:t xml:space="preserve">PRVE </w:t>
      </w:r>
      <w:r w:rsidR="008A6D43" w:rsidRPr="00D10A3E">
        <w:rPr>
          <w:b/>
          <w:bCs/>
          <w:sz w:val="22"/>
          <w:szCs w:val="22"/>
          <w:lang w:val="sr-Latn-ME"/>
        </w:rPr>
        <w:t>DOZVOLE</w:t>
      </w:r>
      <w:r w:rsidR="00C05DF8" w:rsidRPr="00D10A3E">
        <w:rPr>
          <w:b/>
          <w:bCs/>
          <w:sz w:val="22"/>
          <w:szCs w:val="22"/>
          <w:lang w:val="sr-Latn-ME"/>
        </w:rPr>
        <w:t>/OBNOVE DOZVOLE</w:t>
      </w:r>
      <w:r w:rsidR="008A6D43" w:rsidRPr="00D10A3E">
        <w:rPr>
          <w:b/>
          <w:bCs/>
          <w:sz w:val="22"/>
          <w:szCs w:val="22"/>
          <w:lang w:val="sr-Latn-ME"/>
        </w:rPr>
        <w:t xml:space="preserve"> ZA STAVLJANJE LIJEKA U PROMET</w:t>
      </w:r>
    </w:p>
    <w:p w14:paraId="0D89C9EF" w14:textId="77777777" w:rsidR="0072020E" w:rsidRPr="00D10A3E" w:rsidRDefault="0072020E" w:rsidP="00480FB1">
      <w:pPr>
        <w:tabs>
          <w:tab w:val="left" w:pos="540"/>
          <w:tab w:val="left" w:pos="569"/>
        </w:tabs>
        <w:rPr>
          <w:bCs/>
          <w:sz w:val="22"/>
          <w:szCs w:val="22"/>
          <w:lang w:val="sr-Latn-ME"/>
        </w:rPr>
      </w:pPr>
    </w:p>
    <w:p w14:paraId="7A149450" w14:textId="081AF64A" w:rsidR="00836B35" w:rsidRPr="00D10A3E" w:rsidRDefault="00D10A3E" w:rsidP="00480FB1">
      <w:pPr>
        <w:tabs>
          <w:tab w:val="left" w:pos="540"/>
          <w:tab w:val="left" w:pos="569"/>
        </w:tabs>
        <w:rPr>
          <w:bCs/>
          <w:sz w:val="22"/>
          <w:szCs w:val="22"/>
          <w:lang w:val="sr-Latn-ME"/>
        </w:rPr>
      </w:pPr>
      <w:r w:rsidRPr="00D10A3E">
        <w:rPr>
          <w:rFonts w:ascii="TimesNewRoman" w:hAnsi="TimesNewRoman" w:cs="TimesNewRoman"/>
          <w:sz w:val="22"/>
          <w:szCs w:val="22"/>
          <w:lang w:val="sr-Latn-ME" w:eastAsia="sr-Latn-ME"/>
        </w:rPr>
        <w:t>07.12.2022. godine</w:t>
      </w:r>
    </w:p>
    <w:p w14:paraId="6E9EFCD6" w14:textId="68AD50C2" w:rsidR="00AC0C09" w:rsidRPr="00D10A3E" w:rsidRDefault="00AC0C09" w:rsidP="00480FB1">
      <w:pPr>
        <w:tabs>
          <w:tab w:val="left" w:pos="540"/>
          <w:tab w:val="left" w:pos="569"/>
        </w:tabs>
        <w:rPr>
          <w:bCs/>
          <w:sz w:val="22"/>
          <w:szCs w:val="22"/>
          <w:lang w:val="sr-Latn-ME"/>
        </w:rPr>
      </w:pPr>
    </w:p>
    <w:p w14:paraId="5C000EBF" w14:textId="77777777" w:rsidR="00AC0C09" w:rsidRPr="00D10A3E" w:rsidRDefault="00AC0C09" w:rsidP="00480FB1">
      <w:pPr>
        <w:tabs>
          <w:tab w:val="left" w:pos="540"/>
          <w:tab w:val="left" w:pos="569"/>
        </w:tabs>
        <w:rPr>
          <w:bCs/>
          <w:sz w:val="22"/>
          <w:szCs w:val="22"/>
          <w:lang w:val="sr-Latn-ME"/>
        </w:rPr>
      </w:pPr>
    </w:p>
    <w:p w14:paraId="028AADA3" w14:textId="77777777" w:rsidR="003F6A59" w:rsidRPr="00D10A3E" w:rsidRDefault="0072020E" w:rsidP="00C05DF8">
      <w:pPr>
        <w:tabs>
          <w:tab w:val="left" w:pos="540"/>
          <w:tab w:val="left" w:pos="569"/>
        </w:tabs>
        <w:ind w:left="540" w:hanging="540"/>
        <w:rPr>
          <w:bCs/>
          <w:sz w:val="22"/>
          <w:szCs w:val="22"/>
          <w:lang w:val="sr-Latn-ME"/>
        </w:rPr>
      </w:pPr>
      <w:r w:rsidRPr="00D10A3E">
        <w:rPr>
          <w:b/>
          <w:bCs/>
          <w:sz w:val="22"/>
          <w:szCs w:val="22"/>
          <w:lang w:val="sr-Latn-ME"/>
        </w:rPr>
        <w:t xml:space="preserve">10. </w:t>
      </w:r>
      <w:r w:rsidR="00480FB1" w:rsidRPr="00D10A3E">
        <w:rPr>
          <w:b/>
          <w:bCs/>
          <w:sz w:val="22"/>
          <w:szCs w:val="22"/>
          <w:lang w:val="sr-Latn-ME"/>
        </w:rPr>
        <w:tab/>
      </w:r>
      <w:r w:rsidR="002846DB" w:rsidRPr="00D10A3E">
        <w:rPr>
          <w:b/>
          <w:bCs/>
          <w:sz w:val="22"/>
          <w:szCs w:val="22"/>
          <w:lang w:val="sr-Latn-ME"/>
        </w:rPr>
        <w:t>D</w:t>
      </w:r>
      <w:r w:rsidR="00EC2532" w:rsidRPr="00D10A3E">
        <w:rPr>
          <w:b/>
          <w:bCs/>
          <w:sz w:val="22"/>
          <w:szCs w:val="22"/>
          <w:lang w:val="sr-Latn-ME"/>
        </w:rPr>
        <w:t xml:space="preserve">ATUM REVIZIJE TEKSTA </w:t>
      </w:r>
    </w:p>
    <w:p w14:paraId="1D340156" w14:textId="77777777" w:rsidR="003F6A59" w:rsidRPr="00D10A3E" w:rsidRDefault="003F6A59" w:rsidP="00480FB1">
      <w:pPr>
        <w:tabs>
          <w:tab w:val="left" w:pos="540"/>
          <w:tab w:val="left" w:pos="569"/>
        </w:tabs>
        <w:rPr>
          <w:bCs/>
          <w:sz w:val="22"/>
          <w:szCs w:val="22"/>
          <w:lang w:val="sr-Latn-ME"/>
        </w:rPr>
      </w:pPr>
    </w:p>
    <w:p w14:paraId="6F23FFC8" w14:textId="77777777" w:rsidR="008A6D43" w:rsidRPr="00D10A3E" w:rsidRDefault="008A6D43" w:rsidP="00480FB1">
      <w:pPr>
        <w:tabs>
          <w:tab w:val="left" w:pos="540"/>
          <w:tab w:val="left" w:pos="569"/>
        </w:tabs>
        <w:rPr>
          <w:bCs/>
          <w:sz w:val="22"/>
          <w:szCs w:val="22"/>
          <w:lang w:val="sr-Latn-ME"/>
        </w:rPr>
      </w:pPr>
    </w:p>
    <w:p w14:paraId="1F70ECE1" w14:textId="518A2D94" w:rsidR="00702E22" w:rsidRPr="00D10A3E" w:rsidRDefault="00D10A3E" w:rsidP="002352F8">
      <w:pPr>
        <w:tabs>
          <w:tab w:val="left" w:pos="540"/>
          <w:tab w:val="left" w:pos="569"/>
        </w:tabs>
        <w:rPr>
          <w:i/>
          <w:iCs/>
          <w:color w:val="808080"/>
          <w:sz w:val="22"/>
          <w:szCs w:val="22"/>
          <w:lang w:val="sr-Latn-ME"/>
        </w:rPr>
      </w:pPr>
      <w:r w:rsidRPr="00D10A3E">
        <w:rPr>
          <w:rFonts w:ascii="TimesNewRoman" w:hAnsi="TimesNewRoman" w:cs="TimesNewRoman"/>
          <w:sz w:val="22"/>
          <w:szCs w:val="22"/>
          <w:lang w:val="sr-Latn-ME" w:eastAsia="sr-Latn-ME"/>
        </w:rPr>
        <w:t>Decembar, 2022. godine</w:t>
      </w:r>
    </w:p>
    <w:p w14:paraId="4A3C49C1" w14:textId="5447A39B" w:rsidR="003F6A59" w:rsidRPr="00D10A3E" w:rsidRDefault="003F6A59" w:rsidP="00DE3F5C">
      <w:pPr>
        <w:rPr>
          <w:sz w:val="22"/>
          <w:szCs w:val="22"/>
          <w:lang w:val="sr-Latn-ME"/>
        </w:rPr>
      </w:pPr>
    </w:p>
    <w:sectPr w:rsidR="003F6A59" w:rsidRPr="00D10A3E"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84FC4" w14:textId="77777777" w:rsidR="0020430E" w:rsidRDefault="0020430E">
      <w:r>
        <w:separator/>
      </w:r>
    </w:p>
  </w:endnote>
  <w:endnote w:type="continuationSeparator" w:id="0">
    <w:p w14:paraId="411C8CD0" w14:textId="77777777" w:rsidR="0020430E" w:rsidRDefault="00204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00"/>
    <w:family w:val="roman"/>
    <w:notTrueType/>
    <w:pitch w:val="default"/>
    <w:sig w:usb0="00000087" w:usb1="08070000" w:usb2="00000010" w:usb3="00000000" w:csb0="0002000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E7F7C" w14:textId="046DAFED" w:rsidR="0017024F" w:rsidRPr="00B23F69" w:rsidRDefault="0017024F"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425570">
      <w:rPr>
        <w:noProof/>
        <w:sz w:val="22"/>
        <w:szCs w:val="22"/>
      </w:rPr>
      <w:t>15</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425570">
      <w:rPr>
        <w:noProof/>
        <w:sz w:val="22"/>
        <w:szCs w:val="22"/>
      </w:rPr>
      <w:t>15</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61FFF" w14:textId="77777777" w:rsidR="0020430E" w:rsidRDefault="0020430E">
      <w:r>
        <w:separator/>
      </w:r>
    </w:p>
  </w:footnote>
  <w:footnote w:type="continuationSeparator" w:id="0">
    <w:p w14:paraId="61FC3DD4" w14:textId="77777777" w:rsidR="0020430E" w:rsidRDefault="002043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65pt;height:13.7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043521D"/>
    <w:multiLevelType w:val="hybridMultilevel"/>
    <w:tmpl w:val="EDF0C9B0"/>
    <w:lvl w:ilvl="0" w:tplc="08090001">
      <w:numFmt w:val="bullet"/>
      <w:lvlText w:val=""/>
      <w:lvlJc w:val="left"/>
      <w:pPr>
        <w:ind w:left="363" w:hanging="360"/>
      </w:pPr>
      <w:rPr>
        <w:rFonts w:ascii="Symbol" w:eastAsia="Times New Roman" w:hAnsi="Symbol"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0"/>
  </w:num>
  <w:num w:numId="4">
    <w:abstractNumId w:val="9"/>
  </w:num>
  <w:num w:numId="5">
    <w:abstractNumId w:val="5"/>
  </w:num>
  <w:num w:numId="6">
    <w:abstractNumId w:val="1"/>
  </w:num>
  <w:num w:numId="7">
    <w:abstractNumId w:val="8"/>
  </w:num>
  <w:num w:numId="8">
    <w:abstractNumId w:val="4"/>
  </w:num>
  <w:num w:numId="9">
    <w:abstractNumId w:val="7"/>
  </w:num>
  <w:num w:numId="10">
    <w:abstractNumId w:val="11"/>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197D"/>
    <w:rsid w:val="00036FA0"/>
    <w:rsid w:val="0003793F"/>
    <w:rsid w:val="00057E35"/>
    <w:rsid w:val="00076726"/>
    <w:rsid w:val="00080303"/>
    <w:rsid w:val="000A3F58"/>
    <w:rsid w:val="000A71FF"/>
    <w:rsid w:val="000D2343"/>
    <w:rsid w:val="000D3449"/>
    <w:rsid w:val="000D425A"/>
    <w:rsid w:val="000D4BBB"/>
    <w:rsid w:val="000D60CC"/>
    <w:rsid w:val="000E2084"/>
    <w:rsid w:val="000E6F55"/>
    <w:rsid w:val="000F77FA"/>
    <w:rsid w:val="00107A30"/>
    <w:rsid w:val="00107BF7"/>
    <w:rsid w:val="00126F53"/>
    <w:rsid w:val="0014766D"/>
    <w:rsid w:val="001536CC"/>
    <w:rsid w:val="00163B4A"/>
    <w:rsid w:val="0017024F"/>
    <w:rsid w:val="001805DC"/>
    <w:rsid w:val="001962E6"/>
    <w:rsid w:val="001A3FBA"/>
    <w:rsid w:val="001A5518"/>
    <w:rsid w:val="001B1C6A"/>
    <w:rsid w:val="001B2720"/>
    <w:rsid w:val="001B5C47"/>
    <w:rsid w:val="001C1263"/>
    <w:rsid w:val="001C1417"/>
    <w:rsid w:val="001D06D0"/>
    <w:rsid w:val="001E390B"/>
    <w:rsid w:val="001F42FB"/>
    <w:rsid w:val="001F719A"/>
    <w:rsid w:val="002031B3"/>
    <w:rsid w:val="0020430E"/>
    <w:rsid w:val="00215931"/>
    <w:rsid w:val="00216470"/>
    <w:rsid w:val="00224C91"/>
    <w:rsid w:val="00227BDB"/>
    <w:rsid w:val="00234CB1"/>
    <w:rsid w:val="002352F8"/>
    <w:rsid w:val="002510A5"/>
    <w:rsid w:val="00254A0A"/>
    <w:rsid w:val="00266046"/>
    <w:rsid w:val="00271855"/>
    <w:rsid w:val="002761D7"/>
    <w:rsid w:val="002846DB"/>
    <w:rsid w:val="00284CCD"/>
    <w:rsid w:val="002A2FA3"/>
    <w:rsid w:val="002B4B5C"/>
    <w:rsid w:val="002C6637"/>
    <w:rsid w:val="002C6861"/>
    <w:rsid w:val="002E0135"/>
    <w:rsid w:val="002E37A5"/>
    <w:rsid w:val="00310F03"/>
    <w:rsid w:val="003247D2"/>
    <w:rsid w:val="003445C1"/>
    <w:rsid w:val="00355B61"/>
    <w:rsid w:val="00362686"/>
    <w:rsid w:val="00364E02"/>
    <w:rsid w:val="00370DE8"/>
    <w:rsid w:val="00371510"/>
    <w:rsid w:val="00396DFD"/>
    <w:rsid w:val="003A7059"/>
    <w:rsid w:val="003B7A36"/>
    <w:rsid w:val="003C17AB"/>
    <w:rsid w:val="003C7823"/>
    <w:rsid w:val="003E1DCC"/>
    <w:rsid w:val="003F11A1"/>
    <w:rsid w:val="003F6A59"/>
    <w:rsid w:val="004065C8"/>
    <w:rsid w:val="004109FA"/>
    <w:rsid w:val="00411B4B"/>
    <w:rsid w:val="00415BEE"/>
    <w:rsid w:val="00425570"/>
    <w:rsid w:val="00427F85"/>
    <w:rsid w:val="00436F42"/>
    <w:rsid w:val="004378B4"/>
    <w:rsid w:val="00451314"/>
    <w:rsid w:val="00452E9D"/>
    <w:rsid w:val="004534C7"/>
    <w:rsid w:val="00456F65"/>
    <w:rsid w:val="004671AA"/>
    <w:rsid w:val="00480FB1"/>
    <w:rsid w:val="00483928"/>
    <w:rsid w:val="004C331F"/>
    <w:rsid w:val="004D0E29"/>
    <w:rsid w:val="004D6103"/>
    <w:rsid w:val="004E3BCE"/>
    <w:rsid w:val="004E70AD"/>
    <w:rsid w:val="004E7C9D"/>
    <w:rsid w:val="004F0E97"/>
    <w:rsid w:val="00501DD1"/>
    <w:rsid w:val="00515C21"/>
    <w:rsid w:val="00525104"/>
    <w:rsid w:val="005277F8"/>
    <w:rsid w:val="00530BD7"/>
    <w:rsid w:val="00545CD2"/>
    <w:rsid w:val="005476F3"/>
    <w:rsid w:val="00572527"/>
    <w:rsid w:val="00573E40"/>
    <w:rsid w:val="00576348"/>
    <w:rsid w:val="00580541"/>
    <w:rsid w:val="00594ED2"/>
    <w:rsid w:val="005A0B2E"/>
    <w:rsid w:val="005A23D2"/>
    <w:rsid w:val="005A36CB"/>
    <w:rsid w:val="005B49B8"/>
    <w:rsid w:val="005C0741"/>
    <w:rsid w:val="005C4A4B"/>
    <w:rsid w:val="005C5EF4"/>
    <w:rsid w:val="005E2E0B"/>
    <w:rsid w:val="005E7A7D"/>
    <w:rsid w:val="005F0F31"/>
    <w:rsid w:val="00602457"/>
    <w:rsid w:val="00606BB0"/>
    <w:rsid w:val="00637EF5"/>
    <w:rsid w:val="00644FC3"/>
    <w:rsid w:val="00646BD1"/>
    <w:rsid w:val="006561C2"/>
    <w:rsid w:val="006614C4"/>
    <w:rsid w:val="00671CB3"/>
    <w:rsid w:val="00674BAF"/>
    <w:rsid w:val="00682200"/>
    <w:rsid w:val="00692BF6"/>
    <w:rsid w:val="006A1497"/>
    <w:rsid w:val="006B0BD1"/>
    <w:rsid w:val="006B32D6"/>
    <w:rsid w:val="006B5404"/>
    <w:rsid w:val="006D20A5"/>
    <w:rsid w:val="006D37BF"/>
    <w:rsid w:val="007019B9"/>
    <w:rsid w:val="00702E22"/>
    <w:rsid w:val="00706B5E"/>
    <w:rsid w:val="0072020E"/>
    <w:rsid w:val="007276D8"/>
    <w:rsid w:val="00786071"/>
    <w:rsid w:val="0079247C"/>
    <w:rsid w:val="00792E86"/>
    <w:rsid w:val="007A3ECB"/>
    <w:rsid w:val="007D34E7"/>
    <w:rsid w:val="007D6B39"/>
    <w:rsid w:val="007D7BB3"/>
    <w:rsid w:val="00815CFE"/>
    <w:rsid w:val="00824AB9"/>
    <w:rsid w:val="00836B35"/>
    <w:rsid w:val="00843BDE"/>
    <w:rsid w:val="0087588C"/>
    <w:rsid w:val="008930D3"/>
    <w:rsid w:val="00894398"/>
    <w:rsid w:val="0089705C"/>
    <w:rsid w:val="008A6D43"/>
    <w:rsid w:val="008B491E"/>
    <w:rsid w:val="008C1A28"/>
    <w:rsid w:val="008C256F"/>
    <w:rsid w:val="008C2E98"/>
    <w:rsid w:val="008E49BD"/>
    <w:rsid w:val="008E53E9"/>
    <w:rsid w:val="008E5771"/>
    <w:rsid w:val="008F4ACF"/>
    <w:rsid w:val="00924166"/>
    <w:rsid w:val="00924BE5"/>
    <w:rsid w:val="00925438"/>
    <w:rsid w:val="00940B9B"/>
    <w:rsid w:val="00950F06"/>
    <w:rsid w:val="0095676E"/>
    <w:rsid w:val="00956983"/>
    <w:rsid w:val="00963CF0"/>
    <w:rsid w:val="00964BB1"/>
    <w:rsid w:val="009656F0"/>
    <w:rsid w:val="009722E1"/>
    <w:rsid w:val="009775D9"/>
    <w:rsid w:val="00993379"/>
    <w:rsid w:val="00997175"/>
    <w:rsid w:val="009A1847"/>
    <w:rsid w:val="009B062A"/>
    <w:rsid w:val="009E6E4C"/>
    <w:rsid w:val="009E7C6F"/>
    <w:rsid w:val="009F1793"/>
    <w:rsid w:val="009F1E24"/>
    <w:rsid w:val="009F2D23"/>
    <w:rsid w:val="009F5113"/>
    <w:rsid w:val="00A01D69"/>
    <w:rsid w:val="00A02335"/>
    <w:rsid w:val="00A174C3"/>
    <w:rsid w:val="00A3220F"/>
    <w:rsid w:val="00A32950"/>
    <w:rsid w:val="00A33565"/>
    <w:rsid w:val="00A46781"/>
    <w:rsid w:val="00A46C9A"/>
    <w:rsid w:val="00A51340"/>
    <w:rsid w:val="00A52822"/>
    <w:rsid w:val="00A619F3"/>
    <w:rsid w:val="00A62A73"/>
    <w:rsid w:val="00A85432"/>
    <w:rsid w:val="00A87FF6"/>
    <w:rsid w:val="00A9071E"/>
    <w:rsid w:val="00AA0A3B"/>
    <w:rsid w:val="00AA2763"/>
    <w:rsid w:val="00AA33B6"/>
    <w:rsid w:val="00AB50CA"/>
    <w:rsid w:val="00AB6D64"/>
    <w:rsid w:val="00AC0C09"/>
    <w:rsid w:val="00AC53CE"/>
    <w:rsid w:val="00AD2193"/>
    <w:rsid w:val="00AF2AC7"/>
    <w:rsid w:val="00AF74CE"/>
    <w:rsid w:val="00B208DB"/>
    <w:rsid w:val="00B23F69"/>
    <w:rsid w:val="00B37D33"/>
    <w:rsid w:val="00B60619"/>
    <w:rsid w:val="00B66A70"/>
    <w:rsid w:val="00B67366"/>
    <w:rsid w:val="00B73F2A"/>
    <w:rsid w:val="00B80794"/>
    <w:rsid w:val="00B80EE1"/>
    <w:rsid w:val="00B84135"/>
    <w:rsid w:val="00BB00D1"/>
    <w:rsid w:val="00BD19C2"/>
    <w:rsid w:val="00BD78F9"/>
    <w:rsid w:val="00C04D34"/>
    <w:rsid w:val="00C05DF8"/>
    <w:rsid w:val="00C06864"/>
    <w:rsid w:val="00C10F54"/>
    <w:rsid w:val="00C17465"/>
    <w:rsid w:val="00C23D8D"/>
    <w:rsid w:val="00C33714"/>
    <w:rsid w:val="00C37AA3"/>
    <w:rsid w:val="00C37FD7"/>
    <w:rsid w:val="00C43419"/>
    <w:rsid w:val="00C44CF3"/>
    <w:rsid w:val="00C602CE"/>
    <w:rsid w:val="00C61BE0"/>
    <w:rsid w:val="00C6707E"/>
    <w:rsid w:val="00C70B0E"/>
    <w:rsid w:val="00C773CA"/>
    <w:rsid w:val="00C83785"/>
    <w:rsid w:val="00C94C0D"/>
    <w:rsid w:val="00CA1FEB"/>
    <w:rsid w:val="00CC7002"/>
    <w:rsid w:val="00CD4F85"/>
    <w:rsid w:val="00CD6F02"/>
    <w:rsid w:val="00CE080D"/>
    <w:rsid w:val="00CE246D"/>
    <w:rsid w:val="00CF07A0"/>
    <w:rsid w:val="00CF3E03"/>
    <w:rsid w:val="00D0082A"/>
    <w:rsid w:val="00D10A3E"/>
    <w:rsid w:val="00D21455"/>
    <w:rsid w:val="00D23E08"/>
    <w:rsid w:val="00D47634"/>
    <w:rsid w:val="00D55198"/>
    <w:rsid w:val="00D62876"/>
    <w:rsid w:val="00D709B3"/>
    <w:rsid w:val="00D934EC"/>
    <w:rsid w:val="00DA2ED6"/>
    <w:rsid w:val="00DA43C4"/>
    <w:rsid w:val="00DB76B8"/>
    <w:rsid w:val="00DC2EA1"/>
    <w:rsid w:val="00DD6AAF"/>
    <w:rsid w:val="00DE3F5C"/>
    <w:rsid w:val="00DF1D20"/>
    <w:rsid w:val="00E21324"/>
    <w:rsid w:val="00E23255"/>
    <w:rsid w:val="00E246B9"/>
    <w:rsid w:val="00E246DC"/>
    <w:rsid w:val="00E31FEA"/>
    <w:rsid w:val="00E45169"/>
    <w:rsid w:val="00E47787"/>
    <w:rsid w:val="00E51C30"/>
    <w:rsid w:val="00E56CC1"/>
    <w:rsid w:val="00E64180"/>
    <w:rsid w:val="00E74AEE"/>
    <w:rsid w:val="00E868E5"/>
    <w:rsid w:val="00E9237A"/>
    <w:rsid w:val="00E939FA"/>
    <w:rsid w:val="00EA5765"/>
    <w:rsid w:val="00EC2532"/>
    <w:rsid w:val="00ED7812"/>
    <w:rsid w:val="00EF3B86"/>
    <w:rsid w:val="00F317E9"/>
    <w:rsid w:val="00F34554"/>
    <w:rsid w:val="00F45F77"/>
    <w:rsid w:val="00F46F4C"/>
    <w:rsid w:val="00F5167F"/>
    <w:rsid w:val="00F52258"/>
    <w:rsid w:val="00F64A3F"/>
    <w:rsid w:val="00F8570A"/>
    <w:rsid w:val="00F91C7B"/>
    <w:rsid w:val="00F92051"/>
    <w:rsid w:val="00FB4A31"/>
    <w:rsid w:val="00FE0F45"/>
    <w:rsid w:val="00FE46CA"/>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B07B99"/>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ListParagraph">
    <w:name w:val="List Paragraph"/>
    <w:basedOn w:val="Normal"/>
    <w:uiPriority w:val="34"/>
    <w:qFormat/>
    <w:rsid w:val="005F0F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6B110-77FC-4158-8819-77D32BA9A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15</Pages>
  <Words>6436</Words>
  <Characters>36689</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43039</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Aleksandra Minić</cp:lastModifiedBy>
  <cp:revision>13</cp:revision>
  <dcterms:created xsi:type="dcterms:W3CDTF">2022-11-29T11:18:00Z</dcterms:created>
  <dcterms:modified xsi:type="dcterms:W3CDTF">2024-10-11T07:10:00Z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