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194" w:rsidRDefault="00FC2E72">
      <w:pPr>
        <w:jc w:val="center"/>
        <w:rPr>
          <w:b/>
          <w:bCs/>
          <w:iCs/>
          <w:szCs w:val="22"/>
          <w:u w:val="single"/>
          <w:lang w:val="sr-Latn-ME"/>
        </w:rPr>
      </w:pPr>
      <w:r>
        <w:rPr>
          <w:b/>
          <w:bCs/>
          <w:iCs/>
          <w:szCs w:val="22"/>
          <w:u w:val="single"/>
          <w:lang w:val="sr-Latn-ME"/>
        </w:rPr>
        <w:t>SAŽETAK KA</w:t>
      </w:r>
      <w:bookmarkStart w:id="0" w:name="_GoBack"/>
      <w:bookmarkEnd w:id="0"/>
      <w:r>
        <w:rPr>
          <w:b/>
          <w:bCs/>
          <w:iCs/>
          <w:szCs w:val="22"/>
          <w:u w:val="single"/>
          <w:lang w:val="sr-Latn-ME"/>
        </w:rPr>
        <w:t>RAKTERISTIKA LIJEKA</w:t>
      </w:r>
    </w:p>
    <w:p w:rsidR="00EA0194" w:rsidRDefault="00EA0194">
      <w:pPr>
        <w:jc w:val="center"/>
        <w:rPr>
          <w:b/>
          <w:bCs/>
          <w:iCs/>
          <w:szCs w:val="22"/>
          <w:u w:val="single"/>
          <w:lang w:val="sr-Latn-ME"/>
        </w:rPr>
      </w:pPr>
    </w:p>
    <w:p w:rsidR="00EA0194" w:rsidRDefault="00EA0194">
      <w:pPr>
        <w:spacing w:after="40"/>
        <w:rPr>
          <w:b/>
          <w:bCs/>
          <w:szCs w:val="22"/>
          <w:u w:val="single"/>
          <w:lang w:val="sr-Latn-ME"/>
        </w:rPr>
      </w:pPr>
    </w:p>
    <w:p w:rsidR="00EA0194" w:rsidRDefault="00FC2E72">
      <w:pPr>
        <w:widowControl w:val="0"/>
        <w:numPr>
          <w:ilvl w:val="0"/>
          <w:numId w:val="26"/>
        </w:numPr>
        <w:spacing w:line="240" w:lineRule="auto"/>
        <w:ind w:left="567"/>
        <w:jc w:val="both"/>
        <w:rPr>
          <w:b/>
          <w:szCs w:val="22"/>
          <w:lang w:val="sr-Latn-ME"/>
        </w:rPr>
      </w:pPr>
      <w:r>
        <w:rPr>
          <w:b/>
          <w:szCs w:val="22"/>
          <w:lang w:val="sr-Latn-ME"/>
        </w:rPr>
        <w:t>NAZIV LIJEKA</w:t>
      </w:r>
    </w:p>
    <w:p w:rsidR="00EA0194" w:rsidRDefault="00EA0194">
      <w:pPr>
        <w:widowControl w:val="0"/>
        <w:ind w:left="930"/>
        <w:jc w:val="both"/>
        <w:rPr>
          <w:b/>
          <w:szCs w:val="22"/>
          <w:lang w:val="sr-Latn-ME"/>
        </w:rPr>
      </w:pPr>
    </w:p>
    <w:p w:rsidR="00EA0194" w:rsidRDefault="00FC2E72">
      <w:pPr>
        <w:widowControl w:val="0"/>
        <w:rPr>
          <w:iCs/>
          <w:szCs w:val="22"/>
          <w:lang w:val="sr-Latn-ME"/>
        </w:rPr>
      </w:pPr>
      <w:r>
        <w:rPr>
          <w:szCs w:val="22"/>
          <w:lang w:val="sr-Latn-ME"/>
        </w:rPr>
        <w:t>Maysiglu, 50 mg, film tableta</w:t>
      </w:r>
    </w:p>
    <w:p w:rsidR="00EA0194" w:rsidRDefault="00FC2E72">
      <w:pPr>
        <w:widowControl w:val="0"/>
        <w:rPr>
          <w:iCs/>
          <w:szCs w:val="22"/>
          <w:lang w:val="sr-Latn-ME"/>
        </w:rPr>
      </w:pPr>
      <w:r>
        <w:rPr>
          <w:szCs w:val="22"/>
          <w:lang w:val="sr-Latn-ME"/>
        </w:rPr>
        <w:t>Maysiglu, 100 mg, film tableta</w:t>
      </w:r>
    </w:p>
    <w:p w:rsidR="00EA0194" w:rsidRDefault="00EA0194">
      <w:pPr>
        <w:widowControl w:val="0"/>
        <w:jc w:val="both"/>
        <w:rPr>
          <w:szCs w:val="22"/>
          <w:lang w:val="sr-Latn-ME"/>
        </w:rPr>
      </w:pPr>
    </w:p>
    <w:p w:rsidR="00EA0194" w:rsidRDefault="00FC2E72">
      <w:pPr>
        <w:widowControl w:val="0"/>
        <w:jc w:val="both"/>
        <w:rPr>
          <w:szCs w:val="22"/>
          <w:lang w:val="sr-Latn-ME"/>
        </w:rPr>
      </w:pPr>
      <w:r>
        <w:rPr>
          <w:szCs w:val="22"/>
          <w:lang w:val="sr-Latn-ME"/>
        </w:rPr>
        <w:t>INN: sitagliptin</w:t>
      </w:r>
    </w:p>
    <w:p w:rsidR="00EA0194" w:rsidRDefault="00EA0194">
      <w:pPr>
        <w:widowControl w:val="0"/>
        <w:jc w:val="both"/>
        <w:rPr>
          <w:szCs w:val="22"/>
          <w:lang w:val="sr-Latn-ME"/>
        </w:rPr>
      </w:pPr>
    </w:p>
    <w:p w:rsidR="00EA0194" w:rsidRDefault="00EA0194">
      <w:pPr>
        <w:widowControl w:val="0"/>
        <w:jc w:val="both"/>
        <w:rPr>
          <w:szCs w:val="22"/>
          <w:lang w:val="sr-Latn-ME"/>
        </w:rPr>
      </w:pPr>
    </w:p>
    <w:p w:rsidR="00EA0194" w:rsidRDefault="00FC2E72">
      <w:pPr>
        <w:widowControl w:val="0"/>
        <w:jc w:val="both"/>
        <w:rPr>
          <w:szCs w:val="22"/>
          <w:lang w:val="sr-Latn-ME"/>
        </w:rPr>
      </w:pPr>
      <w:r>
        <w:rPr>
          <w:b/>
          <w:szCs w:val="22"/>
          <w:lang w:val="sr-Latn-ME"/>
        </w:rPr>
        <w:t>2.</w:t>
      </w:r>
      <w:r>
        <w:rPr>
          <w:b/>
          <w:szCs w:val="22"/>
          <w:lang w:val="sr-Latn-ME"/>
        </w:rPr>
        <w:tab/>
        <w:t>KVALITATIVNI I KVANTITATIVNI SASTAV</w:t>
      </w:r>
    </w:p>
    <w:p w:rsidR="00EA0194" w:rsidRDefault="00EA0194">
      <w:pPr>
        <w:widowControl w:val="0"/>
        <w:jc w:val="both"/>
        <w:rPr>
          <w:szCs w:val="22"/>
          <w:lang w:val="sr-Latn-ME"/>
        </w:rPr>
      </w:pPr>
    </w:p>
    <w:p w:rsidR="00EA0194" w:rsidRDefault="00FC2E72">
      <w:pPr>
        <w:widowControl w:val="0"/>
        <w:rPr>
          <w:i/>
          <w:iCs/>
          <w:szCs w:val="22"/>
          <w:u w:val="single"/>
          <w:lang w:val="sr-Latn-ME"/>
        </w:rPr>
      </w:pPr>
      <w:r>
        <w:rPr>
          <w:i/>
          <w:szCs w:val="22"/>
          <w:u w:val="single"/>
          <w:lang w:val="sr-Latn-ME"/>
        </w:rPr>
        <w:t>Maysiglu 50 mg film tableta</w:t>
      </w:r>
    </w:p>
    <w:p w:rsidR="00EA0194" w:rsidRDefault="00FC2E72">
      <w:pPr>
        <w:widowControl w:val="0"/>
        <w:autoSpaceDE w:val="0"/>
        <w:autoSpaceDN w:val="0"/>
        <w:adjustRightInd w:val="0"/>
        <w:jc w:val="both"/>
        <w:rPr>
          <w:szCs w:val="22"/>
          <w:lang w:val="sr-Latn-ME"/>
        </w:rPr>
      </w:pPr>
      <w:r>
        <w:rPr>
          <w:szCs w:val="22"/>
          <w:lang w:val="sr-Latn-ME"/>
        </w:rPr>
        <w:t>Svaka film tableta sadrži 50 mg sitagliptina.</w:t>
      </w:r>
    </w:p>
    <w:p w:rsidR="00EA0194" w:rsidRDefault="00EA0194">
      <w:pPr>
        <w:widowControl w:val="0"/>
        <w:autoSpaceDE w:val="0"/>
        <w:autoSpaceDN w:val="0"/>
        <w:adjustRightInd w:val="0"/>
        <w:jc w:val="both"/>
        <w:rPr>
          <w:bCs/>
          <w:szCs w:val="22"/>
          <w:lang w:val="sr-Latn-ME"/>
        </w:rPr>
      </w:pPr>
    </w:p>
    <w:p w:rsidR="00EA0194" w:rsidRDefault="00FC2E72">
      <w:pPr>
        <w:widowControl w:val="0"/>
        <w:rPr>
          <w:i/>
          <w:iCs/>
          <w:szCs w:val="22"/>
          <w:u w:val="single"/>
          <w:lang w:val="sr-Latn-ME"/>
        </w:rPr>
      </w:pPr>
      <w:r>
        <w:rPr>
          <w:i/>
          <w:szCs w:val="22"/>
          <w:u w:val="single"/>
          <w:lang w:val="sr-Latn-ME"/>
        </w:rPr>
        <w:t>Maysiglu 100 mg film tableta</w:t>
      </w:r>
    </w:p>
    <w:p w:rsidR="00EA0194" w:rsidRDefault="00FC2E72">
      <w:pPr>
        <w:widowControl w:val="0"/>
        <w:autoSpaceDE w:val="0"/>
        <w:autoSpaceDN w:val="0"/>
        <w:adjustRightInd w:val="0"/>
        <w:jc w:val="both"/>
        <w:rPr>
          <w:szCs w:val="22"/>
          <w:lang w:val="sr-Latn-ME"/>
        </w:rPr>
      </w:pPr>
      <w:r>
        <w:rPr>
          <w:szCs w:val="22"/>
          <w:lang w:val="sr-Latn-ME"/>
        </w:rPr>
        <w:t>Svaka film tableta sadrži 100 mg sitagliptina.</w:t>
      </w:r>
    </w:p>
    <w:p w:rsidR="00EA0194" w:rsidRDefault="00EA0194">
      <w:pPr>
        <w:widowControl w:val="0"/>
        <w:jc w:val="both"/>
        <w:rPr>
          <w:szCs w:val="22"/>
          <w:lang w:val="sr-Latn-ME"/>
        </w:rPr>
      </w:pPr>
    </w:p>
    <w:p w:rsidR="00EA0194" w:rsidRDefault="00FC2E72">
      <w:pPr>
        <w:widowControl w:val="0"/>
        <w:autoSpaceDE w:val="0"/>
        <w:autoSpaceDN w:val="0"/>
        <w:adjustRightInd w:val="0"/>
        <w:jc w:val="both"/>
        <w:rPr>
          <w:szCs w:val="22"/>
          <w:lang w:val="sr-Latn-ME"/>
        </w:rPr>
      </w:pPr>
      <w:r>
        <w:rPr>
          <w:szCs w:val="22"/>
          <w:lang w:val="sr-Latn-ME"/>
        </w:rPr>
        <w:t>Za spisak svih ekscipijenasa, pogledati dio 6.1.</w:t>
      </w:r>
    </w:p>
    <w:p w:rsidR="00EA0194" w:rsidRDefault="00EA0194">
      <w:pPr>
        <w:widowControl w:val="0"/>
        <w:jc w:val="both"/>
        <w:rPr>
          <w:szCs w:val="22"/>
          <w:lang w:val="sr-Latn-ME"/>
        </w:rPr>
      </w:pPr>
    </w:p>
    <w:p w:rsidR="00EA0194" w:rsidRDefault="00EA0194">
      <w:pPr>
        <w:widowControl w:val="0"/>
        <w:jc w:val="both"/>
        <w:rPr>
          <w:szCs w:val="22"/>
          <w:lang w:val="sr-Latn-ME"/>
        </w:rPr>
      </w:pPr>
    </w:p>
    <w:p w:rsidR="00EA0194" w:rsidRDefault="00FC2E72">
      <w:pPr>
        <w:widowControl w:val="0"/>
        <w:jc w:val="both"/>
        <w:rPr>
          <w:b/>
          <w:caps/>
          <w:szCs w:val="22"/>
          <w:lang w:val="sr-Latn-ME"/>
        </w:rPr>
      </w:pPr>
      <w:r>
        <w:rPr>
          <w:b/>
          <w:szCs w:val="22"/>
          <w:lang w:val="sr-Latn-ME"/>
        </w:rPr>
        <w:t>3.</w:t>
      </w:r>
      <w:r>
        <w:rPr>
          <w:b/>
          <w:szCs w:val="22"/>
          <w:lang w:val="sr-Latn-ME"/>
        </w:rPr>
        <w:tab/>
        <w:t>FARMACEUTSKI OBLIK</w:t>
      </w:r>
    </w:p>
    <w:p w:rsidR="00EA0194" w:rsidRDefault="00EA0194">
      <w:pPr>
        <w:widowControl w:val="0"/>
        <w:jc w:val="both"/>
        <w:rPr>
          <w:szCs w:val="22"/>
          <w:lang w:val="sr-Latn-ME"/>
        </w:rPr>
      </w:pPr>
    </w:p>
    <w:p w:rsidR="00EA0194" w:rsidRDefault="00FC2E72">
      <w:pPr>
        <w:widowControl w:val="0"/>
        <w:jc w:val="both"/>
        <w:rPr>
          <w:szCs w:val="22"/>
          <w:lang w:val="sr-Latn-ME"/>
        </w:rPr>
      </w:pPr>
      <w:r>
        <w:rPr>
          <w:szCs w:val="22"/>
          <w:lang w:val="sr-Latn-ME"/>
        </w:rPr>
        <w:t>Film tableta.</w:t>
      </w:r>
    </w:p>
    <w:p w:rsidR="00EA0194" w:rsidRDefault="00EA0194">
      <w:pPr>
        <w:widowControl w:val="0"/>
        <w:jc w:val="both"/>
        <w:rPr>
          <w:iCs/>
          <w:szCs w:val="22"/>
          <w:lang w:val="sr-Latn-ME"/>
        </w:rPr>
      </w:pPr>
    </w:p>
    <w:p w:rsidR="00EA0194" w:rsidRDefault="00FC2E72">
      <w:pPr>
        <w:widowControl w:val="0"/>
        <w:jc w:val="both"/>
        <w:rPr>
          <w:i/>
          <w:szCs w:val="22"/>
          <w:u w:val="single"/>
          <w:lang w:val="sr-Latn-ME"/>
        </w:rPr>
      </w:pPr>
      <w:r>
        <w:rPr>
          <w:i/>
          <w:szCs w:val="22"/>
          <w:u w:val="single"/>
          <w:lang w:val="sr-Latn-ME"/>
        </w:rPr>
        <w:t>Maysiglu 50 mg film tableta</w:t>
      </w:r>
    </w:p>
    <w:p w:rsidR="00EA0194" w:rsidRDefault="00FC2E72">
      <w:pPr>
        <w:widowControl w:val="0"/>
        <w:jc w:val="both"/>
        <w:rPr>
          <w:bCs/>
          <w:szCs w:val="22"/>
          <w:lang w:val="sr-Latn-ME"/>
        </w:rPr>
      </w:pPr>
      <w:r>
        <w:rPr>
          <w:bCs/>
          <w:szCs w:val="22"/>
          <w:lang w:val="sr-Latn-ME"/>
        </w:rPr>
        <w:t xml:space="preserve">Svijetlonarandžaste, okrugle, bikonveksne </w:t>
      </w:r>
      <w:r>
        <w:rPr>
          <w:szCs w:val="22"/>
          <w:lang w:val="sr-Latn-ME"/>
        </w:rPr>
        <w:t xml:space="preserve">film tablete </w:t>
      </w:r>
      <w:r>
        <w:rPr>
          <w:bCs/>
          <w:szCs w:val="22"/>
          <w:lang w:val="sr-Latn-ME"/>
        </w:rPr>
        <w:t xml:space="preserve">sa prorezom na jednoj strani tablete. Na tableti je utisnuta oznaka K na jednoj strani proreza i oznaka 50 na drugoj strani proreza (promjera oko 9 mm, </w:t>
      </w:r>
      <w:r>
        <w:rPr>
          <w:szCs w:val="22"/>
          <w:lang w:val="sr-Latn-ME"/>
        </w:rPr>
        <w:t xml:space="preserve">debljine </w:t>
      </w:r>
      <w:r>
        <w:rPr>
          <w:bCs/>
          <w:szCs w:val="22"/>
          <w:lang w:val="sr-Latn-ME"/>
        </w:rPr>
        <w:t>2,8 – 3,8 mm).</w:t>
      </w:r>
    </w:p>
    <w:p w:rsidR="00EA0194" w:rsidRDefault="00FC2E72">
      <w:pPr>
        <w:widowControl w:val="0"/>
        <w:jc w:val="both"/>
        <w:rPr>
          <w:szCs w:val="22"/>
          <w:lang w:val="sr-Latn-ME"/>
        </w:rPr>
      </w:pPr>
      <w:r>
        <w:rPr>
          <w:szCs w:val="22"/>
          <w:lang w:val="sr-Latn-ME"/>
        </w:rPr>
        <w:t>Tableta se može podijeliti na jednake doze.</w:t>
      </w:r>
    </w:p>
    <w:p w:rsidR="00EA0194" w:rsidRDefault="00EA0194">
      <w:pPr>
        <w:widowControl w:val="0"/>
        <w:jc w:val="both"/>
        <w:rPr>
          <w:i/>
          <w:iCs/>
          <w:szCs w:val="22"/>
          <w:u w:val="single"/>
          <w:lang w:val="sr-Latn-ME"/>
        </w:rPr>
      </w:pPr>
    </w:p>
    <w:p w:rsidR="00EA0194" w:rsidRDefault="00FC2E72">
      <w:pPr>
        <w:widowControl w:val="0"/>
        <w:jc w:val="both"/>
        <w:rPr>
          <w:bCs/>
          <w:szCs w:val="22"/>
          <w:lang w:val="sr-Latn-ME"/>
        </w:rPr>
      </w:pPr>
      <w:r>
        <w:rPr>
          <w:i/>
          <w:szCs w:val="22"/>
          <w:u w:val="single"/>
          <w:lang w:val="sr-Latn-ME"/>
        </w:rPr>
        <w:t>Maysiglu 100 mg film tableta</w:t>
      </w:r>
      <w:r>
        <w:rPr>
          <w:bCs/>
          <w:szCs w:val="22"/>
          <w:lang w:val="sr-Latn-ME"/>
        </w:rPr>
        <w:t xml:space="preserve"> </w:t>
      </w:r>
    </w:p>
    <w:p w:rsidR="00EA0194" w:rsidRDefault="00FC2E72">
      <w:pPr>
        <w:widowControl w:val="0"/>
        <w:jc w:val="both"/>
        <w:rPr>
          <w:szCs w:val="22"/>
          <w:highlight w:val="green"/>
          <w:lang w:val="sr-Latn-ME"/>
        </w:rPr>
      </w:pPr>
      <w:r>
        <w:rPr>
          <w:bCs/>
          <w:szCs w:val="22"/>
          <w:lang w:val="sr-Latn-ME"/>
        </w:rPr>
        <w:t xml:space="preserve">Smeđenarandžaste, okrugle, bikonveksne </w:t>
      </w:r>
      <w:r>
        <w:rPr>
          <w:szCs w:val="22"/>
          <w:lang w:val="sr-Latn-ME"/>
        </w:rPr>
        <w:t xml:space="preserve">film tablete </w:t>
      </w:r>
      <w:r>
        <w:rPr>
          <w:bCs/>
          <w:szCs w:val="22"/>
          <w:lang w:val="sr-Latn-ME"/>
        </w:rPr>
        <w:t>sa prorezom na jednoj strani tablete. Na tableti je utisnuta oznaka K na jednoj strani proreza i oznaka 100 na drugoj strani proreza (promjera oko 11 mm, debljine 3,3 – 4,5 mm</w:t>
      </w:r>
      <w:r>
        <w:rPr>
          <w:szCs w:val="22"/>
          <w:lang w:val="sr-Latn-ME"/>
        </w:rPr>
        <w:t>)</w:t>
      </w:r>
      <w:r>
        <w:rPr>
          <w:bCs/>
          <w:szCs w:val="22"/>
          <w:lang w:val="sr-Latn-ME"/>
        </w:rPr>
        <w:t>.</w:t>
      </w:r>
    </w:p>
    <w:p w:rsidR="00EA0194" w:rsidRDefault="00FC2E72">
      <w:pPr>
        <w:widowControl w:val="0"/>
        <w:jc w:val="both"/>
        <w:rPr>
          <w:szCs w:val="22"/>
          <w:lang w:val="sr-Latn-ME"/>
        </w:rPr>
      </w:pPr>
      <w:r>
        <w:rPr>
          <w:szCs w:val="22"/>
          <w:lang w:val="sr-Latn-ME"/>
        </w:rPr>
        <w:t>Tableta se može podijeliti na jednake doze.</w:t>
      </w:r>
    </w:p>
    <w:p w:rsidR="00EA0194" w:rsidRDefault="00EA0194">
      <w:pPr>
        <w:widowControl w:val="0"/>
        <w:jc w:val="both"/>
        <w:rPr>
          <w:szCs w:val="22"/>
          <w:lang w:val="sr-Latn-ME"/>
        </w:rPr>
      </w:pPr>
    </w:p>
    <w:p w:rsidR="00EA0194" w:rsidRDefault="00EA0194">
      <w:pPr>
        <w:widowControl w:val="0"/>
        <w:jc w:val="both"/>
        <w:rPr>
          <w:szCs w:val="22"/>
          <w:lang w:val="sr-Latn-ME"/>
        </w:rPr>
      </w:pPr>
    </w:p>
    <w:p w:rsidR="00EA0194" w:rsidRDefault="00FC2E72">
      <w:pPr>
        <w:widowControl w:val="0"/>
        <w:ind w:left="567" w:hanging="567"/>
        <w:jc w:val="both"/>
        <w:rPr>
          <w:caps/>
          <w:szCs w:val="22"/>
          <w:lang w:val="sr-Latn-ME"/>
        </w:rPr>
      </w:pPr>
      <w:r>
        <w:rPr>
          <w:b/>
          <w:caps/>
          <w:szCs w:val="22"/>
          <w:lang w:val="sr-Latn-ME"/>
        </w:rPr>
        <w:t>4.</w:t>
      </w:r>
      <w:r>
        <w:rPr>
          <w:b/>
          <w:caps/>
          <w:szCs w:val="22"/>
          <w:lang w:val="sr-Latn-ME"/>
        </w:rPr>
        <w:tab/>
        <w:t>KLINIČKI PODACI</w:t>
      </w:r>
    </w:p>
    <w:p w:rsidR="00EA0194" w:rsidRDefault="00EA0194">
      <w:pPr>
        <w:widowControl w:val="0"/>
        <w:jc w:val="both"/>
        <w:rPr>
          <w:szCs w:val="22"/>
          <w:lang w:val="sr-Latn-ME"/>
        </w:rPr>
      </w:pPr>
    </w:p>
    <w:p w:rsidR="00EA0194" w:rsidRDefault="00FC2E72">
      <w:pPr>
        <w:widowControl w:val="0"/>
        <w:ind w:left="567" w:hanging="567"/>
        <w:jc w:val="both"/>
        <w:outlineLvl w:val="0"/>
        <w:rPr>
          <w:b/>
          <w:szCs w:val="22"/>
          <w:lang w:val="sr-Latn-ME"/>
        </w:rPr>
      </w:pPr>
      <w:r>
        <w:rPr>
          <w:b/>
          <w:szCs w:val="22"/>
          <w:lang w:val="sr-Latn-ME"/>
        </w:rPr>
        <w:t>4.1</w:t>
      </w:r>
      <w:r>
        <w:rPr>
          <w:b/>
          <w:szCs w:val="22"/>
          <w:lang w:val="sr-Latn-ME"/>
        </w:rPr>
        <w:tab/>
        <w:t>Terapijske indikacije</w:t>
      </w:r>
    </w:p>
    <w:p w:rsidR="00EA0194" w:rsidRDefault="00EA0194">
      <w:pPr>
        <w:widowControl w:val="0"/>
        <w:ind w:left="567" w:hanging="567"/>
        <w:jc w:val="both"/>
        <w:outlineLvl w:val="0"/>
        <w:rPr>
          <w:b/>
          <w:szCs w:val="22"/>
          <w:lang w:val="sr-Latn-ME"/>
        </w:rPr>
      </w:pPr>
    </w:p>
    <w:p w:rsidR="00EA0194" w:rsidRDefault="00FC2E72" w:rsidP="00C92663">
      <w:pPr>
        <w:autoSpaceDE w:val="0"/>
        <w:autoSpaceDN w:val="0"/>
        <w:adjustRightInd w:val="0"/>
        <w:jc w:val="both"/>
        <w:rPr>
          <w:rFonts w:eastAsia="TimesNewRoman"/>
          <w:szCs w:val="22"/>
          <w:lang w:val="sr-Latn-ME" w:eastAsia="hr-HR"/>
        </w:rPr>
      </w:pPr>
      <w:r>
        <w:rPr>
          <w:rFonts w:eastAsia="TimesNewRoman"/>
          <w:szCs w:val="22"/>
          <w:lang w:val="sr-Latn-ME" w:eastAsia="hr-HR"/>
        </w:rPr>
        <w:t xml:space="preserve">Kod odraslih pacijenata s dijabetesom mellitus tipa 2, lijek </w:t>
      </w:r>
      <w:r>
        <w:rPr>
          <w:szCs w:val="22"/>
          <w:lang w:val="sr-Latn-ME"/>
        </w:rPr>
        <w:t xml:space="preserve">Maysiglu </w:t>
      </w:r>
      <w:r>
        <w:rPr>
          <w:rFonts w:eastAsia="TimesNewRoman"/>
          <w:szCs w:val="22"/>
          <w:lang w:val="sr-Latn-ME" w:eastAsia="hr-HR"/>
        </w:rPr>
        <w:t>je indikovan za poboljšanje regulacije glikemije:</w:t>
      </w:r>
    </w:p>
    <w:p w:rsidR="00EA0194" w:rsidRDefault="00EA0194" w:rsidP="00C92663">
      <w:pPr>
        <w:autoSpaceDE w:val="0"/>
        <w:autoSpaceDN w:val="0"/>
        <w:adjustRightInd w:val="0"/>
        <w:jc w:val="both"/>
        <w:rPr>
          <w:szCs w:val="22"/>
          <w:lang w:val="sr-Latn-ME"/>
        </w:rPr>
      </w:pPr>
    </w:p>
    <w:p w:rsidR="00EA0194" w:rsidRDefault="00FC2E72" w:rsidP="00C92663">
      <w:pPr>
        <w:autoSpaceDE w:val="0"/>
        <w:autoSpaceDN w:val="0"/>
        <w:adjustRightInd w:val="0"/>
        <w:jc w:val="both"/>
        <w:rPr>
          <w:szCs w:val="22"/>
          <w:lang w:val="sr-Latn-ME"/>
        </w:rPr>
      </w:pPr>
      <w:r>
        <w:rPr>
          <w:szCs w:val="22"/>
          <w:lang w:val="sr-Latn-ME"/>
        </w:rPr>
        <w:t>kao monoterapija:</w:t>
      </w:r>
    </w:p>
    <w:p w:rsidR="00EA0194" w:rsidRDefault="00EA0194" w:rsidP="00C92663">
      <w:pPr>
        <w:autoSpaceDE w:val="0"/>
        <w:autoSpaceDN w:val="0"/>
        <w:adjustRightInd w:val="0"/>
        <w:jc w:val="both"/>
        <w:rPr>
          <w:szCs w:val="22"/>
          <w:lang w:val="sr-Latn-ME"/>
        </w:rPr>
      </w:pPr>
    </w:p>
    <w:p w:rsidR="00EA0194" w:rsidRDefault="00FC2E72" w:rsidP="00C92663">
      <w:pPr>
        <w:widowControl w:val="0"/>
        <w:autoSpaceDE w:val="0"/>
        <w:autoSpaceDN w:val="0"/>
        <w:adjustRightInd w:val="0"/>
        <w:ind w:left="567" w:hanging="567"/>
        <w:jc w:val="both"/>
        <w:rPr>
          <w:szCs w:val="22"/>
          <w:lang w:val="sr-Latn-ME"/>
        </w:rPr>
      </w:pPr>
      <w:r>
        <w:rPr>
          <w:szCs w:val="22"/>
          <w:lang w:val="sr-Latn-ME"/>
        </w:rPr>
        <w:t>-</w:t>
      </w:r>
      <w:r>
        <w:rPr>
          <w:szCs w:val="22"/>
          <w:lang w:val="sr-Latn-ME"/>
        </w:rPr>
        <w:tab/>
        <w:t>kod pacijenata neodgovarajuće kontrolisanih samo dijetom i fizičkom aktivnošću i kod kojih metformin nije prikladan za liječenje zbog kontraindikacija ili nepodnošljivosti.</w:t>
      </w:r>
    </w:p>
    <w:p w:rsidR="00EA0194" w:rsidRDefault="00EA0194">
      <w:pPr>
        <w:widowControl w:val="0"/>
        <w:autoSpaceDE w:val="0"/>
        <w:autoSpaceDN w:val="0"/>
        <w:adjustRightInd w:val="0"/>
        <w:jc w:val="both"/>
        <w:rPr>
          <w:szCs w:val="22"/>
          <w:lang w:val="sr-Latn-ME"/>
        </w:rPr>
      </w:pPr>
    </w:p>
    <w:p w:rsidR="00EA0194" w:rsidRDefault="00FC2E72" w:rsidP="00C92663">
      <w:pPr>
        <w:widowControl w:val="0"/>
        <w:autoSpaceDE w:val="0"/>
        <w:autoSpaceDN w:val="0"/>
        <w:adjustRightInd w:val="0"/>
        <w:jc w:val="both"/>
        <w:rPr>
          <w:szCs w:val="22"/>
          <w:lang w:val="sr-Latn-ME"/>
        </w:rPr>
      </w:pPr>
      <w:r>
        <w:rPr>
          <w:szCs w:val="22"/>
          <w:lang w:val="sr-Latn-ME"/>
        </w:rPr>
        <w:t>kao dvojna peroralna terapija u kombinaciji:</w:t>
      </w:r>
    </w:p>
    <w:p w:rsidR="00EA0194" w:rsidRDefault="00EA0194" w:rsidP="00C92663">
      <w:pPr>
        <w:autoSpaceDE w:val="0"/>
        <w:autoSpaceDN w:val="0"/>
        <w:adjustRightInd w:val="0"/>
        <w:jc w:val="both"/>
        <w:rPr>
          <w:szCs w:val="22"/>
          <w:lang w:val="sr-Latn-ME"/>
        </w:rPr>
      </w:pPr>
    </w:p>
    <w:p w:rsidR="00EA0194" w:rsidRDefault="00FC2E72" w:rsidP="00C92663">
      <w:pPr>
        <w:numPr>
          <w:ilvl w:val="0"/>
          <w:numId w:val="27"/>
        </w:numPr>
        <w:tabs>
          <w:tab w:val="clear" w:pos="567"/>
        </w:tabs>
        <w:autoSpaceDE w:val="0"/>
        <w:autoSpaceDN w:val="0"/>
        <w:adjustRightInd w:val="0"/>
        <w:spacing w:line="240" w:lineRule="auto"/>
        <w:ind w:left="567" w:hanging="567"/>
        <w:jc w:val="both"/>
        <w:rPr>
          <w:szCs w:val="22"/>
          <w:lang w:val="sr-Latn-ME"/>
        </w:rPr>
      </w:pPr>
      <w:r>
        <w:rPr>
          <w:szCs w:val="22"/>
          <w:lang w:val="sr-Latn-ME"/>
        </w:rPr>
        <w:t>sa metforminom kada dijeta i fizička aktivnost uz samo metformin ne omogućavaju odgovarajuću regulaciju glikemije.</w:t>
      </w:r>
    </w:p>
    <w:p w:rsidR="00EA0194" w:rsidRDefault="00EA0194" w:rsidP="00C92663">
      <w:pPr>
        <w:autoSpaceDE w:val="0"/>
        <w:autoSpaceDN w:val="0"/>
        <w:adjustRightInd w:val="0"/>
        <w:jc w:val="both"/>
        <w:rPr>
          <w:szCs w:val="22"/>
          <w:lang w:val="sr-Latn-ME"/>
        </w:rPr>
      </w:pPr>
    </w:p>
    <w:p w:rsidR="00EA0194" w:rsidRDefault="00FC2E72" w:rsidP="00C92663">
      <w:pPr>
        <w:numPr>
          <w:ilvl w:val="0"/>
          <w:numId w:val="27"/>
        </w:numPr>
        <w:tabs>
          <w:tab w:val="clear" w:pos="567"/>
        </w:tabs>
        <w:autoSpaceDE w:val="0"/>
        <w:autoSpaceDN w:val="0"/>
        <w:adjustRightInd w:val="0"/>
        <w:spacing w:line="240" w:lineRule="auto"/>
        <w:ind w:left="567" w:hanging="567"/>
        <w:jc w:val="both"/>
        <w:rPr>
          <w:rFonts w:eastAsia="TimesNewRoman"/>
          <w:szCs w:val="22"/>
          <w:lang w:val="sr-Latn-ME" w:eastAsia="hr-HR"/>
        </w:rPr>
      </w:pPr>
      <w:r>
        <w:rPr>
          <w:rFonts w:eastAsia="TimesNewRoman"/>
          <w:szCs w:val="22"/>
          <w:lang w:val="sr-Latn-ME" w:eastAsia="hr-HR"/>
        </w:rPr>
        <w:t xml:space="preserve">sa sulfonilurejom kada dijeta i </w:t>
      </w:r>
      <w:r>
        <w:rPr>
          <w:szCs w:val="22"/>
          <w:lang w:val="sr-Latn-ME"/>
        </w:rPr>
        <w:t>fizička aktivnost</w:t>
      </w:r>
      <w:r>
        <w:rPr>
          <w:rFonts w:eastAsia="TimesNewRoman"/>
          <w:szCs w:val="22"/>
          <w:lang w:val="sr-Latn-ME" w:eastAsia="hr-HR"/>
        </w:rPr>
        <w:t xml:space="preserve"> uz najvišu podnošljivu dozu same sulfonilureje ne omogućavaju odgovarajuću regulaciju glikemije, a metformin nije prikladan za liječenje zbog kontraindikacija ili nepodnošljivosti.</w:t>
      </w:r>
    </w:p>
    <w:p w:rsidR="00EA0194" w:rsidRDefault="00EA0194" w:rsidP="00C92663">
      <w:pPr>
        <w:autoSpaceDE w:val="0"/>
        <w:autoSpaceDN w:val="0"/>
        <w:adjustRightInd w:val="0"/>
        <w:ind w:left="360"/>
        <w:jc w:val="both"/>
        <w:rPr>
          <w:szCs w:val="22"/>
          <w:lang w:val="sr-Latn-ME"/>
        </w:rPr>
      </w:pPr>
    </w:p>
    <w:p w:rsidR="00EA0194" w:rsidRDefault="00FC2E72" w:rsidP="00C92663">
      <w:pPr>
        <w:numPr>
          <w:ilvl w:val="0"/>
          <w:numId w:val="28"/>
        </w:numPr>
        <w:autoSpaceDE w:val="0"/>
        <w:autoSpaceDN w:val="0"/>
        <w:adjustRightInd w:val="0"/>
        <w:spacing w:line="240" w:lineRule="auto"/>
        <w:ind w:left="567" w:hanging="567"/>
        <w:jc w:val="both"/>
        <w:rPr>
          <w:rFonts w:eastAsia="TimesNewRoman,Italic"/>
          <w:i/>
          <w:iCs/>
          <w:szCs w:val="22"/>
          <w:lang w:val="sr-Latn-ME" w:eastAsia="hr-HR"/>
        </w:rPr>
      </w:pPr>
      <w:r>
        <w:rPr>
          <w:rFonts w:eastAsia="TimesNewRoman"/>
          <w:szCs w:val="22"/>
          <w:lang w:val="sr-Latn-ME" w:eastAsia="hr-HR"/>
        </w:rPr>
        <w:t xml:space="preserve">sa agonistom receptora za aktivator proliferacije peroksizoma-gama (engl. </w:t>
      </w:r>
      <w:r>
        <w:rPr>
          <w:rFonts w:eastAsia="TimesNewRoman,Italic"/>
          <w:i/>
          <w:iCs/>
          <w:szCs w:val="22"/>
          <w:lang w:val="sr-Latn-ME" w:eastAsia="hr-HR"/>
        </w:rPr>
        <w:t>peroxisome proliferator</w:t>
      </w:r>
      <w:r>
        <w:rPr>
          <w:rFonts w:eastAsia="TimesNewRoman"/>
          <w:szCs w:val="22"/>
          <w:lang w:val="sr-Latn-ME" w:eastAsia="hr-HR"/>
        </w:rPr>
        <w:t>-</w:t>
      </w:r>
      <w:r>
        <w:rPr>
          <w:rFonts w:eastAsia="TimesNewRoman,Italic"/>
          <w:i/>
          <w:iCs/>
          <w:szCs w:val="22"/>
          <w:lang w:val="sr-Latn-ME" w:eastAsia="hr-HR"/>
        </w:rPr>
        <w:t xml:space="preserve">activated receptor gamma, </w:t>
      </w:r>
      <w:r>
        <w:rPr>
          <w:rFonts w:eastAsia="TimesNewRoman"/>
          <w:szCs w:val="22"/>
          <w:lang w:val="sr-Latn-ME" w:eastAsia="hr-HR"/>
        </w:rPr>
        <w:t>PPAR</w:t>
      </w:r>
      <w:r>
        <w:rPr>
          <w:szCs w:val="22"/>
          <w:lang w:val="sr-Latn-ME"/>
        </w:rPr>
        <w:sym w:font="Symbol" w:char="F067"/>
      </w:r>
      <w:r>
        <w:rPr>
          <w:rFonts w:eastAsia="TimesNewRoman"/>
          <w:szCs w:val="22"/>
          <w:lang w:val="sr-Latn-ME" w:eastAsia="hr-HR"/>
        </w:rPr>
        <w:t>) (tj. tiazolidindionom), kada je primjena</w:t>
      </w:r>
      <w:r>
        <w:rPr>
          <w:rFonts w:eastAsia="TimesNewRoman,Italic"/>
          <w:i/>
          <w:iCs/>
          <w:szCs w:val="22"/>
          <w:lang w:val="sr-Latn-ME" w:eastAsia="hr-HR"/>
        </w:rPr>
        <w:t xml:space="preserve"> </w:t>
      </w:r>
      <w:r>
        <w:rPr>
          <w:rFonts w:eastAsia="TimesNewRoman"/>
          <w:szCs w:val="22"/>
          <w:lang w:val="sr-Latn-ME" w:eastAsia="hr-HR"/>
        </w:rPr>
        <w:t>agonista PPAR</w:t>
      </w:r>
      <w:r>
        <w:rPr>
          <w:szCs w:val="22"/>
          <w:lang w:val="sr-Latn-ME"/>
        </w:rPr>
        <w:sym w:font="Symbol" w:char="F067"/>
      </w:r>
      <w:r>
        <w:rPr>
          <w:rFonts w:eastAsia="TimesNewRoman"/>
          <w:szCs w:val="22"/>
          <w:lang w:val="sr-Latn-ME" w:eastAsia="hr-HR"/>
        </w:rPr>
        <w:t xml:space="preserve"> primjerena te kada dijeta i </w:t>
      </w:r>
      <w:r>
        <w:rPr>
          <w:szCs w:val="22"/>
          <w:lang w:val="sr-Latn-ME"/>
        </w:rPr>
        <w:t>fizička aktivnost</w:t>
      </w:r>
      <w:r>
        <w:rPr>
          <w:rFonts w:eastAsia="TimesNewRoman"/>
          <w:szCs w:val="22"/>
          <w:lang w:val="sr-Latn-ME" w:eastAsia="hr-HR"/>
        </w:rPr>
        <w:t xml:space="preserve"> uz samo agonist PPAR</w:t>
      </w:r>
      <w:r>
        <w:rPr>
          <w:szCs w:val="22"/>
          <w:lang w:val="sr-Latn-ME"/>
        </w:rPr>
        <w:sym w:font="Symbol" w:char="F067"/>
      </w:r>
      <w:r>
        <w:rPr>
          <w:rFonts w:eastAsia="TimesNewRoman"/>
          <w:szCs w:val="22"/>
          <w:lang w:val="sr-Latn-ME" w:eastAsia="hr-HR"/>
        </w:rPr>
        <w:t xml:space="preserve"> ne omogućavaju</w:t>
      </w:r>
      <w:r>
        <w:rPr>
          <w:rFonts w:eastAsia="TimesNewRoman,Italic"/>
          <w:i/>
          <w:iCs/>
          <w:szCs w:val="22"/>
          <w:lang w:val="sr-Latn-ME" w:eastAsia="hr-HR"/>
        </w:rPr>
        <w:t xml:space="preserve"> </w:t>
      </w:r>
      <w:r>
        <w:rPr>
          <w:rFonts w:eastAsia="TimesNewRoman"/>
          <w:szCs w:val="22"/>
          <w:lang w:val="sr-Latn-ME" w:eastAsia="hr-HR"/>
        </w:rPr>
        <w:t>odgovarajuću regulaciju glikemije.</w:t>
      </w:r>
    </w:p>
    <w:p w:rsidR="00EA0194" w:rsidRDefault="00EA0194" w:rsidP="00C92663">
      <w:pPr>
        <w:widowControl w:val="0"/>
        <w:jc w:val="both"/>
        <w:rPr>
          <w:szCs w:val="22"/>
          <w:lang w:val="sr-Latn-ME"/>
        </w:rPr>
      </w:pPr>
    </w:p>
    <w:p w:rsidR="00EA0194" w:rsidRDefault="00FC2E72">
      <w:pPr>
        <w:autoSpaceDE w:val="0"/>
        <w:autoSpaceDN w:val="0"/>
        <w:adjustRightInd w:val="0"/>
        <w:jc w:val="both"/>
        <w:rPr>
          <w:szCs w:val="22"/>
          <w:lang w:val="sr-Latn-ME"/>
        </w:rPr>
      </w:pPr>
      <w:r>
        <w:rPr>
          <w:szCs w:val="22"/>
          <w:lang w:val="sr-Latn-ME"/>
        </w:rPr>
        <w:t>Kao trojna peroralna terapija u kombinaciji</w:t>
      </w:r>
    </w:p>
    <w:p w:rsidR="00EA0194" w:rsidRDefault="00EA0194">
      <w:pPr>
        <w:autoSpaceDE w:val="0"/>
        <w:autoSpaceDN w:val="0"/>
        <w:adjustRightInd w:val="0"/>
        <w:jc w:val="both"/>
        <w:rPr>
          <w:szCs w:val="22"/>
          <w:lang w:val="sr-Latn-ME"/>
        </w:rPr>
      </w:pPr>
    </w:p>
    <w:p w:rsidR="00EA0194" w:rsidRDefault="00FC2E72">
      <w:pPr>
        <w:numPr>
          <w:ilvl w:val="0"/>
          <w:numId w:val="29"/>
        </w:numPr>
        <w:autoSpaceDE w:val="0"/>
        <w:autoSpaceDN w:val="0"/>
        <w:adjustRightInd w:val="0"/>
        <w:spacing w:line="240" w:lineRule="auto"/>
        <w:ind w:left="567" w:hanging="567"/>
        <w:jc w:val="both"/>
        <w:rPr>
          <w:rFonts w:eastAsia="TimesNewRoman"/>
          <w:szCs w:val="22"/>
          <w:lang w:val="sr-Latn-ME" w:eastAsia="hr-HR"/>
        </w:rPr>
      </w:pPr>
      <w:r>
        <w:rPr>
          <w:rFonts w:eastAsia="TimesNewRoman"/>
          <w:szCs w:val="22"/>
          <w:lang w:val="sr-Latn-ME" w:eastAsia="hr-HR"/>
        </w:rPr>
        <w:t xml:space="preserve">sa sulfonilurejom i metforminom kada dijeta i </w:t>
      </w:r>
      <w:r>
        <w:rPr>
          <w:szCs w:val="22"/>
          <w:lang w:val="sr-Latn-ME"/>
        </w:rPr>
        <w:t>fizička aktivnost</w:t>
      </w:r>
      <w:r>
        <w:rPr>
          <w:rFonts w:eastAsia="TimesNewRoman"/>
          <w:szCs w:val="22"/>
          <w:lang w:val="sr-Latn-ME" w:eastAsia="hr-HR"/>
        </w:rPr>
        <w:t xml:space="preserve"> uz dvojnu terapiju ovim ljekovima ne omogućavaju odgovarajuću regulaciju glikemije.</w:t>
      </w:r>
    </w:p>
    <w:p w:rsidR="00EA0194" w:rsidRDefault="00EA0194">
      <w:pPr>
        <w:autoSpaceDE w:val="0"/>
        <w:autoSpaceDN w:val="0"/>
        <w:adjustRightInd w:val="0"/>
        <w:jc w:val="both"/>
        <w:rPr>
          <w:rFonts w:eastAsia="TimesNewRoman"/>
          <w:szCs w:val="22"/>
          <w:lang w:val="sr-Latn-ME" w:eastAsia="hr-HR"/>
        </w:rPr>
      </w:pPr>
    </w:p>
    <w:p w:rsidR="00EA0194" w:rsidRDefault="00FC2E72">
      <w:pPr>
        <w:numPr>
          <w:ilvl w:val="0"/>
          <w:numId w:val="29"/>
        </w:numPr>
        <w:autoSpaceDE w:val="0"/>
        <w:autoSpaceDN w:val="0"/>
        <w:adjustRightInd w:val="0"/>
        <w:spacing w:line="240" w:lineRule="auto"/>
        <w:ind w:left="567" w:hanging="567"/>
        <w:jc w:val="both"/>
        <w:rPr>
          <w:rFonts w:eastAsia="TimesNewRoman"/>
          <w:szCs w:val="22"/>
          <w:lang w:val="sr-Latn-ME" w:eastAsia="hr-HR"/>
        </w:rPr>
      </w:pPr>
      <w:r>
        <w:rPr>
          <w:rFonts w:eastAsia="TimesNewRoman"/>
          <w:szCs w:val="22"/>
          <w:lang w:val="sr-Latn-ME" w:eastAsia="hr-HR"/>
        </w:rPr>
        <w:t>s agonistom PPAR</w:t>
      </w:r>
      <w:r>
        <w:rPr>
          <w:szCs w:val="22"/>
          <w:lang w:val="sr-Latn-ME"/>
        </w:rPr>
        <w:sym w:font="Symbol" w:char="F067"/>
      </w:r>
      <w:r>
        <w:rPr>
          <w:szCs w:val="22"/>
          <w:lang w:val="sr-Latn-ME" w:eastAsia="hr-HR"/>
        </w:rPr>
        <w:t xml:space="preserve"> </w:t>
      </w:r>
      <w:r>
        <w:rPr>
          <w:rFonts w:eastAsia="TimesNewRoman"/>
          <w:szCs w:val="22"/>
          <w:lang w:val="sr-Latn-ME" w:eastAsia="hr-HR"/>
        </w:rPr>
        <w:t>i metforminom kada je primjena agonista PPAR</w:t>
      </w:r>
      <w:r>
        <w:rPr>
          <w:szCs w:val="22"/>
          <w:lang w:val="sr-Latn-ME"/>
        </w:rPr>
        <w:sym w:font="Symbol" w:char="F067"/>
      </w:r>
      <w:r>
        <w:rPr>
          <w:szCs w:val="22"/>
          <w:lang w:val="sr-Latn-ME" w:eastAsia="hr-HR"/>
        </w:rPr>
        <w:t xml:space="preserve"> </w:t>
      </w:r>
      <w:r>
        <w:rPr>
          <w:rFonts w:eastAsia="TimesNewRoman"/>
          <w:szCs w:val="22"/>
          <w:lang w:val="sr-Latn-ME" w:eastAsia="hr-HR"/>
        </w:rPr>
        <w:t xml:space="preserve">primjerena te kada dijeta i </w:t>
      </w:r>
      <w:r>
        <w:rPr>
          <w:szCs w:val="22"/>
          <w:lang w:val="sr-Latn-ME"/>
        </w:rPr>
        <w:t>fizička aktivnost</w:t>
      </w:r>
      <w:r>
        <w:rPr>
          <w:rFonts w:eastAsia="TimesNewRoman"/>
          <w:szCs w:val="22"/>
          <w:lang w:val="sr-Latn-ME" w:eastAsia="hr-HR"/>
        </w:rPr>
        <w:t xml:space="preserve"> uz dvojnu terapiju ovim ljekovima ne omogućavaju odgovarajuću regulaciju glikemije.</w:t>
      </w:r>
    </w:p>
    <w:p w:rsidR="00EA0194" w:rsidRDefault="00EA0194">
      <w:pPr>
        <w:autoSpaceDE w:val="0"/>
        <w:autoSpaceDN w:val="0"/>
        <w:adjustRightInd w:val="0"/>
        <w:jc w:val="both"/>
        <w:rPr>
          <w:szCs w:val="22"/>
          <w:lang w:val="sr-Latn-ME"/>
        </w:rPr>
      </w:pPr>
    </w:p>
    <w:p w:rsidR="00EA0194" w:rsidRDefault="00FC2E72">
      <w:pPr>
        <w:autoSpaceDE w:val="0"/>
        <w:autoSpaceDN w:val="0"/>
        <w:adjustRightInd w:val="0"/>
        <w:jc w:val="both"/>
        <w:rPr>
          <w:rFonts w:eastAsia="TimesNewRoman"/>
          <w:szCs w:val="22"/>
          <w:lang w:val="sr-Latn-ME" w:eastAsia="hr-HR"/>
        </w:rPr>
      </w:pPr>
      <w:r>
        <w:rPr>
          <w:szCs w:val="22"/>
          <w:lang w:val="sr-Latn-ME"/>
        </w:rPr>
        <w:t xml:space="preserve">Lijek Maysiglu </w:t>
      </w:r>
      <w:r>
        <w:rPr>
          <w:rFonts w:eastAsia="TimesNewRoman"/>
          <w:szCs w:val="22"/>
          <w:lang w:val="sr-Latn-ME" w:eastAsia="hr-HR"/>
        </w:rPr>
        <w:t xml:space="preserve">je takođe indikovan kao dodatak insulinu (sa metforminom ili bez njega) kada dijeta i </w:t>
      </w:r>
      <w:r>
        <w:rPr>
          <w:szCs w:val="22"/>
          <w:lang w:val="sr-Latn-ME"/>
        </w:rPr>
        <w:t>fizička aktivnost</w:t>
      </w:r>
      <w:r>
        <w:rPr>
          <w:rFonts w:eastAsia="TimesNewRoman"/>
          <w:szCs w:val="22"/>
          <w:lang w:val="sr-Latn-ME" w:eastAsia="hr-HR"/>
        </w:rPr>
        <w:t xml:space="preserve"> uz stabilnu dozu insulina ne omogućavaju odgovarajuću regulaciju glikemije.</w:t>
      </w:r>
    </w:p>
    <w:p w:rsidR="00EA0194" w:rsidRDefault="00EA0194">
      <w:pPr>
        <w:widowControl w:val="0"/>
        <w:jc w:val="both"/>
        <w:rPr>
          <w:szCs w:val="22"/>
          <w:lang w:val="sr-Latn-ME"/>
        </w:rPr>
      </w:pPr>
    </w:p>
    <w:p w:rsidR="00EA0194" w:rsidRDefault="00FC2E72" w:rsidP="00C92663">
      <w:pPr>
        <w:widowControl w:val="0"/>
        <w:numPr>
          <w:ilvl w:val="1"/>
          <w:numId w:val="13"/>
        </w:numPr>
        <w:tabs>
          <w:tab w:val="clear" w:pos="570"/>
          <w:tab w:val="left" w:pos="567"/>
          <w:tab w:val="num" w:pos="712"/>
        </w:tabs>
        <w:spacing w:line="240" w:lineRule="auto"/>
        <w:ind w:left="712" w:hanging="712"/>
        <w:jc w:val="both"/>
        <w:outlineLvl w:val="0"/>
        <w:rPr>
          <w:b/>
          <w:szCs w:val="22"/>
          <w:lang w:val="sr-Latn-ME"/>
        </w:rPr>
      </w:pPr>
      <w:r>
        <w:rPr>
          <w:b/>
          <w:szCs w:val="22"/>
          <w:lang w:val="sr-Latn-ME"/>
        </w:rPr>
        <w:t>Doziranje i način primjene</w:t>
      </w:r>
    </w:p>
    <w:p w:rsidR="00EA0194" w:rsidRDefault="00EA0194">
      <w:pPr>
        <w:widowControl w:val="0"/>
        <w:jc w:val="both"/>
        <w:outlineLvl w:val="0"/>
        <w:rPr>
          <w:b/>
          <w:szCs w:val="22"/>
          <w:lang w:val="sr-Latn-ME"/>
        </w:rPr>
      </w:pPr>
    </w:p>
    <w:p w:rsidR="00EA0194" w:rsidRDefault="00FC2E72" w:rsidP="00C92663">
      <w:pPr>
        <w:jc w:val="both"/>
        <w:rPr>
          <w:szCs w:val="22"/>
          <w:u w:val="single"/>
          <w:lang w:val="sr-Latn-ME"/>
        </w:rPr>
      </w:pPr>
      <w:r>
        <w:rPr>
          <w:szCs w:val="22"/>
          <w:u w:val="single"/>
          <w:lang w:val="sr-Latn-ME"/>
        </w:rPr>
        <w:t>Doziranje</w:t>
      </w:r>
    </w:p>
    <w:p w:rsidR="00EA0194" w:rsidRDefault="00FC2E72" w:rsidP="00C92663">
      <w:pPr>
        <w:widowControl w:val="0"/>
        <w:jc w:val="both"/>
        <w:rPr>
          <w:iCs/>
          <w:szCs w:val="22"/>
          <w:lang w:val="sr-Latn-ME"/>
        </w:rPr>
      </w:pPr>
      <w:r>
        <w:rPr>
          <w:iCs/>
          <w:szCs w:val="22"/>
          <w:lang w:val="sr-Latn-ME"/>
        </w:rPr>
        <w:t>Doza je 100 mg sitagliptina jednom dnevno. Kada se uzima u kombinaciji s metforminom i/ili agonistom PPAR</w:t>
      </w:r>
      <w:r>
        <w:rPr>
          <w:szCs w:val="22"/>
          <w:lang w:val="sr-Latn-ME"/>
        </w:rPr>
        <w:sym w:font="Symbol" w:char="F067"/>
      </w:r>
      <w:r>
        <w:rPr>
          <w:iCs/>
          <w:szCs w:val="22"/>
          <w:lang w:val="sr-Latn-ME"/>
        </w:rPr>
        <w:t>, mora se zadržati ista doza metformina i/ili agonista PPAR</w:t>
      </w:r>
      <w:r>
        <w:rPr>
          <w:szCs w:val="22"/>
          <w:lang w:val="sr-Latn-ME"/>
        </w:rPr>
        <w:sym w:font="Symbol" w:char="F067"/>
      </w:r>
      <w:r>
        <w:rPr>
          <w:iCs/>
          <w:szCs w:val="22"/>
          <w:lang w:val="sr-Latn-ME"/>
        </w:rPr>
        <w:t xml:space="preserve">, uz istovremenu primjenu lijeka </w:t>
      </w:r>
      <w:r>
        <w:rPr>
          <w:szCs w:val="22"/>
          <w:lang w:val="sr-Latn-ME"/>
        </w:rPr>
        <w:t>Maysiglu</w:t>
      </w:r>
      <w:r>
        <w:rPr>
          <w:iCs/>
          <w:szCs w:val="22"/>
          <w:lang w:val="sr-Latn-ME"/>
        </w:rPr>
        <w:t>.</w:t>
      </w:r>
    </w:p>
    <w:p w:rsidR="00EA0194" w:rsidRDefault="00EA0194" w:rsidP="00C92663">
      <w:pPr>
        <w:widowControl w:val="0"/>
        <w:jc w:val="both"/>
        <w:rPr>
          <w:iCs/>
          <w:szCs w:val="22"/>
          <w:lang w:val="sr-Latn-ME"/>
        </w:rPr>
      </w:pPr>
    </w:p>
    <w:p w:rsidR="00EA0194" w:rsidRDefault="00FC2E72" w:rsidP="00C92663">
      <w:pPr>
        <w:widowControl w:val="0"/>
        <w:jc w:val="both"/>
        <w:rPr>
          <w:iCs/>
          <w:szCs w:val="22"/>
          <w:lang w:val="sr-Latn-ME"/>
        </w:rPr>
      </w:pPr>
      <w:r>
        <w:rPr>
          <w:iCs/>
          <w:szCs w:val="22"/>
          <w:lang w:val="sr-Latn-ME"/>
        </w:rPr>
        <w:t xml:space="preserve">Kada se lijek </w:t>
      </w:r>
      <w:r>
        <w:rPr>
          <w:szCs w:val="22"/>
          <w:lang w:val="sr-Latn-ME"/>
        </w:rPr>
        <w:t xml:space="preserve">Maysiglu </w:t>
      </w:r>
      <w:r>
        <w:rPr>
          <w:iCs/>
          <w:szCs w:val="22"/>
          <w:lang w:val="sr-Latn-ME"/>
        </w:rPr>
        <w:t>uzima u kombinaciji sa sulfonilurejom ili insulinom, može se razmotriti niža doza sulfonilureje ili insulina kako bi se smanjio rizik od hipoglikemije (vidjeti dio 4.4).</w:t>
      </w:r>
    </w:p>
    <w:p w:rsidR="00EA0194" w:rsidRDefault="00EA0194" w:rsidP="00C92663">
      <w:pPr>
        <w:widowControl w:val="0"/>
        <w:jc w:val="both"/>
        <w:rPr>
          <w:iCs/>
          <w:szCs w:val="22"/>
          <w:lang w:val="sr-Latn-ME"/>
        </w:rPr>
      </w:pPr>
    </w:p>
    <w:p w:rsidR="00EA0194" w:rsidRDefault="00FC2E72" w:rsidP="00C92663">
      <w:pPr>
        <w:widowControl w:val="0"/>
        <w:jc w:val="both"/>
        <w:rPr>
          <w:iCs/>
          <w:szCs w:val="22"/>
          <w:lang w:val="sr-Latn-ME"/>
        </w:rPr>
      </w:pPr>
      <w:r>
        <w:rPr>
          <w:iCs/>
          <w:szCs w:val="22"/>
          <w:lang w:val="sr-Latn-ME"/>
        </w:rPr>
        <w:t xml:space="preserve">Ukoliko pacijent propusti dozu lijeka </w:t>
      </w:r>
      <w:r>
        <w:rPr>
          <w:szCs w:val="22"/>
          <w:lang w:val="sr-Latn-ME"/>
        </w:rPr>
        <w:t>Maysiglu</w:t>
      </w:r>
      <w:r>
        <w:rPr>
          <w:iCs/>
          <w:szCs w:val="22"/>
          <w:lang w:val="sr-Latn-ME"/>
        </w:rPr>
        <w:t>, treba da je uzme čim se sjeti. Ne smije se uzeti dvostruka doza istoga dana.</w:t>
      </w:r>
    </w:p>
    <w:p w:rsidR="00EA0194" w:rsidRDefault="00EA0194">
      <w:pPr>
        <w:widowControl w:val="0"/>
        <w:jc w:val="both"/>
        <w:rPr>
          <w:iCs/>
          <w:szCs w:val="22"/>
          <w:lang w:val="sr-Latn-ME"/>
        </w:rPr>
      </w:pPr>
    </w:p>
    <w:p w:rsidR="00EA0194" w:rsidRDefault="00FC2E72">
      <w:pPr>
        <w:widowControl w:val="0"/>
        <w:jc w:val="both"/>
        <w:rPr>
          <w:szCs w:val="22"/>
          <w:u w:val="single"/>
          <w:lang w:val="sr-Latn-ME"/>
        </w:rPr>
      </w:pPr>
      <w:r>
        <w:rPr>
          <w:szCs w:val="22"/>
          <w:u w:val="single"/>
          <w:lang w:val="sr-Latn-ME"/>
        </w:rPr>
        <w:t>Posebne populacije</w:t>
      </w:r>
    </w:p>
    <w:p w:rsidR="00EA0194" w:rsidRDefault="00FC2E72">
      <w:pPr>
        <w:jc w:val="both"/>
        <w:rPr>
          <w:szCs w:val="22"/>
          <w:lang w:val="sr-Latn-ME"/>
        </w:rPr>
      </w:pPr>
      <w:r>
        <w:rPr>
          <w:szCs w:val="22"/>
          <w:lang w:val="sr-Latn-ME"/>
        </w:rPr>
        <w:t>Oštećenje funkcije bubrega</w:t>
      </w:r>
    </w:p>
    <w:p w:rsidR="00EA0194" w:rsidRDefault="00FC2E72">
      <w:pPr>
        <w:autoSpaceDE w:val="0"/>
        <w:autoSpaceDN w:val="0"/>
        <w:adjustRightInd w:val="0"/>
        <w:jc w:val="both"/>
        <w:rPr>
          <w:rFonts w:eastAsia="TimesNewRoman"/>
          <w:szCs w:val="22"/>
          <w:lang w:val="sr-Latn-ME" w:eastAsia="hr-HR"/>
        </w:rPr>
      </w:pPr>
      <w:r>
        <w:rPr>
          <w:rFonts w:eastAsia="TimesNewRoman"/>
          <w:szCs w:val="22"/>
          <w:lang w:val="sr-Latn-ME" w:eastAsia="hr-HR"/>
        </w:rPr>
        <w:t>Kada se razmatra primjena sitagliptina u kombinaciji s drugim lijekom protiv dijabetesa, mora se provjeriti koji su uslovi primjene kod pacijenata s oštećenjem funkcije bubrega.</w:t>
      </w:r>
    </w:p>
    <w:p w:rsidR="00EA0194" w:rsidRDefault="00EA0194">
      <w:pPr>
        <w:autoSpaceDE w:val="0"/>
        <w:autoSpaceDN w:val="0"/>
        <w:adjustRightInd w:val="0"/>
        <w:jc w:val="both"/>
        <w:rPr>
          <w:szCs w:val="22"/>
          <w:lang w:val="sr-Latn-ME"/>
        </w:rPr>
      </w:pPr>
    </w:p>
    <w:p w:rsidR="00EA0194" w:rsidRDefault="00FC2E72">
      <w:pPr>
        <w:autoSpaceDE w:val="0"/>
        <w:autoSpaceDN w:val="0"/>
        <w:adjustRightInd w:val="0"/>
        <w:jc w:val="both"/>
        <w:rPr>
          <w:rFonts w:eastAsia="TimesNewRoman"/>
          <w:szCs w:val="22"/>
          <w:lang w:val="sr-Latn-ME" w:eastAsia="hr-HR"/>
        </w:rPr>
      </w:pPr>
      <w:r>
        <w:rPr>
          <w:rFonts w:eastAsia="TimesNewRoman"/>
          <w:szCs w:val="22"/>
          <w:lang w:val="sr-Latn-ME" w:eastAsia="hr-HR"/>
        </w:rPr>
        <w:t>Kod pacijenata s blagim oštećenjem funkcije bubrega (brzina glomerularne filtracije [GFR] ≥ 60 do &lt; 90 ml/min) nije potrebno prilagođavanje doze.</w:t>
      </w:r>
    </w:p>
    <w:p w:rsidR="00EA0194" w:rsidRDefault="00EA0194">
      <w:pPr>
        <w:autoSpaceDE w:val="0"/>
        <w:autoSpaceDN w:val="0"/>
        <w:adjustRightInd w:val="0"/>
        <w:jc w:val="both"/>
        <w:rPr>
          <w:szCs w:val="22"/>
          <w:lang w:val="sr-Latn-ME"/>
        </w:rPr>
      </w:pPr>
    </w:p>
    <w:p w:rsidR="00EA0194" w:rsidRDefault="00FC2E72">
      <w:pPr>
        <w:autoSpaceDE w:val="0"/>
        <w:autoSpaceDN w:val="0"/>
        <w:adjustRightInd w:val="0"/>
        <w:jc w:val="both"/>
        <w:rPr>
          <w:rFonts w:eastAsia="TimesNewRoman"/>
          <w:szCs w:val="22"/>
          <w:lang w:val="sr-Latn-ME" w:eastAsia="hr-HR"/>
        </w:rPr>
      </w:pPr>
      <w:r>
        <w:rPr>
          <w:rFonts w:eastAsia="TimesNewRoman"/>
          <w:szCs w:val="22"/>
          <w:lang w:val="sr-Latn-ME" w:eastAsia="hr-HR"/>
        </w:rPr>
        <w:t>Kod pacijenata s umjerenim oštećenjem funkcije bubrega (GFR ≥ 45 do &lt; 60 ml/min) nije potrebno prilagođavanje doze.</w:t>
      </w:r>
    </w:p>
    <w:p w:rsidR="00EA0194" w:rsidRDefault="00EA0194">
      <w:pPr>
        <w:autoSpaceDE w:val="0"/>
        <w:autoSpaceDN w:val="0"/>
        <w:adjustRightInd w:val="0"/>
        <w:jc w:val="both"/>
        <w:rPr>
          <w:szCs w:val="22"/>
          <w:lang w:val="sr-Latn-ME"/>
        </w:rPr>
      </w:pPr>
    </w:p>
    <w:p w:rsidR="00EA0194" w:rsidRDefault="00FC2E72">
      <w:pPr>
        <w:autoSpaceDE w:val="0"/>
        <w:autoSpaceDN w:val="0"/>
        <w:adjustRightInd w:val="0"/>
        <w:jc w:val="both"/>
        <w:rPr>
          <w:szCs w:val="22"/>
          <w:lang w:val="sr-Latn-ME"/>
        </w:rPr>
      </w:pPr>
      <w:r>
        <w:rPr>
          <w:rFonts w:eastAsia="TimesNewRoman"/>
          <w:szCs w:val="22"/>
          <w:lang w:val="sr-Latn-ME" w:eastAsia="hr-HR"/>
        </w:rPr>
        <w:t xml:space="preserve">Kod pacijenata </w:t>
      </w:r>
      <w:r>
        <w:rPr>
          <w:szCs w:val="22"/>
          <w:lang w:val="sr-Latn-ME"/>
        </w:rPr>
        <w:t>s umjerenim oštećenjem funkcije bubrega (GFR ≥ 30 do &lt; 45 ml/min) doza lijeka Maysiglu je 50 mg jednom dnevno.</w:t>
      </w:r>
    </w:p>
    <w:p w:rsidR="00EA0194" w:rsidRDefault="00EA0194">
      <w:pPr>
        <w:autoSpaceDE w:val="0"/>
        <w:autoSpaceDN w:val="0"/>
        <w:adjustRightInd w:val="0"/>
        <w:rPr>
          <w:szCs w:val="22"/>
          <w:lang w:val="sr-Latn-ME"/>
        </w:rPr>
      </w:pPr>
    </w:p>
    <w:p w:rsidR="00EA0194" w:rsidRDefault="00FC2E72">
      <w:pPr>
        <w:autoSpaceDE w:val="0"/>
        <w:autoSpaceDN w:val="0"/>
        <w:adjustRightInd w:val="0"/>
        <w:jc w:val="both"/>
        <w:rPr>
          <w:szCs w:val="22"/>
          <w:lang w:val="sr-Latn-ME"/>
        </w:rPr>
      </w:pPr>
      <w:r>
        <w:rPr>
          <w:rFonts w:eastAsia="TimesNewRoman"/>
          <w:szCs w:val="22"/>
          <w:lang w:val="sr-Latn-ME" w:eastAsia="hr-HR"/>
        </w:rPr>
        <w:t xml:space="preserve">Kod pacijenata </w:t>
      </w:r>
      <w:r>
        <w:rPr>
          <w:szCs w:val="22"/>
          <w:lang w:val="sr-Latn-ME"/>
        </w:rPr>
        <w:t xml:space="preserve">s teškim oštećenjem funkcije bubrega (GFR ≥ 15 do &lt; 30 ml/min) ili onih u završnoj fazi bubrežne bolesti, (engl. </w:t>
      </w:r>
      <w:r>
        <w:rPr>
          <w:i/>
          <w:szCs w:val="22"/>
          <w:lang w:val="sr-Latn-ME"/>
        </w:rPr>
        <w:t>end stage renal disease</w:t>
      </w:r>
      <w:r>
        <w:rPr>
          <w:szCs w:val="22"/>
          <w:lang w:val="sr-Latn-ME"/>
        </w:rPr>
        <w:t>, ESRD) (GFR &lt; 15 ml/min), uključujući i one kojima je potrebna hemodijaliza ili peritonealna dijaliza, doza lijeka Maysiglu je 25 mg jednom dnevno. Lijek se može primijeniti nezavisno od vremena dijalize.</w:t>
      </w:r>
    </w:p>
    <w:p w:rsidR="00EA0194" w:rsidRDefault="00EA0194">
      <w:pPr>
        <w:autoSpaceDE w:val="0"/>
        <w:autoSpaceDN w:val="0"/>
        <w:adjustRightInd w:val="0"/>
        <w:jc w:val="both"/>
        <w:rPr>
          <w:szCs w:val="22"/>
          <w:lang w:val="sr-Latn-ME"/>
        </w:rPr>
      </w:pPr>
    </w:p>
    <w:p w:rsidR="00EA0194" w:rsidRDefault="00FC2E72">
      <w:pPr>
        <w:widowControl w:val="0"/>
        <w:jc w:val="both"/>
        <w:rPr>
          <w:szCs w:val="22"/>
          <w:lang w:val="sr-Latn-ME"/>
        </w:rPr>
      </w:pPr>
      <w:r>
        <w:rPr>
          <w:szCs w:val="22"/>
          <w:lang w:val="sr-Latn-ME"/>
        </w:rPr>
        <w:t>S obzirom da se doza prilagođava na osnovu bubrežne funkcije, preporučuje se da se bubrežna funkcija procijeni prije uvođenja lijeka Maysiglu te periodično nakon toga.</w:t>
      </w:r>
    </w:p>
    <w:p w:rsidR="00EA0194" w:rsidRDefault="00EA0194">
      <w:pPr>
        <w:widowControl w:val="0"/>
        <w:jc w:val="both"/>
        <w:rPr>
          <w:szCs w:val="22"/>
          <w:lang w:val="sr-Latn-ME"/>
        </w:rPr>
      </w:pPr>
    </w:p>
    <w:p w:rsidR="00EA0194" w:rsidRDefault="00FC2E72">
      <w:pPr>
        <w:jc w:val="both"/>
        <w:rPr>
          <w:szCs w:val="22"/>
          <w:lang w:val="sr-Latn-ME"/>
        </w:rPr>
      </w:pPr>
      <w:r>
        <w:rPr>
          <w:szCs w:val="22"/>
          <w:lang w:val="sr-Latn-ME"/>
        </w:rPr>
        <w:t>Oštećenje funkcije jetre</w:t>
      </w:r>
    </w:p>
    <w:p w:rsidR="00EA0194" w:rsidRDefault="00FC2E72">
      <w:pPr>
        <w:widowControl w:val="0"/>
        <w:jc w:val="both"/>
        <w:rPr>
          <w:szCs w:val="22"/>
          <w:lang w:val="sr-Latn-ME"/>
        </w:rPr>
      </w:pPr>
      <w:r>
        <w:rPr>
          <w:szCs w:val="22"/>
          <w:lang w:val="sr-Latn-ME"/>
        </w:rPr>
        <w:t>Nije potrebno prilagođavanje doze kod pacijenata s blagim do umjerenim oštećenjem funkcije jetre. Sitagliptin nije ispitivan kod pacijenata s teškim oštećenjem funkcije jetre, te je potreban oprez (vidjeti dio 5.2).</w:t>
      </w:r>
    </w:p>
    <w:p w:rsidR="00EA0194" w:rsidRDefault="00EA0194">
      <w:pPr>
        <w:widowControl w:val="0"/>
        <w:jc w:val="both"/>
        <w:rPr>
          <w:szCs w:val="22"/>
          <w:lang w:val="sr-Latn-ME"/>
        </w:rPr>
      </w:pPr>
    </w:p>
    <w:p w:rsidR="00EA0194" w:rsidRDefault="00FC2E72">
      <w:pPr>
        <w:widowControl w:val="0"/>
        <w:jc w:val="both"/>
        <w:rPr>
          <w:szCs w:val="22"/>
          <w:lang w:val="sr-Latn-ME"/>
        </w:rPr>
      </w:pPr>
      <w:r>
        <w:rPr>
          <w:szCs w:val="22"/>
          <w:lang w:val="sr-Latn-ME"/>
        </w:rPr>
        <w:t>Međutim, kako se sitagliptin izlučuje prvenstveno putem bubrega, ne očekuje se da će teško oštećenje jetre uticati na farmakokinetiku sitagliptina.</w:t>
      </w:r>
    </w:p>
    <w:p w:rsidR="00EA0194" w:rsidRDefault="00EA0194">
      <w:pPr>
        <w:widowControl w:val="0"/>
        <w:jc w:val="both"/>
        <w:rPr>
          <w:szCs w:val="22"/>
          <w:lang w:val="sr-Latn-ME"/>
        </w:rPr>
      </w:pPr>
    </w:p>
    <w:p w:rsidR="00EA0194" w:rsidRDefault="00FC2E72">
      <w:pPr>
        <w:autoSpaceDE w:val="0"/>
        <w:autoSpaceDN w:val="0"/>
        <w:adjustRightInd w:val="0"/>
        <w:jc w:val="both"/>
        <w:rPr>
          <w:szCs w:val="22"/>
          <w:lang w:val="sr-Latn-ME"/>
        </w:rPr>
      </w:pPr>
      <w:r>
        <w:rPr>
          <w:szCs w:val="22"/>
          <w:lang w:val="sr-Latn-ME"/>
        </w:rPr>
        <w:t>Starije osobe</w:t>
      </w:r>
    </w:p>
    <w:p w:rsidR="00EA0194" w:rsidRDefault="00FC2E72">
      <w:pPr>
        <w:widowControl w:val="0"/>
        <w:jc w:val="both"/>
        <w:rPr>
          <w:iCs/>
          <w:szCs w:val="22"/>
          <w:lang w:val="sr-Latn-ME"/>
        </w:rPr>
      </w:pPr>
      <w:r>
        <w:rPr>
          <w:iCs/>
          <w:szCs w:val="22"/>
          <w:lang w:val="sr-Latn-ME"/>
        </w:rPr>
        <w:t>Nije potrebno prilagođavanje doze s obzirom na starosnu dob.</w:t>
      </w:r>
    </w:p>
    <w:p w:rsidR="00EA0194" w:rsidRDefault="00EA0194">
      <w:pPr>
        <w:widowControl w:val="0"/>
        <w:jc w:val="both"/>
        <w:rPr>
          <w:iCs/>
          <w:szCs w:val="22"/>
          <w:lang w:val="sr-Latn-ME"/>
        </w:rPr>
      </w:pPr>
    </w:p>
    <w:p w:rsidR="00EA0194" w:rsidRDefault="00FC2E72">
      <w:pPr>
        <w:jc w:val="both"/>
        <w:rPr>
          <w:szCs w:val="22"/>
          <w:lang w:val="sr-Latn-ME"/>
        </w:rPr>
      </w:pPr>
      <w:r>
        <w:rPr>
          <w:szCs w:val="22"/>
          <w:lang w:val="sr-Latn-ME"/>
        </w:rPr>
        <w:t>Pedijatrijska populacija</w:t>
      </w:r>
    </w:p>
    <w:p w:rsidR="00EA0194" w:rsidRDefault="00FC2E72">
      <w:pPr>
        <w:widowControl w:val="0"/>
        <w:jc w:val="both"/>
        <w:rPr>
          <w:szCs w:val="22"/>
          <w:lang w:val="sr-Latn-ME"/>
        </w:rPr>
      </w:pPr>
      <w:r>
        <w:rPr>
          <w:szCs w:val="22"/>
          <w:lang w:val="sr-Latn-ME"/>
        </w:rPr>
        <w:t>Sitagliptin se zbog nedovoljne efikasnosti ne smije primjenjivati kod djece i adolescenata uzrasta od 10 do 17 godina. Trenutno dostupni podaci opisani su u djelovima 4.8, 5.1 i 5.2. Sitagliptin se nije ispitivao kod pedijatrijskih pacijenata mlađih od 10 godina.</w:t>
      </w:r>
    </w:p>
    <w:p w:rsidR="00EA0194" w:rsidRDefault="00EA0194">
      <w:pPr>
        <w:widowControl w:val="0"/>
        <w:jc w:val="both"/>
        <w:rPr>
          <w:szCs w:val="22"/>
          <w:u w:val="single"/>
          <w:lang w:val="sr-Latn-ME"/>
        </w:rPr>
      </w:pPr>
    </w:p>
    <w:p w:rsidR="00EA0194" w:rsidRDefault="00FC2E72">
      <w:pPr>
        <w:jc w:val="both"/>
        <w:rPr>
          <w:szCs w:val="22"/>
          <w:u w:val="single"/>
          <w:lang w:val="sr-Latn-ME"/>
        </w:rPr>
      </w:pPr>
      <w:r>
        <w:rPr>
          <w:szCs w:val="22"/>
          <w:u w:val="single"/>
          <w:lang w:val="sr-Latn-ME"/>
        </w:rPr>
        <w:t>Način primjene</w:t>
      </w:r>
    </w:p>
    <w:p w:rsidR="00EA0194" w:rsidRDefault="00FC2E72">
      <w:pPr>
        <w:widowControl w:val="0"/>
        <w:jc w:val="both"/>
        <w:rPr>
          <w:szCs w:val="22"/>
          <w:lang w:val="sr-Latn-ME"/>
        </w:rPr>
      </w:pPr>
      <w:r>
        <w:rPr>
          <w:szCs w:val="22"/>
          <w:lang w:val="sr-Latn-ME"/>
        </w:rPr>
        <w:t>Lijek Maysiglu se može uzimati sa hranom ili bez nje.</w:t>
      </w:r>
    </w:p>
    <w:p w:rsidR="00EA0194" w:rsidRDefault="00EA0194">
      <w:pPr>
        <w:widowControl w:val="0"/>
        <w:jc w:val="both"/>
        <w:rPr>
          <w:szCs w:val="22"/>
          <w:lang w:val="sr-Latn-ME"/>
        </w:rPr>
      </w:pPr>
    </w:p>
    <w:p w:rsidR="00EA0194" w:rsidRDefault="00FC2E72">
      <w:pPr>
        <w:widowControl w:val="0"/>
        <w:jc w:val="both"/>
        <w:rPr>
          <w:szCs w:val="22"/>
          <w:lang w:val="sr-Latn-ME"/>
        </w:rPr>
      </w:pPr>
      <w:r>
        <w:rPr>
          <w:b/>
          <w:szCs w:val="22"/>
          <w:lang w:val="sr-Latn-ME"/>
        </w:rPr>
        <w:t>4.3</w:t>
      </w:r>
      <w:r>
        <w:rPr>
          <w:b/>
          <w:szCs w:val="22"/>
          <w:lang w:val="sr-Latn-ME"/>
        </w:rPr>
        <w:tab/>
        <w:t>Kontraindikacije</w:t>
      </w:r>
    </w:p>
    <w:p w:rsidR="00EA0194" w:rsidRDefault="00EA0194">
      <w:pPr>
        <w:widowControl w:val="0"/>
        <w:jc w:val="both"/>
        <w:rPr>
          <w:szCs w:val="22"/>
          <w:lang w:val="sr-Latn-ME"/>
        </w:rPr>
      </w:pPr>
    </w:p>
    <w:p w:rsidR="00EA0194" w:rsidRDefault="00FC2E72">
      <w:pPr>
        <w:widowControl w:val="0"/>
        <w:jc w:val="both"/>
        <w:rPr>
          <w:szCs w:val="22"/>
          <w:lang w:val="sr-Latn-ME"/>
        </w:rPr>
      </w:pPr>
      <w:r>
        <w:rPr>
          <w:szCs w:val="22"/>
          <w:lang w:val="sr-Latn-ME"/>
        </w:rPr>
        <w:t>Preosjetljivost na aktivnu supstancu ili neku od pomoćnih supstanci navedenih u dijelu 6.1.</w:t>
      </w:r>
    </w:p>
    <w:p w:rsidR="00EA0194" w:rsidRDefault="00EA0194">
      <w:pPr>
        <w:widowControl w:val="0"/>
        <w:jc w:val="both"/>
        <w:rPr>
          <w:szCs w:val="22"/>
          <w:lang w:val="sr-Latn-ME"/>
        </w:rPr>
      </w:pPr>
    </w:p>
    <w:p w:rsidR="00EA0194" w:rsidRDefault="00FC2E72">
      <w:pPr>
        <w:widowControl w:val="0"/>
        <w:jc w:val="both"/>
        <w:rPr>
          <w:b/>
          <w:szCs w:val="22"/>
          <w:lang w:val="sr-Latn-ME"/>
        </w:rPr>
      </w:pPr>
      <w:r>
        <w:rPr>
          <w:b/>
          <w:szCs w:val="22"/>
          <w:lang w:val="sr-Latn-ME"/>
        </w:rPr>
        <w:t>4.4</w:t>
      </w:r>
      <w:r>
        <w:rPr>
          <w:b/>
          <w:szCs w:val="22"/>
          <w:lang w:val="sr-Latn-ME"/>
        </w:rPr>
        <w:tab/>
        <w:t>Posebna upozorenja i mjere opreza pri upotrebi lijeka</w:t>
      </w:r>
    </w:p>
    <w:p w:rsidR="00EA0194" w:rsidRDefault="00EA0194">
      <w:pPr>
        <w:widowControl w:val="0"/>
        <w:jc w:val="both"/>
        <w:rPr>
          <w:b/>
          <w:szCs w:val="22"/>
          <w:lang w:val="sr-Latn-ME"/>
        </w:rPr>
      </w:pPr>
    </w:p>
    <w:p w:rsidR="00EA0194" w:rsidRDefault="00FC2E72">
      <w:pPr>
        <w:autoSpaceDE w:val="0"/>
        <w:autoSpaceDN w:val="0"/>
        <w:adjustRightInd w:val="0"/>
        <w:jc w:val="both"/>
        <w:rPr>
          <w:szCs w:val="22"/>
          <w:u w:val="single"/>
          <w:lang w:val="sr-Latn-ME"/>
        </w:rPr>
      </w:pPr>
      <w:r>
        <w:rPr>
          <w:szCs w:val="22"/>
          <w:u w:val="single"/>
          <w:lang w:val="sr-Latn-ME"/>
        </w:rPr>
        <w:t>Uopšteno</w:t>
      </w:r>
    </w:p>
    <w:p w:rsidR="00EA0194" w:rsidRDefault="00FC2E72">
      <w:pPr>
        <w:widowControl w:val="0"/>
        <w:jc w:val="both"/>
        <w:rPr>
          <w:iCs/>
          <w:szCs w:val="22"/>
          <w:lang w:val="sr-Latn-ME"/>
        </w:rPr>
      </w:pPr>
      <w:r>
        <w:rPr>
          <w:szCs w:val="22"/>
          <w:lang w:val="sr-Latn-ME"/>
        </w:rPr>
        <w:t xml:space="preserve">Lijek Maysiglu </w:t>
      </w:r>
      <w:r>
        <w:rPr>
          <w:iCs/>
          <w:szCs w:val="22"/>
          <w:lang w:val="sr-Latn-ME"/>
        </w:rPr>
        <w:t xml:space="preserve">se ne smije primjenjivati </w:t>
      </w:r>
      <w:r>
        <w:rPr>
          <w:szCs w:val="22"/>
          <w:lang w:val="sr-Latn-ME"/>
        </w:rPr>
        <w:t xml:space="preserve">kod pacijenata </w:t>
      </w:r>
      <w:r>
        <w:rPr>
          <w:iCs/>
          <w:szCs w:val="22"/>
          <w:lang w:val="sr-Latn-ME"/>
        </w:rPr>
        <w:t>s dijabetesom tipa 1 ili za liječenje dijabetičke ketoacidoze.</w:t>
      </w:r>
    </w:p>
    <w:p w:rsidR="00EA0194" w:rsidRDefault="00EA0194">
      <w:pPr>
        <w:widowControl w:val="0"/>
        <w:jc w:val="both"/>
        <w:rPr>
          <w:iCs/>
          <w:szCs w:val="22"/>
          <w:highlight w:val="yellow"/>
          <w:u w:val="single"/>
          <w:lang w:val="sr-Latn-ME"/>
        </w:rPr>
      </w:pPr>
    </w:p>
    <w:p w:rsidR="00EA0194" w:rsidRDefault="00FC2E72">
      <w:pPr>
        <w:autoSpaceDE w:val="0"/>
        <w:autoSpaceDN w:val="0"/>
        <w:adjustRightInd w:val="0"/>
        <w:jc w:val="both"/>
        <w:rPr>
          <w:szCs w:val="22"/>
          <w:u w:val="single"/>
          <w:lang w:val="sr-Latn-ME"/>
        </w:rPr>
      </w:pPr>
      <w:r>
        <w:rPr>
          <w:szCs w:val="22"/>
          <w:u w:val="single"/>
          <w:lang w:val="sr-Latn-ME"/>
        </w:rPr>
        <w:t>Akutni pankreatitis</w:t>
      </w: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Primjena inhibitora DPP-4 povezuje se s rizikom od razvoja akutnog pankreatitisa. Pacijente treba informisati o karakterističnom simptomu akutnog pankreatitisa: perzistentnom jakom bolu u abdomenu. Nakon prekida primjene sitagliptina zapaženo je povlačenje pankreatitisa (sa suportivnim liječenjem ili bez njega), ali su prijavljeni veoma rijetki slučajevi nekrotizirajućeg ili hemoragijskog pankreatitisa i/ili smrti.</w:t>
      </w: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U slučaju sumnje na pankreatitis, mora se prekinuti primjena lijeka Maysiglu i drugih ljekova za koje se sumnja da bi ga mogli izazvati; ukoliko se potvrdi akutni pankreatitis, liječenje lijekom Maysiglu ne smije se ponovno započeti. Potreban je oprez pri liječenju pacijenata s pankreatitisom u anamnezi.</w:t>
      </w:r>
    </w:p>
    <w:p w:rsidR="00EA0194" w:rsidRDefault="00EA0194">
      <w:pPr>
        <w:autoSpaceDE w:val="0"/>
        <w:autoSpaceDN w:val="0"/>
        <w:adjustRightInd w:val="0"/>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u w:val="single"/>
          <w:lang w:val="sr-Latn-ME"/>
        </w:rPr>
        <w:t>Hipoglikemija pri uzimanju u kombinaciji s drugim antihiperglikemijskim ljekovima</w:t>
      </w:r>
    </w:p>
    <w:p w:rsidR="00EA0194" w:rsidRDefault="00FC2E72">
      <w:pPr>
        <w:numPr>
          <w:ilvl w:val="12"/>
          <w:numId w:val="0"/>
        </w:numPr>
        <w:tabs>
          <w:tab w:val="left" w:pos="8505"/>
        </w:tabs>
        <w:kinsoku w:val="0"/>
        <w:overflowPunct w:val="0"/>
        <w:ind w:right="59"/>
        <w:jc w:val="both"/>
        <w:rPr>
          <w:szCs w:val="22"/>
          <w:lang w:val="sr-Latn-ME"/>
        </w:rPr>
      </w:pPr>
      <w:r>
        <w:rPr>
          <w:szCs w:val="22"/>
          <w:lang w:val="sr-Latn-ME"/>
        </w:rPr>
        <w:t>U kliničkim ispitivanjima sitagliptina kao monoterapije ili kao dijela kombinovane terapije s ljekovima za koje nije poznato da uzrokuju hipoglikemiju (na primjer metformin i/ili agonista PPAR</w:t>
      </w:r>
      <w:r>
        <w:rPr>
          <w:szCs w:val="22"/>
          <w:lang w:val="sr-Latn-ME"/>
        </w:rPr>
        <w:sym w:font="Symbol" w:char="F067"/>
      </w:r>
      <w:r>
        <w:rPr>
          <w:szCs w:val="22"/>
          <w:lang w:val="sr-Latn-ME"/>
        </w:rPr>
        <w:t>), stope prijavljenih hipoglikemija kod pacijenata koji su uzimali sitagliptin bile su jednake onima kod pacijenata koji su uzimali placebo. Hipoglikemija je primijećena kad se sitagliptin uzimao u kombinaciji s insulinom ili sulfonilurejom. Stoga se mogu razmotriti i niže doze sulfonilureje ili insulina kako bi se smanjio rizik od hipoglikemije (vidjeti dio 4.2).</w:t>
      </w:r>
    </w:p>
    <w:p w:rsidR="00EA0194" w:rsidRDefault="00EA0194">
      <w:pPr>
        <w:numPr>
          <w:ilvl w:val="12"/>
          <w:numId w:val="0"/>
        </w:numPr>
        <w:tabs>
          <w:tab w:val="left" w:pos="8505"/>
        </w:tabs>
        <w:kinsoku w:val="0"/>
        <w:overflowPunct w:val="0"/>
        <w:spacing w:line="244" w:lineRule="exact"/>
        <w:ind w:right="-2"/>
        <w:jc w:val="both"/>
        <w:rPr>
          <w:szCs w:val="22"/>
          <w:u w:val="single"/>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u w:val="single"/>
          <w:lang w:val="sr-Latn-ME"/>
        </w:rPr>
        <w:t>Oštećenje funkcije bubrega</w:t>
      </w:r>
    </w:p>
    <w:p w:rsidR="00EA0194" w:rsidRDefault="00FC2E72">
      <w:pPr>
        <w:numPr>
          <w:ilvl w:val="12"/>
          <w:numId w:val="0"/>
        </w:numPr>
        <w:tabs>
          <w:tab w:val="left" w:pos="8505"/>
        </w:tabs>
        <w:kinsoku w:val="0"/>
        <w:overflowPunct w:val="0"/>
        <w:ind w:right="103"/>
        <w:jc w:val="both"/>
        <w:rPr>
          <w:szCs w:val="22"/>
          <w:lang w:val="sr-Latn-ME"/>
        </w:rPr>
      </w:pPr>
      <w:r>
        <w:rPr>
          <w:szCs w:val="22"/>
          <w:lang w:val="sr-Latn-ME"/>
        </w:rPr>
        <w:t>Sitagliptin se izlučuje putem bubrega. Kako bi se postigle koncentracije sitagliptina u plazmi slične onima kod pacijenata s normalnom funkcijom bubrega, preporučuju se niže doze kod pacijenata s GFR-om &lt; 45 ml/min, kao i kod pacijenata u završnoj fazi bubrežne bolesti kojima je potrebna hemodijaliza ili peritonealna dijaliza (vidjeti djelove 4.2 i 5.2).</w:t>
      </w:r>
    </w:p>
    <w:p w:rsidR="00EA0194" w:rsidRDefault="00FC2E72">
      <w:pPr>
        <w:numPr>
          <w:ilvl w:val="12"/>
          <w:numId w:val="0"/>
        </w:numPr>
        <w:tabs>
          <w:tab w:val="left" w:pos="8505"/>
        </w:tabs>
        <w:kinsoku w:val="0"/>
        <w:overflowPunct w:val="0"/>
        <w:ind w:right="-2"/>
        <w:rPr>
          <w:szCs w:val="22"/>
          <w:lang w:val="sr-Latn-ME"/>
        </w:rPr>
      </w:pPr>
      <w:r>
        <w:rPr>
          <w:szCs w:val="22"/>
          <w:lang w:val="sr-Latn-ME"/>
        </w:rPr>
        <w:t>Kada se razmatra primjena sitagliptina u kombinaciji s drugim lijekom protiv dijabetesa, mora se provjeriti koji su uslovi primjene tog lijeka kod pacijenata s oštećenjem funkcije bubrega.</w:t>
      </w:r>
    </w:p>
    <w:p w:rsidR="00EA0194" w:rsidRDefault="00EA0194">
      <w:pPr>
        <w:autoSpaceDE w:val="0"/>
        <w:autoSpaceDN w:val="0"/>
        <w:adjustRightInd w:val="0"/>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u w:val="single"/>
          <w:lang w:val="sr-Latn-ME"/>
        </w:rPr>
        <w:lastRenderedPageBreak/>
        <w:t>Reakcije preosjetljivosti</w:t>
      </w:r>
    </w:p>
    <w:p w:rsidR="00EA0194" w:rsidRDefault="00FC2E72">
      <w:pPr>
        <w:numPr>
          <w:ilvl w:val="12"/>
          <w:numId w:val="0"/>
        </w:numPr>
        <w:tabs>
          <w:tab w:val="left" w:pos="8505"/>
        </w:tabs>
        <w:kinsoku w:val="0"/>
        <w:overflowPunct w:val="0"/>
        <w:ind w:right="117"/>
        <w:jc w:val="both"/>
        <w:rPr>
          <w:szCs w:val="22"/>
          <w:lang w:val="sr-Latn-ME"/>
        </w:rPr>
      </w:pPr>
      <w:r>
        <w:rPr>
          <w:szCs w:val="22"/>
          <w:lang w:val="sr-Latn-ME"/>
        </w:rPr>
        <w:t>Nakon stavljanja lijeka u promet prijavljene su ozbiljne reakcije preosjetljivosti kod pacijenata liječenih sitagliptinom. Te reakcije uključuju anafilaksiju, angioedem i eksfolijativna stanja kože uključujući Stevens-Johnsonov sindrom. Ove reakcije su se pojavile tokom prva 3 mjeseca nakon početka liječenja, a u nekim slučajevima prijavljene su već nakon prve doze. Pri sumnji na reakciju preosjetljivosti mora se prekinuti uzimanje lijeka Maysiglu. Treba procijeniti druge moguće uzroke, te započeti liječenje dijabetesa drugim ljekovima.</w:t>
      </w:r>
    </w:p>
    <w:p w:rsidR="00EA0194" w:rsidRDefault="00EA0194">
      <w:pPr>
        <w:autoSpaceDE w:val="0"/>
        <w:autoSpaceDN w:val="0"/>
        <w:adjustRightInd w:val="0"/>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u w:val="single"/>
          <w:lang w:val="sr-Latn-ME"/>
        </w:rPr>
        <w:t>Bulozni pemfigoid</w:t>
      </w:r>
    </w:p>
    <w:p w:rsidR="00EA0194" w:rsidRDefault="00FC2E72">
      <w:pPr>
        <w:numPr>
          <w:ilvl w:val="12"/>
          <w:numId w:val="0"/>
        </w:numPr>
        <w:tabs>
          <w:tab w:val="left" w:pos="8505"/>
        </w:tabs>
        <w:kinsoku w:val="0"/>
        <w:overflowPunct w:val="0"/>
        <w:ind w:right="110"/>
        <w:jc w:val="both"/>
        <w:rPr>
          <w:szCs w:val="22"/>
          <w:lang w:val="sr-Latn-ME"/>
        </w:rPr>
      </w:pPr>
      <w:r>
        <w:rPr>
          <w:szCs w:val="22"/>
          <w:lang w:val="sr-Latn-ME"/>
        </w:rPr>
        <w:t>Nakon stavljanja lijeka u promet prijavljen je bulozni pemfigoid kod pacijenata koji uzimaju inhibitore DPP-4, uključujući sitagliptin. Pri sumnji na bulozni pemfigoid treba prekinuti liječenje lijekom Maysiglu.</w:t>
      </w:r>
    </w:p>
    <w:p w:rsidR="00EA0194" w:rsidRDefault="00EA0194">
      <w:pPr>
        <w:autoSpaceDE w:val="0"/>
        <w:autoSpaceDN w:val="0"/>
        <w:adjustRightInd w:val="0"/>
        <w:jc w:val="both"/>
        <w:rPr>
          <w:szCs w:val="22"/>
          <w:u w:val="single"/>
          <w:lang w:val="sr-Latn-ME"/>
        </w:rPr>
      </w:pPr>
    </w:p>
    <w:p w:rsidR="00EA0194" w:rsidRDefault="00FC2E72">
      <w:pPr>
        <w:autoSpaceDE w:val="0"/>
        <w:autoSpaceDN w:val="0"/>
        <w:adjustRightInd w:val="0"/>
        <w:jc w:val="both"/>
        <w:rPr>
          <w:szCs w:val="22"/>
          <w:u w:val="single"/>
          <w:lang w:val="sr-Latn-ME"/>
        </w:rPr>
      </w:pPr>
      <w:r>
        <w:rPr>
          <w:szCs w:val="22"/>
          <w:u w:val="single"/>
          <w:lang w:val="sr-Latn-ME"/>
        </w:rPr>
        <w:t>Pomoćne supstance</w:t>
      </w:r>
    </w:p>
    <w:p w:rsidR="00EA0194" w:rsidRDefault="00FC2E72">
      <w:pPr>
        <w:jc w:val="both"/>
        <w:rPr>
          <w:szCs w:val="22"/>
          <w:lang w:val="sr-Latn-ME"/>
        </w:rPr>
      </w:pPr>
      <w:r>
        <w:rPr>
          <w:szCs w:val="22"/>
          <w:lang w:val="sr-Latn-ME"/>
        </w:rPr>
        <w:t>Ovaj lijek sadrži manje od 1 mmol (23 mg) natrijuma po tableti, tj. zanemarljive količine natrijuma.</w:t>
      </w:r>
    </w:p>
    <w:p w:rsidR="00EA0194" w:rsidRDefault="00EA0194">
      <w:pPr>
        <w:widowControl w:val="0"/>
        <w:jc w:val="both"/>
        <w:rPr>
          <w:szCs w:val="22"/>
          <w:lang w:val="sr-Latn-ME"/>
        </w:rPr>
      </w:pPr>
    </w:p>
    <w:p w:rsidR="00EA0194" w:rsidRDefault="00FC2E72">
      <w:pPr>
        <w:widowControl w:val="0"/>
        <w:ind w:left="567" w:hanging="567"/>
        <w:jc w:val="both"/>
        <w:outlineLvl w:val="0"/>
        <w:rPr>
          <w:b/>
          <w:szCs w:val="22"/>
          <w:lang w:val="sr-Latn-ME"/>
        </w:rPr>
      </w:pPr>
      <w:r>
        <w:rPr>
          <w:b/>
          <w:szCs w:val="22"/>
          <w:lang w:val="sr-Latn-ME"/>
        </w:rPr>
        <w:t>4.5</w:t>
      </w:r>
      <w:r>
        <w:rPr>
          <w:b/>
          <w:szCs w:val="22"/>
          <w:lang w:val="sr-Latn-ME"/>
        </w:rPr>
        <w:tab/>
        <w:t>Interakcije sa drugim ljekovima i druge vrste interakcija</w:t>
      </w:r>
    </w:p>
    <w:p w:rsidR="00EA0194" w:rsidRDefault="00EA0194">
      <w:pPr>
        <w:widowControl w:val="0"/>
        <w:ind w:left="567" w:hanging="567"/>
        <w:jc w:val="both"/>
        <w:outlineLvl w:val="0"/>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u w:val="single"/>
          <w:lang w:val="sr-Latn-ME"/>
        </w:rPr>
        <w:t>Efekti drugih ljekova na sitagliptin</w:t>
      </w: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Klinički podaci, opisani u nastavku, ukazuju na nizak rizik od klinički značajnih interakcija pri istovremenoj primjeni s drugim ljekovima.</w:t>
      </w:r>
    </w:p>
    <w:p w:rsidR="00EA0194" w:rsidRDefault="00EA0194">
      <w:pPr>
        <w:widowControl w:val="0"/>
        <w:jc w:val="both"/>
        <w:rPr>
          <w:szCs w:val="22"/>
          <w:lang w:val="sr-Latn-ME"/>
        </w:rPr>
      </w:pPr>
    </w:p>
    <w:p w:rsidR="00EA0194" w:rsidRDefault="00FC2E72">
      <w:pPr>
        <w:numPr>
          <w:ilvl w:val="12"/>
          <w:numId w:val="0"/>
        </w:numPr>
        <w:tabs>
          <w:tab w:val="left" w:pos="8505"/>
        </w:tabs>
        <w:kinsoku w:val="0"/>
        <w:overflowPunct w:val="0"/>
        <w:ind w:right="195"/>
        <w:jc w:val="both"/>
        <w:rPr>
          <w:szCs w:val="22"/>
          <w:lang w:val="sr-Latn-ME"/>
        </w:rPr>
      </w:pPr>
      <w:r>
        <w:rPr>
          <w:szCs w:val="22"/>
          <w:lang w:val="sr-Latn-ME"/>
        </w:rPr>
        <w:t xml:space="preserve">Istraživanja </w:t>
      </w:r>
      <w:r>
        <w:rPr>
          <w:i/>
          <w:iCs/>
          <w:szCs w:val="22"/>
          <w:lang w:val="sr-Latn-ME"/>
        </w:rPr>
        <w:t xml:space="preserve">in vitro </w:t>
      </w:r>
      <w:r>
        <w:rPr>
          <w:szCs w:val="22"/>
          <w:lang w:val="sr-Latn-ME"/>
        </w:rPr>
        <w:t>ukazuju na to da je za ograničeni metabolizam sitagliptina primarno odgovoran CYP3A4, a tome doprinosi i CYP2C8. Kod pacijenata s normalnom funkcijom bubrega metabolizam, uključujući onaj putem CYP3A4, igra tek manju ulogu u klirensu sitagliptina. Metabolizam može igrati značajniju ulogu u eliminaciji sitagliptina kod pacijenata s teškim oštećenjem funkcije bubrega ili u završnoj fazi bubrežne bolesti. Iz tog razloga je moguće da potentni inhibitori CYP3A4 (tj. ketokonazol, itrakonazol, ritonavir, klaritromicin) mogu promijeniti farmakokinetiku sitagliptina kod pacijenata s teškim oštećenjem funkcije bubrega ili završnom fazom bubrežne bolesti. Efekti potentnih inhibitora CYP3A4 kod pacijenata s oštećenjem funkcije bubrega nijesu procijenjeni u kliničkom ispitivanju.</w:t>
      </w:r>
    </w:p>
    <w:p w:rsidR="00EA0194" w:rsidRDefault="00EA0194">
      <w:pPr>
        <w:widowControl w:val="0"/>
        <w:jc w:val="both"/>
        <w:rPr>
          <w:szCs w:val="22"/>
          <w:lang w:val="sr-Latn-ME"/>
        </w:rPr>
      </w:pPr>
    </w:p>
    <w:p w:rsidR="00EA0194" w:rsidRDefault="00FC2E72">
      <w:pPr>
        <w:numPr>
          <w:ilvl w:val="12"/>
          <w:numId w:val="0"/>
        </w:numPr>
        <w:tabs>
          <w:tab w:val="left" w:pos="8505"/>
        </w:tabs>
        <w:kinsoku w:val="0"/>
        <w:overflowPunct w:val="0"/>
        <w:ind w:right="63"/>
        <w:jc w:val="both"/>
        <w:rPr>
          <w:szCs w:val="22"/>
          <w:lang w:val="sr-Latn-ME"/>
        </w:rPr>
      </w:pPr>
      <w:r>
        <w:rPr>
          <w:szCs w:val="22"/>
          <w:lang w:val="sr-Latn-ME"/>
        </w:rPr>
        <w:t xml:space="preserve">Istraživanja transporta </w:t>
      </w:r>
      <w:r>
        <w:rPr>
          <w:i/>
          <w:iCs/>
          <w:szCs w:val="22"/>
          <w:lang w:val="sr-Latn-ME"/>
        </w:rPr>
        <w:t xml:space="preserve">in vitro </w:t>
      </w:r>
      <w:r>
        <w:rPr>
          <w:szCs w:val="22"/>
          <w:lang w:val="sr-Latn-ME"/>
        </w:rPr>
        <w:t xml:space="preserve">pokazala su da je sitagliptin supstrat p-glikoproteina i organskog anjonskog transportera-3 (OAT3). Probenecid je inhibirao transport sitagliptina posredovan OAT3 </w:t>
      </w:r>
      <w:r>
        <w:rPr>
          <w:i/>
          <w:iCs/>
          <w:szCs w:val="22"/>
          <w:lang w:val="sr-Latn-ME"/>
        </w:rPr>
        <w:t>in vitro</w:t>
      </w:r>
      <w:r>
        <w:rPr>
          <w:szCs w:val="22"/>
          <w:lang w:val="sr-Latn-ME"/>
        </w:rPr>
        <w:t xml:space="preserve">, premda se rizik od klinički značajnih interakcija smatra niskim. Nije ispitivana istovremena primjena s inhibitorima OAT3 </w:t>
      </w:r>
      <w:r>
        <w:rPr>
          <w:i/>
          <w:iCs/>
          <w:szCs w:val="22"/>
          <w:lang w:val="sr-Latn-ME"/>
        </w:rPr>
        <w:t>in vivo</w:t>
      </w:r>
      <w:r>
        <w:rPr>
          <w:szCs w:val="22"/>
          <w:lang w:val="sr-Latn-ME"/>
        </w:rPr>
        <w:t>.</w:t>
      </w:r>
    </w:p>
    <w:p w:rsidR="00EA0194" w:rsidRDefault="00EA0194">
      <w:pPr>
        <w:autoSpaceDE w:val="0"/>
        <w:autoSpaceDN w:val="0"/>
        <w:adjustRightInd w:val="0"/>
        <w:jc w:val="both"/>
        <w:rPr>
          <w:iCs/>
          <w:szCs w:val="22"/>
          <w:lang w:val="sr-Latn-ME"/>
        </w:rPr>
      </w:pPr>
    </w:p>
    <w:p w:rsidR="00EA0194" w:rsidRDefault="00FC2E72">
      <w:pPr>
        <w:numPr>
          <w:ilvl w:val="12"/>
          <w:numId w:val="0"/>
        </w:numPr>
        <w:tabs>
          <w:tab w:val="left" w:pos="8505"/>
        </w:tabs>
        <w:kinsoku w:val="0"/>
        <w:overflowPunct w:val="0"/>
        <w:ind w:right="280"/>
        <w:jc w:val="both"/>
        <w:rPr>
          <w:szCs w:val="22"/>
          <w:lang w:val="sr-Latn-ME"/>
        </w:rPr>
      </w:pPr>
      <w:r>
        <w:rPr>
          <w:i/>
          <w:iCs/>
          <w:szCs w:val="22"/>
          <w:lang w:val="sr-Latn-ME"/>
        </w:rPr>
        <w:t xml:space="preserve">Metformin: </w:t>
      </w:r>
      <w:r>
        <w:rPr>
          <w:szCs w:val="22"/>
          <w:lang w:val="sr-Latn-ME"/>
        </w:rPr>
        <w:t>Kod pacijenata s dijabetesom tipa 2 istovremena primjena višekratnih doza metformina od 1000 mg dvaput na dan i sitagliptina u dozi od 50 mg dvaput na dan nije značajnije promijenila farmakokinetiku sitagliptina.</w:t>
      </w:r>
    </w:p>
    <w:p w:rsidR="00EA0194" w:rsidRDefault="00EA0194">
      <w:pPr>
        <w:numPr>
          <w:ilvl w:val="12"/>
          <w:numId w:val="0"/>
        </w:numPr>
        <w:tabs>
          <w:tab w:val="left" w:pos="8505"/>
        </w:tabs>
        <w:kinsoku w:val="0"/>
        <w:overflowPunct w:val="0"/>
        <w:spacing w:before="3"/>
        <w:ind w:right="-2"/>
        <w:jc w:val="both"/>
        <w:rPr>
          <w:szCs w:val="22"/>
          <w:lang w:val="sr-Latn-ME"/>
        </w:rPr>
      </w:pPr>
    </w:p>
    <w:p w:rsidR="00EA0194" w:rsidRDefault="00FC2E72">
      <w:pPr>
        <w:numPr>
          <w:ilvl w:val="12"/>
          <w:numId w:val="0"/>
        </w:numPr>
        <w:tabs>
          <w:tab w:val="left" w:pos="8505"/>
        </w:tabs>
        <w:kinsoku w:val="0"/>
        <w:overflowPunct w:val="0"/>
        <w:spacing w:line="252" w:lineRule="exact"/>
        <w:ind w:right="-2"/>
        <w:jc w:val="both"/>
        <w:rPr>
          <w:szCs w:val="22"/>
          <w:lang w:val="sr-Latn-ME"/>
        </w:rPr>
      </w:pPr>
      <w:r>
        <w:rPr>
          <w:i/>
          <w:iCs/>
          <w:szCs w:val="22"/>
          <w:lang w:val="sr-Latn-ME"/>
        </w:rPr>
        <w:t xml:space="preserve">Ciklosporin: </w:t>
      </w:r>
      <w:r>
        <w:rPr>
          <w:szCs w:val="22"/>
          <w:lang w:val="sr-Latn-ME"/>
        </w:rPr>
        <w:t>Sprovedeno je ispitivanje procjene dejstva ciklosporina, potentnog inhibitora p-glikoproteina, na farmakokinetiku sitagliptina. Istovremenom primjenom jednokratne oralne doze sitagliptina od 100 mg i jednokratne oralne doze ciklosporina od 600 mg, PIK sitagliptina povećao se za približno 29%, a C</w:t>
      </w:r>
      <w:r>
        <w:rPr>
          <w:szCs w:val="22"/>
          <w:vertAlign w:val="subscript"/>
          <w:lang w:val="sr-Latn-ME"/>
        </w:rPr>
        <w:t>max</w:t>
      </w:r>
      <w:r>
        <w:rPr>
          <w:szCs w:val="22"/>
          <w:lang w:val="sr-Latn-ME"/>
        </w:rPr>
        <w:t xml:space="preserve"> za približno 68%. Ove promjene u farmakokinetici sitagliptina nijesu se smatrale klinički značajnim. Bubrežni klirens sitagliptina nije bio značajno promijenjen. Stoga se ne očekuju značajne interakcije s drugim inhibitorima p-glikoproteina.</w:t>
      </w:r>
    </w:p>
    <w:p w:rsidR="00EA0194" w:rsidRDefault="00EA0194">
      <w:pPr>
        <w:numPr>
          <w:ilvl w:val="12"/>
          <w:numId w:val="0"/>
        </w:numPr>
        <w:tabs>
          <w:tab w:val="left" w:pos="8505"/>
        </w:tabs>
        <w:kinsoku w:val="0"/>
        <w:overflowPunct w:val="0"/>
        <w:spacing w:line="244" w:lineRule="exact"/>
        <w:ind w:right="-2"/>
        <w:jc w:val="both"/>
        <w:rPr>
          <w:szCs w:val="22"/>
          <w:u w:val="single"/>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u w:val="single"/>
          <w:lang w:val="sr-Latn-ME"/>
        </w:rPr>
        <w:t>Efekti sitagliptina na druge ljekove</w:t>
      </w:r>
    </w:p>
    <w:p w:rsidR="00EA0194" w:rsidRDefault="00FC2E72">
      <w:pPr>
        <w:numPr>
          <w:ilvl w:val="12"/>
          <w:numId w:val="0"/>
        </w:numPr>
        <w:tabs>
          <w:tab w:val="left" w:pos="8505"/>
        </w:tabs>
        <w:kinsoku w:val="0"/>
        <w:overflowPunct w:val="0"/>
        <w:ind w:right="81"/>
        <w:jc w:val="both"/>
        <w:rPr>
          <w:szCs w:val="22"/>
          <w:lang w:val="sr-Latn-ME"/>
        </w:rPr>
      </w:pPr>
      <w:r>
        <w:rPr>
          <w:i/>
          <w:iCs/>
          <w:szCs w:val="22"/>
          <w:lang w:val="sr-Latn-ME"/>
        </w:rPr>
        <w:t xml:space="preserve">Digoksin: </w:t>
      </w:r>
      <w:r>
        <w:rPr>
          <w:szCs w:val="22"/>
          <w:lang w:val="sr-Latn-ME"/>
        </w:rPr>
        <w:t>Sitagliptin je imao mali efekat na koncentraciju digoksina u plazmi. Nakon istovremene primjene digoksina u dozi od 0,25 mg sa sitagliptinom u dozi od 100 mg na dan, tokom 10 dana, PIK digoksina u plazmi porastao je za prosječno 11%, a C</w:t>
      </w:r>
      <w:r>
        <w:rPr>
          <w:szCs w:val="22"/>
          <w:vertAlign w:val="subscript"/>
          <w:lang w:val="sr-Latn-ME"/>
        </w:rPr>
        <w:t>max</w:t>
      </w:r>
      <w:r>
        <w:rPr>
          <w:szCs w:val="22"/>
          <w:lang w:val="sr-Latn-ME"/>
        </w:rPr>
        <w:t xml:space="preserve"> u plazmi za prosječno 18%. Ne preporučuje se prilagođavanje doze digoksina. Ipak, pacijenti s rizikom od toksičnosti digoksina moraju se pratiti kada se sitagliptin i digoksin primjenjuju istovremeno.</w:t>
      </w:r>
    </w:p>
    <w:p w:rsidR="00EA0194" w:rsidRDefault="00EA0194">
      <w:pPr>
        <w:numPr>
          <w:ilvl w:val="12"/>
          <w:numId w:val="0"/>
        </w:numPr>
        <w:tabs>
          <w:tab w:val="left" w:pos="8505"/>
        </w:tabs>
        <w:kinsoku w:val="0"/>
        <w:overflowPunct w:val="0"/>
        <w:spacing w:before="1"/>
        <w:ind w:right="-2"/>
        <w:rPr>
          <w:szCs w:val="22"/>
          <w:lang w:val="sr-Latn-ME"/>
        </w:rPr>
      </w:pPr>
    </w:p>
    <w:p w:rsidR="00EA0194" w:rsidRDefault="00FC2E72">
      <w:pPr>
        <w:numPr>
          <w:ilvl w:val="12"/>
          <w:numId w:val="0"/>
        </w:numPr>
        <w:tabs>
          <w:tab w:val="left" w:pos="8505"/>
        </w:tabs>
        <w:kinsoku w:val="0"/>
        <w:overflowPunct w:val="0"/>
        <w:ind w:right="142"/>
        <w:jc w:val="both"/>
        <w:rPr>
          <w:szCs w:val="22"/>
          <w:lang w:val="sr-Latn-ME"/>
        </w:rPr>
      </w:pPr>
      <w:r>
        <w:rPr>
          <w:szCs w:val="22"/>
          <w:lang w:val="sr-Latn-ME"/>
        </w:rPr>
        <w:lastRenderedPageBreak/>
        <w:t xml:space="preserve">Podaci iz </w:t>
      </w:r>
      <w:r>
        <w:rPr>
          <w:i/>
          <w:iCs/>
          <w:szCs w:val="22"/>
          <w:lang w:val="sr-Latn-ME"/>
        </w:rPr>
        <w:t xml:space="preserve">in vitro </w:t>
      </w:r>
      <w:r>
        <w:rPr>
          <w:szCs w:val="22"/>
          <w:lang w:val="sr-Latn-ME"/>
        </w:rPr>
        <w:t xml:space="preserve">istraživanja ukazuju na to da sitagliptin ne inhibira niti indukuje izoenzime CYP450. U kliničkim ispitivanjima sitagliptin nije značajno promijenio farmakokinetiku metformina, gliburida, simvastatina, rosiglitazona, varfarina ili oralnih kontraceptiva, pružajući </w:t>
      </w:r>
      <w:r>
        <w:rPr>
          <w:i/>
          <w:iCs/>
          <w:szCs w:val="22"/>
          <w:lang w:val="sr-Latn-ME"/>
        </w:rPr>
        <w:t xml:space="preserve">in vivo </w:t>
      </w:r>
      <w:r>
        <w:rPr>
          <w:szCs w:val="22"/>
          <w:lang w:val="sr-Latn-ME"/>
        </w:rPr>
        <w:t xml:space="preserve">dokaz o niskoj sklonosti za uzrokovanje interakcija sa supstratima CYP3A4, CYP2C8, CYP2C9 i organskog katjonskog transportera (OCT). Sitagliptin može biti blagi inhibitor p-glikoproteina </w:t>
      </w:r>
      <w:r>
        <w:rPr>
          <w:i/>
          <w:szCs w:val="22"/>
          <w:lang w:val="sr-Latn-ME"/>
        </w:rPr>
        <w:t>in viv</w:t>
      </w:r>
      <w:r>
        <w:rPr>
          <w:szCs w:val="22"/>
          <w:lang w:val="sr-Latn-ME"/>
        </w:rPr>
        <w:t>o.</w:t>
      </w:r>
    </w:p>
    <w:p w:rsidR="00EA0194" w:rsidRDefault="00EA0194">
      <w:pPr>
        <w:widowControl w:val="0"/>
        <w:jc w:val="both"/>
        <w:rPr>
          <w:szCs w:val="22"/>
          <w:lang w:val="sr-Latn-ME"/>
        </w:rPr>
      </w:pPr>
    </w:p>
    <w:p w:rsidR="00EA0194" w:rsidRDefault="00FC2E72">
      <w:pPr>
        <w:widowControl w:val="0"/>
        <w:ind w:left="567" w:hanging="567"/>
        <w:jc w:val="both"/>
        <w:outlineLvl w:val="0"/>
        <w:rPr>
          <w:b/>
          <w:bCs/>
          <w:szCs w:val="22"/>
          <w:lang w:val="sr-Latn-ME"/>
        </w:rPr>
      </w:pPr>
      <w:r>
        <w:rPr>
          <w:b/>
          <w:szCs w:val="22"/>
          <w:lang w:val="sr-Latn-ME"/>
        </w:rPr>
        <w:t>4.6</w:t>
      </w:r>
      <w:r>
        <w:rPr>
          <w:b/>
          <w:szCs w:val="22"/>
          <w:lang w:val="sr-Latn-ME"/>
        </w:rPr>
        <w:tab/>
      </w:r>
      <w:r>
        <w:rPr>
          <w:b/>
          <w:bCs/>
          <w:szCs w:val="22"/>
          <w:lang w:val="sr-Latn-ME"/>
        </w:rPr>
        <w:t>Plodnost, trudnoća i dojenje</w:t>
      </w:r>
    </w:p>
    <w:p w:rsidR="00EA0194" w:rsidRDefault="00EA0194">
      <w:pPr>
        <w:widowControl w:val="0"/>
        <w:ind w:left="567" w:hanging="567"/>
        <w:jc w:val="both"/>
        <w:outlineLvl w:val="0"/>
        <w:rPr>
          <w:b/>
          <w:bCs/>
          <w:szCs w:val="22"/>
          <w:lang w:val="sr-Latn-ME"/>
        </w:rPr>
      </w:pPr>
    </w:p>
    <w:p w:rsidR="00EA0194" w:rsidRDefault="00FC2E72">
      <w:pPr>
        <w:numPr>
          <w:ilvl w:val="12"/>
          <w:numId w:val="0"/>
        </w:numPr>
        <w:tabs>
          <w:tab w:val="left" w:pos="8505"/>
        </w:tabs>
        <w:kinsoku w:val="0"/>
        <w:overflowPunct w:val="0"/>
        <w:ind w:right="-2"/>
        <w:jc w:val="both"/>
        <w:rPr>
          <w:szCs w:val="22"/>
          <w:lang w:val="sr-Latn-ME"/>
        </w:rPr>
      </w:pPr>
      <w:r>
        <w:rPr>
          <w:szCs w:val="22"/>
          <w:u w:val="single"/>
          <w:lang w:val="sr-Latn-ME"/>
        </w:rPr>
        <w:t>Plodnost</w:t>
      </w:r>
    </w:p>
    <w:p w:rsidR="00EA0194" w:rsidRDefault="00FC2E72">
      <w:pPr>
        <w:numPr>
          <w:ilvl w:val="12"/>
          <w:numId w:val="0"/>
        </w:numPr>
        <w:tabs>
          <w:tab w:val="left" w:pos="8505"/>
        </w:tabs>
        <w:kinsoku w:val="0"/>
        <w:overflowPunct w:val="0"/>
        <w:spacing w:before="1"/>
        <w:ind w:right="-2"/>
        <w:jc w:val="both"/>
        <w:rPr>
          <w:szCs w:val="22"/>
          <w:lang w:val="sr-Latn-ME"/>
        </w:rPr>
      </w:pPr>
      <w:r>
        <w:rPr>
          <w:szCs w:val="22"/>
          <w:lang w:val="sr-Latn-ME"/>
        </w:rPr>
        <w:t>Podaci iz istraživanja na životinjama ne pokazuju da liječenje sitagliptinom ima dejstvo na plodnost mužjaka ni ženki. Nema podataka kod ljudi.</w:t>
      </w:r>
    </w:p>
    <w:p w:rsidR="00EA0194" w:rsidRDefault="00EA0194">
      <w:pPr>
        <w:numPr>
          <w:ilvl w:val="12"/>
          <w:numId w:val="0"/>
        </w:numPr>
        <w:tabs>
          <w:tab w:val="left" w:pos="8505"/>
        </w:tabs>
        <w:kinsoku w:val="0"/>
        <w:overflowPunct w:val="0"/>
        <w:spacing w:before="1"/>
        <w:ind w:right="-2"/>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u w:val="single"/>
          <w:lang w:val="sr-Latn-ME"/>
        </w:rPr>
        <w:t>Trudnoća</w:t>
      </w:r>
    </w:p>
    <w:p w:rsidR="00EA0194" w:rsidRDefault="00FC2E72">
      <w:pPr>
        <w:numPr>
          <w:ilvl w:val="12"/>
          <w:numId w:val="0"/>
        </w:numPr>
        <w:tabs>
          <w:tab w:val="left" w:pos="8505"/>
        </w:tabs>
        <w:kinsoku w:val="0"/>
        <w:overflowPunct w:val="0"/>
        <w:ind w:right="86"/>
        <w:jc w:val="both"/>
        <w:rPr>
          <w:szCs w:val="22"/>
          <w:lang w:val="sr-Latn-ME"/>
        </w:rPr>
      </w:pPr>
      <w:r>
        <w:rPr>
          <w:szCs w:val="22"/>
          <w:lang w:val="sr-Latn-ME"/>
        </w:rPr>
        <w:t>Nema odgovarajućih podataka o primjeni sitagliptina kod trudnica. Istraživanja na životinjama pokazala su reproduktivnu toksičnost pri visokim dozama (vidjeti dio 5.3). Nije poznat potencijalni rizik za ljude. Zbog nedostatka podataka o primjeni kod ljudi, lijek Maysiglu se ne smije primjenjivati tokom trudnoće.</w:t>
      </w:r>
    </w:p>
    <w:p w:rsidR="00EA0194" w:rsidRDefault="00EA0194">
      <w:pPr>
        <w:numPr>
          <w:ilvl w:val="12"/>
          <w:numId w:val="0"/>
        </w:numPr>
        <w:tabs>
          <w:tab w:val="left" w:pos="8505"/>
        </w:tabs>
        <w:kinsoku w:val="0"/>
        <w:overflowPunct w:val="0"/>
        <w:ind w:right="-2"/>
        <w:jc w:val="both"/>
        <w:rPr>
          <w:szCs w:val="22"/>
          <w:lang w:val="sr-Latn-ME"/>
        </w:rPr>
      </w:pPr>
    </w:p>
    <w:p w:rsidR="00EA0194" w:rsidRDefault="00FC2E72">
      <w:pPr>
        <w:numPr>
          <w:ilvl w:val="12"/>
          <w:numId w:val="0"/>
        </w:numPr>
        <w:tabs>
          <w:tab w:val="left" w:pos="8505"/>
        </w:tabs>
        <w:kinsoku w:val="0"/>
        <w:overflowPunct w:val="0"/>
        <w:spacing w:before="1" w:line="252" w:lineRule="exact"/>
        <w:ind w:right="-2"/>
        <w:jc w:val="both"/>
        <w:rPr>
          <w:szCs w:val="22"/>
          <w:lang w:val="sr-Latn-ME"/>
        </w:rPr>
      </w:pPr>
      <w:r>
        <w:rPr>
          <w:szCs w:val="22"/>
          <w:u w:val="single"/>
          <w:lang w:val="sr-Latn-ME"/>
        </w:rPr>
        <w:t>Dojenje</w:t>
      </w: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Nije poznato izlučuje li se sitagliptin u majčino mlijeko. Istraživanja na životinjama pokazala su da se sitagliptin izlučuje u mlijeko životinja. Lijek Maysiglu se ne smije uzimati tokom dojenja.</w:t>
      </w:r>
    </w:p>
    <w:p w:rsidR="00EA0194" w:rsidRDefault="00EA0194">
      <w:pPr>
        <w:jc w:val="both"/>
        <w:rPr>
          <w:szCs w:val="22"/>
          <w:u w:val="single"/>
          <w:lang w:val="sr-Latn-ME"/>
        </w:rPr>
      </w:pPr>
    </w:p>
    <w:p w:rsidR="00EA0194" w:rsidRDefault="00FC2E72">
      <w:pPr>
        <w:widowControl w:val="0"/>
        <w:ind w:left="567" w:hanging="567"/>
        <w:jc w:val="both"/>
        <w:outlineLvl w:val="0"/>
        <w:rPr>
          <w:szCs w:val="22"/>
          <w:lang w:val="sr-Latn-ME"/>
        </w:rPr>
      </w:pPr>
      <w:r>
        <w:rPr>
          <w:b/>
          <w:szCs w:val="22"/>
          <w:lang w:val="sr-Latn-ME"/>
        </w:rPr>
        <w:t>4.7</w:t>
      </w:r>
      <w:r>
        <w:rPr>
          <w:b/>
          <w:szCs w:val="22"/>
          <w:lang w:val="sr-Latn-ME"/>
        </w:rPr>
        <w:tab/>
      </w:r>
      <w:r>
        <w:rPr>
          <w:b/>
          <w:bCs/>
          <w:szCs w:val="22"/>
          <w:lang w:val="sr-Latn-ME"/>
        </w:rPr>
        <w:t xml:space="preserve">Uticaj na sposobnost upravljanja vozilima i rukovanje mašinama </w:t>
      </w:r>
    </w:p>
    <w:p w:rsidR="00EA0194" w:rsidRDefault="00EA0194">
      <w:pPr>
        <w:widowControl w:val="0"/>
        <w:jc w:val="both"/>
        <w:rPr>
          <w:szCs w:val="22"/>
          <w:lang w:val="sr-Latn-ME"/>
        </w:rPr>
      </w:pP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Lijek Maysiglu ne utiče ili zanemarljivo utiče na sposobnost upravljanja vozilima i rukovanje mašinama. Ipak, kod upravljanja vozilima ili rukovanja mašinama treba uzeti u obzir da su pri primjeni ovoga lijeka prijavljene vrtoglavica i somnolencija.</w:t>
      </w:r>
    </w:p>
    <w:p w:rsidR="00EA0194" w:rsidRDefault="00EA0194">
      <w:pPr>
        <w:numPr>
          <w:ilvl w:val="12"/>
          <w:numId w:val="0"/>
        </w:numPr>
        <w:tabs>
          <w:tab w:val="left" w:pos="8505"/>
        </w:tabs>
        <w:kinsoku w:val="0"/>
        <w:overflowPunct w:val="0"/>
        <w:spacing w:before="3"/>
        <w:ind w:right="-2"/>
        <w:jc w:val="both"/>
        <w:rPr>
          <w:szCs w:val="22"/>
          <w:lang w:val="sr-Latn-ME"/>
        </w:rPr>
      </w:pP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Pacijent se takođe mora upozoriti na rizik od hipoglikemije kad se lijek Maysiglu uzima u kombinaciji sa sulfonilurejom ili sa insulinom.</w:t>
      </w:r>
    </w:p>
    <w:p w:rsidR="00EA0194" w:rsidRDefault="00EA0194">
      <w:pPr>
        <w:widowControl w:val="0"/>
        <w:jc w:val="both"/>
        <w:rPr>
          <w:szCs w:val="22"/>
          <w:lang w:val="sr-Latn-ME"/>
        </w:rPr>
      </w:pPr>
    </w:p>
    <w:p w:rsidR="00EA0194" w:rsidRDefault="00FC2E72">
      <w:pPr>
        <w:widowControl w:val="0"/>
        <w:numPr>
          <w:ilvl w:val="1"/>
          <w:numId w:val="11"/>
        </w:numPr>
        <w:spacing w:line="240" w:lineRule="auto"/>
        <w:jc w:val="both"/>
        <w:outlineLvl w:val="0"/>
        <w:rPr>
          <w:b/>
          <w:szCs w:val="22"/>
          <w:lang w:val="sr-Latn-ME"/>
        </w:rPr>
      </w:pPr>
      <w:r>
        <w:rPr>
          <w:b/>
          <w:szCs w:val="22"/>
          <w:lang w:val="sr-Latn-ME"/>
        </w:rPr>
        <w:t>Neželjena dejstva</w:t>
      </w:r>
    </w:p>
    <w:p w:rsidR="00EA0194" w:rsidRDefault="00EA0194">
      <w:pPr>
        <w:widowControl w:val="0"/>
        <w:autoSpaceDE w:val="0"/>
        <w:autoSpaceDN w:val="0"/>
        <w:adjustRightInd w:val="0"/>
        <w:jc w:val="both"/>
        <w:rPr>
          <w:color w:val="000000"/>
          <w:szCs w:val="22"/>
          <w:lang w:val="sr-Latn-ME"/>
        </w:rPr>
      </w:pPr>
    </w:p>
    <w:p w:rsidR="00EA0194" w:rsidRDefault="00FC2E72">
      <w:pPr>
        <w:keepNext/>
        <w:widowControl w:val="0"/>
        <w:jc w:val="both"/>
        <w:rPr>
          <w:iCs/>
          <w:szCs w:val="22"/>
          <w:u w:val="single"/>
          <w:lang w:val="sr-Latn-ME"/>
        </w:rPr>
      </w:pPr>
      <w:r>
        <w:rPr>
          <w:iCs/>
          <w:szCs w:val="22"/>
          <w:u w:val="single"/>
          <w:lang w:val="sr-Latn-ME"/>
        </w:rPr>
        <w:t>Sažetak bezbjednosnog profila</w:t>
      </w:r>
    </w:p>
    <w:p w:rsidR="00EA0194" w:rsidRDefault="00FC2E72">
      <w:pPr>
        <w:numPr>
          <w:ilvl w:val="12"/>
          <w:numId w:val="0"/>
        </w:numPr>
        <w:tabs>
          <w:tab w:val="left" w:pos="9072"/>
        </w:tabs>
        <w:kinsoku w:val="0"/>
        <w:overflowPunct w:val="0"/>
        <w:ind w:right="-2"/>
        <w:jc w:val="both"/>
        <w:rPr>
          <w:szCs w:val="22"/>
          <w:lang w:val="sr-Latn-ME"/>
        </w:rPr>
      </w:pPr>
      <w:r>
        <w:rPr>
          <w:szCs w:val="22"/>
          <w:lang w:val="sr-Latn-ME"/>
        </w:rPr>
        <w:t>Prijavljena su ozbiljna neželjena dejstva uključujući pankreatitis i reakcije preosjetljivosti. Hipoglikemija je prijavljena kod primjene u kombinaciji sa sulfonilurejom (4,7%-13,8%) i insulinom (9,6%) (vidjeti dio 4.4).</w:t>
      </w:r>
    </w:p>
    <w:p w:rsidR="00EA0194" w:rsidRDefault="00EA0194">
      <w:pPr>
        <w:widowControl w:val="0"/>
        <w:jc w:val="both"/>
        <w:rPr>
          <w:iCs/>
          <w:szCs w:val="22"/>
          <w:u w:val="single"/>
          <w:lang w:val="sr-Latn-ME"/>
        </w:rPr>
      </w:pPr>
    </w:p>
    <w:p w:rsidR="00EA0194" w:rsidRDefault="00FC2E72">
      <w:pPr>
        <w:widowControl w:val="0"/>
        <w:jc w:val="both"/>
        <w:rPr>
          <w:szCs w:val="22"/>
          <w:u w:val="single"/>
          <w:lang w:val="sr-Latn-ME"/>
        </w:rPr>
      </w:pPr>
      <w:r>
        <w:rPr>
          <w:szCs w:val="22"/>
          <w:u w:val="single"/>
          <w:lang w:val="sr-Latn-ME"/>
        </w:rPr>
        <w:t>Tabelarni prikaz neželjenih dejstava</w:t>
      </w: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Neželjena dejstva navedena ispod (Tabela 1) su razvrstana prema klasifikaciji sistema organa i učestalosti. Učestalosti su definisane kao: veoma često (≥ 1/10); često (≥ 1/100 i &lt; 1/10); povremeno (≥ 1/1000 i &lt; 1/100); rijetko (≥ 1/10 000 i &lt; 1/1000); veoma rijetko (&lt; 1/10 000) i nepoznato (ne može se procijeniti iz dostupnih podataka).</w:t>
      </w:r>
    </w:p>
    <w:p w:rsidR="00EA0194" w:rsidRDefault="00EA0194">
      <w:pPr>
        <w:widowControl w:val="0"/>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b/>
          <w:szCs w:val="22"/>
          <w:lang w:val="sr-Latn-ME"/>
        </w:rPr>
      </w:pPr>
      <w:r>
        <w:rPr>
          <w:b/>
          <w:szCs w:val="22"/>
          <w:lang w:val="sr-Latn-ME"/>
        </w:rPr>
        <w:t>Tabela 1. Učestalost neželjenih dejstava utvrđenih iz placebom kontrolisanih kliničkih ispitivanja sitagliptina kao monoterapije i iskustva nakon stavljanja lijeka u promet</w:t>
      </w:r>
    </w:p>
    <w:p w:rsidR="00EA0194" w:rsidRDefault="00EA0194">
      <w:pPr>
        <w:widowControl w:val="0"/>
        <w:autoSpaceDE w:val="0"/>
        <w:autoSpaceDN w:val="0"/>
        <w:adjustRightInd w:val="0"/>
        <w:jc w:val="both"/>
        <w:rPr>
          <w:color w:val="000000"/>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5"/>
      </w:tblGrid>
      <w:tr w:rsidR="00EA0194">
        <w:tc>
          <w:tcPr>
            <w:tcW w:w="4605" w:type="dxa"/>
            <w:shd w:val="clear" w:color="auto" w:fill="auto"/>
          </w:tcPr>
          <w:p w:rsidR="00EA0194" w:rsidRDefault="00FC2E72">
            <w:pPr>
              <w:autoSpaceDE w:val="0"/>
              <w:autoSpaceDN w:val="0"/>
              <w:adjustRightInd w:val="0"/>
              <w:jc w:val="both"/>
              <w:rPr>
                <w:b/>
                <w:szCs w:val="22"/>
                <w:lang w:val="sr-Latn-ME"/>
              </w:rPr>
            </w:pPr>
            <w:r>
              <w:rPr>
                <w:b/>
                <w:szCs w:val="22"/>
                <w:lang w:val="sr-Latn-ME"/>
              </w:rPr>
              <w:t>Neželjeno dejstvo</w:t>
            </w:r>
          </w:p>
        </w:tc>
        <w:tc>
          <w:tcPr>
            <w:tcW w:w="4606" w:type="dxa"/>
            <w:shd w:val="clear" w:color="auto" w:fill="auto"/>
          </w:tcPr>
          <w:p w:rsidR="00EA0194" w:rsidRDefault="00FC2E72">
            <w:pPr>
              <w:autoSpaceDE w:val="0"/>
              <w:autoSpaceDN w:val="0"/>
              <w:adjustRightInd w:val="0"/>
              <w:jc w:val="both"/>
              <w:rPr>
                <w:b/>
                <w:szCs w:val="22"/>
                <w:lang w:val="sr-Latn-ME"/>
              </w:rPr>
            </w:pPr>
            <w:r>
              <w:rPr>
                <w:b/>
                <w:szCs w:val="22"/>
                <w:lang w:val="sr-Latn-ME"/>
              </w:rPr>
              <w:t xml:space="preserve">Učestalost </w:t>
            </w:r>
          </w:p>
        </w:tc>
      </w:tr>
      <w:tr w:rsidR="00EA0194">
        <w:tc>
          <w:tcPr>
            <w:tcW w:w="9211" w:type="dxa"/>
            <w:gridSpan w:val="2"/>
            <w:shd w:val="clear" w:color="auto" w:fill="auto"/>
          </w:tcPr>
          <w:p w:rsidR="00EA0194" w:rsidRDefault="00FC2E72">
            <w:pPr>
              <w:widowControl w:val="0"/>
              <w:jc w:val="both"/>
              <w:rPr>
                <w:b/>
                <w:iCs/>
                <w:szCs w:val="22"/>
                <w:lang w:val="sr-Latn-ME"/>
              </w:rPr>
            </w:pPr>
            <w:r>
              <w:rPr>
                <w:b/>
                <w:bCs/>
                <w:szCs w:val="22"/>
                <w:lang w:val="sr-Latn-ME"/>
              </w:rPr>
              <w:t>Poremećaji na nivou krvi i limfnog sistema</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trombocitopenija</w:t>
            </w:r>
          </w:p>
        </w:tc>
        <w:tc>
          <w:tcPr>
            <w:tcW w:w="4606" w:type="dxa"/>
            <w:shd w:val="clear" w:color="auto" w:fill="auto"/>
          </w:tcPr>
          <w:p w:rsidR="00EA0194" w:rsidRDefault="00FC2E72">
            <w:pPr>
              <w:autoSpaceDE w:val="0"/>
              <w:autoSpaceDN w:val="0"/>
              <w:adjustRightInd w:val="0"/>
              <w:jc w:val="both"/>
              <w:rPr>
                <w:szCs w:val="22"/>
                <w:lang w:val="sr-Latn-ME"/>
              </w:rPr>
            </w:pPr>
            <w:r>
              <w:rPr>
                <w:szCs w:val="22"/>
                <w:lang w:val="sr-Latn-ME"/>
              </w:rPr>
              <w:t>rijetko</w:t>
            </w:r>
          </w:p>
        </w:tc>
      </w:tr>
      <w:tr w:rsidR="00EA0194">
        <w:tc>
          <w:tcPr>
            <w:tcW w:w="9211" w:type="dxa"/>
            <w:gridSpan w:val="2"/>
            <w:shd w:val="clear" w:color="auto" w:fill="auto"/>
          </w:tcPr>
          <w:p w:rsidR="00EA0194" w:rsidRDefault="00EA0194">
            <w:pPr>
              <w:autoSpaceDE w:val="0"/>
              <w:autoSpaceDN w:val="0"/>
              <w:adjustRightInd w:val="0"/>
              <w:jc w:val="both"/>
              <w:rPr>
                <w:szCs w:val="22"/>
                <w:lang w:val="sr-Latn-ME"/>
              </w:rPr>
            </w:pPr>
          </w:p>
        </w:tc>
      </w:tr>
      <w:tr w:rsidR="00EA0194">
        <w:tc>
          <w:tcPr>
            <w:tcW w:w="9211" w:type="dxa"/>
            <w:gridSpan w:val="2"/>
            <w:shd w:val="clear" w:color="auto" w:fill="auto"/>
          </w:tcPr>
          <w:p w:rsidR="00EA0194" w:rsidRDefault="00FC2E72">
            <w:pPr>
              <w:autoSpaceDE w:val="0"/>
              <w:autoSpaceDN w:val="0"/>
              <w:adjustRightInd w:val="0"/>
              <w:jc w:val="both"/>
              <w:rPr>
                <w:b/>
                <w:szCs w:val="22"/>
                <w:lang w:val="sr-Latn-ME"/>
              </w:rPr>
            </w:pPr>
            <w:r>
              <w:rPr>
                <w:b/>
                <w:bCs/>
                <w:szCs w:val="22"/>
                <w:lang w:val="sr-Latn-ME"/>
              </w:rPr>
              <w:t>Imunološki poremećaji</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Reakcije preosjetljivosti uključujući anafilaktičke odgovore</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9211" w:type="dxa"/>
            <w:gridSpan w:val="2"/>
            <w:shd w:val="clear" w:color="auto" w:fill="auto"/>
          </w:tcPr>
          <w:p w:rsidR="00EA0194" w:rsidRDefault="00EA0194">
            <w:pPr>
              <w:autoSpaceDE w:val="0"/>
              <w:autoSpaceDN w:val="0"/>
              <w:adjustRightInd w:val="0"/>
              <w:jc w:val="both"/>
              <w:rPr>
                <w:szCs w:val="22"/>
                <w:lang w:val="sr-Latn-ME"/>
              </w:rPr>
            </w:pPr>
          </w:p>
        </w:tc>
      </w:tr>
      <w:tr w:rsidR="00EA0194">
        <w:tc>
          <w:tcPr>
            <w:tcW w:w="9211" w:type="dxa"/>
            <w:gridSpan w:val="2"/>
            <w:shd w:val="clear" w:color="auto" w:fill="auto"/>
          </w:tcPr>
          <w:p w:rsidR="00EA0194" w:rsidRDefault="00FC2E72">
            <w:pPr>
              <w:widowControl w:val="0"/>
              <w:jc w:val="both"/>
              <w:rPr>
                <w:b/>
                <w:szCs w:val="22"/>
                <w:lang w:val="sr-Latn-ME"/>
              </w:rPr>
            </w:pPr>
            <w:r>
              <w:rPr>
                <w:b/>
                <w:bCs/>
                <w:szCs w:val="22"/>
                <w:lang w:val="sr-Latn-ME"/>
              </w:rPr>
              <w:lastRenderedPageBreak/>
              <w:t>Poremećaji metabolizma i ishrane</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hipoglikemija</w:t>
            </w:r>
            <w:r>
              <w:rPr>
                <w:szCs w:val="22"/>
                <w:vertAlign w:val="superscript"/>
                <w:lang w:val="sr-Latn-ME"/>
              </w:rPr>
              <w:t>†</w:t>
            </w:r>
          </w:p>
        </w:tc>
        <w:tc>
          <w:tcPr>
            <w:tcW w:w="4606" w:type="dxa"/>
            <w:shd w:val="clear" w:color="auto" w:fill="auto"/>
          </w:tcPr>
          <w:p w:rsidR="00EA0194" w:rsidRDefault="00FC2E72">
            <w:pPr>
              <w:autoSpaceDE w:val="0"/>
              <w:autoSpaceDN w:val="0"/>
              <w:adjustRightInd w:val="0"/>
              <w:jc w:val="both"/>
              <w:rPr>
                <w:szCs w:val="22"/>
                <w:lang w:val="sr-Latn-ME"/>
              </w:rPr>
            </w:pPr>
            <w:r>
              <w:rPr>
                <w:szCs w:val="22"/>
                <w:lang w:val="sr-Latn-ME"/>
              </w:rPr>
              <w:t>često</w:t>
            </w:r>
          </w:p>
        </w:tc>
      </w:tr>
      <w:tr w:rsidR="00EA0194">
        <w:tc>
          <w:tcPr>
            <w:tcW w:w="9211" w:type="dxa"/>
            <w:gridSpan w:val="2"/>
            <w:shd w:val="clear" w:color="auto" w:fill="auto"/>
          </w:tcPr>
          <w:p w:rsidR="00EA0194" w:rsidRDefault="00EA0194">
            <w:pPr>
              <w:autoSpaceDE w:val="0"/>
              <w:autoSpaceDN w:val="0"/>
              <w:adjustRightInd w:val="0"/>
              <w:jc w:val="both"/>
              <w:rPr>
                <w:szCs w:val="22"/>
                <w:lang w:val="sr-Latn-ME"/>
              </w:rPr>
            </w:pPr>
          </w:p>
        </w:tc>
      </w:tr>
      <w:tr w:rsidR="00EA0194">
        <w:tc>
          <w:tcPr>
            <w:tcW w:w="9211" w:type="dxa"/>
            <w:gridSpan w:val="2"/>
            <w:shd w:val="clear" w:color="auto" w:fill="auto"/>
          </w:tcPr>
          <w:p w:rsidR="00EA0194" w:rsidRDefault="00FC2E72">
            <w:pPr>
              <w:widowControl w:val="0"/>
              <w:jc w:val="both"/>
              <w:rPr>
                <w:b/>
                <w:iCs/>
                <w:szCs w:val="22"/>
                <w:lang w:val="sr-Latn-ME"/>
              </w:rPr>
            </w:pPr>
            <w:r>
              <w:rPr>
                <w:b/>
                <w:bCs/>
                <w:szCs w:val="22"/>
                <w:lang w:val="sr-Latn-ME"/>
              </w:rPr>
              <w:t>Poremećaji nervnog sistema</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glavobolja</w:t>
            </w:r>
          </w:p>
        </w:tc>
        <w:tc>
          <w:tcPr>
            <w:tcW w:w="4606" w:type="dxa"/>
            <w:shd w:val="clear" w:color="auto" w:fill="auto"/>
          </w:tcPr>
          <w:p w:rsidR="00EA0194" w:rsidRDefault="00FC2E72">
            <w:pPr>
              <w:widowControl w:val="0"/>
              <w:jc w:val="both"/>
              <w:rPr>
                <w:szCs w:val="22"/>
                <w:lang w:val="sr-Latn-ME"/>
              </w:rPr>
            </w:pPr>
            <w:r>
              <w:rPr>
                <w:szCs w:val="22"/>
                <w:lang w:val="sr-Latn-ME"/>
              </w:rPr>
              <w:t>često</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vrtoglavica</w:t>
            </w:r>
          </w:p>
        </w:tc>
        <w:tc>
          <w:tcPr>
            <w:tcW w:w="4606" w:type="dxa"/>
            <w:shd w:val="clear" w:color="auto" w:fill="auto"/>
            <w:vAlign w:val="center"/>
          </w:tcPr>
          <w:p w:rsidR="00EA0194" w:rsidRDefault="00FC2E72">
            <w:pPr>
              <w:widowControl w:val="0"/>
              <w:jc w:val="both"/>
              <w:rPr>
                <w:szCs w:val="22"/>
                <w:lang w:val="sr-Latn-ME"/>
              </w:rPr>
            </w:pPr>
            <w:r>
              <w:rPr>
                <w:szCs w:val="22"/>
                <w:lang w:val="sr-Latn-ME"/>
              </w:rPr>
              <w:t>povremeno</w:t>
            </w:r>
          </w:p>
        </w:tc>
      </w:tr>
      <w:tr w:rsidR="00EA0194">
        <w:tc>
          <w:tcPr>
            <w:tcW w:w="9211" w:type="dxa"/>
            <w:gridSpan w:val="2"/>
            <w:shd w:val="clear" w:color="auto" w:fill="auto"/>
          </w:tcPr>
          <w:p w:rsidR="00EA0194" w:rsidRDefault="00EA0194">
            <w:pPr>
              <w:autoSpaceDE w:val="0"/>
              <w:autoSpaceDN w:val="0"/>
              <w:adjustRightInd w:val="0"/>
              <w:jc w:val="both"/>
              <w:rPr>
                <w:szCs w:val="22"/>
                <w:lang w:val="sr-Latn-ME"/>
              </w:rPr>
            </w:pPr>
          </w:p>
        </w:tc>
      </w:tr>
      <w:tr w:rsidR="00EA0194">
        <w:tc>
          <w:tcPr>
            <w:tcW w:w="9211" w:type="dxa"/>
            <w:gridSpan w:val="2"/>
            <w:shd w:val="clear" w:color="auto" w:fill="auto"/>
          </w:tcPr>
          <w:p w:rsidR="00EA0194" w:rsidRDefault="00FC2E72">
            <w:pPr>
              <w:widowControl w:val="0"/>
              <w:jc w:val="both"/>
              <w:rPr>
                <w:b/>
                <w:szCs w:val="22"/>
                <w:lang w:val="sr-Latn-ME"/>
              </w:rPr>
            </w:pPr>
            <w:r>
              <w:rPr>
                <w:b/>
                <w:bCs/>
                <w:szCs w:val="22"/>
                <w:lang w:val="sr-Latn-ME"/>
              </w:rPr>
              <w:t>Respiratorni, torakalni i medijastinalni poremećaji</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intersticijalna bolest pluća</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9211" w:type="dxa"/>
            <w:gridSpan w:val="2"/>
            <w:shd w:val="clear" w:color="auto" w:fill="auto"/>
          </w:tcPr>
          <w:p w:rsidR="00EA0194" w:rsidRDefault="00EA0194">
            <w:pPr>
              <w:autoSpaceDE w:val="0"/>
              <w:autoSpaceDN w:val="0"/>
              <w:adjustRightInd w:val="0"/>
              <w:jc w:val="both"/>
              <w:rPr>
                <w:szCs w:val="22"/>
                <w:lang w:val="sr-Latn-ME"/>
              </w:rPr>
            </w:pPr>
          </w:p>
        </w:tc>
      </w:tr>
      <w:tr w:rsidR="00EA0194">
        <w:tc>
          <w:tcPr>
            <w:tcW w:w="9211" w:type="dxa"/>
            <w:gridSpan w:val="2"/>
            <w:shd w:val="clear" w:color="auto" w:fill="auto"/>
          </w:tcPr>
          <w:p w:rsidR="00EA0194" w:rsidRDefault="00FC2E72">
            <w:pPr>
              <w:widowControl w:val="0"/>
              <w:autoSpaceDE w:val="0"/>
              <w:autoSpaceDN w:val="0"/>
              <w:adjustRightInd w:val="0"/>
              <w:jc w:val="both"/>
              <w:rPr>
                <w:b/>
                <w:iCs/>
                <w:szCs w:val="22"/>
                <w:lang w:val="sr-Latn-ME" w:eastAsia="hr-HR"/>
              </w:rPr>
            </w:pPr>
            <w:r>
              <w:rPr>
                <w:b/>
                <w:bCs/>
                <w:szCs w:val="22"/>
                <w:lang w:val="sr-Latn-ME"/>
              </w:rPr>
              <w:t>Gastro-intestinalni poremećaji</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eastAsia="hr-HR"/>
              </w:rPr>
              <w:t>konstipacija</w:t>
            </w:r>
          </w:p>
        </w:tc>
        <w:tc>
          <w:tcPr>
            <w:tcW w:w="4606" w:type="dxa"/>
            <w:shd w:val="clear" w:color="auto" w:fill="auto"/>
            <w:vAlign w:val="center"/>
          </w:tcPr>
          <w:p w:rsidR="00EA0194" w:rsidRDefault="00FC2E72">
            <w:pPr>
              <w:widowControl w:val="0"/>
              <w:jc w:val="both"/>
              <w:rPr>
                <w:szCs w:val="22"/>
                <w:lang w:val="sr-Latn-ME"/>
              </w:rPr>
            </w:pPr>
            <w:r>
              <w:rPr>
                <w:szCs w:val="22"/>
                <w:lang w:val="sr-Latn-ME"/>
              </w:rPr>
              <w:t>povremeno</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povraćanje</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akutni pankreatitis</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hemoragijski i nekrotizirajući pankreatitis sa ili bez smrtnog ishoda</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9211" w:type="dxa"/>
            <w:gridSpan w:val="2"/>
            <w:shd w:val="clear" w:color="auto" w:fill="auto"/>
          </w:tcPr>
          <w:p w:rsidR="00EA0194" w:rsidRDefault="00EA0194">
            <w:pPr>
              <w:autoSpaceDE w:val="0"/>
              <w:autoSpaceDN w:val="0"/>
              <w:adjustRightInd w:val="0"/>
              <w:jc w:val="both"/>
              <w:rPr>
                <w:szCs w:val="22"/>
                <w:lang w:val="sr-Latn-ME"/>
              </w:rPr>
            </w:pPr>
          </w:p>
        </w:tc>
      </w:tr>
      <w:tr w:rsidR="00EA0194">
        <w:tc>
          <w:tcPr>
            <w:tcW w:w="9211" w:type="dxa"/>
            <w:gridSpan w:val="2"/>
            <w:shd w:val="clear" w:color="auto" w:fill="auto"/>
          </w:tcPr>
          <w:p w:rsidR="00EA0194" w:rsidRDefault="00FC2E72">
            <w:pPr>
              <w:widowControl w:val="0"/>
              <w:autoSpaceDE w:val="0"/>
              <w:autoSpaceDN w:val="0"/>
              <w:adjustRightInd w:val="0"/>
              <w:jc w:val="both"/>
              <w:rPr>
                <w:b/>
                <w:iCs/>
                <w:szCs w:val="22"/>
                <w:lang w:val="sr-Latn-ME" w:eastAsia="hr-HR"/>
              </w:rPr>
            </w:pPr>
            <w:r>
              <w:rPr>
                <w:b/>
                <w:bCs/>
                <w:szCs w:val="22"/>
                <w:lang w:val="sr-Latn-ME"/>
              </w:rPr>
              <w:t>Poremećaji na nivou kože i potkožnog tkiva</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pruritus</w:t>
            </w:r>
            <w:r>
              <w:rPr>
                <w:szCs w:val="22"/>
                <w:vertAlign w:val="superscript"/>
                <w:lang w:val="sr-Latn-ME"/>
              </w:rPr>
              <w:t>*</w:t>
            </w:r>
          </w:p>
        </w:tc>
        <w:tc>
          <w:tcPr>
            <w:tcW w:w="4606" w:type="dxa"/>
            <w:shd w:val="clear" w:color="auto" w:fill="auto"/>
            <w:vAlign w:val="center"/>
          </w:tcPr>
          <w:p w:rsidR="00EA0194" w:rsidRDefault="00FC2E72">
            <w:pPr>
              <w:widowControl w:val="0"/>
              <w:jc w:val="both"/>
              <w:rPr>
                <w:szCs w:val="22"/>
                <w:lang w:val="sr-Latn-ME"/>
              </w:rPr>
            </w:pPr>
            <w:r>
              <w:rPr>
                <w:szCs w:val="22"/>
                <w:lang w:val="sr-Latn-ME"/>
              </w:rPr>
              <w:t>povremeno</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angioedem</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osip</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urtikarija</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kožni vaskulitis</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Eksfolijativna stanja kože uključujući Stevens-Johnsonov sindrom</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bulozni pemfigoid</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9211" w:type="dxa"/>
            <w:gridSpan w:val="2"/>
            <w:shd w:val="clear" w:color="auto" w:fill="auto"/>
          </w:tcPr>
          <w:p w:rsidR="00EA0194" w:rsidRDefault="00EA0194">
            <w:pPr>
              <w:autoSpaceDE w:val="0"/>
              <w:autoSpaceDN w:val="0"/>
              <w:adjustRightInd w:val="0"/>
              <w:jc w:val="both"/>
              <w:rPr>
                <w:szCs w:val="22"/>
                <w:lang w:val="sr-Latn-ME"/>
              </w:rPr>
            </w:pPr>
          </w:p>
        </w:tc>
      </w:tr>
      <w:tr w:rsidR="00EA0194">
        <w:tc>
          <w:tcPr>
            <w:tcW w:w="9211" w:type="dxa"/>
            <w:gridSpan w:val="2"/>
            <w:shd w:val="clear" w:color="auto" w:fill="auto"/>
          </w:tcPr>
          <w:p w:rsidR="00EA0194" w:rsidRDefault="00FC2E72">
            <w:pPr>
              <w:widowControl w:val="0"/>
              <w:autoSpaceDE w:val="0"/>
              <w:autoSpaceDN w:val="0"/>
              <w:adjustRightInd w:val="0"/>
              <w:jc w:val="both"/>
              <w:rPr>
                <w:b/>
                <w:iCs/>
                <w:szCs w:val="22"/>
                <w:lang w:val="sr-Latn-ME" w:eastAsia="hr-HR"/>
              </w:rPr>
            </w:pPr>
            <w:r>
              <w:rPr>
                <w:b/>
                <w:bCs/>
                <w:szCs w:val="22"/>
                <w:lang w:val="sr-Latn-ME"/>
              </w:rPr>
              <w:t>Poremećaji mišićno-skeletnog, vezivnog i koštanog tkiva</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artralgija</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mialgija</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bol u leđima</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artropatija</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9211" w:type="dxa"/>
            <w:gridSpan w:val="2"/>
            <w:shd w:val="clear" w:color="auto" w:fill="auto"/>
          </w:tcPr>
          <w:p w:rsidR="00EA0194" w:rsidRDefault="00EA0194">
            <w:pPr>
              <w:autoSpaceDE w:val="0"/>
              <w:autoSpaceDN w:val="0"/>
              <w:adjustRightInd w:val="0"/>
              <w:jc w:val="both"/>
              <w:rPr>
                <w:szCs w:val="22"/>
                <w:lang w:val="sr-Latn-ME"/>
              </w:rPr>
            </w:pPr>
          </w:p>
        </w:tc>
      </w:tr>
      <w:tr w:rsidR="00EA0194">
        <w:tc>
          <w:tcPr>
            <w:tcW w:w="9211" w:type="dxa"/>
            <w:gridSpan w:val="2"/>
            <w:shd w:val="clear" w:color="auto" w:fill="auto"/>
          </w:tcPr>
          <w:p w:rsidR="00EA0194" w:rsidRDefault="00FC2E72">
            <w:pPr>
              <w:widowControl w:val="0"/>
              <w:autoSpaceDE w:val="0"/>
              <w:autoSpaceDN w:val="0"/>
              <w:adjustRightInd w:val="0"/>
              <w:jc w:val="both"/>
              <w:rPr>
                <w:b/>
                <w:iCs/>
                <w:szCs w:val="22"/>
                <w:lang w:val="sr-Latn-ME" w:eastAsia="hr-HR"/>
              </w:rPr>
            </w:pPr>
            <w:r>
              <w:rPr>
                <w:b/>
                <w:bCs/>
                <w:szCs w:val="22"/>
                <w:lang w:val="sr-Latn-ME"/>
              </w:rPr>
              <w:t>Poremećaji na nivou bubrega i urinarnog sistema</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oštećenje funkcije bubrega</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r w:rsidR="00EA0194">
        <w:tc>
          <w:tcPr>
            <w:tcW w:w="4605" w:type="dxa"/>
            <w:shd w:val="clear" w:color="auto" w:fill="auto"/>
          </w:tcPr>
          <w:p w:rsidR="00EA0194" w:rsidRDefault="00FC2E72">
            <w:pPr>
              <w:autoSpaceDE w:val="0"/>
              <w:autoSpaceDN w:val="0"/>
              <w:adjustRightInd w:val="0"/>
              <w:jc w:val="both"/>
              <w:rPr>
                <w:szCs w:val="22"/>
                <w:lang w:val="sr-Latn-ME"/>
              </w:rPr>
            </w:pPr>
            <w:r>
              <w:rPr>
                <w:szCs w:val="22"/>
                <w:lang w:val="sr-Latn-ME"/>
              </w:rPr>
              <w:t>akutna bubrežna insuficijencija</w:t>
            </w:r>
            <w:r>
              <w:rPr>
                <w:szCs w:val="22"/>
                <w:vertAlign w:val="superscript"/>
                <w:lang w:val="sr-Latn-ME"/>
              </w:rPr>
              <w:t>*</w:t>
            </w:r>
          </w:p>
        </w:tc>
        <w:tc>
          <w:tcPr>
            <w:tcW w:w="4606" w:type="dxa"/>
            <w:shd w:val="clear" w:color="auto" w:fill="auto"/>
          </w:tcPr>
          <w:p w:rsidR="00EA0194" w:rsidRDefault="00FC2E72">
            <w:pPr>
              <w:widowControl w:val="0"/>
              <w:jc w:val="both"/>
              <w:rPr>
                <w:szCs w:val="22"/>
                <w:lang w:val="sr-Latn-ME"/>
              </w:rPr>
            </w:pPr>
            <w:r>
              <w:rPr>
                <w:szCs w:val="22"/>
                <w:lang w:val="sr-Latn-ME"/>
              </w:rPr>
              <w:t>nepoznata učestalost</w:t>
            </w:r>
          </w:p>
        </w:tc>
      </w:tr>
    </w:tbl>
    <w:p w:rsidR="00EA0194" w:rsidRPr="00C92663" w:rsidRDefault="00FC2E72">
      <w:pPr>
        <w:autoSpaceDE w:val="0"/>
        <w:autoSpaceDN w:val="0"/>
        <w:adjustRightInd w:val="0"/>
        <w:jc w:val="both"/>
        <w:rPr>
          <w:sz w:val="20"/>
          <w:szCs w:val="22"/>
          <w:lang w:val="sr-Latn-ME"/>
        </w:rPr>
      </w:pPr>
      <w:r w:rsidRPr="00C92663">
        <w:rPr>
          <w:sz w:val="20"/>
          <w:szCs w:val="22"/>
          <w:vertAlign w:val="superscript"/>
          <w:lang w:val="sr-Latn-ME"/>
        </w:rPr>
        <w:t>*</w:t>
      </w:r>
      <w:r w:rsidRPr="00C92663">
        <w:rPr>
          <w:sz w:val="20"/>
          <w:szCs w:val="22"/>
          <w:lang w:val="sr-Latn-ME"/>
        </w:rPr>
        <w:t>Neželjena dejstva su otkrivena tokom praćenja nakon stavljanja lijeka u promet.</w:t>
      </w:r>
    </w:p>
    <w:p w:rsidR="00EA0194" w:rsidRPr="00C92663" w:rsidRDefault="00FC2E72">
      <w:pPr>
        <w:autoSpaceDE w:val="0"/>
        <w:autoSpaceDN w:val="0"/>
        <w:adjustRightInd w:val="0"/>
        <w:jc w:val="both"/>
        <w:rPr>
          <w:rFonts w:eastAsia="TimesNewRoman,Bold"/>
          <w:b/>
          <w:bCs/>
          <w:sz w:val="20"/>
          <w:szCs w:val="22"/>
          <w:lang w:val="sr-Latn-ME"/>
        </w:rPr>
      </w:pPr>
      <w:r w:rsidRPr="00C92663">
        <w:rPr>
          <w:sz w:val="20"/>
          <w:szCs w:val="22"/>
          <w:vertAlign w:val="superscript"/>
          <w:lang w:val="sr-Latn-ME"/>
        </w:rPr>
        <w:t>†</w:t>
      </w:r>
      <w:r w:rsidRPr="00C92663">
        <w:rPr>
          <w:sz w:val="20"/>
          <w:szCs w:val="22"/>
          <w:lang w:val="sr-Latn-ME"/>
        </w:rPr>
        <w:t xml:space="preserve"> </w:t>
      </w:r>
      <w:r w:rsidRPr="00C92663">
        <w:rPr>
          <w:rFonts w:eastAsia="TimesNewRoman,Bold"/>
          <w:b/>
          <w:bCs/>
          <w:sz w:val="20"/>
          <w:szCs w:val="22"/>
          <w:lang w:val="sr-Latn-ME"/>
        </w:rPr>
        <w:t>Vidjeti dio 4.4.</w:t>
      </w:r>
    </w:p>
    <w:p w:rsidR="00EA0194" w:rsidRPr="00C92663" w:rsidRDefault="00FC2E72">
      <w:pPr>
        <w:widowControl w:val="0"/>
        <w:jc w:val="both"/>
        <w:rPr>
          <w:sz w:val="20"/>
          <w:szCs w:val="22"/>
          <w:lang w:val="sr-Latn-ME"/>
        </w:rPr>
      </w:pPr>
      <w:r w:rsidRPr="00C92663">
        <w:rPr>
          <w:sz w:val="20"/>
          <w:szCs w:val="22"/>
          <w:vertAlign w:val="superscript"/>
          <w:lang w:val="sr-Latn-ME"/>
        </w:rPr>
        <w:t xml:space="preserve">‡ </w:t>
      </w:r>
      <w:r w:rsidRPr="00C92663">
        <w:rPr>
          <w:sz w:val="20"/>
          <w:szCs w:val="22"/>
          <w:lang w:val="sr-Latn-ME"/>
        </w:rPr>
        <w:t xml:space="preserve">Vidjeti dio </w:t>
      </w:r>
      <w:r w:rsidRPr="00C92663">
        <w:rPr>
          <w:i/>
          <w:sz w:val="20"/>
          <w:szCs w:val="22"/>
          <w:lang w:val="sr-Latn-ME"/>
        </w:rPr>
        <w:t xml:space="preserve">„Ispitivanje kardiovaskularne sigurnosti </w:t>
      </w:r>
      <w:r w:rsidRPr="00C92663">
        <w:rPr>
          <w:i/>
          <w:iCs/>
          <w:sz w:val="20"/>
          <w:szCs w:val="22"/>
          <w:lang w:val="sr-Latn-ME"/>
        </w:rPr>
        <w:t xml:space="preserve">TECOS“ </w:t>
      </w:r>
      <w:r w:rsidRPr="00C92663">
        <w:rPr>
          <w:iCs/>
          <w:sz w:val="20"/>
          <w:szCs w:val="22"/>
          <w:lang w:val="sr-Latn-ME"/>
        </w:rPr>
        <w:t>u nastavku</w:t>
      </w:r>
    </w:p>
    <w:p w:rsidR="00EA0194" w:rsidRDefault="00EA0194">
      <w:pPr>
        <w:widowControl w:val="0"/>
        <w:autoSpaceDE w:val="0"/>
        <w:autoSpaceDN w:val="0"/>
        <w:adjustRightInd w:val="0"/>
        <w:jc w:val="both"/>
        <w:rPr>
          <w:color w:val="000000"/>
          <w:szCs w:val="22"/>
          <w:lang w:val="sr-Latn-ME"/>
        </w:rPr>
      </w:pPr>
    </w:p>
    <w:p w:rsidR="00EA0194" w:rsidRDefault="00FC2E72">
      <w:pPr>
        <w:widowControl w:val="0"/>
        <w:rPr>
          <w:iCs/>
          <w:szCs w:val="22"/>
          <w:lang w:val="sr-Latn-ME"/>
        </w:rPr>
      </w:pPr>
      <w:r>
        <w:rPr>
          <w:iCs/>
          <w:szCs w:val="22"/>
          <w:u w:val="single"/>
          <w:lang w:val="sr-Latn-ME"/>
        </w:rPr>
        <w:t>Opis odabranih neželjenih dejstava</w:t>
      </w:r>
    </w:p>
    <w:p w:rsidR="00EA0194" w:rsidRDefault="00FC2E72">
      <w:pPr>
        <w:numPr>
          <w:ilvl w:val="12"/>
          <w:numId w:val="0"/>
        </w:numPr>
        <w:tabs>
          <w:tab w:val="left" w:pos="8505"/>
        </w:tabs>
        <w:kinsoku w:val="0"/>
        <w:overflowPunct w:val="0"/>
        <w:ind w:right="113"/>
        <w:jc w:val="both"/>
        <w:rPr>
          <w:szCs w:val="22"/>
          <w:lang w:val="sr-Latn-ME"/>
        </w:rPr>
      </w:pPr>
      <w:r>
        <w:rPr>
          <w:szCs w:val="22"/>
          <w:lang w:val="sr-Latn-ME"/>
        </w:rPr>
        <w:t>Kao dodatak gore opisanim neželjenim dejstvima povezanim s uzimanjem lijeka, neželjena dejstva prijavljena bez obzira na uzročno-posljedičnu povezanost s liječenjem i koja se javljaju kod barem 5% pacijenata, i češće kod pacijenata liječenih sitagliptinom, uključivala su infekciju gornjeg respiratornog trakta i nazofaringitis.</w:t>
      </w:r>
    </w:p>
    <w:p w:rsidR="00EA0194" w:rsidRDefault="00FC2E72">
      <w:pPr>
        <w:numPr>
          <w:ilvl w:val="12"/>
          <w:numId w:val="0"/>
        </w:numPr>
        <w:tabs>
          <w:tab w:val="left" w:pos="8505"/>
        </w:tabs>
        <w:kinsoku w:val="0"/>
        <w:overflowPunct w:val="0"/>
        <w:ind w:right="243"/>
        <w:jc w:val="both"/>
        <w:rPr>
          <w:szCs w:val="22"/>
          <w:lang w:val="sr-Latn-ME"/>
        </w:rPr>
      </w:pPr>
      <w:r>
        <w:rPr>
          <w:szCs w:val="22"/>
          <w:lang w:val="sr-Latn-ME"/>
        </w:rPr>
        <w:t>Dodatna neželjena dejstva prijavljena bez obzira na uzročno-posljedičnu povezanost s liječenjem koja su se javljala češće kod pacijenata liječenih sitagliptinom (nijesu dostigla procenat od 5%, ali su se pojavljivala s incidencom &gt; 0,5% višom sa sitagliptinom od one koju je imala kontrolna grupa) uključivala su osteoartritis i bol u ekstremitetima.</w:t>
      </w:r>
    </w:p>
    <w:p w:rsidR="00EA0194" w:rsidRDefault="00EA0194">
      <w:pPr>
        <w:autoSpaceDE w:val="0"/>
        <w:autoSpaceDN w:val="0"/>
        <w:adjustRightInd w:val="0"/>
        <w:jc w:val="both"/>
        <w:rPr>
          <w:iCs/>
          <w:szCs w:val="22"/>
          <w:lang w:val="sr-Latn-ME"/>
        </w:rPr>
      </w:pP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 xml:space="preserve">Neka neželjena dejstva primijećena su češće u ispitivanjima kombinovane primjene sitagliptina s drugim ljekovima za liječenje dijabetesa nego u ispitivanjima monoterapije sitagliptinom. To je uključivalo hipoglikemiju (učestalost veoma česta s kombinacijom sulfonilureje i metformina), influencu (česta s insulinom (sa metforminom ili bez njega)), mučninu i povraćanje (česta s metforminom), flatulenciju </w:t>
      </w:r>
      <w:r>
        <w:rPr>
          <w:szCs w:val="22"/>
          <w:lang w:val="sr-Latn-ME"/>
        </w:rPr>
        <w:lastRenderedPageBreak/>
        <w:t>(česta s metforminom ili pioglitazonom), konstipaciju (česta s kombinacijom sulfonilereje i metformina), periferni edem (česta s pioglitazonom ili kombinacijom pioglitazona i metformina), somnolenciju i dijareju (povremena s metforminom) i suva usta (povremena s insulinom (sa metforminom ili bez njega)).</w:t>
      </w:r>
    </w:p>
    <w:p w:rsidR="00EA0194" w:rsidRDefault="00EA0194">
      <w:pPr>
        <w:widowControl w:val="0"/>
        <w:rPr>
          <w:szCs w:val="22"/>
          <w:lang w:val="sr-Latn-ME"/>
        </w:rPr>
      </w:pPr>
    </w:p>
    <w:p w:rsidR="00EA0194" w:rsidRDefault="00FC2E72">
      <w:pPr>
        <w:widowControl w:val="0"/>
        <w:jc w:val="both"/>
        <w:rPr>
          <w:szCs w:val="22"/>
          <w:u w:val="single"/>
          <w:lang w:val="sr-Latn-ME"/>
        </w:rPr>
      </w:pPr>
      <w:r>
        <w:rPr>
          <w:szCs w:val="22"/>
          <w:u w:val="single"/>
          <w:lang w:val="sr-Latn-ME"/>
        </w:rPr>
        <w:t>Pedijatrijska populacija</w:t>
      </w:r>
    </w:p>
    <w:p w:rsidR="00EA0194" w:rsidRDefault="00FC2E72">
      <w:pPr>
        <w:widowControl w:val="0"/>
        <w:jc w:val="both"/>
        <w:rPr>
          <w:szCs w:val="22"/>
          <w:lang w:val="sr-Latn-ME"/>
        </w:rPr>
      </w:pPr>
      <w:r>
        <w:rPr>
          <w:szCs w:val="22"/>
          <w:lang w:val="sr-Latn-ME"/>
        </w:rPr>
        <w:t>U kliničkim ispitivanjima sitagliptina kod pedijatrijskih pacijenata uzrasta od 10 do 17 godina s dijabetes mellitusom tipa 2, profil neželjenih dejstava bio je uporediv s onima koja su primijećeni kod odraslih.</w:t>
      </w:r>
    </w:p>
    <w:p w:rsidR="00EA0194" w:rsidRDefault="00EA0194">
      <w:pPr>
        <w:widowControl w:val="0"/>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i/>
          <w:iCs/>
          <w:szCs w:val="22"/>
          <w:lang w:val="sr-Latn-ME"/>
        </w:rPr>
      </w:pPr>
      <w:r>
        <w:rPr>
          <w:i/>
          <w:iCs/>
          <w:szCs w:val="22"/>
          <w:lang w:val="sr-Latn-ME"/>
        </w:rPr>
        <w:t>Ispitivanje kardiovaskularne sigurnosti TECOS</w:t>
      </w:r>
    </w:p>
    <w:p w:rsidR="00EA0194" w:rsidRDefault="00FC2E72">
      <w:pPr>
        <w:numPr>
          <w:ilvl w:val="12"/>
          <w:numId w:val="0"/>
        </w:numPr>
        <w:tabs>
          <w:tab w:val="left" w:pos="8505"/>
        </w:tabs>
        <w:kinsoku w:val="0"/>
        <w:overflowPunct w:val="0"/>
        <w:ind w:right="136"/>
        <w:jc w:val="both"/>
        <w:rPr>
          <w:szCs w:val="22"/>
          <w:lang w:val="sr-Latn-ME"/>
        </w:rPr>
      </w:pPr>
      <w:r>
        <w:rPr>
          <w:szCs w:val="22"/>
          <w:lang w:val="sr-Latn-ME"/>
        </w:rPr>
        <w:t xml:space="preserve">Ispitivanje procjene kardiovaskularnog ishoda kod primjene sitagliptina (engl. </w:t>
      </w:r>
      <w:r>
        <w:rPr>
          <w:i/>
          <w:iCs/>
          <w:szCs w:val="22"/>
          <w:lang w:val="sr-Latn-ME"/>
        </w:rPr>
        <w:t>Trial Evaluating Cardiovascular Outcomes with Sitagliptin</w:t>
      </w:r>
      <w:r>
        <w:rPr>
          <w:szCs w:val="22"/>
          <w:lang w:val="sr-Latn-ME"/>
        </w:rPr>
        <w:t>, TECOS) uključivalo je 7332 pacijenata liječenih sitagliptinom u dozi od 100 mg na dan (ili 50 mg na dan ako je početni eGFR bio ≥ 30 i &lt; 50 ml/min/1,73 m</w:t>
      </w:r>
      <w:r>
        <w:rPr>
          <w:szCs w:val="22"/>
          <w:vertAlign w:val="superscript"/>
          <w:lang w:val="sr-Latn-ME"/>
        </w:rPr>
        <w:t>2</w:t>
      </w:r>
      <w:r>
        <w:rPr>
          <w:szCs w:val="22"/>
          <w:lang w:val="sr-Latn-ME"/>
        </w:rPr>
        <w:t>) i 7339 pacijenata koji su primali placebo u populaciji pacijenata predviđenoj za liječenje. Obje terapije su bile dodatak standardnom liječenju usmjerenom na regionalne standardne vrijednosti HbA</w:t>
      </w:r>
      <w:r>
        <w:rPr>
          <w:szCs w:val="22"/>
          <w:vertAlign w:val="subscript"/>
          <w:lang w:val="sr-Latn-ME"/>
        </w:rPr>
        <w:t>1c</w:t>
      </w:r>
      <w:r>
        <w:rPr>
          <w:szCs w:val="22"/>
          <w:lang w:val="sr-Latn-ME"/>
        </w:rPr>
        <w:t xml:space="preserve"> i faktore kardiovaskularnog (KV) rizika. Ukupna incidenca ozbiljnih neželjenih dejstava kod pacijenata liječenih sitagliptinom bila je slična onoj kod pacijenata koji su primali placebo.</w:t>
      </w:r>
    </w:p>
    <w:p w:rsidR="00EA0194" w:rsidRDefault="00EA0194">
      <w:pPr>
        <w:numPr>
          <w:ilvl w:val="12"/>
          <w:numId w:val="0"/>
        </w:numPr>
        <w:tabs>
          <w:tab w:val="left" w:pos="8505"/>
        </w:tabs>
        <w:kinsoku w:val="0"/>
        <w:overflowPunct w:val="0"/>
        <w:spacing w:before="10"/>
        <w:ind w:right="-2"/>
        <w:jc w:val="both"/>
        <w:rPr>
          <w:szCs w:val="22"/>
          <w:lang w:val="sr-Latn-ME"/>
        </w:rPr>
      </w:pPr>
    </w:p>
    <w:p w:rsidR="00EA0194" w:rsidRDefault="00FC2E72">
      <w:pPr>
        <w:numPr>
          <w:ilvl w:val="12"/>
          <w:numId w:val="0"/>
        </w:numPr>
        <w:tabs>
          <w:tab w:val="left" w:pos="8505"/>
        </w:tabs>
        <w:kinsoku w:val="0"/>
        <w:overflowPunct w:val="0"/>
        <w:spacing w:before="1"/>
        <w:ind w:right="183"/>
        <w:jc w:val="both"/>
        <w:rPr>
          <w:szCs w:val="22"/>
          <w:lang w:val="sr-Latn-ME"/>
        </w:rPr>
      </w:pPr>
      <w:r>
        <w:rPr>
          <w:szCs w:val="22"/>
          <w:lang w:val="sr-Latn-ME"/>
        </w:rPr>
        <w:t>U populaciji pacijenata predviđenoj za liječenje, incidenca teške hipoglikemije među pacijentima koji su na početku ispitivanja primjenjivali insulin i/ili sulfonilureju iznosila je 2,7% kod pacijenata liječenih sitagliptinom te 2,5% kod onih koji su primali placebo; incidenca teške hipoglikemije među</w:t>
      </w:r>
      <w:r>
        <w:rPr>
          <w:spacing w:val="52"/>
          <w:szCs w:val="22"/>
          <w:lang w:val="sr-Latn-ME"/>
        </w:rPr>
        <w:t xml:space="preserve"> </w:t>
      </w:r>
      <w:r>
        <w:rPr>
          <w:szCs w:val="22"/>
          <w:lang w:val="sr-Latn-ME"/>
        </w:rPr>
        <w:t>pacijentima koji nijesu primjenjivali insulin i/ili sulfonilureju na početku ispitivanja iznosila je 1,0% kod pacijenata liječenih sitagliptinom te 0,7% kod onih koji su primali placebo. Incidenca nezavisno potvrđenih događaja pankreatitisa iznosila je 0,3% kod pacijenata liječenih sitagliptinom i 0,2% kod onih koji su primali placebo.</w:t>
      </w:r>
    </w:p>
    <w:p w:rsidR="00EA0194" w:rsidRDefault="00EA0194">
      <w:pPr>
        <w:widowControl w:val="0"/>
        <w:autoSpaceDE w:val="0"/>
        <w:autoSpaceDN w:val="0"/>
        <w:adjustRightInd w:val="0"/>
        <w:jc w:val="both"/>
        <w:rPr>
          <w:szCs w:val="22"/>
          <w:u w:val="single"/>
          <w:lang w:val="sr-Latn-ME"/>
        </w:rPr>
      </w:pPr>
    </w:p>
    <w:p w:rsidR="00EA0194" w:rsidRDefault="00FC2E72">
      <w:pPr>
        <w:tabs>
          <w:tab w:val="clear" w:pos="567"/>
        </w:tabs>
        <w:spacing w:after="200" w:line="276" w:lineRule="auto"/>
        <w:rPr>
          <w:rFonts w:eastAsia="Calibri"/>
          <w:szCs w:val="22"/>
          <w:u w:val="single"/>
          <w:lang w:val="sr-Latn-RS"/>
        </w:rPr>
      </w:pPr>
      <w:r>
        <w:rPr>
          <w:rFonts w:eastAsia="Calibri"/>
          <w:szCs w:val="22"/>
          <w:u w:val="single"/>
          <w:lang w:val="sr-Latn-RS"/>
        </w:rPr>
        <w:t>Prijavljivanje sumnji na neželjena dejstva</w:t>
      </w:r>
    </w:p>
    <w:p w:rsidR="00EA0194" w:rsidRDefault="00FC2E72">
      <w:pPr>
        <w:tabs>
          <w:tab w:val="clear" w:pos="567"/>
        </w:tabs>
        <w:spacing w:after="200" w:line="240" w:lineRule="auto"/>
        <w:jc w:val="both"/>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EA0194" w:rsidRDefault="00FC2E72">
      <w:pPr>
        <w:tabs>
          <w:tab w:val="clear" w:pos="567"/>
        </w:tabs>
        <w:spacing w:line="240" w:lineRule="auto"/>
        <w:jc w:val="both"/>
        <w:rPr>
          <w:rFonts w:eastAsia="Calibri"/>
          <w:szCs w:val="22"/>
          <w:lang w:val="sr-Latn-RS"/>
        </w:rPr>
      </w:pPr>
      <w:r>
        <w:rPr>
          <w:rFonts w:eastAsia="Calibri"/>
          <w:szCs w:val="22"/>
          <w:lang w:val="sr-Latn-RS"/>
        </w:rPr>
        <w:t xml:space="preserve">Institut za ljekove i medicinska sredstva </w:t>
      </w:r>
    </w:p>
    <w:p w:rsidR="00EA0194" w:rsidRDefault="00FC2E72">
      <w:pPr>
        <w:tabs>
          <w:tab w:val="clear" w:pos="567"/>
        </w:tabs>
        <w:spacing w:line="240" w:lineRule="auto"/>
        <w:jc w:val="both"/>
        <w:rPr>
          <w:rFonts w:eastAsia="Calibri"/>
          <w:szCs w:val="22"/>
          <w:lang w:val="sr-Latn-RS"/>
        </w:rPr>
      </w:pPr>
      <w:r>
        <w:rPr>
          <w:rFonts w:eastAsia="Calibri"/>
          <w:szCs w:val="22"/>
          <w:lang w:val="sr-Latn-RS"/>
        </w:rPr>
        <w:t>Odjeljenje za farmakovigilancu</w:t>
      </w:r>
    </w:p>
    <w:p w:rsidR="00EA0194" w:rsidRDefault="00FC2E72">
      <w:pPr>
        <w:tabs>
          <w:tab w:val="clear" w:pos="567"/>
        </w:tabs>
        <w:spacing w:line="240" w:lineRule="auto"/>
        <w:jc w:val="both"/>
        <w:rPr>
          <w:rFonts w:eastAsia="Calibri"/>
          <w:szCs w:val="22"/>
          <w:lang w:val="sr-Latn-RS"/>
        </w:rPr>
      </w:pPr>
      <w:r>
        <w:rPr>
          <w:rFonts w:eastAsia="Calibri"/>
          <w:szCs w:val="22"/>
          <w:lang w:val="sr-Latn-RS"/>
        </w:rPr>
        <w:t>Bulevar Ivana Crnojevića 64a, 81000 Podgorica</w:t>
      </w:r>
    </w:p>
    <w:p w:rsidR="00EA0194" w:rsidRDefault="00EA0194">
      <w:pPr>
        <w:tabs>
          <w:tab w:val="clear" w:pos="567"/>
        </w:tabs>
        <w:spacing w:line="240" w:lineRule="auto"/>
        <w:rPr>
          <w:rFonts w:eastAsia="Calibri"/>
          <w:szCs w:val="22"/>
          <w:lang w:val="sr-Latn-RS"/>
        </w:rPr>
      </w:pPr>
    </w:p>
    <w:p w:rsidR="00EA0194" w:rsidRDefault="00FC2E72">
      <w:pPr>
        <w:tabs>
          <w:tab w:val="clear" w:pos="567"/>
        </w:tabs>
        <w:spacing w:line="240" w:lineRule="auto"/>
        <w:jc w:val="both"/>
        <w:rPr>
          <w:rFonts w:eastAsia="Calibri"/>
          <w:szCs w:val="22"/>
          <w:lang w:val="sr-Latn-RS"/>
        </w:rPr>
      </w:pPr>
      <w:r>
        <w:rPr>
          <w:rFonts w:eastAsia="Calibri"/>
          <w:szCs w:val="22"/>
          <w:lang w:val="sr-Latn-RS"/>
        </w:rPr>
        <w:t>tel: +382 (0) 20 310 280</w:t>
      </w:r>
    </w:p>
    <w:p w:rsidR="00EA0194" w:rsidRDefault="00FC2E72">
      <w:pPr>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rsidR="00EA0194" w:rsidRDefault="00116C1A">
      <w:pPr>
        <w:tabs>
          <w:tab w:val="clear" w:pos="567"/>
        </w:tabs>
        <w:spacing w:line="240" w:lineRule="auto"/>
        <w:jc w:val="both"/>
        <w:rPr>
          <w:rFonts w:eastAsia="Calibri"/>
          <w:szCs w:val="22"/>
          <w:lang w:val="sr-Latn-RS"/>
        </w:rPr>
      </w:pPr>
      <w:hyperlink r:id="rId7" w:history="1">
        <w:r w:rsidR="00FC2E72">
          <w:rPr>
            <w:rFonts w:eastAsia="Calibri"/>
            <w:color w:val="0563C1"/>
            <w:szCs w:val="22"/>
            <w:u w:val="single"/>
            <w:lang w:val="sr-Latn-RS"/>
          </w:rPr>
          <w:t>www.cinmed.me</w:t>
        </w:r>
      </w:hyperlink>
    </w:p>
    <w:p w:rsidR="00EA0194" w:rsidRDefault="00116C1A">
      <w:pPr>
        <w:tabs>
          <w:tab w:val="clear" w:pos="567"/>
        </w:tabs>
        <w:spacing w:line="240" w:lineRule="auto"/>
        <w:jc w:val="both"/>
        <w:rPr>
          <w:rFonts w:eastAsia="Calibri"/>
          <w:color w:val="0000FF"/>
          <w:szCs w:val="22"/>
          <w:u w:val="single"/>
          <w:lang w:val="sr-Latn-RS"/>
        </w:rPr>
      </w:pPr>
      <w:hyperlink r:id="rId8" w:history="1">
        <w:r w:rsidR="00FC2E72">
          <w:rPr>
            <w:rFonts w:eastAsia="Calibri"/>
            <w:color w:val="0563C1"/>
            <w:szCs w:val="22"/>
            <w:u w:val="single"/>
            <w:lang w:val="sr-Latn-RS"/>
          </w:rPr>
          <w:t>nezeljenadejstva@cinmed.me</w:t>
        </w:r>
      </w:hyperlink>
    </w:p>
    <w:p w:rsidR="00EA0194" w:rsidRDefault="00FC2E72">
      <w:pPr>
        <w:tabs>
          <w:tab w:val="clear" w:pos="567"/>
        </w:tabs>
        <w:spacing w:line="240" w:lineRule="auto"/>
        <w:jc w:val="both"/>
        <w:rPr>
          <w:rFonts w:eastAsia="Calibri"/>
          <w:szCs w:val="22"/>
          <w:lang w:val="sr-Latn-RS"/>
        </w:rPr>
      </w:pPr>
      <w:r>
        <w:rPr>
          <w:rFonts w:eastAsia="Calibri"/>
          <w:szCs w:val="22"/>
          <w:lang w:val="sr-Latn-RS"/>
        </w:rPr>
        <w:t>putem IS zdravstvene zaštite</w:t>
      </w:r>
    </w:p>
    <w:p w:rsidR="00EA0194" w:rsidRDefault="00FC2E72">
      <w:pPr>
        <w:tabs>
          <w:tab w:val="clear" w:pos="567"/>
        </w:tabs>
        <w:spacing w:line="240" w:lineRule="auto"/>
        <w:jc w:val="both"/>
        <w:rPr>
          <w:rFonts w:eastAsia="Calibri"/>
          <w:szCs w:val="22"/>
          <w:lang w:val="sr-Latn-RS"/>
        </w:rPr>
      </w:pPr>
      <w:r>
        <w:rPr>
          <w:rFonts w:eastAsia="Calibri"/>
          <w:szCs w:val="22"/>
          <w:lang w:val="sr-Latn-RS"/>
        </w:rPr>
        <w:t>QR kod za online prijavu sumnje na neželjeno dejstvo lijeka:</w:t>
      </w:r>
    </w:p>
    <w:p w:rsidR="00EA0194" w:rsidRDefault="00EA0194">
      <w:pPr>
        <w:tabs>
          <w:tab w:val="clear" w:pos="567"/>
        </w:tabs>
        <w:spacing w:line="240" w:lineRule="auto"/>
        <w:jc w:val="both"/>
        <w:rPr>
          <w:rFonts w:eastAsia="Calibri"/>
          <w:szCs w:val="22"/>
          <w:lang w:val="sr-Latn-RS"/>
        </w:rPr>
      </w:pPr>
    </w:p>
    <w:p w:rsidR="00EA0194" w:rsidRDefault="00FC2E72" w:rsidP="00C92663">
      <w:pPr>
        <w:tabs>
          <w:tab w:val="clear" w:pos="567"/>
        </w:tabs>
        <w:spacing w:line="240" w:lineRule="auto"/>
        <w:rPr>
          <w:szCs w:val="22"/>
          <w:lang w:val="sr-Latn-ME"/>
        </w:rPr>
      </w:pPr>
      <w:r>
        <w:rPr>
          <w:noProof/>
          <w:sz w:val="24"/>
          <w:szCs w:val="24"/>
          <w:lang w:val="en-US"/>
        </w:rPr>
        <w:drawing>
          <wp:inline distT="0" distB="0" distL="0" distR="0">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EA0194" w:rsidRDefault="00EA0194">
      <w:pPr>
        <w:widowControl w:val="0"/>
        <w:jc w:val="both"/>
        <w:rPr>
          <w:szCs w:val="22"/>
          <w:lang w:val="sr-Latn-ME"/>
        </w:rPr>
      </w:pPr>
    </w:p>
    <w:p w:rsidR="00EA0194" w:rsidRDefault="00FC2E72">
      <w:pPr>
        <w:widowControl w:val="0"/>
        <w:ind w:left="567" w:hanging="567"/>
        <w:jc w:val="both"/>
        <w:outlineLvl w:val="0"/>
        <w:rPr>
          <w:szCs w:val="22"/>
          <w:lang w:val="sr-Latn-ME"/>
        </w:rPr>
      </w:pPr>
      <w:r>
        <w:rPr>
          <w:b/>
          <w:szCs w:val="22"/>
          <w:lang w:val="sr-Latn-ME"/>
        </w:rPr>
        <w:t>4.9</w:t>
      </w:r>
      <w:r>
        <w:rPr>
          <w:b/>
          <w:szCs w:val="22"/>
          <w:lang w:val="sr-Latn-ME"/>
        </w:rPr>
        <w:tab/>
        <w:t>Predoziranje</w:t>
      </w:r>
    </w:p>
    <w:p w:rsidR="00EA0194" w:rsidRDefault="00EA0194">
      <w:pPr>
        <w:widowControl w:val="0"/>
        <w:jc w:val="both"/>
        <w:rPr>
          <w:szCs w:val="22"/>
          <w:lang w:val="sr-Latn-ME"/>
        </w:rPr>
      </w:pPr>
    </w:p>
    <w:p w:rsidR="00EA0194" w:rsidRDefault="00FC2E72">
      <w:pPr>
        <w:widowControl w:val="0"/>
        <w:jc w:val="both"/>
        <w:rPr>
          <w:iCs/>
          <w:szCs w:val="22"/>
          <w:u w:val="single"/>
          <w:lang w:val="sr-Latn-ME"/>
        </w:rPr>
      </w:pPr>
      <w:r>
        <w:rPr>
          <w:iCs/>
          <w:szCs w:val="22"/>
          <w:u w:val="single"/>
          <w:lang w:val="sr-Latn-ME"/>
        </w:rPr>
        <w:t>Simptomi</w:t>
      </w: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lang w:val="sr-Latn-ME"/>
        </w:rPr>
        <w:t xml:space="preserve">U kontrolisanim kliničkim ispitivanjima, zdravim ispitanicima davane su jednokratne doze do 800 mg sitagliptina. U jednom ispitivanju pri dozi od 800 mg sitagliptina zapaženo je minimalno produženje QTc-intervala koje se ne smatra klinički značajnim. Nema iskustava s dozama većim od 800 mg u </w:t>
      </w:r>
      <w:r>
        <w:rPr>
          <w:szCs w:val="22"/>
          <w:lang w:val="sr-Latn-ME"/>
        </w:rPr>
        <w:lastRenderedPageBreak/>
        <w:t>kliničkim ispitivanjima. U ispitivanjima višekratnih doza faze I nije primijećena pojava dozno zavisnih klinički značajnih neželjenih dejstava sitagliptina s dozama do najviše 600 mg na dan tokom perioda do 10 dana, odnosno u dozi od 400 mg na dan tokom perioda do 28 dana.</w:t>
      </w:r>
    </w:p>
    <w:p w:rsidR="00EA0194" w:rsidRDefault="00EA0194">
      <w:pPr>
        <w:numPr>
          <w:ilvl w:val="12"/>
          <w:numId w:val="0"/>
        </w:numPr>
        <w:tabs>
          <w:tab w:val="left" w:pos="8505"/>
        </w:tabs>
        <w:kinsoku w:val="0"/>
        <w:overflowPunct w:val="0"/>
        <w:spacing w:line="244" w:lineRule="exact"/>
        <w:ind w:right="-2"/>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u w:val="single"/>
          <w:lang w:val="sr-Latn-ME"/>
        </w:rPr>
      </w:pPr>
      <w:r>
        <w:rPr>
          <w:szCs w:val="22"/>
          <w:u w:val="single"/>
          <w:lang w:val="sr-Latn-ME"/>
        </w:rPr>
        <w:t>Terapija</w:t>
      </w:r>
    </w:p>
    <w:p w:rsidR="00EA0194" w:rsidRDefault="00FC2E72">
      <w:pPr>
        <w:numPr>
          <w:ilvl w:val="12"/>
          <w:numId w:val="0"/>
        </w:numPr>
        <w:kinsoku w:val="0"/>
        <w:overflowPunct w:val="0"/>
        <w:ind w:right="-1"/>
        <w:jc w:val="both"/>
        <w:rPr>
          <w:szCs w:val="22"/>
          <w:lang w:val="sr-Latn-ME"/>
        </w:rPr>
      </w:pPr>
      <w:r>
        <w:rPr>
          <w:szCs w:val="22"/>
          <w:lang w:val="sr-Latn-ME"/>
        </w:rPr>
        <w:t>U slučaju predoziranja treba primijeniti uobičajene suportivne mjere, npr. ukloniti neapsorbovani materijal iz gastrointestinalnog trakta, uvesti kliničko praćenje (uključujući i EKG) i po potrebi započeti suportivnu terapiju.</w:t>
      </w:r>
    </w:p>
    <w:p w:rsidR="00EA0194" w:rsidRDefault="00EA0194">
      <w:pPr>
        <w:numPr>
          <w:ilvl w:val="12"/>
          <w:numId w:val="0"/>
        </w:numPr>
        <w:tabs>
          <w:tab w:val="left" w:pos="8505"/>
        </w:tabs>
        <w:kinsoku w:val="0"/>
        <w:overflowPunct w:val="0"/>
        <w:spacing w:before="10"/>
        <w:ind w:right="-2"/>
        <w:jc w:val="both"/>
        <w:rPr>
          <w:szCs w:val="22"/>
          <w:lang w:val="sr-Latn-ME"/>
        </w:rPr>
      </w:pP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Sitagliptin se manjim dijelom može ukloniti dijalizom. U kliničkim ispitivanjima je hemodijalizom u trajanju od 3 do 4 sata uklonjeno približno 13,5% doze lijeka. Ako je to klinički opravdano, može se razmotriti produženje hemodijalize. Nije poznato može li se sitagliptin ukloniti peritonealnom dijalizom.</w:t>
      </w:r>
    </w:p>
    <w:p w:rsidR="00EA0194" w:rsidRDefault="00EA0194">
      <w:pPr>
        <w:widowControl w:val="0"/>
        <w:rPr>
          <w:szCs w:val="22"/>
          <w:lang w:val="sr-Latn-ME"/>
        </w:rPr>
      </w:pPr>
    </w:p>
    <w:p w:rsidR="00EA0194" w:rsidRDefault="00EA0194">
      <w:pPr>
        <w:widowControl w:val="0"/>
        <w:jc w:val="both"/>
        <w:rPr>
          <w:szCs w:val="22"/>
          <w:lang w:val="sr-Latn-ME"/>
        </w:rPr>
      </w:pPr>
    </w:p>
    <w:p w:rsidR="00EA0194" w:rsidRDefault="00FC2E72">
      <w:pPr>
        <w:widowControl w:val="0"/>
        <w:ind w:left="567" w:hanging="567"/>
        <w:jc w:val="both"/>
        <w:rPr>
          <w:szCs w:val="22"/>
          <w:lang w:val="sr-Latn-ME"/>
        </w:rPr>
      </w:pPr>
      <w:r>
        <w:rPr>
          <w:b/>
          <w:szCs w:val="22"/>
          <w:lang w:val="sr-Latn-ME"/>
        </w:rPr>
        <w:t>5.</w:t>
      </w:r>
      <w:r>
        <w:rPr>
          <w:b/>
          <w:szCs w:val="22"/>
          <w:lang w:val="sr-Latn-ME"/>
        </w:rPr>
        <w:tab/>
      </w:r>
      <w:r>
        <w:rPr>
          <w:b/>
          <w:bCs/>
          <w:szCs w:val="22"/>
          <w:lang w:val="sr-Latn-ME"/>
        </w:rPr>
        <w:t>FARMAKOLOŠKI PODACI</w:t>
      </w:r>
    </w:p>
    <w:p w:rsidR="00EA0194" w:rsidRDefault="00EA0194">
      <w:pPr>
        <w:widowControl w:val="0"/>
        <w:jc w:val="both"/>
        <w:rPr>
          <w:szCs w:val="22"/>
          <w:lang w:val="sr-Latn-ME"/>
        </w:rPr>
      </w:pPr>
    </w:p>
    <w:p w:rsidR="00EA0194" w:rsidRDefault="00FC2E72">
      <w:pPr>
        <w:widowControl w:val="0"/>
        <w:ind w:left="567" w:hanging="567"/>
        <w:jc w:val="both"/>
        <w:outlineLvl w:val="0"/>
        <w:rPr>
          <w:szCs w:val="22"/>
          <w:lang w:val="sr-Latn-ME"/>
        </w:rPr>
      </w:pPr>
      <w:r>
        <w:rPr>
          <w:b/>
          <w:szCs w:val="22"/>
          <w:lang w:val="sr-Latn-ME"/>
        </w:rPr>
        <w:t>5.1</w:t>
      </w:r>
      <w:r>
        <w:rPr>
          <w:b/>
          <w:szCs w:val="22"/>
          <w:lang w:val="sr-Latn-ME"/>
        </w:rPr>
        <w:tab/>
      </w:r>
      <w:r>
        <w:rPr>
          <w:b/>
          <w:bCs/>
          <w:szCs w:val="22"/>
          <w:lang w:val="sr-Latn-ME"/>
        </w:rPr>
        <w:t>Farmakodinamski podaci</w:t>
      </w:r>
    </w:p>
    <w:p w:rsidR="00EA0194" w:rsidRDefault="00EA0194">
      <w:pPr>
        <w:widowControl w:val="0"/>
        <w:jc w:val="both"/>
        <w:rPr>
          <w:szCs w:val="22"/>
          <w:lang w:val="sr-Latn-ME"/>
        </w:rPr>
      </w:pPr>
    </w:p>
    <w:p w:rsidR="00EA0194" w:rsidRDefault="00FC2E72">
      <w:pPr>
        <w:widowControl w:val="0"/>
        <w:jc w:val="both"/>
        <w:rPr>
          <w:szCs w:val="22"/>
          <w:lang w:val="sr-Latn-ME"/>
        </w:rPr>
      </w:pPr>
      <w:r>
        <w:rPr>
          <w:szCs w:val="22"/>
          <w:lang w:val="sr-Latn-ME"/>
        </w:rPr>
        <w:t>Farmakoterapijska grupa: Ljekovi za liječenje šećerne bolesti</w:t>
      </w:r>
      <w:r>
        <w:rPr>
          <w:bCs/>
          <w:color w:val="000000"/>
          <w:szCs w:val="22"/>
          <w:lang w:val="sr-Latn-ME"/>
        </w:rPr>
        <w:t>, ljekovi za snižavanje glukoze u krvi, isključujući insuline</w:t>
      </w:r>
      <w:r>
        <w:rPr>
          <w:szCs w:val="22"/>
          <w:lang w:val="sr-Latn-ME"/>
        </w:rPr>
        <w:t xml:space="preserve">, </w:t>
      </w:r>
    </w:p>
    <w:p w:rsidR="00EA0194" w:rsidRDefault="00FC2E72">
      <w:pPr>
        <w:widowControl w:val="0"/>
        <w:jc w:val="both"/>
        <w:rPr>
          <w:szCs w:val="22"/>
          <w:lang w:val="sr-Latn-ME"/>
        </w:rPr>
      </w:pPr>
      <w:r>
        <w:rPr>
          <w:szCs w:val="22"/>
          <w:lang w:val="sr-Latn-ME"/>
        </w:rPr>
        <w:t>ATC kod: A10BH01.</w:t>
      </w:r>
    </w:p>
    <w:p w:rsidR="00EA0194" w:rsidRDefault="00EA0194">
      <w:pPr>
        <w:widowControl w:val="0"/>
        <w:jc w:val="both"/>
        <w:rPr>
          <w:szCs w:val="22"/>
          <w:lang w:val="sr-Latn-ME"/>
        </w:rPr>
      </w:pPr>
    </w:p>
    <w:p w:rsidR="00EA0194" w:rsidRDefault="00FC2E72">
      <w:pPr>
        <w:widowControl w:val="0"/>
        <w:autoSpaceDE w:val="0"/>
        <w:autoSpaceDN w:val="0"/>
        <w:adjustRightInd w:val="0"/>
        <w:jc w:val="both"/>
        <w:rPr>
          <w:color w:val="000000"/>
          <w:szCs w:val="22"/>
          <w:u w:val="single"/>
          <w:lang w:val="sr-Latn-ME"/>
        </w:rPr>
      </w:pPr>
      <w:r>
        <w:rPr>
          <w:color w:val="000000"/>
          <w:szCs w:val="22"/>
          <w:u w:val="single"/>
          <w:lang w:val="sr-Latn-ME"/>
        </w:rPr>
        <w:t>Mehanizam djelovanja</w:t>
      </w: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lang w:val="sr-Latn-ME"/>
        </w:rPr>
        <w:t>Sitagliptin</w:t>
      </w:r>
      <w:r>
        <w:rPr>
          <w:color w:val="FF0000"/>
          <w:szCs w:val="22"/>
          <w:lang w:val="sr-Latn-ME"/>
        </w:rPr>
        <w:t xml:space="preserve"> </w:t>
      </w:r>
      <w:r>
        <w:rPr>
          <w:szCs w:val="22"/>
          <w:lang w:val="sr-Latn-ME"/>
        </w:rPr>
        <w:t xml:space="preserve">pripada grupi oralnih antihiperglikemijskih ljekova koji se zovu inhibitori dipeptidil-peptidaze 4 (DPP-4). Poboljšana regulacija glikemije zapažena s ovim lijekom vjerovatno je posredovana povećanjem koncentracija aktivnih inkretinskih hormona. Inkretinski hormoni, uključujući peptid-1 nalik glukagonu (engl. </w:t>
      </w:r>
      <w:r>
        <w:rPr>
          <w:i/>
          <w:iCs/>
          <w:szCs w:val="22"/>
          <w:lang w:val="sr-Latn-ME"/>
        </w:rPr>
        <w:t>glucagon-like peptide-1</w:t>
      </w:r>
      <w:r>
        <w:rPr>
          <w:szCs w:val="22"/>
          <w:lang w:val="sr-Latn-ME"/>
        </w:rPr>
        <w:t xml:space="preserve">, GLP-1) te insulinotropni polipeptid zavisan od glukoze (engl. </w:t>
      </w:r>
      <w:r>
        <w:rPr>
          <w:i/>
          <w:iCs/>
          <w:szCs w:val="22"/>
          <w:lang w:val="sr-Latn-ME"/>
        </w:rPr>
        <w:t>glucose-dependent insulinotropic polypeptide</w:t>
      </w:r>
      <w:r>
        <w:rPr>
          <w:szCs w:val="22"/>
          <w:lang w:val="sr-Latn-ME"/>
        </w:rPr>
        <w:t>, GIP), tokom dana se izlučuju u crijevima, a njihove koncentracije rastu nakon obroka. Inkretini su dio endogenog sistema koji učestvuje u fiziološkoj regulaciji homeostaze glukoze. Kad je koncentracija glukoze u krvi normalna ili povišena, GLP-1 i GIP povećavaju sintezu insulina i njegovo otpuštanje iz beta ćelija pankreasa putem unutarćelijskih signalnih puteva koji uključuju ciklični AMP.</w:t>
      </w: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lang w:val="sr-Latn-ME"/>
        </w:rPr>
        <w:t>U životinjskim modelima dijabetesa tipa 2 dokazano je da liječenje GLP-1 ili inhibitorima DPP-4 poboljšava odgovor beta ćelija na glukozu te stimuliše biosintezu i otpuštanje insulina. S višim nivoima insulina poboljšava se unos glukoze u tkiva. Uz to, GLP-1 snižava lučenje glukagona iz alfa ćelija pankreasa. Zbog snižene koncentracije glukagona, uz istovremeno povišene nivoe insulina, smanjuje se proizvodnja glukoze u jetri, što dovodi do sniženja nivoa glukoze u krvi. Efekti GLP-1 i GIP-a su glukozno zavisni, tako da se pri niskim koncentracijama glukoze u krvi ne zapaža stimulacija otpuštanja insulina niti supresija lučenja glukagona putem GLP-1. I za GLP-1 i za GIP važi da stimulišu otpuštanje insulina čim se koncentracija glukoze u krvi poveća iznad normalnih koncentracija. Nadalje, GLP-1 ne ometa normalan odgovor glukagona na hipoglikemiju. Aktivnost GLP-1 i GIP-a ograničava enzim DPP-4 koji brzo hidrolizuje inkretinske hormone u neaktivne oblike. Sitagliptin sprečava hidrolizu inkretinskih hormona putem DPP-4, čime povećava koncentraciju aktivnih oblika GLP-1 i GIP-a u plazmi. Podizanjem aktivnih inkretinskih koncentracija, sitagliptin povećava otpuštanje insulina i snižava koncentracije glukagona u zavisnosti od nivoa glukoze. Kod pacijenata s dijabetesom tipa 2 s hiperglikemijom, ove promjene u nivoima insulina i glukagona dovode do sniženja hemoglobina A</w:t>
      </w:r>
      <w:r>
        <w:rPr>
          <w:szCs w:val="22"/>
          <w:vertAlign w:val="subscript"/>
          <w:lang w:val="sr-Latn-ME"/>
        </w:rPr>
        <w:t>1c</w:t>
      </w:r>
      <w:r>
        <w:rPr>
          <w:szCs w:val="22"/>
          <w:lang w:val="sr-Latn-ME"/>
        </w:rPr>
        <w:t xml:space="preserve"> (HbA</w:t>
      </w:r>
      <w:r>
        <w:rPr>
          <w:szCs w:val="22"/>
          <w:vertAlign w:val="subscript"/>
          <w:lang w:val="sr-Latn-ME"/>
        </w:rPr>
        <w:t>1c</w:t>
      </w:r>
      <w:r>
        <w:rPr>
          <w:szCs w:val="22"/>
          <w:lang w:val="sr-Latn-ME"/>
        </w:rPr>
        <w:t>) te nižih koncentracija glukoze u krvi natašte i poslije obroka. Mehanizam djelovanja sitagliptina zavisan je od glukoze i razlikuje se od mehanizma djelovanja sulfonilureja, koje pojačavaju lučenje insulina čak i kada su koncentracije glukoze u krvi niske i mogu dovesti do hipoglikemije i kod pacijenata s dijabetesom tipa 2 i kod zdravih ispitanika. Sitagliptin je potentan i visoko selektivan inhibitor enzima DPP-4 te pri terapijskim koncentracijama ne inhibira njemu vrlo slične enzime DPP-8 ili DPP-9.</w:t>
      </w:r>
    </w:p>
    <w:p w:rsidR="00EA0194" w:rsidRDefault="00EA0194">
      <w:pPr>
        <w:widowControl w:val="0"/>
        <w:autoSpaceDE w:val="0"/>
        <w:autoSpaceDN w:val="0"/>
        <w:adjustRightInd w:val="0"/>
        <w:jc w:val="both"/>
        <w:rPr>
          <w:color w:val="000000"/>
          <w:szCs w:val="22"/>
          <w:highlight w:val="yellow"/>
          <w:u w:val="single"/>
          <w:lang w:val="sr-Latn-ME"/>
        </w:rPr>
      </w:pPr>
    </w:p>
    <w:p w:rsidR="00EA0194" w:rsidRDefault="00FC2E72">
      <w:pPr>
        <w:numPr>
          <w:ilvl w:val="12"/>
          <w:numId w:val="0"/>
        </w:numPr>
        <w:tabs>
          <w:tab w:val="left" w:pos="8505"/>
        </w:tabs>
        <w:kinsoku w:val="0"/>
        <w:overflowPunct w:val="0"/>
        <w:spacing w:before="1"/>
        <w:ind w:right="165"/>
        <w:jc w:val="both"/>
        <w:rPr>
          <w:szCs w:val="22"/>
          <w:lang w:val="sr-Latn-ME"/>
        </w:rPr>
      </w:pPr>
      <w:r>
        <w:rPr>
          <w:szCs w:val="22"/>
          <w:lang w:val="sr-Latn-ME"/>
        </w:rPr>
        <w:t>U dvodnevnom ispitivanju kod zdravih ispitanika, sitagliptin primijenjen samostalno povećao je koncentracije aktivnog GLP-1, dok je metformin primijenjen samostalno povećao koncentracije aktivnog i ukupnog GLP-1 do sličnih vrijednosti. Istovremena primjena sitagliptina i metformina imala je dodatni efekat na koncentracije aktivnog GLP-1. Sitagliptin je doveo do povećanja koncentracije aktivnog GIP, dok to nije bio slučaj sa metforminom.</w:t>
      </w:r>
    </w:p>
    <w:p w:rsidR="00EA0194" w:rsidRDefault="00EA0194">
      <w:pPr>
        <w:widowControl w:val="0"/>
        <w:autoSpaceDE w:val="0"/>
        <w:autoSpaceDN w:val="0"/>
        <w:adjustRightInd w:val="0"/>
        <w:jc w:val="both"/>
        <w:rPr>
          <w:color w:val="000000"/>
          <w:szCs w:val="22"/>
          <w:highlight w:val="yellow"/>
          <w:u w:val="single"/>
          <w:lang w:val="sr-Latn-ME"/>
        </w:rPr>
      </w:pPr>
    </w:p>
    <w:p w:rsidR="00EA0194" w:rsidRDefault="00FC2E72">
      <w:pPr>
        <w:widowControl w:val="0"/>
        <w:jc w:val="both"/>
        <w:rPr>
          <w:szCs w:val="22"/>
          <w:u w:val="single"/>
          <w:lang w:val="sr-Latn-ME"/>
        </w:rPr>
      </w:pPr>
      <w:r>
        <w:rPr>
          <w:szCs w:val="22"/>
          <w:u w:val="single"/>
          <w:lang w:val="sr-Latn-ME"/>
        </w:rPr>
        <w:t>Klinička efikasnost i bezbjednost</w:t>
      </w: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lang w:val="sr-Latn-ME"/>
        </w:rPr>
        <w:t>Ukupno gledajući, sitagliptin je poboljšao regulaciju glikemije kada se uzimao kao monoterapija ili u kombinovanom liječenju kod pacijenata sa tipom 2 diabetesa. (vidjeti Tabelu 2).</w:t>
      </w:r>
    </w:p>
    <w:p w:rsidR="00EA0194" w:rsidRDefault="00EA0194">
      <w:pPr>
        <w:autoSpaceDE w:val="0"/>
        <w:autoSpaceDN w:val="0"/>
        <w:adjustRightInd w:val="0"/>
        <w:jc w:val="both"/>
        <w:rPr>
          <w:szCs w:val="22"/>
          <w:lang w:val="sr-Latn-ME"/>
        </w:rPr>
      </w:pPr>
    </w:p>
    <w:p w:rsidR="00EA0194" w:rsidRDefault="00FC2E72" w:rsidP="00866ADA">
      <w:pPr>
        <w:numPr>
          <w:ilvl w:val="12"/>
          <w:numId w:val="0"/>
        </w:numPr>
        <w:tabs>
          <w:tab w:val="left" w:pos="8505"/>
        </w:tabs>
        <w:kinsoku w:val="0"/>
        <w:overflowPunct w:val="0"/>
        <w:ind w:right="-1"/>
        <w:jc w:val="both"/>
        <w:rPr>
          <w:szCs w:val="22"/>
          <w:lang w:val="sr-Latn-ME"/>
        </w:rPr>
      </w:pPr>
      <w:r>
        <w:rPr>
          <w:szCs w:val="22"/>
          <w:lang w:val="sr-Latn-ME"/>
        </w:rPr>
        <w:t>Sprovedena su dva ispitivanja kako bi se utvrdila efikasnost i bezbjednost monoterapije sitagliptinom. Liječenje sitagliptinom u dozi od 100 mg jedanput na dan kao monoterapija dovelo je do značajnih poboljšanja nivoa HbA</w:t>
      </w:r>
      <w:r>
        <w:rPr>
          <w:szCs w:val="22"/>
          <w:vertAlign w:val="subscript"/>
          <w:lang w:val="sr-Latn-ME"/>
        </w:rPr>
        <w:t>1c,</w:t>
      </w:r>
      <w:r>
        <w:rPr>
          <w:szCs w:val="22"/>
          <w:lang w:val="sr-Latn-ME"/>
        </w:rPr>
        <w:t xml:space="preserve"> glukoze u plazmi natašte i 2 sata nakon obroka u odnosu na placebo u dva ispitivanja, od kojih je jedno trajalo 18 sedmica, a drugo 24 sedmice. Zapaženo je poboljšanje zamjenskih markera funkcije beta ćelija, uključujući procjenu modela homeostaze beta (engl. </w:t>
      </w:r>
      <w:r>
        <w:rPr>
          <w:i/>
          <w:iCs/>
          <w:szCs w:val="22"/>
          <w:lang w:val="sr-Latn-ME"/>
        </w:rPr>
        <w:t xml:space="preserve">Homeostasis Model Assessment-β, </w:t>
      </w:r>
      <w:r>
        <w:rPr>
          <w:szCs w:val="22"/>
          <w:lang w:val="sr-Latn-ME"/>
        </w:rPr>
        <w:t>HOMA-β), odnos proinsulina i insulina te mjere odgovora beta ćelija na osnovu testa podnošljivosti često uzorkovanih obroka. Incidenca hipoglikemije zapažena kod pacijenata liječenih sitagliptinom bila je slična onoj u grupi koja je primala placebo. Ni u jednom ispitivanju nije došlo do povećanja tjelesne težine u odnosu na početnu kod pacijenata na terapiji sitagliptinom, dok je kod ispitanika koji su primali placebo došlo do malog smanjenja tjelesne težine.</w:t>
      </w:r>
    </w:p>
    <w:p w:rsidR="00EA0194" w:rsidRDefault="00EA0194">
      <w:pPr>
        <w:autoSpaceDE w:val="0"/>
        <w:autoSpaceDN w:val="0"/>
        <w:adjustRightInd w:val="0"/>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lang w:val="sr-Latn-ME"/>
        </w:rPr>
        <w:t>Sitagliptin u dozi od 100 mg jedanput na dan doveo je do značajnih poboljšanja glikemijskih parametara u odnosu na placebo u dva 24-sedmična ispitivanja sitagliptina kao dodatne terapije, jednom u kombinaciji s metforminom i jednom u kombinaciji s pioglitazonom. Promjena tjelesne težine od početne vrijednosti bila je slična kod pacijenata liječenih sitagliptinom u odnosu na one koji su primali placebo. U ovim ispitivanjima je incidenca prijavljene hipoglikemije bila slična kod pacijenata liječenih sitagliptinom u odnosu na one koji su primali placebo.</w:t>
      </w:r>
    </w:p>
    <w:p w:rsidR="00EA0194" w:rsidRDefault="00EA0194">
      <w:pPr>
        <w:widowControl w:val="0"/>
        <w:numPr>
          <w:ilvl w:val="12"/>
          <w:numId w:val="0"/>
        </w:numPr>
        <w:ind w:right="-2"/>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lang w:val="sr-Latn-ME"/>
        </w:rPr>
        <w:t>U 24-sedmičnom placebo kontrolisanom ispitivanju cilj je bio ocijeniti efikasnost i bezbjednost sitagliptina (100 mg jedanput na dan) dodatog glimepiridu ili glimepiridu u kombinaciji s metforminom. Dodavanje sitagliptina glimepiridu ili kombinaciji glimepirida s metforminom značajno je poboljšalo glikemijske parametre. Kod pacijenata liječenih sitagliptinom došlo je do blagog povećanja tjelesne težine u odnosu na pacijente koji su primali placebo.</w:t>
      </w:r>
    </w:p>
    <w:p w:rsidR="00EA0194" w:rsidRDefault="00EA0194">
      <w:pPr>
        <w:autoSpaceDE w:val="0"/>
        <w:autoSpaceDN w:val="0"/>
        <w:adjustRightInd w:val="0"/>
        <w:jc w:val="both"/>
        <w:rPr>
          <w:szCs w:val="22"/>
          <w:lang w:val="sr-Latn-ME"/>
        </w:rPr>
      </w:pPr>
    </w:p>
    <w:p w:rsidR="00EA0194" w:rsidRDefault="00FC2E72">
      <w:pPr>
        <w:numPr>
          <w:ilvl w:val="12"/>
          <w:numId w:val="0"/>
        </w:numPr>
        <w:tabs>
          <w:tab w:val="left" w:pos="8505"/>
        </w:tabs>
        <w:kinsoku w:val="0"/>
        <w:overflowPunct w:val="0"/>
        <w:ind w:right="93"/>
        <w:jc w:val="both"/>
        <w:rPr>
          <w:szCs w:val="22"/>
          <w:lang w:val="sr-Latn-ME"/>
        </w:rPr>
      </w:pPr>
      <w:r>
        <w:rPr>
          <w:szCs w:val="22"/>
          <w:lang w:val="sr-Latn-ME"/>
        </w:rPr>
        <w:t>U 26-sedmičnom placebo kontrolisanom ispitivanju cilj je bio ocijeniti efikasnost i bezbjednost sitagliptina (100 mg jedanput na dan) kao dodatka kombinaciji pioglitazona i metformina. Dodavanje sitagliptina pioglitazonu i metforminu značajno je poboljšalo glikemijske parametre. Promjena tjelesne težine u odnosu na početnu bila je slična kod pacijenata liječenih sitagliptinom i onih koji su primali placebo. Incidenca hipoglikemije takođe je bila slična kod pacijenata liječenih sitagliptinom i onih koji su primali placebo.</w:t>
      </w:r>
    </w:p>
    <w:p w:rsidR="00EA0194" w:rsidRDefault="00EA0194">
      <w:pPr>
        <w:numPr>
          <w:ilvl w:val="12"/>
          <w:numId w:val="0"/>
        </w:numPr>
        <w:tabs>
          <w:tab w:val="left" w:pos="8505"/>
        </w:tabs>
        <w:kinsoku w:val="0"/>
        <w:overflowPunct w:val="0"/>
        <w:spacing w:before="3"/>
        <w:ind w:right="-2"/>
        <w:jc w:val="both"/>
        <w:rPr>
          <w:szCs w:val="22"/>
          <w:lang w:val="sr-Latn-ME"/>
        </w:rPr>
      </w:pPr>
    </w:p>
    <w:p w:rsidR="00EA0194" w:rsidRDefault="00FC2E72">
      <w:pPr>
        <w:numPr>
          <w:ilvl w:val="12"/>
          <w:numId w:val="0"/>
        </w:numPr>
        <w:tabs>
          <w:tab w:val="left" w:pos="8505"/>
        </w:tabs>
        <w:kinsoku w:val="0"/>
        <w:overflowPunct w:val="0"/>
        <w:ind w:right="93"/>
        <w:jc w:val="both"/>
        <w:rPr>
          <w:szCs w:val="22"/>
          <w:lang w:val="sr-Latn-ME"/>
        </w:rPr>
      </w:pPr>
      <w:r>
        <w:rPr>
          <w:szCs w:val="22"/>
          <w:lang w:val="sr-Latn-ME"/>
        </w:rPr>
        <w:t xml:space="preserve">U 24-sedmičnom placebo kontrolisanom ispitivanju cilj je bio ocijeniti efikasnost i bezbjednost sitagliptina (100 mg jedanput na dan) kao dodatka insulinu (u stabilnoj dozi tokom najmanje 10 sedmica), sa metforminom ili bez njega (najmanje 1500 mg). </w:t>
      </w:r>
    </w:p>
    <w:p w:rsidR="00EA0194" w:rsidRDefault="00FC2E72">
      <w:pPr>
        <w:numPr>
          <w:ilvl w:val="12"/>
          <w:numId w:val="0"/>
        </w:numPr>
        <w:tabs>
          <w:tab w:val="left" w:pos="8505"/>
        </w:tabs>
        <w:kinsoku w:val="0"/>
        <w:overflowPunct w:val="0"/>
        <w:ind w:right="93"/>
        <w:jc w:val="both"/>
        <w:rPr>
          <w:szCs w:val="22"/>
          <w:lang w:val="sr-Latn-ME"/>
        </w:rPr>
      </w:pPr>
      <w:r>
        <w:rPr>
          <w:szCs w:val="22"/>
          <w:lang w:val="sr-Latn-ME"/>
        </w:rPr>
        <w:t>Kod pacijenata koji su uzimali fiksnu mješavinu insulina (engl. „pre-mixed“), srednja vrijednost dnevne doze bila je 70,9 U/dan. Kod pacijenata koji nijesu primali fiksnu mješavinu insulina  (eng. non-pre-mixed), već su primali srednjedjelujući ili dugodjelujući insulin, srednja vrijednost dnevne doze bila je 44,3 U/dan. Dodavanje sitagliptina insulinu značajno je poboljšalo glikemijske parametre. Ni u jednoj grupi nije bilo značajnije promjene tjelesne težine u odnosu na početnu.</w:t>
      </w:r>
    </w:p>
    <w:p w:rsidR="00EA0194" w:rsidRDefault="00EA0194">
      <w:pPr>
        <w:numPr>
          <w:ilvl w:val="12"/>
          <w:numId w:val="0"/>
        </w:numPr>
        <w:tabs>
          <w:tab w:val="left" w:pos="8505"/>
        </w:tabs>
        <w:kinsoku w:val="0"/>
        <w:overflowPunct w:val="0"/>
        <w:spacing w:before="10"/>
        <w:ind w:right="-2"/>
        <w:jc w:val="both"/>
        <w:rPr>
          <w:szCs w:val="22"/>
          <w:lang w:val="sr-Latn-ME"/>
        </w:rPr>
      </w:pPr>
    </w:p>
    <w:p w:rsidR="00EA0194" w:rsidRDefault="00FC2E72">
      <w:pPr>
        <w:numPr>
          <w:ilvl w:val="12"/>
          <w:numId w:val="0"/>
        </w:numPr>
        <w:tabs>
          <w:tab w:val="left" w:pos="8505"/>
        </w:tabs>
        <w:kinsoku w:val="0"/>
        <w:overflowPunct w:val="0"/>
        <w:ind w:right="93"/>
        <w:jc w:val="both"/>
        <w:rPr>
          <w:szCs w:val="22"/>
          <w:lang w:val="sr-Latn-ME"/>
        </w:rPr>
      </w:pPr>
      <w:r>
        <w:rPr>
          <w:szCs w:val="22"/>
          <w:lang w:val="sr-Latn-ME"/>
        </w:rPr>
        <w:t>U 24-sedmičnom placebo kontrolisanom faktorijalnom ispitivanju početne terapije, sitagliptin u dozi od 50 mg dvaput na dan u kombinaciji s metforminom (500 mg ili 1000 mg dvaput na dan) doveo je do značajnih poboljšanja glikemijskih parametara u odnosu na monoterapiju svakim od tih ljekova. Smanjenje tjelesne težine u grupi koja je uzimala kombinaciju sitagliptina i metformina bilo je slično onom zapaženom u grupi koja je uzimala samo metformin ili placebo; kod pacijenata koji su uzimali samo sitagliptin nije bilo promjene u odnosu na početne vrijednosti. Incidenca hipoglikemije bila je slična u svim liječenim grupama.</w:t>
      </w:r>
    </w:p>
    <w:p w:rsidR="00EA0194" w:rsidRDefault="00EA0194">
      <w:pPr>
        <w:widowControl w:val="0"/>
        <w:numPr>
          <w:ilvl w:val="12"/>
          <w:numId w:val="0"/>
        </w:numPr>
        <w:tabs>
          <w:tab w:val="left" w:pos="1134"/>
        </w:tabs>
        <w:ind w:left="1134" w:right="-2" w:hanging="1134"/>
        <w:jc w:val="both"/>
        <w:rPr>
          <w:b/>
          <w:szCs w:val="22"/>
          <w:lang w:val="sr-Latn-ME"/>
        </w:rPr>
      </w:pPr>
    </w:p>
    <w:p w:rsidR="00EA0194" w:rsidRDefault="00FC2E72">
      <w:pPr>
        <w:widowControl w:val="0"/>
        <w:numPr>
          <w:ilvl w:val="12"/>
          <w:numId w:val="0"/>
        </w:numPr>
        <w:tabs>
          <w:tab w:val="left" w:pos="1134"/>
        </w:tabs>
        <w:ind w:left="1134" w:right="-2" w:hanging="1134"/>
        <w:jc w:val="both"/>
        <w:rPr>
          <w:b/>
          <w:szCs w:val="22"/>
          <w:lang w:val="sr-Latn-ME"/>
        </w:rPr>
      </w:pPr>
      <w:r>
        <w:rPr>
          <w:b/>
          <w:szCs w:val="22"/>
          <w:lang w:val="sr-Latn-ME"/>
        </w:rPr>
        <w:t>Tabela 2.</w:t>
      </w:r>
      <w:r>
        <w:rPr>
          <w:b/>
          <w:szCs w:val="22"/>
          <w:lang w:val="sr-Latn-ME"/>
        </w:rPr>
        <w:tab/>
        <w:t>Rezultati HbA</w:t>
      </w:r>
      <w:r>
        <w:rPr>
          <w:b/>
          <w:szCs w:val="22"/>
          <w:vertAlign w:val="subscript"/>
          <w:lang w:val="sr-Latn-ME"/>
        </w:rPr>
        <w:t>1c</w:t>
      </w:r>
      <w:r>
        <w:rPr>
          <w:b/>
          <w:szCs w:val="22"/>
          <w:lang w:val="sr-Latn-ME"/>
        </w:rPr>
        <w:t xml:space="preserve"> u placebo kontrolisanim ispitivanjima monoterapije i kombinovane terapije*</w:t>
      </w:r>
    </w:p>
    <w:p w:rsidR="00EA0194" w:rsidRDefault="00EA0194">
      <w:pPr>
        <w:widowControl w:val="0"/>
        <w:numPr>
          <w:ilvl w:val="12"/>
          <w:numId w:val="0"/>
        </w:numPr>
        <w:tabs>
          <w:tab w:val="left" w:pos="1134"/>
        </w:tabs>
        <w:ind w:left="1134" w:right="-2" w:hanging="1134"/>
        <w:jc w:val="both"/>
        <w:rPr>
          <w:b/>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409"/>
        <w:gridCol w:w="1950"/>
        <w:gridCol w:w="2265"/>
      </w:tblGrid>
      <w:tr w:rsidR="00EA0194" w:rsidRPr="00C92663">
        <w:tc>
          <w:tcPr>
            <w:tcW w:w="3510" w:type="dxa"/>
            <w:shd w:val="clear" w:color="auto" w:fill="auto"/>
          </w:tcPr>
          <w:p w:rsidR="00EA0194" w:rsidRDefault="00FC2E72">
            <w:pPr>
              <w:autoSpaceDE w:val="0"/>
              <w:autoSpaceDN w:val="0"/>
              <w:adjustRightInd w:val="0"/>
              <w:jc w:val="center"/>
              <w:rPr>
                <w:b/>
                <w:szCs w:val="22"/>
                <w:lang w:val="sr-Latn-ME"/>
              </w:rPr>
            </w:pPr>
            <w:r>
              <w:rPr>
                <w:b/>
                <w:szCs w:val="22"/>
                <w:lang w:val="sr-Latn-ME"/>
              </w:rPr>
              <w:lastRenderedPageBreak/>
              <w:t>Ispitivanje</w:t>
            </w:r>
          </w:p>
        </w:tc>
        <w:tc>
          <w:tcPr>
            <w:tcW w:w="1418" w:type="dxa"/>
            <w:shd w:val="clear" w:color="auto" w:fill="auto"/>
          </w:tcPr>
          <w:p w:rsidR="00EA0194" w:rsidRDefault="00FC2E72">
            <w:pPr>
              <w:autoSpaceDE w:val="0"/>
              <w:autoSpaceDN w:val="0"/>
              <w:adjustRightInd w:val="0"/>
              <w:jc w:val="center"/>
              <w:rPr>
                <w:b/>
                <w:szCs w:val="22"/>
                <w:lang w:val="sr-Latn-ME"/>
              </w:rPr>
            </w:pPr>
            <w:r>
              <w:rPr>
                <w:b/>
                <w:szCs w:val="22"/>
                <w:lang w:val="sr-Latn-ME"/>
              </w:rPr>
              <w:t>Srednja vrijednost HbA</w:t>
            </w:r>
            <w:r>
              <w:rPr>
                <w:b/>
                <w:szCs w:val="22"/>
                <w:vertAlign w:val="subscript"/>
                <w:lang w:val="sr-Latn-ME"/>
              </w:rPr>
              <w:t>1c</w:t>
            </w:r>
            <w:r>
              <w:rPr>
                <w:b/>
                <w:szCs w:val="22"/>
                <w:lang w:val="sr-Latn-ME"/>
              </w:rPr>
              <w:t xml:space="preserve"> (%) na početku studije</w:t>
            </w:r>
          </w:p>
        </w:tc>
        <w:tc>
          <w:tcPr>
            <w:tcW w:w="1980" w:type="dxa"/>
            <w:shd w:val="clear" w:color="auto" w:fill="auto"/>
          </w:tcPr>
          <w:p w:rsidR="00EA0194" w:rsidRDefault="00FC2E72">
            <w:pPr>
              <w:autoSpaceDE w:val="0"/>
              <w:autoSpaceDN w:val="0"/>
              <w:adjustRightInd w:val="0"/>
              <w:jc w:val="center"/>
              <w:rPr>
                <w:b/>
                <w:szCs w:val="22"/>
                <w:lang w:val="sr-Latn-ME"/>
              </w:rPr>
            </w:pPr>
            <w:r>
              <w:rPr>
                <w:b/>
                <w:szCs w:val="22"/>
                <w:lang w:val="sr-Latn-ME"/>
              </w:rPr>
              <w:t>Srednja vrijednost promjene HbA</w:t>
            </w:r>
            <w:r>
              <w:rPr>
                <w:b/>
                <w:szCs w:val="22"/>
                <w:vertAlign w:val="subscript"/>
                <w:lang w:val="sr-Latn-ME"/>
              </w:rPr>
              <w:t>1c</w:t>
            </w:r>
            <w:r>
              <w:rPr>
                <w:b/>
                <w:szCs w:val="22"/>
                <w:lang w:val="sr-Latn-ME"/>
              </w:rPr>
              <w:t xml:space="preserve"> (%) </w:t>
            </w:r>
            <w:r>
              <w:rPr>
                <w:b/>
                <w:szCs w:val="22"/>
                <w:vertAlign w:val="superscript"/>
                <w:lang w:val="sr-Latn-ME"/>
              </w:rPr>
              <w:t xml:space="preserve">† </w:t>
            </w:r>
            <w:r>
              <w:rPr>
                <w:b/>
                <w:szCs w:val="22"/>
                <w:lang w:val="sr-Latn-ME"/>
              </w:rPr>
              <w:t>u odnosu na vrijednost na početku studije</w:t>
            </w:r>
          </w:p>
        </w:tc>
        <w:tc>
          <w:tcPr>
            <w:tcW w:w="2303" w:type="dxa"/>
            <w:shd w:val="clear" w:color="auto" w:fill="auto"/>
          </w:tcPr>
          <w:p w:rsidR="00EA0194" w:rsidRDefault="00FC2E72">
            <w:pPr>
              <w:autoSpaceDE w:val="0"/>
              <w:autoSpaceDN w:val="0"/>
              <w:adjustRightInd w:val="0"/>
              <w:jc w:val="center"/>
              <w:rPr>
                <w:b/>
                <w:szCs w:val="22"/>
                <w:lang w:val="sr-Latn-ME"/>
              </w:rPr>
            </w:pPr>
            <w:r>
              <w:rPr>
                <w:b/>
                <w:szCs w:val="22"/>
                <w:lang w:val="sr-Latn-ME"/>
              </w:rPr>
              <w:t>Placebom korigovana srednja vrijednost promjene HbA</w:t>
            </w:r>
            <w:r>
              <w:rPr>
                <w:b/>
                <w:szCs w:val="22"/>
                <w:vertAlign w:val="subscript"/>
                <w:lang w:val="sr-Latn-ME"/>
              </w:rPr>
              <w:t>1c</w:t>
            </w:r>
            <w:r>
              <w:rPr>
                <w:b/>
                <w:szCs w:val="22"/>
                <w:lang w:val="sr-Latn-ME"/>
              </w:rPr>
              <w:t xml:space="preserve"> (%) </w:t>
            </w:r>
            <w:r>
              <w:rPr>
                <w:b/>
                <w:szCs w:val="22"/>
                <w:vertAlign w:val="superscript"/>
                <w:lang w:val="sr-Latn-ME"/>
              </w:rPr>
              <w:t>†</w:t>
            </w:r>
            <w:r>
              <w:rPr>
                <w:b/>
                <w:szCs w:val="22"/>
                <w:lang w:val="sr-Latn-ME"/>
              </w:rPr>
              <w:t xml:space="preserve"> (95% CI)</w:t>
            </w:r>
          </w:p>
        </w:tc>
      </w:tr>
      <w:tr w:rsidR="00EA0194">
        <w:tc>
          <w:tcPr>
            <w:tcW w:w="9211" w:type="dxa"/>
            <w:gridSpan w:val="4"/>
            <w:shd w:val="clear" w:color="auto" w:fill="auto"/>
          </w:tcPr>
          <w:p w:rsidR="00EA0194" w:rsidRDefault="00FC2E72">
            <w:pPr>
              <w:autoSpaceDE w:val="0"/>
              <w:autoSpaceDN w:val="0"/>
              <w:adjustRightInd w:val="0"/>
              <w:rPr>
                <w:b/>
                <w:szCs w:val="22"/>
                <w:lang w:val="sr-Latn-ME"/>
              </w:rPr>
            </w:pPr>
            <w:r>
              <w:rPr>
                <w:b/>
                <w:szCs w:val="22"/>
                <w:lang w:val="sr-Latn-ME"/>
              </w:rPr>
              <w:t>Ispitivanja monoterapije</w:t>
            </w:r>
          </w:p>
        </w:tc>
      </w:tr>
      <w:tr w:rsidR="00EA0194">
        <w:tc>
          <w:tcPr>
            <w:tcW w:w="3510" w:type="dxa"/>
            <w:shd w:val="clear" w:color="auto" w:fill="auto"/>
          </w:tcPr>
          <w:p w:rsidR="00EA0194" w:rsidRDefault="00FC2E72">
            <w:pPr>
              <w:autoSpaceDE w:val="0"/>
              <w:autoSpaceDN w:val="0"/>
              <w:adjustRightInd w:val="0"/>
              <w:rPr>
                <w:szCs w:val="22"/>
                <w:lang w:val="sr-Latn-ME"/>
              </w:rPr>
            </w:pPr>
            <w:r>
              <w:rPr>
                <w:szCs w:val="22"/>
                <w:lang w:val="sr-Latn-ME"/>
              </w:rPr>
              <w:t>Sitagliptin 100 mg jedanput na dan</w:t>
            </w:r>
            <w:r>
              <w:rPr>
                <w:szCs w:val="22"/>
                <w:vertAlign w:val="superscript"/>
                <w:lang w:val="sr-Latn-ME"/>
              </w:rPr>
              <w:t>§</w:t>
            </w:r>
            <w:r>
              <w:rPr>
                <w:szCs w:val="22"/>
                <w:lang w:val="sr-Latn-ME"/>
              </w:rPr>
              <w:t xml:space="preserve"> </w:t>
            </w:r>
          </w:p>
          <w:p w:rsidR="00EA0194" w:rsidRDefault="00FC2E72">
            <w:pPr>
              <w:autoSpaceDE w:val="0"/>
              <w:autoSpaceDN w:val="0"/>
              <w:adjustRightInd w:val="0"/>
              <w:rPr>
                <w:szCs w:val="22"/>
                <w:lang w:val="sr-Latn-ME"/>
              </w:rPr>
            </w:pPr>
            <w:r>
              <w:rPr>
                <w:szCs w:val="22"/>
                <w:lang w:val="sr-Latn-ME"/>
              </w:rPr>
              <w:t>(N=193)</w:t>
            </w:r>
          </w:p>
        </w:tc>
        <w:tc>
          <w:tcPr>
            <w:tcW w:w="1418" w:type="dxa"/>
            <w:shd w:val="clear" w:color="auto" w:fill="auto"/>
          </w:tcPr>
          <w:p w:rsidR="00EA0194" w:rsidRDefault="00FC2E72">
            <w:pPr>
              <w:autoSpaceDE w:val="0"/>
              <w:autoSpaceDN w:val="0"/>
              <w:adjustRightInd w:val="0"/>
              <w:rPr>
                <w:szCs w:val="22"/>
                <w:lang w:val="sr-Latn-ME"/>
              </w:rPr>
            </w:pPr>
            <w:r>
              <w:rPr>
                <w:szCs w:val="22"/>
                <w:lang w:val="sr-Latn-ME"/>
              </w:rPr>
              <w:t>8,0</w:t>
            </w:r>
          </w:p>
        </w:tc>
        <w:tc>
          <w:tcPr>
            <w:tcW w:w="1980" w:type="dxa"/>
            <w:shd w:val="clear" w:color="auto" w:fill="auto"/>
          </w:tcPr>
          <w:p w:rsidR="00EA0194" w:rsidRDefault="00FC2E72">
            <w:pPr>
              <w:autoSpaceDE w:val="0"/>
              <w:autoSpaceDN w:val="0"/>
              <w:adjustRightInd w:val="0"/>
              <w:rPr>
                <w:szCs w:val="22"/>
                <w:lang w:val="sr-Latn-ME"/>
              </w:rPr>
            </w:pPr>
            <w:r>
              <w:rPr>
                <w:szCs w:val="22"/>
                <w:lang w:val="sr-Latn-ME"/>
              </w:rPr>
              <w:t>-0,5</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-0,6</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(-0.8, -0.4)</w:t>
            </w:r>
          </w:p>
        </w:tc>
      </w:tr>
      <w:tr w:rsidR="00EA0194">
        <w:tc>
          <w:tcPr>
            <w:tcW w:w="3510" w:type="dxa"/>
            <w:shd w:val="clear" w:color="auto" w:fill="auto"/>
          </w:tcPr>
          <w:p w:rsidR="00EA0194" w:rsidRDefault="00FC2E72">
            <w:pPr>
              <w:autoSpaceDE w:val="0"/>
              <w:autoSpaceDN w:val="0"/>
              <w:adjustRightInd w:val="0"/>
              <w:rPr>
                <w:rFonts w:eastAsia="MathExt"/>
                <w:szCs w:val="22"/>
                <w:lang w:val="sr-Latn-ME"/>
              </w:rPr>
            </w:pPr>
            <w:r>
              <w:rPr>
                <w:szCs w:val="22"/>
                <w:lang w:val="sr-Latn-ME"/>
              </w:rPr>
              <w:t>Sitagliptin 100 mg jedanput na dan</w:t>
            </w:r>
          </w:p>
          <w:p w:rsidR="00EA0194" w:rsidRDefault="00FC2E72">
            <w:pPr>
              <w:widowControl w:val="0"/>
              <w:numPr>
                <w:ilvl w:val="12"/>
                <w:numId w:val="0"/>
              </w:numPr>
              <w:ind w:right="-2"/>
              <w:rPr>
                <w:szCs w:val="22"/>
                <w:highlight w:val="yellow"/>
                <w:u w:val="single"/>
                <w:lang w:val="sr-Latn-ME"/>
              </w:rPr>
            </w:pPr>
            <w:r>
              <w:rPr>
                <w:szCs w:val="22"/>
                <w:lang w:val="sr-Latn-ME"/>
              </w:rPr>
              <w:t>(N=229)</w:t>
            </w:r>
            <w:r>
              <w:rPr>
                <w:szCs w:val="22"/>
                <w:vertAlign w:val="superscript"/>
                <w:lang w:val="sr-Latn-ME"/>
              </w:rPr>
              <w:t>||</w:t>
            </w:r>
          </w:p>
        </w:tc>
        <w:tc>
          <w:tcPr>
            <w:tcW w:w="1418" w:type="dxa"/>
            <w:shd w:val="clear" w:color="auto" w:fill="auto"/>
          </w:tcPr>
          <w:p w:rsidR="00EA0194" w:rsidRDefault="00FC2E72">
            <w:pPr>
              <w:widowControl w:val="0"/>
              <w:numPr>
                <w:ilvl w:val="12"/>
                <w:numId w:val="0"/>
              </w:numPr>
              <w:ind w:right="-2"/>
              <w:rPr>
                <w:szCs w:val="22"/>
                <w:lang w:val="sr-Latn-ME"/>
              </w:rPr>
            </w:pPr>
            <w:r>
              <w:rPr>
                <w:szCs w:val="22"/>
                <w:lang w:val="sr-Latn-ME"/>
              </w:rPr>
              <w:t>8,0</w:t>
            </w:r>
          </w:p>
        </w:tc>
        <w:tc>
          <w:tcPr>
            <w:tcW w:w="1980" w:type="dxa"/>
            <w:shd w:val="clear" w:color="auto" w:fill="auto"/>
          </w:tcPr>
          <w:p w:rsidR="00EA0194" w:rsidRDefault="00FC2E72">
            <w:pPr>
              <w:widowControl w:val="0"/>
              <w:numPr>
                <w:ilvl w:val="12"/>
                <w:numId w:val="0"/>
              </w:numPr>
              <w:ind w:right="-2"/>
              <w:rPr>
                <w:szCs w:val="22"/>
                <w:lang w:val="sr-Latn-ME"/>
              </w:rPr>
            </w:pPr>
            <w:r>
              <w:rPr>
                <w:szCs w:val="22"/>
                <w:lang w:val="sr-Latn-ME"/>
              </w:rPr>
              <w:t>-0,6</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-0,8</w:t>
            </w:r>
            <w:r>
              <w:rPr>
                <w:szCs w:val="22"/>
                <w:vertAlign w:val="superscript"/>
                <w:lang w:val="sr-Latn-ME"/>
              </w:rPr>
              <w:t>‡</w:t>
            </w:r>
          </w:p>
          <w:p w:rsidR="00EA0194" w:rsidRDefault="00FC2E72">
            <w:pPr>
              <w:widowControl w:val="0"/>
              <w:numPr>
                <w:ilvl w:val="12"/>
                <w:numId w:val="0"/>
              </w:numPr>
              <w:ind w:right="-2"/>
              <w:rPr>
                <w:szCs w:val="22"/>
                <w:highlight w:val="yellow"/>
                <w:u w:val="single"/>
                <w:lang w:val="sr-Latn-ME"/>
              </w:rPr>
            </w:pPr>
            <w:r>
              <w:rPr>
                <w:szCs w:val="22"/>
                <w:lang w:val="sr-Latn-ME"/>
              </w:rPr>
              <w:t>(-1,0, -0,6)</w:t>
            </w:r>
          </w:p>
        </w:tc>
      </w:tr>
      <w:tr w:rsidR="00EA0194">
        <w:tc>
          <w:tcPr>
            <w:tcW w:w="9211" w:type="dxa"/>
            <w:gridSpan w:val="4"/>
            <w:shd w:val="clear" w:color="auto" w:fill="auto"/>
          </w:tcPr>
          <w:p w:rsidR="00EA0194" w:rsidRDefault="00FC2E72">
            <w:pPr>
              <w:autoSpaceDE w:val="0"/>
              <w:autoSpaceDN w:val="0"/>
              <w:adjustRightInd w:val="0"/>
              <w:rPr>
                <w:b/>
                <w:szCs w:val="22"/>
                <w:lang w:val="sr-Latn-ME"/>
              </w:rPr>
            </w:pPr>
            <w:r>
              <w:rPr>
                <w:b/>
                <w:szCs w:val="22"/>
                <w:lang w:val="sr-Latn-ME"/>
              </w:rPr>
              <w:t>Ispitivanja kombinovane terapije</w:t>
            </w:r>
          </w:p>
        </w:tc>
      </w:tr>
      <w:tr w:rsidR="00EA0194">
        <w:tc>
          <w:tcPr>
            <w:tcW w:w="3510" w:type="dxa"/>
            <w:shd w:val="clear" w:color="auto" w:fill="auto"/>
          </w:tcPr>
          <w:p w:rsidR="00EA0194" w:rsidRDefault="00FC2E72">
            <w:pPr>
              <w:autoSpaceDE w:val="0"/>
              <w:autoSpaceDN w:val="0"/>
              <w:adjustRightInd w:val="0"/>
              <w:rPr>
                <w:szCs w:val="22"/>
                <w:lang w:val="sr-Latn-ME"/>
              </w:rPr>
            </w:pPr>
            <w:r>
              <w:rPr>
                <w:szCs w:val="22"/>
                <w:lang w:val="sr-Latn-ME"/>
              </w:rPr>
              <w:t>Sitagliptin 100 mg jedanput na dan dodat dosadašnjoj terapiji metforminom</w:t>
            </w:r>
            <w:r>
              <w:rPr>
                <w:szCs w:val="22"/>
                <w:vertAlign w:val="superscript"/>
                <w:lang w:val="sr-Latn-ME"/>
              </w:rPr>
              <w:t>||</w:t>
            </w:r>
          </w:p>
          <w:p w:rsidR="00EA0194" w:rsidRDefault="00FC2E72">
            <w:pPr>
              <w:autoSpaceDE w:val="0"/>
              <w:autoSpaceDN w:val="0"/>
              <w:adjustRightInd w:val="0"/>
              <w:rPr>
                <w:szCs w:val="22"/>
                <w:highlight w:val="yellow"/>
                <w:u w:val="single"/>
                <w:lang w:val="sr-Latn-ME"/>
              </w:rPr>
            </w:pPr>
            <w:r>
              <w:rPr>
                <w:szCs w:val="22"/>
                <w:lang w:val="sr-Latn-ME"/>
              </w:rPr>
              <w:t>(N=453)</w:t>
            </w:r>
          </w:p>
        </w:tc>
        <w:tc>
          <w:tcPr>
            <w:tcW w:w="1418" w:type="dxa"/>
            <w:shd w:val="clear" w:color="auto" w:fill="auto"/>
          </w:tcPr>
          <w:p w:rsidR="00EA0194" w:rsidRDefault="00FC2E72">
            <w:pPr>
              <w:widowControl w:val="0"/>
              <w:numPr>
                <w:ilvl w:val="12"/>
                <w:numId w:val="0"/>
              </w:numPr>
              <w:ind w:right="-2"/>
              <w:rPr>
                <w:szCs w:val="22"/>
                <w:lang w:val="sr-Latn-ME"/>
              </w:rPr>
            </w:pPr>
            <w:r>
              <w:rPr>
                <w:szCs w:val="22"/>
                <w:lang w:val="sr-Latn-ME"/>
              </w:rPr>
              <w:t>8,0</w:t>
            </w:r>
          </w:p>
        </w:tc>
        <w:tc>
          <w:tcPr>
            <w:tcW w:w="1980" w:type="dxa"/>
            <w:shd w:val="clear" w:color="auto" w:fill="auto"/>
          </w:tcPr>
          <w:p w:rsidR="00EA0194" w:rsidRDefault="00FC2E72">
            <w:pPr>
              <w:widowControl w:val="0"/>
              <w:numPr>
                <w:ilvl w:val="12"/>
                <w:numId w:val="0"/>
              </w:numPr>
              <w:ind w:right="-2"/>
              <w:rPr>
                <w:szCs w:val="22"/>
                <w:lang w:val="sr-Latn-ME"/>
              </w:rPr>
            </w:pPr>
            <w:r>
              <w:rPr>
                <w:szCs w:val="22"/>
                <w:lang w:val="sr-Latn-ME"/>
              </w:rPr>
              <w:t>-0,7</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-0,7</w:t>
            </w:r>
            <w:r>
              <w:rPr>
                <w:szCs w:val="22"/>
                <w:vertAlign w:val="superscript"/>
                <w:lang w:val="sr-Latn-ME"/>
              </w:rPr>
              <w:t>‡</w:t>
            </w:r>
          </w:p>
          <w:p w:rsidR="00EA0194" w:rsidRDefault="00FC2E72">
            <w:pPr>
              <w:widowControl w:val="0"/>
              <w:numPr>
                <w:ilvl w:val="12"/>
                <w:numId w:val="0"/>
              </w:numPr>
              <w:ind w:right="-2"/>
              <w:rPr>
                <w:szCs w:val="22"/>
                <w:highlight w:val="yellow"/>
                <w:u w:val="single"/>
                <w:lang w:val="sr-Latn-ME"/>
              </w:rPr>
            </w:pPr>
            <w:r>
              <w:rPr>
                <w:szCs w:val="22"/>
                <w:lang w:val="sr-Latn-ME"/>
              </w:rPr>
              <w:t>(-0,8, -0,5)</w:t>
            </w:r>
          </w:p>
        </w:tc>
      </w:tr>
      <w:tr w:rsidR="00EA0194">
        <w:tc>
          <w:tcPr>
            <w:tcW w:w="3510" w:type="dxa"/>
            <w:shd w:val="clear" w:color="auto" w:fill="auto"/>
          </w:tcPr>
          <w:p w:rsidR="00EA0194" w:rsidRDefault="00FC2E72">
            <w:pPr>
              <w:autoSpaceDE w:val="0"/>
              <w:autoSpaceDN w:val="0"/>
              <w:adjustRightInd w:val="0"/>
              <w:rPr>
                <w:szCs w:val="22"/>
                <w:lang w:val="sr-Latn-ME"/>
              </w:rPr>
            </w:pPr>
            <w:r>
              <w:rPr>
                <w:szCs w:val="22"/>
                <w:lang w:val="sr-Latn-ME"/>
              </w:rPr>
              <w:t>Sitagliptin 100 mg jedanput na dan dodat dosadašnjoj terapiji pioglitazonom</w:t>
            </w:r>
            <w:r>
              <w:rPr>
                <w:szCs w:val="22"/>
                <w:vertAlign w:val="superscript"/>
                <w:lang w:val="sr-Latn-ME"/>
              </w:rPr>
              <w:t>||</w:t>
            </w:r>
          </w:p>
          <w:p w:rsidR="00EA0194" w:rsidRDefault="00FC2E72">
            <w:pPr>
              <w:autoSpaceDE w:val="0"/>
              <w:autoSpaceDN w:val="0"/>
              <w:adjustRightInd w:val="0"/>
              <w:rPr>
                <w:szCs w:val="22"/>
                <w:highlight w:val="yellow"/>
                <w:u w:val="single"/>
                <w:lang w:val="sr-Latn-ME"/>
              </w:rPr>
            </w:pPr>
            <w:r>
              <w:rPr>
                <w:szCs w:val="22"/>
                <w:lang w:val="sr-Latn-ME"/>
              </w:rPr>
              <w:t>(N=163)</w:t>
            </w:r>
          </w:p>
        </w:tc>
        <w:tc>
          <w:tcPr>
            <w:tcW w:w="1418" w:type="dxa"/>
            <w:shd w:val="clear" w:color="auto" w:fill="auto"/>
          </w:tcPr>
          <w:p w:rsidR="00EA0194" w:rsidRDefault="00FC2E72">
            <w:pPr>
              <w:widowControl w:val="0"/>
              <w:numPr>
                <w:ilvl w:val="12"/>
                <w:numId w:val="0"/>
              </w:numPr>
              <w:ind w:right="-2"/>
              <w:rPr>
                <w:szCs w:val="22"/>
                <w:highlight w:val="yellow"/>
                <w:u w:val="single"/>
                <w:lang w:val="sr-Latn-ME"/>
              </w:rPr>
            </w:pPr>
            <w:r>
              <w:rPr>
                <w:szCs w:val="22"/>
                <w:lang w:val="sr-Latn-ME"/>
              </w:rPr>
              <w:t>8,1</w:t>
            </w:r>
          </w:p>
        </w:tc>
        <w:tc>
          <w:tcPr>
            <w:tcW w:w="1980" w:type="dxa"/>
            <w:shd w:val="clear" w:color="auto" w:fill="auto"/>
          </w:tcPr>
          <w:p w:rsidR="00EA0194" w:rsidRDefault="00FC2E72">
            <w:pPr>
              <w:widowControl w:val="0"/>
              <w:numPr>
                <w:ilvl w:val="12"/>
                <w:numId w:val="0"/>
              </w:numPr>
              <w:ind w:right="-2"/>
              <w:rPr>
                <w:szCs w:val="22"/>
                <w:highlight w:val="yellow"/>
                <w:u w:val="single"/>
                <w:lang w:val="sr-Latn-ME"/>
              </w:rPr>
            </w:pPr>
            <w:r>
              <w:rPr>
                <w:szCs w:val="22"/>
                <w:lang w:val="sr-Latn-ME"/>
              </w:rPr>
              <w:t>-0,9</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-0,7</w:t>
            </w:r>
            <w:r>
              <w:rPr>
                <w:szCs w:val="22"/>
                <w:vertAlign w:val="superscript"/>
                <w:lang w:val="sr-Latn-ME"/>
              </w:rPr>
              <w:t>‡</w:t>
            </w:r>
            <w:r>
              <w:rPr>
                <w:szCs w:val="22"/>
                <w:lang w:val="sr-Latn-ME"/>
              </w:rPr>
              <w:t xml:space="preserve"> </w:t>
            </w:r>
          </w:p>
          <w:p w:rsidR="00EA0194" w:rsidRDefault="00FC2E72">
            <w:pPr>
              <w:autoSpaceDE w:val="0"/>
              <w:autoSpaceDN w:val="0"/>
              <w:adjustRightInd w:val="0"/>
              <w:rPr>
                <w:szCs w:val="22"/>
                <w:highlight w:val="yellow"/>
                <w:u w:val="single"/>
                <w:lang w:val="sr-Latn-ME"/>
              </w:rPr>
            </w:pPr>
            <w:r>
              <w:rPr>
                <w:szCs w:val="22"/>
                <w:lang w:val="sr-Latn-ME"/>
              </w:rPr>
              <w:t>(-0,9, -0,5)</w:t>
            </w:r>
          </w:p>
        </w:tc>
      </w:tr>
      <w:tr w:rsidR="00EA0194">
        <w:tc>
          <w:tcPr>
            <w:tcW w:w="3510" w:type="dxa"/>
            <w:shd w:val="clear" w:color="auto" w:fill="auto"/>
          </w:tcPr>
          <w:p w:rsidR="00EA0194" w:rsidRDefault="00FC2E72">
            <w:pPr>
              <w:autoSpaceDE w:val="0"/>
              <w:autoSpaceDN w:val="0"/>
              <w:adjustRightInd w:val="0"/>
              <w:rPr>
                <w:szCs w:val="22"/>
                <w:vertAlign w:val="superscript"/>
                <w:lang w:val="sr-Latn-ME"/>
              </w:rPr>
            </w:pPr>
            <w:r>
              <w:rPr>
                <w:szCs w:val="22"/>
                <w:lang w:val="sr-Latn-ME"/>
              </w:rPr>
              <w:t>Sitagliptin 100 mg jedanput na dan dodat dosadašnjoj terapiji glimepiridom</w:t>
            </w:r>
            <w:r>
              <w:rPr>
                <w:szCs w:val="22"/>
                <w:vertAlign w:val="superscript"/>
                <w:lang w:val="sr-Latn-ME"/>
              </w:rPr>
              <w:t xml:space="preserve">|| </w:t>
            </w:r>
          </w:p>
          <w:p w:rsidR="00EA0194" w:rsidRDefault="00FC2E72">
            <w:pPr>
              <w:autoSpaceDE w:val="0"/>
              <w:autoSpaceDN w:val="0"/>
              <w:adjustRightInd w:val="0"/>
              <w:rPr>
                <w:szCs w:val="22"/>
                <w:lang w:val="sr-Latn-ME"/>
              </w:rPr>
            </w:pPr>
            <w:r>
              <w:rPr>
                <w:szCs w:val="22"/>
                <w:lang w:val="sr-Latn-ME"/>
              </w:rPr>
              <w:t>(N=102)</w:t>
            </w:r>
          </w:p>
        </w:tc>
        <w:tc>
          <w:tcPr>
            <w:tcW w:w="1418" w:type="dxa"/>
            <w:shd w:val="clear" w:color="auto" w:fill="auto"/>
          </w:tcPr>
          <w:p w:rsidR="00EA0194" w:rsidRDefault="00FC2E72">
            <w:pPr>
              <w:widowControl w:val="0"/>
              <w:numPr>
                <w:ilvl w:val="12"/>
                <w:numId w:val="0"/>
              </w:numPr>
              <w:ind w:right="-2"/>
              <w:rPr>
                <w:szCs w:val="22"/>
                <w:lang w:val="sr-Latn-ME"/>
              </w:rPr>
            </w:pPr>
            <w:r>
              <w:rPr>
                <w:szCs w:val="22"/>
                <w:lang w:val="sr-Latn-ME"/>
              </w:rPr>
              <w:t>8,4</w:t>
            </w:r>
          </w:p>
        </w:tc>
        <w:tc>
          <w:tcPr>
            <w:tcW w:w="1980" w:type="dxa"/>
            <w:shd w:val="clear" w:color="auto" w:fill="auto"/>
          </w:tcPr>
          <w:p w:rsidR="00EA0194" w:rsidRDefault="00FC2E72">
            <w:pPr>
              <w:widowControl w:val="0"/>
              <w:numPr>
                <w:ilvl w:val="12"/>
                <w:numId w:val="0"/>
              </w:numPr>
              <w:ind w:right="-2"/>
              <w:rPr>
                <w:szCs w:val="22"/>
                <w:lang w:val="sr-Latn-ME"/>
              </w:rPr>
            </w:pPr>
            <w:r>
              <w:rPr>
                <w:szCs w:val="22"/>
                <w:lang w:val="sr-Latn-ME"/>
              </w:rPr>
              <w:t>-0,3</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-0,6</w:t>
            </w:r>
            <w:r>
              <w:rPr>
                <w:szCs w:val="22"/>
                <w:vertAlign w:val="superscript"/>
                <w:lang w:val="sr-Latn-ME"/>
              </w:rPr>
              <w:t>‡</w:t>
            </w:r>
            <w:r>
              <w:rPr>
                <w:szCs w:val="22"/>
                <w:lang w:val="sr-Latn-ME"/>
              </w:rPr>
              <w:t xml:space="preserve"> </w:t>
            </w:r>
          </w:p>
          <w:p w:rsidR="00EA0194" w:rsidRDefault="00FC2E72">
            <w:pPr>
              <w:autoSpaceDE w:val="0"/>
              <w:autoSpaceDN w:val="0"/>
              <w:adjustRightInd w:val="0"/>
              <w:rPr>
                <w:szCs w:val="22"/>
                <w:lang w:val="sr-Latn-ME"/>
              </w:rPr>
            </w:pPr>
            <w:r>
              <w:rPr>
                <w:szCs w:val="22"/>
                <w:lang w:val="sr-Latn-ME"/>
              </w:rPr>
              <w:t>(-0.8, -0.3)</w:t>
            </w:r>
          </w:p>
        </w:tc>
      </w:tr>
      <w:tr w:rsidR="00EA0194">
        <w:tc>
          <w:tcPr>
            <w:tcW w:w="3510" w:type="dxa"/>
            <w:shd w:val="clear" w:color="auto" w:fill="auto"/>
          </w:tcPr>
          <w:p w:rsidR="00EA0194" w:rsidRDefault="00FC2E72">
            <w:pPr>
              <w:autoSpaceDE w:val="0"/>
              <w:autoSpaceDN w:val="0"/>
              <w:adjustRightInd w:val="0"/>
              <w:rPr>
                <w:szCs w:val="22"/>
                <w:vertAlign w:val="superscript"/>
                <w:lang w:val="sr-Latn-ME"/>
              </w:rPr>
            </w:pPr>
            <w:r>
              <w:rPr>
                <w:szCs w:val="22"/>
                <w:lang w:val="sr-Latn-ME"/>
              </w:rPr>
              <w:t>Sitagliptin 100 mg jedanput na dan dodat dosadašnjoj terapiji glimepiridom + metforminom</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(N=115)</w:t>
            </w:r>
          </w:p>
        </w:tc>
        <w:tc>
          <w:tcPr>
            <w:tcW w:w="1418" w:type="dxa"/>
            <w:shd w:val="clear" w:color="auto" w:fill="auto"/>
          </w:tcPr>
          <w:p w:rsidR="00EA0194" w:rsidRDefault="00FC2E72">
            <w:pPr>
              <w:widowControl w:val="0"/>
              <w:numPr>
                <w:ilvl w:val="12"/>
                <w:numId w:val="0"/>
              </w:numPr>
              <w:ind w:right="-2"/>
              <w:rPr>
                <w:szCs w:val="22"/>
                <w:lang w:val="sr-Latn-ME"/>
              </w:rPr>
            </w:pPr>
            <w:r>
              <w:rPr>
                <w:szCs w:val="22"/>
                <w:lang w:val="sr-Latn-ME"/>
              </w:rPr>
              <w:t>8,3</w:t>
            </w:r>
          </w:p>
        </w:tc>
        <w:tc>
          <w:tcPr>
            <w:tcW w:w="1980" w:type="dxa"/>
            <w:shd w:val="clear" w:color="auto" w:fill="auto"/>
          </w:tcPr>
          <w:p w:rsidR="00EA0194" w:rsidRDefault="00FC2E72">
            <w:pPr>
              <w:widowControl w:val="0"/>
              <w:numPr>
                <w:ilvl w:val="12"/>
                <w:numId w:val="0"/>
              </w:numPr>
              <w:ind w:right="-2"/>
              <w:rPr>
                <w:szCs w:val="22"/>
                <w:lang w:val="sr-Latn-ME"/>
              </w:rPr>
            </w:pPr>
            <w:r>
              <w:rPr>
                <w:szCs w:val="22"/>
                <w:lang w:val="sr-Latn-ME"/>
              </w:rPr>
              <w:t>-0,6</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-0,9</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(-1,1, -0,7)</w:t>
            </w:r>
          </w:p>
        </w:tc>
      </w:tr>
      <w:tr w:rsidR="00EA0194">
        <w:tc>
          <w:tcPr>
            <w:tcW w:w="3510" w:type="dxa"/>
            <w:shd w:val="clear" w:color="auto" w:fill="auto"/>
          </w:tcPr>
          <w:p w:rsidR="00EA0194" w:rsidRDefault="00FC2E72">
            <w:pPr>
              <w:autoSpaceDE w:val="0"/>
              <w:autoSpaceDN w:val="0"/>
              <w:adjustRightInd w:val="0"/>
              <w:rPr>
                <w:szCs w:val="22"/>
                <w:vertAlign w:val="superscript"/>
                <w:lang w:val="sr-Latn-ME"/>
              </w:rPr>
            </w:pPr>
            <w:r>
              <w:rPr>
                <w:szCs w:val="22"/>
                <w:lang w:val="sr-Latn-ME"/>
              </w:rPr>
              <w:t>Sitagliptin 100 mg jedanput na dan dodat dosadašnjoj terapiji pioglitazonom + metforminom</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(N=152)</w:t>
            </w:r>
          </w:p>
        </w:tc>
        <w:tc>
          <w:tcPr>
            <w:tcW w:w="1418" w:type="dxa"/>
            <w:shd w:val="clear" w:color="auto" w:fill="auto"/>
          </w:tcPr>
          <w:p w:rsidR="00EA0194" w:rsidRDefault="00FC2E72">
            <w:pPr>
              <w:widowControl w:val="0"/>
              <w:numPr>
                <w:ilvl w:val="12"/>
                <w:numId w:val="0"/>
              </w:numPr>
              <w:ind w:right="-2"/>
              <w:rPr>
                <w:szCs w:val="22"/>
                <w:lang w:val="sr-Latn-ME"/>
              </w:rPr>
            </w:pPr>
            <w:r>
              <w:rPr>
                <w:szCs w:val="22"/>
                <w:lang w:val="sr-Latn-ME"/>
              </w:rPr>
              <w:t>8,8</w:t>
            </w:r>
          </w:p>
        </w:tc>
        <w:tc>
          <w:tcPr>
            <w:tcW w:w="1980" w:type="dxa"/>
            <w:shd w:val="clear" w:color="auto" w:fill="auto"/>
          </w:tcPr>
          <w:p w:rsidR="00EA0194" w:rsidRDefault="00FC2E72">
            <w:pPr>
              <w:widowControl w:val="0"/>
              <w:numPr>
                <w:ilvl w:val="12"/>
                <w:numId w:val="0"/>
              </w:numPr>
              <w:ind w:right="-2"/>
              <w:rPr>
                <w:szCs w:val="22"/>
                <w:lang w:val="sr-Latn-ME"/>
              </w:rPr>
            </w:pPr>
            <w:r>
              <w:rPr>
                <w:szCs w:val="22"/>
                <w:lang w:val="sr-Latn-ME"/>
              </w:rPr>
              <w:t>-1,2</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-0,7</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(-1,0, -0,5)</w:t>
            </w:r>
          </w:p>
        </w:tc>
      </w:tr>
      <w:tr w:rsidR="00EA0194">
        <w:tc>
          <w:tcPr>
            <w:tcW w:w="3510" w:type="dxa"/>
            <w:shd w:val="clear" w:color="auto" w:fill="auto"/>
          </w:tcPr>
          <w:p w:rsidR="00EA0194" w:rsidRDefault="00FC2E72">
            <w:pPr>
              <w:autoSpaceDE w:val="0"/>
              <w:autoSpaceDN w:val="0"/>
              <w:adjustRightInd w:val="0"/>
              <w:rPr>
                <w:szCs w:val="22"/>
                <w:lang w:val="sr-Latn-ME"/>
              </w:rPr>
            </w:pPr>
            <w:r>
              <w:rPr>
                <w:szCs w:val="22"/>
                <w:lang w:val="sr-Latn-ME"/>
              </w:rPr>
              <w:t>Početna terapija (dvaput na dan)</w:t>
            </w:r>
            <w:r>
              <w:rPr>
                <w:szCs w:val="22"/>
                <w:vertAlign w:val="superscript"/>
                <w:lang w:val="sr-Latn-ME"/>
              </w:rPr>
              <w:t>||</w:t>
            </w:r>
            <w:r>
              <w:rPr>
                <w:szCs w:val="22"/>
                <w:lang w:val="sr-Latn-ME"/>
              </w:rPr>
              <w:t>: sitagliptin 50 mg + metformin 500 mg</w:t>
            </w:r>
          </w:p>
          <w:p w:rsidR="00EA0194" w:rsidRDefault="00FC2E72">
            <w:pPr>
              <w:autoSpaceDE w:val="0"/>
              <w:autoSpaceDN w:val="0"/>
              <w:adjustRightInd w:val="0"/>
              <w:rPr>
                <w:szCs w:val="22"/>
                <w:lang w:val="sr-Latn-ME"/>
              </w:rPr>
            </w:pPr>
            <w:r>
              <w:rPr>
                <w:szCs w:val="22"/>
                <w:lang w:val="sr-Latn-ME"/>
              </w:rPr>
              <w:t>(N=183)</w:t>
            </w:r>
          </w:p>
        </w:tc>
        <w:tc>
          <w:tcPr>
            <w:tcW w:w="1418" w:type="dxa"/>
            <w:shd w:val="clear" w:color="auto" w:fill="auto"/>
          </w:tcPr>
          <w:p w:rsidR="00EA0194" w:rsidRDefault="00FC2E72">
            <w:pPr>
              <w:widowControl w:val="0"/>
              <w:numPr>
                <w:ilvl w:val="12"/>
                <w:numId w:val="0"/>
              </w:numPr>
              <w:ind w:right="-2"/>
              <w:rPr>
                <w:szCs w:val="22"/>
                <w:lang w:val="sr-Latn-ME"/>
              </w:rPr>
            </w:pPr>
            <w:r>
              <w:rPr>
                <w:szCs w:val="22"/>
                <w:lang w:val="sr-Latn-ME"/>
              </w:rPr>
              <w:t>8,8</w:t>
            </w:r>
          </w:p>
        </w:tc>
        <w:tc>
          <w:tcPr>
            <w:tcW w:w="1980" w:type="dxa"/>
            <w:shd w:val="clear" w:color="auto" w:fill="auto"/>
          </w:tcPr>
          <w:p w:rsidR="00EA0194" w:rsidRDefault="00FC2E72">
            <w:pPr>
              <w:widowControl w:val="0"/>
              <w:numPr>
                <w:ilvl w:val="12"/>
                <w:numId w:val="0"/>
              </w:numPr>
              <w:ind w:right="-2"/>
              <w:rPr>
                <w:szCs w:val="22"/>
                <w:lang w:val="sr-Latn-ME"/>
              </w:rPr>
            </w:pPr>
            <w:r>
              <w:rPr>
                <w:szCs w:val="22"/>
                <w:lang w:val="sr-Latn-ME"/>
              </w:rPr>
              <w:t>-1,4</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-1,6</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(-1,8, -1,3)</w:t>
            </w:r>
          </w:p>
        </w:tc>
      </w:tr>
      <w:tr w:rsidR="00EA0194">
        <w:tc>
          <w:tcPr>
            <w:tcW w:w="3510" w:type="dxa"/>
            <w:shd w:val="clear" w:color="auto" w:fill="auto"/>
          </w:tcPr>
          <w:p w:rsidR="00EA0194" w:rsidRDefault="00FC2E72">
            <w:pPr>
              <w:autoSpaceDE w:val="0"/>
              <w:autoSpaceDN w:val="0"/>
              <w:adjustRightInd w:val="0"/>
              <w:rPr>
                <w:szCs w:val="22"/>
                <w:lang w:val="sr-Latn-ME"/>
              </w:rPr>
            </w:pPr>
            <w:r>
              <w:rPr>
                <w:szCs w:val="22"/>
                <w:lang w:val="sr-Latn-ME"/>
              </w:rPr>
              <w:t>Početna terapija (dvaput na dan)</w:t>
            </w:r>
            <w:r>
              <w:rPr>
                <w:szCs w:val="22"/>
                <w:vertAlign w:val="superscript"/>
                <w:lang w:val="sr-Latn-ME"/>
              </w:rPr>
              <w:t>||</w:t>
            </w:r>
            <w:r>
              <w:rPr>
                <w:szCs w:val="22"/>
                <w:lang w:val="sr-Latn-ME"/>
              </w:rPr>
              <w:t>: sitagliptin 50 mg + metformin 1000 mg</w:t>
            </w:r>
          </w:p>
          <w:p w:rsidR="00EA0194" w:rsidRDefault="00FC2E72">
            <w:pPr>
              <w:autoSpaceDE w:val="0"/>
              <w:autoSpaceDN w:val="0"/>
              <w:adjustRightInd w:val="0"/>
              <w:rPr>
                <w:szCs w:val="22"/>
                <w:lang w:val="sr-Latn-ME"/>
              </w:rPr>
            </w:pPr>
            <w:r>
              <w:rPr>
                <w:szCs w:val="22"/>
                <w:lang w:val="sr-Latn-ME"/>
              </w:rPr>
              <w:t>(N=178)</w:t>
            </w:r>
          </w:p>
        </w:tc>
        <w:tc>
          <w:tcPr>
            <w:tcW w:w="1418" w:type="dxa"/>
            <w:shd w:val="clear" w:color="auto" w:fill="auto"/>
          </w:tcPr>
          <w:p w:rsidR="00EA0194" w:rsidRDefault="00FC2E72">
            <w:pPr>
              <w:widowControl w:val="0"/>
              <w:numPr>
                <w:ilvl w:val="12"/>
                <w:numId w:val="0"/>
              </w:numPr>
              <w:ind w:right="-2"/>
              <w:rPr>
                <w:szCs w:val="22"/>
                <w:lang w:val="sr-Latn-ME"/>
              </w:rPr>
            </w:pPr>
            <w:r>
              <w:rPr>
                <w:szCs w:val="22"/>
                <w:lang w:val="sr-Latn-ME"/>
              </w:rPr>
              <w:t>8,8</w:t>
            </w:r>
          </w:p>
        </w:tc>
        <w:tc>
          <w:tcPr>
            <w:tcW w:w="1980" w:type="dxa"/>
            <w:shd w:val="clear" w:color="auto" w:fill="auto"/>
          </w:tcPr>
          <w:p w:rsidR="00EA0194" w:rsidRDefault="00FC2E72">
            <w:pPr>
              <w:widowControl w:val="0"/>
              <w:numPr>
                <w:ilvl w:val="12"/>
                <w:numId w:val="0"/>
              </w:numPr>
              <w:ind w:right="-2"/>
              <w:rPr>
                <w:szCs w:val="22"/>
                <w:lang w:val="sr-Latn-ME"/>
              </w:rPr>
            </w:pPr>
            <w:r>
              <w:rPr>
                <w:szCs w:val="22"/>
                <w:lang w:val="sr-Latn-ME"/>
              </w:rPr>
              <w:t>-1,9</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-2,1</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(-2,3, -1,8)</w:t>
            </w:r>
          </w:p>
        </w:tc>
      </w:tr>
      <w:tr w:rsidR="00EA0194">
        <w:tc>
          <w:tcPr>
            <w:tcW w:w="3510" w:type="dxa"/>
            <w:shd w:val="clear" w:color="auto" w:fill="auto"/>
          </w:tcPr>
          <w:p w:rsidR="00EA0194" w:rsidRDefault="00FC2E72">
            <w:pPr>
              <w:autoSpaceDE w:val="0"/>
              <w:autoSpaceDN w:val="0"/>
              <w:adjustRightInd w:val="0"/>
              <w:rPr>
                <w:szCs w:val="22"/>
                <w:lang w:val="sr-Latn-ME"/>
              </w:rPr>
            </w:pPr>
            <w:r>
              <w:rPr>
                <w:szCs w:val="22"/>
                <w:lang w:val="sr-Latn-ME"/>
              </w:rPr>
              <w:t>sitagliptin 100 mg jedanput na dan dodat dosadašnjoj terapiji insulinom (+/- metformin)</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(N=305)</w:t>
            </w:r>
          </w:p>
        </w:tc>
        <w:tc>
          <w:tcPr>
            <w:tcW w:w="1418" w:type="dxa"/>
            <w:shd w:val="clear" w:color="auto" w:fill="auto"/>
          </w:tcPr>
          <w:p w:rsidR="00EA0194" w:rsidRDefault="00FC2E72">
            <w:pPr>
              <w:widowControl w:val="0"/>
              <w:numPr>
                <w:ilvl w:val="12"/>
                <w:numId w:val="0"/>
              </w:numPr>
              <w:ind w:right="-2"/>
              <w:rPr>
                <w:szCs w:val="22"/>
                <w:lang w:val="sr-Latn-ME"/>
              </w:rPr>
            </w:pPr>
            <w:r>
              <w:rPr>
                <w:szCs w:val="22"/>
                <w:lang w:val="sr-Latn-ME"/>
              </w:rPr>
              <w:t>8,7</w:t>
            </w:r>
          </w:p>
        </w:tc>
        <w:tc>
          <w:tcPr>
            <w:tcW w:w="1980" w:type="dxa"/>
            <w:shd w:val="clear" w:color="auto" w:fill="auto"/>
          </w:tcPr>
          <w:p w:rsidR="00EA0194" w:rsidRDefault="00FC2E72">
            <w:pPr>
              <w:widowControl w:val="0"/>
              <w:numPr>
                <w:ilvl w:val="12"/>
                <w:numId w:val="0"/>
              </w:numPr>
              <w:ind w:right="-2"/>
              <w:rPr>
                <w:szCs w:val="22"/>
                <w:lang w:val="sr-Latn-ME"/>
              </w:rPr>
            </w:pPr>
            <w:r>
              <w:rPr>
                <w:szCs w:val="22"/>
                <w:lang w:val="sr-Latn-ME"/>
              </w:rPr>
              <w:t>-0,6</w:t>
            </w:r>
            <w:r>
              <w:rPr>
                <w:szCs w:val="22"/>
                <w:vertAlign w:val="superscript"/>
                <w:lang w:val="sr-Latn-ME"/>
              </w:rPr>
              <w:t>¶</w:t>
            </w:r>
          </w:p>
        </w:tc>
        <w:tc>
          <w:tcPr>
            <w:tcW w:w="2303" w:type="dxa"/>
            <w:shd w:val="clear" w:color="auto" w:fill="auto"/>
          </w:tcPr>
          <w:p w:rsidR="00EA0194" w:rsidRDefault="00FC2E72">
            <w:pPr>
              <w:autoSpaceDE w:val="0"/>
              <w:autoSpaceDN w:val="0"/>
              <w:adjustRightInd w:val="0"/>
              <w:rPr>
                <w:szCs w:val="22"/>
                <w:lang w:val="sr-Latn-ME"/>
              </w:rPr>
            </w:pPr>
            <w:r>
              <w:rPr>
                <w:szCs w:val="22"/>
                <w:lang w:val="sr-Latn-ME"/>
              </w:rPr>
              <w:t>-0,6</w:t>
            </w:r>
            <w:r>
              <w:rPr>
                <w:szCs w:val="22"/>
                <w:vertAlign w:val="superscript"/>
                <w:lang w:val="sr-Latn-ME"/>
              </w:rPr>
              <w:t>‡¶</w:t>
            </w:r>
          </w:p>
          <w:p w:rsidR="00EA0194" w:rsidRDefault="00FC2E72">
            <w:pPr>
              <w:autoSpaceDE w:val="0"/>
              <w:autoSpaceDN w:val="0"/>
              <w:adjustRightInd w:val="0"/>
              <w:rPr>
                <w:szCs w:val="22"/>
                <w:lang w:val="sr-Latn-ME"/>
              </w:rPr>
            </w:pPr>
            <w:r>
              <w:rPr>
                <w:szCs w:val="22"/>
                <w:lang w:val="sr-Latn-ME"/>
              </w:rPr>
              <w:t>(-0,7, -0,4)</w:t>
            </w:r>
          </w:p>
        </w:tc>
      </w:tr>
    </w:tbl>
    <w:p w:rsidR="00EA0194" w:rsidRPr="00C92663" w:rsidRDefault="00FC2E72">
      <w:pPr>
        <w:jc w:val="both"/>
        <w:rPr>
          <w:sz w:val="20"/>
          <w:szCs w:val="22"/>
          <w:lang w:val="sr-Latn-ME"/>
        </w:rPr>
      </w:pPr>
      <w:r w:rsidRPr="00C92663">
        <w:rPr>
          <w:sz w:val="20"/>
          <w:szCs w:val="22"/>
          <w:lang w:val="sr-Latn-ME"/>
        </w:rPr>
        <w:t xml:space="preserve">* Populacija svih liječenih pacijenata (analiza po planu ispitivanja, engl. </w:t>
      </w:r>
      <w:r w:rsidRPr="00C92663">
        <w:rPr>
          <w:i/>
          <w:iCs/>
          <w:sz w:val="20"/>
          <w:szCs w:val="22"/>
          <w:lang w:val="sr-Latn-ME"/>
        </w:rPr>
        <w:t>intention-to-treat analysis</w:t>
      </w:r>
      <w:r w:rsidRPr="00C92663">
        <w:rPr>
          <w:sz w:val="20"/>
          <w:szCs w:val="22"/>
          <w:lang w:val="sr-Latn-ME"/>
        </w:rPr>
        <w:t>).</w:t>
      </w:r>
    </w:p>
    <w:p w:rsidR="00EA0194" w:rsidRPr="00C92663" w:rsidRDefault="00FC2E72">
      <w:pPr>
        <w:jc w:val="both"/>
        <w:rPr>
          <w:sz w:val="20"/>
          <w:szCs w:val="22"/>
          <w:lang w:val="sr-Latn-ME"/>
        </w:rPr>
      </w:pPr>
      <w:r w:rsidRPr="00C92663">
        <w:rPr>
          <w:sz w:val="20"/>
          <w:szCs w:val="22"/>
          <w:vertAlign w:val="superscript"/>
          <w:lang w:val="sr-Latn-ME"/>
        </w:rPr>
        <w:t>†</w:t>
      </w:r>
      <w:r w:rsidRPr="00C92663">
        <w:rPr>
          <w:position w:val="8"/>
          <w:sz w:val="20"/>
          <w:szCs w:val="22"/>
          <w:lang w:val="sr-Latn-ME"/>
        </w:rPr>
        <w:t xml:space="preserve"> </w:t>
      </w:r>
      <w:r w:rsidRPr="00C92663">
        <w:rPr>
          <w:sz w:val="20"/>
          <w:szCs w:val="22"/>
          <w:lang w:val="sr-Latn-ME"/>
        </w:rPr>
        <w:t>Srednje vrijednosti najmanjih kvadratnih grešaka prilagođenih prema dosadašnjoj antihiperglikemijskoj terapiji i vrijednosti na početku liječenja.</w:t>
      </w:r>
    </w:p>
    <w:p w:rsidR="00EA0194" w:rsidRPr="00C92663" w:rsidRDefault="00FC2E72">
      <w:pPr>
        <w:jc w:val="both"/>
        <w:rPr>
          <w:sz w:val="20"/>
          <w:szCs w:val="22"/>
          <w:lang w:val="sr-Latn-ME"/>
        </w:rPr>
      </w:pPr>
      <w:r w:rsidRPr="00C92663">
        <w:rPr>
          <w:sz w:val="20"/>
          <w:szCs w:val="22"/>
          <w:vertAlign w:val="superscript"/>
          <w:lang w:val="sr-Latn-ME"/>
        </w:rPr>
        <w:t>‡</w:t>
      </w:r>
      <w:r w:rsidRPr="00C92663">
        <w:rPr>
          <w:position w:val="8"/>
          <w:sz w:val="20"/>
          <w:szCs w:val="22"/>
          <w:lang w:val="sr-Latn-ME"/>
        </w:rPr>
        <w:t xml:space="preserve"> </w:t>
      </w:r>
      <w:r w:rsidRPr="00C92663">
        <w:rPr>
          <w:sz w:val="20"/>
          <w:szCs w:val="22"/>
          <w:lang w:val="sr-Latn-ME"/>
        </w:rPr>
        <w:t>p&lt;0,001 u odnosu na placebo ili placebo + kombinaciju ljekova.</w:t>
      </w:r>
    </w:p>
    <w:p w:rsidR="00EA0194" w:rsidRPr="00C92663" w:rsidRDefault="00FC2E72">
      <w:pPr>
        <w:jc w:val="both"/>
        <w:rPr>
          <w:sz w:val="20"/>
          <w:szCs w:val="22"/>
          <w:lang w:val="sr-Latn-ME"/>
        </w:rPr>
      </w:pPr>
      <w:r w:rsidRPr="00C92663">
        <w:rPr>
          <w:sz w:val="20"/>
          <w:szCs w:val="22"/>
          <w:vertAlign w:val="superscript"/>
          <w:lang w:val="sr-Latn-ME"/>
        </w:rPr>
        <w:t>§</w:t>
      </w:r>
      <w:r w:rsidRPr="00C92663">
        <w:rPr>
          <w:position w:val="8"/>
          <w:sz w:val="20"/>
          <w:szCs w:val="22"/>
          <w:lang w:val="sr-Latn-ME"/>
        </w:rPr>
        <w:t xml:space="preserve"> </w:t>
      </w:r>
      <w:r w:rsidRPr="00C92663">
        <w:rPr>
          <w:sz w:val="20"/>
          <w:szCs w:val="22"/>
          <w:lang w:val="sr-Latn-ME"/>
        </w:rPr>
        <w:t>HbA</w:t>
      </w:r>
      <w:r w:rsidRPr="00C92663">
        <w:rPr>
          <w:sz w:val="20"/>
          <w:szCs w:val="22"/>
          <w:vertAlign w:val="subscript"/>
          <w:lang w:val="sr-Latn-ME"/>
        </w:rPr>
        <w:t>1c</w:t>
      </w:r>
      <w:r w:rsidRPr="00C92663">
        <w:rPr>
          <w:sz w:val="20"/>
          <w:szCs w:val="22"/>
          <w:lang w:val="sr-Latn-ME"/>
        </w:rPr>
        <w:t xml:space="preserve"> (%) u 18. sedmici.</w:t>
      </w:r>
    </w:p>
    <w:p w:rsidR="00EA0194" w:rsidRPr="00C92663" w:rsidRDefault="00FC2E72">
      <w:pPr>
        <w:jc w:val="both"/>
        <w:rPr>
          <w:w w:val="110"/>
          <w:sz w:val="20"/>
          <w:szCs w:val="22"/>
          <w:lang w:val="sr-Latn-ME"/>
        </w:rPr>
      </w:pPr>
      <w:r w:rsidRPr="00C92663">
        <w:rPr>
          <w:sz w:val="20"/>
          <w:szCs w:val="22"/>
          <w:vertAlign w:val="superscript"/>
          <w:lang w:val="sr-Latn-ME"/>
        </w:rPr>
        <w:t>||</w:t>
      </w:r>
      <w:r w:rsidRPr="00C92663">
        <w:rPr>
          <w:w w:val="125"/>
          <w:position w:val="9"/>
          <w:sz w:val="20"/>
          <w:szCs w:val="22"/>
          <w:lang w:val="sr-Latn-ME"/>
        </w:rPr>
        <w:t xml:space="preserve"> </w:t>
      </w:r>
      <w:r w:rsidRPr="00C92663">
        <w:rPr>
          <w:w w:val="110"/>
          <w:sz w:val="20"/>
          <w:szCs w:val="22"/>
          <w:lang w:val="sr-Latn-ME"/>
        </w:rPr>
        <w:t>HbA</w:t>
      </w:r>
      <w:r w:rsidRPr="00C92663">
        <w:rPr>
          <w:w w:val="110"/>
          <w:sz w:val="20"/>
          <w:szCs w:val="22"/>
          <w:vertAlign w:val="subscript"/>
          <w:lang w:val="sr-Latn-ME"/>
        </w:rPr>
        <w:t>1c</w:t>
      </w:r>
      <w:r w:rsidRPr="00C92663">
        <w:rPr>
          <w:w w:val="110"/>
          <w:sz w:val="20"/>
          <w:szCs w:val="22"/>
          <w:lang w:val="sr-Latn-ME"/>
        </w:rPr>
        <w:t xml:space="preserve"> (%) u 24. sedmici.</w:t>
      </w:r>
    </w:p>
    <w:p w:rsidR="00EA0194" w:rsidRPr="00C92663" w:rsidRDefault="00FC2E72">
      <w:pPr>
        <w:jc w:val="both"/>
        <w:rPr>
          <w:sz w:val="20"/>
          <w:szCs w:val="22"/>
          <w:lang w:val="sr-Latn-ME"/>
        </w:rPr>
      </w:pPr>
      <w:r w:rsidRPr="00C92663">
        <w:rPr>
          <w:sz w:val="20"/>
          <w:szCs w:val="22"/>
          <w:vertAlign w:val="superscript"/>
          <w:lang w:val="sr-Latn-ME"/>
        </w:rPr>
        <w:t>#</w:t>
      </w:r>
      <w:r w:rsidRPr="00C92663">
        <w:rPr>
          <w:position w:val="8"/>
          <w:sz w:val="20"/>
          <w:szCs w:val="22"/>
          <w:lang w:val="sr-Latn-ME"/>
        </w:rPr>
        <w:t xml:space="preserve"> </w:t>
      </w:r>
      <w:r w:rsidRPr="00C92663">
        <w:rPr>
          <w:sz w:val="20"/>
          <w:szCs w:val="22"/>
          <w:lang w:val="sr-Latn-ME"/>
        </w:rPr>
        <w:t>HbA</w:t>
      </w:r>
      <w:r w:rsidRPr="00C92663">
        <w:rPr>
          <w:sz w:val="20"/>
          <w:szCs w:val="22"/>
          <w:vertAlign w:val="subscript"/>
          <w:lang w:val="sr-Latn-ME"/>
        </w:rPr>
        <w:t>1c</w:t>
      </w:r>
      <w:r w:rsidRPr="00C92663">
        <w:rPr>
          <w:sz w:val="20"/>
          <w:szCs w:val="22"/>
          <w:lang w:val="sr-Latn-ME"/>
        </w:rPr>
        <w:t xml:space="preserve"> (%) u 26. sedmici.</w:t>
      </w:r>
    </w:p>
    <w:p w:rsidR="00EA0194" w:rsidRPr="00C92663" w:rsidRDefault="00FC2E72">
      <w:pPr>
        <w:jc w:val="both"/>
        <w:rPr>
          <w:sz w:val="20"/>
          <w:szCs w:val="22"/>
          <w:lang w:val="sr-Latn-ME"/>
        </w:rPr>
      </w:pPr>
      <w:r w:rsidRPr="00C92663">
        <w:rPr>
          <w:sz w:val="20"/>
          <w:szCs w:val="22"/>
          <w:vertAlign w:val="superscript"/>
          <w:lang w:val="sr-Latn-ME"/>
        </w:rPr>
        <w:t>¶</w:t>
      </w:r>
      <w:r w:rsidRPr="00C92663">
        <w:rPr>
          <w:position w:val="8"/>
          <w:sz w:val="20"/>
          <w:szCs w:val="22"/>
          <w:lang w:val="sr-Latn-ME"/>
        </w:rPr>
        <w:t xml:space="preserve"> </w:t>
      </w:r>
      <w:r w:rsidRPr="00C92663">
        <w:rPr>
          <w:sz w:val="20"/>
          <w:szCs w:val="22"/>
          <w:lang w:val="sr-Latn-ME"/>
        </w:rPr>
        <w:t>Srednje vrijednosti najmanjih kvadratnih grešaka prilagođenih s obzirom na primjenu metformina pri 1. posjeti (da/ne), primjenu insulina pri 1. posjeti (,,pre-mixed“u odnosu na „non-pre-mixed“) i vrijednost na početku liječenja. Interakcije istovremenog liječenja (metforminom i insulinom) nijesu bile značajne (p&gt;0,10).</w:t>
      </w:r>
    </w:p>
    <w:p w:rsidR="00EA0194" w:rsidRDefault="00EA0194">
      <w:pPr>
        <w:autoSpaceDE w:val="0"/>
        <w:autoSpaceDN w:val="0"/>
        <w:adjustRightInd w:val="0"/>
        <w:jc w:val="both"/>
        <w:rPr>
          <w:szCs w:val="22"/>
          <w:lang w:val="sr-Latn-ME"/>
        </w:rPr>
      </w:pPr>
    </w:p>
    <w:p w:rsidR="00EA0194" w:rsidRDefault="00FC2E72">
      <w:pPr>
        <w:widowControl w:val="0"/>
        <w:numPr>
          <w:ilvl w:val="12"/>
          <w:numId w:val="0"/>
        </w:numPr>
        <w:ind w:right="-2"/>
        <w:jc w:val="both"/>
        <w:rPr>
          <w:szCs w:val="22"/>
          <w:lang w:val="sr-Latn-ME"/>
        </w:rPr>
      </w:pPr>
      <w:r>
        <w:rPr>
          <w:szCs w:val="22"/>
          <w:lang w:val="sr-Latn-ME"/>
        </w:rPr>
        <w:lastRenderedPageBreak/>
        <w:t>24-nedeljna studija sa aktivnim lijekom (metforminom) kao kontrolom, dizajnirana je za procjenu efikasnosti i bezbjednosti sitagliptina u dozi od 100 mg jednom dnevno (N=528) u poređenju sa metforminom (N=522) kod pacijenata kod kojih adekvatna kontrola glikemije nije mogla da se postigne primjenom samo dijete i fizičkih vježbi, a koji nijesu primali antihiperglikemijsku terapiju (koji su bili bez terapije najmanje 4 mjeseca). Srednja doza metformina bila je oko 1900 mg na dan. Smanjenje vrijednosti HbA</w:t>
      </w:r>
      <w:r>
        <w:rPr>
          <w:szCs w:val="22"/>
          <w:vertAlign w:val="subscript"/>
          <w:lang w:val="sr-Latn-ME"/>
        </w:rPr>
        <w:t>1c</w:t>
      </w:r>
      <w:r>
        <w:rPr>
          <w:szCs w:val="22"/>
          <w:lang w:val="sr-Latn-ME"/>
        </w:rPr>
        <w:t>, u odnosu na srednju vrijednost sa početka ispitivanja od 7,2%, bilo je -0,43% za sitagliptin i -0,57% za metformin (per-protokol analiza). Ukupna učestalost gastrointestinalnih neželjenih reakcija, za koje se smatralo da su povezane sa uzimanjem lijeka, kod pacijenata koji su liječeni sitagliptinom bila je 2,7%, u poređenju sa 12,6% kod pacijenata koji su dobijali metformin. Učestalost hipoglikemije nije se značajno razlikovala između dvije terapijske grupe (1,3% za sitagliptin i 1,9% za metformin). U obje ispitivane grupe došlo je do smanjenja tjelesne težine u odnosu na vrijednost na početku ispitivanja (-0,6 kg za sitagliptin i -1,9 kg za metformin).</w:t>
      </w:r>
    </w:p>
    <w:p w:rsidR="00EA0194" w:rsidRDefault="00EA0194">
      <w:pPr>
        <w:widowControl w:val="0"/>
        <w:numPr>
          <w:ilvl w:val="12"/>
          <w:numId w:val="0"/>
        </w:numPr>
        <w:ind w:right="-2"/>
        <w:jc w:val="both"/>
        <w:rPr>
          <w:szCs w:val="22"/>
          <w:lang w:val="sr-Latn-ME"/>
        </w:rPr>
      </w:pPr>
    </w:p>
    <w:p w:rsidR="00EA0194" w:rsidRDefault="00FC2E72">
      <w:pPr>
        <w:widowControl w:val="0"/>
        <w:numPr>
          <w:ilvl w:val="12"/>
          <w:numId w:val="0"/>
        </w:numPr>
        <w:ind w:right="-2"/>
        <w:jc w:val="both"/>
        <w:rPr>
          <w:szCs w:val="22"/>
          <w:lang w:val="sr-Latn-ME"/>
        </w:rPr>
      </w:pPr>
      <w:r>
        <w:rPr>
          <w:szCs w:val="22"/>
          <w:lang w:val="sr-Latn-ME"/>
        </w:rPr>
        <w:t>U jednoj studiji u kojoj su poređeni efikasnost i bezbjednost dodatne terapije sitagliptinom u dozi od 100 mg jednom dnevno ili glipizidom (derivatom sulfonilureje) kod pacijenata kod kojih adekvatna kontrola glikemije nije mogla da se postigne monoterapijom metforminom, sitagliptin je ispoljio sličan efekat kao i glipizid u smanjenju vrijednosti HbA</w:t>
      </w:r>
      <w:r>
        <w:rPr>
          <w:szCs w:val="22"/>
          <w:vertAlign w:val="subscript"/>
          <w:lang w:val="sr-Latn-ME"/>
        </w:rPr>
        <w:t>1c</w:t>
      </w:r>
      <w:r>
        <w:rPr>
          <w:szCs w:val="22"/>
          <w:lang w:val="sr-Latn-ME"/>
        </w:rPr>
        <w:t>. Srednja doza glipizida koja je korišćena u poredbenoj grupi bila je 10 mg na dan, a kod oko 40% pacijenata, tokom cijele dužine trajanja studije, bilo je potrebno dati dozu glipizida od ≤ 5 mg na dan. Međutim, u odnosu na grupu koja je dobijala glipizid, veći broj pacijenata u grupi koja je primala sitagliptin morao je da prekine terapiju zbog izostanka efikasnosti. Kod pacijenata koji su primali sitagliptin zabilježeno je značajno prosječno smanjenje tjelesne težine u odnosu na vrijednost na početku ispitivanja, u poređenju sa značajnim povećanjem tjelesne težine kod pacijenata koji su dobijali glipizid (-1,5 kg vs +1,1 kg). U ovoj studiji, u grupi koja je primala sitagliptin, uočeno je poboljšanje odnosa proinsulina i insulina, a ovaj odnos je pokazatelj efikasnosti sinteze i lučenja insulina. Nasuprot tome, ovaj odnos je pogoršan kod pacijenata koji su dobijali glipizid. Učestalost hipoglikemije u grupi koja je liječena sitagliptinom bila je značajno manja (4,9%) od učestalosti u grupi liječenoj glipizidom (32,0%).</w:t>
      </w:r>
    </w:p>
    <w:p w:rsidR="00EA0194" w:rsidRDefault="00EA0194">
      <w:pPr>
        <w:widowControl w:val="0"/>
        <w:numPr>
          <w:ilvl w:val="12"/>
          <w:numId w:val="0"/>
        </w:numPr>
        <w:ind w:right="-2"/>
        <w:jc w:val="both"/>
        <w:rPr>
          <w:szCs w:val="22"/>
          <w:lang w:val="sr-Latn-ME"/>
        </w:rPr>
      </w:pPr>
    </w:p>
    <w:p w:rsidR="00EA0194" w:rsidRDefault="00FC2E72">
      <w:pPr>
        <w:widowControl w:val="0"/>
        <w:numPr>
          <w:ilvl w:val="12"/>
          <w:numId w:val="0"/>
        </w:numPr>
        <w:ind w:right="-2"/>
        <w:jc w:val="both"/>
        <w:rPr>
          <w:szCs w:val="22"/>
          <w:lang w:val="sr-Latn-ME"/>
        </w:rPr>
      </w:pPr>
      <w:r>
        <w:rPr>
          <w:szCs w:val="22"/>
          <w:lang w:val="sr-Latn-ME"/>
        </w:rPr>
        <w:t>24- nedeljno placebom kontrolosano ispitivanje, koje je uključivalo 660 pacijenata, dizajnirano je kako bi se procijenio stepen uštede insulina, efikasnost i bezbjednost primjene sitagliptina (u dozi 100 mg jednom dnevno) kada je korišćen kao dodatna terapija terapiji insulinom glargin, sa metforminom ili bez njega (najmanja doza 1500 mg) u toku intenziviranja insulinske terapije. Početne vrijednosti HbA</w:t>
      </w:r>
      <w:r>
        <w:rPr>
          <w:szCs w:val="22"/>
          <w:vertAlign w:val="subscript"/>
          <w:lang w:val="sr-Latn-ME"/>
        </w:rPr>
        <w:t>1c</w:t>
      </w:r>
      <w:r>
        <w:rPr>
          <w:szCs w:val="22"/>
          <w:lang w:val="sr-Latn-ME"/>
        </w:rPr>
        <w:t xml:space="preserve"> su bile 8,74%, a početna doza insulina je bila 37 i.j./dnevno. Pacijentima je data instrukcija da titriraju dozu insulina glargin na osnovu vrijednosti glukoze natašte, određene u uzorku krvi iz prsta. U 24. nedelji, povećanje dnevne doze insulina je bilo 19 i.j./dnevno kod pacijenata na terapiji sitagliptinom i 24 i.j./dnevno kod pacijenata koji su koristili placebo. Smanjenje vrijednosti HbA</w:t>
      </w:r>
      <w:r>
        <w:rPr>
          <w:szCs w:val="22"/>
          <w:vertAlign w:val="subscript"/>
          <w:lang w:val="sr-Latn-ME"/>
        </w:rPr>
        <w:t>1c</w:t>
      </w:r>
      <w:r>
        <w:rPr>
          <w:szCs w:val="22"/>
          <w:lang w:val="sr-Latn-ME"/>
        </w:rPr>
        <w:t xml:space="preserve"> kod pacijenata tretiranih sitagliptinom i insulinom (sa metforminom ili bez njega) je bilo -1,31% u poređenju sa -0,87% kod pacijenata koji su koristili placebo i insulin (sa metforminom ili bez), razlika od -0,45% [95%CI: -0,60, -0,29]. Učestalost pojave hipoglikemije je bila 25,2% kod pacijenata koji su na terapiji sitagliptinom i insulinom (sa metforminom ili bez njega) i 36,8% kod pacijenata koji su koristili placebo i insulin (sa metforminom ili bez njega). Razlika je uglavnom posljedica većeg procenta pacijenata u placebo grupi koji su doživjeli tri ili više epizoda hipoglikemije (9,4 prema 19,1%). Nema razlike u učestalosti pojave teških hipoglikemija.</w:t>
      </w:r>
    </w:p>
    <w:p w:rsidR="00EA0194" w:rsidRDefault="00EA0194">
      <w:pPr>
        <w:widowControl w:val="0"/>
        <w:numPr>
          <w:ilvl w:val="12"/>
          <w:numId w:val="0"/>
        </w:numPr>
        <w:ind w:right="-2"/>
        <w:jc w:val="both"/>
        <w:rPr>
          <w:szCs w:val="22"/>
          <w:lang w:val="sr-Latn-ME"/>
        </w:rPr>
      </w:pPr>
    </w:p>
    <w:p w:rsidR="00EA0194" w:rsidRDefault="00FC2E72">
      <w:pPr>
        <w:widowControl w:val="0"/>
        <w:numPr>
          <w:ilvl w:val="12"/>
          <w:numId w:val="0"/>
        </w:numPr>
        <w:ind w:right="-2"/>
        <w:jc w:val="both"/>
        <w:rPr>
          <w:szCs w:val="22"/>
          <w:lang w:val="sr-Latn-ME"/>
        </w:rPr>
      </w:pPr>
      <w:r>
        <w:rPr>
          <w:szCs w:val="22"/>
          <w:lang w:val="sr-Latn-ME"/>
        </w:rPr>
        <w:t>Studija u kojoj su poređeni sitagliptin u dozama od 25 mg ili 50 mg jednom dnevno i glipizid u dozama od 2,5 mg do 20 mg dnevno sprovedena je na pacijentima sa umjerenim do teškim oštećenjem bubrežne funkcije. U ovo ispitivanje uključena su 423 pacijenta sa hroničnom oštećenjem funkcije bubrega (procijenjena brzina glomerularne filtracije &lt; 50 ml/min). Nakon 54 nedelje terapije, srednje smanjenje vrijednosti HbA</w:t>
      </w:r>
      <w:r>
        <w:rPr>
          <w:szCs w:val="22"/>
          <w:vertAlign w:val="subscript"/>
          <w:lang w:val="sr-Latn-ME"/>
        </w:rPr>
        <w:t>1c</w:t>
      </w:r>
      <w:r>
        <w:rPr>
          <w:szCs w:val="22"/>
          <w:lang w:val="sr-Latn-ME"/>
        </w:rPr>
        <w:t xml:space="preserve"> u odnosu na vrijednost na početku studije bilo je -0,76% u grupi koja je primala sitagliptin i - 0,64% kod pacijenata na terapiji glipizidom (per-protokol analiza). U ovoj studiji, profil bezbjednosti i efikasnosti sitagliptina u dozama od 25 mg ili 50 mg jednom dnevno bio je uglavnom sličan profilu uočenom u drugim ispitivanjima monoterapije kod pacijenata sa normalnom funkcijom bubrega. Učestalost hipoglikemije u grupi koja je liječena sitagliptinom bila je značajno manja (6,2%) od učestalosti u grupi liječenoj glipizidom (17,0%). Takođe je zabilježena značajna razlika između dvije terapijske grupe po pitanju promjene u tjelesnoj težini u odnosu na vrijednost na početku ispitivanja (-0,6 kg za sitagliptin; +1,2 kg za glipizid).</w:t>
      </w:r>
    </w:p>
    <w:p w:rsidR="00EA0194" w:rsidRDefault="00EA0194">
      <w:pPr>
        <w:autoSpaceDE w:val="0"/>
        <w:autoSpaceDN w:val="0"/>
        <w:adjustRightInd w:val="0"/>
        <w:jc w:val="both"/>
        <w:rPr>
          <w:szCs w:val="22"/>
          <w:lang w:val="sr-Latn-ME"/>
        </w:rPr>
      </w:pPr>
    </w:p>
    <w:p w:rsidR="00EA0194" w:rsidRDefault="00FC2E72">
      <w:pPr>
        <w:widowControl w:val="0"/>
        <w:numPr>
          <w:ilvl w:val="12"/>
          <w:numId w:val="0"/>
        </w:numPr>
        <w:ind w:right="-2"/>
        <w:jc w:val="both"/>
        <w:rPr>
          <w:szCs w:val="22"/>
          <w:lang w:val="sr-Latn-ME"/>
        </w:rPr>
      </w:pPr>
      <w:r>
        <w:rPr>
          <w:szCs w:val="22"/>
          <w:lang w:val="sr-Latn-ME"/>
        </w:rPr>
        <w:t>U jednoj drugoj studiji poređeni su sitagliptin u dozi od 25 mg jednom dnevno i glipizid u dozama od 2,5 mg do 20 mg dnevno. Ispitivanje je sprovedeno na 129 pacijenata u terminalnoj fazi bubrežne bolesti koji su bili na dijalizi. Nakon 54 nedelje terapije, prosječno smanjenje vrijednosti HbA</w:t>
      </w:r>
      <w:r>
        <w:rPr>
          <w:szCs w:val="22"/>
          <w:vertAlign w:val="subscript"/>
          <w:lang w:val="sr-Latn-ME"/>
        </w:rPr>
        <w:t>1c</w:t>
      </w:r>
      <w:r>
        <w:rPr>
          <w:szCs w:val="22"/>
          <w:lang w:val="sr-Latn-ME"/>
        </w:rPr>
        <w:t xml:space="preserve"> u odnosu na vrijednost na početku studije bilo je -0,72% u grupi koja je primala sitagliptin i -0,87% kod pacijenata na terapiji glipizidom. U ovoj studiji, profil bezbjednosti i efikasnosti sitagliptina u dozi od 25 mg jednom dnevno bio je uglavnom sličan profilu uočenom u drugim ispitivanjima monoterapije kod pacijenata sa normalnom funkcijom bubrega. Učestalost hipoglikemije nije bila značajno različita između dvije terapijske grupe (sitagliptin 6,3%; glipizid 10,8%).</w:t>
      </w:r>
    </w:p>
    <w:p w:rsidR="00EA0194" w:rsidRDefault="00EA0194">
      <w:pPr>
        <w:widowControl w:val="0"/>
        <w:numPr>
          <w:ilvl w:val="12"/>
          <w:numId w:val="0"/>
        </w:numPr>
        <w:ind w:right="-2"/>
        <w:jc w:val="both"/>
        <w:rPr>
          <w:szCs w:val="22"/>
          <w:lang w:val="sr-Latn-ME"/>
        </w:rPr>
      </w:pPr>
    </w:p>
    <w:p w:rsidR="00EA0194" w:rsidRDefault="00FC2E72">
      <w:pPr>
        <w:widowControl w:val="0"/>
        <w:numPr>
          <w:ilvl w:val="12"/>
          <w:numId w:val="0"/>
        </w:numPr>
        <w:ind w:right="-2"/>
        <w:jc w:val="both"/>
        <w:rPr>
          <w:szCs w:val="22"/>
          <w:lang w:val="sr-Latn-ME"/>
        </w:rPr>
      </w:pPr>
      <w:r>
        <w:rPr>
          <w:szCs w:val="22"/>
          <w:lang w:val="sr-Latn-ME"/>
        </w:rPr>
        <w:t>U drugoj studiji, u koju je bio uključen 91 pacijent sa dijabetes melitusom tip 2 i hroničnim oštećenjem funkcije bubrega (klirens kreatinina &lt; 50 ml/min), bezbjednost i podnošljivost terapije sitagliptinom u dozama od 25 mg ili 50 mg jednom dnevno uglavnom su bili slični kao i kod placeba. Pored toga, nakon 12 nedelja terapije, prosječna smanjenja vrijednosti HbA</w:t>
      </w:r>
      <w:r>
        <w:rPr>
          <w:szCs w:val="22"/>
          <w:vertAlign w:val="subscript"/>
          <w:lang w:val="sr-Latn-ME"/>
        </w:rPr>
        <w:t>1c</w:t>
      </w:r>
      <w:r>
        <w:rPr>
          <w:szCs w:val="22"/>
          <w:lang w:val="sr-Latn-ME"/>
        </w:rPr>
        <w:t xml:space="preserve"> (sitagliptin -0,59%; placebo -0,18%) i FPG (sitagliptin -25,5 mg/dl; placebo -3,0% mg/dl) uglavnom su bila slična vrijednostima zabilježenim u drugim ispitivanjima monoterapije kod pacijenata sa normalnom funkcijom bubrega (vidjeti dio 5.2).</w:t>
      </w:r>
    </w:p>
    <w:p w:rsidR="00EA0194" w:rsidRDefault="00EA0194">
      <w:pPr>
        <w:widowControl w:val="0"/>
        <w:numPr>
          <w:ilvl w:val="12"/>
          <w:numId w:val="0"/>
        </w:numPr>
        <w:ind w:right="-2"/>
        <w:jc w:val="both"/>
        <w:rPr>
          <w:szCs w:val="22"/>
          <w:highlight w:val="yellow"/>
          <w:u w:val="single"/>
          <w:lang w:val="sr-Latn-ME"/>
        </w:rPr>
      </w:pPr>
    </w:p>
    <w:p w:rsidR="00EA0194" w:rsidRDefault="00FC2E72">
      <w:pPr>
        <w:widowControl w:val="0"/>
        <w:numPr>
          <w:ilvl w:val="12"/>
          <w:numId w:val="0"/>
        </w:numPr>
        <w:ind w:right="-2"/>
        <w:jc w:val="both"/>
        <w:rPr>
          <w:szCs w:val="22"/>
          <w:highlight w:val="yellow"/>
          <w:u w:val="single"/>
          <w:lang w:val="sr-Latn-ME"/>
        </w:rPr>
      </w:pPr>
      <w:r>
        <w:rPr>
          <w:szCs w:val="22"/>
          <w:lang w:val="sr-Latn-ME"/>
        </w:rPr>
        <w:t>Studija TECOS je bila randomizovana studija sprovedena na 14 671 pacijenata, koji pripadaju populaciji pacijenata predviđenoj za liječenje, sa vrijednostima HbA</w:t>
      </w:r>
      <w:r>
        <w:rPr>
          <w:szCs w:val="22"/>
          <w:vertAlign w:val="subscript"/>
          <w:lang w:val="sr-Latn-ME"/>
        </w:rPr>
        <w:t>1c</w:t>
      </w:r>
      <w:r>
        <w:rPr>
          <w:szCs w:val="22"/>
          <w:lang w:val="sr-Latn-ME"/>
        </w:rPr>
        <w:t xml:space="preserve"> od ≥ 6,5 do 8,0% i potvrđenom KV bolešću i koji su primali sitagliptin (7332) u dozi od 100 mg dnevno (ili 50 mg dnevno ako je početni eGFR bio ≥ 30 i &lt; 50 ml/min/1,73 m</w:t>
      </w:r>
      <w:r>
        <w:rPr>
          <w:szCs w:val="22"/>
          <w:vertAlign w:val="superscript"/>
          <w:lang w:val="sr-Latn-ME"/>
        </w:rPr>
        <w:t>2</w:t>
      </w:r>
      <w:r>
        <w:rPr>
          <w:szCs w:val="22"/>
          <w:lang w:val="sr-Latn-ME"/>
        </w:rPr>
        <w:t xml:space="preserve"> ) ili placebo (7339) kao dodatak standardnoj terapiji u cilju postizanja regionalnih standardnih vrijednosti HbA</w:t>
      </w:r>
      <w:r>
        <w:rPr>
          <w:szCs w:val="22"/>
          <w:vertAlign w:val="subscript"/>
          <w:lang w:val="sr-Latn-ME"/>
        </w:rPr>
        <w:t>1c</w:t>
      </w:r>
      <w:r>
        <w:rPr>
          <w:szCs w:val="22"/>
          <w:lang w:val="sr-Latn-ME"/>
        </w:rPr>
        <w:t xml:space="preserve"> i faktora KV rizika. U studiju nije bilo dozvoljeno uključiti pacijente kojima je eGFR bio &lt; 30 ml/min/1,73 m</w:t>
      </w:r>
      <w:r>
        <w:rPr>
          <w:szCs w:val="22"/>
          <w:vertAlign w:val="superscript"/>
          <w:lang w:val="sr-Latn-ME"/>
        </w:rPr>
        <w:t>2</w:t>
      </w:r>
      <w:r>
        <w:rPr>
          <w:szCs w:val="22"/>
          <w:lang w:val="sr-Latn-ME"/>
        </w:rPr>
        <w:t>. Ispitivana populacija uključivala je 2004 pacijenta starosti ≥ 75 godina i 3324 pacijenta sa oštećenjem funkcije bubrega (eGFR &lt; 60 ml/min/1,73 m</w:t>
      </w:r>
      <w:r>
        <w:rPr>
          <w:szCs w:val="22"/>
          <w:vertAlign w:val="superscript"/>
          <w:lang w:val="sr-Latn-ME"/>
        </w:rPr>
        <w:t>2</w:t>
      </w:r>
      <w:r>
        <w:rPr>
          <w:szCs w:val="22"/>
          <w:lang w:val="sr-Latn-ME"/>
        </w:rPr>
        <w:t>).</w:t>
      </w:r>
    </w:p>
    <w:p w:rsidR="00EA0194" w:rsidRDefault="00EA0194">
      <w:pPr>
        <w:widowControl w:val="0"/>
        <w:numPr>
          <w:ilvl w:val="12"/>
          <w:numId w:val="0"/>
        </w:numPr>
        <w:ind w:right="-2"/>
        <w:jc w:val="both"/>
        <w:rPr>
          <w:szCs w:val="22"/>
          <w:highlight w:val="yellow"/>
          <w:u w:val="single"/>
          <w:lang w:val="sr-Latn-ME"/>
        </w:rPr>
      </w:pPr>
    </w:p>
    <w:p w:rsidR="00EA0194" w:rsidRDefault="00FC2E72">
      <w:pPr>
        <w:widowControl w:val="0"/>
        <w:numPr>
          <w:ilvl w:val="12"/>
          <w:numId w:val="0"/>
        </w:numPr>
        <w:ind w:right="-2"/>
        <w:jc w:val="both"/>
        <w:rPr>
          <w:szCs w:val="22"/>
          <w:lang w:val="sr-Latn-ME"/>
        </w:rPr>
      </w:pPr>
      <w:r>
        <w:rPr>
          <w:szCs w:val="22"/>
          <w:lang w:val="sr-Latn-ME"/>
        </w:rPr>
        <w:t>Tokom studije, ukupna procijenjena srednja vrijednost (SD) razlike vrijednosti HbA</w:t>
      </w:r>
      <w:r>
        <w:rPr>
          <w:szCs w:val="22"/>
          <w:vertAlign w:val="subscript"/>
          <w:lang w:val="sr-Latn-ME"/>
        </w:rPr>
        <w:t>1c</w:t>
      </w:r>
      <w:r>
        <w:rPr>
          <w:szCs w:val="22"/>
          <w:lang w:val="sr-Latn-ME"/>
        </w:rPr>
        <w:t xml:space="preserve"> između grupe liječene sitagliptinom i one koja je primala placebo iznosila je 0,29% (0,01), 95% CI (-0,32; -0,27); p &lt; 0,001.</w:t>
      </w:r>
    </w:p>
    <w:p w:rsidR="00EA0194" w:rsidRDefault="00EA0194">
      <w:pPr>
        <w:widowControl w:val="0"/>
        <w:numPr>
          <w:ilvl w:val="12"/>
          <w:numId w:val="0"/>
        </w:numPr>
        <w:ind w:right="-2"/>
        <w:jc w:val="both"/>
        <w:rPr>
          <w:szCs w:val="22"/>
          <w:highlight w:val="yellow"/>
          <w:u w:val="single"/>
          <w:lang w:val="sr-Latn-ME"/>
        </w:rPr>
      </w:pPr>
    </w:p>
    <w:p w:rsidR="00EA0194" w:rsidRDefault="00FC2E72">
      <w:pPr>
        <w:autoSpaceDE w:val="0"/>
        <w:autoSpaceDN w:val="0"/>
        <w:adjustRightInd w:val="0"/>
        <w:jc w:val="both"/>
        <w:rPr>
          <w:szCs w:val="22"/>
          <w:lang w:val="sr-Latn-ME"/>
        </w:rPr>
      </w:pPr>
      <w:r>
        <w:rPr>
          <w:szCs w:val="22"/>
          <w:lang w:val="sr-Latn-ME"/>
        </w:rPr>
        <w:t>Primarni kardiovaskularni cilj ispitivanja se sastoji od prvog nastupa smrti zbog kardiovaskularnog uzroka, infarkta miokarda bez smrtnog ishoda, moždanog udara bez smrtnog ishoda, ili hospitalizacije zbog nestabilne angine. Sekundarni kardiovaskularni cilj ispitivanja uključivao je prvi nastup smrti zbog kardiovaskularnog uzroka, infarkta miokarda bez smrtnog ishoda ili nastup moždanog udara bez smrtnog ishoda; prva pojava pojedinih elemenata primarne krajnje tačke ispitivanja; smrt zbog bilo kog uzroka; hospitalizaciju zbog kongestivne srčane insuficijencije.</w:t>
      </w:r>
    </w:p>
    <w:p w:rsidR="00EA0194" w:rsidRDefault="00EA0194">
      <w:pPr>
        <w:autoSpaceDE w:val="0"/>
        <w:autoSpaceDN w:val="0"/>
        <w:adjustRightInd w:val="0"/>
        <w:jc w:val="both"/>
        <w:rPr>
          <w:szCs w:val="22"/>
          <w:lang w:val="sr-Latn-ME"/>
        </w:rPr>
      </w:pPr>
    </w:p>
    <w:p w:rsidR="00866ADA" w:rsidRDefault="00FC2E72" w:rsidP="00C92663">
      <w:pPr>
        <w:widowControl w:val="0"/>
        <w:autoSpaceDE w:val="0"/>
        <w:autoSpaceDN w:val="0"/>
        <w:adjustRightInd w:val="0"/>
        <w:jc w:val="both"/>
        <w:rPr>
          <w:b/>
          <w:szCs w:val="22"/>
          <w:lang w:val="sr-Latn-ME"/>
        </w:rPr>
      </w:pPr>
      <w:r>
        <w:rPr>
          <w:szCs w:val="22"/>
          <w:lang w:val="sr-Latn-ME"/>
        </w:rPr>
        <w:t>Nakon srednjeg vremena praćenja od 3 godine, sitagliptin kao dodatak standardnom liječenju nije povećao rizik od značajnih štetnih kardiovaskularnih događaja niti rizik od hospitalizacije zbog srčane insuficijencije kod pacijenata sa dijabetesom tipa 2 u poređenju sa standardnim liječenjem bez sitagliptina (Tabela 3).</w:t>
      </w:r>
    </w:p>
    <w:p w:rsidR="00866ADA" w:rsidRDefault="00866ADA" w:rsidP="00C92663">
      <w:pPr>
        <w:widowControl w:val="0"/>
        <w:autoSpaceDE w:val="0"/>
        <w:autoSpaceDN w:val="0"/>
        <w:adjustRightInd w:val="0"/>
        <w:jc w:val="both"/>
        <w:rPr>
          <w:b/>
          <w:szCs w:val="22"/>
          <w:lang w:val="sr-Latn-ME"/>
        </w:rPr>
      </w:pPr>
    </w:p>
    <w:p w:rsidR="00EA0194" w:rsidRDefault="00866ADA" w:rsidP="00C92663">
      <w:pPr>
        <w:widowControl w:val="0"/>
        <w:autoSpaceDE w:val="0"/>
        <w:autoSpaceDN w:val="0"/>
        <w:adjustRightInd w:val="0"/>
        <w:jc w:val="both"/>
        <w:rPr>
          <w:b/>
          <w:szCs w:val="22"/>
          <w:lang w:val="sr-Latn-ME"/>
        </w:rPr>
      </w:pPr>
      <w:r>
        <w:rPr>
          <w:b/>
          <w:szCs w:val="22"/>
          <w:lang w:val="sr-Latn-ME"/>
        </w:rPr>
        <w:t>T</w:t>
      </w:r>
      <w:r w:rsidR="00FC2E72">
        <w:rPr>
          <w:b/>
          <w:szCs w:val="22"/>
          <w:lang w:val="sr-Latn-ME"/>
        </w:rPr>
        <w:t>abela 3. Stope objedinjenih kardiovaskularnih ishoda i ključnih sekundarnih ishoda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771"/>
        <w:gridCol w:w="1274"/>
        <w:gridCol w:w="771"/>
        <w:gridCol w:w="1250"/>
        <w:gridCol w:w="978"/>
        <w:gridCol w:w="1252"/>
      </w:tblGrid>
      <w:tr w:rsidR="00EA0194" w:rsidTr="00C92663">
        <w:tc>
          <w:tcPr>
            <w:tcW w:w="2765" w:type="dxa"/>
            <w:vMerge w:val="restart"/>
            <w:shd w:val="clear" w:color="auto" w:fill="auto"/>
          </w:tcPr>
          <w:p w:rsidR="00EA0194" w:rsidRDefault="00EA0194" w:rsidP="00C92663">
            <w:pPr>
              <w:widowControl w:val="0"/>
              <w:autoSpaceDE w:val="0"/>
              <w:autoSpaceDN w:val="0"/>
              <w:adjustRightInd w:val="0"/>
              <w:rPr>
                <w:b/>
                <w:szCs w:val="22"/>
                <w:lang w:val="sr-Latn-ME"/>
              </w:rPr>
            </w:pPr>
          </w:p>
        </w:tc>
        <w:tc>
          <w:tcPr>
            <w:tcW w:w="2045" w:type="dxa"/>
            <w:gridSpan w:val="2"/>
            <w:shd w:val="clear" w:color="auto" w:fill="auto"/>
          </w:tcPr>
          <w:p w:rsidR="00EA0194" w:rsidRDefault="00FC2E72" w:rsidP="00C92663">
            <w:pPr>
              <w:widowControl w:val="0"/>
              <w:autoSpaceDE w:val="0"/>
              <w:autoSpaceDN w:val="0"/>
              <w:adjustRightInd w:val="0"/>
              <w:rPr>
                <w:b/>
                <w:szCs w:val="22"/>
                <w:lang w:val="sr-Latn-ME"/>
              </w:rPr>
            </w:pPr>
            <w:r>
              <w:rPr>
                <w:b/>
                <w:szCs w:val="22"/>
                <w:lang w:val="sr-Latn-ME"/>
              </w:rPr>
              <w:t>Sitagliptin 100 mg</w:t>
            </w:r>
          </w:p>
        </w:tc>
        <w:tc>
          <w:tcPr>
            <w:tcW w:w="2021" w:type="dxa"/>
            <w:gridSpan w:val="2"/>
            <w:shd w:val="clear" w:color="auto" w:fill="auto"/>
          </w:tcPr>
          <w:p w:rsidR="00EA0194" w:rsidRDefault="00FC2E72" w:rsidP="00C92663">
            <w:pPr>
              <w:widowControl w:val="0"/>
              <w:autoSpaceDE w:val="0"/>
              <w:autoSpaceDN w:val="0"/>
              <w:adjustRightInd w:val="0"/>
              <w:rPr>
                <w:b/>
                <w:szCs w:val="22"/>
                <w:lang w:val="sr-Latn-ME"/>
              </w:rPr>
            </w:pPr>
            <w:r>
              <w:rPr>
                <w:b/>
                <w:szCs w:val="22"/>
                <w:lang w:val="sr-Latn-ME"/>
              </w:rPr>
              <w:t>Placebo</w:t>
            </w:r>
          </w:p>
        </w:tc>
        <w:tc>
          <w:tcPr>
            <w:tcW w:w="978" w:type="dxa"/>
            <w:vMerge w:val="restart"/>
            <w:shd w:val="clear" w:color="auto" w:fill="auto"/>
            <w:vAlign w:val="bottom"/>
          </w:tcPr>
          <w:p w:rsidR="00EA0194" w:rsidRDefault="00FC2E72" w:rsidP="00C92663">
            <w:pPr>
              <w:widowControl w:val="0"/>
              <w:autoSpaceDE w:val="0"/>
              <w:autoSpaceDN w:val="0"/>
              <w:adjustRightInd w:val="0"/>
              <w:rPr>
                <w:b/>
                <w:szCs w:val="22"/>
                <w:lang w:val="sr-Latn-ME"/>
              </w:rPr>
            </w:pPr>
            <w:r>
              <w:rPr>
                <w:b/>
                <w:i/>
                <w:szCs w:val="22"/>
                <w:lang w:val="sr-Latn-ME"/>
              </w:rPr>
              <w:t>Hazard Ratio</w:t>
            </w:r>
            <w:r>
              <w:rPr>
                <w:b/>
                <w:szCs w:val="22"/>
                <w:lang w:val="sr-Latn-ME"/>
              </w:rPr>
              <w:t xml:space="preserve"> (95% CI)</w:t>
            </w:r>
          </w:p>
        </w:tc>
        <w:tc>
          <w:tcPr>
            <w:tcW w:w="1252" w:type="dxa"/>
            <w:vMerge w:val="restart"/>
            <w:shd w:val="clear" w:color="auto" w:fill="auto"/>
            <w:vAlign w:val="bottom"/>
          </w:tcPr>
          <w:p w:rsidR="00EA0194" w:rsidRDefault="00FC2E72" w:rsidP="00C92663">
            <w:pPr>
              <w:widowControl w:val="0"/>
              <w:autoSpaceDE w:val="0"/>
              <w:autoSpaceDN w:val="0"/>
              <w:adjustRightInd w:val="0"/>
              <w:rPr>
                <w:b/>
                <w:szCs w:val="22"/>
                <w:lang w:val="sr-Latn-ME"/>
              </w:rPr>
            </w:pPr>
            <w:r>
              <w:rPr>
                <w:b/>
                <w:szCs w:val="22"/>
                <w:lang w:val="sr-Latn-ME"/>
              </w:rPr>
              <w:t>p-vrijednost</w:t>
            </w:r>
            <w:r>
              <w:rPr>
                <w:b/>
                <w:szCs w:val="22"/>
                <w:vertAlign w:val="superscript"/>
                <w:lang w:val="sr-Latn-ME"/>
              </w:rPr>
              <w:t>†</w:t>
            </w:r>
          </w:p>
        </w:tc>
      </w:tr>
      <w:tr w:rsidR="00EA0194" w:rsidTr="00C92663">
        <w:tc>
          <w:tcPr>
            <w:tcW w:w="2765" w:type="dxa"/>
            <w:vMerge/>
            <w:shd w:val="clear" w:color="auto" w:fill="auto"/>
          </w:tcPr>
          <w:p w:rsidR="00EA0194" w:rsidRDefault="00EA0194" w:rsidP="00C92663">
            <w:pPr>
              <w:widowControl w:val="0"/>
              <w:autoSpaceDE w:val="0"/>
              <w:autoSpaceDN w:val="0"/>
              <w:adjustRightInd w:val="0"/>
              <w:rPr>
                <w:b/>
                <w:szCs w:val="22"/>
                <w:lang w:val="sr-Latn-ME"/>
              </w:rPr>
            </w:pPr>
          </w:p>
        </w:tc>
        <w:tc>
          <w:tcPr>
            <w:tcW w:w="771" w:type="dxa"/>
            <w:shd w:val="clear" w:color="auto" w:fill="auto"/>
            <w:vAlign w:val="bottom"/>
          </w:tcPr>
          <w:p w:rsidR="00EA0194" w:rsidRDefault="00FC2E72" w:rsidP="00C92663">
            <w:pPr>
              <w:widowControl w:val="0"/>
              <w:autoSpaceDE w:val="0"/>
              <w:autoSpaceDN w:val="0"/>
              <w:adjustRightInd w:val="0"/>
              <w:rPr>
                <w:b/>
                <w:szCs w:val="22"/>
                <w:lang w:val="sr-Latn-ME"/>
              </w:rPr>
            </w:pPr>
            <w:r>
              <w:rPr>
                <w:b/>
                <w:szCs w:val="22"/>
                <w:lang w:val="sr-Latn-ME"/>
              </w:rPr>
              <w:t>N (%)</w:t>
            </w:r>
          </w:p>
        </w:tc>
        <w:tc>
          <w:tcPr>
            <w:tcW w:w="1274" w:type="dxa"/>
            <w:shd w:val="clear" w:color="auto" w:fill="auto"/>
            <w:vAlign w:val="bottom"/>
          </w:tcPr>
          <w:p w:rsidR="00EA0194" w:rsidRDefault="00FC2E72" w:rsidP="00C92663">
            <w:pPr>
              <w:widowControl w:val="0"/>
              <w:autoSpaceDE w:val="0"/>
              <w:autoSpaceDN w:val="0"/>
              <w:adjustRightInd w:val="0"/>
              <w:rPr>
                <w:b/>
                <w:szCs w:val="22"/>
                <w:lang w:val="sr-Latn-ME"/>
              </w:rPr>
            </w:pPr>
            <w:r>
              <w:rPr>
                <w:b/>
                <w:szCs w:val="22"/>
                <w:lang w:val="sr-Latn-ME"/>
              </w:rPr>
              <w:t>Stopa incidence na 100 pacijent - godina</w:t>
            </w:r>
            <w:r>
              <w:rPr>
                <w:b/>
                <w:szCs w:val="22"/>
                <w:vertAlign w:val="superscript"/>
                <w:lang w:val="sr-Latn-ME"/>
              </w:rPr>
              <w:t>*</w:t>
            </w:r>
          </w:p>
        </w:tc>
        <w:tc>
          <w:tcPr>
            <w:tcW w:w="771" w:type="dxa"/>
            <w:shd w:val="clear" w:color="auto" w:fill="auto"/>
            <w:vAlign w:val="bottom"/>
          </w:tcPr>
          <w:p w:rsidR="00EA0194" w:rsidRDefault="00FC2E72" w:rsidP="00C92663">
            <w:pPr>
              <w:widowControl w:val="0"/>
              <w:autoSpaceDE w:val="0"/>
              <w:autoSpaceDN w:val="0"/>
              <w:adjustRightInd w:val="0"/>
              <w:rPr>
                <w:b/>
                <w:szCs w:val="22"/>
                <w:lang w:val="sr-Latn-ME"/>
              </w:rPr>
            </w:pPr>
            <w:r>
              <w:rPr>
                <w:b/>
                <w:szCs w:val="22"/>
                <w:lang w:val="sr-Latn-ME"/>
              </w:rPr>
              <w:t>N (%)</w:t>
            </w:r>
          </w:p>
        </w:tc>
        <w:tc>
          <w:tcPr>
            <w:tcW w:w="1250" w:type="dxa"/>
            <w:shd w:val="clear" w:color="auto" w:fill="auto"/>
            <w:vAlign w:val="bottom"/>
          </w:tcPr>
          <w:p w:rsidR="00EA0194" w:rsidRDefault="00FC2E72" w:rsidP="00C92663">
            <w:pPr>
              <w:widowControl w:val="0"/>
              <w:autoSpaceDE w:val="0"/>
              <w:autoSpaceDN w:val="0"/>
              <w:adjustRightInd w:val="0"/>
              <w:rPr>
                <w:b/>
                <w:szCs w:val="22"/>
                <w:lang w:val="sr-Latn-ME"/>
              </w:rPr>
            </w:pPr>
            <w:r>
              <w:rPr>
                <w:b/>
                <w:szCs w:val="22"/>
                <w:lang w:val="sr-Latn-ME"/>
              </w:rPr>
              <w:t>Stopa incidenje na 100 pacijent - godina</w:t>
            </w:r>
            <w:r>
              <w:rPr>
                <w:b/>
                <w:szCs w:val="22"/>
                <w:vertAlign w:val="superscript"/>
                <w:lang w:val="sr-Latn-ME"/>
              </w:rPr>
              <w:t>*</w:t>
            </w:r>
          </w:p>
        </w:tc>
        <w:tc>
          <w:tcPr>
            <w:tcW w:w="978" w:type="dxa"/>
            <w:vMerge/>
            <w:shd w:val="clear" w:color="auto" w:fill="auto"/>
          </w:tcPr>
          <w:p w:rsidR="00EA0194" w:rsidRDefault="00EA0194" w:rsidP="00C92663">
            <w:pPr>
              <w:widowControl w:val="0"/>
              <w:autoSpaceDE w:val="0"/>
              <w:autoSpaceDN w:val="0"/>
              <w:adjustRightInd w:val="0"/>
              <w:rPr>
                <w:b/>
                <w:szCs w:val="22"/>
                <w:lang w:val="sr-Latn-ME"/>
              </w:rPr>
            </w:pPr>
          </w:p>
        </w:tc>
        <w:tc>
          <w:tcPr>
            <w:tcW w:w="1252" w:type="dxa"/>
            <w:vMerge/>
            <w:shd w:val="clear" w:color="auto" w:fill="auto"/>
          </w:tcPr>
          <w:p w:rsidR="00EA0194" w:rsidRDefault="00EA0194" w:rsidP="00C92663">
            <w:pPr>
              <w:widowControl w:val="0"/>
              <w:autoSpaceDE w:val="0"/>
              <w:autoSpaceDN w:val="0"/>
              <w:adjustRightInd w:val="0"/>
              <w:rPr>
                <w:b/>
                <w:szCs w:val="22"/>
                <w:lang w:val="sr-Latn-ME"/>
              </w:rPr>
            </w:pPr>
          </w:p>
        </w:tc>
      </w:tr>
      <w:tr w:rsidR="00EA0194" w:rsidTr="00C92663">
        <w:tc>
          <w:tcPr>
            <w:tcW w:w="9061" w:type="dxa"/>
            <w:gridSpan w:val="7"/>
            <w:shd w:val="clear" w:color="auto" w:fill="auto"/>
          </w:tcPr>
          <w:p w:rsidR="00EA0194" w:rsidRDefault="00FC2E72" w:rsidP="00C92663">
            <w:pPr>
              <w:widowControl w:val="0"/>
              <w:autoSpaceDE w:val="0"/>
              <w:autoSpaceDN w:val="0"/>
              <w:adjustRightInd w:val="0"/>
              <w:rPr>
                <w:b/>
                <w:szCs w:val="22"/>
                <w:lang w:val="sr-Latn-ME"/>
              </w:rPr>
            </w:pPr>
            <w:r>
              <w:rPr>
                <w:b/>
                <w:szCs w:val="22"/>
                <w:lang w:val="sr-Latn-ME"/>
              </w:rPr>
              <w:t>Analiza u populaciji pacijenata predviđenoj za liječenje</w:t>
            </w:r>
          </w:p>
        </w:tc>
      </w:tr>
      <w:tr w:rsidR="00EA0194" w:rsidTr="00C92663">
        <w:tc>
          <w:tcPr>
            <w:tcW w:w="2765" w:type="dxa"/>
            <w:shd w:val="clear" w:color="auto" w:fill="auto"/>
          </w:tcPr>
          <w:p w:rsidR="00EA0194" w:rsidRDefault="00FC2E72" w:rsidP="00C92663">
            <w:pPr>
              <w:widowControl w:val="0"/>
              <w:autoSpaceDE w:val="0"/>
              <w:autoSpaceDN w:val="0"/>
              <w:adjustRightInd w:val="0"/>
              <w:rPr>
                <w:b/>
                <w:szCs w:val="22"/>
                <w:lang w:val="sr-Latn-ME"/>
              </w:rPr>
            </w:pPr>
            <w:r>
              <w:rPr>
                <w:b/>
                <w:szCs w:val="22"/>
                <w:lang w:val="sr-Latn-ME"/>
              </w:rPr>
              <w:t>Broj pacijenata</w:t>
            </w:r>
          </w:p>
        </w:tc>
        <w:tc>
          <w:tcPr>
            <w:tcW w:w="2045" w:type="dxa"/>
            <w:gridSpan w:val="2"/>
            <w:shd w:val="clear" w:color="auto" w:fill="auto"/>
          </w:tcPr>
          <w:p w:rsidR="00EA0194" w:rsidRDefault="00FC2E72" w:rsidP="00C92663">
            <w:pPr>
              <w:widowControl w:val="0"/>
              <w:autoSpaceDE w:val="0"/>
              <w:autoSpaceDN w:val="0"/>
              <w:adjustRightInd w:val="0"/>
              <w:rPr>
                <w:b/>
                <w:szCs w:val="22"/>
                <w:lang w:val="sr-Latn-ME"/>
              </w:rPr>
            </w:pPr>
            <w:r>
              <w:rPr>
                <w:b/>
                <w:szCs w:val="22"/>
                <w:lang w:val="sr-Latn-ME"/>
              </w:rPr>
              <w:t>7332</w:t>
            </w:r>
          </w:p>
        </w:tc>
        <w:tc>
          <w:tcPr>
            <w:tcW w:w="2021" w:type="dxa"/>
            <w:gridSpan w:val="2"/>
            <w:shd w:val="clear" w:color="auto" w:fill="auto"/>
          </w:tcPr>
          <w:p w:rsidR="00EA0194" w:rsidRDefault="00FC2E72" w:rsidP="00C92663">
            <w:pPr>
              <w:widowControl w:val="0"/>
              <w:autoSpaceDE w:val="0"/>
              <w:autoSpaceDN w:val="0"/>
              <w:adjustRightInd w:val="0"/>
              <w:rPr>
                <w:b/>
                <w:szCs w:val="22"/>
                <w:lang w:val="sr-Latn-ME"/>
              </w:rPr>
            </w:pPr>
            <w:r>
              <w:rPr>
                <w:b/>
                <w:szCs w:val="22"/>
                <w:lang w:val="sr-Latn-ME"/>
              </w:rPr>
              <w:t>7339</w:t>
            </w:r>
          </w:p>
        </w:tc>
        <w:tc>
          <w:tcPr>
            <w:tcW w:w="978" w:type="dxa"/>
            <w:vMerge w:val="restart"/>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0,98 (0,89-1,08)</w:t>
            </w:r>
          </w:p>
        </w:tc>
        <w:tc>
          <w:tcPr>
            <w:tcW w:w="1252" w:type="dxa"/>
            <w:vMerge w:val="restart"/>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&lt;0,001</w:t>
            </w:r>
          </w:p>
        </w:tc>
      </w:tr>
      <w:tr w:rsidR="00EA0194" w:rsidTr="00C92663">
        <w:tc>
          <w:tcPr>
            <w:tcW w:w="2765" w:type="dxa"/>
            <w:shd w:val="clear" w:color="auto" w:fill="auto"/>
          </w:tcPr>
          <w:p w:rsidR="00EA0194" w:rsidRDefault="00FC2E72" w:rsidP="00C92663">
            <w:pPr>
              <w:widowControl w:val="0"/>
              <w:autoSpaceDE w:val="0"/>
              <w:autoSpaceDN w:val="0"/>
              <w:adjustRightInd w:val="0"/>
              <w:rPr>
                <w:szCs w:val="22"/>
                <w:lang w:val="sr-Latn-ME"/>
              </w:rPr>
            </w:pPr>
            <w:r>
              <w:rPr>
                <w:b/>
                <w:szCs w:val="22"/>
                <w:lang w:val="sr-Latn-ME"/>
              </w:rPr>
              <w:t>Primarna objedinjena mjera ishoda</w:t>
            </w:r>
            <w:r>
              <w:rPr>
                <w:szCs w:val="22"/>
                <w:lang w:val="sr-Latn-ME"/>
              </w:rPr>
              <w:t xml:space="preserve"> (smrt zbog kardiovaskularnog uzroka, infarkt miokarda bez smrtnog ishoda, moždani </w:t>
            </w:r>
            <w:r>
              <w:rPr>
                <w:szCs w:val="22"/>
                <w:lang w:val="sr-Latn-ME"/>
              </w:rPr>
              <w:lastRenderedPageBreak/>
              <w:t>udar bez smrtnog ishoda ili hospitalizacija zbog nestabilne angine)</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lastRenderedPageBreak/>
              <w:t>839 (11,4)</w:t>
            </w:r>
          </w:p>
        </w:tc>
        <w:tc>
          <w:tcPr>
            <w:tcW w:w="1274"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4,1</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851 (11,6)</w:t>
            </w:r>
          </w:p>
        </w:tc>
        <w:tc>
          <w:tcPr>
            <w:tcW w:w="1250"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4,2</w:t>
            </w:r>
          </w:p>
        </w:tc>
        <w:tc>
          <w:tcPr>
            <w:tcW w:w="978" w:type="dxa"/>
            <w:vMerge/>
            <w:shd w:val="clear" w:color="auto" w:fill="auto"/>
          </w:tcPr>
          <w:p w:rsidR="00EA0194" w:rsidRDefault="00EA0194" w:rsidP="00C92663">
            <w:pPr>
              <w:widowControl w:val="0"/>
              <w:autoSpaceDE w:val="0"/>
              <w:autoSpaceDN w:val="0"/>
              <w:adjustRightInd w:val="0"/>
              <w:rPr>
                <w:szCs w:val="22"/>
                <w:lang w:val="sr-Latn-ME"/>
              </w:rPr>
            </w:pPr>
          </w:p>
        </w:tc>
        <w:tc>
          <w:tcPr>
            <w:tcW w:w="1252" w:type="dxa"/>
            <w:vMerge/>
            <w:shd w:val="clear" w:color="auto" w:fill="auto"/>
          </w:tcPr>
          <w:p w:rsidR="00EA0194" w:rsidRDefault="00EA0194" w:rsidP="00C92663">
            <w:pPr>
              <w:widowControl w:val="0"/>
              <w:autoSpaceDE w:val="0"/>
              <w:autoSpaceDN w:val="0"/>
              <w:adjustRightInd w:val="0"/>
              <w:rPr>
                <w:szCs w:val="22"/>
                <w:lang w:val="sr-Latn-ME"/>
              </w:rPr>
            </w:pPr>
          </w:p>
        </w:tc>
      </w:tr>
      <w:tr w:rsidR="00EA0194" w:rsidTr="00C92663">
        <w:tc>
          <w:tcPr>
            <w:tcW w:w="2765" w:type="dxa"/>
            <w:shd w:val="clear" w:color="auto" w:fill="auto"/>
          </w:tcPr>
          <w:p w:rsidR="00EA0194" w:rsidRDefault="00FC2E72" w:rsidP="00C92663">
            <w:pPr>
              <w:widowControl w:val="0"/>
              <w:autoSpaceDE w:val="0"/>
              <w:autoSpaceDN w:val="0"/>
              <w:adjustRightInd w:val="0"/>
              <w:rPr>
                <w:szCs w:val="22"/>
                <w:lang w:val="sr-Latn-ME"/>
              </w:rPr>
            </w:pPr>
            <w:r>
              <w:rPr>
                <w:b/>
                <w:szCs w:val="22"/>
                <w:lang w:val="sr-Latn-ME"/>
              </w:rPr>
              <w:t>Sekundarna objedinjena mjera ishoda</w:t>
            </w:r>
            <w:r>
              <w:rPr>
                <w:szCs w:val="22"/>
                <w:lang w:val="sr-Latn-ME"/>
              </w:rPr>
              <w:t xml:space="preserve"> (smrt zbog kardiovaskularnog uzroka, infarkt miokarda bez smrtnog ishoda ili moždani udar bez smrtnog ishoda)</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745 (10,2)</w:t>
            </w:r>
          </w:p>
        </w:tc>
        <w:tc>
          <w:tcPr>
            <w:tcW w:w="1274"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3,6</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746 (10,2)</w:t>
            </w:r>
          </w:p>
        </w:tc>
        <w:tc>
          <w:tcPr>
            <w:tcW w:w="1250"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3,6</w:t>
            </w:r>
          </w:p>
        </w:tc>
        <w:tc>
          <w:tcPr>
            <w:tcW w:w="978"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0,99 (0,89-1,10)</w:t>
            </w:r>
          </w:p>
        </w:tc>
        <w:tc>
          <w:tcPr>
            <w:tcW w:w="1252"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&lt;0,001</w:t>
            </w:r>
          </w:p>
        </w:tc>
      </w:tr>
      <w:tr w:rsidR="00EA0194" w:rsidTr="00C92663">
        <w:tc>
          <w:tcPr>
            <w:tcW w:w="9061" w:type="dxa"/>
            <w:gridSpan w:val="7"/>
            <w:shd w:val="clear" w:color="auto" w:fill="auto"/>
          </w:tcPr>
          <w:p w:rsidR="00EA0194" w:rsidRDefault="00FC2E72" w:rsidP="00C92663">
            <w:pPr>
              <w:widowControl w:val="0"/>
              <w:autoSpaceDE w:val="0"/>
              <w:autoSpaceDN w:val="0"/>
              <w:adjustRightInd w:val="0"/>
              <w:rPr>
                <w:b/>
                <w:szCs w:val="22"/>
                <w:lang w:val="sr-Latn-ME"/>
              </w:rPr>
            </w:pPr>
            <w:r>
              <w:rPr>
                <w:b/>
                <w:szCs w:val="22"/>
                <w:lang w:val="sr-Latn-ME"/>
              </w:rPr>
              <w:t>Sekundarni ishod</w:t>
            </w:r>
          </w:p>
        </w:tc>
      </w:tr>
      <w:tr w:rsidR="00EA0194" w:rsidTr="00C92663">
        <w:tc>
          <w:tcPr>
            <w:tcW w:w="2765"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Smrt zbog kardiovaskularnog uzroka</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380 (5,2)</w:t>
            </w:r>
          </w:p>
        </w:tc>
        <w:tc>
          <w:tcPr>
            <w:tcW w:w="1274"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1,7</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366 (5,0)</w:t>
            </w:r>
          </w:p>
        </w:tc>
        <w:tc>
          <w:tcPr>
            <w:tcW w:w="1250"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1,7</w:t>
            </w:r>
          </w:p>
        </w:tc>
        <w:tc>
          <w:tcPr>
            <w:tcW w:w="978"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1,03 (0,89-1,19)</w:t>
            </w:r>
          </w:p>
        </w:tc>
        <w:tc>
          <w:tcPr>
            <w:tcW w:w="1252"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0,711</w:t>
            </w:r>
          </w:p>
        </w:tc>
      </w:tr>
      <w:tr w:rsidR="00EA0194" w:rsidTr="00C92663">
        <w:tc>
          <w:tcPr>
            <w:tcW w:w="2765" w:type="dxa"/>
            <w:shd w:val="clear" w:color="auto" w:fill="auto"/>
          </w:tcPr>
          <w:p w:rsidR="00EA0194" w:rsidRDefault="00FC2E72" w:rsidP="00C92663">
            <w:pPr>
              <w:widowControl w:val="0"/>
              <w:autoSpaceDE w:val="0"/>
              <w:autoSpaceDN w:val="0"/>
              <w:adjustRightInd w:val="0"/>
              <w:rPr>
                <w:szCs w:val="22"/>
                <w:lang w:val="sr-Latn-ME"/>
              </w:rPr>
            </w:pPr>
            <w:r>
              <w:rPr>
                <w:szCs w:val="22"/>
                <w:lang w:val="sr-Latn-ME"/>
              </w:rPr>
              <w:t>Svi slučajevi infarkta miokarda (sa smrtnim ishodom i bez njega)</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300 (4,1)</w:t>
            </w:r>
          </w:p>
        </w:tc>
        <w:tc>
          <w:tcPr>
            <w:tcW w:w="1274"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1,4</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316 (4,3)</w:t>
            </w:r>
          </w:p>
        </w:tc>
        <w:tc>
          <w:tcPr>
            <w:tcW w:w="1250"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1,5</w:t>
            </w:r>
          </w:p>
        </w:tc>
        <w:tc>
          <w:tcPr>
            <w:tcW w:w="978"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0,95 (0,81-1,11)</w:t>
            </w:r>
          </w:p>
        </w:tc>
        <w:tc>
          <w:tcPr>
            <w:tcW w:w="1252"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0,487</w:t>
            </w:r>
          </w:p>
        </w:tc>
      </w:tr>
      <w:tr w:rsidR="00EA0194" w:rsidTr="00C92663">
        <w:tc>
          <w:tcPr>
            <w:tcW w:w="2765" w:type="dxa"/>
            <w:shd w:val="clear" w:color="auto" w:fill="auto"/>
          </w:tcPr>
          <w:p w:rsidR="00EA0194" w:rsidRDefault="00FC2E72" w:rsidP="00C92663">
            <w:pPr>
              <w:widowControl w:val="0"/>
              <w:autoSpaceDE w:val="0"/>
              <w:autoSpaceDN w:val="0"/>
              <w:adjustRightInd w:val="0"/>
              <w:rPr>
                <w:szCs w:val="22"/>
                <w:lang w:val="sr-Latn-ME"/>
              </w:rPr>
            </w:pPr>
            <w:r>
              <w:rPr>
                <w:szCs w:val="22"/>
                <w:lang w:val="sr-Latn-ME"/>
              </w:rPr>
              <w:t>Svi slučajevi moždanog udara (sa smrtnim ishodom i bez njega)</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178 (2,4)</w:t>
            </w:r>
          </w:p>
        </w:tc>
        <w:tc>
          <w:tcPr>
            <w:tcW w:w="1274"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0,8</w:t>
            </w:r>
          </w:p>
        </w:tc>
        <w:tc>
          <w:tcPr>
            <w:tcW w:w="771"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183 (2,5)</w:t>
            </w:r>
          </w:p>
        </w:tc>
        <w:tc>
          <w:tcPr>
            <w:tcW w:w="1250"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183 (2,5)</w:t>
            </w:r>
          </w:p>
        </w:tc>
        <w:tc>
          <w:tcPr>
            <w:tcW w:w="978"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0,97 (0,79-1,19)</w:t>
            </w:r>
          </w:p>
        </w:tc>
        <w:tc>
          <w:tcPr>
            <w:tcW w:w="1252" w:type="dxa"/>
            <w:shd w:val="clear" w:color="auto" w:fill="auto"/>
            <w:vAlign w:val="bottom"/>
          </w:tcPr>
          <w:p w:rsidR="00EA0194" w:rsidRDefault="00FC2E72" w:rsidP="00C92663">
            <w:pPr>
              <w:widowControl w:val="0"/>
              <w:autoSpaceDE w:val="0"/>
              <w:autoSpaceDN w:val="0"/>
              <w:adjustRightInd w:val="0"/>
              <w:rPr>
                <w:szCs w:val="22"/>
                <w:lang w:val="sr-Latn-ME"/>
              </w:rPr>
            </w:pPr>
            <w:r>
              <w:rPr>
                <w:szCs w:val="22"/>
                <w:lang w:val="sr-Latn-ME"/>
              </w:rPr>
              <w:t>0,760</w:t>
            </w:r>
          </w:p>
        </w:tc>
      </w:tr>
      <w:tr w:rsidR="00EA0194" w:rsidTr="00C92663">
        <w:tc>
          <w:tcPr>
            <w:tcW w:w="2765" w:type="dxa"/>
            <w:shd w:val="clear" w:color="auto" w:fill="auto"/>
          </w:tcPr>
          <w:p w:rsidR="00EA0194" w:rsidRDefault="00FC2E72" w:rsidP="00C92663">
            <w:pPr>
              <w:widowControl w:val="0"/>
              <w:autoSpaceDE w:val="0"/>
              <w:autoSpaceDN w:val="0"/>
              <w:adjustRightInd w:val="0"/>
              <w:rPr>
                <w:szCs w:val="22"/>
                <w:highlight w:val="yellow"/>
                <w:u w:val="single"/>
                <w:lang w:val="sr-Latn-ME"/>
              </w:rPr>
            </w:pPr>
            <w:r>
              <w:rPr>
                <w:szCs w:val="22"/>
                <w:lang w:val="sr-Latn-ME"/>
              </w:rPr>
              <w:t>Hospitalizacija zbog nestabilne angine</w:t>
            </w:r>
          </w:p>
        </w:tc>
        <w:tc>
          <w:tcPr>
            <w:tcW w:w="771"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116 (1,6)</w:t>
            </w:r>
          </w:p>
        </w:tc>
        <w:tc>
          <w:tcPr>
            <w:tcW w:w="1274"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0,5</w:t>
            </w:r>
          </w:p>
        </w:tc>
        <w:tc>
          <w:tcPr>
            <w:tcW w:w="771"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129 (1,8)</w:t>
            </w:r>
          </w:p>
        </w:tc>
        <w:tc>
          <w:tcPr>
            <w:tcW w:w="1250"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0,6</w:t>
            </w:r>
          </w:p>
        </w:tc>
        <w:tc>
          <w:tcPr>
            <w:tcW w:w="978"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0,90 (0,70-1,16)</w:t>
            </w:r>
          </w:p>
        </w:tc>
        <w:tc>
          <w:tcPr>
            <w:tcW w:w="1252"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0,419</w:t>
            </w:r>
          </w:p>
        </w:tc>
      </w:tr>
      <w:tr w:rsidR="00EA0194" w:rsidTr="00C92663">
        <w:tc>
          <w:tcPr>
            <w:tcW w:w="2765" w:type="dxa"/>
            <w:shd w:val="clear" w:color="auto" w:fill="auto"/>
          </w:tcPr>
          <w:p w:rsidR="00EA0194" w:rsidRDefault="00FC2E72">
            <w:pPr>
              <w:widowControl w:val="0"/>
              <w:numPr>
                <w:ilvl w:val="12"/>
                <w:numId w:val="0"/>
              </w:numPr>
              <w:ind w:right="-2"/>
              <w:rPr>
                <w:szCs w:val="22"/>
                <w:highlight w:val="yellow"/>
                <w:u w:val="single"/>
                <w:lang w:val="sr-Latn-ME"/>
              </w:rPr>
            </w:pPr>
            <w:r>
              <w:rPr>
                <w:szCs w:val="22"/>
                <w:lang w:val="sr-Latn-ME"/>
              </w:rPr>
              <w:t>Smrt zbog bilo kojeg uzroka</w:t>
            </w:r>
          </w:p>
        </w:tc>
        <w:tc>
          <w:tcPr>
            <w:tcW w:w="771" w:type="dxa"/>
            <w:shd w:val="clear" w:color="auto" w:fill="auto"/>
            <w:vAlign w:val="bottom"/>
          </w:tcPr>
          <w:p w:rsidR="00EA0194" w:rsidRDefault="00FC2E72">
            <w:pPr>
              <w:widowControl w:val="0"/>
              <w:numPr>
                <w:ilvl w:val="12"/>
                <w:numId w:val="0"/>
              </w:numPr>
              <w:ind w:right="-2"/>
              <w:rPr>
                <w:szCs w:val="22"/>
                <w:highlight w:val="yellow"/>
                <w:u w:val="single"/>
                <w:lang w:val="sr-Latn-ME"/>
              </w:rPr>
            </w:pPr>
            <w:r>
              <w:rPr>
                <w:szCs w:val="22"/>
                <w:lang w:val="sr-Latn-ME"/>
              </w:rPr>
              <w:t>547 (7,5)</w:t>
            </w:r>
          </w:p>
        </w:tc>
        <w:tc>
          <w:tcPr>
            <w:tcW w:w="1274" w:type="dxa"/>
            <w:shd w:val="clear" w:color="auto" w:fill="auto"/>
            <w:vAlign w:val="bottom"/>
          </w:tcPr>
          <w:p w:rsidR="00EA0194" w:rsidRDefault="00FC2E72">
            <w:pPr>
              <w:widowControl w:val="0"/>
              <w:numPr>
                <w:ilvl w:val="12"/>
                <w:numId w:val="0"/>
              </w:numPr>
              <w:ind w:right="-2"/>
              <w:rPr>
                <w:szCs w:val="22"/>
                <w:highlight w:val="yellow"/>
                <w:u w:val="single"/>
                <w:lang w:val="sr-Latn-ME"/>
              </w:rPr>
            </w:pPr>
            <w:r>
              <w:rPr>
                <w:szCs w:val="22"/>
                <w:lang w:val="sr-Latn-ME"/>
              </w:rPr>
              <w:t>2,5</w:t>
            </w:r>
          </w:p>
        </w:tc>
        <w:tc>
          <w:tcPr>
            <w:tcW w:w="771" w:type="dxa"/>
            <w:shd w:val="clear" w:color="auto" w:fill="auto"/>
            <w:vAlign w:val="bottom"/>
          </w:tcPr>
          <w:p w:rsidR="00EA0194" w:rsidRDefault="00FC2E72">
            <w:pPr>
              <w:widowControl w:val="0"/>
              <w:numPr>
                <w:ilvl w:val="12"/>
                <w:numId w:val="0"/>
              </w:numPr>
              <w:ind w:right="-2"/>
              <w:rPr>
                <w:szCs w:val="22"/>
                <w:highlight w:val="yellow"/>
                <w:u w:val="single"/>
                <w:lang w:val="sr-Latn-ME"/>
              </w:rPr>
            </w:pPr>
            <w:r>
              <w:rPr>
                <w:szCs w:val="22"/>
                <w:lang w:val="sr-Latn-ME"/>
              </w:rPr>
              <w:t>537 (7,3)</w:t>
            </w:r>
          </w:p>
        </w:tc>
        <w:tc>
          <w:tcPr>
            <w:tcW w:w="1250"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2,5</w:t>
            </w:r>
          </w:p>
        </w:tc>
        <w:tc>
          <w:tcPr>
            <w:tcW w:w="978"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1,01 (0,90-1,14)</w:t>
            </w:r>
          </w:p>
        </w:tc>
        <w:tc>
          <w:tcPr>
            <w:tcW w:w="1252"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0,875</w:t>
            </w:r>
          </w:p>
        </w:tc>
      </w:tr>
      <w:tr w:rsidR="00EA0194" w:rsidTr="00C92663">
        <w:tc>
          <w:tcPr>
            <w:tcW w:w="2765" w:type="dxa"/>
            <w:shd w:val="clear" w:color="auto" w:fill="auto"/>
          </w:tcPr>
          <w:p w:rsidR="00EA0194" w:rsidRDefault="00FC2E72">
            <w:pPr>
              <w:widowControl w:val="0"/>
              <w:numPr>
                <w:ilvl w:val="12"/>
                <w:numId w:val="0"/>
              </w:numPr>
              <w:ind w:right="-2"/>
              <w:rPr>
                <w:szCs w:val="22"/>
                <w:highlight w:val="yellow"/>
                <w:u w:val="single"/>
                <w:lang w:val="sr-Latn-ME"/>
              </w:rPr>
            </w:pPr>
            <w:r>
              <w:rPr>
                <w:szCs w:val="22"/>
                <w:lang w:val="sr-Latn-ME"/>
              </w:rPr>
              <w:t>Hospitalizacija zbog srčane insuficijencije</w:t>
            </w:r>
            <w:r>
              <w:rPr>
                <w:szCs w:val="22"/>
                <w:vertAlign w:val="superscript"/>
                <w:lang w:val="sr-Latn-ME"/>
              </w:rPr>
              <w:t>‡</w:t>
            </w:r>
          </w:p>
        </w:tc>
        <w:tc>
          <w:tcPr>
            <w:tcW w:w="771" w:type="dxa"/>
            <w:shd w:val="clear" w:color="auto" w:fill="auto"/>
            <w:vAlign w:val="bottom"/>
          </w:tcPr>
          <w:p w:rsidR="00EA0194" w:rsidRDefault="00FC2E72">
            <w:pPr>
              <w:widowControl w:val="0"/>
              <w:numPr>
                <w:ilvl w:val="12"/>
                <w:numId w:val="0"/>
              </w:numPr>
              <w:ind w:right="-2"/>
              <w:rPr>
                <w:szCs w:val="22"/>
                <w:highlight w:val="yellow"/>
                <w:u w:val="single"/>
                <w:lang w:val="sr-Latn-ME"/>
              </w:rPr>
            </w:pPr>
            <w:r>
              <w:rPr>
                <w:szCs w:val="22"/>
                <w:lang w:val="sr-Latn-ME"/>
              </w:rPr>
              <w:t>228 (3,1)</w:t>
            </w:r>
          </w:p>
        </w:tc>
        <w:tc>
          <w:tcPr>
            <w:tcW w:w="1274" w:type="dxa"/>
            <w:shd w:val="clear" w:color="auto" w:fill="auto"/>
            <w:vAlign w:val="bottom"/>
          </w:tcPr>
          <w:p w:rsidR="00EA0194" w:rsidRDefault="00FC2E72">
            <w:pPr>
              <w:widowControl w:val="0"/>
              <w:numPr>
                <w:ilvl w:val="12"/>
                <w:numId w:val="0"/>
              </w:numPr>
              <w:ind w:right="-2"/>
              <w:rPr>
                <w:szCs w:val="22"/>
                <w:highlight w:val="yellow"/>
                <w:u w:val="single"/>
                <w:lang w:val="sr-Latn-ME"/>
              </w:rPr>
            </w:pPr>
            <w:r>
              <w:rPr>
                <w:szCs w:val="22"/>
                <w:lang w:val="sr-Latn-ME"/>
              </w:rPr>
              <w:t>1,1</w:t>
            </w:r>
          </w:p>
        </w:tc>
        <w:tc>
          <w:tcPr>
            <w:tcW w:w="771" w:type="dxa"/>
            <w:shd w:val="clear" w:color="auto" w:fill="auto"/>
            <w:vAlign w:val="bottom"/>
          </w:tcPr>
          <w:p w:rsidR="00EA0194" w:rsidRDefault="00FC2E72">
            <w:pPr>
              <w:widowControl w:val="0"/>
              <w:numPr>
                <w:ilvl w:val="12"/>
                <w:numId w:val="0"/>
              </w:numPr>
              <w:ind w:right="-2"/>
              <w:rPr>
                <w:szCs w:val="22"/>
                <w:highlight w:val="yellow"/>
                <w:u w:val="single"/>
                <w:lang w:val="sr-Latn-ME"/>
              </w:rPr>
            </w:pPr>
            <w:r>
              <w:rPr>
                <w:szCs w:val="22"/>
                <w:lang w:val="sr-Latn-ME"/>
              </w:rPr>
              <w:t>229 (3,1)</w:t>
            </w:r>
          </w:p>
        </w:tc>
        <w:tc>
          <w:tcPr>
            <w:tcW w:w="1250"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1,1</w:t>
            </w:r>
          </w:p>
        </w:tc>
        <w:tc>
          <w:tcPr>
            <w:tcW w:w="978"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1,00 (0,83-1,20)</w:t>
            </w:r>
          </w:p>
        </w:tc>
        <w:tc>
          <w:tcPr>
            <w:tcW w:w="1252" w:type="dxa"/>
            <w:shd w:val="clear" w:color="auto" w:fill="auto"/>
            <w:vAlign w:val="bottom"/>
          </w:tcPr>
          <w:p w:rsidR="00EA0194" w:rsidRDefault="00FC2E72">
            <w:pPr>
              <w:widowControl w:val="0"/>
              <w:numPr>
                <w:ilvl w:val="12"/>
                <w:numId w:val="0"/>
              </w:numPr>
              <w:ind w:right="-2"/>
              <w:rPr>
                <w:szCs w:val="22"/>
                <w:lang w:val="sr-Latn-ME"/>
              </w:rPr>
            </w:pPr>
            <w:r>
              <w:rPr>
                <w:szCs w:val="22"/>
                <w:lang w:val="sr-Latn-ME"/>
              </w:rPr>
              <w:t>0,983</w:t>
            </w:r>
          </w:p>
        </w:tc>
      </w:tr>
    </w:tbl>
    <w:p w:rsidR="00EA0194" w:rsidRPr="00C92663" w:rsidRDefault="00FC2E72" w:rsidP="00C92663">
      <w:pPr>
        <w:widowControl w:val="0"/>
        <w:jc w:val="both"/>
        <w:rPr>
          <w:sz w:val="20"/>
          <w:szCs w:val="22"/>
          <w:lang w:val="sr-Latn-ME"/>
        </w:rPr>
      </w:pPr>
      <w:r w:rsidRPr="00C92663">
        <w:rPr>
          <w:sz w:val="20"/>
          <w:szCs w:val="22"/>
          <w:vertAlign w:val="superscript"/>
          <w:lang w:val="sr-Latn-ME"/>
        </w:rPr>
        <w:t xml:space="preserve">* </w:t>
      </w:r>
      <w:r w:rsidRPr="00C92663">
        <w:rPr>
          <w:sz w:val="20"/>
          <w:szCs w:val="22"/>
          <w:lang w:val="sr-Latn-ME"/>
        </w:rPr>
        <w:t>Stopa incidence na 100 pacijent-godina izračunava se kao 100 × (ukupan broj pacijenata koji imaju ≥ 1 događaja tokom primjenjivog perioda izloženosti po ukupnom broju pacijent-godina praćenja).</w:t>
      </w:r>
    </w:p>
    <w:p w:rsidR="00EA0194" w:rsidRPr="00C92663" w:rsidRDefault="00FC2E72" w:rsidP="00C92663">
      <w:pPr>
        <w:widowControl w:val="0"/>
        <w:jc w:val="both"/>
        <w:rPr>
          <w:sz w:val="20"/>
          <w:szCs w:val="22"/>
          <w:lang w:val="sr-Latn-ME"/>
        </w:rPr>
      </w:pPr>
      <w:r w:rsidRPr="00C92663">
        <w:rPr>
          <w:sz w:val="20"/>
          <w:szCs w:val="22"/>
          <w:vertAlign w:val="superscript"/>
          <w:lang w:val="sr-Latn-ME"/>
        </w:rPr>
        <w:t>†</w:t>
      </w:r>
      <w:r w:rsidRPr="00C92663">
        <w:rPr>
          <w:position w:val="8"/>
          <w:sz w:val="20"/>
          <w:szCs w:val="22"/>
          <w:lang w:val="sr-Latn-ME"/>
        </w:rPr>
        <w:t xml:space="preserve"> </w:t>
      </w:r>
      <w:r w:rsidRPr="00C92663">
        <w:rPr>
          <w:sz w:val="20"/>
          <w:szCs w:val="22"/>
          <w:lang w:val="sr-Latn-ME"/>
        </w:rPr>
        <w:t>Na osnovu Coxovog modela stratificiranog prema regijama. Za objedinjene mjere ishoda, p-vrijednosti odgovaraju ispitivanju ne-inferiornosti kojim se želi dokazati da je odnos hazarda (</w:t>
      </w:r>
      <w:r w:rsidRPr="00C92663">
        <w:rPr>
          <w:i/>
          <w:sz w:val="20"/>
          <w:szCs w:val="22"/>
          <w:lang w:val="sr-Latn-ME"/>
        </w:rPr>
        <w:t>hazard ratio)</w:t>
      </w:r>
      <w:r w:rsidRPr="00C92663">
        <w:rPr>
          <w:sz w:val="20"/>
          <w:szCs w:val="22"/>
          <w:lang w:val="sr-Latn-ME"/>
        </w:rPr>
        <w:t xml:space="preserve"> manji od 1,3. Za sve ostale mjere ishoda, p-vrijednosti odgovaraju ispitivanju razlika u </w:t>
      </w:r>
      <w:r w:rsidRPr="00C92663">
        <w:rPr>
          <w:i/>
          <w:sz w:val="20"/>
          <w:szCs w:val="22"/>
          <w:lang w:val="sr-Latn-ME"/>
        </w:rPr>
        <w:t>hazard ratio</w:t>
      </w:r>
      <w:r w:rsidRPr="00C92663">
        <w:rPr>
          <w:sz w:val="20"/>
          <w:szCs w:val="22"/>
          <w:lang w:val="sr-Latn-ME"/>
        </w:rPr>
        <w:t>.</w:t>
      </w:r>
    </w:p>
    <w:p w:rsidR="00EA0194" w:rsidRPr="00C92663" w:rsidRDefault="00FC2E72" w:rsidP="00C92663">
      <w:pPr>
        <w:widowControl w:val="0"/>
        <w:jc w:val="both"/>
        <w:rPr>
          <w:sz w:val="20"/>
          <w:szCs w:val="22"/>
          <w:lang w:val="sr-Latn-ME"/>
        </w:rPr>
      </w:pPr>
      <w:r w:rsidRPr="00C92663">
        <w:rPr>
          <w:sz w:val="20"/>
          <w:szCs w:val="22"/>
          <w:vertAlign w:val="superscript"/>
          <w:lang w:val="sr-Latn-ME"/>
        </w:rPr>
        <w:t>‡</w:t>
      </w:r>
      <w:r w:rsidRPr="00C92663">
        <w:rPr>
          <w:position w:val="8"/>
          <w:sz w:val="20"/>
          <w:szCs w:val="22"/>
          <w:lang w:val="sr-Latn-ME"/>
        </w:rPr>
        <w:t xml:space="preserve"> </w:t>
      </w:r>
      <w:r w:rsidRPr="00C92663">
        <w:rPr>
          <w:sz w:val="20"/>
          <w:szCs w:val="22"/>
          <w:lang w:val="sr-Latn-ME"/>
        </w:rPr>
        <w:t>Analiza hospitalizacije zbog srčane insuficijencije prilagođena je za srčanu insuficijenciju u anamnezi na početku ispitivanja.</w:t>
      </w:r>
    </w:p>
    <w:p w:rsidR="00EA0194" w:rsidRDefault="00EA0194">
      <w:pPr>
        <w:widowControl w:val="0"/>
        <w:numPr>
          <w:ilvl w:val="12"/>
          <w:numId w:val="0"/>
        </w:numPr>
        <w:ind w:right="-2"/>
        <w:jc w:val="both"/>
        <w:rPr>
          <w:szCs w:val="22"/>
          <w:highlight w:val="yellow"/>
          <w:u w:val="single"/>
          <w:lang w:val="sr-Latn-ME"/>
        </w:rPr>
      </w:pPr>
    </w:p>
    <w:p w:rsidR="00EA0194" w:rsidRDefault="00FC2E72">
      <w:pPr>
        <w:widowControl w:val="0"/>
        <w:autoSpaceDE w:val="0"/>
        <w:autoSpaceDN w:val="0"/>
        <w:adjustRightInd w:val="0"/>
        <w:jc w:val="both"/>
        <w:rPr>
          <w:color w:val="000000"/>
          <w:szCs w:val="22"/>
          <w:u w:val="single"/>
          <w:lang w:val="sr-Latn-ME"/>
        </w:rPr>
      </w:pPr>
      <w:r>
        <w:rPr>
          <w:color w:val="000000"/>
          <w:szCs w:val="22"/>
          <w:u w:val="single"/>
          <w:lang w:val="sr-Latn-ME"/>
        </w:rPr>
        <w:t>Pedijatrijska populacija</w:t>
      </w:r>
    </w:p>
    <w:p w:rsidR="00EA0194" w:rsidRDefault="00FC2E72" w:rsidP="00C92663">
      <w:pPr>
        <w:widowControl w:val="0"/>
        <w:autoSpaceDE w:val="0"/>
        <w:autoSpaceDN w:val="0"/>
        <w:adjustRightInd w:val="0"/>
        <w:jc w:val="both"/>
        <w:rPr>
          <w:rFonts w:eastAsia="TimesNewRoman"/>
          <w:szCs w:val="22"/>
          <w:lang w:val="sr-Latn-ME" w:eastAsia="hr-HR"/>
        </w:rPr>
      </w:pPr>
      <w:r>
        <w:rPr>
          <w:rFonts w:eastAsia="TimesNewRoman"/>
          <w:szCs w:val="22"/>
          <w:lang w:val="sr-Latn-ME" w:eastAsia="hr-HR"/>
        </w:rPr>
        <w:t>Dvostruko slijepa studija, u trajanju od 54 sedmice je sprovedena u cilju procjene efikasnosti i bezbjednosti primjene 100 mg sitagliptina jednom dnevno kod pedijatrijskih pacijenata (uzrasta od 10 do 17 godina) sa tipom 2 dijabetesa koji nijesu koristili antihiperglikemijsku terapiju najmanje 12 sedmica (sa vrijednostima HbA</w:t>
      </w:r>
      <w:r>
        <w:rPr>
          <w:rFonts w:eastAsia="TimesNewRoman"/>
          <w:szCs w:val="22"/>
          <w:vertAlign w:val="subscript"/>
          <w:lang w:val="sr-Latn-ME" w:eastAsia="hr-HR"/>
        </w:rPr>
        <w:t>1c</w:t>
      </w:r>
      <w:r>
        <w:rPr>
          <w:rFonts w:eastAsia="TimesNewRoman"/>
          <w:szCs w:val="22"/>
          <w:lang w:val="sr-Latn-ME" w:eastAsia="hr-HR"/>
        </w:rPr>
        <w:t xml:space="preserve"> od 6.5% do 10%) ili su bili na stabilnim dozama insulina najmanje 12 sedmica (sa vrijednostima HbA</w:t>
      </w:r>
      <w:r>
        <w:rPr>
          <w:rFonts w:eastAsia="TimesNewRoman"/>
          <w:szCs w:val="22"/>
          <w:vertAlign w:val="subscript"/>
          <w:lang w:val="sr-Latn-ME" w:eastAsia="hr-HR"/>
        </w:rPr>
        <w:t>1c</w:t>
      </w:r>
      <w:r>
        <w:rPr>
          <w:rFonts w:eastAsia="TimesNewRoman"/>
          <w:szCs w:val="22"/>
          <w:lang w:val="sr-Latn-ME" w:eastAsia="hr-HR"/>
        </w:rPr>
        <w:t xml:space="preserve"> od 7% do 10%). Pacijenti su randomizovano koristili 100 mg sitagliptina jednom dnevno ili placebo u toku</w:t>
      </w:r>
      <w:r>
        <w:rPr>
          <w:rFonts w:eastAsia="TimesNewRoman"/>
          <w:color w:val="000000"/>
          <w:szCs w:val="22"/>
          <w:lang w:val="sr-Latn-ME" w:eastAsia="hr-HR"/>
        </w:rPr>
        <w:t xml:space="preserve"> 20</w:t>
      </w:r>
      <w:r>
        <w:rPr>
          <w:rFonts w:eastAsia="TimesNewRoman"/>
          <w:color w:val="FF0000"/>
          <w:szCs w:val="22"/>
          <w:lang w:val="sr-Latn-ME" w:eastAsia="hr-HR"/>
        </w:rPr>
        <w:t xml:space="preserve"> </w:t>
      </w:r>
      <w:r>
        <w:rPr>
          <w:rFonts w:eastAsia="TimesNewRoman"/>
          <w:szCs w:val="22"/>
          <w:lang w:val="sr-Latn-ME" w:eastAsia="hr-HR"/>
        </w:rPr>
        <w:t>sedmica.</w:t>
      </w:r>
    </w:p>
    <w:p w:rsidR="00EA0194" w:rsidRDefault="00EA0194" w:rsidP="00C92663">
      <w:pPr>
        <w:widowControl w:val="0"/>
        <w:autoSpaceDE w:val="0"/>
        <w:autoSpaceDN w:val="0"/>
        <w:adjustRightInd w:val="0"/>
        <w:jc w:val="both"/>
        <w:rPr>
          <w:rFonts w:eastAsia="TimesNewRoman"/>
          <w:szCs w:val="22"/>
          <w:lang w:val="sr-Latn-ME" w:eastAsia="hr-HR"/>
        </w:rPr>
      </w:pPr>
    </w:p>
    <w:p w:rsidR="00EA0194" w:rsidRDefault="00FC2E72" w:rsidP="00C92663">
      <w:pPr>
        <w:widowControl w:val="0"/>
        <w:jc w:val="both"/>
        <w:rPr>
          <w:rFonts w:eastAsia="TimesNewRoman"/>
          <w:szCs w:val="22"/>
          <w:lang w:val="sr-Latn-ME" w:eastAsia="hr-HR"/>
        </w:rPr>
      </w:pPr>
      <w:r>
        <w:rPr>
          <w:rFonts w:eastAsia="TimesNewRoman"/>
          <w:szCs w:val="22"/>
          <w:lang w:val="sr-Latn-ME" w:eastAsia="hr-HR"/>
        </w:rPr>
        <w:t>Srednja vrijednost HbA</w:t>
      </w:r>
      <w:r>
        <w:rPr>
          <w:rFonts w:eastAsia="TimesNewRoman"/>
          <w:szCs w:val="22"/>
          <w:vertAlign w:val="subscript"/>
          <w:lang w:val="sr-Latn-ME" w:eastAsia="hr-HR"/>
        </w:rPr>
        <w:t>1c</w:t>
      </w:r>
      <w:r>
        <w:rPr>
          <w:rFonts w:eastAsia="TimesNewRoman"/>
          <w:szCs w:val="22"/>
          <w:lang w:val="sr-Latn-ME" w:eastAsia="hr-HR"/>
        </w:rPr>
        <w:t xml:space="preserve"> na početku ispitivanja iznosila je 7,5%. Liječenje sitagliptinom u dozi od 100 mg nije dovelo do značajnog poboljšanja vrijednosti HbA</w:t>
      </w:r>
      <w:r>
        <w:rPr>
          <w:rFonts w:eastAsia="TimesNewRoman"/>
          <w:szCs w:val="22"/>
          <w:vertAlign w:val="subscript"/>
          <w:lang w:val="sr-Latn-ME" w:eastAsia="hr-HR"/>
        </w:rPr>
        <w:t>1c</w:t>
      </w:r>
      <w:r>
        <w:rPr>
          <w:rFonts w:eastAsia="TimesNewRoman"/>
          <w:szCs w:val="22"/>
          <w:lang w:val="sr-Latn-ME" w:eastAsia="hr-HR"/>
        </w:rPr>
        <w:t xml:space="preserve"> u 20. sedmici. Sniženje vrijednosti HbA</w:t>
      </w:r>
      <w:r>
        <w:rPr>
          <w:rFonts w:eastAsia="TimesNewRoman"/>
          <w:szCs w:val="22"/>
          <w:vertAlign w:val="subscript"/>
          <w:lang w:val="sr-Latn-ME" w:eastAsia="hr-HR"/>
        </w:rPr>
        <w:t>1c</w:t>
      </w:r>
      <w:r>
        <w:rPr>
          <w:rFonts w:eastAsia="TimesNewRoman"/>
          <w:szCs w:val="22"/>
          <w:lang w:val="sr-Latn-ME" w:eastAsia="hr-HR"/>
        </w:rPr>
        <w:t xml:space="preserve"> kod pacijenata liječenih sitagliptinom (N=95) iznosilo je 0,0%, dok je kod onih koji su primali placebo (N=95) iznosilo 0,2%, što čini razliku od -0,2% (95% CI: -0,7; 0,3). Vidjeti dio 4.2.</w:t>
      </w:r>
    </w:p>
    <w:p w:rsidR="00EA0194" w:rsidRDefault="00EA0194">
      <w:pPr>
        <w:jc w:val="both"/>
        <w:rPr>
          <w:szCs w:val="22"/>
          <w:lang w:val="sr-Latn-ME"/>
        </w:rPr>
      </w:pPr>
    </w:p>
    <w:p w:rsidR="00EA0194" w:rsidRDefault="00FC2E72">
      <w:pPr>
        <w:widowControl w:val="0"/>
        <w:ind w:left="567" w:hanging="567"/>
        <w:jc w:val="both"/>
        <w:outlineLvl w:val="0"/>
        <w:rPr>
          <w:b/>
          <w:szCs w:val="22"/>
          <w:lang w:val="sr-Latn-ME"/>
        </w:rPr>
      </w:pPr>
      <w:r>
        <w:rPr>
          <w:b/>
          <w:szCs w:val="22"/>
          <w:lang w:val="sr-Latn-ME"/>
        </w:rPr>
        <w:t>5.2</w:t>
      </w:r>
      <w:r>
        <w:rPr>
          <w:b/>
          <w:szCs w:val="22"/>
          <w:lang w:val="sr-Latn-ME"/>
        </w:rPr>
        <w:tab/>
      </w:r>
      <w:r>
        <w:rPr>
          <w:b/>
          <w:bCs/>
          <w:szCs w:val="22"/>
          <w:lang w:val="sr-Latn-ME"/>
        </w:rPr>
        <w:t>Farmakokinetički podaci</w:t>
      </w:r>
    </w:p>
    <w:p w:rsidR="00EA0194" w:rsidRDefault="00EA0194">
      <w:pPr>
        <w:widowControl w:val="0"/>
        <w:jc w:val="both"/>
        <w:rPr>
          <w:szCs w:val="22"/>
          <w:lang w:val="sr-Latn-ME"/>
        </w:rPr>
      </w:pPr>
    </w:p>
    <w:p w:rsidR="00EA0194" w:rsidRDefault="00FC2E72">
      <w:pPr>
        <w:keepNext/>
        <w:widowControl w:val="0"/>
        <w:numPr>
          <w:ilvl w:val="12"/>
          <w:numId w:val="0"/>
        </w:numPr>
        <w:ind w:right="-2"/>
        <w:jc w:val="both"/>
        <w:rPr>
          <w:iCs/>
          <w:szCs w:val="22"/>
          <w:u w:val="single"/>
          <w:lang w:val="sr-Latn-ME"/>
        </w:rPr>
      </w:pPr>
      <w:r>
        <w:rPr>
          <w:iCs/>
          <w:szCs w:val="22"/>
          <w:u w:val="single"/>
          <w:lang w:val="sr-Latn-ME"/>
        </w:rPr>
        <w:t>Repsorpcija</w:t>
      </w:r>
    </w:p>
    <w:p w:rsidR="00EA0194" w:rsidRDefault="00FC2E72">
      <w:pPr>
        <w:numPr>
          <w:ilvl w:val="12"/>
          <w:numId w:val="0"/>
        </w:numPr>
        <w:tabs>
          <w:tab w:val="left" w:pos="8505"/>
        </w:tabs>
        <w:kinsoku w:val="0"/>
        <w:overflowPunct w:val="0"/>
        <w:ind w:right="94"/>
        <w:jc w:val="both"/>
        <w:rPr>
          <w:szCs w:val="22"/>
          <w:lang w:val="sr-Latn-ME"/>
        </w:rPr>
      </w:pPr>
      <w:r>
        <w:rPr>
          <w:szCs w:val="22"/>
          <w:lang w:val="sr-Latn-ME"/>
        </w:rPr>
        <w:t>Nakon peroralne primjene doze od 100 mg kod zdravih pacijenata sitagliptin se brzo resorbuje, a maksimalne koncentracije u plazmi (medijana t</w:t>
      </w:r>
      <w:r>
        <w:rPr>
          <w:szCs w:val="22"/>
          <w:vertAlign w:val="subscript"/>
          <w:lang w:val="sr-Latn-ME"/>
        </w:rPr>
        <w:t>max</w:t>
      </w:r>
      <w:r>
        <w:rPr>
          <w:szCs w:val="22"/>
          <w:lang w:val="sr-Latn-ME"/>
        </w:rPr>
        <w:t>) nastupaju 1 do 4 sata nakon primjene doze; srednja vrijednost PIK sitagliptina u plazmi bila je 8,52 µm•h, a C</w:t>
      </w:r>
      <w:r>
        <w:rPr>
          <w:szCs w:val="22"/>
          <w:vertAlign w:val="subscript"/>
          <w:lang w:val="sr-Latn-ME"/>
        </w:rPr>
        <w:t>max</w:t>
      </w:r>
      <w:r>
        <w:rPr>
          <w:szCs w:val="22"/>
          <w:lang w:val="sr-Latn-ME"/>
        </w:rPr>
        <w:t xml:space="preserve"> 950 nm. Apsolutna bioraspoloživost </w:t>
      </w:r>
      <w:r>
        <w:rPr>
          <w:szCs w:val="22"/>
          <w:lang w:val="sr-Latn-ME"/>
        </w:rPr>
        <w:lastRenderedPageBreak/>
        <w:t>sitagliptina je približno 87%. Budući da istovremeno uzimanje sitagliptina s punomasnim obrokom nema efekta na farmakokinetiku, lijek Maysiglu se može uzimati sa hranom ili bez nje.</w:t>
      </w: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PIK sitagliptina u plazmi povećava se proporcionalno dozi. Proporcionalnost dozi nije utvrđena za C</w:t>
      </w:r>
      <w:r>
        <w:rPr>
          <w:szCs w:val="22"/>
          <w:vertAlign w:val="subscript"/>
          <w:lang w:val="sr-Latn-ME"/>
        </w:rPr>
        <w:t>max</w:t>
      </w:r>
      <w:r>
        <w:rPr>
          <w:szCs w:val="22"/>
          <w:lang w:val="sr-Latn-ME"/>
        </w:rPr>
        <w:t xml:space="preserve"> i C</w:t>
      </w:r>
      <w:r>
        <w:rPr>
          <w:szCs w:val="22"/>
          <w:vertAlign w:val="subscript"/>
          <w:lang w:val="sr-Latn-ME"/>
        </w:rPr>
        <w:t>24h</w:t>
      </w:r>
      <w:r>
        <w:rPr>
          <w:szCs w:val="22"/>
          <w:lang w:val="sr-Latn-ME"/>
        </w:rPr>
        <w:t xml:space="preserve"> (povećanje C</w:t>
      </w:r>
      <w:r>
        <w:rPr>
          <w:szCs w:val="22"/>
          <w:vertAlign w:val="subscript"/>
          <w:lang w:val="sr-Latn-ME"/>
        </w:rPr>
        <w:t>max</w:t>
      </w:r>
      <w:r>
        <w:rPr>
          <w:szCs w:val="22"/>
          <w:lang w:val="sr-Latn-ME"/>
        </w:rPr>
        <w:t xml:space="preserve"> je bilo veće, a C</w:t>
      </w:r>
      <w:r>
        <w:rPr>
          <w:szCs w:val="22"/>
          <w:vertAlign w:val="subscript"/>
          <w:lang w:val="sr-Latn-ME"/>
        </w:rPr>
        <w:t>24h</w:t>
      </w:r>
      <w:r>
        <w:rPr>
          <w:szCs w:val="22"/>
          <w:lang w:val="sr-Latn-ME"/>
        </w:rPr>
        <w:t xml:space="preserve"> manje od povećanja proporcionalnog dozi).</w:t>
      </w:r>
    </w:p>
    <w:p w:rsidR="00EA0194" w:rsidRDefault="00EA0194">
      <w:pPr>
        <w:widowControl w:val="0"/>
        <w:numPr>
          <w:ilvl w:val="12"/>
          <w:numId w:val="0"/>
        </w:numPr>
        <w:ind w:right="-2"/>
        <w:jc w:val="both"/>
        <w:rPr>
          <w:iCs/>
          <w:szCs w:val="22"/>
          <w:u w:val="single"/>
          <w:lang w:val="sr-Latn-ME"/>
        </w:rPr>
      </w:pPr>
    </w:p>
    <w:p w:rsidR="00EA0194" w:rsidRDefault="00FC2E72">
      <w:pPr>
        <w:widowControl w:val="0"/>
        <w:numPr>
          <w:ilvl w:val="12"/>
          <w:numId w:val="0"/>
        </w:numPr>
        <w:ind w:right="-2"/>
        <w:jc w:val="both"/>
        <w:rPr>
          <w:iCs/>
          <w:szCs w:val="22"/>
          <w:u w:val="single"/>
          <w:lang w:val="sr-Latn-ME"/>
        </w:rPr>
      </w:pPr>
      <w:r>
        <w:rPr>
          <w:iCs/>
          <w:szCs w:val="22"/>
          <w:u w:val="single"/>
          <w:lang w:val="sr-Latn-ME"/>
        </w:rPr>
        <w:t>Distribucija</w:t>
      </w: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Srednji volumen distribucije sitagliptina u stanju dinamičke ravnoteže nakon primjene jednokratne intravenske doze od 100 mg kod zdravih ispitanika je približno 198 litara. Udio sitagliptina reverzibilno vezanog za proteine plazme je nizak (38%).</w:t>
      </w:r>
    </w:p>
    <w:p w:rsidR="00EA0194" w:rsidRDefault="00EA0194">
      <w:pPr>
        <w:widowControl w:val="0"/>
        <w:numPr>
          <w:ilvl w:val="12"/>
          <w:numId w:val="0"/>
        </w:numPr>
        <w:ind w:right="-2"/>
        <w:jc w:val="both"/>
        <w:rPr>
          <w:iCs/>
          <w:szCs w:val="22"/>
          <w:u w:val="single"/>
          <w:lang w:val="sr-Latn-ME"/>
        </w:rPr>
      </w:pPr>
    </w:p>
    <w:p w:rsidR="00EA0194" w:rsidRDefault="00FC2E72">
      <w:pPr>
        <w:widowControl w:val="0"/>
        <w:numPr>
          <w:ilvl w:val="12"/>
          <w:numId w:val="0"/>
        </w:numPr>
        <w:ind w:right="-2"/>
        <w:jc w:val="both"/>
        <w:rPr>
          <w:iCs/>
          <w:szCs w:val="22"/>
          <w:u w:val="single"/>
          <w:lang w:val="sr-Latn-ME"/>
        </w:rPr>
      </w:pPr>
      <w:r>
        <w:rPr>
          <w:iCs/>
          <w:szCs w:val="22"/>
          <w:u w:val="single"/>
          <w:lang w:val="sr-Latn-ME"/>
        </w:rPr>
        <w:t>Biotransformacija</w:t>
      </w:r>
    </w:p>
    <w:p w:rsidR="00EA0194" w:rsidRDefault="00FC2E72">
      <w:pPr>
        <w:jc w:val="both"/>
        <w:rPr>
          <w:szCs w:val="22"/>
          <w:lang w:val="sr-Latn-ME"/>
        </w:rPr>
      </w:pPr>
      <w:r>
        <w:rPr>
          <w:szCs w:val="22"/>
          <w:lang w:val="sr-Latn-ME"/>
        </w:rPr>
        <w:t>Sitagliptin se primarno eliminiše neizmijenjen urinom, a tek manji dio se metaboliše. Približno se 79% sitagliptina u neizmijenjenom obliku izluči urinom.</w:t>
      </w:r>
    </w:p>
    <w:p w:rsidR="00EA0194" w:rsidRDefault="00EA0194">
      <w:pPr>
        <w:jc w:val="both"/>
        <w:rPr>
          <w:szCs w:val="22"/>
          <w:lang w:val="sr-Latn-ME"/>
        </w:rPr>
      </w:pPr>
    </w:p>
    <w:p w:rsidR="00EA0194" w:rsidRDefault="00FC2E72">
      <w:pPr>
        <w:jc w:val="both"/>
        <w:rPr>
          <w:szCs w:val="22"/>
          <w:lang w:val="sr-Latn-ME"/>
        </w:rPr>
      </w:pPr>
      <w:r>
        <w:rPr>
          <w:szCs w:val="22"/>
          <w:lang w:val="sr-Latn-ME"/>
        </w:rPr>
        <w:t>Nakon peroralne primjene doze [</w:t>
      </w:r>
      <w:r>
        <w:rPr>
          <w:szCs w:val="22"/>
          <w:vertAlign w:val="superscript"/>
          <w:lang w:val="sr-Latn-ME"/>
        </w:rPr>
        <w:t>14</w:t>
      </w:r>
      <w:r>
        <w:rPr>
          <w:szCs w:val="22"/>
          <w:lang w:val="sr-Latn-ME"/>
        </w:rPr>
        <w:t xml:space="preserve">C]sitagliptina približno 16% radioaktivnosti izluči se u obliku metabolita sitagliptina. Otkriveno je šest metabolita u tragovima i ne očekuje se da oni doprinose inhibitornoj aktivnosti sitagliptina u plazmi na DPP-4. Istraživanja </w:t>
      </w:r>
      <w:r>
        <w:rPr>
          <w:i/>
          <w:iCs/>
          <w:szCs w:val="22"/>
          <w:lang w:val="sr-Latn-ME"/>
        </w:rPr>
        <w:t xml:space="preserve">in vitro </w:t>
      </w:r>
      <w:r>
        <w:rPr>
          <w:szCs w:val="22"/>
          <w:lang w:val="sr-Latn-ME"/>
        </w:rPr>
        <w:t>ukazuju na to da je za ograničeni metabolizam sitagliptina primarno odgovoran CYP3A4, uz doprinos CYP2C8.</w:t>
      </w:r>
    </w:p>
    <w:p w:rsidR="00EA0194" w:rsidRDefault="00EA0194">
      <w:pPr>
        <w:jc w:val="both"/>
        <w:rPr>
          <w:szCs w:val="22"/>
          <w:lang w:val="sr-Latn-ME"/>
        </w:rPr>
      </w:pPr>
    </w:p>
    <w:p w:rsidR="00EA0194" w:rsidRDefault="00FC2E72">
      <w:pPr>
        <w:jc w:val="both"/>
        <w:rPr>
          <w:szCs w:val="22"/>
          <w:lang w:val="sr-Latn-ME"/>
        </w:rPr>
      </w:pPr>
      <w:r>
        <w:rPr>
          <w:i/>
          <w:iCs/>
          <w:szCs w:val="22"/>
          <w:lang w:val="sr-Latn-ME"/>
        </w:rPr>
        <w:t xml:space="preserve">In vitro </w:t>
      </w:r>
      <w:r>
        <w:rPr>
          <w:szCs w:val="22"/>
          <w:lang w:val="sr-Latn-ME"/>
        </w:rPr>
        <w:t>podaci pokazali su da sitagliptin nije inhibitor CYP izoenzima CYP3A4, 2C8, 2C9, 2D6, 1A2, 2C19 ili 2B6 te da nije induktor CYP3A4 i CYP1A2.</w:t>
      </w:r>
    </w:p>
    <w:p w:rsidR="00EA0194" w:rsidRDefault="00EA0194">
      <w:pPr>
        <w:widowControl w:val="0"/>
        <w:numPr>
          <w:ilvl w:val="12"/>
          <w:numId w:val="0"/>
        </w:numPr>
        <w:ind w:right="-2"/>
        <w:jc w:val="both"/>
        <w:rPr>
          <w:iCs/>
          <w:szCs w:val="22"/>
          <w:highlight w:val="yellow"/>
          <w:u w:val="single"/>
          <w:lang w:val="sr-Latn-ME"/>
        </w:rPr>
      </w:pPr>
    </w:p>
    <w:p w:rsidR="00EA0194" w:rsidRDefault="00FC2E72">
      <w:pPr>
        <w:widowControl w:val="0"/>
        <w:numPr>
          <w:ilvl w:val="12"/>
          <w:numId w:val="0"/>
        </w:numPr>
        <w:ind w:right="-2"/>
        <w:jc w:val="both"/>
        <w:rPr>
          <w:iCs/>
          <w:szCs w:val="22"/>
          <w:u w:val="single"/>
          <w:lang w:val="sr-Latn-ME"/>
        </w:rPr>
      </w:pPr>
      <w:r>
        <w:rPr>
          <w:iCs/>
          <w:szCs w:val="22"/>
          <w:u w:val="single"/>
          <w:lang w:val="sr-Latn-ME"/>
        </w:rPr>
        <w:t>Eliminacija</w:t>
      </w:r>
    </w:p>
    <w:p w:rsidR="00EA0194" w:rsidRDefault="00FC2E72">
      <w:pPr>
        <w:autoSpaceDE w:val="0"/>
        <w:autoSpaceDN w:val="0"/>
        <w:adjustRightInd w:val="0"/>
        <w:jc w:val="both"/>
        <w:rPr>
          <w:szCs w:val="22"/>
          <w:lang w:val="sr-Latn-ME"/>
        </w:rPr>
      </w:pPr>
      <w:r>
        <w:rPr>
          <w:szCs w:val="22"/>
          <w:lang w:val="sr-Latn-ME"/>
        </w:rPr>
        <w:t>Nakon peroralne doze [</w:t>
      </w:r>
      <w:r>
        <w:rPr>
          <w:szCs w:val="22"/>
          <w:vertAlign w:val="superscript"/>
          <w:lang w:val="sr-Latn-ME"/>
        </w:rPr>
        <w:t>14</w:t>
      </w:r>
      <w:r>
        <w:rPr>
          <w:szCs w:val="22"/>
          <w:lang w:val="sr-Latn-ME"/>
        </w:rPr>
        <w:t>C] sitagliptina, zdravim ispitanicima približno 100% primijenjene radioaktivnosti eliminisalo se fecesom (13%) ili urinom (87%) u roku od jedne sedmice od doziranja. Prividno terminalno t</w:t>
      </w:r>
      <w:r>
        <w:rPr>
          <w:szCs w:val="22"/>
          <w:vertAlign w:val="subscript"/>
          <w:lang w:val="sr-Latn-ME"/>
        </w:rPr>
        <w:t xml:space="preserve">1/2 </w:t>
      </w:r>
      <w:r>
        <w:rPr>
          <w:szCs w:val="22"/>
          <w:lang w:val="sr-Latn-ME"/>
        </w:rPr>
        <w:t>sitagliptina nakon peroralne doze od 100 mg bilo je približno 12,4 sata. Akumulacija sitagliptina nakon višekratnih doza je minimalna. Bubrežni klirens sitagliptina bio je približno 350 ml/min.</w:t>
      </w:r>
    </w:p>
    <w:p w:rsidR="00EA0194" w:rsidRDefault="00EA0194">
      <w:pPr>
        <w:autoSpaceDE w:val="0"/>
        <w:autoSpaceDN w:val="0"/>
        <w:adjustRightInd w:val="0"/>
        <w:jc w:val="both"/>
        <w:rPr>
          <w:szCs w:val="22"/>
          <w:lang w:val="sr-Latn-ME"/>
        </w:rPr>
      </w:pPr>
    </w:p>
    <w:p w:rsidR="00EA0194" w:rsidRDefault="00FC2E72">
      <w:pPr>
        <w:autoSpaceDE w:val="0"/>
        <w:autoSpaceDN w:val="0"/>
        <w:adjustRightInd w:val="0"/>
        <w:jc w:val="both"/>
        <w:rPr>
          <w:szCs w:val="22"/>
          <w:lang w:val="sr-Latn-ME"/>
        </w:rPr>
      </w:pPr>
      <w:r>
        <w:rPr>
          <w:szCs w:val="22"/>
          <w:lang w:val="sr-Latn-ME"/>
        </w:rPr>
        <w:t xml:space="preserve">Eliminacija sitagliptina se primarno odvija izlučivanjem putem bubrega i uključuje aktivnu tubularnu sekreciju. Sitagliptin je supstrat humanog organskog anjonskog transportera-3 (hOAT-3) koji bi mogao biti uključen u eliminaciju sitagliptina putem bubrega. Dosad nije utvrđen klinički značaj hOAT-3 u transportu sitagliptina. Sitagliptin je takođe supstrat p-glikoproteina koji bi takođe mogao posredovati u eliminaciji sitagliptina putem bubrega. Međutim, ciklosporin, inhibitor p-glikoproteina, nije smanjio bubrežni klirens sitagliptina. Sitagliptin nije supstrat transportera OCT2 ili OAT1 ili PEPT1/2. </w:t>
      </w:r>
      <w:r>
        <w:rPr>
          <w:i/>
          <w:szCs w:val="22"/>
          <w:lang w:val="sr-Latn-ME"/>
        </w:rPr>
        <w:t>In vitro</w:t>
      </w:r>
      <w:r>
        <w:rPr>
          <w:szCs w:val="22"/>
          <w:lang w:val="sr-Latn-ME"/>
        </w:rPr>
        <w:t xml:space="preserve"> sitagliptin nije inhibirao transport posredovan OAT3 (IC50=160 μm) ili p-glikoproteinom (do 250 μm) pri terapijski značajnim koncentracijama u plazmi. U jednom kliničkom ispitivanju sitagliptin je imao neznatan efekat na koncentracije digoksina u plazmi, što ukazuje da bi sitagliptin mogao biti blagi inhibitor p-glikoproteina.</w:t>
      </w:r>
    </w:p>
    <w:p w:rsidR="00EA0194" w:rsidRDefault="00EA0194">
      <w:pPr>
        <w:autoSpaceDE w:val="0"/>
        <w:autoSpaceDN w:val="0"/>
        <w:adjustRightInd w:val="0"/>
        <w:jc w:val="both"/>
        <w:rPr>
          <w:szCs w:val="22"/>
          <w:lang w:val="sr-Latn-ME"/>
        </w:rPr>
      </w:pPr>
    </w:p>
    <w:p w:rsidR="00EA0194" w:rsidRDefault="00FC2E72">
      <w:pPr>
        <w:autoSpaceDE w:val="0"/>
        <w:autoSpaceDN w:val="0"/>
        <w:adjustRightInd w:val="0"/>
        <w:jc w:val="both"/>
        <w:rPr>
          <w:szCs w:val="22"/>
          <w:u w:val="single"/>
          <w:lang w:val="sr-Latn-ME"/>
        </w:rPr>
      </w:pPr>
      <w:r>
        <w:rPr>
          <w:szCs w:val="22"/>
          <w:u w:val="single"/>
          <w:lang w:val="sr-Latn-ME"/>
        </w:rPr>
        <w:t>Pojedinosti kod pacijenata</w:t>
      </w:r>
    </w:p>
    <w:p w:rsidR="00EA0194" w:rsidRDefault="00FC2E72">
      <w:pPr>
        <w:autoSpaceDE w:val="0"/>
        <w:autoSpaceDN w:val="0"/>
        <w:adjustRightInd w:val="0"/>
        <w:jc w:val="both"/>
        <w:rPr>
          <w:szCs w:val="22"/>
          <w:lang w:val="sr-Latn-ME"/>
        </w:rPr>
      </w:pPr>
      <w:r>
        <w:rPr>
          <w:szCs w:val="22"/>
          <w:lang w:val="sr-Latn-ME"/>
        </w:rPr>
        <w:t>Farmakokinetika sitagliptina u principu je slična kod zdravih ispitanika i pacijenata s dijabetesom tipa 2.</w:t>
      </w:r>
    </w:p>
    <w:p w:rsidR="00EA0194" w:rsidRDefault="00EA0194">
      <w:pPr>
        <w:widowControl w:val="0"/>
        <w:ind w:right="-2"/>
        <w:jc w:val="both"/>
        <w:rPr>
          <w:iCs/>
          <w:szCs w:val="22"/>
          <w:u w:val="single"/>
          <w:lang w:val="sr-Latn-ME"/>
        </w:rPr>
      </w:pPr>
    </w:p>
    <w:p w:rsidR="00EA0194" w:rsidRDefault="00FC2E72">
      <w:pPr>
        <w:widowControl w:val="0"/>
        <w:ind w:right="-2"/>
        <w:jc w:val="both"/>
        <w:rPr>
          <w:iCs/>
          <w:szCs w:val="22"/>
          <w:u w:val="single"/>
          <w:lang w:val="sr-Latn-ME"/>
        </w:rPr>
      </w:pPr>
      <w:r>
        <w:rPr>
          <w:iCs/>
          <w:szCs w:val="22"/>
          <w:u w:val="single"/>
          <w:lang w:val="sr-Latn-ME"/>
        </w:rPr>
        <w:t>Oštećenje funkcije bubrega</w:t>
      </w:r>
    </w:p>
    <w:p w:rsidR="00EA0194" w:rsidRDefault="00FC2E72">
      <w:pPr>
        <w:numPr>
          <w:ilvl w:val="12"/>
          <w:numId w:val="0"/>
        </w:numPr>
        <w:tabs>
          <w:tab w:val="left" w:pos="8505"/>
        </w:tabs>
        <w:kinsoku w:val="0"/>
        <w:overflowPunct w:val="0"/>
        <w:ind w:right="155"/>
        <w:jc w:val="both"/>
        <w:rPr>
          <w:szCs w:val="22"/>
          <w:lang w:val="sr-Latn-ME"/>
        </w:rPr>
      </w:pPr>
      <w:r>
        <w:rPr>
          <w:szCs w:val="22"/>
          <w:lang w:val="sr-Latn-ME"/>
        </w:rPr>
        <w:t>U sprovedenom otvorenom ispitivanju primjene jedne doze lijeka utvrđivala se farmakokinetika snižene doze sitagliptina (50 mg) kod pacijenata s različitim stepenima hroničnog oštećenja funkcije bubrega u odnosu na zdrave kontrolne ispitanike. U ispitivanje su uključeni pacijenti s blagim, umjerenim i teškim oštećenjem funkcije bubrega, kao i pacijenti na hemodijalizi u završnoj fazi bubrežne bolesti. Osim toga, pomoću populacionih farmakokinetičkih analiza procijenjeni su efekti oštećenja funkcije bubrega na farmakokinetiku sitagliptina kod pacijenata sa šećernom bolešću tipa 2 i blagim, umjerenim ili teškim oštećenjem funkcije bubrega (uključujući završnu fazu bubrežne bolesti).</w:t>
      </w:r>
    </w:p>
    <w:p w:rsidR="00EA0194" w:rsidRDefault="00EA0194">
      <w:pPr>
        <w:autoSpaceDE w:val="0"/>
        <w:autoSpaceDN w:val="0"/>
        <w:adjustRightInd w:val="0"/>
        <w:jc w:val="both"/>
        <w:rPr>
          <w:iCs/>
          <w:szCs w:val="22"/>
          <w:highlight w:val="yellow"/>
          <w:u w:val="single"/>
          <w:lang w:val="sr-Latn-ME"/>
        </w:rPr>
      </w:pP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 xml:space="preserve">U poređenju sa zdravim kontrolisanim ispitanicima, kod pacijenata s blagim oštećenjem funkcije bubrega (GFR od ≥ 60 do &lt; 90 ml/min) i pacijenata s umjerenim oštećenjem funkcije bubrega (GFR </w:t>
      </w:r>
      <w:r>
        <w:rPr>
          <w:szCs w:val="22"/>
          <w:lang w:val="sr-Latn-ME"/>
        </w:rPr>
        <w:lastRenderedPageBreak/>
        <w:t>≥ 45 do &lt; 60 ml/min) PIK sitagliptina u plazmi je bio povišen 1,2 puta odnosno 1,6 puta. Budući da povećanja ovog reda nijesu klinički značajna, kod ovih pacijenata nije potrebno prilagođavanje doze.</w:t>
      </w:r>
    </w:p>
    <w:p w:rsidR="00EA0194" w:rsidRDefault="00EA0194">
      <w:pPr>
        <w:widowControl w:val="0"/>
        <w:numPr>
          <w:ilvl w:val="12"/>
          <w:numId w:val="0"/>
        </w:numPr>
        <w:ind w:right="-2"/>
        <w:jc w:val="both"/>
        <w:rPr>
          <w:szCs w:val="22"/>
          <w:lang w:val="sr-Latn-ME"/>
        </w:rPr>
      </w:pP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lang w:val="sr-Latn-ME"/>
        </w:rPr>
        <w:t>PIK sitagliptina u plazmi bio je povišen približno 2 puta kod pacijenata s umjerenim oštećenjem funkcije bubrega (GFR ≥ 30 do &lt; 45 ml/min) i približno 4 puta kod pacijenata s teškim oštećenjem funkcije bubrega (GFR &lt; 30 ml/min), uključujući pacijente na hemodijalizi u završnoj fazi bubrežne bolesti. Sitagliptin se manjim dijelom uklanjao hemodijalizom (13,5% tokom hemodijalize u trajanju 3 do 4 sata započete 4 sata nakon primjene doze). Kako bi se postigle koncentracije sitagliptina u plazmi slične onima kod pacijenata s normalnom funkcijom bubrega, preporučuje se primjena nižih doza lijeka kod pacijenata s GFR-om &lt; 45 ml/min (vidjeti dio 4.2).</w:t>
      </w:r>
    </w:p>
    <w:p w:rsidR="00EA0194" w:rsidRDefault="00EA0194">
      <w:pPr>
        <w:widowControl w:val="0"/>
        <w:numPr>
          <w:ilvl w:val="12"/>
          <w:numId w:val="0"/>
        </w:numPr>
        <w:ind w:right="-2"/>
        <w:jc w:val="both"/>
        <w:rPr>
          <w:iCs/>
          <w:szCs w:val="22"/>
          <w:highlight w:val="yellow"/>
          <w:u w:val="single"/>
          <w:lang w:val="sr-Latn-ME"/>
        </w:rPr>
      </w:pPr>
    </w:p>
    <w:p w:rsidR="00EA0194" w:rsidRDefault="00FC2E72">
      <w:pPr>
        <w:widowControl w:val="0"/>
        <w:ind w:right="-2"/>
        <w:jc w:val="both"/>
        <w:rPr>
          <w:iCs/>
          <w:szCs w:val="22"/>
          <w:u w:val="single"/>
          <w:lang w:val="sr-Latn-ME"/>
        </w:rPr>
      </w:pPr>
      <w:r>
        <w:rPr>
          <w:iCs/>
          <w:szCs w:val="22"/>
          <w:u w:val="single"/>
          <w:lang w:val="sr-Latn-ME"/>
        </w:rPr>
        <w:t>Oštećenje funkcije jetre</w:t>
      </w:r>
    </w:p>
    <w:p w:rsidR="00EA0194" w:rsidRDefault="00FC2E72">
      <w:pPr>
        <w:numPr>
          <w:ilvl w:val="12"/>
          <w:numId w:val="0"/>
        </w:numPr>
        <w:tabs>
          <w:tab w:val="left" w:pos="8505"/>
        </w:tabs>
        <w:kinsoku w:val="0"/>
        <w:overflowPunct w:val="0"/>
        <w:ind w:right="73"/>
        <w:jc w:val="both"/>
        <w:rPr>
          <w:szCs w:val="22"/>
          <w:lang w:val="sr-Latn-ME"/>
        </w:rPr>
      </w:pPr>
      <w:r>
        <w:rPr>
          <w:szCs w:val="22"/>
          <w:lang w:val="sr-Latn-ME"/>
        </w:rPr>
        <w:t>Nije potrebno prilagođavanje doze lijeka Maysiglu kod pacijenata s blagim ili umjerenim oštećenjem funkcije jetre (Child-Pugh rezultat ≤9). Nema kliničkog iskustva kod pacijenata s teškim oštećenjem funkcije jetre (Child-Pugh rezultat &gt;9). Međutim, budući da se sitagliptin primarno eliminiše putem bubrega, ne očekuje se da će teško oštećenje funkcije jetre uticati na farmakokinetiku sitagliptina.</w:t>
      </w:r>
    </w:p>
    <w:p w:rsidR="00EA0194" w:rsidRDefault="00EA0194">
      <w:pPr>
        <w:widowControl w:val="0"/>
        <w:numPr>
          <w:ilvl w:val="12"/>
          <w:numId w:val="0"/>
        </w:numPr>
        <w:ind w:right="-2"/>
        <w:jc w:val="both"/>
        <w:rPr>
          <w:iCs/>
          <w:szCs w:val="22"/>
          <w:u w:val="single"/>
          <w:lang w:val="sr-Latn-ME"/>
        </w:rPr>
      </w:pPr>
    </w:p>
    <w:p w:rsidR="00EA0194" w:rsidRDefault="00FC2E72">
      <w:pPr>
        <w:widowControl w:val="0"/>
        <w:numPr>
          <w:ilvl w:val="12"/>
          <w:numId w:val="0"/>
        </w:numPr>
        <w:ind w:right="-2"/>
        <w:jc w:val="both"/>
        <w:rPr>
          <w:iCs/>
          <w:szCs w:val="22"/>
          <w:u w:val="single"/>
          <w:lang w:val="sr-Latn-ME"/>
        </w:rPr>
      </w:pPr>
      <w:r>
        <w:rPr>
          <w:iCs/>
          <w:szCs w:val="22"/>
          <w:u w:val="single"/>
          <w:lang w:val="sr-Latn-ME"/>
        </w:rPr>
        <w:t>Starije osobe</w:t>
      </w:r>
    </w:p>
    <w:p w:rsidR="00EA0194" w:rsidRDefault="00FC2E72">
      <w:pPr>
        <w:widowControl w:val="0"/>
        <w:numPr>
          <w:ilvl w:val="12"/>
          <w:numId w:val="0"/>
        </w:numPr>
        <w:ind w:right="-2"/>
        <w:jc w:val="both"/>
        <w:rPr>
          <w:iCs/>
          <w:szCs w:val="22"/>
          <w:lang w:val="sr-Latn-ME"/>
        </w:rPr>
      </w:pPr>
      <w:r>
        <w:rPr>
          <w:iCs/>
          <w:szCs w:val="22"/>
          <w:lang w:val="sr-Latn-ME"/>
        </w:rPr>
        <w:t>Nije potrebno prilagođavanje doze u odnosu na starosnu dob. Prema analizi podataka populacione farmakokinetike faze I i faze II, starosna dob nema klinički značajnog uticaja na farmakokinetiku sitagliptina. Stariji ispitanici (65 do 80 godina) imali su približno 19% više koncentracije sitagliptina u plazmi u odnosu na mlađe ispitanike.</w:t>
      </w:r>
    </w:p>
    <w:p w:rsidR="00EA0194" w:rsidRDefault="00EA0194">
      <w:pPr>
        <w:widowControl w:val="0"/>
        <w:numPr>
          <w:ilvl w:val="12"/>
          <w:numId w:val="0"/>
        </w:numPr>
        <w:ind w:right="-2"/>
        <w:jc w:val="both"/>
        <w:rPr>
          <w:iCs/>
          <w:szCs w:val="22"/>
          <w:u w:val="single"/>
          <w:lang w:val="sr-Latn-ME"/>
        </w:rPr>
      </w:pPr>
    </w:p>
    <w:p w:rsidR="00EA0194" w:rsidRDefault="00FC2E72">
      <w:pPr>
        <w:widowControl w:val="0"/>
        <w:ind w:right="-2"/>
        <w:jc w:val="both"/>
        <w:rPr>
          <w:iCs/>
          <w:szCs w:val="22"/>
          <w:u w:val="single"/>
          <w:lang w:val="sr-Latn-ME"/>
        </w:rPr>
      </w:pPr>
      <w:r>
        <w:rPr>
          <w:iCs/>
          <w:szCs w:val="22"/>
          <w:u w:val="single"/>
          <w:lang w:val="sr-Latn-ME"/>
        </w:rPr>
        <w:t>Pedijatrijska populacija</w:t>
      </w: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Farmakokinetika sitagliptina (nakon jedne doze od 50 mg, 100 mg ili 200 mg) ispitivala se kod pedijatrijskih pacijenata (uzrasta od 10 do 17 godina) s dijabetesom tipa 2. U toj populaciji je PIK sitagliptina u plazmi prilagođen za dozu bio približno 18% niži nego kod odraslih pacijenata s dijabetesom tipa 2 nakon primjene doze od 100 mg. Ta se razlika u odnosu na odrasle pacijente ne smatra klinički značajnom s obzirom na ujednačen farmakokinetički/farmakodinamički odnos između doza od 50 mg i 100 mg. Nijesu sprovedena ispitivanja sitagliptina kod pedijatrijskih pacijenata mlađih od 10 godina.</w:t>
      </w:r>
    </w:p>
    <w:p w:rsidR="00EA0194" w:rsidRDefault="00EA0194">
      <w:pPr>
        <w:widowControl w:val="0"/>
        <w:numPr>
          <w:ilvl w:val="12"/>
          <w:numId w:val="0"/>
        </w:numPr>
        <w:ind w:right="-2"/>
        <w:jc w:val="both"/>
        <w:rPr>
          <w:szCs w:val="22"/>
          <w:lang w:val="sr-Latn-ME"/>
        </w:rPr>
      </w:pPr>
    </w:p>
    <w:p w:rsidR="00EA0194" w:rsidRDefault="00FC2E72">
      <w:pPr>
        <w:widowControl w:val="0"/>
        <w:numPr>
          <w:ilvl w:val="12"/>
          <w:numId w:val="0"/>
        </w:numPr>
        <w:ind w:right="-2"/>
        <w:jc w:val="both"/>
        <w:rPr>
          <w:iCs/>
          <w:szCs w:val="22"/>
          <w:u w:val="single"/>
          <w:lang w:val="sr-Latn-ME"/>
        </w:rPr>
      </w:pPr>
      <w:r>
        <w:rPr>
          <w:iCs/>
          <w:szCs w:val="22"/>
          <w:u w:val="single"/>
          <w:lang w:val="sr-Latn-ME"/>
        </w:rPr>
        <w:t>Druge pojedinosti pacijenata</w:t>
      </w:r>
    </w:p>
    <w:p w:rsidR="00EA0194" w:rsidRDefault="00FC2E72">
      <w:pPr>
        <w:numPr>
          <w:ilvl w:val="12"/>
          <w:numId w:val="0"/>
        </w:numPr>
        <w:tabs>
          <w:tab w:val="left" w:pos="8505"/>
        </w:tabs>
        <w:kinsoku w:val="0"/>
        <w:overflowPunct w:val="0"/>
        <w:spacing w:line="244" w:lineRule="exact"/>
        <w:ind w:right="-2"/>
        <w:jc w:val="both"/>
        <w:rPr>
          <w:szCs w:val="22"/>
          <w:lang w:val="sr-Latn-ME"/>
        </w:rPr>
      </w:pPr>
      <w:r>
        <w:rPr>
          <w:szCs w:val="22"/>
          <w:lang w:val="sr-Latn-ME"/>
        </w:rPr>
        <w:t>Nije potrebno prilagođavanje doze s obzirom na pol, rasu ili indeks tjelesne mase (ITM). Prema zajedničkoj analizi farmakokinetičkih podataka iz studija faze I kao i podataka iz populacione farmakokinetičke analize studija faze I i faze II, ove specifičnosti pacijenata nemaju klinički značajnog efekta na farmakokinetiku sitagliptina.</w:t>
      </w:r>
    </w:p>
    <w:p w:rsidR="00EA0194" w:rsidRDefault="00EA0194">
      <w:pPr>
        <w:widowControl w:val="0"/>
        <w:jc w:val="both"/>
        <w:rPr>
          <w:szCs w:val="22"/>
          <w:lang w:val="sr-Latn-ME"/>
        </w:rPr>
      </w:pPr>
    </w:p>
    <w:p w:rsidR="00EA0194" w:rsidRDefault="00FC2E72">
      <w:pPr>
        <w:widowControl w:val="0"/>
        <w:ind w:left="567" w:hanging="567"/>
        <w:jc w:val="both"/>
        <w:outlineLvl w:val="0"/>
        <w:rPr>
          <w:szCs w:val="22"/>
          <w:lang w:val="sr-Latn-ME"/>
        </w:rPr>
      </w:pPr>
      <w:r>
        <w:rPr>
          <w:b/>
          <w:szCs w:val="22"/>
          <w:lang w:val="sr-Latn-ME"/>
        </w:rPr>
        <w:t>5.3</w:t>
      </w:r>
      <w:r>
        <w:rPr>
          <w:b/>
          <w:szCs w:val="22"/>
          <w:lang w:val="sr-Latn-ME"/>
        </w:rPr>
        <w:tab/>
      </w:r>
      <w:r>
        <w:rPr>
          <w:b/>
          <w:bCs/>
          <w:szCs w:val="22"/>
          <w:lang w:val="sr-Latn-ME"/>
        </w:rPr>
        <w:t>Pretklinički podaci o bezbjednosti</w:t>
      </w:r>
    </w:p>
    <w:p w:rsidR="00EA0194" w:rsidRDefault="00FC2E72">
      <w:pPr>
        <w:widowControl w:val="0"/>
        <w:jc w:val="both"/>
        <w:rPr>
          <w:szCs w:val="22"/>
          <w:lang w:val="sr-Latn-ME"/>
        </w:rPr>
      </w:pPr>
      <w:r>
        <w:rPr>
          <w:szCs w:val="22"/>
          <w:lang w:val="sr-Latn-ME"/>
        </w:rPr>
        <w:t xml:space="preserve"> </w:t>
      </w:r>
    </w:p>
    <w:p w:rsidR="00EA0194" w:rsidRDefault="00FC2E72">
      <w:pPr>
        <w:widowControl w:val="0"/>
        <w:jc w:val="both"/>
        <w:rPr>
          <w:szCs w:val="22"/>
          <w:lang w:val="sr-Latn-ME"/>
        </w:rPr>
      </w:pPr>
      <w:r>
        <w:rPr>
          <w:szCs w:val="22"/>
          <w:lang w:val="sr-Latn-ME"/>
        </w:rPr>
        <w:t>Kod glodara su uočeni toksični efekti na bubrezima i jetri pri vrijednostima sistemske izloženosti koje su bile 58 puta veće od nivoa izloženosti kod ljudi, međutim, nivo izloženosti bez efekta uočen je pri koncentracijama koje su bile 19 puta veće od nivoa izloženosti kod ljudi. Pri vrijednostima sistemske izloženosti koje su bile 67 puta veće od nivoa kliničke izloženosti, kod pacova su uočene abnormalnosti sekutića. U ovoj 14-sedmičnoj studiji na pacovima, nivo izloženosti bez efekta bio je pri vrijednostima sistemske izloženosti koje su bile 58 puta veće od nivoa kliničke izloženosti. Nije poznat značaj ovih nalaza za ljude. Kod pasa, pri izloženosti koja je bila oko 23 puta veća od nivoa kliničke izloženosti, uočeni su prolazni fizički znaci povezani sa primijenjenom terapijom, a neki od ovih znakova su ukazivali na neurotoksičnost, poput disanja otvorenih usta, salivacije, povraćanja u vidu bijele pjene, ataksije, drhtanja, smanjene aktivnosti i/ili pogrbljenog držanja tijela. Pored toga, histološkim pregledom je uočena veoma mala do mala degeneracija skeletnih mišića pri dozama koje su dale sistemsku izloženost oko 23 puta veću od izloženosti kod ljudi. Nivo izloženosti bez efekta bio je izloženost koja je bila 6 puta veća od kliničke izloženosti.</w:t>
      </w:r>
    </w:p>
    <w:p w:rsidR="00EA0194" w:rsidRDefault="00EA0194">
      <w:pPr>
        <w:widowControl w:val="0"/>
        <w:jc w:val="both"/>
        <w:rPr>
          <w:szCs w:val="22"/>
          <w:lang w:val="sr-Latn-ME"/>
        </w:rPr>
      </w:pPr>
    </w:p>
    <w:p w:rsidR="00EA0194" w:rsidRDefault="00FC2E72">
      <w:pPr>
        <w:widowControl w:val="0"/>
        <w:jc w:val="both"/>
        <w:rPr>
          <w:szCs w:val="22"/>
          <w:lang w:val="sr-Latn-ME"/>
        </w:rPr>
      </w:pPr>
      <w:r>
        <w:rPr>
          <w:szCs w:val="22"/>
          <w:lang w:val="sr-Latn-ME"/>
        </w:rPr>
        <w:t xml:space="preserve">U pretkliničkim studijama nije uočeno genotoksično dejstvo sitagliptina. Kod miševa, sitagliptin nije ispoljio karcinogeni efekat. Kod pacova je uočena povećana učestalost adenoma i karcinoma jetre pri </w:t>
      </w:r>
      <w:r>
        <w:rPr>
          <w:szCs w:val="22"/>
          <w:lang w:val="sr-Latn-ME"/>
        </w:rPr>
        <w:lastRenderedPageBreak/>
        <w:t>sistemskoj izloženosti koja je bila 58 puta veća od izloženosti kod ljudi. Budući da je dokazano da je, kod pacova, hepatotoksičnost u korelaciji sa indukcijom neoplazije jetre, ova povećana učestalost tumora jetre kod pacova je vjerovatno sekundarna posljedica hronične hepatotoksičnosti usljed primjene ove visoke doze. Zbog visoke bezbjednosne margine (19 puta veća od ovog nivoa izloženosti bez efekta) smatra se da ove neoplastične promjene nijesu relevantne za primjenu lijeka kod ljudi.</w:t>
      </w:r>
    </w:p>
    <w:p w:rsidR="00EA0194" w:rsidRDefault="00EA0194">
      <w:pPr>
        <w:widowControl w:val="0"/>
        <w:jc w:val="both"/>
        <w:rPr>
          <w:szCs w:val="22"/>
          <w:lang w:val="sr-Latn-ME"/>
        </w:rPr>
      </w:pP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Kod mužjaka i ženki pacova koji su sitagliptin dobijali prije i tokom parenja nijesu zapaženi štetni efekti na plodnost.</w:t>
      </w:r>
    </w:p>
    <w:p w:rsidR="00EA0194" w:rsidRDefault="00EA0194">
      <w:pPr>
        <w:numPr>
          <w:ilvl w:val="12"/>
          <w:numId w:val="0"/>
        </w:numPr>
        <w:tabs>
          <w:tab w:val="left" w:pos="8505"/>
        </w:tabs>
        <w:kinsoku w:val="0"/>
        <w:overflowPunct w:val="0"/>
        <w:spacing w:before="2"/>
        <w:jc w:val="both"/>
        <w:rPr>
          <w:szCs w:val="22"/>
          <w:lang w:val="sr-Latn-ME"/>
        </w:rPr>
      </w:pPr>
    </w:p>
    <w:p w:rsidR="00EA0194" w:rsidRDefault="00FC2E72">
      <w:pPr>
        <w:numPr>
          <w:ilvl w:val="12"/>
          <w:numId w:val="0"/>
        </w:numPr>
        <w:tabs>
          <w:tab w:val="left" w:pos="8505"/>
        </w:tabs>
        <w:kinsoku w:val="0"/>
        <w:overflowPunct w:val="0"/>
        <w:ind w:right="-2"/>
        <w:jc w:val="both"/>
        <w:rPr>
          <w:szCs w:val="22"/>
          <w:lang w:val="sr-Latn-ME"/>
        </w:rPr>
      </w:pPr>
      <w:r>
        <w:rPr>
          <w:szCs w:val="22"/>
          <w:lang w:val="sr-Latn-ME"/>
        </w:rPr>
        <w:t>Sitagliptin nije pokazao štetne efekte u istraživanju prenatalnog i postnatalnog razvoja sprovedenog na pacovima</w:t>
      </w:r>
    </w:p>
    <w:p w:rsidR="00EA0194" w:rsidRDefault="00EA0194">
      <w:pPr>
        <w:autoSpaceDE w:val="0"/>
        <w:autoSpaceDN w:val="0"/>
        <w:adjustRightInd w:val="0"/>
        <w:jc w:val="both"/>
        <w:rPr>
          <w:szCs w:val="22"/>
          <w:lang w:val="sr-Latn-ME"/>
        </w:rPr>
      </w:pPr>
    </w:p>
    <w:p w:rsidR="00EA0194" w:rsidRDefault="00FC2E72">
      <w:pPr>
        <w:widowControl w:val="0"/>
        <w:jc w:val="both"/>
        <w:rPr>
          <w:szCs w:val="22"/>
          <w:lang w:val="sr-Latn-ME"/>
        </w:rPr>
      </w:pPr>
      <w:r>
        <w:rPr>
          <w:szCs w:val="22"/>
          <w:lang w:val="sr-Latn-ME"/>
        </w:rPr>
        <w:t>Studije reproduktivne toksičnosti su pokazale mali, sa terapijom povezani, porast učestalosti malformacija rebara  fetusa kod potomaka pacova (odsustvo rebara, hipoplastična rebra i talasasta rebra) pri sistemskoj izloženosti koja je bila više od 29 puta veća od izloženosti kod ljudi. Kod kunića, pri sistemskoj izloženosti koja je bila više od 29 puta veća od izloženosti kod ljudi, uočena je toksičnost po majku. Zbog visoke bezbjednosne margine, smatra se da ovi nalazi ne ukazuju na relevantni rizik za reprodukciju kod ljudi. Sitagliptin se izlučuje u značajnim količinama u mlijeko ženki pacova (odnos između količine lijeka u mlijeku i količine u plazmi je 4:1).</w:t>
      </w:r>
    </w:p>
    <w:p w:rsidR="00EA0194" w:rsidRDefault="00EA0194">
      <w:pPr>
        <w:widowControl w:val="0"/>
        <w:jc w:val="both"/>
        <w:rPr>
          <w:szCs w:val="22"/>
          <w:lang w:val="sr-Latn-ME"/>
        </w:rPr>
      </w:pPr>
    </w:p>
    <w:p w:rsidR="00EA0194" w:rsidRDefault="00EA0194">
      <w:pPr>
        <w:widowControl w:val="0"/>
        <w:jc w:val="both"/>
        <w:rPr>
          <w:szCs w:val="22"/>
          <w:lang w:val="sr-Latn-ME"/>
        </w:rPr>
      </w:pPr>
    </w:p>
    <w:p w:rsidR="00EA0194" w:rsidRDefault="00FC2E72">
      <w:pPr>
        <w:widowControl w:val="0"/>
        <w:ind w:left="567" w:hanging="567"/>
        <w:jc w:val="both"/>
        <w:rPr>
          <w:b/>
          <w:szCs w:val="22"/>
          <w:lang w:val="sr-Latn-ME"/>
        </w:rPr>
      </w:pPr>
      <w:r>
        <w:rPr>
          <w:b/>
          <w:szCs w:val="22"/>
          <w:lang w:val="sr-Latn-ME"/>
        </w:rPr>
        <w:t>6.</w:t>
      </w:r>
      <w:r>
        <w:rPr>
          <w:b/>
          <w:szCs w:val="22"/>
          <w:lang w:val="sr-Latn-ME"/>
        </w:rPr>
        <w:tab/>
        <w:t>FARMACEUTSKI PODACI</w:t>
      </w:r>
    </w:p>
    <w:p w:rsidR="00EA0194" w:rsidRDefault="00EA0194">
      <w:pPr>
        <w:widowControl w:val="0"/>
        <w:jc w:val="both"/>
        <w:rPr>
          <w:szCs w:val="22"/>
          <w:lang w:val="sr-Latn-ME"/>
        </w:rPr>
      </w:pPr>
    </w:p>
    <w:p w:rsidR="00EA0194" w:rsidRDefault="00FC2E72">
      <w:pPr>
        <w:widowControl w:val="0"/>
        <w:ind w:left="567" w:hanging="567"/>
        <w:jc w:val="both"/>
        <w:outlineLvl w:val="0"/>
        <w:rPr>
          <w:szCs w:val="22"/>
          <w:lang w:val="sr-Latn-ME"/>
        </w:rPr>
      </w:pPr>
      <w:r>
        <w:rPr>
          <w:b/>
          <w:szCs w:val="22"/>
          <w:lang w:val="sr-Latn-ME"/>
        </w:rPr>
        <w:t>6.1</w:t>
      </w:r>
      <w:r>
        <w:rPr>
          <w:b/>
          <w:szCs w:val="22"/>
          <w:lang w:val="sr-Latn-ME"/>
        </w:rPr>
        <w:tab/>
      </w:r>
      <w:r>
        <w:rPr>
          <w:b/>
          <w:bCs/>
          <w:szCs w:val="22"/>
          <w:lang w:val="sr-Latn-ME"/>
        </w:rPr>
        <w:t>Lista pomoćnih supstanci (ekscipijenasa)</w:t>
      </w:r>
    </w:p>
    <w:p w:rsidR="00EA0194" w:rsidRDefault="00EA0194">
      <w:pPr>
        <w:widowControl w:val="0"/>
        <w:jc w:val="both"/>
        <w:rPr>
          <w:szCs w:val="22"/>
          <w:lang w:val="sr-Latn-ME"/>
        </w:rPr>
      </w:pPr>
    </w:p>
    <w:p w:rsidR="00EA0194" w:rsidRDefault="00FC2E72">
      <w:pPr>
        <w:tabs>
          <w:tab w:val="left" w:pos="1080"/>
        </w:tabs>
        <w:jc w:val="both"/>
        <w:rPr>
          <w:szCs w:val="22"/>
          <w:u w:val="single"/>
          <w:lang w:val="sr-Latn-ME"/>
        </w:rPr>
      </w:pPr>
      <w:r>
        <w:rPr>
          <w:szCs w:val="22"/>
          <w:u w:val="single"/>
          <w:lang w:val="sr-Latn-ME"/>
        </w:rPr>
        <w:t xml:space="preserve">Jezgro tablete </w:t>
      </w:r>
    </w:p>
    <w:p w:rsidR="00EA0194" w:rsidRDefault="00FC2E72">
      <w:pPr>
        <w:tabs>
          <w:tab w:val="left" w:pos="1080"/>
        </w:tabs>
        <w:jc w:val="both"/>
        <w:rPr>
          <w:szCs w:val="22"/>
          <w:lang w:val="sr-Latn-ME"/>
        </w:rPr>
      </w:pPr>
      <w:r>
        <w:rPr>
          <w:szCs w:val="22"/>
          <w:lang w:val="sr-Latn-ME"/>
        </w:rPr>
        <w:t xml:space="preserve">Celuloza, mikrokristalna </w:t>
      </w:r>
    </w:p>
    <w:p w:rsidR="00EA0194" w:rsidRDefault="00FC2E72">
      <w:pPr>
        <w:tabs>
          <w:tab w:val="left" w:pos="1080"/>
        </w:tabs>
        <w:jc w:val="both"/>
        <w:rPr>
          <w:szCs w:val="22"/>
          <w:lang w:val="sr-Latn-ME"/>
        </w:rPr>
      </w:pPr>
      <w:r>
        <w:rPr>
          <w:szCs w:val="22"/>
          <w:lang w:val="sr-Latn-ME"/>
        </w:rPr>
        <w:t xml:space="preserve">Kalcijum hidrogenfosfat </w:t>
      </w:r>
    </w:p>
    <w:p w:rsidR="00EA0194" w:rsidRDefault="00FC2E72">
      <w:pPr>
        <w:tabs>
          <w:tab w:val="left" w:pos="1080"/>
        </w:tabs>
        <w:jc w:val="both"/>
        <w:rPr>
          <w:szCs w:val="22"/>
          <w:lang w:val="sr-Latn-ME"/>
        </w:rPr>
      </w:pPr>
      <w:r>
        <w:rPr>
          <w:szCs w:val="22"/>
          <w:lang w:val="sr-Latn-ME"/>
        </w:rPr>
        <w:t xml:space="preserve"> Natrijum kroskarmeloza </w:t>
      </w:r>
    </w:p>
    <w:p w:rsidR="00EA0194" w:rsidRDefault="00FC2E72">
      <w:pPr>
        <w:tabs>
          <w:tab w:val="left" w:pos="1080"/>
        </w:tabs>
        <w:jc w:val="both"/>
        <w:rPr>
          <w:szCs w:val="22"/>
          <w:lang w:val="sr-Latn-ME"/>
        </w:rPr>
      </w:pPr>
      <w:r>
        <w:rPr>
          <w:szCs w:val="22"/>
          <w:lang w:val="sr-Latn-ME"/>
        </w:rPr>
        <w:t>Natrijum stearilfumarat</w:t>
      </w:r>
    </w:p>
    <w:p w:rsidR="00EA0194" w:rsidRDefault="00FC2E72">
      <w:pPr>
        <w:tabs>
          <w:tab w:val="left" w:pos="1080"/>
        </w:tabs>
        <w:jc w:val="both"/>
        <w:rPr>
          <w:szCs w:val="22"/>
          <w:lang w:val="sr-Latn-ME"/>
        </w:rPr>
      </w:pPr>
      <w:r>
        <w:rPr>
          <w:szCs w:val="22"/>
          <w:lang w:val="sr-Latn-ME"/>
        </w:rPr>
        <w:t xml:space="preserve"> Magnezijum stearat </w:t>
      </w:r>
    </w:p>
    <w:p w:rsidR="00EA0194" w:rsidRDefault="00EA0194">
      <w:pPr>
        <w:widowControl w:val="0"/>
        <w:ind w:right="-483"/>
        <w:jc w:val="both"/>
        <w:rPr>
          <w:i/>
          <w:szCs w:val="22"/>
          <w:lang w:val="sr-Latn-ME" w:eastAsia="hr-HR"/>
        </w:rPr>
      </w:pPr>
    </w:p>
    <w:p w:rsidR="00EA0194" w:rsidRDefault="00FC2E72">
      <w:pPr>
        <w:widowControl w:val="0"/>
        <w:ind w:right="-483"/>
        <w:jc w:val="both"/>
        <w:rPr>
          <w:szCs w:val="22"/>
          <w:u w:val="single"/>
          <w:lang w:val="sr-Latn-ME"/>
        </w:rPr>
      </w:pPr>
      <w:r>
        <w:rPr>
          <w:szCs w:val="22"/>
          <w:u w:val="single"/>
          <w:lang w:val="sr-Latn-ME"/>
        </w:rPr>
        <w:t>Obloga (film) tablete</w:t>
      </w:r>
    </w:p>
    <w:p w:rsidR="00EA0194" w:rsidRDefault="00FC2E72">
      <w:pPr>
        <w:tabs>
          <w:tab w:val="left" w:pos="1080"/>
        </w:tabs>
        <w:jc w:val="both"/>
        <w:rPr>
          <w:szCs w:val="22"/>
          <w:lang w:val="sr-Latn-ME"/>
        </w:rPr>
      </w:pPr>
      <w:r>
        <w:rPr>
          <w:szCs w:val="22"/>
          <w:lang w:val="sr-Latn-ME"/>
        </w:rPr>
        <w:t>Opadry 85F280010 II HP white:</w:t>
      </w:r>
    </w:p>
    <w:p w:rsidR="00EA0194" w:rsidRDefault="00FC2E72">
      <w:pPr>
        <w:widowControl w:val="0"/>
        <w:ind w:right="-483"/>
        <w:jc w:val="both"/>
        <w:rPr>
          <w:szCs w:val="22"/>
          <w:lang w:val="sr-Latn-ME"/>
        </w:rPr>
      </w:pPr>
      <w:r>
        <w:rPr>
          <w:szCs w:val="22"/>
          <w:lang w:val="sr-Latn-ME"/>
        </w:rPr>
        <w:t>Polivinil alkohol</w:t>
      </w:r>
    </w:p>
    <w:p w:rsidR="00EA0194" w:rsidRDefault="00FC2E72">
      <w:pPr>
        <w:widowControl w:val="0"/>
        <w:ind w:right="-483"/>
        <w:jc w:val="both"/>
        <w:rPr>
          <w:szCs w:val="22"/>
          <w:lang w:val="sr-Latn-ME"/>
        </w:rPr>
      </w:pPr>
      <w:r>
        <w:rPr>
          <w:szCs w:val="22"/>
          <w:lang w:val="sr-Latn-ME"/>
        </w:rPr>
        <w:t>Makrogol 3350</w:t>
      </w:r>
    </w:p>
    <w:p w:rsidR="00EA0194" w:rsidRDefault="00FC2E72">
      <w:pPr>
        <w:widowControl w:val="0"/>
        <w:ind w:right="-483"/>
        <w:jc w:val="both"/>
        <w:rPr>
          <w:szCs w:val="22"/>
          <w:lang w:val="sr-Latn-ME"/>
        </w:rPr>
      </w:pPr>
      <w:r>
        <w:rPr>
          <w:szCs w:val="22"/>
          <w:lang w:val="sr-Latn-ME"/>
        </w:rPr>
        <w:t>Titan dioksid (E 171)</w:t>
      </w:r>
    </w:p>
    <w:p w:rsidR="00EA0194" w:rsidRDefault="00FC2E72">
      <w:pPr>
        <w:widowControl w:val="0"/>
        <w:ind w:right="-483"/>
        <w:jc w:val="both"/>
        <w:rPr>
          <w:szCs w:val="22"/>
          <w:lang w:val="sr-Latn-ME"/>
        </w:rPr>
      </w:pPr>
      <w:r>
        <w:rPr>
          <w:szCs w:val="22"/>
          <w:lang w:val="sr-Latn-ME"/>
        </w:rPr>
        <w:t xml:space="preserve">Talk </w:t>
      </w:r>
    </w:p>
    <w:p w:rsidR="00EA0194" w:rsidRDefault="00FC2E72">
      <w:pPr>
        <w:widowControl w:val="0"/>
        <w:ind w:right="-483"/>
        <w:jc w:val="both"/>
        <w:rPr>
          <w:szCs w:val="22"/>
          <w:lang w:val="sr-Latn-ME"/>
        </w:rPr>
      </w:pPr>
      <w:r>
        <w:rPr>
          <w:szCs w:val="22"/>
          <w:lang w:val="sr-Latn-ME"/>
        </w:rPr>
        <w:t>Gvožđe(III) oksid, crveni (E172)</w:t>
      </w:r>
    </w:p>
    <w:p w:rsidR="00EA0194" w:rsidRDefault="00FC2E72">
      <w:pPr>
        <w:widowControl w:val="0"/>
        <w:ind w:right="-483"/>
        <w:jc w:val="both"/>
        <w:rPr>
          <w:szCs w:val="22"/>
          <w:lang w:val="sr-Latn-ME"/>
        </w:rPr>
      </w:pPr>
      <w:r>
        <w:rPr>
          <w:szCs w:val="22"/>
          <w:lang w:val="sr-Latn-ME"/>
        </w:rPr>
        <w:t>Gvožđe(III) oksid, žuti (E172).</w:t>
      </w:r>
      <w:r>
        <w:rPr>
          <w:i/>
          <w:szCs w:val="22"/>
          <w:lang w:val="sr-Latn-ME" w:eastAsia="hr-HR"/>
        </w:rPr>
        <w:t xml:space="preserve"> </w:t>
      </w:r>
    </w:p>
    <w:p w:rsidR="00EA0194" w:rsidRDefault="00EA0194">
      <w:pPr>
        <w:widowControl w:val="0"/>
        <w:ind w:right="-483"/>
        <w:jc w:val="both"/>
        <w:rPr>
          <w:i/>
          <w:szCs w:val="22"/>
          <w:lang w:val="sr-Latn-ME" w:eastAsia="hr-HR"/>
        </w:rPr>
      </w:pPr>
    </w:p>
    <w:p w:rsidR="00EA0194" w:rsidRDefault="00FC2E72">
      <w:pPr>
        <w:widowControl w:val="0"/>
        <w:ind w:left="567" w:hanging="567"/>
        <w:jc w:val="both"/>
        <w:outlineLvl w:val="0"/>
        <w:rPr>
          <w:szCs w:val="22"/>
          <w:lang w:val="sr-Latn-ME"/>
        </w:rPr>
      </w:pPr>
      <w:r>
        <w:rPr>
          <w:b/>
          <w:szCs w:val="22"/>
          <w:lang w:val="sr-Latn-ME"/>
        </w:rPr>
        <w:t>6.2</w:t>
      </w:r>
      <w:r>
        <w:rPr>
          <w:b/>
          <w:szCs w:val="22"/>
          <w:lang w:val="sr-Latn-ME"/>
        </w:rPr>
        <w:tab/>
        <w:t>Inkompatibilnosti</w:t>
      </w:r>
    </w:p>
    <w:p w:rsidR="00EA0194" w:rsidRDefault="00EA0194">
      <w:pPr>
        <w:widowControl w:val="0"/>
        <w:jc w:val="both"/>
        <w:rPr>
          <w:szCs w:val="22"/>
          <w:lang w:val="sr-Latn-ME"/>
        </w:rPr>
      </w:pPr>
    </w:p>
    <w:p w:rsidR="00EA0194" w:rsidRDefault="00FC2E72">
      <w:pPr>
        <w:widowControl w:val="0"/>
        <w:jc w:val="both"/>
        <w:rPr>
          <w:szCs w:val="22"/>
          <w:lang w:val="sr-Latn-ME"/>
        </w:rPr>
      </w:pPr>
      <w:r>
        <w:rPr>
          <w:szCs w:val="22"/>
          <w:lang w:val="sr-Latn-ME"/>
        </w:rPr>
        <w:t>Nije primjenjivo.</w:t>
      </w:r>
    </w:p>
    <w:p w:rsidR="00EA0194" w:rsidRDefault="00EA0194">
      <w:pPr>
        <w:widowControl w:val="0"/>
        <w:ind w:left="567" w:hanging="567"/>
        <w:jc w:val="both"/>
        <w:outlineLvl w:val="0"/>
        <w:rPr>
          <w:b/>
          <w:szCs w:val="22"/>
          <w:lang w:val="sr-Latn-ME"/>
        </w:rPr>
      </w:pPr>
    </w:p>
    <w:p w:rsidR="00EA0194" w:rsidRDefault="00FC2E72">
      <w:pPr>
        <w:widowControl w:val="0"/>
        <w:ind w:left="567" w:hanging="567"/>
        <w:jc w:val="both"/>
        <w:outlineLvl w:val="0"/>
        <w:rPr>
          <w:szCs w:val="22"/>
          <w:lang w:val="sr-Latn-ME"/>
        </w:rPr>
      </w:pPr>
      <w:r>
        <w:rPr>
          <w:b/>
          <w:szCs w:val="22"/>
          <w:lang w:val="sr-Latn-ME"/>
        </w:rPr>
        <w:t>6.3</w:t>
      </w:r>
      <w:r>
        <w:rPr>
          <w:b/>
          <w:szCs w:val="22"/>
          <w:lang w:val="sr-Latn-ME"/>
        </w:rPr>
        <w:tab/>
        <w:t>Rok upotrebe</w:t>
      </w:r>
    </w:p>
    <w:p w:rsidR="00EA0194" w:rsidRDefault="00EA0194">
      <w:pPr>
        <w:widowControl w:val="0"/>
        <w:jc w:val="both"/>
        <w:rPr>
          <w:szCs w:val="22"/>
          <w:u w:val="single"/>
          <w:lang w:val="sr-Latn-ME"/>
        </w:rPr>
      </w:pPr>
    </w:p>
    <w:p w:rsidR="00EA0194" w:rsidRDefault="00FC2E72">
      <w:pPr>
        <w:widowControl w:val="0"/>
        <w:jc w:val="both"/>
        <w:rPr>
          <w:szCs w:val="22"/>
          <w:lang w:val="sr-Latn-ME"/>
        </w:rPr>
      </w:pPr>
      <w:r>
        <w:rPr>
          <w:szCs w:val="22"/>
          <w:lang w:val="sr-Latn-ME"/>
        </w:rPr>
        <w:t>2 godine</w:t>
      </w:r>
    </w:p>
    <w:p w:rsidR="00EA0194" w:rsidRDefault="00EA0194">
      <w:pPr>
        <w:widowControl w:val="0"/>
        <w:jc w:val="both"/>
        <w:rPr>
          <w:iCs/>
          <w:szCs w:val="22"/>
          <w:lang w:val="sr-Latn-ME"/>
        </w:rPr>
      </w:pPr>
    </w:p>
    <w:p w:rsidR="00EA0194" w:rsidRDefault="00FC2E72">
      <w:pPr>
        <w:widowControl w:val="0"/>
        <w:ind w:left="567" w:hanging="567"/>
        <w:jc w:val="both"/>
        <w:outlineLvl w:val="0"/>
        <w:rPr>
          <w:szCs w:val="22"/>
          <w:lang w:val="sr-Latn-ME"/>
        </w:rPr>
      </w:pPr>
      <w:r>
        <w:rPr>
          <w:b/>
          <w:szCs w:val="22"/>
          <w:lang w:val="sr-Latn-ME"/>
        </w:rPr>
        <w:t>6.4</w:t>
      </w:r>
      <w:r>
        <w:rPr>
          <w:b/>
          <w:szCs w:val="22"/>
          <w:lang w:val="sr-Latn-ME"/>
        </w:rPr>
        <w:tab/>
        <w:t>Posebne mjere upozorenja pri čuvanju lijeka</w:t>
      </w:r>
    </w:p>
    <w:p w:rsidR="00EA0194" w:rsidRDefault="00EA0194">
      <w:pPr>
        <w:widowControl w:val="0"/>
        <w:jc w:val="both"/>
        <w:rPr>
          <w:szCs w:val="22"/>
          <w:lang w:val="sr-Latn-ME"/>
        </w:rPr>
      </w:pPr>
    </w:p>
    <w:p w:rsidR="00EA0194" w:rsidRDefault="00FC2E72">
      <w:pPr>
        <w:jc w:val="both"/>
        <w:rPr>
          <w:szCs w:val="22"/>
          <w:lang w:val="sr-Latn-ME"/>
        </w:rPr>
      </w:pPr>
      <w:r>
        <w:rPr>
          <w:bCs/>
          <w:szCs w:val="22"/>
          <w:lang w:val="sr-Latn-CS"/>
        </w:rPr>
        <w:t>Lijek čuvajte na temperaturi do 25ºC</w:t>
      </w:r>
      <w:r>
        <w:rPr>
          <w:szCs w:val="22"/>
          <w:lang w:val="sr-Latn-ME"/>
        </w:rPr>
        <w:t xml:space="preserve"> u originalnom pakovanju zbog zaštite od vlage.</w:t>
      </w:r>
    </w:p>
    <w:p w:rsidR="00EA0194" w:rsidRDefault="00EA0194">
      <w:pPr>
        <w:widowControl w:val="0"/>
        <w:jc w:val="both"/>
        <w:rPr>
          <w:szCs w:val="22"/>
          <w:lang w:val="sr-Latn-ME"/>
        </w:rPr>
      </w:pPr>
    </w:p>
    <w:p w:rsidR="00EA0194" w:rsidRDefault="00FC2E72">
      <w:pPr>
        <w:widowControl w:val="0"/>
        <w:jc w:val="both"/>
        <w:outlineLvl w:val="0"/>
        <w:rPr>
          <w:b/>
          <w:szCs w:val="22"/>
          <w:lang w:val="sr-Latn-ME"/>
        </w:rPr>
      </w:pPr>
      <w:r>
        <w:rPr>
          <w:b/>
          <w:szCs w:val="22"/>
          <w:lang w:val="sr-Latn-ME"/>
        </w:rPr>
        <w:t>6.5</w:t>
      </w:r>
      <w:r>
        <w:rPr>
          <w:b/>
          <w:szCs w:val="22"/>
          <w:lang w:val="sr-Latn-ME"/>
        </w:rPr>
        <w:tab/>
        <w:t>Vrsta i sadržaj pakovanja</w:t>
      </w:r>
    </w:p>
    <w:p w:rsidR="00EA0194" w:rsidRDefault="00EA0194">
      <w:pPr>
        <w:widowControl w:val="0"/>
        <w:jc w:val="both"/>
        <w:outlineLvl w:val="0"/>
        <w:rPr>
          <w:b/>
          <w:szCs w:val="22"/>
          <w:lang w:val="sr-Latn-ME"/>
        </w:rPr>
      </w:pPr>
    </w:p>
    <w:p w:rsidR="00EA0194" w:rsidRDefault="00FC2E72">
      <w:pPr>
        <w:widowControl w:val="0"/>
        <w:jc w:val="both"/>
        <w:rPr>
          <w:szCs w:val="22"/>
          <w:lang w:val="sr-Latn-ME"/>
        </w:rPr>
      </w:pPr>
      <w:r>
        <w:rPr>
          <w:szCs w:val="22"/>
          <w:lang w:val="sr-Latn-ME"/>
        </w:rPr>
        <w:t>Blister (OPA/Al/PVC//Al): 28 (2x14) film tableta, u kutiji.</w:t>
      </w:r>
    </w:p>
    <w:p w:rsidR="00EA0194" w:rsidRDefault="00EA0194">
      <w:pPr>
        <w:widowControl w:val="0"/>
        <w:jc w:val="both"/>
        <w:rPr>
          <w:szCs w:val="22"/>
          <w:lang w:val="sr-Latn-ME"/>
        </w:rPr>
      </w:pPr>
    </w:p>
    <w:p w:rsidR="00EA0194" w:rsidRDefault="00FC2E72">
      <w:pPr>
        <w:widowControl w:val="0"/>
        <w:outlineLvl w:val="0"/>
        <w:rPr>
          <w:szCs w:val="22"/>
          <w:lang w:val="sr-Latn-ME"/>
        </w:rPr>
      </w:pPr>
      <w:r>
        <w:rPr>
          <w:b/>
          <w:szCs w:val="22"/>
          <w:lang w:val="sr-Latn-ME"/>
        </w:rPr>
        <w:t>6.6</w:t>
      </w:r>
      <w:r>
        <w:rPr>
          <w:b/>
          <w:szCs w:val="22"/>
          <w:lang w:val="sr-Latn-ME"/>
        </w:rPr>
        <w:tab/>
      </w:r>
      <w:r>
        <w:rPr>
          <w:b/>
          <w:bCs/>
          <w:szCs w:val="22"/>
          <w:lang w:val="sr-Latn-ME"/>
        </w:rPr>
        <w:t>Posebne mjere opreza pri odlaganju materijala koji treba odbaciti nakon primjene lijeka (i druga uputstva za rukovanje lijekom)</w:t>
      </w:r>
    </w:p>
    <w:p w:rsidR="00EA0194" w:rsidRDefault="00EA0194">
      <w:pPr>
        <w:widowControl w:val="0"/>
        <w:jc w:val="both"/>
        <w:rPr>
          <w:szCs w:val="22"/>
          <w:highlight w:val="yellow"/>
          <w:lang w:val="sr-Latn-ME"/>
        </w:rPr>
      </w:pPr>
    </w:p>
    <w:p w:rsidR="00EA0194" w:rsidRDefault="00FC2E72">
      <w:pPr>
        <w:widowControl w:val="0"/>
        <w:jc w:val="both"/>
        <w:rPr>
          <w:szCs w:val="22"/>
          <w:lang w:val="sr-Latn-ME"/>
        </w:rPr>
      </w:pPr>
      <w:r>
        <w:rPr>
          <w:szCs w:val="22"/>
          <w:lang w:val="sr-Latn-ME"/>
        </w:rPr>
        <w:t>Neupotrijebljeni lijek se uništava u skladu sa važećim propisima.</w:t>
      </w:r>
    </w:p>
    <w:p w:rsidR="00EA0194" w:rsidRDefault="00EA0194">
      <w:pPr>
        <w:widowControl w:val="0"/>
        <w:jc w:val="both"/>
        <w:rPr>
          <w:szCs w:val="22"/>
          <w:lang w:val="sr-Latn-ME"/>
        </w:rPr>
      </w:pPr>
    </w:p>
    <w:p w:rsidR="00EA0194" w:rsidRDefault="00EA0194">
      <w:pPr>
        <w:widowControl w:val="0"/>
        <w:jc w:val="both"/>
        <w:rPr>
          <w:szCs w:val="22"/>
          <w:lang w:val="sr-Latn-ME"/>
        </w:rPr>
      </w:pPr>
    </w:p>
    <w:p w:rsidR="00EA0194" w:rsidRDefault="00FC2E72">
      <w:pPr>
        <w:widowControl w:val="0"/>
        <w:ind w:left="567" w:hanging="567"/>
        <w:jc w:val="both"/>
        <w:rPr>
          <w:szCs w:val="22"/>
          <w:lang w:val="sr-Latn-ME"/>
        </w:rPr>
      </w:pPr>
      <w:r>
        <w:rPr>
          <w:b/>
          <w:szCs w:val="22"/>
          <w:lang w:val="sr-Latn-ME"/>
        </w:rPr>
        <w:t>7.</w:t>
      </w:r>
      <w:r>
        <w:rPr>
          <w:b/>
          <w:szCs w:val="22"/>
          <w:lang w:val="sr-Latn-ME"/>
        </w:rPr>
        <w:tab/>
      </w:r>
      <w:r>
        <w:rPr>
          <w:b/>
          <w:bCs/>
          <w:szCs w:val="22"/>
          <w:lang w:val="sr-Latn-ME"/>
        </w:rPr>
        <w:t>NOSILAC DOZVOLE</w:t>
      </w:r>
    </w:p>
    <w:p w:rsidR="00EA0194" w:rsidRDefault="00EA0194">
      <w:pPr>
        <w:widowControl w:val="0"/>
        <w:jc w:val="both"/>
        <w:rPr>
          <w:szCs w:val="22"/>
          <w:lang w:val="sr-Latn-ME"/>
        </w:rPr>
      </w:pPr>
    </w:p>
    <w:p w:rsidR="00EA0194" w:rsidRDefault="00FC2E72">
      <w:pPr>
        <w:autoSpaceDE w:val="0"/>
        <w:autoSpaceDN w:val="0"/>
        <w:adjustRightInd w:val="0"/>
        <w:ind w:left="1985" w:hanging="1985"/>
        <w:jc w:val="both"/>
        <w:rPr>
          <w:szCs w:val="22"/>
          <w:lang w:val="sr-Latn-ME"/>
        </w:rPr>
      </w:pPr>
      <w:r>
        <w:rPr>
          <w:szCs w:val="22"/>
          <w:lang w:val="sr-Latn-ME"/>
        </w:rPr>
        <w:t>D.S.D. „KRKA, d.d., Novo mesto“ - predstavništvo Podgorica</w:t>
      </w:r>
    </w:p>
    <w:p w:rsidR="00EA0194" w:rsidRDefault="00FC2E72">
      <w:pPr>
        <w:autoSpaceDE w:val="0"/>
        <w:autoSpaceDN w:val="0"/>
        <w:adjustRightInd w:val="0"/>
        <w:ind w:right="71"/>
        <w:jc w:val="both"/>
        <w:rPr>
          <w:szCs w:val="22"/>
          <w:lang w:val="sr-Latn-ME"/>
        </w:rPr>
      </w:pPr>
      <w:r>
        <w:rPr>
          <w:szCs w:val="22"/>
          <w:lang w:val="sr-Latn-ME"/>
        </w:rPr>
        <w:t>Svetlane Kane Radević br. 3, 81000 Podgorica, Crna Gora</w:t>
      </w:r>
    </w:p>
    <w:p w:rsidR="00EA0194" w:rsidRDefault="00EA0194">
      <w:pPr>
        <w:widowControl w:val="0"/>
        <w:jc w:val="both"/>
        <w:rPr>
          <w:szCs w:val="22"/>
          <w:lang w:val="sr-Latn-ME"/>
        </w:rPr>
      </w:pPr>
    </w:p>
    <w:p w:rsidR="00EA0194" w:rsidRDefault="00EA0194">
      <w:pPr>
        <w:widowControl w:val="0"/>
        <w:jc w:val="both"/>
        <w:rPr>
          <w:szCs w:val="22"/>
          <w:lang w:val="sr-Latn-ME"/>
        </w:rPr>
      </w:pPr>
    </w:p>
    <w:p w:rsidR="00EA0194" w:rsidRDefault="00FC2E72">
      <w:pPr>
        <w:tabs>
          <w:tab w:val="clear" w:pos="567"/>
          <w:tab w:val="left" w:pos="540"/>
          <w:tab w:val="left" w:pos="569"/>
        </w:tabs>
        <w:jc w:val="both"/>
        <w:rPr>
          <w:b/>
          <w:bCs/>
          <w:szCs w:val="22"/>
          <w:lang w:val="sr-Latn-ME"/>
        </w:rPr>
      </w:pPr>
      <w:r>
        <w:rPr>
          <w:b/>
          <w:bCs/>
          <w:szCs w:val="22"/>
          <w:lang w:val="sr-Latn-ME"/>
        </w:rPr>
        <w:t xml:space="preserve">8. </w:t>
      </w:r>
      <w:r>
        <w:rPr>
          <w:b/>
          <w:bCs/>
          <w:szCs w:val="22"/>
          <w:lang w:val="sr-Latn-ME"/>
        </w:rPr>
        <w:tab/>
        <w:t>BROJ DOZVOLE ZA STAVLJANJE LIJEKA U PROMET</w:t>
      </w:r>
    </w:p>
    <w:p w:rsidR="00EA0194" w:rsidRDefault="00EA0194">
      <w:pPr>
        <w:tabs>
          <w:tab w:val="clear" w:pos="567"/>
          <w:tab w:val="left" w:pos="540"/>
          <w:tab w:val="left" w:pos="569"/>
        </w:tabs>
        <w:jc w:val="both"/>
        <w:rPr>
          <w:b/>
          <w:bCs/>
          <w:szCs w:val="22"/>
          <w:lang w:val="sr-Latn-ME"/>
        </w:rPr>
      </w:pPr>
    </w:p>
    <w:p w:rsidR="00EA0194" w:rsidRDefault="00FC2E72">
      <w:pPr>
        <w:widowControl w:val="0"/>
        <w:rPr>
          <w:iCs/>
          <w:szCs w:val="22"/>
          <w:lang w:val="sr-Latn-ME"/>
        </w:rPr>
      </w:pPr>
      <w:r>
        <w:rPr>
          <w:szCs w:val="22"/>
          <w:lang w:val="sr-Latn-ME"/>
        </w:rPr>
        <w:t>Maysiglu, 50 mg, film tableta: 2030/22/2081 - 2421</w:t>
      </w:r>
    </w:p>
    <w:p w:rsidR="00EA0194" w:rsidRDefault="00FC2E72">
      <w:pPr>
        <w:widowControl w:val="0"/>
        <w:rPr>
          <w:iCs/>
          <w:szCs w:val="22"/>
          <w:lang w:val="sr-Latn-ME"/>
        </w:rPr>
      </w:pPr>
      <w:r>
        <w:rPr>
          <w:szCs w:val="22"/>
          <w:lang w:val="sr-Latn-ME"/>
        </w:rPr>
        <w:t>Maysiglu, 100 mg, film tableta: 2030/22/2083 - 2422</w:t>
      </w:r>
    </w:p>
    <w:p w:rsidR="00EA0194" w:rsidRDefault="00EA0194">
      <w:pPr>
        <w:tabs>
          <w:tab w:val="clear" w:pos="567"/>
          <w:tab w:val="left" w:pos="540"/>
          <w:tab w:val="left" w:pos="569"/>
        </w:tabs>
        <w:jc w:val="both"/>
        <w:rPr>
          <w:bCs/>
          <w:szCs w:val="22"/>
          <w:lang w:val="sr-Latn-ME"/>
        </w:rPr>
      </w:pPr>
    </w:p>
    <w:p w:rsidR="00EA0194" w:rsidRDefault="00EA0194">
      <w:pPr>
        <w:tabs>
          <w:tab w:val="clear" w:pos="567"/>
          <w:tab w:val="left" w:pos="540"/>
          <w:tab w:val="left" w:pos="569"/>
        </w:tabs>
        <w:jc w:val="both"/>
        <w:rPr>
          <w:bCs/>
          <w:szCs w:val="22"/>
          <w:lang w:val="sr-Latn-ME"/>
        </w:rPr>
      </w:pPr>
    </w:p>
    <w:p w:rsidR="00EA0194" w:rsidRDefault="00FC2E72">
      <w:pPr>
        <w:tabs>
          <w:tab w:val="clear" w:pos="567"/>
          <w:tab w:val="left" w:pos="540"/>
          <w:tab w:val="left" w:pos="569"/>
        </w:tabs>
        <w:jc w:val="both"/>
        <w:rPr>
          <w:b/>
          <w:bCs/>
          <w:szCs w:val="22"/>
          <w:lang w:val="sr-Latn-ME"/>
        </w:rPr>
      </w:pPr>
      <w:r>
        <w:rPr>
          <w:b/>
          <w:bCs/>
          <w:szCs w:val="22"/>
          <w:lang w:val="sr-Latn-ME"/>
        </w:rPr>
        <w:t xml:space="preserve">9. </w:t>
      </w:r>
      <w:r>
        <w:rPr>
          <w:b/>
          <w:bCs/>
          <w:szCs w:val="22"/>
          <w:lang w:val="sr-Latn-ME"/>
        </w:rPr>
        <w:tab/>
        <w:t>DATUM PRVE DOZVOLE/ OBNOVE DOZVOLE ZA STAVLJANJE LIJEKA U PROMET</w:t>
      </w:r>
    </w:p>
    <w:p w:rsidR="00EA0194" w:rsidRDefault="00EA0194">
      <w:pPr>
        <w:tabs>
          <w:tab w:val="clear" w:pos="567"/>
          <w:tab w:val="left" w:pos="540"/>
          <w:tab w:val="left" w:pos="569"/>
        </w:tabs>
        <w:jc w:val="both"/>
        <w:rPr>
          <w:b/>
          <w:bCs/>
          <w:szCs w:val="22"/>
          <w:lang w:val="sr-Latn-ME"/>
        </w:rPr>
      </w:pPr>
    </w:p>
    <w:p w:rsidR="00EA0194" w:rsidRDefault="00FC2E72">
      <w:pPr>
        <w:tabs>
          <w:tab w:val="clear" w:pos="567"/>
          <w:tab w:val="left" w:pos="540"/>
          <w:tab w:val="left" w:pos="569"/>
        </w:tabs>
        <w:jc w:val="both"/>
        <w:rPr>
          <w:bCs/>
          <w:szCs w:val="22"/>
          <w:lang w:val="sr-Latn-ME"/>
        </w:rPr>
      </w:pPr>
      <w:r>
        <w:rPr>
          <w:bCs/>
          <w:szCs w:val="22"/>
          <w:lang w:val="sr-Latn-ME"/>
        </w:rPr>
        <w:t>05.09.2022. godine</w:t>
      </w:r>
    </w:p>
    <w:p w:rsidR="00EA0194" w:rsidRDefault="00EA0194">
      <w:pPr>
        <w:tabs>
          <w:tab w:val="clear" w:pos="567"/>
          <w:tab w:val="left" w:pos="540"/>
          <w:tab w:val="left" w:pos="569"/>
        </w:tabs>
        <w:jc w:val="both"/>
        <w:rPr>
          <w:bCs/>
          <w:szCs w:val="22"/>
          <w:lang w:val="sr-Latn-ME"/>
        </w:rPr>
      </w:pPr>
    </w:p>
    <w:p w:rsidR="00EA0194" w:rsidRDefault="00EA0194">
      <w:pPr>
        <w:tabs>
          <w:tab w:val="clear" w:pos="567"/>
          <w:tab w:val="left" w:pos="540"/>
          <w:tab w:val="left" w:pos="569"/>
        </w:tabs>
        <w:jc w:val="both"/>
        <w:rPr>
          <w:bCs/>
          <w:szCs w:val="22"/>
          <w:lang w:val="sr-Latn-ME"/>
        </w:rPr>
      </w:pPr>
    </w:p>
    <w:p w:rsidR="00EA0194" w:rsidRDefault="00FC2E72">
      <w:pPr>
        <w:tabs>
          <w:tab w:val="clear" w:pos="567"/>
          <w:tab w:val="left" w:pos="540"/>
          <w:tab w:val="left" w:pos="569"/>
        </w:tabs>
        <w:ind w:left="540" w:hanging="540"/>
        <w:jc w:val="both"/>
        <w:rPr>
          <w:b/>
          <w:bCs/>
          <w:szCs w:val="22"/>
          <w:lang w:val="sr-Latn-ME"/>
        </w:rPr>
      </w:pPr>
      <w:r>
        <w:rPr>
          <w:b/>
          <w:bCs/>
          <w:szCs w:val="22"/>
          <w:lang w:val="sr-Latn-ME"/>
        </w:rPr>
        <w:t xml:space="preserve">10. </w:t>
      </w:r>
      <w:r>
        <w:rPr>
          <w:b/>
          <w:bCs/>
          <w:szCs w:val="22"/>
          <w:lang w:val="sr-Latn-ME"/>
        </w:rPr>
        <w:tab/>
        <w:t xml:space="preserve">DATUM  REVIZIJE TEKSTA </w:t>
      </w:r>
    </w:p>
    <w:p w:rsidR="00EA0194" w:rsidRDefault="00EA0194">
      <w:pPr>
        <w:tabs>
          <w:tab w:val="clear" w:pos="567"/>
          <w:tab w:val="left" w:pos="540"/>
          <w:tab w:val="left" w:pos="569"/>
        </w:tabs>
        <w:ind w:left="540" w:hanging="540"/>
        <w:jc w:val="both"/>
        <w:rPr>
          <w:b/>
          <w:bCs/>
          <w:szCs w:val="22"/>
          <w:lang w:val="sr-Latn-ME"/>
        </w:rPr>
      </w:pPr>
    </w:p>
    <w:p w:rsidR="00EA0194" w:rsidRDefault="00C92663">
      <w:pPr>
        <w:widowControl w:val="0"/>
        <w:jc w:val="both"/>
        <w:rPr>
          <w:szCs w:val="22"/>
          <w:lang w:val="sr-Latn-ME"/>
        </w:rPr>
      </w:pPr>
      <w:r>
        <w:rPr>
          <w:szCs w:val="22"/>
          <w:lang w:val="sr-Latn-ME"/>
        </w:rPr>
        <w:t>Oktobar</w:t>
      </w:r>
      <w:r w:rsidR="00866ADA">
        <w:rPr>
          <w:szCs w:val="22"/>
          <w:lang w:val="sr-Latn-ME"/>
        </w:rPr>
        <w:t>, 2024. godine</w:t>
      </w:r>
    </w:p>
    <w:p w:rsidR="00EA0194" w:rsidRDefault="00EA0194">
      <w:pPr>
        <w:jc w:val="both"/>
        <w:rPr>
          <w:szCs w:val="22"/>
          <w:lang w:val="sr-Latn-ME"/>
        </w:rPr>
      </w:pPr>
    </w:p>
    <w:p w:rsidR="00EA0194" w:rsidRDefault="00EA0194">
      <w:pPr>
        <w:jc w:val="both"/>
        <w:rPr>
          <w:szCs w:val="22"/>
          <w:lang w:val="sr-Latn-ME"/>
        </w:rPr>
      </w:pPr>
    </w:p>
    <w:p w:rsidR="00EA0194" w:rsidRDefault="00EA0194">
      <w:pPr>
        <w:jc w:val="both"/>
        <w:rPr>
          <w:szCs w:val="22"/>
          <w:lang w:val="sr-Latn-ME"/>
        </w:rPr>
      </w:pPr>
    </w:p>
    <w:p w:rsidR="00EA0194" w:rsidRDefault="00EA0194">
      <w:pPr>
        <w:jc w:val="both"/>
        <w:rPr>
          <w:szCs w:val="22"/>
          <w:lang w:val="sr-Latn-ME"/>
        </w:rPr>
      </w:pPr>
    </w:p>
    <w:p w:rsidR="00EA0194" w:rsidRDefault="00EA0194">
      <w:pPr>
        <w:rPr>
          <w:lang w:val="sr-Latn-ME"/>
        </w:rPr>
      </w:pPr>
    </w:p>
    <w:p w:rsidR="00EA0194" w:rsidRDefault="00EA0194">
      <w:pPr>
        <w:rPr>
          <w:lang w:val="sr-Latn-ME"/>
        </w:rPr>
      </w:pPr>
    </w:p>
    <w:sectPr w:rsidR="00EA0194">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C1A" w:rsidRDefault="00116C1A">
      <w:pPr>
        <w:spacing w:line="240" w:lineRule="auto"/>
      </w:pPr>
      <w:r>
        <w:separator/>
      </w:r>
    </w:p>
  </w:endnote>
  <w:endnote w:type="continuationSeparator" w:id="0">
    <w:p w:rsidR="00116C1A" w:rsidRDefault="00116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NewRoman,Bold">
    <w:altName w:val="MS Gothic"/>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194" w:rsidRDefault="00FC2E72" w:rsidP="00866ADA">
    <w:pPr>
      <w:pStyle w:val="Footer"/>
      <w:tabs>
        <w:tab w:val="right" w:pos="8931"/>
      </w:tabs>
      <w:ind w:right="96"/>
      <w:jc w:val="center"/>
    </w:pPr>
    <w:r>
      <w:fldChar w:fldCharType="begin"/>
    </w:r>
    <w:r>
      <w:instrText xml:space="preserve"> EQ </w:instrText>
    </w:r>
    <w:r>
      <w:fldChar w:fldCharType="end"/>
    </w:r>
    <w:r w:rsidRPr="00C92663">
      <w:rPr>
        <w:rStyle w:val="PageNumber"/>
        <w:rFonts w:ascii="Times New Roman" w:hAnsi="Times New Roman"/>
        <w:sz w:val="22"/>
        <w:szCs w:val="22"/>
      </w:rPr>
      <w:fldChar w:fldCharType="begin"/>
    </w:r>
    <w:r w:rsidRPr="00C92663">
      <w:rPr>
        <w:rStyle w:val="PageNumber"/>
        <w:rFonts w:ascii="Times New Roman" w:hAnsi="Times New Roman"/>
        <w:sz w:val="22"/>
        <w:szCs w:val="22"/>
      </w:rPr>
      <w:instrText xml:space="preserve">PAGE  </w:instrText>
    </w:r>
    <w:r w:rsidRPr="00C92663">
      <w:rPr>
        <w:rStyle w:val="PageNumber"/>
        <w:rFonts w:ascii="Times New Roman" w:hAnsi="Times New Roman"/>
        <w:sz w:val="22"/>
        <w:szCs w:val="22"/>
      </w:rPr>
      <w:fldChar w:fldCharType="separate"/>
    </w:r>
    <w:r w:rsidR="00C92663">
      <w:rPr>
        <w:rStyle w:val="PageNumber"/>
        <w:rFonts w:ascii="Times New Roman" w:hAnsi="Times New Roman"/>
        <w:sz w:val="22"/>
        <w:szCs w:val="22"/>
      </w:rPr>
      <w:t>2</w:t>
    </w:r>
    <w:r w:rsidRPr="00C92663">
      <w:rPr>
        <w:rStyle w:val="PageNumber"/>
        <w:rFonts w:ascii="Times New Roman" w:hAnsi="Times New Roman"/>
        <w:sz w:val="22"/>
        <w:szCs w:val="22"/>
      </w:rPr>
      <w:fldChar w:fldCharType="end"/>
    </w:r>
    <w:r w:rsidRPr="00C92663">
      <w:rPr>
        <w:rStyle w:val="PageNumber"/>
        <w:rFonts w:ascii="Times New Roman" w:hAnsi="Times New Roman"/>
        <w:sz w:val="22"/>
        <w:szCs w:val="22"/>
      </w:rPr>
      <w:t>/17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194" w:rsidRDefault="00FC2E72">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C1A" w:rsidRDefault="00116C1A">
      <w:pPr>
        <w:spacing w:line="240" w:lineRule="auto"/>
      </w:pPr>
      <w:r>
        <w:separator/>
      </w:r>
    </w:p>
  </w:footnote>
  <w:footnote w:type="continuationSeparator" w:id="0">
    <w:p w:rsidR="00116C1A" w:rsidRDefault="00116C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57526AD"/>
    <w:multiLevelType w:val="hybridMultilevel"/>
    <w:tmpl w:val="276EEA16"/>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8E7D34"/>
    <w:multiLevelType w:val="hybridMultilevel"/>
    <w:tmpl w:val="FC1A3E1A"/>
    <w:lvl w:ilvl="0" w:tplc="D450914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5E46BE1"/>
    <w:multiLevelType w:val="hybridMultilevel"/>
    <w:tmpl w:val="4412E6EC"/>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8"/>
  </w:num>
  <w:num w:numId="8">
    <w:abstractNumId w:val="10"/>
  </w:num>
  <w:num w:numId="9">
    <w:abstractNumId w:val="23"/>
  </w:num>
  <w:num w:numId="10">
    <w:abstractNumId w:val="1"/>
  </w:num>
  <w:num w:numId="11">
    <w:abstractNumId w:val="20"/>
  </w:num>
  <w:num w:numId="12">
    <w:abstractNumId w:val="9"/>
  </w:num>
  <w:num w:numId="13">
    <w:abstractNumId w:val="4"/>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2"/>
  </w:num>
  <w:num w:numId="18">
    <w:abstractNumId w:val="14"/>
  </w:num>
  <w:num w:numId="19">
    <w:abstractNumId w:val="24"/>
  </w:num>
  <w:num w:numId="20">
    <w:abstractNumId w:val="16"/>
  </w:num>
  <w:num w:numId="21">
    <w:abstractNumId w:val="22"/>
  </w:num>
  <w:num w:numId="22">
    <w:abstractNumId w:val="19"/>
  </w:num>
  <w:num w:numId="23">
    <w:abstractNumId w:val="7"/>
  </w:num>
  <w:num w:numId="24">
    <w:abstractNumId w:val="22"/>
  </w:num>
  <w:num w:numId="25">
    <w:abstractNumId w:val="3"/>
  </w:num>
  <w:num w:numId="26">
    <w:abstractNumId w:val="13"/>
  </w:num>
  <w:num w:numId="27">
    <w:abstractNumId w:val="5"/>
  </w:num>
  <w:num w:numId="28">
    <w:abstractNumId w:val="1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A0194"/>
    <w:rsid w:val="00116C1A"/>
    <w:rsid w:val="00866ADA"/>
    <w:rsid w:val="00C92663"/>
    <w:rsid w:val="00EA0194"/>
    <w:rsid w:val="00FC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252DD"/>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69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7768</Words>
  <Characters>44279</Characters>
  <Application>Microsoft Office Word</Application>
  <DocSecurity>0</DocSecurity>
  <Lines>368</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51944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Berina Ljuca</dc:creator>
  <cp:lastModifiedBy>Tamara Nikezić</cp:lastModifiedBy>
  <cp:revision>24</cp:revision>
  <dcterms:created xsi:type="dcterms:W3CDTF">2023-01-10T10:42:00Z</dcterms:created>
  <dcterms:modified xsi:type="dcterms:W3CDTF">2024-10-22T07:33:00Z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