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6432" w:rsidRPr="00EF29FB" w:rsidRDefault="004F6432" w:rsidP="00EF29FB">
      <w:pPr>
        <w:widowControl w:val="0"/>
        <w:spacing w:line="240" w:lineRule="auto"/>
        <w:jc w:val="center"/>
        <w:rPr>
          <w:b/>
          <w:szCs w:val="22"/>
          <w:lang w:val="sr-Latn-ME"/>
        </w:rPr>
      </w:pPr>
      <w:r w:rsidRPr="00EF29FB">
        <w:rPr>
          <w:b/>
          <w:szCs w:val="22"/>
          <w:lang w:val="sr-Latn-ME"/>
        </w:rPr>
        <w:t>SAŽETAK KARAKTERISTIKA LIJEKA</w:t>
      </w:r>
    </w:p>
    <w:p w:rsidR="004F6432" w:rsidRPr="00EF29FB" w:rsidRDefault="004F6432" w:rsidP="00EF29FB">
      <w:pPr>
        <w:widowControl w:val="0"/>
        <w:spacing w:line="240" w:lineRule="auto"/>
        <w:jc w:val="center"/>
        <w:rPr>
          <w:b/>
          <w:szCs w:val="22"/>
          <w:lang w:val="sr-Latn-ME"/>
        </w:rPr>
      </w:pPr>
    </w:p>
    <w:p w:rsidR="004F6432" w:rsidRPr="00EF29FB" w:rsidRDefault="004F6432" w:rsidP="00EF29FB">
      <w:pPr>
        <w:widowControl w:val="0"/>
        <w:spacing w:line="240" w:lineRule="auto"/>
        <w:ind w:left="567"/>
        <w:jc w:val="both"/>
        <w:rPr>
          <w:b/>
          <w:szCs w:val="22"/>
          <w:lang w:val="sr-Latn-ME"/>
        </w:rPr>
      </w:pPr>
    </w:p>
    <w:p w:rsidR="00EA43CD" w:rsidRPr="00EF29FB" w:rsidRDefault="002B696B" w:rsidP="00EF29FB">
      <w:pPr>
        <w:widowControl w:val="0"/>
        <w:numPr>
          <w:ilvl w:val="0"/>
          <w:numId w:val="26"/>
        </w:numPr>
        <w:spacing w:line="240" w:lineRule="auto"/>
        <w:ind w:left="567"/>
        <w:jc w:val="both"/>
        <w:rPr>
          <w:b/>
          <w:szCs w:val="22"/>
          <w:lang w:val="sr-Latn-ME"/>
        </w:rPr>
      </w:pPr>
      <w:r w:rsidRPr="00EF29FB">
        <w:rPr>
          <w:b/>
          <w:szCs w:val="22"/>
          <w:lang w:val="sr-Latn-ME"/>
        </w:rPr>
        <w:t>NAZIV LIJEKA</w:t>
      </w:r>
    </w:p>
    <w:p w:rsidR="00EA43CD" w:rsidRPr="00EF29FB" w:rsidRDefault="00EA43CD" w:rsidP="00EF29FB">
      <w:pPr>
        <w:widowControl w:val="0"/>
        <w:spacing w:line="240" w:lineRule="auto"/>
        <w:jc w:val="both"/>
        <w:rPr>
          <w:szCs w:val="22"/>
          <w:lang w:val="sr-Latn-ME"/>
        </w:rPr>
      </w:pPr>
    </w:p>
    <w:p w:rsidR="00EA43CD" w:rsidRPr="00EF29FB" w:rsidRDefault="002B696B" w:rsidP="00EF29FB">
      <w:pPr>
        <w:widowControl w:val="0"/>
        <w:spacing w:line="240" w:lineRule="auto"/>
        <w:jc w:val="both"/>
        <w:rPr>
          <w:szCs w:val="22"/>
          <w:lang w:val="sr-Latn-ME"/>
        </w:rPr>
      </w:pPr>
      <w:r w:rsidRPr="00EF29FB">
        <w:rPr>
          <w:szCs w:val="22"/>
          <w:lang w:val="sr-Latn-ME"/>
        </w:rPr>
        <w:t xml:space="preserve">Valsacor, film tableta, 80 mg </w:t>
      </w:r>
    </w:p>
    <w:p w:rsidR="00EA43CD" w:rsidRPr="00EF29FB" w:rsidRDefault="002B696B" w:rsidP="00EF29FB">
      <w:pPr>
        <w:widowControl w:val="0"/>
        <w:spacing w:line="240" w:lineRule="auto"/>
        <w:jc w:val="both"/>
        <w:rPr>
          <w:szCs w:val="22"/>
          <w:lang w:val="sr-Latn-ME"/>
        </w:rPr>
      </w:pPr>
      <w:r w:rsidRPr="00EF29FB">
        <w:rPr>
          <w:szCs w:val="22"/>
          <w:lang w:val="sr-Latn-ME"/>
        </w:rPr>
        <w:t>Valsacor, film tableta, 160 mg</w:t>
      </w:r>
    </w:p>
    <w:p w:rsidR="00EA43CD" w:rsidRPr="00EF29FB" w:rsidRDefault="002B696B" w:rsidP="00EF29FB">
      <w:pPr>
        <w:widowControl w:val="0"/>
        <w:spacing w:line="240" w:lineRule="auto"/>
        <w:jc w:val="both"/>
        <w:rPr>
          <w:szCs w:val="22"/>
          <w:lang w:val="sr-Latn-ME"/>
        </w:rPr>
      </w:pPr>
      <w:r w:rsidRPr="00EF29FB">
        <w:rPr>
          <w:szCs w:val="22"/>
          <w:lang w:val="sr-Latn-ME"/>
        </w:rPr>
        <w:t>INN:</w:t>
      </w:r>
      <w:r w:rsidRPr="00EF29FB">
        <w:rPr>
          <w:szCs w:val="22"/>
          <w:lang w:val="sr-Latn-ME"/>
        </w:rPr>
        <w:tab/>
        <w:t>valsartan</w:t>
      </w:r>
    </w:p>
    <w:p w:rsidR="00EA43CD" w:rsidRPr="00EF29FB" w:rsidRDefault="00EA43CD" w:rsidP="00EF29FB">
      <w:pPr>
        <w:widowControl w:val="0"/>
        <w:spacing w:line="240" w:lineRule="auto"/>
        <w:jc w:val="both"/>
        <w:rPr>
          <w:szCs w:val="22"/>
          <w:lang w:val="sr-Latn-ME"/>
        </w:rPr>
      </w:pPr>
    </w:p>
    <w:p w:rsidR="00EA43CD" w:rsidRPr="00EF29FB" w:rsidRDefault="00EA43CD" w:rsidP="00EF29FB">
      <w:pPr>
        <w:widowControl w:val="0"/>
        <w:spacing w:line="240" w:lineRule="auto"/>
        <w:jc w:val="both"/>
        <w:rPr>
          <w:szCs w:val="22"/>
          <w:lang w:val="sr-Latn-ME"/>
        </w:rPr>
      </w:pPr>
    </w:p>
    <w:p w:rsidR="00EA43CD" w:rsidRPr="00EF29FB" w:rsidRDefault="002B696B" w:rsidP="00EF29FB">
      <w:pPr>
        <w:widowControl w:val="0"/>
        <w:spacing w:line="240" w:lineRule="auto"/>
        <w:jc w:val="both"/>
        <w:rPr>
          <w:szCs w:val="22"/>
          <w:lang w:val="sr-Latn-ME"/>
        </w:rPr>
      </w:pPr>
      <w:r w:rsidRPr="00EF29FB">
        <w:rPr>
          <w:b/>
          <w:szCs w:val="22"/>
          <w:lang w:val="sr-Latn-ME"/>
        </w:rPr>
        <w:t>2.</w:t>
      </w:r>
      <w:r w:rsidRPr="00EF29FB">
        <w:rPr>
          <w:b/>
          <w:szCs w:val="22"/>
          <w:lang w:val="sr-Latn-ME"/>
        </w:rPr>
        <w:tab/>
        <w:t>KVALITATIVNI I KVANTITATIVNI SASTAV</w:t>
      </w:r>
    </w:p>
    <w:p w:rsidR="00EA43CD" w:rsidRPr="00EF29FB" w:rsidRDefault="00EA43CD" w:rsidP="00EF29FB">
      <w:pPr>
        <w:widowControl w:val="0"/>
        <w:spacing w:line="240" w:lineRule="auto"/>
        <w:jc w:val="both"/>
        <w:rPr>
          <w:szCs w:val="22"/>
          <w:lang w:val="sr-Latn-ME"/>
        </w:rPr>
      </w:pPr>
    </w:p>
    <w:p w:rsidR="00EA43CD" w:rsidRPr="00EF29FB" w:rsidRDefault="002B696B" w:rsidP="00EF29FB">
      <w:pPr>
        <w:widowControl w:val="0"/>
        <w:shd w:val="clear" w:color="auto" w:fill="FFFFFF"/>
        <w:spacing w:line="240" w:lineRule="auto"/>
        <w:rPr>
          <w:szCs w:val="22"/>
          <w:lang w:val="sr-Latn-ME"/>
        </w:rPr>
      </w:pPr>
      <w:r w:rsidRPr="00EF29FB">
        <w:rPr>
          <w:szCs w:val="22"/>
          <w:lang w:val="sr-Latn-ME"/>
        </w:rPr>
        <w:t>Jedna film tableta lijeka Valsacor 80 mg sadrži 80 mg valsartana.</w:t>
      </w:r>
    </w:p>
    <w:p w:rsidR="00EA43CD" w:rsidRPr="00EF29FB" w:rsidRDefault="002B696B" w:rsidP="00EF29FB">
      <w:pPr>
        <w:widowControl w:val="0"/>
        <w:shd w:val="clear" w:color="auto" w:fill="FFFFFF"/>
        <w:spacing w:line="240" w:lineRule="auto"/>
        <w:rPr>
          <w:szCs w:val="22"/>
          <w:lang w:val="sr-Latn-ME"/>
        </w:rPr>
      </w:pPr>
      <w:r w:rsidRPr="00EF29FB">
        <w:rPr>
          <w:szCs w:val="22"/>
          <w:lang w:val="sr-Latn-ME"/>
        </w:rPr>
        <w:t>Jedna film tableta lijeka Valsacor</w:t>
      </w:r>
      <w:r w:rsidRPr="00EF29FB">
        <w:rPr>
          <w:szCs w:val="22"/>
          <w:vertAlign w:val="superscript"/>
          <w:lang w:val="sr-Latn-ME"/>
        </w:rPr>
        <w:t xml:space="preserve"> </w:t>
      </w:r>
      <w:r w:rsidRPr="00EF29FB">
        <w:rPr>
          <w:szCs w:val="22"/>
          <w:lang w:val="sr-Latn-ME"/>
        </w:rPr>
        <w:t>160 mg sadrži 160 mg valsartana.</w:t>
      </w:r>
    </w:p>
    <w:p w:rsidR="00EA43CD" w:rsidRPr="00EF29FB" w:rsidRDefault="00EA43CD" w:rsidP="00EF29FB">
      <w:pPr>
        <w:widowControl w:val="0"/>
        <w:spacing w:line="240" w:lineRule="auto"/>
        <w:rPr>
          <w:szCs w:val="22"/>
          <w:lang w:val="sr-Latn-ME"/>
        </w:rPr>
      </w:pPr>
    </w:p>
    <w:p w:rsidR="00EA43CD" w:rsidRPr="00EF29FB" w:rsidRDefault="002B696B" w:rsidP="00EF29FB">
      <w:pPr>
        <w:widowControl w:val="0"/>
        <w:spacing w:line="240" w:lineRule="auto"/>
        <w:rPr>
          <w:iCs/>
          <w:szCs w:val="22"/>
          <w:u w:val="single"/>
          <w:lang w:val="sr-Latn-ME"/>
        </w:rPr>
      </w:pPr>
      <w:r w:rsidRPr="00EF29FB">
        <w:rPr>
          <w:szCs w:val="22"/>
          <w:lang w:val="sr-Latn-ME"/>
        </w:rPr>
        <w:t>Pomoćna supstanca sa potvrđenim dejstvom</w:t>
      </w:r>
      <w:r w:rsidRPr="00EF29FB">
        <w:rPr>
          <w:iCs/>
          <w:szCs w:val="22"/>
          <w:u w:val="single"/>
          <w:lang w:val="sr-Latn-ME"/>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9"/>
        <w:gridCol w:w="1048"/>
        <w:gridCol w:w="1048"/>
      </w:tblGrid>
      <w:tr w:rsidR="00EA43CD" w:rsidRPr="00EF29FB" w:rsidTr="00EF29FB">
        <w:tc>
          <w:tcPr>
            <w:tcW w:w="2089" w:type="dxa"/>
            <w:tcBorders>
              <w:top w:val="single" w:sz="4" w:space="0" w:color="auto"/>
              <w:left w:val="single" w:sz="4" w:space="0" w:color="auto"/>
              <w:bottom w:val="single" w:sz="4" w:space="0" w:color="auto"/>
              <w:right w:val="single" w:sz="4" w:space="0" w:color="auto"/>
            </w:tcBorders>
          </w:tcPr>
          <w:p w:rsidR="00EA43CD" w:rsidRPr="00EF29FB" w:rsidRDefault="00EA43CD" w:rsidP="00EF29FB">
            <w:pPr>
              <w:widowControl w:val="0"/>
              <w:spacing w:line="240" w:lineRule="auto"/>
              <w:ind w:left="426" w:hanging="142"/>
              <w:rPr>
                <w:szCs w:val="22"/>
                <w:lang w:val="sr-Latn-ME"/>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EA43CD" w:rsidRPr="00EF29FB" w:rsidRDefault="002B696B" w:rsidP="00EF29FB">
            <w:pPr>
              <w:widowControl w:val="0"/>
              <w:spacing w:line="240" w:lineRule="auto"/>
              <w:jc w:val="center"/>
              <w:rPr>
                <w:szCs w:val="22"/>
                <w:lang w:val="sr-Latn-ME"/>
              </w:rPr>
            </w:pPr>
            <w:r w:rsidRPr="00EF29FB">
              <w:rPr>
                <w:szCs w:val="22"/>
                <w:lang w:val="sr-Latn-ME"/>
              </w:rPr>
              <w:t xml:space="preserve">80 mg </w:t>
            </w:r>
          </w:p>
        </w:tc>
        <w:tc>
          <w:tcPr>
            <w:tcW w:w="0" w:type="auto"/>
            <w:tcBorders>
              <w:top w:val="single" w:sz="4" w:space="0" w:color="auto"/>
              <w:left w:val="single" w:sz="4" w:space="0" w:color="auto"/>
              <w:bottom w:val="single" w:sz="4" w:space="0" w:color="auto"/>
              <w:right w:val="single" w:sz="4" w:space="0" w:color="auto"/>
            </w:tcBorders>
            <w:vAlign w:val="center"/>
            <w:hideMark/>
          </w:tcPr>
          <w:p w:rsidR="00EA43CD" w:rsidRPr="00EF29FB" w:rsidRDefault="002B696B" w:rsidP="00EF29FB">
            <w:pPr>
              <w:widowControl w:val="0"/>
              <w:spacing w:line="240" w:lineRule="auto"/>
              <w:jc w:val="center"/>
              <w:rPr>
                <w:szCs w:val="22"/>
                <w:lang w:val="sr-Latn-ME"/>
              </w:rPr>
            </w:pPr>
            <w:r w:rsidRPr="00EF29FB">
              <w:rPr>
                <w:szCs w:val="22"/>
                <w:lang w:val="sr-Latn-ME"/>
              </w:rPr>
              <w:t xml:space="preserve">160 mg </w:t>
            </w:r>
          </w:p>
        </w:tc>
      </w:tr>
      <w:tr w:rsidR="00EA43CD" w:rsidRPr="00EF29FB" w:rsidTr="00EF29FB">
        <w:tc>
          <w:tcPr>
            <w:tcW w:w="2089" w:type="dxa"/>
            <w:tcBorders>
              <w:top w:val="single" w:sz="4" w:space="0" w:color="auto"/>
              <w:left w:val="single" w:sz="4" w:space="0" w:color="auto"/>
              <w:bottom w:val="single" w:sz="4" w:space="0" w:color="auto"/>
              <w:right w:val="single" w:sz="4" w:space="0" w:color="auto"/>
            </w:tcBorders>
            <w:hideMark/>
          </w:tcPr>
          <w:p w:rsidR="00EA43CD" w:rsidRPr="00EF29FB" w:rsidRDefault="002B696B" w:rsidP="00EF29FB">
            <w:pPr>
              <w:widowControl w:val="0"/>
              <w:spacing w:line="240" w:lineRule="auto"/>
              <w:rPr>
                <w:szCs w:val="22"/>
                <w:lang w:val="sr-Latn-ME"/>
              </w:rPr>
            </w:pPr>
            <w:r w:rsidRPr="00EF29FB">
              <w:rPr>
                <w:szCs w:val="22"/>
                <w:lang w:val="sr-Latn-ME"/>
              </w:rPr>
              <w:t>laktoza, monohidrat</w:t>
            </w:r>
          </w:p>
        </w:tc>
        <w:tc>
          <w:tcPr>
            <w:tcW w:w="0" w:type="auto"/>
            <w:tcBorders>
              <w:top w:val="single" w:sz="4" w:space="0" w:color="auto"/>
              <w:left w:val="single" w:sz="4" w:space="0" w:color="auto"/>
              <w:bottom w:val="single" w:sz="4" w:space="0" w:color="auto"/>
              <w:right w:val="single" w:sz="4" w:space="0" w:color="auto"/>
            </w:tcBorders>
            <w:vAlign w:val="center"/>
            <w:hideMark/>
          </w:tcPr>
          <w:p w:rsidR="00EA43CD" w:rsidRPr="00EF29FB" w:rsidRDefault="002B696B" w:rsidP="00EF29FB">
            <w:pPr>
              <w:widowControl w:val="0"/>
              <w:spacing w:line="240" w:lineRule="auto"/>
              <w:jc w:val="center"/>
              <w:rPr>
                <w:szCs w:val="22"/>
                <w:lang w:val="sr-Latn-ME"/>
              </w:rPr>
            </w:pPr>
            <w:r w:rsidRPr="00EF29FB">
              <w:rPr>
                <w:szCs w:val="22"/>
                <w:lang w:val="sr-Latn-ME"/>
              </w:rPr>
              <w:t>28.50 mg</w:t>
            </w:r>
          </w:p>
        </w:tc>
        <w:tc>
          <w:tcPr>
            <w:tcW w:w="0" w:type="auto"/>
            <w:tcBorders>
              <w:top w:val="single" w:sz="4" w:space="0" w:color="auto"/>
              <w:left w:val="single" w:sz="4" w:space="0" w:color="auto"/>
              <w:bottom w:val="single" w:sz="4" w:space="0" w:color="auto"/>
              <w:right w:val="single" w:sz="4" w:space="0" w:color="auto"/>
            </w:tcBorders>
            <w:vAlign w:val="center"/>
            <w:hideMark/>
          </w:tcPr>
          <w:p w:rsidR="00EA43CD" w:rsidRPr="00EF29FB" w:rsidRDefault="002B696B" w:rsidP="00EF29FB">
            <w:pPr>
              <w:widowControl w:val="0"/>
              <w:spacing w:line="240" w:lineRule="auto"/>
              <w:jc w:val="center"/>
              <w:rPr>
                <w:szCs w:val="22"/>
                <w:lang w:val="sr-Latn-ME"/>
              </w:rPr>
            </w:pPr>
            <w:r w:rsidRPr="00EF29FB">
              <w:rPr>
                <w:szCs w:val="22"/>
                <w:lang w:val="sr-Latn-ME"/>
              </w:rPr>
              <w:t>57.00 mg</w:t>
            </w:r>
          </w:p>
        </w:tc>
      </w:tr>
    </w:tbl>
    <w:p w:rsidR="00EA43CD" w:rsidRPr="00EF29FB" w:rsidRDefault="00EA43CD" w:rsidP="00EF29FB">
      <w:pPr>
        <w:widowControl w:val="0"/>
        <w:spacing w:line="240" w:lineRule="auto"/>
        <w:jc w:val="both"/>
        <w:rPr>
          <w:szCs w:val="22"/>
          <w:lang w:val="sr-Latn-ME"/>
        </w:rPr>
      </w:pPr>
    </w:p>
    <w:p w:rsidR="00EA43CD" w:rsidRPr="00EF29FB" w:rsidRDefault="002B696B" w:rsidP="00EF29FB">
      <w:pPr>
        <w:widowControl w:val="0"/>
        <w:autoSpaceDE w:val="0"/>
        <w:autoSpaceDN w:val="0"/>
        <w:adjustRightInd w:val="0"/>
        <w:spacing w:line="240" w:lineRule="auto"/>
        <w:jc w:val="both"/>
        <w:rPr>
          <w:szCs w:val="22"/>
          <w:lang w:val="sr-Latn-ME"/>
        </w:rPr>
      </w:pPr>
      <w:r w:rsidRPr="00EF29FB">
        <w:rPr>
          <w:szCs w:val="22"/>
          <w:lang w:val="sr-Latn-ME"/>
        </w:rPr>
        <w:t>Za spisak svih ekscipijenasa, pogledati dio 6.1.</w:t>
      </w:r>
    </w:p>
    <w:p w:rsidR="00EA43CD" w:rsidRPr="00EF29FB" w:rsidRDefault="00EA43CD" w:rsidP="00EF29FB">
      <w:pPr>
        <w:widowControl w:val="0"/>
        <w:spacing w:line="240" w:lineRule="auto"/>
        <w:jc w:val="both"/>
        <w:rPr>
          <w:szCs w:val="22"/>
          <w:lang w:val="sr-Latn-ME"/>
        </w:rPr>
      </w:pPr>
    </w:p>
    <w:p w:rsidR="00EA43CD" w:rsidRPr="00EF29FB" w:rsidRDefault="00EA43CD" w:rsidP="00EF29FB">
      <w:pPr>
        <w:widowControl w:val="0"/>
        <w:spacing w:line="240" w:lineRule="auto"/>
        <w:jc w:val="both"/>
        <w:rPr>
          <w:szCs w:val="22"/>
          <w:lang w:val="sr-Latn-ME"/>
        </w:rPr>
      </w:pPr>
    </w:p>
    <w:p w:rsidR="00EA43CD" w:rsidRPr="00EF29FB" w:rsidRDefault="002B696B" w:rsidP="00EF29FB">
      <w:pPr>
        <w:widowControl w:val="0"/>
        <w:spacing w:line="240" w:lineRule="auto"/>
        <w:jc w:val="both"/>
        <w:rPr>
          <w:b/>
          <w:caps/>
          <w:szCs w:val="22"/>
          <w:lang w:val="sr-Latn-ME"/>
        </w:rPr>
      </w:pPr>
      <w:r w:rsidRPr="00EF29FB">
        <w:rPr>
          <w:b/>
          <w:szCs w:val="22"/>
          <w:lang w:val="sr-Latn-ME"/>
        </w:rPr>
        <w:t>3.</w:t>
      </w:r>
      <w:r w:rsidRPr="00EF29FB">
        <w:rPr>
          <w:b/>
          <w:szCs w:val="22"/>
          <w:lang w:val="sr-Latn-ME"/>
        </w:rPr>
        <w:tab/>
        <w:t>FARMACEUTSKI OBLIK</w:t>
      </w:r>
    </w:p>
    <w:p w:rsidR="00EA43CD" w:rsidRPr="00EF29FB" w:rsidRDefault="00EA43CD" w:rsidP="00EF29FB">
      <w:pPr>
        <w:widowControl w:val="0"/>
        <w:spacing w:line="240" w:lineRule="auto"/>
        <w:jc w:val="both"/>
        <w:rPr>
          <w:szCs w:val="22"/>
          <w:lang w:val="sr-Latn-ME"/>
        </w:rPr>
      </w:pPr>
    </w:p>
    <w:p w:rsidR="00EA43CD" w:rsidRPr="00EF29FB" w:rsidRDefault="002B696B" w:rsidP="00EF29FB">
      <w:pPr>
        <w:widowControl w:val="0"/>
        <w:autoSpaceDE w:val="0"/>
        <w:autoSpaceDN w:val="0"/>
        <w:adjustRightInd w:val="0"/>
        <w:spacing w:line="240" w:lineRule="auto"/>
        <w:jc w:val="both"/>
        <w:rPr>
          <w:szCs w:val="22"/>
          <w:lang w:val="sr-Latn-ME"/>
        </w:rPr>
      </w:pPr>
      <w:r w:rsidRPr="00EF29FB">
        <w:rPr>
          <w:szCs w:val="22"/>
          <w:lang w:val="sr-Latn-ME"/>
        </w:rPr>
        <w:t>Valsacor, 80 mg, film tablete: ružičaste, okrugle, bikonveksne, sa podionom crtom na jednoj strani. Tableta se može podijeliti na jednake djelove.</w:t>
      </w:r>
    </w:p>
    <w:p w:rsidR="00EA43CD" w:rsidRPr="00EF29FB" w:rsidRDefault="002B696B" w:rsidP="00EF29FB">
      <w:pPr>
        <w:widowControl w:val="0"/>
        <w:autoSpaceDE w:val="0"/>
        <w:autoSpaceDN w:val="0"/>
        <w:adjustRightInd w:val="0"/>
        <w:spacing w:line="240" w:lineRule="auto"/>
        <w:jc w:val="both"/>
        <w:rPr>
          <w:szCs w:val="22"/>
          <w:lang w:val="sr-Latn-ME"/>
        </w:rPr>
      </w:pPr>
      <w:r w:rsidRPr="00EF29FB">
        <w:rPr>
          <w:szCs w:val="22"/>
          <w:lang w:val="sr-Latn-ME"/>
        </w:rPr>
        <w:t>Valsacor, 160 mg, film tablete: žutosmeđe, ovalne, bikonveksne, sa podionom crtom na jednoj strani.</w:t>
      </w:r>
    </w:p>
    <w:p w:rsidR="00EA43CD" w:rsidRPr="00EF29FB" w:rsidRDefault="002B696B" w:rsidP="00EF29FB">
      <w:pPr>
        <w:widowControl w:val="0"/>
        <w:spacing w:line="240" w:lineRule="auto"/>
        <w:jc w:val="both"/>
        <w:rPr>
          <w:szCs w:val="22"/>
          <w:lang w:val="sr-Latn-ME"/>
        </w:rPr>
      </w:pPr>
      <w:r w:rsidRPr="00EF29FB">
        <w:rPr>
          <w:szCs w:val="22"/>
          <w:lang w:val="sr-Latn-ME"/>
        </w:rPr>
        <w:t>Tableta se može podijeliti na jednake djelove.</w:t>
      </w:r>
    </w:p>
    <w:p w:rsidR="00EA43CD" w:rsidRPr="00EF29FB" w:rsidRDefault="00EA43CD" w:rsidP="00EF29FB">
      <w:pPr>
        <w:widowControl w:val="0"/>
        <w:spacing w:line="240" w:lineRule="auto"/>
        <w:jc w:val="both"/>
        <w:rPr>
          <w:szCs w:val="22"/>
          <w:lang w:val="sr-Latn-ME"/>
        </w:rPr>
      </w:pPr>
    </w:p>
    <w:p w:rsidR="00EA43CD" w:rsidRPr="00EF29FB" w:rsidRDefault="00EA43CD" w:rsidP="00EF29FB">
      <w:pPr>
        <w:widowControl w:val="0"/>
        <w:spacing w:line="240" w:lineRule="auto"/>
        <w:jc w:val="both"/>
        <w:rPr>
          <w:szCs w:val="22"/>
          <w:lang w:val="sr-Latn-ME"/>
        </w:rPr>
      </w:pPr>
    </w:p>
    <w:p w:rsidR="00EA43CD" w:rsidRPr="00EF29FB" w:rsidRDefault="002B696B" w:rsidP="00EF29FB">
      <w:pPr>
        <w:widowControl w:val="0"/>
        <w:spacing w:line="240" w:lineRule="auto"/>
        <w:ind w:left="567" w:hanging="567"/>
        <w:jc w:val="both"/>
        <w:rPr>
          <w:caps/>
          <w:szCs w:val="22"/>
          <w:lang w:val="sr-Latn-ME"/>
        </w:rPr>
      </w:pPr>
      <w:r w:rsidRPr="00EF29FB">
        <w:rPr>
          <w:b/>
          <w:caps/>
          <w:szCs w:val="22"/>
          <w:lang w:val="sr-Latn-ME"/>
        </w:rPr>
        <w:t>4.</w:t>
      </w:r>
      <w:r w:rsidRPr="00EF29FB">
        <w:rPr>
          <w:b/>
          <w:caps/>
          <w:szCs w:val="22"/>
          <w:lang w:val="sr-Latn-ME"/>
        </w:rPr>
        <w:tab/>
        <w:t>KLINIČKI PODACI</w:t>
      </w:r>
    </w:p>
    <w:p w:rsidR="00EA43CD" w:rsidRPr="00EF29FB" w:rsidRDefault="00EA43CD" w:rsidP="00EF29FB">
      <w:pPr>
        <w:widowControl w:val="0"/>
        <w:spacing w:line="240" w:lineRule="auto"/>
        <w:jc w:val="both"/>
        <w:rPr>
          <w:szCs w:val="22"/>
          <w:lang w:val="sr-Latn-ME"/>
        </w:rPr>
      </w:pPr>
    </w:p>
    <w:p w:rsidR="00EA43CD" w:rsidRPr="00EF29FB" w:rsidRDefault="002B696B" w:rsidP="00EF29FB">
      <w:pPr>
        <w:widowControl w:val="0"/>
        <w:spacing w:line="240" w:lineRule="auto"/>
        <w:ind w:left="567" w:hanging="567"/>
        <w:jc w:val="both"/>
        <w:outlineLvl w:val="0"/>
        <w:rPr>
          <w:b/>
          <w:szCs w:val="22"/>
          <w:lang w:val="sr-Latn-ME"/>
        </w:rPr>
      </w:pPr>
      <w:r w:rsidRPr="00EF29FB">
        <w:rPr>
          <w:b/>
          <w:szCs w:val="22"/>
          <w:lang w:val="sr-Latn-ME"/>
        </w:rPr>
        <w:t>4.1</w:t>
      </w:r>
      <w:r w:rsidRPr="00EF29FB">
        <w:rPr>
          <w:b/>
          <w:szCs w:val="22"/>
          <w:lang w:val="sr-Latn-ME"/>
        </w:rPr>
        <w:tab/>
        <w:t>Terapijske indikacije</w:t>
      </w:r>
    </w:p>
    <w:p w:rsidR="00EA43CD" w:rsidRPr="00EF29FB" w:rsidRDefault="00EA43CD" w:rsidP="00EF29FB">
      <w:pPr>
        <w:widowControl w:val="0"/>
        <w:spacing w:line="240" w:lineRule="auto"/>
        <w:jc w:val="both"/>
        <w:rPr>
          <w:szCs w:val="22"/>
          <w:lang w:val="sr-Latn-ME"/>
        </w:rPr>
      </w:pPr>
    </w:p>
    <w:p w:rsidR="00EA43CD" w:rsidRPr="00EF29FB" w:rsidRDefault="002B696B" w:rsidP="00EF29FB">
      <w:pPr>
        <w:widowControl w:val="0"/>
        <w:shd w:val="clear" w:color="auto" w:fill="FFFFFF"/>
        <w:spacing w:line="240" w:lineRule="auto"/>
        <w:ind w:left="11"/>
        <w:jc w:val="both"/>
        <w:rPr>
          <w:bCs/>
          <w:szCs w:val="22"/>
          <w:u w:val="single"/>
          <w:lang w:val="sr-Latn-ME"/>
        </w:rPr>
      </w:pPr>
      <w:r w:rsidRPr="00EF29FB">
        <w:rPr>
          <w:bCs/>
          <w:szCs w:val="22"/>
          <w:u w:val="single"/>
          <w:lang w:val="sr-Latn-ME"/>
        </w:rPr>
        <w:t xml:space="preserve">Hipertenzija </w:t>
      </w:r>
    </w:p>
    <w:p w:rsidR="00EA43CD" w:rsidRPr="00EF29FB" w:rsidRDefault="002B696B" w:rsidP="00EF29FB">
      <w:pPr>
        <w:widowControl w:val="0"/>
        <w:shd w:val="clear" w:color="auto" w:fill="FFFFFF"/>
        <w:spacing w:line="240" w:lineRule="auto"/>
        <w:ind w:left="11"/>
        <w:jc w:val="both"/>
        <w:rPr>
          <w:bCs/>
          <w:szCs w:val="22"/>
          <w:lang w:val="sr-Latn-ME"/>
        </w:rPr>
      </w:pPr>
      <w:r w:rsidRPr="00EF29FB">
        <w:rPr>
          <w:bCs/>
          <w:szCs w:val="22"/>
          <w:lang w:val="sr-Latn-ME"/>
        </w:rPr>
        <w:t>Liječenje esencijalne hipertenzije kod odraslih i hipertenzije kod djece i adolescenata starosti od 6 do manje od 18 godina.</w:t>
      </w:r>
    </w:p>
    <w:p w:rsidR="00EA43CD" w:rsidRPr="00EF29FB" w:rsidRDefault="00EA43CD" w:rsidP="00EF29FB">
      <w:pPr>
        <w:widowControl w:val="0"/>
        <w:shd w:val="clear" w:color="auto" w:fill="FFFFFF"/>
        <w:spacing w:line="240" w:lineRule="auto"/>
        <w:ind w:left="11"/>
        <w:jc w:val="both"/>
        <w:rPr>
          <w:bCs/>
          <w:szCs w:val="22"/>
          <w:lang w:val="sr-Latn-ME"/>
        </w:rPr>
      </w:pPr>
    </w:p>
    <w:p w:rsidR="00EA43CD" w:rsidRPr="00EF29FB" w:rsidRDefault="002B696B" w:rsidP="00EF29FB">
      <w:pPr>
        <w:widowControl w:val="0"/>
        <w:shd w:val="clear" w:color="auto" w:fill="FFFFFF"/>
        <w:spacing w:line="240" w:lineRule="auto"/>
        <w:jc w:val="both"/>
        <w:rPr>
          <w:szCs w:val="22"/>
          <w:u w:val="single"/>
          <w:lang w:val="sr-Latn-ME"/>
        </w:rPr>
      </w:pPr>
      <w:r w:rsidRPr="00EF29FB">
        <w:rPr>
          <w:szCs w:val="22"/>
          <w:u w:val="single"/>
          <w:lang w:val="sr-Latn-ME"/>
        </w:rPr>
        <w:t xml:space="preserve">Nedavni infarkt miokarda </w:t>
      </w:r>
    </w:p>
    <w:p w:rsidR="00EA43CD" w:rsidRPr="00EF29FB" w:rsidRDefault="002B696B" w:rsidP="00EF29FB">
      <w:pPr>
        <w:widowControl w:val="0"/>
        <w:shd w:val="clear" w:color="auto" w:fill="FFFFFF"/>
        <w:spacing w:line="240" w:lineRule="auto"/>
        <w:jc w:val="both"/>
        <w:rPr>
          <w:szCs w:val="22"/>
          <w:lang w:val="sr-Latn-ME"/>
        </w:rPr>
      </w:pPr>
      <w:r w:rsidRPr="00EF29FB">
        <w:rPr>
          <w:szCs w:val="22"/>
          <w:lang w:val="sr-Latn-ME"/>
        </w:rPr>
        <w:t>Terapija klinički stabilnih odraslih pacijenata sa simptomima srčane insuficijencije ili asimptomatskom lijevom ventrikularnom sistolnom disfunkcijom nakon nedavnog (12 sati-10 dana) infarkta miokarda (vidjeti djelove 4.4 i 5.1).</w:t>
      </w:r>
    </w:p>
    <w:p w:rsidR="00EA43CD" w:rsidRPr="00EF29FB" w:rsidRDefault="00EA43CD" w:rsidP="00EF29FB">
      <w:pPr>
        <w:widowControl w:val="0"/>
        <w:shd w:val="clear" w:color="auto" w:fill="FFFFFF"/>
        <w:spacing w:line="240" w:lineRule="auto"/>
        <w:jc w:val="both"/>
        <w:rPr>
          <w:szCs w:val="22"/>
          <w:lang w:val="sr-Latn-ME"/>
        </w:rPr>
      </w:pPr>
    </w:p>
    <w:p w:rsidR="00EA43CD" w:rsidRPr="00EF29FB" w:rsidRDefault="002B696B" w:rsidP="00EF29FB">
      <w:pPr>
        <w:widowControl w:val="0"/>
        <w:shd w:val="clear" w:color="auto" w:fill="FFFFFF"/>
        <w:spacing w:line="240" w:lineRule="auto"/>
        <w:ind w:left="11"/>
        <w:jc w:val="both"/>
        <w:rPr>
          <w:bCs/>
          <w:szCs w:val="22"/>
          <w:u w:val="single"/>
          <w:lang w:val="sr-Latn-ME"/>
        </w:rPr>
      </w:pPr>
      <w:r w:rsidRPr="00EF29FB">
        <w:rPr>
          <w:bCs/>
          <w:szCs w:val="22"/>
          <w:u w:val="single"/>
          <w:lang w:val="sr-Latn-ME"/>
        </w:rPr>
        <w:t xml:space="preserve">Srčana insuficijencija </w:t>
      </w:r>
    </w:p>
    <w:p w:rsidR="00EA43CD" w:rsidRPr="00EF29FB" w:rsidRDefault="002B696B" w:rsidP="00EF29FB">
      <w:pPr>
        <w:pStyle w:val="Header"/>
        <w:widowControl w:val="0"/>
        <w:tabs>
          <w:tab w:val="left" w:pos="284"/>
        </w:tabs>
        <w:spacing w:line="240" w:lineRule="auto"/>
        <w:jc w:val="both"/>
        <w:rPr>
          <w:rFonts w:ascii="Times New Roman" w:hAnsi="Times New Roman"/>
          <w:sz w:val="22"/>
          <w:szCs w:val="22"/>
          <w:lang w:val="sr-Latn-ME"/>
        </w:rPr>
      </w:pPr>
      <w:r w:rsidRPr="00EF29FB">
        <w:rPr>
          <w:rFonts w:ascii="Times New Roman" w:hAnsi="Times New Roman"/>
          <w:sz w:val="22"/>
          <w:szCs w:val="22"/>
          <w:lang w:val="sr-Latn-ME"/>
        </w:rPr>
        <w:t xml:space="preserve">Terapija simptomatske insuficijencije srca kod odraslih pacijenata kada inhibitori angiotenzin konvertujućeg enzima (ACE inhibitori) ne mogu da se koriste, ili kao dodatna terapija ACE inhibitorima kada </w:t>
      </w:r>
      <w:r w:rsidRPr="00EF29FB">
        <w:rPr>
          <w:rFonts w:ascii="Times New Roman" w:eastAsia="SimSun" w:hAnsi="Times New Roman"/>
          <w:color w:val="000000"/>
          <w:sz w:val="22"/>
          <w:szCs w:val="22"/>
          <w:lang w:val="sr-Latn-ME" w:eastAsia="sl-SI"/>
        </w:rPr>
        <w:t xml:space="preserve">antagonisti mineralokortikoidnog receptora </w:t>
      </w:r>
      <w:r w:rsidRPr="00EF29FB">
        <w:rPr>
          <w:rFonts w:ascii="Times New Roman" w:hAnsi="Times New Roman"/>
          <w:sz w:val="22"/>
          <w:szCs w:val="22"/>
          <w:lang w:val="sr-Latn-ME"/>
        </w:rPr>
        <w:t>ne mogu da se koriste (vidjeti djelove 4.2, 4.4, 4.5 i 5.1).</w:t>
      </w:r>
    </w:p>
    <w:p w:rsidR="00EA43CD" w:rsidRPr="00EF29FB" w:rsidRDefault="00EA43CD" w:rsidP="00EF29FB">
      <w:pPr>
        <w:pStyle w:val="Header"/>
        <w:widowControl w:val="0"/>
        <w:tabs>
          <w:tab w:val="left" w:pos="284"/>
        </w:tabs>
        <w:spacing w:line="240" w:lineRule="auto"/>
        <w:jc w:val="both"/>
        <w:rPr>
          <w:lang w:val="sr-Latn-ME"/>
        </w:rPr>
      </w:pPr>
    </w:p>
    <w:p w:rsidR="00EA43CD" w:rsidRPr="00EF29FB" w:rsidRDefault="002B696B" w:rsidP="00EF29FB">
      <w:pPr>
        <w:widowControl w:val="0"/>
        <w:numPr>
          <w:ilvl w:val="1"/>
          <w:numId w:val="13"/>
        </w:numPr>
        <w:tabs>
          <w:tab w:val="clear" w:pos="570"/>
          <w:tab w:val="left" w:pos="567"/>
          <w:tab w:val="num" w:pos="712"/>
        </w:tabs>
        <w:spacing w:line="240" w:lineRule="auto"/>
        <w:ind w:left="712" w:hanging="712"/>
        <w:jc w:val="both"/>
        <w:outlineLvl w:val="0"/>
        <w:rPr>
          <w:b/>
          <w:szCs w:val="22"/>
          <w:lang w:val="sr-Latn-ME"/>
        </w:rPr>
      </w:pPr>
      <w:r w:rsidRPr="00EF29FB">
        <w:rPr>
          <w:b/>
          <w:szCs w:val="22"/>
          <w:lang w:val="sr-Latn-ME"/>
        </w:rPr>
        <w:t>Doziranje i način primjene</w:t>
      </w:r>
    </w:p>
    <w:p w:rsidR="00EA43CD" w:rsidRPr="00EF29FB" w:rsidRDefault="00EA43CD" w:rsidP="00EF29FB">
      <w:pPr>
        <w:widowControl w:val="0"/>
        <w:spacing w:line="240" w:lineRule="auto"/>
        <w:jc w:val="both"/>
        <w:outlineLvl w:val="0"/>
        <w:rPr>
          <w:b/>
          <w:szCs w:val="22"/>
          <w:lang w:val="sr-Latn-ME"/>
        </w:rPr>
      </w:pPr>
    </w:p>
    <w:p w:rsidR="00EA43CD" w:rsidRPr="00EF29FB" w:rsidRDefault="002B696B" w:rsidP="00EF29FB">
      <w:pPr>
        <w:widowControl w:val="0"/>
        <w:spacing w:line="240" w:lineRule="auto"/>
        <w:jc w:val="both"/>
        <w:rPr>
          <w:iCs/>
          <w:szCs w:val="22"/>
          <w:u w:val="single"/>
          <w:lang w:val="sr-Latn-ME"/>
        </w:rPr>
      </w:pPr>
      <w:r w:rsidRPr="00EF29FB">
        <w:rPr>
          <w:iCs/>
          <w:szCs w:val="22"/>
          <w:u w:val="single"/>
          <w:lang w:val="sr-Latn-ME"/>
        </w:rPr>
        <w:t>Doziranje</w:t>
      </w:r>
    </w:p>
    <w:p w:rsidR="00EA43CD" w:rsidRPr="00EF29FB" w:rsidRDefault="00EA43CD" w:rsidP="00EF29FB">
      <w:pPr>
        <w:widowControl w:val="0"/>
        <w:spacing w:line="240" w:lineRule="auto"/>
        <w:jc w:val="both"/>
        <w:rPr>
          <w:iCs/>
          <w:szCs w:val="22"/>
          <w:u w:val="single"/>
          <w:lang w:val="sr-Latn-ME"/>
        </w:rPr>
      </w:pPr>
    </w:p>
    <w:p w:rsidR="00EA43CD" w:rsidRPr="00EF29FB" w:rsidRDefault="002B696B" w:rsidP="00EF29FB">
      <w:pPr>
        <w:widowControl w:val="0"/>
        <w:shd w:val="clear" w:color="auto" w:fill="FFFFFF"/>
        <w:spacing w:line="240" w:lineRule="auto"/>
        <w:ind w:left="11"/>
        <w:jc w:val="both"/>
        <w:rPr>
          <w:bCs/>
          <w:szCs w:val="22"/>
          <w:u w:val="single"/>
          <w:lang w:val="sr-Latn-ME"/>
        </w:rPr>
      </w:pPr>
      <w:r w:rsidRPr="00EF29FB">
        <w:rPr>
          <w:bCs/>
          <w:szCs w:val="22"/>
          <w:u w:val="single"/>
          <w:lang w:val="sr-Latn-ME"/>
        </w:rPr>
        <w:t xml:space="preserve">Hipertenzija </w:t>
      </w:r>
    </w:p>
    <w:p w:rsidR="00EA43CD" w:rsidRPr="00EF29FB" w:rsidRDefault="002B696B" w:rsidP="00EF29FB">
      <w:pPr>
        <w:widowControl w:val="0"/>
        <w:shd w:val="clear" w:color="auto" w:fill="FFFFFF"/>
        <w:spacing w:line="240" w:lineRule="auto"/>
        <w:jc w:val="both"/>
        <w:rPr>
          <w:szCs w:val="22"/>
          <w:lang w:val="sr-Latn-ME"/>
        </w:rPr>
      </w:pPr>
      <w:r w:rsidRPr="00EF29FB">
        <w:rPr>
          <w:szCs w:val="22"/>
          <w:lang w:val="sr-Latn-ME"/>
        </w:rPr>
        <w:t xml:space="preserve">Preporučena početna doza lijeka </w:t>
      </w:r>
      <w:r w:rsidRPr="00EF29FB">
        <w:rPr>
          <w:bCs/>
          <w:szCs w:val="22"/>
          <w:lang w:val="sr-Latn-ME"/>
        </w:rPr>
        <w:t xml:space="preserve">Valsacor </w:t>
      </w:r>
      <w:r w:rsidRPr="00EF29FB">
        <w:rPr>
          <w:szCs w:val="22"/>
          <w:lang w:val="sr-Latn-ME"/>
        </w:rPr>
        <w:t xml:space="preserve">je 80 mg jednom dnevno. Antihipertenzivno dejstvo se postiže u roku od 2 nedjelje, dok se maksimalni efekat postiže poslije 4 nedjelje. Kod nekih bolesnika čiji krvni pritisak nije adekvatno regulisan, dnevna doza se može povećati do 160 mg pa sve do maksimalnih 320 </w:t>
      </w:r>
      <w:r w:rsidRPr="00EF29FB">
        <w:rPr>
          <w:szCs w:val="22"/>
          <w:lang w:val="sr-Latn-ME"/>
        </w:rPr>
        <w:lastRenderedPageBreak/>
        <w:t xml:space="preserve">mg. </w:t>
      </w:r>
    </w:p>
    <w:p w:rsidR="00EA43CD" w:rsidRPr="00EF29FB" w:rsidRDefault="002B696B" w:rsidP="00EF29FB">
      <w:pPr>
        <w:widowControl w:val="0"/>
        <w:shd w:val="clear" w:color="auto" w:fill="FFFFFF"/>
        <w:spacing w:line="240" w:lineRule="auto"/>
        <w:jc w:val="both"/>
        <w:rPr>
          <w:szCs w:val="22"/>
          <w:lang w:val="sr-Latn-ME"/>
        </w:rPr>
      </w:pPr>
      <w:r w:rsidRPr="00EF29FB">
        <w:rPr>
          <w:szCs w:val="22"/>
          <w:lang w:val="sr-Latn-ME"/>
        </w:rPr>
        <w:t>Lijek Valsacor se takođe može davati i sa drugim antihipertenzivnim ljekovima (vidjeti djelove</w:t>
      </w:r>
      <w:r w:rsidR="00EF29FB" w:rsidRPr="00EF29FB">
        <w:rPr>
          <w:szCs w:val="22"/>
          <w:lang w:val="sr-Latn-ME"/>
        </w:rPr>
        <w:t xml:space="preserve"> 4.3</w:t>
      </w:r>
      <w:r w:rsidRPr="00EF29FB">
        <w:rPr>
          <w:szCs w:val="22"/>
          <w:lang w:val="sr-Latn-ME"/>
        </w:rPr>
        <w:t>, 4.4, 4.5 i 5.1). Istovremena primjena diuretika kao što je hidrohlortiazid,  još više će smanjiti krvni pritisak  kod ovih pacijenata.</w:t>
      </w:r>
    </w:p>
    <w:p w:rsidR="00EA43CD" w:rsidRPr="00EF29FB" w:rsidRDefault="00EA43CD" w:rsidP="00EF29FB">
      <w:pPr>
        <w:widowControl w:val="0"/>
        <w:shd w:val="clear" w:color="auto" w:fill="FFFFFF"/>
        <w:spacing w:line="240" w:lineRule="auto"/>
        <w:jc w:val="both"/>
        <w:rPr>
          <w:bCs/>
          <w:szCs w:val="22"/>
          <w:u w:val="single"/>
          <w:lang w:val="sr-Latn-ME"/>
        </w:rPr>
      </w:pPr>
    </w:p>
    <w:p w:rsidR="00EA43CD" w:rsidRPr="00EF29FB" w:rsidRDefault="002B696B" w:rsidP="00EF29FB">
      <w:pPr>
        <w:widowControl w:val="0"/>
        <w:shd w:val="clear" w:color="auto" w:fill="FFFFFF"/>
        <w:spacing w:line="240" w:lineRule="auto"/>
        <w:jc w:val="both"/>
        <w:rPr>
          <w:bCs/>
          <w:szCs w:val="22"/>
          <w:u w:val="single"/>
          <w:lang w:val="sr-Latn-ME"/>
        </w:rPr>
      </w:pPr>
      <w:r w:rsidRPr="00EF29FB">
        <w:rPr>
          <w:bCs/>
          <w:szCs w:val="22"/>
          <w:u w:val="single"/>
          <w:lang w:val="sr-Latn-ME"/>
        </w:rPr>
        <w:t xml:space="preserve">Nedavni infarkt miokarda </w:t>
      </w:r>
    </w:p>
    <w:p w:rsidR="00EA43CD" w:rsidRPr="00EF29FB" w:rsidRDefault="002B696B" w:rsidP="00EF29FB">
      <w:pPr>
        <w:widowControl w:val="0"/>
        <w:shd w:val="clear" w:color="auto" w:fill="FFFFFF"/>
        <w:spacing w:line="240" w:lineRule="auto"/>
        <w:jc w:val="both"/>
        <w:rPr>
          <w:szCs w:val="22"/>
          <w:lang w:val="sr-Latn-ME"/>
        </w:rPr>
      </w:pPr>
      <w:r w:rsidRPr="00EF29FB">
        <w:rPr>
          <w:szCs w:val="22"/>
          <w:lang w:val="sr-Latn-ME"/>
        </w:rPr>
        <w:t xml:space="preserve">Kod klinički stabilnih pacijenata, terapija se može započeti već 12 sati poslije infarkta miokarda. Nakon početne doze od 20 mg dva puta dnevno, tokom sljedećih nekoliko nedjelja dozu  valsartana treba  titrirati do 40 mg, 80 mg i 160 mg, dva puta dnevno. </w:t>
      </w:r>
    </w:p>
    <w:p w:rsidR="00EA43CD" w:rsidRPr="00EF29FB" w:rsidRDefault="002B696B" w:rsidP="00EF29FB">
      <w:pPr>
        <w:widowControl w:val="0"/>
        <w:shd w:val="clear" w:color="auto" w:fill="FFFFFF"/>
        <w:spacing w:line="240" w:lineRule="auto"/>
        <w:jc w:val="both"/>
        <w:rPr>
          <w:szCs w:val="22"/>
          <w:lang w:val="sr-Latn-ME"/>
        </w:rPr>
      </w:pPr>
      <w:r w:rsidRPr="00EF29FB">
        <w:rPr>
          <w:szCs w:val="22"/>
          <w:lang w:val="sr-Latn-ME"/>
        </w:rPr>
        <w:t>Početnu dozu obezbjeđuje djeljiva tableta od 40 mg. Ciljna maksimalna doza je 160 mg dva puta dnevno. Generalno, preporučuje se da pacijenti do doze od 80 mg dva puta dnevno dođu za dvije nedjelje nakon započinjanja liječenja i da se ciljna maksimalna doza, 160 mg dva puta dnevno, postigne za tri mjeseca,  u zavisnosti kako pacijent podnosi terapiju. Ako nastanu simptomatska hipotenzija ili bubrežna disfunkcija, potrebno je razmisliti o smanjivanju doza.</w:t>
      </w:r>
    </w:p>
    <w:p w:rsidR="00EA43CD" w:rsidRPr="00EF29FB" w:rsidRDefault="002B696B" w:rsidP="00EF29FB">
      <w:pPr>
        <w:widowControl w:val="0"/>
        <w:shd w:val="clear" w:color="auto" w:fill="FFFFFF"/>
        <w:spacing w:line="240" w:lineRule="auto"/>
        <w:jc w:val="both"/>
        <w:rPr>
          <w:szCs w:val="22"/>
          <w:lang w:val="sr-Latn-ME"/>
        </w:rPr>
      </w:pPr>
      <w:r w:rsidRPr="00EF29FB">
        <w:rPr>
          <w:szCs w:val="22"/>
          <w:lang w:val="sr-Latn-ME"/>
        </w:rPr>
        <w:t>Valsartan se može primjenjivati kod pacijenata liječenih drugim postinfarktnim terapijama, npr. tromboliticima, acetilsalicilnom kiselinom, beta blokatorima, statinima i diureticima. Ne preporučuje se kombinacija sa ACE inhibitorima (vidjeti djelove 4.4 i 5.1).</w:t>
      </w:r>
    </w:p>
    <w:p w:rsidR="00EA43CD" w:rsidRPr="00EF29FB" w:rsidRDefault="002B696B" w:rsidP="00EF29FB">
      <w:pPr>
        <w:widowControl w:val="0"/>
        <w:shd w:val="clear" w:color="auto" w:fill="FFFFFF"/>
        <w:spacing w:line="240" w:lineRule="auto"/>
        <w:jc w:val="both"/>
        <w:rPr>
          <w:szCs w:val="22"/>
          <w:lang w:val="sr-Latn-ME"/>
        </w:rPr>
      </w:pPr>
      <w:r w:rsidRPr="00EF29FB">
        <w:rPr>
          <w:szCs w:val="22"/>
          <w:lang w:val="sr-Latn-ME"/>
        </w:rPr>
        <w:t>Procjena stanja pacijenta poslije infarkta miokarda treba uvijek da uključuje i procjenu bubrežne funkcije.</w:t>
      </w:r>
    </w:p>
    <w:p w:rsidR="00EA43CD" w:rsidRPr="00EF29FB" w:rsidRDefault="00EA43CD" w:rsidP="00EF29FB">
      <w:pPr>
        <w:widowControl w:val="0"/>
        <w:shd w:val="clear" w:color="auto" w:fill="FFFFFF"/>
        <w:spacing w:line="240" w:lineRule="auto"/>
        <w:jc w:val="both"/>
        <w:rPr>
          <w:szCs w:val="22"/>
          <w:u w:val="single"/>
          <w:lang w:val="sr-Latn-ME"/>
        </w:rPr>
      </w:pPr>
    </w:p>
    <w:p w:rsidR="00EA43CD" w:rsidRPr="00EF29FB" w:rsidRDefault="002B696B" w:rsidP="00EF29FB">
      <w:pPr>
        <w:widowControl w:val="0"/>
        <w:shd w:val="clear" w:color="auto" w:fill="FFFFFF"/>
        <w:spacing w:line="240" w:lineRule="auto"/>
        <w:jc w:val="both"/>
        <w:rPr>
          <w:szCs w:val="22"/>
          <w:u w:val="single"/>
          <w:lang w:val="sr-Latn-ME"/>
        </w:rPr>
      </w:pPr>
      <w:r w:rsidRPr="00EF29FB">
        <w:rPr>
          <w:szCs w:val="22"/>
          <w:u w:val="single"/>
          <w:lang w:val="sr-Latn-ME"/>
        </w:rPr>
        <w:t xml:space="preserve">Srčana insuficijencija </w:t>
      </w:r>
    </w:p>
    <w:p w:rsidR="00EA43CD" w:rsidRPr="00EF29FB" w:rsidRDefault="002B696B" w:rsidP="00EF29FB">
      <w:pPr>
        <w:widowControl w:val="0"/>
        <w:shd w:val="clear" w:color="auto" w:fill="FFFFFF"/>
        <w:spacing w:line="240" w:lineRule="auto"/>
        <w:jc w:val="both"/>
        <w:rPr>
          <w:szCs w:val="22"/>
          <w:lang w:val="sr-Latn-ME"/>
        </w:rPr>
      </w:pPr>
      <w:r w:rsidRPr="00EF29FB">
        <w:rPr>
          <w:szCs w:val="22"/>
          <w:lang w:val="sr-Latn-ME"/>
        </w:rPr>
        <w:t xml:space="preserve">Preporučena početna doza lijeka Valsacor je 40 mg dva puta dnevno.Povećanje doze do 80 mg, odnosno 160 mg dva puta dnevno treba raditi tako da se doza do one najviše koju pacijent podnosi, povećava tokom najmanje dvije nedjelje. </w:t>
      </w:r>
    </w:p>
    <w:p w:rsidR="00EA43CD" w:rsidRPr="00EF29FB" w:rsidRDefault="002B696B" w:rsidP="00EF29FB">
      <w:pPr>
        <w:widowControl w:val="0"/>
        <w:shd w:val="clear" w:color="auto" w:fill="FFFFFF"/>
        <w:spacing w:line="240" w:lineRule="auto"/>
        <w:jc w:val="both"/>
        <w:rPr>
          <w:szCs w:val="22"/>
          <w:lang w:val="sr-Latn-ME"/>
        </w:rPr>
      </w:pPr>
      <w:r w:rsidRPr="00EF29FB">
        <w:rPr>
          <w:szCs w:val="22"/>
          <w:lang w:val="sr-Latn-ME"/>
        </w:rPr>
        <w:t xml:space="preserve">Treba razmotriti smanjenje doze istovremeno primjenjivanih diuretika. Maksimalna dnevna doza data u kliničkim ispitivanjima je 320 mg u podijeljenim dozama. Valsartan se može davati  i sa drugim ljekovima za srčanu insuficijenciju. Međutim, trostruka kombinacija ACE inhibitora, valsartana i beta blokatora ili diuretika koji štedi kalijum se ne preporučuje (vidjeti djelove 4.4 i 5.1). </w:t>
      </w:r>
    </w:p>
    <w:p w:rsidR="00EA43CD" w:rsidRPr="00EF29FB" w:rsidRDefault="002B696B" w:rsidP="00EF29FB">
      <w:pPr>
        <w:widowControl w:val="0"/>
        <w:shd w:val="clear" w:color="auto" w:fill="FFFFFF"/>
        <w:spacing w:line="240" w:lineRule="auto"/>
        <w:jc w:val="both"/>
        <w:rPr>
          <w:szCs w:val="22"/>
          <w:lang w:val="sr-Latn-ME"/>
        </w:rPr>
      </w:pPr>
      <w:r w:rsidRPr="00EF29FB">
        <w:rPr>
          <w:szCs w:val="22"/>
          <w:lang w:val="sr-Latn-ME"/>
        </w:rPr>
        <w:t>Procjena stanja pacijenta sa srčanom insuficijencijom treba uvijek da uključi i procjenu bubrežne funkcije.</w:t>
      </w:r>
    </w:p>
    <w:p w:rsidR="00EA43CD" w:rsidRPr="00EF29FB" w:rsidRDefault="00EA43CD" w:rsidP="00EF29FB">
      <w:pPr>
        <w:widowControl w:val="0"/>
        <w:shd w:val="clear" w:color="auto" w:fill="FFFFFF"/>
        <w:spacing w:line="240" w:lineRule="auto"/>
        <w:jc w:val="both"/>
        <w:rPr>
          <w:i/>
          <w:szCs w:val="22"/>
          <w:u w:val="single"/>
          <w:lang w:val="sr-Latn-ME"/>
        </w:rPr>
      </w:pPr>
    </w:p>
    <w:p w:rsidR="00EA43CD" w:rsidRPr="00EF29FB" w:rsidRDefault="002B696B" w:rsidP="00EF29FB">
      <w:pPr>
        <w:widowControl w:val="0"/>
        <w:shd w:val="clear" w:color="auto" w:fill="FFFFFF"/>
        <w:spacing w:line="240" w:lineRule="auto"/>
        <w:jc w:val="both"/>
        <w:rPr>
          <w:b/>
          <w:szCs w:val="22"/>
          <w:u w:val="single"/>
          <w:lang w:val="sr-Latn-ME"/>
        </w:rPr>
      </w:pPr>
      <w:r w:rsidRPr="00EF29FB">
        <w:rPr>
          <w:i/>
          <w:szCs w:val="22"/>
          <w:u w:val="single"/>
          <w:lang w:val="sr-Latn-ME"/>
        </w:rPr>
        <w:t>Dodatne informacije o specijalnim populacijama</w:t>
      </w:r>
    </w:p>
    <w:p w:rsidR="00EA43CD" w:rsidRPr="00EF29FB" w:rsidRDefault="00EA43CD" w:rsidP="00EF29FB">
      <w:pPr>
        <w:widowControl w:val="0"/>
        <w:shd w:val="clear" w:color="auto" w:fill="FFFFFF"/>
        <w:spacing w:line="240" w:lineRule="auto"/>
        <w:jc w:val="both"/>
        <w:rPr>
          <w:b/>
          <w:szCs w:val="22"/>
          <w:u w:val="single"/>
          <w:lang w:val="sr-Latn-ME"/>
        </w:rPr>
      </w:pPr>
    </w:p>
    <w:p w:rsidR="00EA43CD" w:rsidRPr="00EF29FB" w:rsidRDefault="002B696B" w:rsidP="00EF29FB">
      <w:pPr>
        <w:widowControl w:val="0"/>
        <w:shd w:val="clear" w:color="auto" w:fill="FFFFFF"/>
        <w:spacing w:line="240" w:lineRule="auto"/>
        <w:jc w:val="both"/>
        <w:rPr>
          <w:szCs w:val="22"/>
          <w:u w:val="single"/>
          <w:lang w:val="sr-Latn-ME"/>
        </w:rPr>
      </w:pPr>
      <w:r w:rsidRPr="00EF29FB">
        <w:rPr>
          <w:szCs w:val="22"/>
          <w:u w:val="single"/>
          <w:lang w:val="sr-Latn-ME"/>
        </w:rPr>
        <w:t>Starije osobe</w:t>
      </w:r>
    </w:p>
    <w:p w:rsidR="00EA43CD" w:rsidRPr="00EF29FB" w:rsidRDefault="002B696B" w:rsidP="00EF29FB">
      <w:pPr>
        <w:widowControl w:val="0"/>
        <w:shd w:val="clear" w:color="auto" w:fill="FFFFFF"/>
        <w:spacing w:line="240" w:lineRule="auto"/>
        <w:jc w:val="both"/>
        <w:rPr>
          <w:szCs w:val="22"/>
          <w:lang w:val="sr-Latn-ME"/>
        </w:rPr>
      </w:pPr>
      <w:r w:rsidRPr="00EF29FB">
        <w:rPr>
          <w:szCs w:val="22"/>
          <w:lang w:val="sr-Latn-ME"/>
        </w:rPr>
        <w:t>Nije potrebno prilagođavanje doze kod starijih pacijenata.</w:t>
      </w:r>
    </w:p>
    <w:p w:rsidR="00EA43CD" w:rsidRPr="00EF29FB" w:rsidRDefault="00EA43CD" w:rsidP="00EF29FB">
      <w:pPr>
        <w:widowControl w:val="0"/>
        <w:shd w:val="clear" w:color="auto" w:fill="FFFFFF"/>
        <w:spacing w:line="240" w:lineRule="auto"/>
        <w:jc w:val="both"/>
        <w:rPr>
          <w:szCs w:val="22"/>
          <w:lang w:val="sr-Latn-ME"/>
        </w:rPr>
      </w:pPr>
    </w:p>
    <w:p w:rsidR="00EA43CD" w:rsidRPr="00EF29FB" w:rsidRDefault="002B696B" w:rsidP="00EF29FB">
      <w:pPr>
        <w:widowControl w:val="0"/>
        <w:shd w:val="clear" w:color="auto" w:fill="FFFFFF"/>
        <w:spacing w:line="240" w:lineRule="auto"/>
        <w:jc w:val="both"/>
        <w:rPr>
          <w:szCs w:val="22"/>
          <w:u w:val="single"/>
          <w:lang w:val="sr-Latn-ME"/>
        </w:rPr>
      </w:pPr>
      <w:r w:rsidRPr="00EF29FB">
        <w:rPr>
          <w:szCs w:val="22"/>
          <w:u w:val="single"/>
          <w:lang w:val="sr-Latn-ME"/>
        </w:rPr>
        <w:t>Oštećenje bubrega</w:t>
      </w:r>
    </w:p>
    <w:p w:rsidR="00EA43CD" w:rsidRPr="00EF29FB" w:rsidRDefault="002B696B" w:rsidP="00EF29FB">
      <w:pPr>
        <w:widowControl w:val="0"/>
        <w:shd w:val="clear" w:color="auto" w:fill="FFFFFF"/>
        <w:spacing w:line="240" w:lineRule="auto"/>
        <w:jc w:val="both"/>
        <w:rPr>
          <w:szCs w:val="22"/>
          <w:lang w:val="sr-Latn-ME"/>
        </w:rPr>
      </w:pPr>
      <w:r w:rsidRPr="00EF29FB">
        <w:rPr>
          <w:szCs w:val="22"/>
          <w:lang w:val="sr-Latn-ME"/>
        </w:rPr>
        <w:t xml:space="preserve">Nije potrebno prilagođavanje doze kod odraslih pacijenata sa klirensom kreatinina &gt;10 ml/min (vidjeti djelove 4.4 i 5.2). </w:t>
      </w:r>
    </w:p>
    <w:p w:rsidR="00EA43CD" w:rsidRPr="00EF29FB" w:rsidRDefault="00EA43CD" w:rsidP="00EF29FB">
      <w:pPr>
        <w:widowControl w:val="0"/>
        <w:shd w:val="clear" w:color="auto" w:fill="FFFFFF"/>
        <w:spacing w:line="240" w:lineRule="auto"/>
        <w:jc w:val="both"/>
        <w:rPr>
          <w:szCs w:val="22"/>
          <w:u w:val="single"/>
          <w:lang w:val="sr-Latn-ME"/>
        </w:rPr>
      </w:pPr>
    </w:p>
    <w:p w:rsidR="00EA43CD" w:rsidRPr="00EF29FB" w:rsidRDefault="002B696B" w:rsidP="00EF29FB">
      <w:pPr>
        <w:widowControl w:val="0"/>
        <w:shd w:val="clear" w:color="auto" w:fill="FFFFFF"/>
        <w:spacing w:line="240" w:lineRule="auto"/>
        <w:jc w:val="both"/>
        <w:rPr>
          <w:szCs w:val="22"/>
          <w:u w:val="single"/>
          <w:lang w:val="sr-Latn-ME"/>
        </w:rPr>
      </w:pPr>
      <w:r w:rsidRPr="00EF29FB">
        <w:rPr>
          <w:szCs w:val="22"/>
          <w:u w:val="single"/>
          <w:lang w:val="sr-Latn-ME"/>
        </w:rPr>
        <w:t>Oštećenje jetre</w:t>
      </w:r>
    </w:p>
    <w:p w:rsidR="00EA43CD" w:rsidRPr="00EF29FB" w:rsidRDefault="002B696B" w:rsidP="00EF29FB">
      <w:pPr>
        <w:widowControl w:val="0"/>
        <w:shd w:val="clear" w:color="auto" w:fill="FFFFFF"/>
        <w:spacing w:line="240" w:lineRule="auto"/>
        <w:jc w:val="both"/>
        <w:rPr>
          <w:szCs w:val="22"/>
          <w:lang w:val="sr-Latn-ME"/>
        </w:rPr>
      </w:pPr>
      <w:r w:rsidRPr="00EF29FB">
        <w:rPr>
          <w:szCs w:val="22"/>
          <w:lang w:val="sr-Latn-ME"/>
        </w:rPr>
        <w:t>Valsacor je kontraindikovan kod pacijenata sa teškim oštećenjem jetre, bilijarnom cirozom i kod pacijenata sa holestazom (vidjeti djelove 4.3, 4.4 i 5.2). Kod pacijenata sa blagim do umjerenim oštećenjem jetre bez holestaze, doza valsartana ne smije biti veća od 80 mg.</w:t>
      </w:r>
    </w:p>
    <w:p w:rsidR="00EA43CD" w:rsidRPr="00EF29FB" w:rsidRDefault="00EA43CD" w:rsidP="00EF29FB">
      <w:pPr>
        <w:widowControl w:val="0"/>
        <w:shd w:val="clear" w:color="auto" w:fill="FFFFFF"/>
        <w:spacing w:line="240" w:lineRule="auto"/>
        <w:jc w:val="both"/>
        <w:rPr>
          <w:szCs w:val="22"/>
          <w:lang w:val="sr-Latn-ME"/>
        </w:rPr>
      </w:pPr>
    </w:p>
    <w:p w:rsidR="00EA43CD" w:rsidRPr="00EF29FB" w:rsidRDefault="002B696B" w:rsidP="00EF29FB">
      <w:pPr>
        <w:widowControl w:val="0"/>
        <w:shd w:val="clear" w:color="auto" w:fill="FFFFFF"/>
        <w:spacing w:line="240" w:lineRule="auto"/>
        <w:jc w:val="both"/>
        <w:rPr>
          <w:szCs w:val="22"/>
          <w:u w:val="single"/>
          <w:lang w:val="sr-Latn-ME"/>
        </w:rPr>
      </w:pPr>
      <w:r w:rsidRPr="00EF29FB">
        <w:rPr>
          <w:i/>
          <w:szCs w:val="22"/>
          <w:u w:val="single"/>
          <w:lang w:val="sr-Latn-ME"/>
        </w:rPr>
        <w:t>Pedijatrijska populacija</w:t>
      </w:r>
    </w:p>
    <w:p w:rsidR="00EA43CD" w:rsidRPr="00EF29FB" w:rsidRDefault="00EA43CD" w:rsidP="00EF29FB">
      <w:pPr>
        <w:widowControl w:val="0"/>
        <w:shd w:val="clear" w:color="auto" w:fill="FFFFFF"/>
        <w:spacing w:line="240" w:lineRule="auto"/>
        <w:jc w:val="both"/>
        <w:rPr>
          <w:szCs w:val="22"/>
          <w:u w:val="single"/>
          <w:lang w:val="sr-Latn-ME"/>
        </w:rPr>
      </w:pPr>
    </w:p>
    <w:p w:rsidR="00EA43CD" w:rsidRPr="00EF29FB" w:rsidRDefault="002B696B" w:rsidP="00EF29FB">
      <w:pPr>
        <w:widowControl w:val="0"/>
        <w:shd w:val="clear" w:color="auto" w:fill="FFFFFF"/>
        <w:spacing w:line="240" w:lineRule="auto"/>
        <w:jc w:val="both"/>
        <w:rPr>
          <w:szCs w:val="22"/>
          <w:u w:val="single"/>
          <w:lang w:val="sr-Latn-ME"/>
        </w:rPr>
      </w:pPr>
      <w:r w:rsidRPr="00EF29FB">
        <w:rPr>
          <w:szCs w:val="22"/>
          <w:u w:val="single"/>
          <w:lang w:val="sr-Latn-ME"/>
        </w:rPr>
        <w:t>Pedijatrijska hipertenzija</w:t>
      </w:r>
    </w:p>
    <w:p w:rsidR="00EA43CD" w:rsidRPr="00EF29FB" w:rsidRDefault="00EA43CD" w:rsidP="00EF29FB">
      <w:pPr>
        <w:widowControl w:val="0"/>
        <w:shd w:val="clear" w:color="auto" w:fill="FFFFFF"/>
        <w:spacing w:line="240" w:lineRule="auto"/>
        <w:jc w:val="both"/>
        <w:rPr>
          <w:szCs w:val="22"/>
          <w:u w:val="single"/>
          <w:lang w:val="sr-Latn-ME"/>
        </w:rPr>
      </w:pPr>
    </w:p>
    <w:p w:rsidR="00EA43CD" w:rsidRPr="00EF29FB" w:rsidRDefault="002B696B" w:rsidP="00EF29FB">
      <w:pPr>
        <w:widowControl w:val="0"/>
        <w:shd w:val="clear" w:color="auto" w:fill="FFFFFF"/>
        <w:spacing w:line="240" w:lineRule="auto"/>
        <w:jc w:val="both"/>
        <w:rPr>
          <w:i/>
          <w:szCs w:val="22"/>
          <w:u w:val="single"/>
          <w:lang w:val="sr-Latn-ME"/>
        </w:rPr>
      </w:pPr>
      <w:r w:rsidRPr="00EF29FB">
        <w:rPr>
          <w:i/>
          <w:szCs w:val="22"/>
          <w:u w:val="single"/>
          <w:lang w:val="sr-Latn-ME"/>
        </w:rPr>
        <w:t>Djeca i adolescenti uzrasta 6 do manje od 18 godina</w:t>
      </w:r>
    </w:p>
    <w:p w:rsidR="00EA43CD" w:rsidRPr="00EF29FB" w:rsidRDefault="002B696B" w:rsidP="00EF29FB">
      <w:pPr>
        <w:widowControl w:val="0"/>
        <w:shd w:val="clear" w:color="auto" w:fill="FFFFFF"/>
        <w:spacing w:line="240" w:lineRule="auto"/>
        <w:jc w:val="both"/>
        <w:rPr>
          <w:szCs w:val="22"/>
          <w:lang w:val="sr-Latn-ME"/>
        </w:rPr>
      </w:pPr>
      <w:r w:rsidRPr="00EF29FB">
        <w:rPr>
          <w:szCs w:val="22"/>
          <w:lang w:val="sr-Latn-ME"/>
        </w:rPr>
        <w:t>Početna doza je 40 mg jednom dnevno kod djece težine ispod 35 kg i 80 mg jednom dnevno za djecu težine od 35 kg i više. Dozu treba prilagoditi u skladu sa vrijednostima krvnog pritiska</w:t>
      </w:r>
      <w:r w:rsidRPr="00EF29FB">
        <w:rPr>
          <w:lang w:val="sr-Latn-ME"/>
        </w:rPr>
        <w:t xml:space="preserve"> </w:t>
      </w:r>
      <w:r w:rsidRPr="00EF29FB">
        <w:rPr>
          <w:szCs w:val="22"/>
          <w:lang w:val="sr-Latn-ME"/>
        </w:rPr>
        <w:t xml:space="preserve">i podnošljivosti. Za maksimalne doze koje su ispitivane u kliničkim studijama pogledajte tabelu ispod. </w:t>
      </w:r>
    </w:p>
    <w:p w:rsidR="00EA43CD" w:rsidRPr="00EF29FB" w:rsidRDefault="002B696B" w:rsidP="00EF29FB">
      <w:pPr>
        <w:widowControl w:val="0"/>
        <w:shd w:val="clear" w:color="auto" w:fill="FFFFFF"/>
        <w:spacing w:line="240" w:lineRule="auto"/>
        <w:jc w:val="both"/>
        <w:rPr>
          <w:szCs w:val="22"/>
          <w:lang w:val="sr-Latn-ME"/>
        </w:rPr>
      </w:pPr>
      <w:r w:rsidRPr="00EF29FB">
        <w:rPr>
          <w:szCs w:val="22"/>
          <w:lang w:val="sr-Latn-ME"/>
        </w:rPr>
        <w:t>Doze veće od navedenih nijesu ispitivane i zato se ne preporučuju</w:t>
      </w:r>
    </w:p>
    <w:p w:rsidR="00EA43CD" w:rsidRPr="00EF29FB" w:rsidRDefault="00EA43CD" w:rsidP="00EF29FB">
      <w:pPr>
        <w:widowControl w:val="0"/>
        <w:shd w:val="clear" w:color="auto" w:fill="FFFFFF"/>
        <w:spacing w:line="240" w:lineRule="auto"/>
        <w:rPr>
          <w:szCs w:val="22"/>
          <w:lang w:val="sr-Latn-M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4819"/>
      </w:tblGrid>
      <w:tr w:rsidR="00EA43CD" w:rsidRPr="00EF29FB">
        <w:tc>
          <w:tcPr>
            <w:tcW w:w="3823" w:type="dxa"/>
            <w:tcBorders>
              <w:top w:val="single" w:sz="4" w:space="0" w:color="auto"/>
              <w:left w:val="single" w:sz="4" w:space="0" w:color="auto"/>
              <w:bottom w:val="single" w:sz="4" w:space="0" w:color="auto"/>
              <w:right w:val="single" w:sz="4" w:space="0" w:color="auto"/>
            </w:tcBorders>
            <w:hideMark/>
          </w:tcPr>
          <w:p w:rsidR="00EA43CD" w:rsidRPr="00EF29FB" w:rsidRDefault="002B696B" w:rsidP="00EF29FB">
            <w:pPr>
              <w:widowControl w:val="0"/>
              <w:spacing w:line="240" w:lineRule="auto"/>
              <w:rPr>
                <w:szCs w:val="22"/>
                <w:lang w:val="sr-Latn-ME"/>
              </w:rPr>
            </w:pPr>
            <w:r w:rsidRPr="00EF29FB">
              <w:rPr>
                <w:szCs w:val="22"/>
                <w:lang w:val="sr-Latn-ME"/>
              </w:rPr>
              <w:t xml:space="preserve">                    Težina                        </w:t>
            </w:r>
          </w:p>
        </w:tc>
        <w:tc>
          <w:tcPr>
            <w:tcW w:w="4819" w:type="dxa"/>
            <w:tcBorders>
              <w:top w:val="single" w:sz="4" w:space="0" w:color="auto"/>
              <w:left w:val="single" w:sz="4" w:space="0" w:color="auto"/>
              <w:bottom w:val="single" w:sz="4" w:space="0" w:color="auto"/>
              <w:right w:val="single" w:sz="4" w:space="0" w:color="auto"/>
            </w:tcBorders>
            <w:hideMark/>
          </w:tcPr>
          <w:p w:rsidR="00EA43CD" w:rsidRPr="00EF29FB" w:rsidRDefault="002B696B" w:rsidP="00EF29FB">
            <w:pPr>
              <w:widowControl w:val="0"/>
              <w:spacing w:line="240" w:lineRule="auto"/>
              <w:rPr>
                <w:szCs w:val="22"/>
                <w:lang w:val="sr-Latn-ME"/>
              </w:rPr>
            </w:pPr>
            <w:r w:rsidRPr="00EF29FB">
              <w:rPr>
                <w:szCs w:val="22"/>
                <w:lang w:val="sr-Latn-ME"/>
              </w:rPr>
              <w:t>Maksimalna doza ispitivana u kliničkim studijama</w:t>
            </w:r>
          </w:p>
        </w:tc>
      </w:tr>
      <w:tr w:rsidR="00EA43CD" w:rsidRPr="00EF29FB">
        <w:tc>
          <w:tcPr>
            <w:tcW w:w="3823" w:type="dxa"/>
            <w:tcBorders>
              <w:top w:val="single" w:sz="4" w:space="0" w:color="auto"/>
              <w:left w:val="single" w:sz="4" w:space="0" w:color="auto"/>
              <w:bottom w:val="single" w:sz="4" w:space="0" w:color="auto"/>
              <w:right w:val="single" w:sz="4" w:space="0" w:color="auto"/>
            </w:tcBorders>
            <w:hideMark/>
          </w:tcPr>
          <w:p w:rsidR="00EA43CD" w:rsidRPr="00EF29FB" w:rsidRDefault="002B696B" w:rsidP="00EF29FB">
            <w:pPr>
              <w:widowControl w:val="0"/>
              <w:spacing w:line="240" w:lineRule="auto"/>
              <w:rPr>
                <w:szCs w:val="22"/>
                <w:lang w:val="sr-Latn-ME"/>
              </w:rPr>
            </w:pPr>
            <w:r w:rsidRPr="00EF29FB">
              <w:rPr>
                <w:szCs w:val="22"/>
                <w:lang w:val="sr-Latn-ME"/>
              </w:rPr>
              <w:t xml:space="preserve">                  ≥18 kg do &lt;35kg                     </w:t>
            </w:r>
          </w:p>
        </w:tc>
        <w:tc>
          <w:tcPr>
            <w:tcW w:w="4819" w:type="dxa"/>
            <w:tcBorders>
              <w:top w:val="single" w:sz="4" w:space="0" w:color="auto"/>
              <w:left w:val="single" w:sz="4" w:space="0" w:color="auto"/>
              <w:bottom w:val="single" w:sz="4" w:space="0" w:color="auto"/>
              <w:right w:val="single" w:sz="4" w:space="0" w:color="auto"/>
            </w:tcBorders>
            <w:hideMark/>
          </w:tcPr>
          <w:p w:rsidR="00EA43CD" w:rsidRPr="00EF29FB" w:rsidRDefault="002B696B" w:rsidP="00EF29FB">
            <w:pPr>
              <w:widowControl w:val="0"/>
              <w:spacing w:line="240" w:lineRule="auto"/>
              <w:rPr>
                <w:szCs w:val="22"/>
                <w:lang w:val="sr-Latn-ME"/>
              </w:rPr>
            </w:pPr>
            <w:r w:rsidRPr="00EF29FB">
              <w:rPr>
                <w:szCs w:val="22"/>
                <w:lang w:val="sr-Latn-ME"/>
              </w:rPr>
              <w:t>80 mg</w:t>
            </w:r>
          </w:p>
        </w:tc>
      </w:tr>
      <w:tr w:rsidR="00EA43CD" w:rsidRPr="00EF29FB">
        <w:tc>
          <w:tcPr>
            <w:tcW w:w="3823" w:type="dxa"/>
            <w:tcBorders>
              <w:top w:val="single" w:sz="4" w:space="0" w:color="auto"/>
              <w:left w:val="single" w:sz="4" w:space="0" w:color="auto"/>
              <w:bottom w:val="single" w:sz="4" w:space="0" w:color="auto"/>
              <w:right w:val="single" w:sz="4" w:space="0" w:color="auto"/>
            </w:tcBorders>
            <w:hideMark/>
          </w:tcPr>
          <w:p w:rsidR="00EA43CD" w:rsidRPr="00EF29FB" w:rsidRDefault="002B696B" w:rsidP="00EF29FB">
            <w:pPr>
              <w:widowControl w:val="0"/>
              <w:spacing w:line="240" w:lineRule="auto"/>
              <w:rPr>
                <w:szCs w:val="22"/>
                <w:lang w:val="sr-Latn-ME"/>
              </w:rPr>
            </w:pPr>
            <w:r w:rsidRPr="00EF29FB">
              <w:rPr>
                <w:szCs w:val="22"/>
                <w:lang w:val="sr-Latn-ME"/>
              </w:rPr>
              <w:lastRenderedPageBreak/>
              <w:t xml:space="preserve">                  ≥35 kg do &lt;80kg                     </w:t>
            </w:r>
          </w:p>
        </w:tc>
        <w:tc>
          <w:tcPr>
            <w:tcW w:w="4819" w:type="dxa"/>
            <w:tcBorders>
              <w:top w:val="single" w:sz="4" w:space="0" w:color="auto"/>
              <w:left w:val="single" w:sz="4" w:space="0" w:color="auto"/>
              <w:bottom w:val="single" w:sz="4" w:space="0" w:color="auto"/>
              <w:right w:val="single" w:sz="4" w:space="0" w:color="auto"/>
            </w:tcBorders>
            <w:hideMark/>
          </w:tcPr>
          <w:p w:rsidR="00EA43CD" w:rsidRPr="00EF29FB" w:rsidRDefault="002B696B" w:rsidP="00EF29FB">
            <w:pPr>
              <w:widowControl w:val="0"/>
              <w:spacing w:line="240" w:lineRule="auto"/>
              <w:rPr>
                <w:szCs w:val="22"/>
                <w:lang w:val="sr-Latn-ME"/>
              </w:rPr>
            </w:pPr>
            <w:r w:rsidRPr="00EF29FB">
              <w:rPr>
                <w:szCs w:val="22"/>
                <w:lang w:val="sr-Latn-ME"/>
              </w:rPr>
              <w:t>160 mg</w:t>
            </w:r>
          </w:p>
        </w:tc>
      </w:tr>
      <w:tr w:rsidR="00EA43CD" w:rsidRPr="00EF29FB">
        <w:tc>
          <w:tcPr>
            <w:tcW w:w="3823" w:type="dxa"/>
            <w:tcBorders>
              <w:top w:val="single" w:sz="4" w:space="0" w:color="auto"/>
              <w:left w:val="single" w:sz="4" w:space="0" w:color="auto"/>
              <w:bottom w:val="single" w:sz="4" w:space="0" w:color="auto"/>
              <w:right w:val="single" w:sz="4" w:space="0" w:color="auto"/>
            </w:tcBorders>
            <w:hideMark/>
          </w:tcPr>
          <w:p w:rsidR="00EA43CD" w:rsidRPr="00EF29FB" w:rsidRDefault="002B696B" w:rsidP="00EF29FB">
            <w:pPr>
              <w:widowControl w:val="0"/>
              <w:spacing w:line="240" w:lineRule="auto"/>
              <w:rPr>
                <w:szCs w:val="22"/>
                <w:lang w:val="sr-Latn-ME"/>
              </w:rPr>
            </w:pPr>
            <w:r w:rsidRPr="00EF29FB">
              <w:rPr>
                <w:szCs w:val="22"/>
                <w:lang w:val="sr-Latn-ME"/>
              </w:rPr>
              <w:t xml:space="preserve">                  ≥80 kg do ≤160kg                  </w:t>
            </w:r>
          </w:p>
        </w:tc>
        <w:tc>
          <w:tcPr>
            <w:tcW w:w="4819" w:type="dxa"/>
            <w:tcBorders>
              <w:top w:val="single" w:sz="4" w:space="0" w:color="auto"/>
              <w:left w:val="single" w:sz="4" w:space="0" w:color="auto"/>
              <w:bottom w:val="single" w:sz="4" w:space="0" w:color="auto"/>
              <w:right w:val="single" w:sz="4" w:space="0" w:color="auto"/>
            </w:tcBorders>
            <w:hideMark/>
          </w:tcPr>
          <w:p w:rsidR="00EA43CD" w:rsidRPr="00EF29FB" w:rsidRDefault="002B696B" w:rsidP="00EF29FB">
            <w:pPr>
              <w:widowControl w:val="0"/>
              <w:spacing w:line="240" w:lineRule="auto"/>
              <w:rPr>
                <w:szCs w:val="22"/>
                <w:lang w:val="sr-Latn-ME"/>
              </w:rPr>
            </w:pPr>
            <w:r w:rsidRPr="00EF29FB">
              <w:rPr>
                <w:szCs w:val="22"/>
                <w:lang w:val="sr-Latn-ME"/>
              </w:rPr>
              <w:t>320 mg</w:t>
            </w:r>
          </w:p>
        </w:tc>
      </w:tr>
    </w:tbl>
    <w:p w:rsidR="00EA43CD" w:rsidRPr="00EF29FB" w:rsidRDefault="00EA43CD" w:rsidP="00EF29FB">
      <w:pPr>
        <w:widowControl w:val="0"/>
        <w:shd w:val="clear" w:color="auto" w:fill="FFFFFF"/>
        <w:spacing w:line="240" w:lineRule="auto"/>
        <w:rPr>
          <w:szCs w:val="22"/>
          <w:lang w:val="sr-Latn-ME"/>
        </w:rPr>
      </w:pPr>
    </w:p>
    <w:p w:rsidR="00EA43CD" w:rsidRPr="00EF29FB" w:rsidRDefault="002B696B" w:rsidP="00EF29FB">
      <w:pPr>
        <w:widowControl w:val="0"/>
        <w:shd w:val="clear" w:color="auto" w:fill="FFFFFF"/>
        <w:spacing w:line="240" w:lineRule="auto"/>
        <w:jc w:val="both"/>
        <w:rPr>
          <w:i/>
          <w:szCs w:val="22"/>
          <w:lang w:val="sr-Latn-ME"/>
        </w:rPr>
      </w:pPr>
      <w:r w:rsidRPr="00EF29FB">
        <w:rPr>
          <w:i/>
          <w:szCs w:val="22"/>
          <w:lang w:val="sr-Latn-ME"/>
        </w:rPr>
        <w:t>Djeca mlađa od 6 godina starosti</w:t>
      </w:r>
    </w:p>
    <w:p w:rsidR="00EA43CD" w:rsidRPr="00EF29FB" w:rsidRDefault="002B696B" w:rsidP="00EF29FB">
      <w:pPr>
        <w:widowControl w:val="0"/>
        <w:shd w:val="clear" w:color="auto" w:fill="FFFFFF"/>
        <w:spacing w:line="240" w:lineRule="auto"/>
        <w:jc w:val="both"/>
        <w:rPr>
          <w:szCs w:val="22"/>
          <w:lang w:val="sr-Latn-ME"/>
        </w:rPr>
      </w:pPr>
      <w:r w:rsidRPr="00EF29FB">
        <w:rPr>
          <w:szCs w:val="22"/>
          <w:lang w:val="sr-Latn-ME"/>
        </w:rPr>
        <w:t>Dostupni podaci su navedeni u odeljcima 4.8, 5.1 i 5.2. Međutim, bezbjednost i efikasnost lijeka Valsacor kod djece uzrasta mlađih od 1 godine nijesu utvrđene.</w:t>
      </w:r>
    </w:p>
    <w:p w:rsidR="00EA43CD" w:rsidRPr="00EF29FB" w:rsidRDefault="00EA43CD" w:rsidP="00EF29FB">
      <w:pPr>
        <w:widowControl w:val="0"/>
        <w:shd w:val="clear" w:color="auto" w:fill="FFFFFF"/>
        <w:spacing w:line="240" w:lineRule="auto"/>
        <w:jc w:val="both"/>
        <w:rPr>
          <w:i/>
          <w:szCs w:val="22"/>
          <w:u w:val="single"/>
          <w:lang w:val="sr-Latn-ME"/>
        </w:rPr>
      </w:pPr>
    </w:p>
    <w:p w:rsidR="00EA43CD" w:rsidRPr="00EF29FB" w:rsidRDefault="002B696B" w:rsidP="00EF29FB">
      <w:pPr>
        <w:widowControl w:val="0"/>
        <w:shd w:val="clear" w:color="auto" w:fill="FFFFFF"/>
        <w:spacing w:line="240" w:lineRule="auto"/>
        <w:jc w:val="both"/>
        <w:rPr>
          <w:i/>
          <w:szCs w:val="22"/>
          <w:u w:val="single"/>
          <w:lang w:val="sr-Latn-ME"/>
        </w:rPr>
      </w:pPr>
      <w:r w:rsidRPr="00EF29FB">
        <w:rPr>
          <w:i/>
          <w:szCs w:val="22"/>
          <w:u w:val="single"/>
          <w:lang w:val="sr-Latn-ME"/>
        </w:rPr>
        <w:t>Primjena kod pedijatrijskih pacijenata starosti od 6 do manje od 18 godina sa oštećenjem  bubrega</w:t>
      </w:r>
    </w:p>
    <w:p w:rsidR="00EA43CD" w:rsidRPr="00EF29FB" w:rsidRDefault="002B696B" w:rsidP="00EF29FB">
      <w:pPr>
        <w:widowControl w:val="0"/>
        <w:shd w:val="clear" w:color="auto" w:fill="FFFFFF"/>
        <w:spacing w:line="240" w:lineRule="auto"/>
        <w:jc w:val="both"/>
        <w:rPr>
          <w:szCs w:val="22"/>
          <w:lang w:val="sr-Latn-ME"/>
        </w:rPr>
      </w:pPr>
      <w:r w:rsidRPr="00EF29FB">
        <w:rPr>
          <w:szCs w:val="22"/>
          <w:lang w:val="sr-Latn-ME"/>
        </w:rPr>
        <w:t>Nije ispitivana upotreba kod djece sa klirensom kreatinina &lt;30 ml/min i kod djece na dijalizi, stoga se primjena valsartana ne preporučuje kod ovih pacijenata. Nije potrebno prilagođavanje doze kod djece sa klirensom kreatinina &gt;30ml/min. Treba pažljivo pratiti funkciju bubrega i vrijednosti kalijuma u serumu (vidjeti djelove 4.4 i 5.2).</w:t>
      </w:r>
    </w:p>
    <w:p w:rsidR="00EA43CD" w:rsidRPr="00EF29FB" w:rsidRDefault="00EA43CD" w:rsidP="00EF29FB">
      <w:pPr>
        <w:widowControl w:val="0"/>
        <w:shd w:val="clear" w:color="auto" w:fill="FFFFFF"/>
        <w:spacing w:line="240" w:lineRule="auto"/>
        <w:jc w:val="both"/>
        <w:rPr>
          <w:i/>
          <w:szCs w:val="22"/>
          <w:u w:val="single"/>
          <w:lang w:val="sr-Latn-ME"/>
        </w:rPr>
      </w:pPr>
    </w:p>
    <w:p w:rsidR="00EA43CD" w:rsidRPr="00EF29FB" w:rsidRDefault="002B696B" w:rsidP="00EF29FB">
      <w:pPr>
        <w:widowControl w:val="0"/>
        <w:shd w:val="clear" w:color="auto" w:fill="FFFFFF"/>
        <w:spacing w:line="240" w:lineRule="auto"/>
        <w:jc w:val="both"/>
        <w:rPr>
          <w:i/>
          <w:szCs w:val="22"/>
          <w:u w:val="single"/>
          <w:lang w:val="sr-Latn-ME"/>
        </w:rPr>
      </w:pPr>
      <w:r w:rsidRPr="00EF29FB">
        <w:rPr>
          <w:i/>
          <w:szCs w:val="22"/>
          <w:u w:val="single"/>
          <w:lang w:val="sr-Latn-ME"/>
        </w:rPr>
        <w:t>Primjena kod pedijatrijskih pacijenata starosti od 6 do manje od 18 godina sa oštećenjem  jetre</w:t>
      </w:r>
    </w:p>
    <w:p w:rsidR="00EA43CD" w:rsidRPr="00EF29FB" w:rsidRDefault="002B696B" w:rsidP="00EF29FB">
      <w:pPr>
        <w:widowControl w:val="0"/>
        <w:shd w:val="clear" w:color="auto" w:fill="FFFFFF"/>
        <w:spacing w:line="240" w:lineRule="auto"/>
        <w:jc w:val="both"/>
        <w:rPr>
          <w:szCs w:val="22"/>
          <w:lang w:val="sr-Latn-ME"/>
        </w:rPr>
      </w:pPr>
      <w:r w:rsidRPr="00EF29FB">
        <w:rPr>
          <w:szCs w:val="22"/>
          <w:lang w:val="sr-Latn-ME"/>
        </w:rPr>
        <w:t>Kao i kod odraslih, lijek Valsacor je kontraindikovan kod pedijatrijskih pacijenata sa teškim oštećenjem jetre, bilijarnom cirozom i kod pacijenata sa holestazom (vidjeti djelove 4.3, 4.4 i 5.2). Postoji ograničeno kliničko iskustvo sa primjenom lijeka Valsacor kod pedijatrijskih pacijenata sa blagim do umjerenim oštećenjem  jetre. Doza valsartana ne  smije biti veća od  80 mg kod ovih pacijenata.</w:t>
      </w:r>
    </w:p>
    <w:p w:rsidR="00EA43CD" w:rsidRPr="00EF29FB" w:rsidRDefault="00EA43CD" w:rsidP="00EF29FB">
      <w:pPr>
        <w:widowControl w:val="0"/>
        <w:shd w:val="clear" w:color="auto" w:fill="FFFFFF"/>
        <w:spacing w:line="240" w:lineRule="auto"/>
        <w:jc w:val="both"/>
        <w:rPr>
          <w:i/>
          <w:szCs w:val="22"/>
          <w:u w:val="single"/>
          <w:lang w:val="sr-Latn-ME"/>
        </w:rPr>
      </w:pPr>
    </w:p>
    <w:p w:rsidR="00EA43CD" w:rsidRPr="00EF29FB" w:rsidRDefault="002B696B" w:rsidP="00EF29FB">
      <w:pPr>
        <w:widowControl w:val="0"/>
        <w:shd w:val="clear" w:color="auto" w:fill="FFFFFF"/>
        <w:spacing w:line="240" w:lineRule="auto"/>
        <w:jc w:val="both"/>
        <w:rPr>
          <w:i/>
          <w:szCs w:val="22"/>
          <w:lang w:val="sr-Latn-ME"/>
        </w:rPr>
      </w:pPr>
      <w:r w:rsidRPr="00EF29FB">
        <w:rPr>
          <w:i/>
          <w:szCs w:val="22"/>
          <w:u w:val="single"/>
          <w:lang w:val="sr-Latn-ME"/>
        </w:rPr>
        <w:t>Srčana insuficijencija i nedavni infarkt miokarda kod djece</w:t>
      </w:r>
    </w:p>
    <w:p w:rsidR="00EA43CD" w:rsidRPr="00EF29FB" w:rsidRDefault="002B696B" w:rsidP="00EF29FB">
      <w:pPr>
        <w:widowControl w:val="0"/>
        <w:shd w:val="clear" w:color="auto" w:fill="FFFFFF"/>
        <w:spacing w:line="240" w:lineRule="auto"/>
        <w:jc w:val="both"/>
        <w:rPr>
          <w:szCs w:val="22"/>
          <w:lang w:val="sr-Latn-ME"/>
        </w:rPr>
      </w:pPr>
      <w:r w:rsidRPr="00EF29FB">
        <w:rPr>
          <w:szCs w:val="22"/>
          <w:lang w:val="sr-Latn-ME"/>
        </w:rPr>
        <w:t xml:space="preserve">Valsacor se ne preporučuje za liječenje srčane insuficijencije i nedavni infarkt miokarda kod djece i adolescenata  ispod 18 godina zbog nedostatka podataka o bezbjednosti i efikasnosti. </w:t>
      </w:r>
    </w:p>
    <w:p w:rsidR="00EA43CD" w:rsidRPr="00EF29FB" w:rsidRDefault="00EA43CD" w:rsidP="00EF29FB">
      <w:pPr>
        <w:widowControl w:val="0"/>
        <w:spacing w:line="240" w:lineRule="auto"/>
        <w:jc w:val="both"/>
        <w:rPr>
          <w:szCs w:val="22"/>
          <w:u w:val="single"/>
          <w:lang w:val="sr-Latn-ME"/>
        </w:rPr>
      </w:pPr>
    </w:p>
    <w:p w:rsidR="00EA43CD" w:rsidRPr="00EF29FB" w:rsidRDefault="002B696B" w:rsidP="00EF29FB">
      <w:pPr>
        <w:pStyle w:val="Default"/>
        <w:widowControl w:val="0"/>
        <w:jc w:val="both"/>
        <w:rPr>
          <w:sz w:val="22"/>
          <w:szCs w:val="22"/>
          <w:u w:val="single"/>
          <w:lang w:val="sr-Latn-ME"/>
        </w:rPr>
      </w:pPr>
      <w:r w:rsidRPr="00EF29FB">
        <w:rPr>
          <w:sz w:val="22"/>
          <w:szCs w:val="22"/>
          <w:u w:val="single"/>
          <w:lang w:val="sr-Latn-ME"/>
        </w:rPr>
        <w:t>Način primjene</w:t>
      </w:r>
    </w:p>
    <w:p w:rsidR="00EA43CD" w:rsidRPr="00EF29FB" w:rsidRDefault="002B696B" w:rsidP="00EF29FB">
      <w:pPr>
        <w:widowControl w:val="0"/>
        <w:shd w:val="clear" w:color="auto" w:fill="FFFFFF"/>
        <w:spacing w:line="240" w:lineRule="auto"/>
        <w:jc w:val="both"/>
        <w:rPr>
          <w:szCs w:val="22"/>
          <w:lang w:val="sr-Latn-ME"/>
        </w:rPr>
      </w:pPr>
      <w:r w:rsidRPr="00EF29FB">
        <w:rPr>
          <w:szCs w:val="22"/>
          <w:lang w:val="sr-Latn-ME"/>
        </w:rPr>
        <w:t>Valsacor se može uzimati nezavisno od obroka i treba ga uzimati sa vodom.</w:t>
      </w:r>
    </w:p>
    <w:p w:rsidR="00EA43CD" w:rsidRPr="00EF29FB" w:rsidRDefault="00EA43CD" w:rsidP="00EF29FB">
      <w:pPr>
        <w:widowControl w:val="0"/>
        <w:spacing w:line="240" w:lineRule="auto"/>
        <w:jc w:val="both"/>
        <w:rPr>
          <w:szCs w:val="22"/>
          <w:lang w:val="sr-Latn-ME"/>
        </w:rPr>
      </w:pPr>
    </w:p>
    <w:p w:rsidR="00EA43CD" w:rsidRPr="00EF29FB" w:rsidRDefault="002B696B" w:rsidP="00EF29FB">
      <w:pPr>
        <w:widowControl w:val="0"/>
        <w:spacing w:line="240" w:lineRule="auto"/>
        <w:jc w:val="both"/>
        <w:rPr>
          <w:szCs w:val="22"/>
          <w:lang w:val="sr-Latn-ME"/>
        </w:rPr>
      </w:pPr>
      <w:r w:rsidRPr="00EF29FB">
        <w:rPr>
          <w:b/>
          <w:szCs w:val="22"/>
          <w:lang w:val="sr-Latn-ME"/>
        </w:rPr>
        <w:t>4.3</w:t>
      </w:r>
      <w:r w:rsidRPr="00EF29FB">
        <w:rPr>
          <w:b/>
          <w:szCs w:val="22"/>
          <w:lang w:val="sr-Latn-ME"/>
        </w:rPr>
        <w:tab/>
        <w:t>Kontraindikacije</w:t>
      </w:r>
    </w:p>
    <w:p w:rsidR="00EA43CD" w:rsidRPr="00EF29FB" w:rsidRDefault="00EA43CD" w:rsidP="00EF29FB">
      <w:pPr>
        <w:widowControl w:val="0"/>
        <w:spacing w:line="240" w:lineRule="auto"/>
        <w:jc w:val="both"/>
        <w:rPr>
          <w:szCs w:val="22"/>
          <w:lang w:val="sr-Latn-ME"/>
        </w:rPr>
      </w:pPr>
    </w:p>
    <w:p w:rsidR="00EA43CD" w:rsidRPr="00EF29FB" w:rsidRDefault="002B696B" w:rsidP="00EF29FB">
      <w:pPr>
        <w:widowControl w:val="0"/>
        <w:shd w:val="clear" w:color="auto" w:fill="FFFFFF"/>
        <w:spacing w:line="240" w:lineRule="auto"/>
        <w:jc w:val="both"/>
        <w:rPr>
          <w:szCs w:val="22"/>
          <w:lang w:val="sr-Latn-ME"/>
        </w:rPr>
      </w:pPr>
      <w:r w:rsidRPr="00EF29FB">
        <w:rPr>
          <w:szCs w:val="22"/>
          <w:lang w:val="sr-Latn-ME"/>
        </w:rPr>
        <w:t xml:space="preserve">Preosjetljivost na aktivnu supstancu ili bilo koju od pomoćnih supstanci. </w:t>
      </w:r>
    </w:p>
    <w:p w:rsidR="00EA43CD" w:rsidRPr="00EF29FB" w:rsidRDefault="002B696B" w:rsidP="00EF29FB">
      <w:pPr>
        <w:widowControl w:val="0"/>
        <w:shd w:val="clear" w:color="auto" w:fill="FFFFFF"/>
        <w:spacing w:line="240" w:lineRule="auto"/>
        <w:jc w:val="both"/>
        <w:rPr>
          <w:szCs w:val="22"/>
          <w:lang w:val="sr-Latn-ME"/>
        </w:rPr>
      </w:pPr>
      <w:r w:rsidRPr="00EF29FB">
        <w:rPr>
          <w:szCs w:val="22"/>
          <w:lang w:val="sr-Latn-ME"/>
        </w:rPr>
        <w:t>Teško oštećenje jetre, bilijarna ciroza i holestaza.</w:t>
      </w:r>
    </w:p>
    <w:p w:rsidR="00EA43CD" w:rsidRPr="00EF29FB" w:rsidRDefault="002B696B" w:rsidP="00EF29FB">
      <w:pPr>
        <w:widowControl w:val="0"/>
        <w:shd w:val="clear" w:color="auto" w:fill="FFFFFF"/>
        <w:spacing w:line="240" w:lineRule="auto"/>
        <w:jc w:val="both"/>
        <w:rPr>
          <w:szCs w:val="22"/>
          <w:lang w:val="sr-Latn-ME"/>
        </w:rPr>
      </w:pPr>
      <w:r w:rsidRPr="00EF29FB">
        <w:rPr>
          <w:szCs w:val="22"/>
          <w:lang w:val="sr-Latn-ME"/>
        </w:rPr>
        <w:t>Drugi i treći trimestar trudnoće. (vidjeti djelove 4.4 i 4.6).</w:t>
      </w:r>
    </w:p>
    <w:p w:rsidR="00EA43CD" w:rsidRPr="00EF29FB" w:rsidRDefault="002B696B" w:rsidP="00EF29FB">
      <w:pPr>
        <w:widowControl w:val="0"/>
        <w:shd w:val="clear" w:color="auto" w:fill="FFFFFF"/>
        <w:spacing w:line="240" w:lineRule="auto"/>
        <w:jc w:val="both"/>
        <w:rPr>
          <w:szCs w:val="22"/>
          <w:lang w:val="sr-Latn-ME"/>
        </w:rPr>
      </w:pPr>
      <w:r w:rsidRPr="00EF29FB">
        <w:rPr>
          <w:szCs w:val="22"/>
          <w:lang w:val="sr-Latn-ME"/>
        </w:rPr>
        <w:t>Istovremena primjena antagonista receptora angiotenzina (ARB), uključujući lijek Valsacor , ili inhibitora angiotenzin-konvertujućeg enzima (ACE inhibitori) sa aliskirenom kod pacijenata sa diabetes mellitusom ili oštećenjem funkcije bubrega (GFR &lt; 60ml/min/1,73 m</w:t>
      </w:r>
      <w:r w:rsidRPr="00EF29FB">
        <w:rPr>
          <w:szCs w:val="22"/>
          <w:vertAlign w:val="superscript"/>
          <w:lang w:val="sr-Latn-ME"/>
        </w:rPr>
        <w:t>2</w:t>
      </w:r>
      <w:r w:rsidRPr="00EF29FB">
        <w:rPr>
          <w:szCs w:val="22"/>
          <w:lang w:val="sr-Latn-ME"/>
        </w:rPr>
        <w:t>) (vidjeti djelove 4.4 i 4.5).</w:t>
      </w:r>
    </w:p>
    <w:p w:rsidR="00EA43CD" w:rsidRPr="00EF29FB" w:rsidRDefault="00EA43CD" w:rsidP="00EF29FB">
      <w:pPr>
        <w:widowControl w:val="0"/>
        <w:spacing w:line="240" w:lineRule="auto"/>
        <w:jc w:val="both"/>
        <w:rPr>
          <w:szCs w:val="22"/>
          <w:lang w:val="sr-Latn-ME"/>
        </w:rPr>
      </w:pPr>
    </w:p>
    <w:p w:rsidR="00EA43CD" w:rsidRPr="00EF29FB" w:rsidRDefault="002B696B" w:rsidP="00EF29FB">
      <w:pPr>
        <w:widowControl w:val="0"/>
        <w:spacing w:line="240" w:lineRule="auto"/>
        <w:jc w:val="both"/>
        <w:rPr>
          <w:b/>
          <w:szCs w:val="22"/>
          <w:lang w:val="sr-Latn-ME"/>
        </w:rPr>
      </w:pPr>
      <w:r w:rsidRPr="00EF29FB">
        <w:rPr>
          <w:b/>
          <w:szCs w:val="22"/>
          <w:lang w:val="sr-Latn-ME"/>
        </w:rPr>
        <w:t>4.4</w:t>
      </w:r>
      <w:r w:rsidRPr="00EF29FB">
        <w:rPr>
          <w:b/>
          <w:szCs w:val="22"/>
          <w:lang w:val="sr-Latn-ME"/>
        </w:rPr>
        <w:tab/>
        <w:t>Posebna upozorenja i mjere opreza pri upotrebi lijeka</w:t>
      </w:r>
    </w:p>
    <w:p w:rsidR="00EA43CD" w:rsidRPr="00EF29FB" w:rsidRDefault="00EA43CD" w:rsidP="00EF29FB">
      <w:pPr>
        <w:widowControl w:val="0"/>
        <w:spacing w:line="240" w:lineRule="auto"/>
        <w:jc w:val="both"/>
        <w:rPr>
          <w:b/>
          <w:szCs w:val="22"/>
          <w:lang w:val="sr-Latn-ME"/>
        </w:rPr>
      </w:pPr>
    </w:p>
    <w:p w:rsidR="00EA43CD" w:rsidRPr="00EF29FB" w:rsidRDefault="002B696B" w:rsidP="00EF29FB">
      <w:pPr>
        <w:widowControl w:val="0"/>
        <w:shd w:val="clear" w:color="auto" w:fill="FFFFFF"/>
        <w:spacing w:line="240" w:lineRule="auto"/>
        <w:ind w:left="11"/>
        <w:jc w:val="both"/>
        <w:rPr>
          <w:bCs/>
          <w:szCs w:val="22"/>
          <w:u w:val="single"/>
          <w:lang w:val="sr-Latn-ME"/>
        </w:rPr>
      </w:pPr>
      <w:r w:rsidRPr="00EF29FB">
        <w:rPr>
          <w:bCs/>
          <w:szCs w:val="22"/>
          <w:u w:val="single"/>
          <w:lang w:val="sr-Latn-ME"/>
        </w:rPr>
        <w:t>Hiperkalemija</w:t>
      </w:r>
    </w:p>
    <w:p w:rsidR="00EA43CD" w:rsidRPr="00EF29FB" w:rsidRDefault="002B696B" w:rsidP="00EF29FB">
      <w:pPr>
        <w:widowControl w:val="0"/>
        <w:shd w:val="clear" w:color="auto" w:fill="FFFFFF"/>
        <w:spacing w:line="240" w:lineRule="auto"/>
        <w:ind w:left="11"/>
        <w:jc w:val="both"/>
        <w:rPr>
          <w:bCs/>
          <w:szCs w:val="22"/>
          <w:lang w:val="sr-Latn-ME"/>
        </w:rPr>
      </w:pPr>
      <w:r w:rsidRPr="00EF29FB">
        <w:rPr>
          <w:bCs/>
          <w:szCs w:val="22"/>
          <w:lang w:val="sr-Latn-ME"/>
        </w:rPr>
        <w:t>Istovremena upotreba sa preparatima za suplementaciju kalijuma, diureticima koji štede kalijum, zamjenama za so koje sadrže kalijum ili sa drugim ljekovima koji mogu da povećaju koncentraciju kalijuma u serumu (npr. heparinom) se ne preporučuje. Kontrolisati serumski kalijum po potrebi.</w:t>
      </w:r>
    </w:p>
    <w:p w:rsidR="00EA43CD" w:rsidRPr="00EF29FB" w:rsidRDefault="00EA43CD" w:rsidP="00EF29FB">
      <w:pPr>
        <w:widowControl w:val="0"/>
        <w:shd w:val="clear" w:color="auto" w:fill="FFFFFF"/>
        <w:spacing w:line="240" w:lineRule="auto"/>
        <w:jc w:val="both"/>
        <w:rPr>
          <w:bCs/>
          <w:szCs w:val="22"/>
          <w:u w:val="single"/>
          <w:lang w:val="sr-Latn-ME"/>
        </w:rPr>
      </w:pPr>
    </w:p>
    <w:p w:rsidR="00EA43CD" w:rsidRPr="00EF29FB" w:rsidRDefault="002B696B" w:rsidP="00EF29FB">
      <w:pPr>
        <w:widowControl w:val="0"/>
        <w:shd w:val="clear" w:color="auto" w:fill="FFFFFF"/>
        <w:spacing w:line="240" w:lineRule="auto"/>
        <w:ind w:left="11"/>
        <w:jc w:val="both"/>
        <w:rPr>
          <w:bCs/>
          <w:szCs w:val="22"/>
          <w:u w:val="single"/>
          <w:lang w:val="sr-Latn-ME"/>
        </w:rPr>
      </w:pPr>
      <w:r w:rsidRPr="00EF29FB">
        <w:rPr>
          <w:bCs/>
          <w:szCs w:val="22"/>
          <w:u w:val="single"/>
          <w:lang w:val="sr-Latn-ME"/>
        </w:rPr>
        <w:t>Poremećaj funkcije bubrega</w:t>
      </w:r>
    </w:p>
    <w:p w:rsidR="00EA43CD" w:rsidRPr="00EF29FB" w:rsidRDefault="002B696B" w:rsidP="00EF29FB">
      <w:pPr>
        <w:widowControl w:val="0"/>
        <w:shd w:val="clear" w:color="auto" w:fill="FFFFFF"/>
        <w:spacing w:line="240" w:lineRule="auto"/>
        <w:ind w:left="11"/>
        <w:jc w:val="both"/>
        <w:rPr>
          <w:bCs/>
          <w:szCs w:val="22"/>
          <w:lang w:val="sr-Latn-ME"/>
        </w:rPr>
      </w:pPr>
      <w:r w:rsidRPr="00EF29FB">
        <w:rPr>
          <w:bCs/>
          <w:szCs w:val="22"/>
          <w:lang w:val="sr-Latn-ME"/>
        </w:rPr>
        <w:t xml:space="preserve">Trenutno nema iskustava o bezbjednosti primjene kod pacijenata sa klirensom kreatinina &lt;10 ml/min i pacijenata na dijalizi, stoga je valsartan potrebno oprezno primjenjivati kod ovih pacijenata. Nije potrebno korigovanje doze kod odraslih pacijenata sa klirensom kreatinina &gt;10 ml/min (vidjeti </w:t>
      </w:r>
      <w:r w:rsidR="00EF29FB">
        <w:rPr>
          <w:bCs/>
          <w:szCs w:val="22"/>
          <w:lang w:val="sr-Latn-ME"/>
        </w:rPr>
        <w:t>djelove</w:t>
      </w:r>
      <w:bookmarkStart w:id="0" w:name="_GoBack"/>
      <w:bookmarkEnd w:id="0"/>
      <w:r w:rsidRPr="00EF29FB">
        <w:rPr>
          <w:bCs/>
          <w:szCs w:val="22"/>
          <w:lang w:val="sr-Latn-ME"/>
        </w:rPr>
        <w:t xml:space="preserve"> 4.2 i 5.2). </w:t>
      </w:r>
    </w:p>
    <w:p w:rsidR="00EA43CD" w:rsidRPr="00EF29FB" w:rsidRDefault="00EA43CD" w:rsidP="00EF29FB">
      <w:pPr>
        <w:widowControl w:val="0"/>
        <w:shd w:val="clear" w:color="auto" w:fill="FFFFFF"/>
        <w:spacing w:line="240" w:lineRule="auto"/>
        <w:ind w:left="11"/>
        <w:jc w:val="both"/>
        <w:rPr>
          <w:bCs/>
          <w:szCs w:val="22"/>
          <w:u w:val="single"/>
          <w:lang w:val="sr-Latn-ME"/>
        </w:rPr>
      </w:pPr>
    </w:p>
    <w:p w:rsidR="00EA43CD" w:rsidRPr="00EF29FB" w:rsidRDefault="002B696B" w:rsidP="00EF29FB">
      <w:pPr>
        <w:widowControl w:val="0"/>
        <w:shd w:val="clear" w:color="auto" w:fill="FFFFFF"/>
        <w:spacing w:line="240" w:lineRule="auto"/>
        <w:ind w:left="11"/>
        <w:jc w:val="both"/>
        <w:rPr>
          <w:bCs/>
          <w:szCs w:val="22"/>
          <w:u w:val="single"/>
          <w:lang w:val="sr-Latn-ME"/>
        </w:rPr>
      </w:pPr>
      <w:r w:rsidRPr="00EF29FB">
        <w:rPr>
          <w:bCs/>
          <w:szCs w:val="22"/>
          <w:u w:val="single"/>
          <w:lang w:val="sr-Latn-ME"/>
        </w:rPr>
        <w:t>Oštećenje jetre</w:t>
      </w:r>
    </w:p>
    <w:p w:rsidR="00EA43CD" w:rsidRPr="00EF29FB" w:rsidRDefault="002B696B" w:rsidP="00EF29FB">
      <w:pPr>
        <w:widowControl w:val="0"/>
        <w:shd w:val="clear" w:color="auto" w:fill="FFFFFF"/>
        <w:spacing w:line="240" w:lineRule="auto"/>
        <w:ind w:left="11"/>
        <w:jc w:val="both"/>
        <w:rPr>
          <w:bCs/>
          <w:szCs w:val="22"/>
          <w:lang w:val="sr-Latn-ME"/>
        </w:rPr>
      </w:pPr>
      <w:r w:rsidRPr="00EF29FB">
        <w:rPr>
          <w:bCs/>
          <w:szCs w:val="22"/>
          <w:lang w:val="sr-Latn-ME"/>
        </w:rPr>
        <w:t>Kod pacijenata sa blagim do umjerenim oštećenjem jetre bez holestaze, lijek Valsacor treba primjenjivati sa oprezom (vidjeti djelove 4.2 i 5.2).</w:t>
      </w:r>
    </w:p>
    <w:p w:rsidR="00EA43CD" w:rsidRPr="00EF29FB" w:rsidRDefault="00EA43CD" w:rsidP="00EF29FB">
      <w:pPr>
        <w:widowControl w:val="0"/>
        <w:shd w:val="clear" w:color="auto" w:fill="FFFFFF"/>
        <w:spacing w:line="240" w:lineRule="auto"/>
        <w:ind w:left="11"/>
        <w:jc w:val="both"/>
        <w:rPr>
          <w:bCs/>
          <w:szCs w:val="22"/>
          <w:u w:val="single"/>
          <w:lang w:val="sr-Latn-ME"/>
        </w:rPr>
      </w:pPr>
    </w:p>
    <w:p w:rsidR="00EA43CD" w:rsidRPr="00EF29FB" w:rsidRDefault="002B696B" w:rsidP="00EF29FB">
      <w:pPr>
        <w:widowControl w:val="0"/>
        <w:shd w:val="clear" w:color="auto" w:fill="FFFFFF"/>
        <w:spacing w:line="240" w:lineRule="auto"/>
        <w:ind w:left="11"/>
        <w:jc w:val="both"/>
        <w:rPr>
          <w:bCs/>
          <w:szCs w:val="22"/>
          <w:u w:val="single"/>
          <w:lang w:val="sr-Latn-ME"/>
        </w:rPr>
      </w:pPr>
      <w:r w:rsidRPr="00EF29FB">
        <w:rPr>
          <w:bCs/>
          <w:szCs w:val="22"/>
          <w:u w:val="single"/>
          <w:lang w:val="sr-Latn-ME"/>
        </w:rPr>
        <w:t xml:space="preserve">Pacijenti sa smanjenom koncentracijom natrijuma i/ili smanjenim volumenom krvi </w:t>
      </w:r>
    </w:p>
    <w:p w:rsidR="00EA43CD" w:rsidRPr="00EF29FB" w:rsidRDefault="002B696B" w:rsidP="00EF29FB">
      <w:pPr>
        <w:widowControl w:val="0"/>
        <w:shd w:val="clear" w:color="auto" w:fill="FFFFFF"/>
        <w:spacing w:line="240" w:lineRule="auto"/>
        <w:jc w:val="both"/>
        <w:rPr>
          <w:szCs w:val="22"/>
          <w:lang w:val="sr-Latn-ME"/>
        </w:rPr>
      </w:pPr>
      <w:r w:rsidRPr="00EF29FB">
        <w:rPr>
          <w:szCs w:val="22"/>
          <w:lang w:val="sr-Latn-ME"/>
        </w:rPr>
        <w:t xml:space="preserve">Kod pacijenata sa teškim smanjenjem koncentracije natrijuma i/ili volumena, poput onih koji primaju visoke doze diuretika, u rijetkim slučajevima može da nastane simptomatska hipotenzija nakon započinjanja terapije lijekom </w:t>
      </w:r>
      <w:r w:rsidRPr="00EF29FB">
        <w:rPr>
          <w:bCs/>
          <w:szCs w:val="22"/>
          <w:lang w:val="sr-Latn-ME"/>
        </w:rPr>
        <w:t>Valsacor</w:t>
      </w:r>
      <w:r w:rsidRPr="00EF29FB">
        <w:rPr>
          <w:szCs w:val="22"/>
          <w:lang w:val="sr-Latn-ME"/>
        </w:rPr>
        <w:t xml:space="preserve">. Smanjenje koncentracije natrijuma i/ili volumena treba korigovati prije početka liječenje lijekom </w:t>
      </w:r>
      <w:r w:rsidRPr="00EF29FB">
        <w:rPr>
          <w:bCs/>
          <w:szCs w:val="22"/>
          <w:lang w:val="sr-Latn-ME"/>
        </w:rPr>
        <w:t>Valsacor</w:t>
      </w:r>
      <w:r w:rsidRPr="00EF29FB">
        <w:rPr>
          <w:szCs w:val="22"/>
          <w:lang w:val="sr-Latn-ME"/>
        </w:rPr>
        <w:t>, na primjer smanjenjem doze diuretika.</w:t>
      </w:r>
    </w:p>
    <w:p w:rsidR="00EA43CD" w:rsidRPr="00EF29FB" w:rsidRDefault="00EA43CD" w:rsidP="00EF29FB">
      <w:pPr>
        <w:widowControl w:val="0"/>
        <w:shd w:val="clear" w:color="auto" w:fill="FFFFFF"/>
        <w:spacing w:line="240" w:lineRule="auto"/>
        <w:ind w:left="11"/>
        <w:rPr>
          <w:bCs/>
          <w:szCs w:val="22"/>
          <w:u w:val="single"/>
          <w:lang w:val="sr-Latn-ME"/>
        </w:rPr>
      </w:pPr>
    </w:p>
    <w:p w:rsidR="00EA43CD" w:rsidRPr="00EF29FB" w:rsidRDefault="002B696B" w:rsidP="00EF29FB">
      <w:pPr>
        <w:widowControl w:val="0"/>
        <w:shd w:val="clear" w:color="auto" w:fill="FFFFFF"/>
        <w:spacing w:line="240" w:lineRule="auto"/>
        <w:ind w:left="11"/>
        <w:jc w:val="both"/>
        <w:rPr>
          <w:bCs/>
          <w:szCs w:val="22"/>
          <w:u w:val="single"/>
          <w:lang w:val="sr-Latn-ME"/>
        </w:rPr>
      </w:pPr>
      <w:r w:rsidRPr="00EF29FB">
        <w:rPr>
          <w:bCs/>
          <w:szCs w:val="22"/>
          <w:u w:val="single"/>
          <w:lang w:val="sr-Latn-ME"/>
        </w:rPr>
        <w:t xml:space="preserve">Stenoza bubrežne arterije </w:t>
      </w:r>
    </w:p>
    <w:p w:rsidR="00EA43CD" w:rsidRPr="00EF29FB" w:rsidRDefault="002B696B" w:rsidP="00EF29FB">
      <w:pPr>
        <w:widowControl w:val="0"/>
        <w:shd w:val="clear" w:color="auto" w:fill="FFFFFF"/>
        <w:spacing w:line="240" w:lineRule="auto"/>
        <w:ind w:left="11"/>
        <w:jc w:val="both"/>
        <w:rPr>
          <w:bCs/>
          <w:szCs w:val="22"/>
          <w:lang w:val="sr-Latn-ME"/>
        </w:rPr>
      </w:pPr>
      <w:r w:rsidRPr="00EF29FB">
        <w:rPr>
          <w:bCs/>
          <w:szCs w:val="22"/>
          <w:lang w:val="sr-Latn-ME"/>
        </w:rPr>
        <w:t>Kod pacijenata sa bilateralnom stenozom bubrežnih arterija ili stenozom bubrežne arterije jedinog bubrega koji je u funkciji, nije utvrđena bezbjednost primjene lijeka Valsacor .</w:t>
      </w:r>
    </w:p>
    <w:p w:rsidR="00EA43CD" w:rsidRPr="00EF29FB" w:rsidRDefault="002B696B" w:rsidP="00EF29FB">
      <w:pPr>
        <w:widowControl w:val="0"/>
        <w:shd w:val="clear" w:color="auto" w:fill="FFFFFF"/>
        <w:spacing w:line="240" w:lineRule="auto"/>
        <w:jc w:val="both"/>
        <w:rPr>
          <w:szCs w:val="22"/>
          <w:lang w:val="sr-Latn-ME"/>
        </w:rPr>
      </w:pPr>
      <w:r w:rsidRPr="00EF29FB">
        <w:rPr>
          <w:szCs w:val="22"/>
          <w:lang w:val="sr-Latn-ME"/>
        </w:rPr>
        <w:t xml:space="preserve">Kratkotrajna  primjena lijeka </w:t>
      </w:r>
      <w:r w:rsidRPr="00EF29FB">
        <w:rPr>
          <w:bCs/>
          <w:szCs w:val="22"/>
          <w:lang w:val="sr-Latn-ME"/>
        </w:rPr>
        <w:t xml:space="preserve">Valsacor </w:t>
      </w:r>
      <w:r w:rsidRPr="00EF29FB">
        <w:rPr>
          <w:szCs w:val="22"/>
          <w:lang w:val="sr-Latn-ME"/>
        </w:rPr>
        <w:t>kod dvanaest pacijenata sa renovaskularnom hipertenzijom usljed unilateralne stenoze bubrežne arterije nije izazvalo nikakve značajne promjene u bubrežnoj hemodinamici, serumskom kreatininu ili azotu iz uree u krvi. Međutim, drugi ljekovi koji utiču na sistem renin-angiotenzin, mogu da povećaju koncentraciju uree u krvi i serumski kreatinin kod bolesnika sa bilateralnom ili unilateralnom stenozom bubrežne arterije, preporučuje se praćenje bubrežne funkcije kad pacijenti uzimaju valsartan.</w:t>
      </w:r>
    </w:p>
    <w:p w:rsidR="00EA43CD" w:rsidRPr="00EF29FB" w:rsidRDefault="00EA43CD" w:rsidP="00EF29FB">
      <w:pPr>
        <w:widowControl w:val="0"/>
        <w:shd w:val="clear" w:color="auto" w:fill="FFFFFF"/>
        <w:spacing w:line="240" w:lineRule="auto"/>
        <w:jc w:val="both"/>
        <w:rPr>
          <w:szCs w:val="22"/>
          <w:u w:val="single"/>
          <w:lang w:val="sr-Latn-ME"/>
        </w:rPr>
      </w:pPr>
    </w:p>
    <w:p w:rsidR="00EA43CD" w:rsidRPr="00EF29FB" w:rsidRDefault="002B696B" w:rsidP="00EF29FB">
      <w:pPr>
        <w:widowControl w:val="0"/>
        <w:shd w:val="clear" w:color="auto" w:fill="FFFFFF"/>
        <w:spacing w:line="240" w:lineRule="auto"/>
        <w:jc w:val="both"/>
        <w:rPr>
          <w:szCs w:val="22"/>
          <w:u w:val="single"/>
          <w:lang w:val="sr-Latn-ME"/>
        </w:rPr>
      </w:pPr>
      <w:r w:rsidRPr="00EF29FB">
        <w:rPr>
          <w:szCs w:val="22"/>
          <w:u w:val="single"/>
          <w:lang w:val="sr-Latn-ME"/>
        </w:rPr>
        <w:t>Transplantacija bubrega</w:t>
      </w:r>
    </w:p>
    <w:p w:rsidR="00EA43CD" w:rsidRPr="00EF29FB" w:rsidRDefault="002B696B" w:rsidP="00EF29FB">
      <w:pPr>
        <w:widowControl w:val="0"/>
        <w:shd w:val="clear" w:color="auto" w:fill="FFFFFF"/>
        <w:spacing w:line="240" w:lineRule="auto"/>
        <w:jc w:val="both"/>
        <w:rPr>
          <w:szCs w:val="22"/>
          <w:lang w:val="sr-Latn-ME"/>
        </w:rPr>
      </w:pPr>
      <w:r w:rsidRPr="00EF29FB">
        <w:rPr>
          <w:szCs w:val="22"/>
          <w:lang w:val="sr-Latn-ME"/>
        </w:rPr>
        <w:t>Trenutno nema iskustava o bezbjednosti upotrebe lijeka Valsacor kod pacijenata kod kojih je nedavno obavljena transplantacija bubrega.</w:t>
      </w:r>
    </w:p>
    <w:p w:rsidR="00EA43CD" w:rsidRPr="00EF29FB" w:rsidRDefault="00EA43CD" w:rsidP="00EF29FB">
      <w:pPr>
        <w:widowControl w:val="0"/>
        <w:shd w:val="clear" w:color="auto" w:fill="FFFFFF"/>
        <w:spacing w:line="240" w:lineRule="auto"/>
        <w:jc w:val="both"/>
        <w:rPr>
          <w:szCs w:val="22"/>
          <w:u w:val="single"/>
          <w:lang w:val="sr-Latn-ME"/>
        </w:rPr>
      </w:pPr>
    </w:p>
    <w:p w:rsidR="00EA43CD" w:rsidRPr="00EF29FB" w:rsidRDefault="002B696B" w:rsidP="00EF29FB">
      <w:pPr>
        <w:widowControl w:val="0"/>
        <w:shd w:val="clear" w:color="auto" w:fill="FFFFFF"/>
        <w:spacing w:line="240" w:lineRule="auto"/>
        <w:jc w:val="both"/>
        <w:rPr>
          <w:szCs w:val="22"/>
          <w:u w:val="single"/>
          <w:lang w:val="sr-Latn-ME"/>
        </w:rPr>
      </w:pPr>
      <w:r w:rsidRPr="00EF29FB">
        <w:rPr>
          <w:szCs w:val="22"/>
          <w:u w:val="single"/>
          <w:lang w:val="sr-Latn-ME"/>
        </w:rPr>
        <w:t>Primarni hiperaldosteronizam</w:t>
      </w:r>
    </w:p>
    <w:p w:rsidR="00EA43CD" w:rsidRPr="00EF29FB" w:rsidRDefault="002B696B" w:rsidP="00EF29FB">
      <w:pPr>
        <w:widowControl w:val="0"/>
        <w:shd w:val="clear" w:color="auto" w:fill="FFFFFF"/>
        <w:spacing w:line="240" w:lineRule="auto"/>
        <w:jc w:val="both"/>
        <w:rPr>
          <w:szCs w:val="22"/>
          <w:lang w:val="sr-Latn-ME"/>
        </w:rPr>
      </w:pPr>
      <w:r w:rsidRPr="00EF29FB">
        <w:rPr>
          <w:szCs w:val="22"/>
          <w:lang w:val="sr-Latn-ME"/>
        </w:rPr>
        <w:t>Pacijente sa primarnim hiperaldosteronizmom ne treba liječiti lijekom Valsacor budući da njihov sistem renin-angiotenzin nije aktivan.</w:t>
      </w:r>
    </w:p>
    <w:p w:rsidR="00EA43CD" w:rsidRPr="00EF29FB" w:rsidRDefault="00EA43CD" w:rsidP="00EF29FB">
      <w:pPr>
        <w:widowControl w:val="0"/>
        <w:shd w:val="clear" w:color="auto" w:fill="FFFFFF"/>
        <w:spacing w:line="240" w:lineRule="auto"/>
        <w:jc w:val="both"/>
        <w:rPr>
          <w:szCs w:val="22"/>
          <w:u w:val="single"/>
          <w:lang w:val="sr-Latn-ME"/>
        </w:rPr>
      </w:pPr>
    </w:p>
    <w:p w:rsidR="00EA43CD" w:rsidRPr="00EF29FB" w:rsidRDefault="002B696B" w:rsidP="00EF29FB">
      <w:pPr>
        <w:widowControl w:val="0"/>
        <w:shd w:val="clear" w:color="auto" w:fill="FFFFFF"/>
        <w:spacing w:line="240" w:lineRule="auto"/>
        <w:jc w:val="both"/>
        <w:rPr>
          <w:szCs w:val="22"/>
          <w:u w:val="single"/>
          <w:lang w:val="sr-Latn-ME"/>
        </w:rPr>
      </w:pPr>
      <w:r w:rsidRPr="00EF29FB">
        <w:rPr>
          <w:szCs w:val="22"/>
          <w:u w:val="single"/>
          <w:lang w:val="sr-Latn-ME"/>
        </w:rPr>
        <w:t>Stenoza aorte i mitralnog zaliska, opstruktivna hipertrofična kardiomiopatija</w:t>
      </w:r>
    </w:p>
    <w:p w:rsidR="00EA43CD" w:rsidRPr="00EF29FB" w:rsidRDefault="002B696B" w:rsidP="00EF29FB">
      <w:pPr>
        <w:widowControl w:val="0"/>
        <w:shd w:val="clear" w:color="auto" w:fill="FFFFFF"/>
        <w:spacing w:line="240" w:lineRule="auto"/>
        <w:jc w:val="both"/>
        <w:rPr>
          <w:szCs w:val="22"/>
          <w:lang w:val="sr-Latn-ME"/>
        </w:rPr>
      </w:pPr>
      <w:r w:rsidRPr="00EF29FB">
        <w:rPr>
          <w:szCs w:val="22"/>
          <w:lang w:val="sr-Latn-ME"/>
        </w:rPr>
        <w:t>Kao i sa svim drugim vazodilatatorima, mjere posebnog opreza su indikovane kod pacijenata koji pate od stenoze aorte i mitralnog zaliska ili opstruktivne hipertrofične kardiomiopatije (HOCM).</w:t>
      </w:r>
    </w:p>
    <w:p w:rsidR="00EA43CD" w:rsidRPr="00EF29FB" w:rsidRDefault="00EA43CD" w:rsidP="00EF29FB">
      <w:pPr>
        <w:widowControl w:val="0"/>
        <w:shd w:val="clear" w:color="auto" w:fill="FFFFFF"/>
        <w:spacing w:line="240" w:lineRule="auto"/>
        <w:ind w:left="11"/>
        <w:jc w:val="both"/>
        <w:rPr>
          <w:bCs/>
          <w:szCs w:val="22"/>
          <w:u w:val="single"/>
          <w:lang w:val="sr-Latn-ME"/>
        </w:rPr>
      </w:pPr>
    </w:p>
    <w:p w:rsidR="00EA43CD" w:rsidRPr="00EF29FB" w:rsidRDefault="002B696B" w:rsidP="00EF29FB">
      <w:pPr>
        <w:widowControl w:val="0"/>
        <w:shd w:val="clear" w:color="auto" w:fill="FFFFFF"/>
        <w:spacing w:line="240" w:lineRule="auto"/>
        <w:ind w:left="11"/>
        <w:jc w:val="both"/>
        <w:rPr>
          <w:bCs/>
          <w:szCs w:val="22"/>
          <w:u w:val="single"/>
          <w:lang w:val="sr-Latn-ME"/>
        </w:rPr>
      </w:pPr>
      <w:r w:rsidRPr="00EF29FB">
        <w:rPr>
          <w:bCs/>
          <w:szCs w:val="22"/>
          <w:u w:val="single"/>
          <w:lang w:val="sr-Latn-ME"/>
        </w:rPr>
        <w:t>Trudnoća</w:t>
      </w:r>
    </w:p>
    <w:p w:rsidR="00EA43CD" w:rsidRPr="00EF29FB" w:rsidRDefault="002B696B" w:rsidP="00EF29FB">
      <w:pPr>
        <w:widowControl w:val="0"/>
        <w:shd w:val="clear" w:color="auto" w:fill="FFFFFF"/>
        <w:spacing w:line="240" w:lineRule="auto"/>
        <w:ind w:left="11"/>
        <w:jc w:val="both"/>
        <w:rPr>
          <w:bCs/>
          <w:szCs w:val="22"/>
          <w:lang w:val="sr-Latn-ME"/>
        </w:rPr>
      </w:pPr>
      <w:r w:rsidRPr="00EF29FB">
        <w:rPr>
          <w:bCs/>
          <w:szCs w:val="22"/>
          <w:lang w:val="sr-Latn-ME"/>
        </w:rPr>
        <w:t>U trudnoći se ne smije započinjati liječenje antagonistima angiotenzina II (AIIRAs). Ukoliko nastavak liječenja antagonistima angiotenzina II nije neophodan, pacijentkinje koje planiraju trudnoću treba prebaciti na alternativnu antihipertenzivnu terapiju koja ima utvrđen bezbjednosni profil za primjenu u trudnoći. Kada se trudnoća potvrdi, liječenje antagonistima angiotenzina II treba odmah prekinuti i ako je moguće, započeti alternativnu terapiju (vidjeti odeljke 4.3 i 4.6).</w:t>
      </w:r>
    </w:p>
    <w:p w:rsidR="00EA43CD" w:rsidRPr="00EF29FB" w:rsidRDefault="00EA43CD" w:rsidP="00EF29FB">
      <w:pPr>
        <w:widowControl w:val="0"/>
        <w:shd w:val="clear" w:color="auto" w:fill="FFFFFF"/>
        <w:spacing w:line="240" w:lineRule="auto"/>
        <w:jc w:val="both"/>
        <w:rPr>
          <w:bCs/>
          <w:szCs w:val="22"/>
          <w:u w:val="single"/>
          <w:lang w:val="sr-Latn-ME"/>
        </w:rPr>
      </w:pPr>
    </w:p>
    <w:p w:rsidR="00EA43CD" w:rsidRPr="00EF29FB" w:rsidRDefault="002B696B" w:rsidP="00EF29FB">
      <w:pPr>
        <w:widowControl w:val="0"/>
        <w:shd w:val="clear" w:color="auto" w:fill="FFFFFF"/>
        <w:spacing w:line="240" w:lineRule="auto"/>
        <w:jc w:val="both"/>
        <w:rPr>
          <w:bCs/>
          <w:szCs w:val="22"/>
          <w:u w:val="single"/>
          <w:lang w:val="sr-Latn-ME"/>
        </w:rPr>
      </w:pPr>
      <w:r w:rsidRPr="00EF29FB">
        <w:rPr>
          <w:bCs/>
          <w:szCs w:val="22"/>
          <w:u w:val="single"/>
          <w:lang w:val="sr-Latn-ME"/>
        </w:rPr>
        <w:t xml:space="preserve">Nedavni infarkt miokarda </w:t>
      </w:r>
    </w:p>
    <w:p w:rsidR="00EA43CD" w:rsidRPr="00EF29FB" w:rsidRDefault="002B696B" w:rsidP="00EF29FB">
      <w:pPr>
        <w:widowControl w:val="0"/>
        <w:shd w:val="clear" w:color="auto" w:fill="FFFFFF"/>
        <w:spacing w:line="240" w:lineRule="auto"/>
        <w:jc w:val="both"/>
        <w:rPr>
          <w:szCs w:val="22"/>
          <w:lang w:val="sr-Latn-ME"/>
        </w:rPr>
      </w:pPr>
      <w:r w:rsidRPr="00EF29FB">
        <w:rPr>
          <w:szCs w:val="22"/>
          <w:lang w:val="sr-Latn-ME"/>
        </w:rPr>
        <w:t>Kod pacijenata sa nedavnim infarktom miokarda kombinacija sastavljena od kaptoprila i valsartana nije pokazala dodatnu kliničku korist, umjesto toga povećao se rizik od neželjenih dejstava u poređenju sa liječenjem pojedinačnim ljekovima (vidjeti djelove 4.2 i 5.1). Zbog toga se ova kombinacija valsartana i ACE-inhibitora ne preporučuje.</w:t>
      </w:r>
    </w:p>
    <w:p w:rsidR="00EA43CD" w:rsidRPr="00EF29FB" w:rsidRDefault="002B696B" w:rsidP="00EF29FB">
      <w:pPr>
        <w:widowControl w:val="0"/>
        <w:shd w:val="clear" w:color="auto" w:fill="FFFFFF"/>
        <w:spacing w:line="240" w:lineRule="auto"/>
        <w:jc w:val="both"/>
        <w:rPr>
          <w:szCs w:val="22"/>
          <w:lang w:val="sr-Latn-ME"/>
        </w:rPr>
      </w:pPr>
      <w:r w:rsidRPr="00EF29FB">
        <w:rPr>
          <w:szCs w:val="22"/>
          <w:lang w:val="sr-Latn-ME"/>
        </w:rPr>
        <w:t>Potreban je oprez kad se započinje terapija kod bolesnika nakon infarkta miokarda. Procjena pacijenata nakon infarkta miokarda mora uvijek da uključuje i procjenu bubrežne funkcije (vidjeti dio 4.2).</w:t>
      </w:r>
    </w:p>
    <w:p w:rsidR="00EA43CD" w:rsidRPr="00EF29FB" w:rsidRDefault="002B696B" w:rsidP="00EF29FB">
      <w:pPr>
        <w:widowControl w:val="0"/>
        <w:shd w:val="clear" w:color="auto" w:fill="FFFFFF"/>
        <w:spacing w:line="240" w:lineRule="auto"/>
        <w:jc w:val="both"/>
        <w:rPr>
          <w:szCs w:val="22"/>
          <w:lang w:val="sr-Latn-ME"/>
        </w:rPr>
      </w:pPr>
      <w:r w:rsidRPr="00EF29FB">
        <w:rPr>
          <w:szCs w:val="22"/>
          <w:lang w:val="sr-Latn-ME"/>
        </w:rPr>
        <w:t xml:space="preserve">Primjena lijeka </w:t>
      </w:r>
      <w:r w:rsidRPr="00EF29FB">
        <w:rPr>
          <w:bCs/>
          <w:szCs w:val="22"/>
          <w:lang w:val="sr-Latn-ME"/>
        </w:rPr>
        <w:t xml:space="preserve">Valsacor </w:t>
      </w:r>
      <w:r w:rsidRPr="00EF29FB">
        <w:rPr>
          <w:szCs w:val="22"/>
          <w:lang w:val="sr-Latn-ME"/>
        </w:rPr>
        <w:t xml:space="preserve">kod pacijenata nakon infarkta miokarda obično rezultuje određenim smanjenjem krvnog pritiska, ali prekidanje terapije lijekom </w:t>
      </w:r>
      <w:r w:rsidRPr="00EF29FB">
        <w:rPr>
          <w:bCs/>
          <w:szCs w:val="22"/>
          <w:lang w:val="sr-Latn-ME"/>
        </w:rPr>
        <w:t xml:space="preserve">Valsacor </w:t>
      </w:r>
      <w:r w:rsidRPr="00EF29FB">
        <w:rPr>
          <w:szCs w:val="22"/>
          <w:lang w:val="sr-Latn-ME"/>
        </w:rPr>
        <w:t>zbog kontinuirane simptomatske hipotenzije obično nije potrebno ukoliko se slijede preporuke za doziranje (vidjeti dio 4.2).</w:t>
      </w:r>
    </w:p>
    <w:p w:rsidR="00EA43CD" w:rsidRPr="00EF29FB" w:rsidRDefault="00EA43CD" w:rsidP="00EF29FB">
      <w:pPr>
        <w:widowControl w:val="0"/>
        <w:shd w:val="clear" w:color="auto" w:fill="FFFFFF"/>
        <w:spacing w:line="240" w:lineRule="auto"/>
        <w:jc w:val="both"/>
        <w:rPr>
          <w:szCs w:val="22"/>
          <w:u w:val="single"/>
          <w:lang w:val="sr-Latn-ME"/>
        </w:rPr>
      </w:pPr>
    </w:p>
    <w:p w:rsidR="00EA43CD" w:rsidRPr="00EF29FB" w:rsidRDefault="002B696B" w:rsidP="00EF29FB">
      <w:pPr>
        <w:widowControl w:val="0"/>
        <w:shd w:val="clear" w:color="auto" w:fill="FFFFFF"/>
        <w:spacing w:line="240" w:lineRule="auto"/>
        <w:jc w:val="both"/>
        <w:rPr>
          <w:szCs w:val="22"/>
          <w:u w:val="single"/>
          <w:lang w:val="sr-Latn-ME"/>
        </w:rPr>
      </w:pPr>
      <w:r w:rsidRPr="00EF29FB">
        <w:rPr>
          <w:szCs w:val="22"/>
          <w:u w:val="single"/>
          <w:lang w:val="sr-Latn-ME"/>
        </w:rPr>
        <w:t xml:space="preserve">Srčana insuficijencija </w:t>
      </w:r>
    </w:p>
    <w:p w:rsidR="00EA43CD" w:rsidRPr="00EF29FB" w:rsidRDefault="002B696B" w:rsidP="00EF29FB">
      <w:pPr>
        <w:widowControl w:val="0"/>
        <w:shd w:val="clear" w:color="auto" w:fill="FFFFFF"/>
        <w:spacing w:line="240" w:lineRule="auto"/>
        <w:jc w:val="both"/>
        <w:rPr>
          <w:szCs w:val="22"/>
          <w:lang w:val="sr-Latn-ME"/>
        </w:rPr>
      </w:pPr>
      <w:r w:rsidRPr="00EF29FB">
        <w:rPr>
          <w:szCs w:val="22"/>
          <w:lang w:val="sr-Latn-ME"/>
        </w:rPr>
        <w:t>Rizik od neželjenih dejstava, naročito hipotenzije, hiperkalijemije i smanjene funkcije bubrega (uključujući akutnu bubrežnu insuficijenciju), može biti povećan kada se lijek Valsacor koristi u kombinaciji sa ACE inhibitorom. Kod pacijenata sa zastojem srca, trostruka kombinacija ACE inhibitora, beta blokatora i lijeka Valsacor nije pokazala nikakvu kliničku korist (vidjeti dio 5.1). Ova kombinacija čini se da povećava rizik od neželjenih dejstava i zbog toga se ne preporučuje. Trostruka kombinacija ACE inhibitora, antagonista 5 od 16 mineralokortikoidnih receptora i valsartana takođe se ne preporučuje. Korišćenje ovih kombinacija bi trebalo biti pod nadzorom ljekara specijaliste i uz pažljivo praćenje bubrežne funkcije, elektrolita i krvnog pritiska.</w:t>
      </w:r>
    </w:p>
    <w:p w:rsidR="00EA43CD" w:rsidRPr="00EF29FB" w:rsidRDefault="002B696B" w:rsidP="00EF29FB">
      <w:pPr>
        <w:widowControl w:val="0"/>
        <w:shd w:val="clear" w:color="auto" w:fill="FFFFFF"/>
        <w:spacing w:line="240" w:lineRule="auto"/>
        <w:jc w:val="both"/>
        <w:rPr>
          <w:szCs w:val="22"/>
          <w:lang w:val="sr-Latn-ME"/>
        </w:rPr>
      </w:pPr>
      <w:r w:rsidRPr="00EF29FB">
        <w:rPr>
          <w:szCs w:val="22"/>
          <w:lang w:val="sr-Latn-ME"/>
        </w:rPr>
        <w:t>Potreban je oprez kad se počinje terapija kod pacijenata sa insuficijencijom miokarda. Procjena pacijenata sa srčanom insuficijencijom mora uvijek da uključuje i procjenu bubrežne funkcije (vidjeti dio 4.2).</w:t>
      </w:r>
    </w:p>
    <w:p w:rsidR="00EA43CD" w:rsidRPr="00EF29FB" w:rsidRDefault="002B696B" w:rsidP="00EF29FB">
      <w:pPr>
        <w:widowControl w:val="0"/>
        <w:shd w:val="clear" w:color="auto" w:fill="FFFFFF"/>
        <w:spacing w:line="240" w:lineRule="auto"/>
        <w:jc w:val="both"/>
        <w:rPr>
          <w:szCs w:val="22"/>
          <w:lang w:val="sr-Latn-ME"/>
        </w:rPr>
      </w:pPr>
      <w:r w:rsidRPr="00EF29FB">
        <w:rPr>
          <w:szCs w:val="22"/>
          <w:lang w:val="sr-Latn-ME"/>
        </w:rPr>
        <w:t>Primjena lijeka Valsacor kod pacijenata sa srčanom insuficijencijom obično rezultuje izvjesnim smanjenjem krvnog pritiska, ali prekidanje terapije lijekom Valsacor zbog stalne simptomatske hipotenzije obično nije neophodno ukoliko se poštuju preporuke za doziranje (vidjeti dio 4.2).</w:t>
      </w:r>
    </w:p>
    <w:p w:rsidR="00EA43CD" w:rsidRPr="00EF29FB" w:rsidRDefault="002B696B" w:rsidP="00EF29FB">
      <w:pPr>
        <w:widowControl w:val="0"/>
        <w:shd w:val="clear" w:color="auto" w:fill="FFFFFF"/>
        <w:spacing w:line="240" w:lineRule="auto"/>
        <w:jc w:val="both"/>
        <w:rPr>
          <w:szCs w:val="22"/>
          <w:lang w:val="sr-Latn-ME"/>
        </w:rPr>
      </w:pPr>
      <w:r w:rsidRPr="00EF29FB">
        <w:rPr>
          <w:szCs w:val="22"/>
          <w:lang w:val="sr-Latn-ME"/>
        </w:rPr>
        <w:t xml:space="preserve">Kod pacijenata čija bubrežna funkcija može da zavisi od aktivnosti RAAS (npr. sa teškom srčanom </w:t>
      </w:r>
      <w:r w:rsidRPr="00EF29FB">
        <w:rPr>
          <w:szCs w:val="22"/>
          <w:lang w:val="sr-Latn-ME"/>
        </w:rPr>
        <w:lastRenderedPageBreak/>
        <w:t>insuficijencijom), liječenje inhibitorima ACE ili antagonistima angiotenzinskog receptora dovodi se u vezu sa oligurijom i/ili progresivnom azotemijom i rijetko sa akutnom bubrežnom insuficijencijom i/ili smrću. Kako je valsartan antagonist angiotenzina II, ne može se isključiti da se upotreba lijeka Valsacor može dovesti u vezu sa oštećenjem funkcije bubrega.</w:t>
      </w:r>
    </w:p>
    <w:p w:rsidR="00EA43CD" w:rsidRPr="00EF29FB" w:rsidRDefault="002B696B" w:rsidP="00EF29FB">
      <w:pPr>
        <w:widowControl w:val="0"/>
        <w:shd w:val="clear" w:color="auto" w:fill="FFFFFF"/>
        <w:spacing w:line="240" w:lineRule="auto"/>
        <w:jc w:val="both"/>
        <w:rPr>
          <w:szCs w:val="22"/>
          <w:lang w:val="sr-Latn-ME"/>
        </w:rPr>
      </w:pPr>
      <w:r w:rsidRPr="00EF29FB">
        <w:rPr>
          <w:szCs w:val="22"/>
          <w:lang w:val="sr-Latn-ME"/>
        </w:rPr>
        <w:t>ACE inhibitori i blokatori angiotenzin II receptora se ne smeju primjenjivati istovremeno kod pacijenta sa dijabetičkom nefropatijom.</w:t>
      </w:r>
    </w:p>
    <w:p w:rsidR="00EA43CD" w:rsidRPr="00EF29FB" w:rsidRDefault="00EA43CD" w:rsidP="00EF29FB">
      <w:pPr>
        <w:widowControl w:val="0"/>
        <w:shd w:val="clear" w:color="auto" w:fill="FFFFFF"/>
        <w:spacing w:line="240" w:lineRule="auto"/>
        <w:jc w:val="both"/>
        <w:rPr>
          <w:szCs w:val="22"/>
          <w:u w:val="single"/>
          <w:lang w:val="sr-Latn-ME"/>
        </w:rPr>
      </w:pPr>
    </w:p>
    <w:p w:rsidR="00EA43CD" w:rsidRPr="00EF29FB" w:rsidRDefault="002B696B" w:rsidP="00EF29FB">
      <w:pPr>
        <w:widowControl w:val="0"/>
        <w:shd w:val="clear" w:color="auto" w:fill="FFFFFF"/>
        <w:spacing w:line="240" w:lineRule="auto"/>
        <w:jc w:val="both"/>
        <w:rPr>
          <w:szCs w:val="22"/>
          <w:u w:val="single"/>
          <w:lang w:val="sr-Latn-ME"/>
        </w:rPr>
      </w:pPr>
      <w:r w:rsidRPr="00EF29FB">
        <w:rPr>
          <w:szCs w:val="22"/>
          <w:u w:val="single"/>
          <w:lang w:val="sr-Latn-ME"/>
        </w:rPr>
        <w:t>Angioedem u anamnezi</w:t>
      </w:r>
    </w:p>
    <w:p w:rsidR="00EA43CD" w:rsidRPr="00EF29FB" w:rsidRDefault="002B696B" w:rsidP="00EF29FB">
      <w:pPr>
        <w:widowControl w:val="0"/>
        <w:shd w:val="clear" w:color="auto" w:fill="FFFFFF"/>
        <w:spacing w:line="240" w:lineRule="auto"/>
        <w:jc w:val="both"/>
        <w:rPr>
          <w:szCs w:val="22"/>
          <w:lang w:val="sr-Latn-ME"/>
        </w:rPr>
      </w:pPr>
      <w:r w:rsidRPr="00EF29FB">
        <w:rPr>
          <w:szCs w:val="22"/>
          <w:lang w:val="sr-Latn-ME"/>
        </w:rPr>
        <w:t>Angioedem, uključujući i oticanje grkljana i glotisa, koji je uzrokovao opstrukciju disajnih puteva i/ili oticanje lica, usana, ždrijela, i /ili jezika, prijavljen je kod pacijenata koji su uzimali valsartan; neki od ovih pacijenata prethodno su imali angioedem sa drugim ljekovima uključujući i ACE inhibitore. Primjenu lijeka Valsacor   treba odmah obustaviti kod pacijenata kod kojih se  razvio angioedem, a Valsacor im se ne smije ponovo davati (vidjeti dio 4.8).</w:t>
      </w:r>
    </w:p>
    <w:p w:rsidR="00EA43CD" w:rsidRPr="00EF29FB" w:rsidRDefault="00EA43CD" w:rsidP="00EF29FB">
      <w:pPr>
        <w:widowControl w:val="0"/>
        <w:shd w:val="clear" w:color="auto" w:fill="FFFFFF"/>
        <w:spacing w:line="240" w:lineRule="auto"/>
        <w:jc w:val="both"/>
        <w:rPr>
          <w:szCs w:val="22"/>
          <w:u w:val="single"/>
          <w:lang w:val="sr-Latn-ME"/>
        </w:rPr>
      </w:pPr>
    </w:p>
    <w:p w:rsidR="00EA43CD" w:rsidRPr="00EF29FB" w:rsidRDefault="002B696B" w:rsidP="00EF29FB">
      <w:pPr>
        <w:widowControl w:val="0"/>
        <w:shd w:val="clear" w:color="auto" w:fill="FFFFFF"/>
        <w:spacing w:line="240" w:lineRule="auto"/>
        <w:jc w:val="both"/>
        <w:rPr>
          <w:szCs w:val="22"/>
          <w:u w:val="single"/>
          <w:lang w:val="sr-Latn-ME"/>
        </w:rPr>
      </w:pPr>
      <w:r w:rsidRPr="00EF29FB">
        <w:rPr>
          <w:szCs w:val="22"/>
          <w:u w:val="single"/>
          <w:lang w:val="sr-Latn-ME"/>
        </w:rPr>
        <w:t>Dvostruka blokada renin-angiotenzin-aldosteron sistema (RAAS)</w:t>
      </w:r>
    </w:p>
    <w:p w:rsidR="00EA43CD" w:rsidRPr="00EF29FB" w:rsidRDefault="002B696B" w:rsidP="00EF29FB">
      <w:pPr>
        <w:widowControl w:val="0"/>
        <w:shd w:val="clear" w:color="auto" w:fill="FFFFFF"/>
        <w:spacing w:line="240" w:lineRule="auto"/>
        <w:jc w:val="both"/>
        <w:rPr>
          <w:szCs w:val="22"/>
          <w:lang w:val="sr-Latn-ME"/>
        </w:rPr>
      </w:pPr>
      <w:r w:rsidRPr="00EF29FB">
        <w:rPr>
          <w:szCs w:val="22"/>
          <w:lang w:val="sr-Latn-ME"/>
        </w:rPr>
        <w:t>Postoje dokazi da istovremena primjena ACE inhibitora, blokatora angiotenzin II receptora ili aliskirena povećava rizik od hipotenzije, hiperkalemije i smanjene bubrežne funkcije (uključujući akutnu insuficijenciju bubrega). Stoga, dvostruka blokada renin-angiotenzin-aldosteron sistema kombinovanjem aliskirena sa ACE inhibitorima ili blokatorima angiotenzin II receptora (ARB) nije preporučljiva (vidjeti djelove 4.5. i 5.1.).</w:t>
      </w:r>
    </w:p>
    <w:p w:rsidR="00EA43CD" w:rsidRPr="00EF29FB" w:rsidRDefault="002B696B" w:rsidP="00EF29FB">
      <w:pPr>
        <w:widowControl w:val="0"/>
        <w:tabs>
          <w:tab w:val="clear" w:pos="567"/>
        </w:tabs>
        <w:autoSpaceDE w:val="0"/>
        <w:autoSpaceDN w:val="0"/>
        <w:adjustRightInd w:val="0"/>
        <w:spacing w:line="240" w:lineRule="auto"/>
        <w:jc w:val="both"/>
        <w:rPr>
          <w:rFonts w:eastAsia="SimSun"/>
          <w:color w:val="000000"/>
          <w:szCs w:val="22"/>
          <w:lang w:val="sr-Latn-ME" w:eastAsia="sl-SI"/>
        </w:rPr>
      </w:pPr>
      <w:r w:rsidRPr="00EF29FB">
        <w:rPr>
          <w:rFonts w:eastAsia="SimSun"/>
          <w:color w:val="000000"/>
          <w:szCs w:val="22"/>
          <w:lang w:val="sr-Latn-ME" w:eastAsia="sl-SI"/>
        </w:rPr>
        <w:t xml:space="preserve">Ako se terapija dvostrukom blokadom smatra apsolutno nužnom, smije se samo sprovoditi pod nadzorom specijalista i uz pažljivo praćenje bubrežne funkcije, elektrolita i krvnog pritiska. </w:t>
      </w:r>
    </w:p>
    <w:p w:rsidR="00EA43CD" w:rsidRPr="00EF29FB" w:rsidRDefault="002B696B" w:rsidP="00EF29FB">
      <w:pPr>
        <w:widowControl w:val="0"/>
        <w:shd w:val="clear" w:color="auto" w:fill="FFFFFF"/>
        <w:spacing w:line="240" w:lineRule="auto"/>
        <w:jc w:val="both"/>
        <w:rPr>
          <w:rFonts w:eastAsia="SimSun"/>
          <w:color w:val="000000"/>
          <w:szCs w:val="22"/>
          <w:lang w:val="sr-Latn-ME" w:eastAsia="sl-SI"/>
        </w:rPr>
      </w:pPr>
      <w:r w:rsidRPr="00EF29FB">
        <w:rPr>
          <w:rFonts w:eastAsia="SimSun"/>
          <w:color w:val="000000"/>
          <w:szCs w:val="22"/>
          <w:lang w:val="sr-Latn-ME" w:eastAsia="sl-SI"/>
        </w:rPr>
        <w:t>ACE inhibitori i blokatori angiotenzin II receptora se ne smiju primjenjivati istovremeno kod bolesnika s dijabetičkom nefropatijom.</w:t>
      </w:r>
    </w:p>
    <w:p w:rsidR="00EA43CD" w:rsidRPr="00EF29FB" w:rsidRDefault="00EA43CD" w:rsidP="00EF29FB">
      <w:pPr>
        <w:widowControl w:val="0"/>
        <w:shd w:val="clear" w:color="auto" w:fill="FFFFFF"/>
        <w:spacing w:line="240" w:lineRule="auto"/>
        <w:jc w:val="both"/>
        <w:rPr>
          <w:szCs w:val="22"/>
          <w:lang w:val="sr-Latn-ME"/>
        </w:rPr>
      </w:pPr>
    </w:p>
    <w:p w:rsidR="00EA43CD" w:rsidRPr="00EF29FB" w:rsidRDefault="002B696B" w:rsidP="00EF29FB">
      <w:pPr>
        <w:pStyle w:val="Header"/>
        <w:widowControl w:val="0"/>
        <w:tabs>
          <w:tab w:val="left" w:pos="284"/>
        </w:tabs>
        <w:spacing w:line="240" w:lineRule="auto"/>
        <w:jc w:val="both"/>
        <w:rPr>
          <w:rFonts w:ascii="Times New Roman" w:hAnsi="Times New Roman"/>
          <w:i/>
          <w:sz w:val="22"/>
          <w:szCs w:val="22"/>
          <w:lang w:val="sr-Latn-ME"/>
        </w:rPr>
      </w:pPr>
      <w:r w:rsidRPr="00EF29FB">
        <w:rPr>
          <w:rFonts w:ascii="Times New Roman" w:hAnsi="Times New Roman"/>
          <w:i/>
          <w:sz w:val="22"/>
          <w:szCs w:val="22"/>
          <w:lang w:val="sr-Latn-ME"/>
        </w:rPr>
        <w:t>Pedijatrijska populacija</w:t>
      </w:r>
    </w:p>
    <w:p w:rsidR="00EA43CD" w:rsidRPr="00EF29FB" w:rsidRDefault="00EA43CD" w:rsidP="00EF29FB">
      <w:pPr>
        <w:pStyle w:val="Header"/>
        <w:widowControl w:val="0"/>
        <w:tabs>
          <w:tab w:val="left" w:pos="284"/>
        </w:tabs>
        <w:spacing w:line="240" w:lineRule="auto"/>
        <w:jc w:val="both"/>
        <w:rPr>
          <w:rFonts w:ascii="Times New Roman" w:hAnsi="Times New Roman"/>
          <w:sz w:val="22"/>
          <w:szCs w:val="22"/>
          <w:lang w:val="sr-Latn-ME"/>
        </w:rPr>
      </w:pPr>
    </w:p>
    <w:p w:rsidR="00EA43CD" w:rsidRPr="00EF29FB" w:rsidRDefault="002B696B" w:rsidP="00EF29FB">
      <w:pPr>
        <w:pStyle w:val="Header"/>
        <w:widowControl w:val="0"/>
        <w:tabs>
          <w:tab w:val="left" w:pos="284"/>
        </w:tabs>
        <w:spacing w:line="240" w:lineRule="auto"/>
        <w:jc w:val="both"/>
        <w:rPr>
          <w:rFonts w:ascii="Times New Roman" w:hAnsi="Times New Roman"/>
          <w:sz w:val="22"/>
          <w:szCs w:val="22"/>
          <w:u w:val="single"/>
          <w:lang w:val="sr-Latn-ME"/>
        </w:rPr>
      </w:pPr>
      <w:r w:rsidRPr="00EF29FB">
        <w:rPr>
          <w:rFonts w:ascii="Times New Roman" w:hAnsi="Times New Roman"/>
          <w:sz w:val="22"/>
          <w:szCs w:val="22"/>
          <w:u w:val="single"/>
          <w:lang w:val="sr-Latn-ME"/>
        </w:rPr>
        <w:t>Oštećenje funkcije bubrega</w:t>
      </w:r>
    </w:p>
    <w:p w:rsidR="00EA43CD" w:rsidRPr="00EF29FB" w:rsidRDefault="002B696B" w:rsidP="00EF29FB">
      <w:pPr>
        <w:pStyle w:val="Header"/>
        <w:widowControl w:val="0"/>
        <w:tabs>
          <w:tab w:val="left" w:pos="284"/>
        </w:tabs>
        <w:spacing w:line="240" w:lineRule="auto"/>
        <w:jc w:val="both"/>
        <w:rPr>
          <w:rFonts w:ascii="Times New Roman" w:hAnsi="Times New Roman"/>
          <w:sz w:val="22"/>
          <w:szCs w:val="22"/>
          <w:lang w:val="sr-Latn-ME"/>
        </w:rPr>
      </w:pPr>
      <w:r w:rsidRPr="00EF29FB">
        <w:rPr>
          <w:rFonts w:ascii="Times New Roman" w:hAnsi="Times New Roman"/>
          <w:sz w:val="22"/>
          <w:szCs w:val="22"/>
          <w:lang w:val="sr-Latn-ME"/>
        </w:rPr>
        <w:t>Primjena kod pedijatrijskih pacijenata sa klirensom kreatinina &lt;30 ml/min i pedijatrijskih pacijenata na dijalizi nije proučavana, stoga se primjena valsartan  ne preporučuje kod ovih pacijenata. Nije neophodno prilagođavanje doze kod pedijatrijskih pacijenata sa klirensom kreatinina &gt;30 ml/min (vidjeti djelove 4.2 i 5.2). Funkciju bubrega i serumski kalijum treba brižljivo pratiti tokom liječenja valsartanom. Ovo je posebno važno kada se valsartan daje u prisustvu drugih stanja (groznice, dehidratacije) koja bi mogla oštetiti funkciju bubrega.</w:t>
      </w:r>
    </w:p>
    <w:p w:rsidR="00EA43CD" w:rsidRPr="00EF29FB" w:rsidRDefault="00EA43CD" w:rsidP="00EF29FB">
      <w:pPr>
        <w:pStyle w:val="Header"/>
        <w:widowControl w:val="0"/>
        <w:tabs>
          <w:tab w:val="left" w:pos="284"/>
        </w:tabs>
        <w:spacing w:line="240" w:lineRule="auto"/>
        <w:jc w:val="both"/>
        <w:rPr>
          <w:rFonts w:ascii="Times New Roman" w:hAnsi="Times New Roman"/>
          <w:sz w:val="22"/>
          <w:szCs w:val="22"/>
          <w:lang w:val="sr-Latn-ME"/>
        </w:rPr>
      </w:pPr>
    </w:p>
    <w:p w:rsidR="00EA43CD" w:rsidRPr="00EF29FB" w:rsidRDefault="002B696B" w:rsidP="00EF29FB">
      <w:pPr>
        <w:pStyle w:val="Header"/>
        <w:widowControl w:val="0"/>
        <w:tabs>
          <w:tab w:val="left" w:pos="284"/>
        </w:tabs>
        <w:spacing w:line="240" w:lineRule="auto"/>
        <w:jc w:val="both"/>
        <w:rPr>
          <w:rFonts w:ascii="Times New Roman" w:hAnsi="Times New Roman"/>
          <w:sz w:val="22"/>
          <w:szCs w:val="22"/>
          <w:u w:val="single"/>
          <w:lang w:val="sr-Latn-ME"/>
        </w:rPr>
      </w:pPr>
      <w:r w:rsidRPr="00EF29FB">
        <w:rPr>
          <w:rFonts w:ascii="Times New Roman" w:hAnsi="Times New Roman"/>
          <w:sz w:val="22"/>
          <w:szCs w:val="22"/>
          <w:u w:val="single"/>
          <w:lang w:val="sr-Latn-ME"/>
        </w:rPr>
        <w:t>Oštećenje funkcije jetre</w:t>
      </w:r>
    </w:p>
    <w:p w:rsidR="00EA43CD" w:rsidRPr="00EF29FB" w:rsidRDefault="002B696B" w:rsidP="00EF29FB">
      <w:pPr>
        <w:pStyle w:val="Header"/>
        <w:widowControl w:val="0"/>
        <w:tabs>
          <w:tab w:val="left" w:pos="284"/>
        </w:tabs>
        <w:spacing w:line="240" w:lineRule="auto"/>
        <w:jc w:val="both"/>
        <w:rPr>
          <w:rFonts w:ascii="Times New Roman" w:hAnsi="Times New Roman"/>
          <w:sz w:val="22"/>
          <w:szCs w:val="22"/>
          <w:lang w:val="sr-Latn-ME"/>
        </w:rPr>
      </w:pPr>
      <w:r w:rsidRPr="00EF29FB">
        <w:rPr>
          <w:rFonts w:ascii="Times New Roman" w:hAnsi="Times New Roman"/>
          <w:sz w:val="22"/>
          <w:szCs w:val="22"/>
          <w:lang w:val="sr-Latn-ME"/>
        </w:rPr>
        <w:t>Kao kod odraslih, lijek Valsacor je kontraindikovan kod pedijatrijskih pacijenata sa teškim oštećenjem funkcije jetre, bilijarnom cirozom i kod pacijenata sa holestazom (vidjeti djelove 4.3 i 5.2). Postoji ograničeno kliničko iskustvo sa lijekom Valsacor kod pedijatrijskih pacijenata sa blagim do umjerenim oštećenjem funkcije jetre. Doza valsartana ne smije biti veća od 80 mg kod ovih pacijenata.</w:t>
      </w:r>
    </w:p>
    <w:p w:rsidR="00EA43CD" w:rsidRPr="00EF29FB" w:rsidRDefault="002B696B" w:rsidP="00EF29FB">
      <w:pPr>
        <w:widowControl w:val="0"/>
        <w:spacing w:line="240" w:lineRule="auto"/>
        <w:jc w:val="both"/>
        <w:rPr>
          <w:szCs w:val="22"/>
          <w:lang w:val="sr-Latn-ME" w:eastAsia="hr-HR"/>
        </w:rPr>
      </w:pPr>
      <w:r w:rsidRPr="00EF29FB">
        <w:rPr>
          <w:i/>
          <w:iCs/>
          <w:szCs w:val="22"/>
          <w:lang w:val="sr-Latn-ME" w:eastAsia="hr-HR"/>
        </w:rPr>
        <w:t>Posebna upozorenja o pomoćnim supstancama</w:t>
      </w:r>
    </w:p>
    <w:p w:rsidR="00EA43CD" w:rsidRPr="00EF29FB" w:rsidRDefault="002B696B" w:rsidP="00EF29FB">
      <w:pPr>
        <w:widowControl w:val="0"/>
        <w:spacing w:line="240" w:lineRule="auto"/>
        <w:jc w:val="both"/>
        <w:rPr>
          <w:szCs w:val="22"/>
          <w:lang w:val="sr-Latn-ME" w:eastAsia="hr-HR"/>
        </w:rPr>
      </w:pPr>
      <w:r w:rsidRPr="00EF29FB">
        <w:rPr>
          <w:szCs w:val="22"/>
          <w:lang w:val="sr-Latn-ME" w:eastAsia="hr-HR"/>
        </w:rPr>
        <w:t>Lijek Valsacor sadrži laktozu. Pacijenti sa rijetkom nasljednom intolerancijom na galaktozu, Lappovim oblikom smanjene aktivnosti laktaze ili malapsorpcijom glukoze/galaktoze ne smiju uzimati ovaj lijek.</w:t>
      </w:r>
    </w:p>
    <w:p w:rsidR="00EA43CD" w:rsidRPr="00EF29FB" w:rsidRDefault="00EA43CD" w:rsidP="00EF29FB">
      <w:pPr>
        <w:widowControl w:val="0"/>
        <w:spacing w:line="240" w:lineRule="auto"/>
        <w:jc w:val="both"/>
        <w:rPr>
          <w:szCs w:val="22"/>
          <w:lang w:val="sr-Latn-ME"/>
        </w:rPr>
      </w:pPr>
    </w:p>
    <w:p w:rsidR="00EA43CD" w:rsidRPr="00EF29FB" w:rsidRDefault="002B696B" w:rsidP="00EF29FB">
      <w:pPr>
        <w:widowControl w:val="0"/>
        <w:spacing w:line="240" w:lineRule="auto"/>
        <w:ind w:left="567" w:hanging="567"/>
        <w:jc w:val="both"/>
        <w:outlineLvl w:val="0"/>
        <w:rPr>
          <w:b/>
          <w:szCs w:val="22"/>
          <w:lang w:val="sr-Latn-ME"/>
        </w:rPr>
      </w:pPr>
      <w:r w:rsidRPr="00EF29FB">
        <w:rPr>
          <w:b/>
          <w:szCs w:val="22"/>
          <w:lang w:val="sr-Latn-ME"/>
        </w:rPr>
        <w:t>4.5</w:t>
      </w:r>
      <w:r w:rsidRPr="00EF29FB">
        <w:rPr>
          <w:b/>
          <w:szCs w:val="22"/>
          <w:lang w:val="sr-Latn-ME"/>
        </w:rPr>
        <w:tab/>
        <w:t>Interakcije sa drugim ljekovima i druge vrste interakcija</w:t>
      </w:r>
    </w:p>
    <w:p w:rsidR="00EA43CD" w:rsidRDefault="00EA43CD" w:rsidP="00EF29FB">
      <w:pPr>
        <w:widowControl w:val="0"/>
        <w:spacing w:line="240" w:lineRule="auto"/>
        <w:ind w:left="567" w:hanging="567"/>
        <w:jc w:val="both"/>
        <w:outlineLvl w:val="0"/>
        <w:rPr>
          <w:szCs w:val="22"/>
          <w:lang w:val="sr-Latn-ME"/>
        </w:rPr>
      </w:pPr>
    </w:p>
    <w:p w:rsidR="00EF29FB" w:rsidRPr="00EF29FB" w:rsidRDefault="00EF29FB" w:rsidP="00EF29FB">
      <w:pPr>
        <w:widowControl w:val="0"/>
        <w:shd w:val="clear" w:color="auto" w:fill="FFFFFF"/>
        <w:spacing w:line="240" w:lineRule="auto"/>
        <w:jc w:val="both"/>
        <w:rPr>
          <w:szCs w:val="22"/>
          <w:u w:val="single"/>
          <w:lang w:val="sr-Latn-ME" w:eastAsia="hr-HR"/>
        </w:rPr>
      </w:pPr>
      <w:r w:rsidRPr="00EF29FB">
        <w:rPr>
          <w:szCs w:val="22"/>
          <w:u w:val="single"/>
          <w:lang w:val="sr-Latn-ME" w:eastAsia="hr-HR"/>
        </w:rPr>
        <w:t>Dvostruka blokada renin-angiotenzin-</w:t>
      </w:r>
      <w:r w:rsidRPr="00EF29FB">
        <w:rPr>
          <w:szCs w:val="22"/>
          <w:u w:val="single"/>
          <w:lang w:val="sr-Latn-ME"/>
        </w:rPr>
        <w:t xml:space="preserve"> aldosteronskog</w:t>
      </w:r>
      <w:r w:rsidRPr="00EF29FB">
        <w:rPr>
          <w:szCs w:val="22"/>
          <w:u w:val="single"/>
          <w:lang w:val="sr-Latn-ME" w:eastAsia="hr-HR"/>
        </w:rPr>
        <w:t xml:space="preserve"> sistema (RAAS) sa ARB, ACE inhibitorima ili aliskirenom</w:t>
      </w:r>
    </w:p>
    <w:p w:rsidR="00EF29FB" w:rsidRPr="00EF29FB" w:rsidRDefault="00EF29FB" w:rsidP="00EF29FB">
      <w:pPr>
        <w:widowControl w:val="0"/>
        <w:spacing w:line="240" w:lineRule="auto"/>
        <w:jc w:val="both"/>
        <w:rPr>
          <w:szCs w:val="22"/>
          <w:lang w:val="sr-Latn-ME" w:eastAsia="hr-HR"/>
        </w:rPr>
      </w:pPr>
      <w:r w:rsidRPr="00EF29FB">
        <w:rPr>
          <w:szCs w:val="22"/>
          <w:lang w:val="sr-Latn-ME" w:eastAsia="hr-HR"/>
        </w:rPr>
        <w:t xml:space="preserve">Podaci iz kliničkih ispitivanja pokazali su da je dvostruka blokada renin-angiotenzin-aldosteronskog sistema (RAAS) kombinovanom primjenom ACE inhibitora, blokatora angiotenzin II receptora ili aliskirena povezana s većom učestalošću neželjenih dejstava kao što su hipotenzija, hiperkalijemija i smanjena bubrežna funkcija (uključujući akutnu bubrežnu insuficijenciju) u poređenju sa primenom samo jednog leka koji deluje na RAAS (vidjeti djelove 4.3, 4.4 i 5.1). </w:t>
      </w:r>
    </w:p>
    <w:p w:rsidR="00EF29FB" w:rsidRPr="00EF29FB" w:rsidRDefault="00EF29FB" w:rsidP="00EF29FB">
      <w:pPr>
        <w:pStyle w:val="Header"/>
        <w:widowControl w:val="0"/>
        <w:tabs>
          <w:tab w:val="left" w:pos="284"/>
        </w:tabs>
        <w:spacing w:line="240" w:lineRule="auto"/>
        <w:jc w:val="both"/>
        <w:rPr>
          <w:rFonts w:ascii="Times New Roman" w:hAnsi="Times New Roman"/>
          <w:sz w:val="22"/>
          <w:szCs w:val="22"/>
          <w:lang w:val="sr-Latn-ME" w:eastAsia="hr-HR"/>
        </w:rPr>
      </w:pPr>
    </w:p>
    <w:p w:rsidR="00EF29FB" w:rsidRPr="00EF29FB" w:rsidRDefault="00EF29FB" w:rsidP="00EF29FB">
      <w:pPr>
        <w:pStyle w:val="Header"/>
        <w:widowControl w:val="0"/>
        <w:tabs>
          <w:tab w:val="left" w:pos="284"/>
        </w:tabs>
        <w:spacing w:line="240" w:lineRule="auto"/>
        <w:jc w:val="both"/>
        <w:rPr>
          <w:rFonts w:ascii="Times New Roman" w:hAnsi="Times New Roman"/>
          <w:sz w:val="22"/>
          <w:szCs w:val="22"/>
          <w:u w:val="single"/>
          <w:lang w:val="sr-Latn-ME" w:eastAsia="hr-HR"/>
        </w:rPr>
      </w:pPr>
      <w:r w:rsidRPr="00EF29FB">
        <w:rPr>
          <w:rFonts w:ascii="Times New Roman" w:hAnsi="Times New Roman"/>
          <w:sz w:val="22"/>
          <w:szCs w:val="22"/>
          <w:u w:val="single"/>
          <w:lang w:val="sr-Latn-ME" w:eastAsia="hr-HR"/>
        </w:rPr>
        <w:t>Istovremena primjena nije preporučena</w:t>
      </w:r>
    </w:p>
    <w:p w:rsidR="00EF29FB" w:rsidRPr="00EF29FB" w:rsidRDefault="00EF29FB" w:rsidP="00EF29FB">
      <w:pPr>
        <w:pStyle w:val="Header"/>
        <w:widowControl w:val="0"/>
        <w:tabs>
          <w:tab w:val="left" w:pos="284"/>
        </w:tabs>
        <w:spacing w:line="240" w:lineRule="auto"/>
        <w:jc w:val="both"/>
        <w:rPr>
          <w:rFonts w:ascii="Times New Roman" w:hAnsi="Times New Roman"/>
          <w:sz w:val="22"/>
          <w:szCs w:val="22"/>
          <w:lang w:val="sr-Latn-ME" w:eastAsia="hr-HR"/>
        </w:rPr>
      </w:pPr>
    </w:p>
    <w:p w:rsidR="00EF29FB" w:rsidRPr="00EF29FB" w:rsidRDefault="00EF29FB" w:rsidP="00EF29FB">
      <w:pPr>
        <w:pStyle w:val="Header"/>
        <w:widowControl w:val="0"/>
        <w:tabs>
          <w:tab w:val="left" w:pos="284"/>
        </w:tabs>
        <w:spacing w:line="240" w:lineRule="auto"/>
        <w:jc w:val="both"/>
        <w:rPr>
          <w:rFonts w:ascii="Times New Roman" w:hAnsi="Times New Roman"/>
          <w:i/>
          <w:sz w:val="22"/>
          <w:szCs w:val="22"/>
          <w:lang w:val="sr-Latn-ME" w:eastAsia="hr-HR"/>
        </w:rPr>
      </w:pPr>
      <w:r w:rsidRPr="00EF29FB">
        <w:rPr>
          <w:rFonts w:ascii="Times New Roman" w:hAnsi="Times New Roman"/>
          <w:i/>
          <w:sz w:val="22"/>
          <w:szCs w:val="22"/>
          <w:lang w:val="sr-Latn-ME" w:eastAsia="hr-HR"/>
        </w:rPr>
        <w:t>Litijum</w:t>
      </w:r>
    </w:p>
    <w:p w:rsidR="00EF29FB" w:rsidRPr="00EF29FB" w:rsidRDefault="00EF29FB" w:rsidP="00EF29FB">
      <w:pPr>
        <w:pStyle w:val="Header"/>
        <w:widowControl w:val="0"/>
        <w:tabs>
          <w:tab w:val="left" w:pos="284"/>
        </w:tabs>
        <w:spacing w:line="240" w:lineRule="auto"/>
        <w:jc w:val="both"/>
        <w:rPr>
          <w:rFonts w:ascii="Times New Roman" w:hAnsi="Times New Roman"/>
          <w:sz w:val="22"/>
          <w:szCs w:val="22"/>
          <w:lang w:val="sr-Latn-ME" w:eastAsia="hr-HR"/>
        </w:rPr>
      </w:pPr>
      <w:r w:rsidRPr="00EF29FB">
        <w:rPr>
          <w:rFonts w:ascii="Times New Roman" w:hAnsi="Times New Roman"/>
          <w:sz w:val="22"/>
          <w:szCs w:val="22"/>
          <w:lang w:val="sr-Latn-ME" w:eastAsia="hr-HR"/>
        </w:rPr>
        <w:lastRenderedPageBreak/>
        <w:t xml:space="preserve">Reverzibilni porast koncentracije litijuma u serumu i porast njegove toksičnosti zabilježeni su tokom istovremene primjene litijuma sa inhibitorima angiotenzin konvertujućeg enzima ili antagonistima angiotenzin II receptora, uključujući valsartan. Ako je kombinacija neophodna, preporučuje se pažljivo praćenje koncentracija litijuma u serumu. Opasnost od toksičnosti litijuma može biti dodatno povećana ako se primjenjuje i diuretik. </w:t>
      </w:r>
    </w:p>
    <w:p w:rsidR="00EF29FB" w:rsidRPr="00EF29FB" w:rsidRDefault="00EF29FB" w:rsidP="00EF29FB">
      <w:pPr>
        <w:pStyle w:val="Header"/>
        <w:widowControl w:val="0"/>
        <w:tabs>
          <w:tab w:val="left" w:pos="284"/>
        </w:tabs>
        <w:spacing w:line="240" w:lineRule="auto"/>
        <w:jc w:val="both"/>
        <w:rPr>
          <w:rFonts w:ascii="Times New Roman" w:hAnsi="Times New Roman"/>
          <w:sz w:val="22"/>
          <w:szCs w:val="22"/>
          <w:lang w:val="sr-Latn-ME" w:eastAsia="hr-HR"/>
        </w:rPr>
      </w:pPr>
    </w:p>
    <w:p w:rsidR="00EF29FB" w:rsidRPr="00EF29FB" w:rsidRDefault="00EF29FB" w:rsidP="00EF29FB">
      <w:pPr>
        <w:pStyle w:val="Header"/>
        <w:widowControl w:val="0"/>
        <w:tabs>
          <w:tab w:val="left" w:pos="284"/>
        </w:tabs>
        <w:spacing w:line="240" w:lineRule="auto"/>
        <w:jc w:val="both"/>
        <w:rPr>
          <w:rFonts w:ascii="Times New Roman" w:hAnsi="Times New Roman"/>
          <w:i/>
          <w:sz w:val="22"/>
          <w:szCs w:val="22"/>
          <w:lang w:val="sr-Latn-ME" w:eastAsia="hr-HR"/>
        </w:rPr>
      </w:pPr>
      <w:r w:rsidRPr="00EF29FB">
        <w:rPr>
          <w:rFonts w:ascii="Times New Roman" w:hAnsi="Times New Roman"/>
          <w:i/>
          <w:sz w:val="22"/>
          <w:szCs w:val="22"/>
          <w:lang w:val="sr-Latn-ME" w:eastAsia="hr-HR"/>
        </w:rPr>
        <w:t>Diuretici koji štede kalijum, kalijumski suplementi, zamjena za so koje sadrže kalijum i druge supstance koje mogu da povećaju nivo kalijuma</w:t>
      </w:r>
    </w:p>
    <w:p w:rsidR="00EF29FB" w:rsidRPr="00EF29FB" w:rsidRDefault="00EF29FB" w:rsidP="00EF29FB">
      <w:pPr>
        <w:pStyle w:val="Header"/>
        <w:widowControl w:val="0"/>
        <w:tabs>
          <w:tab w:val="left" w:pos="284"/>
        </w:tabs>
        <w:spacing w:line="240" w:lineRule="auto"/>
        <w:jc w:val="both"/>
        <w:rPr>
          <w:rFonts w:ascii="Times New Roman" w:hAnsi="Times New Roman"/>
          <w:sz w:val="22"/>
          <w:szCs w:val="22"/>
          <w:lang w:val="sr-Latn-ME" w:eastAsia="hr-HR"/>
        </w:rPr>
      </w:pPr>
      <w:r w:rsidRPr="00EF29FB">
        <w:rPr>
          <w:rFonts w:ascii="Times New Roman" w:hAnsi="Times New Roman"/>
          <w:sz w:val="22"/>
          <w:szCs w:val="22"/>
          <w:lang w:val="sr-Latn-ME" w:eastAsia="hr-HR"/>
        </w:rPr>
        <w:t>Ukoliko se ljekovi koji utiču na nivo kalijuma smatraju neophodnim u kombinaciji sa valsartanom, savjetuje se praćenje koncentracije kalijuma u plazmi.</w:t>
      </w:r>
    </w:p>
    <w:p w:rsidR="00EF29FB" w:rsidRPr="00EF29FB" w:rsidRDefault="00EF29FB" w:rsidP="00EF29FB">
      <w:pPr>
        <w:pStyle w:val="Header"/>
        <w:widowControl w:val="0"/>
        <w:tabs>
          <w:tab w:val="left" w:pos="284"/>
        </w:tabs>
        <w:spacing w:line="240" w:lineRule="auto"/>
        <w:jc w:val="both"/>
        <w:rPr>
          <w:rFonts w:ascii="Times New Roman" w:hAnsi="Times New Roman"/>
          <w:sz w:val="22"/>
          <w:szCs w:val="22"/>
          <w:lang w:val="sr-Latn-ME" w:eastAsia="hr-HR"/>
        </w:rPr>
      </w:pPr>
    </w:p>
    <w:p w:rsidR="00EF29FB" w:rsidRPr="00EF29FB" w:rsidRDefault="00EF29FB" w:rsidP="00EF29FB">
      <w:pPr>
        <w:pStyle w:val="Header"/>
        <w:widowControl w:val="0"/>
        <w:tabs>
          <w:tab w:val="left" w:pos="284"/>
        </w:tabs>
        <w:spacing w:line="240" w:lineRule="auto"/>
        <w:jc w:val="both"/>
        <w:rPr>
          <w:rFonts w:ascii="Times New Roman" w:hAnsi="Times New Roman"/>
          <w:i/>
          <w:sz w:val="22"/>
          <w:szCs w:val="22"/>
          <w:u w:val="single"/>
          <w:lang w:val="sr-Latn-ME" w:eastAsia="hr-HR"/>
        </w:rPr>
      </w:pPr>
      <w:r w:rsidRPr="00EF29FB">
        <w:rPr>
          <w:rFonts w:ascii="Times New Roman" w:hAnsi="Times New Roman"/>
          <w:i/>
          <w:sz w:val="22"/>
          <w:szCs w:val="22"/>
          <w:u w:val="single"/>
          <w:lang w:val="sr-Latn-ME" w:eastAsia="hr-HR"/>
        </w:rPr>
        <w:t>Kombinacije kod kojih je neophodan oprez</w:t>
      </w:r>
    </w:p>
    <w:p w:rsidR="00EF29FB" w:rsidRPr="00EF29FB" w:rsidRDefault="00EF29FB" w:rsidP="00EF29FB">
      <w:pPr>
        <w:pStyle w:val="Header"/>
        <w:widowControl w:val="0"/>
        <w:tabs>
          <w:tab w:val="left" w:pos="284"/>
        </w:tabs>
        <w:spacing w:line="240" w:lineRule="auto"/>
        <w:jc w:val="both"/>
        <w:rPr>
          <w:rFonts w:ascii="Times New Roman" w:hAnsi="Times New Roman"/>
          <w:i/>
          <w:sz w:val="22"/>
          <w:szCs w:val="22"/>
          <w:lang w:val="sr-Latn-ME" w:eastAsia="hr-HR"/>
        </w:rPr>
      </w:pPr>
      <w:r w:rsidRPr="00EF29FB">
        <w:rPr>
          <w:rFonts w:ascii="Times New Roman" w:hAnsi="Times New Roman"/>
          <w:i/>
          <w:sz w:val="22"/>
          <w:szCs w:val="22"/>
          <w:lang w:val="sr-Latn-ME" w:eastAsia="hr-HR"/>
        </w:rPr>
        <w:t>Nesteroidni antiinflamatorni ljekovi (NSAID), uključujući selektivne COX-2 inhibitore, acetilsalicilnu kiselinu (&gt;3 g/dnevno) i neselektivne nesteroidne antiinflamatorne ljekove</w:t>
      </w:r>
    </w:p>
    <w:p w:rsidR="00EF29FB" w:rsidRDefault="00EF29FB" w:rsidP="00EF29FB">
      <w:pPr>
        <w:pStyle w:val="Header"/>
        <w:widowControl w:val="0"/>
        <w:tabs>
          <w:tab w:val="left" w:pos="284"/>
        </w:tabs>
        <w:spacing w:line="240" w:lineRule="auto"/>
        <w:jc w:val="both"/>
        <w:rPr>
          <w:rFonts w:ascii="Times New Roman" w:hAnsi="Times New Roman"/>
          <w:i/>
          <w:sz w:val="22"/>
          <w:szCs w:val="22"/>
          <w:lang w:val="sr-Latn-ME" w:eastAsia="hr-HR"/>
        </w:rPr>
      </w:pPr>
      <w:r w:rsidRPr="00EF29FB">
        <w:rPr>
          <w:rFonts w:ascii="Times New Roman" w:hAnsi="Times New Roman"/>
          <w:sz w:val="22"/>
          <w:szCs w:val="22"/>
          <w:lang w:val="sr-Latn-ME" w:eastAsia="hr-HR"/>
        </w:rPr>
        <w:t>Kada se antagonisti angiotenzina II primjenjuju zajedno sa nesteroidnim antiinflamatornim ljekovima, može doći do slabljenja antihipertenzivnog dejstva. Osim toga, istovremena primjena antagonista angiotenzina II i nesteroidnih antiinflamatornih ljekova može povećati rizik od pogoršanja renalne funkcije i povećanja kalijuma u serumu. Zbog toga se preporučuje praćenje renalne funkcije na početku terapije, kao i adekvatna hidratacija pacijenta.</w:t>
      </w:r>
      <w:r w:rsidRPr="00EF29FB">
        <w:rPr>
          <w:rFonts w:ascii="Times New Roman" w:hAnsi="Times New Roman"/>
          <w:i/>
          <w:sz w:val="22"/>
          <w:szCs w:val="22"/>
          <w:lang w:val="sr-Latn-ME" w:eastAsia="hr-HR"/>
        </w:rPr>
        <w:t xml:space="preserve"> </w:t>
      </w:r>
    </w:p>
    <w:p w:rsidR="00EF29FB" w:rsidRDefault="00EF29FB" w:rsidP="00EF29FB">
      <w:pPr>
        <w:pStyle w:val="Header"/>
        <w:widowControl w:val="0"/>
        <w:tabs>
          <w:tab w:val="left" w:pos="284"/>
        </w:tabs>
        <w:spacing w:line="240" w:lineRule="auto"/>
        <w:jc w:val="both"/>
        <w:rPr>
          <w:rFonts w:ascii="Times New Roman" w:hAnsi="Times New Roman"/>
          <w:i/>
          <w:sz w:val="22"/>
          <w:szCs w:val="22"/>
          <w:lang w:val="sr-Latn-ME" w:eastAsia="hr-HR"/>
        </w:rPr>
      </w:pPr>
    </w:p>
    <w:p w:rsidR="00EF29FB" w:rsidRPr="00EF29FB" w:rsidRDefault="00EF29FB" w:rsidP="00EF29FB">
      <w:pPr>
        <w:pStyle w:val="Header"/>
        <w:widowControl w:val="0"/>
        <w:tabs>
          <w:tab w:val="left" w:pos="284"/>
        </w:tabs>
        <w:spacing w:line="240" w:lineRule="auto"/>
        <w:jc w:val="both"/>
        <w:rPr>
          <w:rFonts w:ascii="Times New Roman" w:hAnsi="Times New Roman"/>
          <w:i/>
          <w:sz w:val="22"/>
          <w:szCs w:val="22"/>
          <w:lang w:val="sr-Latn-ME" w:eastAsia="hr-HR"/>
        </w:rPr>
      </w:pPr>
      <w:r w:rsidRPr="00EF29FB">
        <w:rPr>
          <w:rFonts w:ascii="Times New Roman" w:hAnsi="Times New Roman"/>
          <w:i/>
          <w:sz w:val="22"/>
          <w:szCs w:val="22"/>
          <w:lang w:val="sr-Latn-ME" w:eastAsia="hr-HR"/>
        </w:rPr>
        <w:t>Transporteri</w:t>
      </w:r>
    </w:p>
    <w:p w:rsidR="00EF29FB" w:rsidRPr="00EF29FB" w:rsidRDefault="00EF29FB" w:rsidP="00EF29FB">
      <w:pPr>
        <w:pStyle w:val="Header"/>
        <w:widowControl w:val="0"/>
        <w:tabs>
          <w:tab w:val="left" w:pos="284"/>
        </w:tabs>
        <w:spacing w:line="240" w:lineRule="auto"/>
        <w:jc w:val="both"/>
        <w:rPr>
          <w:rFonts w:ascii="Times New Roman" w:hAnsi="Times New Roman"/>
          <w:sz w:val="22"/>
          <w:szCs w:val="22"/>
          <w:lang w:val="sr-Latn-ME" w:eastAsia="hr-HR"/>
        </w:rPr>
      </w:pPr>
      <w:r w:rsidRPr="00EF29FB">
        <w:rPr>
          <w:rFonts w:ascii="Times New Roman" w:hAnsi="Times New Roman"/>
          <w:sz w:val="22"/>
          <w:szCs w:val="22"/>
          <w:lang w:val="sr-Latn-ME" w:eastAsia="hr-HR"/>
        </w:rPr>
        <w:t>Podaci in vitro ukazuju da je valsartan supstrat jetrinog transportera OATP1B1/OATP1B3 (</w:t>
      </w:r>
      <w:r w:rsidRPr="00EF29FB">
        <w:rPr>
          <w:rFonts w:ascii="Times New Roman" w:hAnsi="Times New Roman"/>
          <w:sz w:val="22"/>
          <w:szCs w:val="22"/>
          <w:lang w:val="sr-Latn-ME"/>
        </w:rPr>
        <w:t>organski anjonski transporter IBl i IB3)</w:t>
      </w:r>
      <w:r w:rsidRPr="00EF29FB">
        <w:rPr>
          <w:rFonts w:ascii="Times New Roman" w:hAnsi="Times New Roman"/>
          <w:sz w:val="22"/>
          <w:szCs w:val="22"/>
          <w:lang w:val="sr-Latn-ME" w:eastAsia="hr-HR"/>
        </w:rPr>
        <w:t xml:space="preserve"> i efluksnog MRP2 transportera. Klinički značaj ovih podataka nije poznat. Komedikacija sa inhibitorima transportera (npr. rifampin, ciklosporin) ili efluksnog transportera (npr. ritonavir) može povećati sistemsku izloženost valsartanu. Potrebno je primijeniti odgovarajuće mjere na početku i na kraju istovremene primjene sa takvim ljekovima.</w:t>
      </w:r>
    </w:p>
    <w:p w:rsidR="00EF29FB" w:rsidRPr="00EF29FB" w:rsidRDefault="00EF29FB" w:rsidP="00EF29FB">
      <w:pPr>
        <w:pStyle w:val="Header"/>
        <w:widowControl w:val="0"/>
        <w:tabs>
          <w:tab w:val="left" w:pos="284"/>
        </w:tabs>
        <w:spacing w:line="240" w:lineRule="auto"/>
        <w:jc w:val="both"/>
        <w:rPr>
          <w:rFonts w:ascii="Times New Roman" w:hAnsi="Times New Roman"/>
          <w:sz w:val="22"/>
          <w:szCs w:val="22"/>
          <w:lang w:val="sr-Latn-ME" w:eastAsia="hr-HR"/>
        </w:rPr>
      </w:pPr>
    </w:p>
    <w:p w:rsidR="00EF29FB" w:rsidRPr="00EF29FB" w:rsidRDefault="00EF29FB" w:rsidP="00EF29FB">
      <w:pPr>
        <w:pStyle w:val="Header"/>
        <w:widowControl w:val="0"/>
        <w:tabs>
          <w:tab w:val="left" w:pos="284"/>
        </w:tabs>
        <w:spacing w:line="240" w:lineRule="auto"/>
        <w:jc w:val="both"/>
        <w:rPr>
          <w:rFonts w:ascii="Times New Roman" w:hAnsi="Times New Roman"/>
          <w:sz w:val="22"/>
          <w:szCs w:val="22"/>
          <w:lang w:val="sr-Latn-ME" w:eastAsia="hr-HR"/>
        </w:rPr>
      </w:pPr>
      <w:r w:rsidRPr="00EF29FB">
        <w:rPr>
          <w:rFonts w:ascii="Times New Roman" w:hAnsi="Times New Roman"/>
          <w:i/>
          <w:sz w:val="22"/>
          <w:szCs w:val="22"/>
          <w:lang w:val="sr-Latn-ME" w:eastAsia="hr-HR"/>
        </w:rPr>
        <w:t>Ostali podaci</w:t>
      </w:r>
    </w:p>
    <w:p w:rsidR="00EF29FB" w:rsidRPr="00EF29FB" w:rsidRDefault="00EF29FB" w:rsidP="00EF29FB">
      <w:pPr>
        <w:pStyle w:val="Header"/>
        <w:widowControl w:val="0"/>
        <w:tabs>
          <w:tab w:val="left" w:pos="284"/>
        </w:tabs>
        <w:spacing w:line="240" w:lineRule="auto"/>
        <w:jc w:val="both"/>
        <w:rPr>
          <w:rFonts w:ascii="Times New Roman" w:hAnsi="Times New Roman"/>
          <w:sz w:val="22"/>
          <w:szCs w:val="22"/>
          <w:lang w:val="sr-Latn-ME"/>
        </w:rPr>
      </w:pPr>
      <w:r w:rsidRPr="00EF29FB">
        <w:rPr>
          <w:rFonts w:ascii="Times New Roman" w:hAnsi="Times New Roman"/>
          <w:sz w:val="22"/>
          <w:szCs w:val="22"/>
          <w:lang w:val="sr-Latn-ME"/>
        </w:rPr>
        <w:t>U istraživanjima interakcija ljekova sa valsartanom, nijesu zabilježene interakcije od kliničkog značaja sa valsartanom ili bilo kojom od navedenih supstanci: cimetidin, varfarin, furosemid, digoksin, atenolol, indometacin, hidrohlortiazid, amlodipin i glibenklamid.</w:t>
      </w:r>
    </w:p>
    <w:p w:rsidR="00EF29FB" w:rsidRPr="00EF29FB" w:rsidRDefault="00EF29FB" w:rsidP="00EF29FB">
      <w:pPr>
        <w:pStyle w:val="Header"/>
        <w:widowControl w:val="0"/>
        <w:tabs>
          <w:tab w:val="left" w:pos="284"/>
        </w:tabs>
        <w:spacing w:line="240" w:lineRule="auto"/>
        <w:jc w:val="both"/>
        <w:rPr>
          <w:rFonts w:ascii="Times New Roman" w:hAnsi="Times New Roman"/>
          <w:i/>
          <w:sz w:val="22"/>
          <w:szCs w:val="22"/>
          <w:lang w:val="sr-Latn-ME"/>
        </w:rPr>
      </w:pPr>
    </w:p>
    <w:p w:rsidR="00EF29FB" w:rsidRPr="00EF29FB" w:rsidRDefault="00EF29FB" w:rsidP="00EF29FB">
      <w:pPr>
        <w:pStyle w:val="Header"/>
        <w:widowControl w:val="0"/>
        <w:tabs>
          <w:tab w:val="left" w:pos="284"/>
        </w:tabs>
        <w:spacing w:line="240" w:lineRule="auto"/>
        <w:jc w:val="both"/>
        <w:rPr>
          <w:rFonts w:ascii="Times New Roman" w:hAnsi="Times New Roman"/>
          <w:i/>
          <w:sz w:val="22"/>
          <w:szCs w:val="22"/>
          <w:lang w:val="sr-Latn-ME"/>
        </w:rPr>
      </w:pPr>
      <w:r w:rsidRPr="00EF29FB">
        <w:rPr>
          <w:rFonts w:ascii="Times New Roman" w:hAnsi="Times New Roman"/>
          <w:i/>
          <w:sz w:val="22"/>
          <w:szCs w:val="22"/>
          <w:lang w:val="sr-Latn-ME"/>
        </w:rPr>
        <w:t>Pedijatrijska populacija</w:t>
      </w:r>
    </w:p>
    <w:p w:rsidR="00EF29FB" w:rsidRPr="00EF29FB" w:rsidRDefault="00EF29FB" w:rsidP="00EF29FB">
      <w:pPr>
        <w:widowControl w:val="0"/>
        <w:tabs>
          <w:tab w:val="clear" w:pos="567"/>
        </w:tabs>
        <w:spacing w:line="240" w:lineRule="auto"/>
        <w:jc w:val="both"/>
        <w:outlineLvl w:val="0"/>
        <w:rPr>
          <w:szCs w:val="22"/>
          <w:lang w:val="sr-Latn-ME"/>
        </w:rPr>
      </w:pPr>
      <w:r w:rsidRPr="00EF29FB">
        <w:rPr>
          <w:szCs w:val="22"/>
          <w:lang w:val="sr-Latn-ME"/>
        </w:rPr>
        <w:t>Kod hipertenzije kod djece i adolescenata, gde su česte abnormalnosti bubrega, savjetuje se oprez  pri istovremenoj primjeni valsartana sa drugim supstancama koje inhibiraju renin-angiotenzin-aldosteron sistem koji može povećati kalijum u serumu. Treba pažljivo pratiti funkciju bubrega i kalijum u serumu</w:t>
      </w:r>
    </w:p>
    <w:p w:rsidR="00EA43CD" w:rsidRPr="00EF29FB" w:rsidRDefault="00EA43CD" w:rsidP="00EF29FB">
      <w:pPr>
        <w:widowControl w:val="0"/>
        <w:spacing w:line="240" w:lineRule="auto"/>
        <w:jc w:val="both"/>
        <w:outlineLvl w:val="0"/>
        <w:rPr>
          <w:b/>
          <w:szCs w:val="22"/>
          <w:lang w:val="sr-Latn-ME"/>
        </w:rPr>
      </w:pPr>
    </w:p>
    <w:p w:rsidR="00EA43CD" w:rsidRPr="00EF29FB" w:rsidRDefault="002B696B" w:rsidP="00EF29FB">
      <w:pPr>
        <w:widowControl w:val="0"/>
        <w:spacing w:line="240" w:lineRule="auto"/>
        <w:jc w:val="both"/>
        <w:outlineLvl w:val="0"/>
        <w:rPr>
          <w:b/>
          <w:bCs/>
          <w:szCs w:val="22"/>
          <w:lang w:val="sr-Latn-ME"/>
        </w:rPr>
      </w:pPr>
      <w:r w:rsidRPr="00EF29FB">
        <w:rPr>
          <w:b/>
          <w:szCs w:val="22"/>
          <w:lang w:val="sr-Latn-ME"/>
        </w:rPr>
        <w:t>4.6</w:t>
      </w:r>
      <w:r w:rsidRPr="00EF29FB">
        <w:rPr>
          <w:b/>
          <w:szCs w:val="22"/>
          <w:lang w:val="sr-Latn-ME"/>
        </w:rPr>
        <w:tab/>
      </w:r>
      <w:r w:rsidRPr="00EF29FB">
        <w:rPr>
          <w:b/>
          <w:bCs/>
          <w:szCs w:val="22"/>
          <w:lang w:val="sr-Latn-ME"/>
        </w:rPr>
        <w:t>Plodnost, trudnoća i dojenje</w:t>
      </w:r>
    </w:p>
    <w:p w:rsidR="00EA43CD" w:rsidRPr="00EF29FB" w:rsidRDefault="00EA43CD" w:rsidP="00EF29FB">
      <w:pPr>
        <w:widowControl w:val="0"/>
        <w:spacing w:line="240" w:lineRule="auto"/>
        <w:ind w:hanging="567"/>
        <w:jc w:val="both"/>
        <w:outlineLvl w:val="0"/>
        <w:rPr>
          <w:b/>
          <w:bCs/>
          <w:szCs w:val="22"/>
          <w:lang w:val="sr-Latn-ME"/>
        </w:rPr>
      </w:pPr>
    </w:p>
    <w:p w:rsidR="00EA43CD" w:rsidRPr="00EF29FB" w:rsidRDefault="002B696B" w:rsidP="00EF29FB">
      <w:pPr>
        <w:widowControl w:val="0"/>
        <w:shd w:val="clear" w:color="auto" w:fill="FFFFFF"/>
        <w:spacing w:line="240" w:lineRule="auto"/>
        <w:rPr>
          <w:b/>
          <w:color w:val="000000"/>
          <w:szCs w:val="22"/>
          <w:lang w:val="sr-Latn-ME"/>
        </w:rPr>
      </w:pPr>
      <w:r w:rsidRPr="00EF29FB">
        <w:rPr>
          <w:b/>
          <w:color w:val="000000"/>
          <w:szCs w:val="22"/>
          <w:lang w:val="sr-Latn-ME"/>
        </w:rPr>
        <w:t>Trudnoća</w:t>
      </w:r>
    </w:p>
    <w:p w:rsidR="00EA43CD" w:rsidRPr="00EF29FB" w:rsidRDefault="002B696B" w:rsidP="00EF29FB">
      <w:pPr>
        <w:widowControl w:val="0"/>
        <w:pBdr>
          <w:top w:val="single" w:sz="4" w:space="1" w:color="auto"/>
          <w:left w:val="single" w:sz="4" w:space="0" w:color="auto"/>
          <w:bottom w:val="single" w:sz="4" w:space="1" w:color="auto"/>
          <w:right w:val="single" w:sz="4" w:space="4" w:color="auto"/>
        </w:pBdr>
        <w:shd w:val="clear" w:color="auto" w:fill="FFFFFF"/>
        <w:spacing w:line="240" w:lineRule="auto"/>
        <w:jc w:val="both"/>
        <w:rPr>
          <w:color w:val="000000"/>
          <w:szCs w:val="22"/>
          <w:lang w:val="sr-Latn-ME"/>
        </w:rPr>
      </w:pPr>
      <w:r w:rsidRPr="00EF29FB">
        <w:rPr>
          <w:color w:val="000000"/>
          <w:szCs w:val="22"/>
          <w:lang w:val="sr-Latn-ME"/>
        </w:rPr>
        <w:t>Primjena antagonista angiotenzin II receptora (AIIRA-engl.</w:t>
      </w:r>
      <w:r w:rsidRPr="00EF29FB">
        <w:rPr>
          <w:i/>
          <w:color w:val="000000"/>
          <w:szCs w:val="22"/>
          <w:lang w:val="sr-Latn-ME"/>
        </w:rPr>
        <w:t>angiotensin II receptor antagonists</w:t>
      </w:r>
      <w:r w:rsidRPr="00EF29FB">
        <w:rPr>
          <w:color w:val="000000"/>
          <w:szCs w:val="22"/>
          <w:lang w:val="sr-Latn-ME"/>
        </w:rPr>
        <w:t>) se ne preporučuje tokom prvog tromjesečja trudnoće (vidjeti dio 4.4). Primjena AIIRA je kontraindikovana tokom drugog i trećeg tromjesečja trudnoće (vidjeti djelove 4.3 i 4.4).</w:t>
      </w:r>
    </w:p>
    <w:p w:rsidR="00EA43CD" w:rsidRPr="00EF29FB" w:rsidRDefault="00EA43CD" w:rsidP="00EF29FB">
      <w:pPr>
        <w:widowControl w:val="0"/>
        <w:shd w:val="clear" w:color="auto" w:fill="FFFFFF"/>
        <w:spacing w:line="240" w:lineRule="auto"/>
        <w:jc w:val="both"/>
        <w:rPr>
          <w:szCs w:val="22"/>
          <w:lang w:val="sr-Latn-ME"/>
        </w:rPr>
      </w:pPr>
    </w:p>
    <w:p w:rsidR="00EA43CD" w:rsidRPr="00EF29FB" w:rsidRDefault="002B696B" w:rsidP="00EF29FB">
      <w:pPr>
        <w:widowControl w:val="0"/>
        <w:shd w:val="clear" w:color="auto" w:fill="FFFFFF"/>
        <w:spacing w:line="240" w:lineRule="auto"/>
        <w:jc w:val="both"/>
        <w:rPr>
          <w:szCs w:val="22"/>
          <w:lang w:val="sr-Latn-ME"/>
        </w:rPr>
      </w:pPr>
      <w:r w:rsidRPr="00EF29FB">
        <w:rPr>
          <w:szCs w:val="22"/>
          <w:lang w:val="sr-Latn-ME"/>
        </w:rPr>
        <w:t>Epidemiološki dokaz rizika teratogenosti nakon izlaganja ACE-inhibitorima tokom prvog tromjesečja nije doveo do zaključka; međutim mali porast rizika se ne može isključiti. S obzirom da nema podataka iz kontrolisanih epidemioloških ispitivanja o riziku kod primjene AIIRAs, sličan rizik može postojati i za ovu grupu ljekova. Ukoliko nastavak terapije AIIRA-om nije neophodan, pacijentkinje koje planiraju trudnoću treba prebaciti na alternativnu antihipertenzivnu terapiju koja ima utvrđen bezbjednosni profil za primjenu u trudnoći. Kada se trudnoća utvrdi, liječenje AIIRA-om treba odmah prekinuti, a ako je moguće, započeti alternativnu terapiju. Poznato je da izloženost terapiji AIIRA-ima tokom drugog i trećeg tromjesečja trudnoće kod ljudi izaziva fetotoksičnost (smanjenu funkciju bubrega, oligohidramnione, retardaciju okoštavanja lobanje) i neonatalnu toksičnost (renalnu insuficijenciju, hipotenziju, hiperkalijemiju) (vidjeti dio 5.3). Ako je došlo do izloženosti AIIRA-ima od drugog tromjesečja trudnoće nadalje, savjetuje se ultrazvučni pregled funkcije bubrega i lobanje. Djecu majki koje su uzimale AIIRA-e treba pažljivo pratiti zbog mogućnosti pojave hipotenzije (vidjeti takođe djelove 4.3 i 4.4).</w:t>
      </w:r>
    </w:p>
    <w:p w:rsidR="00EA43CD" w:rsidRPr="00EF29FB" w:rsidRDefault="00EA43CD" w:rsidP="00EF29FB">
      <w:pPr>
        <w:widowControl w:val="0"/>
        <w:shd w:val="clear" w:color="auto" w:fill="FFFFFF"/>
        <w:spacing w:line="240" w:lineRule="auto"/>
        <w:jc w:val="both"/>
        <w:rPr>
          <w:bCs/>
          <w:color w:val="000000"/>
          <w:szCs w:val="22"/>
          <w:u w:val="single"/>
          <w:lang w:val="sr-Latn-ME"/>
        </w:rPr>
      </w:pPr>
    </w:p>
    <w:p w:rsidR="00EA43CD" w:rsidRPr="00EF29FB" w:rsidRDefault="002B696B" w:rsidP="00EF29FB">
      <w:pPr>
        <w:widowControl w:val="0"/>
        <w:shd w:val="clear" w:color="auto" w:fill="FFFFFF"/>
        <w:spacing w:line="240" w:lineRule="auto"/>
        <w:jc w:val="both"/>
        <w:rPr>
          <w:bCs/>
          <w:color w:val="000000"/>
          <w:szCs w:val="22"/>
          <w:u w:val="single"/>
          <w:lang w:val="sr-Latn-ME"/>
        </w:rPr>
      </w:pPr>
      <w:r w:rsidRPr="00EF29FB">
        <w:rPr>
          <w:bCs/>
          <w:color w:val="000000"/>
          <w:szCs w:val="22"/>
          <w:u w:val="single"/>
          <w:lang w:val="sr-Latn-ME"/>
        </w:rPr>
        <w:t>Dojenje</w:t>
      </w:r>
    </w:p>
    <w:p w:rsidR="00EA43CD" w:rsidRPr="00EF29FB" w:rsidRDefault="002B696B" w:rsidP="00EF29FB">
      <w:pPr>
        <w:widowControl w:val="0"/>
        <w:shd w:val="clear" w:color="auto" w:fill="FFFFFF"/>
        <w:spacing w:line="240" w:lineRule="auto"/>
        <w:jc w:val="both"/>
        <w:rPr>
          <w:color w:val="000000"/>
          <w:szCs w:val="22"/>
          <w:lang w:val="sr-Latn-ME"/>
        </w:rPr>
      </w:pPr>
      <w:r w:rsidRPr="00EF29FB">
        <w:rPr>
          <w:color w:val="000000"/>
          <w:szCs w:val="22"/>
          <w:lang w:val="sr-Latn-ME"/>
        </w:rPr>
        <w:t>Zbog toga što nijesu dostupne informacije o primjeni valsartana tokom dojenja, primjena valsartana tokom dojenja se ne preporučuje,  a savjetuje se primjena aternativne terapije sa bolje utvrđenim bezbjednosnim profilom, naročito tokom dojenja novorođenčadi ili prijevremeno rođene djece.</w:t>
      </w:r>
    </w:p>
    <w:p w:rsidR="00EA43CD" w:rsidRPr="00EF29FB" w:rsidRDefault="00EA43CD" w:rsidP="00EF29FB">
      <w:pPr>
        <w:widowControl w:val="0"/>
        <w:shd w:val="clear" w:color="auto" w:fill="FFFFFF"/>
        <w:spacing w:line="240" w:lineRule="auto"/>
        <w:jc w:val="both"/>
        <w:rPr>
          <w:color w:val="000000"/>
          <w:szCs w:val="22"/>
          <w:u w:val="single"/>
          <w:lang w:val="sr-Latn-ME"/>
        </w:rPr>
      </w:pPr>
    </w:p>
    <w:p w:rsidR="00EA43CD" w:rsidRPr="00EF29FB" w:rsidRDefault="002B696B" w:rsidP="00EF29FB">
      <w:pPr>
        <w:widowControl w:val="0"/>
        <w:shd w:val="clear" w:color="auto" w:fill="FFFFFF"/>
        <w:spacing w:line="240" w:lineRule="auto"/>
        <w:jc w:val="both"/>
        <w:rPr>
          <w:color w:val="000000"/>
          <w:szCs w:val="22"/>
          <w:u w:val="single"/>
          <w:lang w:val="sr-Latn-ME"/>
        </w:rPr>
      </w:pPr>
      <w:r w:rsidRPr="00EF29FB">
        <w:rPr>
          <w:color w:val="000000"/>
          <w:szCs w:val="22"/>
          <w:u w:val="single"/>
          <w:lang w:val="sr-Latn-ME"/>
        </w:rPr>
        <w:t>Plodnost</w:t>
      </w:r>
    </w:p>
    <w:p w:rsidR="00EA43CD" w:rsidRPr="00EF29FB" w:rsidRDefault="002B696B" w:rsidP="00EF29FB">
      <w:pPr>
        <w:widowControl w:val="0"/>
        <w:shd w:val="clear" w:color="auto" w:fill="FFFFFF"/>
        <w:spacing w:line="240" w:lineRule="auto"/>
        <w:jc w:val="both"/>
        <w:rPr>
          <w:color w:val="000000"/>
          <w:szCs w:val="22"/>
          <w:lang w:val="sr-Latn-ME"/>
        </w:rPr>
      </w:pPr>
      <w:r w:rsidRPr="00EF29FB">
        <w:rPr>
          <w:color w:val="000000"/>
          <w:szCs w:val="22"/>
          <w:lang w:val="sr-Latn-ME"/>
        </w:rPr>
        <w:t>Valsartan nije imao neželjenih efekata na reprodukciju mužjaka ili ženki pacova pri oralnim dozama do 200 mg/kg/dnevno. Ova doza je 6 puta veća od maksimalne preporučene humane doze u mg/m</w:t>
      </w:r>
      <w:r w:rsidRPr="00EF29FB">
        <w:rPr>
          <w:color w:val="000000"/>
          <w:szCs w:val="22"/>
          <w:vertAlign w:val="superscript"/>
          <w:lang w:val="sr-Latn-ME"/>
        </w:rPr>
        <w:t>2</w:t>
      </w:r>
      <w:r w:rsidRPr="00EF29FB">
        <w:rPr>
          <w:color w:val="000000"/>
          <w:szCs w:val="22"/>
          <w:lang w:val="sr-Latn-ME"/>
        </w:rPr>
        <w:t xml:space="preserve"> (proračun pretpostavlja dozu od 320 mg/dnevno i pacijenta od 60 kg).</w:t>
      </w:r>
    </w:p>
    <w:p w:rsidR="00EA43CD" w:rsidRPr="00EF29FB" w:rsidRDefault="00EA43CD" w:rsidP="00EF29FB">
      <w:pPr>
        <w:widowControl w:val="0"/>
        <w:spacing w:line="240" w:lineRule="auto"/>
        <w:jc w:val="both"/>
        <w:rPr>
          <w:szCs w:val="22"/>
          <w:u w:val="single"/>
          <w:lang w:val="sr-Latn-ME"/>
        </w:rPr>
      </w:pPr>
    </w:p>
    <w:p w:rsidR="00EA43CD" w:rsidRPr="00EF29FB" w:rsidRDefault="002B696B" w:rsidP="00EF29FB">
      <w:pPr>
        <w:widowControl w:val="0"/>
        <w:spacing w:line="240" w:lineRule="auto"/>
        <w:jc w:val="both"/>
        <w:outlineLvl w:val="0"/>
        <w:rPr>
          <w:szCs w:val="22"/>
          <w:lang w:val="sr-Latn-ME"/>
        </w:rPr>
      </w:pPr>
      <w:r w:rsidRPr="00EF29FB">
        <w:rPr>
          <w:b/>
          <w:szCs w:val="22"/>
          <w:lang w:val="sr-Latn-ME"/>
        </w:rPr>
        <w:t>4.7</w:t>
      </w:r>
      <w:r w:rsidRPr="00EF29FB">
        <w:rPr>
          <w:b/>
          <w:szCs w:val="22"/>
          <w:lang w:val="sr-Latn-ME"/>
        </w:rPr>
        <w:tab/>
      </w:r>
      <w:r w:rsidRPr="00EF29FB">
        <w:rPr>
          <w:b/>
          <w:bCs/>
          <w:szCs w:val="22"/>
          <w:lang w:val="sr-Latn-ME"/>
        </w:rPr>
        <w:t xml:space="preserve">Uticaj na sposobnost upravljanja vozilima i rukovanje mašinama </w:t>
      </w:r>
    </w:p>
    <w:p w:rsidR="00EA43CD" w:rsidRPr="00EF29FB" w:rsidRDefault="00EA43CD" w:rsidP="00EF29FB">
      <w:pPr>
        <w:widowControl w:val="0"/>
        <w:spacing w:line="240" w:lineRule="auto"/>
        <w:jc w:val="both"/>
        <w:rPr>
          <w:szCs w:val="22"/>
          <w:lang w:val="sr-Latn-ME"/>
        </w:rPr>
      </w:pPr>
    </w:p>
    <w:p w:rsidR="00EA43CD" w:rsidRPr="00EF29FB" w:rsidRDefault="002B696B" w:rsidP="00EF29FB">
      <w:pPr>
        <w:widowControl w:val="0"/>
        <w:shd w:val="clear" w:color="auto" w:fill="FFFFFF"/>
        <w:spacing w:line="240" w:lineRule="auto"/>
        <w:jc w:val="both"/>
        <w:rPr>
          <w:color w:val="000000"/>
          <w:szCs w:val="22"/>
          <w:lang w:val="sr-Latn-ME"/>
        </w:rPr>
      </w:pPr>
      <w:r w:rsidRPr="00EF29FB">
        <w:rPr>
          <w:szCs w:val="22"/>
          <w:lang w:val="sr-Latn-ME"/>
        </w:rPr>
        <w:t>Nijesu sprovedena ispitivanja uticaja na sposobnost upravljanja motornim vozilima. Pri upravljanju vozilima ili rukovanju mašinama treba imati na umu da se mogu javiti vrtoglavica ili umor.</w:t>
      </w:r>
    </w:p>
    <w:p w:rsidR="00EA43CD" w:rsidRPr="00EF29FB" w:rsidRDefault="00EA43CD" w:rsidP="00EF29FB">
      <w:pPr>
        <w:widowControl w:val="0"/>
        <w:spacing w:line="240" w:lineRule="auto"/>
        <w:jc w:val="both"/>
        <w:rPr>
          <w:szCs w:val="22"/>
          <w:lang w:val="sr-Latn-ME"/>
        </w:rPr>
      </w:pPr>
    </w:p>
    <w:p w:rsidR="00EA43CD" w:rsidRPr="00EF29FB" w:rsidRDefault="002B696B" w:rsidP="00EF29FB">
      <w:pPr>
        <w:widowControl w:val="0"/>
        <w:numPr>
          <w:ilvl w:val="1"/>
          <w:numId w:val="11"/>
        </w:numPr>
        <w:spacing w:line="240" w:lineRule="auto"/>
        <w:ind w:left="0" w:firstLine="0"/>
        <w:jc w:val="both"/>
        <w:outlineLvl w:val="0"/>
        <w:rPr>
          <w:b/>
          <w:szCs w:val="22"/>
          <w:lang w:val="sr-Latn-ME"/>
        </w:rPr>
      </w:pPr>
      <w:r w:rsidRPr="00EF29FB">
        <w:rPr>
          <w:b/>
          <w:szCs w:val="22"/>
          <w:lang w:val="sr-Latn-ME"/>
        </w:rPr>
        <w:t>Neželjena dejstva</w:t>
      </w:r>
    </w:p>
    <w:p w:rsidR="00EA43CD" w:rsidRPr="00EF29FB" w:rsidRDefault="00EA43CD" w:rsidP="00EF29FB">
      <w:pPr>
        <w:pStyle w:val="Default"/>
        <w:widowControl w:val="0"/>
        <w:jc w:val="both"/>
        <w:rPr>
          <w:sz w:val="22"/>
          <w:szCs w:val="22"/>
          <w:lang w:val="sr-Latn-ME"/>
        </w:rPr>
      </w:pPr>
    </w:p>
    <w:p w:rsidR="00EA43CD" w:rsidRPr="00EF29FB" w:rsidRDefault="002B696B" w:rsidP="00EF29FB">
      <w:pPr>
        <w:widowControl w:val="0"/>
        <w:shd w:val="clear" w:color="auto" w:fill="FFFFFF"/>
        <w:spacing w:line="240" w:lineRule="auto"/>
        <w:jc w:val="both"/>
        <w:rPr>
          <w:bCs/>
          <w:color w:val="000000"/>
          <w:szCs w:val="22"/>
          <w:lang w:val="sr-Latn-ME"/>
        </w:rPr>
      </w:pPr>
      <w:r w:rsidRPr="00EF29FB">
        <w:rPr>
          <w:bCs/>
          <w:color w:val="000000"/>
          <w:szCs w:val="22"/>
          <w:lang w:val="sr-Latn-ME"/>
        </w:rPr>
        <w:t>U kontrolisanim kliničkim studijama na odraslim pacijentima sa hipertenzijom, ukupna incidenca neželjenih dejstava je bila uporediva sa placebom i usaglašena sa farmakološkim osobinama valsartana. Izgleda da incidenca neželjenih dejstava nije bila povezana sa dozom ili trajanjem terapije i takođe nije povezana sa polom, uzrastom ili rasom.</w:t>
      </w:r>
    </w:p>
    <w:p w:rsidR="00EA43CD" w:rsidRPr="00EF29FB" w:rsidRDefault="002B696B" w:rsidP="00EF29FB">
      <w:pPr>
        <w:widowControl w:val="0"/>
        <w:shd w:val="clear" w:color="auto" w:fill="FFFFFF"/>
        <w:spacing w:line="240" w:lineRule="auto"/>
        <w:jc w:val="both"/>
        <w:rPr>
          <w:bCs/>
          <w:color w:val="000000"/>
          <w:szCs w:val="22"/>
          <w:lang w:val="sr-Latn-ME"/>
        </w:rPr>
      </w:pPr>
      <w:r w:rsidRPr="00EF29FB">
        <w:rPr>
          <w:bCs/>
          <w:color w:val="000000"/>
          <w:szCs w:val="22"/>
          <w:lang w:val="sr-Latn-ME"/>
        </w:rPr>
        <w:t>Neželjena dejstva zabilježena u kliničkim studijama, post-marketinškom iskustvu i laboratorijskim ispitivanjima navedena su niže prema klasama sistema organa.</w:t>
      </w:r>
    </w:p>
    <w:p w:rsidR="00EA43CD" w:rsidRPr="00EF29FB" w:rsidRDefault="002B696B" w:rsidP="00EF29FB">
      <w:pPr>
        <w:widowControl w:val="0"/>
        <w:shd w:val="clear" w:color="auto" w:fill="FFFFFF"/>
        <w:spacing w:line="240" w:lineRule="auto"/>
        <w:jc w:val="both"/>
        <w:rPr>
          <w:color w:val="000000"/>
          <w:szCs w:val="22"/>
          <w:lang w:val="sr-Latn-ME"/>
        </w:rPr>
      </w:pPr>
      <w:r w:rsidRPr="00EF29FB">
        <w:rPr>
          <w:bCs/>
          <w:color w:val="000000"/>
          <w:szCs w:val="22"/>
          <w:lang w:val="sr-Latn-ME"/>
        </w:rPr>
        <w:t xml:space="preserve">Neželjena dejstva su rangirane prema učestalosti, prvo od najčešćih, prema sljedećoj konvenciji: </w:t>
      </w:r>
      <w:r w:rsidRPr="00EF29FB">
        <w:rPr>
          <w:color w:val="000000"/>
          <w:szCs w:val="22"/>
          <w:lang w:val="sr-Latn-ME"/>
        </w:rPr>
        <w:t>veoma često (≥l/10); često (≥l/100 do &lt;1/10); povremeno (≥l/1000 do &lt;1/100); rijetko (≥l/10000 do &lt;1/1000); veoma rijetko (&lt;1/10000),</w:t>
      </w:r>
      <w:r w:rsidRPr="00EF29FB">
        <w:rPr>
          <w:lang w:val="sr-Latn-ME"/>
        </w:rPr>
        <w:t xml:space="preserve"> </w:t>
      </w:r>
      <w:r w:rsidRPr="00EF29FB">
        <w:rPr>
          <w:color w:val="000000"/>
          <w:szCs w:val="22"/>
          <w:lang w:val="sr-Latn-ME"/>
        </w:rPr>
        <w:t>nepoznato (učestalost se ne može procijeniti iz dostupnih podataka). Unutar svake grupe učestalosti, neželjena dejstva su prikazana prema opadajućoj ozbiljnosti.</w:t>
      </w:r>
    </w:p>
    <w:p w:rsidR="00EA43CD" w:rsidRPr="00EF29FB" w:rsidRDefault="002B696B" w:rsidP="00EF29FB">
      <w:pPr>
        <w:widowControl w:val="0"/>
        <w:shd w:val="clear" w:color="auto" w:fill="FFFFFF"/>
        <w:spacing w:line="240" w:lineRule="auto"/>
        <w:jc w:val="both"/>
        <w:rPr>
          <w:color w:val="000000"/>
          <w:szCs w:val="22"/>
          <w:lang w:val="sr-Latn-ME"/>
        </w:rPr>
      </w:pPr>
      <w:r w:rsidRPr="00EF29FB">
        <w:rPr>
          <w:color w:val="000000"/>
          <w:szCs w:val="22"/>
          <w:lang w:val="sr-Latn-ME"/>
        </w:rPr>
        <w:t>Za sva neželjena dejstva prijavljena u post-marketinškom iskustvu i laboratorijskim ispitivanjima, nije moguće primijeniti nijednu kategoriju učestalosti neželjenog dejstva tako da su one navedene sa „nepoznatom“ učestalošću.</w:t>
      </w:r>
    </w:p>
    <w:p w:rsidR="004F6432" w:rsidRPr="00EF29FB" w:rsidRDefault="004F6432" w:rsidP="00EF29FB">
      <w:pPr>
        <w:widowControl w:val="0"/>
        <w:shd w:val="clear" w:color="auto" w:fill="FFFFFF"/>
        <w:spacing w:line="240" w:lineRule="auto"/>
        <w:jc w:val="both"/>
        <w:rPr>
          <w:color w:val="000000"/>
          <w:szCs w:val="22"/>
          <w:lang w:val="sr-Latn-ME"/>
        </w:rPr>
      </w:pPr>
    </w:p>
    <w:p w:rsidR="00EA43CD" w:rsidRPr="00EF29FB" w:rsidRDefault="002B696B" w:rsidP="00EF29FB">
      <w:pPr>
        <w:widowControl w:val="0"/>
        <w:shd w:val="clear" w:color="auto" w:fill="FFFFFF"/>
        <w:spacing w:line="240" w:lineRule="auto"/>
        <w:rPr>
          <w:bCs/>
          <w:color w:val="000000"/>
          <w:szCs w:val="22"/>
          <w:u w:val="single"/>
          <w:lang w:val="sr-Latn-ME"/>
        </w:rPr>
      </w:pPr>
      <w:r w:rsidRPr="00EF29FB">
        <w:rPr>
          <w:bCs/>
          <w:color w:val="000000"/>
          <w:szCs w:val="22"/>
          <w:u w:val="single"/>
          <w:lang w:val="sr-Latn-ME"/>
        </w:rPr>
        <w:t xml:space="preserve">Hipertenzija </w:t>
      </w:r>
    </w:p>
    <w:p w:rsidR="004F6432" w:rsidRPr="00EF29FB" w:rsidRDefault="004F6432" w:rsidP="00EF29FB">
      <w:pPr>
        <w:widowControl w:val="0"/>
        <w:shd w:val="clear" w:color="auto" w:fill="FFFFFF"/>
        <w:spacing w:line="240" w:lineRule="auto"/>
        <w:rPr>
          <w:bCs/>
          <w:color w:val="000000"/>
          <w:szCs w:val="22"/>
          <w:u w:val="single"/>
          <w:lang w:val="sr-Latn-M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1"/>
        <w:gridCol w:w="4540"/>
      </w:tblGrid>
      <w:tr w:rsidR="00EA43CD" w:rsidRPr="00EF29FB">
        <w:tc>
          <w:tcPr>
            <w:tcW w:w="9289" w:type="dxa"/>
            <w:gridSpan w:val="2"/>
            <w:tcBorders>
              <w:top w:val="single" w:sz="4" w:space="0" w:color="auto"/>
              <w:left w:val="single" w:sz="4" w:space="0" w:color="auto"/>
              <w:bottom w:val="single" w:sz="4" w:space="0" w:color="auto"/>
              <w:right w:val="single" w:sz="4" w:space="0" w:color="auto"/>
            </w:tcBorders>
            <w:hideMark/>
          </w:tcPr>
          <w:p w:rsidR="00EA43CD" w:rsidRPr="00EF29FB" w:rsidRDefault="002B696B" w:rsidP="00EF29FB">
            <w:pPr>
              <w:widowControl w:val="0"/>
              <w:spacing w:line="240" w:lineRule="auto"/>
              <w:rPr>
                <w:rFonts w:eastAsia="Calibri"/>
                <w:b/>
                <w:szCs w:val="22"/>
                <w:lang w:val="sr-Latn-ME"/>
              </w:rPr>
            </w:pPr>
            <w:r w:rsidRPr="00EF29FB">
              <w:rPr>
                <w:rFonts w:eastAsia="Calibri"/>
                <w:b/>
                <w:szCs w:val="22"/>
                <w:lang w:val="sr-Latn-ME"/>
              </w:rPr>
              <w:t>Poremećaj krvi i limfnog sistema</w:t>
            </w:r>
          </w:p>
        </w:tc>
      </w:tr>
      <w:tr w:rsidR="00EA43CD" w:rsidRPr="00EF29FB">
        <w:tc>
          <w:tcPr>
            <w:tcW w:w="4644" w:type="dxa"/>
            <w:tcBorders>
              <w:top w:val="single" w:sz="4" w:space="0" w:color="auto"/>
              <w:left w:val="single" w:sz="4" w:space="0" w:color="auto"/>
              <w:bottom w:val="single" w:sz="4" w:space="0" w:color="auto"/>
              <w:right w:val="single" w:sz="4" w:space="0" w:color="auto"/>
            </w:tcBorders>
            <w:hideMark/>
          </w:tcPr>
          <w:p w:rsidR="00EA43CD" w:rsidRPr="00EF29FB" w:rsidRDefault="002B696B" w:rsidP="00EF29FB">
            <w:pPr>
              <w:widowControl w:val="0"/>
              <w:spacing w:line="240" w:lineRule="auto"/>
              <w:rPr>
                <w:rFonts w:eastAsia="Calibri"/>
                <w:szCs w:val="22"/>
                <w:lang w:val="sr-Latn-ME"/>
              </w:rPr>
            </w:pPr>
            <w:r w:rsidRPr="00EF29FB">
              <w:rPr>
                <w:rFonts w:eastAsia="Calibri"/>
                <w:szCs w:val="22"/>
                <w:lang w:val="sr-Latn-ME"/>
              </w:rPr>
              <w:t xml:space="preserve">Nepoznato </w:t>
            </w:r>
          </w:p>
        </w:tc>
        <w:tc>
          <w:tcPr>
            <w:tcW w:w="4645" w:type="dxa"/>
            <w:tcBorders>
              <w:top w:val="single" w:sz="4" w:space="0" w:color="auto"/>
              <w:left w:val="single" w:sz="4" w:space="0" w:color="auto"/>
              <w:bottom w:val="single" w:sz="4" w:space="0" w:color="auto"/>
              <w:right w:val="single" w:sz="4" w:space="0" w:color="auto"/>
            </w:tcBorders>
            <w:hideMark/>
          </w:tcPr>
          <w:p w:rsidR="00EA43CD" w:rsidRPr="00EF29FB" w:rsidRDefault="002B696B" w:rsidP="00EF29FB">
            <w:pPr>
              <w:widowControl w:val="0"/>
              <w:spacing w:line="240" w:lineRule="auto"/>
              <w:rPr>
                <w:rFonts w:eastAsia="Calibri"/>
                <w:szCs w:val="22"/>
                <w:lang w:val="sr-Latn-ME"/>
              </w:rPr>
            </w:pPr>
            <w:r w:rsidRPr="00EF29FB">
              <w:rPr>
                <w:rFonts w:eastAsia="Calibri"/>
                <w:szCs w:val="22"/>
                <w:lang w:val="sr-Latn-ME"/>
              </w:rPr>
              <w:t>Sniženje hemoglobina, sniženje hematokrita, neutropenija, trombocitopenija</w:t>
            </w:r>
          </w:p>
        </w:tc>
      </w:tr>
      <w:tr w:rsidR="00EA43CD" w:rsidRPr="00EF29FB">
        <w:tc>
          <w:tcPr>
            <w:tcW w:w="9289" w:type="dxa"/>
            <w:gridSpan w:val="2"/>
            <w:tcBorders>
              <w:top w:val="single" w:sz="4" w:space="0" w:color="auto"/>
              <w:left w:val="single" w:sz="4" w:space="0" w:color="auto"/>
              <w:bottom w:val="single" w:sz="4" w:space="0" w:color="auto"/>
              <w:right w:val="single" w:sz="4" w:space="0" w:color="auto"/>
            </w:tcBorders>
            <w:hideMark/>
          </w:tcPr>
          <w:p w:rsidR="00EA43CD" w:rsidRPr="00EF29FB" w:rsidRDefault="002B696B" w:rsidP="00EF29FB">
            <w:pPr>
              <w:widowControl w:val="0"/>
              <w:spacing w:line="240" w:lineRule="auto"/>
              <w:rPr>
                <w:rFonts w:eastAsia="Calibri"/>
                <w:b/>
                <w:szCs w:val="22"/>
                <w:lang w:val="sr-Latn-ME"/>
              </w:rPr>
            </w:pPr>
            <w:r w:rsidRPr="00EF29FB">
              <w:rPr>
                <w:rFonts w:eastAsia="Calibri"/>
                <w:b/>
                <w:szCs w:val="22"/>
                <w:lang w:val="sr-Latn-ME"/>
              </w:rPr>
              <w:t>Poremećaji imunog sistema</w:t>
            </w:r>
          </w:p>
        </w:tc>
      </w:tr>
      <w:tr w:rsidR="00EA43CD" w:rsidRPr="00EF29FB">
        <w:tc>
          <w:tcPr>
            <w:tcW w:w="4644" w:type="dxa"/>
            <w:tcBorders>
              <w:top w:val="single" w:sz="4" w:space="0" w:color="auto"/>
              <w:left w:val="single" w:sz="4" w:space="0" w:color="auto"/>
              <w:bottom w:val="single" w:sz="4" w:space="0" w:color="auto"/>
              <w:right w:val="single" w:sz="4" w:space="0" w:color="auto"/>
            </w:tcBorders>
            <w:hideMark/>
          </w:tcPr>
          <w:p w:rsidR="00EA43CD" w:rsidRPr="00EF29FB" w:rsidRDefault="002B696B" w:rsidP="00EF29FB">
            <w:pPr>
              <w:widowControl w:val="0"/>
              <w:spacing w:line="240" w:lineRule="auto"/>
              <w:rPr>
                <w:rFonts w:eastAsia="Calibri"/>
                <w:szCs w:val="22"/>
                <w:lang w:val="sr-Latn-ME"/>
              </w:rPr>
            </w:pPr>
            <w:r w:rsidRPr="00EF29FB">
              <w:rPr>
                <w:rFonts w:eastAsia="Calibri"/>
                <w:szCs w:val="22"/>
                <w:lang w:val="sr-Latn-ME"/>
              </w:rPr>
              <w:t xml:space="preserve">Nepoznato </w:t>
            </w:r>
          </w:p>
        </w:tc>
        <w:tc>
          <w:tcPr>
            <w:tcW w:w="4645" w:type="dxa"/>
            <w:tcBorders>
              <w:top w:val="single" w:sz="4" w:space="0" w:color="auto"/>
              <w:left w:val="single" w:sz="4" w:space="0" w:color="auto"/>
              <w:bottom w:val="single" w:sz="4" w:space="0" w:color="auto"/>
              <w:right w:val="single" w:sz="4" w:space="0" w:color="auto"/>
            </w:tcBorders>
            <w:hideMark/>
          </w:tcPr>
          <w:p w:rsidR="00EA43CD" w:rsidRPr="00EF29FB" w:rsidRDefault="002B696B" w:rsidP="00EF29FB">
            <w:pPr>
              <w:widowControl w:val="0"/>
              <w:spacing w:line="240" w:lineRule="auto"/>
              <w:rPr>
                <w:rFonts w:eastAsia="Calibri"/>
                <w:szCs w:val="22"/>
                <w:lang w:val="sr-Latn-ME"/>
              </w:rPr>
            </w:pPr>
            <w:r w:rsidRPr="00EF29FB">
              <w:rPr>
                <w:rFonts w:eastAsia="Calibri"/>
                <w:szCs w:val="22"/>
                <w:lang w:val="sr-Latn-ME"/>
              </w:rPr>
              <w:t>Preosjetljivost uključujući serumsku bolest</w:t>
            </w:r>
          </w:p>
        </w:tc>
      </w:tr>
      <w:tr w:rsidR="00EA43CD" w:rsidRPr="00EF29FB">
        <w:tc>
          <w:tcPr>
            <w:tcW w:w="9289" w:type="dxa"/>
            <w:gridSpan w:val="2"/>
            <w:tcBorders>
              <w:top w:val="single" w:sz="4" w:space="0" w:color="auto"/>
              <w:left w:val="single" w:sz="4" w:space="0" w:color="auto"/>
              <w:bottom w:val="single" w:sz="4" w:space="0" w:color="auto"/>
              <w:right w:val="single" w:sz="4" w:space="0" w:color="auto"/>
            </w:tcBorders>
            <w:hideMark/>
          </w:tcPr>
          <w:p w:rsidR="00EA43CD" w:rsidRPr="00EF29FB" w:rsidRDefault="002B696B" w:rsidP="00EF29FB">
            <w:pPr>
              <w:widowControl w:val="0"/>
              <w:spacing w:line="240" w:lineRule="auto"/>
              <w:rPr>
                <w:rFonts w:eastAsia="Calibri"/>
                <w:b/>
                <w:szCs w:val="22"/>
                <w:lang w:val="sr-Latn-ME"/>
              </w:rPr>
            </w:pPr>
            <w:r w:rsidRPr="00EF29FB">
              <w:rPr>
                <w:rFonts w:eastAsia="Calibri"/>
                <w:b/>
                <w:szCs w:val="22"/>
                <w:lang w:val="sr-Latn-ME"/>
              </w:rPr>
              <w:t>Poremećaji metabolizma i ishrane</w:t>
            </w:r>
          </w:p>
        </w:tc>
      </w:tr>
      <w:tr w:rsidR="00EA43CD" w:rsidRPr="00EF29FB">
        <w:tc>
          <w:tcPr>
            <w:tcW w:w="4644" w:type="dxa"/>
            <w:tcBorders>
              <w:top w:val="single" w:sz="4" w:space="0" w:color="auto"/>
              <w:left w:val="single" w:sz="4" w:space="0" w:color="auto"/>
              <w:bottom w:val="single" w:sz="4" w:space="0" w:color="auto"/>
              <w:right w:val="single" w:sz="4" w:space="0" w:color="auto"/>
            </w:tcBorders>
            <w:hideMark/>
          </w:tcPr>
          <w:p w:rsidR="00EA43CD" w:rsidRPr="00EF29FB" w:rsidRDefault="002B696B" w:rsidP="00EF29FB">
            <w:pPr>
              <w:widowControl w:val="0"/>
              <w:spacing w:line="240" w:lineRule="auto"/>
              <w:rPr>
                <w:rFonts w:eastAsia="Calibri"/>
                <w:szCs w:val="22"/>
                <w:lang w:val="sr-Latn-ME"/>
              </w:rPr>
            </w:pPr>
            <w:r w:rsidRPr="00EF29FB">
              <w:rPr>
                <w:rFonts w:eastAsia="Calibri"/>
                <w:szCs w:val="22"/>
                <w:lang w:val="sr-Latn-ME"/>
              </w:rPr>
              <w:t xml:space="preserve">Nepoznato </w:t>
            </w:r>
          </w:p>
        </w:tc>
        <w:tc>
          <w:tcPr>
            <w:tcW w:w="4645" w:type="dxa"/>
            <w:tcBorders>
              <w:top w:val="single" w:sz="4" w:space="0" w:color="auto"/>
              <w:left w:val="single" w:sz="4" w:space="0" w:color="auto"/>
              <w:bottom w:val="single" w:sz="4" w:space="0" w:color="auto"/>
              <w:right w:val="single" w:sz="4" w:space="0" w:color="auto"/>
            </w:tcBorders>
            <w:hideMark/>
          </w:tcPr>
          <w:p w:rsidR="00EA43CD" w:rsidRPr="00EF29FB" w:rsidRDefault="002B696B" w:rsidP="00EF29FB">
            <w:pPr>
              <w:widowControl w:val="0"/>
              <w:spacing w:line="240" w:lineRule="auto"/>
              <w:rPr>
                <w:rFonts w:eastAsia="Calibri"/>
                <w:szCs w:val="22"/>
                <w:lang w:val="sr-Latn-ME"/>
              </w:rPr>
            </w:pPr>
            <w:r w:rsidRPr="00EF29FB">
              <w:rPr>
                <w:rFonts w:eastAsia="Calibri"/>
                <w:szCs w:val="22"/>
                <w:lang w:val="sr-Latn-ME"/>
              </w:rPr>
              <w:t>Povećanje koncentracije kalijuma u serumu, hiponatrijemija</w:t>
            </w:r>
          </w:p>
        </w:tc>
      </w:tr>
      <w:tr w:rsidR="00EA43CD" w:rsidRPr="00EF29FB">
        <w:tc>
          <w:tcPr>
            <w:tcW w:w="9289" w:type="dxa"/>
            <w:gridSpan w:val="2"/>
            <w:tcBorders>
              <w:top w:val="single" w:sz="4" w:space="0" w:color="auto"/>
              <w:left w:val="single" w:sz="4" w:space="0" w:color="auto"/>
              <w:bottom w:val="single" w:sz="4" w:space="0" w:color="auto"/>
              <w:right w:val="single" w:sz="4" w:space="0" w:color="auto"/>
            </w:tcBorders>
            <w:hideMark/>
          </w:tcPr>
          <w:p w:rsidR="00EA43CD" w:rsidRPr="00EF29FB" w:rsidRDefault="002B696B" w:rsidP="00EF29FB">
            <w:pPr>
              <w:widowControl w:val="0"/>
              <w:spacing w:line="240" w:lineRule="auto"/>
              <w:rPr>
                <w:rFonts w:eastAsia="Calibri"/>
                <w:b/>
                <w:szCs w:val="22"/>
                <w:lang w:val="sr-Latn-ME"/>
              </w:rPr>
            </w:pPr>
            <w:r w:rsidRPr="00EF29FB">
              <w:rPr>
                <w:rFonts w:eastAsia="Calibri"/>
                <w:b/>
                <w:szCs w:val="22"/>
                <w:lang w:val="sr-Latn-ME"/>
              </w:rPr>
              <w:t>Poremećaji na nivou uha i labirinta</w:t>
            </w:r>
          </w:p>
        </w:tc>
      </w:tr>
      <w:tr w:rsidR="00EA43CD" w:rsidRPr="00EF29FB">
        <w:tc>
          <w:tcPr>
            <w:tcW w:w="4644" w:type="dxa"/>
            <w:tcBorders>
              <w:top w:val="single" w:sz="4" w:space="0" w:color="auto"/>
              <w:left w:val="single" w:sz="4" w:space="0" w:color="auto"/>
              <w:bottom w:val="single" w:sz="4" w:space="0" w:color="auto"/>
              <w:right w:val="single" w:sz="4" w:space="0" w:color="auto"/>
            </w:tcBorders>
            <w:hideMark/>
          </w:tcPr>
          <w:p w:rsidR="00EA43CD" w:rsidRPr="00EF29FB" w:rsidRDefault="002B696B" w:rsidP="00EF29FB">
            <w:pPr>
              <w:widowControl w:val="0"/>
              <w:spacing w:line="240" w:lineRule="auto"/>
              <w:rPr>
                <w:rFonts w:eastAsia="Calibri"/>
                <w:szCs w:val="22"/>
                <w:lang w:val="sr-Latn-ME"/>
              </w:rPr>
            </w:pPr>
            <w:r w:rsidRPr="00EF29FB">
              <w:rPr>
                <w:rFonts w:eastAsia="Calibri"/>
                <w:szCs w:val="22"/>
                <w:lang w:val="sr-Latn-ME"/>
              </w:rPr>
              <w:t xml:space="preserve">Povremeno </w:t>
            </w:r>
          </w:p>
        </w:tc>
        <w:tc>
          <w:tcPr>
            <w:tcW w:w="4645" w:type="dxa"/>
            <w:tcBorders>
              <w:top w:val="single" w:sz="4" w:space="0" w:color="auto"/>
              <w:left w:val="single" w:sz="4" w:space="0" w:color="auto"/>
              <w:bottom w:val="single" w:sz="4" w:space="0" w:color="auto"/>
              <w:right w:val="single" w:sz="4" w:space="0" w:color="auto"/>
            </w:tcBorders>
            <w:hideMark/>
          </w:tcPr>
          <w:p w:rsidR="00EA43CD" w:rsidRPr="00EF29FB" w:rsidRDefault="002B696B" w:rsidP="00EF29FB">
            <w:pPr>
              <w:widowControl w:val="0"/>
              <w:spacing w:line="240" w:lineRule="auto"/>
              <w:rPr>
                <w:rFonts w:eastAsia="Calibri"/>
                <w:szCs w:val="22"/>
                <w:lang w:val="sr-Latn-ME"/>
              </w:rPr>
            </w:pPr>
            <w:r w:rsidRPr="00EF29FB">
              <w:rPr>
                <w:rFonts w:eastAsia="Calibri"/>
                <w:szCs w:val="22"/>
                <w:lang w:val="sr-Latn-ME"/>
              </w:rPr>
              <w:t xml:space="preserve">Vertigo </w:t>
            </w:r>
          </w:p>
        </w:tc>
      </w:tr>
      <w:tr w:rsidR="00EA43CD" w:rsidRPr="00EF29FB">
        <w:tc>
          <w:tcPr>
            <w:tcW w:w="9289" w:type="dxa"/>
            <w:gridSpan w:val="2"/>
            <w:tcBorders>
              <w:top w:val="single" w:sz="4" w:space="0" w:color="auto"/>
              <w:left w:val="single" w:sz="4" w:space="0" w:color="auto"/>
              <w:bottom w:val="single" w:sz="4" w:space="0" w:color="auto"/>
              <w:right w:val="single" w:sz="4" w:space="0" w:color="auto"/>
            </w:tcBorders>
            <w:hideMark/>
          </w:tcPr>
          <w:p w:rsidR="00EA43CD" w:rsidRPr="00EF29FB" w:rsidRDefault="002B696B" w:rsidP="00EF29FB">
            <w:pPr>
              <w:widowControl w:val="0"/>
              <w:spacing w:line="240" w:lineRule="auto"/>
              <w:rPr>
                <w:rFonts w:eastAsia="Calibri"/>
                <w:b/>
                <w:szCs w:val="22"/>
                <w:lang w:val="sr-Latn-ME"/>
              </w:rPr>
            </w:pPr>
            <w:r w:rsidRPr="00EF29FB">
              <w:rPr>
                <w:rFonts w:eastAsia="Calibri"/>
                <w:b/>
                <w:szCs w:val="22"/>
                <w:lang w:val="sr-Latn-ME"/>
              </w:rPr>
              <w:t>Vaskularni poremećaji</w:t>
            </w:r>
          </w:p>
        </w:tc>
      </w:tr>
      <w:tr w:rsidR="00EA43CD" w:rsidRPr="00EF29FB">
        <w:tc>
          <w:tcPr>
            <w:tcW w:w="4644" w:type="dxa"/>
            <w:tcBorders>
              <w:top w:val="single" w:sz="4" w:space="0" w:color="auto"/>
              <w:left w:val="single" w:sz="4" w:space="0" w:color="auto"/>
              <w:bottom w:val="single" w:sz="4" w:space="0" w:color="auto"/>
              <w:right w:val="single" w:sz="4" w:space="0" w:color="auto"/>
            </w:tcBorders>
            <w:hideMark/>
          </w:tcPr>
          <w:p w:rsidR="00EA43CD" w:rsidRPr="00EF29FB" w:rsidRDefault="002B696B" w:rsidP="00EF29FB">
            <w:pPr>
              <w:widowControl w:val="0"/>
              <w:spacing w:line="240" w:lineRule="auto"/>
              <w:rPr>
                <w:rFonts w:eastAsia="Calibri"/>
                <w:szCs w:val="22"/>
                <w:lang w:val="sr-Latn-ME"/>
              </w:rPr>
            </w:pPr>
            <w:r w:rsidRPr="00EF29FB">
              <w:rPr>
                <w:rFonts w:eastAsia="Calibri"/>
                <w:szCs w:val="22"/>
                <w:lang w:val="sr-Latn-ME"/>
              </w:rPr>
              <w:t xml:space="preserve">Nepoznato </w:t>
            </w:r>
          </w:p>
        </w:tc>
        <w:tc>
          <w:tcPr>
            <w:tcW w:w="4645" w:type="dxa"/>
            <w:tcBorders>
              <w:top w:val="single" w:sz="4" w:space="0" w:color="auto"/>
              <w:left w:val="single" w:sz="4" w:space="0" w:color="auto"/>
              <w:bottom w:val="single" w:sz="4" w:space="0" w:color="auto"/>
              <w:right w:val="single" w:sz="4" w:space="0" w:color="auto"/>
            </w:tcBorders>
            <w:hideMark/>
          </w:tcPr>
          <w:p w:rsidR="00EA43CD" w:rsidRPr="00EF29FB" w:rsidRDefault="002B696B" w:rsidP="00EF29FB">
            <w:pPr>
              <w:widowControl w:val="0"/>
              <w:spacing w:line="240" w:lineRule="auto"/>
              <w:rPr>
                <w:rFonts w:eastAsia="Calibri"/>
                <w:szCs w:val="22"/>
                <w:lang w:val="sr-Latn-ME"/>
              </w:rPr>
            </w:pPr>
            <w:r w:rsidRPr="00EF29FB">
              <w:rPr>
                <w:rFonts w:eastAsia="Calibri"/>
                <w:szCs w:val="22"/>
                <w:lang w:val="sr-Latn-ME"/>
              </w:rPr>
              <w:t xml:space="preserve">Vaskulitis </w:t>
            </w:r>
          </w:p>
        </w:tc>
      </w:tr>
      <w:tr w:rsidR="00EA43CD" w:rsidRPr="00EF29FB">
        <w:tc>
          <w:tcPr>
            <w:tcW w:w="9289" w:type="dxa"/>
            <w:gridSpan w:val="2"/>
            <w:tcBorders>
              <w:top w:val="single" w:sz="4" w:space="0" w:color="auto"/>
              <w:left w:val="single" w:sz="4" w:space="0" w:color="auto"/>
              <w:bottom w:val="single" w:sz="4" w:space="0" w:color="auto"/>
              <w:right w:val="single" w:sz="4" w:space="0" w:color="auto"/>
            </w:tcBorders>
            <w:hideMark/>
          </w:tcPr>
          <w:p w:rsidR="00EA43CD" w:rsidRPr="00EF29FB" w:rsidRDefault="002B696B" w:rsidP="00EF29FB">
            <w:pPr>
              <w:widowControl w:val="0"/>
              <w:spacing w:line="240" w:lineRule="auto"/>
              <w:rPr>
                <w:rFonts w:eastAsia="Calibri"/>
                <w:szCs w:val="22"/>
                <w:lang w:val="sr-Latn-ME"/>
              </w:rPr>
            </w:pPr>
            <w:r w:rsidRPr="00EF29FB">
              <w:rPr>
                <w:b/>
                <w:bCs/>
                <w:color w:val="000000"/>
                <w:szCs w:val="22"/>
                <w:lang w:val="sr-Latn-ME"/>
              </w:rPr>
              <w:t>Respiratorni, torakalni i medijastinalni poremećaji</w:t>
            </w:r>
          </w:p>
        </w:tc>
      </w:tr>
      <w:tr w:rsidR="00EA43CD" w:rsidRPr="00EF29FB">
        <w:tc>
          <w:tcPr>
            <w:tcW w:w="4644" w:type="dxa"/>
            <w:tcBorders>
              <w:top w:val="single" w:sz="4" w:space="0" w:color="auto"/>
              <w:left w:val="single" w:sz="4" w:space="0" w:color="auto"/>
              <w:bottom w:val="single" w:sz="4" w:space="0" w:color="auto"/>
              <w:right w:val="single" w:sz="4" w:space="0" w:color="auto"/>
            </w:tcBorders>
          </w:tcPr>
          <w:p w:rsidR="00EA43CD" w:rsidRPr="00EF29FB" w:rsidRDefault="002B696B" w:rsidP="00EF29FB">
            <w:pPr>
              <w:widowControl w:val="0"/>
              <w:spacing w:line="240" w:lineRule="auto"/>
              <w:rPr>
                <w:rFonts w:eastAsia="Calibri"/>
                <w:szCs w:val="22"/>
                <w:lang w:val="sr-Latn-ME"/>
              </w:rPr>
            </w:pPr>
            <w:r w:rsidRPr="00EF29FB">
              <w:rPr>
                <w:rFonts w:eastAsia="Calibri"/>
                <w:szCs w:val="22"/>
                <w:lang w:val="sr-Latn-ME"/>
              </w:rPr>
              <w:t xml:space="preserve">Povremeno </w:t>
            </w:r>
          </w:p>
        </w:tc>
        <w:tc>
          <w:tcPr>
            <w:tcW w:w="4645" w:type="dxa"/>
            <w:tcBorders>
              <w:top w:val="single" w:sz="4" w:space="0" w:color="auto"/>
              <w:left w:val="single" w:sz="4" w:space="0" w:color="auto"/>
              <w:bottom w:val="single" w:sz="4" w:space="0" w:color="auto"/>
              <w:right w:val="single" w:sz="4" w:space="0" w:color="auto"/>
            </w:tcBorders>
            <w:hideMark/>
          </w:tcPr>
          <w:p w:rsidR="00EA43CD" w:rsidRPr="00EF29FB" w:rsidRDefault="002B696B" w:rsidP="00EF29FB">
            <w:pPr>
              <w:widowControl w:val="0"/>
              <w:spacing w:line="240" w:lineRule="auto"/>
              <w:rPr>
                <w:rFonts w:eastAsia="Calibri"/>
                <w:szCs w:val="22"/>
                <w:lang w:val="sr-Latn-ME"/>
              </w:rPr>
            </w:pPr>
            <w:r w:rsidRPr="00EF29FB">
              <w:rPr>
                <w:rFonts w:eastAsia="Calibri"/>
                <w:szCs w:val="22"/>
                <w:lang w:val="sr-Latn-ME"/>
              </w:rPr>
              <w:t xml:space="preserve">Kašalj </w:t>
            </w:r>
          </w:p>
        </w:tc>
      </w:tr>
      <w:tr w:rsidR="00EA43CD" w:rsidRPr="00EF29FB">
        <w:tc>
          <w:tcPr>
            <w:tcW w:w="9289" w:type="dxa"/>
            <w:gridSpan w:val="2"/>
            <w:tcBorders>
              <w:top w:val="single" w:sz="4" w:space="0" w:color="auto"/>
              <w:left w:val="single" w:sz="4" w:space="0" w:color="auto"/>
              <w:bottom w:val="single" w:sz="4" w:space="0" w:color="auto"/>
              <w:right w:val="single" w:sz="4" w:space="0" w:color="auto"/>
            </w:tcBorders>
            <w:hideMark/>
          </w:tcPr>
          <w:p w:rsidR="00EA43CD" w:rsidRPr="00EF29FB" w:rsidRDefault="002B696B" w:rsidP="00EF29FB">
            <w:pPr>
              <w:widowControl w:val="0"/>
              <w:spacing w:line="240" w:lineRule="auto"/>
              <w:rPr>
                <w:rFonts w:eastAsia="Calibri"/>
                <w:b/>
                <w:szCs w:val="22"/>
                <w:lang w:val="sr-Latn-ME"/>
              </w:rPr>
            </w:pPr>
            <w:r w:rsidRPr="00EF29FB">
              <w:rPr>
                <w:rFonts w:eastAsia="Calibri"/>
                <w:b/>
                <w:szCs w:val="22"/>
                <w:lang w:val="sr-Latn-ME"/>
              </w:rPr>
              <w:t>Gastrointestinalni poremećaji</w:t>
            </w:r>
          </w:p>
        </w:tc>
      </w:tr>
      <w:tr w:rsidR="00EA43CD" w:rsidRPr="00EF29FB">
        <w:tc>
          <w:tcPr>
            <w:tcW w:w="4644" w:type="dxa"/>
            <w:tcBorders>
              <w:top w:val="single" w:sz="4" w:space="0" w:color="auto"/>
              <w:left w:val="single" w:sz="4" w:space="0" w:color="auto"/>
              <w:bottom w:val="single" w:sz="4" w:space="0" w:color="auto"/>
              <w:right w:val="single" w:sz="4" w:space="0" w:color="auto"/>
            </w:tcBorders>
            <w:hideMark/>
          </w:tcPr>
          <w:p w:rsidR="00EA43CD" w:rsidRPr="00EF29FB" w:rsidRDefault="002B696B" w:rsidP="00EF29FB">
            <w:pPr>
              <w:widowControl w:val="0"/>
              <w:spacing w:line="240" w:lineRule="auto"/>
              <w:rPr>
                <w:rFonts w:eastAsia="Calibri"/>
                <w:szCs w:val="22"/>
                <w:lang w:val="sr-Latn-ME"/>
              </w:rPr>
            </w:pPr>
            <w:r w:rsidRPr="00EF29FB">
              <w:rPr>
                <w:rFonts w:eastAsia="Calibri"/>
                <w:szCs w:val="22"/>
                <w:lang w:val="sr-Latn-ME"/>
              </w:rPr>
              <w:t xml:space="preserve">Povremeno </w:t>
            </w:r>
          </w:p>
        </w:tc>
        <w:tc>
          <w:tcPr>
            <w:tcW w:w="4645" w:type="dxa"/>
            <w:tcBorders>
              <w:top w:val="single" w:sz="4" w:space="0" w:color="auto"/>
              <w:left w:val="single" w:sz="4" w:space="0" w:color="auto"/>
              <w:bottom w:val="single" w:sz="4" w:space="0" w:color="auto"/>
              <w:right w:val="single" w:sz="4" w:space="0" w:color="auto"/>
            </w:tcBorders>
            <w:hideMark/>
          </w:tcPr>
          <w:p w:rsidR="00EA43CD" w:rsidRPr="00EF29FB" w:rsidRDefault="002B696B" w:rsidP="00EF29FB">
            <w:pPr>
              <w:widowControl w:val="0"/>
              <w:spacing w:line="240" w:lineRule="auto"/>
              <w:rPr>
                <w:rFonts w:eastAsia="Calibri"/>
                <w:szCs w:val="22"/>
                <w:lang w:val="sr-Latn-ME"/>
              </w:rPr>
            </w:pPr>
            <w:r w:rsidRPr="00EF29FB">
              <w:rPr>
                <w:rFonts w:eastAsia="Calibri"/>
                <w:szCs w:val="22"/>
                <w:lang w:val="sr-Latn-ME"/>
              </w:rPr>
              <w:t>Bol u abdomenu</w:t>
            </w:r>
          </w:p>
        </w:tc>
      </w:tr>
      <w:tr w:rsidR="00EA43CD" w:rsidRPr="00EF29FB">
        <w:tc>
          <w:tcPr>
            <w:tcW w:w="9289" w:type="dxa"/>
            <w:gridSpan w:val="2"/>
            <w:tcBorders>
              <w:top w:val="single" w:sz="4" w:space="0" w:color="auto"/>
              <w:left w:val="single" w:sz="4" w:space="0" w:color="auto"/>
              <w:bottom w:val="single" w:sz="4" w:space="0" w:color="auto"/>
              <w:right w:val="single" w:sz="4" w:space="0" w:color="auto"/>
            </w:tcBorders>
            <w:hideMark/>
          </w:tcPr>
          <w:p w:rsidR="00EA43CD" w:rsidRPr="00EF29FB" w:rsidRDefault="002B696B" w:rsidP="00EF29FB">
            <w:pPr>
              <w:widowControl w:val="0"/>
              <w:spacing w:line="240" w:lineRule="auto"/>
              <w:rPr>
                <w:rFonts w:eastAsia="Calibri"/>
                <w:b/>
                <w:szCs w:val="22"/>
                <w:lang w:val="sr-Latn-ME"/>
              </w:rPr>
            </w:pPr>
            <w:r w:rsidRPr="00EF29FB">
              <w:rPr>
                <w:rFonts w:eastAsia="Calibri"/>
                <w:b/>
                <w:szCs w:val="22"/>
                <w:lang w:val="sr-Latn-ME"/>
              </w:rPr>
              <w:t>Poremećaji jetre i bilijarnih puteva</w:t>
            </w:r>
          </w:p>
        </w:tc>
      </w:tr>
      <w:tr w:rsidR="00EA43CD" w:rsidRPr="00EF29FB">
        <w:tc>
          <w:tcPr>
            <w:tcW w:w="4644" w:type="dxa"/>
            <w:tcBorders>
              <w:top w:val="single" w:sz="4" w:space="0" w:color="auto"/>
              <w:left w:val="single" w:sz="4" w:space="0" w:color="auto"/>
              <w:bottom w:val="single" w:sz="4" w:space="0" w:color="auto"/>
              <w:right w:val="single" w:sz="4" w:space="0" w:color="auto"/>
            </w:tcBorders>
            <w:hideMark/>
          </w:tcPr>
          <w:p w:rsidR="00EA43CD" w:rsidRPr="00EF29FB" w:rsidRDefault="002B696B" w:rsidP="00EF29FB">
            <w:pPr>
              <w:widowControl w:val="0"/>
              <w:spacing w:line="240" w:lineRule="auto"/>
              <w:rPr>
                <w:rFonts w:eastAsia="Calibri"/>
                <w:szCs w:val="22"/>
                <w:lang w:val="sr-Latn-ME"/>
              </w:rPr>
            </w:pPr>
            <w:r w:rsidRPr="00EF29FB">
              <w:rPr>
                <w:rFonts w:eastAsia="Calibri"/>
                <w:szCs w:val="22"/>
                <w:lang w:val="sr-Latn-ME"/>
              </w:rPr>
              <w:t xml:space="preserve">Nepoznato </w:t>
            </w:r>
          </w:p>
        </w:tc>
        <w:tc>
          <w:tcPr>
            <w:tcW w:w="4645" w:type="dxa"/>
            <w:tcBorders>
              <w:top w:val="single" w:sz="4" w:space="0" w:color="auto"/>
              <w:left w:val="single" w:sz="4" w:space="0" w:color="auto"/>
              <w:bottom w:val="single" w:sz="4" w:space="0" w:color="auto"/>
              <w:right w:val="single" w:sz="4" w:space="0" w:color="auto"/>
            </w:tcBorders>
            <w:hideMark/>
          </w:tcPr>
          <w:p w:rsidR="00EA43CD" w:rsidRPr="00EF29FB" w:rsidRDefault="002B696B" w:rsidP="00EF29FB">
            <w:pPr>
              <w:widowControl w:val="0"/>
              <w:spacing w:line="240" w:lineRule="auto"/>
              <w:rPr>
                <w:rFonts w:eastAsia="Calibri"/>
                <w:szCs w:val="22"/>
                <w:lang w:val="sr-Latn-ME"/>
              </w:rPr>
            </w:pPr>
            <w:r w:rsidRPr="00EF29FB">
              <w:rPr>
                <w:rFonts w:eastAsia="Calibri"/>
                <w:szCs w:val="22"/>
                <w:lang w:val="sr-Latn-ME"/>
              </w:rPr>
              <w:t>Povećanje vrijednosti funkcionalnih testova jetre uključujući serumski bilirubin</w:t>
            </w:r>
          </w:p>
        </w:tc>
      </w:tr>
      <w:tr w:rsidR="00EA43CD" w:rsidRPr="00EF29FB">
        <w:tc>
          <w:tcPr>
            <w:tcW w:w="9289" w:type="dxa"/>
            <w:gridSpan w:val="2"/>
            <w:tcBorders>
              <w:top w:val="single" w:sz="4" w:space="0" w:color="auto"/>
              <w:left w:val="single" w:sz="4" w:space="0" w:color="auto"/>
              <w:bottom w:val="single" w:sz="4" w:space="0" w:color="auto"/>
              <w:right w:val="single" w:sz="4" w:space="0" w:color="auto"/>
            </w:tcBorders>
            <w:hideMark/>
          </w:tcPr>
          <w:p w:rsidR="00EA43CD" w:rsidRPr="00EF29FB" w:rsidRDefault="002B696B" w:rsidP="00EF29FB">
            <w:pPr>
              <w:widowControl w:val="0"/>
              <w:spacing w:line="240" w:lineRule="auto"/>
              <w:rPr>
                <w:rFonts w:eastAsia="Calibri"/>
                <w:b/>
                <w:szCs w:val="22"/>
                <w:lang w:val="sr-Latn-ME"/>
              </w:rPr>
            </w:pPr>
            <w:r w:rsidRPr="00EF29FB">
              <w:rPr>
                <w:rFonts w:eastAsia="Calibri"/>
                <w:b/>
                <w:szCs w:val="22"/>
                <w:lang w:val="sr-Latn-ME"/>
              </w:rPr>
              <w:t>Poremećaji kože i potkožnog tkiva</w:t>
            </w:r>
          </w:p>
        </w:tc>
      </w:tr>
      <w:tr w:rsidR="00EA43CD" w:rsidRPr="00EF29FB">
        <w:tc>
          <w:tcPr>
            <w:tcW w:w="4644" w:type="dxa"/>
            <w:tcBorders>
              <w:top w:val="single" w:sz="4" w:space="0" w:color="auto"/>
              <w:left w:val="single" w:sz="4" w:space="0" w:color="auto"/>
              <w:bottom w:val="single" w:sz="4" w:space="0" w:color="auto"/>
              <w:right w:val="single" w:sz="4" w:space="0" w:color="auto"/>
            </w:tcBorders>
            <w:hideMark/>
          </w:tcPr>
          <w:p w:rsidR="00EA43CD" w:rsidRPr="00EF29FB" w:rsidRDefault="002B696B" w:rsidP="00EF29FB">
            <w:pPr>
              <w:widowControl w:val="0"/>
              <w:spacing w:line="240" w:lineRule="auto"/>
              <w:rPr>
                <w:rFonts w:eastAsia="Calibri"/>
                <w:szCs w:val="22"/>
                <w:lang w:val="sr-Latn-ME"/>
              </w:rPr>
            </w:pPr>
            <w:r w:rsidRPr="00EF29FB">
              <w:rPr>
                <w:rFonts w:eastAsia="Calibri"/>
                <w:szCs w:val="22"/>
                <w:lang w:val="sr-Latn-ME"/>
              </w:rPr>
              <w:t xml:space="preserve">Nepoznato </w:t>
            </w:r>
          </w:p>
        </w:tc>
        <w:tc>
          <w:tcPr>
            <w:tcW w:w="4645" w:type="dxa"/>
            <w:tcBorders>
              <w:top w:val="single" w:sz="4" w:space="0" w:color="auto"/>
              <w:left w:val="single" w:sz="4" w:space="0" w:color="auto"/>
              <w:bottom w:val="single" w:sz="4" w:space="0" w:color="auto"/>
              <w:right w:val="single" w:sz="4" w:space="0" w:color="auto"/>
            </w:tcBorders>
            <w:hideMark/>
          </w:tcPr>
          <w:p w:rsidR="00EA43CD" w:rsidRPr="00EF29FB" w:rsidRDefault="002B696B" w:rsidP="00EF29FB">
            <w:pPr>
              <w:widowControl w:val="0"/>
              <w:spacing w:line="240" w:lineRule="auto"/>
              <w:rPr>
                <w:rFonts w:eastAsia="Calibri"/>
                <w:szCs w:val="22"/>
                <w:lang w:val="sr-Latn-ME"/>
              </w:rPr>
            </w:pPr>
            <w:r w:rsidRPr="00EF29FB">
              <w:rPr>
                <w:rFonts w:eastAsia="Calibri"/>
                <w:szCs w:val="22"/>
                <w:lang w:val="sr-Latn-ME"/>
              </w:rPr>
              <w:t>Angioedem, bulozni dermatitis, osip, svrab</w:t>
            </w:r>
          </w:p>
        </w:tc>
      </w:tr>
      <w:tr w:rsidR="00EA43CD" w:rsidRPr="00EF29FB">
        <w:tc>
          <w:tcPr>
            <w:tcW w:w="9289" w:type="dxa"/>
            <w:gridSpan w:val="2"/>
            <w:tcBorders>
              <w:top w:val="single" w:sz="4" w:space="0" w:color="auto"/>
              <w:left w:val="single" w:sz="4" w:space="0" w:color="auto"/>
              <w:bottom w:val="single" w:sz="4" w:space="0" w:color="auto"/>
              <w:right w:val="single" w:sz="4" w:space="0" w:color="auto"/>
            </w:tcBorders>
            <w:hideMark/>
          </w:tcPr>
          <w:p w:rsidR="00EA43CD" w:rsidRPr="00EF29FB" w:rsidRDefault="002B696B" w:rsidP="00EF29FB">
            <w:pPr>
              <w:widowControl w:val="0"/>
              <w:spacing w:line="240" w:lineRule="auto"/>
              <w:rPr>
                <w:rFonts w:eastAsia="Calibri"/>
                <w:szCs w:val="22"/>
                <w:lang w:val="sr-Latn-ME"/>
              </w:rPr>
            </w:pPr>
            <w:r w:rsidRPr="00EF29FB">
              <w:rPr>
                <w:b/>
                <w:bCs/>
                <w:color w:val="000000"/>
                <w:szCs w:val="22"/>
                <w:lang w:val="sr-Latn-ME"/>
              </w:rPr>
              <w:t>Poremećaji mišićnoskeletnog i vezivnog tkiva</w:t>
            </w:r>
          </w:p>
        </w:tc>
      </w:tr>
      <w:tr w:rsidR="00EA43CD" w:rsidRPr="00EF29FB">
        <w:tc>
          <w:tcPr>
            <w:tcW w:w="4644" w:type="dxa"/>
            <w:tcBorders>
              <w:top w:val="single" w:sz="4" w:space="0" w:color="auto"/>
              <w:left w:val="single" w:sz="4" w:space="0" w:color="auto"/>
              <w:bottom w:val="single" w:sz="4" w:space="0" w:color="auto"/>
              <w:right w:val="single" w:sz="4" w:space="0" w:color="auto"/>
            </w:tcBorders>
            <w:hideMark/>
          </w:tcPr>
          <w:p w:rsidR="00EA43CD" w:rsidRPr="00EF29FB" w:rsidRDefault="002B696B" w:rsidP="00EF29FB">
            <w:pPr>
              <w:widowControl w:val="0"/>
              <w:spacing w:line="240" w:lineRule="auto"/>
              <w:rPr>
                <w:rFonts w:eastAsia="Calibri"/>
                <w:szCs w:val="22"/>
                <w:lang w:val="sr-Latn-ME"/>
              </w:rPr>
            </w:pPr>
            <w:r w:rsidRPr="00EF29FB">
              <w:rPr>
                <w:rFonts w:eastAsia="Calibri"/>
                <w:szCs w:val="22"/>
                <w:lang w:val="sr-Latn-ME"/>
              </w:rPr>
              <w:lastRenderedPageBreak/>
              <w:t xml:space="preserve">Nepoznato </w:t>
            </w:r>
          </w:p>
        </w:tc>
        <w:tc>
          <w:tcPr>
            <w:tcW w:w="4645" w:type="dxa"/>
            <w:tcBorders>
              <w:top w:val="single" w:sz="4" w:space="0" w:color="auto"/>
              <w:left w:val="single" w:sz="4" w:space="0" w:color="auto"/>
              <w:bottom w:val="single" w:sz="4" w:space="0" w:color="auto"/>
              <w:right w:val="single" w:sz="4" w:space="0" w:color="auto"/>
            </w:tcBorders>
            <w:hideMark/>
          </w:tcPr>
          <w:p w:rsidR="00EA43CD" w:rsidRPr="00EF29FB" w:rsidRDefault="002B696B" w:rsidP="00EF29FB">
            <w:pPr>
              <w:widowControl w:val="0"/>
              <w:spacing w:line="240" w:lineRule="auto"/>
              <w:rPr>
                <w:rFonts w:eastAsia="Calibri"/>
                <w:szCs w:val="22"/>
                <w:lang w:val="sr-Latn-ME"/>
              </w:rPr>
            </w:pPr>
            <w:r w:rsidRPr="00EF29FB">
              <w:rPr>
                <w:rFonts w:eastAsia="Calibri"/>
                <w:szCs w:val="22"/>
                <w:lang w:val="sr-Latn-ME"/>
              </w:rPr>
              <w:t xml:space="preserve">Mialgija </w:t>
            </w:r>
          </w:p>
        </w:tc>
      </w:tr>
      <w:tr w:rsidR="00EA43CD" w:rsidRPr="00EF29FB">
        <w:tc>
          <w:tcPr>
            <w:tcW w:w="9289" w:type="dxa"/>
            <w:gridSpan w:val="2"/>
            <w:tcBorders>
              <w:top w:val="single" w:sz="4" w:space="0" w:color="auto"/>
              <w:left w:val="single" w:sz="4" w:space="0" w:color="auto"/>
              <w:bottom w:val="single" w:sz="4" w:space="0" w:color="auto"/>
              <w:right w:val="single" w:sz="4" w:space="0" w:color="auto"/>
            </w:tcBorders>
            <w:hideMark/>
          </w:tcPr>
          <w:p w:rsidR="00EA43CD" w:rsidRPr="00EF29FB" w:rsidRDefault="002B696B" w:rsidP="00EF29FB">
            <w:pPr>
              <w:widowControl w:val="0"/>
              <w:spacing w:line="240" w:lineRule="auto"/>
              <w:rPr>
                <w:rFonts w:eastAsia="Calibri"/>
                <w:b/>
                <w:szCs w:val="22"/>
                <w:lang w:val="sr-Latn-ME"/>
              </w:rPr>
            </w:pPr>
            <w:r w:rsidRPr="00EF29FB">
              <w:rPr>
                <w:rFonts w:eastAsia="Calibri"/>
                <w:b/>
                <w:szCs w:val="22"/>
                <w:lang w:val="sr-Latn-ME"/>
              </w:rPr>
              <w:t>Poremećaji bubrega i urinarnih puteva</w:t>
            </w:r>
          </w:p>
        </w:tc>
      </w:tr>
      <w:tr w:rsidR="00EA43CD" w:rsidRPr="00EF29FB">
        <w:tc>
          <w:tcPr>
            <w:tcW w:w="4644" w:type="dxa"/>
            <w:tcBorders>
              <w:top w:val="single" w:sz="4" w:space="0" w:color="auto"/>
              <w:left w:val="single" w:sz="4" w:space="0" w:color="auto"/>
              <w:bottom w:val="single" w:sz="4" w:space="0" w:color="auto"/>
              <w:right w:val="single" w:sz="4" w:space="0" w:color="auto"/>
            </w:tcBorders>
            <w:hideMark/>
          </w:tcPr>
          <w:p w:rsidR="00EA43CD" w:rsidRPr="00EF29FB" w:rsidRDefault="002B696B" w:rsidP="00EF29FB">
            <w:pPr>
              <w:widowControl w:val="0"/>
              <w:spacing w:line="240" w:lineRule="auto"/>
              <w:rPr>
                <w:rFonts w:eastAsia="Calibri"/>
                <w:szCs w:val="22"/>
                <w:lang w:val="sr-Latn-ME"/>
              </w:rPr>
            </w:pPr>
            <w:r w:rsidRPr="00EF29FB">
              <w:rPr>
                <w:rFonts w:eastAsia="Calibri"/>
                <w:szCs w:val="22"/>
                <w:lang w:val="sr-Latn-ME"/>
              </w:rPr>
              <w:t xml:space="preserve">Nepoznato </w:t>
            </w:r>
          </w:p>
        </w:tc>
        <w:tc>
          <w:tcPr>
            <w:tcW w:w="4645" w:type="dxa"/>
            <w:tcBorders>
              <w:top w:val="single" w:sz="4" w:space="0" w:color="auto"/>
              <w:left w:val="single" w:sz="4" w:space="0" w:color="auto"/>
              <w:bottom w:val="single" w:sz="4" w:space="0" w:color="auto"/>
              <w:right w:val="single" w:sz="4" w:space="0" w:color="auto"/>
            </w:tcBorders>
            <w:hideMark/>
          </w:tcPr>
          <w:p w:rsidR="00EA43CD" w:rsidRPr="00EF29FB" w:rsidRDefault="002B696B" w:rsidP="00EF29FB">
            <w:pPr>
              <w:widowControl w:val="0"/>
              <w:spacing w:line="240" w:lineRule="auto"/>
              <w:rPr>
                <w:rFonts w:eastAsia="Calibri"/>
                <w:szCs w:val="22"/>
                <w:lang w:val="sr-Latn-ME"/>
              </w:rPr>
            </w:pPr>
            <w:r w:rsidRPr="00EF29FB">
              <w:rPr>
                <w:rFonts w:eastAsia="Calibri"/>
                <w:szCs w:val="22"/>
                <w:lang w:val="sr-Latn-ME"/>
              </w:rPr>
              <w:t>Oštećenje bubrega i bubrežna insuficijencija, povišenje serumskog kreatinina</w:t>
            </w:r>
          </w:p>
        </w:tc>
      </w:tr>
      <w:tr w:rsidR="00EA43CD" w:rsidRPr="00EF29FB">
        <w:tc>
          <w:tcPr>
            <w:tcW w:w="9289" w:type="dxa"/>
            <w:gridSpan w:val="2"/>
            <w:tcBorders>
              <w:top w:val="single" w:sz="4" w:space="0" w:color="auto"/>
              <w:left w:val="single" w:sz="4" w:space="0" w:color="auto"/>
              <w:bottom w:val="single" w:sz="4" w:space="0" w:color="auto"/>
              <w:right w:val="single" w:sz="4" w:space="0" w:color="auto"/>
            </w:tcBorders>
            <w:hideMark/>
          </w:tcPr>
          <w:p w:rsidR="00EA43CD" w:rsidRPr="00EF29FB" w:rsidRDefault="002B696B" w:rsidP="00EF29FB">
            <w:pPr>
              <w:widowControl w:val="0"/>
              <w:spacing w:line="240" w:lineRule="auto"/>
              <w:rPr>
                <w:rFonts w:eastAsia="Calibri"/>
                <w:b/>
                <w:szCs w:val="22"/>
                <w:lang w:val="sr-Latn-ME"/>
              </w:rPr>
            </w:pPr>
            <w:r w:rsidRPr="00EF29FB">
              <w:rPr>
                <w:rFonts w:eastAsia="Calibri"/>
                <w:b/>
                <w:szCs w:val="22"/>
                <w:lang w:val="sr-Latn-ME"/>
              </w:rPr>
              <w:t>Opšti poremećaji i reakcije na mjestu primjene</w:t>
            </w:r>
          </w:p>
        </w:tc>
      </w:tr>
      <w:tr w:rsidR="00EA43CD" w:rsidRPr="00EF29FB">
        <w:tc>
          <w:tcPr>
            <w:tcW w:w="4644" w:type="dxa"/>
            <w:tcBorders>
              <w:top w:val="single" w:sz="4" w:space="0" w:color="auto"/>
              <w:left w:val="single" w:sz="4" w:space="0" w:color="auto"/>
              <w:bottom w:val="single" w:sz="4" w:space="0" w:color="auto"/>
              <w:right w:val="single" w:sz="4" w:space="0" w:color="auto"/>
            </w:tcBorders>
            <w:hideMark/>
          </w:tcPr>
          <w:p w:rsidR="00EA43CD" w:rsidRPr="00EF29FB" w:rsidRDefault="002B696B" w:rsidP="00EF29FB">
            <w:pPr>
              <w:widowControl w:val="0"/>
              <w:spacing w:line="240" w:lineRule="auto"/>
              <w:rPr>
                <w:rFonts w:eastAsia="Calibri"/>
                <w:szCs w:val="22"/>
                <w:lang w:val="sr-Latn-ME"/>
              </w:rPr>
            </w:pPr>
            <w:r w:rsidRPr="00EF29FB">
              <w:rPr>
                <w:rFonts w:eastAsia="Calibri"/>
                <w:szCs w:val="22"/>
                <w:lang w:val="sr-Latn-ME"/>
              </w:rPr>
              <w:t xml:space="preserve">Povremeno </w:t>
            </w:r>
          </w:p>
        </w:tc>
        <w:tc>
          <w:tcPr>
            <w:tcW w:w="4645" w:type="dxa"/>
            <w:tcBorders>
              <w:top w:val="single" w:sz="4" w:space="0" w:color="auto"/>
              <w:left w:val="single" w:sz="4" w:space="0" w:color="auto"/>
              <w:bottom w:val="single" w:sz="4" w:space="0" w:color="auto"/>
              <w:right w:val="single" w:sz="4" w:space="0" w:color="auto"/>
            </w:tcBorders>
            <w:hideMark/>
          </w:tcPr>
          <w:p w:rsidR="00EA43CD" w:rsidRPr="00EF29FB" w:rsidRDefault="002B696B" w:rsidP="00EF29FB">
            <w:pPr>
              <w:widowControl w:val="0"/>
              <w:spacing w:line="240" w:lineRule="auto"/>
              <w:rPr>
                <w:rFonts w:eastAsia="Calibri"/>
                <w:szCs w:val="22"/>
                <w:lang w:val="sr-Latn-ME"/>
              </w:rPr>
            </w:pPr>
            <w:r w:rsidRPr="00EF29FB">
              <w:rPr>
                <w:rFonts w:eastAsia="Calibri"/>
                <w:szCs w:val="22"/>
                <w:lang w:val="sr-Latn-ME"/>
              </w:rPr>
              <w:t xml:space="preserve">Zamor </w:t>
            </w:r>
          </w:p>
        </w:tc>
      </w:tr>
    </w:tbl>
    <w:p w:rsidR="00EA43CD" w:rsidRPr="00EF29FB" w:rsidRDefault="00EA43CD" w:rsidP="00EF29FB">
      <w:pPr>
        <w:widowControl w:val="0"/>
        <w:spacing w:line="240" w:lineRule="auto"/>
        <w:rPr>
          <w:szCs w:val="22"/>
          <w:lang w:val="sr-Latn-ME"/>
        </w:rPr>
      </w:pPr>
    </w:p>
    <w:p w:rsidR="00EA43CD" w:rsidRPr="00EF29FB" w:rsidRDefault="002B696B" w:rsidP="00EF29FB">
      <w:pPr>
        <w:widowControl w:val="0"/>
        <w:spacing w:line="240" w:lineRule="auto"/>
        <w:rPr>
          <w:szCs w:val="22"/>
          <w:u w:val="single"/>
          <w:lang w:val="sr-Latn-ME"/>
        </w:rPr>
      </w:pPr>
      <w:r w:rsidRPr="00EF29FB">
        <w:rPr>
          <w:szCs w:val="22"/>
          <w:u w:val="single"/>
          <w:lang w:val="sr-Latn-ME"/>
        </w:rPr>
        <w:t>Pedijatrijska populacija</w:t>
      </w:r>
    </w:p>
    <w:p w:rsidR="00EA43CD" w:rsidRPr="00EF29FB" w:rsidRDefault="00EA43CD" w:rsidP="00EF29FB">
      <w:pPr>
        <w:widowControl w:val="0"/>
        <w:spacing w:line="240" w:lineRule="auto"/>
        <w:rPr>
          <w:szCs w:val="22"/>
          <w:lang w:val="sr-Latn-ME"/>
        </w:rPr>
      </w:pPr>
    </w:p>
    <w:p w:rsidR="00EA43CD" w:rsidRPr="00EF29FB" w:rsidRDefault="002B696B" w:rsidP="00EF29FB">
      <w:pPr>
        <w:widowControl w:val="0"/>
        <w:spacing w:line="240" w:lineRule="auto"/>
        <w:rPr>
          <w:szCs w:val="22"/>
          <w:u w:val="single"/>
          <w:lang w:val="sr-Latn-ME"/>
        </w:rPr>
      </w:pPr>
      <w:r w:rsidRPr="00EF29FB">
        <w:rPr>
          <w:szCs w:val="22"/>
          <w:u w:val="single"/>
          <w:lang w:val="sr-Latn-ME"/>
        </w:rPr>
        <w:t>Hipertenzija</w:t>
      </w:r>
    </w:p>
    <w:p w:rsidR="00EA43CD" w:rsidRPr="00EF29FB" w:rsidRDefault="00EA43CD" w:rsidP="00EF29FB">
      <w:pPr>
        <w:widowControl w:val="0"/>
        <w:spacing w:line="240" w:lineRule="auto"/>
        <w:rPr>
          <w:szCs w:val="22"/>
          <w:lang w:val="sr-Latn-ME"/>
        </w:rPr>
      </w:pPr>
    </w:p>
    <w:p w:rsidR="00EA43CD" w:rsidRPr="00EF29FB" w:rsidRDefault="002B696B" w:rsidP="00EF29FB">
      <w:pPr>
        <w:widowControl w:val="0"/>
        <w:spacing w:line="240" w:lineRule="auto"/>
        <w:jc w:val="both"/>
        <w:rPr>
          <w:szCs w:val="22"/>
          <w:lang w:val="sr-Latn-ME"/>
        </w:rPr>
      </w:pPr>
      <w:r w:rsidRPr="00EF29FB">
        <w:rPr>
          <w:bCs/>
          <w:iCs/>
          <w:szCs w:val="22"/>
          <w:lang w:val="sr-Latn-ME"/>
        </w:rPr>
        <w:t xml:space="preserve">Antihipertenzivni efekat valsartana ispitivan je u dvije randomizovane, dvostruko slijepe kliničke studije (za obijema je uslijedio period nastavka praćenja ili propratna studija) i u jednoj otvorenoj studiji. Ove studije su uključivale 711 </w:t>
      </w:r>
      <w:r w:rsidRPr="00EF29FB">
        <w:rPr>
          <w:szCs w:val="22"/>
          <w:lang w:val="sr-Latn-ME"/>
        </w:rPr>
        <w:t xml:space="preserve">pedijatrijskih pacijenata uzrasta 6 do manje od 18 godina sa ili bez hroničnog oboljenja bubrega </w:t>
      </w:r>
      <w:r w:rsidRPr="00EF29FB">
        <w:rPr>
          <w:bCs/>
          <w:iCs/>
          <w:szCs w:val="22"/>
          <w:lang w:val="sr-Latn-ME"/>
        </w:rPr>
        <w:t>(HOB), od čega je 560 pacijenata primalo valsartan</w:t>
      </w:r>
      <w:r w:rsidRPr="00EF29FB">
        <w:rPr>
          <w:szCs w:val="22"/>
          <w:lang w:val="sr-Latn-ME"/>
        </w:rPr>
        <w:t>. Izuzimajući izolovane gastrointestinalne poremećaje (kao što su bol u abdomenu, mučnina i povraćanje) i vrtoglavice, nema značajne razlike u smislu vrste, učestalosti i težine neželjenih dejstava između bezbjednosnog profila za pedijatrijske pacijente starosti od 6 do manje od 18 godina i onih prethodno prijavljenih kod odraslih pacijenata.</w:t>
      </w:r>
    </w:p>
    <w:p w:rsidR="00EA43CD" w:rsidRPr="00EF29FB" w:rsidRDefault="002B696B" w:rsidP="00EF29FB">
      <w:pPr>
        <w:pStyle w:val="Default"/>
        <w:widowControl w:val="0"/>
        <w:tabs>
          <w:tab w:val="left" w:pos="567"/>
        </w:tabs>
        <w:jc w:val="both"/>
        <w:rPr>
          <w:sz w:val="22"/>
          <w:szCs w:val="22"/>
          <w:lang w:val="sr-Latn-ME"/>
        </w:rPr>
      </w:pPr>
      <w:r w:rsidRPr="00EF29FB">
        <w:rPr>
          <w:sz w:val="22"/>
          <w:szCs w:val="22"/>
          <w:lang w:val="sr-Latn-ME"/>
        </w:rPr>
        <w:t>Sprovedena je sveukupna analiza 560 pedijatrijskih pacijenata sa hipertenzijom (uzrasta 6-17 godina) koji su dobijali ili monoterapiju valsartanom [n=483] ili kombinaciju antihipertenzivne terapije koja uključuje valsartan [n=77]. Od 560 pacijenata, 85 (15,2%) je imalo HOB (početna GFR &lt;90ml/min/1,73m</w:t>
      </w:r>
      <w:r w:rsidRPr="00EF29FB">
        <w:rPr>
          <w:sz w:val="22"/>
          <w:szCs w:val="22"/>
          <w:vertAlign w:val="superscript"/>
          <w:lang w:val="sr-Latn-ME"/>
        </w:rPr>
        <w:t>2</w:t>
      </w:r>
      <w:r w:rsidRPr="00EF29FB">
        <w:rPr>
          <w:sz w:val="22"/>
          <w:szCs w:val="22"/>
          <w:lang w:val="sr-Latn-ME"/>
        </w:rPr>
        <w:t>). Ukupno 45 (8,0%) pacijenata je prekinulo studiju zbog neželjenih događaja. Ukupno 111 (19,8%) pacijenata je imalo neželjeno djestvo lijeka, od kojih su najčešće bile glavobolja (5,4%), vrtoglavica (2,3%) i hiperkalijemija (2,3%). Kod pacijenata sa HOB najčešća neželjena djestva bila su hiperkalijemija (12,9%), glavobolja (7,1%), povišen kreatinin u krvi (5,9%) i hipotenzija (4,7%). Kod pacijenata bez HOB najčešća neželjena djestva bila su glavobolja (5,1%) i vrtoglavica (2,7%). Neželjena dejstva lijeka su češće zabilježene kod pacijenata koji su dobijali valsartan u kombinaciji sa drugim antihipertenzivnim ljekovima nego monoterapiju valsartana.</w:t>
      </w:r>
    </w:p>
    <w:p w:rsidR="00EA43CD" w:rsidRPr="00EF29FB" w:rsidRDefault="00EA43CD" w:rsidP="00EF29FB">
      <w:pPr>
        <w:pStyle w:val="Default"/>
        <w:widowControl w:val="0"/>
        <w:tabs>
          <w:tab w:val="left" w:pos="567"/>
        </w:tabs>
        <w:rPr>
          <w:sz w:val="22"/>
          <w:szCs w:val="22"/>
          <w:lang w:val="sr-Latn-ME"/>
        </w:rPr>
      </w:pPr>
    </w:p>
    <w:p w:rsidR="00EA43CD" w:rsidRPr="00EF29FB" w:rsidRDefault="002B696B" w:rsidP="00EF29FB">
      <w:pPr>
        <w:widowControl w:val="0"/>
        <w:spacing w:line="240" w:lineRule="auto"/>
        <w:rPr>
          <w:szCs w:val="22"/>
          <w:lang w:val="sr-Latn-ME"/>
        </w:rPr>
      </w:pPr>
      <w:r w:rsidRPr="00EF29FB">
        <w:rPr>
          <w:szCs w:val="22"/>
          <w:lang w:val="sr-Latn-ME"/>
        </w:rPr>
        <w:t>Procjena mentalnog razvoja i neurokognicije pedijatrijskih pacijenata uzrasta 6 do 16 godina pokazuje da nema klinički značajnog neželjenog uticaja nakon liječenja lijekom Valsacor u periodu do godinu dana.</w:t>
      </w:r>
    </w:p>
    <w:p w:rsidR="00EA43CD" w:rsidRPr="00EF29FB" w:rsidRDefault="002B696B" w:rsidP="00EF29FB">
      <w:pPr>
        <w:widowControl w:val="0"/>
        <w:autoSpaceDE w:val="0"/>
        <w:autoSpaceDN w:val="0"/>
        <w:adjustRightInd w:val="0"/>
        <w:spacing w:line="240" w:lineRule="auto"/>
        <w:jc w:val="both"/>
        <w:rPr>
          <w:szCs w:val="22"/>
          <w:lang w:val="sr-Latn-ME"/>
        </w:rPr>
      </w:pPr>
      <w:r w:rsidRPr="00EF29FB">
        <w:rPr>
          <w:szCs w:val="22"/>
          <w:lang w:val="sr-Latn-ME"/>
        </w:rPr>
        <w:t>Antihipertenzivno dejstvo valsartana kod djece uzrasta od 1 do manje od 6 godina istraživano je u tri randomizovane, dvostruko slijepe studije (nakon kojih je uslijedio produžetak ispitivanja). U prvoj studiji sprovedenoj na 90 djece uzrasta od 1 do manje od 6 godina, zabilježena su dva smrtna slučaja i izolovani slučajevi povišenih vrijednosti jetrenih transaminaza. Ovi slučajevi su se dogodili u populaciji koja je imala značajne komorbiditete. Uzročna veza sa valsartanom nije utvrđena. U sljedeća dva ispitivanja u kojima je bilo randomizovano 202 djece uzrasta od 1 do manje od 6 godina, nije došlo do značajnih povišenja vrijednosti jetrenih transaminaza ili smrtnih slučajeva uz liječenje valsartanom.</w:t>
      </w:r>
    </w:p>
    <w:p w:rsidR="00EA43CD" w:rsidRPr="00EF29FB" w:rsidRDefault="00EA43CD" w:rsidP="00EF29FB">
      <w:pPr>
        <w:widowControl w:val="0"/>
        <w:autoSpaceDE w:val="0"/>
        <w:autoSpaceDN w:val="0"/>
        <w:adjustRightInd w:val="0"/>
        <w:spacing w:line="240" w:lineRule="auto"/>
        <w:rPr>
          <w:szCs w:val="22"/>
          <w:lang w:val="sr-Latn-ME"/>
        </w:rPr>
      </w:pPr>
    </w:p>
    <w:p w:rsidR="00EA43CD" w:rsidRPr="00EF29FB" w:rsidRDefault="002B696B" w:rsidP="00EF29FB">
      <w:pPr>
        <w:widowControl w:val="0"/>
        <w:autoSpaceDE w:val="0"/>
        <w:autoSpaceDN w:val="0"/>
        <w:adjustRightInd w:val="0"/>
        <w:spacing w:line="240" w:lineRule="auto"/>
        <w:jc w:val="both"/>
        <w:rPr>
          <w:szCs w:val="22"/>
          <w:lang w:val="sr-Latn-ME"/>
        </w:rPr>
      </w:pPr>
      <w:r w:rsidRPr="00EF29FB">
        <w:rPr>
          <w:szCs w:val="22"/>
          <w:lang w:val="sr-Latn-ME"/>
        </w:rPr>
        <w:t>U objedinjenoj analizi dvije studije na 202 hipertenzivna djeteta (uzrasta od 1 do manje od 6 godina), svi su pacijenti primali monoterapiju valsartana u dvostruko slijepoj fazi (isključujući period ukidanja placeba).</w:t>
      </w:r>
      <w:r w:rsidRPr="00EF29FB">
        <w:rPr>
          <w:lang w:val="sr-Latn-ME"/>
        </w:rPr>
        <w:t xml:space="preserve"> </w:t>
      </w:r>
      <w:r w:rsidRPr="00EF29FB">
        <w:rPr>
          <w:szCs w:val="22"/>
          <w:lang w:val="sr-Latn-ME"/>
        </w:rPr>
        <w:t>Od toga,186 pacijenata nastavilo je sa terapijom ili u produženom ili u otvorenom ispitivanju. Od 202 pacijenta, 33 (16,3%) je imalo hroničnu bubrežnu bolest (početni eGFR &lt;90 ml/min). U dvostruko slijepom periodu, dva su pacijenta (1%) prekinula ispitivanje zbog neželjenog događaja, a u otvorenom ispitivanju ili produženom periodu četiri pacijenta (2,1%) su prekinula ispitivanje usled neželjenog događaja. . U dvostruko slijepoj fazi 13 (7,0%) pacijenata doživjelo je barem jedan štetan događaj. Najčešći neželjeni događaji bili su povraćanje n=3 (1,6%) i dijareja n=2 (1,1%). U grupi sa hroničnom bubrežnom bolesti zabilježen je jedan štetni događaj (dijareja). U otvorenoj fazi ispitivanja 5,4% pacijenata (10/186) imalo je barem jedan štetni događaj. Najčešći štetni događaj bio je smanjeni apetit koji su prijavila dva pacijenta (1,1%). I u fazi dvostruko slijepog i otvorenog ispitivanja zabilježena je hiperkalijemija za jednog pacijenta u svakom periodu. Nije bilo slučajeva hipotenzije ili vrtoglavice ni u fazi dvostruko slijepog ni otvorenog ispitivanja.</w:t>
      </w:r>
    </w:p>
    <w:p w:rsidR="00EA43CD" w:rsidRPr="00EF29FB" w:rsidRDefault="00EA43CD" w:rsidP="00EF29FB">
      <w:pPr>
        <w:widowControl w:val="0"/>
        <w:autoSpaceDE w:val="0"/>
        <w:autoSpaceDN w:val="0"/>
        <w:adjustRightInd w:val="0"/>
        <w:spacing w:line="240" w:lineRule="auto"/>
        <w:rPr>
          <w:szCs w:val="22"/>
          <w:lang w:val="sr-Latn-ME"/>
        </w:rPr>
      </w:pPr>
    </w:p>
    <w:p w:rsidR="00EA43CD" w:rsidRPr="00EF29FB" w:rsidRDefault="002B696B" w:rsidP="00EF29FB">
      <w:pPr>
        <w:widowControl w:val="0"/>
        <w:autoSpaceDE w:val="0"/>
        <w:autoSpaceDN w:val="0"/>
        <w:adjustRightInd w:val="0"/>
        <w:spacing w:line="240" w:lineRule="auto"/>
        <w:jc w:val="both"/>
        <w:rPr>
          <w:szCs w:val="22"/>
          <w:lang w:val="sr-Latn-ME"/>
        </w:rPr>
      </w:pPr>
      <w:r w:rsidRPr="00EF29FB">
        <w:rPr>
          <w:szCs w:val="22"/>
          <w:lang w:val="sr-Latn-ME"/>
        </w:rPr>
        <w:t xml:space="preserve">Hiperkalijemija je bila češće primijećena kod djece i adolescenata uzrasta od 6 do ispod 18 godina koji su imali hroničnu bolest bubrega kao bazno oboljenje. Rizik hiperkalijemije može biti veći kod djece </w:t>
      </w:r>
      <w:r w:rsidRPr="00EF29FB">
        <w:rPr>
          <w:szCs w:val="22"/>
          <w:lang w:val="sr-Latn-ME"/>
        </w:rPr>
        <w:lastRenderedPageBreak/>
        <w:t>uzrasta od 1 do 5 godina u poređenju sa djecom uzrasta od 6 do manje od 18 godina.</w:t>
      </w:r>
    </w:p>
    <w:p w:rsidR="00EA43CD" w:rsidRPr="00EF29FB" w:rsidRDefault="002B696B" w:rsidP="00EF29FB">
      <w:pPr>
        <w:widowControl w:val="0"/>
        <w:spacing w:line="240" w:lineRule="auto"/>
        <w:jc w:val="both"/>
        <w:rPr>
          <w:bCs/>
          <w:color w:val="000000"/>
          <w:szCs w:val="22"/>
          <w:lang w:val="sr-Latn-ME"/>
        </w:rPr>
      </w:pPr>
      <w:r w:rsidRPr="00EF29FB">
        <w:rPr>
          <w:bCs/>
          <w:color w:val="000000"/>
          <w:szCs w:val="22"/>
          <w:lang w:val="sr-Latn-ME"/>
        </w:rPr>
        <w:t>Bezbjednosni profil zabilježen u kontrolisanim kliničkim studijama kod pacijenata nakon infarkata miokarda i/ili sa srčanom insuficijencijom varira u odnosu na ukupan bezbjednosni profil viđen kod hipertenzivnih pacijenata. Ovo može biti u vezi sa prethodno postojećim oboljenjem pacijenta. Neželjena dejstva koja su se javile kod pacijenata nakon infarkta miokarda i/ili sa srčanom insuficijencijom navedene su ispod.</w:t>
      </w:r>
    </w:p>
    <w:p w:rsidR="00EA43CD" w:rsidRPr="00EF29FB" w:rsidRDefault="00EA43CD" w:rsidP="00EF29FB">
      <w:pPr>
        <w:widowControl w:val="0"/>
        <w:spacing w:line="240" w:lineRule="auto"/>
        <w:rPr>
          <w:b/>
          <w:szCs w:val="22"/>
          <w:lang w:val="sr-Latn-ME"/>
        </w:rPr>
      </w:pPr>
    </w:p>
    <w:p w:rsidR="00EA43CD" w:rsidRPr="00EF29FB" w:rsidRDefault="002B696B" w:rsidP="00EF29FB">
      <w:pPr>
        <w:widowControl w:val="0"/>
        <w:spacing w:line="240" w:lineRule="auto"/>
        <w:jc w:val="both"/>
        <w:rPr>
          <w:bCs/>
          <w:color w:val="000000"/>
          <w:szCs w:val="22"/>
          <w:u w:val="single"/>
          <w:lang w:val="sr-Latn-ME"/>
        </w:rPr>
      </w:pPr>
      <w:r w:rsidRPr="00EF29FB">
        <w:rPr>
          <w:bCs/>
          <w:color w:val="000000"/>
          <w:szCs w:val="22"/>
          <w:u w:val="single"/>
          <w:lang w:val="sr-Latn-ME"/>
        </w:rPr>
        <w:t xml:space="preserve">Pacijenti nakon infarkta miokarda i/ili sa srčanom insuficijencijom (studije samo kod odraslih pacijenata) </w:t>
      </w:r>
    </w:p>
    <w:p w:rsidR="00EA43CD" w:rsidRPr="00EF29FB" w:rsidRDefault="00EA43CD" w:rsidP="00EF29FB">
      <w:pPr>
        <w:widowControl w:val="0"/>
        <w:spacing w:line="240" w:lineRule="auto"/>
        <w:rPr>
          <w:b/>
          <w:szCs w:val="22"/>
          <w:lang w:val="sr-Latn-M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0"/>
        <w:gridCol w:w="4541"/>
      </w:tblGrid>
      <w:tr w:rsidR="00EA43CD" w:rsidRPr="00EF29FB">
        <w:tc>
          <w:tcPr>
            <w:tcW w:w="9289" w:type="dxa"/>
            <w:gridSpan w:val="2"/>
            <w:tcBorders>
              <w:top w:val="single" w:sz="4" w:space="0" w:color="auto"/>
              <w:left w:val="single" w:sz="4" w:space="0" w:color="auto"/>
              <w:bottom w:val="single" w:sz="4" w:space="0" w:color="auto"/>
              <w:right w:val="single" w:sz="4" w:space="0" w:color="auto"/>
            </w:tcBorders>
            <w:hideMark/>
          </w:tcPr>
          <w:p w:rsidR="00EA43CD" w:rsidRPr="00EF29FB" w:rsidRDefault="002B696B" w:rsidP="00EF29FB">
            <w:pPr>
              <w:widowControl w:val="0"/>
              <w:spacing w:line="240" w:lineRule="auto"/>
              <w:rPr>
                <w:b/>
                <w:szCs w:val="22"/>
                <w:lang w:val="sr-Latn-ME"/>
              </w:rPr>
            </w:pPr>
            <w:r w:rsidRPr="00EF29FB">
              <w:rPr>
                <w:b/>
                <w:szCs w:val="22"/>
                <w:lang w:val="sr-Latn-ME"/>
              </w:rPr>
              <w:t>Poremećaj krvi i limfnog sistema</w:t>
            </w:r>
          </w:p>
        </w:tc>
      </w:tr>
      <w:tr w:rsidR="00EA43CD" w:rsidRPr="00EF29FB">
        <w:tc>
          <w:tcPr>
            <w:tcW w:w="4644" w:type="dxa"/>
            <w:tcBorders>
              <w:top w:val="single" w:sz="4" w:space="0" w:color="auto"/>
              <w:left w:val="single" w:sz="4" w:space="0" w:color="auto"/>
              <w:bottom w:val="single" w:sz="4" w:space="0" w:color="auto"/>
              <w:right w:val="single" w:sz="4" w:space="0" w:color="auto"/>
            </w:tcBorders>
            <w:hideMark/>
          </w:tcPr>
          <w:p w:rsidR="00EA43CD" w:rsidRPr="00EF29FB" w:rsidRDefault="002B696B" w:rsidP="00EF29FB">
            <w:pPr>
              <w:widowControl w:val="0"/>
              <w:spacing w:line="240" w:lineRule="auto"/>
              <w:rPr>
                <w:szCs w:val="22"/>
                <w:lang w:val="sr-Latn-ME"/>
              </w:rPr>
            </w:pPr>
            <w:r w:rsidRPr="00EF29FB">
              <w:rPr>
                <w:szCs w:val="22"/>
                <w:lang w:val="sr-Latn-ME"/>
              </w:rPr>
              <w:t xml:space="preserve">Nepoznato </w:t>
            </w:r>
          </w:p>
        </w:tc>
        <w:tc>
          <w:tcPr>
            <w:tcW w:w="4645" w:type="dxa"/>
            <w:tcBorders>
              <w:top w:val="single" w:sz="4" w:space="0" w:color="auto"/>
              <w:left w:val="single" w:sz="4" w:space="0" w:color="auto"/>
              <w:bottom w:val="single" w:sz="4" w:space="0" w:color="auto"/>
              <w:right w:val="single" w:sz="4" w:space="0" w:color="auto"/>
            </w:tcBorders>
            <w:hideMark/>
          </w:tcPr>
          <w:p w:rsidR="00EA43CD" w:rsidRPr="00EF29FB" w:rsidRDefault="002B696B" w:rsidP="00EF29FB">
            <w:pPr>
              <w:widowControl w:val="0"/>
              <w:spacing w:line="240" w:lineRule="auto"/>
              <w:rPr>
                <w:szCs w:val="22"/>
                <w:lang w:val="sr-Latn-ME"/>
              </w:rPr>
            </w:pPr>
            <w:r w:rsidRPr="00EF29FB">
              <w:rPr>
                <w:szCs w:val="22"/>
                <w:lang w:val="sr-Latn-ME"/>
              </w:rPr>
              <w:t>Trombocitopenija</w:t>
            </w:r>
          </w:p>
        </w:tc>
      </w:tr>
      <w:tr w:rsidR="00EA43CD" w:rsidRPr="00EF29FB">
        <w:tc>
          <w:tcPr>
            <w:tcW w:w="9289" w:type="dxa"/>
            <w:gridSpan w:val="2"/>
            <w:tcBorders>
              <w:top w:val="single" w:sz="4" w:space="0" w:color="auto"/>
              <w:left w:val="single" w:sz="4" w:space="0" w:color="auto"/>
              <w:bottom w:val="single" w:sz="4" w:space="0" w:color="auto"/>
              <w:right w:val="single" w:sz="4" w:space="0" w:color="auto"/>
            </w:tcBorders>
            <w:hideMark/>
          </w:tcPr>
          <w:p w:rsidR="00EA43CD" w:rsidRPr="00EF29FB" w:rsidRDefault="002B696B" w:rsidP="00EF29FB">
            <w:pPr>
              <w:widowControl w:val="0"/>
              <w:spacing w:line="240" w:lineRule="auto"/>
              <w:rPr>
                <w:b/>
                <w:szCs w:val="22"/>
                <w:lang w:val="sr-Latn-ME"/>
              </w:rPr>
            </w:pPr>
            <w:r w:rsidRPr="00EF29FB">
              <w:rPr>
                <w:b/>
                <w:szCs w:val="22"/>
                <w:lang w:val="sr-Latn-ME"/>
              </w:rPr>
              <w:t>Poremećaji imunog sistema</w:t>
            </w:r>
          </w:p>
        </w:tc>
      </w:tr>
      <w:tr w:rsidR="00EA43CD" w:rsidRPr="00EF29FB">
        <w:tc>
          <w:tcPr>
            <w:tcW w:w="4644" w:type="dxa"/>
            <w:tcBorders>
              <w:top w:val="single" w:sz="4" w:space="0" w:color="auto"/>
              <w:left w:val="single" w:sz="4" w:space="0" w:color="auto"/>
              <w:bottom w:val="single" w:sz="4" w:space="0" w:color="auto"/>
              <w:right w:val="single" w:sz="4" w:space="0" w:color="auto"/>
            </w:tcBorders>
            <w:hideMark/>
          </w:tcPr>
          <w:p w:rsidR="00EA43CD" w:rsidRPr="00EF29FB" w:rsidRDefault="002B696B" w:rsidP="00EF29FB">
            <w:pPr>
              <w:widowControl w:val="0"/>
              <w:spacing w:line="240" w:lineRule="auto"/>
              <w:rPr>
                <w:szCs w:val="22"/>
                <w:lang w:val="sr-Latn-ME"/>
              </w:rPr>
            </w:pPr>
            <w:r w:rsidRPr="00EF29FB">
              <w:rPr>
                <w:szCs w:val="22"/>
                <w:lang w:val="sr-Latn-ME"/>
              </w:rPr>
              <w:t xml:space="preserve">Nepoznato </w:t>
            </w:r>
          </w:p>
        </w:tc>
        <w:tc>
          <w:tcPr>
            <w:tcW w:w="4645" w:type="dxa"/>
            <w:tcBorders>
              <w:top w:val="single" w:sz="4" w:space="0" w:color="auto"/>
              <w:left w:val="single" w:sz="4" w:space="0" w:color="auto"/>
              <w:bottom w:val="single" w:sz="4" w:space="0" w:color="auto"/>
              <w:right w:val="single" w:sz="4" w:space="0" w:color="auto"/>
            </w:tcBorders>
            <w:hideMark/>
          </w:tcPr>
          <w:p w:rsidR="00EA43CD" w:rsidRPr="00EF29FB" w:rsidRDefault="002B696B" w:rsidP="00EF29FB">
            <w:pPr>
              <w:widowControl w:val="0"/>
              <w:spacing w:line="240" w:lineRule="auto"/>
              <w:rPr>
                <w:szCs w:val="22"/>
                <w:lang w:val="sr-Latn-ME"/>
              </w:rPr>
            </w:pPr>
            <w:r w:rsidRPr="00EF29FB">
              <w:rPr>
                <w:szCs w:val="22"/>
                <w:lang w:val="sr-Latn-ME"/>
              </w:rPr>
              <w:t>Preosjetljivost uključujući serumsku bolest</w:t>
            </w:r>
          </w:p>
        </w:tc>
      </w:tr>
      <w:tr w:rsidR="00EA43CD" w:rsidRPr="00EF29FB">
        <w:tc>
          <w:tcPr>
            <w:tcW w:w="9289" w:type="dxa"/>
            <w:gridSpan w:val="2"/>
            <w:tcBorders>
              <w:top w:val="single" w:sz="4" w:space="0" w:color="auto"/>
              <w:left w:val="single" w:sz="4" w:space="0" w:color="auto"/>
              <w:bottom w:val="single" w:sz="4" w:space="0" w:color="auto"/>
              <w:right w:val="single" w:sz="4" w:space="0" w:color="auto"/>
            </w:tcBorders>
            <w:hideMark/>
          </w:tcPr>
          <w:p w:rsidR="00EA43CD" w:rsidRPr="00EF29FB" w:rsidRDefault="002B696B" w:rsidP="00EF29FB">
            <w:pPr>
              <w:widowControl w:val="0"/>
              <w:spacing w:line="240" w:lineRule="auto"/>
              <w:rPr>
                <w:b/>
                <w:szCs w:val="22"/>
                <w:lang w:val="sr-Latn-ME"/>
              </w:rPr>
            </w:pPr>
            <w:r w:rsidRPr="00EF29FB">
              <w:rPr>
                <w:b/>
                <w:szCs w:val="22"/>
                <w:lang w:val="sr-Latn-ME"/>
              </w:rPr>
              <w:t>Poremećaji metabolizma i ishrane</w:t>
            </w:r>
          </w:p>
        </w:tc>
      </w:tr>
      <w:tr w:rsidR="00EA43CD" w:rsidRPr="00EF29FB">
        <w:tc>
          <w:tcPr>
            <w:tcW w:w="4644" w:type="dxa"/>
            <w:tcBorders>
              <w:top w:val="single" w:sz="4" w:space="0" w:color="auto"/>
              <w:left w:val="single" w:sz="4" w:space="0" w:color="auto"/>
              <w:bottom w:val="single" w:sz="4" w:space="0" w:color="auto"/>
              <w:right w:val="single" w:sz="4" w:space="0" w:color="auto"/>
            </w:tcBorders>
            <w:hideMark/>
          </w:tcPr>
          <w:p w:rsidR="00EA43CD" w:rsidRPr="00EF29FB" w:rsidRDefault="002B696B" w:rsidP="00EF29FB">
            <w:pPr>
              <w:widowControl w:val="0"/>
              <w:spacing w:line="240" w:lineRule="auto"/>
              <w:rPr>
                <w:szCs w:val="22"/>
                <w:lang w:val="sr-Latn-ME"/>
              </w:rPr>
            </w:pPr>
            <w:r w:rsidRPr="00EF29FB">
              <w:rPr>
                <w:szCs w:val="22"/>
                <w:lang w:val="sr-Latn-ME"/>
              </w:rPr>
              <w:t xml:space="preserve">Povremeno </w:t>
            </w:r>
          </w:p>
        </w:tc>
        <w:tc>
          <w:tcPr>
            <w:tcW w:w="4645" w:type="dxa"/>
            <w:tcBorders>
              <w:top w:val="single" w:sz="4" w:space="0" w:color="auto"/>
              <w:left w:val="single" w:sz="4" w:space="0" w:color="auto"/>
              <w:bottom w:val="single" w:sz="4" w:space="0" w:color="auto"/>
              <w:right w:val="single" w:sz="4" w:space="0" w:color="auto"/>
            </w:tcBorders>
            <w:hideMark/>
          </w:tcPr>
          <w:p w:rsidR="00EA43CD" w:rsidRPr="00EF29FB" w:rsidRDefault="002B696B" w:rsidP="00EF29FB">
            <w:pPr>
              <w:widowControl w:val="0"/>
              <w:spacing w:line="240" w:lineRule="auto"/>
              <w:rPr>
                <w:szCs w:val="22"/>
                <w:lang w:val="sr-Latn-ME"/>
              </w:rPr>
            </w:pPr>
            <w:r w:rsidRPr="00EF29FB">
              <w:rPr>
                <w:szCs w:val="22"/>
                <w:lang w:val="sr-Latn-ME"/>
              </w:rPr>
              <w:t xml:space="preserve">Hiperkalijemija </w:t>
            </w:r>
          </w:p>
        </w:tc>
      </w:tr>
      <w:tr w:rsidR="00EA43CD" w:rsidRPr="00EF29FB">
        <w:tc>
          <w:tcPr>
            <w:tcW w:w="4644" w:type="dxa"/>
            <w:tcBorders>
              <w:top w:val="single" w:sz="4" w:space="0" w:color="auto"/>
              <w:left w:val="single" w:sz="4" w:space="0" w:color="auto"/>
              <w:bottom w:val="single" w:sz="4" w:space="0" w:color="auto"/>
              <w:right w:val="single" w:sz="4" w:space="0" w:color="auto"/>
            </w:tcBorders>
            <w:hideMark/>
          </w:tcPr>
          <w:p w:rsidR="00EA43CD" w:rsidRPr="00EF29FB" w:rsidRDefault="002B696B" w:rsidP="00EF29FB">
            <w:pPr>
              <w:widowControl w:val="0"/>
              <w:spacing w:line="240" w:lineRule="auto"/>
              <w:rPr>
                <w:szCs w:val="22"/>
                <w:lang w:val="sr-Latn-ME"/>
              </w:rPr>
            </w:pPr>
            <w:r w:rsidRPr="00EF29FB">
              <w:rPr>
                <w:szCs w:val="22"/>
                <w:lang w:val="sr-Latn-ME"/>
              </w:rPr>
              <w:t>Nepoznato</w:t>
            </w:r>
          </w:p>
        </w:tc>
        <w:tc>
          <w:tcPr>
            <w:tcW w:w="4645" w:type="dxa"/>
            <w:tcBorders>
              <w:top w:val="single" w:sz="4" w:space="0" w:color="auto"/>
              <w:left w:val="single" w:sz="4" w:space="0" w:color="auto"/>
              <w:bottom w:val="single" w:sz="4" w:space="0" w:color="auto"/>
              <w:right w:val="single" w:sz="4" w:space="0" w:color="auto"/>
            </w:tcBorders>
            <w:hideMark/>
          </w:tcPr>
          <w:p w:rsidR="00EA43CD" w:rsidRPr="00EF29FB" w:rsidRDefault="002B696B" w:rsidP="00EF29FB">
            <w:pPr>
              <w:widowControl w:val="0"/>
              <w:spacing w:line="240" w:lineRule="auto"/>
              <w:rPr>
                <w:szCs w:val="22"/>
                <w:lang w:val="sr-Latn-ME"/>
              </w:rPr>
            </w:pPr>
            <w:r w:rsidRPr="00EF29FB">
              <w:rPr>
                <w:szCs w:val="22"/>
                <w:lang w:val="sr-Latn-ME"/>
              </w:rPr>
              <w:t>Povećanje koncentracije kalijuma u serumu, hiponatrijemija</w:t>
            </w:r>
          </w:p>
        </w:tc>
      </w:tr>
      <w:tr w:rsidR="00EA43CD" w:rsidRPr="00EF29FB">
        <w:tc>
          <w:tcPr>
            <w:tcW w:w="9289" w:type="dxa"/>
            <w:gridSpan w:val="2"/>
            <w:tcBorders>
              <w:top w:val="single" w:sz="4" w:space="0" w:color="auto"/>
              <w:left w:val="single" w:sz="4" w:space="0" w:color="auto"/>
              <w:bottom w:val="single" w:sz="4" w:space="0" w:color="auto"/>
              <w:right w:val="single" w:sz="4" w:space="0" w:color="auto"/>
            </w:tcBorders>
            <w:hideMark/>
          </w:tcPr>
          <w:p w:rsidR="00EA43CD" w:rsidRPr="00EF29FB" w:rsidRDefault="002B696B" w:rsidP="00EF29FB">
            <w:pPr>
              <w:widowControl w:val="0"/>
              <w:spacing w:line="240" w:lineRule="auto"/>
              <w:rPr>
                <w:b/>
                <w:szCs w:val="22"/>
                <w:lang w:val="sr-Latn-ME"/>
              </w:rPr>
            </w:pPr>
            <w:r w:rsidRPr="00EF29FB">
              <w:rPr>
                <w:b/>
                <w:szCs w:val="22"/>
                <w:lang w:val="sr-Latn-ME"/>
              </w:rPr>
              <w:t>Poremećaji nervnog sistema</w:t>
            </w:r>
          </w:p>
        </w:tc>
      </w:tr>
      <w:tr w:rsidR="00EA43CD" w:rsidRPr="00EF29FB">
        <w:tc>
          <w:tcPr>
            <w:tcW w:w="4644" w:type="dxa"/>
            <w:tcBorders>
              <w:top w:val="single" w:sz="4" w:space="0" w:color="auto"/>
              <w:left w:val="single" w:sz="4" w:space="0" w:color="auto"/>
              <w:bottom w:val="single" w:sz="4" w:space="0" w:color="auto"/>
              <w:right w:val="single" w:sz="4" w:space="0" w:color="auto"/>
            </w:tcBorders>
            <w:hideMark/>
          </w:tcPr>
          <w:p w:rsidR="00EA43CD" w:rsidRPr="00EF29FB" w:rsidRDefault="002B696B" w:rsidP="00EF29FB">
            <w:pPr>
              <w:widowControl w:val="0"/>
              <w:spacing w:line="240" w:lineRule="auto"/>
              <w:rPr>
                <w:szCs w:val="22"/>
                <w:lang w:val="sr-Latn-ME"/>
              </w:rPr>
            </w:pPr>
            <w:r w:rsidRPr="00EF29FB">
              <w:rPr>
                <w:szCs w:val="22"/>
                <w:lang w:val="sr-Latn-ME"/>
              </w:rPr>
              <w:t xml:space="preserve">Često </w:t>
            </w:r>
          </w:p>
        </w:tc>
        <w:tc>
          <w:tcPr>
            <w:tcW w:w="4645" w:type="dxa"/>
            <w:tcBorders>
              <w:top w:val="single" w:sz="4" w:space="0" w:color="auto"/>
              <w:left w:val="single" w:sz="4" w:space="0" w:color="auto"/>
              <w:bottom w:val="single" w:sz="4" w:space="0" w:color="auto"/>
              <w:right w:val="single" w:sz="4" w:space="0" w:color="auto"/>
            </w:tcBorders>
            <w:hideMark/>
          </w:tcPr>
          <w:p w:rsidR="00EA43CD" w:rsidRPr="00EF29FB" w:rsidRDefault="002B696B" w:rsidP="00EF29FB">
            <w:pPr>
              <w:widowControl w:val="0"/>
              <w:spacing w:line="240" w:lineRule="auto"/>
              <w:rPr>
                <w:szCs w:val="22"/>
                <w:lang w:val="sr-Latn-ME"/>
              </w:rPr>
            </w:pPr>
            <w:r w:rsidRPr="00EF29FB">
              <w:rPr>
                <w:szCs w:val="22"/>
                <w:lang w:val="sr-Latn-ME"/>
              </w:rPr>
              <w:t>Vrtoglavica, posturalna vrtoglavica</w:t>
            </w:r>
          </w:p>
        </w:tc>
      </w:tr>
      <w:tr w:rsidR="00EA43CD" w:rsidRPr="00EF29FB">
        <w:tc>
          <w:tcPr>
            <w:tcW w:w="4644" w:type="dxa"/>
            <w:tcBorders>
              <w:top w:val="single" w:sz="4" w:space="0" w:color="auto"/>
              <w:left w:val="single" w:sz="4" w:space="0" w:color="auto"/>
              <w:bottom w:val="single" w:sz="4" w:space="0" w:color="auto"/>
              <w:right w:val="single" w:sz="4" w:space="0" w:color="auto"/>
            </w:tcBorders>
            <w:hideMark/>
          </w:tcPr>
          <w:p w:rsidR="00EA43CD" w:rsidRPr="00EF29FB" w:rsidRDefault="002B696B" w:rsidP="00EF29FB">
            <w:pPr>
              <w:widowControl w:val="0"/>
              <w:spacing w:line="240" w:lineRule="auto"/>
              <w:rPr>
                <w:szCs w:val="22"/>
                <w:lang w:val="sr-Latn-ME"/>
              </w:rPr>
            </w:pPr>
            <w:r w:rsidRPr="00EF29FB">
              <w:rPr>
                <w:szCs w:val="22"/>
                <w:lang w:val="sr-Latn-ME"/>
              </w:rPr>
              <w:t xml:space="preserve">Povremeno </w:t>
            </w:r>
          </w:p>
        </w:tc>
        <w:tc>
          <w:tcPr>
            <w:tcW w:w="4645" w:type="dxa"/>
            <w:tcBorders>
              <w:top w:val="single" w:sz="4" w:space="0" w:color="auto"/>
              <w:left w:val="single" w:sz="4" w:space="0" w:color="auto"/>
              <w:bottom w:val="single" w:sz="4" w:space="0" w:color="auto"/>
              <w:right w:val="single" w:sz="4" w:space="0" w:color="auto"/>
            </w:tcBorders>
            <w:hideMark/>
          </w:tcPr>
          <w:p w:rsidR="00EA43CD" w:rsidRPr="00EF29FB" w:rsidRDefault="002B696B" w:rsidP="00EF29FB">
            <w:pPr>
              <w:widowControl w:val="0"/>
              <w:spacing w:line="240" w:lineRule="auto"/>
              <w:rPr>
                <w:szCs w:val="22"/>
                <w:lang w:val="sr-Latn-ME"/>
              </w:rPr>
            </w:pPr>
            <w:r w:rsidRPr="00EF29FB">
              <w:rPr>
                <w:szCs w:val="22"/>
                <w:lang w:val="sr-Latn-ME"/>
              </w:rPr>
              <w:t>Sinkopa, glavobolja</w:t>
            </w:r>
          </w:p>
        </w:tc>
      </w:tr>
      <w:tr w:rsidR="00EA43CD" w:rsidRPr="00EF29FB">
        <w:tc>
          <w:tcPr>
            <w:tcW w:w="9289" w:type="dxa"/>
            <w:gridSpan w:val="2"/>
            <w:tcBorders>
              <w:top w:val="single" w:sz="4" w:space="0" w:color="auto"/>
              <w:left w:val="single" w:sz="4" w:space="0" w:color="auto"/>
              <w:bottom w:val="single" w:sz="4" w:space="0" w:color="auto"/>
              <w:right w:val="single" w:sz="4" w:space="0" w:color="auto"/>
            </w:tcBorders>
            <w:hideMark/>
          </w:tcPr>
          <w:p w:rsidR="00EA43CD" w:rsidRPr="00EF29FB" w:rsidRDefault="002B696B" w:rsidP="00EF29FB">
            <w:pPr>
              <w:widowControl w:val="0"/>
              <w:spacing w:line="240" w:lineRule="auto"/>
              <w:rPr>
                <w:b/>
                <w:szCs w:val="22"/>
                <w:lang w:val="sr-Latn-ME"/>
              </w:rPr>
            </w:pPr>
            <w:r w:rsidRPr="00EF29FB">
              <w:rPr>
                <w:b/>
                <w:szCs w:val="22"/>
                <w:lang w:val="sr-Latn-ME"/>
              </w:rPr>
              <w:t>Poremećaji na nivou uha i labirinta</w:t>
            </w:r>
          </w:p>
        </w:tc>
      </w:tr>
      <w:tr w:rsidR="00EA43CD" w:rsidRPr="00EF29FB">
        <w:tc>
          <w:tcPr>
            <w:tcW w:w="4644" w:type="dxa"/>
            <w:tcBorders>
              <w:top w:val="single" w:sz="4" w:space="0" w:color="auto"/>
              <w:left w:val="single" w:sz="4" w:space="0" w:color="auto"/>
              <w:bottom w:val="single" w:sz="4" w:space="0" w:color="auto"/>
              <w:right w:val="single" w:sz="4" w:space="0" w:color="auto"/>
            </w:tcBorders>
            <w:hideMark/>
          </w:tcPr>
          <w:p w:rsidR="00EA43CD" w:rsidRPr="00EF29FB" w:rsidRDefault="002B696B" w:rsidP="00EF29FB">
            <w:pPr>
              <w:widowControl w:val="0"/>
              <w:spacing w:line="240" w:lineRule="auto"/>
              <w:rPr>
                <w:szCs w:val="22"/>
                <w:lang w:val="sr-Latn-ME"/>
              </w:rPr>
            </w:pPr>
            <w:r w:rsidRPr="00EF29FB">
              <w:rPr>
                <w:szCs w:val="22"/>
                <w:lang w:val="sr-Latn-ME"/>
              </w:rPr>
              <w:t xml:space="preserve">Povremeno </w:t>
            </w:r>
          </w:p>
        </w:tc>
        <w:tc>
          <w:tcPr>
            <w:tcW w:w="4645" w:type="dxa"/>
            <w:tcBorders>
              <w:top w:val="single" w:sz="4" w:space="0" w:color="auto"/>
              <w:left w:val="single" w:sz="4" w:space="0" w:color="auto"/>
              <w:bottom w:val="single" w:sz="4" w:space="0" w:color="auto"/>
              <w:right w:val="single" w:sz="4" w:space="0" w:color="auto"/>
            </w:tcBorders>
            <w:hideMark/>
          </w:tcPr>
          <w:p w:rsidR="00EA43CD" w:rsidRPr="00EF29FB" w:rsidRDefault="002B696B" w:rsidP="00EF29FB">
            <w:pPr>
              <w:widowControl w:val="0"/>
              <w:spacing w:line="240" w:lineRule="auto"/>
              <w:rPr>
                <w:szCs w:val="22"/>
                <w:lang w:val="sr-Latn-ME"/>
              </w:rPr>
            </w:pPr>
            <w:r w:rsidRPr="00EF29FB">
              <w:rPr>
                <w:szCs w:val="22"/>
                <w:lang w:val="sr-Latn-ME"/>
              </w:rPr>
              <w:t xml:space="preserve">Vertigo </w:t>
            </w:r>
          </w:p>
        </w:tc>
      </w:tr>
      <w:tr w:rsidR="00EA43CD" w:rsidRPr="00EF29FB">
        <w:tc>
          <w:tcPr>
            <w:tcW w:w="9289" w:type="dxa"/>
            <w:gridSpan w:val="2"/>
            <w:tcBorders>
              <w:top w:val="single" w:sz="4" w:space="0" w:color="auto"/>
              <w:left w:val="single" w:sz="4" w:space="0" w:color="auto"/>
              <w:bottom w:val="single" w:sz="4" w:space="0" w:color="auto"/>
              <w:right w:val="single" w:sz="4" w:space="0" w:color="auto"/>
            </w:tcBorders>
            <w:hideMark/>
          </w:tcPr>
          <w:p w:rsidR="00EA43CD" w:rsidRPr="00EF29FB" w:rsidRDefault="002B696B" w:rsidP="00EF29FB">
            <w:pPr>
              <w:widowControl w:val="0"/>
              <w:spacing w:line="240" w:lineRule="auto"/>
              <w:rPr>
                <w:b/>
                <w:szCs w:val="22"/>
                <w:lang w:val="sr-Latn-ME"/>
              </w:rPr>
            </w:pPr>
            <w:r w:rsidRPr="00EF29FB">
              <w:rPr>
                <w:b/>
                <w:szCs w:val="22"/>
                <w:lang w:val="sr-Latn-ME"/>
              </w:rPr>
              <w:t>Srčani poremećaji</w:t>
            </w:r>
          </w:p>
        </w:tc>
      </w:tr>
      <w:tr w:rsidR="00EA43CD" w:rsidRPr="00EF29FB">
        <w:tc>
          <w:tcPr>
            <w:tcW w:w="4644" w:type="dxa"/>
            <w:tcBorders>
              <w:top w:val="single" w:sz="4" w:space="0" w:color="auto"/>
              <w:left w:val="single" w:sz="4" w:space="0" w:color="auto"/>
              <w:bottom w:val="single" w:sz="4" w:space="0" w:color="auto"/>
              <w:right w:val="single" w:sz="4" w:space="0" w:color="auto"/>
            </w:tcBorders>
            <w:hideMark/>
          </w:tcPr>
          <w:p w:rsidR="00EA43CD" w:rsidRPr="00EF29FB" w:rsidRDefault="002B696B" w:rsidP="00EF29FB">
            <w:pPr>
              <w:widowControl w:val="0"/>
              <w:spacing w:line="240" w:lineRule="auto"/>
              <w:rPr>
                <w:szCs w:val="22"/>
                <w:lang w:val="sr-Latn-ME"/>
              </w:rPr>
            </w:pPr>
            <w:r w:rsidRPr="00EF29FB">
              <w:rPr>
                <w:szCs w:val="22"/>
                <w:lang w:val="sr-Latn-ME"/>
              </w:rPr>
              <w:t>Povremeno</w:t>
            </w:r>
          </w:p>
        </w:tc>
        <w:tc>
          <w:tcPr>
            <w:tcW w:w="4645" w:type="dxa"/>
            <w:tcBorders>
              <w:top w:val="single" w:sz="4" w:space="0" w:color="auto"/>
              <w:left w:val="single" w:sz="4" w:space="0" w:color="auto"/>
              <w:bottom w:val="single" w:sz="4" w:space="0" w:color="auto"/>
              <w:right w:val="single" w:sz="4" w:space="0" w:color="auto"/>
            </w:tcBorders>
            <w:hideMark/>
          </w:tcPr>
          <w:p w:rsidR="00EA43CD" w:rsidRPr="00EF29FB" w:rsidRDefault="002B696B" w:rsidP="00EF29FB">
            <w:pPr>
              <w:widowControl w:val="0"/>
              <w:spacing w:line="240" w:lineRule="auto"/>
              <w:rPr>
                <w:szCs w:val="22"/>
                <w:lang w:val="sr-Latn-ME"/>
              </w:rPr>
            </w:pPr>
            <w:r w:rsidRPr="00EF29FB">
              <w:rPr>
                <w:szCs w:val="22"/>
                <w:lang w:val="sr-Latn-ME"/>
              </w:rPr>
              <w:t>Srčana insuficijencija</w:t>
            </w:r>
          </w:p>
        </w:tc>
      </w:tr>
      <w:tr w:rsidR="00EA43CD" w:rsidRPr="00EF29FB">
        <w:tc>
          <w:tcPr>
            <w:tcW w:w="9289" w:type="dxa"/>
            <w:gridSpan w:val="2"/>
            <w:tcBorders>
              <w:top w:val="single" w:sz="4" w:space="0" w:color="auto"/>
              <w:left w:val="single" w:sz="4" w:space="0" w:color="auto"/>
              <w:bottom w:val="single" w:sz="4" w:space="0" w:color="auto"/>
              <w:right w:val="single" w:sz="4" w:space="0" w:color="auto"/>
            </w:tcBorders>
            <w:hideMark/>
          </w:tcPr>
          <w:p w:rsidR="00EA43CD" w:rsidRPr="00EF29FB" w:rsidRDefault="002B696B" w:rsidP="00EF29FB">
            <w:pPr>
              <w:widowControl w:val="0"/>
              <w:spacing w:line="240" w:lineRule="auto"/>
              <w:rPr>
                <w:b/>
                <w:szCs w:val="22"/>
                <w:lang w:val="sr-Latn-ME"/>
              </w:rPr>
            </w:pPr>
            <w:r w:rsidRPr="00EF29FB">
              <w:rPr>
                <w:b/>
                <w:szCs w:val="22"/>
                <w:lang w:val="sr-Latn-ME"/>
              </w:rPr>
              <w:t>Vaskularni poremećaji</w:t>
            </w:r>
          </w:p>
        </w:tc>
      </w:tr>
      <w:tr w:rsidR="00EA43CD" w:rsidRPr="00EF29FB">
        <w:tc>
          <w:tcPr>
            <w:tcW w:w="4644" w:type="dxa"/>
            <w:tcBorders>
              <w:top w:val="single" w:sz="4" w:space="0" w:color="auto"/>
              <w:left w:val="single" w:sz="4" w:space="0" w:color="auto"/>
              <w:bottom w:val="single" w:sz="4" w:space="0" w:color="auto"/>
              <w:right w:val="single" w:sz="4" w:space="0" w:color="auto"/>
            </w:tcBorders>
            <w:hideMark/>
          </w:tcPr>
          <w:p w:rsidR="00EA43CD" w:rsidRPr="00EF29FB" w:rsidRDefault="002B696B" w:rsidP="00EF29FB">
            <w:pPr>
              <w:widowControl w:val="0"/>
              <w:spacing w:line="240" w:lineRule="auto"/>
              <w:rPr>
                <w:szCs w:val="22"/>
                <w:lang w:val="sr-Latn-ME"/>
              </w:rPr>
            </w:pPr>
            <w:r w:rsidRPr="00EF29FB">
              <w:rPr>
                <w:szCs w:val="22"/>
                <w:lang w:val="sr-Latn-ME"/>
              </w:rPr>
              <w:t xml:space="preserve">Često </w:t>
            </w:r>
          </w:p>
        </w:tc>
        <w:tc>
          <w:tcPr>
            <w:tcW w:w="4645" w:type="dxa"/>
            <w:tcBorders>
              <w:top w:val="single" w:sz="4" w:space="0" w:color="auto"/>
              <w:left w:val="single" w:sz="4" w:space="0" w:color="auto"/>
              <w:bottom w:val="single" w:sz="4" w:space="0" w:color="auto"/>
              <w:right w:val="single" w:sz="4" w:space="0" w:color="auto"/>
            </w:tcBorders>
            <w:hideMark/>
          </w:tcPr>
          <w:p w:rsidR="00EA43CD" w:rsidRPr="00EF29FB" w:rsidRDefault="002B696B" w:rsidP="00EF29FB">
            <w:pPr>
              <w:widowControl w:val="0"/>
              <w:spacing w:line="240" w:lineRule="auto"/>
              <w:rPr>
                <w:szCs w:val="22"/>
                <w:lang w:val="sr-Latn-ME"/>
              </w:rPr>
            </w:pPr>
            <w:r w:rsidRPr="00EF29FB">
              <w:rPr>
                <w:szCs w:val="22"/>
                <w:lang w:val="sr-Latn-ME"/>
              </w:rPr>
              <w:t xml:space="preserve">Hipotenzija, ortostatska hipotenzija </w:t>
            </w:r>
          </w:p>
        </w:tc>
      </w:tr>
      <w:tr w:rsidR="00EA43CD" w:rsidRPr="00EF29FB">
        <w:tc>
          <w:tcPr>
            <w:tcW w:w="4644" w:type="dxa"/>
            <w:tcBorders>
              <w:top w:val="single" w:sz="4" w:space="0" w:color="auto"/>
              <w:left w:val="single" w:sz="4" w:space="0" w:color="auto"/>
              <w:bottom w:val="single" w:sz="4" w:space="0" w:color="auto"/>
              <w:right w:val="single" w:sz="4" w:space="0" w:color="auto"/>
            </w:tcBorders>
            <w:hideMark/>
          </w:tcPr>
          <w:p w:rsidR="00EA43CD" w:rsidRPr="00EF29FB" w:rsidRDefault="002B696B" w:rsidP="00EF29FB">
            <w:pPr>
              <w:widowControl w:val="0"/>
              <w:spacing w:line="240" w:lineRule="auto"/>
              <w:rPr>
                <w:szCs w:val="22"/>
                <w:lang w:val="sr-Latn-ME"/>
              </w:rPr>
            </w:pPr>
            <w:r w:rsidRPr="00EF29FB">
              <w:rPr>
                <w:szCs w:val="22"/>
                <w:lang w:val="sr-Latn-ME"/>
              </w:rPr>
              <w:t>Nepoznato</w:t>
            </w:r>
          </w:p>
        </w:tc>
        <w:tc>
          <w:tcPr>
            <w:tcW w:w="4645" w:type="dxa"/>
            <w:tcBorders>
              <w:top w:val="single" w:sz="4" w:space="0" w:color="auto"/>
              <w:left w:val="single" w:sz="4" w:space="0" w:color="auto"/>
              <w:bottom w:val="single" w:sz="4" w:space="0" w:color="auto"/>
              <w:right w:val="single" w:sz="4" w:space="0" w:color="auto"/>
            </w:tcBorders>
            <w:hideMark/>
          </w:tcPr>
          <w:p w:rsidR="00EA43CD" w:rsidRPr="00EF29FB" w:rsidRDefault="002B696B" w:rsidP="00EF29FB">
            <w:pPr>
              <w:widowControl w:val="0"/>
              <w:spacing w:line="240" w:lineRule="auto"/>
              <w:rPr>
                <w:szCs w:val="22"/>
                <w:lang w:val="sr-Latn-ME"/>
              </w:rPr>
            </w:pPr>
            <w:r w:rsidRPr="00EF29FB">
              <w:rPr>
                <w:szCs w:val="22"/>
                <w:lang w:val="sr-Latn-ME"/>
              </w:rPr>
              <w:t>Vaskulitis</w:t>
            </w:r>
          </w:p>
        </w:tc>
      </w:tr>
      <w:tr w:rsidR="00EA43CD" w:rsidRPr="00EF29FB">
        <w:tc>
          <w:tcPr>
            <w:tcW w:w="9289" w:type="dxa"/>
            <w:gridSpan w:val="2"/>
            <w:tcBorders>
              <w:top w:val="single" w:sz="4" w:space="0" w:color="auto"/>
              <w:left w:val="single" w:sz="4" w:space="0" w:color="auto"/>
              <w:bottom w:val="single" w:sz="4" w:space="0" w:color="auto"/>
              <w:right w:val="single" w:sz="4" w:space="0" w:color="auto"/>
            </w:tcBorders>
            <w:hideMark/>
          </w:tcPr>
          <w:p w:rsidR="00EA43CD" w:rsidRPr="00EF29FB" w:rsidRDefault="002B696B" w:rsidP="00EF29FB">
            <w:pPr>
              <w:widowControl w:val="0"/>
              <w:spacing w:line="240" w:lineRule="auto"/>
              <w:rPr>
                <w:szCs w:val="22"/>
                <w:lang w:val="sr-Latn-ME"/>
              </w:rPr>
            </w:pPr>
            <w:r w:rsidRPr="00EF29FB">
              <w:rPr>
                <w:b/>
                <w:bCs/>
                <w:color w:val="000000"/>
                <w:szCs w:val="22"/>
                <w:lang w:val="sr-Latn-ME"/>
              </w:rPr>
              <w:t>Respiratorni, torakalni i medijastinalni poremećaji</w:t>
            </w:r>
          </w:p>
        </w:tc>
      </w:tr>
      <w:tr w:rsidR="00EA43CD" w:rsidRPr="00EF29FB">
        <w:tc>
          <w:tcPr>
            <w:tcW w:w="4644" w:type="dxa"/>
            <w:tcBorders>
              <w:top w:val="single" w:sz="4" w:space="0" w:color="auto"/>
              <w:left w:val="single" w:sz="4" w:space="0" w:color="auto"/>
              <w:bottom w:val="single" w:sz="4" w:space="0" w:color="auto"/>
              <w:right w:val="single" w:sz="4" w:space="0" w:color="auto"/>
            </w:tcBorders>
            <w:hideMark/>
          </w:tcPr>
          <w:p w:rsidR="00EA43CD" w:rsidRPr="00EF29FB" w:rsidRDefault="002B696B" w:rsidP="00EF29FB">
            <w:pPr>
              <w:widowControl w:val="0"/>
              <w:spacing w:line="240" w:lineRule="auto"/>
              <w:rPr>
                <w:szCs w:val="22"/>
                <w:lang w:val="sr-Latn-ME"/>
              </w:rPr>
            </w:pPr>
            <w:r w:rsidRPr="00EF29FB">
              <w:rPr>
                <w:szCs w:val="22"/>
                <w:lang w:val="sr-Latn-ME"/>
              </w:rPr>
              <w:t xml:space="preserve">Povremeno </w:t>
            </w:r>
          </w:p>
        </w:tc>
        <w:tc>
          <w:tcPr>
            <w:tcW w:w="4645" w:type="dxa"/>
            <w:tcBorders>
              <w:top w:val="single" w:sz="4" w:space="0" w:color="auto"/>
              <w:left w:val="single" w:sz="4" w:space="0" w:color="auto"/>
              <w:bottom w:val="single" w:sz="4" w:space="0" w:color="auto"/>
              <w:right w:val="single" w:sz="4" w:space="0" w:color="auto"/>
            </w:tcBorders>
            <w:hideMark/>
          </w:tcPr>
          <w:p w:rsidR="00EA43CD" w:rsidRPr="00EF29FB" w:rsidRDefault="002B696B" w:rsidP="00EF29FB">
            <w:pPr>
              <w:widowControl w:val="0"/>
              <w:spacing w:line="240" w:lineRule="auto"/>
              <w:rPr>
                <w:szCs w:val="22"/>
                <w:lang w:val="sr-Latn-ME"/>
              </w:rPr>
            </w:pPr>
            <w:r w:rsidRPr="00EF29FB">
              <w:rPr>
                <w:szCs w:val="22"/>
                <w:lang w:val="sr-Latn-ME"/>
              </w:rPr>
              <w:t xml:space="preserve">Kašalj </w:t>
            </w:r>
          </w:p>
        </w:tc>
      </w:tr>
      <w:tr w:rsidR="00EA43CD" w:rsidRPr="00EF29FB">
        <w:tc>
          <w:tcPr>
            <w:tcW w:w="9289" w:type="dxa"/>
            <w:gridSpan w:val="2"/>
            <w:tcBorders>
              <w:top w:val="single" w:sz="4" w:space="0" w:color="auto"/>
              <w:left w:val="single" w:sz="4" w:space="0" w:color="auto"/>
              <w:bottom w:val="single" w:sz="4" w:space="0" w:color="auto"/>
              <w:right w:val="single" w:sz="4" w:space="0" w:color="auto"/>
            </w:tcBorders>
            <w:hideMark/>
          </w:tcPr>
          <w:p w:rsidR="00EA43CD" w:rsidRPr="00EF29FB" w:rsidRDefault="002B696B" w:rsidP="00EF29FB">
            <w:pPr>
              <w:widowControl w:val="0"/>
              <w:spacing w:line="240" w:lineRule="auto"/>
              <w:rPr>
                <w:b/>
                <w:szCs w:val="22"/>
                <w:lang w:val="sr-Latn-ME"/>
              </w:rPr>
            </w:pPr>
            <w:r w:rsidRPr="00EF29FB">
              <w:rPr>
                <w:b/>
                <w:szCs w:val="22"/>
                <w:lang w:val="sr-Latn-ME"/>
              </w:rPr>
              <w:t>Gastrointestinalni poremećaji</w:t>
            </w:r>
          </w:p>
        </w:tc>
      </w:tr>
      <w:tr w:rsidR="00EA43CD" w:rsidRPr="00EF29FB">
        <w:tc>
          <w:tcPr>
            <w:tcW w:w="4644" w:type="dxa"/>
            <w:tcBorders>
              <w:top w:val="single" w:sz="4" w:space="0" w:color="auto"/>
              <w:left w:val="single" w:sz="4" w:space="0" w:color="auto"/>
              <w:bottom w:val="single" w:sz="4" w:space="0" w:color="auto"/>
              <w:right w:val="single" w:sz="4" w:space="0" w:color="auto"/>
            </w:tcBorders>
            <w:hideMark/>
          </w:tcPr>
          <w:p w:rsidR="00EA43CD" w:rsidRPr="00EF29FB" w:rsidRDefault="002B696B" w:rsidP="00EF29FB">
            <w:pPr>
              <w:widowControl w:val="0"/>
              <w:spacing w:line="240" w:lineRule="auto"/>
              <w:rPr>
                <w:szCs w:val="22"/>
                <w:lang w:val="sr-Latn-ME"/>
              </w:rPr>
            </w:pPr>
            <w:r w:rsidRPr="00EF29FB">
              <w:rPr>
                <w:szCs w:val="22"/>
                <w:lang w:val="sr-Latn-ME"/>
              </w:rPr>
              <w:t xml:space="preserve">Povremeno </w:t>
            </w:r>
          </w:p>
        </w:tc>
        <w:tc>
          <w:tcPr>
            <w:tcW w:w="4645" w:type="dxa"/>
            <w:tcBorders>
              <w:top w:val="single" w:sz="4" w:space="0" w:color="auto"/>
              <w:left w:val="single" w:sz="4" w:space="0" w:color="auto"/>
              <w:bottom w:val="single" w:sz="4" w:space="0" w:color="auto"/>
              <w:right w:val="single" w:sz="4" w:space="0" w:color="auto"/>
            </w:tcBorders>
            <w:hideMark/>
          </w:tcPr>
          <w:p w:rsidR="00EA43CD" w:rsidRPr="00EF29FB" w:rsidRDefault="002B696B" w:rsidP="00EF29FB">
            <w:pPr>
              <w:widowControl w:val="0"/>
              <w:spacing w:line="240" w:lineRule="auto"/>
              <w:rPr>
                <w:szCs w:val="22"/>
                <w:lang w:val="sr-Latn-ME"/>
              </w:rPr>
            </w:pPr>
            <w:r w:rsidRPr="00EF29FB">
              <w:rPr>
                <w:szCs w:val="22"/>
                <w:lang w:val="sr-Latn-ME"/>
              </w:rPr>
              <w:t>Mučnina, dijareja</w:t>
            </w:r>
          </w:p>
        </w:tc>
      </w:tr>
      <w:tr w:rsidR="00EA43CD" w:rsidRPr="00EF29FB">
        <w:tc>
          <w:tcPr>
            <w:tcW w:w="9289" w:type="dxa"/>
            <w:gridSpan w:val="2"/>
            <w:tcBorders>
              <w:top w:val="single" w:sz="4" w:space="0" w:color="auto"/>
              <w:left w:val="single" w:sz="4" w:space="0" w:color="auto"/>
              <w:bottom w:val="single" w:sz="4" w:space="0" w:color="auto"/>
              <w:right w:val="single" w:sz="4" w:space="0" w:color="auto"/>
            </w:tcBorders>
            <w:hideMark/>
          </w:tcPr>
          <w:p w:rsidR="00EA43CD" w:rsidRPr="00EF29FB" w:rsidRDefault="002B696B" w:rsidP="00EF29FB">
            <w:pPr>
              <w:widowControl w:val="0"/>
              <w:spacing w:line="240" w:lineRule="auto"/>
              <w:rPr>
                <w:b/>
                <w:szCs w:val="22"/>
                <w:lang w:val="sr-Latn-ME"/>
              </w:rPr>
            </w:pPr>
            <w:r w:rsidRPr="00EF29FB">
              <w:rPr>
                <w:b/>
                <w:szCs w:val="22"/>
                <w:lang w:val="sr-Latn-ME"/>
              </w:rPr>
              <w:t>Poremećaji jetre i bilijarnih puteva</w:t>
            </w:r>
          </w:p>
        </w:tc>
      </w:tr>
      <w:tr w:rsidR="00EA43CD" w:rsidRPr="00EF29FB">
        <w:tc>
          <w:tcPr>
            <w:tcW w:w="4644" w:type="dxa"/>
            <w:tcBorders>
              <w:top w:val="single" w:sz="4" w:space="0" w:color="auto"/>
              <w:left w:val="single" w:sz="4" w:space="0" w:color="auto"/>
              <w:bottom w:val="single" w:sz="4" w:space="0" w:color="auto"/>
              <w:right w:val="single" w:sz="4" w:space="0" w:color="auto"/>
            </w:tcBorders>
            <w:hideMark/>
          </w:tcPr>
          <w:p w:rsidR="00EA43CD" w:rsidRPr="00EF29FB" w:rsidRDefault="002B696B" w:rsidP="00EF29FB">
            <w:pPr>
              <w:widowControl w:val="0"/>
              <w:spacing w:line="240" w:lineRule="auto"/>
              <w:rPr>
                <w:szCs w:val="22"/>
                <w:lang w:val="sr-Latn-ME"/>
              </w:rPr>
            </w:pPr>
            <w:r w:rsidRPr="00EF29FB">
              <w:rPr>
                <w:szCs w:val="22"/>
                <w:lang w:val="sr-Latn-ME"/>
              </w:rPr>
              <w:t xml:space="preserve">Nepoznato </w:t>
            </w:r>
          </w:p>
        </w:tc>
        <w:tc>
          <w:tcPr>
            <w:tcW w:w="4645" w:type="dxa"/>
            <w:tcBorders>
              <w:top w:val="single" w:sz="4" w:space="0" w:color="auto"/>
              <w:left w:val="single" w:sz="4" w:space="0" w:color="auto"/>
              <w:bottom w:val="single" w:sz="4" w:space="0" w:color="auto"/>
              <w:right w:val="single" w:sz="4" w:space="0" w:color="auto"/>
            </w:tcBorders>
            <w:hideMark/>
          </w:tcPr>
          <w:p w:rsidR="00EA43CD" w:rsidRPr="00EF29FB" w:rsidRDefault="002B696B" w:rsidP="00EF29FB">
            <w:pPr>
              <w:widowControl w:val="0"/>
              <w:spacing w:line="240" w:lineRule="auto"/>
              <w:rPr>
                <w:szCs w:val="22"/>
                <w:lang w:val="sr-Latn-ME"/>
              </w:rPr>
            </w:pPr>
            <w:r w:rsidRPr="00EF29FB">
              <w:rPr>
                <w:szCs w:val="22"/>
                <w:lang w:val="sr-Latn-ME"/>
              </w:rPr>
              <w:t xml:space="preserve">Povećanje vrijednosti funkcionalnih testova jetre </w:t>
            </w:r>
          </w:p>
        </w:tc>
      </w:tr>
      <w:tr w:rsidR="00EA43CD" w:rsidRPr="00EF29FB">
        <w:tc>
          <w:tcPr>
            <w:tcW w:w="9289" w:type="dxa"/>
            <w:gridSpan w:val="2"/>
            <w:tcBorders>
              <w:top w:val="single" w:sz="4" w:space="0" w:color="auto"/>
              <w:left w:val="single" w:sz="4" w:space="0" w:color="auto"/>
              <w:bottom w:val="single" w:sz="4" w:space="0" w:color="auto"/>
              <w:right w:val="single" w:sz="4" w:space="0" w:color="auto"/>
            </w:tcBorders>
            <w:hideMark/>
          </w:tcPr>
          <w:p w:rsidR="00EA43CD" w:rsidRPr="00EF29FB" w:rsidRDefault="002B696B" w:rsidP="00EF29FB">
            <w:pPr>
              <w:widowControl w:val="0"/>
              <w:spacing w:line="240" w:lineRule="auto"/>
              <w:rPr>
                <w:b/>
                <w:szCs w:val="22"/>
                <w:lang w:val="sr-Latn-ME"/>
              </w:rPr>
            </w:pPr>
            <w:r w:rsidRPr="00EF29FB">
              <w:rPr>
                <w:b/>
                <w:szCs w:val="22"/>
                <w:lang w:val="sr-Latn-ME"/>
              </w:rPr>
              <w:t>Poremećaji kože i potkožnog tkiva</w:t>
            </w:r>
          </w:p>
        </w:tc>
      </w:tr>
      <w:tr w:rsidR="00EA43CD" w:rsidRPr="00EF29FB">
        <w:tc>
          <w:tcPr>
            <w:tcW w:w="4644" w:type="dxa"/>
            <w:tcBorders>
              <w:top w:val="single" w:sz="4" w:space="0" w:color="auto"/>
              <w:left w:val="single" w:sz="4" w:space="0" w:color="auto"/>
              <w:bottom w:val="single" w:sz="4" w:space="0" w:color="auto"/>
              <w:right w:val="single" w:sz="4" w:space="0" w:color="auto"/>
            </w:tcBorders>
            <w:hideMark/>
          </w:tcPr>
          <w:p w:rsidR="00EA43CD" w:rsidRPr="00EF29FB" w:rsidRDefault="002B696B" w:rsidP="00EF29FB">
            <w:pPr>
              <w:widowControl w:val="0"/>
              <w:spacing w:line="240" w:lineRule="auto"/>
              <w:rPr>
                <w:szCs w:val="22"/>
                <w:lang w:val="sr-Latn-ME"/>
              </w:rPr>
            </w:pPr>
            <w:r w:rsidRPr="00EF29FB">
              <w:rPr>
                <w:szCs w:val="22"/>
                <w:lang w:val="sr-Latn-ME"/>
              </w:rPr>
              <w:t xml:space="preserve">Povremeno </w:t>
            </w:r>
          </w:p>
        </w:tc>
        <w:tc>
          <w:tcPr>
            <w:tcW w:w="4645" w:type="dxa"/>
            <w:tcBorders>
              <w:top w:val="single" w:sz="4" w:space="0" w:color="auto"/>
              <w:left w:val="single" w:sz="4" w:space="0" w:color="auto"/>
              <w:bottom w:val="single" w:sz="4" w:space="0" w:color="auto"/>
              <w:right w:val="single" w:sz="4" w:space="0" w:color="auto"/>
            </w:tcBorders>
            <w:hideMark/>
          </w:tcPr>
          <w:p w:rsidR="00EA43CD" w:rsidRPr="00EF29FB" w:rsidRDefault="002B696B" w:rsidP="00EF29FB">
            <w:pPr>
              <w:widowControl w:val="0"/>
              <w:spacing w:line="240" w:lineRule="auto"/>
              <w:rPr>
                <w:szCs w:val="22"/>
                <w:lang w:val="sr-Latn-ME"/>
              </w:rPr>
            </w:pPr>
            <w:r w:rsidRPr="00EF29FB">
              <w:rPr>
                <w:szCs w:val="22"/>
                <w:lang w:val="sr-Latn-ME"/>
              </w:rPr>
              <w:t>Angioedem</w:t>
            </w:r>
          </w:p>
        </w:tc>
      </w:tr>
      <w:tr w:rsidR="00EA43CD" w:rsidRPr="00EF29FB">
        <w:tc>
          <w:tcPr>
            <w:tcW w:w="4644" w:type="dxa"/>
            <w:tcBorders>
              <w:top w:val="single" w:sz="4" w:space="0" w:color="auto"/>
              <w:left w:val="single" w:sz="4" w:space="0" w:color="auto"/>
              <w:bottom w:val="single" w:sz="4" w:space="0" w:color="auto"/>
              <w:right w:val="single" w:sz="4" w:space="0" w:color="auto"/>
            </w:tcBorders>
            <w:hideMark/>
          </w:tcPr>
          <w:p w:rsidR="00EA43CD" w:rsidRPr="00EF29FB" w:rsidRDefault="002B696B" w:rsidP="00EF29FB">
            <w:pPr>
              <w:widowControl w:val="0"/>
              <w:spacing w:line="240" w:lineRule="auto"/>
              <w:rPr>
                <w:szCs w:val="22"/>
                <w:lang w:val="sr-Latn-ME"/>
              </w:rPr>
            </w:pPr>
            <w:r w:rsidRPr="00EF29FB">
              <w:rPr>
                <w:szCs w:val="22"/>
                <w:lang w:val="sr-Latn-ME"/>
              </w:rPr>
              <w:t>Nepoznato</w:t>
            </w:r>
          </w:p>
        </w:tc>
        <w:tc>
          <w:tcPr>
            <w:tcW w:w="4645" w:type="dxa"/>
            <w:tcBorders>
              <w:top w:val="single" w:sz="4" w:space="0" w:color="auto"/>
              <w:left w:val="single" w:sz="4" w:space="0" w:color="auto"/>
              <w:bottom w:val="single" w:sz="4" w:space="0" w:color="auto"/>
              <w:right w:val="single" w:sz="4" w:space="0" w:color="auto"/>
            </w:tcBorders>
            <w:hideMark/>
          </w:tcPr>
          <w:p w:rsidR="00EA43CD" w:rsidRPr="00EF29FB" w:rsidRDefault="002B696B" w:rsidP="00EF29FB">
            <w:pPr>
              <w:widowControl w:val="0"/>
              <w:spacing w:line="240" w:lineRule="auto"/>
              <w:rPr>
                <w:szCs w:val="22"/>
                <w:lang w:val="sr-Latn-ME"/>
              </w:rPr>
            </w:pPr>
            <w:r w:rsidRPr="00EF29FB">
              <w:rPr>
                <w:szCs w:val="22"/>
                <w:lang w:val="sr-Latn-ME"/>
              </w:rPr>
              <w:t>Osip, svrab, bulozni dermatitis</w:t>
            </w:r>
          </w:p>
        </w:tc>
      </w:tr>
      <w:tr w:rsidR="00EA43CD" w:rsidRPr="00EF29FB">
        <w:tc>
          <w:tcPr>
            <w:tcW w:w="9289" w:type="dxa"/>
            <w:gridSpan w:val="2"/>
            <w:tcBorders>
              <w:top w:val="single" w:sz="4" w:space="0" w:color="auto"/>
              <w:left w:val="single" w:sz="4" w:space="0" w:color="auto"/>
              <w:bottom w:val="single" w:sz="4" w:space="0" w:color="auto"/>
              <w:right w:val="single" w:sz="4" w:space="0" w:color="auto"/>
            </w:tcBorders>
            <w:hideMark/>
          </w:tcPr>
          <w:p w:rsidR="00EA43CD" w:rsidRPr="00EF29FB" w:rsidRDefault="002B696B" w:rsidP="00EF29FB">
            <w:pPr>
              <w:widowControl w:val="0"/>
              <w:spacing w:line="240" w:lineRule="auto"/>
              <w:rPr>
                <w:szCs w:val="22"/>
                <w:lang w:val="sr-Latn-ME"/>
              </w:rPr>
            </w:pPr>
            <w:r w:rsidRPr="00EF29FB">
              <w:rPr>
                <w:b/>
                <w:bCs/>
                <w:color w:val="000000"/>
                <w:szCs w:val="22"/>
                <w:lang w:val="sr-Latn-ME"/>
              </w:rPr>
              <w:t>Poremećaji mišićnoskeletnog i vezivnog tkiva</w:t>
            </w:r>
          </w:p>
        </w:tc>
      </w:tr>
      <w:tr w:rsidR="00EA43CD" w:rsidRPr="00EF29FB">
        <w:tc>
          <w:tcPr>
            <w:tcW w:w="4644" w:type="dxa"/>
            <w:tcBorders>
              <w:top w:val="single" w:sz="4" w:space="0" w:color="auto"/>
              <w:left w:val="single" w:sz="4" w:space="0" w:color="auto"/>
              <w:bottom w:val="single" w:sz="4" w:space="0" w:color="auto"/>
              <w:right w:val="single" w:sz="4" w:space="0" w:color="auto"/>
            </w:tcBorders>
            <w:hideMark/>
          </w:tcPr>
          <w:p w:rsidR="00EA43CD" w:rsidRPr="00EF29FB" w:rsidRDefault="002B696B" w:rsidP="00EF29FB">
            <w:pPr>
              <w:widowControl w:val="0"/>
              <w:spacing w:line="240" w:lineRule="auto"/>
              <w:rPr>
                <w:szCs w:val="22"/>
                <w:lang w:val="sr-Latn-ME"/>
              </w:rPr>
            </w:pPr>
            <w:r w:rsidRPr="00EF29FB">
              <w:rPr>
                <w:szCs w:val="22"/>
                <w:lang w:val="sr-Latn-ME"/>
              </w:rPr>
              <w:t xml:space="preserve">Nepoznato </w:t>
            </w:r>
          </w:p>
        </w:tc>
        <w:tc>
          <w:tcPr>
            <w:tcW w:w="4645" w:type="dxa"/>
            <w:tcBorders>
              <w:top w:val="single" w:sz="4" w:space="0" w:color="auto"/>
              <w:left w:val="single" w:sz="4" w:space="0" w:color="auto"/>
              <w:bottom w:val="single" w:sz="4" w:space="0" w:color="auto"/>
              <w:right w:val="single" w:sz="4" w:space="0" w:color="auto"/>
            </w:tcBorders>
            <w:hideMark/>
          </w:tcPr>
          <w:p w:rsidR="00EA43CD" w:rsidRPr="00EF29FB" w:rsidRDefault="002B696B" w:rsidP="00EF29FB">
            <w:pPr>
              <w:widowControl w:val="0"/>
              <w:spacing w:line="240" w:lineRule="auto"/>
              <w:rPr>
                <w:szCs w:val="22"/>
                <w:lang w:val="sr-Latn-ME"/>
              </w:rPr>
            </w:pPr>
            <w:r w:rsidRPr="00EF29FB">
              <w:rPr>
                <w:szCs w:val="22"/>
                <w:lang w:val="sr-Latn-ME"/>
              </w:rPr>
              <w:t xml:space="preserve">Mialgija </w:t>
            </w:r>
          </w:p>
        </w:tc>
      </w:tr>
      <w:tr w:rsidR="00EA43CD" w:rsidRPr="00EF29FB">
        <w:tc>
          <w:tcPr>
            <w:tcW w:w="9289" w:type="dxa"/>
            <w:gridSpan w:val="2"/>
            <w:tcBorders>
              <w:top w:val="single" w:sz="4" w:space="0" w:color="auto"/>
              <w:left w:val="single" w:sz="4" w:space="0" w:color="auto"/>
              <w:bottom w:val="single" w:sz="4" w:space="0" w:color="auto"/>
              <w:right w:val="single" w:sz="4" w:space="0" w:color="auto"/>
            </w:tcBorders>
            <w:hideMark/>
          </w:tcPr>
          <w:p w:rsidR="00EA43CD" w:rsidRPr="00EF29FB" w:rsidRDefault="002B696B" w:rsidP="00EF29FB">
            <w:pPr>
              <w:widowControl w:val="0"/>
              <w:spacing w:line="240" w:lineRule="auto"/>
              <w:rPr>
                <w:b/>
                <w:szCs w:val="22"/>
                <w:lang w:val="sr-Latn-ME"/>
              </w:rPr>
            </w:pPr>
            <w:r w:rsidRPr="00EF29FB">
              <w:rPr>
                <w:b/>
                <w:szCs w:val="22"/>
                <w:lang w:val="sr-Latn-ME"/>
              </w:rPr>
              <w:t>Poremećaji bubrega i urinarnih puteva</w:t>
            </w:r>
          </w:p>
        </w:tc>
      </w:tr>
      <w:tr w:rsidR="00EA43CD" w:rsidRPr="00EF29FB">
        <w:tc>
          <w:tcPr>
            <w:tcW w:w="4644" w:type="dxa"/>
            <w:tcBorders>
              <w:top w:val="single" w:sz="4" w:space="0" w:color="auto"/>
              <w:left w:val="single" w:sz="4" w:space="0" w:color="auto"/>
              <w:bottom w:val="single" w:sz="4" w:space="0" w:color="auto"/>
              <w:right w:val="single" w:sz="4" w:space="0" w:color="auto"/>
            </w:tcBorders>
            <w:hideMark/>
          </w:tcPr>
          <w:p w:rsidR="00EA43CD" w:rsidRPr="00EF29FB" w:rsidRDefault="002B696B" w:rsidP="00EF29FB">
            <w:pPr>
              <w:widowControl w:val="0"/>
              <w:spacing w:line="240" w:lineRule="auto"/>
              <w:rPr>
                <w:szCs w:val="22"/>
                <w:lang w:val="sr-Latn-ME"/>
              </w:rPr>
            </w:pPr>
            <w:r w:rsidRPr="00EF29FB">
              <w:rPr>
                <w:szCs w:val="22"/>
                <w:lang w:val="sr-Latn-ME"/>
              </w:rPr>
              <w:t xml:space="preserve">Često </w:t>
            </w:r>
          </w:p>
        </w:tc>
        <w:tc>
          <w:tcPr>
            <w:tcW w:w="4645" w:type="dxa"/>
            <w:tcBorders>
              <w:top w:val="single" w:sz="4" w:space="0" w:color="auto"/>
              <w:left w:val="single" w:sz="4" w:space="0" w:color="auto"/>
              <w:bottom w:val="single" w:sz="4" w:space="0" w:color="auto"/>
              <w:right w:val="single" w:sz="4" w:space="0" w:color="auto"/>
            </w:tcBorders>
            <w:hideMark/>
          </w:tcPr>
          <w:p w:rsidR="00EA43CD" w:rsidRPr="00EF29FB" w:rsidRDefault="002B696B" w:rsidP="00EF29FB">
            <w:pPr>
              <w:widowControl w:val="0"/>
              <w:spacing w:line="240" w:lineRule="auto"/>
              <w:rPr>
                <w:szCs w:val="22"/>
                <w:lang w:val="sr-Latn-ME"/>
              </w:rPr>
            </w:pPr>
            <w:r w:rsidRPr="00EF29FB">
              <w:rPr>
                <w:szCs w:val="22"/>
                <w:lang w:val="sr-Latn-ME"/>
              </w:rPr>
              <w:t xml:space="preserve">Oštećenje bubrega i bubrežna insuficijencija </w:t>
            </w:r>
          </w:p>
        </w:tc>
      </w:tr>
      <w:tr w:rsidR="00EA43CD" w:rsidRPr="00EF29FB">
        <w:tc>
          <w:tcPr>
            <w:tcW w:w="4644" w:type="dxa"/>
            <w:tcBorders>
              <w:top w:val="single" w:sz="4" w:space="0" w:color="auto"/>
              <w:left w:val="single" w:sz="4" w:space="0" w:color="auto"/>
              <w:bottom w:val="single" w:sz="4" w:space="0" w:color="auto"/>
              <w:right w:val="single" w:sz="4" w:space="0" w:color="auto"/>
            </w:tcBorders>
            <w:hideMark/>
          </w:tcPr>
          <w:p w:rsidR="00EA43CD" w:rsidRPr="00EF29FB" w:rsidRDefault="002B696B" w:rsidP="00EF29FB">
            <w:pPr>
              <w:widowControl w:val="0"/>
              <w:spacing w:line="240" w:lineRule="auto"/>
              <w:rPr>
                <w:szCs w:val="22"/>
                <w:lang w:val="sr-Latn-ME"/>
              </w:rPr>
            </w:pPr>
            <w:r w:rsidRPr="00EF29FB">
              <w:rPr>
                <w:szCs w:val="22"/>
                <w:lang w:val="sr-Latn-ME"/>
              </w:rPr>
              <w:t xml:space="preserve">Povremeno </w:t>
            </w:r>
          </w:p>
        </w:tc>
        <w:tc>
          <w:tcPr>
            <w:tcW w:w="4645" w:type="dxa"/>
            <w:tcBorders>
              <w:top w:val="single" w:sz="4" w:space="0" w:color="auto"/>
              <w:left w:val="single" w:sz="4" w:space="0" w:color="auto"/>
              <w:bottom w:val="single" w:sz="4" w:space="0" w:color="auto"/>
              <w:right w:val="single" w:sz="4" w:space="0" w:color="auto"/>
            </w:tcBorders>
            <w:hideMark/>
          </w:tcPr>
          <w:p w:rsidR="00EA43CD" w:rsidRPr="00EF29FB" w:rsidRDefault="002B696B" w:rsidP="00EF29FB">
            <w:pPr>
              <w:widowControl w:val="0"/>
              <w:spacing w:line="240" w:lineRule="auto"/>
              <w:rPr>
                <w:szCs w:val="22"/>
                <w:lang w:val="sr-Latn-ME"/>
              </w:rPr>
            </w:pPr>
            <w:r w:rsidRPr="00EF29FB">
              <w:rPr>
                <w:szCs w:val="22"/>
                <w:lang w:val="sr-Latn-ME"/>
              </w:rPr>
              <w:t>Akutna bubrežna insuficijencija, povećanje serumskog kreatinina</w:t>
            </w:r>
          </w:p>
        </w:tc>
      </w:tr>
      <w:tr w:rsidR="00EA43CD" w:rsidRPr="00EF29FB">
        <w:tc>
          <w:tcPr>
            <w:tcW w:w="4644" w:type="dxa"/>
            <w:tcBorders>
              <w:top w:val="single" w:sz="4" w:space="0" w:color="auto"/>
              <w:left w:val="single" w:sz="4" w:space="0" w:color="auto"/>
              <w:bottom w:val="single" w:sz="4" w:space="0" w:color="auto"/>
              <w:right w:val="single" w:sz="4" w:space="0" w:color="auto"/>
            </w:tcBorders>
            <w:hideMark/>
          </w:tcPr>
          <w:p w:rsidR="00EA43CD" w:rsidRPr="00EF29FB" w:rsidRDefault="002B696B" w:rsidP="00EF29FB">
            <w:pPr>
              <w:widowControl w:val="0"/>
              <w:spacing w:line="240" w:lineRule="auto"/>
              <w:rPr>
                <w:szCs w:val="22"/>
                <w:lang w:val="sr-Latn-ME"/>
              </w:rPr>
            </w:pPr>
            <w:r w:rsidRPr="00EF29FB">
              <w:rPr>
                <w:szCs w:val="22"/>
                <w:lang w:val="sr-Latn-ME"/>
              </w:rPr>
              <w:t>Nepoznato</w:t>
            </w:r>
          </w:p>
        </w:tc>
        <w:tc>
          <w:tcPr>
            <w:tcW w:w="4645" w:type="dxa"/>
            <w:tcBorders>
              <w:top w:val="single" w:sz="4" w:space="0" w:color="auto"/>
              <w:left w:val="single" w:sz="4" w:space="0" w:color="auto"/>
              <w:bottom w:val="single" w:sz="4" w:space="0" w:color="auto"/>
              <w:right w:val="single" w:sz="4" w:space="0" w:color="auto"/>
            </w:tcBorders>
            <w:hideMark/>
          </w:tcPr>
          <w:p w:rsidR="00EA43CD" w:rsidRPr="00EF29FB" w:rsidRDefault="002B696B" w:rsidP="00EF29FB">
            <w:pPr>
              <w:widowControl w:val="0"/>
              <w:spacing w:line="240" w:lineRule="auto"/>
              <w:rPr>
                <w:szCs w:val="22"/>
                <w:lang w:val="sr-Latn-ME"/>
              </w:rPr>
            </w:pPr>
            <w:r w:rsidRPr="00EF29FB">
              <w:rPr>
                <w:szCs w:val="22"/>
                <w:lang w:val="sr-Latn-ME"/>
              </w:rPr>
              <w:t>Povećanje koncentracije azota iz uree u krvi</w:t>
            </w:r>
          </w:p>
        </w:tc>
      </w:tr>
      <w:tr w:rsidR="00EA43CD" w:rsidRPr="00EF29FB">
        <w:tc>
          <w:tcPr>
            <w:tcW w:w="9289" w:type="dxa"/>
            <w:gridSpan w:val="2"/>
            <w:tcBorders>
              <w:top w:val="single" w:sz="4" w:space="0" w:color="auto"/>
              <w:left w:val="single" w:sz="4" w:space="0" w:color="auto"/>
              <w:bottom w:val="single" w:sz="4" w:space="0" w:color="auto"/>
              <w:right w:val="single" w:sz="4" w:space="0" w:color="auto"/>
            </w:tcBorders>
            <w:hideMark/>
          </w:tcPr>
          <w:p w:rsidR="00EA43CD" w:rsidRPr="00EF29FB" w:rsidRDefault="002B696B" w:rsidP="00EF29FB">
            <w:pPr>
              <w:widowControl w:val="0"/>
              <w:spacing w:line="240" w:lineRule="auto"/>
              <w:rPr>
                <w:b/>
                <w:szCs w:val="22"/>
                <w:lang w:val="sr-Latn-ME"/>
              </w:rPr>
            </w:pPr>
            <w:r w:rsidRPr="00EF29FB">
              <w:rPr>
                <w:b/>
                <w:szCs w:val="22"/>
                <w:lang w:val="sr-Latn-ME"/>
              </w:rPr>
              <w:t>Opšti poremećaji i reakcije na mjestu primjene</w:t>
            </w:r>
          </w:p>
        </w:tc>
      </w:tr>
      <w:tr w:rsidR="00EA43CD" w:rsidRPr="00EF29FB">
        <w:tc>
          <w:tcPr>
            <w:tcW w:w="4644" w:type="dxa"/>
            <w:tcBorders>
              <w:top w:val="single" w:sz="4" w:space="0" w:color="auto"/>
              <w:left w:val="single" w:sz="4" w:space="0" w:color="auto"/>
              <w:bottom w:val="single" w:sz="4" w:space="0" w:color="auto"/>
              <w:right w:val="single" w:sz="4" w:space="0" w:color="auto"/>
            </w:tcBorders>
            <w:hideMark/>
          </w:tcPr>
          <w:p w:rsidR="00EA43CD" w:rsidRPr="00EF29FB" w:rsidRDefault="002B696B" w:rsidP="00EF29FB">
            <w:pPr>
              <w:widowControl w:val="0"/>
              <w:spacing w:line="240" w:lineRule="auto"/>
              <w:rPr>
                <w:szCs w:val="22"/>
                <w:lang w:val="sr-Latn-ME"/>
              </w:rPr>
            </w:pPr>
            <w:r w:rsidRPr="00EF29FB">
              <w:rPr>
                <w:szCs w:val="22"/>
                <w:lang w:val="sr-Latn-ME"/>
              </w:rPr>
              <w:t xml:space="preserve">Povremeno </w:t>
            </w:r>
          </w:p>
        </w:tc>
        <w:tc>
          <w:tcPr>
            <w:tcW w:w="4645" w:type="dxa"/>
            <w:tcBorders>
              <w:top w:val="single" w:sz="4" w:space="0" w:color="auto"/>
              <w:left w:val="single" w:sz="4" w:space="0" w:color="auto"/>
              <w:bottom w:val="single" w:sz="4" w:space="0" w:color="auto"/>
              <w:right w:val="single" w:sz="4" w:space="0" w:color="auto"/>
            </w:tcBorders>
            <w:hideMark/>
          </w:tcPr>
          <w:p w:rsidR="00EA43CD" w:rsidRPr="00EF29FB" w:rsidRDefault="002B696B" w:rsidP="00EF29FB">
            <w:pPr>
              <w:widowControl w:val="0"/>
              <w:spacing w:line="240" w:lineRule="auto"/>
              <w:rPr>
                <w:szCs w:val="22"/>
                <w:lang w:val="sr-Latn-ME"/>
              </w:rPr>
            </w:pPr>
            <w:r w:rsidRPr="00EF29FB">
              <w:rPr>
                <w:szCs w:val="22"/>
                <w:lang w:val="sr-Latn-ME"/>
              </w:rPr>
              <w:t xml:space="preserve">Astenija, zamor </w:t>
            </w:r>
          </w:p>
        </w:tc>
      </w:tr>
    </w:tbl>
    <w:p w:rsidR="00EA43CD" w:rsidRPr="00EF29FB" w:rsidRDefault="00EA43CD" w:rsidP="00EF29FB">
      <w:pPr>
        <w:widowControl w:val="0"/>
        <w:autoSpaceDE w:val="0"/>
        <w:autoSpaceDN w:val="0"/>
        <w:adjustRightInd w:val="0"/>
        <w:spacing w:line="240" w:lineRule="auto"/>
        <w:rPr>
          <w:szCs w:val="22"/>
          <w:u w:val="single"/>
          <w:lang w:val="sr-Latn-ME"/>
        </w:rPr>
      </w:pPr>
    </w:p>
    <w:p w:rsidR="00EA43CD" w:rsidRPr="00EF29FB" w:rsidRDefault="002B696B" w:rsidP="00EF29FB">
      <w:pPr>
        <w:widowControl w:val="0"/>
        <w:spacing w:line="240" w:lineRule="auto"/>
        <w:rPr>
          <w:rFonts w:eastAsia="Calibri"/>
          <w:szCs w:val="22"/>
          <w:u w:val="single"/>
          <w:lang w:val="sr-Latn-ME"/>
        </w:rPr>
      </w:pPr>
      <w:r w:rsidRPr="00EF29FB">
        <w:rPr>
          <w:rFonts w:eastAsia="Calibri"/>
          <w:szCs w:val="22"/>
          <w:u w:val="single"/>
          <w:lang w:val="sr-Latn-ME"/>
        </w:rPr>
        <w:t>Prijavljivanje sumnji na neželjena dejstva</w:t>
      </w:r>
    </w:p>
    <w:p w:rsidR="00EA43CD" w:rsidRPr="00EF29FB" w:rsidRDefault="002B696B" w:rsidP="00EF29FB">
      <w:pPr>
        <w:widowControl w:val="0"/>
        <w:spacing w:line="240" w:lineRule="auto"/>
        <w:jc w:val="both"/>
        <w:rPr>
          <w:rFonts w:eastAsia="Calibri"/>
          <w:szCs w:val="22"/>
          <w:lang w:val="sr-Latn-ME"/>
        </w:rPr>
      </w:pPr>
      <w:r w:rsidRPr="00EF29FB">
        <w:rPr>
          <w:rFonts w:eastAsia="Calibri"/>
          <w:szCs w:val="22"/>
          <w:lang w:val="sr-Latn-ME"/>
        </w:rPr>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(CInMED):</w:t>
      </w:r>
    </w:p>
    <w:p w:rsidR="00EA43CD" w:rsidRPr="00EF29FB" w:rsidRDefault="002B696B" w:rsidP="00EF29FB">
      <w:pPr>
        <w:pStyle w:val="NoSpacing"/>
        <w:widowControl w:val="0"/>
        <w:jc w:val="both"/>
        <w:rPr>
          <w:rFonts w:eastAsia="Calibri"/>
          <w:sz w:val="22"/>
          <w:szCs w:val="22"/>
          <w:lang w:val="sr-Latn-ME"/>
        </w:rPr>
      </w:pPr>
      <w:r w:rsidRPr="00EF29FB">
        <w:rPr>
          <w:rFonts w:eastAsia="Calibri"/>
          <w:sz w:val="22"/>
          <w:szCs w:val="22"/>
          <w:lang w:val="sr-Latn-ME"/>
        </w:rPr>
        <w:t xml:space="preserve">Institut za ljekove i medicinska sredstva </w:t>
      </w:r>
    </w:p>
    <w:p w:rsidR="00EA43CD" w:rsidRPr="00EF29FB" w:rsidRDefault="002B696B" w:rsidP="00EF29FB">
      <w:pPr>
        <w:pStyle w:val="NoSpacing"/>
        <w:widowControl w:val="0"/>
        <w:jc w:val="both"/>
        <w:rPr>
          <w:rFonts w:eastAsia="Calibri"/>
          <w:sz w:val="22"/>
          <w:szCs w:val="22"/>
          <w:lang w:val="sr-Latn-ME"/>
        </w:rPr>
      </w:pPr>
      <w:r w:rsidRPr="00EF29FB">
        <w:rPr>
          <w:rFonts w:eastAsia="Calibri"/>
          <w:sz w:val="22"/>
          <w:szCs w:val="22"/>
          <w:lang w:val="sr-Latn-ME"/>
        </w:rPr>
        <w:t>Odjeljenje za farmakovigilancu</w:t>
      </w:r>
    </w:p>
    <w:p w:rsidR="00EA43CD" w:rsidRPr="00EF29FB" w:rsidRDefault="002B696B" w:rsidP="00EF29FB">
      <w:pPr>
        <w:pStyle w:val="NoSpacing"/>
        <w:widowControl w:val="0"/>
        <w:jc w:val="both"/>
        <w:rPr>
          <w:rFonts w:eastAsia="Calibri"/>
          <w:sz w:val="22"/>
          <w:szCs w:val="22"/>
          <w:lang w:val="sr-Latn-ME"/>
        </w:rPr>
      </w:pPr>
      <w:r w:rsidRPr="00EF29FB">
        <w:rPr>
          <w:rFonts w:eastAsia="Calibri"/>
          <w:sz w:val="22"/>
          <w:szCs w:val="22"/>
          <w:lang w:val="sr-Latn-ME"/>
        </w:rPr>
        <w:t>Bulevar Ivana Crnojevića 64a, 81000 Podgorica</w:t>
      </w:r>
    </w:p>
    <w:p w:rsidR="00EA43CD" w:rsidRPr="00EF29FB" w:rsidRDefault="00EA43CD" w:rsidP="00EF29FB">
      <w:pPr>
        <w:pStyle w:val="NoSpacing"/>
        <w:widowControl w:val="0"/>
        <w:rPr>
          <w:rFonts w:eastAsia="Calibri"/>
          <w:sz w:val="22"/>
          <w:szCs w:val="22"/>
          <w:lang w:val="sr-Latn-ME"/>
        </w:rPr>
      </w:pPr>
    </w:p>
    <w:p w:rsidR="00EA43CD" w:rsidRPr="00EF29FB" w:rsidRDefault="002B696B" w:rsidP="00EF29FB">
      <w:pPr>
        <w:pStyle w:val="NoSpacing"/>
        <w:widowControl w:val="0"/>
        <w:jc w:val="both"/>
        <w:rPr>
          <w:rFonts w:eastAsia="Calibri"/>
          <w:sz w:val="22"/>
          <w:szCs w:val="22"/>
          <w:lang w:val="sr-Latn-ME"/>
        </w:rPr>
      </w:pPr>
      <w:r w:rsidRPr="00EF29FB">
        <w:rPr>
          <w:rFonts w:eastAsia="Calibri"/>
          <w:sz w:val="22"/>
          <w:szCs w:val="22"/>
          <w:lang w:val="sr-Latn-ME"/>
        </w:rPr>
        <w:t>tel: +382 (0) 20 310 280</w:t>
      </w:r>
    </w:p>
    <w:p w:rsidR="00EA43CD" w:rsidRPr="00EF29FB" w:rsidRDefault="002B696B" w:rsidP="00EF29FB">
      <w:pPr>
        <w:pStyle w:val="NoSpacing"/>
        <w:widowControl w:val="0"/>
        <w:tabs>
          <w:tab w:val="left" w:pos="6720"/>
        </w:tabs>
        <w:jc w:val="both"/>
        <w:rPr>
          <w:rFonts w:eastAsia="Calibri"/>
          <w:sz w:val="22"/>
          <w:szCs w:val="22"/>
          <w:lang w:val="sr-Latn-ME"/>
        </w:rPr>
      </w:pPr>
      <w:r w:rsidRPr="00EF29FB">
        <w:rPr>
          <w:rFonts w:eastAsia="Calibri"/>
          <w:sz w:val="22"/>
          <w:szCs w:val="22"/>
          <w:lang w:val="sr-Latn-ME"/>
        </w:rPr>
        <w:lastRenderedPageBreak/>
        <w:t>fax: +382 (0) 20 310 581</w:t>
      </w:r>
      <w:r w:rsidRPr="00EF29FB">
        <w:rPr>
          <w:rFonts w:eastAsia="Calibri"/>
          <w:sz w:val="22"/>
          <w:szCs w:val="22"/>
          <w:lang w:val="sr-Latn-ME"/>
        </w:rPr>
        <w:tab/>
      </w:r>
    </w:p>
    <w:p w:rsidR="00EA43CD" w:rsidRPr="00EF29FB" w:rsidRDefault="00363F35" w:rsidP="00EF29FB">
      <w:pPr>
        <w:pStyle w:val="NoSpacing"/>
        <w:widowControl w:val="0"/>
        <w:jc w:val="both"/>
        <w:rPr>
          <w:rFonts w:eastAsia="Calibri"/>
          <w:sz w:val="22"/>
          <w:szCs w:val="22"/>
          <w:lang w:val="sr-Latn-ME"/>
        </w:rPr>
      </w:pPr>
      <w:hyperlink r:id="rId8" w:history="1">
        <w:r w:rsidR="002B696B" w:rsidRPr="00EF29FB">
          <w:rPr>
            <w:rStyle w:val="Hyperlink"/>
            <w:rFonts w:eastAsia="Calibri"/>
            <w:sz w:val="22"/>
            <w:szCs w:val="22"/>
            <w:lang w:val="sr-Latn-ME"/>
          </w:rPr>
          <w:t>www.cinmed.me</w:t>
        </w:r>
      </w:hyperlink>
    </w:p>
    <w:p w:rsidR="00EA43CD" w:rsidRPr="00EF29FB" w:rsidRDefault="00363F35" w:rsidP="00EF29FB">
      <w:pPr>
        <w:pStyle w:val="NoSpacing"/>
        <w:widowControl w:val="0"/>
        <w:jc w:val="both"/>
        <w:rPr>
          <w:rFonts w:eastAsia="Calibri"/>
          <w:color w:val="0000FF"/>
          <w:sz w:val="22"/>
          <w:szCs w:val="22"/>
          <w:u w:val="single"/>
          <w:lang w:val="sr-Latn-ME"/>
        </w:rPr>
      </w:pPr>
      <w:hyperlink r:id="rId9" w:history="1">
        <w:r w:rsidR="002B696B" w:rsidRPr="00EF29FB">
          <w:rPr>
            <w:rStyle w:val="Hyperlink"/>
            <w:rFonts w:eastAsia="Calibri"/>
            <w:sz w:val="22"/>
            <w:szCs w:val="22"/>
            <w:lang w:val="sr-Latn-ME"/>
          </w:rPr>
          <w:t>nezeljenadejstva@cinmed.me</w:t>
        </w:r>
      </w:hyperlink>
    </w:p>
    <w:p w:rsidR="00EA43CD" w:rsidRPr="00EF29FB" w:rsidRDefault="002B696B" w:rsidP="00EF29FB">
      <w:pPr>
        <w:pStyle w:val="NoSpacing"/>
        <w:widowControl w:val="0"/>
        <w:jc w:val="both"/>
        <w:rPr>
          <w:rFonts w:eastAsia="Calibri"/>
          <w:sz w:val="22"/>
          <w:szCs w:val="22"/>
          <w:lang w:val="sr-Latn-ME"/>
        </w:rPr>
      </w:pPr>
      <w:r w:rsidRPr="00EF29FB">
        <w:rPr>
          <w:rFonts w:eastAsia="Calibri"/>
          <w:sz w:val="22"/>
          <w:szCs w:val="22"/>
          <w:lang w:val="sr-Latn-ME"/>
        </w:rPr>
        <w:t>putem IS zdravstvene zaštite</w:t>
      </w:r>
    </w:p>
    <w:p w:rsidR="00EA43CD" w:rsidRPr="00EF29FB" w:rsidRDefault="002B696B" w:rsidP="00EF29FB">
      <w:pPr>
        <w:pStyle w:val="NoSpacing"/>
        <w:widowControl w:val="0"/>
        <w:jc w:val="both"/>
        <w:rPr>
          <w:rFonts w:eastAsia="Calibri"/>
          <w:sz w:val="22"/>
          <w:szCs w:val="22"/>
          <w:lang w:val="sr-Latn-ME"/>
        </w:rPr>
      </w:pPr>
      <w:r w:rsidRPr="00EF29FB">
        <w:rPr>
          <w:lang w:val="sr-Latn-ME"/>
        </w:rPr>
        <w:drawing>
          <wp:anchor distT="0" distB="0" distL="114300" distR="114300" simplePos="0" relativeHeight="251657728" behindDoc="0" locked="0" layoutInCell="1" allowOverlap="1">
            <wp:simplePos x="0" y="0"/>
            <wp:positionH relativeFrom="column">
              <wp:posOffset>4445</wp:posOffset>
            </wp:positionH>
            <wp:positionV relativeFrom="paragraph">
              <wp:posOffset>341630</wp:posOffset>
            </wp:positionV>
            <wp:extent cx="969645" cy="969645"/>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69645" cy="969645"/>
                    </a:xfrm>
                    <a:prstGeom prst="rect">
                      <a:avLst/>
                    </a:prstGeom>
                    <a:noFill/>
                  </pic:spPr>
                </pic:pic>
              </a:graphicData>
            </a:graphic>
            <wp14:sizeRelH relativeFrom="page">
              <wp14:pctWidth>0</wp14:pctWidth>
            </wp14:sizeRelH>
            <wp14:sizeRelV relativeFrom="page">
              <wp14:pctHeight>0</wp14:pctHeight>
            </wp14:sizeRelV>
          </wp:anchor>
        </w:drawing>
      </w:r>
      <w:r w:rsidRPr="00EF29FB">
        <w:rPr>
          <w:rFonts w:eastAsia="Calibri"/>
          <w:sz w:val="22"/>
          <w:szCs w:val="22"/>
          <w:lang w:val="sr-Latn-ME"/>
        </w:rPr>
        <w:t>QR kod za online prijavu sumnje na neželjeno dejstvo lijeka:</w:t>
      </w:r>
    </w:p>
    <w:p w:rsidR="00EA43CD" w:rsidRPr="00EF29FB" w:rsidRDefault="00EA43CD" w:rsidP="00EF29FB">
      <w:pPr>
        <w:widowControl w:val="0"/>
        <w:spacing w:line="240" w:lineRule="auto"/>
        <w:rPr>
          <w:szCs w:val="22"/>
          <w:lang w:val="sr-Latn-ME"/>
        </w:rPr>
      </w:pPr>
    </w:p>
    <w:p w:rsidR="00EA43CD" w:rsidRPr="00EF29FB" w:rsidRDefault="00363F35" w:rsidP="00EF29FB">
      <w:pPr>
        <w:widowControl w:val="0"/>
        <w:spacing w:line="240" w:lineRule="auto"/>
        <w:rPr>
          <w:szCs w:val="22"/>
          <w:lang w:val="sr-Latn-ME"/>
        </w:rPr>
      </w:pPr>
      <w:hyperlink r:id="rId11" w:history="1"/>
    </w:p>
    <w:p w:rsidR="00EA43CD" w:rsidRPr="00EF29FB" w:rsidRDefault="002B696B" w:rsidP="00EF29FB">
      <w:pPr>
        <w:widowControl w:val="0"/>
        <w:spacing w:line="240" w:lineRule="auto"/>
        <w:ind w:left="567" w:hanging="567"/>
        <w:outlineLvl w:val="0"/>
        <w:rPr>
          <w:szCs w:val="22"/>
          <w:lang w:val="sr-Latn-ME"/>
        </w:rPr>
      </w:pPr>
      <w:r w:rsidRPr="00EF29FB">
        <w:rPr>
          <w:b/>
          <w:szCs w:val="22"/>
          <w:lang w:val="sr-Latn-ME"/>
        </w:rPr>
        <w:t>4.9</w:t>
      </w:r>
      <w:r w:rsidRPr="00EF29FB">
        <w:rPr>
          <w:b/>
          <w:szCs w:val="22"/>
          <w:lang w:val="sr-Latn-ME"/>
        </w:rPr>
        <w:tab/>
        <w:t>Predoziranje</w:t>
      </w:r>
    </w:p>
    <w:p w:rsidR="00EA43CD" w:rsidRPr="00EF29FB" w:rsidRDefault="00EA43CD" w:rsidP="00EF29FB">
      <w:pPr>
        <w:widowControl w:val="0"/>
        <w:spacing w:line="240" w:lineRule="auto"/>
        <w:rPr>
          <w:szCs w:val="22"/>
          <w:lang w:val="sr-Latn-ME"/>
        </w:rPr>
      </w:pPr>
    </w:p>
    <w:p w:rsidR="00EA43CD" w:rsidRPr="00EF29FB" w:rsidRDefault="002B696B" w:rsidP="00EF29FB">
      <w:pPr>
        <w:widowControl w:val="0"/>
        <w:shd w:val="clear" w:color="auto" w:fill="FFFFFF"/>
        <w:spacing w:line="240" w:lineRule="auto"/>
        <w:jc w:val="both"/>
        <w:rPr>
          <w:color w:val="000000"/>
          <w:szCs w:val="22"/>
          <w:u w:val="single"/>
          <w:lang w:val="sr-Latn-ME"/>
        </w:rPr>
      </w:pPr>
      <w:r w:rsidRPr="00EF29FB">
        <w:rPr>
          <w:color w:val="000000"/>
          <w:szCs w:val="22"/>
          <w:u w:val="single"/>
          <w:lang w:val="sr-Latn-ME"/>
        </w:rPr>
        <w:t>Simptomi</w:t>
      </w:r>
    </w:p>
    <w:p w:rsidR="00EA43CD" w:rsidRPr="00EF29FB" w:rsidRDefault="002B696B" w:rsidP="00EF29FB">
      <w:pPr>
        <w:widowControl w:val="0"/>
        <w:shd w:val="clear" w:color="auto" w:fill="FFFFFF"/>
        <w:spacing w:line="240" w:lineRule="auto"/>
        <w:jc w:val="both"/>
        <w:rPr>
          <w:color w:val="000000"/>
          <w:szCs w:val="22"/>
          <w:lang w:val="sr-Latn-ME"/>
        </w:rPr>
      </w:pPr>
      <w:r w:rsidRPr="00EF29FB">
        <w:rPr>
          <w:color w:val="000000"/>
          <w:szCs w:val="22"/>
          <w:lang w:val="sr-Latn-ME"/>
        </w:rPr>
        <w:t>Predoziranje lijekom Valsacor može dovesti do izražene hipotenzije, što može da vodi ka smanjivanju nivoa svijesti, cirkulatornom kolapsu i/ili šoku.</w:t>
      </w:r>
    </w:p>
    <w:p w:rsidR="00EA43CD" w:rsidRPr="00EF29FB" w:rsidRDefault="00EA43CD" w:rsidP="00EF29FB">
      <w:pPr>
        <w:widowControl w:val="0"/>
        <w:shd w:val="clear" w:color="auto" w:fill="FFFFFF"/>
        <w:spacing w:line="240" w:lineRule="auto"/>
        <w:jc w:val="both"/>
        <w:rPr>
          <w:color w:val="000000"/>
          <w:szCs w:val="22"/>
          <w:u w:val="single"/>
          <w:lang w:val="sr-Latn-ME"/>
        </w:rPr>
      </w:pPr>
    </w:p>
    <w:p w:rsidR="00EA43CD" w:rsidRPr="00EF29FB" w:rsidRDefault="002B696B" w:rsidP="00EF29FB">
      <w:pPr>
        <w:widowControl w:val="0"/>
        <w:shd w:val="clear" w:color="auto" w:fill="FFFFFF"/>
        <w:spacing w:line="240" w:lineRule="auto"/>
        <w:jc w:val="both"/>
        <w:rPr>
          <w:color w:val="000000"/>
          <w:szCs w:val="22"/>
          <w:u w:val="single"/>
          <w:lang w:val="sr-Latn-ME"/>
        </w:rPr>
      </w:pPr>
      <w:r w:rsidRPr="00EF29FB">
        <w:rPr>
          <w:color w:val="000000"/>
          <w:szCs w:val="22"/>
          <w:u w:val="single"/>
          <w:lang w:val="sr-Latn-ME"/>
        </w:rPr>
        <w:t>Terapija</w:t>
      </w:r>
    </w:p>
    <w:p w:rsidR="00EA43CD" w:rsidRPr="00EF29FB" w:rsidRDefault="002B696B" w:rsidP="00EF29FB">
      <w:pPr>
        <w:widowControl w:val="0"/>
        <w:shd w:val="clear" w:color="auto" w:fill="FFFFFF"/>
        <w:spacing w:line="240" w:lineRule="auto"/>
        <w:jc w:val="both"/>
        <w:rPr>
          <w:color w:val="000000"/>
          <w:szCs w:val="22"/>
          <w:lang w:val="sr-Latn-ME"/>
        </w:rPr>
      </w:pPr>
      <w:r w:rsidRPr="00EF29FB">
        <w:rPr>
          <w:color w:val="000000"/>
          <w:szCs w:val="22"/>
          <w:lang w:val="sr-Latn-ME"/>
        </w:rPr>
        <w:t>Terapijske mjere zavise od vremena od uzimanja lijeka kao i tipa i težine simptoma; stabilizacija cirkulacije je od primarnog značaja.</w:t>
      </w:r>
    </w:p>
    <w:p w:rsidR="00EA43CD" w:rsidRPr="00EF29FB" w:rsidRDefault="002B696B" w:rsidP="00EF29FB">
      <w:pPr>
        <w:widowControl w:val="0"/>
        <w:shd w:val="clear" w:color="auto" w:fill="FFFFFF"/>
        <w:spacing w:line="240" w:lineRule="auto"/>
        <w:jc w:val="both"/>
        <w:rPr>
          <w:color w:val="000000"/>
          <w:szCs w:val="22"/>
          <w:lang w:val="sr-Latn-ME"/>
        </w:rPr>
      </w:pPr>
      <w:r w:rsidRPr="00EF29FB">
        <w:rPr>
          <w:color w:val="000000"/>
          <w:szCs w:val="22"/>
          <w:lang w:val="sr-Latn-ME"/>
        </w:rPr>
        <w:t>Ako nastane hipotenzija, pacijenta postaviti u ležeći položaj i korigovati volumen krvi.</w:t>
      </w:r>
    </w:p>
    <w:p w:rsidR="00EA43CD" w:rsidRPr="00EF29FB" w:rsidRDefault="002B696B" w:rsidP="00EF29FB">
      <w:pPr>
        <w:widowControl w:val="0"/>
        <w:shd w:val="clear" w:color="auto" w:fill="FFFFFF"/>
        <w:spacing w:line="240" w:lineRule="auto"/>
        <w:jc w:val="both"/>
        <w:rPr>
          <w:color w:val="000000"/>
          <w:szCs w:val="22"/>
          <w:lang w:val="sr-Latn-ME"/>
        </w:rPr>
      </w:pPr>
      <w:r w:rsidRPr="00EF29FB">
        <w:rPr>
          <w:color w:val="000000"/>
          <w:szCs w:val="22"/>
          <w:lang w:val="sr-Latn-ME"/>
        </w:rPr>
        <w:t>Valsartan se praktično ne može eliminisati hemodijalizom.</w:t>
      </w:r>
    </w:p>
    <w:p w:rsidR="00EA43CD" w:rsidRPr="00EF29FB" w:rsidRDefault="00EA43CD" w:rsidP="00EF29FB">
      <w:pPr>
        <w:widowControl w:val="0"/>
        <w:spacing w:line="240" w:lineRule="auto"/>
        <w:rPr>
          <w:szCs w:val="22"/>
          <w:lang w:val="sr-Latn-ME"/>
        </w:rPr>
      </w:pPr>
    </w:p>
    <w:p w:rsidR="004F6432" w:rsidRPr="00EF29FB" w:rsidRDefault="004F6432" w:rsidP="00EF29FB">
      <w:pPr>
        <w:widowControl w:val="0"/>
        <w:spacing w:line="240" w:lineRule="auto"/>
        <w:rPr>
          <w:szCs w:val="22"/>
          <w:lang w:val="sr-Latn-ME"/>
        </w:rPr>
      </w:pPr>
    </w:p>
    <w:p w:rsidR="00EA43CD" w:rsidRPr="00EF29FB" w:rsidRDefault="002B696B" w:rsidP="00EF29FB">
      <w:pPr>
        <w:widowControl w:val="0"/>
        <w:spacing w:line="240" w:lineRule="auto"/>
        <w:ind w:left="567" w:hanging="567"/>
        <w:rPr>
          <w:szCs w:val="22"/>
          <w:lang w:val="sr-Latn-ME"/>
        </w:rPr>
      </w:pPr>
      <w:r w:rsidRPr="00EF29FB">
        <w:rPr>
          <w:b/>
          <w:szCs w:val="22"/>
          <w:lang w:val="sr-Latn-ME"/>
        </w:rPr>
        <w:t>5.</w:t>
      </w:r>
      <w:r w:rsidRPr="00EF29FB">
        <w:rPr>
          <w:b/>
          <w:szCs w:val="22"/>
          <w:lang w:val="sr-Latn-ME"/>
        </w:rPr>
        <w:tab/>
      </w:r>
      <w:r w:rsidRPr="00EF29FB">
        <w:rPr>
          <w:b/>
          <w:bCs/>
          <w:szCs w:val="22"/>
          <w:lang w:val="sr-Latn-ME"/>
        </w:rPr>
        <w:t>FARMAKOLOŠKI PODACI</w:t>
      </w:r>
    </w:p>
    <w:p w:rsidR="00EA43CD" w:rsidRPr="00EF29FB" w:rsidRDefault="00EA43CD" w:rsidP="00EF29FB">
      <w:pPr>
        <w:widowControl w:val="0"/>
        <w:spacing w:line="240" w:lineRule="auto"/>
        <w:rPr>
          <w:szCs w:val="22"/>
          <w:lang w:val="sr-Latn-ME"/>
        </w:rPr>
      </w:pPr>
    </w:p>
    <w:p w:rsidR="00EA43CD" w:rsidRPr="00EF29FB" w:rsidRDefault="002B696B" w:rsidP="00EF29FB">
      <w:pPr>
        <w:widowControl w:val="0"/>
        <w:spacing w:line="240" w:lineRule="auto"/>
        <w:ind w:left="567" w:hanging="567"/>
        <w:outlineLvl w:val="0"/>
        <w:rPr>
          <w:szCs w:val="22"/>
          <w:lang w:val="sr-Latn-ME"/>
        </w:rPr>
      </w:pPr>
      <w:r w:rsidRPr="00EF29FB">
        <w:rPr>
          <w:b/>
          <w:szCs w:val="22"/>
          <w:lang w:val="sr-Latn-ME"/>
        </w:rPr>
        <w:t>5.1</w:t>
      </w:r>
      <w:r w:rsidRPr="00EF29FB">
        <w:rPr>
          <w:b/>
          <w:szCs w:val="22"/>
          <w:lang w:val="sr-Latn-ME"/>
        </w:rPr>
        <w:tab/>
      </w:r>
      <w:r w:rsidRPr="00EF29FB">
        <w:rPr>
          <w:b/>
          <w:bCs/>
          <w:szCs w:val="22"/>
          <w:lang w:val="sr-Latn-ME"/>
        </w:rPr>
        <w:t>Farmakodinamski podaci</w:t>
      </w:r>
    </w:p>
    <w:p w:rsidR="00EA43CD" w:rsidRPr="00EF29FB" w:rsidRDefault="00EA43CD" w:rsidP="00EF29FB">
      <w:pPr>
        <w:widowControl w:val="0"/>
        <w:spacing w:line="240" w:lineRule="auto"/>
        <w:rPr>
          <w:szCs w:val="22"/>
          <w:lang w:val="sr-Latn-ME"/>
        </w:rPr>
      </w:pPr>
    </w:p>
    <w:p w:rsidR="00EA43CD" w:rsidRPr="00EF29FB" w:rsidRDefault="002B696B" w:rsidP="00EF29FB">
      <w:pPr>
        <w:pStyle w:val="Header"/>
        <w:widowControl w:val="0"/>
        <w:tabs>
          <w:tab w:val="left" w:pos="284"/>
        </w:tabs>
        <w:spacing w:line="240" w:lineRule="auto"/>
        <w:rPr>
          <w:rFonts w:ascii="Times New Roman" w:hAnsi="Times New Roman"/>
          <w:sz w:val="22"/>
          <w:szCs w:val="22"/>
          <w:lang w:val="sr-Latn-ME"/>
        </w:rPr>
      </w:pPr>
      <w:r w:rsidRPr="00EF29FB">
        <w:rPr>
          <w:rFonts w:ascii="Times New Roman" w:hAnsi="Times New Roman"/>
          <w:sz w:val="22"/>
          <w:szCs w:val="22"/>
          <w:lang w:val="sr-Latn-ME"/>
        </w:rPr>
        <w:t xml:space="preserve">Farmakoterapijska grupa: </w:t>
      </w:r>
      <w:r w:rsidRPr="00EF29FB">
        <w:rPr>
          <w:rFonts w:ascii="Times New Roman" w:hAnsi="Times New Roman"/>
          <w:color w:val="000000"/>
          <w:sz w:val="22"/>
          <w:szCs w:val="22"/>
          <w:lang w:val="sr-Latn-ME"/>
        </w:rPr>
        <w:t xml:space="preserve">antagonisti receptora angiotenzina II, </w:t>
      </w:r>
      <w:r w:rsidRPr="00EF29FB">
        <w:rPr>
          <w:rFonts w:ascii="Times New Roman" w:hAnsi="Times New Roman"/>
          <w:sz w:val="22"/>
          <w:szCs w:val="22"/>
          <w:lang w:val="sr-Latn-ME"/>
        </w:rPr>
        <w:t>monokomponentni</w:t>
      </w:r>
    </w:p>
    <w:p w:rsidR="00EA43CD" w:rsidRPr="00EF29FB" w:rsidRDefault="00EA43CD" w:rsidP="00EF29FB">
      <w:pPr>
        <w:widowControl w:val="0"/>
        <w:spacing w:line="240" w:lineRule="auto"/>
        <w:rPr>
          <w:szCs w:val="22"/>
          <w:lang w:val="sr-Latn-ME"/>
        </w:rPr>
      </w:pPr>
    </w:p>
    <w:p w:rsidR="00EA43CD" w:rsidRPr="00EF29FB" w:rsidRDefault="002B696B" w:rsidP="00EF29FB">
      <w:pPr>
        <w:widowControl w:val="0"/>
        <w:spacing w:line="240" w:lineRule="auto"/>
        <w:rPr>
          <w:szCs w:val="22"/>
          <w:lang w:val="sr-Latn-ME"/>
        </w:rPr>
      </w:pPr>
      <w:r w:rsidRPr="00EF29FB">
        <w:rPr>
          <w:szCs w:val="22"/>
          <w:lang w:val="sr-Latn-ME"/>
        </w:rPr>
        <w:t xml:space="preserve">ATC kod: </w:t>
      </w:r>
      <w:r w:rsidRPr="00EF29FB">
        <w:rPr>
          <w:color w:val="000000"/>
          <w:szCs w:val="22"/>
          <w:lang w:val="sr-Latn-ME"/>
        </w:rPr>
        <w:t>C09CA03</w:t>
      </w:r>
    </w:p>
    <w:p w:rsidR="00EA43CD" w:rsidRPr="00EF29FB" w:rsidRDefault="00EA43CD" w:rsidP="00EF29FB">
      <w:pPr>
        <w:widowControl w:val="0"/>
        <w:autoSpaceDE w:val="0"/>
        <w:autoSpaceDN w:val="0"/>
        <w:adjustRightInd w:val="0"/>
        <w:spacing w:line="240" w:lineRule="auto"/>
        <w:rPr>
          <w:color w:val="000000"/>
          <w:szCs w:val="22"/>
          <w:lang w:val="sr-Latn-ME"/>
        </w:rPr>
      </w:pPr>
    </w:p>
    <w:p w:rsidR="00EA43CD" w:rsidRPr="00EF29FB" w:rsidRDefault="002B696B" w:rsidP="00EF29FB">
      <w:pPr>
        <w:widowControl w:val="0"/>
        <w:shd w:val="clear" w:color="auto" w:fill="FFFFFF"/>
        <w:spacing w:line="240" w:lineRule="auto"/>
        <w:jc w:val="both"/>
        <w:rPr>
          <w:color w:val="000000"/>
          <w:szCs w:val="22"/>
          <w:lang w:val="sr-Latn-ME"/>
        </w:rPr>
      </w:pPr>
      <w:r w:rsidRPr="00EF29FB">
        <w:rPr>
          <w:color w:val="000000"/>
          <w:szCs w:val="22"/>
          <w:lang w:val="sr-Latn-ME"/>
        </w:rPr>
        <w:t>Valsartan je snažan i specifičan antagonist angiotenzin II (Ang II) receptora, aktivan pri oralnoj primjeni. Djeluje selektivno na receptorski podtip AT</w:t>
      </w:r>
      <w:r w:rsidRPr="00EF29FB">
        <w:rPr>
          <w:color w:val="000000"/>
          <w:szCs w:val="22"/>
          <w:vertAlign w:val="subscript"/>
          <w:lang w:val="sr-Latn-ME"/>
        </w:rPr>
        <w:t>1</w:t>
      </w:r>
      <w:r w:rsidRPr="00EF29FB">
        <w:rPr>
          <w:color w:val="000000"/>
          <w:szCs w:val="22"/>
          <w:lang w:val="sr-Latn-ME"/>
        </w:rPr>
        <w:t>, koji je odgovoran za poznata dejstva angiotenzina II. Povećane koncentracije Ang II u plazmi nakon blokade AT</w:t>
      </w:r>
      <w:r w:rsidRPr="00EF29FB">
        <w:rPr>
          <w:color w:val="000000"/>
          <w:szCs w:val="22"/>
          <w:vertAlign w:val="subscript"/>
          <w:lang w:val="sr-Latn-ME"/>
        </w:rPr>
        <w:t>1</w:t>
      </w:r>
      <w:r w:rsidRPr="00EF29FB">
        <w:rPr>
          <w:color w:val="000000"/>
          <w:szCs w:val="22"/>
          <w:lang w:val="sr-Latn-ME"/>
        </w:rPr>
        <w:t xml:space="preserve"> receptora valsartanom </w:t>
      </w:r>
      <w:r w:rsidRPr="00EF29FB">
        <w:rPr>
          <w:szCs w:val="22"/>
          <w:lang w:val="sr-Latn-ME"/>
        </w:rPr>
        <w:t>mogu da stimulišu</w:t>
      </w:r>
      <w:r w:rsidRPr="00EF29FB">
        <w:rPr>
          <w:color w:val="000000"/>
          <w:szCs w:val="22"/>
          <w:lang w:val="sr-Latn-ME"/>
        </w:rPr>
        <w:t xml:space="preserve"> neblokirani </w:t>
      </w:r>
      <w:bookmarkStart w:id="1" w:name="OLE_LINK1"/>
      <w:r w:rsidRPr="00EF29FB">
        <w:rPr>
          <w:color w:val="000000"/>
          <w:szCs w:val="22"/>
          <w:lang w:val="sr-Latn-ME"/>
        </w:rPr>
        <w:t>AT</w:t>
      </w:r>
      <w:r w:rsidRPr="00EF29FB">
        <w:rPr>
          <w:color w:val="000000"/>
          <w:szCs w:val="22"/>
          <w:vertAlign w:val="subscript"/>
          <w:lang w:val="sr-Latn-ME"/>
        </w:rPr>
        <w:t>2</w:t>
      </w:r>
      <w:bookmarkEnd w:id="1"/>
      <w:r w:rsidRPr="00EF29FB">
        <w:rPr>
          <w:color w:val="000000"/>
          <w:szCs w:val="22"/>
          <w:lang w:val="sr-Latn-ME"/>
        </w:rPr>
        <w:t xml:space="preserve"> receptor, koji je izgleda protivteža efektu receptora AT</w:t>
      </w:r>
      <w:r w:rsidRPr="00EF29FB">
        <w:rPr>
          <w:color w:val="000000"/>
          <w:szCs w:val="22"/>
          <w:vertAlign w:val="subscript"/>
          <w:lang w:val="sr-Latn-ME"/>
        </w:rPr>
        <w:t>1</w:t>
      </w:r>
      <w:r w:rsidRPr="00EF29FB">
        <w:rPr>
          <w:color w:val="000000"/>
          <w:szCs w:val="22"/>
          <w:lang w:val="sr-Latn-ME"/>
        </w:rPr>
        <w:t>. Valsartan ne ispoljava nikakvu parcijalnu agonističku aktivnost na receptor AT</w:t>
      </w:r>
      <w:r w:rsidRPr="00EF29FB">
        <w:rPr>
          <w:color w:val="000000"/>
          <w:szCs w:val="22"/>
          <w:vertAlign w:val="subscript"/>
          <w:lang w:val="sr-Latn-ME"/>
        </w:rPr>
        <w:t>1</w:t>
      </w:r>
      <w:r w:rsidRPr="00EF29FB">
        <w:rPr>
          <w:color w:val="000000"/>
          <w:szCs w:val="22"/>
          <w:lang w:val="sr-Latn-ME"/>
        </w:rPr>
        <w:t xml:space="preserve"> i ima mnogo veći afinitet (oko 20000 puta) za receptor AT</w:t>
      </w:r>
      <w:r w:rsidRPr="00EF29FB">
        <w:rPr>
          <w:color w:val="000000"/>
          <w:szCs w:val="22"/>
          <w:vertAlign w:val="subscript"/>
          <w:lang w:val="sr-Latn-ME"/>
        </w:rPr>
        <w:t>1</w:t>
      </w:r>
      <w:r w:rsidRPr="00EF29FB">
        <w:rPr>
          <w:color w:val="000000"/>
          <w:szCs w:val="22"/>
          <w:lang w:val="sr-Latn-ME"/>
        </w:rPr>
        <w:t xml:space="preserve"> nego za receptor AT</w:t>
      </w:r>
      <w:r w:rsidRPr="00EF29FB">
        <w:rPr>
          <w:color w:val="000000"/>
          <w:szCs w:val="22"/>
          <w:vertAlign w:val="subscript"/>
          <w:lang w:val="sr-Latn-ME"/>
        </w:rPr>
        <w:t>2</w:t>
      </w:r>
      <w:r w:rsidRPr="00EF29FB">
        <w:rPr>
          <w:color w:val="000000"/>
          <w:szCs w:val="22"/>
          <w:lang w:val="sr-Latn-ME"/>
        </w:rPr>
        <w:t>. Valsartan se ne vezuje niti blokira druge hormonske receptore ili jonske kanale za koje se zna da su značajni u kardiovaskularnoj regulaciji.</w:t>
      </w:r>
    </w:p>
    <w:p w:rsidR="00EA43CD" w:rsidRPr="00EF29FB" w:rsidRDefault="002B696B" w:rsidP="00EF29FB">
      <w:pPr>
        <w:widowControl w:val="0"/>
        <w:shd w:val="clear" w:color="auto" w:fill="FFFFFF"/>
        <w:spacing w:line="240" w:lineRule="auto"/>
        <w:jc w:val="both"/>
        <w:rPr>
          <w:color w:val="000000"/>
          <w:szCs w:val="22"/>
          <w:lang w:val="sr-Latn-ME"/>
        </w:rPr>
      </w:pPr>
      <w:r w:rsidRPr="00EF29FB">
        <w:rPr>
          <w:color w:val="000000"/>
          <w:szCs w:val="22"/>
          <w:lang w:val="sr-Latn-ME"/>
        </w:rPr>
        <w:t xml:space="preserve">Valsartan ne inhibira ACE, takođe poznat i kao kininaza II, koji konvertuje Ang I u Ang II i razgrađuje bradikinin. Pošto ne djeluje na ACE, ne potencira dejstvo bradikinina ili supstance P, malo je vjerovatno da antagonisti angiotenzina II izazivaju kašalj. U kliničkim ispitivanjima gdje je valsartan upoređen sa ACE inhibitorom, incidenca suvog kašlja bila je značajno manja (p&lt;0,05) kod bolesnika liječenih  valsartanom nego kod onih liječenih inhibitorom ACE (2,6% prema 7,9%). U kliničkoj studiji na pacijentima koji su u anamnezi imali suvi kašalj tokom terapije ACE inhibitorom, kod 19,5% pacijenata u studiji  koji su primali valsartan i 19,0% onih koji su primali tijazidni diuretik se javio kašalj, u poređenju sa 68,5% onih liječenih ACE inhibitorom (p&lt;0,05). </w:t>
      </w:r>
    </w:p>
    <w:p w:rsidR="00EA43CD" w:rsidRPr="00EF29FB" w:rsidRDefault="00EA43CD" w:rsidP="00EF29FB">
      <w:pPr>
        <w:widowControl w:val="0"/>
        <w:shd w:val="clear" w:color="auto" w:fill="FFFFFF"/>
        <w:spacing w:line="240" w:lineRule="auto"/>
        <w:ind w:left="11"/>
        <w:jc w:val="both"/>
        <w:rPr>
          <w:b/>
          <w:bCs/>
          <w:color w:val="000000"/>
          <w:szCs w:val="22"/>
          <w:lang w:val="sr-Latn-ME"/>
        </w:rPr>
      </w:pPr>
    </w:p>
    <w:p w:rsidR="00EA43CD" w:rsidRPr="00EF29FB" w:rsidRDefault="002B696B" w:rsidP="00EF29FB">
      <w:pPr>
        <w:widowControl w:val="0"/>
        <w:shd w:val="clear" w:color="auto" w:fill="FFFFFF"/>
        <w:spacing w:line="240" w:lineRule="auto"/>
        <w:ind w:left="11"/>
        <w:jc w:val="both"/>
        <w:rPr>
          <w:b/>
          <w:bCs/>
          <w:color w:val="000000"/>
          <w:szCs w:val="22"/>
          <w:lang w:val="sr-Latn-ME"/>
        </w:rPr>
      </w:pPr>
      <w:r w:rsidRPr="00EF29FB">
        <w:rPr>
          <w:b/>
          <w:bCs/>
          <w:color w:val="000000"/>
          <w:szCs w:val="22"/>
          <w:lang w:val="sr-Latn-ME"/>
        </w:rPr>
        <w:t xml:space="preserve">Hipertenzija </w:t>
      </w:r>
    </w:p>
    <w:p w:rsidR="00EA43CD" w:rsidRPr="00EF29FB" w:rsidRDefault="002B696B" w:rsidP="00EF29FB">
      <w:pPr>
        <w:widowControl w:val="0"/>
        <w:shd w:val="clear" w:color="auto" w:fill="FFFFFF"/>
        <w:spacing w:line="240" w:lineRule="auto"/>
        <w:jc w:val="both"/>
        <w:rPr>
          <w:color w:val="000000"/>
          <w:szCs w:val="22"/>
          <w:lang w:val="sr-Latn-ME"/>
        </w:rPr>
      </w:pPr>
      <w:r w:rsidRPr="00EF29FB">
        <w:rPr>
          <w:color w:val="000000"/>
          <w:szCs w:val="22"/>
          <w:lang w:val="sr-Latn-ME"/>
        </w:rPr>
        <w:t>Primjena lijeka Valsacor kod pacijenata sa hipertenzijom rezultuje redukcijom krvnog pritiska bez uticaja na  srčanu frekfenciju.</w:t>
      </w:r>
    </w:p>
    <w:p w:rsidR="00EA43CD" w:rsidRPr="00EF29FB" w:rsidRDefault="002B696B" w:rsidP="00EF29FB">
      <w:pPr>
        <w:widowControl w:val="0"/>
        <w:shd w:val="clear" w:color="auto" w:fill="FFFFFF"/>
        <w:spacing w:line="240" w:lineRule="auto"/>
        <w:jc w:val="both"/>
        <w:rPr>
          <w:color w:val="000000"/>
          <w:szCs w:val="22"/>
          <w:lang w:val="sr-Latn-ME"/>
        </w:rPr>
      </w:pPr>
      <w:r w:rsidRPr="00EF29FB">
        <w:rPr>
          <w:color w:val="000000"/>
          <w:szCs w:val="22"/>
          <w:lang w:val="sr-Latn-ME"/>
        </w:rPr>
        <w:t xml:space="preserve">Kod većine pacijenata, poslije primjene pojedinačne oralne doze, antihipertenzivni efekat se javio u roku od 2 sata, dok se maksimalno smanjenje krvnog pritiska postiže se u roku od 4 do 6 sati. Antihipertenzivno dejstvo traje preko 24 sata nakon uzete doze. Nakon ponovljenog doziranja, antihipertenzivno dejstvo je u znatnoj mjeri prisutno u roku od 2 nedjelje, a maksimalno dejstvo se </w:t>
      </w:r>
      <w:r w:rsidRPr="00EF29FB">
        <w:rPr>
          <w:color w:val="000000"/>
          <w:szCs w:val="22"/>
          <w:lang w:val="sr-Latn-ME"/>
        </w:rPr>
        <w:lastRenderedPageBreak/>
        <w:t>postiže u roku od 4 nedjelje i održava se tokom dugotrajne terapije.</w:t>
      </w:r>
      <w:r w:rsidRPr="00EF29FB">
        <w:rPr>
          <w:szCs w:val="22"/>
          <w:lang w:val="sr-Latn-ME"/>
        </w:rPr>
        <w:t xml:space="preserve"> U kombinaciji sa hidrohlortiazidom, postiže se značajno dodatno sniženje krvnog pritiska.</w:t>
      </w:r>
    </w:p>
    <w:p w:rsidR="00EA43CD" w:rsidRPr="00EF29FB" w:rsidRDefault="002B696B" w:rsidP="00EF29FB">
      <w:pPr>
        <w:widowControl w:val="0"/>
        <w:shd w:val="clear" w:color="auto" w:fill="FFFFFF"/>
        <w:spacing w:line="240" w:lineRule="auto"/>
        <w:jc w:val="both"/>
        <w:rPr>
          <w:color w:val="000000"/>
          <w:szCs w:val="22"/>
          <w:lang w:val="sr-Latn-ME"/>
        </w:rPr>
      </w:pPr>
      <w:r w:rsidRPr="00EF29FB">
        <w:rPr>
          <w:color w:val="000000"/>
          <w:szCs w:val="22"/>
          <w:lang w:val="sr-Latn-ME"/>
        </w:rPr>
        <w:t>Nagli prekid terapije lijekom Valsacor nije doveo do pojave povratne hipertenzije ili drugih neželjenih kliničkih efekata.</w:t>
      </w:r>
    </w:p>
    <w:p w:rsidR="00EA43CD" w:rsidRPr="00EF29FB" w:rsidRDefault="002B696B" w:rsidP="00EF29FB">
      <w:pPr>
        <w:widowControl w:val="0"/>
        <w:shd w:val="clear" w:color="auto" w:fill="FFFFFF"/>
        <w:spacing w:line="240" w:lineRule="auto"/>
        <w:jc w:val="both"/>
        <w:rPr>
          <w:color w:val="000000"/>
          <w:szCs w:val="22"/>
          <w:lang w:val="sr-Latn-ME"/>
        </w:rPr>
      </w:pPr>
      <w:r w:rsidRPr="00EF29FB">
        <w:rPr>
          <w:color w:val="000000"/>
          <w:szCs w:val="22"/>
          <w:lang w:val="sr-Latn-ME"/>
        </w:rPr>
        <w:t>Kod hipertenzivnih pacijenata sa dijabetesom tip 2 i mikroalbuminurijom, pokazano je da valsartan smanjuje urinarnu ekskreciju albumina. MARVAL (Micro Albuminuria Reduction with Valsartan) studijom je procjenjivano smanjenje urinarne ekskrecije albumina uzrokovano valsartanom (80-160 mg/dnevno) u odnosu na amlodipin (5-10 mg/dnevno), kod 332 pacijenta sa dijabetesom tip 2 (prosječna starost: 58 godina; 265 muškaraca) sa mikroalbuminurijom (valsartan: 58 µg/min; amlodipin: 55.4 µg/min), normalnim ili visokim krvnim pritiskom sa očuvanom bubrežnom funkcijom (kreatinin u krvi &lt;120 µmol/l). U 24. nedjelji, urinarna ekskrecija albumina se smanjila (p&lt;0.001) za 42% (-24.2 µg/min; 95% CI: -40.4 do -19.1) sa valsartanom i približno 3% (-1.7 µg/min; 95% CI: -5.6 do 14.9) sa amlodipinom uprkos sličnom stepenu sniženja krvnog pritiska kod obje grupe.</w:t>
      </w:r>
    </w:p>
    <w:p w:rsidR="00EA43CD" w:rsidRPr="00EF29FB" w:rsidRDefault="002B696B" w:rsidP="00EF29FB">
      <w:pPr>
        <w:widowControl w:val="0"/>
        <w:shd w:val="clear" w:color="auto" w:fill="FFFFFF"/>
        <w:spacing w:line="240" w:lineRule="auto"/>
        <w:jc w:val="both"/>
        <w:rPr>
          <w:color w:val="000000"/>
          <w:szCs w:val="22"/>
          <w:lang w:val="sr-Latn-ME"/>
        </w:rPr>
      </w:pPr>
      <w:r w:rsidRPr="00EF29FB">
        <w:rPr>
          <w:color w:val="000000"/>
          <w:szCs w:val="22"/>
          <w:lang w:val="sr-Latn-ME"/>
        </w:rPr>
        <w:t>DROP (</w:t>
      </w:r>
      <w:r w:rsidRPr="00EF29FB">
        <w:rPr>
          <w:i/>
          <w:color w:val="000000"/>
          <w:szCs w:val="22"/>
          <w:lang w:val="sr-Latn-ME"/>
        </w:rPr>
        <w:t>Diovan Reduction of Proteinuria</w:t>
      </w:r>
      <w:r w:rsidRPr="00EF29FB">
        <w:rPr>
          <w:color w:val="000000"/>
          <w:szCs w:val="22"/>
          <w:lang w:val="sr-Latn-ME"/>
        </w:rPr>
        <w:t xml:space="preserve">) studija je dodatno istraživala efikasnost valsartana u smanjenju urinarne ekskrecije albumina kod 391 hipertenzivnih pacijenta (TA=150/88 mmHg) sa dijabetesom tip 2, sa albuminurijom (prosječno=102 µg/min; 20-700 µg/min) i očuvanom bubrežnom funkcijom (srednja vrijednost kreatinina u serumu=80 µmol/l). Pacijenti su randomizovani u jednu od tri dozne grupe valsartana (160, 320 i 640 mg/dnevno) i liječeni su 30 nedjelja. Cilj studije je bio da se odredi optimalna doza valsartana za smanjenje urinarne ekskrecije albumina kod hipertenzivnih pacijenata sa dijabetesom tip 2. U 30. nedjelji, urinarna ekskrecija albumina je značajno smanjena za 36% od početne vrijednosti sa valsartanom 160 mg (95%CI: 22 do 47%), i za 44% sa valsartanom 320 mg (95%CI: 31 do 54%). Zaključeno je da doze od 160-320 mg valsartana klinički značajno smanjuju urinarnu ekskreciju albumina kod hipertenzivnih pacijenata sa dijabetesom tip 2. </w:t>
      </w:r>
    </w:p>
    <w:p w:rsidR="00EA43CD" w:rsidRPr="00EF29FB" w:rsidRDefault="00EA43CD" w:rsidP="00EF29FB">
      <w:pPr>
        <w:widowControl w:val="0"/>
        <w:shd w:val="clear" w:color="auto" w:fill="FFFFFF"/>
        <w:spacing w:line="240" w:lineRule="auto"/>
        <w:jc w:val="both"/>
        <w:rPr>
          <w:b/>
          <w:bCs/>
          <w:color w:val="000000"/>
          <w:szCs w:val="22"/>
          <w:lang w:val="sr-Latn-ME"/>
        </w:rPr>
      </w:pPr>
    </w:p>
    <w:p w:rsidR="00EA43CD" w:rsidRPr="00EF29FB" w:rsidRDefault="002B696B" w:rsidP="00EF29FB">
      <w:pPr>
        <w:widowControl w:val="0"/>
        <w:shd w:val="clear" w:color="auto" w:fill="FFFFFF"/>
        <w:spacing w:line="240" w:lineRule="auto"/>
        <w:jc w:val="both"/>
        <w:rPr>
          <w:b/>
          <w:bCs/>
          <w:color w:val="000000"/>
          <w:szCs w:val="22"/>
          <w:lang w:val="sr-Latn-ME"/>
        </w:rPr>
      </w:pPr>
      <w:r w:rsidRPr="00EF29FB">
        <w:rPr>
          <w:b/>
          <w:bCs/>
          <w:color w:val="000000"/>
          <w:szCs w:val="22"/>
          <w:lang w:val="sr-Latn-ME"/>
        </w:rPr>
        <w:t xml:space="preserve">Nedavni infarkt miokarda </w:t>
      </w:r>
    </w:p>
    <w:p w:rsidR="00EA43CD" w:rsidRPr="00EF29FB" w:rsidRDefault="002B696B" w:rsidP="00EF29FB">
      <w:pPr>
        <w:widowControl w:val="0"/>
        <w:shd w:val="clear" w:color="auto" w:fill="FFFFFF"/>
        <w:spacing w:line="240" w:lineRule="auto"/>
        <w:jc w:val="both"/>
        <w:rPr>
          <w:color w:val="000000"/>
          <w:szCs w:val="22"/>
          <w:lang w:val="sr-Latn-ME"/>
        </w:rPr>
      </w:pPr>
      <w:r w:rsidRPr="00EF29FB">
        <w:rPr>
          <w:color w:val="000000"/>
          <w:szCs w:val="22"/>
          <w:lang w:val="sr-Latn-ME"/>
        </w:rPr>
        <w:t xml:space="preserve">Klinička studija pod nazivom VALsartan In Acute myocardial iNfarcTion (VALIANT) bila je randomizovana, kontrolisana, multinacionalna, dvostruko slijepa klinička studija sprovedena kod 14703 pacijenata sa akutnim infarktom miokarda i znacima, simptomima ili radiološkim dokazima kongestivne srčane insuficijencije i/ili dokazima o sistolnoj disfunkciji lijeve komore (manifestovanoj kao ejekciona frakcija </w:t>
      </w:r>
      <w:r w:rsidRPr="00EF29FB">
        <w:rPr>
          <w:szCs w:val="22"/>
          <w:lang w:val="sr-Latn-ME"/>
        </w:rPr>
        <w:t>≤</w:t>
      </w:r>
      <w:r w:rsidRPr="00EF29FB">
        <w:rPr>
          <w:color w:val="000000"/>
          <w:szCs w:val="22"/>
          <w:lang w:val="sr-Latn-ME"/>
        </w:rPr>
        <w:t xml:space="preserve">40% prema radioizotopnoj ventrikulografiji ili </w:t>
      </w:r>
      <w:r w:rsidRPr="00EF29FB">
        <w:rPr>
          <w:szCs w:val="22"/>
          <w:lang w:val="sr-Latn-ME"/>
        </w:rPr>
        <w:t>≤</w:t>
      </w:r>
      <w:r w:rsidRPr="00EF29FB">
        <w:rPr>
          <w:color w:val="000000"/>
          <w:szCs w:val="22"/>
          <w:lang w:val="sr-Latn-ME"/>
        </w:rPr>
        <w:t xml:space="preserve"> 35% prema ehokardiografiji ili ventrikularnoj kontrastnoj angiografiji). Pacijenti su randomizovani u roku od 12 sati do 10 dana nakon nastanka simptoma infarkta miokarda u jednu od tri terapijske grupe: valsartan, kaptopril, ili kombinacija ova dva lijeka. Srednje trajanje liječenja bilo je dvije godine. Primarni ishod je bio vrijeme nastanka smrti bilo kog uzroka.</w:t>
      </w:r>
    </w:p>
    <w:p w:rsidR="00EA43CD" w:rsidRPr="00EF29FB" w:rsidRDefault="002B696B" w:rsidP="00EF29FB">
      <w:pPr>
        <w:widowControl w:val="0"/>
        <w:shd w:val="clear" w:color="auto" w:fill="FFFFFF"/>
        <w:spacing w:line="240" w:lineRule="auto"/>
        <w:jc w:val="both"/>
        <w:rPr>
          <w:color w:val="000000"/>
          <w:szCs w:val="22"/>
          <w:lang w:val="sr-Latn-ME"/>
        </w:rPr>
      </w:pPr>
      <w:r w:rsidRPr="00EF29FB">
        <w:rPr>
          <w:color w:val="000000"/>
          <w:szCs w:val="22"/>
          <w:lang w:val="sr-Latn-ME"/>
        </w:rPr>
        <w:t>Valsartan se pokazao podjednako efikasnim kao i kaptopril u smanjivanju ukupnog mortaliteta nakon infarkta miokarda. Stopa mortaliteta zbog bilo kog uzroka je bila slična u sve tri grupe i iznosila je kod grupe sa valsartanom (19,9%), kaptoprilom (19,5%) i valsartanom+kaptopril (19,3%). Kombinovanje valsartana sa kaptoprilom nije dalo dodatnu korist u odnosu na sam kaptopril. Nije bilo razlike u mortalitetu zbog bilo kog uzroka obzirom na starost, pol, rasu, bazalnu terapiju ili osnovnu bolest. Valsartan se takođe pokazao efikasanim u smanjenju kardiovaskularne smrtnosti i u produženju vremena do pojave nekog od sljedećih događaja: hospitalizacije zbog srčane insuficijencije, rekurentnog infarkta miokarda, ponovne pojave srčanog aresta i moždanog udara bez smrtnog ishoda (sekundarni objedinjeni cilj ispitivanja).</w:t>
      </w:r>
    </w:p>
    <w:p w:rsidR="00EA43CD" w:rsidRPr="00EF29FB" w:rsidRDefault="002B696B" w:rsidP="00EF29FB">
      <w:pPr>
        <w:widowControl w:val="0"/>
        <w:shd w:val="clear" w:color="auto" w:fill="FFFFFF"/>
        <w:spacing w:line="240" w:lineRule="auto"/>
        <w:jc w:val="both"/>
        <w:rPr>
          <w:color w:val="000000"/>
          <w:szCs w:val="22"/>
          <w:lang w:val="sr-Latn-ME"/>
        </w:rPr>
      </w:pPr>
      <w:r w:rsidRPr="00EF29FB">
        <w:rPr>
          <w:color w:val="000000"/>
          <w:szCs w:val="22"/>
          <w:lang w:val="sr-Latn-ME"/>
        </w:rPr>
        <w:t>Bezbjednosni profil valsartana je bio u skladu sa kliničkom slikom pacijenata liječenih nakon infarkta miokarda. U pogledu bubrežne funkcije, zabilježeno je udvostručenje serumskog kreatinina kod 4,2% pacijenata liječenih valsartanom, kod 4,8% pacijenata liječenih valsartanom</w:t>
      </w:r>
      <w:r w:rsidRPr="00EF29FB">
        <w:rPr>
          <w:color w:val="000000"/>
          <w:szCs w:val="22"/>
          <w:lang w:val="sr-Latn-ME"/>
        </w:rPr>
        <w:softHyphen/>
        <w:t xml:space="preserve"> + kaptoprilom i kod 3,4% pacijenata liječenih kaptoprilom. Prekid liječenja usljed raznih bubrežnih disfunkcija se dogodio kod 1,1% pacijenata liječenih valsartanom, 1,3% kod pacijenata liječenih valsartanom + kaptoprilom i 0,8% kod pacijenata liječenih kaptoprilom. Procjena bubrežne funkcije treba da bude uključena u procjenu stanja pacijenata nakon infarkta miokarda.</w:t>
      </w:r>
    </w:p>
    <w:p w:rsidR="00EA43CD" w:rsidRPr="00EF29FB" w:rsidRDefault="002B696B" w:rsidP="00EF29FB">
      <w:pPr>
        <w:widowControl w:val="0"/>
        <w:shd w:val="clear" w:color="auto" w:fill="FFFFFF"/>
        <w:spacing w:line="240" w:lineRule="auto"/>
        <w:jc w:val="both"/>
        <w:rPr>
          <w:szCs w:val="22"/>
          <w:lang w:val="sr-Latn-ME"/>
        </w:rPr>
      </w:pPr>
      <w:r w:rsidRPr="00EF29FB">
        <w:rPr>
          <w:color w:val="000000"/>
          <w:szCs w:val="22"/>
          <w:lang w:val="sr-Latn-ME"/>
        </w:rPr>
        <w:t>Nije bilo razlike u mortalitetu od bilo kog uzroka, kardiovaskularnom mortalitetu ili morbiditetu nakon primjene beta blokatora u kombinaciji sa valsartan+kaptopril, samim valsartanom ili samim kaptoprilom. Bez obzira na terapiju, stopa mortaliteta je bila niža u grupi pacijenata liječenih beta blokatorima, što pokazuje da je već poznata korist od primjene beta blokatora u ovoj populaciji pokazana i u ovoj studiji.</w:t>
      </w:r>
    </w:p>
    <w:p w:rsidR="00EA43CD" w:rsidRPr="00EF29FB" w:rsidRDefault="00EA43CD" w:rsidP="00EF29FB">
      <w:pPr>
        <w:widowControl w:val="0"/>
        <w:shd w:val="clear" w:color="auto" w:fill="FFFFFF"/>
        <w:spacing w:line="240" w:lineRule="auto"/>
        <w:jc w:val="both"/>
        <w:rPr>
          <w:b/>
          <w:bCs/>
          <w:color w:val="000000"/>
          <w:szCs w:val="22"/>
          <w:lang w:val="sr-Latn-ME"/>
        </w:rPr>
      </w:pPr>
    </w:p>
    <w:p w:rsidR="00EA43CD" w:rsidRPr="00EF29FB" w:rsidRDefault="002B696B" w:rsidP="00EF29FB">
      <w:pPr>
        <w:widowControl w:val="0"/>
        <w:shd w:val="clear" w:color="auto" w:fill="FFFFFF"/>
        <w:spacing w:line="240" w:lineRule="auto"/>
        <w:jc w:val="both"/>
        <w:rPr>
          <w:b/>
          <w:bCs/>
          <w:color w:val="000000"/>
          <w:szCs w:val="22"/>
          <w:lang w:val="sr-Latn-ME"/>
        </w:rPr>
      </w:pPr>
      <w:r w:rsidRPr="00EF29FB">
        <w:rPr>
          <w:b/>
          <w:bCs/>
          <w:color w:val="000000"/>
          <w:szCs w:val="22"/>
          <w:lang w:val="sr-Latn-ME"/>
        </w:rPr>
        <w:t xml:space="preserve">Srčana insuficijencija </w:t>
      </w:r>
    </w:p>
    <w:p w:rsidR="00EA43CD" w:rsidRPr="00EF29FB" w:rsidRDefault="002B696B" w:rsidP="00EF29FB">
      <w:pPr>
        <w:widowControl w:val="0"/>
        <w:shd w:val="clear" w:color="auto" w:fill="FFFFFF"/>
        <w:spacing w:line="240" w:lineRule="auto"/>
        <w:jc w:val="both"/>
        <w:rPr>
          <w:color w:val="000000"/>
          <w:szCs w:val="22"/>
          <w:lang w:val="sr-Latn-ME"/>
        </w:rPr>
      </w:pPr>
      <w:r w:rsidRPr="00EF29FB">
        <w:rPr>
          <w:color w:val="000000"/>
          <w:szCs w:val="22"/>
          <w:lang w:val="sr-Latn-ME"/>
        </w:rPr>
        <w:lastRenderedPageBreak/>
        <w:t xml:space="preserve">Val-HeFT je bila randomizovana, kontrolisana, multinacionalna klinička studija sprovedena radi procjene djelovanja valsartana u poređenju sa placebom na morbiditet i mortalitet kod 5010 pacijenata koji su primali uobičajenu terapiju za srčanu insuficijenciju klase II (62%), III (36%) i IV (2%) prema NYHA klasifikaciji, sa ejekcionom frakcijom leve komore (LVEF) </w:t>
      </w:r>
      <w:r w:rsidRPr="00EF29FB">
        <w:rPr>
          <w:szCs w:val="22"/>
          <w:lang w:val="sr-Latn-ME"/>
        </w:rPr>
        <w:t>≤</w:t>
      </w:r>
      <w:r w:rsidRPr="00EF29FB">
        <w:rPr>
          <w:color w:val="000000"/>
          <w:szCs w:val="22"/>
          <w:lang w:val="sr-Latn-ME"/>
        </w:rPr>
        <w:t xml:space="preserve"> 40% i unutrašnjim dijastolnim promjerom lijeve komore (LVIDD) &gt;2,9 cm/m</w:t>
      </w:r>
      <w:r w:rsidRPr="00EF29FB">
        <w:rPr>
          <w:color w:val="000000"/>
          <w:szCs w:val="22"/>
          <w:vertAlign w:val="superscript"/>
          <w:lang w:val="sr-Latn-ME"/>
        </w:rPr>
        <w:t>2</w:t>
      </w:r>
      <w:r w:rsidRPr="00EF29FB">
        <w:rPr>
          <w:color w:val="000000"/>
          <w:szCs w:val="22"/>
          <w:lang w:val="sr-Latn-ME"/>
        </w:rPr>
        <w:t>. Osnovna terapija je uključivala ACE inhibitore  (93%), diuretike (86%), digoksin (67%) i beta blokatore (36%). Srednje vrijeme praćenja bilo je skoro dvije godine. Srednja dnevna doza lijeka Valsacor u Val-HeFT bila je 254 mg. Studija je imala 2 primarna cilja: mortalitet bilo kojeg uzroka (vrijeme do smrti pacijenta) i objedinjeni mortalitet sa morbiditetom nastalim usljed srčane insuficijencije (vrijeme do prve pojave bolesti) definisane kao smrt, iznenadna smrt sa reanimacijom, hospitalizacija zbog srčane insuficijencije ili intravensko davanje inotropnih ili vazodilatatornih ljekova tokom četiri ili više časova bez hospitalizacije.</w:t>
      </w:r>
    </w:p>
    <w:p w:rsidR="00EA43CD" w:rsidRPr="00EF29FB" w:rsidRDefault="002B696B" w:rsidP="00EF29FB">
      <w:pPr>
        <w:widowControl w:val="0"/>
        <w:shd w:val="clear" w:color="auto" w:fill="FFFFFF"/>
        <w:spacing w:line="240" w:lineRule="auto"/>
        <w:ind w:left="14" w:right="24"/>
        <w:jc w:val="both"/>
        <w:rPr>
          <w:color w:val="000000"/>
          <w:szCs w:val="22"/>
          <w:lang w:val="sr-Latn-ME"/>
        </w:rPr>
      </w:pPr>
      <w:r w:rsidRPr="00EF29FB">
        <w:rPr>
          <w:color w:val="000000"/>
          <w:szCs w:val="22"/>
          <w:lang w:val="sr-Latn-ME"/>
        </w:rPr>
        <w:t xml:space="preserve">Mortalitet bilo kojeg uzroka bio je sličan (p=NS) kod valsartan (19,7%) i placebo (19,4%) grupe. Primarna korist se izražavala u smanjenju vremenskog rizika za 27,5% (95%CI: 17 do 37%) do prve hospitalizacije zbog srčane insuficijencije (13,9% prema 18,5%). Smanjenje rizika u korist placeba (mortalitet i morbiditet je 21,9% kod placeba prema 25,4% kod valsartan grupe) zapaženo je kod onih bolesnika koji su liječeni trostrukom kombinacijom beta blokatora, ACE inhibitora i valsartana.  </w:t>
      </w:r>
    </w:p>
    <w:p w:rsidR="00EA43CD" w:rsidRPr="00EF29FB" w:rsidRDefault="002B696B" w:rsidP="00EF29FB">
      <w:pPr>
        <w:widowControl w:val="0"/>
        <w:shd w:val="clear" w:color="auto" w:fill="FFFFFF"/>
        <w:spacing w:line="240" w:lineRule="auto"/>
        <w:ind w:left="14" w:right="24"/>
        <w:jc w:val="both"/>
        <w:rPr>
          <w:color w:val="000000"/>
          <w:szCs w:val="22"/>
          <w:lang w:val="sr-Latn-ME"/>
        </w:rPr>
      </w:pPr>
      <w:r w:rsidRPr="00EF29FB">
        <w:rPr>
          <w:color w:val="000000"/>
          <w:szCs w:val="22"/>
          <w:lang w:val="sr-Latn-ME"/>
        </w:rPr>
        <w:t>Najveće poboljšanje zapaženo je u podgrupi pacijenata koji nijesu primili terapiju ACE inhibitorom (n=366). U ovoj podgrupi mortalitet bilo kojeg uzroka je značajno smanjen sa valsartanom u poređenju sa placebom za 33% (95%CI: 6% do 58%) (17,3%valsartan prema 27,1% placebo) dok je rizik od kombinovanog mortaliteta i morbiditeta značajno smanjen za 44% (24,9% valsartan prema 42,5% placebo).</w:t>
      </w:r>
    </w:p>
    <w:p w:rsidR="00EA43CD" w:rsidRPr="00EF29FB" w:rsidRDefault="002B696B" w:rsidP="00EF29FB">
      <w:pPr>
        <w:widowControl w:val="0"/>
        <w:shd w:val="clear" w:color="auto" w:fill="FFFFFF"/>
        <w:spacing w:line="240" w:lineRule="auto"/>
        <w:ind w:left="14" w:right="24"/>
        <w:jc w:val="both"/>
        <w:rPr>
          <w:color w:val="000000"/>
          <w:szCs w:val="22"/>
          <w:lang w:val="sr-Latn-ME"/>
        </w:rPr>
      </w:pPr>
      <w:r w:rsidRPr="00EF29FB">
        <w:rPr>
          <w:color w:val="000000"/>
          <w:szCs w:val="22"/>
          <w:lang w:val="sr-Latn-ME"/>
        </w:rPr>
        <w:t>Kod pacijenata koji su primali ACE inhibitor bez beta-blokatora, mortalitet bilo kojeg uzroka je bio sličan (p=NS) u valsartan (21,8%) i placebo (22,5%) grupi. Kombinovani mortalitet i morbiditet je bio značajno smanjen za 18,3% (95%CI: 8% do 28%) sa valsartanom u poređenju sa placebom (31,0% prema 36,3%).</w:t>
      </w:r>
    </w:p>
    <w:p w:rsidR="00EA43CD" w:rsidRPr="00EF29FB" w:rsidRDefault="002B696B" w:rsidP="00EF29FB">
      <w:pPr>
        <w:widowControl w:val="0"/>
        <w:shd w:val="clear" w:color="auto" w:fill="FFFFFF"/>
        <w:spacing w:line="240" w:lineRule="auto"/>
        <w:jc w:val="both"/>
        <w:rPr>
          <w:color w:val="000000"/>
          <w:szCs w:val="22"/>
          <w:lang w:val="sr-Latn-ME"/>
        </w:rPr>
      </w:pPr>
      <w:r w:rsidRPr="00EF29FB">
        <w:rPr>
          <w:color w:val="000000"/>
          <w:szCs w:val="22"/>
          <w:lang w:val="sr-Latn-ME"/>
        </w:rPr>
        <w:t xml:space="preserve">U «Val-HeFT» studiji, pacijenti liječeni valsartanom pokazali su značajno poboljšanje  s obzirom na stepen bolesti prema NYHA klasifikaciji, i znakova i simptoma srčane insuficijencije, uključujući dispneju, zamor, edem i </w:t>
      </w:r>
      <w:r w:rsidRPr="00EF29FB">
        <w:rPr>
          <w:szCs w:val="22"/>
          <w:lang w:val="sr-Latn-ME"/>
        </w:rPr>
        <w:t>krepitacije</w:t>
      </w:r>
      <w:r w:rsidRPr="00EF29FB">
        <w:rPr>
          <w:color w:val="000000"/>
          <w:szCs w:val="22"/>
          <w:lang w:val="sr-Latn-ME"/>
        </w:rPr>
        <w:t>, u poređenju sa placebom. Pacijenti liječeni valsartanom imali su bolji kvalitet života što je prikazano promjenom skora u Minesota skali kvaliteta života pacijenata sa srčanom insuficijencijom (Minnesota Living with Heart Failure Quality of Life)  na kraju ispitivanja u odnosu na početne vrijednosti u poređenju sa placebom. Ejekciona frakcija kod bolesnika liječenih valsartanom značajno je povećana, a LVIDD značajno smanjen u poređenju početnih i krajnjih vrijednosti sa placebom.</w:t>
      </w:r>
    </w:p>
    <w:p w:rsidR="00EA43CD" w:rsidRPr="00EF29FB" w:rsidRDefault="00EA43CD" w:rsidP="00EF29FB">
      <w:pPr>
        <w:widowControl w:val="0"/>
        <w:spacing w:line="240" w:lineRule="auto"/>
        <w:rPr>
          <w:szCs w:val="22"/>
          <w:u w:val="single"/>
          <w:lang w:val="sr-Latn-ME"/>
        </w:rPr>
      </w:pPr>
    </w:p>
    <w:p w:rsidR="00EA43CD" w:rsidRPr="00EF29FB" w:rsidRDefault="002B696B" w:rsidP="00EF29FB">
      <w:pPr>
        <w:widowControl w:val="0"/>
        <w:spacing w:line="240" w:lineRule="auto"/>
        <w:jc w:val="both"/>
        <w:rPr>
          <w:b/>
          <w:bCs/>
          <w:color w:val="000000"/>
          <w:szCs w:val="22"/>
          <w:lang w:val="sr-Latn-ME"/>
        </w:rPr>
      </w:pPr>
      <w:r w:rsidRPr="00EF29FB">
        <w:rPr>
          <w:b/>
          <w:bCs/>
          <w:color w:val="000000"/>
          <w:szCs w:val="22"/>
          <w:lang w:val="sr-Latn-ME"/>
        </w:rPr>
        <w:t>Dvostruka blokada sistema renin-angiotenzin-aldosteron (RAAS)</w:t>
      </w:r>
    </w:p>
    <w:p w:rsidR="00EA43CD" w:rsidRPr="00EF29FB" w:rsidRDefault="00EA43CD" w:rsidP="00EF29FB">
      <w:pPr>
        <w:widowControl w:val="0"/>
        <w:spacing w:line="240" w:lineRule="auto"/>
        <w:jc w:val="both"/>
        <w:rPr>
          <w:b/>
          <w:bCs/>
          <w:color w:val="000000"/>
          <w:szCs w:val="22"/>
          <w:lang w:val="sr-Latn-ME"/>
        </w:rPr>
      </w:pPr>
    </w:p>
    <w:p w:rsidR="00EA43CD" w:rsidRPr="00EF29FB" w:rsidRDefault="002B696B" w:rsidP="00EF29FB">
      <w:pPr>
        <w:widowControl w:val="0"/>
        <w:spacing w:line="240" w:lineRule="auto"/>
        <w:jc w:val="both"/>
        <w:rPr>
          <w:iCs/>
          <w:szCs w:val="22"/>
          <w:lang w:val="sr-Latn-ME"/>
        </w:rPr>
      </w:pPr>
      <w:r w:rsidRPr="00EF29FB">
        <w:rPr>
          <w:iCs/>
          <w:szCs w:val="22"/>
          <w:lang w:val="sr-Latn-ME"/>
        </w:rPr>
        <w:t>Dvije velike, randomizovane, kontrolisane studije (ONTARGET (engl. ONgoing Telmisartan Alone and in combination with Ramipril Global Endpoint Trial) i VA NEPHRON-D (engl. The Veterans Affairs Nephropathy in Diabetes)) su ispitivale kombinovanu primjenu ACE inhibitora i blokatora angiotenzin II receptora.</w:t>
      </w:r>
    </w:p>
    <w:p w:rsidR="00EA43CD" w:rsidRPr="00EF29FB" w:rsidRDefault="002B696B" w:rsidP="00EF29FB">
      <w:pPr>
        <w:widowControl w:val="0"/>
        <w:spacing w:line="240" w:lineRule="auto"/>
        <w:jc w:val="both"/>
        <w:rPr>
          <w:iCs/>
          <w:szCs w:val="22"/>
          <w:lang w:val="sr-Latn-ME"/>
        </w:rPr>
      </w:pPr>
      <w:r w:rsidRPr="00EF29FB">
        <w:rPr>
          <w:iCs/>
          <w:szCs w:val="22"/>
          <w:lang w:val="sr-Latn-ME"/>
        </w:rPr>
        <w:t>ONTARGET je studija sprovedena na pacijentima sa anamnezom kardiovaskularne ili cerebrovaskularne bolesti, ili sa dijabetesom tip 2 udruženim sa potvrđenim oštećenjem organa. VA NEPHRON-D je bila studija na pacijentima sa dijabetes melitisom tip 2 i dijabetesnom nefropatijom.</w:t>
      </w:r>
    </w:p>
    <w:p w:rsidR="00EA43CD" w:rsidRPr="00EF29FB" w:rsidRDefault="002B696B" w:rsidP="00EF29FB">
      <w:pPr>
        <w:widowControl w:val="0"/>
        <w:spacing w:line="240" w:lineRule="auto"/>
        <w:jc w:val="both"/>
        <w:rPr>
          <w:iCs/>
          <w:szCs w:val="22"/>
          <w:lang w:val="sr-Latn-ME"/>
        </w:rPr>
      </w:pPr>
      <w:r w:rsidRPr="00EF29FB">
        <w:rPr>
          <w:iCs/>
          <w:szCs w:val="22"/>
          <w:lang w:val="sr-Latn-ME"/>
        </w:rPr>
        <w:t xml:space="preserve">Ove studije nijesu pokazale značajne korisne efekte na bubrežni ili /kardiovaskularni ishod i mortalitet, dok je uočen povećan rizik za nastanak hiperkalijemije, akutnog bubrežnog oštećenja i/ili hipotenzije u poređenju sa monoterapijom. Uzimajući u obzir slične farmakodinamske osobine, ovi rezultati su takođe relevantni za druge ACE inhibitore i blokatore angiotenzin II receptora. </w:t>
      </w:r>
    </w:p>
    <w:p w:rsidR="00EA43CD" w:rsidRPr="00EF29FB" w:rsidRDefault="002B696B" w:rsidP="00EF29FB">
      <w:pPr>
        <w:widowControl w:val="0"/>
        <w:shd w:val="clear" w:color="auto" w:fill="FFFFFF"/>
        <w:spacing w:line="240" w:lineRule="auto"/>
        <w:jc w:val="both"/>
        <w:rPr>
          <w:iCs/>
          <w:szCs w:val="22"/>
          <w:lang w:val="sr-Latn-ME"/>
        </w:rPr>
      </w:pPr>
      <w:r w:rsidRPr="00EF29FB">
        <w:rPr>
          <w:iCs/>
          <w:szCs w:val="22"/>
          <w:lang w:val="sr-Latn-ME"/>
        </w:rPr>
        <w:t xml:space="preserve">Zbog toga, ACE inhibitore i blokatore angiotenzin II receptora ne treba primjenjivati istovremeno kod pacijenata sa dijabetesnom nefropatijom. </w:t>
      </w:r>
    </w:p>
    <w:p w:rsidR="00EA43CD" w:rsidRPr="00EF29FB" w:rsidRDefault="002B696B" w:rsidP="00EF29FB">
      <w:pPr>
        <w:widowControl w:val="0"/>
        <w:shd w:val="clear" w:color="auto" w:fill="FFFFFF"/>
        <w:spacing w:line="240" w:lineRule="auto"/>
        <w:jc w:val="both"/>
        <w:rPr>
          <w:i/>
          <w:color w:val="000000"/>
          <w:szCs w:val="22"/>
          <w:lang w:val="sr-Latn-ME"/>
        </w:rPr>
      </w:pPr>
      <w:r w:rsidRPr="00EF29FB">
        <w:rPr>
          <w:iCs/>
          <w:szCs w:val="22"/>
          <w:lang w:val="sr-Latn-ME"/>
        </w:rPr>
        <w:t xml:space="preserve">ALTITUDE (engl. </w:t>
      </w:r>
      <w:r w:rsidRPr="00EF29FB">
        <w:rPr>
          <w:i/>
          <w:iCs/>
          <w:szCs w:val="22"/>
          <w:lang w:val="sr-Latn-ME"/>
        </w:rPr>
        <w:t>Aliskiren Trial in Type 2 Diabetes Using Cardiovascular and Renal Disease Endpoints</w:t>
      </w:r>
      <w:r w:rsidRPr="00EF29FB">
        <w:rPr>
          <w:iCs/>
          <w:szCs w:val="22"/>
          <w:lang w:val="sr-Latn-ME"/>
        </w:rPr>
        <w:t>) je bila studija kreirana da ispita korist dodavanja aliskirena standardnoj terapiji sa ACE inhibitorom ili blokatorom angiotenzin II receptora kod pacijenata sa dijabetes melitus-om tipa 2 i hroničnim oboljenjem bubrega, kardiovaskularnom bolešću ili oboje. Studija je ranije završena zbog povećanog rizika od neželjenih ishoda. Kardiovaskularna smrt i moždani udar su brojno bili učestaliji u grupi sa aliskirenom nego u grupi sa placebom i zabilježeni neželjeni događaji i ozbiljni neželjeni događaji (hiperkalijemija, hipotenzija i bubrežna disfunkcija) bili su češće prijavljivani u grupi sa aliskirenom nego u grupi sa placebom.</w:t>
      </w:r>
    </w:p>
    <w:p w:rsidR="004F6432" w:rsidRPr="00EF29FB" w:rsidRDefault="004F6432" w:rsidP="00EF29FB">
      <w:pPr>
        <w:widowControl w:val="0"/>
        <w:shd w:val="clear" w:color="auto" w:fill="FFFFFF"/>
        <w:spacing w:line="240" w:lineRule="auto"/>
        <w:jc w:val="both"/>
        <w:rPr>
          <w:i/>
          <w:color w:val="000000"/>
          <w:szCs w:val="22"/>
          <w:lang w:val="sr-Latn-ME"/>
        </w:rPr>
      </w:pPr>
    </w:p>
    <w:p w:rsidR="00EA43CD" w:rsidRPr="00EF29FB" w:rsidRDefault="002B696B" w:rsidP="00EF29FB">
      <w:pPr>
        <w:widowControl w:val="0"/>
        <w:shd w:val="clear" w:color="auto" w:fill="FFFFFF"/>
        <w:spacing w:line="240" w:lineRule="auto"/>
        <w:jc w:val="both"/>
        <w:rPr>
          <w:i/>
          <w:color w:val="000000"/>
          <w:szCs w:val="22"/>
          <w:lang w:val="sr-Latn-ME"/>
        </w:rPr>
      </w:pPr>
      <w:r w:rsidRPr="00EF29FB">
        <w:rPr>
          <w:i/>
          <w:color w:val="000000"/>
          <w:szCs w:val="22"/>
          <w:lang w:val="sr-Latn-ME"/>
        </w:rPr>
        <w:t>Pedijatrijska populacija</w:t>
      </w:r>
    </w:p>
    <w:p w:rsidR="00EA43CD" w:rsidRPr="00EF29FB" w:rsidRDefault="002B696B" w:rsidP="00EF29FB">
      <w:pPr>
        <w:widowControl w:val="0"/>
        <w:shd w:val="clear" w:color="auto" w:fill="FFFFFF"/>
        <w:spacing w:line="240" w:lineRule="auto"/>
        <w:jc w:val="both"/>
        <w:rPr>
          <w:color w:val="000000"/>
          <w:szCs w:val="22"/>
          <w:u w:val="single"/>
          <w:lang w:val="sr-Latn-ME"/>
        </w:rPr>
      </w:pPr>
      <w:r w:rsidRPr="00EF29FB">
        <w:rPr>
          <w:color w:val="000000"/>
          <w:szCs w:val="22"/>
          <w:u w:val="single"/>
          <w:lang w:val="sr-Latn-ME"/>
        </w:rPr>
        <w:t>Hipertenzija</w:t>
      </w:r>
    </w:p>
    <w:p w:rsidR="00EA43CD" w:rsidRPr="00EF29FB" w:rsidRDefault="002B696B" w:rsidP="00EF29FB">
      <w:pPr>
        <w:widowControl w:val="0"/>
        <w:shd w:val="clear" w:color="auto" w:fill="FFFFFF"/>
        <w:spacing w:line="240" w:lineRule="auto"/>
        <w:jc w:val="both"/>
        <w:rPr>
          <w:color w:val="000000"/>
          <w:szCs w:val="22"/>
          <w:lang w:val="sr-Latn-ME"/>
        </w:rPr>
      </w:pPr>
      <w:r w:rsidRPr="00EF29FB">
        <w:rPr>
          <w:color w:val="000000"/>
          <w:szCs w:val="22"/>
          <w:lang w:val="sr-Latn-ME"/>
        </w:rPr>
        <w:t>Antihipertenzivni efekat valsartana je procjenjivan u četiri randomizovane, dvostruko slijepe kliničke studije kod 561 pedijatrijskog pacijenta uzrasta 6 do manje od 18 godina i 165 pedijatrijskih pacijenata uzrasta od 1 do 6 godina. Poremećaji bubrega i urinarnih puteva i gojaznost su bila najčešća medicinska stanja koja su potencijalno doprinosila hipertenziji kod djece uključene u ove studije.</w:t>
      </w:r>
    </w:p>
    <w:p w:rsidR="004F6432" w:rsidRPr="00EF29FB" w:rsidRDefault="004F6432" w:rsidP="00EF29FB">
      <w:pPr>
        <w:widowControl w:val="0"/>
        <w:shd w:val="clear" w:color="auto" w:fill="FFFFFF"/>
        <w:spacing w:line="240" w:lineRule="auto"/>
        <w:jc w:val="both"/>
        <w:rPr>
          <w:i/>
          <w:color w:val="000000"/>
          <w:szCs w:val="22"/>
          <w:u w:val="single"/>
          <w:lang w:val="sr-Latn-ME"/>
        </w:rPr>
      </w:pPr>
    </w:p>
    <w:p w:rsidR="00EA43CD" w:rsidRPr="00EF29FB" w:rsidRDefault="002B696B" w:rsidP="00EF29FB">
      <w:pPr>
        <w:widowControl w:val="0"/>
        <w:shd w:val="clear" w:color="auto" w:fill="FFFFFF"/>
        <w:spacing w:line="240" w:lineRule="auto"/>
        <w:jc w:val="both"/>
        <w:rPr>
          <w:i/>
          <w:color w:val="000000"/>
          <w:szCs w:val="22"/>
          <w:u w:val="single"/>
          <w:lang w:val="sr-Latn-ME"/>
        </w:rPr>
      </w:pPr>
      <w:r w:rsidRPr="00EF29FB">
        <w:rPr>
          <w:i/>
          <w:color w:val="000000"/>
          <w:szCs w:val="22"/>
          <w:u w:val="single"/>
          <w:lang w:val="sr-Latn-ME"/>
        </w:rPr>
        <w:t>Klinička iskustva kod djece starosti 6 ili više godina</w:t>
      </w:r>
    </w:p>
    <w:p w:rsidR="00EA43CD" w:rsidRPr="00EF29FB" w:rsidRDefault="002B696B" w:rsidP="00EF29FB">
      <w:pPr>
        <w:widowControl w:val="0"/>
        <w:shd w:val="clear" w:color="auto" w:fill="FFFFFF"/>
        <w:spacing w:line="240" w:lineRule="auto"/>
        <w:jc w:val="both"/>
        <w:rPr>
          <w:color w:val="000000"/>
          <w:szCs w:val="22"/>
          <w:lang w:val="sr-Latn-ME"/>
        </w:rPr>
      </w:pPr>
      <w:r w:rsidRPr="00EF29FB">
        <w:rPr>
          <w:color w:val="000000"/>
          <w:szCs w:val="22"/>
          <w:lang w:val="sr-Latn-ME"/>
        </w:rPr>
        <w:t>U kliničkoj studiji u kojoj je bio uključen 261 hipertenzivni pedijatrijski pacijent uzrasta 6 do 16 godina, pacijenti čija je tjelesna masa &lt;35 kg primali su 10, 40 ili 80 mg valsartana dnevno (niske, srednje i visoke doze), a pacijenti čija je tjelesna masa ≥35 kg su primali 20, 80 i 160 mg valsartan tablete dnevno (niske, srednje i visoke doze). Nakon dvije nedjelje, valsartan je snizio i sistolni i dijastolni krvni pritisak u zavisnosti od primljene doze. Ukupno, tri doze valsartana (niska, srednja i visoka) značajno su snizili sistolni krvni pritisak za 8, 10, 12 mmHg od početnih vrijednosti. Pacijenti su ponovo randomizovani ili da nastave sa primanjem iste doze valsartana ili da primaju placebo. Kod pacijenata koji su nastavili da primaju srednje i visoke doze valsartana, sistolni krvni pritisak bio je za -4 i - 7 mmHg niži nego kod pacijenata koji su primali placebo. Kod pacijenata koji su primali niske doze valsartana,  minimalni sistolni krvni pritisak je bio sličan kao kod pacijenata koji su primali placebo. Uopšteno, dozno zavisni antihipertenzivni efekat valsartana je bio konzistentan u svim demografskim podgrupama.</w:t>
      </w:r>
    </w:p>
    <w:p w:rsidR="00EA43CD" w:rsidRPr="00EF29FB" w:rsidRDefault="002B696B" w:rsidP="00EF29FB">
      <w:pPr>
        <w:widowControl w:val="0"/>
        <w:shd w:val="clear" w:color="auto" w:fill="FFFFFF"/>
        <w:spacing w:line="240" w:lineRule="auto"/>
        <w:jc w:val="both"/>
        <w:rPr>
          <w:color w:val="000000"/>
          <w:szCs w:val="22"/>
          <w:lang w:val="sr-Latn-ME"/>
        </w:rPr>
      </w:pPr>
      <w:r w:rsidRPr="00EF29FB">
        <w:rPr>
          <w:color w:val="000000"/>
          <w:szCs w:val="22"/>
          <w:lang w:val="sr-Latn-ME"/>
        </w:rPr>
        <w:t>U drugoj kliničkoj studiji u kojoj je učestvovalo 300 hipertenzivnih pedijatrijskih pacijenata uzrasta 6 do manje od 18 godina, odgovarajući pacijenti su randomizovani da primaju valsartan ili enalapril tablete tokom 12 nedjelja. Djeca tjelesne mase između ≥18 kg i &lt;35 kg su primala valsartan 80 mg ili enalapril 10 mg; djeca između ≥35 kg i &lt;80 kg tjelesne mase su primala valsartan 160 mg ili enalapril 20 mg; djeca preko ≥80 kg su primala valsartan 320 mg ili enalapril 40 mg. Sniženje sistolnog krvnog pritiska je bilo uporedivo kod pacijenata koji su primali valsartan (15 mmHg) i enalapril (14 mmHg) ( p-vrijednost neinferiornosti &lt;0.0001). Konzistentni rezultati su zapaženi za dijastolni krvni pritisak sa sniženjem za 9,1 mmHg sa valsartanom i 8,5 mmHg sa enalaprilom, respektivno.</w:t>
      </w:r>
    </w:p>
    <w:p w:rsidR="00EA43CD" w:rsidRPr="00EF29FB" w:rsidRDefault="00EA43CD" w:rsidP="00EF29FB">
      <w:pPr>
        <w:widowControl w:val="0"/>
        <w:shd w:val="clear" w:color="auto" w:fill="FFFFFF"/>
        <w:spacing w:line="240" w:lineRule="auto"/>
        <w:jc w:val="both"/>
        <w:rPr>
          <w:szCs w:val="22"/>
          <w:lang w:val="sr-Latn-ME"/>
        </w:rPr>
      </w:pPr>
    </w:p>
    <w:p w:rsidR="00EA43CD" w:rsidRPr="00EF29FB" w:rsidRDefault="002B696B" w:rsidP="00EF29FB">
      <w:pPr>
        <w:widowControl w:val="0"/>
        <w:shd w:val="clear" w:color="auto" w:fill="FFFFFF"/>
        <w:spacing w:line="240" w:lineRule="auto"/>
        <w:jc w:val="both"/>
        <w:rPr>
          <w:color w:val="000000"/>
          <w:szCs w:val="22"/>
          <w:lang w:val="sr-Latn-ME"/>
        </w:rPr>
      </w:pPr>
      <w:r w:rsidRPr="00EF29FB">
        <w:rPr>
          <w:color w:val="000000"/>
          <w:szCs w:val="22"/>
          <w:lang w:val="sr-Latn-ME"/>
        </w:rPr>
        <w:t>U trećoj otvorenoj kliničkoj studiji, koja je rađena na 150 pedijatrijskih pacijenata uzrasta 6 do 17 godina sa hipertenzijom (sistolni krvni pritisak ≥ 95. postotka za uzrast, pol i visinu) ispitivana je bezbjednost i podnošljivost valsartana u trajanju od 18 mjeseci. Od 150 pacijenata koji su učestvovali u studiji, 41 pacijent je uz valsartan primao još neki antihipertenzivni lijek. Početna i doza održavanja određivane su na osnovu tjelesne mase. Pacijenti sa tjelesnom masom &gt;18 kg do 35 kg, zatim ≥ 35 do 80 kg i ≥ 80 kg do 160 kg primali su 40 mg, 80 mg i 160 mg, a doze su bile titrirane do 80 mg, 160 mg i 320 mg, redom, nakon jedne nedjelje. Jedna polovina pacijenata (50,0%, n=75) je imala hronično oboljenje bubrega (HOB), od kojih 29,3% (44 pacijenta) stadijum 2 (GFR 60 – 89 ml/min/1,73m</w:t>
      </w:r>
      <w:r w:rsidRPr="00EF29FB">
        <w:rPr>
          <w:color w:val="000000"/>
          <w:szCs w:val="22"/>
          <w:vertAlign w:val="superscript"/>
          <w:lang w:val="sr-Latn-ME"/>
        </w:rPr>
        <w:t>2</w:t>
      </w:r>
      <w:r w:rsidRPr="00EF29FB">
        <w:rPr>
          <w:color w:val="000000"/>
          <w:szCs w:val="22"/>
          <w:lang w:val="sr-Latn-ME"/>
        </w:rPr>
        <w:t>) ili stadijum 3 (GFR 30-59 ml/min/1,73m</w:t>
      </w:r>
      <w:r w:rsidRPr="00EF29FB">
        <w:rPr>
          <w:color w:val="000000"/>
          <w:szCs w:val="22"/>
          <w:vertAlign w:val="superscript"/>
          <w:lang w:val="sr-Latn-ME"/>
        </w:rPr>
        <w:t>2</w:t>
      </w:r>
      <w:r w:rsidRPr="00EF29FB">
        <w:rPr>
          <w:color w:val="000000"/>
          <w:szCs w:val="22"/>
          <w:lang w:val="sr-Latn-ME"/>
        </w:rPr>
        <w:t>). Srednje smanjenje sistolnog krvnog pritiska je bilo 14,9 mmHg kod svih pacijenata (početna vrijednost od 133,5 mmHg), 18,4 mmHg kod pacijenata sa HOB (početna vrijednost od 131,9 mmHg) i 11,5 mmHg kod pacijenata bez HOB (početna vrijednost od 135,1 mmHg). Procenat pacijenata kod kojih je postignuta kontrola krvnog pritiska (sistolni i dijastolni krvni pritisak &lt; 95. postotka) je bio neznatno veći kod pacijenata sa HOB (79,5%) u poređenju sa pacijentima bez HOB (72,2%).</w:t>
      </w:r>
    </w:p>
    <w:p w:rsidR="00EA43CD" w:rsidRPr="00EF29FB" w:rsidRDefault="00EA43CD" w:rsidP="00EF29FB">
      <w:pPr>
        <w:widowControl w:val="0"/>
        <w:shd w:val="clear" w:color="auto" w:fill="FFFFFF"/>
        <w:spacing w:line="240" w:lineRule="auto"/>
        <w:jc w:val="both"/>
        <w:rPr>
          <w:color w:val="000000"/>
          <w:szCs w:val="22"/>
          <w:lang w:val="sr-Latn-ME"/>
        </w:rPr>
      </w:pPr>
    </w:p>
    <w:p w:rsidR="00EA43CD" w:rsidRPr="00EF29FB" w:rsidRDefault="002B696B" w:rsidP="00EF29FB">
      <w:pPr>
        <w:widowControl w:val="0"/>
        <w:shd w:val="clear" w:color="auto" w:fill="FFFFFF"/>
        <w:spacing w:line="240" w:lineRule="auto"/>
        <w:jc w:val="both"/>
        <w:rPr>
          <w:i/>
          <w:color w:val="000000"/>
          <w:szCs w:val="22"/>
          <w:u w:val="single"/>
          <w:lang w:val="sr-Latn-ME"/>
        </w:rPr>
      </w:pPr>
      <w:r w:rsidRPr="00EF29FB">
        <w:rPr>
          <w:i/>
          <w:color w:val="000000"/>
          <w:szCs w:val="22"/>
          <w:u w:val="single"/>
          <w:lang w:val="sr-Latn-ME"/>
        </w:rPr>
        <w:t>Klinička iskustva kod djece starosti ispod 6 godina</w:t>
      </w:r>
    </w:p>
    <w:p w:rsidR="00EA43CD" w:rsidRPr="00EF29FB" w:rsidRDefault="002B696B" w:rsidP="00EF29FB">
      <w:pPr>
        <w:widowControl w:val="0"/>
        <w:shd w:val="clear" w:color="auto" w:fill="FFFFFF"/>
        <w:spacing w:line="240" w:lineRule="auto"/>
        <w:jc w:val="both"/>
        <w:rPr>
          <w:color w:val="000000"/>
          <w:szCs w:val="22"/>
          <w:lang w:val="sr-Latn-ME"/>
        </w:rPr>
      </w:pPr>
      <w:r w:rsidRPr="00EF29FB">
        <w:rPr>
          <w:color w:val="000000"/>
          <w:szCs w:val="22"/>
          <w:lang w:val="sr-Latn-ME"/>
        </w:rPr>
        <w:t xml:space="preserve">Tri kliničke studije su sprovedene na 291 pacijentu starosti od 1 do 5 godina. Djeca starosti ispod 1 godine nijesu učestvovala u ovim studijama. </w:t>
      </w:r>
    </w:p>
    <w:p w:rsidR="00EA43CD" w:rsidRPr="00EF29FB" w:rsidRDefault="002B696B" w:rsidP="00EF29FB">
      <w:pPr>
        <w:widowControl w:val="0"/>
        <w:shd w:val="clear" w:color="auto" w:fill="FFFFFF"/>
        <w:spacing w:line="240" w:lineRule="auto"/>
        <w:jc w:val="both"/>
        <w:rPr>
          <w:color w:val="000000"/>
          <w:szCs w:val="22"/>
          <w:lang w:val="sr-Latn-ME"/>
        </w:rPr>
      </w:pPr>
      <w:r w:rsidRPr="00EF29FB">
        <w:rPr>
          <w:color w:val="000000"/>
          <w:szCs w:val="22"/>
          <w:lang w:val="sr-Latn-ME"/>
        </w:rPr>
        <w:t>U prvoj studiji na 90 pacijenata se nije pokazao odgovor koji je zavisan od doze, ali u drugoj studiji</w:t>
      </w:r>
      <w:r w:rsidRPr="00EF29FB">
        <w:rPr>
          <w:lang w:val="sr-Latn-ME"/>
        </w:rPr>
        <w:t xml:space="preserve"> </w:t>
      </w:r>
      <w:r w:rsidRPr="00EF29FB">
        <w:rPr>
          <w:color w:val="000000"/>
          <w:szCs w:val="22"/>
          <w:lang w:val="sr-Latn-ME"/>
        </w:rPr>
        <w:t>na 75 pacijenata, više doze valsartana su povezane sa većim sniženjem krvnog pritiska.</w:t>
      </w:r>
    </w:p>
    <w:p w:rsidR="00EA43CD" w:rsidRPr="00EF29FB" w:rsidRDefault="002B696B" w:rsidP="00EF29FB">
      <w:pPr>
        <w:widowControl w:val="0"/>
        <w:shd w:val="clear" w:color="auto" w:fill="FFFFFF"/>
        <w:spacing w:line="240" w:lineRule="auto"/>
        <w:jc w:val="both"/>
        <w:rPr>
          <w:color w:val="000000"/>
          <w:szCs w:val="22"/>
          <w:lang w:val="sr-Latn-ME"/>
        </w:rPr>
      </w:pPr>
      <w:r w:rsidRPr="00EF29FB">
        <w:rPr>
          <w:color w:val="000000"/>
          <w:szCs w:val="22"/>
          <w:lang w:val="sr-Latn-ME"/>
        </w:rPr>
        <w:t xml:space="preserve">Treća studija je bila 6-nedeljna, randomizovana, dvostruko slijepa studija koja je procjenjivala odgovor zavisno od doze valsartana kod 126 djece uzrasta od 1 do 5 godina sa hipertenzijom, sa ili bez hronične bubrežne bolesti randomizovanih na 0,25 mg/kg ili 4 mg/kg tjelesne težine. Na kraju studije, smanjenje u srednjem sistolnom krvnom pritisku (engl. mean systolic blood pressure(MSBP))/srednjem dijastolnom krvnom pritisku (engl. </w:t>
      </w:r>
      <w:r w:rsidRPr="00EF29FB">
        <w:rPr>
          <w:i/>
          <w:color w:val="000000"/>
          <w:szCs w:val="22"/>
          <w:lang w:val="sr-Latn-ME"/>
        </w:rPr>
        <w:t xml:space="preserve">mean diastolic blood pressure </w:t>
      </w:r>
      <w:r w:rsidRPr="00EF29FB">
        <w:rPr>
          <w:color w:val="000000"/>
          <w:szCs w:val="22"/>
          <w:lang w:val="sr-Latn-ME"/>
        </w:rPr>
        <w:t>(MDBP)) sa valsartanom 4,0 mg/kg u poređenju sa valsartanom 0,25 mg/kg bio je 8,5/6,8 mmHg, odnosno 4,1/0,3 mmHg; (p=0,0157/p</w:t>
      </w:r>
    </w:p>
    <w:p w:rsidR="00EA43CD" w:rsidRPr="00EF29FB" w:rsidRDefault="00EA43CD" w:rsidP="00EF29FB">
      <w:pPr>
        <w:widowControl w:val="0"/>
        <w:shd w:val="clear" w:color="auto" w:fill="FFFFFF"/>
        <w:spacing w:line="240" w:lineRule="auto"/>
        <w:jc w:val="both"/>
        <w:rPr>
          <w:color w:val="000000"/>
          <w:szCs w:val="22"/>
          <w:lang w:val="sr-Latn-ME"/>
        </w:rPr>
      </w:pPr>
    </w:p>
    <w:p w:rsidR="00EA43CD" w:rsidRPr="00EF29FB" w:rsidRDefault="002B696B" w:rsidP="00EF29FB">
      <w:pPr>
        <w:widowControl w:val="0"/>
        <w:shd w:val="clear" w:color="auto" w:fill="FFFFFF"/>
        <w:spacing w:line="240" w:lineRule="auto"/>
        <w:jc w:val="both"/>
        <w:rPr>
          <w:color w:val="000000"/>
          <w:szCs w:val="22"/>
          <w:lang w:val="sr-Latn-ME"/>
        </w:rPr>
      </w:pPr>
      <w:r w:rsidRPr="00EF29FB">
        <w:rPr>
          <w:color w:val="000000"/>
          <w:szCs w:val="22"/>
          <w:lang w:val="sr-Latn-ME"/>
        </w:rPr>
        <w:t xml:space="preserve">Evropska agencija za ljekove je ukinula obavezu podnošenja rezultata studija sa lijekom valsartan kod svih ispitanika pedijatrijske populacije sa srčanom insuficijencijom i srčanom insuficijencijom nakon </w:t>
      </w:r>
      <w:r w:rsidRPr="00EF29FB">
        <w:rPr>
          <w:color w:val="000000"/>
          <w:szCs w:val="22"/>
          <w:lang w:val="sr-Latn-ME"/>
        </w:rPr>
        <w:lastRenderedPageBreak/>
        <w:t xml:space="preserve">infarkta miokarda. </w:t>
      </w:r>
    </w:p>
    <w:p w:rsidR="00EA43CD" w:rsidRPr="00EF29FB" w:rsidRDefault="002B696B" w:rsidP="00EF29FB">
      <w:pPr>
        <w:widowControl w:val="0"/>
        <w:shd w:val="clear" w:color="auto" w:fill="FFFFFF"/>
        <w:spacing w:line="240" w:lineRule="auto"/>
        <w:jc w:val="both"/>
        <w:rPr>
          <w:color w:val="000000"/>
          <w:szCs w:val="22"/>
          <w:lang w:val="sr-Latn-ME"/>
        </w:rPr>
      </w:pPr>
      <w:r w:rsidRPr="00EF29FB">
        <w:rPr>
          <w:color w:val="000000"/>
          <w:szCs w:val="22"/>
          <w:lang w:val="sr-Latn-ME"/>
        </w:rPr>
        <w:t>Za više informacija o primjeni lijeka u pedijatriji vidjeti dio 4.2.</w:t>
      </w:r>
    </w:p>
    <w:p w:rsidR="00EA43CD" w:rsidRPr="00EF29FB" w:rsidRDefault="00EA43CD" w:rsidP="00EF29FB">
      <w:pPr>
        <w:widowControl w:val="0"/>
        <w:spacing w:line="240" w:lineRule="auto"/>
        <w:jc w:val="both"/>
        <w:rPr>
          <w:szCs w:val="22"/>
          <w:lang w:val="sr-Latn-ME"/>
        </w:rPr>
      </w:pPr>
    </w:p>
    <w:p w:rsidR="00EA43CD" w:rsidRPr="00EF29FB" w:rsidRDefault="002B696B" w:rsidP="00EF29FB">
      <w:pPr>
        <w:widowControl w:val="0"/>
        <w:spacing w:line="240" w:lineRule="auto"/>
        <w:ind w:left="567" w:hanging="567"/>
        <w:jc w:val="both"/>
        <w:outlineLvl w:val="0"/>
        <w:rPr>
          <w:b/>
          <w:szCs w:val="22"/>
          <w:lang w:val="sr-Latn-ME"/>
        </w:rPr>
      </w:pPr>
      <w:r w:rsidRPr="00EF29FB">
        <w:rPr>
          <w:b/>
          <w:szCs w:val="22"/>
          <w:lang w:val="sr-Latn-ME"/>
        </w:rPr>
        <w:t>5.2</w:t>
      </w:r>
      <w:r w:rsidRPr="00EF29FB">
        <w:rPr>
          <w:b/>
          <w:szCs w:val="22"/>
          <w:lang w:val="sr-Latn-ME"/>
        </w:rPr>
        <w:tab/>
      </w:r>
      <w:r w:rsidRPr="00EF29FB">
        <w:rPr>
          <w:b/>
          <w:bCs/>
          <w:szCs w:val="22"/>
          <w:lang w:val="sr-Latn-ME"/>
        </w:rPr>
        <w:t>Farmakokinetički podaci</w:t>
      </w:r>
    </w:p>
    <w:p w:rsidR="00EA43CD" w:rsidRPr="00EF29FB" w:rsidRDefault="00EA43CD" w:rsidP="00EF29FB">
      <w:pPr>
        <w:widowControl w:val="0"/>
        <w:spacing w:line="240" w:lineRule="auto"/>
        <w:jc w:val="both"/>
        <w:rPr>
          <w:szCs w:val="22"/>
          <w:lang w:val="sr-Latn-ME"/>
        </w:rPr>
      </w:pPr>
    </w:p>
    <w:p w:rsidR="00EA43CD" w:rsidRPr="00EF29FB" w:rsidRDefault="002B696B" w:rsidP="00EF29FB">
      <w:pPr>
        <w:widowControl w:val="0"/>
        <w:shd w:val="clear" w:color="auto" w:fill="FFFFFF"/>
        <w:spacing w:line="240" w:lineRule="auto"/>
        <w:jc w:val="both"/>
        <w:rPr>
          <w:color w:val="000000"/>
          <w:szCs w:val="22"/>
          <w:lang w:val="sr-Latn-ME"/>
        </w:rPr>
      </w:pPr>
      <w:r w:rsidRPr="00EF29FB">
        <w:rPr>
          <w:i/>
          <w:color w:val="000000"/>
          <w:szCs w:val="22"/>
          <w:u w:val="single"/>
          <w:lang w:val="sr-Latn-ME"/>
        </w:rPr>
        <w:t>Resorpcija</w:t>
      </w:r>
    </w:p>
    <w:p w:rsidR="00EA43CD" w:rsidRPr="00EF29FB" w:rsidRDefault="002B696B" w:rsidP="00EF29FB">
      <w:pPr>
        <w:widowControl w:val="0"/>
        <w:shd w:val="clear" w:color="auto" w:fill="FFFFFF"/>
        <w:spacing w:line="240" w:lineRule="auto"/>
        <w:jc w:val="both"/>
        <w:rPr>
          <w:color w:val="000000"/>
          <w:szCs w:val="22"/>
          <w:lang w:val="sr-Latn-ME"/>
        </w:rPr>
      </w:pPr>
      <w:r w:rsidRPr="00EF29FB">
        <w:rPr>
          <w:color w:val="000000"/>
          <w:szCs w:val="22"/>
          <w:lang w:val="sr-Latn-ME"/>
        </w:rPr>
        <w:t>Nakon oralne primjene valsartana, maksimalna koncentracija valsartana u plazmi se postiže za 2-4 sata sa tabletama, odnosno 1-2 sata sa rastvorom. Srednja apsolutna bioraspoloživost je 23% za tablete, odnosno 39% za rastvor. Sistemska izloženost i pik plazma koncentracije valsartana je oko 1.7 puta i 2.2 puta veći sa rastvorom u poređenju sa tabletama.</w:t>
      </w:r>
    </w:p>
    <w:p w:rsidR="00EA43CD" w:rsidRPr="00EF29FB" w:rsidRDefault="002B696B" w:rsidP="00EF29FB">
      <w:pPr>
        <w:widowControl w:val="0"/>
        <w:shd w:val="clear" w:color="auto" w:fill="FFFFFF"/>
        <w:spacing w:line="240" w:lineRule="auto"/>
        <w:jc w:val="both"/>
        <w:rPr>
          <w:color w:val="000000"/>
          <w:szCs w:val="22"/>
          <w:lang w:val="sr-Latn-ME"/>
        </w:rPr>
      </w:pPr>
      <w:r w:rsidRPr="00EF29FB">
        <w:rPr>
          <w:color w:val="000000"/>
          <w:szCs w:val="22"/>
          <w:lang w:val="sr-Latn-ME"/>
        </w:rPr>
        <w:t xml:space="preserve">Hrana smanjuje izloženost (mjereno pomoću PIK-a) valsartanu za oko 40% i maksimalnu koncentraciju valsartana u plazmi </w:t>
      </w:r>
      <w:r w:rsidRPr="00EF29FB">
        <w:rPr>
          <w:bCs/>
          <w:szCs w:val="22"/>
          <w:lang w:val="sr-Latn-ME"/>
        </w:rPr>
        <w:t>(C</w:t>
      </w:r>
      <w:r w:rsidRPr="00EF29FB">
        <w:rPr>
          <w:bCs/>
          <w:szCs w:val="22"/>
          <w:vertAlign w:val="subscript"/>
          <w:lang w:val="sr-Latn-ME"/>
        </w:rPr>
        <w:t>max</w:t>
      </w:r>
      <w:r w:rsidRPr="00EF29FB">
        <w:rPr>
          <w:bCs/>
          <w:szCs w:val="22"/>
          <w:lang w:val="sr-Latn-ME"/>
        </w:rPr>
        <w:t>)</w:t>
      </w:r>
      <w:r w:rsidRPr="00EF29FB">
        <w:rPr>
          <w:color w:val="000000"/>
          <w:szCs w:val="22"/>
          <w:lang w:val="sr-Latn-ME"/>
        </w:rPr>
        <w:t xml:space="preserve"> za oko 50%, mada su koncentracije valsartana u plazmi oko 8 sati nakon primjene slične u grupi koja je uzimala hranu i grupi koja je bila natašte. Međutim, ovo smanjenje PIK-a nije praćeno klinički značajnim smanjenjem terapijskog efekta, te se stoga valsartan može davati sa hranom ili bez nje.</w:t>
      </w:r>
    </w:p>
    <w:p w:rsidR="00EA43CD" w:rsidRPr="00EF29FB" w:rsidRDefault="002B696B" w:rsidP="00EF29FB">
      <w:pPr>
        <w:widowControl w:val="0"/>
        <w:shd w:val="clear" w:color="auto" w:fill="FFFFFF"/>
        <w:spacing w:line="240" w:lineRule="auto"/>
        <w:jc w:val="both"/>
        <w:rPr>
          <w:i/>
          <w:color w:val="000000"/>
          <w:szCs w:val="22"/>
          <w:u w:val="single"/>
          <w:lang w:val="sr-Latn-ME"/>
        </w:rPr>
      </w:pPr>
      <w:r w:rsidRPr="00EF29FB">
        <w:rPr>
          <w:i/>
          <w:color w:val="000000"/>
          <w:szCs w:val="22"/>
          <w:u w:val="single"/>
          <w:lang w:val="sr-Latn-ME"/>
        </w:rPr>
        <w:t>Distribucija</w:t>
      </w:r>
    </w:p>
    <w:p w:rsidR="00EA43CD" w:rsidRPr="00EF29FB" w:rsidRDefault="002B696B" w:rsidP="00EF29FB">
      <w:pPr>
        <w:widowControl w:val="0"/>
        <w:shd w:val="clear" w:color="auto" w:fill="FFFFFF"/>
        <w:spacing w:line="240" w:lineRule="auto"/>
        <w:jc w:val="both"/>
        <w:rPr>
          <w:color w:val="000000"/>
          <w:szCs w:val="22"/>
          <w:lang w:val="sr-Latn-ME"/>
        </w:rPr>
      </w:pPr>
      <w:r w:rsidRPr="00EF29FB">
        <w:rPr>
          <w:color w:val="000000"/>
          <w:szCs w:val="22"/>
          <w:lang w:val="sr-Latn-ME"/>
        </w:rPr>
        <w:t>Volumen distribucije valsartana u ravnotežnom stanju nakon intravenske primjene je oko 17 L, što ukazuje da se valsartan ne distribuira u tkiva u velikom obimu. Valsartan se u velikoj mjeri vezuje za serumske proteine (94–97%), uglavnom serumski albumin.</w:t>
      </w:r>
    </w:p>
    <w:p w:rsidR="00EA43CD" w:rsidRPr="00EF29FB" w:rsidRDefault="00EA43CD" w:rsidP="00EF29FB">
      <w:pPr>
        <w:widowControl w:val="0"/>
        <w:shd w:val="clear" w:color="auto" w:fill="FFFFFF"/>
        <w:spacing w:line="240" w:lineRule="auto"/>
        <w:jc w:val="both"/>
        <w:rPr>
          <w:i/>
          <w:color w:val="000000"/>
          <w:szCs w:val="22"/>
          <w:u w:val="single"/>
          <w:lang w:val="sr-Latn-ME"/>
        </w:rPr>
      </w:pPr>
    </w:p>
    <w:p w:rsidR="00EA43CD" w:rsidRPr="00EF29FB" w:rsidRDefault="002B696B" w:rsidP="00EF29FB">
      <w:pPr>
        <w:widowControl w:val="0"/>
        <w:shd w:val="clear" w:color="auto" w:fill="FFFFFF"/>
        <w:spacing w:line="240" w:lineRule="auto"/>
        <w:jc w:val="both"/>
        <w:rPr>
          <w:i/>
          <w:color w:val="000000"/>
          <w:szCs w:val="22"/>
          <w:u w:val="single"/>
          <w:lang w:val="sr-Latn-ME"/>
        </w:rPr>
      </w:pPr>
      <w:r w:rsidRPr="00EF29FB">
        <w:rPr>
          <w:i/>
          <w:color w:val="000000"/>
          <w:szCs w:val="22"/>
          <w:u w:val="single"/>
          <w:lang w:val="sr-Latn-ME"/>
        </w:rPr>
        <w:t>Biotransformacija</w:t>
      </w:r>
    </w:p>
    <w:p w:rsidR="00EA43CD" w:rsidRPr="00EF29FB" w:rsidRDefault="002B696B" w:rsidP="00EF29FB">
      <w:pPr>
        <w:widowControl w:val="0"/>
        <w:shd w:val="clear" w:color="auto" w:fill="FFFFFF"/>
        <w:spacing w:line="240" w:lineRule="auto"/>
        <w:jc w:val="both"/>
        <w:rPr>
          <w:color w:val="000000"/>
          <w:szCs w:val="22"/>
          <w:lang w:val="sr-Latn-ME"/>
        </w:rPr>
      </w:pPr>
      <w:r w:rsidRPr="00EF29FB">
        <w:rPr>
          <w:color w:val="000000"/>
          <w:szCs w:val="22"/>
          <w:lang w:val="sr-Latn-ME"/>
        </w:rPr>
        <w:t>Valsartan nema izraženu biotransformaciju i samo oko 20% doze je otkriveno u obliku metabolita. Hidroksi metabolit je identifikovan u plazmi u malim koncentracijama (manje od 10% od PIK valsartana). Ovaj metabolit nije farmakološki aktivan.</w:t>
      </w:r>
    </w:p>
    <w:p w:rsidR="00EA43CD" w:rsidRPr="00EF29FB" w:rsidRDefault="00EA43CD" w:rsidP="00EF29FB">
      <w:pPr>
        <w:widowControl w:val="0"/>
        <w:shd w:val="clear" w:color="auto" w:fill="FFFFFF"/>
        <w:spacing w:line="240" w:lineRule="auto"/>
        <w:jc w:val="both"/>
        <w:rPr>
          <w:i/>
          <w:color w:val="000000"/>
          <w:szCs w:val="22"/>
          <w:u w:val="single"/>
          <w:lang w:val="sr-Latn-ME"/>
        </w:rPr>
      </w:pPr>
    </w:p>
    <w:p w:rsidR="00EA43CD" w:rsidRPr="00EF29FB" w:rsidRDefault="002B696B" w:rsidP="00EF29FB">
      <w:pPr>
        <w:widowControl w:val="0"/>
        <w:shd w:val="clear" w:color="auto" w:fill="FFFFFF"/>
        <w:spacing w:line="240" w:lineRule="auto"/>
        <w:jc w:val="both"/>
        <w:rPr>
          <w:i/>
          <w:color w:val="000000"/>
          <w:szCs w:val="22"/>
          <w:u w:val="single"/>
          <w:lang w:val="sr-Latn-ME"/>
        </w:rPr>
      </w:pPr>
      <w:r w:rsidRPr="00EF29FB">
        <w:rPr>
          <w:i/>
          <w:color w:val="000000"/>
          <w:szCs w:val="22"/>
          <w:u w:val="single"/>
          <w:lang w:val="sr-Latn-ME"/>
        </w:rPr>
        <w:t>Ekskrecija</w:t>
      </w:r>
    </w:p>
    <w:p w:rsidR="00EA43CD" w:rsidRPr="00EF29FB" w:rsidRDefault="002B696B" w:rsidP="00EF29FB">
      <w:pPr>
        <w:widowControl w:val="0"/>
        <w:shd w:val="clear" w:color="auto" w:fill="FFFFFF"/>
        <w:spacing w:line="240" w:lineRule="auto"/>
        <w:jc w:val="both"/>
        <w:rPr>
          <w:color w:val="000000"/>
          <w:szCs w:val="22"/>
          <w:lang w:val="sr-Latn-ME"/>
        </w:rPr>
      </w:pPr>
      <w:r w:rsidRPr="00EF29FB">
        <w:rPr>
          <w:color w:val="000000"/>
          <w:szCs w:val="22"/>
          <w:lang w:val="sr-Latn-ME"/>
        </w:rPr>
        <w:t>Valsartan ispoljava multieksponencijalnu kinetiku raspadanja (t</w:t>
      </w:r>
      <w:r w:rsidRPr="00EF29FB">
        <w:rPr>
          <w:color w:val="000000"/>
          <w:szCs w:val="22"/>
          <w:vertAlign w:val="subscript"/>
          <w:lang w:val="sr-Latn-ME"/>
        </w:rPr>
        <w:t>/2 ά</w:t>
      </w:r>
      <w:r w:rsidRPr="00EF29FB">
        <w:rPr>
          <w:color w:val="000000"/>
          <w:szCs w:val="22"/>
          <w:lang w:val="sr-Latn-ME"/>
        </w:rPr>
        <w:t xml:space="preserve"> &lt; 1 sat i t</w:t>
      </w:r>
      <w:r w:rsidRPr="00EF29FB">
        <w:rPr>
          <w:color w:val="000000"/>
          <w:szCs w:val="22"/>
          <w:vertAlign w:val="subscript"/>
          <w:lang w:val="sr-Latn-ME"/>
        </w:rPr>
        <w:t>/2 β</w:t>
      </w:r>
      <w:r w:rsidRPr="00EF29FB">
        <w:rPr>
          <w:color w:val="000000"/>
          <w:szCs w:val="22"/>
          <w:lang w:val="sr-Latn-ME"/>
        </w:rPr>
        <w:t xml:space="preserve"> oko 9 sati). Valsartan se prvenstveno eliminiše stolicom preko bilijarne ekskrecije (oko 83% od doze) i urinom (oko 13% od doze, uglavnom kao nepromjenjeni lijek. Nakon intravenske primjene, klirens valsartana iz plazme je oko 2 l/h a bubrežni klirens je 0,62 l/h (oko 30% od ukupnog klirensa). Poluvrijeme eliminacije valsartana je 6 časova.</w:t>
      </w:r>
    </w:p>
    <w:p w:rsidR="00EA43CD" w:rsidRPr="00EF29FB" w:rsidRDefault="00EA43CD" w:rsidP="00EF29FB">
      <w:pPr>
        <w:widowControl w:val="0"/>
        <w:shd w:val="clear" w:color="auto" w:fill="FFFFFF"/>
        <w:spacing w:line="240" w:lineRule="auto"/>
        <w:jc w:val="both"/>
        <w:rPr>
          <w:color w:val="000000"/>
          <w:szCs w:val="22"/>
          <w:u w:val="single"/>
          <w:lang w:val="sr-Latn-ME"/>
        </w:rPr>
      </w:pPr>
    </w:p>
    <w:p w:rsidR="00EA43CD" w:rsidRPr="00EF29FB" w:rsidRDefault="002B696B" w:rsidP="00EF29FB">
      <w:pPr>
        <w:widowControl w:val="0"/>
        <w:shd w:val="clear" w:color="auto" w:fill="FFFFFF"/>
        <w:spacing w:line="240" w:lineRule="auto"/>
        <w:jc w:val="both"/>
        <w:rPr>
          <w:color w:val="000000"/>
          <w:szCs w:val="22"/>
          <w:u w:val="single"/>
          <w:lang w:val="sr-Latn-ME"/>
        </w:rPr>
      </w:pPr>
      <w:r w:rsidRPr="00EF29FB">
        <w:rPr>
          <w:color w:val="000000"/>
          <w:szCs w:val="22"/>
          <w:u w:val="single"/>
          <w:lang w:val="sr-Latn-ME"/>
        </w:rPr>
        <w:t xml:space="preserve">Kod pacijenata sa srčanom insuficijencijom </w:t>
      </w:r>
    </w:p>
    <w:p w:rsidR="00EA43CD" w:rsidRPr="00EF29FB" w:rsidRDefault="002B696B" w:rsidP="00EF29FB">
      <w:pPr>
        <w:widowControl w:val="0"/>
        <w:shd w:val="clear" w:color="auto" w:fill="FFFFFF"/>
        <w:spacing w:line="240" w:lineRule="auto"/>
        <w:jc w:val="both"/>
        <w:rPr>
          <w:color w:val="000000"/>
          <w:szCs w:val="22"/>
          <w:lang w:val="sr-Latn-ME"/>
        </w:rPr>
      </w:pPr>
      <w:r w:rsidRPr="00EF29FB">
        <w:rPr>
          <w:color w:val="000000"/>
          <w:szCs w:val="22"/>
          <w:lang w:val="sr-Latn-ME"/>
        </w:rPr>
        <w:t>Srednje vrijeme postizanja maksimalne koncentracije i poluvrijeme eliminacije valsartana kod bolesnika sa srčanom insuficijencijom slično je onom uočenom kod zdravih dobrovoljaca. Vrijednosti PIK i C</w:t>
      </w:r>
      <w:r w:rsidRPr="00EF29FB">
        <w:rPr>
          <w:color w:val="000000"/>
          <w:szCs w:val="22"/>
          <w:vertAlign w:val="subscript"/>
          <w:lang w:val="sr-Latn-ME"/>
        </w:rPr>
        <w:t>max</w:t>
      </w:r>
      <w:r w:rsidRPr="00EF29FB">
        <w:rPr>
          <w:color w:val="000000"/>
          <w:szCs w:val="22"/>
          <w:lang w:val="sr-Latn-ME"/>
        </w:rPr>
        <w:t xml:space="preserve"> valsartana povećavaju se linearno i gotovo su proporcionalne sa povećanjem doze u okviru kliničkog raspona doziranja (40 do 160 mg dvaput na dan). Srednji faktor akumulacije je oko 1,7. Prividni klirens valsartana nakon oralne primjene je približno 4,5 l/h. Uzrast ne utiče na prividni klirens kod pacijenata  sa srčanom insuficijencijom.  </w:t>
      </w:r>
    </w:p>
    <w:p w:rsidR="00EA43CD" w:rsidRPr="00EF29FB" w:rsidRDefault="00EA43CD" w:rsidP="00EF29FB">
      <w:pPr>
        <w:widowControl w:val="0"/>
        <w:shd w:val="clear" w:color="auto" w:fill="FFFFFF"/>
        <w:spacing w:line="240" w:lineRule="auto"/>
        <w:jc w:val="both"/>
        <w:rPr>
          <w:bCs/>
          <w:color w:val="000000"/>
          <w:szCs w:val="22"/>
          <w:u w:val="single"/>
          <w:lang w:val="sr-Latn-ME"/>
        </w:rPr>
      </w:pPr>
    </w:p>
    <w:p w:rsidR="00EA43CD" w:rsidRPr="00EF29FB" w:rsidRDefault="002B696B" w:rsidP="00EF29FB">
      <w:pPr>
        <w:widowControl w:val="0"/>
        <w:shd w:val="clear" w:color="auto" w:fill="FFFFFF"/>
        <w:spacing w:line="240" w:lineRule="auto"/>
        <w:jc w:val="both"/>
        <w:rPr>
          <w:bCs/>
          <w:color w:val="000000"/>
          <w:szCs w:val="22"/>
          <w:u w:val="single"/>
          <w:lang w:val="sr-Latn-ME"/>
        </w:rPr>
      </w:pPr>
      <w:r w:rsidRPr="00EF29FB">
        <w:rPr>
          <w:bCs/>
          <w:color w:val="000000"/>
          <w:szCs w:val="22"/>
          <w:u w:val="single"/>
          <w:lang w:val="sr-Latn-ME"/>
        </w:rPr>
        <w:t>Posebne populacione grupe</w:t>
      </w:r>
    </w:p>
    <w:p w:rsidR="00EA43CD" w:rsidRPr="00EF29FB" w:rsidRDefault="00EA43CD" w:rsidP="00EF29FB">
      <w:pPr>
        <w:widowControl w:val="0"/>
        <w:shd w:val="clear" w:color="auto" w:fill="FFFFFF"/>
        <w:spacing w:line="240" w:lineRule="auto"/>
        <w:jc w:val="both"/>
        <w:rPr>
          <w:bCs/>
          <w:color w:val="000000"/>
          <w:szCs w:val="22"/>
          <w:u w:val="single"/>
          <w:lang w:val="sr-Latn-ME"/>
        </w:rPr>
      </w:pPr>
    </w:p>
    <w:p w:rsidR="00EA43CD" w:rsidRPr="00EF29FB" w:rsidRDefault="002B696B" w:rsidP="00EF29FB">
      <w:pPr>
        <w:widowControl w:val="0"/>
        <w:shd w:val="clear" w:color="auto" w:fill="FFFFFF"/>
        <w:spacing w:line="240" w:lineRule="auto"/>
        <w:jc w:val="both"/>
        <w:rPr>
          <w:bCs/>
          <w:color w:val="000000"/>
          <w:szCs w:val="22"/>
          <w:u w:val="single"/>
          <w:lang w:val="sr-Latn-ME"/>
        </w:rPr>
      </w:pPr>
      <w:r w:rsidRPr="00EF29FB">
        <w:rPr>
          <w:bCs/>
          <w:color w:val="000000"/>
          <w:szCs w:val="22"/>
          <w:u w:val="single"/>
          <w:lang w:val="sr-Latn-ME"/>
        </w:rPr>
        <w:t>Starije osobe</w:t>
      </w:r>
    </w:p>
    <w:p w:rsidR="00EA43CD" w:rsidRPr="00EF29FB" w:rsidRDefault="002B696B" w:rsidP="00EF29FB">
      <w:pPr>
        <w:widowControl w:val="0"/>
        <w:shd w:val="clear" w:color="auto" w:fill="FFFFFF"/>
        <w:spacing w:line="240" w:lineRule="auto"/>
        <w:jc w:val="both"/>
        <w:rPr>
          <w:color w:val="000000"/>
          <w:szCs w:val="22"/>
          <w:lang w:val="sr-Latn-ME"/>
        </w:rPr>
      </w:pPr>
      <w:r w:rsidRPr="00EF29FB">
        <w:rPr>
          <w:color w:val="000000"/>
          <w:szCs w:val="22"/>
          <w:lang w:val="sr-Latn-ME"/>
        </w:rPr>
        <w:t>Nešto viša sistemska izloženost valsartanu bila je primijećena kod nekih starijih osoba nego kod mlađih osoba; međutim, nije dokazano da ovo ima klinički značaj.</w:t>
      </w:r>
    </w:p>
    <w:p w:rsidR="00EA43CD" w:rsidRPr="00EF29FB" w:rsidRDefault="00EA43CD" w:rsidP="00EF29FB">
      <w:pPr>
        <w:widowControl w:val="0"/>
        <w:shd w:val="clear" w:color="auto" w:fill="FFFFFF"/>
        <w:spacing w:line="240" w:lineRule="auto"/>
        <w:ind w:left="11"/>
        <w:jc w:val="both"/>
        <w:rPr>
          <w:bCs/>
          <w:color w:val="000000"/>
          <w:szCs w:val="22"/>
          <w:u w:val="single"/>
          <w:lang w:val="sr-Latn-ME"/>
        </w:rPr>
      </w:pPr>
    </w:p>
    <w:p w:rsidR="00EA43CD" w:rsidRPr="00EF29FB" w:rsidRDefault="002B696B" w:rsidP="00EF29FB">
      <w:pPr>
        <w:widowControl w:val="0"/>
        <w:shd w:val="clear" w:color="auto" w:fill="FFFFFF"/>
        <w:spacing w:line="240" w:lineRule="auto"/>
        <w:ind w:left="11"/>
        <w:jc w:val="both"/>
        <w:rPr>
          <w:bCs/>
          <w:color w:val="000000"/>
          <w:szCs w:val="22"/>
          <w:u w:val="single"/>
          <w:lang w:val="sr-Latn-ME"/>
        </w:rPr>
      </w:pPr>
      <w:r w:rsidRPr="00EF29FB">
        <w:rPr>
          <w:bCs/>
          <w:color w:val="000000"/>
          <w:szCs w:val="22"/>
          <w:u w:val="single"/>
          <w:lang w:val="sr-Latn-ME"/>
        </w:rPr>
        <w:t>Oštećenje bubrežne funkcije</w:t>
      </w:r>
    </w:p>
    <w:p w:rsidR="00EA43CD" w:rsidRPr="00EF29FB" w:rsidRDefault="002B696B" w:rsidP="00EF29FB">
      <w:pPr>
        <w:widowControl w:val="0"/>
        <w:shd w:val="clear" w:color="auto" w:fill="FFFFFF"/>
        <w:spacing w:line="240" w:lineRule="auto"/>
        <w:jc w:val="both"/>
        <w:rPr>
          <w:color w:val="000000"/>
          <w:szCs w:val="22"/>
          <w:lang w:val="sr-Latn-ME"/>
        </w:rPr>
      </w:pPr>
      <w:r w:rsidRPr="00EF29FB">
        <w:rPr>
          <w:color w:val="000000"/>
          <w:szCs w:val="22"/>
          <w:lang w:val="sr-Latn-ME"/>
        </w:rPr>
        <w:t>Kao što se očekuje kod jedinjenja gde na bubrežni klirens otpada samo 30% od ukupnog klirensa u plazmi, nije uočena korelacija između bubrežne funkcije i sistemskog izlaganja valsartanu.  Prilagođavanje doza stoga nije potrebno kod pacijenata sa oštećenjem bubrega (klirens kreatinina &gt;10 ml/min). Nema dostupnih podataka za pacijente sa ozbiljnim oštećenjem bubrega (klirens kreatinina&lt; 10 ml/min) i za pacijente na dijalizi, stoga se valsartan treba upotrebljavati sa oprezom kod ovih pacijenata (vidjeti djelove 4.2 i 4.4).</w:t>
      </w:r>
    </w:p>
    <w:p w:rsidR="00EA43CD" w:rsidRPr="00EF29FB" w:rsidRDefault="002B696B" w:rsidP="00EF29FB">
      <w:pPr>
        <w:widowControl w:val="0"/>
        <w:shd w:val="clear" w:color="auto" w:fill="FFFFFF"/>
        <w:spacing w:line="240" w:lineRule="auto"/>
        <w:jc w:val="both"/>
        <w:rPr>
          <w:color w:val="000000"/>
          <w:szCs w:val="22"/>
          <w:lang w:val="sr-Latn-ME"/>
        </w:rPr>
      </w:pPr>
      <w:r w:rsidRPr="00EF29FB">
        <w:rPr>
          <w:color w:val="000000"/>
          <w:szCs w:val="22"/>
          <w:lang w:val="sr-Latn-ME"/>
        </w:rPr>
        <w:t>Valsartan se ekstenzivno vezuje za proteine plazme pa je mala vjerovatnoća da se može ukloniti dijalizom.</w:t>
      </w:r>
    </w:p>
    <w:p w:rsidR="00EA43CD" w:rsidRPr="00EF29FB" w:rsidRDefault="00EA43CD" w:rsidP="00EF29FB">
      <w:pPr>
        <w:widowControl w:val="0"/>
        <w:shd w:val="clear" w:color="auto" w:fill="FFFFFF"/>
        <w:spacing w:line="240" w:lineRule="auto"/>
        <w:jc w:val="both"/>
        <w:rPr>
          <w:b/>
          <w:bCs/>
          <w:color w:val="000000"/>
          <w:szCs w:val="22"/>
          <w:lang w:val="sr-Latn-ME"/>
        </w:rPr>
      </w:pPr>
    </w:p>
    <w:p w:rsidR="00EA43CD" w:rsidRPr="00EF29FB" w:rsidRDefault="002B696B" w:rsidP="00EF29FB">
      <w:pPr>
        <w:widowControl w:val="0"/>
        <w:shd w:val="clear" w:color="auto" w:fill="FFFFFF"/>
        <w:spacing w:line="240" w:lineRule="auto"/>
        <w:jc w:val="both"/>
        <w:rPr>
          <w:bCs/>
          <w:color w:val="000000"/>
          <w:szCs w:val="22"/>
          <w:u w:val="single"/>
          <w:lang w:val="sr-Latn-ME"/>
        </w:rPr>
      </w:pPr>
      <w:r w:rsidRPr="00EF29FB">
        <w:rPr>
          <w:bCs/>
          <w:color w:val="000000"/>
          <w:szCs w:val="22"/>
          <w:u w:val="single"/>
          <w:lang w:val="sr-Latn-ME"/>
        </w:rPr>
        <w:t>Oštećenje funkcije jetre</w:t>
      </w:r>
    </w:p>
    <w:p w:rsidR="00EA43CD" w:rsidRPr="00EF29FB" w:rsidRDefault="002B696B" w:rsidP="00EF29FB">
      <w:pPr>
        <w:widowControl w:val="0"/>
        <w:shd w:val="clear" w:color="auto" w:fill="FFFFFF"/>
        <w:spacing w:line="240" w:lineRule="auto"/>
        <w:jc w:val="both"/>
        <w:rPr>
          <w:color w:val="000000"/>
          <w:szCs w:val="22"/>
          <w:lang w:val="sr-Latn-ME"/>
        </w:rPr>
      </w:pPr>
      <w:r w:rsidRPr="00EF29FB">
        <w:rPr>
          <w:color w:val="000000"/>
          <w:szCs w:val="22"/>
          <w:lang w:val="sr-Latn-ME"/>
        </w:rPr>
        <w:lastRenderedPageBreak/>
        <w:t>Približno 70% resorbovane doze izlučuje se putem žuči, uglavnom u nepromijenjenom obliku. Valsartan se značajno ne metaboliše. Udvostručenje PIK je uočeno kod pacijenata sa blagim do umjerenim oštećenjem funkcije jetre u odnosu na zdrave ispitanike. Međutim, sistemska izloženost valsartanu nije u korelaciji sa stepenom oštećenja funkcije jetre. Nema dostupnih podataka o upotrebi valsartana kod pacijenata sa ozbiljnim oštećenjem funkcije jetre (vidjeti djelove 4.2, 4.3 i 4.4).</w:t>
      </w:r>
    </w:p>
    <w:p w:rsidR="00EA43CD" w:rsidRPr="00EF29FB" w:rsidRDefault="00EA43CD" w:rsidP="00EF29FB">
      <w:pPr>
        <w:widowControl w:val="0"/>
        <w:shd w:val="clear" w:color="auto" w:fill="FFFFFF"/>
        <w:spacing w:line="240" w:lineRule="auto"/>
        <w:jc w:val="both"/>
        <w:rPr>
          <w:i/>
          <w:color w:val="000000"/>
          <w:szCs w:val="22"/>
          <w:u w:val="single"/>
          <w:lang w:val="sr-Latn-ME"/>
        </w:rPr>
      </w:pPr>
    </w:p>
    <w:p w:rsidR="00EA43CD" w:rsidRPr="00EF29FB" w:rsidRDefault="002B696B" w:rsidP="00EF29FB">
      <w:pPr>
        <w:widowControl w:val="0"/>
        <w:shd w:val="clear" w:color="auto" w:fill="FFFFFF"/>
        <w:spacing w:line="240" w:lineRule="auto"/>
        <w:jc w:val="both"/>
        <w:rPr>
          <w:i/>
          <w:color w:val="000000"/>
          <w:szCs w:val="22"/>
          <w:u w:val="single"/>
          <w:lang w:val="sr-Latn-ME"/>
        </w:rPr>
      </w:pPr>
      <w:r w:rsidRPr="00EF29FB">
        <w:rPr>
          <w:i/>
          <w:color w:val="000000"/>
          <w:szCs w:val="22"/>
          <w:u w:val="single"/>
          <w:lang w:val="sr-Latn-ME"/>
        </w:rPr>
        <w:t>Pedijatrijska populacija</w:t>
      </w:r>
    </w:p>
    <w:p w:rsidR="00EA43CD" w:rsidRPr="00EF29FB" w:rsidRDefault="002B696B" w:rsidP="00EF29FB">
      <w:pPr>
        <w:widowControl w:val="0"/>
        <w:shd w:val="clear" w:color="auto" w:fill="FFFFFF"/>
        <w:spacing w:line="240" w:lineRule="auto"/>
        <w:jc w:val="both"/>
        <w:rPr>
          <w:color w:val="000000"/>
          <w:szCs w:val="22"/>
          <w:lang w:val="sr-Latn-ME"/>
        </w:rPr>
      </w:pPr>
      <w:r w:rsidRPr="00EF29FB">
        <w:rPr>
          <w:color w:val="000000"/>
          <w:szCs w:val="22"/>
          <w:lang w:val="sr-Latn-ME"/>
        </w:rPr>
        <w:t>U studiji sa 26 pedijatrijskih hipertenzivnih pacijenata (uzrasta od 1 do16 godina) kojima su davane pojedinačne doze suspenzije valsartana (prosječno: 0,9 do 2 mg/kg, sa maksimalnom dozom od 80 mg), klirens (l/h/kg) valsartana je bio uporediv u dobnom rasponu od 1 do 16 godina i bio je sličan onom koji se javio kod odraslih koji su dobijali istu formulaciju.</w:t>
      </w:r>
      <w:r w:rsidRPr="00EF29FB">
        <w:rPr>
          <w:lang w:val="sr-Latn-ME"/>
        </w:rPr>
        <w:t xml:space="preserve"> </w:t>
      </w:r>
      <w:r w:rsidRPr="00EF29FB">
        <w:rPr>
          <w:color w:val="000000"/>
          <w:szCs w:val="22"/>
          <w:lang w:val="sr-Latn-ME"/>
        </w:rPr>
        <w:t>(vidjeti dio Resorpcija u dijelu 5.2).</w:t>
      </w:r>
    </w:p>
    <w:p w:rsidR="00EA43CD" w:rsidRPr="00EF29FB" w:rsidRDefault="002B696B" w:rsidP="00EF29FB">
      <w:pPr>
        <w:widowControl w:val="0"/>
        <w:shd w:val="clear" w:color="auto" w:fill="FFFFFF"/>
        <w:spacing w:line="240" w:lineRule="auto"/>
        <w:jc w:val="both"/>
        <w:rPr>
          <w:color w:val="000000"/>
          <w:szCs w:val="22"/>
          <w:u w:val="single"/>
          <w:lang w:val="sr-Latn-ME"/>
        </w:rPr>
      </w:pPr>
      <w:r w:rsidRPr="00EF29FB">
        <w:rPr>
          <w:color w:val="000000"/>
          <w:szCs w:val="22"/>
          <w:u w:val="single"/>
          <w:lang w:val="sr-Latn-ME"/>
        </w:rPr>
        <w:t>Oštećenje bubrežne funkcije</w:t>
      </w:r>
    </w:p>
    <w:p w:rsidR="00EA43CD" w:rsidRPr="00EF29FB" w:rsidRDefault="002B696B" w:rsidP="00EF29FB">
      <w:pPr>
        <w:widowControl w:val="0"/>
        <w:spacing w:line="240" w:lineRule="auto"/>
        <w:jc w:val="both"/>
        <w:rPr>
          <w:color w:val="000000"/>
          <w:szCs w:val="22"/>
          <w:lang w:val="sr-Latn-ME"/>
        </w:rPr>
      </w:pPr>
      <w:r w:rsidRPr="00EF29FB">
        <w:rPr>
          <w:color w:val="000000"/>
          <w:szCs w:val="22"/>
          <w:lang w:val="sr-Latn-ME"/>
        </w:rPr>
        <w:t>Upotreba kod pedijatrijskih pacijenata sa klirensom kreatinina &lt;30 ml/min i pedijatrijskih pacijenata na dijalizi nije proučavana, stoga se valsartan ne preporučuje kod ovih pacijenata. Podešavanje doze nije neophodno kod pedijatrijskih pacijenata sa klirensom kreatinina &gt;30 ml/min. Bubrežnu funkciju i serumski kalijum treba pažljivo pratiti (vidjeti djelove 4.2 i 4.4).</w:t>
      </w:r>
    </w:p>
    <w:p w:rsidR="00EA43CD" w:rsidRPr="00EF29FB" w:rsidRDefault="00EA43CD" w:rsidP="00EF29FB">
      <w:pPr>
        <w:widowControl w:val="0"/>
        <w:spacing w:line="240" w:lineRule="auto"/>
        <w:jc w:val="both"/>
        <w:rPr>
          <w:szCs w:val="22"/>
          <w:lang w:val="sr-Latn-ME"/>
        </w:rPr>
      </w:pPr>
    </w:p>
    <w:p w:rsidR="00EA43CD" w:rsidRPr="00EF29FB" w:rsidRDefault="002B696B" w:rsidP="00EF29FB">
      <w:pPr>
        <w:widowControl w:val="0"/>
        <w:spacing w:line="240" w:lineRule="auto"/>
        <w:ind w:left="567" w:hanging="567"/>
        <w:jc w:val="both"/>
        <w:outlineLvl w:val="0"/>
        <w:rPr>
          <w:szCs w:val="22"/>
          <w:lang w:val="sr-Latn-ME"/>
        </w:rPr>
      </w:pPr>
      <w:r w:rsidRPr="00EF29FB">
        <w:rPr>
          <w:b/>
          <w:szCs w:val="22"/>
          <w:lang w:val="sr-Latn-ME"/>
        </w:rPr>
        <w:t>5.3</w:t>
      </w:r>
      <w:r w:rsidRPr="00EF29FB">
        <w:rPr>
          <w:b/>
          <w:szCs w:val="22"/>
          <w:lang w:val="sr-Latn-ME"/>
        </w:rPr>
        <w:tab/>
      </w:r>
      <w:r w:rsidRPr="00EF29FB">
        <w:rPr>
          <w:b/>
          <w:bCs/>
          <w:szCs w:val="22"/>
          <w:lang w:val="sr-Latn-ME"/>
        </w:rPr>
        <w:t>Pretklinički podaci o bezbjednosti</w:t>
      </w:r>
    </w:p>
    <w:p w:rsidR="00EA43CD" w:rsidRPr="00EF29FB" w:rsidRDefault="002B696B" w:rsidP="00EF29FB">
      <w:pPr>
        <w:widowControl w:val="0"/>
        <w:spacing w:line="240" w:lineRule="auto"/>
        <w:jc w:val="both"/>
        <w:rPr>
          <w:szCs w:val="22"/>
          <w:lang w:val="sr-Latn-ME"/>
        </w:rPr>
      </w:pPr>
      <w:r w:rsidRPr="00EF29FB">
        <w:rPr>
          <w:szCs w:val="22"/>
          <w:lang w:val="sr-Latn-ME"/>
        </w:rPr>
        <w:t xml:space="preserve"> </w:t>
      </w:r>
    </w:p>
    <w:p w:rsidR="00EA43CD" w:rsidRPr="00EF29FB" w:rsidRDefault="002B696B" w:rsidP="00EF29FB">
      <w:pPr>
        <w:widowControl w:val="0"/>
        <w:shd w:val="clear" w:color="auto" w:fill="FFFFFF"/>
        <w:spacing w:line="240" w:lineRule="auto"/>
        <w:jc w:val="both"/>
        <w:rPr>
          <w:color w:val="000000"/>
          <w:szCs w:val="22"/>
          <w:lang w:val="sr-Latn-ME"/>
        </w:rPr>
      </w:pPr>
      <w:r w:rsidRPr="00EF29FB">
        <w:rPr>
          <w:color w:val="000000"/>
          <w:szCs w:val="22"/>
          <w:lang w:val="sr-Latn-ME"/>
        </w:rPr>
        <w:t>Pretklinički podaci ne otkrivaju poseban rizik za ljude zasnovane na konvencionalnim farmakološkim studijama bezbjednosti, toksičnosti ponovljenih doza, genotoksičnosti i karcinogenosti.</w:t>
      </w:r>
    </w:p>
    <w:p w:rsidR="00EA43CD" w:rsidRPr="00EF29FB" w:rsidRDefault="002B696B" w:rsidP="00EF29FB">
      <w:pPr>
        <w:widowControl w:val="0"/>
        <w:shd w:val="clear" w:color="auto" w:fill="FFFFFF"/>
        <w:spacing w:line="240" w:lineRule="auto"/>
        <w:jc w:val="both"/>
        <w:rPr>
          <w:color w:val="000000"/>
          <w:szCs w:val="22"/>
          <w:lang w:val="sr-Latn-ME"/>
        </w:rPr>
      </w:pPr>
      <w:r w:rsidRPr="00EF29FB">
        <w:rPr>
          <w:color w:val="000000"/>
          <w:szCs w:val="22"/>
          <w:lang w:val="sr-Latn-ME"/>
        </w:rPr>
        <w:t>Kod pacova, primjena toksične doze za majku (600 mg/kg/dnevno) tokom posliednjih dana gestacije i tokom laktacije dovelo je do smanjenog procenta preživljavanja, manjeg dobijanja na telesnoj masi i zaostajanja u razvoju (odvajanje ušne školjke i otvaranje ušnog kanala) kod potomstva (vidjeti dio 4.6). Ove doze kod pacova (600 mg/kg/dnevno) su približno 18 puta veće od maksimalne preporučene humane doze na osnovu mg/m</w:t>
      </w:r>
      <w:r w:rsidRPr="00EF29FB">
        <w:rPr>
          <w:color w:val="000000"/>
          <w:szCs w:val="22"/>
          <w:vertAlign w:val="superscript"/>
          <w:lang w:val="sr-Latn-ME"/>
        </w:rPr>
        <w:t>2</w:t>
      </w:r>
      <w:r w:rsidRPr="00EF29FB">
        <w:rPr>
          <w:color w:val="000000"/>
          <w:szCs w:val="22"/>
          <w:lang w:val="sr-Latn-ME"/>
        </w:rPr>
        <w:t xml:space="preserve"> (u proračunu je pretpostavljena oralna doza od 320 mg/dnevno i pacijent od 60 kg).</w:t>
      </w:r>
    </w:p>
    <w:p w:rsidR="00EA43CD" w:rsidRPr="00EF29FB" w:rsidRDefault="002B696B" w:rsidP="00EF29FB">
      <w:pPr>
        <w:widowControl w:val="0"/>
        <w:shd w:val="clear" w:color="auto" w:fill="FFFFFF"/>
        <w:spacing w:line="240" w:lineRule="auto"/>
        <w:jc w:val="both"/>
        <w:rPr>
          <w:color w:val="000000"/>
          <w:szCs w:val="22"/>
          <w:lang w:val="sr-Latn-ME"/>
        </w:rPr>
      </w:pPr>
      <w:r w:rsidRPr="00EF29FB">
        <w:rPr>
          <w:color w:val="000000"/>
          <w:szCs w:val="22"/>
          <w:lang w:val="sr-Latn-ME"/>
        </w:rPr>
        <w:t>U pretkliničkim studijama bezbjednosti, visoke doze valsartana (200 do 600 mg/kg tjelesne mase) su izazvale kod pacova smanjenje parametara koji se odnose na crvene krvne ćelije (eritrociti, hemoglobin, hematokrit) i dokazane promjene u bubrežnoj hemodinamici (blago povećana urea u plazmi, i bubrežna tubularna hiperplazija i bazofilija kod mužjaka). Ove doze kod pacova (200 do 600 mg/kg/dnevno) su približno 6 i 18 puta veće od maksimalne preporučene doze za ljude na osnovu mg/m</w:t>
      </w:r>
      <w:r w:rsidRPr="00EF29FB">
        <w:rPr>
          <w:color w:val="000000"/>
          <w:szCs w:val="22"/>
          <w:vertAlign w:val="superscript"/>
          <w:lang w:val="sr-Latn-ME"/>
        </w:rPr>
        <w:t>2</w:t>
      </w:r>
      <w:r w:rsidRPr="00EF29FB">
        <w:rPr>
          <w:color w:val="000000"/>
          <w:szCs w:val="22"/>
          <w:lang w:val="sr-Latn-ME"/>
        </w:rPr>
        <w:t xml:space="preserve"> (u proračunu je pretpostavljena oralna doza od 320 mg/dnevno i pacijent od 60 kg).</w:t>
      </w:r>
    </w:p>
    <w:p w:rsidR="00EA43CD" w:rsidRPr="00EF29FB" w:rsidRDefault="002B696B" w:rsidP="00EF29FB">
      <w:pPr>
        <w:widowControl w:val="0"/>
        <w:shd w:val="clear" w:color="auto" w:fill="FFFFFF"/>
        <w:spacing w:line="240" w:lineRule="auto"/>
        <w:jc w:val="both"/>
        <w:rPr>
          <w:color w:val="000000"/>
          <w:szCs w:val="22"/>
          <w:lang w:val="sr-Latn-ME"/>
        </w:rPr>
      </w:pPr>
      <w:r w:rsidRPr="00EF29FB">
        <w:rPr>
          <w:color w:val="000000"/>
          <w:szCs w:val="22"/>
          <w:lang w:val="sr-Latn-ME"/>
        </w:rPr>
        <w:t>Kod marmozeta pri sličnim dozama, promjene su bile slične ali teže, naročito kod bubrega gde su promjene dovele do nefropatije sa porastom vrijednosti uree i kreatinina.</w:t>
      </w:r>
    </w:p>
    <w:p w:rsidR="00EA43CD" w:rsidRPr="00EF29FB" w:rsidRDefault="002B696B" w:rsidP="00EF29FB">
      <w:pPr>
        <w:widowControl w:val="0"/>
        <w:shd w:val="clear" w:color="auto" w:fill="FFFFFF"/>
        <w:spacing w:line="240" w:lineRule="auto"/>
        <w:jc w:val="both"/>
        <w:rPr>
          <w:color w:val="000000"/>
          <w:szCs w:val="22"/>
          <w:lang w:val="sr-Latn-ME"/>
        </w:rPr>
      </w:pPr>
      <w:r w:rsidRPr="00EF29FB">
        <w:rPr>
          <w:color w:val="000000"/>
          <w:szCs w:val="22"/>
          <w:lang w:val="sr-Latn-ME"/>
        </w:rPr>
        <w:t>Hipertrofija bubrežnih jukstaglomerularnih ćelija je takođe zabilježena kod obje vrste. Smatrane se da su sve promjene izazvane farmakološkim djelovanjem valsartana koji izaziva produženu hipotenziju, naročito kod marmozeta. Za terapijske doze valsartana kod ljudi, hipertrofija bubrežnih jukstaglomerularnih ćelija izgleda da nema nikakvu relevantnost.</w:t>
      </w:r>
    </w:p>
    <w:p w:rsidR="00EA43CD" w:rsidRPr="00EF29FB" w:rsidRDefault="00EA43CD" w:rsidP="00EF29FB">
      <w:pPr>
        <w:widowControl w:val="0"/>
        <w:shd w:val="clear" w:color="auto" w:fill="FFFFFF"/>
        <w:spacing w:line="240" w:lineRule="auto"/>
        <w:jc w:val="both"/>
        <w:rPr>
          <w:color w:val="000000"/>
          <w:szCs w:val="22"/>
          <w:lang w:val="sr-Latn-ME"/>
        </w:rPr>
      </w:pPr>
    </w:p>
    <w:p w:rsidR="00EA43CD" w:rsidRPr="00EF29FB" w:rsidRDefault="002B696B" w:rsidP="00EF29FB">
      <w:pPr>
        <w:widowControl w:val="0"/>
        <w:shd w:val="clear" w:color="auto" w:fill="FFFFFF"/>
        <w:spacing w:line="240" w:lineRule="auto"/>
        <w:jc w:val="both"/>
        <w:rPr>
          <w:i/>
          <w:color w:val="000000"/>
          <w:szCs w:val="22"/>
          <w:lang w:val="sr-Latn-ME"/>
        </w:rPr>
      </w:pPr>
      <w:r w:rsidRPr="00EF29FB">
        <w:rPr>
          <w:i/>
          <w:color w:val="000000"/>
          <w:szCs w:val="22"/>
          <w:lang w:val="sr-Latn-ME"/>
        </w:rPr>
        <w:t>Pedijatrijska populacija</w:t>
      </w:r>
    </w:p>
    <w:p w:rsidR="00EA43CD" w:rsidRPr="00EF29FB" w:rsidRDefault="002B696B" w:rsidP="00EF29FB">
      <w:pPr>
        <w:widowControl w:val="0"/>
        <w:shd w:val="clear" w:color="auto" w:fill="FFFFFF"/>
        <w:spacing w:line="240" w:lineRule="auto"/>
        <w:jc w:val="both"/>
        <w:rPr>
          <w:color w:val="000000"/>
          <w:szCs w:val="22"/>
          <w:lang w:val="sr-Latn-ME"/>
        </w:rPr>
      </w:pPr>
      <w:r w:rsidRPr="00EF29FB">
        <w:rPr>
          <w:color w:val="000000"/>
          <w:szCs w:val="22"/>
          <w:lang w:val="sr-Latn-ME"/>
        </w:rPr>
        <w:t xml:space="preserve">Svakodnevna oralna primjena valsartana kod novorođenih/mladih pacova (od 7. do 70. dana nakon rođenja) u dozi od 1 mg/kg/dnevno ( oko 10-35% maksimalne preporučene pedijatrijske doze od 4 mg/kg/dnevno na osnovu sistemske izloženosti) dovela je do trajnog, nepovratnog oštećenja bubrega. Ovi gore navedeni efekti predstavljaju očekivano prenaglašeno farmakološko dejstvo inhibitora angiotenzin konvertujućeg enzima i angiotenzin II tip 1 blokatora; takvi efekti su zabilježeni kod pacova liječenih u prvih 13 dana života. </w:t>
      </w:r>
    </w:p>
    <w:p w:rsidR="00EA43CD" w:rsidRPr="00EF29FB" w:rsidRDefault="002B696B" w:rsidP="00EF29FB">
      <w:pPr>
        <w:widowControl w:val="0"/>
        <w:spacing w:line="240" w:lineRule="auto"/>
        <w:jc w:val="both"/>
        <w:rPr>
          <w:szCs w:val="22"/>
          <w:lang w:val="sr-Latn-ME"/>
        </w:rPr>
      </w:pPr>
      <w:r w:rsidRPr="00EF29FB">
        <w:rPr>
          <w:color w:val="000000"/>
          <w:szCs w:val="22"/>
          <w:lang w:val="sr-Latn-ME"/>
        </w:rPr>
        <w:t>Ovaj period se podudara sa 36. nedjeljom gestacije kod ljudi, što bi se povremeno moglo  produžiti do 44. nedjelje nakon začeća kod ljudi. U ispitivanju na mladuncima pacova valsartan je davan do 70. dana i efekti na razvoj bubrega (4-6 nedjelja po rođenju) se ne mogu isključiti. Funcionalni razvoj bubrega se dešava u prvoj godini života kod ljudi. Shodno tome, klinička relevantost kod djece uzrasta &lt;1 godine se ne može isključiti, dok pretklinički podaci ne ukazuju na zabrinutost za bezbjednost djece starije od 1 godine.</w:t>
      </w:r>
    </w:p>
    <w:p w:rsidR="00EA43CD" w:rsidRPr="00EF29FB" w:rsidRDefault="00EA43CD" w:rsidP="00EF29FB">
      <w:pPr>
        <w:widowControl w:val="0"/>
        <w:spacing w:line="240" w:lineRule="auto"/>
        <w:rPr>
          <w:szCs w:val="22"/>
          <w:lang w:val="sr-Latn-ME"/>
        </w:rPr>
      </w:pPr>
    </w:p>
    <w:p w:rsidR="00EA43CD" w:rsidRPr="00EF29FB" w:rsidRDefault="00EA43CD" w:rsidP="00EF29FB">
      <w:pPr>
        <w:widowControl w:val="0"/>
        <w:spacing w:line="240" w:lineRule="auto"/>
        <w:rPr>
          <w:szCs w:val="22"/>
          <w:lang w:val="sr-Latn-ME"/>
        </w:rPr>
      </w:pPr>
    </w:p>
    <w:p w:rsidR="00EA43CD" w:rsidRPr="00EF29FB" w:rsidRDefault="002B696B" w:rsidP="00EF29FB">
      <w:pPr>
        <w:widowControl w:val="0"/>
        <w:spacing w:line="240" w:lineRule="auto"/>
        <w:ind w:left="567" w:hanging="567"/>
        <w:rPr>
          <w:b/>
          <w:szCs w:val="22"/>
          <w:lang w:val="sr-Latn-ME"/>
        </w:rPr>
      </w:pPr>
      <w:r w:rsidRPr="00EF29FB">
        <w:rPr>
          <w:b/>
          <w:szCs w:val="22"/>
          <w:lang w:val="sr-Latn-ME"/>
        </w:rPr>
        <w:t>6.</w:t>
      </w:r>
      <w:r w:rsidRPr="00EF29FB">
        <w:rPr>
          <w:b/>
          <w:szCs w:val="22"/>
          <w:lang w:val="sr-Latn-ME"/>
        </w:rPr>
        <w:tab/>
        <w:t>FARMACEUTSKI PODACI</w:t>
      </w:r>
    </w:p>
    <w:p w:rsidR="00EA43CD" w:rsidRPr="00EF29FB" w:rsidRDefault="00EA43CD" w:rsidP="00EF29FB">
      <w:pPr>
        <w:widowControl w:val="0"/>
        <w:spacing w:line="240" w:lineRule="auto"/>
        <w:jc w:val="center"/>
        <w:rPr>
          <w:szCs w:val="22"/>
          <w:lang w:val="sr-Latn-ME"/>
        </w:rPr>
      </w:pPr>
    </w:p>
    <w:p w:rsidR="00EA43CD" w:rsidRPr="00EF29FB" w:rsidRDefault="002B696B" w:rsidP="00EF29FB">
      <w:pPr>
        <w:widowControl w:val="0"/>
        <w:spacing w:line="240" w:lineRule="auto"/>
        <w:ind w:left="567" w:hanging="567"/>
        <w:outlineLvl w:val="0"/>
        <w:rPr>
          <w:szCs w:val="22"/>
          <w:lang w:val="sr-Latn-ME"/>
        </w:rPr>
      </w:pPr>
      <w:r w:rsidRPr="00EF29FB">
        <w:rPr>
          <w:b/>
          <w:szCs w:val="22"/>
          <w:lang w:val="sr-Latn-ME"/>
        </w:rPr>
        <w:lastRenderedPageBreak/>
        <w:t>6.1</w:t>
      </w:r>
      <w:r w:rsidRPr="00EF29FB">
        <w:rPr>
          <w:b/>
          <w:szCs w:val="22"/>
          <w:lang w:val="sr-Latn-ME"/>
        </w:rPr>
        <w:tab/>
      </w:r>
      <w:r w:rsidRPr="00EF29FB">
        <w:rPr>
          <w:b/>
          <w:bCs/>
          <w:szCs w:val="22"/>
          <w:lang w:val="sr-Latn-ME"/>
        </w:rPr>
        <w:t>Lista pomoćnih supstanci (ekscipijenasa)</w:t>
      </w:r>
    </w:p>
    <w:p w:rsidR="00EA43CD" w:rsidRPr="00EF29FB" w:rsidRDefault="00EA43CD" w:rsidP="00EF29FB">
      <w:pPr>
        <w:widowControl w:val="0"/>
        <w:spacing w:line="240" w:lineRule="auto"/>
        <w:rPr>
          <w:szCs w:val="22"/>
          <w:lang w:val="sr-Latn-ME"/>
        </w:rPr>
      </w:pPr>
    </w:p>
    <w:p w:rsidR="00EA43CD" w:rsidRPr="00EF29FB" w:rsidRDefault="002B696B" w:rsidP="00EF29FB">
      <w:pPr>
        <w:widowControl w:val="0"/>
        <w:autoSpaceDE w:val="0"/>
        <w:autoSpaceDN w:val="0"/>
        <w:adjustRightInd w:val="0"/>
        <w:spacing w:line="240" w:lineRule="auto"/>
        <w:rPr>
          <w:i/>
          <w:iCs/>
          <w:szCs w:val="22"/>
          <w:lang w:val="sr-Latn-ME"/>
        </w:rPr>
      </w:pPr>
      <w:r w:rsidRPr="00EF29FB">
        <w:rPr>
          <w:i/>
          <w:iCs/>
          <w:szCs w:val="22"/>
          <w:lang w:val="sr-Latn-ME"/>
        </w:rPr>
        <w:t>U sastavu jezgra tablete:</w:t>
      </w:r>
    </w:p>
    <w:p w:rsidR="00EA43CD" w:rsidRPr="00EF29FB" w:rsidRDefault="002B696B" w:rsidP="00EF29FB">
      <w:pPr>
        <w:widowControl w:val="0"/>
        <w:autoSpaceDE w:val="0"/>
        <w:autoSpaceDN w:val="0"/>
        <w:adjustRightInd w:val="0"/>
        <w:spacing w:line="240" w:lineRule="auto"/>
        <w:rPr>
          <w:szCs w:val="22"/>
          <w:lang w:val="sr-Latn-ME"/>
        </w:rPr>
      </w:pPr>
      <w:r w:rsidRPr="00EF29FB">
        <w:rPr>
          <w:szCs w:val="22"/>
          <w:lang w:val="sr-Latn-ME"/>
        </w:rPr>
        <w:t>Laktoza, monohidrat</w:t>
      </w:r>
    </w:p>
    <w:p w:rsidR="00EA43CD" w:rsidRPr="00EF29FB" w:rsidRDefault="002B696B" w:rsidP="00EF29FB">
      <w:pPr>
        <w:widowControl w:val="0"/>
        <w:autoSpaceDE w:val="0"/>
        <w:autoSpaceDN w:val="0"/>
        <w:adjustRightInd w:val="0"/>
        <w:spacing w:line="240" w:lineRule="auto"/>
        <w:rPr>
          <w:szCs w:val="22"/>
          <w:lang w:val="sr-Latn-ME"/>
        </w:rPr>
      </w:pPr>
      <w:r w:rsidRPr="00EF29FB">
        <w:rPr>
          <w:szCs w:val="22"/>
          <w:lang w:val="sr-Latn-ME"/>
        </w:rPr>
        <w:t>Celuloza, mikrokristalna (E460)</w:t>
      </w:r>
    </w:p>
    <w:p w:rsidR="00EA43CD" w:rsidRPr="00EF29FB" w:rsidRDefault="002B696B" w:rsidP="00EF29FB">
      <w:pPr>
        <w:widowControl w:val="0"/>
        <w:autoSpaceDE w:val="0"/>
        <w:autoSpaceDN w:val="0"/>
        <w:adjustRightInd w:val="0"/>
        <w:spacing w:line="240" w:lineRule="auto"/>
        <w:rPr>
          <w:szCs w:val="22"/>
          <w:lang w:val="sr-Latn-ME"/>
        </w:rPr>
      </w:pPr>
      <w:r w:rsidRPr="00EF29FB">
        <w:rPr>
          <w:szCs w:val="22"/>
          <w:lang w:val="sr-Latn-ME"/>
        </w:rPr>
        <w:t xml:space="preserve">Povidon </w:t>
      </w:r>
    </w:p>
    <w:p w:rsidR="00EA43CD" w:rsidRPr="00EF29FB" w:rsidRDefault="002B696B" w:rsidP="00EF29FB">
      <w:pPr>
        <w:widowControl w:val="0"/>
        <w:autoSpaceDE w:val="0"/>
        <w:autoSpaceDN w:val="0"/>
        <w:adjustRightInd w:val="0"/>
        <w:spacing w:line="240" w:lineRule="auto"/>
        <w:rPr>
          <w:szCs w:val="22"/>
          <w:lang w:val="sr-Latn-ME"/>
        </w:rPr>
      </w:pPr>
      <w:r w:rsidRPr="00EF29FB">
        <w:rPr>
          <w:szCs w:val="22"/>
          <w:lang w:val="sr-Latn-ME"/>
        </w:rPr>
        <w:t>Kroskarmeloza natrijum (E468)</w:t>
      </w:r>
    </w:p>
    <w:p w:rsidR="00EA43CD" w:rsidRPr="00EF29FB" w:rsidRDefault="002B696B" w:rsidP="00EF29FB">
      <w:pPr>
        <w:widowControl w:val="0"/>
        <w:autoSpaceDE w:val="0"/>
        <w:autoSpaceDN w:val="0"/>
        <w:adjustRightInd w:val="0"/>
        <w:spacing w:line="240" w:lineRule="auto"/>
        <w:rPr>
          <w:szCs w:val="22"/>
          <w:lang w:val="sr-Latn-ME"/>
        </w:rPr>
      </w:pPr>
      <w:r w:rsidRPr="00EF29FB">
        <w:rPr>
          <w:szCs w:val="22"/>
          <w:lang w:val="sr-Latn-ME"/>
        </w:rPr>
        <w:t>Silicijum dioksid, koloidni, bezvodni</w:t>
      </w:r>
    </w:p>
    <w:p w:rsidR="00EA43CD" w:rsidRPr="00EF29FB" w:rsidRDefault="002B696B" w:rsidP="00EF29FB">
      <w:pPr>
        <w:widowControl w:val="0"/>
        <w:autoSpaceDE w:val="0"/>
        <w:autoSpaceDN w:val="0"/>
        <w:adjustRightInd w:val="0"/>
        <w:spacing w:line="240" w:lineRule="auto"/>
        <w:rPr>
          <w:szCs w:val="22"/>
          <w:lang w:val="sr-Latn-ME"/>
        </w:rPr>
      </w:pPr>
      <w:r w:rsidRPr="00EF29FB">
        <w:rPr>
          <w:szCs w:val="22"/>
          <w:lang w:val="sr-Latn-ME"/>
        </w:rPr>
        <w:t>Magnezijum stearat (E572)</w:t>
      </w:r>
    </w:p>
    <w:p w:rsidR="00EA43CD" w:rsidRPr="00EF29FB" w:rsidRDefault="00EA43CD" w:rsidP="00EF29FB">
      <w:pPr>
        <w:widowControl w:val="0"/>
        <w:autoSpaceDE w:val="0"/>
        <w:autoSpaceDN w:val="0"/>
        <w:adjustRightInd w:val="0"/>
        <w:spacing w:line="240" w:lineRule="auto"/>
        <w:rPr>
          <w:i/>
          <w:iCs/>
          <w:szCs w:val="22"/>
          <w:lang w:val="sr-Latn-ME"/>
        </w:rPr>
      </w:pPr>
    </w:p>
    <w:p w:rsidR="00EA43CD" w:rsidRPr="00EF29FB" w:rsidRDefault="002B696B" w:rsidP="00EF29FB">
      <w:pPr>
        <w:widowControl w:val="0"/>
        <w:autoSpaceDE w:val="0"/>
        <w:autoSpaceDN w:val="0"/>
        <w:adjustRightInd w:val="0"/>
        <w:spacing w:line="240" w:lineRule="auto"/>
        <w:rPr>
          <w:i/>
          <w:iCs/>
          <w:szCs w:val="22"/>
          <w:lang w:val="sr-Latn-ME"/>
        </w:rPr>
      </w:pPr>
      <w:r w:rsidRPr="00EF29FB">
        <w:rPr>
          <w:i/>
          <w:iCs/>
          <w:szCs w:val="22"/>
          <w:lang w:val="sr-Latn-ME"/>
        </w:rPr>
        <w:t>U sastavu filma tablete Valsacor, 80 mg:</w:t>
      </w:r>
    </w:p>
    <w:p w:rsidR="00EA43CD" w:rsidRPr="00EF29FB" w:rsidRDefault="002B696B" w:rsidP="00EF29FB">
      <w:pPr>
        <w:widowControl w:val="0"/>
        <w:autoSpaceDE w:val="0"/>
        <w:autoSpaceDN w:val="0"/>
        <w:adjustRightInd w:val="0"/>
        <w:spacing w:line="240" w:lineRule="auto"/>
        <w:rPr>
          <w:szCs w:val="22"/>
          <w:lang w:val="sr-Latn-ME"/>
        </w:rPr>
      </w:pPr>
      <w:r w:rsidRPr="00EF29FB">
        <w:rPr>
          <w:szCs w:val="22"/>
          <w:lang w:val="sr-Latn-ME"/>
        </w:rPr>
        <w:t>Hipromeloza (E464)</w:t>
      </w:r>
    </w:p>
    <w:p w:rsidR="00EA43CD" w:rsidRPr="00EF29FB" w:rsidRDefault="002B696B" w:rsidP="00EF29FB">
      <w:pPr>
        <w:widowControl w:val="0"/>
        <w:autoSpaceDE w:val="0"/>
        <w:autoSpaceDN w:val="0"/>
        <w:adjustRightInd w:val="0"/>
        <w:spacing w:line="240" w:lineRule="auto"/>
        <w:rPr>
          <w:szCs w:val="22"/>
          <w:lang w:val="sr-Latn-ME"/>
        </w:rPr>
      </w:pPr>
      <w:r w:rsidRPr="00EF29FB">
        <w:rPr>
          <w:szCs w:val="22"/>
          <w:lang w:val="sr-Latn-ME"/>
        </w:rPr>
        <w:t>Titan dioksid (E171)</w:t>
      </w:r>
    </w:p>
    <w:p w:rsidR="00EA43CD" w:rsidRPr="00EF29FB" w:rsidRDefault="002B696B" w:rsidP="00EF29FB">
      <w:pPr>
        <w:widowControl w:val="0"/>
        <w:autoSpaceDE w:val="0"/>
        <w:autoSpaceDN w:val="0"/>
        <w:adjustRightInd w:val="0"/>
        <w:spacing w:line="240" w:lineRule="auto"/>
        <w:rPr>
          <w:szCs w:val="22"/>
          <w:lang w:val="sr-Latn-ME"/>
        </w:rPr>
      </w:pPr>
      <w:r w:rsidRPr="00EF29FB">
        <w:rPr>
          <w:szCs w:val="22"/>
          <w:lang w:val="sr-Latn-ME"/>
        </w:rPr>
        <w:t>Makrogol 4000</w:t>
      </w:r>
    </w:p>
    <w:p w:rsidR="00EA43CD" w:rsidRPr="00EF29FB" w:rsidRDefault="002B696B" w:rsidP="00EF29FB">
      <w:pPr>
        <w:widowControl w:val="0"/>
        <w:autoSpaceDE w:val="0"/>
        <w:autoSpaceDN w:val="0"/>
        <w:adjustRightInd w:val="0"/>
        <w:spacing w:line="240" w:lineRule="auto"/>
        <w:rPr>
          <w:szCs w:val="22"/>
          <w:lang w:val="sr-Latn-ME"/>
        </w:rPr>
      </w:pPr>
      <w:r w:rsidRPr="00EF29FB">
        <w:rPr>
          <w:szCs w:val="22"/>
          <w:lang w:val="sr-Latn-ME"/>
        </w:rPr>
        <w:t>Gvožđe (III) oksid, crveni (E172)</w:t>
      </w:r>
    </w:p>
    <w:p w:rsidR="00EA43CD" w:rsidRPr="00EF29FB" w:rsidRDefault="00EA43CD" w:rsidP="00EF29FB">
      <w:pPr>
        <w:widowControl w:val="0"/>
        <w:autoSpaceDE w:val="0"/>
        <w:autoSpaceDN w:val="0"/>
        <w:adjustRightInd w:val="0"/>
        <w:spacing w:line="240" w:lineRule="auto"/>
        <w:rPr>
          <w:i/>
          <w:iCs/>
          <w:szCs w:val="22"/>
          <w:lang w:val="sr-Latn-ME"/>
        </w:rPr>
      </w:pPr>
    </w:p>
    <w:p w:rsidR="00EA43CD" w:rsidRPr="00EF29FB" w:rsidRDefault="002B696B" w:rsidP="00EF29FB">
      <w:pPr>
        <w:widowControl w:val="0"/>
        <w:autoSpaceDE w:val="0"/>
        <w:autoSpaceDN w:val="0"/>
        <w:adjustRightInd w:val="0"/>
        <w:spacing w:line="240" w:lineRule="auto"/>
        <w:rPr>
          <w:i/>
          <w:iCs/>
          <w:szCs w:val="22"/>
          <w:lang w:val="sr-Latn-ME"/>
        </w:rPr>
      </w:pPr>
      <w:r w:rsidRPr="00EF29FB">
        <w:rPr>
          <w:i/>
          <w:iCs/>
          <w:szCs w:val="22"/>
          <w:lang w:val="sr-Latn-ME"/>
        </w:rPr>
        <w:t>U sastavu filma tablete Valsacor, 160 mg:</w:t>
      </w:r>
    </w:p>
    <w:p w:rsidR="00EA43CD" w:rsidRPr="00EF29FB" w:rsidRDefault="002B696B" w:rsidP="00EF29FB">
      <w:pPr>
        <w:widowControl w:val="0"/>
        <w:autoSpaceDE w:val="0"/>
        <w:autoSpaceDN w:val="0"/>
        <w:adjustRightInd w:val="0"/>
        <w:spacing w:line="240" w:lineRule="auto"/>
        <w:rPr>
          <w:szCs w:val="22"/>
          <w:lang w:val="sr-Latn-ME"/>
        </w:rPr>
      </w:pPr>
      <w:r w:rsidRPr="00EF29FB">
        <w:rPr>
          <w:szCs w:val="22"/>
          <w:lang w:val="sr-Latn-ME"/>
        </w:rPr>
        <w:t>Hipromeloza (E464)</w:t>
      </w:r>
    </w:p>
    <w:p w:rsidR="00EA43CD" w:rsidRPr="00EF29FB" w:rsidRDefault="002B696B" w:rsidP="00EF29FB">
      <w:pPr>
        <w:widowControl w:val="0"/>
        <w:autoSpaceDE w:val="0"/>
        <w:autoSpaceDN w:val="0"/>
        <w:adjustRightInd w:val="0"/>
        <w:spacing w:line="240" w:lineRule="auto"/>
        <w:rPr>
          <w:szCs w:val="22"/>
          <w:lang w:val="sr-Latn-ME"/>
        </w:rPr>
      </w:pPr>
      <w:r w:rsidRPr="00EF29FB">
        <w:rPr>
          <w:szCs w:val="22"/>
          <w:lang w:val="sr-Latn-ME"/>
        </w:rPr>
        <w:t>Titan dioksid (E171)</w:t>
      </w:r>
    </w:p>
    <w:p w:rsidR="00EA43CD" w:rsidRPr="00EF29FB" w:rsidRDefault="002B696B" w:rsidP="00EF29FB">
      <w:pPr>
        <w:widowControl w:val="0"/>
        <w:autoSpaceDE w:val="0"/>
        <w:autoSpaceDN w:val="0"/>
        <w:adjustRightInd w:val="0"/>
        <w:spacing w:line="240" w:lineRule="auto"/>
        <w:rPr>
          <w:szCs w:val="22"/>
          <w:lang w:val="sr-Latn-ME"/>
        </w:rPr>
      </w:pPr>
      <w:r w:rsidRPr="00EF29FB">
        <w:rPr>
          <w:szCs w:val="22"/>
          <w:lang w:val="sr-Latn-ME"/>
        </w:rPr>
        <w:t>Makrogol 4000</w:t>
      </w:r>
    </w:p>
    <w:p w:rsidR="00EA43CD" w:rsidRPr="00EF29FB" w:rsidRDefault="002B696B" w:rsidP="00EF29FB">
      <w:pPr>
        <w:widowControl w:val="0"/>
        <w:autoSpaceDE w:val="0"/>
        <w:autoSpaceDN w:val="0"/>
        <w:adjustRightInd w:val="0"/>
        <w:spacing w:line="240" w:lineRule="auto"/>
        <w:rPr>
          <w:szCs w:val="22"/>
          <w:lang w:val="sr-Latn-ME"/>
        </w:rPr>
      </w:pPr>
      <w:r w:rsidRPr="00EF29FB">
        <w:rPr>
          <w:szCs w:val="22"/>
          <w:lang w:val="sr-Latn-ME"/>
        </w:rPr>
        <w:t>Gvožđe (III) oksid, crveni (E172)</w:t>
      </w:r>
    </w:p>
    <w:p w:rsidR="00EA43CD" w:rsidRPr="00EF29FB" w:rsidRDefault="002B696B" w:rsidP="00EF29FB">
      <w:pPr>
        <w:pStyle w:val="Header"/>
        <w:widowControl w:val="0"/>
        <w:tabs>
          <w:tab w:val="left" w:pos="284"/>
        </w:tabs>
        <w:spacing w:line="240" w:lineRule="auto"/>
        <w:rPr>
          <w:rFonts w:ascii="Times New Roman" w:hAnsi="Times New Roman"/>
          <w:sz w:val="22"/>
          <w:szCs w:val="22"/>
          <w:lang w:val="sr-Latn-ME"/>
        </w:rPr>
      </w:pPr>
      <w:r w:rsidRPr="00EF29FB">
        <w:rPr>
          <w:rFonts w:ascii="Times New Roman" w:hAnsi="Times New Roman"/>
          <w:sz w:val="22"/>
          <w:szCs w:val="22"/>
          <w:lang w:val="sr-Latn-ME"/>
        </w:rPr>
        <w:t>Gvožđe (III) oksid, žuti (E172)</w:t>
      </w:r>
    </w:p>
    <w:p w:rsidR="00EA43CD" w:rsidRPr="00EF29FB" w:rsidRDefault="00EA43CD" w:rsidP="00EF29FB">
      <w:pPr>
        <w:widowControl w:val="0"/>
        <w:spacing w:line="240" w:lineRule="auto"/>
        <w:rPr>
          <w:szCs w:val="22"/>
          <w:highlight w:val="lightGray"/>
          <w:lang w:val="sr-Latn-ME"/>
        </w:rPr>
      </w:pPr>
    </w:p>
    <w:p w:rsidR="00EA43CD" w:rsidRPr="00EF29FB" w:rsidRDefault="002B696B" w:rsidP="00EF29FB">
      <w:pPr>
        <w:widowControl w:val="0"/>
        <w:spacing w:line="240" w:lineRule="auto"/>
        <w:ind w:left="567" w:hanging="567"/>
        <w:outlineLvl w:val="0"/>
        <w:rPr>
          <w:szCs w:val="22"/>
          <w:lang w:val="sr-Latn-ME"/>
        </w:rPr>
      </w:pPr>
      <w:r w:rsidRPr="00EF29FB">
        <w:rPr>
          <w:b/>
          <w:szCs w:val="22"/>
          <w:lang w:val="sr-Latn-ME"/>
        </w:rPr>
        <w:t>6.2</w:t>
      </w:r>
      <w:r w:rsidRPr="00EF29FB">
        <w:rPr>
          <w:b/>
          <w:szCs w:val="22"/>
          <w:lang w:val="sr-Latn-ME"/>
        </w:rPr>
        <w:tab/>
        <w:t>Inkompatibilnosti</w:t>
      </w:r>
    </w:p>
    <w:p w:rsidR="00EA43CD" w:rsidRPr="00EF29FB" w:rsidRDefault="00EA43CD" w:rsidP="00EF29FB">
      <w:pPr>
        <w:widowControl w:val="0"/>
        <w:spacing w:line="240" w:lineRule="auto"/>
        <w:rPr>
          <w:szCs w:val="22"/>
          <w:lang w:val="sr-Latn-ME"/>
        </w:rPr>
      </w:pPr>
    </w:p>
    <w:p w:rsidR="00EA43CD" w:rsidRPr="00EF29FB" w:rsidRDefault="002B696B" w:rsidP="00EF29FB">
      <w:pPr>
        <w:widowControl w:val="0"/>
        <w:spacing w:line="240" w:lineRule="auto"/>
        <w:rPr>
          <w:szCs w:val="22"/>
          <w:lang w:val="sr-Latn-ME"/>
        </w:rPr>
      </w:pPr>
      <w:r w:rsidRPr="00EF29FB">
        <w:rPr>
          <w:szCs w:val="22"/>
          <w:lang w:val="sr-Latn-ME"/>
        </w:rPr>
        <w:t>Nije primjenljivo.</w:t>
      </w:r>
    </w:p>
    <w:p w:rsidR="00EA43CD" w:rsidRPr="00EF29FB" w:rsidRDefault="00EA43CD" w:rsidP="00EF29FB">
      <w:pPr>
        <w:widowControl w:val="0"/>
        <w:spacing w:line="240" w:lineRule="auto"/>
        <w:rPr>
          <w:szCs w:val="22"/>
          <w:lang w:val="sr-Latn-ME"/>
        </w:rPr>
      </w:pPr>
    </w:p>
    <w:p w:rsidR="00EA43CD" w:rsidRPr="00EF29FB" w:rsidRDefault="002B696B" w:rsidP="00EF29FB">
      <w:pPr>
        <w:widowControl w:val="0"/>
        <w:spacing w:line="240" w:lineRule="auto"/>
        <w:ind w:left="567" w:hanging="567"/>
        <w:outlineLvl w:val="0"/>
        <w:rPr>
          <w:szCs w:val="22"/>
          <w:lang w:val="sr-Latn-ME"/>
        </w:rPr>
      </w:pPr>
      <w:r w:rsidRPr="00EF29FB">
        <w:rPr>
          <w:b/>
          <w:szCs w:val="22"/>
          <w:lang w:val="sr-Latn-ME"/>
        </w:rPr>
        <w:t>6.3</w:t>
      </w:r>
      <w:r w:rsidRPr="00EF29FB">
        <w:rPr>
          <w:b/>
          <w:szCs w:val="22"/>
          <w:lang w:val="sr-Latn-ME"/>
        </w:rPr>
        <w:tab/>
        <w:t>Rok upotrebe</w:t>
      </w:r>
    </w:p>
    <w:p w:rsidR="00EA43CD" w:rsidRPr="00EF29FB" w:rsidRDefault="00EA43CD" w:rsidP="00EF29FB">
      <w:pPr>
        <w:widowControl w:val="0"/>
        <w:spacing w:line="240" w:lineRule="auto"/>
        <w:rPr>
          <w:szCs w:val="22"/>
          <w:u w:val="single"/>
          <w:lang w:val="sr-Latn-ME"/>
        </w:rPr>
      </w:pPr>
    </w:p>
    <w:p w:rsidR="00EA43CD" w:rsidRPr="00EF29FB" w:rsidRDefault="002B696B" w:rsidP="00EF29FB">
      <w:pPr>
        <w:widowControl w:val="0"/>
        <w:spacing w:line="240" w:lineRule="auto"/>
        <w:rPr>
          <w:szCs w:val="22"/>
          <w:lang w:val="sr-Latn-ME" w:eastAsia="hr-HR"/>
        </w:rPr>
      </w:pPr>
      <w:r w:rsidRPr="00EF29FB">
        <w:rPr>
          <w:szCs w:val="22"/>
          <w:lang w:val="sr-Latn-ME" w:eastAsia="hr-HR"/>
        </w:rPr>
        <w:t>5 godina</w:t>
      </w:r>
    </w:p>
    <w:p w:rsidR="00EA43CD" w:rsidRPr="00EF29FB" w:rsidRDefault="00EA43CD" w:rsidP="00EF29FB">
      <w:pPr>
        <w:widowControl w:val="0"/>
        <w:spacing w:line="240" w:lineRule="auto"/>
        <w:rPr>
          <w:iCs/>
          <w:szCs w:val="22"/>
          <w:lang w:val="sr-Latn-ME"/>
        </w:rPr>
      </w:pPr>
    </w:p>
    <w:p w:rsidR="00EA43CD" w:rsidRPr="00EF29FB" w:rsidRDefault="002B696B" w:rsidP="00EF29FB">
      <w:pPr>
        <w:widowControl w:val="0"/>
        <w:spacing w:line="240" w:lineRule="auto"/>
        <w:ind w:left="567" w:hanging="567"/>
        <w:outlineLvl w:val="0"/>
        <w:rPr>
          <w:b/>
          <w:szCs w:val="22"/>
          <w:lang w:val="sr-Latn-ME"/>
        </w:rPr>
      </w:pPr>
      <w:r w:rsidRPr="00EF29FB">
        <w:rPr>
          <w:b/>
          <w:szCs w:val="22"/>
          <w:lang w:val="sr-Latn-ME"/>
        </w:rPr>
        <w:t>6.4</w:t>
      </w:r>
      <w:r w:rsidRPr="00EF29FB">
        <w:rPr>
          <w:b/>
          <w:szCs w:val="22"/>
          <w:lang w:val="sr-Latn-ME"/>
        </w:rPr>
        <w:tab/>
        <w:t>Posebne mjere upozorenja pri čuvanju lijeka</w:t>
      </w:r>
    </w:p>
    <w:p w:rsidR="004F6432" w:rsidRPr="00EF29FB" w:rsidRDefault="004F6432" w:rsidP="00EF29FB">
      <w:pPr>
        <w:widowControl w:val="0"/>
        <w:spacing w:line="240" w:lineRule="auto"/>
        <w:ind w:left="567" w:hanging="567"/>
        <w:outlineLvl w:val="0"/>
        <w:rPr>
          <w:szCs w:val="22"/>
          <w:lang w:val="sr-Latn-ME"/>
        </w:rPr>
      </w:pPr>
    </w:p>
    <w:p w:rsidR="00EA43CD" w:rsidRPr="00EF29FB" w:rsidRDefault="004F6432" w:rsidP="00EF29FB">
      <w:pPr>
        <w:widowControl w:val="0"/>
        <w:shd w:val="clear" w:color="auto" w:fill="FFFFFF"/>
        <w:spacing w:line="240" w:lineRule="auto"/>
        <w:rPr>
          <w:color w:val="000000"/>
          <w:szCs w:val="22"/>
          <w:lang w:val="sr-Latn-ME"/>
        </w:rPr>
      </w:pPr>
      <w:r w:rsidRPr="00EF29FB">
        <w:rPr>
          <w:color w:val="000000"/>
          <w:szCs w:val="22"/>
          <w:lang w:val="sr-Latn-ME"/>
        </w:rPr>
        <w:t>Čuvati na temperaturi do 30</w:t>
      </w:r>
      <w:r w:rsidR="002B696B" w:rsidRPr="00EF29FB">
        <w:rPr>
          <w:color w:val="000000"/>
          <w:szCs w:val="22"/>
          <w:lang w:val="sr-Latn-ME"/>
        </w:rPr>
        <w:t>°C.</w:t>
      </w:r>
    </w:p>
    <w:p w:rsidR="00EA43CD" w:rsidRPr="00EF29FB" w:rsidRDefault="002B696B" w:rsidP="00EF29FB">
      <w:pPr>
        <w:widowControl w:val="0"/>
        <w:shd w:val="clear" w:color="auto" w:fill="FFFFFF"/>
        <w:spacing w:line="240" w:lineRule="auto"/>
        <w:rPr>
          <w:color w:val="000000"/>
          <w:szCs w:val="22"/>
          <w:lang w:val="sr-Latn-ME"/>
        </w:rPr>
      </w:pPr>
      <w:r w:rsidRPr="00EF29FB">
        <w:rPr>
          <w:color w:val="000000"/>
          <w:szCs w:val="22"/>
          <w:lang w:val="sr-Latn-ME"/>
        </w:rPr>
        <w:t xml:space="preserve">Čuvati u originalnom pakovanju u cilju zaštite od vlage. </w:t>
      </w:r>
      <w:r w:rsidRPr="00EF29FB">
        <w:rPr>
          <w:szCs w:val="22"/>
          <w:lang w:val="sr-Latn-ME"/>
        </w:rPr>
        <w:t>Čuvati</w:t>
      </w:r>
      <w:r w:rsidRPr="00EF29FB">
        <w:rPr>
          <w:color w:val="000000"/>
          <w:szCs w:val="22"/>
          <w:lang w:val="sr-Latn-ME"/>
        </w:rPr>
        <w:t xml:space="preserve"> van domašaja i vidokruga djece.</w:t>
      </w:r>
    </w:p>
    <w:p w:rsidR="00EA43CD" w:rsidRPr="00EF29FB" w:rsidRDefault="00EA43CD" w:rsidP="00EF29FB">
      <w:pPr>
        <w:widowControl w:val="0"/>
        <w:spacing w:line="240" w:lineRule="auto"/>
        <w:rPr>
          <w:szCs w:val="22"/>
          <w:lang w:val="sr-Latn-ME"/>
        </w:rPr>
      </w:pPr>
    </w:p>
    <w:p w:rsidR="00EA43CD" w:rsidRPr="00EF29FB" w:rsidRDefault="002B696B" w:rsidP="00EF29FB">
      <w:pPr>
        <w:widowControl w:val="0"/>
        <w:spacing w:line="240" w:lineRule="auto"/>
        <w:outlineLvl w:val="0"/>
        <w:rPr>
          <w:b/>
          <w:szCs w:val="22"/>
          <w:lang w:val="sr-Latn-ME"/>
        </w:rPr>
      </w:pPr>
      <w:r w:rsidRPr="00EF29FB">
        <w:rPr>
          <w:b/>
          <w:szCs w:val="22"/>
          <w:lang w:val="sr-Latn-ME"/>
        </w:rPr>
        <w:t>6.5</w:t>
      </w:r>
      <w:r w:rsidRPr="00EF29FB">
        <w:rPr>
          <w:b/>
          <w:szCs w:val="22"/>
          <w:lang w:val="sr-Latn-ME"/>
        </w:rPr>
        <w:tab/>
        <w:t>Vrsta i sadržaj pakovanja</w:t>
      </w:r>
    </w:p>
    <w:p w:rsidR="00EA43CD" w:rsidRPr="00EF29FB" w:rsidRDefault="00EA43CD" w:rsidP="00EF29FB">
      <w:pPr>
        <w:widowControl w:val="0"/>
        <w:spacing w:line="240" w:lineRule="auto"/>
        <w:outlineLvl w:val="0"/>
        <w:rPr>
          <w:b/>
          <w:szCs w:val="22"/>
          <w:lang w:val="sr-Latn-ME"/>
        </w:rPr>
      </w:pPr>
    </w:p>
    <w:p w:rsidR="00EA43CD" w:rsidRPr="00EF29FB" w:rsidRDefault="002B696B" w:rsidP="00EF29FB">
      <w:pPr>
        <w:widowControl w:val="0"/>
        <w:spacing w:line="240" w:lineRule="auto"/>
        <w:rPr>
          <w:color w:val="000000"/>
          <w:szCs w:val="22"/>
          <w:lang w:val="sr-Latn-ME"/>
        </w:rPr>
      </w:pPr>
      <w:r w:rsidRPr="00EF29FB">
        <w:rPr>
          <w:color w:val="000000"/>
          <w:szCs w:val="22"/>
          <w:lang w:val="sr-Latn-ME"/>
        </w:rPr>
        <w:t xml:space="preserve">2 blistera </w:t>
      </w:r>
      <w:r w:rsidRPr="00EF29FB">
        <w:rPr>
          <w:szCs w:val="22"/>
          <w:lang w:val="sr-Latn-ME" w:eastAsia="sr-Latn-ME"/>
        </w:rPr>
        <w:t>(PVC/PE/PVDC//Al)</w:t>
      </w:r>
      <w:r w:rsidRPr="00EF29FB">
        <w:rPr>
          <w:color w:val="000000"/>
          <w:szCs w:val="22"/>
          <w:lang w:val="sr-Latn-ME"/>
        </w:rPr>
        <w:t xml:space="preserve"> sa po 14 film tableta, u kutiji.</w:t>
      </w:r>
    </w:p>
    <w:p w:rsidR="00EA43CD" w:rsidRPr="00EF29FB" w:rsidRDefault="00EA43CD" w:rsidP="00EF29FB">
      <w:pPr>
        <w:widowControl w:val="0"/>
        <w:spacing w:line="240" w:lineRule="auto"/>
        <w:rPr>
          <w:szCs w:val="22"/>
          <w:lang w:val="sr-Latn-ME"/>
        </w:rPr>
      </w:pPr>
    </w:p>
    <w:p w:rsidR="00EA43CD" w:rsidRPr="00EF29FB" w:rsidRDefault="002B696B" w:rsidP="00EF29FB">
      <w:pPr>
        <w:widowControl w:val="0"/>
        <w:spacing w:line="240" w:lineRule="auto"/>
        <w:outlineLvl w:val="0"/>
        <w:rPr>
          <w:b/>
          <w:bCs/>
          <w:szCs w:val="22"/>
          <w:lang w:val="sr-Latn-ME"/>
        </w:rPr>
      </w:pPr>
      <w:r w:rsidRPr="00EF29FB">
        <w:rPr>
          <w:b/>
          <w:szCs w:val="22"/>
          <w:lang w:val="sr-Latn-ME"/>
        </w:rPr>
        <w:t>6.6</w:t>
      </w:r>
      <w:r w:rsidRPr="00EF29FB">
        <w:rPr>
          <w:b/>
          <w:szCs w:val="22"/>
          <w:lang w:val="sr-Latn-ME"/>
        </w:rPr>
        <w:tab/>
      </w:r>
      <w:r w:rsidRPr="00EF29FB">
        <w:rPr>
          <w:b/>
          <w:bCs/>
          <w:szCs w:val="22"/>
          <w:lang w:val="sr-Latn-ME"/>
        </w:rPr>
        <w:t>Posebne mjere opreza pri odlaganju materijala koji treba odbaciti nakon primjene</w:t>
      </w:r>
      <w:bookmarkStart w:id="2" w:name="OLE_LINK2"/>
    </w:p>
    <w:bookmarkEnd w:id="2"/>
    <w:p w:rsidR="00EA43CD" w:rsidRPr="00EF29FB" w:rsidRDefault="002B696B" w:rsidP="00EF29FB">
      <w:pPr>
        <w:widowControl w:val="0"/>
        <w:spacing w:line="240" w:lineRule="auto"/>
        <w:outlineLvl w:val="0"/>
        <w:rPr>
          <w:szCs w:val="22"/>
          <w:lang w:val="sr-Latn-ME"/>
        </w:rPr>
      </w:pPr>
      <w:r w:rsidRPr="00EF29FB">
        <w:rPr>
          <w:b/>
          <w:bCs/>
          <w:szCs w:val="22"/>
          <w:lang w:val="sr-Latn-ME"/>
        </w:rPr>
        <w:t>lijeka (i druga uputstva za rukovanje lijekom)</w:t>
      </w:r>
    </w:p>
    <w:p w:rsidR="00EA43CD" w:rsidRPr="00EF29FB" w:rsidRDefault="00EA43CD" w:rsidP="00EF29FB">
      <w:pPr>
        <w:widowControl w:val="0"/>
        <w:spacing w:line="240" w:lineRule="auto"/>
        <w:rPr>
          <w:szCs w:val="22"/>
          <w:highlight w:val="yellow"/>
          <w:lang w:val="sr-Latn-ME"/>
        </w:rPr>
      </w:pPr>
    </w:p>
    <w:p w:rsidR="00EA43CD" w:rsidRPr="00EF29FB" w:rsidRDefault="002B696B" w:rsidP="00EF29FB">
      <w:pPr>
        <w:widowControl w:val="0"/>
        <w:spacing w:line="240" w:lineRule="auto"/>
        <w:rPr>
          <w:szCs w:val="22"/>
          <w:lang w:val="sr-Latn-ME"/>
        </w:rPr>
      </w:pPr>
      <w:r w:rsidRPr="00EF29FB">
        <w:rPr>
          <w:szCs w:val="22"/>
          <w:lang w:val="sr-Latn-ME"/>
        </w:rPr>
        <w:t>Neupotrijebljeni lijek se uništava u skladu sa važećim propisima.</w:t>
      </w:r>
    </w:p>
    <w:p w:rsidR="00EA43CD" w:rsidRPr="00EF29FB" w:rsidRDefault="00EA43CD" w:rsidP="00EF29FB">
      <w:pPr>
        <w:widowControl w:val="0"/>
        <w:spacing w:line="240" w:lineRule="auto"/>
        <w:rPr>
          <w:szCs w:val="22"/>
          <w:lang w:val="sr-Latn-ME"/>
        </w:rPr>
      </w:pPr>
    </w:p>
    <w:p w:rsidR="00EA43CD" w:rsidRPr="00EF29FB" w:rsidRDefault="00EA43CD" w:rsidP="00EF29FB">
      <w:pPr>
        <w:widowControl w:val="0"/>
        <w:spacing w:line="240" w:lineRule="auto"/>
        <w:rPr>
          <w:szCs w:val="22"/>
          <w:lang w:val="sr-Latn-ME"/>
        </w:rPr>
      </w:pPr>
    </w:p>
    <w:p w:rsidR="00EA43CD" w:rsidRPr="00EF29FB" w:rsidRDefault="002B696B" w:rsidP="00EF29FB">
      <w:pPr>
        <w:widowControl w:val="0"/>
        <w:spacing w:line="240" w:lineRule="auto"/>
        <w:ind w:left="567" w:hanging="567"/>
        <w:rPr>
          <w:szCs w:val="22"/>
          <w:lang w:val="sr-Latn-ME"/>
        </w:rPr>
      </w:pPr>
      <w:r w:rsidRPr="00EF29FB">
        <w:rPr>
          <w:b/>
          <w:szCs w:val="22"/>
          <w:lang w:val="sr-Latn-ME"/>
        </w:rPr>
        <w:t>7.</w:t>
      </w:r>
      <w:r w:rsidRPr="00EF29FB">
        <w:rPr>
          <w:b/>
          <w:szCs w:val="22"/>
          <w:lang w:val="sr-Latn-ME"/>
        </w:rPr>
        <w:tab/>
      </w:r>
      <w:r w:rsidRPr="00EF29FB">
        <w:rPr>
          <w:b/>
          <w:bCs/>
          <w:szCs w:val="22"/>
          <w:lang w:val="sr-Latn-ME"/>
        </w:rPr>
        <w:t>NOSILAC DOZVOLE</w:t>
      </w:r>
    </w:p>
    <w:p w:rsidR="00EA43CD" w:rsidRPr="00EF29FB" w:rsidRDefault="00EA43CD" w:rsidP="00EF29FB">
      <w:pPr>
        <w:widowControl w:val="0"/>
        <w:spacing w:line="240" w:lineRule="auto"/>
        <w:rPr>
          <w:szCs w:val="22"/>
          <w:lang w:val="sr-Latn-ME"/>
        </w:rPr>
      </w:pPr>
    </w:p>
    <w:p w:rsidR="00EA43CD" w:rsidRPr="00EF29FB" w:rsidRDefault="002B696B" w:rsidP="00EF29FB">
      <w:pPr>
        <w:widowControl w:val="0"/>
        <w:autoSpaceDE w:val="0"/>
        <w:autoSpaceDN w:val="0"/>
        <w:adjustRightInd w:val="0"/>
        <w:spacing w:line="240" w:lineRule="auto"/>
        <w:ind w:left="1985" w:hanging="1985"/>
        <w:jc w:val="both"/>
        <w:rPr>
          <w:szCs w:val="22"/>
          <w:lang w:val="sr-Latn-ME"/>
        </w:rPr>
      </w:pPr>
      <w:r w:rsidRPr="00EF29FB">
        <w:rPr>
          <w:szCs w:val="22"/>
          <w:lang w:val="sr-Latn-ME"/>
        </w:rPr>
        <w:t>D.S.D. „KRKA d.d. Novo mesto“ Slovenija - predstavništvo Podgorica</w:t>
      </w:r>
    </w:p>
    <w:p w:rsidR="00EA43CD" w:rsidRPr="00EF29FB" w:rsidRDefault="002B696B" w:rsidP="00EF29FB">
      <w:pPr>
        <w:widowControl w:val="0"/>
        <w:autoSpaceDE w:val="0"/>
        <w:autoSpaceDN w:val="0"/>
        <w:adjustRightInd w:val="0"/>
        <w:spacing w:line="240" w:lineRule="auto"/>
        <w:ind w:right="71"/>
        <w:rPr>
          <w:szCs w:val="22"/>
          <w:lang w:val="sr-Latn-ME"/>
        </w:rPr>
      </w:pPr>
      <w:r w:rsidRPr="00EF29FB">
        <w:rPr>
          <w:szCs w:val="22"/>
          <w:lang w:val="sr-Latn-ME"/>
        </w:rPr>
        <w:t>Svetlane Kane Radević br. 3, 81000 Podgorica, Crna Gora</w:t>
      </w:r>
    </w:p>
    <w:p w:rsidR="00EA43CD" w:rsidRPr="00EF29FB" w:rsidRDefault="00EA43CD" w:rsidP="00EF29FB">
      <w:pPr>
        <w:widowControl w:val="0"/>
        <w:spacing w:line="240" w:lineRule="auto"/>
        <w:rPr>
          <w:szCs w:val="22"/>
          <w:lang w:val="sr-Latn-ME"/>
        </w:rPr>
      </w:pPr>
    </w:p>
    <w:p w:rsidR="00EA43CD" w:rsidRPr="00EF29FB" w:rsidRDefault="00EA43CD" w:rsidP="00EF29FB">
      <w:pPr>
        <w:widowControl w:val="0"/>
        <w:spacing w:line="240" w:lineRule="auto"/>
        <w:rPr>
          <w:szCs w:val="22"/>
          <w:lang w:val="sr-Latn-ME"/>
        </w:rPr>
      </w:pPr>
    </w:p>
    <w:p w:rsidR="00EA43CD" w:rsidRPr="00EF29FB" w:rsidRDefault="002B696B" w:rsidP="00EF29FB">
      <w:pPr>
        <w:widowControl w:val="0"/>
        <w:tabs>
          <w:tab w:val="clear" w:pos="567"/>
          <w:tab w:val="left" w:pos="540"/>
          <w:tab w:val="left" w:pos="569"/>
        </w:tabs>
        <w:spacing w:line="240" w:lineRule="auto"/>
        <w:rPr>
          <w:b/>
          <w:bCs/>
          <w:szCs w:val="22"/>
          <w:lang w:val="sr-Latn-ME"/>
        </w:rPr>
      </w:pPr>
      <w:r w:rsidRPr="00EF29FB">
        <w:rPr>
          <w:b/>
          <w:bCs/>
          <w:szCs w:val="22"/>
          <w:lang w:val="sr-Latn-ME"/>
        </w:rPr>
        <w:t xml:space="preserve">8. </w:t>
      </w:r>
      <w:r w:rsidRPr="00EF29FB">
        <w:rPr>
          <w:b/>
          <w:bCs/>
          <w:szCs w:val="22"/>
          <w:lang w:val="sr-Latn-ME"/>
        </w:rPr>
        <w:tab/>
        <w:t>BROJ DOZVOLE ZA STAVLJANJE LIJEKA U PROMET</w:t>
      </w:r>
    </w:p>
    <w:p w:rsidR="00EA43CD" w:rsidRPr="00EF29FB" w:rsidRDefault="00EA43CD" w:rsidP="00EF29FB">
      <w:pPr>
        <w:widowControl w:val="0"/>
        <w:tabs>
          <w:tab w:val="clear" w:pos="567"/>
          <w:tab w:val="left" w:pos="540"/>
          <w:tab w:val="left" w:pos="569"/>
        </w:tabs>
        <w:spacing w:line="240" w:lineRule="auto"/>
        <w:rPr>
          <w:b/>
          <w:bCs/>
          <w:szCs w:val="22"/>
          <w:lang w:val="sr-Latn-ME"/>
        </w:rPr>
      </w:pPr>
    </w:p>
    <w:p w:rsidR="00EA43CD" w:rsidRPr="00EF29FB" w:rsidRDefault="002B696B" w:rsidP="00EF29FB">
      <w:pPr>
        <w:widowControl w:val="0"/>
        <w:spacing w:line="240" w:lineRule="auto"/>
        <w:rPr>
          <w:bCs/>
          <w:szCs w:val="22"/>
          <w:lang w:val="sr-Latn-ME" w:eastAsia="sr-Latn-ME"/>
        </w:rPr>
      </w:pPr>
      <w:r w:rsidRPr="00EF29FB">
        <w:rPr>
          <w:bCs/>
          <w:szCs w:val="22"/>
          <w:lang w:val="sr-Latn-ME"/>
        </w:rPr>
        <w:t xml:space="preserve">Valsacor, film tableta, 80 mg, blister, 28 film tableta: </w:t>
      </w:r>
      <w:r w:rsidRPr="00EF29FB">
        <w:rPr>
          <w:bCs/>
          <w:szCs w:val="22"/>
          <w:lang w:val="sr-Latn-ME" w:eastAsia="sr-Latn-ME"/>
        </w:rPr>
        <w:t>2030/14/146 – 6190</w:t>
      </w:r>
    </w:p>
    <w:p w:rsidR="00EA43CD" w:rsidRPr="00EF29FB" w:rsidRDefault="002B696B" w:rsidP="00EF29FB">
      <w:pPr>
        <w:widowControl w:val="0"/>
        <w:tabs>
          <w:tab w:val="clear" w:pos="567"/>
          <w:tab w:val="left" w:pos="540"/>
          <w:tab w:val="left" w:pos="569"/>
        </w:tabs>
        <w:spacing w:line="240" w:lineRule="auto"/>
        <w:rPr>
          <w:bCs/>
          <w:szCs w:val="22"/>
          <w:lang w:val="sr-Latn-ME"/>
        </w:rPr>
      </w:pPr>
      <w:r w:rsidRPr="00EF29FB">
        <w:rPr>
          <w:bCs/>
          <w:szCs w:val="22"/>
          <w:lang w:val="sr-Latn-ME"/>
        </w:rPr>
        <w:t xml:space="preserve">Valsacor, film tableta, 160 mg, blister, 28 film tableta: </w:t>
      </w:r>
      <w:r w:rsidRPr="00EF29FB">
        <w:rPr>
          <w:bCs/>
          <w:szCs w:val="22"/>
          <w:lang w:val="sr-Latn-ME" w:eastAsia="sr-Latn-ME"/>
        </w:rPr>
        <w:t>2030/14/147 - 6191</w:t>
      </w:r>
    </w:p>
    <w:p w:rsidR="00EA43CD" w:rsidRPr="00EF29FB" w:rsidRDefault="00EA43CD" w:rsidP="00EF29FB">
      <w:pPr>
        <w:widowControl w:val="0"/>
        <w:tabs>
          <w:tab w:val="clear" w:pos="567"/>
          <w:tab w:val="left" w:pos="540"/>
          <w:tab w:val="left" w:pos="569"/>
        </w:tabs>
        <w:spacing w:line="240" w:lineRule="auto"/>
        <w:rPr>
          <w:bCs/>
          <w:szCs w:val="22"/>
          <w:lang w:val="sr-Latn-ME"/>
        </w:rPr>
      </w:pPr>
    </w:p>
    <w:p w:rsidR="00EA43CD" w:rsidRPr="00EF29FB" w:rsidRDefault="00EA43CD" w:rsidP="00EF29FB">
      <w:pPr>
        <w:widowControl w:val="0"/>
        <w:tabs>
          <w:tab w:val="clear" w:pos="567"/>
          <w:tab w:val="left" w:pos="540"/>
          <w:tab w:val="left" w:pos="569"/>
        </w:tabs>
        <w:spacing w:line="240" w:lineRule="auto"/>
        <w:rPr>
          <w:bCs/>
          <w:szCs w:val="22"/>
          <w:lang w:val="sr-Latn-ME"/>
        </w:rPr>
      </w:pPr>
    </w:p>
    <w:p w:rsidR="00EA43CD" w:rsidRPr="00EF29FB" w:rsidRDefault="002B696B" w:rsidP="00EF29FB">
      <w:pPr>
        <w:widowControl w:val="0"/>
        <w:tabs>
          <w:tab w:val="clear" w:pos="567"/>
          <w:tab w:val="left" w:pos="540"/>
          <w:tab w:val="left" w:pos="569"/>
        </w:tabs>
        <w:spacing w:line="240" w:lineRule="auto"/>
        <w:rPr>
          <w:b/>
          <w:bCs/>
          <w:szCs w:val="22"/>
          <w:lang w:val="sr-Latn-ME"/>
        </w:rPr>
      </w:pPr>
      <w:r w:rsidRPr="00EF29FB">
        <w:rPr>
          <w:b/>
          <w:bCs/>
          <w:szCs w:val="22"/>
          <w:lang w:val="sr-Latn-ME"/>
        </w:rPr>
        <w:t xml:space="preserve">9. </w:t>
      </w:r>
      <w:r w:rsidRPr="00EF29FB">
        <w:rPr>
          <w:b/>
          <w:bCs/>
          <w:szCs w:val="22"/>
          <w:lang w:val="sr-Latn-ME"/>
        </w:rPr>
        <w:tab/>
        <w:t>DATUM PRVE DOZVOLE/ OBNOVE DOZVOLE ZA STAVLJANJE LIJEKA U PROMET</w:t>
      </w:r>
    </w:p>
    <w:p w:rsidR="00EA43CD" w:rsidRPr="00EF29FB" w:rsidRDefault="00EA43CD" w:rsidP="00EF29FB">
      <w:pPr>
        <w:widowControl w:val="0"/>
        <w:tabs>
          <w:tab w:val="clear" w:pos="567"/>
          <w:tab w:val="left" w:pos="540"/>
          <w:tab w:val="left" w:pos="569"/>
        </w:tabs>
        <w:spacing w:line="240" w:lineRule="auto"/>
        <w:rPr>
          <w:b/>
          <w:bCs/>
          <w:szCs w:val="22"/>
          <w:lang w:val="sr-Latn-ME"/>
        </w:rPr>
      </w:pPr>
    </w:p>
    <w:p w:rsidR="00EA43CD" w:rsidRPr="00EF29FB" w:rsidRDefault="002B696B" w:rsidP="00EF29FB">
      <w:pPr>
        <w:widowControl w:val="0"/>
        <w:spacing w:line="240" w:lineRule="auto"/>
        <w:rPr>
          <w:bCs/>
          <w:szCs w:val="22"/>
          <w:lang w:val="sr-Latn-ME"/>
        </w:rPr>
      </w:pPr>
      <w:r w:rsidRPr="00EF29FB">
        <w:rPr>
          <w:bCs/>
          <w:szCs w:val="22"/>
          <w:lang w:val="sr-Latn-ME"/>
        </w:rPr>
        <w:t xml:space="preserve">Valsacor, film tableta, 80 mg, blister, 28 film tableta: </w:t>
      </w:r>
      <w:r w:rsidRPr="00EF29FB">
        <w:rPr>
          <w:szCs w:val="22"/>
          <w:lang w:val="sr-Latn-ME" w:eastAsia="sr-Latn-ME"/>
        </w:rPr>
        <w:t>24.04.2014. godine</w:t>
      </w:r>
    </w:p>
    <w:p w:rsidR="00EA43CD" w:rsidRPr="00EF29FB" w:rsidRDefault="002B696B" w:rsidP="00EF29FB">
      <w:pPr>
        <w:widowControl w:val="0"/>
        <w:tabs>
          <w:tab w:val="clear" w:pos="567"/>
          <w:tab w:val="left" w:pos="540"/>
          <w:tab w:val="left" w:pos="569"/>
        </w:tabs>
        <w:spacing w:line="240" w:lineRule="auto"/>
        <w:rPr>
          <w:bCs/>
          <w:szCs w:val="22"/>
          <w:lang w:val="sr-Latn-ME"/>
        </w:rPr>
      </w:pPr>
      <w:r w:rsidRPr="00EF29FB">
        <w:rPr>
          <w:bCs/>
          <w:szCs w:val="22"/>
          <w:lang w:val="sr-Latn-ME"/>
        </w:rPr>
        <w:t xml:space="preserve">Valsacor, film tableta, 160 mg, blister, 28 film tableta: </w:t>
      </w:r>
      <w:r w:rsidRPr="00EF29FB">
        <w:rPr>
          <w:szCs w:val="22"/>
          <w:lang w:val="sr-Latn-ME" w:eastAsia="sr-Latn-ME"/>
        </w:rPr>
        <w:t>24.04.2014. godine</w:t>
      </w:r>
    </w:p>
    <w:p w:rsidR="00EA43CD" w:rsidRPr="00EF29FB" w:rsidRDefault="00EA43CD" w:rsidP="00EF29FB">
      <w:pPr>
        <w:widowControl w:val="0"/>
        <w:tabs>
          <w:tab w:val="clear" w:pos="567"/>
          <w:tab w:val="left" w:pos="540"/>
          <w:tab w:val="left" w:pos="569"/>
        </w:tabs>
        <w:spacing w:line="240" w:lineRule="auto"/>
        <w:rPr>
          <w:bCs/>
          <w:szCs w:val="22"/>
          <w:lang w:val="sr-Latn-ME"/>
        </w:rPr>
      </w:pPr>
    </w:p>
    <w:p w:rsidR="00EA43CD" w:rsidRPr="00EF29FB" w:rsidRDefault="00EA43CD" w:rsidP="00EF29FB">
      <w:pPr>
        <w:widowControl w:val="0"/>
        <w:tabs>
          <w:tab w:val="clear" w:pos="567"/>
          <w:tab w:val="left" w:pos="540"/>
          <w:tab w:val="left" w:pos="569"/>
        </w:tabs>
        <w:spacing w:line="240" w:lineRule="auto"/>
        <w:rPr>
          <w:bCs/>
          <w:szCs w:val="22"/>
          <w:lang w:val="sr-Latn-ME"/>
        </w:rPr>
      </w:pPr>
    </w:p>
    <w:p w:rsidR="00EA43CD" w:rsidRPr="00EF29FB" w:rsidRDefault="002B696B" w:rsidP="00EF29FB">
      <w:pPr>
        <w:widowControl w:val="0"/>
        <w:tabs>
          <w:tab w:val="clear" w:pos="567"/>
          <w:tab w:val="left" w:pos="540"/>
          <w:tab w:val="left" w:pos="569"/>
        </w:tabs>
        <w:spacing w:line="240" w:lineRule="auto"/>
        <w:ind w:left="540" w:hanging="540"/>
        <w:rPr>
          <w:b/>
          <w:bCs/>
          <w:szCs w:val="22"/>
          <w:lang w:val="sr-Latn-ME"/>
        </w:rPr>
      </w:pPr>
      <w:r w:rsidRPr="00EF29FB">
        <w:rPr>
          <w:b/>
          <w:bCs/>
          <w:szCs w:val="22"/>
          <w:lang w:val="sr-Latn-ME"/>
        </w:rPr>
        <w:t xml:space="preserve">10. </w:t>
      </w:r>
      <w:r w:rsidRPr="00EF29FB">
        <w:rPr>
          <w:b/>
          <w:bCs/>
          <w:szCs w:val="22"/>
          <w:lang w:val="sr-Latn-ME"/>
        </w:rPr>
        <w:tab/>
        <w:t xml:space="preserve">DATUM  REVIZIJE TEKSTA </w:t>
      </w:r>
    </w:p>
    <w:p w:rsidR="00EA43CD" w:rsidRPr="00EF29FB" w:rsidRDefault="00EA43CD" w:rsidP="00EF29FB">
      <w:pPr>
        <w:widowControl w:val="0"/>
        <w:spacing w:line="240" w:lineRule="auto"/>
        <w:rPr>
          <w:szCs w:val="22"/>
          <w:lang w:val="sr-Latn-ME"/>
        </w:rPr>
      </w:pPr>
    </w:p>
    <w:p w:rsidR="00EA43CD" w:rsidRPr="00EF29FB" w:rsidRDefault="00EF29FB" w:rsidP="00EF29FB">
      <w:pPr>
        <w:widowControl w:val="0"/>
        <w:spacing w:line="240" w:lineRule="auto"/>
        <w:rPr>
          <w:szCs w:val="22"/>
          <w:lang w:val="sr-Latn-ME"/>
        </w:rPr>
      </w:pPr>
      <w:r>
        <w:rPr>
          <w:szCs w:val="22"/>
          <w:lang w:val="sr-Latn-ME"/>
        </w:rPr>
        <w:t>Oktobar</w:t>
      </w:r>
      <w:r w:rsidR="004F6432" w:rsidRPr="00EF29FB">
        <w:rPr>
          <w:szCs w:val="22"/>
          <w:lang w:val="sr-Latn-ME"/>
        </w:rPr>
        <w:t>, 2024. godine</w:t>
      </w:r>
    </w:p>
    <w:p w:rsidR="00EA43CD" w:rsidRPr="00EF29FB" w:rsidRDefault="00EA43CD" w:rsidP="00EF29FB">
      <w:pPr>
        <w:widowControl w:val="0"/>
        <w:spacing w:line="240" w:lineRule="auto"/>
        <w:rPr>
          <w:szCs w:val="22"/>
          <w:lang w:val="sr-Latn-ME"/>
        </w:rPr>
      </w:pPr>
    </w:p>
    <w:sectPr w:rsidR="00EA43CD" w:rsidRPr="00EF29FB" w:rsidSect="00EF29FB">
      <w:footerReference w:type="default" r:id="rId12"/>
      <w:footerReference w:type="first" r:id="rId13"/>
      <w:endnotePr>
        <w:numFmt w:val="decimal"/>
      </w:endnotePr>
      <w:pgSz w:w="11907" w:h="16840"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3F35" w:rsidRDefault="00363F35">
      <w:pPr>
        <w:spacing w:line="240" w:lineRule="auto"/>
      </w:pPr>
      <w:r>
        <w:separator/>
      </w:r>
    </w:p>
  </w:endnote>
  <w:endnote w:type="continuationSeparator" w:id="0">
    <w:p w:rsidR="00363F35" w:rsidRDefault="00363F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43CD" w:rsidRDefault="002B696B">
    <w:pPr>
      <w:pStyle w:val="Footer"/>
      <w:jc w:val="center"/>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w:instrText>
    </w:r>
    <w:r>
      <w:rPr>
        <w:rFonts w:ascii="Times New Roman" w:hAnsi="Times New Roman"/>
        <w:sz w:val="22"/>
        <w:szCs w:val="22"/>
      </w:rPr>
      <w:fldChar w:fldCharType="separate"/>
    </w:r>
    <w:r w:rsidR="00EF29FB">
      <w:rPr>
        <w:rFonts w:ascii="Times New Roman" w:hAnsi="Times New Roman"/>
        <w:sz w:val="22"/>
        <w:szCs w:val="22"/>
      </w:rPr>
      <w:t>17</w:t>
    </w:r>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rPr>
      <w:fldChar w:fldCharType="begin"/>
    </w:r>
    <w:r>
      <w:rPr>
        <w:rFonts w:ascii="Times New Roman" w:hAnsi="Times New Roman"/>
        <w:sz w:val="22"/>
        <w:szCs w:val="22"/>
      </w:rPr>
      <w:instrText xml:space="preserve"> NUMPAGES </w:instrText>
    </w:r>
    <w:r>
      <w:rPr>
        <w:rFonts w:ascii="Times New Roman" w:hAnsi="Times New Roman"/>
        <w:sz w:val="22"/>
        <w:szCs w:val="22"/>
      </w:rPr>
      <w:fldChar w:fldCharType="separate"/>
    </w:r>
    <w:r w:rsidR="00EF29FB">
      <w:rPr>
        <w:rFonts w:ascii="Times New Roman" w:hAnsi="Times New Roman"/>
        <w:sz w:val="22"/>
        <w:szCs w:val="22"/>
      </w:rPr>
      <w:t>17</w:t>
    </w:r>
    <w:r>
      <w:rPr>
        <w:rFonts w:ascii="Times New Roman" w:hAnsi="Times New Roman"/>
        <w:sz w:val="22"/>
        <w:szCs w:val="22"/>
      </w:rPr>
      <w:fldChar w:fldCharType="end"/>
    </w:r>
    <w:r>
      <w:rPr>
        <w:rFonts w:ascii="Times New Roman" w:hAnsi="Times New Roman"/>
        <w:sz w:val="22"/>
        <w:szCs w:val="22"/>
      </w:rPr>
      <w:fldChar w:fldCharType="begin"/>
    </w:r>
    <w:r>
      <w:rPr>
        <w:rFonts w:ascii="Times New Roman" w:hAnsi="Times New Roman"/>
        <w:sz w:val="22"/>
        <w:szCs w:val="22"/>
      </w:rPr>
      <w:instrText xml:space="preserve"> EQ </w:instrText>
    </w:r>
    <w:r>
      <w:rPr>
        <w:rFonts w:ascii="Times New Roman" w:hAnsi="Times New Roman"/>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43CD" w:rsidRDefault="002B696B">
    <w:pPr>
      <w:pStyle w:val="Footer"/>
      <w:jc w:val="center"/>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w:instrText>
    </w:r>
    <w:r>
      <w:rPr>
        <w:rFonts w:ascii="Times New Roman" w:hAnsi="Times New Roman"/>
        <w:sz w:val="22"/>
        <w:szCs w:val="22"/>
      </w:rPr>
      <w:fldChar w:fldCharType="separate"/>
    </w:r>
    <w:r w:rsidR="00EF29FB">
      <w:rPr>
        <w:rFonts w:ascii="Times New Roman" w:hAnsi="Times New Roman"/>
        <w:sz w:val="22"/>
        <w:szCs w:val="22"/>
      </w:rPr>
      <w:t>1</w:t>
    </w:r>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rPr>
      <w:fldChar w:fldCharType="begin"/>
    </w:r>
    <w:r>
      <w:rPr>
        <w:rFonts w:ascii="Times New Roman" w:hAnsi="Times New Roman"/>
        <w:sz w:val="22"/>
        <w:szCs w:val="22"/>
      </w:rPr>
      <w:instrText xml:space="preserve"> NUMPAGES </w:instrText>
    </w:r>
    <w:r>
      <w:rPr>
        <w:rFonts w:ascii="Times New Roman" w:hAnsi="Times New Roman"/>
        <w:sz w:val="22"/>
        <w:szCs w:val="22"/>
      </w:rPr>
      <w:fldChar w:fldCharType="separate"/>
    </w:r>
    <w:r w:rsidR="00EF29FB">
      <w:rPr>
        <w:rFonts w:ascii="Times New Roman" w:hAnsi="Times New Roman"/>
        <w:sz w:val="22"/>
        <w:szCs w:val="22"/>
      </w:rPr>
      <w:t>17</w:t>
    </w:r>
    <w:r>
      <w:rPr>
        <w:rFonts w:ascii="Times New Roman" w:hAnsi="Times New Roman"/>
        <w:sz w:val="22"/>
        <w:szCs w:val="22"/>
      </w:rPr>
      <w:fldChar w:fldCharType="end"/>
    </w:r>
  </w:p>
  <w:p w:rsidR="00EA43CD" w:rsidRDefault="002B696B">
    <w:pPr>
      <w:pStyle w:val="Footer"/>
      <w:tabs>
        <w:tab w:val="right" w:pos="8931"/>
      </w:tabs>
      <w:ind w:right="96"/>
      <w:jc w:val="center"/>
      <w:rPr>
        <w:rFonts w:ascii="Times New Roman" w:hAnsi="Times New Roman"/>
        <w:sz w:val="18"/>
        <w:szCs w:val="18"/>
      </w:rPr>
    </w:pPr>
    <w:r>
      <w:fldChar w:fldCharType="begin"/>
    </w:r>
    <w:r>
      <w:instrText xml:space="preserve"> EQ </w:instrTex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3F35" w:rsidRDefault="00363F35">
      <w:pPr>
        <w:spacing w:line="240" w:lineRule="auto"/>
      </w:pPr>
      <w:r>
        <w:separator/>
      </w:r>
    </w:p>
  </w:footnote>
  <w:footnote w:type="continuationSeparator" w:id="0">
    <w:p w:rsidR="00363F35" w:rsidRDefault="00363F3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900ED"/>
    <w:multiLevelType w:val="hybridMultilevel"/>
    <w:tmpl w:val="3D08C984"/>
    <w:lvl w:ilvl="0" w:tplc="E752CC1E">
      <w:start w:val="1"/>
      <w:numFmt w:val="bullet"/>
      <w:lvlText w:val=""/>
      <w:lvlJc w:val="left"/>
      <w:pPr>
        <w:tabs>
          <w:tab w:val="num" w:pos="360"/>
        </w:tabs>
        <w:ind w:left="360" w:hanging="360"/>
      </w:pPr>
      <w:rPr>
        <w:rFonts w:ascii="Symbol" w:hAnsi="Symbol" w:hint="default"/>
      </w:rPr>
    </w:lvl>
    <w:lvl w:ilvl="1" w:tplc="57503432" w:tentative="1">
      <w:start w:val="1"/>
      <w:numFmt w:val="bullet"/>
      <w:lvlText w:val="o"/>
      <w:lvlJc w:val="left"/>
      <w:pPr>
        <w:tabs>
          <w:tab w:val="num" w:pos="1080"/>
        </w:tabs>
        <w:ind w:left="1080" w:hanging="360"/>
      </w:pPr>
      <w:rPr>
        <w:rFonts w:ascii="Courier New" w:hAnsi="Courier New" w:cs="Courier New" w:hint="default"/>
      </w:rPr>
    </w:lvl>
    <w:lvl w:ilvl="2" w:tplc="ABE89012" w:tentative="1">
      <w:start w:val="1"/>
      <w:numFmt w:val="bullet"/>
      <w:lvlText w:val=""/>
      <w:lvlJc w:val="left"/>
      <w:pPr>
        <w:tabs>
          <w:tab w:val="num" w:pos="1800"/>
        </w:tabs>
        <w:ind w:left="1800" w:hanging="360"/>
      </w:pPr>
      <w:rPr>
        <w:rFonts w:ascii="Wingdings" w:hAnsi="Wingdings" w:hint="default"/>
      </w:rPr>
    </w:lvl>
    <w:lvl w:ilvl="3" w:tplc="754C4518" w:tentative="1">
      <w:start w:val="1"/>
      <w:numFmt w:val="bullet"/>
      <w:lvlText w:val=""/>
      <w:lvlJc w:val="left"/>
      <w:pPr>
        <w:tabs>
          <w:tab w:val="num" w:pos="2520"/>
        </w:tabs>
        <w:ind w:left="2520" w:hanging="360"/>
      </w:pPr>
      <w:rPr>
        <w:rFonts w:ascii="Symbol" w:hAnsi="Symbol" w:hint="default"/>
      </w:rPr>
    </w:lvl>
    <w:lvl w:ilvl="4" w:tplc="1BCC9FF4" w:tentative="1">
      <w:start w:val="1"/>
      <w:numFmt w:val="bullet"/>
      <w:lvlText w:val="o"/>
      <w:lvlJc w:val="left"/>
      <w:pPr>
        <w:tabs>
          <w:tab w:val="num" w:pos="3240"/>
        </w:tabs>
        <w:ind w:left="3240" w:hanging="360"/>
      </w:pPr>
      <w:rPr>
        <w:rFonts w:ascii="Courier New" w:hAnsi="Courier New" w:cs="Courier New" w:hint="default"/>
      </w:rPr>
    </w:lvl>
    <w:lvl w:ilvl="5" w:tplc="F8FA5298" w:tentative="1">
      <w:start w:val="1"/>
      <w:numFmt w:val="bullet"/>
      <w:lvlText w:val=""/>
      <w:lvlJc w:val="left"/>
      <w:pPr>
        <w:tabs>
          <w:tab w:val="num" w:pos="3960"/>
        </w:tabs>
        <w:ind w:left="3960" w:hanging="360"/>
      </w:pPr>
      <w:rPr>
        <w:rFonts w:ascii="Wingdings" w:hAnsi="Wingdings" w:hint="default"/>
      </w:rPr>
    </w:lvl>
    <w:lvl w:ilvl="6" w:tplc="108C322C" w:tentative="1">
      <w:start w:val="1"/>
      <w:numFmt w:val="bullet"/>
      <w:lvlText w:val=""/>
      <w:lvlJc w:val="left"/>
      <w:pPr>
        <w:tabs>
          <w:tab w:val="num" w:pos="4680"/>
        </w:tabs>
        <w:ind w:left="4680" w:hanging="360"/>
      </w:pPr>
      <w:rPr>
        <w:rFonts w:ascii="Symbol" w:hAnsi="Symbol" w:hint="default"/>
      </w:rPr>
    </w:lvl>
    <w:lvl w:ilvl="7" w:tplc="31C00D9A" w:tentative="1">
      <w:start w:val="1"/>
      <w:numFmt w:val="bullet"/>
      <w:lvlText w:val="o"/>
      <w:lvlJc w:val="left"/>
      <w:pPr>
        <w:tabs>
          <w:tab w:val="num" w:pos="5400"/>
        </w:tabs>
        <w:ind w:left="5400" w:hanging="360"/>
      </w:pPr>
      <w:rPr>
        <w:rFonts w:ascii="Courier New" w:hAnsi="Courier New" w:cs="Courier New" w:hint="default"/>
      </w:rPr>
    </w:lvl>
    <w:lvl w:ilvl="8" w:tplc="15D4D9FC"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3" w15:restartNumberingAfterBreak="0">
    <w:nsid w:val="09C44CC1"/>
    <w:multiLevelType w:val="hybridMultilevel"/>
    <w:tmpl w:val="7FF2C56E"/>
    <w:lvl w:ilvl="0" w:tplc="DC46E300">
      <w:start w:val="1"/>
      <w:numFmt w:val="bullet"/>
      <w:lvlText w:val=""/>
      <w:lvlJc w:val="left"/>
      <w:pPr>
        <w:tabs>
          <w:tab w:val="num" w:pos="720"/>
        </w:tabs>
        <w:ind w:left="720" w:hanging="360"/>
      </w:pPr>
      <w:rPr>
        <w:rFonts w:ascii="Symbol" w:hAnsi="Symbol" w:hint="default"/>
      </w:rPr>
    </w:lvl>
    <w:lvl w:ilvl="1" w:tplc="24646B90" w:tentative="1">
      <w:start w:val="1"/>
      <w:numFmt w:val="bullet"/>
      <w:lvlText w:val="o"/>
      <w:lvlJc w:val="left"/>
      <w:pPr>
        <w:tabs>
          <w:tab w:val="num" w:pos="1440"/>
        </w:tabs>
        <w:ind w:left="1440" w:hanging="360"/>
      </w:pPr>
      <w:rPr>
        <w:rFonts w:ascii="Courier New" w:hAnsi="Courier New" w:cs="Courier New" w:hint="default"/>
      </w:rPr>
    </w:lvl>
    <w:lvl w:ilvl="2" w:tplc="0D8C3330" w:tentative="1">
      <w:start w:val="1"/>
      <w:numFmt w:val="bullet"/>
      <w:lvlText w:val=""/>
      <w:lvlJc w:val="left"/>
      <w:pPr>
        <w:tabs>
          <w:tab w:val="num" w:pos="2160"/>
        </w:tabs>
        <w:ind w:left="2160" w:hanging="360"/>
      </w:pPr>
      <w:rPr>
        <w:rFonts w:ascii="Wingdings" w:hAnsi="Wingdings" w:hint="default"/>
      </w:rPr>
    </w:lvl>
    <w:lvl w:ilvl="3" w:tplc="28BC1490" w:tentative="1">
      <w:start w:val="1"/>
      <w:numFmt w:val="bullet"/>
      <w:lvlText w:val=""/>
      <w:lvlJc w:val="left"/>
      <w:pPr>
        <w:tabs>
          <w:tab w:val="num" w:pos="2880"/>
        </w:tabs>
        <w:ind w:left="2880" w:hanging="360"/>
      </w:pPr>
      <w:rPr>
        <w:rFonts w:ascii="Symbol" w:hAnsi="Symbol" w:hint="default"/>
      </w:rPr>
    </w:lvl>
    <w:lvl w:ilvl="4" w:tplc="2948105A" w:tentative="1">
      <w:start w:val="1"/>
      <w:numFmt w:val="bullet"/>
      <w:lvlText w:val="o"/>
      <w:lvlJc w:val="left"/>
      <w:pPr>
        <w:tabs>
          <w:tab w:val="num" w:pos="3600"/>
        </w:tabs>
        <w:ind w:left="3600" w:hanging="360"/>
      </w:pPr>
      <w:rPr>
        <w:rFonts w:ascii="Courier New" w:hAnsi="Courier New" w:cs="Courier New" w:hint="default"/>
      </w:rPr>
    </w:lvl>
    <w:lvl w:ilvl="5" w:tplc="9B627F14" w:tentative="1">
      <w:start w:val="1"/>
      <w:numFmt w:val="bullet"/>
      <w:lvlText w:val=""/>
      <w:lvlJc w:val="left"/>
      <w:pPr>
        <w:tabs>
          <w:tab w:val="num" w:pos="4320"/>
        </w:tabs>
        <w:ind w:left="4320" w:hanging="360"/>
      </w:pPr>
      <w:rPr>
        <w:rFonts w:ascii="Wingdings" w:hAnsi="Wingdings" w:hint="default"/>
      </w:rPr>
    </w:lvl>
    <w:lvl w:ilvl="6" w:tplc="C08074C2" w:tentative="1">
      <w:start w:val="1"/>
      <w:numFmt w:val="bullet"/>
      <w:lvlText w:val=""/>
      <w:lvlJc w:val="left"/>
      <w:pPr>
        <w:tabs>
          <w:tab w:val="num" w:pos="5040"/>
        </w:tabs>
        <w:ind w:left="5040" w:hanging="360"/>
      </w:pPr>
      <w:rPr>
        <w:rFonts w:ascii="Symbol" w:hAnsi="Symbol" w:hint="default"/>
      </w:rPr>
    </w:lvl>
    <w:lvl w:ilvl="7" w:tplc="B1163768" w:tentative="1">
      <w:start w:val="1"/>
      <w:numFmt w:val="bullet"/>
      <w:lvlText w:val="o"/>
      <w:lvlJc w:val="left"/>
      <w:pPr>
        <w:tabs>
          <w:tab w:val="num" w:pos="5760"/>
        </w:tabs>
        <w:ind w:left="5760" w:hanging="360"/>
      </w:pPr>
      <w:rPr>
        <w:rFonts w:ascii="Courier New" w:hAnsi="Courier New" w:cs="Courier New" w:hint="default"/>
      </w:rPr>
    </w:lvl>
    <w:lvl w:ilvl="8" w:tplc="F7D8D780"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2E135BD9"/>
    <w:multiLevelType w:val="hybridMultilevel"/>
    <w:tmpl w:val="DAD6C0E0"/>
    <w:lvl w:ilvl="0" w:tplc="78D61154">
      <w:start w:val="1"/>
      <w:numFmt w:val="bullet"/>
      <w:lvlText w:val=""/>
      <w:lvlJc w:val="left"/>
      <w:pPr>
        <w:tabs>
          <w:tab w:val="num" w:pos="397"/>
        </w:tabs>
        <w:ind w:left="397" w:hanging="397"/>
      </w:pPr>
      <w:rPr>
        <w:rFonts w:ascii="Symbol" w:hAnsi="Symbol" w:hint="default"/>
      </w:rPr>
    </w:lvl>
    <w:lvl w:ilvl="1" w:tplc="456EE5D0" w:tentative="1">
      <w:start w:val="1"/>
      <w:numFmt w:val="bullet"/>
      <w:lvlText w:val="o"/>
      <w:lvlJc w:val="left"/>
      <w:pPr>
        <w:tabs>
          <w:tab w:val="num" w:pos="1440"/>
        </w:tabs>
        <w:ind w:left="1440" w:hanging="360"/>
      </w:pPr>
      <w:rPr>
        <w:rFonts w:ascii="Courier New" w:hAnsi="Courier New" w:cs="Courier New" w:hint="default"/>
      </w:rPr>
    </w:lvl>
    <w:lvl w:ilvl="2" w:tplc="FDDEE800" w:tentative="1">
      <w:start w:val="1"/>
      <w:numFmt w:val="bullet"/>
      <w:lvlText w:val=""/>
      <w:lvlJc w:val="left"/>
      <w:pPr>
        <w:tabs>
          <w:tab w:val="num" w:pos="2160"/>
        </w:tabs>
        <w:ind w:left="2160" w:hanging="360"/>
      </w:pPr>
      <w:rPr>
        <w:rFonts w:ascii="Wingdings" w:hAnsi="Wingdings" w:hint="default"/>
      </w:rPr>
    </w:lvl>
    <w:lvl w:ilvl="3" w:tplc="1040AAE8" w:tentative="1">
      <w:start w:val="1"/>
      <w:numFmt w:val="bullet"/>
      <w:lvlText w:val=""/>
      <w:lvlJc w:val="left"/>
      <w:pPr>
        <w:tabs>
          <w:tab w:val="num" w:pos="2880"/>
        </w:tabs>
        <w:ind w:left="2880" w:hanging="360"/>
      </w:pPr>
      <w:rPr>
        <w:rFonts w:ascii="Symbol" w:hAnsi="Symbol" w:hint="default"/>
      </w:rPr>
    </w:lvl>
    <w:lvl w:ilvl="4" w:tplc="11D4554A" w:tentative="1">
      <w:start w:val="1"/>
      <w:numFmt w:val="bullet"/>
      <w:lvlText w:val="o"/>
      <w:lvlJc w:val="left"/>
      <w:pPr>
        <w:tabs>
          <w:tab w:val="num" w:pos="3600"/>
        </w:tabs>
        <w:ind w:left="3600" w:hanging="360"/>
      </w:pPr>
      <w:rPr>
        <w:rFonts w:ascii="Courier New" w:hAnsi="Courier New" w:cs="Courier New" w:hint="default"/>
      </w:rPr>
    </w:lvl>
    <w:lvl w:ilvl="5" w:tplc="552C1100" w:tentative="1">
      <w:start w:val="1"/>
      <w:numFmt w:val="bullet"/>
      <w:lvlText w:val=""/>
      <w:lvlJc w:val="left"/>
      <w:pPr>
        <w:tabs>
          <w:tab w:val="num" w:pos="4320"/>
        </w:tabs>
        <w:ind w:left="4320" w:hanging="360"/>
      </w:pPr>
      <w:rPr>
        <w:rFonts w:ascii="Wingdings" w:hAnsi="Wingdings" w:hint="default"/>
      </w:rPr>
    </w:lvl>
    <w:lvl w:ilvl="6" w:tplc="983CE05E" w:tentative="1">
      <w:start w:val="1"/>
      <w:numFmt w:val="bullet"/>
      <w:lvlText w:val=""/>
      <w:lvlJc w:val="left"/>
      <w:pPr>
        <w:tabs>
          <w:tab w:val="num" w:pos="5040"/>
        </w:tabs>
        <w:ind w:left="5040" w:hanging="360"/>
      </w:pPr>
      <w:rPr>
        <w:rFonts w:ascii="Symbol" w:hAnsi="Symbol" w:hint="default"/>
      </w:rPr>
    </w:lvl>
    <w:lvl w:ilvl="7" w:tplc="02746824" w:tentative="1">
      <w:start w:val="1"/>
      <w:numFmt w:val="bullet"/>
      <w:lvlText w:val="o"/>
      <w:lvlJc w:val="left"/>
      <w:pPr>
        <w:tabs>
          <w:tab w:val="num" w:pos="5760"/>
        </w:tabs>
        <w:ind w:left="5760" w:hanging="360"/>
      </w:pPr>
      <w:rPr>
        <w:rFonts w:ascii="Courier New" w:hAnsi="Courier New" w:cs="Courier New" w:hint="default"/>
      </w:rPr>
    </w:lvl>
    <w:lvl w:ilvl="8" w:tplc="A560BC84"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E541609"/>
    <w:multiLevelType w:val="hybridMultilevel"/>
    <w:tmpl w:val="1E5AABE8"/>
    <w:lvl w:ilvl="0" w:tplc="AC329CAE">
      <w:start w:val="1"/>
      <w:numFmt w:val="decimal"/>
      <w:lvlText w:val="%1."/>
      <w:lvlJc w:val="left"/>
      <w:pPr>
        <w:tabs>
          <w:tab w:val="num" w:pos="570"/>
        </w:tabs>
        <w:ind w:left="570" w:hanging="570"/>
      </w:pPr>
      <w:rPr>
        <w:rFonts w:hint="default"/>
      </w:rPr>
    </w:lvl>
    <w:lvl w:ilvl="1" w:tplc="66704108" w:tentative="1">
      <w:start w:val="1"/>
      <w:numFmt w:val="lowerLetter"/>
      <w:lvlText w:val="%2."/>
      <w:lvlJc w:val="left"/>
      <w:pPr>
        <w:tabs>
          <w:tab w:val="num" w:pos="1080"/>
        </w:tabs>
        <w:ind w:left="1080" w:hanging="360"/>
      </w:pPr>
    </w:lvl>
    <w:lvl w:ilvl="2" w:tplc="4B16DA44" w:tentative="1">
      <w:start w:val="1"/>
      <w:numFmt w:val="lowerRoman"/>
      <w:lvlText w:val="%3."/>
      <w:lvlJc w:val="right"/>
      <w:pPr>
        <w:tabs>
          <w:tab w:val="num" w:pos="1800"/>
        </w:tabs>
        <w:ind w:left="1800" w:hanging="180"/>
      </w:pPr>
    </w:lvl>
    <w:lvl w:ilvl="3" w:tplc="05D06C7C" w:tentative="1">
      <w:start w:val="1"/>
      <w:numFmt w:val="decimal"/>
      <w:lvlText w:val="%4."/>
      <w:lvlJc w:val="left"/>
      <w:pPr>
        <w:tabs>
          <w:tab w:val="num" w:pos="2520"/>
        </w:tabs>
        <w:ind w:left="2520" w:hanging="360"/>
      </w:pPr>
    </w:lvl>
    <w:lvl w:ilvl="4" w:tplc="4A3C3D34" w:tentative="1">
      <w:start w:val="1"/>
      <w:numFmt w:val="lowerLetter"/>
      <w:lvlText w:val="%5."/>
      <w:lvlJc w:val="left"/>
      <w:pPr>
        <w:tabs>
          <w:tab w:val="num" w:pos="3240"/>
        </w:tabs>
        <w:ind w:left="3240" w:hanging="360"/>
      </w:pPr>
    </w:lvl>
    <w:lvl w:ilvl="5" w:tplc="6908BB0E" w:tentative="1">
      <w:start w:val="1"/>
      <w:numFmt w:val="lowerRoman"/>
      <w:lvlText w:val="%6."/>
      <w:lvlJc w:val="right"/>
      <w:pPr>
        <w:tabs>
          <w:tab w:val="num" w:pos="3960"/>
        </w:tabs>
        <w:ind w:left="3960" w:hanging="180"/>
      </w:pPr>
    </w:lvl>
    <w:lvl w:ilvl="6" w:tplc="B492ED1C" w:tentative="1">
      <w:start w:val="1"/>
      <w:numFmt w:val="decimal"/>
      <w:lvlText w:val="%7."/>
      <w:lvlJc w:val="left"/>
      <w:pPr>
        <w:tabs>
          <w:tab w:val="num" w:pos="4680"/>
        </w:tabs>
        <w:ind w:left="4680" w:hanging="360"/>
      </w:pPr>
    </w:lvl>
    <w:lvl w:ilvl="7" w:tplc="0AC0A3A6" w:tentative="1">
      <w:start w:val="1"/>
      <w:numFmt w:val="lowerLetter"/>
      <w:lvlText w:val="%8."/>
      <w:lvlJc w:val="left"/>
      <w:pPr>
        <w:tabs>
          <w:tab w:val="num" w:pos="5400"/>
        </w:tabs>
        <w:ind w:left="5400" w:hanging="360"/>
      </w:pPr>
    </w:lvl>
    <w:lvl w:ilvl="8" w:tplc="7EBEB39A" w:tentative="1">
      <w:start w:val="1"/>
      <w:numFmt w:val="lowerRoman"/>
      <w:lvlText w:val="%9."/>
      <w:lvlJc w:val="right"/>
      <w:pPr>
        <w:tabs>
          <w:tab w:val="num" w:pos="6120"/>
        </w:tabs>
        <w:ind w:left="6120" w:hanging="180"/>
      </w:pPr>
    </w:lvl>
  </w:abstractNum>
  <w:abstractNum w:abstractNumId="7"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9"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10" w15:restartNumberingAfterBreak="0">
    <w:nsid w:val="4D004B2E"/>
    <w:multiLevelType w:val="hybridMultilevel"/>
    <w:tmpl w:val="0B04ED02"/>
    <w:lvl w:ilvl="0" w:tplc="618A557C">
      <w:start w:val="1"/>
      <w:numFmt w:val="decimal"/>
      <w:lvlText w:val="%1."/>
      <w:lvlJc w:val="left"/>
      <w:pPr>
        <w:ind w:left="930" w:hanging="57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1"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12" w15:restartNumberingAfterBreak="0">
    <w:nsid w:val="58B56C73"/>
    <w:multiLevelType w:val="hybridMultilevel"/>
    <w:tmpl w:val="5BA42128"/>
    <w:lvl w:ilvl="0" w:tplc="FD48396C">
      <w:start w:val="2"/>
      <w:numFmt w:val="decimal"/>
      <w:lvlText w:val="%1."/>
      <w:lvlJc w:val="left"/>
      <w:pPr>
        <w:tabs>
          <w:tab w:val="num" w:pos="570"/>
        </w:tabs>
        <w:ind w:left="570" w:hanging="570"/>
      </w:pPr>
      <w:rPr>
        <w:rFonts w:hint="default"/>
      </w:rPr>
    </w:lvl>
    <w:lvl w:ilvl="1" w:tplc="46163F28" w:tentative="1">
      <w:start w:val="1"/>
      <w:numFmt w:val="lowerLetter"/>
      <w:lvlText w:val="%2."/>
      <w:lvlJc w:val="left"/>
      <w:pPr>
        <w:tabs>
          <w:tab w:val="num" w:pos="1080"/>
        </w:tabs>
        <w:ind w:left="1080" w:hanging="360"/>
      </w:pPr>
    </w:lvl>
    <w:lvl w:ilvl="2" w:tplc="2B9EB966" w:tentative="1">
      <w:start w:val="1"/>
      <w:numFmt w:val="lowerRoman"/>
      <w:lvlText w:val="%3."/>
      <w:lvlJc w:val="right"/>
      <w:pPr>
        <w:tabs>
          <w:tab w:val="num" w:pos="1800"/>
        </w:tabs>
        <w:ind w:left="1800" w:hanging="180"/>
      </w:pPr>
    </w:lvl>
    <w:lvl w:ilvl="3" w:tplc="03507B1C" w:tentative="1">
      <w:start w:val="1"/>
      <w:numFmt w:val="decimal"/>
      <w:lvlText w:val="%4."/>
      <w:lvlJc w:val="left"/>
      <w:pPr>
        <w:tabs>
          <w:tab w:val="num" w:pos="2520"/>
        </w:tabs>
        <w:ind w:left="2520" w:hanging="360"/>
      </w:pPr>
    </w:lvl>
    <w:lvl w:ilvl="4" w:tplc="756AFA38" w:tentative="1">
      <w:start w:val="1"/>
      <w:numFmt w:val="lowerLetter"/>
      <w:lvlText w:val="%5."/>
      <w:lvlJc w:val="left"/>
      <w:pPr>
        <w:tabs>
          <w:tab w:val="num" w:pos="3240"/>
        </w:tabs>
        <w:ind w:left="3240" w:hanging="360"/>
      </w:pPr>
    </w:lvl>
    <w:lvl w:ilvl="5" w:tplc="DECE11CA" w:tentative="1">
      <w:start w:val="1"/>
      <w:numFmt w:val="lowerRoman"/>
      <w:lvlText w:val="%6."/>
      <w:lvlJc w:val="right"/>
      <w:pPr>
        <w:tabs>
          <w:tab w:val="num" w:pos="3960"/>
        </w:tabs>
        <w:ind w:left="3960" w:hanging="180"/>
      </w:pPr>
    </w:lvl>
    <w:lvl w:ilvl="6" w:tplc="EEA4BDDE" w:tentative="1">
      <w:start w:val="1"/>
      <w:numFmt w:val="decimal"/>
      <w:lvlText w:val="%7."/>
      <w:lvlJc w:val="left"/>
      <w:pPr>
        <w:tabs>
          <w:tab w:val="num" w:pos="4680"/>
        </w:tabs>
        <w:ind w:left="4680" w:hanging="360"/>
      </w:pPr>
    </w:lvl>
    <w:lvl w:ilvl="7" w:tplc="8A426E68" w:tentative="1">
      <w:start w:val="1"/>
      <w:numFmt w:val="lowerLetter"/>
      <w:lvlText w:val="%8."/>
      <w:lvlJc w:val="left"/>
      <w:pPr>
        <w:tabs>
          <w:tab w:val="num" w:pos="5400"/>
        </w:tabs>
        <w:ind w:left="5400" w:hanging="360"/>
      </w:pPr>
    </w:lvl>
    <w:lvl w:ilvl="8" w:tplc="1DA490F6" w:tentative="1">
      <w:start w:val="1"/>
      <w:numFmt w:val="lowerRoman"/>
      <w:lvlText w:val="%9."/>
      <w:lvlJc w:val="right"/>
      <w:pPr>
        <w:tabs>
          <w:tab w:val="num" w:pos="6120"/>
        </w:tabs>
        <w:ind w:left="6120" w:hanging="180"/>
      </w:pPr>
    </w:lvl>
  </w:abstractNum>
  <w:abstractNum w:abstractNumId="13" w15:restartNumberingAfterBreak="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4"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15"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16" w15:restartNumberingAfterBreak="0">
    <w:nsid w:val="69E95A54"/>
    <w:multiLevelType w:val="hybridMultilevel"/>
    <w:tmpl w:val="3C18EFB0"/>
    <w:lvl w:ilvl="0" w:tplc="02826D6A">
      <w:start w:val="1"/>
      <w:numFmt w:val="bullet"/>
      <w:lvlText w:val=""/>
      <w:lvlJc w:val="left"/>
      <w:pPr>
        <w:tabs>
          <w:tab w:val="num" w:pos="397"/>
        </w:tabs>
        <w:ind w:left="397" w:hanging="397"/>
      </w:pPr>
      <w:rPr>
        <w:rFonts w:ascii="Symbol" w:hAnsi="Symbol" w:hint="default"/>
      </w:rPr>
    </w:lvl>
    <w:lvl w:ilvl="1" w:tplc="E7147BFC" w:tentative="1">
      <w:start w:val="1"/>
      <w:numFmt w:val="bullet"/>
      <w:lvlText w:val="o"/>
      <w:lvlJc w:val="left"/>
      <w:pPr>
        <w:tabs>
          <w:tab w:val="num" w:pos="1440"/>
        </w:tabs>
        <w:ind w:left="1440" w:hanging="360"/>
      </w:pPr>
      <w:rPr>
        <w:rFonts w:ascii="Courier New" w:hAnsi="Courier New" w:cs="Courier New" w:hint="default"/>
      </w:rPr>
    </w:lvl>
    <w:lvl w:ilvl="2" w:tplc="D9563CA6" w:tentative="1">
      <w:start w:val="1"/>
      <w:numFmt w:val="bullet"/>
      <w:lvlText w:val=""/>
      <w:lvlJc w:val="left"/>
      <w:pPr>
        <w:tabs>
          <w:tab w:val="num" w:pos="2160"/>
        </w:tabs>
        <w:ind w:left="2160" w:hanging="360"/>
      </w:pPr>
      <w:rPr>
        <w:rFonts w:ascii="Wingdings" w:hAnsi="Wingdings" w:hint="default"/>
      </w:rPr>
    </w:lvl>
    <w:lvl w:ilvl="3" w:tplc="3E5A4D64" w:tentative="1">
      <w:start w:val="1"/>
      <w:numFmt w:val="bullet"/>
      <w:lvlText w:val=""/>
      <w:lvlJc w:val="left"/>
      <w:pPr>
        <w:tabs>
          <w:tab w:val="num" w:pos="2880"/>
        </w:tabs>
        <w:ind w:left="2880" w:hanging="360"/>
      </w:pPr>
      <w:rPr>
        <w:rFonts w:ascii="Symbol" w:hAnsi="Symbol" w:hint="default"/>
      </w:rPr>
    </w:lvl>
    <w:lvl w:ilvl="4" w:tplc="4AF026B8" w:tentative="1">
      <w:start w:val="1"/>
      <w:numFmt w:val="bullet"/>
      <w:lvlText w:val="o"/>
      <w:lvlJc w:val="left"/>
      <w:pPr>
        <w:tabs>
          <w:tab w:val="num" w:pos="3600"/>
        </w:tabs>
        <w:ind w:left="3600" w:hanging="360"/>
      </w:pPr>
      <w:rPr>
        <w:rFonts w:ascii="Courier New" w:hAnsi="Courier New" w:cs="Courier New" w:hint="default"/>
      </w:rPr>
    </w:lvl>
    <w:lvl w:ilvl="5" w:tplc="B55E83A8" w:tentative="1">
      <w:start w:val="1"/>
      <w:numFmt w:val="bullet"/>
      <w:lvlText w:val=""/>
      <w:lvlJc w:val="left"/>
      <w:pPr>
        <w:tabs>
          <w:tab w:val="num" w:pos="4320"/>
        </w:tabs>
        <w:ind w:left="4320" w:hanging="360"/>
      </w:pPr>
      <w:rPr>
        <w:rFonts w:ascii="Wingdings" w:hAnsi="Wingdings" w:hint="default"/>
      </w:rPr>
    </w:lvl>
    <w:lvl w:ilvl="6" w:tplc="40FA1026" w:tentative="1">
      <w:start w:val="1"/>
      <w:numFmt w:val="bullet"/>
      <w:lvlText w:val=""/>
      <w:lvlJc w:val="left"/>
      <w:pPr>
        <w:tabs>
          <w:tab w:val="num" w:pos="5040"/>
        </w:tabs>
        <w:ind w:left="5040" w:hanging="360"/>
      </w:pPr>
      <w:rPr>
        <w:rFonts w:ascii="Symbol" w:hAnsi="Symbol" w:hint="default"/>
      </w:rPr>
    </w:lvl>
    <w:lvl w:ilvl="7" w:tplc="CAB048C6" w:tentative="1">
      <w:start w:val="1"/>
      <w:numFmt w:val="bullet"/>
      <w:lvlText w:val="o"/>
      <w:lvlJc w:val="left"/>
      <w:pPr>
        <w:tabs>
          <w:tab w:val="num" w:pos="5760"/>
        </w:tabs>
        <w:ind w:left="5760" w:hanging="360"/>
      </w:pPr>
      <w:rPr>
        <w:rFonts w:ascii="Courier New" w:hAnsi="Courier New" w:cs="Courier New" w:hint="default"/>
      </w:rPr>
    </w:lvl>
    <w:lvl w:ilvl="8" w:tplc="570CC92A"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19" w15:restartNumberingAfterBreak="0">
    <w:nsid w:val="6F9337D0"/>
    <w:multiLevelType w:val="hybridMultilevel"/>
    <w:tmpl w:val="B6C885E6"/>
    <w:lvl w:ilvl="0" w:tplc="DE0E4526">
      <w:start w:val="1"/>
      <w:numFmt w:val="bullet"/>
      <w:lvlText w:val=""/>
      <w:lvlJc w:val="left"/>
      <w:pPr>
        <w:tabs>
          <w:tab w:val="num" w:pos="720"/>
        </w:tabs>
        <w:ind w:left="720" w:hanging="360"/>
      </w:pPr>
      <w:rPr>
        <w:rFonts w:ascii="Symbol" w:hAnsi="Symbol" w:hint="default"/>
      </w:rPr>
    </w:lvl>
    <w:lvl w:ilvl="1" w:tplc="4246C2A6" w:tentative="1">
      <w:start w:val="1"/>
      <w:numFmt w:val="bullet"/>
      <w:lvlText w:val="o"/>
      <w:lvlJc w:val="left"/>
      <w:pPr>
        <w:tabs>
          <w:tab w:val="num" w:pos="1440"/>
        </w:tabs>
        <w:ind w:left="1440" w:hanging="360"/>
      </w:pPr>
      <w:rPr>
        <w:rFonts w:ascii="Courier New" w:hAnsi="Courier New" w:cs="Courier New" w:hint="default"/>
      </w:rPr>
    </w:lvl>
    <w:lvl w:ilvl="2" w:tplc="F556953C" w:tentative="1">
      <w:start w:val="1"/>
      <w:numFmt w:val="bullet"/>
      <w:lvlText w:val=""/>
      <w:lvlJc w:val="left"/>
      <w:pPr>
        <w:tabs>
          <w:tab w:val="num" w:pos="2160"/>
        </w:tabs>
        <w:ind w:left="2160" w:hanging="360"/>
      </w:pPr>
      <w:rPr>
        <w:rFonts w:ascii="Wingdings" w:hAnsi="Wingdings" w:hint="default"/>
      </w:rPr>
    </w:lvl>
    <w:lvl w:ilvl="3" w:tplc="C5446F00" w:tentative="1">
      <w:start w:val="1"/>
      <w:numFmt w:val="bullet"/>
      <w:lvlText w:val=""/>
      <w:lvlJc w:val="left"/>
      <w:pPr>
        <w:tabs>
          <w:tab w:val="num" w:pos="2880"/>
        </w:tabs>
        <w:ind w:left="2880" w:hanging="360"/>
      </w:pPr>
      <w:rPr>
        <w:rFonts w:ascii="Symbol" w:hAnsi="Symbol" w:hint="default"/>
      </w:rPr>
    </w:lvl>
    <w:lvl w:ilvl="4" w:tplc="AAEA799E" w:tentative="1">
      <w:start w:val="1"/>
      <w:numFmt w:val="bullet"/>
      <w:lvlText w:val="o"/>
      <w:lvlJc w:val="left"/>
      <w:pPr>
        <w:tabs>
          <w:tab w:val="num" w:pos="3600"/>
        </w:tabs>
        <w:ind w:left="3600" w:hanging="360"/>
      </w:pPr>
      <w:rPr>
        <w:rFonts w:ascii="Courier New" w:hAnsi="Courier New" w:cs="Courier New" w:hint="default"/>
      </w:rPr>
    </w:lvl>
    <w:lvl w:ilvl="5" w:tplc="366ACEE6" w:tentative="1">
      <w:start w:val="1"/>
      <w:numFmt w:val="bullet"/>
      <w:lvlText w:val=""/>
      <w:lvlJc w:val="left"/>
      <w:pPr>
        <w:tabs>
          <w:tab w:val="num" w:pos="4320"/>
        </w:tabs>
        <w:ind w:left="4320" w:hanging="360"/>
      </w:pPr>
      <w:rPr>
        <w:rFonts w:ascii="Wingdings" w:hAnsi="Wingdings" w:hint="default"/>
      </w:rPr>
    </w:lvl>
    <w:lvl w:ilvl="6" w:tplc="C6E8638C" w:tentative="1">
      <w:start w:val="1"/>
      <w:numFmt w:val="bullet"/>
      <w:lvlText w:val=""/>
      <w:lvlJc w:val="left"/>
      <w:pPr>
        <w:tabs>
          <w:tab w:val="num" w:pos="5040"/>
        </w:tabs>
        <w:ind w:left="5040" w:hanging="360"/>
      </w:pPr>
      <w:rPr>
        <w:rFonts w:ascii="Symbol" w:hAnsi="Symbol" w:hint="default"/>
      </w:rPr>
    </w:lvl>
    <w:lvl w:ilvl="7" w:tplc="85E62980" w:tentative="1">
      <w:start w:val="1"/>
      <w:numFmt w:val="bullet"/>
      <w:lvlText w:val="o"/>
      <w:lvlJc w:val="left"/>
      <w:pPr>
        <w:tabs>
          <w:tab w:val="num" w:pos="5760"/>
        </w:tabs>
        <w:ind w:left="5760" w:hanging="360"/>
      </w:pPr>
      <w:rPr>
        <w:rFonts w:ascii="Courier New" w:hAnsi="Courier New" w:cs="Courier New" w:hint="default"/>
      </w:rPr>
    </w:lvl>
    <w:lvl w:ilvl="8" w:tplc="858A8456"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2AB50F1"/>
    <w:multiLevelType w:val="hybridMultilevel"/>
    <w:tmpl w:val="64CEA6CC"/>
    <w:lvl w:ilvl="0" w:tplc="83A49770">
      <w:start w:val="1"/>
      <w:numFmt w:val="decimal"/>
      <w:lvlText w:val="%1)"/>
      <w:lvlJc w:val="left"/>
      <w:pPr>
        <w:ind w:left="720" w:hanging="360"/>
      </w:pPr>
      <w:rPr>
        <w:rFonts w:hint="default"/>
      </w:rPr>
    </w:lvl>
    <w:lvl w:ilvl="1" w:tplc="1CCAF29E" w:tentative="1">
      <w:start w:val="1"/>
      <w:numFmt w:val="lowerLetter"/>
      <w:lvlText w:val="%2."/>
      <w:lvlJc w:val="left"/>
      <w:pPr>
        <w:ind w:left="1440" w:hanging="360"/>
      </w:pPr>
    </w:lvl>
    <w:lvl w:ilvl="2" w:tplc="30383A04" w:tentative="1">
      <w:start w:val="1"/>
      <w:numFmt w:val="lowerRoman"/>
      <w:lvlText w:val="%3."/>
      <w:lvlJc w:val="right"/>
      <w:pPr>
        <w:ind w:left="2160" w:hanging="180"/>
      </w:pPr>
    </w:lvl>
    <w:lvl w:ilvl="3" w:tplc="372E571C" w:tentative="1">
      <w:start w:val="1"/>
      <w:numFmt w:val="decimal"/>
      <w:lvlText w:val="%4."/>
      <w:lvlJc w:val="left"/>
      <w:pPr>
        <w:ind w:left="2880" w:hanging="360"/>
      </w:pPr>
    </w:lvl>
    <w:lvl w:ilvl="4" w:tplc="32160774" w:tentative="1">
      <w:start w:val="1"/>
      <w:numFmt w:val="lowerLetter"/>
      <w:lvlText w:val="%5."/>
      <w:lvlJc w:val="left"/>
      <w:pPr>
        <w:ind w:left="3600" w:hanging="360"/>
      </w:pPr>
    </w:lvl>
    <w:lvl w:ilvl="5" w:tplc="4B08026A" w:tentative="1">
      <w:start w:val="1"/>
      <w:numFmt w:val="lowerRoman"/>
      <w:lvlText w:val="%6."/>
      <w:lvlJc w:val="right"/>
      <w:pPr>
        <w:ind w:left="4320" w:hanging="180"/>
      </w:pPr>
    </w:lvl>
    <w:lvl w:ilvl="6" w:tplc="1C403200" w:tentative="1">
      <w:start w:val="1"/>
      <w:numFmt w:val="decimal"/>
      <w:lvlText w:val="%7."/>
      <w:lvlJc w:val="left"/>
      <w:pPr>
        <w:ind w:left="5040" w:hanging="360"/>
      </w:pPr>
    </w:lvl>
    <w:lvl w:ilvl="7" w:tplc="983A684A" w:tentative="1">
      <w:start w:val="1"/>
      <w:numFmt w:val="lowerLetter"/>
      <w:lvlText w:val="%8."/>
      <w:lvlJc w:val="left"/>
      <w:pPr>
        <w:ind w:left="5760" w:hanging="360"/>
      </w:pPr>
    </w:lvl>
    <w:lvl w:ilvl="8" w:tplc="69C4EE52" w:tentative="1">
      <w:start w:val="1"/>
      <w:numFmt w:val="lowerRoman"/>
      <w:lvlText w:val="%9."/>
      <w:lvlJc w:val="right"/>
      <w:pPr>
        <w:ind w:left="6480" w:hanging="180"/>
      </w:pPr>
    </w:lvl>
  </w:abstractNum>
  <w:abstractNum w:abstractNumId="21"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2"/>
  </w:num>
  <w:num w:numId="2">
    <w:abstractNumId w:val="14"/>
  </w:num>
  <w:num w:numId="3">
    <w:abstractNumId w:val="0"/>
    <w:lvlOverride w:ilvl="0">
      <w:lvl w:ilvl="0">
        <w:start w:val="1"/>
        <w:numFmt w:val="bullet"/>
        <w:lvlText w:val="-"/>
        <w:legacy w:legacy="1" w:legacySpace="0" w:legacyIndent="360"/>
        <w:lvlJc w:val="left"/>
        <w:pPr>
          <w:ind w:left="360" w:hanging="360"/>
        </w:pPr>
      </w:lvl>
    </w:lvlOverride>
  </w:num>
  <w:num w:numId="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15"/>
  </w:num>
  <w:num w:numId="6">
    <w:abstractNumId w:val="12"/>
  </w:num>
  <w:num w:numId="7">
    <w:abstractNumId w:val="6"/>
  </w:num>
  <w:num w:numId="8">
    <w:abstractNumId w:val="8"/>
  </w:num>
  <w:num w:numId="9">
    <w:abstractNumId w:val="20"/>
  </w:num>
  <w:num w:numId="10">
    <w:abstractNumId w:val="1"/>
  </w:num>
  <w:num w:numId="11">
    <w:abstractNumId w:val="17"/>
  </w:num>
  <w:num w:numId="12">
    <w:abstractNumId w:val="7"/>
  </w:num>
  <w:num w:numId="13">
    <w:abstractNumId w:val="4"/>
  </w:num>
  <w:num w:numId="14">
    <w:abstractNumId w:val="3"/>
  </w:num>
  <w:num w:numId="15">
    <w:abstractNumId w:val="0"/>
    <w:lvlOverride w:ilvl="0">
      <w:lvl w:ilvl="0">
        <w:start w:val="1"/>
        <w:numFmt w:val="bullet"/>
        <w:lvlText w:val="-"/>
        <w:legacy w:legacy="1" w:legacySpace="0" w:legacyIndent="360"/>
        <w:lvlJc w:val="left"/>
        <w:pPr>
          <w:ind w:left="360" w:hanging="360"/>
        </w:pPr>
      </w:lvl>
    </w:lvlOverride>
  </w:num>
  <w:num w:numId="16">
    <w:abstractNumId w:val="18"/>
  </w:num>
  <w:num w:numId="17">
    <w:abstractNumId w:val="9"/>
  </w:num>
  <w:num w:numId="18">
    <w:abstractNumId w:val="11"/>
  </w:num>
  <w:num w:numId="19">
    <w:abstractNumId w:val="21"/>
  </w:num>
  <w:num w:numId="20">
    <w:abstractNumId w:val="13"/>
  </w:num>
  <w:num w:numId="21">
    <w:abstractNumId w:val="19"/>
  </w:num>
  <w:num w:numId="22">
    <w:abstractNumId w:val="16"/>
  </w:num>
  <w:num w:numId="23">
    <w:abstractNumId w:val="5"/>
  </w:num>
  <w:num w:numId="24">
    <w:abstractNumId w:val="19"/>
  </w:num>
  <w:num w:numId="25">
    <w:abstractNumId w:val="3"/>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it-IT" w:vendorID="64" w:dllVersion="6" w:nlCheck="1" w:checkStyle="0"/>
  <w:activeWritingStyle w:appName="MSWord" w:lang="en-GB" w:vendorID="64" w:dllVersion="6" w:nlCheck="1" w:checkStyle="0"/>
  <w:activeWritingStyle w:appName="MSWord" w:lang="es-ES" w:vendorID="64" w:dllVersion="6" w:nlCheck="1" w:checkStyle="0"/>
  <w:activeWritingStyle w:appName="MSWord" w:lang="en-GB" w:vendorID="64" w:dllVersion="4096" w:nlCheck="1" w:checkStyle="0"/>
  <w:activeWritingStyle w:appName="MSWord" w:lang="it-IT" w:vendorID="64" w:dllVersion="4096" w:nlCheck="1" w:checkStyle="0"/>
  <w:activeWritingStyle w:appName="MSWord" w:lang="es-ES" w:vendorID="64" w:dllVersion="4096" w:nlCheck="1" w:checkStyle="0"/>
  <w:activeWritingStyle w:appName="MSWord" w:lang="de-AT" w:vendorID="64" w:dllVersion="6" w:nlCheck="1" w:checkStyle="0"/>
  <w:activeWritingStyle w:appName="MSWord" w:lang="en-US" w:vendorID="64" w:dllVersion="6" w:nlCheck="1" w:checkStyle="1"/>
  <w:activeWritingStyle w:appName="MSWord" w:lang="en-US" w:vendorID="64" w:dllVersion="4096" w:nlCheck="1" w:checkStyle="0"/>
  <w:activeWritingStyle w:appName="MSWord" w:lang="de-AT" w:vendorID="64" w:dllVersion="4096" w:nlCheck="1" w:checkStyle="0"/>
  <w:activeWritingStyle w:appName="MSWord" w:lang="en-GB" w:vendorID="64" w:dllVersion="131078" w:nlCheck="1" w:checkStyle="1"/>
  <w:activeWritingStyle w:appName="MSWord" w:lang="en-US" w:vendorID="64" w:dllVersion="131078" w:nlCheck="1" w:checkStyle="1"/>
  <w:activeWritingStyle w:appName="MSWord" w:lang="es-ES" w:vendorID="64" w:dllVersion="131078"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gistered" w:val="-1"/>
    <w:docVar w:name="Version" w:val="0"/>
  </w:docVars>
  <w:rsids>
    <w:rsidRoot w:val="00EA43CD"/>
    <w:rsid w:val="002B696B"/>
    <w:rsid w:val="00363F35"/>
    <w:rsid w:val="004F6432"/>
    <w:rsid w:val="00EA43CD"/>
    <w:rsid w:val="00EF29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281918"/>
  <w15:docId w15:val="{7CD070D8-7EC9-4FE0-9277-7C5BB5B50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tabs>
        <w:tab w:val="left" w:pos="567"/>
      </w:tabs>
      <w:spacing w:line="260" w:lineRule="exact"/>
    </w:pPr>
    <w:rPr>
      <w:rFonts w:eastAsia="Times New Roman"/>
      <w:sz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536"/>
        <w:tab w:val="right" w:pos="8306"/>
      </w:tabs>
    </w:pPr>
    <w:rPr>
      <w:rFonts w:ascii="Arial" w:hAnsi="Arial"/>
      <w:noProof/>
      <w:sz w:val="16"/>
    </w:rPr>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Char"/>
    <w:basedOn w:val="Normal"/>
    <w:link w:val="HeaderChar"/>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style>
  <w:style w:type="paragraph" w:styleId="BodyText">
    <w:name w:val="Body Text"/>
    <w:basedOn w:val="Normal"/>
    <w:pPr>
      <w:tabs>
        <w:tab w:val="clear" w:pos="567"/>
      </w:tabs>
      <w:spacing w:line="240" w:lineRule="auto"/>
    </w:pPr>
    <w:rPr>
      <w:i/>
      <w:color w:val="008000"/>
    </w:rPr>
  </w:style>
  <w:style w:type="paragraph" w:styleId="CommentText">
    <w:name w:val="annotation text"/>
    <w:basedOn w:val="Normal"/>
    <w:link w:val="CommentTextChar"/>
    <w:semiHidden/>
    <w:rPr>
      <w:sz w:val="20"/>
    </w:rPr>
  </w:style>
  <w:style w:type="character" w:styleId="Hyperlink">
    <w:name w:val="Hyperlink"/>
    <w:rPr>
      <w:color w:val="0000FF"/>
      <w:u w:val="single"/>
    </w:rPr>
  </w:style>
  <w:style w:type="paragraph" w:customStyle="1" w:styleId="EMEAEnBodyText">
    <w:name w:val="EMEA En Body Text"/>
    <w:basedOn w:val="Normal"/>
    <w:pPr>
      <w:tabs>
        <w:tab w:val="clear" w:pos="567"/>
      </w:tabs>
      <w:spacing w:before="120" w:after="120" w:line="240" w:lineRule="auto"/>
      <w:jc w:val="both"/>
    </w:pPr>
    <w:rPr>
      <w:lang w:val="en-US"/>
    </w:rPr>
  </w:style>
  <w:style w:type="paragraph" w:styleId="BalloonText">
    <w:name w:val="Balloon Text"/>
    <w:basedOn w:val="Normal"/>
    <w:semiHidden/>
    <w:rPr>
      <w:rFonts w:ascii="Tahoma" w:hAnsi="Tahoma" w:cs="Tahoma"/>
      <w:sz w:val="16"/>
      <w:szCs w:val="16"/>
    </w:rPr>
  </w:style>
  <w:style w:type="paragraph" w:customStyle="1" w:styleId="BodytextAgency">
    <w:name w:val="Body text (Agency)"/>
    <w:basedOn w:val="Normal"/>
    <w:link w:val="BodytextAgencyChar"/>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link w:val="DraftingNotesAgencyChar"/>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Pr>
      <w:rFonts w:ascii="Courier New" w:eastAsia="Verdana" w:hAnsi="Courier New"/>
      <w:i/>
      <w:color w:val="339966"/>
      <w:sz w:val="22"/>
      <w:szCs w:val="18"/>
      <w:lang w:val="en-GB" w:eastAsia="en-GB" w:bidi="ar-SA"/>
    </w:rPr>
  </w:style>
  <w:style w:type="paragraph" w:customStyle="1" w:styleId="NormalAgency">
    <w:name w:val="Normal (Agency)"/>
    <w:link w:val="NormalAgencyChar"/>
    <w:rPr>
      <w:rFonts w:ascii="Verdana" w:eastAsia="Verdana" w:hAnsi="Verdana" w:cs="Verdana"/>
      <w:sz w:val="18"/>
      <w:szCs w:val="18"/>
      <w:lang w:val="en-GB" w:eastAsia="en-GB"/>
    </w:rPr>
  </w:style>
  <w:style w:type="table" w:customStyle="1" w:styleId="TablegridAgencyblack">
    <w:name w:val="Table grid (Agency) black"/>
    <w:basedOn w:val="TableNormal"/>
    <w:semiHidden/>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pPr>
      <w:keepNext/>
    </w:pPr>
    <w:rPr>
      <w:rFonts w:eastAsia="Times New Roman"/>
      <w:b/>
    </w:rPr>
  </w:style>
  <w:style w:type="paragraph" w:customStyle="1" w:styleId="TabletextrowsAgency">
    <w:name w:val="Table text rows (Agency)"/>
    <w:basedOn w:val="Normal"/>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Pr>
      <w:rFonts w:ascii="Verdana" w:eastAsia="Verdana" w:hAnsi="Verdana" w:cs="Verdana"/>
      <w:sz w:val="18"/>
      <w:szCs w:val="18"/>
      <w:lang w:val="en-GB" w:eastAsia="en-GB" w:bidi="ar-SA"/>
    </w:rPr>
  </w:style>
  <w:style w:type="character" w:styleId="CommentReference">
    <w:name w:val="annotation reference"/>
    <w:rPr>
      <w:sz w:val="16"/>
      <w:szCs w:val="16"/>
    </w:rPr>
  </w:style>
  <w:style w:type="paragraph" w:styleId="CommentSubject">
    <w:name w:val="annotation subject"/>
    <w:basedOn w:val="CommentText"/>
    <w:next w:val="CommentText"/>
    <w:link w:val="CommentSubjectChar"/>
    <w:rPr>
      <w:b/>
      <w:bCs/>
    </w:rPr>
  </w:style>
  <w:style w:type="character" w:customStyle="1" w:styleId="CommentTextChar">
    <w:name w:val="Comment Text Char"/>
    <w:link w:val="CommentText"/>
    <w:semiHidden/>
    <w:rPr>
      <w:rFonts w:eastAsia="Times New Roman"/>
      <w:lang w:eastAsia="en-US"/>
    </w:rPr>
  </w:style>
  <w:style w:type="character" w:customStyle="1" w:styleId="CommentSubjectChar">
    <w:name w:val="Comment Subject Char"/>
    <w:link w:val="CommentSubject"/>
    <w:rPr>
      <w:rFonts w:eastAsia="Times New Roman"/>
      <w:b/>
      <w:bCs/>
      <w:lang w:eastAsia="en-US"/>
    </w:rPr>
  </w:style>
  <w:style w:type="paragraph" w:styleId="Revision">
    <w:name w:val="Revision"/>
    <w:hidden/>
    <w:uiPriority w:val="99"/>
    <w:semiHidden/>
    <w:rPr>
      <w:rFonts w:eastAsia="Times New Roman"/>
      <w:sz w:val="22"/>
      <w:lang w:val="en-GB" w:eastAsia="en-US"/>
    </w:rPr>
  </w:style>
  <w:style w:type="character" w:customStyle="1" w:styleId="HeaderChar">
    <w:name w:val="Header Char"/>
    <w:aliases w:val="Header Char1 Char,Header Char Char Char,Header Char1 Char Char Char,Header Char Char Char Char Char,Char Char Char Char Char Char,Char Char1 Char Char Char,Char Char Char Char,Char Char1 Char,Header Char1 Char Char Char Char Char,Char Char"/>
    <w:link w:val="Header"/>
    <w:rPr>
      <w:rFonts w:ascii="Arial" w:eastAsia="Times New Roman" w:hAnsi="Arial"/>
      <w:lang w:eastAsia="en-US"/>
    </w:rPr>
  </w:style>
  <w:style w:type="paragraph" w:customStyle="1" w:styleId="Default">
    <w:name w:val="Default"/>
    <w:pPr>
      <w:autoSpaceDE w:val="0"/>
      <w:autoSpaceDN w:val="0"/>
      <w:adjustRightInd w:val="0"/>
    </w:pPr>
    <w:rPr>
      <w:rFonts w:eastAsia="Times New Roman"/>
      <w:color w:val="000000"/>
      <w:sz w:val="24"/>
      <w:szCs w:val="24"/>
    </w:rPr>
  </w:style>
  <w:style w:type="paragraph" w:styleId="NoSpacing">
    <w:name w:val="No Spacing"/>
    <w:uiPriority w:val="1"/>
    <w:qFormat/>
    <w:rPr>
      <w:rFonts w:eastAsia="Times New Roman"/>
      <w:sz w:val="24"/>
      <w:szCs w:val="24"/>
      <w:lang w:val="en-US" w:eastAsia="en-US"/>
    </w:rPr>
  </w:style>
  <w:style w:type="character" w:customStyle="1" w:styleId="FooterChar">
    <w:name w:val="Footer Char"/>
    <w:basedOn w:val="DefaultParagraphFont"/>
    <w:link w:val="Footer"/>
    <w:rPr>
      <w:rFonts w:ascii="Arial" w:eastAsia="Times New Roman" w:hAnsi="Arial"/>
      <w:noProof/>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61230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rimaryreporting.who-umc.org/M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0A347FE5-CD0D-4B6A-B73D-6B9F46475B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17</Pages>
  <Words>8495</Words>
  <Characters>48424</Characters>
  <Application>Microsoft Office Word</Application>
  <DocSecurity>0</DocSecurity>
  <Lines>403</Lines>
  <Paragraphs>113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56806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Jasmina Krlić</dc:creator>
  <cp:lastModifiedBy>Tamara Nikezić</cp:lastModifiedBy>
  <cp:revision>13</cp:revision>
  <dcterms:created xsi:type="dcterms:W3CDTF">2024-01-23T13:42:00Z</dcterms:created>
  <dcterms:modified xsi:type="dcterms:W3CDTF">2024-10-22T08:48:00Z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
  </property>
  <property fmtid="{D5CDD505-2E9C-101B-9397-08002B2CF9AE}" pid="3" name="DM_Author">
    <vt:lpwstr/>
  </property>
  <property fmtid="{D5CDD505-2E9C-101B-9397-08002B2CF9AE}" pid="4" name="DM_Authors">
    <vt:lpwstr/>
  </property>
  <property fmtid="{D5CDD505-2E9C-101B-9397-08002B2CF9AE}" pid="5" name="DM_Category">
    <vt:lpwstr/>
  </property>
  <property fmtid="{D5CDD505-2E9C-101B-9397-08002B2CF9AE}" pid="6" name="DM_Creation_Date">
    <vt:lpwstr/>
  </property>
  <property fmtid="{D5CDD505-2E9C-101B-9397-08002B2CF9AE}" pid="7" name="DM_Creator_Name">
    <vt:lpwstr/>
  </property>
  <property fmtid="{D5CDD505-2E9C-101B-9397-08002B2CF9AE}" pid="8" name="DM_DocRefId">
    <vt:lpwstr/>
  </property>
  <property fmtid="{D5CDD505-2E9C-101B-9397-08002B2CF9AE}" pid="9" name="DM_emea_bcc">
    <vt:lpwstr/>
  </property>
  <property fmtid="{D5CDD505-2E9C-101B-9397-08002B2CF9AE}" pid="10" name="DM_emea_cc">
    <vt:lpwstr/>
  </property>
  <property fmtid="{D5CDD505-2E9C-101B-9397-08002B2CF9AE}" pid="11" name="DM_emea_doc_category">
    <vt:lpwstr/>
  </property>
  <property fmtid="{D5CDD505-2E9C-101B-9397-08002B2CF9AE}" pid="12" name="DM_emea_doc_lang">
    <vt:lpwstr/>
  </property>
  <property fmtid="{D5CDD505-2E9C-101B-9397-08002B2CF9AE}" pid="13" name="DM_emea_doc_number">
    <vt:lpwstr/>
  </property>
  <property fmtid="{D5CDD505-2E9C-101B-9397-08002B2CF9AE}" pid="14" name="DM_emea_doc_ref_id">
    <vt:lpwstr/>
  </property>
  <property fmtid="{D5CDD505-2E9C-101B-9397-08002B2CF9AE}" pid="15" name="DM_emea_from">
    <vt:lpwstr/>
  </property>
  <property fmtid="{D5CDD505-2E9C-101B-9397-08002B2CF9AE}" pid="16" name="DM_emea_internal_label">
    <vt:lpwstr/>
  </property>
  <property fmtid="{D5CDD505-2E9C-101B-9397-08002B2CF9AE}" pid="17" name="DM_emea_legal_date">
    <vt:lpwstr/>
  </property>
  <property fmtid="{D5CDD505-2E9C-101B-9397-08002B2CF9AE}" pid="18" name="DM_emea_meeting_action">
    <vt:lpwstr/>
  </property>
  <property fmtid="{D5CDD505-2E9C-101B-9397-08002B2CF9AE}" pid="19" name="DM_emea_meeting_flags">
    <vt:lpwstr/>
  </property>
  <property fmtid="{D5CDD505-2E9C-101B-9397-08002B2CF9AE}" pid="20" name="DM_emea_meeting_hyperlink">
    <vt:lpwstr/>
  </property>
  <property fmtid="{D5CDD505-2E9C-101B-9397-08002B2CF9AE}" pid="21" name="DM_emea_meeting_ref">
    <vt:lpwstr/>
  </property>
  <property fmtid="{D5CDD505-2E9C-101B-9397-08002B2CF9AE}" pid="22" name="DM_emea_meeting_status">
    <vt:lpwstr/>
  </property>
  <property fmtid="{D5CDD505-2E9C-101B-9397-08002B2CF9AE}" pid="23" name="DM_emea_meeting_title">
    <vt:lpwstr/>
  </property>
  <property fmtid="{D5CDD505-2E9C-101B-9397-08002B2CF9AE}" pid="24" name="DM_emea_message_subject">
    <vt:lpwstr/>
  </property>
  <property fmtid="{D5CDD505-2E9C-101B-9397-08002B2CF9AE}" pid="25" name="DM_emea_received_date">
    <vt:lpwstr/>
  </property>
  <property fmtid="{D5CDD505-2E9C-101B-9397-08002B2CF9AE}" pid="26" name="DM_emea_resp_body">
    <vt:lpwstr/>
  </property>
  <property fmtid="{D5CDD505-2E9C-101B-9397-08002B2CF9AE}" pid="27" name="DM_emea_revision_label">
    <vt:lpwstr/>
  </property>
  <property fmtid="{D5CDD505-2E9C-101B-9397-08002B2CF9AE}" pid="28" name="DM_emea_sent_date">
    <vt:lpwstr/>
  </property>
  <property fmtid="{D5CDD505-2E9C-101B-9397-08002B2CF9AE}" pid="29" name="DM_emea_to">
    <vt:lpwstr/>
  </property>
  <property fmtid="{D5CDD505-2E9C-101B-9397-08002B2CF9AE}" pid="30" name="DM_emea_year">
    <vt:lpwstr/>
  </property>
  <property fmtid="{D5CDD505-2E9C-101B-9397-08002B2CF9AE}" pid="31" name="DM_Keywords">
    <vt:lpwstr/>
  </property>
  <property fmtid="{D5CDD505-2E9C-101B-9397-08002B2CF9AE}" pid="32" name="DM_Language">
    <vt:lpwstr/>
  </property>
  <property fmtid="{D5CDD505-2E9C-101B-9397-08002B2CF9AE}" pid="33" name="DM_Modifer_Name">
    <vt:lpwstr/>
  </property>
  <property fmtid="{D5CDD505-2E9C-101B-9397-08002B2CF9AE}" pid="34" name="DM_Modified_Date">
    <vt:lpwstr/>
  </property>
  <property fmtid="{D5CDD505-2E9C-101B-9397-08002B2CF9AE}" pid="35" name="DM_Modifier_Name">
    <vt:lpwstr/>
  </property>
  <property fmtid="{D5CDD505-2E9C-101B-9397-08002B2CF9AE}" pid="36" name="DM_Modify_Date">
    <vt:lpwstr/>
  </property>
  <property fmtid="{D5CDD505-2E9C-101B-9397-08002B2CF9AE}" pid="37" name="DM_Name">
    <vt:lpwstr/>
  </property>
  <property fmtid="{D5CDD505-2E9C-101B-9397-08002B2CF9AE}" pid="38" name="DM_Owner">
    <vt:lpwstr/>
  </property>
  <property fmtid="{D5CDD505-2E9C-101B-9397-08002B2CF9AE}" pid="39" name="DM_Path">
    <vt:lpwstr/>
  </property>
  <property fmtid="{D5CDD505-2E9C-101B-9397-08002B2CF9AE}" pid="40" name="DM_Status">
    <vt:lpwstr/>
  </property>
  <property fmtid="{D5CDD505-2E9C-101B-9397-08002B2CF9AE}" pid="41" name="DM_Subject">
    <vt:lpwstr/>
  </property>
  <property fmtid="{D5CDD505-2E9C-101B-9397-08002B2CF9AE}" pid="42" name="DM_Title">
    <vt:lpwstr/>
  </property>
  <property fmtid="{D5CDD505-2E9C-101B-9397-08002B2CF9AE}" pid="43" name="DM_Type">
    <vt:lpwstr/>
  </property>
  <property fmtid="{D5CDD505-2E9C-101B-9397-08002B2CF9AE}" pid="44" name="DM_Version">
    <vt:lpwstr/>
  </property>
  <property fmtid="{D5CDD505-2E9C-101B-9397-08002B2CF9AE}" pid="45" name="MSIP_Label_0eea11ca-d417-4147-80ed-01a58412c458_ActionId">
    <vt:lpwstr/>
  </property>
  <property fmtid="{D5CDD505-2E9C-101B-9397-08002B2CF9AE}" pid="46" name="MSIP_Label_0eea11ca-d417-4147-80ed-01a58412c458_Application">
    <vt:lpwstr/>
  </property>
  <property fmtid="{D5CDD505-2E9C-101B-9397-08002B2CF9AE}" pid="47" name="MSIP_Label_0eea11ca-d417-4147-80ed-01a58412c458_Enabled">
    <vt:lpwstr/>
  </property>
  <property fmtid="{D5CDD505-2E9C-101B-9397-08002B2CF9AE}" pid="48" name="MSIP_Label_0eea11ca-d417-4147-80ed-01a58412c458_Extended_MSFT_Method">
    <vt:lpwstr/>
  </property>
  <property fmtid="{D5CDD505-2E9C-101B-9397-08002B2CF9AE}" pid="49" name="MSIP_Label_0eea11ca-d417-4147-80ed-01a58412c458_Name">
    <vt:lpwstr/>
  </property>
  <property fmtid="{D5CDD505-2E9C-101B-9397-08002B2CF9AE}" pid="50" name="MSIP_Label_0eea11ca-d417-4147-80ed-01a58412c458_Owner">
    <vt:lpwstr/>
  </property>
  <property fmtid="{D5CDD505-2E9C-101B-9397-08002B2CF9AE}" pid="51" name="MSIP_Label_0eea11ca-d417-4147-80ed-01a58412c458_Parent">
    <vt:lpwstr/>
  </property>
  <property fmtid="{D5CDD505-2E9C-101B-9397-08002B2CF9AE}" pid="52" name="MSIP_Label_0eea11ca-d417-4147-80ed-01a58412c458_SetDate">
    <vt:lpwstr/>
  </property>
  <property fmtid="{D5CDD505-2E9C-101B-9397-08002B2CF9AE}" pid="53" name="MSIP_Label_0eea11ca-d417-4147-80ed-01a58412c458_SiteId">
    <vt:lpwstr/>
  </property>
  <property fmtid="{D5CDD505-2E9C-101B-9397-08002B2CF9AE}" pid="54" name="MSIP_Label_afe1b31d-cec0-4074-b4bd-f07689e43d84_ActionId">
    <vt:lpwstr/>
  </property>
  <property fmtid="{D5CDD505-2E9C-101B-9397-08002B2CF9AE}" pid="55" name="MSIP_Label_afe1b31d-cec0-4074-b4bd-f07689e43d84_Application">
    <vt:lpwstr/>
  </property>
  <property fmtid="{D5CDD505-2E9C-101B-9397-08002B2CF9AE}" pid="56" name="MSIP_Label_afe1b31d-cec0-4074-b4bd-f07689e43d84_Enabled">
    <vt:lpwstr/>
  </property>
  <property fmtid="{D5CDD505-2E9C-101B-9397-08002B2CF9AE}" pid="57" name="MSIP_Label_afe1b31d-cec0-4074-b4bd-f07689e43d84_Extended_MSFT_Method">
    <vt:lpwstr/>
  </property>
  <property fmtid="{D5CDD505-2E9C-101B-9397-08002B2CF9AE}" pid="58" name="MSIP_Label_afe1b31d-cec0-4074-b4bd-f07689e43d84_Name">
    <vt:lpwstr/>
  </property>
  <property fmtid="{D5CDD505-2E9C-101B-9397-08002B2CF9AE}" pid="59" name="MSIP_Label_afe1b31d-cec0-4074-b4bd-f07689e43d84_Owner">
    <vt:lpwstr/>
  </property>
  <property fmtid="{D5CDD505-2E9C-101B-9397-08002B2CF9AE}" pid="60" name="MSIP_Label_afe1b31d-cec0-4074-b4bd-f07689e43d84_SetDate">
    <vt:lpwstr/>
  </property>
  <property fmtid="{D5CDD505-2E9C-101B-9397-08002B2CF9AE}" pid="61" name="MSIP_Label_afe1b31d-cec0-4074-b4bd-f07689e43d84_SiteId">
    <vt:lpwstr/>
  </property>
</Properties>
</file>