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EDFC9" w14:textId="77777777" w:rsidR="00812D16" w:rsidRPr="009C2C08" w:rsidRDefault="00812D16" w:rsidP="005A11C1">
      <w:pPr>
        <w:spacing w:line="240" w:lineRule="auto"/>
        <w:jc w:val="center"/>
        <w:outlineLvl w:val="0"/>
        <w:rPr>
          <w:u w:val="single"/>
          <w:lang w:val="hr-HR"/>
        </w:rPr>
      </w:pPr>
      <w:bookmarkStart w:id="0" w:name="_Hlk136870711"/>
      <w:bookmarkStart w:id="1" w:name="_GoBack"/>
      <w:bookmarkEnd w:id="0"/>
      <w:bookmarkEnd w:id="1"/>
      <w:r w:rsidRPr="009C2C08">
        <w:rPr>
          <w:b/>
          <w:u w:val="single"/>
          <w:lang w:val="hr-HR"/>
        </w:rPr>
        <w:t>SAŽETAK KARAKTERISTIKA LIJEKA</w:t>
      </w:r>
    </w:p>
    <w:p w14:paraId="07D07EFD" w14:textId="77777777" w:rsidR="005A11C1" w:rsidRPr="009C2C08" w:rsidRDefault="005A11C1" w:rsidP="004B1CF5">
      <w:pPr>
        <w:spacing w:line="240" w:lineRule="auto"/>
        <w:rPr>
          <w:color w:val="008000"/>
          <w:lang w:val="hr-HR"/>
        </w:rPr>
      </w:pPr>
    </w:p>
    <w:p w14:paraId="1BBEDFCC" w14:textId="3CC54ED3" w:rsidR="00033D26" w:rsidRPr="009C2C08" w:rsidRDefault="093218E2" w:rsidP="004B1CF5">
      <w:pPr>
        <w:spacing w:line="240" w:lineRule="auto"/>
        <w:rPr>
          <w:rStyle w:val="CommentReference"/>
          <w:lang w:val="hr-HR"/>
        </w:rPr>
      </w:pPr>
      <w:r w:rsidRPr="009C2C08">
        <w:rPr>
          <w:noProof/>
          <w:lang w:val="en-US"/>
        </w:rPr>
        <w:drawing>
          <wp:inline distT="0" distB="0" distL="0" distR="0" wp14:anchorId="22B32ADA" wp14:editId="7C9E0075">
            <wp:extent cx="196850" cy="158750"/>
            <wp:effectExtent l="0" t="0" r="0" b="0"/>
            <wp:docPr id="1750861305" name="Picture 1750861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0861305"/>
                    <pic:cNvPicPr/>
                  </pic:nvPicPr>
                  <pic:blipFill>
                    <a:blip r:embed="rId8">
                      <a:extLst>
                        <a:ext uri="{28A0092B-C50C-407E-A947-70E740481C1C}">
                          <a14:useLocalDpi xmlns:a14="http://schemas.microsoft.com/office/drawing/2010/main" val="0"/>
                        </a:ext>
                      </a:extLst>
                    </a:blip>
                    <a:stretch>
                      <a:fillRect/>
                    </a:stretch>
                  </pic:blipFill>
                  <pic:spPr>
                    <a:xfrm>
                      <a:off x="0" y="0"/>
                      <a:ext cx="196850" cy="158750"/>
                    </a:xfrm>
                    <a:prstGeom prst="rect">
                      <a:avLst/>
                    </a:prstGeom>
                  </pic:spPr>
                </pic:pic>
              </a:graphicData>
            </a:graphic>
          </wp:inline>
        </w:drawing>
      </w:r>
      <w:r w:rsidRPr="009C2C08">
        <w:rPr>
          <w:lang w:val="hr-HR"/>
        </w:rPr>
        <w:t xml:space="preserve">Ovaj lijek je pod dodatnim praćenjem. Time se omogućava brzo otkrivanje novih bezbjednosnih informacija. Zdravstveni radnici treba da prijave svaku sumnju na neželjeno dejstvo ovog lijeka. Za način prijavljivanja neželjenih dejstava vidjeti </w:t>
      </w:r>
      <w:r w:rsidR="00CE7A3D" w:rsidRPr="009C2C08">
        <w:rPr>
          <w:lang w:val="hr-HR"/>
        </w:rPr>
        <w:t xml:space="preserve">dio </w:t>
      </w:r>
      <w:r w:rsidRPr="009C2C08">
        <w:rPr>
          <w:lang w:val="hr-HR"/>
        </w:rPr>
        <w:t xml:space="preserve">4.8. </w:t>
      </w:r>
    </w:p>
    <w:p w14:paraId="5C4FDB20" w14:textId="0F7F4ECA" w:rsidR="00FD6F5B" w:rsidRPr="009C2C08" w:rsidRDefault="00FD6F5B" w:rsidP="00816669">
      <w:pPr>
        <w:spacing w:line="240" w:lineRule="auto"/>
        <w:rPr>
          <w:szCs w:val="22"/>
          <w:lang w:val="hr-HR"/>
        </w:rPr>
      </w:pPr>
    </w:p>
    <w:p w14:paraId="21FE6018" w14:textId="77777777" w:rsidR="0083046F" w:rsidRPr="009C2C08" w:rsidRDefault="0083046F" w:rsidP="00816669">
      <w:pPr>
        <w:spacing w:line="240" w:lineRule="auto"/>
        <w:rPr>
          <w:szCs w:val="22"/>
          <w:lang w:val="hr-HR"/>
        </w:rPr>
      </w:pPr>
    </w:p>
    <w:p w14:paraId="1BBEDFCD" w14:textId="4B0826A0" w:rsidR="00812D16" w:rsidRPr="009C2C08" w:rsidRDefault="00812D16" w:rsidP="004B1CF5">
      <w:pPr>
        <w:suppressAutoHyphens/>
        <w:spacing w:line="240" w:lineRule="auto"/>
        <w:ind w:left="567" w:hanging="567"/>
        <w:rPr>
          <w:szCs w:val="22"/>
          <w:lang w:val="hr-HR"/>
        </w:rPr>
      </w:pPr>
      <w:r w:rsidRPr="009C2C08">
        <w:rPr>
          <w:b/>
          <w:lang w:val="hr-HR"/>
        </w:rPr>
        <w:t>1.</w:t>
      </w:r>
      <w:r w:rsidRPr="009C2C08">
        <w:rPr>
          <w:b/>
          <w:lang w:val="hr-HR"/>
        </w:rPr>
        <w:tab/>
        <w:t>NAZIV LIJEKA</w:t>
      </w:r>
    </w:p>
    <w:p w14:paraId="7AFE9947" w14:textId="77777777" w:rsidR="003973E2" w:rsidRPr="0003263B" w:rsidRDefault="003973E2" w:rsidP="003973E2">
      <w:pPr>
        <w:spacing w:line="240" w:lineRule="auto"/>
        <w:rPr>
          <w:iCs/>
          <w:lang w:val="hr-HR"/>
        </w:rPr>
      </w:pPr>
    </w:p>
    <w:p w14:paraId="144B340E" w14:textId="02A94D78" w:rsidR="003973E2" w:rsidRPr="0003263B" w:rsidRDefault="003973E2" w:rsidP="003973E2">
      <w:pPr>
        <w:pStyle w:val="Paragraph"/>
        <w:contextualSpacing/>
        <w:rPr>
          <w:iCs/>
          <w:sz w:val="22"/>
          <w:szCs w:val="22"/>
          <w:lang w:val="hr-HR"/>
        </w:rPr>
      </w:pPr>
      <w:bookmarkStart w:id="2" w:name="_Hlk80098944"/>
      <w:r w:rsidRPr="0003263B">
        <w:rPr>
          <w:iCs/>
          <w:sz w:val="22"/>
          <w:lang w:val="hr-HR"/>
        </w:rPr>
        <w:t xml:space="preserve">Ngenla, </w:t>
      </w:r>
      <w:bookmarkEnd w:id="2"/>
      <w:r w:rsidRPr="0003263B">
        <w:rPr>
          <w:iCs/>
          <w:sz w:val="22"/>
          <w:lang w:val="hr-HR"/>
        </w:rPr>
        <w:t>24 mg, rastvor za injekciju u napunjeno</w:t>
      </w:r>
      <w:r w:rsidR="00623F38">
        <w:rPr>
          <w:iCs/>
          <w:sz w:val="22"/>
          <w:lang w:val="hr-HR"/>
        </w:rPr>
        <w:t>m injekcionom penu</w:t>
      </w:r>
    </w:p>
    <w:p w14:paraId="2418A8EC" w14:textId="340DA599" w:rsidR="003973E2" w:rsidRPr="0003263B" w:rsidRDefault="003973E2" w:rsidP="003973E2">
      <w:pPr>
        <w:pStyle w:val="Paragraph"/>
        <w:spacing w:after="0"/>
        <w:contextualSpacing/>
        <w:rPr>
          <w:iCs/>
          <w:sz w:val="22"/>
          <w:szCs w:val="22"/>
          <w:lang w:val="hr-HR"/>
        </w:rPr>
      </w:pPr>
      <w:r w:rsidRPr="0003263B">
        <w:rPr>
          <w:iCs/>
          <w:sz w:val="22"/>
          <w:lang w:val="hr-HR"/>
        </w:rPr>
        <w:t>Ngenla, 60 mg, rastvor za injekciju u napunjeno</w:t>
      </w:r>
      <w:r w:rsidR="00623F38">
        <w:rPr>
          <w:iCs/>
          <w:sz w:val="22"/>
          <w:lang w:val="hr-HR"/>
        </w:rPr>
        <w:t>m injekcionom penu</w:t>
      </w:r>
    </w:p>
    <w:p w14:paraId="42259307" w14:textId="7B233494" w:rsidR="009724FA" w:rsidRPr="009C2C08" w:rsidRDefault="009724FA" w:rsidP="009724FA">
      <w:pPr>
        <w:suppressAutoHyphens/>
        <w:spacing w:line="240" w:lineRule="auto"/>
        <w:ind w:left="567" w:hanging="567"/>
        <w:rPr>
          <w:szCs w:val="22"/>
          <w:lang w:val="hr-HR"/>
        </w:rPr>
      </w:pPr>
    </w:p>
    <w:p w14:paraId="10A505C2" w14:textId="1EE6B205" w:rsidR="00E7209E" w:rsidRPr="009C2C08" w:rsidRDefault="00AA4A2F" w:rsidP="009724FA">
      <w:pPr>
        <w:suppressAutoHyphens/>
        <w:spacing w:line="240" w:lineRule="auto"/>
        <w:ind w:left="567" w:hanging="567"/>
        <w:rPr>
          <w:lang w:val="hr-HR"/>
        </w:rPr>
      </w:pPr>
      <w:r w:rsidRPr="009C2C08">
        <w:rPr>
          <w:lang w:val="hr-HR"/>
        </w:rPr>
        <w:t xml:space="preserve">INN: </w:t>
      </w:r>
      <w:r w:rsidR="007C0730" w:rsidRPr="009C2C08">
        <w:rPr>
          <w:lang w:val="hr-HR"/>
        </w:rPr>
        <w:t>somatrogon</w:t>
      </w:r>
    </w:p>
    <w:p w14:paraId="184694D3" w14:textId="77777777" w:rsidR="00AA4A2F" w:rsidRPr="009C2C08" w:rsidRDefault="00AA4A2F" w:rsidP="009724FA">
      <w:pPr>
        <w:suppressAutoHyphens/>
        <w:spacing w:line="240" w:lineRule="auto"/>
        <w:ind w:left="567" w:hanging="567"/>
        <w:rPr>
          <w:szCs w:val="22"/>
          <w:lang w:val="hr-HR"/>
        </w:rPr>
      </w:pPr>
    </w:p>
    <w:p w14:paraId="28641ADD" w14:textId="77777777" w:rsidR="00AA4A2F" w:rsidRPr="009C2C08" w:rsidRDefault="00AA4A2F" w:rsidP="009724FA">
      <w:pPr>
        <w:suppressAutoHyphens/>
        <w:spacing w:line="240" w:lineRule="auto"/>
        <w:ind w:left="567" w:hanging="567"/>
        <w:rPr>
          <w:szCs w:val="22"/>
          <w:lang w:val="hr-HR"/>
        </w:rPr>
      </w:pPr>
    </w:p>
    <w:p w14:paraId="1BBEDFD2" w14:textId="6E7CBB2D" w:rsidR="00812D16" w:rsidRPr="009C2C08" w:rsidRDefault="00812D16" w:rsidP="009724FA">
      <w:pPr>
        <w:suppressAutoHyphens/>
        <w:spacing w:line="240" w:lineRule="auto"/>
        <w:ind w:left="567" w:hanging="567"/>
        <w:rPr>
          <w:szCs w:val="22"/>
          <w:lang w:val="hr-HR"/>
        </w:rPr>
      </w:pPr>
      <w:r w:rsidRPr="009C2C08">
        <w:rPr>
          <w:b/>
          <w:lang w:val="hr-HR"/>
        </w:rPr>
        <w:t>2.</w:t>
      </w:r>
      <w:r w:rsidRPr="009C2C08">
        <w:rPr>
          <w:b/>
          <w:lang w:val="hr-HR"/>
        </w:rPr>
        <w:tab/>
        <w:t>KVALITATIVNI I KVANTITATIVNI SASTAV</w:t>
      </w:r>
    </w:p>
    <w:p w14:paraId="24F84B6A" w14:textId="77777777" w:rsidR="002C1B90" w:rsidRPr="009C2C08" w:rsidRDefault="002C1B90" w:rsidP="002C1B90">
      <w:pPr>
        <w:pStyle w:val="Paragraph"/>
        <w:spacing w:after="0"/>
        <w:rPr>
          <w:iCs/>
          <w:sz w:val="22"/>
          <w:szCs w:val="22"/>
          <w:lang w:val="hr-HR"/>
        </w:rPr>
      </w:pPr>
      <w:bookmarkStart w:id="3" w:name="_Hlk78815304"/>
    </w:p>
    <w:p w14:paraId="5F464A89" w14:textId="0A96B07C" w:rsidR="00A12C51" w:rsidRPr="009C2C08" w:rsidRDefault="00AB7129" w:rsidP="000A37BB">
      <w:pPr>
        <w:pStyle w:val="Paragraph"/>
        <w:spacing w:after="0"/>
        <w:rPr>
          <w:color w:val="000000" w:themeColor="text1"/>
          <w:sz w:val="22"/>
          <w:szCs w:val="22"/>
          <w:u w:val="single"/>
          <w:lang w:val="hr-HR"/>
        </w:rPr>
      </w:pPr>
      <w:r w:rsidRPr="009C2C08">
        <w:rPr>
          <w:sz w:val="22"/>
          <w:u w:val="single"/>
          <w:lang w:val="hr-HR"/>
        </w:rPr>
        <w:t xml:space="preserve">Ngenla </w:t>
      </w:r>
      <w:r w:rsidRPr="009C2C08">
        <w:rPr>
          <w:color w:val="000000" w:themeColor="text1"/>
          <w:sz w:val="22"/>
          <w:u w:val="single"/>
          <w:lang w:val="hr-HR"/>
        </w:rPr>
        <w:t>24 mg rastvor za injekciju u napunjeno</w:t>
      </w:r>
      <w:r w:rsidR="00623F38">
        <w:rPr>
          <w:color w:val="000000" w:themeColor="text1"/>
          <w:sz w:val="22"/>
          <w:u w:val="single"/>
          <w:lang w:val="hr-HR"/>
        </w:rPr>
        <w:t>m injekcionom penu</w:t>
      </w:r>
    </w:p>
    <w:bookmarkEnd w:id="3"/>
    <w:p w14:paraId="5F0B2B59" w14:textId="4A8AD0AB" w:rsidR="009724FA" w:rsidRPr="009C2C08" w:rsidRDefault="009724FA" w:rsidP="000A37BB">
      <w:pPr>
        <w:pStyle w:val="Paragraph"/>
        <w:spacing w:after="0"/>
        <w:rPr>
          <w:color w:val="000000" w:themeColor="text1"/>
          <w:sz w:val="22"/>
          <w:szCs w:val="22"/>
          <w:u w:val="single"/>
          <w:lang w:val="hr-HR"/>
        </w:rPr>
      </w:pPr>
    </w:p>
    <w:p w14:paraId="4C81024B" w14:textId="4BBE200B" w:rsidR="009724FA" w:rsidRPr="009C2C08" w:rsidRDefault="009724FA" w:rsidP="009724FA">
      <w:pPr>
        <w:pStyle w:val="Paragraph"/>
        <w:spacing w:after="0"/>
        <w:rPr>
          <w:iCs/>
          <w:sz w:val="22"/>
          <w:szCs w:val="22"/>
          <w:lang w:val="hr-HR"/>
        </w:rPr>
      </w:pPr>
      <w:r w:rsidRPr="009C2C08">
        <w:rPr>
          <w:sz w:val="22"/>
          <w:lang w:val="hr-HR"/>
        </w:rPr>
        <w:t>Jedan m</w:t>
      </w:r>
      <w:r w:rsidR="002A5363" w:rsidRPr="009C2C08">
        <w:rPr>
          <w:sz w:val="22"/>
          <w:lang w:val="hr-HR"/>
        </w:rPr>
        <w:t>l</w:t>
      </w:r>
      <w:r w:rsidRPr="009C2C08">
        <w:rPr>
          <w:sz w:val="22"/>
          <w:lang w:val="hr-HR"/>
        </w:rPr>
        <w:t xml:space="preserve"> rastvora sadrži 20 mg somatrogona*.</w:t>
      </w:r>
    </w:p>
    <w:p w14:paraId="23EF18D8" w14:textId="02FF5416" w:rsidR="003973E2" w:rsidRPr="009C2C08" w:rsidRDefault="000B2575" w:rsidP="009724FA">
      <w:pPr>
        <w:pStyle w:val="Paragraph"/>
        <w:spacing w:after="0"/>
        <w:rPr>
          <w:iCs/>
          <w:sz w:val="22"/>
          <w:szCs w:val="22"/>
          <w:lang w:val="hr-HR"/>
        </w:rPr>
      </w:pPr>
      <w:r w:rsidRPr="009C2C08">
        <w:rPr>
          <w:sz w:val="22"/>
          <w:lang w:val="hr-HR"/>
        </w:rPr>
        <w:t>Svak</w:t>
      </w:r>
      <w:r w:rsidR="00D160D0">
        <w:rPr>
          <w:sz w:val="22"/>
          <w:lang w:val="hr-HR"/>
        </w:rPr>
        <w:t>i</w:t>
      </w:r>
      <w:r w:rsidRPr="009C2C08">
        <w:rPr>
          <w:sz w:val="22"/>
          <w:lang w:val="hr-HR"/>
        </w:rPr>
        <w:t xml:space="preserve"> napunjen</w:t>
      </w:r>
      <w:r w:rsidR="00D160D0">
        <w:rPr>
          <w:sz w:val="22"/>
          <w:lang w:val="hr-HR"/>
        </w:rPr>
        <w:t>i injekcioni pen</w:t>
      </w:r>
      <w:r w:rsidRPr="009C2C08">
        <w:rPr>
          <w:sz w:val="22"/>
          <w:lang w:val="hr-HR"/>
        </w:rPr>
        <w:t xml:space="preserve"> sadrži 24 mg somatrogona u 1,2 m</w:t>
      </w:r>
      <w:r w:rsidR="002A5363" w:rsidRPr="009C2C08">
        <w:rPr>
          <w:sz w:val="22"/>
          <w:lang w:val="hr-HR"/>
        </w:rPr>
        <w:t>l</w:t>
      </w:r>
      <w:r w:rsidRPr="009C2C08">
        <w:rPr>
          <w:sz w:val="22"/>
          <w:lang w:val="hr-HR"/>
        </w:rPr>
        <w:t xml:space="preserve"> rastvora.</w:t>
      </w:r>
    </w:p>
    <w:p w14:paraId="5BF2672F" w14:textId="45E7DF0A" w:rsidR="009724FA" w:rsidRPr="009C2C08" w:rsidRDefault="003973E2" w:rsidP="009724FA">
      <w:pPr>
        <w:pStyle w:val="Paragraph"/>
        <w:spacing w:after="0"/>
        <w:rPr>
          <w:sz w:val="22"/>
          <w:szCs w:val="22"/>
          <w:lang w:val="hr-HR"/>
        </w:rPr>
      </w:pPr>
      <w:r w:rsidRPr="009C2C08">
        <w:rPr>
          <w:sz w:val="22"/>
          <w:lang w:val="hr-HR"/>
        </w:rPr>
        <w:t>Svak</w:t>
      </w:r>
      <w:r w:rsidR="00D160D0">
        <w:rPr>
          <w:sz w:val="22"/>
          <w:lang w:val="hr-HR"/>
        </w:rPr>
        <w:t>i</w:t>
      </w:r>
      <w:r w:rsidRPr="009C2C08">
        <w:rPr>
          <w:sz w:val="22"/>
          <w:lang w:val="hr-HR"/>
        </w:rPr>
        <w:t xml:space="preserve"> napunjen</w:t>
      </w:r>
      <w:r w:rsidR="00D160D0">
        <w:rPr>
          <w:sz w:val="22"/>
          <w:lang w:val="hr-HR"/>
        </w:rPr>
        <w:t>i injekcioni pen</w:t>
      </w:r>
      <w:r w:rsidRPr="009C2C08">
        <w:rPr>
          <w:sz w:val="22"/>
          <w:lang w:val="hr-HR"/>
        </w:rPr>
        <w:t xml:space="preserve"> isporučuje doze od 0,2 mg do 12 mg u jednoj injekciji u dozama od 0,2 mg.</w:t>
      </w:r>
    </w:p>
    <w:p w14:paraId="6A2AA2B3" w14:textId="393070F0" w:rsidR="00940AE0" w:rsidRPr="009C2C08" w:rsidRDefault="00940AE0" w:rsidP="00940AE0">
      <w:pPr>
        <w:pStyle w:val="Paragraph"/>
        <w:spacing w:after="0"/>
        <w:rPr>
          <w:sz w:val="22"/>
          <w:szCs w:val="22"/>
          <w:lang w:val="hr-HR"/>
        </w:rPr>
      </w:pPr>
    </w:p>
    <w:p w14:paraId="564E5CCF" w14:textId="6B6468D5" w:rsidR="00A12C51" w:rsidRPr="009C2C08" w:rsidRDefault="00AB7129" w:rsidP="000A37BB">
      <w:pPr>
        <w:pStyle w:val="Paragraph"/>
        <w:spacing w:after="0"/>
        <w:rPr>
          <w:iCs/>
          <w:sz w:val="22"/>
          <w:szCs w:val="22"/>
          <w:u w:val="single"/>
          <w:lang w:val="hr-HR"/>
        </w:rPr>
      </w:pPr>
      <w:bookmarkStart w:id="4" w:name="_Hlk78815366"/>
      <w:r w:rsidRPr="009C2C08">
        <w:rPr>
          <w:sz w:val="22"/>
          <w:u w:val="single"/>
          <w:lang w:val="hr-HR"/>
        </w:rPr>
        <w:t>Ngenla 60 mg rastvor za injekciju u napunjeno</w:t>
      </w:r>
      <w:r w:rsidR="00D160D0">
        <w:rPr>
          <w:sz w:val="22"/>
          <w:u w:val="single"/>
          <w:lang w:val="hr-HR"/>
        </w:rPr>
        <w:t>m injekcionom penu</w:t>
      </w:r>
    </w:p>
    <w:bookmarkEnd w:id="4"/>
    <w:p w14:paraId="7279B2E1" w14:textId="41D05461" w:rsidR="009724FA" w:rsidRPr="009C2C08" w:rsidRDefault="009724FA" w:rsidP="000A37BB">
      <w:pPr>
        <w:pStyle w:val="Paragraph"/>
        <w:spacing w:after="0"/>
        <w:rPr>
          <w:iCs/>
          <w:sz w:val="22"/>
          <w:szCs w:val="22"/>
          <w:u w:val="single"/>
          <w:lang w:val="hr-HR"/>
        </w:rPr>
      </w:pPr>
    </w:p>
    <w:p w14:paraId="7041E3C7" w14:textId="2272DC02" w:rsidR="009724FA" w:rsidRPr="009C2C08" w:rsidRDefault="009724FA" w:rsidP="000A37BB">
      <w:pPr>
        <w:pStyle w:val="Paragraph"/>
        <w:spacing w:after="0"/>
        <w:rPr>
          <w:iCs/>
          <w:sz w:val="22"/>
          <w:szCs w:val="22"/>
          <w:lang w:val="hr-HR"/>
        </w:rPr>
      </w:pPr>
      <w:bookmarkStart w:id="5" w:name="_Hlk78815379"/>
      <w:r w:rsidRPr="009C2C08">
        <w:rPr>
          <w:sz w:val="22"/>
          <w:lang w:val="hr-HR"/>
        </w:rPr>
        <w:t>Jedan m</w:t>
      </w:r>
      <w:r w:rsidR="00726B3A" w:rsidRPr="009C2C08">
        <w:rPr>
          <w:sz w:val="22"/>
          <w:lang w:val="hr-HR"/>
        </w:rPr>
        <w:t>l</w:t>
      </w:r>
      <w:r w:rsidRPr="009C2C08">
        <w:rPr>
          <w:sz w:val="22"/>
          <w:lang w:val="hr-HR"/>
        </w:rPr>
        <w:t xml:space="preserve"> rastvora sadrži 50 mg somatrogona</w:t>
      </w:r>
      <w:r w:rsidR="0003263B" w:rsidRPr="009C2C08">
        <w:rPr>
          <w:sz w:val="22"/>
          <w:lang w:val="hr-HR"/>
        </w:rPr>
        <w:t>*</w:t>
      </w:r>
      <w:r w:rsidRPr="009C2C08">
        <w:rPr>
          <w:sz w:val="22"/>
          <w:lang w:val="hr-HR"/>
        </w:rPr>
        <w:t xml:space="preserve">. </w:t>
      </w:r>
    </w:p>
    <w:p w14:paraId="2286DFB4" w14:textId="3DA1DCCA" w:rsidR="003973E2" w:rsidRPr="009C2C08" w:rsidRDefault="009724FA" w:rsidP="00940AE0">
      <w:pPr>
        <w:pStyle w:val="Paragraph"/>
        <w:spacing w:after="0"/>
        <w:rPr>
          <w:iCs/>
          <w:sz w:val="22"/>
          <w:szCs w:val="22"/>
          <w:lang w:val="hr-HR"/>
        </w:rPr>
      </w:pPr>
      <w:r w:rsidRPr="009C2C08">
        <w:rPr>
          <w:sz w:val="22"/>
          <w:lang w:val="hr-HR"/>
        </w:rPr>
        <w:t>Svak</w:t>
      </w:r>
      <w:r w:rsidR="00D160D0">
        <w:rPr>
          <w:sz w:val="22"/>
          <w:lang w:val="hr-HR"/>
        </w:rPr>
        <w:t>i</w:t>
      </w:r>
      <w:r w:rsidRPr="009C2C08">
        <w:rPr>
          <w:sz w:val="22"/>
          <w:lang w:val="hr-HR"/>
        </w:rPr>
        <w:t xml:space="preserve"> napunjen</w:t>
      </w:r>
      <w:r w:rsidR="00D160D0">
        <w:rPr>
          <w:sz w:val="22"/>
          <w:lang w:val="hr-HR"/>
        </w:rPr>
        <w:t>i</w:t>
      </w:r>
      <w:r w:rsidRPr="009C2C08">
        <w:rPr>
          <w:sz w:val="22"/>
          <w:lang w:val="hr-HR"/>
        </w:rPr>
        <w:t xml:space="preserve"> </w:t>
      </w:r>
      <w:r w:rsidR="00D160D0">
        <w:rPr>
          <w:sz w:val="22"/>
          <w:lang w:val="hr-HR"/>
        </w:rPr>
        <w:t>injekcioni pen</w:t>
      </w:r>
      <w:r w:rsidRPr="009C2C08">
        <w:rPr>
          <w:sz w:val="22"/>
          <w:lang w:val="hr-HR"/>
        </w:rPr>
        <w:t xml:space="preserve"> sadrži 60 mg somatrogona u 1,2 m</w:t>
      </w:r>
      <w:r w:rsidR="00726B3A" w:rsidRPr="009C2C08">
        <w:rPr>
          <w:sz w:val="22"/>
          <w:lang w:val="hr-HR"/>
        </w:rPr>
        <w:t>l</w:t>
      </w:r>
      <w:r w:rsidRPr="009C2C08">
        <w:rPr>
          <w:sz w:val="22"/>
          <w:lang w:val="hr-HR"/>
        </w:rPr>
        <w:t xml:space="preserve"> rastvora.</w:t>
      </w:r>
    </w:p>
    <w:p w14:paraId="46EDB5F1" w14:textId="68B5D18C" w:rsidR="00940AE0" w:rsidRPr="009C2C08" w:rsidRDefault="003973E2" w:rsidP="00940AE0">
      <w:pPr>
        <w:pStyle w:val="Paragraph"/>
        <w:spacing w:after="0"/>
        <w:rPr>
          <w:sz w:val="22"/>
          <w:szCs w:val="22"/>
          <w:lang w:val="hr-HR"/>
        </w:rPr>
      </w:pPr>
      <w:r w:rsidRPr="009C2C08">
        <w:rPr>
          <w:sz w:val="22"/>
          <w:lang w:val="hr-HR"/>
        </w:rPr>
        <w:t>Svaka napunjen</w:t>
      </w:r>
      <w:r w:rsidR="00D160D0">
        <w:rPr>
          <w:sz w:val="22"/>
          <w:lang w:val="hr-HR"/>
        </w:rPr>
        <w:t>i injekcioni pen</w:t>
      </w:r>
      <w:r w:rsidRPr="009C2C08">
        <w:rPr>
          <w:sz w:val="22"/>
          <w:lang w:val="hr-HR"/>
        </w:rPr>
        <w:t xml:space="preserve"> </w:t>
      </w:r>
      <w:bookmarkEnd w:id="5"/>
      <w:r w:rsidRPr="009C2C08">
        <w:rPr>
          <w:sz w:val="22"/>
          <w:lang w:val="hr-HR"/>
        </w:rPr>
        <w:t>isporučuje doze od 0,5 mg do 30 mg u jednoj injekciji u dozama od 0,5 mg.</w:t>
      </w:r>
    </w:p>
    <w:p w14:paraId="792807A3" w14:textId="41C90671" w:rsidR="000B2575" w:rsidRPr="009C2C08" w:rsidRDefault="000B2575" w:rsidP="000A37BB">
      <w:pPr>
        <w:pStyle w:val="Paragraph"/>
        <w:spacing w:after="0"/>
        <w:rPr>
          <w:sz w:val="22"/>
          <w:szCs w:val="22"/>
          <w:lang w:val="hr-HR"/>
        </w:rPr>
      </w:pPr>
    </w:p>
    <w:p w14:paraId="6C78690A" w14:textId="5D59AE32" w:rsidR="009724FA" w:rsidRPr="009C2C08" w:rsidRDefault="009724FA" w:rsidP="009724FA">
      <w:pPr>
        <w:pStyle w:val="Paragraph"/>
        <w:spacing w:after="0"/>
        <w:rPr>
          <w:sz w:val="20"/>
          <w:szCs w:val="20"/>
          <w:lang w:val="hr-HR"/>
        </w:rPr>
      </w:pPr>
      <w:r w:rsidRPr="009C2C08">
        <w:rPr>
          <w:sz w:val="22"/>
          <w:lang w:val="hr-HR"/>
        </w:rPr>
        <w:t xml:space="preserve">*Proizvedeno </w:t>
      </w:r>
      <w:r w:rsidRPr="009C2C08">
        <w:rPr>
          <w:color w:val="000000" w:themeColor="text1"/>
          <w:sz w:val="22"/>
          <w:lang w:val="hr-HR"/>
        </w:rPr>
        <w:t>tehnologijom rekombinantne DNK u ćelijama jajnika kineskog hrčka</w:t>
      </w:r>
      <w:r w:rsidRPr="009C2C08">
        <w:rPr>
          <w:sz w:val="22"/>
          <w:lang w:val="hr-HR"/>
        </w:rPr>
        <w:t xml:space="preserve"> (</w:t>
      </w:r>
      <w:r w:rsidRPr="009C2C08">
        <w:rPr>
          <w:color w:val="000000" w:themeColor="text1"/>
          <w:sz w:val="22"/>
          <w:lang w:val="hr-HR"/>
        </w:rPr>
        <w:t>CHO).</w:t>
      </w:r>
      <w:r w:rsidRPr="009C2C08">
        <w:rPr>
          <w:sz w:val="22"/>
          <w:lang w:val="hr-HR"/>
        </w:rPr>
        <w:t xml:space="preserve"> </w:t>
      </w:r>
    </w:p>
    <w:p w14:paraId="35BF1A03" w14:textId="501E5A13" w:rsidR="00EA2468" w:rsidRPr="009C2C08" w:rsidRDefault="00EA2468" w:rsidP="00603852">
      <w:pPr>
        <w:pStyle w:val="Paragraph"/>
        <w:spacing w:after="0"/>
        <w:rPr>
          <w:color w:val="000000" w:themeColor="text1"/>
          <w:sz w:val="22"/>
          <w:szCs w:val="22"/>
          <w:lang w:val="hr-HR"/>
        </w:rPr>
      </w:pPr>
    </w:p>
    <w:p w14:paraId="4311C946" w14:textId="1A516DDD" w:rsidR="00603852" w:rsidRPr="009C2C08" w:rsidRDefault="00603852" w:rsidP="00603852">
      <w:pPr>
        <w:pStyle w:val="Paragraph"/>
        <w:spacing w:after="0"/>
        <w:rPr>
          <w:color w:val="000000"/>
          <w:sz w:val="22"/>
          <w:szCs w:val="22"/>
          <w:bdr w:val="none" w:sz="0" w:space="0" w:color="auto" w:frame="1"/>
          <w:lang w:val="hr-HR"/>
        </w:rPr>
      </w:pPr>
      <w:r w:rsidRPr="009C2C08">
        <w:rPr>
          <w:color w:val="000000"/>
          <w:sz w:val="22"/>
          <w:bdr w:val="none" w:sz="0" w:space="0" w:color="auto" w:frame="1"/>
          <w:lang w:val="hr-HR"/>
        </w:rPr>
        <w:t>Za spisak svih ekscipijenasa, pogledati dio 6.1.</w:t>
      </w:r>
    </w:p>
    <w:p w14:paraId="60F5718B" w14:textId="629E36BD" w:rsidR="00603852" w:rsidRPr="009C2C08" w:rsidRDefault="00603852" w:rsidP="000A37BB">
      <w:pPr>
        <w:pStyle w:val="Paragraph"/>
        <w:spacing w:after="0"/>
        <w:rPr>
          <w:sz w:val="22"/>
          <w:szCs w:val="22"/>
          <w:lang w:val="hr-HR"/>
        </w:rPr>
      </w:pPr>
    </w:p>
    <w:p w14:paraId="5D548297" w14:textId="77777777" w:rsidR="00A12C51" w:rsidRPr="009C2C08" w:rsidRDefault="00A12C51" w:rsidP="00204AAB">
      <w:pPr>
        <w:spacing w:line="240" w:lineRule="auto"/>
        <w:rPr>
          <w:szCs w:val="22"/>
          <w:lang w:val="hr-HR"/>
        </w:rPr>
      </w:pPr>
    </w:p>
    <w:p w14:paraId="7576AEEF" w14:textId="4ED2F60F" w:rsidR="00AB578B" w:rsidRPr="009C2C08" w:rsidRDefault="00812D16" w:rsidP="00FC60B2">
      <w:pPr>
        <w:suppressAutoHyphens/>
        <w:spacing w:line="240" w:lineRule="auto"/>
        <w:ind w:left="567" w:hanging="567"/>
        <w:rPr>
          <w:lang w:val="hr-HR"/>
        </w:rPr>
      </w:pPr>
      <w:r w:rsidRPr="009C2C08">
        <w:rPr>
          <w:b/>
          <w:lang w:val="hr-HR"/>
        </w:rPr>
        <w:t>3.</w:t>
      </w:r>
      <w:r w:rsidRPr="009C2C08">
        <w:rPr>
          <w:b/>
          <w:lang w:val="hr-HR"/>
        </w:rPr>
        <w:tab/>
        <w:t xml:space="preserve">FARMACEUTSKI </w:t>
      </w:r>
      <w:r w:rsidRPr="009C2C08">
        <w:rPr>
          <w:rFonts w:ascii="Times New Roman Bold" w:hAnsi="Times New Roman Bold"/>
          <w:b/>
          <w:lang w:val="hr-HR"/>
        </w:rPr>
        <w:t>OBLIK</w:t>
      </w:r>
    </w:p>
    <w:p w14:paraId="297DCFF7" w14:textId="77777777" w:rsidR="008115E0" w:rsidRPr="009C2C08" w:rsidRDefault="008115E0" w:rsidP="00536805">
      <w:pPr>
        <w:pStyle w:val="NormalWeb"/>
        <w:spacing w:before="0" w:beforeAutospacing="0" w:after="0" w:afterAutospacing="0"/>
        <w:rPr>
          <w:sz w:val="22"/>
          <w:szCs w:val="22"/>
          <w:lang w:val="hr-HR" w:eastAsia="en-US"/>
        </w:rPr>
      </w:pPr>
    </w:p>
    <w:p w14:paraId="75F15B04" w14:textId="7074904A" w:rsidR="00AB578B" w:rsidRPr="009C2C08" w:rsidRDefault="00AB578B" w:rsidP="00A94E18">
      <w:pPr>
        <w:pStyle w:val="NormalWeb"/>
        <w:spacing w:before="0" w:beforeAutospacing="0" w:after="0" w:afterAutospacing="0"/>
        <w:rPr>
          <w:sz w:val="22"/>
          <w:szCs w:val="22"/>
          <w:lang w:val="hr-HR"/>
        </w:rPr>
      </w:pPr>
      <w:r w:rsidRPr="009C2C08">
        <w:rPr>
          <w:sz w:val="22"/>
          <w:lang w:val="hr-HR"/>
        </w:rPr>
        <w:t>Rastvor za injekcije (injekcija).</w:t>
      </w:r>
    </w:p>
    <w:p w14:paraId="492168CA" w14:textId="77777777" w:rsidR="008115E0" w:rsidRPr="009C2C08" w:rsidRDefault="008115E0" w:rsidP="00536805">
      <w:pPr>
        <w:pStyle w:val="NormalWeb"/>
        <w:spacing w:before="0" w:beforeAutospacing="0" w:after="0" w:afterAutospacing="0"/>
        <w:rPr>
          <w:sz w:val="22"/>
          <w:szCs w:val="22"/>
          <w:lang w:val="hr-HR" w:eastAsia="en-US"/>
        </w:rPr>
      </w:pPr>
    </w:p>
    <w:p w14:paraId="4A0BB151" w14:textId="2EB6A87F" w:rsidR="009724FA" w:rsidRPr="009C2C08" w:rsidRDefault="009724FA" w:rsidP="009724FA">
      <w:pPr>
        <w:pStyle w:val="NormalWeb"/>
        <w:spacing w:before="0" w:beforeAutospacing="0" w:after="0" w:afterAutospacing="0"/>
        <w:rPr>
          <w:sz w:val="22"/>
          <w:szCs w:val="22"/>
          <w:lang w:val="hr-HR"/>
        </w:rPr>
      </w:pPr>
      <w:r w:rsidRPr="009C2C08">
        <w:rPr>
          <w:sz w:val="22"/>
          <w:lang w:val="hr-HR"/>
        </w:rPr>
        <w:t>Rastvor je bistar i bezbojan do blago svijetlo žut, sa pH od 6,6.</w:t>
      </w:r>
    </w:p>
    <w:p w14:paraId="3D9E40D3" w14:textId="77777777" w:rsidR="009724FA" w:rsidRPr="009C2C08" w:rsidRDefault="009724FA" w:rsidP="009724FA">
      <w:pPr>
        <w:pStyle w:val="NormalWeb"/>
        <w:spacing w:before="0" w:beforeAutospacing="0" w:after="0" w:afterAutospacing="0"/>
        <w:rPr>
          <w:sz w:val="22"/>
          <w:szCs w:val="22"/>
          <w:lang w:val="hr-HR" w:eastAsia="en-US"/>
        </w:rPr>
      </w:pPr>
    </w:p>
    <w:p w14:paraId="7B29B4AB" w14:textId="77777777" w:rsidR="009724FA" w:rsidRPr="009C2C08" w:rsidRDefault="009724FA" w:rsidP="009724FA">
      <w:pPr>
        <w:pStyle w:val="NormalWeb"/>
        <w:spacing w:before="0" w:beforeAutospacing="0" w:after="0" w:afterAutospacing="0"/>
        <w:rPr>
          <w:sz w:val="22"/>
          <w:szCs w:val="22"/>
          <w:lang w:val="hr-HR" w:eastAsia="en-US"/>
        </w:rPr>
      </w:pPr>
    </w:p>
    <w:p w14:paraId="1BBEDFE9" w14:textId="77777777" w:rsidR="00812D16" w:rsidRPr="00C1176F" w:rsidRDefault="00812D16" w:rsidP="008D5FAA">
      <w:pPr>
        <w:suppressAutoHyphens/>
        <w:spacing w:line="240" w:lineRule="auto"/>
        <w:ind w:left="567" w:hanging="567"/>
        <w:jc w:val="both"/>
        <w:rPr>
          <w:caps/>
          <w:szCs w:val="22"/>
          <w:lang w:val="hr-HR"/>
        </w:rPr>
      </w:pPr>
      <w:r w:rsidRPr="00C1176F">
        <w:rPr>
          <w:b/>
          <w:caps/>
          <w:szCs w:val="22"/>
          <w:lang w:val="hr-HR"/>
        </w:rPr>
        <w:t>4.</w:t>
      </w:r>
      <w:r w:rsidRPr="00C1176F">
        <w:rPr>
          <w:b/>
          <w:caps/>
          <w:szCs w:val="22"/>
          <w:lang w:val="hr-HR"/>
        </w:rPr>
        <w:tab/>
      </w:r>
      <w:r w:rsidRPr="005B2F3F">
        <w:rPr>
          <w:b/>
          <w:szCs w:val="22"/>
          <w:lang w:val="hr-HR"/>
        </w:rPr>
        <w:t xml:space="preserve">KLINIČKI </w:t>
      </w:r>
      <w:r w:rsidRPr="008D5FAA">
        <w:rPr>
          <w:b/>
          <w:szCs w:val="22"/>
          <w:lang w:val="hr-HR"/>
        </w:rPr>
        <w:t>PODACI</w:t>
      </w:r>
    </w:p>
    <w:p w14:paraId="1BBEDFEA" w14:textId="77777777" w:rsidR="00812D16" w:rsidRPr="00C1176F" w:rsidRDefault="00812D16" w:rsidP="008D5FAA">
      <w:pPr>
        <w:spacing w:line="240" w:lineRule="auto"/>
        <w:jc w:val="both"/>
        <w:rPr>
          <w:szCs w:val="22"/>
          <w:lang w:val="hr-HR"/>
        </w:rPr>
      </w:pPr>
    </w:p>
    <w:p w14:paraId="1BBEDFEC" w14:textId="13FC2F25" w:rsidR="00812D16" w:rsidRPr="00C1176F" w:rsidRDefault="00812D16" w:rsidP="008D5FAA">
      <w:pPr>
        <w:spacing w:line="240" w:lineRule="auto"/>
        <w:ind w:left="567" w:hanging="567"/>
        <w:jc w:val="both"/>
        <w:outlineLvl w:val="0"/>
        <w:rPr>
          <w:szCs w:val="22"/>
          <w:lang w:val="hr-HR"/>
        </w:rPr>
      </w:pPr>
      <w:r w:rsidRPr="003813BF">
        <w:rPr>
          <w:b/>
          <w:szCs w:val="22"/>
          <w:lang w:val="hr-HR"/>
        </w:rPr>
        <w:t>4.1</w:t>
      </w:r>
      <w:r w:rsidRPr="003813BF">
        <w:rPr>
          <w:b/>
          <w:szCs w:val="22"/>
          <w:lang w:val="hr-HR"/>
        </w:rPr>
        <w:tab/>
        <w:t>Terapijske indikacije</w:t>
      </w:r>
    </w:p>
    <w:p w14:paraId="26F8F5F3" w14:textId="77777777" w:rsidR="00AF0DFB" w:rsidRPr="00C1176F" w:rsidRDefault="00AF0DFB" w:rsidP="008D5FAA">
      <w:pPr>
        <w:tabs>
          <w:tab w:val="left" w:pos="-538"/>
          <w:tab w:val="left" w:pos="-178"/>
          <w:tab w:val="left" w:pos="0"/>
        </w:tabs>
        <w:jc w:val="both"/>
        <w:rPr>
          <w:szCs w:val="22"/>
          <w:lang w:val="hr-HR"/>
        </w:rPr>
      </w:pPr>
    </w:p>
    <w:p w14:paraId="38002858" w14:textId="16B94F55" w:rsidR="00AF0DFB" w:rsidRPr="00C1176F" w:rsidRDefault="00C1176F" w:rsidP="008D5FAA">
      <w:pPr>
        <w:tabs>
          <w:tab w:val="left" w:pos="-538"/>
          <w:tab w:val="left" w:pos="-178"/>
          <w:tab w:val="left" w:pos="0"/>
        </w:tabs>
        <w:jc w:val="both"/>
        <w:rPr>
          <w:szCs w:val="22"/>
          <w:lang w:val="hr-HR"/>
        </w:rPr>
      </w:pPr>
      <w:r>
        <w:rPr>
          <w:szCs w:val="22"/>
          <w:lang w:val="hr-HR"/>
        </w:rPr>
        <w:t xml:space="preserve">Lijek </w:t>
      </w:r>
      <w:r w:rsidR="00AB7129" w:rsidRPr="003813BF">
        <w:rPr>
          <w:szCs w:val="22"/>
          <w:lang w:val="hr-HR"/>
        </w:rPr>
        <w:t xml:space="preserve">Ngenla je indikovan za liječenje djece i adolescenata </w:t>
      </w:r>
      <w:r>
        <w:rPr>
          <w:szCs w:val="22"/>
          <w:lang w:val="hr-HR"/>
        </w:rPr>
        <w:t xml:space="preserve">uzrasta </w:t>
      </w:r>
      <w:r w:rsidR="00AB7129" w:rsidRPr="003813BF">
        <w:rPr>
          <w:szCs w:val="22"/>
          <w:lang w:val="hr-HR"/>
        </w:rPr>
        <w:t>od 3 godine</w:t>
      </w:r>
      <w:r w:rsidR="00AB7129" w:rsidRPr="007C0730">
        <w:rPr>
          <w:szCs w:val="22"/>
          <w:lang w:val="hr-HR"/>
        </w:rPr>
        <w:t xml:space="preserve"> sa smetnjama u rastu usljed nedovoljnog lučenja hormona rasta.</w:t>
      </w:r>
    </w:p>
    <w:p w14:paraId="037275AB" w14:textId="77777777" w:rsidR="009A6C64" w:rsidRPr="00C1176F" w:rsidRDefault="009A6C64" w:rsidP="008D5FAA">
      <w:pPr>
        <w:spacing w:line="240" w:lineRule="auto"/>
        <w:jc w:val="both"/>
        <w:rPr>
          <w:szCs w:val="22"/>
          <w:lang w:val="hr-HR"/>
        </w:rPr>
      </w:pPr>
    </w:p>
    <w:p w14:paraId="7300161C" w14:textId="77777777" w:rsidR="009724FA" w:rsidRPr="00C1176F" w:rsidRDefault="009724FA" w:rsidP="008D5FAA">
      <w:pPr>
        <w:spacing w:line="240" w:lineRule="auto"/>
        <w:jc w:val="both"/>
        <w:outlineLvl w:val="0"/>
        <w:rPr>
          <w:b/>
          <w:szCs w:val="22"/>
          <w:lang w:val="hr-HR"/>
        </w:rPr>
      </w:pPr>
      <w:r w:rsidRPr="003813BF">
        <w:rPr>
          <w:b/>
          <w:szCs w:val="22"/>
          <w:lang w:val="hr-HR"/>
        </w:rPr>
        <w:t>4.2</w:t>
      </w:r>
      <w:r w:rsidRPr="003813BF">
        <w:rPr>
          <w:b/>
          <w:szCs w:val="22"/>
          <w:lang w:val="hr-HR"/>
        </w:rPr>
        <w:tab/>
        <w:t>Doziranje i način primjene</w:t>
      </w:r>
    </w:p>
    <w:p w14:paraId="377B35BF" w14:textId="77777777" w:rsidR="00C03DF8" w:rsidRPr="00C1176F" w:rsidRDefault="00C03DF8" w:rsidP="008D5FAA">
      <w:pPr>
        <w:spacing w:line="240" w:lineRule="auto"/>
        <w:jc w:val="both"/>
        <w:rPr>
          <w:iCs/>
          <w:color w:val="000000" w:themeColor="text1"/>
          <w:szCs w:val="22"/>
          <w:lang w:val="hr-HR"/>
        </w:rPr>
      </w:pPr>
    </w:p>
    <w:p w14:paraId="129CD8D5" w14:textId="5E253C9B" w:rsidR="00C1176F" w:rsidRDefault="00C03DF8" w:rsidP="008D5FAA">
      <w:pPr>
        <w:spacing w:line="240" w:lineRule="auto"/>
        <w:jc w:val="both"/>
        <w:rPr>
          <w:color w:val="000000" w:themeColor="text1"/>
          <w:szCs w:val="22"/>
          <w:lang w:val="hr-HR"/>
        </w:rPr>
      </w:pPr>
      <w:r w:rsidRPr="003813BF">
        <w:rPr>
          <w:color w:val="000000" w:themeColor="text1"/>
          <w:szCs w:val="22"/>
          <w:lang w:val="hr-HR"/>
        </w:rPr>
        <w:t>Liječenje treba da započne i da se sprovodi pod nadozorom ljekara koji su kvalifikovani i iskusni u dijagnozi i liječenju pedijatrijskih pacijenata sa nedostatkom hormona rasta (</w:t>
      </w:r>
      <w:r w:rsidR="00C1176F">
        <w:rPr>
          <w:color w:val="000000" w:themeColor="text1"/>
          <w:szCs w:val="22"/>
          <w:lang w:val="hr-HR"/>
        </w:rPr>
        <w:t xml:space="preserve">engl. </w:t>
      </w:r>
      <w:r w:rsidR="00C1176F" w:rsidRPr="008D5FAA">
        <w:rPr>
          <w:i/>
          <w:color w:val="000000" w:themeColor="text1"/>
          <w:szCs w:val="22"/>
          <w:lang w:val="hr-HR"/>
        </w:rPr>
        <w:t>growth hormone deficiency</w:t>
      </w:r>
      <w:r w:rsidR="00C1176F">
        <w:rPr>
          <w:color w:val="000000" w:themeColor="text1"/>
          <w:szCs w:val="22"/>
          <w:lang w:val="hr-HR"/>
        </w:rPr>
        <w:t xml:space="preserve">, </w:t>
      </w:r>
      <w:r w:rsidRPr="003813BF">
        <w:rPr>
          <w:color w:val="000000" w:themeColor="text1"/>
          <w:szCs w:val="22"/>
          <w:lang w:val="hr-HR"/>
        </w:rPr>
        <w:t>GHD).</w:t>
      </w:r>
    </w:p>
    <w:p w14:paraId="387EAC2A" w14:textId="77777777" w:rsidR="00C1176F" w:rsidRPr="00C1176F" w:rsidRDefault="00C1176F" w:rsidP="008D5FAA">
      <w:pPr>
        <w:spacing w:line="240" w:lineRule="auto"/>
        <w:jc w:val="both"/>
        <w:rPr>
          <w:iCs/>
          <w:szCs w:val="22"/>
          <w:u w:val="single"/>
          <w:lang w:val="hr-HR"/>
        </w:rPr>
      </w:pPr>
    </w:p>
    <w:p w14:paraId="14B7166C" w14:textId="5592E026" w:rsidR="00054818" w:rsidRPr="00C1176F" w:rsidRDefault="00054818" w:rsidP="008D5FAA">
      <w:pPr>
        <w:spacing w:line="240" w:lineRule="auto"/>
        <w:jc w:val="both"/>
        <w:rPr>
          <w:szCs w:val="22"/>
          <w:u w:val="single"/>
          <w:lang w:val="hr-HR"/>
        </w:rPr>
      </w:pPr>
    </w:p>
    <w:p w14:paraId="437D1FF7" w14:textId="77777777" w:rsidR="009724FA" w:rsidRPr="00C1176F" w:rsidRDefault="009724FA" w:rsidP="008D5FAA">
      <w:pPr>
        <w:spacing w:line="240" w:lineRule="auto"/>
        <w:jc w:val="both"/>
        <w:rPr>
          <w:szCs w:val="22"/>
          <w:u w:val="single"/>
          <w:lang w:val="hr-HR"/>
        </w:rPr>
      </w:pPr>
      <w:r w:rsidRPr="003813BF">
        <w:rPr>
          <w:szCs w:val="22"/>
          <w:u w:val="single"/>
          <w:lang w:val="hr-HR"/>
        </w:rPr>
        <w:lastRenderedPageBreak/>
        <w:t>Doziranje</w:t>
      </w:r>
    </w:p>
    <w:p w14:paraId="4114D4B2" w14:textId="77777777" w:rsidR="00054818" w:rsidRPr="00C1176F" w:rsidRDefault="00054818" w:rsidP="008D5FAA">
      <w:pPr>
        <w:spacing w:line="240" w:lineRule="auto"/>
        <w:jc w:val="both"/>
        <w:rPr>
          <w:szCs w:val="22"/>
          <w:lang w:val="hr-HR"/>
        </w:rPr>
      </w:pPr>
    </w:p>
    <w:p w14:paraId="3E4E516F" w14:textId="77777777" w:rsidR="005D3960" w:rsidRPr="007C0730" w:rsidRDefault="00AF0DFB" w:rsidP="008D5FAA">
      <w:pPr>
        <w:jc w:val="both"/>
        <w:rPr>
          <w:szCs w:val="22"/>
          <w:lang w:val="hr-HR"/>
        </w:rPr>
      </w:pPr>
      <w:r w:rsidRPr="003813BF">
        <w:rPr>
          <w:szCs w:val="22"/>
          <w:lang w:val="hr-HR"/>
        </w:rPr>
        <w:t xml:space="preserve">Preporučena doza je 0,66 mg/kg tjelesne težine koja se daje jednom nedjeljno subkutanom injekcijom. </w:t>
      </w:r>
    </w:p>
    <w:p w14:paraId="7F457B67" w14:textId="39307BE4" w:rsidR="005D3960" w:rsidRPr="00D07CAB" w:rsidRDefault="005D3960" w:rsidP="008D5FAA">
      <w:pPr>
        <w:jc w:val="both"/>
        <w:rPr>
          <w:szCs w:val="22"/>
          <w:lang w:val="hr-HR"/>
        </w:rPr>
      </w:pPr>
    </w:p>
    <w:p w14:paraId="6B6DA768" w14:textId="39B4C5FB" w:rsidR="00E41763" w:rsidRPr="00D173DA" w:rsidRDefault="00E41763" w:rsidP="008D5FAA">
      <w:pPr>
        <w:jc w:val="both"/>
        <w:rPr>
          <w:szCs w:val="22"/>
          <w:lang w:val="hr-HR"/>
        </w:rPr>
      </w:pPr>
      <w:r w:rsidRPr="00255289">
        <w:rPr>
          <w:szCs w:val="22"/>
          <w:lang w:val="hr-HR"/>
        </w:rPr>
        <w:t>Svak</w:t>
      </w:r>
      <w:r w:rsidR="00DE72B3" w:rsidRPr="00255289">
        <w:rPr>
          <w:szCs w:val="22"/>
          <w:lang w:val="hr-HR"/>
        </w:rPr>
        <w:t>i</w:t>
      </w:r>
      <w:r w:rsidRPr="00910018">
        <w:rPr>
          <w:szCs w:val="22"/>
          <w:lang w:val="hr-HR"/>
        </w:rPr>
        <w:t xml:space="preserve"> napunjen</w:t>
      </w:r>
      <w:r w:rsidR="00DE72B3" w:rsidRPr="00910018">
        <w:rPr>
          <w:szCs w:val="22"/>
          <w:lang w:val="hr-HR"/>
        </w:rPr>
        <w:t>i injekcioni pen</w:t>
      </w:r>
      <w:r w:rsidRPr="00910018">
        <w:rPr>
          <w:szCs w:val="22"/>
          <w:lang w:val="hr-HR"/>
        </w:rPr>
        <w:t xml:space="preserve"> može da podesi i isporuči dozu koju je propisao ljekar. Doza se može zaokružiti naviše ili naniže na osnovu st</w:t>
      </w:r>
      <w:r w:rsidRPr="00D173DA">
        <w:rPr>
          <w:szCs w:val="22"/>
          <w:lang w:val="hr-HR"/>
        </w:rPr>
        <w:t>ručnog znanja ljekara o individualnim potrebama pacijenta. Kada su potrebne doze veće od 30 mg (tj. tjelesna težina je &gt; 45 kg), moraju se dati dvije injekcije.</w:t>
      </w:r>
    </w:p>
    <w:p w14:paraId="140DAB34" w14:textId="77777777" w:rsidR="00E41763" w:rsidRPr="001E4FA7" w:rsidRDefault="00E41763" w:rsidP="008D5FAA">
      <w:pPr>
        <w:jc w:val="both"/>
        <w:rPr>
          <w:szCs w:val="22"/>
          <w:lang w:val="hr-HR"/>
        </w:rPr>
      </w:pPr>
    </w:p>
    <w:p w14:paraId="50DC0EEB" w14:textId="77777777" w:rsidR="005D3960" w:rsidRPr="008D5FAA" w:rsidRDefault="005D3960" w:rsidP="008D5FAA">
      <w:pPr>
        <w:keepNext/>
        <w:jc w:val="both"/>
        <w:rPr>
          <w:i/>
          <w:szCs w:val="22"/>
          <w:lang w:val="hr-HR"/>
        </w:rPr>
      </w:pPr>
      <w:r w:rsidRPr="008D5FAA">
        <w:rPr>
          <w:i/>
          <w:szCs w:val="22"/>
          <w:lang w:val="hr-HR"/>
        </w:rPr>
        <w:t>Početna doza za pacijente koji prelaze sa dnevnih ljekova za hormon rasta</w:t>
      </w:r>
    </w:p>
    <w:p w14:paraId="277E45DF" w14:textId="7EADE379" w:rsidR="00D34D8A" w:rsidRPr="008D5FAA" w:rsidRDefault="00555AC2" w:rsidP="008D5FAA">
      <w:pPr>
        <w:jc w:val="both"/>
        <w:rPr>
          <w:szCs w:val="22"/>
          <w:lang w:val="hr-HR"/>
        </w:rPr>
      </w:pPr>
      <w:r w:rsidRPr="008D5FAA">
        <w:rPr>
          <w:szCs w:val="22"/>
          <w:lang w:val="hr-HR"/>
        </w:rPr>
        <w:t>Za pacijente koji prelaze sa dnevnih ljekova za hormon rasta, nedjeljna terapija somatrogonom može da se započne dozom od 0,66 mg/kg nedjeljno na dan nakon posljednje dnevne injekcije.</w:t>
      </w:r>
    </w:p>
    <w:p w14:paraId="3F9CD66A" w14:textId="658D06C0" w:rsidR="006C72F4" w:rsidRPr="008D5FAA" w:rsidRDefault="006C72F4" w:rsidP="008D5FAA">
      <w:pPr>
        <w:jc w:val="both"/>
        <w:rPr>
          <w:szCs w:val="22"/>
          <w:lang w:val="hr-HR"/>
        </w:rPr>
      </w:pPr>
    </w:p>
    <w:p w14:paraId="2D64120C" w14:textId="77777777" w:rsidR="005D3960" w:rsidRPr="008D5FAA" w:rsidRDefault="005D3960" w:rsidP="008D5FAA">
      <w:pPr>
        <w:spacing w:line="240" w:lineRule="auto"/>
        <w:jc w:val="both"/>
        <w:rPr>
          <w:i/>
          <w:szCs w:val="22"/>
          <w:lang w:val="hr-HR"/>
        </w:rPr>
      </w:pPr>
      <w:r w:rsidRPr="008D5FAA">
        <w:rPr>
          <w:i/>
          <w:szCs w:val="22"/>
          <w:lang w:val="hr-HR"/>
        </w:rPr>
        <w:t>Titracija doze</w:t>
      </w:r>
    </w:p>
    <w:p w14:paraId="4A1AB6E4" w14:textId="6BFE9FFD" w:rsidR="005D3960" w:rsidRPr="007C0730" w:rsidRDefault="00524F64" w:rsidP="008D5FAA">
      <w:pPr>
        <w:spacing w:line="240" w:lineRule="auto"/>
        <w:jc w:val="both"/>
        <w:rPr>
          <w:szCs w:val="22"/>
          <w:lang w:val="hr-HR"/>
        </w:rPr>
      </w:pPr>
      <w:bookmarkStart w:id="6" w:name="_Hlk85715605"/>
      <w:r w:rsidRPr="008D5FAA">
        <w:rPr>
          <w:szCs w:val="22"/>
          <w:lang w:val="hr-HR"/>
        </w:rPr>
        <w:t>Doza somatrogona se može prilagoditi po potrebi, na osnovu brzine rasta, neželjenih reakcija, tjelesne težine i koncentracije insulinu sličnog faktora rasta 1 (</w:t>
      </w:r>
      <w:r w:rsidR="00C1176F">
        <w:rPr>
          <w:szCs w:val="22"/>
          <w:lang w:val="hr-HR"/>
        </w:rPr>
        <w:t xml:space="preserve">engl. </w:t>
      </w:r>
      <w:r w:rsidR="00C1176F" w:rsidRPr="008D5FAA">
        <w:rPr>
          <w:i/>
          <w:szCs w:val="22"/>
          <w:lang w:val="hr-HR"/>
        </w:rPr>
        <w:t>insulin-like growth factor 1</w:t>
      </w:r>
      <w:r w:rsidR="00C1176F">
        <w:rPr>
          <w:szCs w:val="22"/>
          <w:lang w:val="hr-HR"/>
        </w:rPr>
        <w:t xml:space="preserve">, </w:t>
      </w:r>
      <w:r w:rsidRPr="003813BF">
        <w:rPr>
          <w:szCs w:val="22"/>
          <w:lang w:val="hr-HR"/>
        </w:rPr>
        <w:t>IGF-1) u serumu.</w:t>
      </w:r>
    </w:p>
    <w:p w14:paraId="470048C7" w14:textId="77777777" w:rsidR="005D3960" w:rsidRPr="00D07CAB" w:rsidRDefault="005D3960" w:rsidP="008D5FAA">
      <w:pPr>
        <w:spacing w:line="240" w:lineRule="auto"/>
        <w:jc w:val="both"/>
        <w:rPr>
          <w:szCs w:val="22"/>
          <w:lang w:val="hr-HR"/>
        </w:rPr>
      </w:pPr>
    </w:p>
    <w:p w14:paraId="5AAA014A" w14:textId="0C53B1BD" w:rsidR="005D3960" w:rsidRPr="007C0730" w:rsidRDefault="005D3960" w:rsidP="008D5FAA">
      <w:pPr>
        <w:spacing w:line="240" w:lineRule="auto"/>
        <w:jc w:val="both"/>
        <w:rPr>
          <w:szCs w:val="22"/>
          <w:lang w:val="hr-HR"/>
        </w:rPr>
      </w:pPr>
      <w:r w:rsidRPr="00255289">
        <w:rPr>
          <w:szCs w:val="22"/>
          <w:lang w:val="hr-HR"/>
        </w:rPr>
        <w:t>Prilikom praćenja IGF-1, uzorke uvijek treba uzimati 4 dana nakon prethodne doze. Prilagođavanja doze treba da budu usmjerena na postizanje prosječnih nivoa indikatora standardne devijacije (</w:t>
      </w:r>
      <w:r w:rsidR="00C1176F">
        <w:rPr>
          <w:szCs w:val="22"/>
          <w:lang w:val="hr-HR"/>
        </w:rPr>
        <w:t xml:space="preserve">engl. </w:t>
      </w:r>
      <w:r w:rsidR="00C1176F" w:rsidRPr="008D5FAA">
        <w:rPr>
          <w:i/>
          <w:szCs w:val="22"/>
          <w:lang w:val="hr-HR"/>
        </w:rPr>
        <w:t>standard deviation score</w:t>
      </w:r>
      <w:r w:rsidR="00C1176F">
        <w:rPr>
          <w:szCs w:val="22"/>
          <w:lang w:val="hr-HR"/>
        </w:rPr>
        <w:t xml:space="preserve">, </w:t>
      </w:r>
      <w:r w:rsidRPr="003813BF">
        <w:rPr>
          <w:szCs w:val="22"/>
          <w:lang w:val="hr-HR"/>
        </w:rPr>
        <w:t>SDS) za IGF-1 u normalnom opsegu, t</w:t>
      </w:r>
      <w:r w:rsidRPr="007C0730">
        <w:rPr>
          <w:szCs w:val="22"/>
          <w:lang w:val="hr-HR"/>
        </w:rPr>
        <w:t>j. između -2 i +2 (poželjno blizu 0 SDS).</w:t>
      </w:r>
    </w:p>
    <w:p w14:paraId="57682D3F" w14:textId="77777777" w:rsidR="005D12A5" w:rsidRPr="00D07CAB" w:rsidRDefault="005D12A5" w:rsidP="008D5FAA">
      <w:pPr>
        <w:spacing w:line="240" w:lineRule="auto"/>
        <w:jc w:val="both"/>
        <w:rPr>
          <w:szCs w:val="22"/>
          <w:lang w:val="hr-HR"/>
        </w:rPr>
      </w:pPr>
    </w:p>
    <w:p w14:paraId="70A20103" w14:textId="199EE695" w:rsidR="005D12A5" w:rsidRPr="00D173DA" w:rsidRDefault="00E41763" w:rsidP="008D5FAA">
      <w:pPr>
        <w:spacing w:line="240" w:lineRule="auto"/>
        <w:jc w:val="both"/>
        <w:rPr>
          <w:szCs w:val="22"/>
          <w:lang w:val="hr-HR"/>
        </w:rPr>
      </w:pPr>
      <w:bookmarkStart w:id="7" w:name="_Hlk85715616"/>
      <w:r w:rsidRPr="00255289">
        <w:rPr>
          <w:szCs w:val="22"/>
          <w:lang w:val="hr-HR"/>
        </w:rPr>
        <w:t xml:space="preserve">Kod pacijenata čije koncentracije IGF-1 u serumu premašuju srednju referentnu vrijednost za njihov uzrast i pol za više od 2 SDS, dozu somatrogona treba smanjiti za 15%. Kod nekih pacijenata može biti potrebno više od jednog smanjenja doze. </w:t>
      </w:r>
    </w:p>
    <w:bookmarkEnd w:id="6"/>
    <w:bookmarkEnd w:id="7"/>
    <w:p w14:paraId="7CD057AD" w14:textId="0F822775" w:rsidR="00B120FF" w:rsidRPr="00C1176F" w:rsidRDefault="00B120FF" w:rsidP="008D5FAA">
      <w:pPr>
        <w:tabs>
          <w:tab w:val="left" w:pos="-97"/>
          <w:tab w:val="left" w:pos="0"/>
          <w:tab w:val="left" w:pos="173"/>
          <w:tab w:val="left" w:pos="2880"/>
        </w:tabs>
        <w:jc w:val="both"/>
        <w:rPr>
          <w:szCs w:val="22"/>
          <w:lang w:val="hr-HR"/>
        </w:rPr>
      </w:pPr>
    </w:p>
    <w:p w14:paraId="4ED75DC3" w14:textId="70A8C250" w:rsidR="005D3960" w:rsidRPr="00C1176F" w:rsidRDefault="005D3960" w:rsidP="008D5FAA">
      <w:pPr>
        <w:keepNext/>
        <w:tabs>
          <w:tab w:val="left" w:pos="-97"/>
          <w:tab w:val="left" w:pos="0"/>
          <w:tab w:val="left" w:pos="173"/>
          <w:tab w:val="left" w:pos="2880"/>
        </w:tabs>
        <w:jc w:val="both"/>
        <w:rPr>
          <w:i/>
          <w:iCs/>
          <w:szCs w:val="22"/>
          <w:lang w:val="hr-HR"/>
        </w:rPr>
      </w:pPr>
      <w:r w:rsidRPr="003813BF">
        <w:rPr>
          <w:i/>
          <w:szCs w:val="22"/>
          <w:lang w:val="hr-HR"/>
        </w:rPr>
        <w:t>Procjena i prekid liječenja</w:t>
      </w:r>
    </w:p>
    <w:p w14:paraId="005E2516" w14:textId="5BF6F46E" w:rsidR="005D3960" w:rsidRPr="00D07CAB" w:rsidRDefault="005D3960" w:rsidP="008D5FAA">
      <w:pPr>
        <w:keepNext/>
        <w:tabs>
          <w:tab w:val="left" w:pos="-97"/>
          <w:tab w:val="left" w:pos="0"/>
          <w:tab w:val="left" w:pos="173"/>
          <w:tab w:val="left" w:pos="2880"/>
        </w:tabs>
        <w:jc w:val="both"/>
        <w:rPr>
          <w:szCs w:val="22"/>
          <w:lang w:val="hr-HR"/>
        </w:rPr>
      </w:pPr>
      <w:r w:rsidRPr="003813BF">
        <w:rPr>
          <w:szCs w:val="22"/>
          <w:lang w:val="hr-HR"/>
        </w:rPr>
        <w:t xml:space="preserve">Procjenu efikasnosti i bezbjednosti treba razmotriti u intervalima od približno 6 do 12 mjeseci i može se postići procjenom auksoloških parametara, biohemije (IGF-1, hormoni, nivoi glukoze) i </w:t>
      </w:r>
      <w:r w:rsidRPr="007C0730">
        <w:rPr>
          <w:szCs w:val="22"/>
          <w:lang w:val="hr-HR"/>
        </w:rPr>
        <w:t>pubertetskog statusa. Preporučuje se rutinsko praćenje SDS nivoa za IGF-1 u serumu tokom cijelog liječenja. Češće procjene treba razmotriti tokom puberteta.</w:t>
      </w:r>
    </w:p>
    <w:p w14:paraId="0F306675" w14:textId="7A012E6D" w:rsidR="005D3960" w:rsidRPr="00C1176F" w:rsidRDefault="005D3960" w:rsidP="008D5FAA">
      <w:pPr>
        <w:tabs>
          <w:tab w:val="left" w:pos="-97"/>
          <w:tab w:val="left" w:pos="0"/>
          <w:tab w:val="left" w:pos="173"/>
          <w:tab w:val="left" w:pos="2880"/>
        </w:tabs>
        <w:jc w:val="both"/>
        <w:rPr>
          <w:szCs w:val="22"/>
          <w:lang w:val="hr-HR"/>
        </w:rPr>
      </w:pPr>
    </w:p>
    <w:p w14:paraId="4C9F1A6C" w14:textId="5554C2B7" w:rsidR="005D3960" w:rsidRPr="00D173DA" w:rsidRDefault="00E41763" w:rsidP="008D5FAA">
      <w:pPr>
        <w:jc w:val="both"/>
        <w:rPr>
          <w:szCs w:val="22"/>
          <w:lang w:val="hr-HR"/>
        </w:rPr>
      </w:pPr>
      <w:bookmarkStart w:id="8" w:name="_Hlk89860269"/>
      <w:r w:rsidRPr="003813BF">
        <w:rPr>
          <w:szCs w:val="22"/>
          <w:lang w:val="hr-HR"/>
        </w:rPr>
        <w:t xml:space="preserve">Liječenje treba prekinuti kada postoje dokazi o zatvaranju epifiznih ploča za rast (vidjeti </w:t>
      </w:r>
      <w:r w:rsidR="00CE7A3D" w:rsidRPr="007C0730">
        <w:rPr>
          <w:szCs w:val="22"/>
          <w:lang w:val="hr-HR"/>
        </w:rPr>
        <w:t xml:space="preserve">dio </w:t>
      </w:r>
      <w:r w:rsidRPr="007C0730">
        <w:rPr>
          <w:szCs w:val="22"/>
          <w:lang w:val="hr-HR"/>
        </w:rPr>
        <w:t xml:space="preserve">4.3). </w:t>
      </w:r>
      <w:bookmarkEnd w:id="8"/>
      <w:r w:rsidRPr="007C0730">
        <w:rPr>
          <w:szCs w:val="22"/>
          <w:lang w:val="hr-HR"/>
        </w:rPr>
        <w:t>Liječenje takođe treba prekinuti kod pacije</w:t>
      </w:r>
      <w:r w:rsidRPr="00D07CAB">
        <w:rPr>
          <w:szCs w:val="22"/>
          <w:lang w:val="hr-HR"/>
        </w:rPr>
        <w:t>nata koji su postigli konačnu visinu ili skoro konačnu visinu, tj. g</w:t>
      </w:r>
      <w:r w:rsidRPr="00255289">
        <w:rPr>
          <w:szCs w:val="22"/>
          <w:lang w:val="hr-HR"/>
        </w:rPr>
        <w:t>odišnju brzinu promjene visine &lt; 2 cm/godišnje ili starost kostiju &gt; 14 godina kod djevojčica ili &gt; 16 godina kod dječaka.</w:t>
      </w:r>
    </w:p>
    <w:p w14:paraId="1A5F146B" w14:textId="76575B4E" w:rsidR="005D3960" w:rsidRPr="00C1176F" w:rsidRDefault="005D3960" w:rsidP="008D5FAA">
      <w:pPr>
        <w:tabs>
          <w:tab w:val="left" w:pos="-97"/>
          <w:tab w:val="left" w:pos="0"/>
          <w:tab w:val="left" w:pos="173"/>
          <w:tab w:val="left" w:pos="2880"/>
        </w:tabs>
        <w:jc w:val="both"/>
        <w:rPr>
          <w:szCs w:val="22"/>
          <w:lang w:val="hr-HR"/>
        </w:rPr>
      </w:pPr>
    </w:p>
    <w:p w14:paraId="6F7F50CA" w14:textId="56BD4D9D" w:rsidR="009724FA" w:rsidRPr="00C1176F" w:rsidRDefault="009724FA" w:rsidP="008D5FAA">
      <w:pPr>
        <w:keepNext/>
        <w:tabs>
          <w:tab w:val="left" w:pos="-97"/>
          <w:tab w:val="left" w:pos="0"/>
          <w:tab w:val="left" w:pos="173"/>
          <w:tab w:val="left" w:pos="2880"/>
        </w:tabs>
        <w:jc w:val="both"/>
        <w:rPr>
          <w:szCs w:val="22"/>
          <w:lang w:val="hr-HR"/>
        </w:rPr>
      </w:pPr>
      <w:r w:rsidRPr="003813BF">
        <w:rPr>
          <w:i/>
          <w:szCs w:val="22"/>
          <w:lang w:val="hr-HR"/>
        </w:rPr>
        <w:t>Propuštena doza</w:t>
      </w:r>
    </w:p>
    <w:p w14:paraId="5DA788E9" w14:textId="61B1BA72" w:rsidR="009724FA" w:rsidRPr="00C1176F" w:rsidRDefault="00D34D8A" w:rsidP="008D5FAA">
      <w:pPr>
        <w:pStyle w:val="ListParagraph"/>
        <w:tabs>
          <w:tab w:val="left" w:pos="-97"/>
          <w:tab w:val="left" w:pos="0"/>
          <w:tab w:val="left" w:pos="73"/>
          <w:tab w:val="left" w:pos="2880"/>
        </w:tabs>
        <w:ind w:left="0"/>
        <w:jc w:val="both"/>
        <w:rPr>
          <w:sz w:val="22"/>
          <w:szCs w:val="22"/>
          <w:lang w:val="hr-HR"/>
        </w:rPr>
      </w:pPr>
      <w:r w:rsidRPr="003813BF">
        <w:rPr>
          <w:sz w:val="22"/>
          <w:szCs w:val="22"/>
          <w:lang w:val="hr-HR"/>
        </w:rPr>
        <w:t xml:space="preserve">Pacijenti treba da održavaju svoj redovni dan doziranja. Ako se propusti doza, somatrogon treba primijeniti što je prije moguće u roku od 3 dana nakon propuštene doze, a zatim treba nastaviti sa uobičajenim rasporedom doziranja jednom nedjeljno. Ako je </w:t>
      </w:r>
      <w:r w:rsidRPr="007C0730">
        <w:rPr>
          <w:sz w:val="22"/>
          <w:szCs w:val="22"/>
          <w:lang w:val="hr-HR"/>
        </w:rPr>
        <w:t>prošlo više od 3 dana, propuštenu dozu treba preskočiti i sljedeću dozu treba primijeniti na dan predviđen rasporedom. U svakom slučaju, pacijenti mogu da nastave sa uobičajenim rasporedom doziranja jednom nedjeljno.</w:t>
      </w:r>
    </w:p>
    <w:p w14:paraId="03F0F4BF" w14:textId="2579CAAE" w:rsidR="00082523" w:rsidRPr="003813BF" w:rsidRDefault="00082523" w:rsidP="008D5FAA">
      <w:pPr>
        <w:pStyle w:val="ListParagraph"/>
        <w:tabs>
          <w:tab w:val="left" w:pos="-97"/>
          <w:tab w:val="left" w:pos="0"/>
          <w:tab w:val="left" w:pos="73"/>
          <w:tab w:val="left" w:pos="2880"/>
        </w:tabs>
        <w:ind w:left="0"/>
        <w:jc w:val="both"/>
        <w:rPr>
          <w:sz w:val="22"/>
          <w:szCs w:val="22"/>
          <w:lang w:val="hr-HR"/>
        </w:rPr>
      </w:pPr>
    </w:p>
    <w:p w14:paraId="46F55303" w14:textId="77777777" w:rsidR="009724FA" w:rsidRPr="00C1176F" w:rsidRDefault="009724FA" w:rsidP="008D5FAA">
      <w:pPr>
        <w:tabs>
          <w:tab w:val="left" w:pos="-97"/>
          <w:tab w:val="left" w:pos="0"/>
          <w:tab w:val="left" w:pos="173"/>
          <w:tab w:val="left" w:pos="2880"/>
        </w:tabs>
        <w:jc w:val="both"/>
        <w:rPr>
          <w:i/>
          <w:iCs/>
          <w:szCs w:val="22"/>
          <w:lang w:val="hr-HR"/>
        </w:rPr>
      </w:pPr>
      <w:r w:rsidRPr="007C0730">
        <w:rPr>
          <w:i/>
          <w:szCs w:val="22"/>
          <w:lang w:val="hr-HR"/>
        </w:rPr>
        <w:t>Promjena dana doziranja</w:t>
      </w:r>
    </w:p>
    <w:p w14:paraId="4589E52B" w14:textId="7EA4AA4F" w:rsidR="00767DDA" w:rsidRPr="00C1176F" w:rsidRDefault="009724FA" w:rsidP="008D5FAA">
      <w:pPr>
        <w:pStyle w:val="ListParagraph"/>
        <w:tabs>
          <w:tab w:val="left" w:pos="-97"/>
          <w:tab w:val="left" w:pos="0"/>
          <w:tab w:val="left" w:pos="73"/>
          <w:tab w:val="left" w:pos="2880"/>
        </w:tabs>
        <w:ind w:left="0"/>
        <w:jc w:val="both"/>
        <w:rPr>
          <w:sz w:val="22"/>
          <w:szCs w:val="22"/>
          <w:lang w:val="hr-HR"/>
        </w:rPr>
      </w:pPr>
      <w:r w:rsidRPr="003813BF">
        <w:rPr>
          <w:sz w:val="22"/>
          <w:szCs w:val="22"/>
          <w:lang w:val="hr-HR"/>
        </w:rPr>
        <w:t>Dan u nedjelj</w:t>
      </w:r>
      <w:r w:rsidRPr="007C0730">
        <w:rPr>
          <w:sz w:val="22"/>
          <w:szCs w:val="22"/>
          <w:lang w:val="hr-HR"/>
        </w:rPr>
        <w:t>i kada se primjenjuje lijek može da se promijeni po potrebi pod uslovom da je vrijeme između dvije doze najmanje 3 dana. Nakon izbora novog dana doziranja, doziranje jednom nedjeljno treba nastaviti.</w:t>
      </w:r>
    </w:p>
    <w:p w14:paraId="4C612C82" w14:textId="77777777" w:rsidR="009724FA" w:rsidRPr="003813BF" w:rsidRDefault="009724FA" w:rsidP="008D5FAA">
      <w:pPr>
        <w:pStyle w:val="ListParagraph"/>
        <w:tabs>
          <w:tab w:val="left" w:pos="-97"/>
          <w:tab w:val="left" w:pos="0"/>
          <w:tab w:val="left" w:pos="73"/>
          <w:tab w:val="left" w:pos="2880"/>
        </w:tabs>
        <w:ind w:left="0"/>
        <w:jc w:val="both"/>
        <w:rPr>
          <w:sz w:val="22"/>
          <w:szCs w:val="22"/>
          <w:lang w:val="hr-HR"/>
        </w:rPr>
      </w:pPr>
    </w:p>
    <w:p w14:paraId="5640B20F" w14:textId="6593F580" w:rsidR="00895BE6" w:rsidRPr="00C1176F" w:rsidRDefault="00895BE6" w:rsidP="008D5FAA">
      <w:pPr>
        <w:tabs>
          <w:tab w:val="left" w:pos="-97"/>
          <w:tab w:val="left" w:pos="0"/>
          <w:tab w:val="left" w:pos="173"/>
          <w:tab w:val="left" w:pos="2880"/>
        </w:tabs>
        <w:jc w:val="both"/>
        <w:rPr>
          <w:szCs w:val="22"/>
          <w:u w:val="single"/>
          <w:lang w:val="hr-HR"/>
        </w:rPr>
      </w:pPr>
      <w:r w:rsidRPr="007C0730">
        <w:rPr>
          <w:szCs w:val="22"/>
          <w:u w:val="single"/>
          <w:lang w:val="hr-HR"/>
        </w:rPr>
        <w:t>Posebne populacije</w:t>
      </w:r>
    </w:p>
    <w:p w14:paraId="4C1A95A2" w14:textId="77777777" w:rsidR="00895BE6" w:rsidRPr="00C1176F" w:rsidRDefault="00895BE6" w:rsidP="008D5FAA">
      <w:pPr>
        <w:pStyle w:val="ListParagraph"/>
        <w:ind w:left="0"/>
        <w:jc w:val="both"/>
        <w:rPr>
          <w:i/>
          <w:sz w:val="22"/>
          <w:szCs w:val="22"/>
          <w:u w:val="single"/>
          <w:lang w:val="hr-HR"/>
        </w:rPr>
      </w:pPr>
    </w:p>
    <w:p w14:paraId="23200467" w14:textId="77777777" w:rsidR="003F54AB" w:rsidRPr="00C1176F" w:rsidRDefault="003F54AB" w:rsidP="008D5FAA">
      <w:pPr>
        <w:pStyle w:val="ListParagraph"/>
        <w:ind w:left="0"/>
        <w:jc w:val="both"/>
        <w:rPr>
          <w:i/>
          <w:sz w:val="22"/>
          <w:szCs w:val="22"/>
          <w:lang w:val="hr-HR"/>
        </w:rPr>
      </w:pPr>
      <w:r w:rsidRPr="003813BF">
        <w:rPr>
          <w:i/>
          <w:sz w:val="22"/>
          <w:szCs w:val="22"/>
          <w:lang w:val="hr-HR"/>
        </w:rPr>
        <w:t xml:space="preserve">Starije osobe </w:t>
      </w:r>
    </w:p>
    <w:p w14:paraId="53CBAB3A" w14:textId="1819831B" w:rsidR="00483C0A" w:rsidRPr="00C1176F" w:rsidRDefault="003F54AB" w:rsidP="008D5FAA">
      <w:pPr>
        <w:spacing w:line="240" w:lineRule="auto"/>
        <w:jc w:val="both"/>
        <w:rPr>
          <w:szCs w:val="22"/>
          <w:lang w:val="hr-HR"/>
        </w:rPr>
      </w:pPr>
      <w:r w:rsidRPr="003813BF">
        <w:rPr>
          <w:color w:val="222222"/>
          <w:szCs w:val="22"/>
          <w:shd w:val="clear" w:color="auto" w:fill="FFFFFF"/>
          <w:lang w:val="hr-HR"/>
        </w:rPr>
        <w:t xml:space="preserve">Bezbjednost i </w:t>
      </w:r>
      <w:r w:rsidRPr="007C0730">
        <w:rPr>
          <w:color w:val="222222"/>
          <w:szCs w:val="22"/>
          <w:shd w:val="clear" w:color="auto" w:fill="FFFFFF"/>
          <w:lang w:val="hr-HR"/>
        </w:rPr>
        <w:t>efikasnost somatrogona kod pacijenata starijih od 65 godina</w:t>
      </w:r>
      <w:r w:rsidRPr="007C0730">
        <w:rPr>
          <w:szCs w:val="22"/>
          <w:lang w:val="hr-HR"/>
        </w:rPr>
        <w:t xml:space="preserve"> nijesu</w:t>
      </w:r>
      <w:r w:rsidRPr="007C0730">
        <w:rPr>
          <w:color w:val="222222"/>
          <w:szCs w:val="22"/>
          <w:shd w:val="clear" w:color="auto" w:fill="FFFFFF"/>
          <w:lang w:val="hr-HR"/>
        </w:rPr>
        <w:t xml:space="preserve"> utvrđene.</w:t>
      </w:r>
      <w:r w:rsidRPr="007C0730">
        <w:rPr>
          <w:szCs w:val="22"/>
          <w:lang w:val="hr-HR"/>
        </w:rPr>
        <w:t xml:space="preserve"> Nema dostupnih podataka.</w:t>
      </w:r>
    </w:p>
    <w:p w14:paraId="59F727B2" w14:textId="77777777" w:rsidR="00634E92" w:rsidRPr="00C1176F" w:rsidRDefault="00634E92" w:rsidP="008D5FAA">
      <w:pPr>
        <w:spacing w:line="240" w:lineRule="auto"/>
        <w:jc w:val="both"/>
        <w:rPr>
          <w:szCs w:val="22"/>
          <w:lang w:val="hr-HR"/>
        </w:rPr>
      </w:pPr>
    </w:p>
    <w:p w14:paraId="2F5964BD" w14:textId="77777777" w:rsidR="00AE3982" w:rsidRPr="00C1176F" w:rsidRDefault="00AE3982" w:rsidP="008D5FAA">
      <w:pPr>
        <w:keepNext/>
        <w:jc w:val="both"/>
        <w:rPr>
          <w:i/>
          <w:color w:val="000000"/>
          <w:szCs w:val="22"/>
          <w:lang w:val="hr-HR"/>
        </w:rPr>
      </w:pPr>
      <w:r w:rsidRPr="007C0730">
        <w:rPr>
          <w:i/>
          <w:color w:val="000000"/>
          <w:szCs w:val="22"/>
          <w:lang w:val="hr-HR"/>
        </w:rPr>
        <w:lastRenderedPageBreak/>
        <w:t>Oštećenje funkcije bubrega</w:t>
      </w:r>
    </w:p>
    <w:p w14:paraId="640F05AB" w14:textId="6FFC98B5" w:rsidR="00AE3982" w:rsidRPr="007C0730" w:rsidRDefault="00524F64" w:rsidP="008D5FAA">
      <w:pPr>
        <w:pStyle w:val="ListParagraph"/>
        <w:ind w:left="0"/>
        <w:jc w:val="both"/>
        <w:rPr>
          <w:lang w:val="hr-HR"/>
        </w:rPr>
      </w:pPr>
      <w:r w:rsidRPr="007C0730">
        <w:rPr>
          <w:szCs w:val="22"/>
          <w:lang w:val="hr-HR"/>
        </w:rPr>
        <w:t xml:space="preserve">Somatrogon nije bio istraživan kod pacijenata sa oštećenjem bubrega. Ne može se dati preporuka o dozi. </w:t>
      </w:r>
    </w:p>
    <w:p w14:paraId="1053EE0F" w14:textId="57C80773" w:rsidR="00F871F1" w:rsidRPr="007C0730" w:rsidRDefault="003F54AB" w:rsidP="008D5FAA">
      <w:pPr>
        <w:pStyle w:val="ListParagraph"/>
        <w:keepNext/>
        <w:ind w:left="0"/>
        <w:jc w:val="both"/>
        <w:rPr>
          <w:i/>
          <w:color w:val="000000"/>
          <w:sz w:val="22"/>
          <w:szCs w:val="22"/>
          <w:lang w:val="hr-HR"/>
        </w:rPr>
      </w:pPr>
      <w:r w:rsidRPr="007C0730">
        <w:rPr>
          <w:i/>
          <w:color w:val="000000"/>
          <w:sz w:val="22"/>
          <w:szCs w:val="22"/>
          <w:lang w:val="hr-HR"/>
        </w:rPr>
        <w:t>Oštećenje funkcije jetre</w:t>
      </w:r>
    </w:p>
    <w:p w14:paraId="7B0D062C" w14:textId="3E1838D1" w:rsidR="003F54AB" w:rsidRPr="00C1176F" w:rsidRDefault="00524F64" w:rsidP="008D5FAA">
      <w:pPr>
        <w:pStyle w:val="ListParagraph"/>
        <w:ind w:left="0"/>
        <w:jc w:val="both"/>
        <w:rPr>
          <w:sz w:val="22"/>
          <w:szCs w:val="22"/>
          <w:lang w:val="hr-HR"/>
        </w:rPr>
      </w:pPr>
      <w:r w:rsidRPr="00D07CAB">
        <w:rPr>
          <w:sz w:val="22"/>
          <w:szCs w:val="22"/>
          <w:lang w:val="hr-HR"/>
        </w:rPr>
        <w:t xml:space="preserve">Somatrogon nije bio istraživan kod pacijenata sa oštećenjem funkcije jetre. Ne može se dati preporuka o dozi. </w:t>
      </w:r>
    </w:p>
    <w:p w14:paraId="5571B9CE" w14:textId="7ECC82EB" w:rsidR="00B120FF" w:rsidRPr="00C1176F" w:rsidRDefault="00B120FF" w:rsidP="008D5FAA">
      <w:pPr>
        <w:pStyle w:val="ListParagraph"/>
        <w:ind w:left="0"/>
        <w:jc w:val="both"/>
        <w:rPr>
          <w:sz w:val="22"/>
          <w:szCs w:val="22"/>
          <w:lang w:val="hr-HR" w:eastAsia="en-US"/>
        </w:rPr>
      </w:pPr>
    </w:p>
    <w:p w14:paraId="0DD4A25D" w14:textId="06C770AE" w:rsidR="00B120FF" w:rsidRPr="00C1176F" w:rsidRDefault="00B120FF" w:rsidP="008D5FAA">
      <w:pPr>
        <w:pStyle w:val="Footer"/>
        <w:jc w:val="both"/>
        <w:rPr>
          <w:rFonts w:ascii="Times New Roman" w:hAnsi="Times New Roman"/>
          <w:i/>
          <w:iCs/>
          <w:noProof w:val="0"/>
          <w:color w:val="000000" w:themeColor="text1"/>
          <w:sz w:val="22"/>
          <w:szCs w:val="22"/>
          <w:lang w:val="hr-HR"/>
        </w:rPr>
      </w:pPr>
      <w:r w:rsidRPr="007C0730">
        <w:rPr>
          <w:rFonts w:ascii="Times New Roman" w:hAnsi="Times New Roman"/>
          <w:i/>
          <w:noProof w:val="0"/>
          <w:color w:val="000000" w:themeColor="text1"/>
          <w:sz w:val="22"/>
          <w:szCs w:val="22"/>
          <w:lang w:val="hr-HR"/>
        </w:rPr>
        <w:t xml:space="preserve">Pedijatrijska populacija </w:t>
      </w:r>
    </w:p>
    <w:p w14:paraId="31658DAC" w14:textId="42B2B24E" w:rsidR="00B120FF" w:rsidRPr="00C1176F" w:rsidRDefault="00B120FF" w:rsidP="008D5FAA">
      <w:pPr>
        <w:pStyle w:val="Footer"/>
        <w:jc w:val="both"/>
        <w:rPr>
          <w:rFonts w:ascii="Times New Roman" w:hAnsi="Times New Roman"/>
          <w:noProof w:val="0"/>
          <w:color w:val="000000" w:themeColor="text1"/>
          <w:sz w:val="22"/>
          <w:szCs w:val="22"/>
          <w:lang w:val="hr-HR"/>
        </w:rPr>
      </w:pPr>
      <w:r w:rsidRPr="007C0730">
        <w:rPr>
          <w:rFonts w:ascii="Times New Roman" w:hAnsi="Times New Roman"/>
          <w:noProof w:val="0"/>
          <w:color w:val="000000" w:themeColor="text1"/>
          <w:sz w:val="22"/>
          <w:szCs w:val="22"/>
          <w:lang w:val="hr-HR"/>
        </w:rPr>
        <w:t xml:space="preserve">Bezbjednost i efikasnost somatrogona kod novorođenčadi, odojčadi i djece mlađe od 3 godine još uvijek nijesu utvrđene. Nema dostupnih podataka. </w:t>
      </w:r>
    </w:p>
    <w:p w14:paraId="28E7728D" w14:textId="77777777" w:rsidR="00C24D5C" w:rsidRPr="00C1176F" w:rsidRDefault="00C24D5C" w:rsidP="008D5FAA">
      <w:pPr>
        <w:tabs>
          <w:tab w:val="left" w:pos="-97"/>
          <w:tab w:val="left" w:pos="0"/>
          <w:tab w:val="left" w:pos="173"/>
          <w:tab w:val="left" w:pos="2880"/>
        </w:tabs>
        <w:jc w:val="both"/>
        <w:rPr>
          <w:szCs w:val="22"/>
          <w:lang w:val="hr-HR"/>
        </w:rPr>
      </w:pPr>
    </w:p>
    <w:p w14:paraId="2FD81B2A" w14:textId="77777777" w:rsidR="00B23634" w:rsidRPr="00C1176F" w:rsidRDefault="00B23634" w:rsidP="008D5FAA">
      <w:pPr>
        <w:spacing w:line="240" w:lineRule="auto"/>
        <w:jc w:val="both"/>
        <w:rPr>
          <w:szCs w:val="22"/>
          <w:u w:val="single"/>
          <w:lang w:val="hr-HR"/>
        </w:rPr>
      </w:pPr>
      <w:r w:rsidRPr="007C0730">
        <w:rPr>
          <w:szCs w:val="22"/>
          <w:u w:val="single"/>
          <w:lang w:val="hr-HR"/>
        </w:rPr>
        <w:t xml:space="preserve">Način primjene </w:t>
      </w:r>
    </w:p>
    <w:p w14:paraId="1096E2DE" w14:textId="77777777" w:rsidR="00B23634" w:rsidRPr="00C1176F" w:rsidRDefault="00B23634" w:rsidP="008D5FAA">
      <w:pPr>
        <w:tabs>
          <w:tab w:val="left" w:pos="-97"/>
          <w:tab w:val="left" w:pos="0"/>
          <w:tab w:val="left" w:pos="173"/>
          <w:tab w:val="left" w:pos="2880"/>
        </w:tabs>
        <w:jc w:val="both"/>
        <w:rPr>
          <w:szCs w:val="22"/>
          <w:lang w:val="hr-HR"/>
        </w:rPr>
      </w:pPr>
    </w:p>
    <w:p w14:paraId="078A1281" w14:textId="337BD9A3" w:rsidR="00B23634" w:rsidRPr="00C1176F" w:rsidRDefault="00524F64" w:rsidP="008D5FAA">
      <w:pPr>
        <w:tabs>
          <w:tab w:val="left" w:pos="-97"/>
          <w:tab w:val="left" w:pos="0"/>
          <w:tab w:val="left" w:pos="173"/>
          <w:tab w:val="left" w:pos="2880"/>
        </w:tabs>
        <w:jc w:val="both"/>
        <w:rPr>
          <w:szCs w:val="22"/>
          <w:lang w:val="hr-HR"/>
        </w:rPr>
      </w:pPr>
      <w:r w:rsidRPr="007C0730">
        <w:rPr>
          <w:szCs w:val="22"/>
          <w:lang w:val="hr-HR"/>
        </w:rPr>
        <w:t>Somatrogon se primjenjuje subkutanom injekcijom.</w:t>
      </w:r>
    </w:p>
    <w:p w14:paraId="56F486A6" w14:textId="77777777" w:rsidR="00B23634" w:rsidRPr="00C1176F" w:rsidRDefault="00B23634" w:rsidP="008D5FAA">
      <w:pPr>
        <w:tabs>
          <w:tab w:val="left" w:pos="-97"/>
          <w:tab w:val="left" w:pos="0"/>
          <w:tab w:val="left" w:pos="173"/>
          <w:tab w:val="left" w:pos="2880"/>
        </w:tabs>
        <w:jc w:val="both"/>
        <w:rPr>
          <w:szCs w:val="22"/>
          <w:lang w:val="hr-HR"/>
        </w:rPr>
      </w:pPr>
    </w:p>
    <w:p w14:paraId="7DDE7973" w14:textId="7167A1B5" w:rsidR="00B23634" w:rsidRPr="00C1176F" w:rsidRDefault="00524F64" w:rsidP="008D5FAA">
      <w:pPr>
        <w:tabs>
          <w:tab w:val="left" w:pos="-97"/>
          <w:tab w:val="left" w:pos="0"/>
          <w:tab w:val="left" w:pos="173"/>
          <w:tab w:val="left" w:pos="2880"/>
        </w:tabs>
        <w:jc w:val="both"/>
        <w:rPr>
          <w:szCs w:val="22"/>
          <w:lang w:val="hr-HR"/>
        </w:rPr>
      </w:pPr>
      <w:r w:rsidRPr="007C0730">
        <w:rPr>
          <w:szCs w:val="22"/>
          <w:lang w:val="hr-HR"/>
        </w:rPr>
        <w:t>Somatrogon se ubrizgava u stomak, butine, zadnjicu ili nadlaktice. Mjesto ubrizgavanja treba mijenjati pri svakoj primjeni. Injekcije u nadlaktice i zadnjicu treba da daje njegovatelj.</w:t>
      </w:r>
    </w:p>
    <w:p w14:paraId="5AE6273D" w14:textId="29F65E25" w:rsidR="00B23634" w:rsidRPr="00C1176F" w:rsidRDefault="00B23634" w:rsidP="008D5FAA">
      <w:pPr>
        <w:tabs>
          <w:tab w:val="left" w:pos="-97"/>
          <w:tab w:val="left" w:pos="0"/>
          <w:tab w:val="left" w:pos="173"/>
          <w:tab w:val="left" w:pos="2880"/>
        </w:tabs>
        <w:jc w:val="both"/>
        <w:rPr>
          <w:szCs w:val="22"/>
          <w:lang w:val="hr-HR"/>
        </w:rPr>
      </w:pPr>
    </w:p>
    <w:p w14:paraId="1FBD4752" w14:textId="6DC35F7D" w:rsidR="005D3960" w:rsidRPr="00C1176F" w:rsidRDefault="005D3960" w:rsidP="008D5FAA">
      <w:pPr>
        <w:jc w:val="both"/>
        <w:rPr>
          <w:szCs w:val="22"/>
          <w:lang w:val="hr-HR"/>
        </w:rPr>
      </w:pPr>
      <w:r w:rsidRPr="007C0730">
        <w:rPr>
          <w:szCs w:val="22"/>
          <w:lang w:val="hr-HR"/>
        </w:rPr>
        <w:t>Pacijent i njegovatelj treba da prođu obuku kako bi se obezbijedilo razumijevanje procedure primjene radi podršk</w:t>
      </w:r>
      <w:r w:rsidRPr="00D07CAB">
        <w:rPr>
          <w:szCs w:val="22"/>
          <w:lang w:val="hr-HR"/>
        </w:rPr>
        <w:t>e prilikom samoprimjene.</w:t>
      </w:r>
    </w:p>
    <w:p w14:paraId="6B867181" w14:textId="77777777" w:rsidR="005D3960" w:rsidRPr="00C1176F" w:rsidRDefault="005D3960" w:rsidP="008D5FAA">
      <w:pPr>
        <w:tabs>
          <w:tab w:val="left" w:pos="-97"/>
          <w:tab w:val="left" w:pos="0"/>
          <w:tab w:val="left" w:pos="173"/>
          <w:tab w:val="left" w:pos="2880"/>
        </w:tabs>
        <w:jc w:val="both"/>
        <w:rPr>
          <w:szCs w:val="22"/>
          <w:lang w:val="hr-HR"/>
        </w:rPr>
      </w:pPr>
    </w:p>
    <w:p w14:paraId="7ABE31CF" w14:textId="294F648A" w:rsidR="00083211" w:rsidRPr="00C1176F" w:rsidRDefault="00083211" w:rsidP="008D5FAA">
      <w:pPr>
        <w:pStyle w:val="ListParagraph"/>
        <w:tabs>
          <w:tab w:val="left" w:pos="-97"/>
          <w:tab w:val="left" w:pos="0"/>
          <w:tab w:val="left" w:pos="73"/>
          <w:tab w:val="left" w:pos="2880"/>
        </w:tabs>
        <w:ind w:left="0"/>
        <w:jc w:val="both"/>
        <w:rPr>
          <w:sz w:val="22"/>
          <w:szCs w:val="22"/>
          <w:lang w:val="hr-HR"/>
        </w:rPr>
      </w:pPr>
      <w:r w:rsidRPr="007C0730">
        <w:rPr>
          <w:sz w:val="22"/>
          <w:szCs w:val="22"/>
          <w:lang w:val="hr-HR"/>
        </w:rPr>
        <w:t>Ako je za isporuku kompletne doze potrebno više od jedne injekcije, svaku injekciju treba primijeniti na drugom mjestu ubrizgavanja.</w:t>
      </w:r>
    </w:p>
    <w:p w14:paraId="6D89BED8" w14:textId="1D3385AF" w:rsidR="00083211" w:rsidRPr="00C1176F" w:rsidRDefault="00083211" w:rsidP="008D5FAA">
      <w:pPr>
        <w:tabs>
          <w:tab w:val="left" w:pos="-97"/>
          <w:tab w:val="left" w:pos="0"/>
          <w:tab w:val="left" w:pos="173"/>
          <w:tab w:val="left" w:pos="2880"/>
        </w:tabs>
        <w:jc w:val="both"/>
        <w:rPr>
          <w:szCs w:val="22"/>
          <w:lang w:val="hr-HR"/>
        </w:rPr>
      </w:pPr>
    </w:p>
    <w:p w14:paraId="1025DB4D" w14:textId="18FDD04D" w:rsidR="003F13C7" w:rsidRPr="00C1176F" w:rsidRDefault="00524F64" w:rsidP="008D5FAA">
      <w:pPr>
        <w:pStyle w:val="Paragraph"/>
        <w:spacing w:after="0"/>
        <w:jc w:val="both"/>
        <w:rPr>
          <w:sz w:val="22"/>
          <w:szCs w:val="22"/>
          <w:u w:val="single"/>
          <w:lang w:val="hr-HR"/>
        </w:rPr>
      </w:pPr>
      <w:r w:rsidRPr="007C0730">
        <w:rPr>
          <w:sz w:val="22"/>
          <w:szCs w:val="22"/>
          <w:lang w:val="hr-HR"/>
        </w:rPr>
        <w:t>Somatrogon se primjenjuje jednom nedjeljno, istog dana svake nedjelje, u bilo koje doba dana.</w:t>
      </w:r>
    </w:p>
    <w:p w14:paraId="76139A28" w14:textId="77777777" w:rsidR="003F13C7" w:rsidRPr="00C1176F" w:rsidRDefault="003F13C7" w:rsidP="008D5FAA">
      <w:pPr>
        <w:pStyle w:val="Paragraph"/>
        <w:spacing w:after="0"/>
        <w:jc w:val="both"/>
        <w:rPr>
          <w:sz w:val="22"/>
          <w:szCs w:val="22"/>
          <w:u w:val="single"/>
          <w:lang w:val="hr-HR"/>
        </w:rPr>
      </w:pPr>
    </w:p>
    <w:p w14:paraId="6CC453EB" w14:textId="671BF7B0" w:rsidR="003973E2" w:rsidRPr="00C1176F" w:rsidRDefault="003973E2" w:rsidP="008D5FAA">
      <w:pPr>
        <w:pStyle w:val="Paragraph"/>
        <w:spacing w:after="0"/>
        <w:jc w:val="both"/>
        <w:rPr>
          <w:i/>
          <w:iCs/>
          <w:color w:val="000000" w:themeColor="text1"/>
          <w:sz w:val="22"/>
          <w:szCs w:val="22"/>
          <w:lang w:val="hr-HR"/>
        </w:rPr>
      </w:pPr>
      <w:r w:rsidRPr="007C0730">
        <w:rPr>
          <w:i/>
          <w:sz w:val="22"/>
          <w:szCs w:val="22"/>
          <w:lang w:val="hr-HR"/>
        </w:rPr>
        <w:t>Ngenla</w:t>
      </w:r>
      <w:r w:rsidRPr="008D5FAA">
        <w:rPr>
          <w:i/>
          <w:color w:val="000000" w:themeColor="text1"/>
          <w:sz w:val="22"/>
          <w:szCs w:val="22"/>
          <w:lang w:val="hr-HR"/>
        </w:rPr>
        <w:t xml:space="preserve"> </w:t>
      </w:r>
      <w:r w:rsidRPr="007C0730">
        <w:rPr>
          <w:i/>
          <w:color w:val="000000" w:themeColor="text1"/>
          <w:sz w:val="22"/>
          <w:szCs w:val="22"/>
          <w:lang w:val="hr-HR"/>
        </w:rPr>
        <w:t>24 mg rastvor za injekciju u napunjeno</w:t>
      </w:r>
      <w:r w:rsidR="00DE72B3" w:rsidRPr="007C0730">
        <w:rPr>
          <w:i/>
          <w:color w:val="000000" w:themeColor="text1"/>
          <w:sz w:val="22"/>
          <w:szCs w:val="22"/>
          <w:lang w:val="hr-HR"/>
        </w:rPr>
        <w:t>m injekcionom penu</w:t>
      </w:r>
    </w:p>
    <w:p w14:paraId="2E601DE2" w14:textId="2F471B6C" w:rsidR="00E80518" w:rsidRPr="00C1176F" w:rsidRDefault="00E80518" w:rsidP="008D5FAA">
      <w:pPr>
        <w:pStyle w:val="NormalWeb"/>
        <w:shd w:val="clear" w:color="auto" w:fill="FFFFFF"/>
        <w:spacing w:before="0" w:beforeAutospacing="0" w:after="0" w:afterAutospacing="0"/>
        <w:jc w:val="both"/>
        <w:rPr>
          <w:sz w:val="22"/>
          <w:szCs w:val="22"/>
          <w:lang w:val="hr-HR"/>
        </w:rPr>
      </w:pPr>
      <w:r w:rsidRPr="007C0730">
        <w:rPr>
          <w:sz w:val="22"/>
          <w:szCs w:val="22"/>
          <w:lang w:val="hr-HR"/>
        </w:rPr>
        <w:t>Napunjen</w:t>
      </w:r>
      <w:r w:rsidR="00DE72B3" w:rsidRPr="007C0730">
        <w:rPr>
          <w:sz w:val="22"/>
          <w:szCs w:val="22"/>
          <w:lang w:val="hr-HR"/>
        </w:rPr>
        <w:t>i injekcioni pen</w:t>
      </w:r>
      <w:r w:rsidRPr="007C0730">
        <w:rPr>
          <w:sz w:val="22"/>
          <w:szCs w:val="22"/>
          <w:lang w:val="hr-HR"/>
        </w:rPr>
        <w:t xml:space="preserve"> isporučuje doze od 0,2 mg do 12 mg somatrogona u </w:t>
      </w:r>
      <w:r w:rsidR="00726B3A" w:rsidRPr="007C0730">
        <w:rPr>
          <w:sz w:val="22"/>
          <w:szCs w:val="22"/>
          <w:lang w:val="hr-HR"/>
        </w:rPr>
        <w:t>koracima</w:t>
      </w:r>
      <w:r w:rsidRPr="007C0730">
        <w:rPr>
          <w:sz w:val="22"/>
          <w:szCs w:val="22"/>
          <w:lang w:val="hr-HR"/>
        </w:rPr>
        <w:t xml:space="preserve"> od 0,2 mg (0,01 m</w:t>
      </w:r>
      <w:r w:rsidR="00CD0186" w:rsidRPr="00D07CAB">
        <w:rPr>
          <w:sz w:val="22"/>
          <w:szCs w:val="22"/>
          <w:lang w:val="hr-HR"/>
        </w:rPr>
        <w:t>l</w:t>
      </w:r>
      <w:r w:rsidRPr="00D07CAB">
        <w:rPr>
          <w:sz w:val="22"/>
          <w:szCs w:val="22"/>
          <w:lang w:val="hr-HR"/>
        </w:rPr>
        <w:t>).</w:t>
      </w:r>
    </w:p>
    <w:p w14:paraId="38673EB2" w14:textId="77777777" w:rsidR="00E80518" w:rsidRPr="00C1176F" w:rsidRDefault="00E80518" w:rsidP="008D5FAA">
      <w:pPr>
        <w:pStyle w:val="NormalWeb"/>
        <w:shd w:val="clear" w:color="auto" w:fill="FFFFFF"/>
        <w:spacing w:before="0" w:beforeAutospacing="0" w:after="0" w:afterAutospacing="0"/>
        <w:jc w:val="both"/>
        <w:rPr>
          <w:sz w:val="22"/>
          <w:szCs w:val="22"/>
          <w:lang w:val="hr-HR"/>
        </w:rPr>
      </w:pPr>
    </w:p>
    <w:p w14:paraId="612B572F" w14:textId="0439DF29" w:rsidR="003973E2" w:rsidRPr="00C1176F" w:rsidRDefault="003973E2" w:rsidP="008D5FAA">
      <w:pPr>
        <w:pStyle w:val="Paragraph"/>
        <w:keepNext/>
        <w:spacing w:after="0"/>
        <w:jc w:val="both"/>
        <w:rPr>
          <w:i/>
          <w:iCs/>
          <w:sz w:val="22"/>
          <w:szCs w:val="22"/>
          <w:lang w:val="hr-HR"/>
        </w:rPr>
      </w:pPr>
      <w:r w:rsidRPr="007C0730">
        <w:rPr>
          <w:i/>
          <w:sz w:val="22"/>
          <w:szCs w:val="22"/>
          <w:lang w:val="hr-HR"/>
        </w:rPr>
        <w:t>Ngenla</w:t>
      </w:r>
      <w:r w:rsidRPr="008D5FAA">
        <w:rPr>
          <w:i/>
          <w:sz w:val="22"/>
          <w:szCs w:val="22"/>
          <w:lang w:val="hr-HR"/>
        </w:rPr>
        <w:t xml:space="preserve"> </w:t>
      </w:r>
      <w:r w:rsidRPr="007C0730">
        <w:rPr>
          <w:i/>
          <w:sz w:val="22"/>
          <w:szCs w:val="22"/>
          <w:lang w:val="hr-HR"/>
        </w:rPr>
        <w:t>60 mg rastvor za injekciju u napunjeno</w:t>
      </w:r>
      <w:r w:rsidR="00DE72B3" w:rsidRPr="007C0730">
        <w:rPr>
          <w:i/>
          <w:sz w:val="22"/>
          <w:szCs w:val="22"/>
          <w:lang w:val="hr-HR"/>
        </w:rPr>
        <w:t>m injekcionom penu</w:t>
      </w:r>
    </w:p>
    <w:p w14:paraId="2FBCA2D1" w14:textId="27870F29" w:rsidR="00E80518" w:rsidRPr="00C1176F" w:rsidRDefault="00E80518" w:rsidP="008D5FAA">
      <w:pPr>
        <w:pStyle w:val="Paragraph"/>
        <w:spacing w:after="0"/>
        <w:jc w:val="both"/>
        <w:rPr>
          <w:sz w:val="22"/>
          <w:szCs w:val="22"/>
          <w:lang w:val="hr-HR"/>
        </w:rPr>
      </w:pPr>
      <w:r w:rsidRPr="007C0730">
        <w:rPr>
          <w:sz w:val="22"/>
          <w:szCs w:val="22"/>
          <w:lang w:val="hr-HR"/>
        </w:rPr>
        <w:t>Napunjen</w:t>
      </w:r>
      <w:r w:rsidR="00DE72B3" w:rsidRPr="007C0730">
        <w:rPr>
          <w:sz w:val="22"/>
          <w:szCs w:val="22"/>
          <w:lang w:val="hr-HR"/>
        </w:rPr>
        <w:t>i injekcioni pen</w:t>
      </w:r>
      <w:r w:rsidRPr="007C0730">
        <w:rPr>
          <w:sz w:val="22"/>
          <w:szCs w:val="22"/>
          <w:lang w:val="hr-HR"/>
        </w:rPr>
        <w:t xml:space="preserve"> isporučuje doze od 0,5 mg do 30 mg somatrogona u </w:t>
      </w:r>
      <w:r w:rsidR="00726B3A" w:rsidRPr="007C0730">
        <w:rPr>
          <w:sz w:val="22"/>
          <w:szCs w:val="22"/>
          <w:lang w:val="hr-HR"/>
        </w:rPr>
        <w:t>koracima</w:t>
      </w:r>
      <w:r w:rsidRPr="007C0730">
        <w:rPr>
          <w:sz w:val="22"/>
          <w:szCs w:val="22"/>
          <w:lang w:val="hr-HR"/>
        </w:rPr>
        <w:t xml:space="preserve"> od 0,5 mg (0,01 m</w:t>
      </w:r>
      <w:r w:rsidR="00CD0186" w:rsidRPr="00D07CAB">
        <w:rPr>
          <w:sz w:val="22"/>
          <w:szCs w:val="22"/>
          <w:lang w:val="hr-HR"/>
        </w:rPr>
        <w:t>l</w:t>
      </w:r>
      <w:r w:rsidRPr="00D07CAB">
        <w:rPr>
          <w:sz w:val="22"/>
          <w:szCs w:val="22"/>
          <w:lang w:val="hr-HR"/>
        </w:rPr>
        <w:t>).</w:t>
      </w:r>
    </w:p>
    <w:p w14:paraId="24C67EE7" w14:textId="77777777" w:rsidR="003F54AB" w:rsidRPr="00C1176F" w:rsidRDefault="003F54AB" w:rsidP="008D5FAA">
      <w:pPr>
        <w:pStyle w:val="Paragraph"/>
        <w:spacing w:after="0"/>
        <w:jc w:val="both"/>
        <w:rPr>
          <w:sz w:val="22"/>
          <w:szCs w:val="22"/>
          <w:lang w:val="hr-HR"/>
        </w:rPr>
      </w:pPr>
    </w:p>
    <w:p w14:paraId="3B415491" w14:textId="48AB48AF" w:rsidR="003F54AB" w:rsidRPr="00C1176F" w:rsidRDefault="003F54AB" w:rsidP="008D5FAA">
      <w:pPr>
        <w:spacing w:line="240" w:lineRule="auto"/>
        <w:jc w:val="both"/>
        <w:rPr>
          <w:szCs w:val="22"/>
          <w:lang w:val="hr-HR"/>
        </w:rPr>
      </w:pPr>
      <w:r w:rsidRPr="007C0730">
        <w:rPr>
          <w:szCs w:val="22"/>
          <w:lang w:val="hr-HR"/>
        </w:rPr>
        <w:t xml:space="preserve">Uputstva za lijek prije primjene vidjeti u </w:t>
      </w:r>
      <w:r w:rsidR="00CE7A3D" w:rsidRPr="007C0730">
        <w:rPr>
          <w:szCs w:val="22"/>
          <w:lang w:val="hr-HR"/>
        </w:rPr>
        <w:t xml:space="preserve">dijelu </w:t>
      </w:r>
      <w:r w:rsidRPr="007C0730">
        <w:rPr>
          <w:szCs w:val="22"/>
          <w:lang w:val="hr-HR"/>
        </w:rPr>
        <w:t>6.6 i tekst na kraju uputstva za lijek.</w:t>
      </w:r>
    </w:p>
    <w:p w14:paraId="0162CA85" w14:textId="77777777" w:rsidR="009B663B" w:rsidRPr="00C1176F" w:rsidRDefault="009B663B" w:rsidP="008D5FAA">
      <w:pPr>
        <w:spacing w:line="240" w:lineRule="auto"/>
        <w:jc w:val="both"/>
        <w:rPr>
          <w:szCs w:val="22"/>
          <w:lang w:val="hr-HR"/>
        </w:rPr>
      </w:pPr>
    </w:p>
    <w:p w14:paraId="382B3465" w14:textId="77777777" w:rsidR="00DA0CE1" w:rsidRPr="00C1176F" w:rsidRDefault="00DA0CE1" w:rsidP="008D5FAA">
      <w:pPr>
        <w:spacing w:line="240" w:lineRule="auto"/>
        <w:ind w:left="567" w:hanging="567"/>
        <w:jc w:val="both"/>
        <w:rPr>
          <w:szCs w:val="22"/>
          <w:lang w:val="hr-HR"/>
        </w:rPr>
      </w:pPr>
      <w:r w:rsidRPr="007C0730">
        <w:rPr>
          <w:b/>
          <w:szCs w:val="22"/>
          <w:lang w:val="hr-HR"/>
        </w:rPr>
        <w:t>4.3</w:t>
      </w:r>
      <w:r w:rsidRPr="007C0730">
        <w:rPr>
          <w:b/>
          <w:szCs w:val="22"/>
          <w:lang w:val="hr-HR"/>
        </w:rPr>
        <w:tab/>
        <w:t>Kontraindikacije</w:t>
      </w:r>
    </w:p>
    <w:p w14:paraId="7AE2117E" w14:textId="6CA07891" w:rsidR="000A37BB" w:rsidRPr="00C1176F" w:rsidRDefault="000A37BB" w:rsidP="008D5FAA">
      <w:pPr>
        <w:jc w:val="both"/>
        <w:rPr>
          <w:szCs w:val="22"/>
          <w:lang w:val="hr-HR"/>
        </w:rPr>
      </w:pPr>
    </w:p>
    <w:p w14:paraId="66F8EAC3" w14:textId="7E31B548" w:rsidR="003F54AB" w:rsidRPr="00C1176F" w:rsidRDefault="003F54AB" w:rsidP="008D5FAA">
      <w:pPr>
        <w:jc w:val="both"/>
        <w:rPr>
          <w:szCs w:val="22"/>
          <w:lang w:val="hr-HR"/>
        </w:rPr>
      </w:pPr>
      <w:r w:rsidRPr="007C0730">
        <w:rPr>
          <w:szCs w:val="22"/>
          <w:lang w:val="hr-HR"/>
        </w:rPr>
        <w:t xml:space="preserve">Preosjetljivost na somatrogon (vidjeti </w:t>
      </w:r>
      <w:r w:rsidR="00CE7A3D" w:rsidRPr="007C0730">
        <w:rPr>
          <w:szCs w:val="22"/>
          <w:lang w:val="hr-HR"/>
        </w:rPr>
        <w:t>dio </w:t>
      </w:r>
      <w:r w:rsidRPr="007C0730">
        <w:rPr>
          <w:szCs w:val="22"/>
          <w:lang w:val="hr-HR"/>
        </w:rPr>
        <w:t xml:space="preserve">4.4.) ili neku od pomoćnih supstanci (ekscipijenasa) navedenih u </w:t>
      </w:r>
      <w:r w:rsidR="00CE7A3D" w:rsidRPr="00D07CAB">
        <w:rPr>
          <w:szCs w:val="22"/>
          <w:lang w:val="hr-HR"/>
        </w:rPr>
        <w:t>dijelu </w:t>
      </w:r>
      <w:r w:rsidRPr="00D07CAB">
        <w:rPr>
          <w:szCs w:val="22"/>
          <w:lang w:val="hr-HR"/>
        </w:rPr>
        <w:t>6.1.</w:t>
      </w:r>
    </w:p>
    <w:p w14:paraId="633E4564" w14:textId="77777777" w:rsidR="003F54AB" w:rsidRPr="00C1176F" w:rsidRDefault="003F54AB" w:rsidP="008D5FAA">
      <w:pPr>
        <w:jc w:val="both"/>
        <w:rPr>
          <w:szCs w:val="22"/>
          <w:lang w:val="hr-HR"/>
        </w:rPr>
      </w:pPr>
    </w:p>
    <w:p w14:paraId="721C4FAB" w14:textId="5618B53D" w:rsidR="003F54AB" w:rsidRPr="00C1176F" w:rsidRDefault="00AC74CB" w:rsidP="008D5FAA">
      <w:pPr>
        <w:jc w:val="both"/>
        <w:rPr>
          <w:szCs w:val="22"/>
          <w:lang w:val="hr-HR"/>
        </w:rPr>
      </w:pPr>
      <w:r w:rsidRPr="007C0730">
        <w:rPr>
          <w:szCs w:val="22"/>
          <w:lang w:val="hr-HR"/>
        </w:rPr>
        <w:t>Somatrogon se ne smije koristiti kada postoje dokazi o aktivnosti tumora zasnovani na iskustvu sa svakodnevnim ljekovima za hormon rasta. Intrakranijalni tumori moraju biti neaktivni i antitumorska terapija mora biti završena prije početka terapije hormonom rasta (</w:t>
      </w:r>
      <w:r w:rsidR="00631B2D">
        <w:rPr>
          <w:szCs w:val="22"/>
          <w:lang w:val="hr-HR"/>
        </w:rPr>
        <w:t xml:space="preserve">engl. </w:t>
      </w:r>
      <w:r w:rsidR="00631B2D" w:rsidRPr="00631B2D">
        <w:rPr>
          <w:szCs w:val="22"/>
          <w:lang w:val="hr-HR"/>
        </w:rPr>
        <w:t>growth hormone</w:t>
      </w:r>
      <w:r w:rsidR="00631B2D">
        <w:rPr>
          <w:szCs w:val="22"/>
          <w:lang w:val="hr-HR"/>
        </w:rPr>
        <w:t xml:space="preserve">, </w:t>
      </w:r>
      <w:r w:rsidRPr="007C0730">
        <w:rPr>
          <w:szCs w:val="22"/>
          <w:lang w:val="hr-HR"/>
        </w:rPr>
        <w:t xml:space="preserve">GH). Liječenje treba prekinuti ako postoje dokazi o rastu tumora (vidjeti </w:t>
      </w:r>
      <w:r w:rsidR="00CE7A3D" w:rsidRPr="007C0730">
        <w:rPr>
          <w:szCs w:val="22"/>
          <w:lang w:val="hr-HR"/>
        </w:rPr>
        <w:t xml:space="preserve">dio </w:t>
      </w:r>
      <w:r w:rsidRPr="007C0730">
        <w:rPr>
          <w:szCs w:val="22"/>
          <w:lang w:val="hr-HR"/>
        </w:rPr>
        <w:t>4.4).</w:t>
      </w:r>
    </w:p>
    <w:p w14:paraId="29A4D51D" w14:textId="77777777" w:rsidR="00A92F02" w:rsidRPr="00C1176F" w:rsidRDefault="00A92F02" w:rsidP="008D5FAA">
      <w:pPr>
        <w:tabs>
          <w:tab w:val="left" w:pos="-97"/>
          <w:tab w:val="left" w:pos="0"/>
          <w:tab w:val="left" w:pos="173"/>
          <w:tab w:val="left" w:pos="2880"/>
        </w:tabs>
        <w:jc w:val="both"/>
        <w:rPr>
          <w:szCs w:val="22"/>
          <w:lang w:val="hr-HR"/>
        </w:rPr>
      </w:pPr>
    </w:p>
    <w:p w14:paraId="33907CAC" w14:textId="6FD03763" w:rsidR="00A92F02" w:rsidRPr="007C0730" w:rsidRDefault="00FA48B8" w:rsidP="008D5FAA">
      <w:pPr>
        <w:suppressAutoHyphens/>
        <w:spacing w:line="240" w:lineRule="auto"/>
        <w:jc w:val="both"/>
        <w:rPr>
          <w:szCs w:val="22"/>
          <w:lang w:val="hr-HR"/>
        </w:rPr>
      </w:pPr>
      <w:r w:rsidRPr="007C0730">
        <w:rPr>
          <w:szCs w:val="22"/>
          <w:lang w:val="hr-HR"/>
        </w:rPr>
        <w:t>Somatrogon se ne smije koristiti za ubrzanje rasta kod djece sa zatvorenim epifizama.</w:t>
      </w:r>
    </w:p>
    <w:p w14:paraId="27E1818F" w14:textId="77777777" w:rsidR="00EB164D" w:rsidRPr="00D07CAB" w:rsidRDefault="00EB164D" w:rsidP="008D5FAA">
      <w:pPr>
        <w:jc w:val="both"/>
        <w:rPr>
          <w:iCs/>
          <w:szCs w:val="22"/>
          <w:lang w:val="hr-HR"/>
        </w:rPr>
      </w:pPr>
    </w:p>
    <w:p w14:paraId="11340433" w14:textId="57034188" w:rsidR="00EB164D" w:rsidRPr="00C1176F" w:rsidRDefault="00EB164D" w:rsidP="008D5FAA">
      <w:pPr>
        <w:jc w:val="both"/>
        <w:rPr>
          <w:iCs/>
          <w:szCs w:val="22"/>
          <w:lang w:val="hr-HR"/>
        </w:rPr>
      </w:pPr>
      <w:r w:rsidRPr="00255289">
        <w:rPr>
          <w:szCs w:val="22"/>
          <w:lang w:val="hr-HR"/>
        </w:rPr>
        <w:t xml:space="preserve">Pacijenti sa akutnom kritičnom bolešću koji pate od komplikacija nakon operacije na otvorenom srcu, abdominalne operacije, višestruke traume nakon nezgoda, akutne respiratorne insuficijencije ili sličnih stanja ne smiju se liječiti somatrogonom (informacije za pacijente koji su podvrgnuti supstitucionoj terapiji vidjeti u </w:t>
      </w:r>
      <w:r w:rsidR="00CE7A3D" w:rsidRPr="00D173DA">
        <w:rPr>
          <w:szCs w:val="22"/>
          <w:lang w:val="hr-HR"/>
        </w:rPr>
        <w:t xml:space="preserve">dijelu </w:t>
      </w:r>
      <w:r w:rsidRPr="00D173DA">
        <w:rPr>
          <w:szCs w:val="22"/>
          <w:lang w:val="hr-HR"/>
        </w:rPr>
        <w:t>4.4).</w:t>
      </w:r>
    </w:p>
    <w:p w14:paraId="259D8AC6" w14:textId="77777777" w:rsidR="00EB164D" w:rsidRPr="00C1176F" w:rsidRDefault="00EB164D" w:rsidP="008D5FAA">
      <w:pPr>
        <w:tabs>
          <w:tab w:val="left" w:pos="-97"/>
          <w:tab w:val="left" w:pos="0"/>
          <w:tab w:val="left" w:pos="173"/>
          <w:tab w:val="left" w:pos="2880"/>
        </w:tabs>
        <w:jc w:val="both"/>
        <w:rPr>
          <w:szCs w:val="22"/>
          <w:lang w:val="hr-HR"/>
        </w:rPr>
      </w:pPr>
    </w:p>
    <w:p w14:paraId="1BBEE03E" w14:textId="398B0B0F" w:rsidR="00DB7D8D" w:rsidRPr="00C1176F" w:rsidRDefault="00CC0061" w:rsidP="008D5FAA">
      <w:pPr>
        <w:keepNext/>
        <w:spacing w:line="240" w:lineRule="auto"/>
        <w:ind w:left="567" w:hanging="567"/>
        <w:jc w:val="both"/>
        <w:rPr>
          <w:b/>
          <w:szCs w:val="22"/>
          <w:lang w:val="hr-HR"/>
        </w:rPr>
      </w:pPr>
      <w:r w:rsidRPr="007C0730">
        <w:rPr>
          <w:b/>
          <w:szCs w:val="22"/>
          <w:lang w:val="hr-HR"/>
        </w:rPr>
        <w:lastRenderedPageBreak/>
        <w:t>4.4</w:t>
      </w:r>
      <w:r w:rsidRPr="007C0730">
        <w:rPr>
          <w:b/>
          <w:szCs w:val="22"/>
          <w:lang w:val="hr-HR"/>
        </w:rPr>
        <w:tab/>
        <w:t>Posebna upozorenja i mjere opreza pri upotrebi lijeka</w:t>
      </w:r>
    </w:p>
    <w:p w14:paraId="2633FF44" w14:textId="77777777" w:rsidR="003973E2" w:rsidRPr="00C1176F" w:rsidRDefault="003973E2" w:rsidP="008D5FAA">
      <w:pPr>
        <w:keepNext/>
        <w:spacing w:line="240" w:lineRule="auto"/>
        <w:ind w:left="567" w:hanging="567"/>
        <w:jc w:val="both"/>
        <w:rPr>
          <w:szCs w:val="22"/>
          <w:lang w:val="hr-HR"/>
        </w:rPr>
      </w:pPr>
    </w:p>
    <w:p w14:paraId="0B43B1B8" w14:textId="77777777" w:rsidR="003F54AB" w:rsidRPr="00C1176F" w:rsidRDefault="003F54AB" w:rsidP="008D5FAA">
      <w:pPr>
        <w:pStyle w:val="ListParagraph"/>
        <w:keepNext/>
        <w:ind w:left="0"/>
        <w:contextualSpacing w:val="0"/>
        <w:jc w:val="both"/>
        <w:rPr>
          <w:sz w:val="22"/>
          <w:szCs w:val="22"/>
          <w:u w:val="single"/>
          <w:lang w:val="hr-HR"/>
        </w:rPr>
      </w:pPr>
      <w:r w:rsidRPr="007C0730">
        <w:rPr>
          <w:sz w:val="22"/>
          <w:szCs w:val="22"/>
          <w:u w:val="single"/>
          <w:lang w:val="hr-HR"/>
        </w:rPr>
        <w:t xml:space="preserve">Sljedljivost </w:t>
      </w:r>
    </w:p>
    <w:p w14:paraId="3F058A7A" w14:textId="77777777" w:rsidR="003F54AB" w:rsidRPr="00C1176F" w:rsidRDefault="003F54AB" w:rsidP="008D5FAA">
      <w:pPr>
        <w:pStyle w:val="ListParagraph"/>
        <w:keepNext/>
        <w:ind w:left="0"/>
        <w:contextualSpacing w:val="0"/>
        <w:jc w:val="both"/>
        <w:rPr>
          <w:sz w:val="22"/>
          <w:szCs w:val="22"/>
          <w:u w:val="single"/>
          <w:lang w:val="hr-HR"/>
        </w:rPr>
      </w:pPr>
    </w:p>
    <w:p w14:paraId="1EB1F329" w14:textId="487B4C6B" w:rsidR="003F54AB" w:rsidRPr="00C1176F" w:rsidRDefault="003F54AB" w:rsidP="008D5FAA">
      <w:pPr>
        <w:pStyle w:val="ListParagraph"/>
        <w:ind w:left="0"/>
        <w:contextualSpacing w:val="0"/>
        <w:jc w:val="both"/>
        <w:rPr>
          <w:sz w:val="22"/>
          <w:szCs w:val="22"/>
          <w:u w:val="single"/>
          <w:lang w:val="hr-HR"/>
        </w:rPr>
      </w:pPr>
      <w:r w:rsidRPr="007C0730">
        <w:rPr>
          <w:szCs w:val="22"/>
          <w:lang w:val="hr-HR"/>
        </w:rPr>
        <w:t>Kako bi se poboljšala sljedljivost bioloških lijekova, potrebno je da se jasno evidentira naziv i broj serije primijenjenog lijeka.</w:t>
      </w:r>
    </w:p>
    <w:p w14:paraId="41357A0F" w14:textId="77777777" w:rsidR="000F6272" w:rsidRDefault="000F6272" w:rsidP="008D5FAA">
      <w:pPr>
        <w:pStyle w:val="ListParagraph"/>
        <w:ind w:left="0"/>
        <w:contextualSpacing w:val="0"/>
        <w:jc w:val="both"/>
        <w:rPr>
          <w:sz w:val="22"/>
          <w:szCs w:val="22"/>
          <w:u w:val="single"/>
          <w:lang w:val="hr-HR"/>
        </w:rPr>
      </w:pPr>
    </w:p>
    <w:p w14:paraId="6D7739D1" w14:textId="568ED95C" w:rsidR="004A6522" w:rsidRPr="00C1176F" w:rsidRDefault="004A6522" w:rsidP="008D5FAA">
      <w:pPr>
        <w:pStyle w:val="ListParagraph"/>
        <w:ind w:left="0"/>
        <w:contextualSpacing w:val="0"/>
        <w:jc w:val="both"/>
        <w:rPr>
          <w:sz w:val="22"/>
          <w:szCs w:val="22"/>
          <w:u w:val="single"/>
          <w:lang w:val="hr-HR"/>
        </w:rPr>
      </w:pPr>
      <w:r w:rsidRPr="007C0730">
        <w:rPr>
          <w:sz w:val="22"/>
          <w:szCs w:val="22"/>
          <w:u w:val="single"/>
          <w:lang w:val="hr-HR"/>
        </w:rPr>
        <w:t>Preosjetljivost</w:t>
      </w:r>
    </w:p>
    <w:p w14:paraId="11F1FB98" w14:textId="77777777" w:rsidR="004A6522" w:rsidRPr="00C1176F" w:rsidRDefault="004A6522" w:rsidP="008D5FAA">
      <w:pPr>
        <w:pStyle w:val="ListParagraph"/>
        <w:ind w:left="0"/>
        <w:contextualSpacing w:val="0"/>
        <w:jc w:val="both"/>
        <w:rPr>
          <w:sz w:val="22"/>
          <w:szCs w:val="22"/>
          <w:lang w:val="hr-HR"/>
        </w:rPr>
      </w:pPr>
    </w:p>
    <w:p w14:paraId="0B4DA2A8" w14:textId="1D758F0D" w:rsidR="004A6522" w:rsidRPr="00C1176F" w:rsidRDefault="004A6522" w:rsidP="008D5FAA">
      <w:pPr>
        <w:pStyle w:val="Default"/>
        <w:jc w:val="both"/>
        <w:rPr>
          <w:rFonts w:eastAsia="Times New Roman"/>
          <w:color w:val="auto"/>
          <w:sz w:val="22"/>
          <w:szCs w:val="22"/>
          <w:lang w:val="hr-HR"/>
        </w:rPr>
      </w:pPr>
      <w:r w:rsidRPr="007C0730">
        <w:rPr>
          <w:color w:val="auto"/>
          <w:sz w:val="22"/>
          <w:szCs w:val="22"/>
          <w:lang w:val="hr-HR"/>
        </w:rPr>
        <w:t xml:space="preserve">Ozbiljne sistemske reakcije preosjetljivosti (npr. anafilaksa, angioedem) prijavljene su kod dnevnih ljekova koji sadrže hormon rasta. Ako dođe do ozbiljne reakcije preosjetljivosti, upotrebu somatrogona treba odmah prekinuti; pacijente treba odmah liječiti prema standardu njege i pratiti dok se znaci i simptomi ne povuku (vidjeti </w:t>
      </w:r>
      <w:r w:rsidR="00CE7A3D" w:rsidRPr="00D07CAB">
        <w:rPr>
          <w:color w:val="auto"/>
          <w:sz w:val="22"/>
          <w:szCs w:val="22"/>
          <w:lang w:val="hr-HR"/>
        </w:rPr>
        <w:t xml:space="preserve">dio </w:t>
      </w:r>
      <w:r w:rsidRPr="00D07CAB">
        <w:rPr>
          <w:color w:val="auto"/>
          <w:sz w:val="22"/>
          <w:szCs w:val="22"/>
          <w:lang w:val="hr-HR"/>
        </w:rPr>
        <w:t>4.3).</w:t>
      </w:r>
    </w:p>
    <w:p w14:paraId="021EE431" w14:textId="3A52D73E" w:rsidR="003973E2" w:rsidRPr="00C1176F" w:rsidRDefault="003973E2" w:rsidP="008D5FAA">
      <w:pPr>
        <w:pStyle w:val="ListParagraph"/>
        <w:ind w:left="0"/>
        <w:contextualSpacing w:val="0"/>
        <w:jc w:val="both"/>
        <w:rPr>
          <w:sz w:val="22"/>
          <w:szCs w:val="22"/>
          <w:u w:val="single"/>
          <w:lang w:val="hr-HR"/>
        </w:rPr>
      </w:pPr>
    </w:p>
    <w:p w14:paraId="510992FA" w14:textId="16D3EE81" w:rsidR="003973E2" w:rsidRPr="00C1176F" w:rsidRDefault="0036315F" w:rsidP="008D5FAA">
      <w:pPr>
        <w:pStyle w:val="ListParagraph"/>
        <w:ind w:left="0"/>
        <w:contextualSpacing w:val="0"/>
        <w:jc w:val="both"/>
        <w:rPr>
          <w:sz w:val="22"/>
          <w:szCs w:val="22"/>
          <w:u w:val="single"/>
          <w:lang w:val="hr-HR"/>
        </w:rPr>
      </w:pPr>
      <w:r w:rsidRPr="007C0730">
        <w:rPr>
          <w:sz w:val="22"/>
          <w:szCs w:val="22"/>
          <w:u w:val="single"/>
          <w:lang w:val="hr-HR"/>
        </w:rPr>
        <w:t>Hipoadrenalizam</w:t>
      </w:r>
    </w:p>
    <w:p w14:paraId="77D01682" w14:textId="77777777" w:rsidR="004A6522" w:rsidRPr="00C1176F" w:rsidRDefault="004A6522" w:rsidP="008D5FAA">
      <w:pPr>
        <w:pStyle w:val="ListParagraph"/>
        <w:ind w:left="0"/>
        <w:contextualSpacing w:val="0"/>
        <w:jc w:val="both"/>
        <w:rPr>
          <w:sz w:val="22"/>
          <w:szCs w:val="22"/>
          <w:lang w:val="hr-HR"/>
        </w:rPr>
      </w:pPr>
    </w:p>
    <w:p w14:paraId="56868548" w14:textId="3B22AE01" w:rsidR="0022441D" w:rsidRPr="00C1176F" w:rsidRDefault="004A6522" w:rsidP="008D5FAA">
      <w:pPr>
        <w:pStyle w:val="ListParagraph"/>
        <w:ind w:left="0"/>
        <w:contextualSpacing w:val="0"/>
        <w:jc w:val="both"/>
        <w:rPr>
          <w:sz w:val="22"/>
          <w:szCs w:val="22"/>
          <w:lang w:val="hr-HR"/>
        </w:rPr>
      </w:pPr>
      <w:r w:rsidRPr="007C0730">
        <w:rPr>
          <w:sz w:val="22"/>
          <w:szCs w:val="22"/>
          <w:lang w:val="hr-HR"/>
        </w:rPr>
        <w:t>Na osnovu objavljenih podataka, pacijenti koji primaju svakodnevnu terapiju hormonom rasta, koji imaju ili kod kojih postoji rizik od nedostat(a)ka hormona hipofize mogu biti izloženi riziku od smanjenja nivoa kortizola u serumu i/ili otkrivanja centralnog (sekundarnog) hipoadrenalizma. Dodatno, pacijentima koji se liječe zamjenom glukokortikoida zbog prethodno dijagnostikovanog hipoadrenalizma može biti potrebno povećanje doze za održavanje ili smanjenje stresa nakon početka terapije somatrogonom (vidjeti</w:t>
      </w:r>
      <w:r w:rsidRPr="00D07CAB">
        <w:rPr>
          <w:sz w:val="22"/>
          <w:szCs w:val="22"/>
          <w:lang w:val="hr-HR"/>
        </w:rPr>
        <w:t xml:space="preserve"> </w:t>
      </w:r>
      <w:r w:rsidR="00CE7A3D" w:rsidRPr="00D07CAB">
        <w:rPr>
          <w:sz w:val="22"/>
          <w:szCs w:val="22"/>
          <w:lang w:val="hr-HR"/>
        </w:rPr>
        <w:t xml:space="preserve">dio </w:t>
      </w:r>
      <w:r w:rsidRPr="00D07CAB">
        <w:rPr>
          <w:sz w:val="22"/>
          <w:szCs w:val="22"/>
          <w:lang w:val="hr-HR"/>
        </w:rPr>
        <w:t>4.5). Pacijente treba pratiti zbog smanjenja nivoa kortizola u serumu i/ili potrebe za povećanjem doze glukokortikoida kod onih sa poznatim hipoa</w:t>
      </w:r>
      <w:r w:rsidRPr="00255289">
        <w:rPr>
          <w:sz w:val="22"/>
          <w:szCs w:val="22"/>
          <w:lang w:val="hr-HR"/>
        </w:rPr>
        <w:t xml:space="preserve">drenalizmom (vidjeti </w:t>
      </w:r>
      <w:r w:rsidR="00CE7A3D" w:rsidRPr="00255289">
        <w:rPr>
          <w:sz w:val="22"/>
          <w:szCs w:val="22"/>
          <w:lang w:val="hr-HR"/>
        </w:rPr>
        <w:t xml:space="preserve">dio </w:t>
      </w:r>
      <w:r w:rsidRPr="00D173DA">
        <w:rPr>
          <w:sz w:val="22"/>
          <w:szCs w:val="22"/>
          <w:lang w:val="hr-HR"/>
        </w:rPr>
        <w:t xml:space="preserve">4.5). </w:t>
      </w:r>
    </w:p>
    <w:p w14:paraId="23146CD4" w14:textId="77777777" w:rsidR="00E41763" w:rsidRPr="00C1176F" w:rsidRDefault="00E41763" w:rsidP="008D5FAA">
      <w:pPr>
        <w:pStyle w:val="ListParagraph"/>
        <w:ind w:left="0"/>
        <w:contextualSpacing w:val="0"/>
        <w:jc w:val="both"/>
        <w:rPr>
          <w:sz w:val="22"/>
          <w:szCs w:val="22"/>
          <w:u w:val="single"/>
          <w:lang w:val="hr-HR"/>
        </w:rPr>
      </w:pPr>
    </w:p>
    <w:p w14:paraId="5D558BC5" w14:textId="4FED9401" w:rsidR="00CF2E9C" w:rsidRPr="00C1176F" w:rsidRDefault="00CF2E9C" w:rsidP="008D5FAA">
      <w:pPr>
        <w:pStyle w:val="ListParagraph"/>
        <w:ind w:left="0"/>
        <w:contextualSpacing w:val="0"/>
        <w:jc w:val="both"/>
        <w:rPr>
          <w:sz w:val="22"/>
          <w:szCs w:val="22"/>
          <w:u w:val="single"/>
          <w:lang w:val="hr-HR"/>
        </w:rPr>
      </w:pPr>
      <w:r w:rsidRPr="007C0730">
        <w:rPr>
          <w:sz w:val="22"/>
          <w:szCs w:val="22"/>
          <w:u w:val="single"/>
          <w:lang w:val="hr-HR"/>
        </w:rPr>
        <w:t>Poremećaj funkcije štitne žlijezde</w:t>
      </w:r>
    </w:p>
    <w:p w14:paraId="35DFDA0F" w14:textId="022D1304" w:rsidR="00CF2E9C" w:rsidRPr="00C1176F" w:rsidRDefault="00CF2E9C" w:rsidP="008D5FAA">
      <w:pPr>
        <w:pStyle w:val="ListParagraph"/>
        <w:ind w:left="0"/>
        <w:contextualSpacing w:val="0"/>
        <w:jc w:val="both"/>
        <w:rPr>
          <w:sz w:val="22"/>
          <w:szCs w:val="22"/>
          <w:lang w:val="hr-HR"/>
        </w:rPr>
      </w:pPr>
    </w:p>
    <w:p w14:paraId="67BD54F4" w14:textId="3D2F77AB" w:rsidR="00CF2E9C" w:rsidRPr="00D07CAB" w:rsidRDefault="00CF2E9C" w:rsidP="008D5FAA">
      <w:pPr>
        <w:jc w:val="both"/>
        <w:rPr>
          <w:szCs w:val="22"/>
          <w:lang w:val="hr-HR"/>
        </w:rPr>
      </w:pPr>
      <w:r w:rsidRPr="007C0730">
        <w:rPr>
          <w:szCs w:val="22"/>
          <w:lang w:val="hr-HR"/>
        </w:rPr>
        <w:t>Hormon rasta povećava ekstratiroidnu konverziju T4 u T3 i može otkriti početni hipotireoidizam. Pacijente sa već postojećim hipotireozom treba liječiti na odgovarajući način prije početka liječenja somatrogonom kako je indi</w:t>
      </w:r>
      <w:r w:rsidR="00631B2D">
        <w:rPr>
          <w:szCs w:val="22"/>
          <w:lang w:val="hr-HR"/>
        </w:rPr>
        <w:t>kovan</w:t>
      </w:r>
      <w:r w:rsidRPr="007C0730">
        <w:rPr>
          <w:szCs w:val="22"/>
          <w:lang w:val="hr-HR"/>
        </w:rPr>
        <w:t xml:space="preserve">o na osnovu kliničke procjene. Pošto hipotireoza ometa odgovor na terapiju hormonom rasta, pacijentima treba redovno testirati funkciju štitne žlijezde i treba da primaju supstitucionu terapiju tiroidnim hormonima kada je to indikovano (vidjeti </w:t>
      </w:r>
      <w:r w:rsidR="00CE7A3D" w:rsidRPr="00D07CAB">
        <w:rPr>
          <w:szCs w:val="22"/>
          <w:lang w:val="hr-HR"/>
        </w:rPr>
        <w:t xml:space="preserve">dijelove </w:t>
      </w:r>
      <w:r w:rsidRPr="00D07CAB">
        <w:rPr>
          <w:szCs w:val="22"/>
          <w:lang w:val="hr-HR"/>
        </w:rPr>
        <w:t>4.5 i 4.8).</w:t>
      </w:r>
    </w:p>
    <w:p w14:paraId="5E2D21FF" w14:textId="78373047" w:rsidR="006324D1" w:rsidRPr="00C1176F" w:rsidRDefault="006324D1" w:rsidP="008D5FAA">
      <w:pPr>
        <w:pStyle w:val="ListParagraph"/>
        <w:ind w:left="0"/>
        <w:contextualSpacing w:val="0"/>
        <w:jc w:val="both"/>
        <w:rPr>
          <w:sz w:val="22"/>
          <w:szCs w:val="22"/>
          <w:u w:val="single"/>
          <w:lang w:val="hr-HR"/>
        </w:rPr>
      </w:pPr>
    </w:p>
    <w:p w14:paraId="632818C4" w14:textId="5171E1A0" w:rsidR="005A549A" w:rsidRPr="00C1176F" w:rsidRDefault="005A549A" w:rsidP="008D5FAA">
      <w:pPr>
        <w:pStyle w:val="Default"/>
        <w:keepNext/>
        <w:jc w:val="both"/>
        <w:rPr>
          <w:rFonts w:eastAsia="Times New Roman"/>
          <w:color w:val="auto"/>
          <w:sz w:val="22"/>
          <w:szCs w:val="22"/>
          <w:u w:val="single"/>
          <w:lang w:val="hr-HR"/>
        </w:rPr>
      </w:pPr>
      <w:r w:rsidRPr="007C0730">
        <w:rPr>
          <w:color w:val="auto"/>
          <w:sz w:val="22"/>
          <w:szCs w:val="22"/>
          <w:u w:val="single"/>
          <w:lang w:val="hr-HR"/>
        </w:rPr>
        <w:t xml:space="preserve">Prader-Willi sindrom </w:t>
      </w:r>
    </w:p>
    <w:p w14:paraId="144B0606" w14:textId="77777777" w:rsidR="005A549A" w:rsidRPr="00C1176F" w:rsidRDefault="005A549A" w:rsidP="008D5FAA">
      <w:pPr>
        <w:pStyle w:val="Default"/>
        <w:keepNext/>
        <w:jc w:val="both"/>
        <w:rPr>
          <w:rFonts w:eastAsia="Times New Roman"/>
          <w:color w:val="auto"/>
          <w:sz w:val="22"/>
          <w:szCs w:val="22"/>
          <w:lang w:val="hr-HR" w:eastAsia="en-GB"/>
        </w:rPr>
      </w:pPr>
    </w:p>
    <w:p w14:paraId="1D32E076" w14:textId="3F5E662F" w:rsidR="005A549A" w:rsidRPr="00C1176F" w:rsidRDefault="005A549A" w:rsidP="008D5FAA">
      <w:pPr>
        <w:pStyle w:val="Default"/>
        <w:jc w:val="both"/>
        <w:rPr>
          <w:rFonts w:eastAsia="Times New Roman"/>
          <w:color w:val="auto"/>
          <w:sz w:val="22"/>
          <w:szCs w:val="22"/>
          <w:lang w:val="hr-HR"/>
        </w:rPr>
      </w:pPr>
      <w:r w:rsidRPr="007C0730">
        <w:rPr>
          <w:color w:val="auto"/>
          <w:sz w:val="22"/>
          <w:szCs w:val="22"/>
          <w:lang w:val="hr-HR"/>
        </w:rPr>
        <w:t xml:space="preserve">Somatrogon nije </w:t>
      </w:r>
      <w:r w:rsidR="00726B3A" w:rsidRPr="007C0730">
        <w:rPr>
          <w:color w:val="auto"/>
          <w:sz w:val="22"/>
          <w:szCs w:val="22"/>
          <w:lang w:val="hr-HR"/>
        </w:rPr>
        <w:t xml:space="preserve">ispitivan </w:t>
      </w:r>
      <w:r w:rsidRPr="007C0730">
        <w:rPr>
          <w:color w:val="auto"/>
          <w:sz w:val="22"/>
          <w:szCs w:val="22"/>
          <w:lang w:val="hr-HR"/>
        </w:rPr>
        <w:t>kod pacijenata sa Prader-Willi sindromom. Somatrogon nije indikovan za dugotrajno liječenje pedijatrijskih pacijenata koji imaju zastoj u rastu zbog genetski potvrđenog Prader-Willi sindroma, osim</w:t>
      </w:r>
      <w:r w:rsidRPr="00D07CAB">
        <w:rPr>
          <w:color w:val="auto"/>
          <w:sz w:val="22"/>
          <w:szCs w:val="22"/>
          <w:lang w:val="hr-HR"/>
        </w:rPr>
        <w:t xml:space="preserve"> ako takođe imaju dijagnozu GHD. Bilo je izvještaja o iznenadnoj smrti nakon započinjanja terapije hormonom rasta kod pedijatrijskih pacijenata sa Prader-Willi sindromom koji su imali jedan ili više od sljedećih faktora rizika: visok stepen gojaznosti, istoriju opstrukcije gornjih disajnih puteva ili apneju u snu, ili neidentifikovanu respiratornu infekciju.</w:t>
      </w:r>
    </w:p>
    <w:p w14:paraId="7843FC04" w14:textId="77777777" w:rsidR="005A549A" w:rsidRPr="00C1176F" w:rsidRDefault="005A549A" w:rsidP="008D5FAA">
      <w:pPr>
        <w:pStyle w:val="ListParagraph"/>
        <w:ind w:left="0"/>
        <w:contextualSpacing w:val="0"/>
        <w:jc w:val="both"/>
        <w:rPr>
          <w:sz w:val="22"/>
          <w:szCs w:val="22"/>
          <w:u w:val="single"/>
          <w:lang w:val="hr-HR"/>
        </w:rPr>
      </w:pPr>
    </w:p>
    <w:p w14:paraId="33701889" w14:textId="2EB5F093" w:rsidR="004A6522" w:rsidRPr="00C1176F" w:rsidRDefault="004A6522" w:rsidP="008D5FAA">
      <w:pPr>
        <w:pStyle w:val="ListParagraph"/>
        <w:keepNext/>
        <w:ind w:left="0"/>
        <w:contextualSpacing w:val="0"/>
        <w:jc w:val="both"/>
        <w:rPr>
          <w:sz w:val="22"/>
          <w:szCs w:val="22"/>
          <w:u w:val="single"/>
          <w:lang w:val="hr-HR"/>
        </w:rPr>
      </w:pPr>
      <w:r w:rsidRPr="007C0730">
        <w:rPr>
          <w:sz w:val="22"/>
          <w:szCs w:val="22"/>
          <w:u w:val="single"/>
          <w:lang w:val="hr-HR"/>
        </w:rPr>
        <w:t>Poremećaj metabolizma glukoze</w:t>
      </w:r>
    </w:p>
    <w:p w14:paraId="565A16CA" w14:textId="07C18FE4" w:rsidR="004A6522" w:rsidRPr="00C1176F" w:rsidRDefault="004A6522" w:rsidP="008D5FAA">
      <w:pPr>
        <w:pStyle w:val="ListParagraph"/>
        <w:ind w:left="0"/>
        <w:contextualSpacing w:val="0"/>
        <w:jc w:val="both"/>
        <w:rPr>
          <w:sz w:val="22"/>
          <w:szCs w:val="22"/>
          <w:lang w:val="hr-HR"/>
        </w:rPr>
      </w:pPr>
    </w:p>
    <w:p w14:paraId="592914AE" w14:textId="2382E979" w:rsidR="004A6522" w:rsidRPr="00C1176F" w:rsidRDefault="004A6522" w:rsidP="008D5FAA">
      <w:pPr>
        <w:pStyle w:val="ListParagraph"/>
        <w:ind w:left="0"/>
        <w:contextualSpacing w:val="0"/>
        <w:jc w:val="both"/>
        <w:rPr>
          <w:sz w:val="22"/>
          <w:szCs w:val="22"/>
          <w:lang w:val="hr-HR"/>
        </w:rPr>
      </w:pPr>
      <w:r w:rsidRPr="007C0730">
        <w:rPr>
          <w:sz w:val="22"/>
          <w:szCs w:val="22"/>
          <w:lang w:val="hr-HR"/>
        </w:rPr>
        <w:t xml:space="preserve">Liječenje ljekovima za hormon rasta može smanjiti osjetljivost na insulin i izazvati hiperglikemiju. Potrebno je razmotriti dodatno praćenje kod pacijenata koji se liječe somatrogonom koji imaju intoleranciju na glukozu ili dodatne faktore rizika za dijabetes. Kod pacijenata koji se liječe somatrogonom koji imaju dijabetes melitus, hipoglikemijski ljekovi mogu zahtijevati prilagođavanje (vidjeti </w:t>
      </w:r>
      <w:r w:rsidR="00CE7A3D" w:rsidRPr="00D07CAB">
        <w:rPr>
          <w:sz w:val="22"/>
          <w:szCs w:val="22"/>
          <w:lang w:val="hr-HR"/>
        </w:rPr>
        <w:t xml:space="preserve">dio </w:t>
      </w:r>
      <w:r w:rsidRPr="00D07CAB">
        <w:rPr>
          <w:sz w:val="22"/>
          <w:szCs w:val="22"/>
          <w:lang w:val="hr-HR"/>
        </w:rPr>
        <w:t xml:space="preserve">4.5). </w:t>
      </w:r>
    </w:p>
    <w:p w14:paraId="47E4E69E" w14:textId="77777777" w:rsidR="004A6522" w:rsidRPr="00C1176F" w:rsidRDefault="004A6522" w:rsidP="008D5FAA">
      <w:pPr>
        <w:pStyle w:val="ListParagraph"/>
        <w:ind w:left="0"/>
        <w:contextualSpacing w:val="0"/>
        <w:jc w:val="both"/>
        <w:rPr>
          <w:sz w:val="22"/>
          <w:szCs w:val="22"/>
          <w:u w:val="single"/>
          <w:lang w:val="hr-HR"/>
        </w:rPr>
      </w:pPr>
    </w:p>
    <w:p w14:paraId="56F37E87" w14:textId="77777777" w:rsidR="0022441D" w:rsidRPr="00C1176F" w:rsidRDefault="0022441D" w:rsidP="008D5FAA">
      <w:pPr>
        <w:pStyle w:val="ListParagraph"/>
        <w:keepNext/>
        <w:ind w:left="0"/>
        <w:contextualSpacing w:val="0"/>
        <w:jc w:val="both"/>
        <w:rPr>
          <w:sz w:val="22"/>
          <w:szCs w:val="22"/>
          <w:u w:val="single"/>
          <w:lang w:val="hr-HR"/>
        </w:rPr>
      </w:pPr>
      <w:r w:rsidRPr="007C0730">
        <w:rPr>
          <w:sz w:val="22"/>
          <w:szCs w:val="22"/>
          <w:u w:val="single"/>
          <w:lang w:val="hr-HR"/>
        </w:rPr>
        <w:t>Neoplazma</w:t>
      </w:r>
    </w:p>
    <w:p w14:paraId="5649F541" w14:textId="77777777" w:rsidR="0022441D" w:rsidRPr="00C1176F" w:rsidRDefault="0022441D" w:rsidP="008D5FAA">
      <w:pPr>
        <w:pStyle w:val="ListParagraph"/>
        <w:keepNext/>
        <w:ind w:left="0"/>
        <w:contextualSpacing w:val="0"/>
        <w:jc w:val="both"/>
        <w:rPr>
          <w:sz w:val="22"/>
          <w:szCs w:val="22"/>
          <w:u w:val="single"/>
          <w:lang w:val="hr-HR"/>
        </w:rPr>
      </w:pPr>
    </w:p>
    <w:p w14:paraId="6E52B440" w14:textId="0A9A860E" w:rsidR="0022441D" w:rsidRPr="007C0730" w:rsidRDefault="0022441D" w:rsidP="008D5FAA">
      <w:pPr>
        <w:jc w:val="both"/>
        <w:rPr>
          <w:szCs w:val="22"/>
          <w:lang w:val="hr-HR"/>
        </w:rPr>
      </w:pPr>
      <w:r w:rsidRPr="007C0730">
        <w:rPr>
          <w:szCs w:val="22"/>
          <w:lang w:val="hr-HR"/>
        </w:rPr>
        <w:t>Kod pacijenata sa prethodnom malignom bolešću, posebnu pažnju treba obratiti na znakove i simptome relapsa. Pacijente sa već postojećim tumorima ili nedostatkom hormona rasta usljed intrakranijalnih lezija treba rutinski pregledati kako bi se utvrdilo ima li progresije ili recidiva osnovnog procesa bolesti. Kod pacijenata kod kojih je izlij</w:t>
      </w:r>
      <w:r w:rsidRPr="00D07CAB">
        <w:rPr>
          <w:szCs w:val="22"/>
          <w:lang w:val="hr-HR"/>
        </w:rPr>
        <w:t xml:space="preserve">ečen rak u djetinjstvu, zabilježen je povećan rizik od druge neoplazme kod pacijenata liječenih somatropinom nakon njihove prve neoplazme. Intrakranijalni tumori, posebno </w:t>
      </w:r>
      <w:r w:rsidRPr="00D07CAB">
        <w:rPr>
          <w:szCs w:val="22"/>
          <w:lang w:val="hr-HR"/>
        </w:rPr>
        <w:lastRenderedPageBreak/>
        <w:t xml:space="preserve">meningiomi, kod pacijenata tretiranih zračenjem glave zbog njihove prve neoplazme, bili su najčešće </w:t>
      </w:r>
      <w:r w:rsidR="0076188D">
        <w:rPr>
          <w:szCs w:val="22"/>
          <w:lang w:val="hr-HR"/>
        </w:rPr>
        <w:t xml:space="preserve">sekundarne </w:t>
      </w:r>
      <w:r w:rsidRPr="007C0730">
        <w:rPr>
          <w:szCs w:val="22"/>
          <w:lang w:val="hr-HR"/>
        </w:rPr>
        <w:t>neoplazme.</w:t>
      </w:r>
    </w:p>
    <w:p w14:paraId="7DA975D1" w14:textId="559A7BC6" w:rsidR="009B754D" w:rsidRPr="00C1176F" w:rsidRDefault="009B754D" w:rsidP="008D5FAA">
      <w:pPr>
        <w:pStyle w:val="ListParagraph"/>
        <w:ind w:left="0"/>
        <w:contextualSpacing w:val="0"/>
        <w:jc w:val="both"/>
        <w:rPr>
          <w:sz w:val="22"/>
          <w:szCs w:val="22"/>
          <w:u w:val="single"/>
          <w:lang w:val="hr-HR"/>
        </w:rPr>
      </w:pPr>
    </w:p>
    <w:p w14:paraId="08ECB04D" w14:textId="77777777" w:rsidR="005D3960" w:rsidRPr="00C1176F" w:rsidRDefault="005D3960" w:rsidP="008D5FAA">
      <w:pPr>
        <w:pStyle w:val="ListParagraph"/>
        <w:ind w:left="0"/>
        <w:contextualSpacing w:val="0"/>
        <w:jc w:val="both"/>
        <w:rPr>
          <w:sz w:val="22"/>
          <w:szCs w:val="22"/>
          <w:u w:val="single"/>
          <w:lang w:val="hr-HR"/>
        </w:rPr>
      </w:pPr>
      <w:r w:rsidRPr="007C0730">
        <w:rPr>
          <w:sz w:val="22"/>
          <w:szCs w:val="22"/>
          <w:u w:val="single"/>
          <w:lang w:val="hr-HR"/>
        </w:rPr>
        <w:t>Benigna intrakranijalna hipertenzija</w:t>
      </w:r>
    </w:p>
    <w:p w14:paraId="056E0442" w14:textId="77777777" w:rsidR="004A6522" w:rsidRPr="00C1176F" w:rsidRDefault="004A6522" w:rsidP="008D5FAA">
      <w:pPr>
        <w:pStyle w:val="ListParagraph"/>
        <w:ind w:left="0"/>
        <w:contextualSpacing w:val="0"/>
        <w:jc w:val="both"/>
        <w:rPr>
          <w:sz w:val="22"/>
          <w:szCs w:val="22"/>
          <w:lang w:val="hr-HR"/>
        </w:rPr>
      </w:pPr>
    </w:p>
    <w:p w14:paraId="68A5FE1D" w14:textId="4ED1194D" w:rsidR="004A6522" w:rsidRPr="00C1176F" w:rsidRDefault="004A6522" w:rsidP="008D5FAA">
      <w:pPr>
        <w:jc w:val="both"/>
        <w:rPr>
          <w:szCs w:val="22"/>
          <w:lang w:val="hr-HR"/>
        </w:rPr>
      </w:pPr>
      <w:bookmarkStart w:id="9" w:name="_Hlk79438750"/>
      <w:r w:rsidRPr="007C0730">
        <w:rPr>
          <w:szCs w:val="22"/>
          <w:lang w:val="hr-HR"/>
        </w:rPr>
        <w:t xml:space="preserve">Intrakranijalna hipertenzija (IH) sa edemom papile, ataksijom, promjenama u čulu vida, glavoboljom, mučninom i/ili povraćanjem prijavljena je kod malog broja pacijenata liječenih ljekovima za hormon rasta. Pregled fundusa se preporučuje na početku liječenja i prema klinički opravdanim potrebama. Kod pacijenata sa kliničkim ili funduskopskim dokazima za IH, primjenu somatrogona treba privremeno prekinuti. </w:t>
      </w:r>
      <w:r w:rsidRPr="00D07CAB">
        <w:rPr>
          <w:color w:val="000000"/>
          <w:szCs w:val="22"/>
          <w:shd w:val="clear" w:color="auto" w:fill="FFFFFF"/>
          <w:lang w:val="hr-HR"/>
        </w:rPr>
        <w:t>Trenutno nema dovoljno dokaza za davanje konkretnih savjeta o nastavku terapije hormonom rasta kod pacijenata sa otklonjenim IH-om.</w:t>
      </w:r>
      <w:r w:rsidRPr="00255289">
        <w:rPr>
          <w:szCs w:val="22"/>
          <w:lang w:val="hr-HR"/>
        </w:rPr>
        <w:t xml:space="preserve"> Ako se liječenje somatrogonom ponovo započne, neophodno je praćenje znakova i simptoma IH-a. </w:t>
      </w:r>
    </w:p>
    <w:bookmarkEnd w:id="9"/>
    <w:p w14:paraId="228B39CB" w14:textId="215A668D" w:rsidR="004A6522" w:rsidRPr="00C1176F" w:rsidRDefault="004A6522" w:rsidP="008D5FAA">
      <w:pPr>
        <w:pStyle w:val="ListParagraph"/>
        <w:ind w:left="0"/>
        <w:contextualSpacing w:val="0"/>
        <w:jc w:val="both"/>
        <w:rPr>
          <w:sz w:val="22"/>
          <w:szCs w:val="22"/>
          <w:u w:val="single"/>
          <w:lang w:val="hr-HR"/>
        </w:rPr>
      </w:pPr>
    </w:p>
    <w:p w14:paraId="2B3ECC0A" w14:textId="22EE119E" w:rsidR="007100C2" w:rsidRPr="00C1176F" w:rsidRDefault="007100C2" w:rsidP="008D5FAA">
      <w:pPr>
        <w:pStyle w:val="ListParagraph"/>
        <w:keepNext/>
        <w:ind w:left="0"/>
        <w:contextualSpacing w:val="0"/>
        <w:jc w:val="both"/>
        <w:rPr>
          <w:sz w:val="22"/>
          <w:szCs w:val="22"/>
          <w:u w:val="single"/>
          <w:lang w:val="hr-HR"/>
        </w:rPr>
      </w:pPr>
      <w:bookmarkStart w:id="10" w:name="_Hlk89273717"/>
      <w:r w:rsidRPr="007C0730">
        <w:rPr>
          <w:sz w:val="22"/>
          <w:szCs w:val="22"/>
          <w:u w:val="single"/>
          <w:lang w:val="hr-HR"/>
        </w:rPr>
        <w:t>Akutna kritična bolest</w:t>
      </w:r>
    </w:p>
    <w:p w14:paraId="2226AB53" w14:textId="77777777" w:rsidR="007812BA" w:rsidRPr="00C1176F" w:rsidRDefault="007812BA" w:rsidP="008D5FAA">
      <w:pPr>
        <w:pStyle w:val="ListParagraph"/>
        <w:keepNext/>
        <w:ind w:left="0"/>
        <w:contextualSpacing w:val="0"/>
        <w:jc w:val="both"/>
        <w:rPr>
          <w:sz w:val="22"/>
          <w:szCs w:val="22"/>
          <w:u w:val="single"/>
          <w:lang w:val="hr-HR"/>
        </w:rPr>
      </w:pPr>
    </w:p>
    <w:bookmarkEnd w:id="10"/>
    <w:p w14:paraId="3F44BE1C" w14:textId="62539323" w:rsidR="004B3CD3" w:rsidRPr="00C1176F" w:rsidRDefault="00BD1A1F" w:rsidP="008D5FAA">
      <w:pPr>
        <w:jc w:val="both"/>
        <w:rPr>
          <w:color w:val="000000"/>
          <w:szCs w:val="22"/>
          <w:u w:val="single"/>
          <w:lang w:val="hr-HR"/>
        </w:rPr>
      </w:pPr>
      <w:r w:rsidRPr="007C0730">
        <w:rPr>
          <w:szCs w:val="22"/>
          <w:lang w:val="hr-HR"/>
        </w:rPr>
        <w:t>Kod kritično bolesnih odraslih pacijenata koji su pretrpjeli komplikacije nakon operacije na otvorenom srcu, abdominalne hirurgije, višestruke traume nakon nezgode ili akutne respiratorne insuficijencije, smrtnost je bila veća kod pacijenata liječenih sa 5,3 mg ili 8</w:t>
      </w:r>
      <w:r w:rsidRPr="00D07CAB">
        <w:rPr>
          <w:szCs w:val="22"/>
          <w:lang w:val="hr-HR"/>
        </w:rPr>
        <w:t xml:space="preserve"> mg somatropina dnevno (tj. 37,1 – 56 mg/nedjeljno) u poređenju sa</w:t>
      </w:r>
      <w:r w:rsidRPr="00255289">
        <w:rPr>
          <w:szCs w:val="22"/>
          <w:lang w:val="hr-HR"/>
        </w:rPr>
        <w:t xml:space="preserve"> pacijentima koji su primali placebo, i to 42% naspram 19%. Na osnovu ovih informacija, ove vrste pacijenata ne treba liječiti somatrogonom. Pošto nema dostupnih informacija o bezbjednosti supstitucione terapije hormonom rasta kod akutno kritično bolesnih pacijenata, koristi od nastavka liječenja somatrogonom u ovoj situaciji treba procijeniti u odnosu na potencijalne rizike. Kod svih pacijenata koji razvijaju drugu ili sličnu akutnu kritičnu bolest, moguća korist od liječenja somatrogonom se mora procijen</w:t>
      </w:r>
      <w:r w:rsidRPr="00D173DA">
        <w:rPr>
          <w:szCs w:val="22"/>
          <w:lang w:val="hr-HR"/>
        </w:rPr>
        <w:t>iti u odnosu na potencijalni rizik.</w:t>
      </w:r>
    </w:p>
    <w:p w14:paraId="7BD6C9D9" w14:textId="77777777" w:rsidR="004A6522" w:rsidRPr="00C1176F" w:rsidRDefault="004A6522" w:rsidP="008D5FAA">
      <w:pPr>
        <w:pStyle w:val="ListParagraph"/>
        <w:ind w:left="0"/>
        <w:contextualSpacing w:val="0"/>
        <w:jc w:val="both"/>
        <w:rPr>
          <w:sz w:val="22"/>
          <w:szCs w:val="22"/>
          <w:u w:val="single"/>
          <w:lang w:val="hr-HR"/>
        </w:rPr>
      </w:pPr>
    </w:p>
    <w:p w14:paraId="54D3422C" w14:textId="77777777" w:rsidR="0022441D" w:rsidRPr="00C1176F" w:rsidRDefault="0022441D" w:rsidP="008D5FAA">
      <w:pPr>
        <w:pStyle w:val="ListParagraph"/>
        <w:ind w:left="0"/>
        <w:contextualSpacing w:val="0"/>
        <w:jc w:val="both"/>
        <w:rPr>
          <w:sz w:val="22"/>
          <w:szCs w:val="22"/>
          <w:u w:val="single"/>
          <w:lang w:val="hr-HR"/>
        </w:rPr>
      </w:pPr>
      <w:r w:rsidRPr="007C0730">
        <w:rPr>
          <w:sz w:val="22"/>
          <w:szCs w:val="22"/>
          <w:u w:val="single"/>
          <w:lang w:val="hr-HR"/>
        </w:rPr>
        <w:t>Pankreatitis</w:t>
      </w:r>
    </w:p>
    <w:p w14:paraId="479E623C" w14:textId="77777777" w:rsidR="0022441D" w:rsidRPr="00C1176F" w:rsidRDefault="0022441D" w:rsidP="008D5FAA">
      <w:pPr>
        <w:pStyle w:val="ListParagraph"/>
        <w:ind w:left="0"/>
        <w:contextualSpacing w:val="0"/>
        <w:jc w:val="both"/>
        <w:rPr>
          <w:sz w:val="22"/>
          <w:szCs w:val="22"/>
          <w:u w:val="single"/>
          <w:lang w:val="hr-HR"/>
        </w:rPr>
      </w:pPr>
    </w:p>
    <w:p w14:paraId="222B5FE1" w14:textId="35FAFC45" w:rsidR="0022441D" w:rsidRPr="007C0730" w:rsidRDefault="0022441D" w:rsidP="008D5FAA">
      <w:pPr>
        <w:jc w:val="both"/>
        <w:rPr>
          <w:szCs w:val="22"/>
          <w:lang w:val="hr-HR"/>
        </w:rPr>
      </w:pPr>
      <w:r w:rsidRPr="007C0730">
        <w:rPr>
          <w:szCs w:val="22"/>
          <w:lang w:val="hr-HR"/>
        </w:rPr>
        <w:t>Iako rijetko kod pacijenata koji se liječe ljekovima za hormon rasta, pankreatitis treba razmotriti kod pacijenata koji se liječe somatrogonom i koji tokom liječenja osjete jak bol u stomaku.</w:t>
      </w:r>
    </w:p>
    <w:p w14:paraId="7E1D2ACA" w14:textId="77777777" w:rsidR="0022441D" w:rsidRPr="00C1176F" w:rsidRDefault="0022441D" w:rsidP="008D5FAA">
      <w:pPr>
        <w:pStyle w:val="ListParagraph"/>
        <w:ind w:left="0"/>
        <w:contextualSpacing w:val="0"/>
        <w:jc w:val="both"/>
        <w:rPr>
          <w:sz w:val="22"/>
          <w:szCs w:val="22"/>
          <w:lang w:val="hr-HR"/>
        </w:rPr>
      </w:pPr>
    </w:p>
    <w:p w14:paraId="3FFF8258" w14:textId="77777777" w:rsidR="0022441D" w:rsidRPr="00C1176F" w:rsidRDefault="0022441D" w:rsidP="008D5FAA">
      <w:pPr>
        <w:pStyle w:val="ListParagraph"/>
        <w:keepNext/>
        <w:ind w:left="0"/>
        <w:contextualSpacing w:val="0"/>
        <w:jc w:val="both"/>
        <w:rPr>
          <w:sz w:val="22"/>
          <w:szCs w:val="22"/>
          <w:u w:val="single"/>
          <w:lang w:val="hr-HR"/>
        </w:rPr>
      </w:pPr>
      <w:r w:rsidRPr="007C0730">
        <w:rPr>
          <w:sz w:val="22"/>
          <w:szCs w:val="22"/>
          <w:u w:val="single"/>
          <w:lang w:val="hr-HR"/>
        </w:rPr>
        <w:t>Skolioza</w:t>
      </w:r>
    </w:p>
    <w:p w14:paraId="48383738" w14:textId="77777777" w:rsidR="0022441D" w:rsidRPr="00C1176F" w:rsidRDefault="0022441D" w:rsidP="008D5FAA">
      <w:pPr>
        <w:pStyle w:val="ListParagraph"/>
        <w:keepNext/>
        <w:ind w:left="0"/>
        <w:contextualSpacing w:val="0"/>
        <w:jc w:val="both"/>
        <w:rPr>
          <w:sz w:val="22"/>
          <w:szCs w:val="22"/>
          <w:u w:val="single"/>
          <w:lang w:val="hr-HR"/>
        </w:rPr>
      </w:pPr>
    </w:p>
    <w:p w14:paraId="2FAB4399" w14:textId="77777777" w:rsidR="0022441D" w:rsidRPr="007C0730" w:rsidRDefault="0022441D" w:rsidP="008D5FAA">
      <w:pPr>
        <w:pStyle w:val="ListParagraph"/>
        <w:ind w:left="0"/>
        <w:contextualSpacing w:val="0"/>
        <w:jc w:val="both"/>
        <w:rPr>
          <w:sz w:val="22"/>
          <w:szCs w:val="22"/>
          <w:lang w:val="hr-HR"/>
        </w:rPr>
      </w:pPr>
      <w:r w:rsidRPr="007C0730">
        <w:rPr>
          <w:sz w:val="22"/>
          <w:szCs w:val="22"/>
          <w:lang w:val="hr-HR"/>
        </w:rPr>
        <w:t>Pošto somatrogon povećava brzinu rasta, tokom liječenja treba pratiti znake razvoja ili progresije skolioze.</w:t>
      </w:r>
    </w:p>
    <w:p w14:paraId="584D1FC5" w14:textId="77777777" w:rsidR="0022441D" w:rsidRPr="00C1176F" w:rsidRDefault="0022441D" w:rsidP="008D5FAA">
      <w:pPr>
        <w:pStyle w:val="ListParagraph"/>
        <w:ind w:left="0"/>
        <w:contextualSpacing w:val="0"/>
        <w:jc w:val="both"/>
        <w:rPr>
          <w:sz w:val="22"/>
          <w:szCs w:val="22"/>
          <w:lang w:val="hr-HR"/>
        </w:rPr>
      </w:pPr>
    </w:p>
    <w:p w14:paraId="04742E88" w14:textId="77777777" w:rsidR="003E76CD" w:rsidRPr="00C1176F" w:rsidRDefault="003E76CD" w:rsidP="008D5FAA">
      <w:pPr>
        <w:keepNext/>
        <w:jc w:val="both"/>
        <w:rPr>
          <w:color w:val="000000"/>
          <w:szCs w:val="22"/>
          <w:u w:val="single"/>
          <w:lang w:val="hr-HR"/>
        </w:rPr>
      </w:pPr>
      <w:r w:rsidRPr="007C0730">
        <w:rPr>
          <w:color w:val="000000"/>
          <w:szCs w:val="22"/>
          <w:u w:val="single"/>
          <w:lang w:val="hr-HR"/>
        </w:rPr>
        <w:t xml:space="preserve">Epifizni poremećaji </w:t>
      </w:r>
    </w:p>
    <w:p w14:paraId="6FB1234D" w14:textId="77777777" w:rsidR="0022441D" w:rsidRPr="00C1176F" w:rsidRDefault="0022441D" w:rsidP="008D5FAA">
      <w:pPr>
        <w:keepNext/>
        <w:jc w:val="both"/>
        <w:rPr>
          <w:szCs w:val="22"/>
          <w:lang w:val="hr-HR" w:eastAsia="en-GB"/>
        </w:rPr>
      </w:pPr>
    </w:p>
    <w:p w14:paraId="79A44392" w14:textId="77777777" w:rsidR="0022441D" w:rsidRPr="00C1176F" w:rsidRDefault="0022441D" w:rsidP="008D5FAA">
      <w:pPr>
        <w:jc w:val="both"/>
        <w:rPr>
          <w:szCs w:val="22"/>
          <w:lang w:val="hr-HR"/>
        </w:rPr>
      </w:pPr>
      <w:r w:rsidRPr="007C0730">
        <w:rPr>
          <w:szCs w:val="22"/>
          <w:lang w:val="hr-HR"/>
        </w:rPr>
        <w:t>Poremećaji epifize, uključujući iskliznuće epifize glave femura, mogu se češće javiti kod pacijenata sa endokrinim poremećajima ili kod pacijenata koji brzo rastu. Treba pažljivo procijeniti svakog pedijatrijskog pacijenta koji počne da hramlje ili da se žali na bol u kuku ili koljenu tokom liječenja.</w:t>
      </w:r>
    </w:p>
    <w:p w14:paraId="6F0D2682" w14:textId="148B31D3" w:rsidR="005A549A" w:rsidRPr="00C1176F" w:rsidRDefault="005A549A" w:rsidP="008D5FAA">
      <w:pPr>
        <w:jc w:val="both"/>
        <w:rPr>
          <w:szCs w:val="22"/>
          <w:lang w:val="hr-HR" w:eastAsia="en-GB"/>
        </w:rPr>
      </w:pPr>
    </w:p>
    <w:p w14:paraId="59ED236C" w14:textId="27A8DBDD" w:rsidR="008305B4" w:rsidRPr="00C1176F" w:rsidRDefault="005A549A" w:rsidP="008D5FAA">
      <w:pPr>
        <w:jc w:val="both"/>
        <w:rPr>
          <w:szCs w:val="22"/>
          <w:u w:val="single"/>
          <w:lang w:val="hr-HR"/>
        </w:rPr>
      </w:pPr>
      <w:r w:rsidRPr="007C0730">
        <w:rPr>
          <w:szCs w:val="22"/>
          <w:u w:val="single"/>
          <w:lang w:val="hr-HR"/>
        </w:rPr>
        <w:t xml:space="preserve">Oralna terapija estrogenom </w:t>
      </w:r>
    </w:p>
    <w:p w14:paraId="14077751" w14:textId="77777777" w:rsidR="005A549A" w:rsidRPr="00C1176F" w:rsidRDefault="005A549A" w:rsidP="008D5FAA">
      <w:pPr>
        <w:keepNext/>
        <w:jc w:val="both"/>
        <w:rPr>
          <w:szCs w:val="22"/>
          <w:lang w:val="hr-HR" w:eastAsia="en-GB"/>
        </w:rPr>
      </w:pPr>
    </w:p>
    <w:p w14:paraId="03DBDD91" w14:textId="4D11A530" w:rsidR="00732E99" w:rsidRPr="008D5FAA" w:rsidRDefault="005A549A" w:rsidP="008D5FAA">
      <w:pPr>
        <w:pStyle w:val="ListParagraph"/>
        <w:ind w:left="0"/>
        <w:contextualSpacing w:val="0"/>
        <w:jc w:val="both"/>
        <w:rPr>
          <w:sz w:val="22"/>
          <w:szCs w:val="22"/>
          <w:u w:val="single"/>
          <w:lang w:val="hr-HR"/>
        </w:rPr>
      </w:pPr>
      <w:r w:rsidRPr="007C0730">
        <w:rPr>
          <w:sz w:val="22"/>
          <w:szCs w:val="22"/>
          <w:lang w:val="hr-HR"/>
        </w:rPr>
        <w:t>Estrogen uzet oralno utiče na reagovanje IGF-1 na hormon rasta. Ako pacijentkinja koja uzima somatrogon počne ili prekine oralnu terapiju koja sadrži estrogen, potrebno je pratiti vrijednost IGF-1 kako bi se utvrdilo da li dozu hormona rasta treba prilagoditi kako bi se nivoi IGF</w:t>
      </w:r>
      <w:r w:rsidRPr="007C0730">
        <w:rPr>
          <w:sz w:val="22"/>
          <w:szCs w:val="22"/>
          <w:lang w:val="hr-HR"/>
        </w:rPr>
        <w:noBreakHyphen/>
        <w:t xml:space="preserve">1 u serumu održali u normalnom opsegu (vidjeti </w:t>
      </w:r>
      <w:r w:rsidR="00CE7A3D" w:rsidRPr="00D07CAB">
        <w:rPr>
          <w:sz w:val="22"/>
          <w:szCs w:val="22"/>
          <w:lang w:val="hr-HR"/>
        </w:rPr>
        <w:t xml:space="preserve">dio </w:t>
      </w:r>
      <w:r w:rsidRPr="00D07CAB">
        <w:rPr>
          <w:sz w:val="22"/>
          <w:szCs w:val="22"/>
          <w:lang w:val="hr-HR"/>
        </w:rPr>
        <w:t xml:space="preserve">4.2). Kod pacijentkinja koje primaju oralnu terapiju koja sadrži estrogen može biti potrebna veća doza somatrogona da bi se postigao cilj liječenja (vidjeti </w:t>
      </w:r>
      <w:r w:rsidR="00CE7A3D" w:rsidRPr="00D07CAB">
        <w:rPr>
          <w:sz w:val="22"/>
          <w:szCs w:val="22"/>
          <w:lang w:val="hr-HR"/>
        </w:rPr>
        <w:t xml:space="preserve">dio </w:t>
      </w:r>
      <w:r w:rsidRPr="00D07CAB">
        <w:rPr>
          <w:sz w:val="22"/>
          <w:szCs w:val="22"/>
          <w:lang w:val="hr-HR"/>
        </w:rPr>
        <w:t>4.5).</w:t>
      </w:r>
    </w:p>
    <w:p w14:paraId="63F5C7B1" w14:textId="1732D1D3" w:rsidR="005A549A" w:rsidRPr="00C1176F" w:rsidRDefault="005A549A" w:rsidP="008D5FAA">
      <w:pPr>
        <w:pStyle w:val="ListParagraph"/>
        <w:ind w:left="0"/>
        <w:contextualSpacing w:val="0"/>
        <w:jc w:val="both"/>
        <w:rPr>
          <w:sz w:val="22"/>
          <w:szCs w:val="22"/>
          <w:lang w:val="hr-HR"/>
        </w:rPr>
      </w:pPr>
    </w:p>
    <w:p w14:paraId="6A4FE084" w14:textId="3E5D28E9" w:rsidR="008305B4" w:rsidRPr="008D5FAA" w:rsidRDefault="0027385B" w:rsidP="008D5FAA">
      <w:pPr>
        <w:pStyle w:val="Paragraph"/>
        <w:keepNext/>
        <w:spacing w:after="0"/>
        <w:jc w:val="both"/>
        <w:rPr>
          <w:sz w:val="22"/>
          <w:szCs w:val="22"/>
          <w:u w:val="single"/>
          <w:lang w:val="hr-HR"/>
        </w:rPr>
      </w:pPr>
      <w:r w:rsidRPr="007C0730">
        <w:rPr>
          <w:sz w:val="22"/>
          <w:szCs w:val="22"/>
          <w:u w:val="single"/>
          <w:lang w:val="hr-HR"/>
        </w:rPr>
        <w:t>Pomoćne supstance</w:t>
      </w:r>
      <w:r w:rsidRPr="007C0730">
        <w:rPr>
          <w:sz w:val="22"/>
          <w:szCs w:val="22"/>
          <w:lang w:val="hr-HR"/>
        </w:rPr>
        <w:t xml:space="preserve"> </w:t>
      </w:r>
      <w:r w:rsidRPr="007C0730">
        <w:rPr>
          <w:sz w:val="22"/>
          <w:szCs w:val="22"/>
          <w:lang w:val="hr-HR"/>
        </w:rPr>
        <w:cr/>
      </w:r>
    </w:p>
    <w:p w14:paraId="61D8FEDF" w14:textId="5105E5DB" w:rsidR="0027385B" w:rsidRPr="007C0730" w:rsidRDefault="0027385B" w:rsidP="008D5FAA">
      <w:pPr>
        <w:keepNext/>
        <w:jc w:val="both"/>
        <w:rPr>
          <w:i/>
          <w:iCs/>
          <w:szCs w:val="22"/>
          <w:lang w:val="hr-HR"/>
        </w:rPr>
      </w:pPr>
      <w:r w:rsidRPr="007C0730">
        <w:rPr>
          <w:i/>
          <w:szCs w:val="22"/>
          <w:lang w:val="hr-HR"/>
        </w:rPr>
        <w:t>Sadržaj natrijuma</w:t>
      </w:r>
    </w:p>
    <w:p w14:paraId="04ADC994" w14:textId="38FB0B30" w:rsidR="009C46C3" w:rsidRPr="007C0730" w:rsidRDefault="009C46C3" w:rsidP="008D5FAA">
      <w:pPr>
        <w:jc w:val="both"/>
        <w:rPr>
          <w:szCs w:val="22"/>
          <w:lang w:val="hr-HR"/>
        </w:rPr>
      </w:pPr>
      <w:r w:rsidRPr="007C0730">
        <w:rPr>
          <w:szCs w:val="22"/>
          <w:lang w:val="hr-HR"/>
        </w:rPr>
        <w:t>Ovaj lijek sadrži manje od 1 mmol natrijuma (23 mg) po dozi, takoreći „ne sadrži natrijum“.</w:t>
      </w:r>
    </w:p>
    <w:p w14:paraId="2E4F3946" w14:textId="77777777" w:rsidR="004A6522" w:rsidRPr="00C1176F" w:rsidRDefault="004A6522" w:rsidP="008D5FAA">
      <w:pPr>
        <w:pStyle w:val="Paragraph"/>
        <w:spacing w:after="0"/>
        <w:jc w:val="both"/>
        <w:rPr>
          <w:i/>
          <w:iCs/>
          <w:sz w:val="22"/>
          <w:szCs w:val="22"/>
          <w:lang w:val="hr-HR"/>
        </w:rPr>
      </w:pPr>
    </w:p>
    <w:p w14:paraId="35A7B1E0" w14:textId="46BCEDF8" w:rsidR="00F871F1" w:rsidRPr="00C1176F" w:rsidRDefault="004A6522" w:rsidP="008D5FAA">
      <w:pPr>
        <w:pStyle w:val="Paragraph"/>
        <w:spacing w:after="0"/>
        <w:jc w:val="both"/>
        <w:rPr>
          <w:i/>
          <w:iCs/>
          <w:sz w:val="22"/>
          <w:szCs w:val="22"/>
          <w:lang w:val="hr-HR"/>
        </w:rPr>
      </w:pPr>
      <w:r w:rsidRPr="007C0730">
        <w:rPr>
          <w:i/>
          <w:sz w:val="22"/>
          <w:szCs w:val="22"/>
          <w:lang w:val="hr-HR"/>
        </w:rPr>
        <w:t>Metakrezol</w:t>
      </w:r>
    </w:p>
    <w:p w14:paraId="5EB30C5D" w14:textId="35BBA91E" w:rsidR="004A6522" w:rsidRPr="00C1176F" w:rsidRDefault="004A6522" w:rsidP="008D5FAA">
      <w:pPr>
        <w:spacing w:line="240" w:lineRule="auto"/>
        <w:contextualSpacing/>
        <w:jc w:val="both"/>
        <w:rPr>
          <w:szCs w:val="22"/>
          <w:lang w:val="hr-HR"/>
        </w:rPr>
      </w:pPr>
      <w:r w:rsidRPr="007C0730">
        <w:rPr>
          <w:szCs w:val="22"/>
          <w:lang w:val="hr-HR"/>
        </w:rPr>
        <w:lastRenderedPageBreak/>
        <w:t>Miozitis je veoma rijetk</w:t>
      </w:r>
      <w:r w:rsidR="00D8713C" w:rsidRPr="007C0730">
        <w:rPr>
          <w:szCs w:val="22"/>
          <w:lang w:val="hr-HR"/>
        </w:rPr>
        <w:t>i</w:t>
      </w:r>
      <w:r w:rsidRPr="007C0730">
        <w:rPr>
          <w:szCs w:val="22"/>
          <w:lang w:val="hr-HR"/>
        </w:rPr>
        <w:t xml:space="preserve"> neželjen</w:t>
      </w:r>
      <w:r w:rsidR="00D8713C" w:rsidRPr="007C0730">
        <w:rPr>
          <w:szCs w:val="22"/>
          <w:lang w:val="hr-HR"/>
        </w:rPr>
        <w:t>i</w:t>
      </w:r>
      <w:r w:rsidRPr="007C0730">
        <w:rPr>
          <w:szCs w:val="22"/>
          <w:lang w:val="hr-HR"/>
        </w:rPr>
        <w:t xml:space="preserve"> </w:t>
      </w:r>
      <w:r w:rsidR="00D8713C" w:rsidRPr="007C0730">
        <w:rPr>
          <w:szCs w:val="22"/>
          <w:lang w:val="hr-HR"/>
        </w:rPr>
        <w:t xml:space="preserve">događaj </w:t>
      </w:r>
      <w:r w:rsidRPr="007C0730">
        <w:rPr>
          <w:szCs w:val="22"/>
          <w:lang w:val="hr-HR"/>
        </w:rPr>
        <w:t>koj</w:t>
      </w:r>
      <w:r w:rsidR="00D8713C" w:rsidRPr="007C0730">
        <w:rPr>
          <w:szCs w:val="22"/>
          <w:lang w:val="hr-HR"/>
        </w:rPr>
        <w:t>i</w:t>
      </w:r>
      <w:r w:rsidRPr="007C0730">
        <w:rPr>
          <w:szCs w:val="22"/>
          <w:lang w:val="hr-HR"/>
        </w:rPr>
        <w:t xml:space="preserve"> može biti povezan sa konzervansom metakrezolom. U slučaju mijalgije ili nesrazmjernog bola na m</w:t>
      </w:r>
      <w:r w:rsidR="00625039" w:rsidRPr="00D07CAB">
        <w:rPr>
          <w:szCs w:val="22"/>
          <w:lang w:val="hr-HR"/>
        </w:rPr>
        <w:t>j</w:t>
      </w:r>
      <w:r w:rsidRPr="00D07CAB">
        <w:rPr>
          <w:szCs w:val="22"/>
          <w:lang w:val="hr-HR"/>
        </w:rPr>
        <w:t>estu ubrizgavanja, treba razmotriti miozitis i ako se potvrdi, treba koristiti druge ljekove za hormon rasta bez metakrezola.</w:t>
      </w:r>
    </w:p>
    <w:p w14:paraId="09B344DF" w14:textId="77777777" w:rsidR="009C46C3" w:rsidRPr="00C1176F" w:rsidRDefault="009C46C3" w:rsidP="008D5FAA">
      <w:pPr>
        <w:pStyle w:val="Paragraph"/>
        <w:spacing w:after="0"/>
        <w:jc w:val="both"/>
        <w:rPr>
          <w:sz w:val="22"/>
          <w:szCs w:val="22"/>
          <w:lang w:val="hr-HR"/>
        </w:rPr>
      </w:pPr>
    </w:p>
    <w:p w14:paraId="1BBEE048" w14:textId="77777777" w:rsidR="00812D16" w:rsidRPr="00C1176F" w:rsidRDefault="00812D16" w:rsidP="008D5FAA">
      <w:pPr>
        <w:keepNext/>
        <w:spacing w:line="240" w:lineRule="auto"/>
        <w:ind w:left="567" w:hanging="567"/>
        <w:jc w:val="both"/>
        <w:outlineLvl w:val="0"/>
        <w:rPr>
          <w:szCs w:val="22"/>
          <w:lang w:val="hr-HR"/>
        </w:rPr>
      </w:pPr>
      <w:r w:rsidRPr="007C0730">
        <w:rPr>
          <w:b/>
          <w:szCs w:val="22"/>
          <w:lang w:val="hr-HR"/>
        </w:rPr>
        <w:t>4.5</w:t>
      </w:r>
      <w:r w:rsidRPr="007C0730">
        <w:rPr>
          <w:b/>
          <w:szCs w:val="22"/>
          <w:lang w:val="hr-HR"/>
        </w:rPr>
        <w:tab/>
        <w:t>Interakcije sa drugim ljekovima i druge vrste interakcija</w:t>
      </w:r>
    </w:p>
    <w:p w14:paraId="10DD3CD7" w14:textId="77777777" w:rsidR="000A37BB" w:rsidRPr="00C1176F" w:rsidRDefault="000A37BB" w:rsidP="008D5FAA">
      <w:pPr>
        <w:keepNext/>
        <w:spacing w:line="240" w:lineRule="auto"/>
        <w:ind w:left="567" w:hanging="567"/>
        <w:jc w:val="both"/>
        <w:rPr>
          <w:szCs w:val="22"/>
          <w:lang w:val="hr-HR"/>
        </w:rPr>
      </w:pPr>
    </w:p>
    <w:p w14:paraId="2CB626B2" w14:textId="0FB00A78" w:rsidR="0027385B" w:rsidRPr="00C1176F" w:rsidRDefault="0027385B" w:rsidP="008D5FAA">
      <w:pPr>
        <w:keepNext/>
        <w:spacing w:line="240" w:lineRule="auto"/>
        <w:ind w:left="567" w:hanging="567"/>
        <w:jc w:val="both"/>
        <w:rPr>
          <w:szCs w:val="22"/>
          <w:lang w:val="hr-HR"/>
        </w:rPr>
      </w:pPr>
      <w:r w:rsidRPr="007C0730">
        <w:rPr>
          <w:szCs w:val="22"/>
          <w:lang w:val="hr-HR"/>
        </w:rPr>
        <w:t xml:space="preserve">Nijesu sprovedene studije interakcija u pedijatriji. </w:t>
      </w:r>
    </w:p>
    <w:p w14:paraId="25F6237C" w14:textId="77777777" w:rsidR="0064160E" w:rsidRPr="00C1176F" w:rsidRDefault="0064160E" w:rsidP="008D5FAA">
      <w:pPr>
        <w:keepNext/>
        <w:spacing w:line="240" w:lineRule="auto"/>
        <w:ind w:left="567" w:hanging="567"/>
        <w:jc w:val="both"/>
        <w:rPr>
          <w:szCs w:val="22"/>
          <w:lang w:val="hr-HR"/>
        </w:rPr>
      </w:pPr>
    </w:p>
    <w:p w14:paraId="45D8F836" w14:textId="77777777" w:rsidR="001550B4" w:rsidRPr="007C0730" w:rsidRDefault="001550B4" w:rsidP="008D5FAA">
      <w:pPr>
        <w:pStyle w:val="PIHeading2"/>
        <w:keepLines w:val="0"/>
        <w:shd w:val="clear" w:color="auto" w:fill="FFFFFF"/>
        <w:tabs>
          <w:tab w:val="left" w:pos="540"/>
        </w:tabs>
        <w:spacing w:before="0" w:after="0"/>
        <w:jc w:val="both"/>
        <w:rPr>
          <w:rFonts w:ascii="Times New Roman" w:hAnsi="Times New Roman" w:cs="Times New Roman"/>
          <w:b w:val="0"/>
          <w:bCs/>
          <w:sz w:val="22"/>
          <w:szCs w:val="22"/>
          <w:u w:val="single"/>
          <w:lang w:val="hr-HR"/>
        </w:rPr>
      </w:pPr>
      <w:r w:rsidRPr="007C0730">
        <w:rPr>
          <w:rFonts w:ascii="Times New Roman" w:hAnsi="Times New Roman" w:cs="Times New Roman"/>
          <w:b w:val="0"/>
          <w:sz w:val="22"/>
          <w:szCs w:val="22"/>
          <w:u w:val="single"/>
          <w:lang w:val="hr-HR"/>
        </w:rPr>
        <w:t>Glukokortikoidi</w:t>
      </w:r>
    </w:p>
    <w:p w14:paraId="2FB70928" w14:textId="77777777" w:rsidR="001550B4" w:rsidRPr="00D07CAB" w:rsidRDefault="001550B4" w:rsidP="008D5FAA">
      <w:pPr>
        <w:pStyle w:val="PIHeading2"/>
        <w:keepNext w:val="0"/>
        <w:keepLines w:val="0"/>
        <w:shd w:val="clear" w:color="auto" w:fill="FFFFFF"/>
        <w:tabs>
          <w:tab w:val="left" w:pos="540"/>
        </w:tabs>
        <w:spacing w:before="0" w:after="0"/>
        <w:jc w:val="both"/>
        <w:rPr>
          <w:rFonts w:ascii="Times New Roman" w:hAnsi="Times New Roman" w:cs="Times New Roman"/>
          <w:b w:val="0"/>
          <w:bCs/>
          <w:sz w:val="22"/>
          <w:szCs w:val="22"/>
          <w:u w:val="single"/>
          <w:lang w:val="hr-HR"/>
        </w:rPr>
      </w:pPr>
    </w:p>
    <w:p w14:paraId="2E4BB2DC" w14:textId="65157218" w:rsidR="00A92F02" w:rsidRPr="00C1176F" w:rsidRDefault="00A92F02" w:rsidP="008D5FAA">
      <w:pPr>
        <w:jc w:val="both"/>
        <w:rPr>
          <w:color w:val="000000" w:themeColor="text1"/>
          <w:szCs w:val="22"/>
          <w:u w:val="single"/>
          <w:lang w:val="hr-HR"/>
        </w:rPr>
      </w:pPr>
      <w:r w:rsidRPr="00255289">
        <w:rPr>
          <w:szCs w:val="22"/>
          <w:lang w:val="hr-HR"/>
        </w:rPr>
        <w:t xml:space="preserve">Istovremena </w:t>
      </w:r>
      <w:r w:rsidRPr="00255289">
        <w:rPr>
          <w:color w:val="000000" w:themeColor="text1"/>
          <w:szCs w:val="22"/>
          <w:lang w:val="hr-HR"/>
        </w:rPr>
        <w:t>terap</w:t>
      </w:r>
      <w:r w:rsidRPr="00910018">
        <w:rPr>
          <w:color w:val="000000" w:themeColor="text1"/>
          <w:szCs w:val="22"/>
          <w:lang w:val="hr-HR"/>
        </w:rPr>
        <w:t>ija glukokortikoidima može inhibirati efekte somatrogona koji podstiču rast. Pacijentima sa nedostatkom adrenokortikotropnog hormona (ACTH) treba pažljivo prilagoditi terapiju zamjene glukokortikoida kako bi se izbjegao bilo kakav inhibitorni efekat na rast. Z</w:t>
      </w:r>
      <w:r w:rsidRPr="00D173DA">
        <w:rPr>
          <w:color w:val="000000" w:themeColor="text1"/>
          <w:szCs w:val="22"/>
          <w:lang w:val="hr-HR"/>
        </w:rPr>
        <w:t>bog toga, treba pažljivo pratiti rast pacijenata koji se liječe glukokortikoidima kako bi se procijenio potencijalni uticaj terapije glukokortikoidima na rast.</w:t>
      </w:r>
    </w:p>
    <w:p w14:paraId="29196522" w14:textId="77777777" w:rsidR="00A92F02" w:rsidRPr="00C1176F" w:rsidRDefault="00A92F02" w:rsidP="008D5FAA">
      <w:pPr>
        <w:jc w:val="both"/>
        <w:rPr>
          <w:color w:val="000000" w:themeColor="text1"/>
          <w:szCs w:val="22"/>
          <w:u w:val="single"/>
          <w:lang w:val="hr-HR"/>
        </w:rPr>
      </w:pPr>
    </w:p>
    <w:p w14:paraId="4E49A091" w14:textId="561033ED" w:rsidR="00A92F02" w:rsidRPr="00C1176F" w:rsidRDefault="00A92F02" w:rsidP="008D5FAA">
      <w:pPr>
        <w:jc w:val="both"/>
        <w:rPr>
          <w:rFonts w:eastAsia="TimesNewRomanPSMT"/>
          <w:iCs/>
          <w:szCs w:val="22"/>
          <w:lang w:val="hr-HR"/>
        </w:rPr>
      </w:pPr>
      <w:r w:rsidRPr="007C0730">
        <w:rPr>
          <w:szCs w:val="22"/>
          <w:lang w:val="hr-HR"/>
        </w:rPr>
        <w:t xml:space="preserve">Hormon rasta smanjuje konverziju kortizona u kortizol i može da otkrije prethodno neotkriveni centralni hipoadrenalizam ili da niske zamjenske doze glukokortikoida učini neefikasnim (vidjeti </w:t>
      </w:r>
      <w:r w:rsidR="00CE7A3D" w:rsidRPr="007C0730">
        <w:rPr>
          <w:szCs w:val="22"/>
          <w:lang w:val="hr-HR"/>
        </w:rPr>
        <w:t xml:space="preserve">dio </w:t>
      </w:r>
      <w:r w:rsidRPr="007C0730">
        <w:rPr>
          <w:szCs w:val="22"/>
          <w:lang w:val="hr-HR"/>
        </w:rPr>
        <w:t>4.4).</w:t>
      </w:r>
    </w:p>
    <w:p w14:paraId="65C30937" w14:textId="77777777" w:rsidR="00A92F02" w:rsidRPr="00C1176F" w:rsidRDefault="00A92F02" w:rsidP="008D5FAA">
      <w:pPr>
        <w:jc w:val="both"/>
        <w:rPr>
          <w:rFonts w:eastAsia="TimesNewRomanPSMT"/>
          <w:szCs w:val="22"/>
          <w:lang w:val="hr-HR"/>
        </w:rPr>
      </w:pPr>
    </w:p>
    <w:p w14:paraId="78D00F2F" w14:textId="371CA97E" w:rsidR="001550B4" w:rsidRPr="00C1176F" w:rsidRDefault="001550B4" w:rsidP="008D5FAA">
      <w:pPr>
        <w:jc w:val="both"/>
        <w:rPr>
          <w:bCs/>
          <w:szCs w:val="22"/>
          <w:u w:val="single"/>
          <w:lang w:val="hr-HR"/>
        </w:rPr>
      </w:pPr>
      <w:r w:rsidRPr="007C0730">
        <w:rPr>
          <w:szCs w:val="22"/>
          <w:u w:val="single"/>
          <w:lang w:val="hr-HR"/>
        </w:rPr>
        <w:t>Insulin i hipoglikemični ljekovi</w:t>
      </w:r>
    </w:p>
    <w:p w14:paraId="60E37B47" w14:textId="77777777" w:rsidR="001550B4" w:rsidRPr="00C1176F" w:rsidRDefault="001550B4" w:rsidP="008D5FAA">
      <w:pPr>
        <w:jc w:val="both"/>
        <w:rPr>
          <w:bCs/>
          <w:szCs w:val="22"/>
          <w:lang w:val="hr-HR"/>
        </w:rPr>
      </w:pPr>
    </w:p>
    <w:p w14:paraId="3AF54435" w14:textId="41A17DD2" w:rsidR="00020A96" w:rsidRPr="00C1176F" w:rsidRDefault="001550B4" w:rsidP="008D5FAA">
      <w:pPr>
        <w:jc w:val="both"/>
        <w:rPr>
          <w:szCs w:val="22"/>
          <w:lang w:val="hr-HR"/>
        </w:rPr>
      </w:pPr>
      <w:r w:rsidRPr="007C0730">
        <w:rPr>
          <w:szCs w:val="22"/>
          <w:lang w:val="hr-HR"/>
        </w:rPr>
        <w:t xml:space="preserve">Kod pacijenata sa dijabetes melitusom kojima je potrebna terapija ljekovima, doza insulina i/ili oralnih/injektabilnih hipoglikemijskih ljekova može zahtijevati prilagođavanje kada se započne terapija somatrogonom </w:t>
      </w:r>
      <w:r w:rsidRPr="007C0730">
        <w:rPr>
          <w:color w:val="000000" w:themeColor="text1"/>
          <w:szCs w:val="22"/>
          <w:lang w:val="hr-HR"/>
        </w:rPr>
        <w:t xml:space="preserve">(vidjeti </w:t>
      </w:r>
      <w:r w:rsidR="00CE7A3D" w:rsidRPr="007C0730">
        <w:rPr>
          <w:color w:val="000000" w:themeColor="text1"/>
          <w:szCs w:val="22"/>
          <w:lang w:val="hr-HR"/>
        </w:rPr>
        <w:t xml:space="preserve">dio </w:t>
      </w:r>
      <w:r w:rsidRPr="007C0730">
        <w:rPr>
          <w:color w:val="000000" w:themeColor="text1"/>
          <w:szCs w:val="22"/>
          <w:lang w:val="hr-HR"/>
        </w:rPr>
        <w:t>4.4).</w:t>
      </w:r>
    </w:p>
    <w:p w14:paraId="11FD40B7" w14:textId="0C88CFFD" w:rsidR="001550B4" w:rsidRPr="00C1176F" w:rsidRDefault="001550B4" w:rsidP="008D5FAA">
      <w:pPr>
        <w:jc w:val="both"/>
        <w:rPr>
          <w:szCs w:val="22"/>
          <w:lang w:val="hr-HR"/>
        </w:rPr>
      </w:pPr>
    </w:p>
    <w:p w14:paraId="4B999A26" w14:textId="2E2BE3CF" w:rsidR="00A92F02" w:rsidRPr="00C1176F" w:rsidRDefault="000F6272" w:rsidP="008D5FAA">
      <w:pPr>
        <w:jc w:val="both"/>
        <w:rPr>
          <w:szCs w:val="22"/>
          <w:u w:val="single"/>
          <w:lang w:val="hr-HR"/>
        </w:rPr>
      </w:pPr>
      <w:r>
        <w:rPr>
          <w:szCs w:val="22"/>
          <w:u w:val="single"/>
          <w:lang w:val="hr-HR"/>
        </w:rPr>
        <w:t>Ljekovi za štitastu</w:t>
      </w:r>
      <w:r w:rsidR="00A92F02" w:rsidRPr="007C0730">
        <w:rPr>
          <w:szCs w:val="22"/>
          <w:u w:val="single"/>
          <w:lang w:val="hr-HR"/>
        </w:rPr>
        <w:t xml:space="preserve"> žlijezdu </w:t>
      </w:r>
    </w:p>
    <w:p w14:paraId="0BFA58A6" w14:textId="77777777" w:rsidR="004A10EA" w:rsidRPr="00C1176F" w:rsidRDefault="004A10EA" w:rsidP="008D5FAA">
      <w:pPr>
        <w:jc w:val="both"/>
        <w:rPr>
          <w:szCs w:val="22"/>
          <w:u w:val="single"/>
          <w:lang w:val="hr-HR"/>
        </w:rPr>
      </w:pPr>
    </w:p>
    <w:p w14:paraId="5EBB90D3" w14:textId="139C64F4" w:rsidR="00A92F02" w:rsidRPr="00C1176F" w:rsidRDefault="00A92F02" w:rsidP="008D5FAA">
      <w:pPr>
        <w:jc w:val="both"/>
        <w:rPr>
          <w:iCs/>
          <w:color w:val="000000" w:themeColor="text1"/>
          <w:szCs w:val="22"/>
          <w:lang w:val="hr-HR"/>
        </w:rPr>
      </w:pPr>
      <w:r w:rsidRPr="007C0730">
        <w:rPr>
          <w:color w:val="000000" w:themeColor="text1"/>
          <w:szCs w:val="22"/>
          <w:lang w:val="hr-HR"/>
        </w:rPr>
        <w:t xml:space="preserve">Liječenje dnevnim hormonom rasta može razotkriti prethodno nedijagnostikovani ili subklinički centralni hipotireoidizam. Možda će biti potrebno započeti ili prilagoditi zamjensku terapiju tiroksinom (vidjeti </w:t>
      </w:r>
      <w:r w:rsidR="00CE7A3D" w:rsidRPr="007C0730">
        <w:rPr>
          <w:color w:val="000000" w:themeColor="text1"/>
          <w:szCs w:val="22"/>
          <w:lang w:val="hr-HR"/>
        </w:rPr>
        <w:t xml:space="preserve">dio </w:t>
      </w:r>
      <w:r w:rsidRPr="007C0730">
        <w:rPr>
          <w:color w:val="000000" w:themeColor="text1"/>
          <w:szCs w:val="22"/>
          <w:lang w:val="hr-HR"/>
        </w:rPr>
        <w:t xml:space="preserve">4.4). </w:t>
      </w:r>
    </w:p>
    <w:p w14:paraId="5EA0B61F" w14:textId="5677BBD2" w:rsidR="002A1ABC" w:rsidRPr="00C1176F" w:rsidRDefault="002A1ABC" w:rsidP="008D5FAA">
      <w:pPr>
        <w:jc w:val="both"/>
        <w:rPr>
          <w:iCs/>
          <w:color w:val="000000" w:themeColor="text1"/>
          <w:szCs w:val="22"/>
          <w:lang w:val="hr-HR"/>
        </w:rPr>
      </w:pPr>
    </w:p>
    <w:p w14:paraId="5DE6AF75" w14:textId="77777777" w:rsidR="002A1ABC" w:rsidRPr="00C1176F" w:rsidRDefault="002A1ABC" w:rsidP="008D5FAA">
      <w:pPr>
        <w:jc w:val="both"/>
        <w:rPr>
          <w:szCs w:val="22"/>
          <w:u w:val="single"/>
          <w:lang w:val="hr-HR"/>
        </w:rPr>
      </w:pPr>
      <w:r w:rsidRPr="007C0730">
        <w:rPr>
          <w:szCs w:val="22"/>
          <w:u w:val="single"/>
          <w:lang w:val="hr-HR"/>
        </w:rPr>
        <w:t>Oralna terapija estrogenom</w:t>
      </w:r>
    </w:p>
    <w:p w14:paraId="75E6103D" w14:textId="77777777" w:rsidR="002A1ABC" w:rsidRPr="00C1176F" w:rsidRDefault="002A1ABC" w:rsidP="008D5FAA">
      <w:pPr>
        <w:jc w:val="both"/>
        <w:rPr>
          <w:szCs w:val="22"/>
          <w:lang w:val="hr-HR"/>
        </w:rPr>
      </w:pPr>
    </w:p>
    <w:p w14:paraId="1609F437" w14:textId="4722E0BD" w:rsidR="002A1ABC" w:rsidRPr="00C1176F" w:rsidRDefault="002A1ABC" w:rsidP="008D5FAA">
      <w:pPr>
        <w:jc w:val="both"/>
        <w:rPr>
          <w:szCs w:val="22"/>
          <w:lang w:val="hr-HR"/>
        </w:rPr>
      </w:pPr>
      <w:r w:rsidRPr="007C0730">
        <w:rPr>
          <w:szCs w:val="22"/>
          <w:lang w:val="hr-HR"/>
        </w:rPr>
        <w:t xml:space="preserve">Kod pacijenata ženskog pola na oralnoj terapiji koja sadrži estrogen, može biti potrebna veća doza somatrogona da bi se postigao cilj liječenja (vidjeti </w:t>
      </w:r>
      <w:r w:rsidR="00CE7A3D" w:rsidRPr="007C0730">
        <w:rPr>
          <w:szCs w:val="22"/>
          <w:lang w:val="hr-HR"/>
        </w:rPr>
        <w:t xml:space="preserve">dio </w:t>
      </w:r>
      <w:r w:rsidRPr="007C0730">
        <w:rPr>
          <w:szCs w:val="22"/>
          <w:lang w:val="hr-HR"/>
        </w:rPr>
        <w:t>4.4).</w:t>
      </w:r>
    </w:p>
    <w:p w14:paraId="3A37BAF8" w14:textId="77777777" w:rsidR="00C114DA" w:rsidRPr="00C1176F" w:rsidRDefault="00C114DA" w:rsidP="008D5FAA">
      <w:pPr>
        <w:jc w:val="both"/>
        <w:rPr>
          <w:szCs w:val="22"/>
          <w:u w:val="single"/>
          <w:lang w:val="hr-HR"/>
        </w:rPr>
      </w:pPr>
    </w:p>
    <w:p w14:paraId="0DE149EF" w14:textId="3C5F972F" w:rsidR="00EB164D" w:rsidRPr="00C1176F" w:rsidRDefault="00EB164D" w:rsidP="008D5FAA">
      <w:pPr>
        <w:jc w:val="both"/>
        <w:rPr>
          <w:szCs w:val="22"/>
          <w:u w:val="single"/>
          <w:lang w:val="hr-HR"/>
        </w:rPr>
      </w:pPr>
      <w:r w:rsidRPr="007C0730">
        <w:rPr>
          <w:szCs w:val="22"/>
          <w:u w:val="single"/>
          <w:lang w:val="hr-HR"/>
        </w:rPr>
        <w:t>Proizvodi metabolizma citokroma P450</w:t>
      </w:r>
    </w:p>
    <w:p w14:paraId="16DE0961" w14:textId="77777777" w:rsidR="00EB164D" w:rsidRPr="00C1176F" w:rsidRDefault="00EB164D" w:rsidP="008D5FAA">
      <w:pPr>
        <w:jc w:val="both"/>
        <w:rPr>
          <w:szCs w:val="22"/>
          <w:lang w:val="hr-HR"/>
        </w:rPr>
      </w:pPr>
    </w:p>
    <w:p w14:paraId="5F1A8083" w14:textId="23895A4B" w:rsidR="00EB164D" w:rsidRPr="00C1176F" w:rsidRDefault="00EB164D" w:rsidP="008D5FAA">
      <w:pPr>
        <w:jc w:val="both"/>
        <w:rPr>
          <w:szCs w:val="22"/>
          <w:lang w:val="hr-HR"/>
        </w:rPr>
      </w:pPr>
      <w:r w:rsidRPr="007C0730">
        <w:rPr>
          <w:szCs w:val="22"/>
          <w:lang w:val="hr-HR"/>
        </w:rPr>
        <w:t>Studije interakcije ljekova sa somatrogonom ni</w:t>
      </w:r>
      <w:r w:rsidR="007A2F0E">
        <w:rPr>
          <w:szCs w:val="22"/>
          <w:lang w:val="hr-HR"/>
        </w:rPr>
        <w:t>je</w:t>
      </w:r>
      <w:r w:rsidRPr="007C0730">
        <w:rPr>
          <w:szCs w:val="22"/>
          <w:lang w:val="hr-HR"/>
        </w:rPr>
        <w:t xml:space="preserve">su sprovedene. Pokazalo se da somatrogon indukuje ekspresiju mRNK CYP3A4 </w:t>
      </w:r>
      <w:r w:rsidRPr="007C0730">
        <w:rPr>
          <w:i/>
          <w:szCs w:val="22"/>
          <w:lang w:val="hr-HR"/>
        </w:rPr>
        <w:t>in vitro</w:t>
      </w:r>
      <w:r w:rsidRPr="007C0730">
        <w:rPr>
          <w:szCs w:val="22"/>
          <w:lang w:val="hr-HR"/>
        </w:rPr>
        <w:t>. Klinički značaj ovoga nije poznat. Studije sa drugim agonistima receptora humanog hormona rasta (hGH) sprovedene kod djece i odraslih sa nedostatkom h</w:t>
      </w:r>
      <w:r w:rsidRPr="00D07CAB">
        <w:rPr>
          <w:szCs w:val="22"/>
          <w:lang w:val="hr-HR"/>
        </w:rPr>
        <w:t>ormona rasta, kao i kod zdravih starijih muškaraca, sugerišu da primjena može povećati klirens (izlučivanje) jedinjenja za koja je poznato da se metabolišu izoenzimima cito</w:t>
      </w:r>
      <w:r w:rsidR="007A2F0E">
        <w:rPr>
          <w:szCs w:val="22"/>
          <w:lang w:val="hr-HR"/>
        </w:rPr>
        <w:t>h</w:t>
      </w:r>
      <w:r w:rsidRPr="007C0730">
        <w:rPr>
          <w:szCs w:val="22"/>
          <w:lang w:val="hr-HR"/>
        </w:rPr>
        <w:t xml:space="preserve">roma P450, posebno CYP3A. Klirens jedinjenja koja se metabolišu pomoću CYP3A4 (npr. </w:t>
      </w:r>
      <w:r w:rsidR="00625039" w:rsidRPr="007C0730">
        <w:rPr>
          <w:szCs w:val="22"/>
          <w:lang w:val="hr-HR"/>
        </w:rPr>
        <w:t xml:space="preserve">polni </w:t>
      </w:r>
      <w:r w:rsidRPr="007C0730">
        <w:rPr>
          <w:szCs w:val="22"/>
          <w:lang w:val="hr-HR"/>
        </w:rPr>
        <w:t>steroidi, kortikosteroidi, antikonvul</w:t>
      </w:r>
      <w:r w:rsidR="005B2F3F">
        <w:rPr>
          <w:szCs w:val="22"/>
          <w:lang w:val="hr-HR"/>
        </w:rPr>
        <w:t>z</w:t>
      </w:r>
      <w:r w:rsidRPr="007C0730">
        <w:rPr>
          <w:szCs w:val="22"/>
          <w:lang w:val="hr-HR"/>
        </w:rPr>
        <w:t>i</w:t>
      </w:r>
      <w:r w:rsidR="005B2F3F">
        <w:rPr>
          <w:szCs w:val="22"/>
          <w:lang w:val="hr-HR"/>
        </w:rPr>
        <w:t>vi</w:t>
      </w:r>
      <w:r w:rsidRPr="007C0730">
        <w:rPr>
          <w:szCs w:val="22"/>
          <w:lang w:val="hr-HR"/>
        </w:rPr>
        <w:t xml:space="preserve"> i ciklosporin) može biti povećan i može dovesti do manje izloženosti ovim jedinjenjima. </w:t>
      </w:r>
    </w:p>
    <w:p w14:paraId="5962F4F9" w14:textId="77777777" w:rsidR="008A1CF7" w:rsidRPr="00C1176F" w:rsidRDefault="008A1CF7" w:rsidP="008D5FAA">
      <w:pPr>
        <w:jc w:val="both"/>
        <w:rPr>
          <w:szCs w:val="22"/>
          <w:lang w:val="hr-HR"/>
        </w:rPr>
      </w:pPr>
    </w:p>
    <w:p w14:paraId="1BBEE052" w14:textId="6333850C" w:rsidR="00812D16" w:rsidRPr="00C1176F" w:rsidRDefault="00812D16" w:rsidP="008D5FAA">
      <w:pPr>
        <w:keepNext/>
        <w:spacing w:line="240" w:lineRule="auto"/>
        <w:ind w:left="567" w:hanging="567"/>
        <w:jc w:val="both"/>
        <w:outlineLvl w:val="0"/>
        <w:rPr>
          <w:szCs w:val="22"/>
          <w:lang w:val="hr-HR"/>
        </w:rPr>
      </w:pPr>
      <w:r w:rsidRPr="007C0730">
        <w:rPr>
          <w:b/>
          <w:szCs w:val="22"/>
          <w:lang w:val="hr-HR"/>
        </w:rPr>
        <w:t>4.6</w:t>
      </w:r>
      <w:r w:rsidRPr="007C0730">
        <w:rPr>
          <w:b/>
          <w:szCs w:val="22"/>
          <w:lang w:val="hr-HR"/>
        </w:rPr>
        <w:tab/>
        <w:t>Plodnost, trudnoća i dojenje</w:t>
      </w:r>
    </w:p>
    <w:p w14:paraId="5E55DA29" w14:textId="77777777" w:rsidR="009B2A3F" w:rsidRPr="00C1176F" w:rsidRDefault="009B2A3F" w:rsidP="008D5FAA">
      <w:pPr>
        <w:spacing w:line="240" w:lineRule="auto"/>
        <w:jc w:val="both"/>
        <w:rPr>
          <w:szCs w:val="22"/>
          <w:lang w:val="hr-HR"/>
        </w:rPr>
      </w:pPr>
    </w:p>
    <w:p w14:paraId="47210956" w14:textId="186D509E" w:rsidR="00D9354A" w:rsidRPr="00C1176F" w:rsidRDefault="00D9354A" w:rsidP="008D5FAA">
      <w:pPr>
        <w:spacing w:line="240" w:lineRule="auto"/>
        <w:jc w:val="both"/>
        <w:rPr>
          <w:szCs w:val="22"/>
          <w:u w:val="single"/>
          <w:lang w:val="hr-HR"/>
        </w:rPr>
      </w:pPr>
      <w:r w:rsidRPr="007C0730">
        <w:rPr>
          <w:szCs w:val="22"/>
          <w:u w:val="single"/>
          <w:lang w:val="hr-HR"/>
        </w:rPr>
        <w:t>Trudnoća</w:t>
      </w:r>
    </w:p>
    <w:p w14:paraId="22F591A8" w14:textId="1D000124" w:rsidR="00DD0F6F" w:rsidRPr="007C0730" w:rsidRDefault="00DD0F6F" w:rsidP="008D5FAA">
      <w:pPr>
        <w:spacing w:line="240" w:lineRule="auto"/>
        <w:jc w:val="both"/>
        <w:rPr>
          <w:szCs w:val="22"/>
          <w:lang w:val="hr-HR"/>
        </w:rPr>
      </w:pPr>
    </w:p>
    <w:p w14:paraId="6DCBD6B1" w14:textId="4ED4E261" w:rsidR="007100C2" w:rsidRPr="00C1176F" w:rsidRDefault="001B2E7F" w:rsidP="008D5FAA">
      <w:pPr>
        <w:shd w:val="clear" w:color="auto" w:fill="FFFFFF"/>
        <w:jc w:val="both"/>
        <w:rPr>
          <w:bCs/>
          <w:szCs w:val="22"/>
          <w:lang w:val="hr-HR"/>
        </w:rPr>
      </w:pPr>
      <w:r w:rsidRPr="00D07CAB">
        <w:rPr>
          <w:szCs w:val="22"/>
          <w:lang w:val="hr-HR"/>
        </w:rPr>
        <w:t xml:space="preserve">Nema podataka o primjeni somatrogona kod trudnica. Studije na životinjama ne ukazuju na direktne ili indirektne štetne efekte, kao što je pokazano u studijama reproduktivne toksičnosti (pogledajte </w:t>
      </w:r>
      <w:r w:rsidR="00CE7A3D" w:rsidRPr="00D07CAB">
        <w:rPr>
          <w:szCs w:val="22"/>
          <w:lang w:val="hr-HR"/>
        </w:rPr>
        <w:t xml:space="preserve">dio </w:t>
      </w:r>
      <w:r w:rsidRPr="00D07CAB">
        <w:rPr>
          <w:szCs w:val="22"/>
          <w:lang w:val="hr-HR"/>
        </w:rPr>
        <w:t>5.3). Primjena lijeka Ngenla se ne preporučuje tokom trudnoće, kao ni kod žena u reproduktivnim periodu koje ne koriste kontracepciju.</w:t>
      </w:r>
    </w:p>
    <w:p w14:paraId="0DD0D9B8" w14:textId="77777777" w:rsidR="007100C2" w:rsidRPr="00C1176F" w:rsidRDefault="007100C2" w:rsidP="008D5FAA">
      <w:pPr>
        <w:shd w:val="clear" w:color="auto" w:fill="FFFFFF"/>
        <w:jc w:val="both"/>
        <w:rPr>
          <w:szCs w:val="22"/>
          <w:u w:val="single"/>
          <w:lang w:val="hr-HR"/>
        </w:rPr>
      </w:pPr>
    </w:p>
    <w:p w14:paraId="73C302F1" w14:textId="0CCF42E0" w:rsidR="00D9354A" w:rsidRPr="00C1176F" w:rsidRDefault="002A266C" w:rsidP="008D5FAA">
      <w:pPr>
        <w:shd w:val="clear" w:color="auto" w:fill="FFFFFF"/>
        <w:jc w:val="both"/>
        <w:rPr>
          <w:szCs w:val="22"/>
          <w:u w:val="single"/>
          <w:lang w:val="hr-HR"/>
        </w:rPr>
      </w:pPr>
      <w:r w:rsidRPr="007C0730">
        <w:rPr>
          <w:szCs w:val="22"/>
          <w:u w:val="single"/>
          <w:lang w:val="hr-HR"/>
        </w:rPr>
        <w:t>Dojenje</w:t>
      </w:r>
    </w:p>
    <w:p w14:paraId="2767F767" w14:textId="77777777" w:rsidR="009F636B" w:rsidRPr="00C1176F" w:rsidRDefault="009F636B" w:rsidP="008D5FAA">
      <w:pPr>
        <w:pStyle w:val="Paragraph"/>
        <w:keepNext/>
        <w:spacing w:after="0"/>
        <w:jc w:val="both"/>
        <w:rPr>
          <w:sz w:val="22"/>
          <w:szCs w:val="22"/>
          <w:lang w:val="hr-HR"/>
        </w:rPr>
      </w:pPr>
    </w:p>
    <w:p w14:paraId="215313F3" w14:textId="6759B980" w:rsidR="00D9354A" w:rsidRPr="007C0730" w:rsidRDefault="00020A96" w:rsidP="008D5FAA">
      <w:pPr>
        <w:pStyle w:val="Paragraph"/>
        <w:spacing w:after="0"/>
        <w:jc w:val="both"/>
        <w:rPr>
          <w:lang w:val="hr-HR"/>
        </w:rPr>
      </w:pPr>
      <w:r w:rsidRPr="007C0730">
        <w:rPr>
          <w:szCs w:val="22"/>
          <w:lang w:val="hr-HR"/>
        </w:rPr>
        <w:t xml:space="preserve">Nije poznato da li se somatrogon/metaboliti izlučuju u majčino mlijeko. Ne može se isključiti rizik za novorođenče/odojče. </w:t>
      </w:r>
      <w:r w:rsidRPr="007C0730">
        <w:rPr>
          <w:color w:val="000000"/>
          <w:szCs w:val="22"/>
          <w:lang w:val="hr-HR"/>
        </w:rPr>
        <w:t>Odluku o tome da li treba prekinuti dojenje ili prekinuti/uzdržati se od terapije somatrogonom treba donijeti uzimajući u obzir korist od dojenja za dijete i korist od terapije za ženu.</w:t>
      </w:r>
    </w:p>
    <w:p w14:paraId="2389281D" w14:textId="77777777" w:rsidR="007E4EC5" w:rsidRDefault="007E4EC5" w:rsidP="008D5FAA">
      <w:pPr>
        <w:spacing w:line="240" w:lineRule="auto"/>
        <w:jc w:val="both"/>
        <w:rPr>
          <w:szCs w:val="22"/>
          <w:u w:val="single"/>
          <w:lang w:val="hr-HR"/>
        </w:rPr>
      </w:pPr>
    </w:p>
    <w:p w14:paraId="0B310821" w14:textId="7A121A55" w:rsidR="00D9354A" w:rsidRPr="00C1176F" w:rsidRDefault="00D9354A" w:rsidP="008D5FAA">
      <w:pPr>
        <w:spacing w:line="240" w:lineRule="auto"/>
        <w:jc w:val="both"/>
        <w:rPr>
          <w:szCs w:val="22"/>
          <w:u w:val="single"/>
          <w:lang w:val="hr-HR"/>
        </w:rPr>
      </w:pPr>
      <w:r w:rsidRPr="00D07CAB">
        <w:rPr>
          <w:szCs w:val="22"/>
          <w:u w:val="single"/>
          <w:lang w:val="hr-HR"/>
        </w:rPr>
        <w:t>Plodnost</w:t>
      </w:r>
    </w:p>
    <w:p w14:paraId="5DCC96B6" w14:textId="77777777" w:rsidR="00713F7A" w:rsidRPr="00C1176F" w:rsidRDefault="00713F7A" w:rsidP="008D5FAA">
      <w:pPr>
        <w:jc w:val="both"/>
        <w:rPr>
          <w:rFonts w:eastAsia="TimesNewRoman"/>
          <w:szCs w:val="22"/>
          <w:lang w:val="hr-HR"/>
        </w:rPr>
      </w:pPr>
    </w:p>
    <w:p w14:paraId="6402320D" w14:textId="3388F05E" w:rsidR="00713F7A" w:rsidRPr="00C1176F" w:rsidRDefault="00713F7A" w:rsidP="008D5FAA">
      <w:pPr>
        <w:jc w:val="both"/>
        <w:rPr>
          <w:rFonts w:eastAsia="TimesNewRoman"/>
          <w:szCs w:val="22"/>
          <w:lang w:val="hr-HR"/>
        </w:rPr>
      </w:pPr>
      <w:r w:rsidRPr="007C0730">
        <w:rPr>
          <w:szCs w:val="22"/>
          <w:lang w:val="hr-HR"/>
        </w:rPr>
        <w:t>Rizik od neplodnosti kod žena ili muškaraca reproduktivnog potencijala nije proučavan kod ljudi. U stu</w:t>
      </w:r>
      <w:r w:rsidRPr="00D07CAB">
        <w:rPr>
          <w:szCs w:val="22"/>
          <w:lang w:val="hr-HR"/>
        </w:rPr>
        <w:t xml:space="preserve">diji na pacovima, nije bila ugrožena plodnost kod mužjaka i ženki (vidjeti </w:t>
      </w:r>
      <w:r w:rsidR="00CE7A3D" w:rsidRPr="00D07CAB">
        <w:rPr>
          <w:szCs w:val="22"/>
          <w:lang w:val="hr-HR"/>
        </w:rPr>
        <w:t xml:space="preserve">dio </w:t>
      </w:r>
      <w:r w:rsidRPr="00D07CAB">
        <w:rPr>
          <w:szCs w:val="22"/>
          <w:lang w:val="hr-HR"/>
        </w:rPr>
        <w:t xml:space="preserve">5.3). </w:t>
      </w:r>
    </w:p>
    <w:p w14:paraId="0333627E" w14:textId="3EF0EE06" w:rsidR="00D9354A" w:rsidRPr="00C1176F" w:rsidRDefault="00D9354A" w:rsidP="008D5FAA">
      <w:pPr>
        <w:spacing w:line="240" w:lineRule="auto"/>
        <w:jc w:val="both"/>
        <w:rPr>
          <w:szCs w:val="22"/>
          <w:lang w:val="hr-HR"/>
        </w:rPr>
      </w:pPr>
    </w:p>
    <w:p w14:paraId="1BBEE065" w14:textId="014242FB" w:rsidR="00812D16" w:rsidRPr="00C1176F" w:rsidRDefault="00812D16" w:rsidP="008D5FAA">
      <w:pPr>
        <w:keepNext/>
        <w:spacing w:line="240" w:lineRule="auto"/>
        <w:ind w:left="567" w:hanging="567"/>
        <w:jc w:val="both"/>
        <w:outlineLvl w:val="0"/>
        <w:rPr>
          <w:b/>
          <w:szCs w:val="22"/>
          <w:lang w:val="hr-HR"/>
        </w:rPr>
      </w:pPr>
      <w:r w:rsidRPr="007C0730">
        <w:rPr>
          <w:b/>
          <w:szCs w:val="22"/>
          <w:lang w:val="hr-HR"/>
        </w:rPr>
        <w:t>4.7</w:t>
      </w:r>
      <w:r w:rsidRPr="007C0730">
        <w:rPr>
          <w:b/>
          <w:szCs w:val="22"/>
          <w:lang w:val="hr-HR"/>
        </w:rPr>
        <w:tab/>
        <w:t>Uticaj na sposobnost upravljanja vozilima i rukovanje mašinama</w:t>
      </w:r>
    </w:p>
    <w:p w14:paraId="66104E54" w14:textId="77777777" w:rsidR="00695621" w:rsidRPr="00C1176F" w:rsidRDefault="00695621" w:rsidP="008D5FAA">
      <w:pPr>
        <w:keepNext/>
        <w:spacing w:line="240" w:lineRule="auto"/>
        <w:ind w:left="567" w:hanging="567"/>
        <w:jc w:val="both"/>
        <w:outlineLvl w:val="0"/>
        <w:rPr>
          <w:szCs w:val="22"/>
          <w:lang w:val="hr-HR"/>
        </w:rPr>
      </w:pPr>
    </w:p>
    <w:p w14:paraId="43BBF18D" w14:textId="7657E795" w:rsidR="00695621" w:rsidRPr="008D5FAA" w:rsidRDefault="00AB7129" w:rsidP="008D5FAA">
      <w:pPr>
        <w:pStyle w:val="ListParagraph"/>
        <w:ind w:left="0"/>
        <w:contextualSpacing w:val="0"/>
        <w:jc w:val="both"/>
        <w:rPr>
          <w:sz w:val="22"/>
          <w:szCs w:val="22"/>
          <w:lang w:val="hr-HR"/>
        </w:rPr>
      </w:pPr>
      <w:r w:rsidRPr="007C0730">
        <w:rPr>
          <w:sz w:val="22"/>
          <w:szCs w:val="22"/>
          <w:lang w:val="hr-HR"/>
        </w:rPr>
        <w:t>Lijek Ngenla ne utiče ili zanemarljivo utiče na sposobnost upravljanja vozilima i rukovanje mašinama.</w:t>
      </w:r>
    </w:p>
    <w:p w14:paraId="02387663" w14:textId="77777777" w:rsidR="00C716D6" w:rsidRPr="00C1176F" w:rsidRDefault="00C716D6" w:rsidP="008D5FAA">
      <w:pPr>
        <w:spacing w:line="240" w:lineRule="auto"/>
        <w:jc w:val="both"/>
        <w:rPr>
          <w:szCs w:val="22"/>
          <w:lang w:val="hr-HR"/>
        </w:rPr>
      </w:pPr>
    </w:p>
    <w:p w14:paraId="1BBEE06D" w14:textId="250E61C4" w:rsidR="00812D16" w:rsidRPr="00C1176F" w:rsidRDefault="00855481" w:rsidP="008D5FAA">
      <w:pPr>
        <w:spacing w:line="240" w:lineRule="auto"/>
        <w:jc w:val="both"/>
        <w:outlineLvl w:val="0"/>
        <w:rPr>
          <w:b/>
          <w:szCs w:val="22"/>
          <w:lang w:val="hr-HR"/>
        </w:rPr>
      </w:pPr>
      <w:r w:rsidRPr="007C0730">
        <w:rPr>
          <w:b/>
          <w:szCs w:val="22"/>
          <w:lang w:val="hr-HR"/>
        </w:rPr>
        <w:t>4.8</w:t>
      </w:r>
      <w:r w:rsidRPr="007C0730">
        <w:rPr>
          <w:b/>
          <w:szCs w:val="22"/>
          <w:lang w:val="hr-HR"/>
        </w:rPr>
        <w:tab/>
        <w:t>Neželjena dejstva</w:t>
      </w:r>
    </w:p>
    <w:p w14:paraId="5A588C97" w14:textId="60C9994C" w:rsidR="00EC69C6" w:rsidRPr="00C1176F" w:rsidRDefault="00EC69C6" w:rsidP="008D5FAA">
      <w:pPr>
        <w:tabs>
          <w:tab w:val="clear" w:pos="567"/>
        </w:tabs>
        <w:autoSpaceDE w:val="0"/>
        <w:autoSpaceDN w:val="0"/>
        <w:adjustRightInd w:val="0"/>
        <w:spacing w:line="240" w:lineRule="auto"/>
        <w:jc w:val="both"/>
        <w:rPr>
          <w:szCs w:val="22"/>
          <w:lang w:val="hr-HR"/>
        </w:rPr>
      </w:pPr>
    </w:p>
    <w:p w14:paraId="7253D901" w14:textId="77777777" w:rsidR="0078498C" w:rsidRPr="00C1176F" w:rsidRDefault="0078498C" w:rsidP="008D5FAA">
      <w:pPr>
        <w:tabs>
          <w:tab w:val="clear" w:pos="567"/>
        </w:tabs>
        <w:autoSpaceDE w:val="0"/>
        <w:autoSpaceDN w:val="0"/>
        <w:adjustRightInd w:val="0"/>
        <w:spacing w:line="240" w:lineRule="auto"/>
        <w:jc w:val="both"/>
        <w:rPr>
          <w:szCs w:val="22"/>
          <w:u w:val="single"/>
          <w:lang w:val="hr-HR"/>
        </w:rPr>
      </w:pPr>
      <w:r w:rsidRPr="007C0730">
        <w:rPr>
          <w:szCs w:val="22"/>
          <w:u w:val="single"/>
          <w:lang w:val="hr-HR"/>
        </w:rPr>
        <w:t>Sažetak bezbjednosnog profila</w:t>
      </w:r>
    </w:p>
    <w:p w14:paraId="15B8DEDF" w14:textId="77777777" w:rsidR="0078498C" w:rsidRPr="00C1176F" w:rsidRDefault="0078498C" w:rsidP="008D5FAA">
      <w:pPr>
        <w:tabs>
          <w:tab w:val="clear" w:pos="567"/>
        </w:tabs>
        <w:autoSpaceDE w:val="0"/>
        <w:autoSpaceDN w:val="0"/>
        <w:adjustRightInd w:val="0"/>
        <w:spacing w:line="240" w:lineRule="auto"/>
        <w:jc w:val="both"/>
        <w:rPr>
          <w:szCs w:val="22"/>
          <w:u w:val="single"/>
          <w:lang w:val="hr-HR"/>
        </w:rPr>
      </w:pPr>
    </w:p>
    <w:p w14:paraId="3847FD8B" w14:textId="782E5490" w:rsidR="00C811CF" w:rsidRPr="00C1176F" w:rsidRDefault="00C811CF" w:rsidP="008D5FAA">
      <w:pPr>
        <w:pStyle w:val="CommentText"/>
        <w:jc w:val="both"/>
        <w:rPr>
          <w:sz w:val="22"/>
          <w:szCs w:val="22"/>
          <w:lang w:val="hr-HR"/>
        </w:rPr>
      </w:pPr>
      <w:r w:rsidRPr="007C0730">
        <w:rPr>
          <w:sz w:val="22"/>
          <w:szCs w:val="22"/>
          <w:lang w:val="hr-HR"/>
        </w:rPr>
        <w:t>Često prijavljivane neželjene reakcije nakon liječenja somatrogonom su reakcije na mjestu ubrizgavanja (</w:t>
      </w:r>
      <w:r w:rsidR="007A2F0E">
        <w:rPr>
          <w:sz w:val="22"/>
          <w:szCs w:val="22"/>
          <w:lang w:val="hr-HR"/>
        </w:rPr>
        <w:t xml:space="preserve">engl. </w:t>
      </w:r>
      <w:r w:rsidR="007A2F0E" w:rsidRPr="008D5FAA">
        <w:rPr>
          <w:i/>
          <w:sz w:val="22"/>
          <w:szCs w:val="22"/>
          <w:lang w:val="hr-HR"/>
        </w:rPr>
        <w:t>injection site reactions</w:t>
      </w:r>
      <w:r w:rsidR="007A2F0E">
        <w:rPr>
          <w:sz w:val="22"/>
          <w:szCs w:val="22"/>
          <w:lang w:val="hr-HR"/>
        </w:rPr>
        <w:t xml:space="preserve">, </w:t>
      </w:r>
      <w:r w:rsidRPr="007C0730">
        <w:rPr>
          <w:sz w:val="22"/>
          <w:szCs w:val="22"/>
          <w:lang w:val="hr-HR"/>
        </w:rPr>
        <w:t>ISR) (25,1%), glavobolja (10,7%) i pireksija (10,2%).</w:t>
      </w:r>
    </w:p>
    <w:p w14:paraId="7885CF5F" w14:textId="77777777" w:rsidR="00C811CF" w:rsidRPr="00C1176F" w:rsidRDefault="00C811CF" w:rsidP="008D5FAA">
      <w:pPr>
        <w:tabs>
          <w:tab w:val="clear" w:pos="567"/>
        </w:tabs>
        <w:autoSpaceDE w:val="0"/>
        <w:autoSpaceDN w:val="0"/>
        <w:adjustRightInd w:val="0"/>
        <w:spacing w:line="240" w:lineRule="auto"/>
        <w:jc w:val="both"/>
        <w:rPr>
          <w:szCs w:val="22"/>
          <w:lang w:val="hr-HR"/>
        </w:rPr>
      </w:pPr>
    </w:p>
    <w:p w14:paraId="7CAA6FEB" w14:textId="77777777" w:rsidR="0078498C" w:rsidRPr="00C1176F" w:rsidRDefault="0078498C" w:rsidP="008D5FAA">
      <w:pPr>
        <w:keepNext/>
        <w:jc w:val="both"/>
        <w:rPr>
          <w:rStyle w:val="Instructions"/>
          <w:i w:val="0"/>
          <w:color w:val="auto"/>
          <w:szCs w:val="22"/>
          <w:u w:val="single"/>
          <w:lang w:val="hr-HR"/>
        </w:rPr>
      </w:pPr>
      <w:r w:rsidRPr="007C0730">
        <w:rPr>
          <w:rStyle w:val="Instructions"/>
          <w:i w:val="0"/>
          <w:color w:val="auto"/>
          <w:szCs w:val="22"/>
          <w:u w:val="single"/>
          <w:lang w:val="hr-HR"/>
        </w:rPr>
        <w:t>Tabelarni prikaz neželjenih reakcija</w:t>
      </w:r>
    </w:p>
    <w:p w14:paraId="5D2D068A" w14:textId="77777777" w:rsidR="005C4AD5" w:rsidRPr="00C1176F" w:rsidRDefault="005C4AD5" w:rsidP="008D5FAA">
      <w:pPr>
        <w:keepNext/>
        <w:jc w:val="both"/>
        <w:rPr>
          <w:iCs/>
          <w:szCs w:val="22"/>
          <w:lang w:val="hr-HR"/>
        </w:rPr>
      </w:pPr>
    </w:p>
    <w:p w14:paraId="22F5AFF4" w14:textId="246F1C30" w:rsidR="004B3CD3" w:rsidRPr="00C1176F" w:rsidRDefault="004B3CD3" w:rsidP="008D5FAA">
      <w:pPr>
        <w:keepNext/>
        <w:jc w:val="both"/>
        <w:rPr>
          <w:rStyle w:val="normaltextrun"/>
          <w:szCs w:val="22"/>
          <w:lang w:val="hr-HR"/>
        </w:rPr>
      </w:pPr>
      <w:r w:rsidRPr="007C0730">
        <w:rPr>
          <w:rStyle w:val="normaltextrun"/>
          <w:szCs w:val="22"/>
          <w:lang w:val="hr-HR"/>
        </w:rPr>
        <w:t>Bezbjednosni podaci su izvedeni iz faze 2, multicentrične studije bezbjednosti i određivanja doze, i faze 3,</w:t>
      </w:r>
      <w:r w:rsidR="00DD1576">
        <w:rPr>
          <w:rStyle w:val="normaltextrun"/>
          <w:szCs w:val="22"/>
          <w:lang w:val="hr-HR"/>
        </w:rPr>
        <w:t xml:space="preserve"> pivotalne</w:t>
      </w:r>
      <w:r w:rsidRPr="007C0730">
        <w:rPr>
          <w:rStyle w:val="normaltextrun"/>
          <w:szCs w:val="22"/>
          <w:lang w:val="hr-HR"/>
        </w:rPr>
        <w:t xml:space="preserve"> multicentrične studije neinferiornosti kod pedijatrijskih pacijenata sa GHD (vidjeti </w:t>
      </w:r>
      <w:r w:rsidR="00CE7A3D" w:rsidRPr="00D07CAB">
        <w:rPr>
          <w:rStyle w:val="normaltextrun"/>
          <w:szCs w:val="22"/>
          <w:lang w:val="hr-HR"/>
        </w:rPr>
        <w:t xml:space="preserve">dio </w:t>
      </w:r>
      <w:r w:rsidRPr="00D07CAB">
        <w:rPr>
          <w:rStyle w:val="normaltextrun"/>
          <w:szCs w:val="22"/>
          <w:lang w:val="hr-HR"/>
        </w:rPr>
        <w:t>5.1). Podaci odražavaju izloženost 265 pacijenata somatrogonu koji se daje jednom nedjeljno (0,66 mg/kg/nedjeljno).</w:t>
      </w:r>
    </w:p>
    <w:p w14:paraId="70792D03" w14:textId="77777777" w:rsidR="003B1490" w:rsidRPr="00C1176F" w:rsidRDefault="003B1490" w:rsidP="008D5FAA">
      <w:pPr>
        <w:keepNext/>
        <w:jc w:val="both"/>
        <w:rPr>
          <w:iCs/>
          <w:szCs w:val="22"/>
          <w:lang w:val="hr-HR"/>
        </w:rPr>
      </w:pPr>
    </w:p>
    <w:p w14:paraId="50683BA7" w14:textId="5DE7301D" w:rsidR="0078498C" w:rsidRPr="00C1176F" w:rsidRDefault="005C4AD5" w:rsidP="008D5FAA">
      <w:pPr>
        <w:jc w:val="both"/>
        <w:rPr>
          <w:iCs/>
          <w:szCs w:val="22"/>
          <w:lang w:val="hr-HR"/>
        </w:rPr>
      </w:pPr>
      <w:r w:rsidRPr="007C0730">
        <w:rPr>
          <w:szCs w:val="22"/>
          <w:lang w:val="hr-HR"/>
        </w:rPr>
        <w:t>Tabela 1. predstavlja neželjene reakcije za somatrogon u</w:t>
      </w:r>
      <w:r w:rsidR="007A2F0E">
        <w:rPr>
          <w:szCs w:val="22"/>
          <w:lang w:val="hr-HR"/>
        </w:rPr>
        <w:t xml:space="preserve"> okviru</w:t>
      </w:r>
      <w:r w:rsidRPr="007C0730">
        <w:rPr>
          <w:szCs w:val="22"/>
          <w:lang w:val="hr-HR"/>
        </w:rPr>
        <w:t xml:space="preserve"> grupe</w:t>
      </w:r>
      <w:r w:rsidR="007A2F0E">
        <w:rPr>
          <w:szCs w:val="22"/>
          <w:lang w:val="hr-HR"/>
        </w:rPr>
        <w:t xml:space="preserve"> sistema</w:t>
      </w:r>
      <w:r w:rsidRPr="007C0730">
        <w:rPr>
          <w:szCs w:val="22"/>
          <w:lang w:val="hr-HR"/>
        </w:rPr>
        <w:t xml:space="preserve"> organ</w:t>
      </w:r>
      <w:r w:rsidR="007A2F0E">
        <w:rPr>
          <w:szCs w:val="22"/>
          <w:lang w:val="hr-HR"/>
        </w:rPr>
        <w:t>a</w:t>
      </w:r>
      <w:r w:rsidRPr="007C0730">
        <w:rPr>
          <w:szCs w:val="22"/>
          <w:lang w:val="hr-HR"/>
        </w:rPr>
        <w:t xml:space="preserve"> (SOC). Neželjene reakcije navedene u tabeli u nastavku prikazane su prema grupi </w:t>
      </w:r>
      <w:r w:rsidR="007A2F0E">
        <w:rPr>
          <w:szCs w:val="22"/>
          <w:lang w:val="hr-HR"/>
        </w:rPr>
        <w:t xml:space="preserve">sistema </w:t>
      </w:r>
      <w:r w:rsidRPr="007C0730">
        <w:rPr>
          <w:szCs w:val="22"/>
          <w:lang w:val="hr-HR"/>
        </w:rPr>
        <w:t>organ</w:t>
      </w:r>
      <w:r w:rsidR="007A2F0E">
        <w:rPr>
          <w:szCs w:val="22"/>
          <w:lang w:val="hr-HR"/>
        </w:rPr>
        <w:t>a</w:t>
      </w:r>
      <w:r w:rsidRPr="007C0730">
        <w:rPr>
          <w:szCs w:val="22"/>
          <w:lang w:val="hr-HR"/>
        </w:rPr>
        <w:t xml:space="preserve"> i kategorijama učestalosti, koje su definisane prema sljedećoj konvenciji: veoma česte (</w:t>
      </w:r>
      <w:r w:rsidR="00625039" w:rsidRPr="00C1176F">
        <w:rPr>
          <w:iCs/>
          <w:szCs w:val="22"/>
        </w:rPr>
        <w:t>≥</w:t>
      </w:r>
      <w:r w:rsidRPr="007C0730">
        <w:rPr>
          <w:szCs w:val="22"/>
          <w:lang w:val="hr-HR"/>
        </w:rPr>
        <w:t> 1/10), česte (</w:t>
      </w:r>
      <w:r w:rsidR="00625039" w:rsidRPr="00C1176F">
        <w:rPr>
          <w:iCs/>
          <w:szCs w:val="22"/>
        </w:rPr>
        <w:t>≥</w:t>
      </w:r>
      <w:r w:rsidRPr="007C0730">
        <w:rPr>
          <w:szCs w:val="22"/>
          <w:lang w:val="hr-HR"/>
        </w:rPr>
        <w:t> 1/100 do &lt; 1/10), povremene (</w:t>
      </w:r>
      <w:r w:rsidR="00625039" w:rsidRPr="00C1176F">
        <w:rPr>
          <w:iCs/>
          <w:szCs w:val="22"/>
        </w:rPr>
        <w:t>≥</w:t>
      </w:r>
      <w:r w:rsidRPr="007C0730">
        <w:rPr>
          <w:szCs w:val="22"/>
          <w:lang w:val="hr-HR"/>
        </w:rPr>
        <w:t> 1/1000 do &lt; 1/100), rijetke (</w:t>
      </w:r>
      <w:r w:rsidR="00625039" w:rsidRPr="00C1176F">
        <w:rPr>
          <w:iCs/>
          <w:szCs w:val="22"/>
        </w:rPr>
        <w:t>≥</w:t>
      </w:r>
      <w:r w:rsidRPr="007C0730">
        <w:rPr>
          <w:szCs w:val="22"/>
          <w:lang w:val="hr-HR"/>
        </w:rPr>
        <w:t> 1/10.000 do &lt; 1/1000), veoma rijetke (&lt; 1/10.000) ili nepoznata učestalost (ne može se procijeniti na osnovu dostupnih podataka). U okviru svake grupe učestalosti, neželjene reakcije su prikazane prema opadajućem stepenu ozbiljnosti.</w:t>
      </w:r>
    </w:p>
    <w:p w14:paraId="5719AE7B" w14:textId="77777777" w:rsidR="00C1763B" w:rsidRPr="008D5FAA" w:rsidRDefault="00C1763B" w:rsidP="008D5FAA">
      <w:pPr>
        <w:tabs>
          <w:tab w:val="clear" w:pos="567"/>
        </w:tabs>
        <w:autoSpaceDE w:val="0"/>
        <w:autoSpaceDN w:val="0"/>
        <w:adjustRightInd w:val="0"/>
        <w:spacing w:line="240" w:lineRule="auto"/>
        <w:jc w:val="both"/>
        <w:rPr>
          <w:rFonts w:eastAsia="SimSun"/>
          <w:szCs w:val="22"/>
          <w:lang w:val="hr-HR"/>
        </w:rPr>
      </w:pPr>
    </w:p>
    <w:p w14:paraId="10183E32" w14:textId="77777777" w:rsidR="00664D2A" w:rsidRPr="00C1176F" w:rsidRDefault="00664D2A" w:rsidP="008D5FAA">
      <w:pPr>
        <w:keepNext/>
        <w:tabs>
          <w:tab w:val="clear" w:pos="567"/>
        </w:tabs>
        <w:autoSpaceDE w:val="0"/>
        <w:autoSpaceDN w:val="0"/>
        <w:adjustRightInd w:val="0"/>
        <w:spacing w:line="240" w:lineRule="auto"/>
        <w:jc w:val="both"/>
        <w:rPr>
          <w:b/>
          <w:szCs w:val="22"/>
          <w:lang w:val="hr-HR"/>
        </w:rPr>
      </w:pPr>
      <w:r w:rsidRPr="007C0730">
        <w:rPr>
          <w:b/>
          <w:szCs w:val="22"/>
          <w:lang w:val="hr-HR"/>
        </w:rPr>
        <w:t xml:space="preserve">Tabela 1. Neželjene reakcije </w:t>
      </w:r>
    </w:p>
    <w:tbl>
      <w:tblPr>
        <w:tblW w:w="5413" w:type="pct"/>
        <w:tblInd w:w="-5" w:type="dxa"/>
        <w:tblLayout w:type="fixed"/>
        <w:tblCellMar>
          <w:left w:w="43" w:type="dxa"/>
          <w:right w:w="43" w:type="dxa"/>
        </w:tblCellMar>
        <w:tblLook w:val="04A0" w:firstRow="1" w:lastRow="0" w:firstColumn="1" w:lastColumn="0" w:noHBand="0" w:noVBand="1"/>
      </w:tblPr>
      <w:tblGrid>
        <w:gridCol w:w="2339"/>
        <w:gridCol w:w="1350"/>
        <w:gridCol w:w="1890"/>
        <w:gridCol w:w="1260"/>
        <w:gridCol w:w="990"/>
        <w:gridCol w:w="810"/>
        <w:gridCol w:w="1170"/>
      </w:tblGrid>
      <w:tr w:rsidR="00EF420A" w:rsidRPr="00C1176F" w14:paraId="0866E77D" w14:textId="77777777" w:rsidTr="005E1C08">
        <w:trPr>
          <w:cantSplit/>
          <w:tblHeader/>
        </w:trPr>
        <w:tc>
          <w:tcPr>
            <w:tcW w:w="2339" w:type="dxa"/>
            <w:tcBorders>
              <w:top w:val="single" w:sz="4" w:space="0" w:color="auto"/>
              <w:left w:val="single" w:sz="4" w:space="0" w:color="auto"/>
              <w:bottom w:val="single" w:sz="4" w:space="0" w:color="auto"/>
              <w:right w:val="single" w:sz="4" w:space="0" w:color="auto"/>
            </w:tcBorders>
            <w:hideMark/>
          </w:tcPr>
          <w:p w14:paraId="4715EDBE" w14:textId="092DA79F" w:rsidR="00A92FFB" w:rsidRPr="00C1176F" w:rsidRDefault="00A92FFB" w:rsidP="008D5FAA">
            <w:pPr>
              <w:keepNext/>
              <w:tabs>
                <w:tab w:val="clear" w:pos="567"/>
              </w:tabs>
              <w:spacing w:line="240" w:lineRule="auto"/>
              <w:jc w:val="both"/>
              <w:rPr>
                <w:b/>
                <w:szCs w:val="22"/>
                <w:lang w:val="hr-HR"/>
              </w:rPr>
            </w:pPr>
            <w:r w:rsidRPr="007C0730">
              <w:rPr>
                <w:b/>
                <w:szCs w:val="22"/>
                <w:lang w:val="hr-HR"/>
              </w:rPr>
              <w:t xml:space="preserve">Klasifikacija </w:t>
            </w:r>
            <w:r w:rsidR="007A2F0E">
              <w:rPr>
                <w:b/>
                <w:szCs w:val="22"/>
                <w:lang w:val="hr-HR"/>
              </w:rPr>
              <w:t>sistema organa</w:t>
            </w:r>
          </w:p>
        </w:tc>
        <w:tc>
          <w:tcPr>
            <w:tcW w:w="1350" w:type="dxa"/>
            <w:tcBorders>
              <w:top w:val="single" w:sz="4" w:space="0" w:color="auto"/>
              <w:left w:val="single" w:sz="4" w:space="0" w:color="auto"/>
              <w:bottom w:val="single" w:sz="4" w:space="0" w:color="auto"/>
              <w:right w:val="single" w:sz="4" w:space="0" w:color="auto"/>
            </w:tcBorders>
            <w:hideMark/>
          </w:tcPr>
          <w:p w14:paraId="2F4E789A" w14:textId="77777777" w:rsidR="00A92FFB" w:rsidRPr="00C1176F" w:rsidRDefault="00A92FFB" w:rsidP="008D5FAA">
            <w:pPr>
              <w:tabs>
                <w:tab w:val="clear" w:pos="567"/>
              </w:tabs>
              <w:spacing w:line="240" w:lineRule="auto"/>
              <w:jc w:val="both"/>
              <w:rPr>
                <w:b/>
                <w:szCs w:val="22"/>
                <w:lang w:val="hr-HR"/>
              </w:rPr>
            </w:pPr>
            <w:r w:rsidRPr="007C0730">
              <w:rPr>
                <w:b/>
                <w:szCs w:val="22"/>
                <w:lang w:val="hr-HR"/>
              </w:rPr>
              <w:t>Veoma često</w:t>
            </w:r>
          </w:p>
          <w:p w14:paraId="707578F8" w14:textId="2A24C9B6" w:rsidR="00A92FFB" w:rsidRPr="00C1176F" w:rsidRDefault="00A92FFB" w:rsidP="008D5FAA">
            <w:pPr>
              <w:tabs>
                <w:tab w:val="clear" w:pos="567"/>
              </w:tabs>
              <w:spacing w:line="240" w:lineRule="auto"/>
              <w:jc w:val="both"/>
              <w:rPr>
                <w:b/>
                <w:szCs w:val="22"/>
                <w:lang w:val="hr-HR"/>
              </w:rPr>
            </w:pPr>
          </w:p>
        </w:tc>
        <w:tc>
          <w:tcPr>
            <w:tcW w:w="1890" w:type="dxa"/>
            <w:tcBorders>
              <w:top w:val="single" w:sz="4" w:space="0" w:color="auto"/>
              <w:left w:val="single" w:sz="4" w:space="0" w:color="auto"/>
              <w:bottom w:val="single" w:sz="4" w:space="0" w:color="auto"/>
              <w:right w:val="single" w:sz="4" w:space="0" w:color="auto"/>
            </w:tcBorders>
            <w:hideMark/>
          </w:tcPr>
          <w:p w14:paraId="65AEB7CE" w14:textId="77777777" w:rsidR="00A92FFB" w:rsidRPr="00C1176F" w:rsidRDefault="00A92FFB" w:rsidP="008D5FAA">
            <w:pPr>
              <w:tabs>
                <w:tab w:val="clear" w:pos="567"/>
              </w:tabs>
              <w:spacing w:line="240" w:lineRule="auto"/>
              <w:jc w:val="both"/>
              <w:rPr>
                <w:b/>
                <w:szCs w:val="22"/>
                <w:lang w:val="hr-HR"/>
              </w:rPr>
            </w:pPr>
            <w:r w:rsidRPr="007C0730">
              <w:rPr>
                <w:b/>
                <w:szCs w:val="22"/>
                <w:lang w:val="hr-HR"/>
              </w:rPr>
              <w:t>Često</w:t>
            </w:r>
          </w:p>
          <w:p w14:paraId="7ACE4175" w14:textId="42113DD5" w:rsidR="00A92FFB" w:rsidRPr="00C1176F" w:rsidRDefault="00A92FFB" w:rsidP="008D5FAA">
            <w:pPr>
              <w:tabs>
                <w:tab w:val="clear" w:pos="567"/>
              </w:tabs>
              <w:spacing w:line="240" w:lineRule="auto"/>
              <w:jc w:val="both"/>
              <w:rPr>
                <w:b/>
                <w:szCs w:val="22"/>
                <w:lang w:val="hr-HR"/>
              </w:rPr>
            </w:pPr>
          </w:p>
        </w:tc>
        <w:tc>
          <w:tcPr>
            <w:tcW w:w="1260" w:type="dxa"/>
            <w:tcBorders>
              <w:top w:val="single" w:sz="4" w:space="0" w:color="auto"/>
              <w:left w:val="single" w:sz="4" w:space="0" w:color="auto"/>
              <w:bottom w:val="single" w:sz="4" w:space="0" w:color="auto"/>
              <w:right w:val="single" w:sz="4" w:space="0" w:color="auto"/>
            </w:tcBorders>
            <w:hideMark/>
          </w:tcPr>
          <w:p w14:paraId="55B22DB9" w14:textId="77777777" w:rsidR="00A92FFB" w:rsidRPr="00C1176F" w:rsidRDefault="00A92FFB" w:rsidP="008D5FAA">
            <w:pPr>
              <w:tabs>
                <w:tab w:val="clear" w:pos="567"/>
              </w:tabs>
              <w:spacing w:line="240" w:lineRule="auto"/>
              <w:jc w:val="both"/>
              <w:rPr>
                <w:b/>
                <w:szCs w:val="22"/>
                <w:lang w:val="hr-HR"/>
              </w:rPr>
            </w:pPr>
            <w:r w:rsidRPr="007C0730">
              <w:rPr>
                <w:b/>
                <w:szCs w:val="22"/>
                <w:lang w:val="hr-HR"/>
              </w:rPr>
              <w:t>Povremeno</w:t>
            </w:r>
          </w:p>
          <w:p w14:paraId="2F90F4BD" w14:textId="2A7DF843" w:rsidR="00A92FFB" w:rsidRPr="00C1176F" w:rsidRDefault="00A92FFB" w:rsidP="008D5FAA">
            <w:pPr>
              <w:tabs>
                <w:tab w:val="clear" w:pos="567"/>
              </w:tabs>
              <w:spacing w:line="240" w:lineRule="auto"/>
              <w:jc w:val="both"/>
              <w:rPr>
                <w:b/>
                <w:szCs w:val="22"/>
                <w:lang w:val="hr-HR"/>
              </w:rPr>
            </w:pPr>
          </w:p>
        </w:tc>
        <w:tc>
          <w:tcPr>
            <w:tcW w:w="990" w:type="dxa"/>
            <w:tcBorders>
              <w:top w:val="single" w:sz="4" w:space="0" w:color="auto"/>
              <w:left w:val="single" w:sz="4" w:space="0" w:color="auto"/>
              <w:bottom w:val="single" w:sz="4" w:space="0" w:color="auto"/>
              <w:right w:val="single" w:sz="4" w:space="0" w:color="auto"/>
            </w:tcBorders>
            <w:hideMark/>
          </w:tcPr>
          <w:p w14:paraId="6709CB07" w14:textId="77777777" w:rsidR="00A92FFB" w:rsidRPr="00C1176F" w:rsidRDefault="00A92FFB" w:rsidP="008D5FAA">
            <w:pPr>
              <w:tabs>
                <w:tab w:val="clear" w:pos="567"/>
              </w:tabs>
              <w:spacing w:line="240" w:lineRule="auto"/>
              <w:jc w:val="both"/>
              <w:rPr>
                <w:b/>
                <w:szCs w:val="22"/>
                <w:lang w:val="hr-HR"/>
              </w:rPr>
            </w:pPr>
            <w:r w:rsidRPr="007C0730">
              <w:rPr>
                <w:b/>
                <w:szCs w:val="22"/>
                <w:lang w:val="hr-HR"/>
              </w:rPr>
              <w:t>Rijetko</w:t>
            </w:r>
          </w:p>
          <w:p w14:paraId="7DBEB99C" w14:textId="3679A450" w:rsidR="00A92FFB" w:rsidRPr="00C1176F" w:rsidRDefault="00A92FFB" w:rsidP="008D5FAA">
            <w:pPr>
              <w:tabs>
                <w:tab w:val="clear" w:pos="567"/>
              </w:tabs>
              <w:spacing w:line="240" w:lineRule="auto"/>
              <w:jc w:val="both"/>
              <w:rPr>
                <w:b/>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18E38F5C" w14:textId="77777777" w:rsidR="00A92FFB" w:rsidRPr="00C1176F" w:rsidRDefault="00A92FFB" w:rsidP="008D5FAA">
            <w:pPr>
              <w:tabs>
                <w:tab w:val="clear" w:pos="567"/>
              </w:tabs>
              <w:spacing w:line="240" w:lineRule="auto"/>
              <w:jc w:val="both"/>
              <w:rPr>
                <w:b/>
                <w:szCs w:val="22"/>
                <w:lang w:val="hr-HR"/>
              </w:rPr>
            </w:pPr>
            <w:r w:rsidRPr="007C0730">
              <w:rPr>
                <w:b/>
                <w:szCs w:val="22"/>
                <w:lang w:val="hr-HR"/>
              </w:rPr>
              <w:t>Veoma rijetko</w:t>
            </w:r>
          </w:p>
          <w:p w14:paraId="6CFF6F4C" w14:textId="42551EB4" w:rsidR="00A92FFB" w:rsidRPr="00C1176F" w:rsidRDefault="00A92FFB" w:rsidP="008D5FAA">
            <w:pPr>
              <w:tabs>
                <w:tab w:val="clear" w:pos="567"/>
              </w:tabs>
              <w:spacing w:line="240" w:lineRule="auto"/>
              <w:jc w:val="both"/>
              <w:rPr>
                <w:b/>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1E5D9D43" w14:textId="3784457F" w:rsidR="00A92FFB" w:rsidRPr="00C1176F" w:rsidRDefault="007A2F0E" w:rsidP="008D5FAA">
            <w:pPr>
              <w:tabs>
                <w:tab w:val="clear" w:pos="567"/>
              </w:tabs>
              <w:spacing w:line="240" w:lineRule="auto"/>
              <w:jc w:val="both"/>
              <w:rPr>
                <w:b/>
                <w:szCs w:val="22"/>
                <w:lang w:val="hr-HR"/>
              </w:rPr>
            </w:pPr>
            <w:r>
              <w:rPr>
                <w:b/>
                <w:szCs w:val="22"/>
                <w:lang w:val="hr-HR"/>
              </w:rPr>
              <w:t>Nepoznato</w:t>
            </w:r>
          </w:p>
        </w:tc>
      </w:tr>
      <w:tr w:rsidR="00EF420A" w:rsidRPr="00C1176F" w14:paraId="3E4D384C" w14:textId="77777777" w:rsidTr="005E1C08">
        <w:trPr>
          <w:cantSplit/>
        </w:trPr>
        <w:tc>
          <w:tcPr>
            <w:tcW w:w="2339" w:type="dxa"/>
            <w:tcBorders>
              <w:top w:val="single" w:sz="4" w:space="0" w:color="auto"/>
              <w:left w:val="single" w:sz="4" w:space="0" w:color="auto"/>
              <w:bottom w:val="single" w:sz="4" w:space="0" w:color="auto"/>
              <w:right w:val="single" w:sz="4" w:space="0" w:color="auto"/>
            </w:tcBorders>
            <w:hideMark/>
          </w:tcPr>
          <w:p w14:paraId="1D278EFB" w14:textId="7199936C" w:rsidR="00A92FFB" w:rsidRPr="00C1176F" w:rsidRDefault="003E76CD" w:rsidP="008D5FAA">
            <w:pPr>
              <w:keepNext/>
              <w:tabs>
                <w:tab w:val="clear" w:pos="567"/>
              </w:tabs>
              <w:spacing w:line="240" w:lineRule="auto"/>
              <w:jc w:val="both"/>
              <w:rPr>
                <w:szCs w:val="22"/>
                <w:lang w:val="hr-HR"/>
              </w:rPr>
            </w:pPr>
            <w:r w:rsidRPr="007C0730">
              <w:rPr>
                <w:szCs w:val="22"/>
                <w:lang w:val="hr-HR"/>
              </w:rPr>
              <w:t>Poremećaji krvi i limfnog sistema</w:t>
            </w:r>
          </w:p>
        </w:tc>
        <w:tc>
          <w:tcPr>
            <w:tcW w:w="1350" w:type="dxa"/>
            <w:tcBorders>
              <w:top w:val="single" w:sz="4" w:space="0" w:color="auto"/>
              <w:left w:val="single" w:sz="4" w:space="0" w:color="auto"/>
              <w:bottom w:val="single" w:sz="4" w:space="0" w:color="auto"/>
              <w:right w:val="single" w:sz="4" w:space="0" w:color="auto"/>
            </w:tcBorders>
            <w:hideMark/>
          </w:tcPr>
          <w:p w14:paraId="11A4EB28" w14:textId="1DC5FBF5" w:rsidR="00A92FFB" w:rsidRPr="00C1176F" w:rsidRDefault="00A92FFB" w:rsidP="008D5FAA">
            <w:pPr>
              <w:tabs>
                <w:tab w:val="clear" w:pos="567"/>
              </w:tabs>
              <w:spacing w:line="240" w:lineRule="auto"/>
              <w:jc w:val="both"/>
              <w:rPr>
                <w:szCs w:val="22"/>
                <w:lang w:val="hr-HR"/>
              </w:rPr>
            </w:pPr>
          </w:p>
        </w:tc>
        <w:tc>
          <w:tcPr>
            <w:tcW w:w="1890" w:type="dxa"/>
            <w:tcBorders>
              <w:top w:val="single" w:sz="4" w:space="0" w:color="auto"/>
              <w:left w:val="single" w:sz="4" w:space="0" w:color="auto"/>
              <w:bottom w:val="single" w:sz="4" w:space="0" w:color="auto"/>
              <w:right w:val="single" w:sz="4" w:space="0" w:color="auto"/>
            </w:tcBorders>
            <w:hideMark/>
          </w:tcPr>
          <w:p w14:paraId="57726FDF" w14:textId="77777777" w:rsidR="00436C57" w:rsidRPr="00C1176F" w:rsidRDefault="00436C57" w:rsidP="008D5FAA">
            <w:pPr>
              <w:tabs>
                <w:tab w:val="clear" w:pos="567"/>
              </w:tabs>
              <w:spacing w:line="240" w:lineRule="auto"/>
              <w:jc w:val="both"/>
              <w:rPr>
                <w:szCs w:val="22"/>
                <w:lang w:val="hr-HR"/>
              </w:rPr>
            </w:pPr>
            <w:r w:rsidRPr="007C0730">
              <w:rPr>
                <w:szCs w:val="22"/>
                <w:lang w:val="hr-HR"/>
              </w:rPr>
              <w:t>Anemija</w:t>
            </w:r>
          </w:p>
          <w:p w14:paraId="7EDE2B4E" w14:textId="32FB9A5D" w:rsidR="00A92FFB" w:rsidRPr="00C1176F" w:rsidRDefault="00436C57" w:rsidP="008D5FAA">
            <w:pPr>
              <w:tabs>
                <w:tab w:val="clear" w:pos="567"/>
              </w:tabs>
              <w:spacing w:line="240" w:lineRule="auto"/>
              <w:jc w:val="both"/>
              <w:rPr>
                <w:szCs w:val="22"/>
                <w:lang w:val="hr-HR"/>
              </w:rPr>
            </w:pPr>
            <w:r w:rsidRPr="007C0730">
              <w:rPr>
                <w:szCs w:val="22"/>
                <w:lang w:val="hr-HR"/>
              </w:rPr>
              <w:t>Eozinofilija</w:t>
            </w:r>
          </w:p>
        </w:tc>
        <w:tc>
          <w:tcPr>
            <w:tcW w:w="1260" w:type="dxa"/>
            <w:tcBorders>
              <w:top w:val="single" w:sz="4" w:space="0" w:color="auto"/>
              <w:left w:val="single" w:sz="4" w:space="0" w:color="auto"/>
              <w:bottom w:val="single" w:sz="4" w:space="0" w:color="auto"/>
              <w:right w:val="single" w:sz="4" w:space="0" w:color="auto"/>
            </w:tcBorders>
            <w:hideMark/>
          </w:tcPr>
          <w:p w14:paraId="2C303E02" w14:textId="4F5FB38E" w:rsidR="00A92FFB" w:rsidRPr="00C1176F" w:rsidRDefault="00A92FFB" w:rsidP="008D5FAA">
            <w:pPr>
              <w:tabs>
                <w:tab w:val="clear" w:pos="567"/>
              </w:tabs>
              <w:spacing w:line="240" w:lineRule="auto"/>
              <w:jc w:val="both"/>
              <w:rPr>
                <w:szCs w:val="22"/>
                <w:lang w:val="hr-HR"/>
              </w:rPr>
            </w:pPr>
          </w:p>
        </w:tc>
        <w:tc>
          <w:tcPr>
            <w:tcW w:w="990" w:type="dxa"/>
            <w:tcBorders>
              <w:top w:val="single" w:sz="4" w:space="0" w:color="auto"/>
              <w:left w:val="single" w:sz="4" w:space="0" w:color="auto"/>
              <w:bottom w:val="single" w:sz="4" w:space="0" w:color="auto"/>
              <w:right w:val="single" w:sz="4" w:space="0" w:color="auto"/>
            </w:tcBorders>
            <w:hideMark/>
          </w:tcPr>
          <w:p w14:paraId="51C79124" w14:textId="2578285A" w:rsidR="00A92FFB" w:rsidRPr="00C1176F" w:rsidRDefault="00A92FFB" w:rsidP="008D5FAA">
            <w:pPr>
              <w:tabs>
                <w:tab w:val="clear" w:pos="567"/>
              </w:tabs>
              <w:spacing w:line="240" w:lineRule="auto"/>
              <w:jc w:val="both"/>
              <w:rPr>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7017F7AE" w14:textId="0DB0CF67" w:rsidR="00A92FFB" w:rsidRPr="00C1176F" w:rsidRDefault="00A92FFB" w:rsidP="008D5FAA">
            <w:pPr>
              <w:tabs>
                <w:tab w:val="clear" w:pos="567"/>
              </w:tabs>
              <w:spacing w:line="240" w:lineRule="auto"/>
              <w:jc w:val="both"/>
              <w:rPr>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6285B3BD" w14:textId="53115990" w:rsidR="00A92FFB" w:rsidRPr="00C1176F" w:rsidRDefault="00A92FFB" w:rsidP="008D5FAA">
            <w:pPr>
              <w:tabs>
                <w:tab w:val="clear" w:pos="567"/>
              </w:tabs>
              <w:spacing w:line="240" w:lineRule="auto"/>
              <w:jc w:val="both"/>
              <w:rPr>
                <w:szCs w:val="22"/>
                <w:lang w:val="hr-HR"/>
              </w:rPr>
            </w:pPr>
          </w:p>
        </w:tc>
      </w:tr>
      <w:tr w:rsidR="00EF420A" w:rsidRPr="00C1176F" w14:paraId="12B2F277" w14:textId="77777777" w:rsidTr="005E1C08">
        <w:trPr>
          <w:cantSplit/>
        </w:trPr>
        <w:tc>
          <w:tcPr>
            <w:tcW w:w="2339" w:type="dxa"/>
            <w:tcBorders>
              <w:top w:val="single" w:sz="4" w:space="0" w:color="auto"/>
              <w:left w:val="single" w:sz="4" w:space="0" w:color="auto"/>
              <w:bottom w:val="single" w:sz="4" w:space="0" w:color="auto"/>
              <w:right w:val="single" w:sz="4" w:space="0" w:color="auto"/>
            </w:tcBorders>
            <w:hideMark/>
          </w:tcPr>
          <w:p w14:paraId="3DD7AF9B" w14:textId="77777777" w:rsidR="00A92FFB" w:rsidRPr="00C1176F" w:rsidRDefault="00A92FFB" w:rsidP="008D5FAA">
            <w:pPr>
              <w:tabs>
                <w:tab w:val="clear" w:pos="567"/>
              </w:tabs>
              <w:spacing w:line="240" w:lineRule="auto"/>
              <w:jc w:val="both"/>
              <w:rPr>
                <w:szCs w:val="22"/>
                <w:lang w:val="hr-HR"/>
              </w:rPr>
            </w:pPr>
            <w:r w:rsidRPr="007C0730">
              <w:rPr>
                <w:szCs w:val="22"/>
                <w:lang w:val="hr-HR"/>
              </w:rPr>
              <w:t>Endokrini poremećaji</w:t>
            </w:r>
          </w:p>
        </w:tc>
        <w:tc>
          <w:tcPr>
            <w:tcW w:w="1350" w:type="dxa"/>
            <w:tcBorders>
              <w:top w:val="single" w:sz="4" w:space="0" w:color="auto"/>
              <w:left w:val="single" w:sz="4" w:space="0" w:color="auto"/>
              <w:bottom w:val="single" w:sz="4" w:space="0" w:color="auto"/>
              <w:right w:val="single" w:sz="4" w:space="0" w:color="auto"/>
            </w:tcBorders>
            <w:hideMark/>
          </w:tcPr>
          <w:p w14:paraId="1678A308" w14:textId="5BA5DD86" w:rsidR="00A92FFB" w:rsidRPr="00C1176F" w:rsidRDefault="00A92FFB" w:rsidP="008D5FAA">
            <w:pPr>
              <w:tabs>
                <w:tab w:val="clear" w:pos="567"/>
              </w:tabs>
              <w:spacing w:line="240" w:lineRule="auto"/>
              <w:jc w:val="both"/>
              <w:rPr>
                <w:szCs w:val="22"/>
                <w:lang w:val="hr-HR"/>
              </w:rPr>
            </w:pPr>
          </w:p>
        </w:tc>
        <w:tc>
          <w:tcPr>
            <w:tcW w:w="1890" w:type="dxa"/>
            <w:tcBorders>
              <w:top w:val="single" w:sz="4" w:space="0" w:color="auto"/>
              <w:left w:val="single" w:sz="4" w:space="0" w:color="auto"/>
              <w:bottom w:val="single" w:sz="4" w:space="0" w:color="auto"/>
              <w:right w:val="single" w:sz="4" w:space="0" w:color="auto"/>
            </w:tcBorders>
            <w:hideMark/>
          </w:tcPr>
          <w:p w14:paraId="2D131597" w14:textId="795DC1EA" w:rsidR="00A92FFB" w:rsidRPr="00C1176F" w:rsidRDefault="00436C57" w:rsidP="008D5FAA">
            <w:pPr>
              <w:tabs>
                <w:tab w:val="clear" w:pos="567"/>
              </w:tabs>
              <w:spacing w:line="240" w:lineRule="auto"/>
              <w:jc w:val="both"/>
              <w:rPr>
                <w:szCs w:val="22"/>
                <w:lang w:val="hr-HR"/>
              </w:rPr>
            </w:pPr>
            <w:r w:rsidRPr="007C0730">
              <w:rPr>
                <w:szCs w:val="22"/>
                <w:lang w:val="hr-HR"/>
              </w:rPr>
              <w:t>Hipotireoza</w:t>
            </w:r>
          </w:p>
        </w:tc>
        <w:tc>
          <w:tcPr>
            <w:tcW w:w="1260" w:type="dxa"/>
            <w:tcBorders>
              <w:top w:val="single" w:sz="4" w:space="0" w:color="auto"/>
              <w:left w:val="single" w:sz="4" w:space="0" w:color="auto"/>
              <w:bottom w:val="single" w:sz="4" w:space="0" w:color="auto"/>
              <w:right w:val="single" w:sz="4" w:space="0" w:color="auto"/>
            </w:tcBorders>
            <w:hideMark/>
          </w:tcPr>
          <w:p w14:paraId="503017B9" w14:textId="1CE52FF0" w:rsidR="00A92FFB" w:rsidRPr="00C1176F" w:rsidRDefault="00436C57" w:rsidP="008D5FAA">
            <w:pPr>
              <w:tabs>
                <w:tab w:val="clear" w:pos="567"/>
              </w:tabs>
              <w:spacing w:line="240" w:lineRule="auto"/>
              <w:jc w:val="both"/>
              <w:rPr>
                <w:szCs w:val="22"/>
                <w:lang w:val="hr-HR"/>
              </w:rPr>
            </w:pPr>
            <w:r w:rsidRPr="007C0730">
              <w:rPr>
                <w:szCs w:val="22"/>
                <w:lang w:val="hr-HR"/>
              </w:rPr>
              <w:t>Adrenalna insuficijencija</w:t>
            </w:r>
          </w:p>
        </w:tc>
        <w:tc>
          <w:tcPr>
            <w:tcW w:w="990" w:type="dxa"/>
            <w:tcBorders>
              <w:top w:val="single" w:sz="4" w:space="0" w:color="auto"/>
              <w:left w:val="single" w:sz="4" w:space="0" w:color="auto"/>
              <w:bottom w:val="single" w:sz="4" w:space="0" w:color="auto"/>
              <w:right w:val="single" w:sz="4" w:space="0" w:color="auto"/>
            </w:tcBorders>
            <w:hideMark/>
          </w:tcPr>
          <w:p w14:paraId="600AF430" w14:textId="05305352" w:rsidR="00A92FFB" w:rsidRPr="00C1176F" w:rsidRDefault="00A92FFB" w:rsidP="008D5FAA">
            <w:pPr>
              <w:tabs>
                <w:tab w:val="clear" w:pos="567"/>
              </w:tabs>
              <w:spacing w:line="240" w:lineRule="auto"/>
              <w:jc w:val="both"/>
              <w:rPr>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1F46C96E" w14:textId="29F92B03" w:rsidR="00A92FFB" w:rsidRPr="00C1176F" w:rsidRDefault="00A92FFB" w:rsidP="008D5FAA">
            <w:pPr>
              <w:tabs>
                <w:tab w:val="clear" w:pos="567"/>
              </w:tabs>
              <w:spacing w:line="240" w:lineRule="auto"/>
              <w:jc w:val="both"/>
              <w:rPr>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79AA3B54" w14:textId="56F3CABC" w:rsidR="00A92FFB" w:rsidRPr="00C1176F" w:rsidRDefault="00A92FFB" w:rsidP="008D5FAA">
            <w:pPr>
              <w:tabs>
                <w:tab w:val="clear" w:pos="567"/>
              </w:tabs>
              <w:spacing w:line="240" w:lineRule="auto"/>
              <w:jc w:val="both"/>
              <w:rPr>
                <w:szCs w:val="22"/>
                <w:lang w:val="hr-HR"/>
              </w:rPr>
            </w:pPr>
          </w:p>
        </w:tc>
      </w:tr>
      <w:tr w:rsidR="007100C2" w:rsidRPr="00C1176F" w14:paraId="16299763" w14:textId="77777777" w:rsidTr="005E1C08">
        <w:trPr>
          <w:cantSplit/>
        </w:trPr>
        <w:tc>
          <w:tcPr>
            <w:tcW w:w="2339" w:type="dxa"/>
            <w:tcBorders>
              <w:top w:val="single" w:sz="4" w:space="0" w:color="auto"/>
              <w:left w:val="single" w:sz="4" w:space="0" w:color="auto"/>
              <w:bottom w:val="single" w:sz="4" w:space="0" w:color="auto"/>
              <w:right w:val="single" w:sz="4" w:space="0" w:color="auto"/>
            </w:tcBorders>
            <w:hideMark/>
          </w:tcPr>
          <w:p w14:paraId="0D3A7DCE" w14:textId="77777777" w:rsidR="007100C2" w:rsidRPr="00C1176F" w:rsidRDefault="007100C2" w:rsidP="008D5FAA">
            <w:pPr>
              <w:tabs>
                <w:tab w:val="clear" w:pos="567"/>
              </w:tabs>
              <w:spacing w:line="240" w:lineRule="auto"/>
              <w:jc w:val="both"/>
              <w:rPr>
                <w:szCs w:val="22"/>
                <w:lang w:val="hr-HR"/>
              </w:rPr>
            </w:pPr>
            <w:r w:rsidRPr="007C0730">
              <w:rPr>
                <w:szCs w:val="22"/>
                <w:lang w:val="hr-HR"/>
              </w:rPr>
              <w:t xml:space="preserve">Poremećaji nervnog sistema </w:t>
            </w:r>
          </w:p>
        </w:tc>
        <w:tc>
          <w:tcPr>
            <w:tcW w:w="1350" w:type="dxa"/>
            <w:tcBorders>
              <w:top w:val="single" w:sz="4" w:space="0" w:color="auto"/>
              <w:left w:val="single" w:sz="4" w:space="0" w:color="auto"/>
              <w:bottom w:val="single" w:sz="4" w:space="0" w:color="auto"/>
              <w:right w:val="single" w:sz="4" w:space="0" w:color="auto"/>
            </w:tcBorders>
            <w:hideMark/>
          </w:tcPr>
          <w:p w14:paraId="17F8FD6A" w14:textId="1F6CBC77" w:rsidR="007100C2" w:rsidRPr="00C1176F" w:rsidRDefault="007100C2" w:rsidP="008D5FAA">
            <w:pPr>
              <w:tabs>
                <w:tab w:val="clear" w:pos="567"/>
              </w:tabs>
              <w:spacing w:line="240" w:lineRule="auto"/>
              <w:jc w:val="both"/>
              <w:rPr>
                <w:szCs w:val="22"/>
                <w:lang w:val="hr-HR"/>
              </w:rPr>
            </w:pPr>
            <w:r w:rsidRPr="007C0730">
              <w:rPr>
                <w:szCs w:val="22"/>
                <w:lang w:val="hr-HR"/>
              </w:rPr>
              <w:t>Glavobolja</w:t>
            </w:r>
          </w:p>
        </w:tc>
        <w:tc>
          <w:tcPr>
            <w:tcW w:w="1890" w:type="dxa"/>
            <w:tcBorders>
              <w:top w:val="single" w:sz="4" w:space="0" w:color="auto"/>
              <w:left w:val="single" w:sz="4" w:space="0" w:color="auto"/>
              <w:bottom w:val="single" w:sz="4" w:space="0" w:color="auto"/>
              <w:right w:val="single" w:sz="4" w:space="0" w:color="auto"/>
            </w:tcBorders>
            <w:hideMark/>
          </w:tcPr>
          <w:p w14:paraId="461E7A1D" w14:textId="61B5746C" w:rsidR="007100C2" w:rsidRPr="00C1176F" w:rsidRDefault="007100C2" w:rsidP="008D5FAA">
            <w:pPr>
              <w:tabs>
                <w:tab w:val="clear" w:pos="567"/>
              </w:tabs>
              <w:spacing w:line="240" w:lineRule="auto"/>
              <w:jc w:val="both"/>
              <w:rPr>
                <w:szCs w:val="22"/>
                <w:lang w:val="hr-HR"/>
              </w:rPr>
            </w:pPr>
          </w:p>
        </w:tc>
        <w:tc>
          <w:tcPr>
            <w:tcW w:w="1260" w:type="dxa"/>
            <w:tcBorders>
              <w:top w:val="single" w:sz="4" w:space="0" w:color="auto"/>
              <w:left w:val="single" w:sz="4" w:space="0" w:color="auto"/>
              <w:bottom w:val="single" w:sz="4" w:space="0" w:color="auto"/>
              <w:right w:val="single" w:sz="4" w:space="0" w:color="auto"/>
            </w:tcBorders>
            <w:hideMark/>
          </w:tcPr>
          <w:p w14:paraId="1A3F83A1" w14:textId="0940432E" w:rsidR="007100C2" w:rsidRPr="00C1176F" w:rsidRDefault="007100C2" w:rsidP="008D5FAA">
            <w:pPr>
              <w:tabs>
                <w:tab w:val="clear" w:pos="567"/>
              </w:tabs>
              <w:spacing w:line="240" w:lineRule="auto"/>
              <w:jc w:val="both"/>
              <w:rPr>
                <w:szCs w:val="22"/>
                <w:lang w:val="hr-HR"/>
              </w:rPr>
            </w:pPr>
          </w:p>
        </w:tc>
        <w:tc>
          <w:tcPr>
            <w:tcW w:w="990" w:type="dxa"/>
            <w:tcBorders>
              <w:top w:val="single" w:sz="4" w:space="0" w:color="auto"/>
              <w:left w:val="single" w:sz="4" w:space="0" w:color="auto"/>
              <w:bottom w:val="single" w:sz="4" w:space="0" w:color="auto"/>
              <w:right w:val="single" w:sz="4" w:space="0" w:color="auto"/>
            </w:tcBorders>
            <w:hideMark/>
          </w:tcPr>
          <w:p w14:paraId="11A969D8" w14:textId="015DFD6D" w:rsidR="007100C2" w:rsidRPr="00C1176F" w:rsidRDefault="007100C2" w:rsidP="008D5FAA">
            <w:pPr>
              <w:tabs>
                <w:tab w:val="clear" w:pos="567"/>
              </w:tabs>
              <w:spacing w:line="240" w:lineRule="auto"/>
              <w:jc w:val="both"/>
              <w:rPr>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2B4E3958" w14:textId="0DCFFD8A" w:rsidR="007100C2" w:rsidRPr="00C1176F" w:rsidRDefault="007100C2" w:rsidP="008D5FAA">
            <w:pPr>
              <w:tabs>
                <w:tab w:val="clear" w:pos="567"/>
              </w:tabs>
              <w:spacing w:line="240" w:lineRule="auto"/>
              <w:jc w:val="both"/>
              <w:rPr>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72FAAF72" w14:textId="7F3E60C9" w:rsidR="007100C2" w:rsidRPr="00C1176F" w:rsidRDefault="007100C2" w:rsidP="008D5FAA">
            <w:pPr>
              <w:tabs>
                <w:tab w:val="clear" w:pos="567"/>
              </w:tabs>
              <w:spacing w:line="240" w:lineRule="auto"/>
              <w:jc w:val="both"/>
              <w:rPr>
                <w:szCs w:val="22"/>
                <w:lang w:val="hr-HR"/>
              </w:rPr>
            </w:pPr>
          </w:p>
        </w:tc>
      </w:tr>
      <w:tr w:rsidR="007100C2" w:rsidRPr="00C1176F" w14:paraId="2D0A5737" w14:textId="77777777" w:rsidTr="005E1C08">
        <w:trPr>
          <w:cantSplit/>
        </w:trPr>
        <w:tc>
          <w:tcPr>
            <w:tcW w:w="2339" w:type="dxa"/>
            <w:tcBorders>
              <w:top w:val="single" w:sz="4" w:space="0" w:color="auto"/>
              <w:left w:val="single" w:sz="4" w:space="0" w:color="auto"/>
              <w:bottom w:val="single" w:sz="4" w:space="0" w:color="auto"/>
              <w:right w:val="single" w:sz="4" w:space="0" w:color="auto"/>
            </w:tcBorders>
            <w:hideMark/>
          </w:tcPr>
          <w:p w14:paraId="54A164E4" w14:textId="77777777" w:rsidR="007100C2" w:rsidRPr="00C1176F" w:rsidRDefault="007100C2" w:rsidP="008D5FAA">
            <w:pPr>
              <w:tabs>
                <w:tab w:val="clear" w:pos="567"/>
              </w:tabs>
              <w:spacing w:line="240" w:lineRule="auto"/>
              <w:jc w:val="both"/>
              <w:rPr>
                <w:szCs w:val="22"/>
                <w:lang w:val="hr-HR"/>
              </w:rPr>
            </w:pPr>
            <w:r w:rsidRPr="007C0730">
              <w:rPr>
                <w:szCs w:val="22"/>
                <w:lang w:val="hr-HR"/>
              </w:rPr>
              <w:t xml:space="preserve">Poremećaji oka </w:t>
            </w:r>
          </w:p>
        </w:tc>
        <w:tc>
          <w:tcPr>
            <w:tcW w:w="1350" w:type="dxa"/>
            <w:tcBorders>
              <w:top w:val="single" w:sz="4" w:space="0" w:color="auto"/>
              <w:left w:val="single" w:sz="4" w:space="0" w:color="auto"/>
              <w:bottom w:val="single" w:sz="4" w:space="0" w:color="auto"/>
              <w:right w:val="single" w:sz="4" w:space="0" w:color="auto"/>
            </w:tcBorders>
            <w:hideMark/>
          </w:tcPr>
          <w:p w14:paraId="4EA853F2" w14:textId="1713F991" w:rsidR="007100C2" w:rsidRPr="00C1176F" w:rsidRDefault="007100C2" w:rsidP="008D5FAA">
            <w:pPr>
              <w:tabs>
                <w:tab w:val="clear" w:pos="567"/>
              </w:tabs>
              <w:spacing w:line="240" w:lineRule="auto"/>
              <w:jc w:val="both"/>
              <w:rPr>
                <w:szCs w:val="22"/>
                <w:lang w:val="hr-HR"/>
              </w:rPr>
            </w:pPr>
          </w:p>
        </w:tc>
        <w:tc>
          <w:tcPr>
            <w:tcW w:w="1890" w:type="dxa"/>
            <w:tcBorders>
              <w:top w:val="single" w:sz="4" w:space="0" w:color="auto"/>
              <w:left w:val="single" w:sz="4" w:space="0" w:color="auto"/>
              <w:bottom w:val="single" w:sz="4" w:space="0" w:color="auto"/>
              <w:right w:val="single" w:sz="4" w:space="0" w:color="auto"/>
            </w:tcBorders>
            <w:hideMark/>
          </w:tcPr>
          <w:p w14:paraId="2AA951F1" w14:textId="18CDC8AE" w:rsidR="007100C2" w:rsidRPr="00C1176F" w:rsidRDefault="00625039" w:rsidP="008D5FAA">
            <w:pPr>
              <w:tabs>
                <w:tab w:val="clear" w:pos="567"/>
              </w:tabs>
              <w:spacing w:line="240" w:lineRule="auto"/>
              <w:jc w:val="both"/>
              <w:rPr>
                <w:szCs w:val="22"/>
                <w:lang w:val="hr-HR"/>
              </w:rPr>
            </w:pPr>
            <w:r w:rsidRPr="007C0730">
              <w:rPr>
                <w:szCs w:val="22"/>
              </w:rPr>
              <w:t>Alergijski konjuktivitis</w:t>
            </w:r>
          </w:p>
        </w:tc>
        <w:tc>
          <w:tcPr>
            <w:tcW w:w="1260" w:type="dxa"/>
            <w:tcBorders>
              <w:top w:val="single" w:sz="4" w:space="0" w:color="auto"/>
              <w:left w:val="single" w:sz="4" w:space="0" w:color="auto"/>
              <w:bottom w:val="single" w:sz="4" w:space="0" w:color="auto"/>
              <w:right w:val="single" w:sz="4" w:space="0" w:color="auto"/>
            </w:tcBorders>
            <w:hideMark/>
          </w:tcPr>
          <w:p w14:paraId="3CB95B06" w14:textId="7459F92D" w:rsidR="007100C2" w:rsidRPr="00C1176F" w:rsidRDefault="007100C2" w:rsidP="008D5FAA">
            <w:pPr>
              <w:tabs>
                <w:tab w:val="clear" w:pos="567"/>
              </w:tabs>
              <w:spacing w:line="240" w:lineRule="auto"/>
              <w:jc w:val="both"/>
              <w:rPr>
                <w:szCs w:val="22"/>
                <w:lang w:val="hr-HR"/>
              </w:rPr>
            </w:pPr>
          </w:p>
        </w:tc>
        <w:tc>
          <w:tcPr>
            <w:tcW w:w="990" w:type="dxa"/>
            <w:tcBorders>
              <w:top w:val="single" w:sz="4" w:space="0" w:color="auto"/>
              <w:left w:val="single" w:sz="4" w:space="0" w:color="auto"/>
              <w:bottom w:val="single" w:sz="4" w:space="0" w:color="auto"/>
              <w:right w:val="single" w:sz="4" w:space="0" w:color="auto"/>
            </w:tcBorders>
            <w:hideMark/>
          </w:tcPr>
          <w:p w14:paraId="2DE5D22B" w14:textId="3AB93AD2" w:rsidR="007100C2" w:rsidRPr="00C1176F" w:rsidRDefault="007100C2" w:rsidP="008D5FAA">
            <w:pPr>
              <w:tabs>
                <w:tab w:val="clear" w:pos="567"/>
              </w:tabs>
              <w:spacing w:line="240" w:lineRule="auto"/>
              <w:jc w:val="both"/>
              <w:rPr>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64BC7F0E" w14:textId="6F124D59" w:rsidR="007100C2" w:rsidRPr="00C1176F" w:rsidRDefault="007100C2" w:rsidP="008D5FAA">
            <w:pPr>
              <w:tabs>
                <w:tab w:val="clear" w:pos="567"/>
              </w:tabs>
              <w:spacing w:line="240" w:lineRule="auto"/>
              <w:jc w:val="both"/>
              <w:rPr>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2E632835" w14:textId="2C2E3EFA" w:rsidR="007100C2" w:rsidRPr="00C1176F" w:rsidRDefault="007100C2" w:rsidP="008D5FAA">
            <w:pPr>
              <w:tabs>
                <w:tab w:val="clear" w:pos="567"/>
              </w:tabs>
              <w:spacing w:line="240" w:lineRule="auto"/>
              <w:jc w:val="both"/>
              <w:rPr>
                <w:szCs w:val="22"/>
                <w:lang w:val="hr-HR"/>
              </w:rPr>
            </w:pPr>
          </w:p>
        </w:tc>
      </w:tr>
      <w:tr w:rsidR="007100C2" w:rsidRPr="00C1176F" w14:paraId="585A1E42" w14:textId="77777777" w:rsidTr="005E1C08">
        <w:trPr>
          <w:cantSplit/>
        </w:trPr>
        <w:tc>
          <w:tcPr>
            <w:tcW w:w="2339" w:type="dxa"/>
            <w:tcBorders>
              <w:top w:val="single" w:sz="4" w:space="0" w:color="auto"/>
              <w:left w:val="single" w:sz="4" w:space="0" w:color="auto"/>
              <w:bottom w:val="single" w:sz="4" w:space="0" w:color="auto"/>
              <w:right w:val="single" w:sz="4" w:space="0" w:color="auto"/>
            </w:tcBorders>
            <w:hideMark/>
          </w:tcPr>
          <w:p w14:paraId="52215B8C" w14:textId="77777777" w:rsidR="007100C2" w:rsidRPr="00C1176F" w:rsidRDefault="007100C2" w:rsidP="008D5FAA">
            <w:pPr>
              <w:tabs>
                <w:tab w:val="clear" w:pos="567"/>
              </w:tabs>
              <w:spacing w:line="240" w:lineRule="auto"/>
              <w:jc w:val="both"/>
              <w:rPr>
                <w:szCs w:val="22"/>
                <w:lang w:val="hr-HR"/>
              </w:rPr>
            </w:pPr>
            <w:r w:rsidRPr="007C0730">
              <w:rPr>
                <w:szCs w:val="22"/>
                <w:lang w:val="hr-HR"/>
              </w:rPr>
              <w:t xml:space="preserve">Poremećaji kože i potkožnog tkiva </w:t>
            </w:r>
          </w:p>
        </w:tc>
        <w:tc>
          <w:tcPr>
            <w:tcW w:w="1350" w:type="dxa"/>
            <w:tcBorders>
              <w:top w:val="single" w:sz="4" w:space="0" w:color="auto"/>
              <w:left w:val="single" w:sz="4" w:space="0" w:color="auto"/>
              <w:bottom w:val="single" w:sz="4" w:space="0" w:color="auto"/>
              <w:right w:val="single" w:sz="4" w:space="0" w:color="auto"/>
            </w:tcBorders>
            <w:hideMark/>
          </w:tcPr>
          <w:p w14:paraId="64C1EFFC" w14:textId="0532C92D" w:rsidR="007100C2" w:rsidRPr="00C1176F" w:rsidRDefault="007100C2" w:rsidP="008D5FAA">
            <w:pPr>
              <w:tabs>
                <w:tab w:val="clear" w:pos="567"/>
              </w:tabs>
              <w:spacing w:line="240" w:lineRule="auto"/>
              <w:jc w:val="both"/>
              <w:rPr>
                <w:szCs w:val="22"/>
                <w:lang w:val="hr-HR"/>
              </w:rPr>
            </w:pPr>
          </w:p>
        </w:tc>
        <w:tc>
          <w:tcPr>
            <w:tcW w:w="1890" w:type="dxa"/>
            <w:tcBorders>
              <w:top w:val="single" w:sz="4" w:space="0" w:color="auto"/>
              <w:left w:val="single" w:sz="4" w:space="0" w:color="auto"/>
              <w:bottom w:val="single" w:sz="4" w:space="0" w:color="auto"/>
              <w:right w:val="single" w:sz="4" w:space="0" w:color="auto"/>
            </w:tcBorders>
            <w:hideMark/>
          </w:tcPr>
          <w:p w14:paraId="7F20867C" w14:textId="085C7A59" w:rsidR="007100C2" w:rsidRPr="00C1176F" w:rsidRDefault="007100C2" w:rsidP="008D5FAA">
            <w:pPr>
              <w:tabs>
                <w:tab w:val="clear" w:pos="567"/>
              </w:tabs>
              <w:spacing w:line="240" w:lineRule="auto"/>
              <w:jc w:val="both"/>
              <w:rPr>
                <w:szCs w:val="22"/>
                <w:lang w:val="hr-HR"/>
              </w:rPr>
            </w:pPr>
          </w:p>
        </w:tc>
        <w:tc>
          <w:tcPr>
            <w:tcW w:w="1260" w:type="dxa"/>
            <w:tcBorders>
              <w:top w:val="single" w:sz="4" w:space="0" w:color="auto"/>
              <w:left w:val="single" w:sz="4" w:space="0" w:color="auto"/>
              <w:bottom w:val="single" w:sz="4" w:space="0" w:color="auto"/>
              <w:right w:val="single" w:sz="4" w:space="0" w:color="auto"/>
            </w:tcBorders>
            <w:hideMark/>
          </w:tcPr>
          <w:p w14:paraId="1DD4517D" w14:textId="29988B16" w:rsidR="007100C2" w:rsidRPr="00C1176F" w:rsidRDefault="00625039" w:rsidP="008D5FAA">
            <w:pPr>
              <w:tabs>
                <w:tab w:val="clear" w:pos="567"/>
              </w:tabs>
              <w:spacing w:line="240" w:lineRule="auto"/>
              <w:jc w:val="both"/>
              <w:rPr>
                <w:szCs w:val="22"/>
                <w:lang w:val="hr-HR"/>
              </w:rPr>
            </w:pPr>
            <w:r w:rsidRPr="007C0730">
              <w:rPr>
                <w:szCs w:val="22"/>
              </w:rPr>
              <w:t>Generalizovani osip</w:t>
            </w:r>
          </w:p>
        </w:tc>
        <w:tc>
          <w:tcPr>
            <w:tcW w:w="990" w:type="dxa"/>
            <w:tcBorders>
              <w:top w:val="single" w:sz="4" w:space="0" w:color="auto"/>
              <w:left w:val="single" w:sz="4" w:space="0" w:color="auto"/>
              <w:bottom w:val="single" w:sz="4" w:space="0" w:color="auto"/>
              <w:right w:val="single" w:sz="4" w:space="0" w:color="auto"/>
            </w:tcBorders>
            <w:hideMark/>
          </w:tcPr>
          <w:p w14:paraId="7546E76C" w14:textId="5ECE683F" w:rsidR="007100C2" w:rsidRPr="00C1176F" w:rsidRDefault="007100C2" w:rsidP="008D5FAA">
            <w:pPr>
              <w:tabs>
                <w:tab w:val="clear" w:pos="567"/>
              </w:tabs>
              <w:spacing w:line="240" w:lineRule="auto"/>
              <w:jc w:val="both"/>
              <w:rPr>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3C291139" w14:textId="2F821067" w:rsidR="007100C2" w:rsidRPr="00C1176F" w:rsidRDefault="007100C2" w:rsidP="008D5FAA">
            <w:pPr>
              <w:tabs>
                <w:tab w:val="clear" w:pos="567"/>
              </w:tabs>
              <w:spacing w:line="240" w:lineRule="auto"/>
              <w:jc w:val="both"/>
              <w:rPr>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0E867C45" w14:textId="2BBC1F41" w:rsidR="007100C2" w:rsidRPr="00C1176F" w:rsidRDefault="007100C2" w:rsidP="008D5FAA">
            <w:pPr>
              <w:tabs>
                <w:tab w:val="clear" w:pos="567"/>
              </w:tabs>
              <w:spacing w:line="240" w:lineRule="auto"/>
              <w:jc w:val="both"/>
              <w:rPr>
                <w:szCs w:val="22"/>
                <w:lang w:val="hr-HR"/>
              </w:rPr>
            </w:pPr>
          </w:p>
        </w:tc>
      </w:tr>
      <w:tr w:rsidR="007100C2" w:rsidRPr="00C1176F" w14:paraId="7A6BAF17" w14:textId="77777777" w:rsidTr="005E1C08">
        <w:trPr>
          <w:cantSplit/>
        </w:trPr>
        <w:tc>
          <w:tcPr>
            <w:tcW w:w="2339" w:type="dxa"/>
            <w:tcBorders>
              <w:top w:val="single" w:sz="4" w:space="0" w:color="auto"/>
              <w:left w:val="single" w:sz="4" w:space="0" w:color="auto"/>
              <w:bottom w:val="single" w:sz="4" w:space="0" w:color="auto"/>
              <w:right w:val="single" w:sz="4" w:space="0" w:color="auto"/>
            </w:tcBorders>
            <w:hideMark/>
          </w:tcPr>
          <w:p w14:paraId="1447B6DA" w14:textId="77777777" w:rsidR="007100C2" w:rsidRPr="00C1176F" w:rsidRDefault="007100C2" w:rsidP="008D5FAA">
            <w:pPr>
              <w:tabs>
                <w:tab w:val="clear" w:pos="567"/>
              </w:tabs>
              <w:spacing w:line="240" w:lineRule="auto"/>
              <w:jc w:val="both"/>
              <w:rPr>
                <w:szCs w:val="22"/>
                <w:lang w:val="hr-HR"/>
              </w:rPr>
            </w:pPr>
            <w:r w:rsidRPr="007C0730">
              <w:rPr>
                <w:szCs w:val="22"/>
                <w:lang w:val="hr-HR"/>
              </w:rPr>
              <w:t xml:space="preserve">Poremećaji mišićno-skeletnog, vezivnog i koštanog tkiva </w:t>
            </w:r>
          </w:p>
        </w:tc>
        <w:tc>
          <w:tcPr>
            <w:tcW w:w="1350" w:type="dxa"/>
            <w:tcBorders>
              <w:top w:val="single" w:sz="4" w:space="0" w:color="auto"/>
              <w:left w:val="single" w:sz="4" w:space="0" w:color="auto"/>
              <w:bottom w:val="single" w:sz="4" w:space="0" w:color="auto"/>
              <w:right w:val="single" w:sz="4" w:space="0" w:color="auto"/>
            </w:tcBorders>
            <w:hideMark/>
          </w:tcPr>
          <w:p w14:paraId="1E3E79C0" w14:textId="6B07C04D" w:rsidR="007100C2" w:rsidRPr="00C1176F" w:rsidRDefault="007100C2" w:rsidP="008D5FAA">
            <w:pPr>
              <w:tabs>
                <w:tab w:val="clear" w:pos="567"/>
              </w:tabs>
              <w:spacing w:line="240" w:lineRule="auto"/>
              <w:jc w:val="both"/>
              <w:rPr>
                <w:szCs w:val="22"/>
                <w:lang w:val="hr-HR"/>
              </w:rPr>
            </w:pPr>
          </w:p>
        </w:tc>
        <w:tc>
          <w:tcPr>
            <w:tcW w:w="1890" w:type="dxa"/>
            <w:tcBorders>
              <w:top w:val="single" w:sz="4" w:space="0" w:color="auto"/>
              <w:left w:val="single" w:sz="4" w:space="0" w:color="auto"/>
              <w:bottom w:val="single" w:sz="4" w:space="0" w:color="auto"/>
              <w:right w:val="single" w:sz="4" w:space="0" w:color="auto"/>
            </w:tcBorders>
            <w:hideMark/>
          </w:tcPr>
          <w:p w14:paraId="5BD1B179" w14:textId="77777777" w:rsidR="007100C2" w:rsidRPr="00C1176F" w:rsidRDefault="007100C2" w:rsidP="008D5FAA">
            <w:pPr>
              <w:tabs>
                <w:tab w:val="clear" w:pos="567"/>
              </w:tabs>
              <w:spacing w:line="240" w:lineRule="auto"/>
              <w:jc w:val="both"/>
              <w:rPr>
                <w:szCs w:val="22"/>
                <w:lang w:val="hr-HR"/>
              </w:rPr>
            </w:pPr>
            <w:r w:rsidRPr="007C0730">
              <w:rPr>
                <w:szCs w:val="22"/>
                <w:lang w:val="hr-HR"/>
              </w:rPr>
              <w:t>Artralgija</w:t>
            </w:r>
          </w:p>
          <w:p w14:paraId="5DD18933" w14:textId="7DD2BCAC" w:rsidR="007100C2" w:rsidRPr="00C1176F" w:rsidRDefault="007100C2" w:rsidP="008D5FAA">
            <w:pPr>
              <w:tabs>
                <w:tab w:val="clear" w:pos="567"/>
              </w:tabs>
              <w:spacing w:line="240" w:lineRule="auto"/>
              <w:jc w:val="both"/>
              <w:rPr>
                <w:szCs w:val="22"/>
                <w:lang w:val="hr-HR"/>
              </w:rPr>
            </w:pPr>
            <w:r w:rsidRPr="007C0730">
              <w:rPr>
                <w:szCs w:val="22"/>
                <w:lang w:val="hr-HR"/>
              </w:rPr>
              <w:t>Bol u ekstremitetu</w:t>
            </w:r>
          </w:p>
        </w:tc>
        <w:tc>
          <w:tcPr>
            <w:tcW w:w="1260" w:type="dxa"/>
            <w:tcBorders>
              <w:top w:val="single" w:sz="4" w:space="0" w:color="auto"/>
              <w:left w:val="single" w:sz="4" w:space="0" w:color="auto"/>
              <w:bottom w:val="single" w:sz="4" w:space="0" w:color="auto"/>
              <w:right w:val="single" w:sz="4" w:space="0" w:color="auto"/>
            </w:tcBorders>
            <w:hideMark/>
          </w:tcPr>
          <w:p w14:paraId="4A894A2F" w14:textId="236932F3" w:rsidR="007100C2" w:rsidRPr="00C1176F" w:rsidRDefault="007100C2" w:rsidP="008D5FAA">
            <w:pPr>
              <w:tabs>
                <w:tab w:val="clear" w:pos="567"/>
              </w:tabs>
              <w:spacing w:line="240" w:lineRule="auto"/>
              <w:jc w:val="both"/>
              <w:rPr>
                <w:szCs w:val="22"/>
                <w:lang w:val="hr-HR"/>
              </w:rPr>
            </w:pPr>
          </w:p>
        </w:tc>
        <w:tc>
          <w:tcPr>
            <w:tcW w:w="990" w:type="dxa"/>
            <w:tcBorders>
              <w:top w:val="single" w:sz="4" w:space="0" w:color="auto"/>
              <w:left w:val="single" w:sz="4" w:space="0" w:color="auto"/>
              <w:bottom w:val="single" w:sz="4" w:space="0" w:color="auto"/>
              <w:right w:val="single" w:sz="4" w:space="0" w:color="auto"/>
            </w:tcBorders>
            <w:hideMark/>
          </w:tcPr>
          <w:p w14:paraId="0FEFD30E" w14:textId="15D45A30" w:rsidR="007100C2" w:rsidRPr="00C1176F" w:rsidRDefault="007100C2" w:rsidP="008D5FAA">
            <w:pPr>
              <w:tabs>
                <w:tab w:val="clear" w:pos="567"/>
              </w:tabs>
              <w:spacing w:line="240" w:lineRule="auto"/>
              <w:jc w:val="both"/>
              <w:rPr>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7E807BBA" w14:textId="0E94A8F9" w:rsidR="007100C2" w:rsidRPr="00C1176F" w:rsidRDefault="007100C2" w:rsidP="008D5FAA">
            <w:pPr>
              <w:tabs>
                <w:tab w:val="clear" w:pos="567"/>
              </w:tabs>
              <w:spacing w:line="240" w:lineRule="auto"/>
              <w:jc w:val="both"/>
              <w:rPr>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22177EE4" w14:textId="78232182" w:rsidR="007100C2" w:rsidRPr="00C1176F" w:rsidRDefault="007100C2" w:rsidP="008D5FAA">
            <w:pPr>
              <w:tabs>
                <w:tab w:val="clear" w:pos="567"/>
              </w:tabs>
              <w:spacing w:line="240" w:lineRule="auto"/>
              <w:jc w:val="both"/>
              <w:rPr>
                <w:szCs w:val="22"/>
                <w:lang w:val="hr-HR"/>
              </w:rPr>
            </w:pPr>
          </w:p>
        </w:tc>
      </w:tr>
      <w:tr w:rsidR="007100C2" w:rsidRPr="00C1176F" w14:paraId="77221AE5" w14:textId="77777777" w:rsidTr="005E1C08">
        <w:trPr>
          <w:cantSplit/>
        </w:trPr>
        <w:tc>
          <w:tcPr>
            <w:tcW w:w="2339" w:type="dxa"/>
            <w:tcBorders>
              <w:top w:val="single" w:sz="4" w:space="0" w:color="auto"/>
              <w:left w:val="single" w:sz="4" w:space="0" w:color="auto"/>
              <w:bottom w:val="single" w:sz="4" w:space="0" w:color="auto"/>
              <w:right w:val="single" w:sz="4" w:space="0" w:color="auto"/>
            </w:tcBorders>
            <w:hideMark/>
          </w:tcPr>
          <w:p w14:paraId="07ADD743" w14:textId="77777777" w:rsidR="007100C2" w:rsidRPr="00C1176F" w:rsidRDefault="007100C2" w:rsidP="008D5FAA">
            <w:pPr>
              <w:tabs>
                <w:tab w:val="clear" w:pos="567"/>
              </w:tabs>
              <w:spacing w:line="240" w:lineRule="auto"/>
              <w:jc w:val="both"/>
              <w:rPr>
                <w:szCs w:val="22"/>
                <w:lang w:val="hr-HR"/>
              </w:rPr>
            </w:pPr>
            <w:r w:rsidRPr="007C0730">
              <w:rPr>
                <w:szCs w:val="22"/>
                <w:lang w:val="hr-HR"/>
              </w:rPr>
              <w:lastRenderedPageBreak/>
              <w:t>Opšti poremećaji i reakcije na mjestu primjene</w:t>
            </w:r>
          </w:p>
        </w:tc>
        <w:tc>
          <w:tcPr>
            <w:tcW w:w="1350" w:type="dxa"/>
            <w:tcBorders>
              <w:top w:val="single" w:sz="4" w:space="0" w:color="auto"/>
              <w:left w:val="single" w:sz="4" w:space="0" w:color="auto"/>
              <w:bottom w:val="single" w:sz="4" w:space="0" w:color="auto"/>
              <w:right w:val="single" w:sz="4" w:space="0" w:color="auto"/>
            </w:tcBorders>
            <w:hideMark/>
          </w:tcPr>
          <w:p w14:paraId="43D2F5B7" w14:textId="29CA39F0" w:rsidR="007100C2" w:rsidRPr="00C1176F" w:rsidRDefault="007100C2" w:rsidP="008D5FAA">
            <w:pPr>
              <w:tabs>
                <w:tab w:val="clear" w:pos="567"/>
              </w:tabs>
              <w:spacing w:line="240" w:lineRule="auto"/>
              <w:jc w:val="both"/>
              <w:rPr>
                <w:iCs/>
                <w:szCs w:val="22"/>
                <w:lang w:val="hr-HR"/>
              </w:rPr>
            </w:pPr>
            <w:r w:rsidRPr="007C0730">
              <w:rPr>
                <w:szCs w:val="22"/>
                <w:lang w:val="hr-HR"/>
              </w:rPr>
              <w:t>Reakcije na mjestu ubrizgavanja</w:t>
            </w:r>
            <w:r w:rsidRPr="007C0730">
              <w:rPr>
                <w:szCs w:val="22"/>
                <w:vertAlign w:val="superscript"/>
                <w:lang w:val="hr-HR"/>
              </w:rPr>
              <w:t>a</w:t>
            </w:r>
          </w:p>
          <w:p w14:paraId="3327E39B" w14:textId="05AA8154" w:rsidR="007100C2" w:rsidRPr="00C1176F" w:rsidRDefault="007100C2" w:rsidP="008D5FAA">
            <w:pPr>
              <w:tabs>
                <w:tab w:val="clear" w:pos="567"/>
              </w:tabs>
              <w:spacing w:line="240" w:lineRule="auto"/>
              <w:jc w:val="both"/>
              <w:rPr>
                <w:iCs/>
                <w:szCs w:val="22"/>
                <w:lang w:val="hr-HR"/>
              </w:rPr>
            </w:pPr>
            <w:r w:rsidRPr="007C0730">
              <w:rPr>
                <w:szCs w:val="22"/>
                <w:lang w:val="hr-HR"/>
              </w:rPr>
              <w:t>Povišena temperatura</w:t>
            </w:r>
          </w:p>
        </w:tc>
        <w:tc>
          <w:tcPr>
            <w:tcW w:w="1890" w:type="dxa"/>
            <w:tcBorders>
              <w:top w:val="single" w:sz="4" w:space="0" w:color="auto"/>
              <w:left w:val="single" w:sz="4" w:space="0" w:color="auto"/>
              <w:bottom w:val="single" w:sz="4" w:space="0" w:color="auto"/>
              <w:right w:val="single" w:sz="4" w:space="0" w:color="auto"/>
            </w:tcBorders>
            <w:hideMark/>
          </w:tcPr>
          <w:p w14:paraId="1C5388FA" w14:textId="76C97C3F" w:rsidR="007100C2" w:rsidRPr="00C1176F" w:rsidRDefault="007100C2" w:rsidP="008D5FAA">
            <w:pPr>
              <w:tabs>
                <w:tab w:val="clear" w:pos="567"/>
              </w:tabs>
              <w:spacing w:line="240" w:lineRule="auto"/>
              <w:jc w:val="both"/>
              <w:rPr>
                <w:szCs w:val="22"/>
                <w:lang w:val="hr-HR"/>
              </w:rPr>
            </w:pPr>
          </w:p>
        </w:tc>
        <w:tc>
          <w:tcPr>
            <w:tcW w:w="1260" w:type="dxa"/>
            <w:tcBorders>
              <w:top w:val="single" w:sz="4" w:space="0" w:color="auto"/>
              <w:left w:val="single" w:sz="4" w:space="0" w:color="auto"/>
              <w:bottom w:val="single" w:sz="4" w:space="0" w:color="auto"/>
              <w:right w:val="single" w:sz="4" w:space="0" w:color="auto"/>
            </w:tcBorders>
            <w:hideMark/>
          </w:tcPr>
          <w:p w14:paraId="4BBAA63A" w14:textId="2AB07F30" w:rsidR="007100C2" w:rsidRPr="00C1176F" w:rsidRDefault="007100C2" w:rsidP="008D5FAA">
            <w:pPr>
              <w:tabs>
                <w:tab w:val="clear" w:pos="567"/>
              </w:tabs>
              <w:spacing w:line="240" w:lineRule="auto"/>
              <w:jc w:val="both"/>
              <w:rPr>
                <w:szCs w:val="22"/>
                <w:lang w:val="hr-HR"/>
              </w:rPr>
            </w:pPr>
          </w:p>
        </w:tc>
        <w:tc>
          <w:tcPr>
            <w:tcW w:w="990" w:type="dxa"/>
            <w:tcBorders>
              <w:top w:val="single" w:sz="4" w:space="0" w:color="auto"/>
              <w:left w:val="single" w:sz="4" w:space="0" w:color="auto"/>
              <w:bottom w:val="single" w:sz="4" w:space="0" w:color="auto"/>
              <w:right w:val="single" w:sz="4" w:space="0" w:color="auto"/>
            </w:tcBorders>
            <w:hideMark/>
          </w:tcPr>
          <w:p w14:paraId="5287DCE1" w14:textId="500C297B" w:rsidR="007100C2" w:rsidRPr="00C1176F" w:rsidRDefault="007100C2" w:rsidP="008D5FAA">
            <w:pPr>
              <w:tabs>
                <w:tab w:val="clear" w:pos="567"/>
              </w:tabs>
              <w:spacing w:line="240" w:lineRule="auto"/>
              <w:jc w:val="both"/>
              <w:rPr>
                <w:szCs w:val="22"/>
                <w:lang w:val="hr-HR"/>
              </w:rPr>
            </w:pPr>
          </w:p>
        </w:tc>
        <w:tc>
          <w:tcPr>
            <w:tcW w:w="810" w:type="dxa"/>
            <w:tcBorders>
              <w:top w:val="single" w:sz="4" w:space="0" w:color="auto"/>
              <w:left w:val="single" w:sz="4" w:space="0" w:color="auto"/>
              <w:bottom w:val="single" w:sz="4" w:space="0" w:color="auto"/>
              <w:right w:val="single" w:sz="4" w:space="0" w:color="auto"/>
            </w:tcBorders>
            <w:hideMark/>
          </w:tcPr>
          <w:p w14:paraId="41318D76" w14:textId="7DA033BD" w:rsidR="007100C2" w:rsidRPr="00C1176F" w:rsidRDefault="007100C2" w:rsidP="008D5FAA">
            <w:pPr>
              <w:tabs>
                <w:tab w:val="clear" w:pos="567"/>
              </w:tabs>
              <w:spacing w:line="240" w:lineRule="auto"/>
              <w:jc w:val="both"/>
              <w:rPr>
                <w:szCs w:val="22"/>
                <w:lang w:val="hr-HR"/>
              </w:rPr>
            </w:pPr>
          </w:p>
        </w:tc>
        <w:tc>
          <w:tcPr>
            <w:tcW w:w="1170" w:type="dxa"/>
            <w:tcBorders>
              <w:top w:val="single" w:sz="4" w:space="0" w:color="auto"/>
              <w:left w:val="single" w:sz="4" w:space="0" w:color="auto"/>
              <w:bottom w:val="single" w:sz="4" w:space="0" w:color="auto"/>
              <w:right w:val="single" w:sz="4" w:space="0" w:color="auto"/>
            </w:tcBorders>
            <w:hideMark/>
          </w:tcPr>
          <w:p w14:paraId="250CCD06" w14:textId="05EDD49F" w:rsidR="007100C2" w:rsidRPr="00C1176F" w:rsidRDefault="007100C2" w:rsidP="008D5FAA">
            <w:pPr>
              <w:tabs>
                <w:tab w:val="clear" w:pos="567"/>
              </w:tabs>
              <w:spacing w:line="240" w:lineRule="auto"/>
              <w:jc w:val="both"/>
              <w:rPr>
                <w:szCs w:val="22"/>
                <w:lang w:val="hr-HR"/>
              </w:rPr>
            </w:pPr>
          </w:p>
        </w:tc>
      </w:tr>
      <w:bookmarkStart w:id="11" w:name="TblFnTxtBkmkID_20611152946"/>
      <w:tr w:rsidR="007100C2" w:rsidRPr="00C1176F" w14:paraId="372BE9C5" w14:textId="77777777" w:rsidTr="005E1C08">
        <w:trPr>
          <w:cantSplit/>
        </w:trPr>
        <w:tc>
          <w:tcPr>
            <w:tcW w:w="9809" w:type="dxa"/>
            <w:gridSpan w:val="7"/>
            <w:tcBorders>
              <w:top w:val="single" w:sz="4" w:space="0" w:color="auto"/>
              <w:left w:val="nil"/>
              <w:bottom w:val="nil"/>
              <w:right w:val="nil"/>
            </w:tcBorders>
            <w:hideMark/>
          </w:tcPr>
          <w:p w14:paraId="49CF7798" w14:textId="677DB8A3" w:rsidR="007100C2" w:rsidRPr="008D5FAA" w:rsidRDefault="007100C2" w:rsidP="008D5FAA">
            <w:pPr>
              <w:tabs>
                <w:tab w:val="clear" w:pos="567"/>
              </w:tabs>
              <w:spacing w:line="240" w:lineRule="auto"/>
              <w:jc w:val="both"/>
              <w:rPr>
                <w:szCs w:val="22"/>
                <w:lang w:val="hr-HR"/>
              </w:rPr>
            </w:pPr>
            <w:r w:rsidRPr="008D5FAA">
              <w:rPr>
                <w:szCs w:val="22"/>
                <w:lang w:val="hr-HR"/>
              </w:rPr>
              <w:fldChar w:fldCharType="begin"/>
            </w:r>
            <w:r w:rsidRPr="008D5FAA">
              <w:rPr>
                <w:szCs w:val="22"/>
                <w:lang w:val="hr-HR"/>
              </w:rPr>
              <w:instrText xml:space="preserve"> SEQ TblFnSeqID_20611152946 \n \* alphabetic \* MERGEFORMAT </w:instrText>
            </w:r>
            <w:r w:rsidRPr="008D5FAA">
              <w:rPr>
                <w:szCs w:val="22"/>
                <w:lang w:val="hr-HR"/>
              </w:rPr>
              <w:fldChar w:fldCharType="separate"/>
            </w:r>
            <w:r w:rsidR="005E1C08" w:rsidRPr="008D5FAA">
              <w:rPr>
                <w:noProof/>
                <w:szCs w:val="22"/>
                <w:lang w:val="hr-HR"/>
              </w:rPr>
              <w:t>a</w:t>
            </w:r>
            <w:r w:rsidRPr="008D5FAA">
              <w:rPr>
                <w:szCs w:val="22"/>
                <w:lang w:val="hr-HR"/>
              </w:rPr>
              <w:fldChar w:fldCharType="end"/>
            </w:r>
            <w:bookmarkEnd w:id="11"/>
            <w:r w:rsidRPr="008D5FAA">
              <w:rPr>
                <w:szCs w:val="22"/>
                <w:lang w:val="hr-HR"/>
              </w:rPr>
              <w:t xml:space="preserve"> Reakcije na mjestu ubrizgavanja uključuju sljedeće: bol na mjestu ubrizgavanja, eritem, pruritus, otok, induracija, modrice, krvarenje, toplota, hipertrofija, upala, deformacija, urtikarija.</w:t>
            </w:r>
          </w:p>
        </w:tc>
      </w:tr>
    </w:tbl>
    <w:p w14:paraId="1EF13035" w14:textId="79379597" w:rsidR="00703CF2" w:rsidRPr="008D5FAA" w:rsidRDefault="00703CF2" w:rsidP="008D5FAA">
      <w:pPr>
        <w:jc w:val="both"/>
        <w:rPr>
          <w:rFonts w:eastAsia="SimSun"/>
          <w:szCs w:val="22"/>
          <w:lang w:val="hr-HR"/>
        </w:rPr>
      </w:pPr>
    </w:p>
    <w:p w14:paraId="4C5C649A" w14:textId="77777777" w:rsidR="00BE1DC4" w:rsidRPr="00C1176F" w:rsidRDefault="00BE1DC4" w:rsidP="008D5FAA">
      <w:pPr>
        <w:jc w:val="both"/>
        <w:rPr>
          <w:rStyle w:val="Instructions"/>
          <w:i w:val="0"/>
          <w:iCs w:val="0"/>
          <w:color w:val="auto"/>
          <w:szCs w:val="22"/>
          <w:u w:val="single"/>
          <w:lang w:val="hr-HR"/>
        </w:rPr>
      </w:pPr>
      <w:r w:rsidRPr="007C0730">
        <w:rPr>
          <w:rStyle w:val="Instructions"/>
          <w:i w:val="0"/>
          <w:color w:val="auto"/>
          <w:szCs w:val="22"/>
          <w:u w:val="single"/>
          <w:lang w:val="hr-HR"/>
        </w:rPr>
        <w:t>Opis odabranih neželjenih reakcija</w:t>
      </w:r>
    </w:p>
    <w:p w14:paraId="0F8C3DBE" w14:textId="77777777" w:rsidR="00BE1DC4" w:rsidRPr="008D5FAA" w:rsidRDefault="00BE1DC4" w:rsidP="008D5FAA">
      <w:pPr>
        <w:jc w:val="both"/>
        <w:rPr>
          <w:rFonts w:eastAsia="SimSun"/>
          <w:szCs w:val="22"/>
          <w:lang w:val="hr-HR"/>
        </w:rPr>
      </w:pPr>
    </w:p>
    <w:p w14:paraId="122954AE" w14:textId="77777777" w:rsidR="00BE1DC4" w:rsidRPr="007C0730" w:rsidRDefault="00BE1DC4" w:rsidP="008D5FAA">
      <w:pPr>
        <w:jc w:val="both"/>
        <w:rPr>
          <w:rStyle w:val="Instructions"/>
          <w:color w:val="auto"/>
          <w:szCs w:val="22"/>
          <w:lang w:val="hr-HR"/>
        </w:rPr>
      </w:pPr>
      <w:r w:rsidRPr="007C0730">
        <w:rPr>
          <w:rStyle w:val="Instructions"/>
          <w:color w:val="auto"/>
          <w:szCs w:val="22"/>
          <w:lang w:val="hr-HR"/>
        </w:rPr>
        <w:t>Reakcija na mjestu ubrizgavanja</w:t>
      </w:r>
    </w:p>
    <w:p w14:paraId="1DBBEBB3" w14:textId="5C1C9698" w:rsidR="00EB0225" w:rsidRPr="001E4FA7" w:rsidRDefault="00EB0225" w:rsidP="008D5FAA">
      <w:pPr>
        <w:jc w:val="both"/>
        <w:rPr>
          <w:szCs w:val="22"/>
          <w:lang w:val="hr-HR"/>
        </w:rPr>
      </w:pPr>
      <w:r w:rsidRPr="00D07CAB">
        <w:rPr>
          <w:szCs w:val="22"/>
          <w:lang w:val="hr-HR"/>
        </w:rPr>
        <w:t xml:space="preserve">U kliničkoj studiji faze 3, tokom studije je aktivno traženo izvještavanje o </w:t>
      </w:r>
      <w:r w:rsidR="00625039" w:rsidRPr="00D07CAB">
        <w:rPr>
          <w:szCs w:val="22"/>
          <w:lang w:val="hr-HR"/>
        </w:rPr>
        <w:t>reakcijama na mjestu ubrizgavanja (</w:t>
      </w:r>
      <w:r w:rsidRPr="00255289">
        <w:rPr>
          <w:szCs w:val="22"/>
          <w:lang w:val="hr-HR"/>
        </w:rPr>
        <w:t>ISR</w:t>
      </w:r>
      <w:r w:rsidR="00625039" w:rsidRPr="00255289">
        <w:rPr>
          <w:szCs w:val="22"/>
          <w:lang w:val="hr-HR"/>
        </w:rPr>
        <w:t>)</w:t>
      </w:r>
      <w:r w:rsidRPr="00910018">
        <w:rPr>
          <w:szCs w:val="22"/>
          <w:lang w:val="hr-HR"/>
        </w:rPr>
        <w:t>. U većini slučajeva, lokalni ISR-ovi su imali tendenciju da budu prolazni, javljali su se uglavnom u prvih 6 mjeseci liječenja i bili su b</w:t>
      </w:r>
      <w:r w:rsidRPr="00D173DA">
        <w:rPr>
          <w:szCs w:val="22"/>
          <w:lang w:val="hr-HR"/>
        </w:rPr>
        <w:t>lagi; ISR-ovi su bili srednjeg intenziteta na dan injekcije i trajali su srednjim intenzitetom od &lt; 1 dan. Među njima, bol na mjestu ubrizgavanja, eritem, pruritus, otok, induracija, modrice, hipertrofija, upala i naleti toplote prijavljeni su kod 43,1% pa</w:t>
      </w:r>
      <w:r w:rsidRPr="001E4FA7">
        <w:rPr>
          <w:szCs w:val="22"/>
          <w:lang w:val="hr-HR"/>
        </w:rPr>
        <w:t xml:space="preserve">cijenata liječenih somatrogonom u poređenju sa 25,2% pacijenata koji su primali dnevne injekcije somatropina. </w:t>
      </w:r>
    </w:p>
    <w:p w14:paraId="4D4DEE0B" w14:textId="77777777" w:rsidR="00EB0225" w:rsidRPr="008D5FAA" w:rsidRDefault="00EB0225" w:rsidP="008D5FAA">
      <w:pPr>
        <w:jc w:val="both"/>
        <w:rPr>
          <w:szCs w:val="22"/>
          <w:lang w:val="hr-HR"/>
        </w:rPr>
      </w:pPr>
    </w:p>
    <w:p w14:paraId="41B208CB" w14:textId="686ADE98" w:rsidR="00EB0225" w:rsidRPr="00D07CAB" w:rsidRDefault="00EB0225" w:rsidP="008D5FAA">
      <w:pPr>
        <w:jc w:val="both"/>
        <w:rPr>
          <w:szCs w:val="22"/>
          <w:lang w:val="hr-HR"/>
        </w:rPr>
      </w:pPr>
      <w:r w:rsidRPr="008D5FAA">
        <w:rPr>
          <w:szCs w:val="22"/>
          <w:lang w:val="hr-HR"/>
        </w:rPr>
        <w:t>U dugoročnom</w:t>
      </w:r>
      <w:r w:rsidR="006931E7">
        <w:rPr>
          <w:szCs w:val="22"/>
          <w:lang w:val="hr-HR"/>
        </w:rPr>
        <w:t xml:space="preserve"> otvoprenom</w:t>
      </w:r>
      <w:r w:rsidRPr="007C0730">
        <w:rPr>
          <w:szCs w:val="22"/>
          <w:lang w:val="hr-HR"/>
        </w:rPr>
        <w:t xml:space="preserve"> produžetku studije (</w:t>
      </w:r>
      <w:r w:rsidR="006931E7" w:rsidRPr="006931E7">
        <w:rPr>
          <w:szCs w:val="22"/>
          <w:lang w:val="hr-HR"/>
        </w:rPr>
        <w:t xml:space="preserve">engl. </w:t>
      </w:r>
      <w:r w:rsidR="006931E7" w:rsidRPr="008D5FAA">
        <w:rPr>
          <w:i/>
          <w:szCs w:val="22"/>
          <w:lang w:val="hr-HR"/>
        </w:rPr>
        <w:t>open-label extension</w:t>
      </w:r>
      <w:r w:rsidR="006931E7">
        <w:rPr>
          <w:szCs w:val="22"/>
          <w:lang w:val="hr-HR"/>
        </w:rPr>
        <w:t xml:space="preserve">, </w:t>
      </w:r>
      <w:r w:rsidRPr="006931E7">
        <w:rPr>
          <w:szCs w:val="22"/>
          <w:lang w:val="hr-HR"/>
        </w:rPr>
        <w:t>OLE) kliničke faze 3, lokalni ISR-ovi su bili slični po prirodi i jačini, i prijav</w:t>
      </w:r>
      <w:r w:rsidRPr="007C0730">
        <w:rPr>
          <w:szCs w:val="22"/>
          <w:lang w:val="hr-HR"/>
        </w:rPr>
        <w:t>ljeni su rano kod subjekata koji su prešli sa liječenja somatropinom na somatrogon. ISR-ovi su prijavljeni kod 18,3% pacijenata koji su prvobitno liječeni somatrogonom u osnovnom dijelu studije i koji su nastavili liječenje u OLE dijelu studije, a isto tako, prijavljeni su kod 37 % pacijenata koji su prvobitno liječeni somatropinom a onda su u ga u OLE dijelu studije zamijenili somatrogonom.</w:t>
      </w:r>
    </w:p>
    <w:p w14:paraId="71E8ACEA" w14:textId="77777777" w:rsidR="00167DDB" w:rsidRPr="008D5FAA" w:rsidRDefault="00167DDB" w:rsidP="008D5FAA">
      <w:pPr>
        <w:jc w:val="both"/>
        <w:rPr>
          <w:rFonts w:eastAsia="SimSun"/>
          <w:szCs w:val="22"/>
          <w:lang w:val="hr-HR"/>
        </w:rPr>
      </w:pPr>
    </w:p>
    <w:p w14:paraId="4B1C7827" w14:textId="78E251C8" w:rsidR="005C3B17" w:rsidRPr="007C0730" w:rsidRDefault="005C3B17" w:rsidP="008D5FAA">
      <w:pPr>
        <w:keepNext/>
        <w:tabs>
          <w:tab w:val="clear" w:pos="567"/>
        </w:tabs>
        <w:autoSpaceDE w:val="0"/>
        <w:autoSpaceDN w:val="0"/>
        <w:adjustRightInd w:val="0"/>
        <w:spacing w:line="240" w:lineRule="auto"/>
        <w:jc w:val="both"/>
        <w:rPr>
          <w:rStyle w:val="Instructions"/>
          <w:color w:val="auto"/>
          <w:szCs w:val="22"/>
          <w:lang w:val="hr-HR"/>
        </w:rPr>
      </w:pPr>
      <w:r w:rsidRPr="007C0730">
        <w:rPr>
          <w:rStyle w:val="Instructions"/>
          <w:color w:val="auto"/>
          <w:szCs w:val="22"/>
          <w:lang w:val="hr-HR"/>
        </w:rPr>
        <w:t>Imunogenost</w:t>
      </w:r>
    </w:p>
    <w:p w14:paraId="3652BE3C" w14:textId="66EA55AB" w:rsidR="002D243F" w:rsidRPr="007C0730" w:rsidRDefault="005C3B17" w:rsidP="008D5FAA">
      <w:pPr>
        <w:shd w:val="clear" w:color="auto" w:fill="FFFFFF"/>
        <w:jc w:val="both"/>
        <w:rPr>
          <w:szCs w:val="22"/>
          <w:lang w:val="hr-HR"/>
        </w:rPr>
      </w:pPr>
      <w:r w:rsidRPr="007C0730">
        <w:rPr>
          <w:szCs w:val="22"/>
          <w:lang w:val="hr-HR"/>
        </w:rPr>
        <w:t xml:space="preserve">U </w:t>
      </w:r>
      <w:r w:rsidR="00DD1576">
        <w:rPr>
          <w:szCs w:val="22"/>
          <w:lang w:val="hr-HR"/>
        </w:rPr>
        <w:t>pivotalno</w:t>
      </w:r>
      <w:r w:rsidRPr="007C0730">
        <w:rPr>
          <w:szCs w:val="22"/>
          <w:lang w:val="hr-HR"/>
        </w:rPr>
        <w:t>j studiji o bezbjednosti i efikasnosti, među 109 subjekata liječenih somatrogonom, 84 (77,1%) je bilo pozitivno na antitijela protiv ljekova (</w:t>
      </w:r>
      <w:r w:rsidR="006931E7">
        <w:rPr>
          <w:szCs w:val="22"/>
          <w:lang w:val="hr-HR"/>
        </w:rPr>
        <w:t xml:space="preserve">engl. </w:t>
      </w:r>
      <w:r w:rsidR="006931E7" w:rsidRPr="006931E7">
        <w:rPr>
          <w:szCs w:val="22"/>
          <w:lang w:val="hr-HR"/>
        </w:rPr>
        <w:t>anti-drug antibodies</w:t>
      </w:r>
      <w:r w:rsidR="006931E7">
        <w:rPr>
          <w:szCs w:val="22"/>
          <w:lang w:val="hr-HR"/>
        </w:rPr>
        <w:t xml:space="preserve">, </w:t>
      </w:r>
      <w:r w:rsidRPr="007C0730">
        <w:rPr>
          <w:szCs w:val="22"/>
          <w:lang w:val="hr-HR"/>
        </w:rPr>
        <w:t>ADA). Nijesu primijećene kliničke ili bezbjednosne reakcije kod formiranja antitijela.</w:t>
      </w:r>
    </w:p>
    <w:p w14:paraId="4CABA51E" w14:textId="6FEA4B29" w:rsidR="00DD448A" w:rsidRPr="00D07CAB" w:rsidRDefault="00DD448A" w:rsidP="008D5FAA">
      <w:pPr>
        <w:shd w:val="clear" w:color="auto" w:fill="FFFFFF"/>
        <w:jc w:val="both"/>
        <w:rPr>
          <w:szCs w:val="22"/>
          <w:lang w:val="hr-HR"/>
        </w:rPr>
      </w:pPr>
    </w:p>
    <w:p w14:paraId="241FBDE4" w14:textId="4FCA299F" w:rsidR="00DD448A" w:rsidRPr="00C1176F" w:rsidRDefault="00DD448A" w:rsidP="008D5FAA">
      <w:pPr>
        <w:shd w:val="clear" w:color="auto" w:fill="FFFFFF"/>
        <w:jc w:val="both"/>
        <w:rPr>
          <w:i/>
          <w:iCs/>
          <w:color w:val="000000"/>
          <w:szCs w:val="22"/>
          <w:shd w:val="clear" w:color="auto" w:fill="FFFFFF"/>
          <w:lang w:val="hr-HR"/>
        </w:rPr>
      </w:pPr>
      <w:r w:rsidRPr="00255289">
        <w:rPr>
          <w:i/>
          <w:color w:val="000000" w:themeColor="text1"/>
          <w:szCs w:val="22"/>
          <w:lang w:val="hr-HR"/>
        </w:rPr>
        <w:t xml:space="preserve">Druga neželjena dejstva na somatropin mogu se smatrati </w:t>
      </w:r>
      <w:r w:rsidR="00067A2A" w:rsidRPr="00910018">
        <w:rPr>
          <w:i/>
          <w:color w:val="000000" w:themeColor="text1"/>
          <w:szCs w:val="22"/>
          <w:lang w:val="hr-HR"/>
        </w:rPr>
        <w:t>dejstvima klase</w:t>
      </w:r>
      <w:r w:rsidRPr="00910018">
        <w:rPr>
          <w:i/>
          <w:color w:val="000000" w:themeColor="text1"/>
          <w:szCs w:val="22"/>
          <w:lang w:val="hr-HR"/>
        </w:rPr>
        <w:t>, kao što su</w:t>
      </w:r>
      <w:r w:rsidRPr="00910018">
        <w:rPr>
          <w:i/>
          <w:color w:val="000000"/>
          <w:szCs w:val="22"/>
          <w:shd w:val="clear" w:color="auto" w:fill="FFFFFF"/>
          <w:lang w:val="hr-HR"/>
        </w:rPr>
        <w:t>:</w:t>
      </w:r>
    </w:p>
    <w:p w14:paraId="70C488A6" w14:textId="686E553C" w:rsidR="00DD448A" w:rsidRPr="00C1176F" w:rsidRDefault="00DD448A" w:rsidP="008D5FAA">
      <w:pPr>
        <w:pStyle w:val="CommentText"/>
        <w:jc w:val="both"/>
        <w:rPr>
          <w:sz w:val="22"/>
          <w:szCs w:val="22"/>
          <w:lang w:val="hr-HR"/>
        </w:rPr>
      </w:pPr>
      <w:r w:rsidRPr="007C0730">
        <w:rPr>
          <w:sz w:val="22"/>
          <w:szCs w:val="22"/>
          <w:lang w:val="hr-HR"/>
        </w:rPr>
        <w:t>•</w:t>
      </w:r>
      <w:r w:rsidRPr="007C0730">
        <w:rPr>
          <w:sz w:val="22"/>
          <w:szCs w:val="22"/>
          <w:lang w:val="hr-HR"/>
        </w:rPr>
        <w:tab/>
        <w:t xml:space="preserve">Neoplazme benigne i maligne: (vidjeti </w:t>
      </w:r>
      <w:r w:rsidR="00CE7A3D" w:rsidRPr="007C0730">
        <w:rPr>
          <w:sz w:val="22"/>
          <w:szCs w:val="22"/>
          <w:lang w:val="hr-HR"/>
        </w:rPr>
        <w:t xml:space="preserve">dio </w:t>
      </w:r>
      <w:r w:rsidRPr="007C0730">
        <w:rPr>
          <w:sz w:val="22"/>
          <w:szCs w:val="22"/>
          <w:lang w:val="hr-HR"/>
        </w:rPr>
        <w:t>4.4).</w:t>
      </w:r>
    </w:p>
    <w:p w14:paraId="3EBB4AAE" w14:textId="0ECD51FA" w:rsidR="00DD448A" w:rsidRPr="00C1176F" w:rsidRDefault="00DD448A" w:rsidP="008D5FAA">
      <w:pPr>
        <w:pStyle w:val="CommentText"/>
        <w:jc w:val="both"/>
        <w:rPr>
          <w:sz w:val="22"/>
          <w:szCs w:val="22"/>
          <w:lang w:val="hr-HR"/>
        </w:rPr>
      </w:pPr>
      <w:r w:rsidRPr="007C0730">
        <w:rPr>
          <w:sz w:val="22"/>
          <w:szCs w:val="22"/>
          <w:lang w:val="hr-HR"/>
        </w:rPr>
        <w:t>•</w:t>
      </w:r>
      <w:r w:rsidRPr="007C0730">
        <w:rPr>
          <w:sz w:val="22"/>
          <w:szCs w:val="22"/>
          <w:lang w:val="hr-HR"/>
        </w:rPr>
        <w:tab/>
        <w:t xml:space="preserve">Poremećaji metabolizma i ishrane: dijabetes melitus tipa 2 (vidjeti </w:t>
      </w:r>
      <w:r w:rsidR="00CE7A3D" w:rsidRPr="007C0730">
        <w:rPr>
          <w:sz w:val="22"/>
          <w:szCs w:val="22"/>
          <w:lang w:val="hr-HR"/>
        </w:rPr>
        <w:t xml:space="preserve">dio </w:t>
      </w:r>
      <w:r w:rsidRPr="007C0730">
        <w:rPr>
          <w:sz w:val="22"/>
          <w:szCs w:val="22"/>
          <w:lang w:val="hr-HR"/>
        </w:rPr>
        <w:t>4.4).</w:t>
      </w:r>
    </w:p>
    <w:p w14:paraId="322CD126" w14:textId="1105167E" w:rsidR="00DD448A" w:rsidRPr="00C1176F" w:rsidRDefault="00DD448A" w:rsidP="008D5FAA">
      <w:pPr>
        <w:pStyle w:val="CommentText"/>
        <w:jc w:val="both"/>
        <w:rPr>
          <w:sz w:val="22"/>
          <w:szCs w:val="22"/>
          <w:lang w:val="hr-HR"/>
        </w:rPr>
      </w:pPr>
      <w:r w:rsidRPr="007C0730">
        <w:rPr>
          <w:sz w:val="22"/>
          <w:szCs w:val="22"/>
          <w:lang w:val="hr-HR"/>
        </w:rPr>
        <w:t>•</w:t>
      </w:r>
      <w:r w:rsidRPr="007C0730">
        <w:rPr>
          <w:sz w:val="22"/>
          <w:szCs w:val="22"/>
          <w:lang w:val="hr-HR"/>
        </w:rPr>
        <w:tab/>
        <w:t xml:space="preserve">Poremećaji nervnog sistema: benigna intrakranijalna hipertenzija (vidjeti </w:t>
      </w:r>
      <w:r w:rsidR="00CE7A3D" w:rsidRPr="007C0730">
        <w:rPr>
          <w:sz w:val="22"/>
          <w:szCs w:val="22"/>
          <w:lang w:val="hr-HR"/>
        </w:rPr>
        <w:t xml:space="preserve">dio </w:t>
      </w:r>
      <w:r w:rsidRPr="007C0730">
        <w:rPr>
          <w:sz w:val="22"/>
          <w:szCs w:val="22"/>
          <w:lang w:val="hr-HR"/>
        </w:rPr>
        <w:t xml:space="preserve">4.4), </w:t>
      </w:r>
      <w:r w:rsidR="00067A2A" w:rsidRPr="008D5FAA">
        <w:rPr>
          <w:sz w:val="22"/>
          <w:szCs w:val="22"/>
          <w:lang w:val="hr-HR"/>
        </w:rPr>
        <w:tab/>
      </w:r>
      <w:r w:rsidRPr="008D5FAA">
        <w:rPr>
          <w:sz w:val="22"/>
          <w:szCs w:val="22"/>
          <w:lang w:val="hr-HR"/>
        </w:rPr>
        <w:t>parestezija.</w:t>
      </w:r>
    </w:p>
    <w:p w14:paraId="7C6073C5" w14:textId="77777777" w:rsidR="00DD448A" w:rsidRPr="00C1176F" w:rsidRDefault="00DD448A" w:rsidP="008D5FAA">
      <w:pPr>
        <w:pStyle w:val="CommentText"/>
        <w:jc w:val="both"/>
        <w:rPr>
          <w:sz w:val="22"/>
          <w:szCs w:val="22"/>
          <w:lang w:val="hr-HR"/>
        </w:rPr>
      </w:pPr>
      <w:r w:rsidRPr="007C0730">
        <w:rPr>
          <w:sz w:val="22"/>
          <w:szCs w:val="22"/>
          <w:lang w:val="hr-HR"/>
        </w:rPr>
        <w:t>•</w:t>
      </w:r>
      <w:r w:rsidRPr="007C0730">
        <w:rPr>
          <w:sz w:val="22"/>
          <w:szCs w:val="22"/>
          <w:lang w:val="hr-HR"/>
        </w:rPr>
        <w:tab/>
        <w:t>Poremećaji mišićno-skeletnog sistema, vezivnog tkiva i kostiju: mijalgija.</w:t>
      </w:r>
    </w:p>
    <w:p w14:paraId="1B464C06" w14:textId="58233D7A" w:rsidR="00DD448A" w:rsidRPr="00C1176F" w:rsidRDefault="00DD448A" w:rsidP="008D5FAA">
      <w:pPr>
        <w:pStyle w:val="CommentText"/>
        <w:jc w:val="both"/>
        <w:rPr>
          <w:sz w:val="22"/>
          <w:szCs w:val="22"/>
          <w:lang w:val="hr-HR"/>
        </w:rPr>
      </w:pPr>
      <w:r w:rsidRPr="007C0730">
        <w:rPr>
          <w:sz w:val="22"/>
          <w:szCs w:val="22"/>
          <w:lang w:val="hr-HR"/>
        </w:rPr>
        <w:t>•</w:t>
      </w:r>
      <w:r w:rsidRPr="007C0730">
        <w:rPr>
          <w:sz w:val="22"/>
          <w:szCs w:val="22"/>
          <w:lang w:val="hr-HR"/>
        </w:rPr>
        <w:tab/>
        <w:t>Poremećaji reproduktivnog sistema i dojke: ginekomastija.</w:t>
      </w:r>
    </w:p>
    <w:p w14:paraId="72DF349B" w14:textId="77777777" w:rsidR="00DD448A" w:rsidRPr="00C1176F" w:rsidRDefault="00DD448A" w:rsidP="008D5FAA">
      <w:pPr>
        <w:pStyle w:val="CommentText"/>
        <w:jc w:val="both"/>
        <w:rPr>
          <w:sz w:val="22"/>
          <w:szCs w:val="22"/>
          <w:lang w:val="hr-HR"/>
        </w:rPr>
      </w:pPr>
      <w:r w:rsidRPr="007C0730">
        <w:rPr>
          <w:sz w:val="22"/>
          <w:szCs w:val="22"/>
          <w:lang w:val="hr-HR"/>
        </w:rPr>
        <w:t>•</w:t>
      </w:r>
      <w:r w:rsidRPr="007C0730">
        <w:rPr>
          <w:sz w:val="22"/>
          <w:szCs w:val="22"/>
          <w:lang w:val="hr-HR"/>
        </w:rPr>
        <w:tab/>
        <w:t>Poremećaji kože i potkožnog tkiva: kožni osip, urtikarija i pruritus.</w:t>
      </w:r>
    </w:p>
    <w:p w14:paraId="77F20183" w14:textId="0CE1C1D4" w:rsidR="00DD448A" w:rsidRPr="00C1176F" w:rsidRDefault="00DD448A" w:rsidP="008D5FAA">
      <w:pPr>
        <w:shd w:val="clear" w:color="auto" w:fill="FFFFFF"/>
        <w:jc w:val="both"/>
        <w:rPr>
          <w:szCs w:val="22"/>
          <w:lang w:val="hr-HR"/>
        </w:rPr>
      </w:pPr>
      <w:r w:rsidRPr="007C0730">
        <w:rPr>
          <w:szCs w:val="22"/>
          <w:lang w:val="hr-HR"/>
        </w:rPr>
        <w:t>•</w:t>
      </w:r>
      <w:r w:rsidRPr="007C0730">
        <w:rPr>
          <w:szCs w:val="22"/>
          <w:lang w:val="hr-HR"/>
        </w:rPr>
        <w:tab/>
        <w:t>Opšti poremećaji i stanja na mjestu primjene: periferni edem, edem lica.</w:t>
      </w:r>
    </w:p>
    <w:p w14:paraId="17D7E14E" w14:textId="2EC44618" w:rsidR="00DD448A" w:rsidRPr="00C1176F" w:rsidRDefault="00DD448A" w:rsidP="008D5FAA">
      <w:pPr>
        <w:shd w:val="clear" w:color="auto" w:fill="FFFFFF"/>
        <w:jc w:val="both"/>
        <w:rPr>
          <w:szCs w:val="22"/>
          <w:lang w:val="hr-HR"/>
        </w:rPr>
      </w:pPr>
      <w:r w:rsidRPr="007C0730">
        <w:rPr>
          <w:szCs w:val="22"/>
          <w:lang w:val="hr-HR"/>
        </w:rPr>
        <w:t>•</w:t>
      </w:r>
      <w:r w:rsidRPr="007C0730">
        <w:rPr>
          <w:szCs w:val="22"/>
          <w:lang w:val="hr-HR"/>
        </w:rPr>
        <w:tab/>
        <w:t xml:space="preserve">Gastrointestinalni poremećaji: pankreatitis (vidjeti </w:t>
      </w:r>
      <w:r w:rsidR="00CE7A3D" w:rsidRPr="007C0730">
        <w:rPr>
          <w:szCs w:val="22"/>
          <w:lang w:val="hr-HR"/>
        </w:rPr>
        <w:t xml:space="preserve">dio </w:t>
      </w:r>
      <w:r w:rsidRPr="007C0730">
        <w:rPr>
          <w:szCs w:val="22"/>
          <w:lang w:val="hr-HR"/>
        </w:rPr>
        <w:t>4.4).</w:t>
      </w:r>
    </w:p>
    <w:p w14:paraId="1A30EB50" w14:textId="77777777" w:rsidR="00DD448A" w:rsidRPr="00C1176F" w:rsidRDefault="00DD448A" w:rsidP="008D5FAA">
      <w:pPr>
        <w:shd w:val="clear" w:color="auto" w:fill="FFFFFF"/>
        <w:jc w:val="both"/>
        <w:rPr>
          <w:szCs w:val="22"/>
          <w:lang w:val="hr-HR"/>
        </w:rPr>
      </w:pPr>
    </w:p>
    <w:p w14:paraId="17198ED5" w14:textId="77777777" w:rsidR="00DD448A" w:rsidRPr="00C1176F" w:rsidRDefault="00DD448A" w:rsidP="008D5FAA">
      <w:pPr>
        <w:keepNext/>
        <w:shd w:val="clear" w:color="auto" w:fill="FFFFFF"/>
        <w:ind w:left="567" w:hanging="567"/>
        <w:jc w:val="both"/>
        <w:rPr>
          <w:i/>
          <w:iCs/>
          <w:szCs w:val="22"/>
          <w:lang w:val="hr-HR"/>
        </w:rPr>
      </w:pPr>
      <w:r w:rsidRPr="007C0730">
        <w:rPr>
          <w:i/>
          <w:szCs w:val="22"/>
          <w:lang w:val="hr-HR"/>
        </w:rPr>
        <w:t>Metakrezol</w:t>
      </w:r>
    </w:p>
    <w:p w14:paraId="4A8937DA" w14:textId="39CDEB43" w:rsidR="00DD448A" w:rsidRPr="00C1176F" w:rsidRDefault="00DD448A" w:rsidP="008D5FAA">
      <w:pPr>
        <w:shd w:val="clear" w:color="auto" w:fill="FFFFFF"/>
        <w:tabs>
          <w:tab w:val="clear" w:pos="567"/>
          <w:tab w:val="left" w:pos="90"/>
        </w:tabs>
        <w:jc w:val="both"/>
        <w:rPr>
          <w:szCs w:val="22"/>
          <w:lang w:val="hr-HR"/>
        </w:rPr>
      </w:pPr>
      <w:r w:rsidRPr="007C0730">
        <w:rPr>
          <w:szCs w:val="22"/>
          <w:lang w:val="hr-HR"/>
        </w:rPr>
        <w:t xml:space="preserve">Ovaj lijek sadrži metakrezol koji može doprinijeti bolnim ubrizgavanjima (vidjeti </w:t>
      </w:r>
      <w:r w:rsidR="00CE7A3D" w:rsidRPr="007C0730">
        <w:rPr>
          <w:szCs w:val="22"/>
          <w:lang w:val="hr-HR"/>
        </w:rPr>
        <w:t xml:space="preserve">dio </w:t>
      </w:r>
      <w:r w:rsidRPr="007C0730">
        <w:rPr>
          <w:szCs w:val="22"/>
          <w:lang w:val="hr-HR"/>
        </w:rPr>
        <w:t>4.4).</w:t>
      </w:r>
    </w:p>
    <w:p w14:paraId="2CD8F5D9" w14:textId="372AC344" w:rsidR="00C52ACD" w:rsidRPr="007C0730" w:rsidRDefault="00C52ACD" w:rsidP="008D5FAA">
      <w:pPr>
        <w:shd w:val="clear" w:color="auto" w:fill="FFFFFF"/>
        <w:jc w:val="both"/>
        <w:rPr>
          <w:strike/>
          <w:szCs w:val="22"/>
          <w:lang w:val="hr-HR"/>
        </w:rPr>
      </w:pPr>
    </w:p>
    <w:p w14:paraId="0768908E" w14:textId="77777777" w:rsidR="00200C5E" w:rsidRPr="00C1176F" w:rsidRDefault="00200C5E" w:rsidP="008D5FAA">
      <w:pPr>
        <w:keepNext/>
        <w:keepLines/>
        <w:spacing w:line="240" w:lineRule="auto"/>
        <w:jc w:val="both"/>
        <w:rPr>
          <w:szCs w:val="22"/>
          <w:u w:val="single"/>
          <w:lang w:val="hr-HR"/>
        </w:rPr>
      </w:pPr>
      <w:r w:rsidRPr="00D07CAB">
        <w:rPr>
          <w:szCs w:val="22"/>
          <w:u w:val="single"/>
          <w:lang w:val="hr-HR"/>
        </w:rPr>
        <w:t>Prijavljivanje sumnji na neželjena dejstva</w:t>
      </w:r>
    </w:p>
    <w:p w14:paraId="517E4165" w14:textId="77777777" w:rsidR="00200C5E" w:rsidRPr="007C0730" w:rsidRDefault="00200C5E" w:rsidP="008D5FAA">
      <w:pPr>
        <w:keepNext/>
        <w:keepLines/>
        <w:spacing w:line="240" w:lineRule="auto"/>
        <w:jc w:val="both"/>
        <w:rPr>
          <w:szCs w:val="22"/>
          <w:u w:val="single"/>
          <w:lang w:val="hr-HR"/>
        </w:rPr>
      </w:pPr>
    </w:p>
    <w:p w14:paraId="739FA72A" w14:textId="4B20EF0F" w:rsidR="00200C5E" w:rsidRPr="00C1176F" w:rsidRDefault="00200C5E">
      <w:pPr>
        <w:keepNext/>
        <w:keepLines/>
        <w:spacing w:line="240" w:lineRule="auto"/>
        <w:jc w:val="both"/>
        <w:rPr>
          <w:szCs w:val="22"/>
          <w:lang w:val="hr-HR"/>
        </w:rPr>
      </w:pPr>
      <w:r w:rsidRPr="00D07CAB">
        <w:rPr>
          <w:szCs w:val="22"/>
          <w:lang w:val="hr-HR"/>
        </w:rPr>
        <w:t xml:space="preserve">Prijavljivanje neželjenih dejstava nakon </w:t>
      </w:r>
      <w:r w:rsidR="002A5363" w:rsidRPr="00D07CAB">
        <w:rPr>
          <w:szCs w:val="22"/>
          <w:lang w:val="hr-HR"/>
        </w:rPr>
        <w:t xml:space="preserve">dobijanje dozvole </w:t>
      </w:r>
      <w:r w:rsidRPr="00D07CAB">
        <w:rPr>
          <w:szCs w:val="22"/>
          <w:lang w:val="hr-HR"/>
        </w:rPr>
        <w:t xml:space="preserve">je </w:t>
      </w:r>
      <w:r w:rsidR="002A5363" w:rsidRPr="00D07CAB">
        <w:rPr>
          <w:szCs w:val="22"/>
          <w:lang w:val="hr-HR"/>
        </w:rPr>
        <w:t>od velikog značaja</w:t>
      </w:r>
      <w:r w:rsidRPr="00210890">
        <w:rPr>
          <w:szCs w:val="22"/>
          <w:lang w:val="hr-HR"/>
        </w:rPr>
        <w:t xml:space="preserve"> jer obezbjeđuje kontinuirano praćenje odnosa korist/rizik primjene lijeka. Zdravstveni radnici treba da prijave svaku sumnju na neželjeno dejstvo ovog lijeka Institutu za lje</w:t>
      </w:r>
      <w:r w:rsidRPr="00255289">
        <w:rPr>
          <w:szCs w:val="22"/>
          <w:lang w:val="hr-HR"/>
        </w:rPr>
        <w:t>kove i medicinska sredstva (CInMED):</w:t>
      </w:r>
    </w:p>
    <w:p w14:paraId="4D27CB46" w14:textId="77777777" w:rsidR="004702DF" w:rsidRPr="007C0730" w:rsidRDefault="004702DF">
      <w:pPr>
        <w:keepNext/>
        <w:keepLines/>
        <w:spacing w:line="240" w:lineRule="auto"/>
        <w:jc w:val="both"/>
        <w:rPr>
          <w:szCs w:val="22"/>
          <w:lang w:val="hr-HR"/>
        </w:rPr>
      </w:pPr>
    </w:p>
    <w:p w14:paraId="4EDCF08A" w14:textId="77777777" w:rsidR="00200C5E" w:rsidRPr="00C1176F" w:rsidRDefault="00200C5E">
      <w:pPr>
        <w:tabs>
          <w:tab w:val="center" w:pos="4536"/>
          <w:tab w:val="right" w:pos="9072"/>
        </w:tabs>
        <w:spacing w:line="240" w:lineRule="auto"/>
        <w:jc w:val="both"/>
        <w:rPr>
          <w:bCs/>
          <w:szCs w:val="22"/>
          <w:lang w:val="hr-HR"/>
        </w:rPr>
      </w:pPr>
      <w:r w:rsidRPr="00D07CAB">
        <w:rPr>
          <w:szCs w:val="22"/>
          <w:lang w:val="hr-HR"/>
        </w:rPr>
        <w:t xml:space="preserve">Institut za ljekove i medicinska sredstva </w:t>
      </w:r>
    </w:p>
    <w:p w14:paraId="0D04C8C2" w14:textId="77777777" w:rsidR="00200C5E" w:rsidRPr="00C1176F" w:rsidRDefault="00200C5E">
      <w:pPr>
        <w:tabs>
          <w:tab w:val="center" w:pos="4536"/>
          <w:tab w:val="right" w:pos="9072"/>
        </w:tabs>
        <w:spacing w:line="240" w:lineRule="auto"/>
        <w:jc w:val="both"/>
        <w:rPr>
          <w:bCs/>
          <w:szCs w:val="22"/>
          <w:lang w:val="hr-HR"/>
        </w:rPr>
      </w:pPr>
      <w:r w:rsidRPr="007C0730">
        <w:rPr>
          <w:szCs w:val="22"/>
          <w:lang w:val="hr-HR"/>
        </w:rPr>
        <w:t>Odjeljenje za farmakovigilancu</w:t>
      </w:r>
    </w:p>
    <w:p w14:paraId="0B96802A" w14:textId="77777777" w:rsidR="00200C5E" w:rsidRPr="00C1176F" w:rsidRDefault="00200C5E">
      <w:pPr>
        <w:tabs>
          <w:tab w:val="center" w:pos="4536"/>
          <w:tab w:val="right" w:pos="9072"/>
        </w:tabs>
        <w:spacing w:line="240" w:lineRule="auto"/>
        <w:jc w:val="both"/>
        <w:rPr>
          <w:bCs/>
          <w:szCs w:val="22"/>
          <w:lang w:val="hr-HR"/>
        </w:rPr>
      </w:pPr>
      <w:r w:rsidRPr="007C0730">
        <w:rPr>
          <w:szCs w:val="22"/>
          <w:lang w:val="hr-HR"/>
        </w:rPr>
        <w:t>Bulevar Ivana Crnojevića 64a, 81000 Podgorica</w:t>
      </w:r>
    </w:p>
    <w:p w14:paraId="09761154" w14:textId="77777777" w:rsidR="004702DF" w:rsidRPr="00C1176F" w:rsidRDefault="004702DF">
      <w:pPr>
        <w:tabs>
          <w:tab w:val="center" w:pos="4536"/>
          <w:tab w:val="right" w:pos="9072"/>
        </w:tabs>
        <w:spacing w:line="240" w:lineRule="auto"/>
        <w:jc w:val="both"/>
        <w:rPr>
          <w:bCs/>
          <w:szCs w:val="22"/>
          <w:lang w:val="hr-HR"/>
        </w:rPr>
      </w:pPr>
    </w:p>
    <w:p w14:paraId="27BF7BE3" w14:textId="77777777" w:rsidR="00200C5E" w:rsidRPr="00C1176F" w:rsidRDefault="00200C5E">
      <w:pPr>
        <w:tabs>
          <w:tab w:val="center" w:pos="4536"/>
          <w:tab w:val="right" w:pos="9072"/>
        </w:tabs>
        <w:spacing w:line="240" w:lineRule="auto"/>
        <w:jc w:val="both"/>
        <w:rPr>
          <w:bCs/>
          <w:szCs w:val="22"/>
          <w:lang w:val="hr-HR"/>
        </w:rPr>
      </w:pPr>
      <w:r w:rsidRPr="007C0730">
        <w:rPr>
          <w:szCs w:val="22"/>
          <w:lang w:val="hr-HR"/>
        </w:rPr>
        <w:lastRenderedPageBreak/>
        <w:t>tel: +382 (0) 20 310 280</w:t>
      </w:r>
    </w:p>
    <w:p w14:paraId="780088E1" w14:textId="77777777" w:rsidR="00200C5E" w:rsidRPr="00C1176F" w:rsidRDefault="00200C5E">
      <w:pPr>
        <w:tabs>
          <w:tab w:val="center" w:pos="4536"/>
          <w:tab w:val="right" w:pos="9072"/>
        </w:tabs>
        <w:spacing w:line="240" w:lineRule="auto"/>
        <w:jc w:val="both"/>
        <w:rPr>
          <w:bCs/>
          <w:szCs w:val="22"/>
          <w:lang w:val="hr-HR"/>
        </w:rPr>
      </w:pPr>
      <w:r w:rsidRPr="007C0730">
        <w:rPr>
          <w:szCs w:val="22"/>
          <w:lang w:val="hr-HR"/>
        </w:rPr>
        <w:t>fax: +382 (0) 20 310 581</w:t>
      </w:r>
    </w:p>
    <w:p w14:paraId="479022A3" w14:textId="1C69BF06" w:rsidR="00200C5E" w:rsidRPr="00C1176F" w:rsidRDefault="00D33CDE">
      <w:pPr>
        <w:pStyle w:val="NoSpacing"/>
        <w:jc w:val="both"/>
        <w:rPr>
          <w:rFonts w:eastAsia="Calibri"/>
          <w:sz w:val="22"/>
          <w:szCs w:val="22"/>
          <w:lang w:val="hr-HR"/>
        </w:rPr>
      </w:pPr>
      <w:hyperlink r:id="rId9" w:history="1">
        <w:r w:rsidR="0005593E" w:rsidRPr="008D5FAA">
          <w:rPr>
            <w:rStyle w:val="Hyperlink"/>
            <w:sz w:val="22"/>
            <w:szCs w:val="22"/>
            <w:lang w:val="hr-HR"/>
          </w:rPr>
          <w:t>www.cinmed.me</w:t>
        </w:r>
      </w:hyperlink>
    </w:p>
    <w:p w14:paraId="7F8DADA3" w14:textId="1FD2189B" w:rsidR="00200C5E" w:rsidRPr="00C1176F" w:rsidRDefault="00D33CDE">
      <w:pPr>
        <w:pStyle w:val="NoSpacing"/>
        <w:jc w:val="both"/>
        <w:rPr>
          <w:rFonts w:eastAsia="Calibri"/>
          <w:color w:val="0000FF"/>
          <w:sz w:val="22"/>
          <w:szCs w:val="22"/>
          <w:u w:val="single"/>
          <w:lang w:val="hr-HR"/>
        </w:rPr>
      </w:pPr>
      <w:hyperlink r:id="rId10" w:history="1">
        <w:r w:rsidR="0005593E" w:rsidRPr="008D5FAA">
          <w:rPr>
            <w:rStyle w:val="Hyperlink"/>
            <w:sz w:val="22"/>
            <w:szCs w:val="22"/>
            <w:lang w:val="hr-HR"/>
          </w:rPr>
          <w:t>nezeljenadejstva@cinmed.me</w:t>
        </w:r>
      </w:hyperlink>
    </w:p>
    <w:p w14:paraId="794B5207" w14:textId="2B5BA155" w:rsidR="00200C5E" w:rsidRPr="00C1176F" w:rsidRDefault="00200C5E">
      <w:pPr>
        <w:spacing w:line="240" w:lineRule="auto"/>
        <w:jc w:val="both"/>
        <w:rPr>
          <w:szCs w:val="22"/>
          <w:lang w:val="hr-HR"/>
        </w:rPr>
      </w:pPr>
      <w:r w:rsidRPr="007C0730">
        <w:rPr>
          <w:szCs w:val="22"/>
          <w:lang w:val="hr-HR"/>
        </w:rPr>
        <w:t>putem IS zdravstvene zaštite</w:t>
      </w:r>
    </w:p>
    <w:p w14:paraId="7D9527A1" w14:textId="493CFFB6" w:rsidR="004702DF" w:rsidRPr="00C1176F" w:rsidRDefault="00200C5E" w:rsidP="008D5FAA">
      <w:pPr>
        <w:spacing w:line="240" w:lineRule="auto"/>
        <w:jc w:val="both"/>
        <w:rPr>
          <w:szCs w:val="22"/>
          <w:lang w:val="hr-HR"/>
        </w:rPr>
      </w:pPr>
      <w:r w:rsidRPr="007C0730">
        <w:rPr>
          <w:noProof/>
          <w:szCs w:val="22"/>
          <w:lang w:val="en-US"/>
        </w:rPr>
        <w:drawing>
          <wp:anchor distT="0" distB="0" distL="114300" distR="114300" simplePos="0" relativeHeight="251659264" behindDoc="0" locked="0" layoutInCell="1" allowOverlap="1" wp14:anchorId="2AEC248F" wp14:editId="5D3A48F6">
            <wp:simplePos x="0" y="0"/>
            <wp:positionH relativeFrom="column">
              <wp:posOffset>13970</wp:posOffset>
            </wp:positionH>
            <wp:positionV relativeFrom="paragraph">
              <wp:posOffset>306070</wp:posOffset>
            </wp:positionV>
            <wp:extent cx="969264" cy="969264"/>
            <wp:effectExtent l="0" t="0" r="2540" b="2540"/>
            <wp:wrapTopAndBottom/>
            <wp:docPr id="1" name="Picture 1"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9264" cy="9692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0730">
        <w:rPr>
          <w:szCs w:val="22"/>
          <w:lang w:val="hr-HR"/>
        </w:rPr>
        <w:t xml:space="preserve">QR kod </w:t>
      </w:r>
      <w:r w:rsidR="002A5363" w:rsidRPr="00C1176F">
        <w:rPr>
          <w:rFonts w:eastAsia="Calibri"/>
          <w:szCs w:val="22"/>
          <w:lang w:val="sr-Latn-RS"/>
        </w:rPr>
        <w:t>za online prijavu sumnje na neželjeno dejstvo lijeka</w:t>
      </w:r>
      <w:r w:rsidRPr="007C0730">
        <w:rPr>
          <w:szCs w:val="22"/>
          <w:lang w:val="hr-HR"/>
        </w:rPr>
        <w:t>:</w:t>
      </w:r>
    </w:p>
    <w:p w14:paraId="255C9F65" w14:textId="623183FF" w:rsidR="003E76CD" w:rsidRPr="00C1176F" w:rsidRDefault="003E76CD" w:rsidP="008D5FAA">
      <w:pPr>
        <w:spacing w:line="240" w:lineRule="auto"/>
        <w:jc w:val="both"/>
        <w:rPr>
          <w:szCs w:val="22"/>
          <w:lang w:val="hr-HR"/>
        </w:rPr>
      </w:pPr>
    </w:p>
    <w:p w14:paraId="6D5BA5D4" w14:textId="77777777" w:rsidR="003E76CD" w:rsidRPr="00C1176F" w:rsidRDefault="003E76CD" w:rsidP="008D5FAA">
      <w:pPr>
        <w:spacing w:line="240" w:lineRule="auto"/>
        <w:ind w:left="567" w:hanging="567"/>
        <w:jc w:val="both"/>
        <w:outlineLvl w:val="0"/>
        <w:rPr>
          <w:szCs w:val="22"/>
          <w:lang w:val="hr-HR"/>
        </w:rPr>
      </w:pPr>
      <w:r w:rsidRPr="007C0730">
        <w:rPr>
          <w:b/>
          <w:szCs w:val="22"/>
          <w:lang w:val="hr-HR"/>
        </w:rPr>
        <w:t>4.9</w:t>
      </w:r>
      <w:r w:rsidRPr="007C0730">
        <w:rPr>
          <w:b/>
          <w:szCs w:val="22"/>
          <w:lang w:val="hr-HR"/>
        </w:rPr>
        <w:tab/>
        <w:t>Predoziranje</w:t>
      </w:r>
    </w:p>
    <w:p w14:paraId="6FF5A26F" w14:textId="77777777" w:rsidR="003E76CD" w:rsidRPr="00C1176F" w:rsidRDefault="003E76CD" w:rsidP="008D5FAA">
      <w:pPr>
        <w:spacing w:line="240" w:lineRule="auto"/>
        <w:jc w:val="both"/>
        <w:rPr>
          <w:szCs w:val="22"/>
          <w:lang w:val="hr-HR"/>
        </w:rPr>
      </w:pPr>
    </w:p>
    <w:p w14:paraId="3D65763C" w14:textId="2012B386" w:rsidR="003E76CD" w:rsidRPr="00C1176F" w:rsidRDefault="003E76CD" w:rsidP="008D5FAA">
      <w:pPr>
        <w:jc w:val="both"/>
        <w:rPr>
          <w:szCs w:val="22"/>
          <w:lang w:val="hr-HR"/>
        </w:rPr>
      </w:pPr>
      <w:r w:rsidRPr="007C0730">
        <w:rPr>
          <w:szCs w:val="22"/>
          <w:lang w:val="hr-HR"/>
        </w:rPr>
        <w:t>Pojedinačne doze somatrogona veće od 0,66 mg/kg nedjeljno nijesu proučavane.</w:t>
      </w:r>
    </w:p>
    <w:p w14:paraId="7875A3A6" w14:textId="77777777" w:rsidR="003E76CD" w:rsidRPr="00C1176F" w:rsidRDefault="003E76CD" w:rsidP="008D5FAA">
      <w:pPr>
        <w:jc w:val="both"/>
        <w:rPr>
          <w:szCs w:val="22"/>
          <w:lang w:val="hr-HR"/>
        </w:rPr>
      </w:pPr>
    </w:p>
    <w:p w14:paraId="54141EED" w14:textId="413D6EEC" w:rsidR="003E76CD" w:rsidRPr="00C1176F" w:rsidRDefault="003E76CD" w:rsidP="008D5FAA">
      <w:pPr>
        <w:jc w:val="both"/>
        <w:rPr>
          <w:szCs w:val="22"/>
          <w:lang w:val="hr-HR"/>
        </w:rPr>
      </w:pPr>
      <w:r w:rsidRPr="007C0730">
        <w:rPr>
          <w:szCs w:val="22"/>
          <w:lang w:val="hr-HR"/>
        </w:rPr>
        <w:t xml:space="preserve">Na osnovu iskustva sa dnevnim ljekovima za hormon rasta, kratkotrajno predoziranje može u početku dovesti do hipoglikemije, a zatim i do hiperglikemije. Dugotrajno predoziranje može dovesti do znakova i simptoma gigantizma i/ili akromegalije u skladu sa reakcijama viška hormona rasta. </w:t>
      </w:r>
    </w:p>
    <w:p w14:paraId="22F33B3F" w14:textId="77777777" w:rsidR="003E76CD" w:rsidRPr="00C1176F" w:rsidRDefault="003E76CD" w:rsidP="008D5FAA">
      <w:pPr>
        <w:jc w:val="both"/>
        <w:rPr>
          <w:szCs w:val="22"/>
          <w:lang w:val="hr-HR"/>
        </w:rPr>
      </w:pPr>
    </w:p>
    <w:p w14:paraId="6834AEDC" w14:textId="46E562E7" w:rsidR="003E76CD" w:rsidRPr="00C1176F" w:rsidRDefault="003E76CD" w:rsidP="008D5FAA">
      <w:pPr>
        <w:jc w:val="both"/>
        <w:rPr>
          <w:szCs w:val="22"/>
          <w:lang w:val="hr-HR"/>
        </w:rPr>
      </w:pPr>
      <w:r w:rsidRPr="007C0730">
        <w:rPr>
          <w:szCs w:val="22"/>
          <w:lang w:val="hr-HR"/>
        </w:rPr>
        <w:t xml:space="preserve">Liječenje predoziranja somatrogonom treba da uključi opšte </w:t>
      </w:r>
      <w:r w:rsidR="006931E7">
        <w:rPr>
          <w:szCs w:val="22"/>
          <w:lang w:val="hr-HR"/>
        </w:rPr>
        <w:t xml:space="preserve">suportivne </w:t>
      </w:r>
      <w:r w:rsidRPr="007C0730">
        <w:rPr>
          <w:szCs w:val="22"/>
          <w:lang w:val="hr-HR"/>
        </w:rPr>
        <w:t xml:space="preserve">mjere. </w:t>
      </w:r>
    </w:p>
    <w:p w14:paraId="482518FF" w14:textId="77777777" w:rsidR="003E76CD" w:rsidRPr="00C1176F" w:rsidRDefault="003E76CD" w:rsidP="008D5FAA">
      <w:pPr>
        <w:spacing w:line="240" w:lineRule="auto"/>
        <w:jc w:val="both"/>
        <w:rPr>
          <w:szCs w:val="22"/>
          <w:lang w:val="hr-HR"/>
        </w:rPr>
      </w:pPr>
    </w:p>
    <w:p w14:paraId="523CB7C4" w14:textId="77777777" w:rsidR="003E76CD" w:rsidRPr="00C1176F" w:rsidRDefault="003E76CD" w:rsidP="008D5FAA">
      <w:pPr>
        <w:spacing w:line="240" w:lineRule="auto"/>
        <w:jc w:val="both"/>
        <w:rPr>
          <w:szCs w:val="22"/>
          <w:lang w:val="hr-HR"/>
        </w:rPr>
      </w:pPr>
    </w:p>
    <w:p w14:paraId="7E62BED4" w14:textId="77777777" w:rsidR="003E76CD" w:rsidRPr="00C1176F" w:rsidRDefault="003E76CD" w:rsidP="008D5FAA">
      <w:pPr>
        <w:keepNext/>
        <w:suppressAutoHyphens/>
        <w:spacing w:line="240" w:lineRule="auto"/>
        <w:ind w:left="567" w:hanging="567"/>
        <w:jc w:val="both"/>
        <w:rPr>
          <w:szCs w:val="22"/>
          <w:lang w:val="hr-HR"/>
        </w:rPr>
      </w:pPr>
      <w:r w:rsidRPr="007C0730">
        <w:rPr>
          <w:b/>
          <w:szCs w:val="22"/>
          <w:lang w:val="hr-HR"/>
        </w:rPr>
        <w:t>5.</w:t>
      </w:r>
      <w:r w:rsidRPr="007C0730">
        <w:rPr>
          <w:b/>
          <w:szCs w:val="22"/>
          <w:lang w:val="hr-HR"/>
        </w:rPr>
        <w:tab/>
        <w:t>FARMAKOLOŠKI PODACI</w:t>
      </w:r>
    </w:p>
    <w:p w14:paraId="2D3FC90C" w14:textId="77777777" w:rsidR="003E76CD" w:rsidRPr="00C1176F" w:rsidRDefault="003E76CD" w:rsidP="008D5FAA">
      <w:pPr>
        <w:keepNext/>
        <w:spacing w:line="240" w:lineRule="auto"/>
        <w:jc w:val="both"/>
        <w:rPr>
          <w:szCs w:val="22"/>
          <w:lang w:val="hr-HR"/>
        </w:rPr>
      </w:pPr>
    </w:p>
    <w:p w14:paraId="031098EC" w14:textId="77777777" w:rsidR="003E76CD" w:rsidRPr="00C1176F" w:rsidRDefault="003E76CD" w:rsidP="008D5FAA">
      <w:pPr>
        <w:spacing w:line="240" w:lineRule="auto"/>
        <w:ind w:left="567" w:hanging="567"/>
        <w:jc w:val="both"/>
        <w:outlineLvl w:val="0"/>
        <w:rPr>
          <w:szCs w:val="22"/>
          <w:lang w:val="hr-HR"/>
        </w:rPr>
      </w:pPr>
      <w:r w:rsidRPr="007C0730">
        <w:rPr>
          <w:b/>
          <w:szCs w:val="22"/>
          <w:lang w:val="hr-HR"/>
        </w:rPr>
        <w:t>5.1</w:t>
      </w:r>
      <w:r w:rsidRPr="007C0730">
        <w:rPr>
          <w:b/>
          <w:szCs w:val="22"/>
          <w:lang w:val="hr-HR"/>
        </w:rPr>
        <w:tab/>
        <w:t>Farmakodinamski podaci</w:t>
      </w:r>
    </w:p>
    <w:p w14:paraId="2EC734C2" w14:textId="77777777" w:rsidR="003E76CD" w:rsidRPr="00C1176F" w:rsidRDefault="003E76CD" w:rsidP="008D5FAA">
      <w:pPr>
        <w:spacing w:line="240" w:lineRule="auto"/>
        <w:jc w:val="both"/>
        <w:rPr>
          <w:szCs w:val="22"/>
          <w:lang w:val="hr-HR"/>
        </w:rPr>
      </w:pPr>
    </w:p>
    <w:p w14:paraId="52D7744A" w14:textId="69101354" w:rsidR="004702DF" w:rsidRPr="00C1176F" w:rsidRDefault="003E76CD" w:rsidP="008D5FAA">
      <w:pPr>
        <w:spacing w:line="240" w:lineRule="auto"/>
        <w:jc w:val="both"/>
        <w:outlineLvl w:val="0"/>
        <w:rPr>
          <w:szCs w:val="22"/>
          <w:lang w:val="hr-HR"/>
        </w:rPr>
      </w:pPr>
      <w:r w:rsidRPr="007C0730">
        <w:rPr>
          <w:szCs w:val="22"/>
          <w:lang w:val="hr-HR"/>
        </w:rPr>
        <w:t xml:space="preserve">Farmakoterapijska grupa: Hormoni i analozi hipofize i hipotalamusa, </w:t>
      </w:r>
      <w:r w:rsidR="006931E7">
        <w:rPr>
          <w:szCs w:val="22"/>
          <w:lang w:val="hr-HR"/>
        </w:rPr>
        <w:t>somatropin i</w:t>
      </w:r>
      <w:r w:rsidR="006931E7" w:rsidRPr="00C1176F">
        <w:rPr>
          <w:szCs w:val="22"/>
          <w:lang w:val="hr-HR"/>
        </w:rPr>
        <w:t xml:space="preserve"> </w:t>
      </w:r>
      <w:r w:rsidRPr="007C0730">
        <w:rPr>
          <w:szCs w:val="22"/>
          <w:lang w:val="hr-HR"/>
        </w:rPr>
        <w:t>agonisti somatropina</w:t>
      </w:r>
      <w:r w:rsidR="006931E7">
        <w:rPr>
          <w:szCs w:val="22"/>
          <w:lang w:val="hr-HR"/>
        </w:rPr>
        <w:t>.</w:t>
      </w:r>
      <w:r w:rsidRPr="007C0730">
        <w:rPr>
          <w:szCs w:val="22"/>
          <w:lang w:val="hr-HR"/>
        </w:rPr>
        <w:t xml:space="preserve"> </w:t>
      </w:r>
    </w:p>
    <w:p w14:paraId="4D8F9D81" w14:textId="77777777" w:rsidR="004702DF" w:rsidRPr="00C1176F" w:rsidRDefault="004702DF" w:rsidP="008D5FAA">
      <w:pPr>
        <w:spacing w:line="240" w:lineRule="auto"/>
        <w:jc w:val="both"/>
        <w:outlineLvl w:val="0"/>
        <w:rPr>
          <w:szCs w:val="22"/>
          <w:lang w:val="hr-HR"/>
        </w:rPr>
      </w:pPr>
    </w:p>
    <w:p w14:paraId="2B3FB199" w14:textId="159B0C73" w:rsidR="003E76CD" w:rsidRPr="00C1176F" w:rsidRDefault="009009F7" w:rsidP="008D5FAA">
      <w:pPr>
        <w:spacing w:line="240" w:lineRule="auto"/>
        <w:jc w:val="both"/>
        <w:outlineLvl w:val="0"/>
        <w:rPr>
          <w:szCs w:val="22"/>
          <w:lang w:val="hr-HR"/>
        </w:rPr>
      </w:pPr>
      <w:r>
        <w:rPr>
          <w:szCs w:val="22"/>
          <w:lang w:val="hr-HR"/>
        </w:rPr>
        <w:t>ATC kod: H01AC08</w:t>
      </w:r>
    </w:p>
    <w:p w14:paraId="458D1120" w14:textId="77777777" w:rsidR="003E76CD" w:rsidRPr="00C1176F" w:rsidRDefault="003E76CD" w:rsidP="008D5FAA">
      <w:pPr>
        <w:spacing w:line="240" w:lineRule="auto"/>
        <w:jc w:val="both"/>
        <w:outlineLvl w:val="0"/>
        <w:rPr>
          <w:b/>
          <w:szCs w:val="22"/>
          <w:lang w:val="hr-HR"/>
        </w:rPr>
      </w:pPr>
    </w:p>
    <w:p w14:paraId="4FD6CA99" w14:textId="77777777" w:rsidR="003E76CD" w:rsidRPr="007C0730" w:rsidRDefault="003E76CD" w:rsidP="008D5FAA">
      <w:pPr>
        <w:spacing w:line="280" w:lineRule="atLeast"/>
        <w:jc w:val="both"/>
        <w:rPr>
          <w:szCs w:val="22"/>
          <w:lang w:val="hr-HR"/>
        </w:rPr>
      </w:pPr>
      <w:r w:rsidRPr="007C0730">
        <w:rPr>
          <w:szCs w:val="22"/>
          <w:u w:val="single"/>
          <w:lang w:val="hr-HR"/>
        </w:rPr>
        <w:t>Mehanizam djelovanja</w:t>
      </w:r>
    </w:p>
    <w:p w14:paraId="7E271E7A" w14:textId="77777777" w:rsidR="003E76CD" w:rsidRPr="00D07CAB" w:rsidRDefault="003E76CD" w:rsidP="008D5FAA">
      <w:pPr>
        <w:spacing w:line="280" w:lineRule="atLeast"/>
        <w:jc w:val="both"/>
        <w:rPr>
          <w:szCs w:val="22"/>
          <w:lang w:val="hr-HR"/>
        </w:rPr>
      </w:pPr>
    </w:p>
    <w:p w14:paraId="3DC938CA" w14:textId="28C26E6F" w:rsidR="003E76CD" w:rsidRPr="007C0730" w:rsidRDefault="003E76CD" w:rsidP="008D5FAA">
      <w:pPr>
        <w:spacing w:line="280" w:lineRule="atLeast"/>
        <w:jc w:val="both"/>
        <w:rPr>
          <w:color w:val="000000"/>
          <w:szCs w:val="22"/>
          <w:lang w:val="hr-HR"/>
        </w:rPr>
      </w:pPr>
      <w:r w:rsidRPr="00255289">
        <w:rPr>
          <w:szCs w:val="22"/>
          <w:lang w:val="hr-HR"/>
        </w:rPr>
        <w:t xml:space="preserve">Somatrogon je glikoprotein </w:t>
      </w:r>
      <w:r w:rsidRPr="00255289">
        <w:rPr>
          <w:color w:val="000000" w:themeColor="text1"/>
          <w:szCs w:val="22"/>
          <w:lang w:val="hr-HR"/>
        </w:rPr>
        <w:t>koji se sastoji od aminokiselinske sekvence</w:t>
      </w:r>
      <w:r w:rsidRPr="00910018">
        <w:rPr>
          <w:szCs w:val="22"/>
          <w:lang w:val="hr-HR"/>
        </w:rPr>
        <w:t xml:space="preserve"> hGH sa jednom kopijom C-terminalnog peptida (CTP) iz beta lanca humanog horionskog gonadotropin</w:t>
      </w:r>
      <w:r w:rsidRPr="00D173DA">
        <w:rPr>
          <w:szCs w:val="22"/>
          <w:lang w:val="hr-HR"/>
        </w:rPr>
        <w:t>a (hCG) na N-terminusu i dvije kopije CTP-a (zajednički) na karboksilnom kraju. Domen glikozilacije i CTP-a odgovorni su za polu</w:t>
      </w:r>
      <w:r w:rsidR="006931E7">
        <w:rPr>
          <w:szCs w:val="22"/>
          <w:lang w:val="hr-HR"/>
        </w:rPr>
        <w:t>vrijeme eliminacije</w:t>
      </w:r>
      <w:r w:rsidRPr="007C0730">
        <w:rPr>
          <w:szCs w:val="22"/>
          <w:lang w:val="hr-HR"/>
        </w:rPr>
        <w:t xml:space="preserve"> somatrogona, što omogućava </w:t>
      </w:r>
      <w:r w:rsidRPr="007C0730">
        <w:rPr>
          <w:color w:val="000000" w:themeColor="text1"/>
          <w:szCs w:val="22"/>
          <w:lang w:val="hr-HR"/>
        </w:rPr>
        <w:t>nedjeljno doziranje.</w:t>
      </w:r>
    </w:p>
    <w:p w14:paraId="6B946AA2" w14:textId="77777777" w:rsidR="003E76CD" w:rsidRPr="00D07CAB" w:rsidRDefault="003E76CD" w:rsidP="008D5FAA">
      <w:pPr>
        <w:spacing w:line="280" w:lineRule="atLeast"/>
        <w:jc w:val="both"/>
        <w:rPr>
          <w:szCs w:val="22"/>
          <w:lang w:val="hr-HR"/>
        </w:rPr>
      </w:pPr>
    </w:p>
    <w:p w14:paraId="37CBAD1B" w14:textId="37EAB388" w:rsidR="003E76CD" w:rsidRPr="00D173DA" w:rsidRDefault="003E76CD" w:rsidP="008D5FAA">
      <w:pPr>
        <w:shd w:val="clear" w:color="auto" w:fill="FFFFFF"/>
        <w:jc w:val="both"/>
        <w:rPr>
          <w:szCs w:val="22"/>
          <w:lang w:val="hr-HR"/>
        </w:rPr>
      </w:pPr>
      <w:r w:rsidRPr="00255289">
        <w:rPr>
          <w:szCs w:val="22"/>
          <w:lang w:val="hr-HR"/>
        </w:rPr>
        <w:t>Somatrogon se vezuje za GH receptor i pokreće kaskadu transdukcije signala koja kulminira promjenama u rastu i metabolizmu. U skladu sa signaliziranjem GH, vezivanje somatrogona dovodi do aktivacije STAT5b signalnog puta i povećava koncentraciju IGF-1 u serumu. Utvrđeno je da se IGF-1 povećava na način ko</w:t>
      </w:r>
      <w:r w:rsidRPr="00D173DA">
        <w:rPr>
          <w:szCs w:val="22"/>
          <w:lang w:val="hr-HR"/>
        </w:rPr>
        <w:t xml:space="preserve">ji zavisi od doze tokom liječenja somatrogonom, djelimično posredujući kliničko dejstvo. Kao rezultat toga, GH i IGF-1 stimulišu metaboličke promjene, linearni rast i povećavaju brzinu rasta kod pedijatrijskih pacijenata sa GHD. </w:t>
      </w:r>
    </w:p>
    <w:p w14:paraId="1BBCC026" w14:textId="77777777" w:rsidR="003E76CD" w:rsidRPr="001E4FA7" w:rsidRDefault="003E76CD" w:rsidP="008D5FAA">
      <w:pPr>
        <w:shd w:val="clear" w:color="auto" w:fill="FFFFFF"/>
        <w:jc w:val="both"/>
        <w:rPr>
          <w:strike/>
          <w:szCs w:val="22"/>
          <w:lang w:val="hr-HR"/>
        </w:rPr>
      </w:pPr>
    </w:p>
    <w:p w14:paraId="33243564" w14:textId="77777777" w:rsidR="003E76CD" w:rsidRPr="00C1176F" w:rsidRDefault="003E76CD" w:rsidP="008D5FAA">
      <w:pPr>
        <w:keepNext/>
        <w:spacing w:line="240" w:lineRule="auto"/>
        <w:jc w:val="both"/>
        <w:outlineLvl w:val="0"/>
        <w:rPr>
          <w:bCs/>
          <w:szCs w:val="22"/>
          <w:u w:val="single"/>
          <w:lang w:val="hr-HR"/>
        </w:rPr>
      </w:pPr>
      <w:r w:rsidRPr="008D5FAA">
        <w:rPr>
          <w:szCs w:val="22"/>
          <w:u w:val="single"/>
          <w:lang w:val="hr-HR"/>
        </w:rPr>
        <w:t>Farmakodinamski efekti</w:t>
      </w:r>
    </w:p>
    <w:p w14:paraId="0F211107" w14:textId="77777777" w:rsidR="003E76CD" w:rsidRPr="00C1176F" w:rsidRDefault="003E76CD" w:rsidP="008D5FAA">
      <w:pPr>
        <w:spacing w:line="240" w:lineRule="auto"/>
        <w:jc w:val="both"/>
        <w:outlineLvl w:val="0"/>
        <w:rPr>
          <w:bCs/>
          <w:szCs w:val="22"/>
          <w:lang w:val="hr-HR"/>
        </w:rPr>
      </w:pPr>
    </w:p>
    <w:p w14:paraId="0296E8E7" w14:textId="461367E6" w:rsidR="003E76CD" w:rsidRPr="00D07CAB" w:rsidRDefault="003E76CD" w:rsidP="008D5FAA">
      <w:pPr>
        <w:shd w:val="clear" w:color="auto" w:fill="FFFFFF"/>
        <w:jc w:val="both"/>
        <w:rPr>
          <w:szCs w:val="22"/>
          <w:lang w:val="hr-HR"/>
        </w:rPr>
      </w:pPr>
      <w:r w:rsidRPr="007C0730">
        <w:rPr>
          <w:szCs w:val="22"/>
          <w:lang w:val="hr-HR"/>
        </w:rPr>
        <w:t>U kliničkim studijama, somatrogon povećava IGF-1. Farmakodinamičke procjene obavljene približno 96 sati nakon primjene doze da bi se procijenio srednji indikator standardne devijacije (SDS) za IGF-1 tokom intervala doziranja pokazal</w:t>
      </w:r>
      <w:r w:rsidR="006931E7">
        <w:rPr>
          <w:szCs w:val="22"/>
          <w:lang w:val="hr-HR"/>
        </w:rPr>
        <w:t>e su</w:t>
      </w:r>
      <w:r w:rsidRPr="007C0730">
        <w:rPr>
          <w:szCs w:val="22"/>
          <w:lang w:val="hr-HR"/>
        </w:rPr>
        <w:t xml:space="preserve"> da su vrijednosti IGF-1 normalizovane kod liječenih subjekata tokom jednog mjeseca liječenja.</w:t>
      </w:r>
    </w:p>
    <w:p w14:paraId="7E91DC25" w14:textId="2AFA82A2" w:rsidR="003E76CD" w:rsidRPr="00255289" w:rsidRDefault="003E76CD" w:rsidP="008D5FAA">
      <w:pPr>
        <w:shd w:val="clear" w:color="auto" w:fill="FFFFFF"/>
        <w:jc w:val="both"/>
        <w:rPr>
          <w:strike/>
          <w:szCs w:val="22"/>
          <w:lang w:val="hr-HR"/>
        </w:rPr>
      </w:pPr>
    </w:p>
    <w:p w14:paraId="27F456A6" w14:textId="77777777" w:rsidR="003E76CD" w:rsidRPr="00255289" w:rsidRDefault="003E76CD" w:rsidP="008D5FAA">
      <w:pPr>
        <w:keepNext/>
        <w:shd w:val="clear" w:color="auto" w:fill="FFFFFF" w:themeFill="background1"/>
        <w:jc w:val="both"/>
        <w:rPr>
          <w:i/>
          <w:iCs/>
          <w:szCs w:val="22"/>
          <w:lang w:val="hr-HR"/>
        </w:rPr>
      </w:pPr>
      <w:r w:rsidRPr="00255289">
        <w:rPr>
          <w:i/>
          <w:szCs w:val="22"/>
          <w:lang w:val="hr-HR"/>
        </w:rPr>
        <w:t>Metabolizam vode i minerala</w:t>
      </w:r>
    </w:p>
    <w:p w14:paraId="0A26D704" w14:textId="3B62D9FC" w:rsidR="003E76CD" w:rsidRPr="00D173DA" w:rsidRDefault="003E76CD" w:rsidP="008D5FAA">
      <w:pPr>
        <w:shd w:val="clear" w:color="auto" w:fill="FFFFFF"/>
        <w:jc w:val="both"/>
        <w:rPr>
          <w:szCs w:val="22"/>
          <w:lang w:val="hr-HR"/>
        </w:rPr>
      </w:pPr>
      <w:r w:rsidRPr="00D173DA">
        <w:rPr>
          <w:szCs w:val="22"/>
          <w:lang w:val="hr-HR"/>
        </w:rPr>
        <w:t>Somatrogon indukuje zadržavanje fosfora.</w:t>
      </w:r>
    </w:p>
    <w:p w14:paraId="67725358" w14:textId="77777777" w:rsidR="003E76CD" w:rsidRPr="001E4FA7" w:rsidRDefault="003E76CD" w:rsidP="008D5FAA">
      <w:pPr>
        <w:shd w:val="clear" w:color="auto" w:fill="FFFFFF"/>
        <w:jc w:val="both"/>
        <w:rPr>
          <w:strike/>
          <w:szCs w:val="22"/>
          <w:lang w:val="hr-HR"/>
        </w:rPr>
      </w:pPr>
    </w:p>
    <w:p w14:paraId="5382D2BD" w14:textId="532A1D06" w:rsidR="00BD00D2" w:rsidRPr="00C1176F" w:rsidRDefault="00BD00D2" w:rsidP="008D5FAA">
      <w:pPr>
        <w:keepNext/>
        <w:spacing w:line="240" w:lineRule="auto"/>
        <w:jc w:val="both"/>
        <w:outlineLvl w:val="0"/>
        <w:rPr>
          <w:bCs/>
          <w:szCs w:val="22"/>
          <w:u w:val="single"/>
          <w:lang w:val="hr-HR"/>
        </w:rPr>
      </w:pPr>
      <w:r w:rsidRPr="008D5FAA">
        <w:rPr>
          <w:szCs w:val="22"/>
          <w:u w:val="single"/>
          <w:lang w:val="hr-HR"/>
        </w:rPr>
        <w:t>Klinička efikasnost i bezbjednost</w:t>
      </w:r>
    </w:p>
    <w:p w14:paraId="1CACDF63" w14:textId="484A265E" w:rsidR="00116EAF" w:rsidRPr="00C1176F" w:rsidRDefault="00116EAF" w:rsidP="008D5FAA">
      <w:pPr>
        <w:pStyle w:val="ListParagraph"/>
        <w:keepNext/>
        <w:ind w:left="0"/>
        <w:jc w:val="both"/>
        <w:rPr>
          <w:rFonts w:eastAsia="TimesNewRoman"/>
          <w:sz w:val="22"/>
          <w:szCs w:val="22"/>
          <w:lang w:val="hr-HR" w:eastAsia="en-US"/>
        </w:rPr>
      </w:pPr>
    </w:p>
    <w:p w14:paraId="36C523C2" w14:textId="3D5FF663" w:rsidR="00116EAF" w:rsidRPr="00C1176F" w:rsidRDefault="00116EAF" w:rsidP="008D5FAA">
      <w:pPr>
        <w:pStyle w:val="ListParagraph"/>
        <w:ind w:left="0"/>
        <w:jc w:val="both"/>
        <w:rPr>
          <w:rFonts w:eastAsia="TimesNewRoman"/>
          <w:sz w:val="22"/>
          <w:szCs w:val="22"/>
          <w:lang w:val="hr-HR"/>
        </w:rPr>
      </w:pPr>
      <w:r w:rsidRPr="007C0730">
        <w:rPr>
          <w:sz w:val="22"/>
          <w:szCs w:val="22"/>
          <w:lang w:val="hr-HR"/>
        </w:rPr>
        <w:t>Bezbjednost i efikasnost somatrogona za liječenje djece i adolescenata od 3 godine sa GHD procijenjene su u dvije multicentrične randomizovane, otvorene kontrolisane kliničke studije. Obje studije su uključivale 12</w:t>
      </w:r>
      <w:r w:rsidR="003F2213" w:rsidRPr="00D07CAB">
        <w:rPr>
          <w:sz w:val="22"/>
          <w:szCs w:val="22"/>
          <w:lang w:val="hr-HR"/>
        </w:rPr>
        <w:t>-</w:t>
      </w:r>
      <w:r w:rsidRPr="00D07CAB">
        <w:rPr>
          <w:sz w:val="22"/>
          <w:szCs w:val="22"/>
          <w:lang w:val="hr-HR"/>
        </w:rPr>
        <w:t>mjesečni period osnovnog dijela studije u toku kojeg se upoređivao somatrogon jednom nedjeljno sa somatropinom</w:t>
      </w:r>
      <w:r w:rsidRPr="00255289">
        <w:rPr>
          <w:sz w:val="22"/>
          <w:szCs w:val="22"/>
          <w:lang w:val="hr-HR"/>
        </w:rPr>
        <w:t xml:space="preserve"> koji se primjenjuje jednom dnevno, nakon čega je uslijedio </w:t>
      </w:r>
      <w:r w:rsidR="006931E7">
        <w:rPr>
          <w:sz w:val="22"/>
          <w:szCs w:val="22"/>
          <w:lang w:val="hr-HR"/>
        </w:rPr>
        <w:t xml:space="preserve">otvoreni </w:t>
      </w:r>
      <w:r w:rsidRPr="007C0730">
        <w:rPr>
          <w:sz w:val="22"/>
          <w:szCs w:val="22"/>
          <w:lang w:val="hr-HR"/>
        </w:rPr>
        <w:t xml:space="preserve">produžetak studije sa </w:t>
      </w:r>
      <w:r w:rsidR="006931E7">
        <w:rPr>
          <w:sz w:val="22"/>
          <w:szCs w:val="22"/>
          <w:lang w:val="hr-HR"/>
        </w:rPr>
        <w:t>jednom grupom</w:t>
      </w:r>
      <w:r w:rsidRPr="007C0730">
        <w:rPr>
          <w:sz w:val="22"/>
          <w:szCs w:val="22"/>
          <w:lang w:val="hr-HR"/>
        </w:rPr>
        <w:t xml:space="preserve"> tokom kojeg su svi pacijenti primali somatrogon jednom nedjeljno. Primarn</w:t>
      </w:r>
      <w:r w:rsidR="000105EE">
        <w:rPr>
          <w:sz w:val="22"/>
          <w:szCs w:val="22"/>
          <w:lang w:val="hr-HR"/>
        </w:rPr>
        <w:t xml:space="preserve">i parametar praćenja </w:t>
      </w:r>
      <w:r w:rsidRPr="007C0730">
        <w:rPr>
          <w:sz w:val="22"/>
          <w:szCs w:val="22"/>
          <w:lang w:val="hr-HR"/>
        </w:rPr>
        <w:t>efikasnosti za obje studije bi</w:t>
      </w:r>
      <w:r w:rsidR="000105EE">
        <w:rPr>
          <w:sz w:val="22"/>
          <w:szCs w:val="22"/>
          <w:lang w:val="hr-HR"/>
        </w:rPr>
        <w:t>o</w:t>
      </w:r>
      <w:r w:rsidRPr="007C0730">
        <w:rPr>
          <w:sz w:val="22"/>
          <w:szCs w:val="22"/>
          <w:lang w:val="hr-HR"/>
        </w:rPr>
        <w:t xml:space="preserve"> je godišnja brzina porasta visine (HV) nakon 12 mjeseci liječenja. Drug</w:t>
      </w:r>
      <w:r w:rsidR="000105EE">
        <w:rPr>
          <w:sz w:val="22"/>
          <w:szCs w:val="22"/>
          <w:lang w:val="hr-HR"/>
        </w:rPr>
        <w:t>i parametri praćenja</w:t>
      </w:r>
      <w:r w:rsidRPr="007C0730">
        <w:rPr>
          <w:sz w:val="22"/>
          <w:szCs w:val="22"/>
          <w:lang w:val="hr-HR"/>
        </w:rPr>
        <w:t xml:space="preserve"> ko</w:t>
      </w:r>
      <w:r w:rsidR="000105EE">
        <w:rPr>
          <w:sz w:val="22"/>
          <w:szCs w:val="22"/>
          <w:lang w:val="hr-HR"/>
        </w:rPr>
        <w:t>ji</w:t>
      </w:r>
      <w:r w:rsidRPr="007C0730">
        <w:rPr>
          <w:sz w:val="22"/>
          <w:szCs w:val="22"/>
          <w:lang w:val="hr-HR"/>
        </w:rPr>
        <w:t xml:space="preserve"> odražavaju sustizanje rasta, kao što su promjena SDS-a visine u odnosu na početnu vrijednost i SDS-a visine, takođe su procijenjene u obje studije.</w:t>
      </w:r>
    </w:p>
    <w:p w14:paraId="1DB69AEF" w14:textId="77777777" w:rsidR="00872996" w:rsidRPr="00C1176F" w:rsidRDefault="00872996" w:rsidP="008D5FAA">
      <w:pPr>
        <w:jc w:val="both"/>
        <w:rPr>
          <w:rFonts w:eastAsia="TimesNewRoman"/>
          <w:szCs w:val="22"/>
          <w:lang w:val="hr-HR"/>
        </w:rPr>
      </w:pPr>
    </w:p>
    <w:p w14:paraId="2C6879EA" w14:textId="45420CF5" w:rsidR="0096764D" w:rsidRPr="00D07CAB" w:rsidRDefault="000105EE" w:rsidP="008D5FAA">
      <w:pPr>
        <w:pStyle w:val="ListBullet2"/>
        <w:numPr>
          <w:ilvl w:val="0"/>
          <w:numId w:val="0"/>
        </w:numPr>
        <w:spacing w:after="0"/>
        <w:jc w:val="both"/>
        <w:rPr>
          <w:sz w:val="22"/>
          <w:szCs w:val="22"/>
          <w:lang w:val="hr-HR"/>
        </w:rPr>
      </w:pPr>
      <w:r>
        <w:rPr>
          <w:sz w:val="22"/>
          <w:szCs w:val="22"/>
          <w:lang w:val="hr-HR"/>
        </w:rPr>
        <w:t>Pivotalna</w:t>
      </w:r>
      <w:r w:rsidR="00872996" w:rsidRPr="007C0730">
        <w:rPr>
          <w:sz w:val="22"/>
          <w:szCs w:val="22"/>
          <w:lang w:val="hr-HR"/>
        </w:rPr>
        <w:t xml:space="preserve"> </w:t>
      </w:r>
      <w:r w:rsidRPr="00DB749C">
        <w:rPr>
          <w:sz w:val="22"/>
          <w:szCs w:val="22"/>
          <w:lang w:val="hr-HR"/>
        </w:rPr>
        <w:t>multicentričn</w:t>
      </w:r>
      <w:r>
        <w:rPr>
          <w:sz w:val="22"/>
          <w:szCs w:val="22"/>
          <w:lang w:val="hr-HR"/>
        </w:rPr>
        <w:t>a studija</w:t>
      </w:r>
      <w:r w:rsidRPr="00DB749C">
        <w:rPr>
          <w:sz w:val="22"/>
          <w:szCs w:val="22"/>
          <w:lang w:val="hr-HR"/>
        </w:rPr>
        <w:t xml:space="preserve"> </w:t>
      </w:r>
      <w:r w:rsidR="00872996" w:rsidRPr="007C0730">
        <w:rPr>
          <w:sz w:val="22"/>
          <w:szCs w:val="22"/>
          <w:lang w:val="hr-HR"/>
        </w:rPr>
        <w:t>faz</w:t>
      </w:r>
      <w:r>
        <w:rPr>
          <w:sz w:val="22"/>
          <w:szCs w:val="22"/>
          <w:lang w:val="hr-HR"/>
        </w:rPr>
        <w:t>e</w:t>
      </w:r>
      <w:r w:rsidR="00872996" w:rsidRPr="007C0730">
        <w:rPr>
          <w:sz w:val="22"/>
          <w:szCs w:val="22"/>
          <w:lang w:val="hr-HR"/>
        </w:rPr>
        <w:t xml:space="preserve"> 3 neinferiornosti procjenjivala je </w:t>
      </w:r>
      <w:r w:rsidR="00872996" w:rsidRPr="00D07CAB">
        <w:rPr>
          <w:sz w:val="22"/>
          <w:szCs w:val="22"/>
          <w:lang w:val="hr-HR"/>
        </w:rPr>
        <w:t>bezbjednost i efikasnost doze somatrogona od 0,66 mg/kg nedjeljno u poređenju sa 0,034 mg/kg/dan somatropina kod 224 pedija</w:t>
      </w:r>
      <w:r w:rsidR="00872996" w:rsidRPr="00255289">
        <w:rPr>
          <w:sz w:val="22"/>
          <w:szCs w:val="22"/>
          <w:lang w:val="hr-HR"/>
        </w:rPr>
        <w:t>trijska pacijenta prije puberteta sa GHD. Prosječna starost u grupama za liječenje bila je 7,7 godina (min</w:t>
      </w:r>
      <w:r w:rsidR="003F2213" w:rsidRPr="00255289">
        <w:rPr>
          <w:sz w:val="22"/>
          <w:szCs w:val="22"/>
          <w:lang w:val="hr-HR"/>
        </w:rPr>
        <w:t>.</w:t>
      </w:r>
      <w:r w:rsidR="00872996" w:rsidRPr="00910018">
        <w:rPr>
          <w:sz w:val="22"/>
          <w:szCs w:val="22"/>
          <w:lang w:val="hr-HR"/>
        </w:rPr>
        <w:t xml:space="preserve"> 3,01, ma</w:t>
      </w:r>
      <w:r w:rsidR="003F2213" w:rsidRPr="00910018">
        <w:rPr>
          <w:sz w:val="22"/>
          <w:szCs w:val="22"/>
          <w:lang w:val="hr-HR"/>
        </w:rPr>
        <w:t>ks.</w:t>
      </w:r>
      <w:r w:rsidR="00872996" w:rsidRPr="00910018">
        <w:rPr>
          <w:sz w:val="22"/>
          <w:szCs w:val="22"/>
          <w:lang w:val="hr-HR"/>
        </w:rPr>
        <w:t xml:space="preserve"> 11,96), 40,2% pacijenata je bilo &gt; 3 godine do ≤ 7 godina, 59,8% je bilo &gt; 7 godina. 71,9% pacijenata bili su </w:t>
      </w:r>
      <w:r w:rsidR="003F2213" w:rsidRPr="00D173DA">
        <w:rPr>
          <w:sz w:val="22"/>
          <w:szCs w:val="22"/>
          <w:lang w:val="hr-HR"/>
        </w:rPr>
        <w:t>muškog pola</w:t>
      </w:r>
      <w:r w:rsidR="00872996" w:rsidRPr="00D173DA">
        <w:rPr>
          <w:sz w:val="22"/>
          <w:szCs w:val="22"/>
          <w:lang w:val="hr-HR"/>
        </w:rPr>
        <w:t xml:space="preserve">, a 28,1% </w:t>
      </w:r>
      <w:r w:rsidR="003F2213" w:rsidRPr="00D173DA">
        <w:rPr>
          <w:sz w:val="22"/>
          <w:szCs w:val="22"/>
          <w:lang w:val="hr-HR"/>
        </w:rPr>
        <w:t>ženskog pola</w:t>
      </w:r>
      <w:r w:rsidR="00872996" w:rsidRPr="00D173DA">
        <w:rPr>
          <w:sz w:val="22"/>
          <w:szCs w:val="22"/>
          <w:lang w:val="hr-HR"/>
        </w:rPr>
        <w:t xml:space="preserve">. U ovoj studiji, 74,6% pacijenata su bili bijelci, 20,1% su bili Azijati; 0,9% su bili crnci. </w:t>
      </w:r>
      <w:r w:rsidR="003F2213" w:rsidRPr="001E4FA7">
        <w:rPr>
          <w:sz w:val="22"/>
          <w:szCs w:val="22"/>
          <w:lang w:val="hr-HR"/>
        </w:rPr>
        <w:t xml:space="preserve">Polazne </w:t>
      </w:r>
      <w:r w:rsidR="00872996" w:rsidRPr="001E4FA7">
        <w:rPr>
          <w:sz w:val="22"/>
          <w:szCs w:val="22"/>
          <w:lang w:val="hr-HR"/>
        </w:rPr>
        <w:t xml:space="preserve">karakteristike bolesti bile su ujednačene u obje grupe liječenja. Približno 68 % pacijenata je imalo </w:t>
      </w:r>
      <w:r w:rsidR="00DD1576">
        <w:rPr>
          <w:sz w:val="22"/>
          <w:szCs w:val="22"/>
          <w:lang w:val="hr-HR"/>
        </w:rPr>
        <w:t>maksimalne</w:t>
      </w:r>
      <w:r w:rsidR="00872996" w:rsidRPr="007C0730">
        <w:rPr>
          <w:sz w:val="22"/>
          <w:szCs w:val="22"/>
          <w:lang w:val="hr-HR"/>
        </w:rPr>
        <w:t xml:space="preserve"> nivoe GH u plazmi od ≤ 7 ng/m</w:t>
      </w:r>
      <w:r w:rsidR="00CD0186" w:rsidRPr="00D07CAB">
        <w:rPr>
          <w:sz w:val="22"/>
          <w:szCs w:val="22"/>
          <w:lang w:val="hr-HR"/>
        </w:rPr>
        <w:t>l</w:t>
      </w:r>
      <w:r w:rsidR="00872996" w:rsidRPr="00D07CAB">
        <w:rPr>
          <w:sz w:val="22"/>
          <w:szCs w:val="22"/>
          <w:lang w:val="hr-HR"/>
        </w:rPr>
        <w:t>, a srednja visina je bila ispod -2 SDS.</w:t>
      </w:r>
    </w:p>
    <w:p w14:paraId="64480003" w14:textId="77777777" w:rsidR="00AB2C96" w:rsidRPr="008D5FAA" w:rsidRDefault="00AB2C96" w:rsidP="008D5FAA">
      <w:pPr>
        <w:pStyle w:val="ListBullet2"/>
        <w:numPr>
          <w:ilvl w:val="0"/>
          <w:numId w:val="0"/>
        </w:numPr>
        <w:spacing w:after="0"/>
        <w:jc w:val="both"/>
        <w:rPr>
          <w:rFonts w:eastAsia="TimesNewRoman"/>
          <w:sz w:val="22"/>
          <w:szCs w:val="22"/>
          <w:lang w:val="hr-HR"/>
        </w:rPr>
      </w:pPr>
    </w:p>
    <w:p w14:paraId="03F3D3D6" w14:textId="2453D611" w:rsidR="006872F5" w:rsidRPr="00C1176F" w:rsidRDefault="00872996" w:rsidP="008D5FAA">
      <w:pPr>
        <w:jc w:val="both"/>
        <w:rPr>
          <w:rFonts w:eastAsia="TimesNewRoman"/>
          <w:szCs w:val="22"/>
          <w:lang w:val="hr-HR"/>
        </w:rPr>
      </w:pPr>
      <w:r w:rsidRPr="007C0730">
        <w:rPr>
          <w:szCs w:val="22"/>
          <w:lang w:val="hr-HR"/>
        </w:rPr>
        <w:t>Somatrogon jednom nedjeljno nije bio inferioran na osnovu HV u 12 mjeseci u poređenju sa s</w:t>
      </w:r>
      <w:r w:rsidRPr="00D07CAB">
        <w:rPr>
          <w:szCs w:val="22"/>
          <w:lang w:val="hr-HR"/>
        </w:rPr>
        <w:t xml:space="preserve">omatropinom primijenjenim jednom dnevno (vidjeti Tabelu 2.). </w:t>
      </w:r>
      <w:bookmarkStart w:id="12" w:name="_Hlk72392720"/>
      <w:r w:rsidRPr="00D07CAB">
        <w:rPr>
          <w:szCs w:val="22"/>
          <w:lang w:val="hr-HR"/>
        </w:rPr>
        <w:t>Jednom nedjeljno somatrogon je takođe izazivao povećanje vrijednosti SDS-a za IGF</w:t>
      </w:r>
      <w:r w:rsidRPr="00D07CAB">
        <w:rPr>
          <w:szCs w:val="22"/>
          <w:lang w:val="hr-HR"/>
        </w:rPr>
        <w:noBreakHyphen/>
        <w:t>1 sa srednje vrijednosti od -1,95 na početku do srednje vrijednosti od 0,65 nakon 12 mjeseci.</w:t>
      </w:r>
    </w:p>
    <w:bookmarkEnd w:id="12"/>
    <w:p w14:paraId="3C126CAB" w14:textId="77777777" w:rsidR="006872F5" w:rsidRPr="00C1176F" w:rsidRDefault="006872F5" w:rsidP="008D5FAA">
      <w:pPr>
        <w:jc w:val="both"/>
        <w:rPr>
          <w:rFonts w:eastAsia="TimesNewRoman"/>
          <w:szCs w:val="22"/>
          <w:lang w:val="hr-HR"/>
        </w:rPr>
      </w:pPr>
    </w:p>
    <w:p w14:paraId="5ABEED15" w14:textId="44725806" w:rsidR="00872996" w:rsidRPr="007C0730" w:rsidRDefault="00872996" w:rsidP="008D5FAA">
      <w:pPr>
        <w:keepNext/>
        <w:jc w:val="both"/>
        <w:rPr>
          <w:b/>
          <w:bCs/>
          <w:szCs w:val="22"/>
          <w:lang w:val="hr-HR"/>
        </w:rPr>
      </w:pPr>
      <w:r w:rsidRPr="007C0730">
        <w:rPr>
          <w:b/>
          <w:szCs w:val="22"/>
          <w:lang w:val="hr-HR"/>
        </w:rPr>
        <w:t xml:space="preserve">Tabela 2. Efikasnost somatrogona u poređenju sa somatropinom kod pedijatrijskih pacijenata sa GHD u 12. mjesecu </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193"/>
        <w:gridCol w:w="2193"/>
        <w:gridCol w:w="2657"/>
      </w:tblGrid>
      <w:tr w:rsidR="00872996" w:rsidRPr="00C1176F" w14:paraId="6F5643D0" w14:textId="77777777" w:rsidTr="005E1C08">
        <w:trPr>
          <w:jc w:val="center"/>
        </w:trPr>
        <w:tc>
          <w:tcPr>
            <w:tcW w:w="2070" w:type="dxa"/>
            <w:vMerge w:val="restart"/>
            <w:shd w:val="clear" w:color="auto" w:fill="auto"/>
          </w:tcPr>
          <w:p w14:paraId="699A27D3" w14:textId="77777777" w:rsidR="00872996" w:rsidRPr="00D07CAB" w:rsidRDefault="00872996" w:rsidP="008D5FAA">
            <w:pPr>
              <w:keepNext/>
              <w:jc w:val="both"/>
              <w:rPr>
                <w:b/>
                <w:szCs w:val="22"/>
                <w:lang w:val="hr-HR"/>
              </w:rPr>
            </w:pPr>
          </w:p>
          <w:p w14:paraId="59F6CAC1" w14:textId="4FEF787C" w:rsidR="00872996" w:rsidRPr="00255289" w:rsidRDefault="003E76CD" w:rsidP="008D5FAA">
            <w:pPr>
              <w:keepNext/>
              <w:jc w:val="both"/>
              <w:rPr>
                <w:szCs w:val="22"/>
                <w:u w:val="single"/>
                <w:lang w:val="hr-HR"/>
              </w:rPr>
            </w:pPr>
            <w:r w:rsidRPr="00255289">
              <w:rPr>
                <w:b/>
                <w:szCs w:val="22"/>
                <w:lang w:val="hr-HR"/>
              </w:rPr>
              <w:t>Parametar terapije</w:t>
            </w:r>
          </w:p>
        </w:tc>
        <w:tc>
          <w:tcPr>
            <w:tcW w:w="4386" w:type="dxa"/>
            <w:gridSpan w:val="2"/>
            <w:shd w:val="clear" w:color="auto" w:fill="auto"/>
          </w:tcPr>
          <w:p w14:paraId="6BCD26AD" w14:textId="5F0B42BD" w:rsidR="00872996" w:rsidRPr="00D173DA" w:rsidRDefault="00872996" w:rsidP="008D5FAA">
            <w:pPr>
              <w:keepNext/>
              <w:jc w:val="both"/>
              <w:rPr>
                <w:b/>
                <w:bCs/>
                <w:szCs w:val="22"/>
                <w:lang w:val="hr-HR"/>
              </w:rPr>
            </w:pPr>
            <w:r w:rsidRPr="00D173DA">
              <w:rPr>
                <w:b/>
                <w:szCs w:val="22"/>
                <w:lang w:val="hr-HR"/>
              </w:rPr>
              <w:t>Grupa za liječenje</w:t>
            </w:r>
          </w:p>
          <w:p w14:paraId="3851AF83" w14:textId="77777777" w:rsidR="00872996" w:rsidRPr="001E4FA7" w:rsidRDefault="00872996" w:rsidP="008D5FAA">
            <w:pPr>
              <w:keepNext/>
              <w:jc w:val="both"/>
              <w:rPr>
                <w:szCs w:val="22"/>
                <w:lang w:val="hr-HR"/>
              </w:rPr>
            </w:pPr>
          </w:p>
        </w:tc>
        <w:tc>
          <w:tcPr>
            <w:tcW w:w="2657" w:type="dxa"/>
            <w:vMerge w:val="restart"/>
            <w:shd w:val="clear" w:color="auto" w:fill="auto"/>
            <w:vAlign w:val="center"/>
          </w:tcPr>
          <w:p w14:paraId="30C70763" w14:textId="77777777" w:rsidR="00872996" w:rsidRPr="008D5FAA" w:rsidRDefault="00872996" w:rsidP="008D5FAA">
            <w:pPr>
              <w:keepNext/>
              <w:jc w:val="both"/>
              <w:rPr>
                <w:b/>
                <w:bCs/>
                <w:szCs w:val="22"/>
                <w:lang w:val="hr-HR"/>
              </w:rPr>
            </w:pPr>
          </w:p>
          <w:p w14:paraId="5E732FCA" w14:textId="4E0C418C" w:rsidR="00872996" w:rsidRPr="008D5FAA" w:rsidRDefault="00872996" w:rsidP="008D5FAA">
            <w:pPr>
              <w:keepNext/>
              <w:jc w:val="both"/>
              <w:rPr>
                <w:b/>
                <w:bCs/>
                <w:szCs w:val="22"/>
                <w:lang w:val="hr-HR"/>
              </w:rPr>
            </w:pPr>
            <w:r w:rsidRPr="008D5FAA">
              <w:rPr>
                <w:b/>
                <w:szCs w:val="22"/>
                <w:lang w:val="hr-HR"/>
              </w:rPr>
              <w:t>Razlika u LSM</w:t>
            </w:r>
          </w:p>
          <w:p w14:paraId="03FD3586" w14:textId="77777777" w:rsidR="00872996" w:rsidRPr="008D5FAA" w:rsidRDefault="00872996" w:rsidP="008D5FAA">
            <w:pPr>
              <w:keepNext/>
              <w:jc w:val="both"/>
              <w:rPr>
                <w:b/>
                <w:bCs/>
                <w:szCs w:val="22"/>
                <w:lang w:val="hr-HR"/>
              </w:rPr>
            </w:pPr>
            <w:r w:rsidRPr="008D5FAA">
              <w:rPr>
                <w:b/>
                <w:szCs w:val="22"/>
                <w:lang w:val="hr-HR"/>
              </w:rPr>
              <w:t>(95% CI)</w:t>
            </w:r>
          </w:p>
          <w:p w14:paraId="23FB00B1" w14:textId="77777777" w:rsidR="00872996" w:rsidRPr="008D5FAA" w:rsidRDefault="00872996" w:rsidP="008D5FAA">
            <w:pPr>
              <w:keepNext/>
              <w:jc w:val="both"/>
              <w:rPr>
                <w:b/>
                <w:bCs/>
                <w:szCs w:val="22"/>
                <w:lang w:val="hr-HR"/>
              </w:rPr>
            </w:pPr>
          </w:p>
        </w:tc>
      </w:tr>
      <w:tr w:rsidR="00872996" w:rsidRPr="00C1176F" w14:paraId="74669BB2" w14:textId="77777777" w:rsidTr="005E1C08">
        <w:trPr>
          <w:jc w:val="center"/>
        </w:trPr>
        <w:tc>
          <w:tcPr>
            <w:tcW w:w="2070" w:type="dxa"/>
            <w:vMerge/>
            <w:shd w:val="clear" w:color="auto" w:fill="auto"/>
          </w:tcPr>
          <w:p w14:paraId="5B7487A2" w14:textId="77777777" w:rsidR="00872996" w:rsidRPr="008D5FAA" w:rsidRDefault="00872996" w:rsidP="008D5FAA">
            <w:pPr>
              <w:keepNext/>
              <w:jc w:val="both"/>
              <w:rPr>
                <w:szCs w:val="22"/>
                <w:lang w:val="hr-HR"/>
              </w:rPr>
            </w:pPr>
          </w:p>
        </w:tc>
        <w:tc>
          <w:tcPr>
            <w:tcW w:w="2193" w:type="dxa"/>
            <w:shd w:val="clear" w:color="auto" w:fill="auto"/>
            <w:vAlign w:val="center"/>
          </w:tcPr>
          <w:p w14:paraId="20844279" w14:textId="4167179B" w:rsidR="00872996" w:rsidRPr="008D5FAA" w:rsidRDefault="00524F64" w:rsidP="008D5FAA">
            <w:pPr>
              <w:keepNext/>
              <w:jc w:val="both"/>
              <w:rPr>
                <w:b/>
                <w:bCs/>
                <w:szCs w:val="22"/>
                <w:lang w:val="hr-HR"/>
              </w:rPr>
            </w:pPr>
            <w:r w:rsidRPr="008D5FAA">
              <w:rPr>
                <w:b/>
                <w:szCs w:val="22"/>
                <w:lang w:val="hr-HR"/>
              </w:rPr>
              <w:t>Somatrogon (N=109)</w:t>
            </w:r>
          </w:p>
        </w:tc>
        <w:tc>
          <w:tcPr>
            <w:tcW w:w="2193" w:type="dxa"/>
            <w:shd w:val="clear" w:color="auto" w:fill="auto"/>
            <w:vAlign w:val="center"/>
          </w:tcPr>
          <w:p w14:paraId="0CF6CFA9" w14:textId="3546CBE1" w:rsidR="00872996" w:rsidRPr="008D5FAA" w:rsidRDefault="00687498" w:rsidP="008D5FAA">
            <w:pPr>
              <w:keepNext/>
              <w:jc w:val="both"/>
              <w:rPr>
                <w:b/>
                <w:bCs/>
                <w:szCs w:val="22"/>
                <w:lang w:val="hr-HR"/>
              </w:rPr>
            </w:pPr>
            <w:r w:rsidRPr="008D5FAA">
              <w:rPr>
                <w:b/>
                <w:szCs w:val="22"/>
                <w:lang w:val="hr-HR"/>
              </w:rPr>
              <w:t>Somatropin (N=115)</w:t>
            </w:r>
          </w:p>
        </w:tc>
        <w:tc>
          <w:tcPr>
            <w:tcW w:w="2657" w:type="dxa"/>
            <w:vMerge/>
            <w:shd w:val="clear" w:color="auto" w:fill="auto"/>
          </w:tcPr>
          <w:p w14:paraId="7389469B" w14:textId="77777777" w:rsidR="00872996" w:rsidRPr="008D5FAA" w:rsidRDefault="00872996">
            <w:pPr>
              <w:keepNext/>
              <w:jc w:val="both"/>
              <w:rPr>
                <w:szCs w:val="22"/>
                <w:lang w:val="hr-HR"/>
              </w:rPr>
            </w:pPr>
          </w:p>
        </w:tc>
      </w:tr>
      <w:tr w:rsidR="00872996" w:rsidRPr="00C1176F" w14:paraId="772DC97B" w14:textId="77777777" w:rsidTr="005E1C08">
        <w:trPr>
          <w:jc w:val="center"/>
        </w:trPr>
        <w:tc>
          <w:tcPr>
            <w:tcW w:w="2070" w:type="dxa"/>
            <w:vMerge/>
            <w:shd w:val="clear" w:color="auto" w:fill="auto"/>
          </w:tcPr>
          <w:p w14:paraId="1F6FF161" w14:textId="77777777" w:rsidR="00872996" w:rsidRPr="008D5FAA" w:rsidRDefault="00872996" w:rsidP="008D5FAA">
            <w:pPr>
              <w:keepNext/>
              <w:jc w:val="both"/>
              <w:rPr>
                <w:b/>
                <w:szCs w:val="22"/>
                <w:lang w:val="hr-HR"/>
              </w:rPr>
            </w:pPr>
          </w:p>
        </w:tc>
        <w:tc>
          <w:tcPr>
            <w:tcW w:w="2193" w:type="dxa"/>
            <w:shd w:val="clear" w:color="auto" w:fill="auto"/>
            <w:vAlign w:val="center"/>
          </w:tcPr>
          <w:p w14:paraId="248BD781" w14:textId="473B7F7C" w:rsidR="00872996" w:rsidRPr="008D5FAA" w:rsidRDefault="00872996" w:rsidP="008D5FAA">
            <w:pPr>
              <w:keepNext/>
              <w:jc w:val="both"/>
              <w:rPr>
                <w:b/>
                <w:szCs w:val="22"/>
                <w:lang w:val="hr-HR"/>
              </w:rPr>
            </w:pPr>
            <w:r w:rsidRPr="008D5FAA">
              <w:rPr>
                <w:b/>
                <w:szCs w:val="22"/>
                <w:lang w:val="hr-HR"/>
              </w:rPr>
              <w:t>Procjena LSM</w:t>
            </w:r>
          </w:p>
        </w:tc>
        <w:tc>
          <w:tcPr>
            <w:tcW w:w="2193" w:type="dxa"/>
            <w:shd w:val="clear" w:color="auto" w:fill="auto"/>
            <w:vAlign w:val="center"/>
          </w:tcPr>
          <w:p w14:paraId="23D72B5C" w14:textId="509699E7" w:rsidR="00872996" w:rsidRPr="008D5FAA" w:rsidRDefault="00872996" w:rsidP="008D5FAA">
            <w:pPr>
              <w:keepNext/>
              <w:jc w:val="both"/>
              <w:rPr>
                <w:b/>
                <w:color w:val="538135"/>
                <w:szCs w:val="22"/>
                <w:lang w:val="hr-HR"/>
              </w:rPr>
            </w:pPr>
            <w:r w:rsidRPr="008D5FAA">
              <w:rPr>
                <w:b/>
                <w:szCs w:val="22"/>
                <w:lang w:val="hr-HR"/>
              </w:rPr>
              <w:t>Procjena LSM</w:t>
            </w:r>
          </w:p>
        </w:tc>
        <w:tc>
          <w:tcPr>
            <w:tcW w:w="2657" w:type="dxa"/>
            <w:vMerge/>
            <w:shd w:val="clear" w:color="auto" w:fill="auto"/>
          </w:tcPr>
          <w:p w14:paraId="10A72471" w14:textId="77777777" w:rsidR="00872996" w:rsidRPr="008D5FAA" w:rsidRDefault="00872996" w:rsidP="008D5FAA">
            <w:pPr>
              <w:keepNext/>
              <w:jc w:val="both"/>
              <w:rPr>
                <w:b/>
                <w:szCs w:val="22"/>
                <w:lang w:val="hr-HR"/>
              </w:rPr>
            </w:pPr>
          </w:p>
        </w:tc>
      </w:tr>
      <w:tr w:rsidR="00872996" w:rsidRPr="00C1176F" w14:paraId="2BDD4343" w14:textId="77777777" w:rsidTr="005E1C08">
        <w:trPr>
          <w:jc w:val="center"/>
        </w:trPr>
        <w:tc>
          <w:tcPr>
            <w:tcW w:w="2070" w:type="dxa"/>
            <w:shd w:val="clear" w:color="auto" w:fill="auto"/>
          </w:tcPr>
          <w:p w14:paraId="329769FF" w14:textId="78083E11" w:rsidR="00872996" w:rsidRPr="00D07CAB" w:rsidRDefault="00872996" w:rsidP="008D5FAA">
            <w:pPr>
              <w:keepNext/>
              <w:tabs>
                <w:tab w:val="left" w:pos="0"/>
              </w:tabs>
              <w:jc w:val="both"/>
              <w:rPr>
                <w:szCs w:val="22"/>
                <w:lang w:val="hr-HR"/>
              </w:rPr>
            </w:pPr>
            <w:r w:rsidRPr="007C0730">
              <w:rPr>
                <w:szCs w:val="22"/>
                <w:lang w:val="hr-HR"/>
              </w:rPr>
              <w:t>Brzina promjene u visini (cm/god)</w:t>
            </w:r>
          </w:p>
        </w:tc>
        <w:tc>
          <w:tcPr>
            <w:tcW w:w="2193" w:type="dxa"/>
            <w:shd w:val="clear" w:color="auto" w:fill="auto"/>
          </w:tcPr>
          <w:p w14:paraId="75CA2E48" w14:textId="77777777" w:rsidR="00872996" w:rsidRPr="00255289" w:rsidRDefault="00872996" w:rsidP="008D5FAA">
            <w:pPr>
              <w:keepNext/>
              <w:jc w:val="both"/>
              <w:rPr>
                <w:szCs w:val="22"/>
                <w:lang w:val="hr-HR"/>
              </w:rPr>
            </w:pPr>
            <w:r w:rsidRPr="00255289">
              <w:rPr>
                <w:szCs w:val="22"/>
                <w:lang w:val="hr-HR"/>
              </w:rPr>
              <w:t>10,10</w:t>
            </w:r>
          </w:p>
        </w:tc>
        <w:tc>
          <w:tcPr>
            <w:tcW w:w="2193" w:type="dxa"/>
            <w:shd w:val="clear" w:color="auto" w:fill="auto"/>
          </w:tcPr>
          <w:p w14:paraId="685E6768" w14:textId="77777777" w:rsidR="00872996" w:rsidRPr="00D173DA" w:rsidRDefault="00872996" w:rsidP="008D5FAA">
            <w:pPr>
              <w:keepNext/>
              <w:jc w:val="both"/>
              <w:rPr>
                <w:szCs w:val="22"/>
                <w:lang w:val="hr-HR"/>
              </w:rPr>
            </w:pPr>
            <w:r w:rsidRPr="00D173DA">
              <w:rPr>
                <w:szCs w:val="22"/>
                <w:lang w:val="hr-HR"/>
              </w:rPr>
              <w:t>9,78</w:t>
            </w:r>
          </w:p>
        </w:tc>
        <w:tc>
          <w:tcPr>
            <w:tcW w:w="2657" w:type="dxa"/>
            <w:shd w:val="clear" w:color="auto" w:fill="auto"/>
          </w:tcPr>
          <w:p w14:paraId="08B1E650" w14:textId="77777777" w:rsidR="00872996" w:rsidRPr="001E4FA7" w:rsidRDefault="00872996" w:rsidP="008D5FAA">
            <w:pPr>
              <w:keepNext/>
              <w:jc w:val="both"/>
              <w:rPr>
                <w:szCs w:val="22"/>
                <w:lang w:val="hr-HR"/>
              </w:rPr>
            </w:pPr>
            <w:r w:rsidRPr="001E4FA7">
              <w:rPr>
                <w:szCs w:val="22"/>
                <w:lang w:val="hr-HR"/>
              </w:rPr>
              <w:t>0,33 (-0,24; 0,89)</w:t>
            </w:r>
          </w:p>
        </w:tc>
      </w:tr>
      <w:tr w:rsidR="00872996" w:rsidRPr="00C1176F" w14:paraId="770B8D73" w14:textId="77777777" w:rsidTr="005E1C08">
        <w:trPr>
          <w:jc w:val="center"/>
        </w:trPr>
        <w:tc>
          <w:tcPr>
            <w:tcW w:w="2070" w:type="dxa"/>
            <w:shd w:val="clear" w:color="auto" w:fill="auto"/>
          </w:tcPr>
          <w:p w14:paraId="626A1DA8" w14:textId="58A7EC5A" w:rsidR="00872996" w:rsidRPr="007C0730" w:rsidRDefault="00872996" w:rsidP="008D5FAA">
            <w:pPr>
              <w:keepNext/>
              <w:jc w:val="both"/>
              <w:rPr>
                <w:szCs w:val="22"/>
                <w:vertAlign w:val="superscript"/>
                <w:lang w:val="hr-HR"/>
              </w:rPr>
            </w:pPr>
            <w:r w:rsidRPr="007C0730">
              <w:rPr>
                <w:szCs w:val="22"/>
                <w:lang w:val="hr-HR"/>
              </w:rPr>
              <w:t>Indikator standardne devijacije visine</w:t>
            </w:r>
          </w:p>
          <w:p w14:paraId="1C009857" w14:textId="77777777" w:rsidR="00872996" w:rsidRPr="00D07CAB" w:rsidRDefault="00872996" w:rsidP="008D5FAA">
            <w:pPr>
              <w:keepNext/>
              <w:jc w:val="both"/>
              <w:rPr>
                <w:szCs w:val="22"/>
                <w:lang w:val="hr-HR"/>
              </w:rPr>
            </w:pPr>
          </w:p>
        </w:tc>
        <w:tc>
          <w:tcPr>
            <w:tcW w:w="2193" w:type="dxa"/>
            <w:shd w:val="clear" w:color="auto" w:fill="auto"/>
          </w:tcPr>
          <w:p w14:paraId="5DE10111" w14:textId="77777777" w:rsidR="00872996" w:rsidRPr="00255289" w:rsidRDefault="00872996" w:rsidP="008D5FAA">
            <w:pPr>
              <w:keepNext/>
              <w:jc w:val="both"/>
              <w:rPr>
                <w:szCs w:val="22"/>
                <w:lang w:val="hr-HR"/>
              </w:rPr>
            </w:pPr>
            <w:r w:rsidRPr="00255289">
              <w:rPr>
                <w:szCs w:val="22"/>
                <w:lang w:val="hr-HR"/>
              </w:rPr>
              <w:t>-1,94</w:t>
            </w:r>
          </w:p>
        </w:tc>
        <w:tc>
          <w:tcPr>
            <w:tcW w:w="2193" w:type="dxa"/>
            <w:shd w:val="clear" w:color="auto" w:fill="auto"/>
          </w:tcPr>
          <w:p w14:paraId="1BF2E39C" w14:textId="77777777" w:rsidR="00872996" w:rsidRPr="00D173DA" w:rsidRDefault="00872996" w:rsidP="008D5FAA">
            <w:pPr>
              <w:keepNext/>
              <w:jc w:val="both"/>
              <w:rPr>
                <w:szCs w:val="22"/>
                <w:lang w:val="hr-HR"/>
              </w:rPr>
            </w:pPr>
            <w:r w:rsidRPr="00D173DA">
              <w:rPr>
                <w:szCs w:val="22"/>
                <w:lang w:val="hr-HR"/>
              </w:rPr>
              <w:t>-1,99</w:t>
            </w:r>
          </w:p>
        </w:tc>
        <w:tc>
          <w:tcPr>
            <w:tcW w:w="2657" w:type="dxa"/>
            <w:shd w:val="clear" w:color="auto" w:fill="auto"/>
          </w:tcPr>
          <w:p w14:paraId="5012A9DE" w14:textId="77777777" w:rsidR="00872996" w:rsidRPr="001E4FA7" w:rsidRDefault="00872996" w:rsidP="008D5FAA">
            <w:pPr>
              <w:keepNext/>
              <w:jc w:val="both"/>
              <w:rPr>
                <w:szCs w:val="22"/>
                <w:lang w:val="hr-HR"/>
              </w:rPr>
            </w:pPr>
            <w:r w:rsidRPr="001E4FA7">
              <w:rPr>
                <w:szCs w:val="22"/>
                <w:lang w:val="hr-HR"/>
              </w:rPr>
              <w:t>0,05 (-0,06; 0,16)</w:t>
            </w:r>
          </w:p>
        </w:tc>
      </w:tr>
      <w:tr w:rsidR="00872996" w:rsidRPr="00C1176F" w14:paraId="43F78E7D" w14:textId="77777777" w:rsidTr="005E1C08">
        <w:trPr>
          <w:jc w:val="center"/>
        </w:trPr>
        <w:tc>
          <w:tcPr>
            <w:tcW w:w="2070" w:type="dxa"/>
            <w:shd w:val="clear" w:color="auto" w:fill="auto"/>
          </w:tcPr>
          <w:p w14:paraId="113E72E3" w14:textId="2463B7D1" w:rsidR="00872996" w:rsidRPr="007C0730" w:rsidRDefault="00872996" w:rsidP="008D5FAA">
            <w:pPr>
              <w:keepNext/>
              <w:jc w:val="both"/>
              <w:rPr>
                <w:szCs w:val="22"/>
                <w:lang w:val="hr-HR"/>
              </w:rPr>
            </w:pPr>
            <w:r w:rsidRPr="007C0730">
              <w:rPr>
                <w:szCs w:val="22"/>
                <w:lang w:val="hr-HR"/>
              </w:rPr>
              <w:t>Promjena vrijednosti indikatora standardne devijacije visine u odnosnu na početnu vrijednost</w:t>
            </w:r>
          </w:p>
        </w:tc>
        <w:tc>
          <w:tcPr>
            <w:tcW w:w="2193" w:type="dxa"/>
            <w:shd w:val="clear" w:color="auto" w:fill="auto"/>
          </w:tcPr>
          <w:p w14:paraId="23CA168E" w14:textId="77777777" w:rsidR="00872996" w:rsidRPr="00D07CAB" w:rsidRDefault="00872996" w:rsidP="008D5FAA">
            <w:pPr>
              <w:keepNext/>
              <w:jc w:val="both"/>
              <w:rPr>
                <w:szCs w:val="22"/>
                <w:lang w:val="hr-HR"/>
              </w:rPr>
            </w:pPr>
            <w:r w:rsidRPr="00D07CAB">
              <w:rPr>
                <w:szCs w:val="22"/>
                <w:lang w:val="hr-HR"/>
              </w:rPr>
              <w:t>0,92</w:t>
            </w:r>
          </w:p>
        </w:tc>
        <w:tc>
          <w:tcPr>
            <w:tcW w:w="2193" w:type="dxa"/>
            <w:shd w:val="clear" w:color="auto" w:fill="auto"/>
          </w:tcPr>
          <w:p w14:paraId="1ACFFFE2" w14:textId="77777777" w:rsidR="00872996" w:rsidRPr="00255289" w:rsidRDefault="00872996" w:rsidP="008D5FAA">
            <w:pPr>
              <w:keepNext/>
              <w:jc w:val="both"/>
              <w:rPr>
                <w:szCs w:val="22"/>
                <w:lang w:val="hr-HR"/>
              </w:rPr>
            </w:pPr>
            <w:r w:rsidRPr="00255289">
              <w:rPr>
                <w:szCs w:val="22"/>
                <w:lang w:val="hr-HR"/>
              </w:rPr>
              <w:t>0,87</w:t>
            </w:r>
          </w:p>
        </w:tc>
        <w:tc>
          <w:tcPr>
            <w:tcW w:w="2657" w:type="dxa"/>
            <w:shd w:val="clear" w:color="auto" w:fill="auto"/>
          </w:tcPr>
          <w:p w14:paraId="389840B7" w14:textId="77777777" w:rsidR="00872996" w:rsidRPr="00D173DA" w:rsidRDefault="00872996" w:rsidP="008D5FAA">
            <w:pPr>
              <w:keepNext/>
              <w:jc w:val="both"/>
              <w:rPr>
                <w:szCs w:val="22"/>
                <w:lang w:val="hr-HR"/>
              </w:rPr>
            </w:pPr>
            <w:r w:rsidRPr="00D173DA">
              <w:rPr>
                <w:szCs w:val="22"/>
                <w:lang w:val="hr-HR"/>
              </w:rPr>
              <w:t>0,05 (-0,06; 0,16)</w:t>
            </w:r>
          </w:p>
        </w:tc>
      </w:tr>
    </w:tbl>
    <w:p w14:paraId="0B221B5E" w14:textId="035D6EAA" w:rsidR="00872996" w:rsidRPr="008D5FAA" w:rsidRDefault="00872996" w:rsidP="008D5FAA">
      <w:pPr>
        <w:pStyle w:val="ListParagraph"/>
        <w:keepLines/>
        <w:ind w:left="0"/>
        <w:jc w:val="both"/>
        <w:rPr>
          <w:sz w:val="22"/>
          <w:szCs w:val="22"/>
          <w:lang w:val="hr-HR"/>
        </w:rPr>
      </w:pPr>
      <w:r w:rsidRPr="008D5FAA">
        <w:rPr>
          <w:sz w:val="22"/>
          <w:szCs w:val="22"/>
          <w:lang w:val="hr-HR"/>
        </w:rPr>
        <w:t>Skraćenice: CI=interval povjerenja; GHD = nedostatak hormona rasta; LSM=srednja vrijednost najmanjeg kvadrata; N=broj randomiz</w:t>
      </w:r>
      <w:r w:rsidR="00B1460D" w:rsidRPr="008D5FAA">
        <w:rPr>
          <w:sz w:val="22"/>
          <w:szCs w:val="22"/>
          <w:lang w:val="hr-HR"/>
        </w:rPr>
        <w:t>ov</w:t>
      </w:r>
      <w:r w:rsidRPr="008D5FAA">
        <w:rPr>
          <w:sz w:val="22"/>
          <w:szCs w:val="22"/>
          <w:lang w:val="hr-HR"/>
        </w:rPr>
        <w:t>ranih i liječenih pacijenata.</w:t>
      </w:r>
    </w:p>
    <w:p w14:paraId="0709A5FD" w14:textId="37C2A346" w:rsidR="00872996" w:rsidRPr="00C1176F" w:rsidRDefault="00872996" w:rsidP="008D5FAA">
      <w:pPr>
        <w:jc w:val="both"/>
        <w:rPr>
          <w:bCs/>
          <w:iCs/>
          <w:szCs w:val="22"/>
          <w:u w:val="single"/>
          <w:lang w:val="hr-HR"/>
        </w:rPr>
      </w:pPr>
    </w:p>
    <w:p w14:paraId="34996548" w14:textId="6C9CAACA" w:rsidR="0022441D" w:rsidRPr="00C1176F" w:rsidRDefault="0022441D" w:rsidP="008D5FAA">
      <w:pPr>
        <w:jc w:val="both"/>
        <w:rPr>
          <w:rFonts w:eastAsia="TimesNewRoman"/>
          <w:szCs w:val="22"/>
          <w:lang w:val="hr-HR"/>
        </w:rPr>
      </w:pPr>
      <w:r w:rsidRPr="007C0730">
        <w:rPr>
          <w:rStyle w:val="eop"/>
          <w:color w:val="000000"/>
          <w:szCs w:val="22"/>
          <w:lang w:val="hr-HR"/>
        </w:rPr>
        <w:t xml:space="preserve">U </w:t>
      </w:r>
      <w:r w:rsidR="000105EE">
        <w:rPr>
          <w:rStyle w:val="eop"/>
          <w:color w:val="000000"/>
          <w:szCs w:val="22"/>
          <w:lang w:val="hr-HR"/>
        </w:rPr>
        <w:t xml:space="preserve">otvorenom </w:t>
      </w:r>
      <w:r w:rsidRPr="007C0730">
        <w:rPr>
          <w:szCs w:val="22"/>
          <w:lang w:val="hr-HR"/>
        </w:rPr>
        <w:t>produžetku</w:t>
      </w:r>
      <w:r w:rsidR="000105EE">
        <w:rPr>
          <w:szCs w:val="22"/>
          <w:lang w:val="hr-HR"/>
        </w:rPr>
        <w:t xml:space="preserve"> pivotalne studije</w:t>
      </w:r>
      <w:r w:rsidRPr="007C0730">
        <w:rPr>
          <w:szCs w:val="22"/>
          <w:lang w:val="hr-HR"/>
        </w:rPr>
        <w:t xml:space="preserve"> faze 3, 91 pacijent je primao 0,66 mg/kg/nedjeljno somatrogona tokom najmanje 2 godine i dostavio je podatke o visini. Progresivni porast SDS-a visine u odnosu na početnu vrijednost primijećen je za 2 godine [kumulativna promjena srednje vrijednosti SDS-a visine </w:t>
      </w:r>
      <w:r w:rsidRPr="00D07CAB">
        <w:rPr>
          <w:szCs w:val="22"/>
          <w:lang w:val="hr-HR"/>
        </w:rPr>
        <w:t>(SD) = 1,38 (0,78), medijana = 1,19 (opseg: 0,2; 4,9)].</w:t>
      </w:r>
    </w:p>
    <w:p w14:paraId="52A82842" w14:textId="77777777" w:rsidR="0022441D" w:rsidRPr="00C1176F" w:rsidRDefault="0022441D" w:rsidP="008D5FAA">
      <w:pPr>
        <w:tabs>
          <w:tab w:val="clear" w:pos="567"/>
        </w:tabs>
        <w:autoSpaceDE w:val="0"/>
        <w:autoSpaceDN w:val="0"/>
        <w:adjustRightInd w:val="0"/>
        <w:spacing w:line="240" w:lineRule="auto"/>
        <w:jc w:val="both"/>
        <w:rPr>
          <w:bCs/>
          <w:iCs/>
          <w:szCs w:val="22"/>
          <w:u w:val="single"/>
          <w:lang w:val="hr-HR"/>
        </w:rPr>
      </w:pPr>
    </w:p>
    <w:p w14:paraId="1AE79B17" w14:textId="793EE09A" w:rsidR="00B153FB" w:rsidRPr="00D07CAB" w:rsidRDefault="00B153FB" w:rsidP="008D5FAA">
      <w:pPr>
        <w:jc w:val="both"/>
        <w:rPr>
          <w:szCs w:val="22"/>
          <w:lang w:val="hr-HR"/>
        </w:rPr>
      </w:pPr>
      <w:bookmarkStart w:id="13" w:name="_Hlk80637335"/>
      <w:r w:rsidRPr="007C0730">
        <w:rPr>
          <w:szCs w:val="22"/>
          <w:lang w:val="hr-HR"/>
        </w:rPr>
        <w:t>U fazi 2, multicentrič</w:t>
      </w:r>
      <w:r w:rsidR="000105EE">
        <w:rPr>
          <w:szCs w:val="22"/>
          <w:lang w:val="hr-HR"/>
        </w:rPr>
        <w:t>ne</w:t>
      </w:r>
      <w:r w:rsidRPr="007C0730">
        <w:rPr>
          <w:szCs w:val="22"/>
          <w:lang w:val="hr-HR"/>
        </w:rPr>
        <w:t xml:space="preserve"> studij</w:t>
      </w:r>
      <w:r w:rsidR="000105EE">
        <w:rPr>
          <w:szCs w:val="22"/>
          <w:lang w:val="hr-HR"/>
        </w:rPr>
        <w:t>e</w:t>
      </w:r>
      <w:r w:rsidRPr="007C0730">
        <w:rPr>
          <w:szCs w:val="22"/>
          <w:lang w:val="hr-HR"/>
        </w:rPr>
        <w:t xml:space="preserve"> bezbjednosti i određivanja doze, 31 pacijent je primao do 0,66 mg/kg/nedjeljno somatrogona do 7,7 godina. Pri posl</w:t>
      </w:r>
      <w:r w:rsidR="000105EE">
        <w:rPr>
          <w:szCs w:val="22"/>
          <w:lang w:val="hr-HR"/>
        </w:rPr>
        <w:t>j</w:t>
      </w:r>
      <w:r w:rsidRPr="007C0730">
        <w:rPr>
          <w:szCs w:val="22"/>
          <w:lang w:val="hr-HR"/>
        </w:rPr>
        <w:t xml:space="preserve">ednjoj procjeni, SDS visine [srednja vrijednost (SD)] bila je -0,39 (0,95), a </w:t>
      </w:r>
      <w:r w:rsidR="00CD303A">
        <w:rPr>
          <w:szCs w:val="22"/>
          <w:lang w:val="hr-HR"/>
        </w:rPr>
        <w:t>kumulativna promjena SDS visine</w:t>
      </w:r>
      <w:r w:rsidRPr="007C0730">
        <w:rPr>
          <w:szCs w:val="22"/>
          <w:lang w:val="hr-HR"/>
        </w:rPr>
        <w:t xml:space="preserve"> [srednja vrijednost (SD)] u odnosu na početnu vrijednost bila je 3,37 (1,27).</w:t>
      </w:r>
    </w:p>
    <w:bookmarkEnd w:id="13"/>
    <w:p w14:paraId="49BEF173" w14:textId="77777777" w:rsidR="00B153FB" w:rsidRPr="00C1176F" w:rsidRDefault="00B153FB" w:rsidP="008D5FAA">
      <w:pPr>
        <w:pStyle w:val="ListBullet2"/>
        <w:numPr>
          <w:ilvl w:val="0"/>
          <w:numId w:val="0"/>
        </w:numPr>
        <w:spacing w:after="0"/>
        <w:jc w:val="both"/>
        <w:rPr>
          <w:rStyle w:val="eop"/>
          <w:color w:val="000000"/>
          <w:sz w:val="22"/>
          <w:szCs w:val="22"/>
          <w:lang w:val="hr-HR"/>
        </w:rPr>
      </w:pPr>
    </w:p>
    <w:p w14:paraId="768DB88C" w14:textId="77777777" w:rsidR="001A2216" w:rsidRPr="00C1176F" w:rsidRDefault="001A2216" w:rsidP="008D5FAA">
      <w:pPr>
        <w:keepNext/>
        <w:tabs>
          <w:tab w:val="clear" w:pos="567"/>
        </w:tabs>
        <w:autoSpaceDE w:val="0"/>
        <w:autoSpaceDN w:val="0"/>
        <w:adjustRightInd w:val="0"/>
        <w:spacing w:line="240" w:lineRule="auto"/>
        <w:jc w:val="both"/>
        <w:rPr>
          <w:bCs/>
          <w:i/>
          <w:szCs w:val="22"/>
          <w:lang w:val="hr-HR"/>
        </w:rPr>
      </w:pPr>
      <w:bookmarkStart w:id="14" w:name="_Hlk72393110"/>
      <w:bookmarkStart w:id="15" w:name="_Hlk85716589"/>
      <w:r w:rsidRPr="007C0730">
        <w:rPr>
          <w:i/>
          <w:szCs w:val="22"/>
          <w:lang w:val="hr-HR"/>
        </w:rPr>
        <w:lastRenderedPageBreak/>
        <w:t xml:space="preserve">Opterećenje terapijom </w:t>
      </w:r>
    </w:p>
    <w:p w14:paraId="5E7B9101" w14:textId="56FD6E5F" w:rsidR="001A2216" w:rsidRPr="00C1176F" w:rsidRDefault="00E062AD" w:rsidP="008D5FAA">
      <w:pPr>
        <w:tabs>
          <w:tab w:val="clear" w:pos="567"/>
        </w:tabs>
        <w:autoSpaceDE w:val="0"/>
        <w:autoSpaceDN w:val="0"/>
        <w:adjustRightInd w:val="0"/>
        <w:spacing w:line="240" w:lineRule="auto"/>
        <w:jc w:val="both"/>
        <w:rPr>
          <w:bCs/>
          <w:iCs/>
          <w:szCs w:val="22"/>
          <w:lang w:val="hr-HR"/>
        </w:rPr>
      </w:pPr>
      <w:r w:rsidRPr="007C0730">
        <w:rPr>
          <w:szCs w:val="22"/>
          <w:lang w:val="hr-HR"/>
        </w:rPr>
        <w:t xml:space="preserve">U fazi 3 randomizovane, otvorene, unakrsne studije na 87 pedijatrijskih pacijenata sa GHD, uticaj somatrogona koji se primjenjuje jednom nedjeljno (0,66 mg/kg/nedjeljno) na opterećenje terapijom upoređen je sa somatropinom koji je primjenjivan na dnevnom </w:t>
      </w:r>
      <w:r w:rsidRPr="00D07CAB">
        <w:rPr>
          <w:szCs w:val="22"/>
          <w:lang w:val="hr-HR"/>
        </w:rPr>
        <w:t xml:space="preserve">nivou. Somatrogon koji se primjenjuje jednom nedjeljno pokazao je značajno poboljšanje (smanjenje) opterećenja terapijom za pacijenta, poboljšano (smanjeno) opterećenje terapijom za njegovatelja, povećanu ugodnost za pacijenta, veću namjeru da se pridržava primjene i veće preferencije pacijenta. </w:t>
      </w:r>
      <w:bookmarkEnd w:id="14"/>
    </w:p>
    <w:bookmarkEnd w:id="15"/>
    <w:p w14:paraId="16129C7A" w14:textId="77777777" w:rsidR="001A2216" w:rsidRPr="00C1176F" w:rsidRDefault="001A2216" w:rsidP="008D5FAA">
      <w:pPr>
        <w:tabs>
          <w:tab w:val="clear" w:pos="567"/>
        </w:tabs>
        <w:autoSpaceDE w:val="0"/>
        <w:autoSpaceDN w:val="0"/>
        <w:adjustRightInd w:val="0"/>
        <w:spacing w:line="240" w:lineRule="auto"/>
        <w:jc w:val="both"/>
        <w:rPr>
          <w:bCs/>
          <w:iCs/>
          <w:szCs w:val="22"/>
          <w:u w:val="single"/>
          <w:lang w:val="hr-HR"/>
        </w:rPr>
      </w:pPr>
    </w:p>
    <w:p w14:paraId="4A36B9F6" w14:textId="3226D052" w:rsidR="000B615F" w:rsidRPr="00C1176F" w:rsidRDefault="005570F1" w:rsidP="008D5FAA">
      <w:pPr>
        <w:keepNext/>
        <w:tabs>
          <w:tab w:val="clear" w:pos="567"/>
        </w:tabs>
        <w:autoSpaceDE w:val="0"/>
        <w:autoSpaceDN w:val="0"/>
        <w:adjustRightInd w:val="0"/>
        <w:spacing w:line="240" w:lineRule="auto"/>
        <w:jc w:val="both"/>
        <w:rPr>
          <w:bCs/>
          <w:iCs/>
          <w:szCs w:val="22"/>
          <w:u w:val="single"/>
          <w:lang w:val="hr-HR"/>
        </w:rPr>
      </w:pPr>
      <w:r w:rsidRPr="007C0730">
        <w:rPr>
          <w:szCs w:val="22"/>
          <w:u w:val="single"/>
          <w:lang w:val="hr-HR"/>
        </w:rPr>
        <w:t>Pedijatrijska populacija</w:t>
      </w:r>
    </w:p>
    <w:p w14:paraId="25FB5F6C" w14:textId="77777777" w:rsidR="005570F1" w:rsidRPr="00C1176F" w:rsidRDefault="005570F1" w:rsidP="008D5FAA">
      <w:pPr>
        <w:keepNext/>
        <w:tabs>
          <w:tab w:val="clear" w:pos="567"/>
        </w:tabs>
        <w:autoSpaceDE w:val="0"/>
        <w:autoSpaceDN w:val="0"/>
        <w:adjustRightInd w:val="0"/>
        <w:spacing w:line="240" w:lineRule="auto"/>
        <w:jc w:val="both"/>
        <w:rPr>
          <w:bCs/>
          <w:iCs/>
          <w:szCs w:val="22"/>
          <w:lang w:val="hr-HR"/>
        </w:rPr>
      </w:pPr>
    </w:p>
    <w:p w14:paraId="2F981E31" w14:textId="79366FE5" w:rsidR="001679FB" w:rsidRPr="00C1176F" w:rsidRDefault="001679FB" w:rsidP="008D5FAA">
      <w:pPr>
        <w:spacing w:line="240" w:lineRule="auto"/>
        <w:jc w:val="both"/>
        <w:outlineLvl w:val="0"/>
        <w:rPr>
          <w:szCs w:val="22"/>
          <w:lang w:val="hr-HR"/>
        </w:rPr>
      </w:pPr>
      <w:r w:rsidRPr="007C0730">
        <w:rPr>
          <w:szCs w:val="22"/>
          <w:lang w:val="hr-HR"/>
        </w:rPr>
        <w:t>Evropska agencija za ljekove izuzela je obavezu podnošenja rezultata studije na lijeku Ngenla u svim podgrupama pedijatrijske populacije kod dugoročnog liječenja pedijatrijskih pacijenata sa poremećajem rasta usljed nedovoljnog lučenja hormona rasta (vidjeti u</w:t>
      </w:r>
      <w:r w:rsidR="00C75A92" w:rsidRPr="007C0730">
        <w:rPr>
          <w:szCs w:val="22"/>
          <w:lang w:val="hr-HR"/>
        </w:rPr>
        <w:t xml:space="preserve"> dijelu</w:t>
      </w:r>
      <w:r w:rsidR="00CE7A3D" w:rsidRPr="007C0730">
        <w:rPr>
          <w:szCs w:val="22"/>
          <w:lang w:val="hr-HR"/>
        </w:rPr>
        <w:t xml:space="preserve"> </w:t>
      </w:r>
      <w:r w:rsidRPr="007C0730">
        <w:rPr>
          <w:szCs w:val="22"/>
          <w:lang w:val="hr-HR"/>
        </w:rPr>
        <w:t xml:space="preserve">4.2 informacije o upotrebi kod pedijatrijske populacije). </w:t>
      </w:r>
    </w:p>
    <w:p w14:paraId="79CB195C" w14:textId="77777777" w:rsidR="001679FB" w:rsidRPr="00C1176F" w:rsidRDefault="001679FB" w:rsidP="008D5FAA">
      <w:pPr>
        <w:spacing w:line="240" w:lineRule="auto"/>
        <w:jc w:val="both"/>
        <w:outlineLvl w:val="0"/>
        <w:rPr>
          <w:szCs w:val="22"/>
          <w:lang w:val="hr-HR"/>
        </w:rPr>
      </w:pPr>
    </w:p>
    <w:p w14:paraId="1BBEE0C7" w14:textId="490E7D58" w:rsidR="00812D16" w:rsidRPr="00C1176F" w:rsidRDefault="00812D16" w:rsidP="008D5FAA">
      <w:pPr>
        <w:keepNext/>
        <w:spacing w:line="240" w:lineRule="auto"/>
        <w:ind w:left="567" w:hanging="567"/>
        <w:jc w:val="both"/>
        <w:outlineLvl w:val="0"/>
        <w:rPr>
          <w:b/>
          <w:szCs w:val="22"/>
          <w:lang w:val="hr-HR"/>
        </w:rPr>
      </w:pPr>
      <w:r w:rsidRPr="007C0730">
        <w:rPr>
          <w:b/>
          <w:szCs w:val="22"/>
          <w:lang w:val="hr-HR"/>
        </w:rPr>
        <w:t>5.2</w:t>
      </w:r>
      <w:r w:rsidRPr="007C0730">
        <w:rPr>
          <w:b/>
          <w:szCs w:val="22"/>
          <w:lang w:val="hr-HR"/>
        </w:rPr>
        <w:tab/>
        <w:t>Farmakokinetički podaci</w:t>
      </w:r>
    </w:p>
    <w:p w14:paraId="1BBEE0CA" w14:textId="4F721A55" w:rsidR="00CA013A" w:rsidRPr="00C1176F" w:rsidRDefault="00CA013A" w:rsidP="008D5FAA">
      <w:pPr>
        <w:keepNext/>
        <w:spacing w:line="240" w:lineRule="auto"/>
        <w:jc w:val="both"/>
        <w:outlineLvl w:val="0"/>
        <w:rPr>
          <w:b/>
          <w:szCs w:val="22"/>
          <w:lang w:val="hr-HR"/>
        </w:rPr>
      </w:pPr>
    </w:p>
    <w:p w14:paraId="67692051" w14:textId="20B5F0E0" w:rsidR="00872996" w:rsidRPr="00C1176F" w:rsidRDefault="00872996" w:rsidP="008D5FAA">
      <w:pPr>
        <w:spacing w:line="240" w:lineRule="auto"/>
        <w:jc w:val="both"/>
        <w:outlineLvl w:val="0"/>
        <w:rPr>
          <w:b/>
          <w:szCs w:val="22"/>
          <w:lang w:val="hr-HR"/>
        </w:rPr>
      </w:pPr>
      <w:bookmarkStart w:id="16" w:name="_Hlk78902208"/>
      <w:r w:rsidRPr="007C0730">
        <w:rPr>
          <w:szCs w:val="22"/>
          <w:lang w:val="hr-HR"/>
        </w:rPr>
        <w:t xml:space="preserve">Farmakokinetika (FK) somatrogona je procijenjena korišćenjem pristupa populacionog FK-a za somatrogon kod </w:t>
      </w:r>
      <w:bookmarkEnd w:id="16"/>
      <w:r w:rsidRPr="007C0730">
        <w:rPr>
          <w:szCs w:val="22"/>
          <w:lang w:val="hr-HR"/>
        </w:rPr>
        <w:t>42 pedijatrijska pacijenta (u uzrastu 3 – 15,5 godina) sa GHD.</w:t>
      </w:r>
    </w:p>
    <w:p w14:paraId="6E2E4BD3" w14:textId="77777777" w:rsidR="00102CFB" w:rsidRPr="00C1176F" w:rsidRDefault="00102CFB" w:rsidP="008D5FAA">
      <w:pPr>
        <w:spacing w:line="240" w:lineRule="auto"/>
        <w:jc w:val="both"/>
        <w:outlineLvl w:val="0"/>
        <w:rPr>
          <w:b/>
          <w:szCs w:val="22"/>
          <w:lang w:val="hr-HR"/>
        </w:rPr>
      </w:pPr>
    </w:p>
    <w:p w14:paraId="1BBEE0CB" w14:textId="595B5D44" w:rsidR="00812D16" w:rsidRPr="00C1176F" w:rsidRDefault="00B86F6B" w:rsidP="008D5FAA">
      <w:pPr>
        <w:numPr>
          <w:ilvl w:val="12"/>
          <w:numId w:val="0"/>
        </w:numPr>
        <w:spacing w:line="240" w:lineRule="auto"/>
        <w:ind w:right="-2"/>
        <w:jc w:val="both"/>
        <w:rPr>
          <w:szCs w:val="22"/>
          <w:u w:val="single"/>
          <w:lang w:val="hr-HR"/>
        </w:rPr>
      </w:pPr>
      <w:r w:rsidRPr="007C0730">
        <w:rPr>
          <w:szCs w:val="22"/>
          <w:u w:val="single"/>
          <w:lang w:val="hr-HR"/>
        </w:rPr>
        <w:t>Apsorpcija</w:t>
      </w:r>
    </w:p>
    <w:p w14:paraId="1BBEE0CE" w14:textId="2DE1E0AB" w:rsidR="00CA013A" w:rsidRPr="00C1176F" w:rsidRDefault="00CA013A" w:rsidP="008D5FAA">
      <w:pPr>
        <w:numPr>
          <w:ilvl w:val="12"/>
          <w:numId w:val="0"/>
        </w:numPr>
        <w:spacing w:line="240" w:lineRule="auto"/>
        <w:ind w:right="-2"/>
        <w:jc w:val="both"/>
        <w:rPr>
          <w:szCs w:val="22"/>
          <w:u w:val="single"/>
          <w:lang w:val="hr-HR"/>
        </w:rPr>
      </w:pPr>
    </w:p>
    <w:p w14:paraId="12EC714E" w14:textId="5D122F55" w:rsidR="00872996" w:rsidRPr="00D07CAB" w:rsidRDefault="00872996" w:rsidP="008D5FAA">
      <w:pPr>
        <w:shd w:val="clear" w:color="auto" w:fill="FFFFFF"/>
        <w:spacing w:before="20" w:after="20"/>
        <w:contextualSpacing/>
        <w:jc w:val="both"/>
        <w:rPr>
          <w:szCs w:val="22"/>
          <w:lang w:val="hr-HR"/>
        </w:rPr>
      </w:pPr>
      <w:r w:rsidRPr="007C0730">
        <w:rPr>
          <w:szCs w:val="22"/>
          <w:lang w:val="hr-HR"/>
        </w:rPr>
        <w:t>Nakon potkožne injekcije, koncentracije u serumu su se polako povećavale, dostižući maksimum 6 do 18 sati nakon doziranja.</w:t>
      </w:r>
      <w:r w:rsidRPr="00D07CAB">
        <w:rPr>
          <w:color w:val="0000FF"/>
          <w:szCs w:val="22"/>
          <w:lang w:val="hr-HR"/>
        </w:rPr>
        <w:t xml:space="preserve"> </w:t>
      </w:r>
    </w:p>
    <w:p w14:paraId="13C3874B" w14:textId="77777777" w:rsidR="00872996" w:rsidRPr="00255289" w:rsidRDefault="00872996" w:rsidP="008D5FAA">
      <w:pPr>
        <w:jc w:val="both"/>
        <w:rPr>
          <w:szCs w:val="22"/>
          <w:lang w:val="hr-HR"/>
        </w:rPr>
      </w:pPr>
    </w:p>
    <w:p w14:paraId="4D74BFBC" w14:textId="5D98ED79" w:rsidR="00872996" w:rsidRPr="00C1176F" w:rsidRDefault="00872996" w:rsidP="008D5FAA">
      <w:pPr>
        <w:numPr>
          <w:ilvl w:val="12"/>
          <w:numId w:val="0"/>
        </w:numPr>
        <w:spacing w:line="240" w:lineRule="auto"/>
        <w:ind w:right="-2"/>
        <w:jc w:val="both"/>
        <w:rPr>
          <w:szCs w:val="22"/>
          <w:u w:val="single"/>
          <w:lang w:val="hr-HR"/>
        </w:rPr>
      </w:pPr>
      <w:r w:rsidRPr="00D173DA">
        <w:rPr>
          <w:szCs w:val="22"/>
          <w:lang w:val="hr-HR"/>
        </w:rPr>
        <w:t>Kod pedijatrijskih pacijenata sa GHD, izloženost somatrogonu se povećava prema principu proporcionaln</w:t>
      </w:r>
      <w:r w:rsidR="00DD1576">
        <w:rPr>
          <w:szCs w:val="22"/>
          <w:lang w:val="hr-HR"/>
        </w:rPr>
        <w:t>o</w:t>
      </w:r>
      <w:r w:rsidRPr="007C0730">
        <w:rPr>
          <w:szCs w:val="22"/>
          <w:lang w:val="hr-HR"/>
        </w:rPr>
        <w:t xml:space="preserve"> doz</w:t>
      </w:r>
      <w:r w:rsidR="00DD1576">
        <w:rPr>
          <w:szCs w:val="22"/>
          <w:lang w:val="hr-HR"/>
        </w:rPr>
        <w:t>i</w:t>
      </w:r>
      <w:r w:rsidRPr="007C0730">
        <w:rPr>
          <w:szCs w:val="22"/>
          <w:lang w:val="hr-HR"/>
        </w:rPr>
        <w:t xml:space="preserve"> za doze od 0,25 mg/kg nedjeljno, 0,48 mg/kg nedjeljno i 0,66 mg/kg nedjeljno. Ne</w:t>
      </w:r>
      <w:r w:rsidRPr="00D07CAB">
        <w:rPr>
          <w:szCs w:val="22"/>
          <w:lang w:val="hr-HR"/>
        </w:rPr>
        <w:t xml:space="preserve">ma akumulacije somatrogona nakon primjene jednom nedjeljno. Kod pedijatrijskih pacijenata sa GHD, </w:t>
      </w:r>
      <w:r w:rsidR="00DD1576">
        <w:rPr>
          <w:szCs w:val="22"/>
          <w:lang w:val="hr-HR"/>
        </w:rPr>
        <w:t xml:space="preserve">populacionom farmakokinetikom </w:t>
      </w:r>
      <w:r w:rsidRPr="007C0730">
        <w:rPr>
          <w:szCs w:val="22"/>
          <w:lang w:val="hr-HR"/>
        </w:rPr>
        <w:t>procijenjena</w:t>
      </w:r>
      <w:r w:rsidR="00DD1576">
        <w:rPr>
          <w:szCs w:val="22"/>
          <w:lang w:val="hr-HR"/>
        </w:rPr>
        <w:t xml:space="preserve"> je</w:t>
      </w:r>
      <w:r w:rsidRPr="007C0730">
        <w:rPr>
          <w:szCs w:val="22"/>
          <w:lang w:val="hr-HR"/>
        </w:rPr>
        <w:t xml:space="preserve"> </w:t>
      </w:r>
      <w:r w:rsidR="00DD1576">
        <w:rPr>
          <w:szCs w:val="22"/>
          <w:lang w:val="hr-HR"/>
        </w:rPr>
        <w:t>maksimalna</w:t>
      </w:r>
      <w:r w:rsidRPr="007C0730">
        <w:rPr>
          <w:szCs w:val="22"/>
          <w:lang w:val="hr-HR"/>
        </w:rPr>
        <w:t xml:space="preserve"> koncentracija u stanju dinamičke ravnoteže </w:t>
      </w:r>
      <w:r w:rsidR="00DD1576">
        <w:rPr>
          <w:szCs w:val="22"/>
          <w:lang w:val="hr-HR"/>
        </w:rPr>
        <w:t xml:space="preserve">od </w:t>
      </w:r>
      <w:r w:rsidR="00DD1576" w:rsidRPr="002E460D">
        <w:rPr>
          <w:szCs w:val="22"/>
          <w:lang w:val="hr-HR"/>
        </w:rPr>
        <w:t>636 ng/ml</w:t>
      </w:r>
      <w:r w:rsidR="00DD1576" w:rsidRPr="00C1176F">
        <w:rPr>
          <w:szCs w:val="22"/>
          <w:lang w:val="hr-HR"/>
        </w:rPr>
        <w:t xml:space="preserve"> </w:t>
      </w:r>
      <w:r w:rsidRPr="007C0730">
        <w:rPr>
          <w:szCs w:val="22"/>
          <w:lang w:val="hr-HR"/>
        </w:rPr>
        <w:t xml:space="preserve">nakon 0,66 mg/kg </w:t>
      </w:r>
      <w:r w:rsidR="00DD1576">
        <w:rPr>
          <w:szCs w:val="22"/>
          <w:lang w:val="hr-HR"/>
        </w:rPr>
        <w:t xml:space="preserve">somatrogona </w:t>
      </w:r>
      <w:r w:rsidRPr="007C0730">
        <w:rPr>
          <w:szCs w:val="22"/>
          <w:lang w:val="hr-HR"/>
        </w:rPr>
        <w:t>nedjeljno</w:t>
      </w:r>
      <w:r w:rsidRPr="00D07CAB">
        <w:rPr>
          <w:szCs w:val="22"/>
          <w:lang w:val="hr-HR"/>
        </w:rPr>
        <w:t xml:space="preserve">. </w:t>
      </w:r>
      <w:bookmarkStart w:id="17" w:name="_Hlk89274032"/>
      <w:r w:rsidRPr="00D07CAB">
        <w:rPr>
          <w:szCs w:val="22"/>
          <w:lang w:val="hr-HR"/>
        </w:rPr>
        <w:t>Pacijenti koji su bili pozitivni na ADA imali su približno 45% višu prosječnu koncentraciju u stanju dinamičke ravnoteže.</w:t>
      </w:r>
      <w:bookmarkEnd w:id="17"/>
    </w:p>
    <w:p w14:paraId="1C7D59C2" w14:textId="77777777" w:rsidR="00926A7F" w:rsidRPr="00C1176F" w:rsidRDefault="00926A7F" w:rsidP="008D5FAA">
      <w:pPr>
        <w:numPr>
          <w:ilvl w:val="12"/>
          <w:numId w:val="0"/>
        </w:numPr>
        <w:spacing w:line="240" w:lineRule="auto"/>
        <w:ind w:right="-2"/>
        <w:jc w:val="both"/>
        <w:rPr>
          <w:szCs w:val="22"/>
          <w:u w:val="single"/>
          <w:lang w:val="hr-HR"/>
        </w:rPr>
      </w:pPr>
    </w:p>
    <w:p w14:paraId="1BBEE0CF" w14:textId="10105E1B" w:rsidR="00812D16" w:rsidRPr="00C1176F" w:rsidRDefault="00B86F6B" w:rsidP="008D5FAA">
      <w:pPr>
        <w:numPr>
          <w:ilvl w:val="12"/>
          <w:numId w:val="0"/>
        </w:numPr>
        <w:spacing w:line="240" w:lineRule="auto"/>
        <w:ind w:right="-2"/>
        <w:jc w:val="both"/>
        <w:rPr>
          <w:szCs w:val="22"/>
          <w:u w:val="single"/>
          <w:lang w:val="hr-HR"/>
        </w:rPr>
      </w:pPr>
      <w:r w:rsidRPr="007C0730">
        <w:rPr>
          <w:szCs w:val="22"/>
          <w:u w:val="single"/>
          <w:lang w:val="hr-HR"/>
        </w:rPr>
        <w:t>Distribucija</w:t>
      </w:r>
    </w:p>
    <w:p w14:paraId="7A99BBB1" w14:textId="77777777" w:rsidR="00872996" w:rsidRPr="00C1176F" w:rsidRDefault="00872996" w:rsidP="008D5FAA">
      <w:pPr>
        <w:numPr>
          <w:ilvl w:val="12"/>
          <w:numId w:val="0"/>
        </w:numPr>
        <w:spacing w:line="240" w:lineRule="auto"/>
        <w:ind w:right="-2"/>
        <w:jc w:val="both"/>
        <w:rPr>
          <w:szCs w:val="22"/>
          <w:u w:val="single"/>
          <w:lang w:val="hr-HR"/>
        </w:rPr>
      </w:pPr>
    </w:p>
    <w:p w14:paraId="796FD4C4" w14:textId="7403756C" w:rsidR="00872996" w:rsidRPr="00C1176F" w:rsidRDefault="00872996" w:rsidP="008D5FAA">
      <w:pPr>
        <w:numPr>
          <w:ilvl w:val="12"/>
          <w:numId w:val="0"/>
        </w:numPr>
        <w:spacing w:line="240" w:lineRule="auto"/>
        <w:ind w:right="-2"/>
        <w:jc w:val="both"/>
        <w:rPr>
          <w:szCs w:val="22"/>
          <w:u w:val="single"/>
          <w:lang w:val="hr-HR"/>
        </w:rPr>
      </w:pPr>
      <w:r w:rsidRPr="007C0730">
        <w:rPr>
          <w:szCs w:val="22"/>
          <w:lang w:val="hr-HR"/>
        </w:rPr>
        <w:t xml:space="preserve">Kod pedijatrijskih pacijenata sa GHD-om, </w:t>
      </w:r>
      <w:r w:rsidR="00DD1576">
        <w:rPr>
          <w:szCs w:val="22"/>
          <w:lang w:val="hr-HR"/>
        </w:rPr>
        <w:t xml:space="preserve">populacionom farmakokinetikom je </w:t>
      </w:r>
      <w:r w:rsidRPr="007C0730">
        <w:rPr>
          <w:szCs w:val="22"/>
          <w:lang w:val="hr-HR"/>
        </w:rPr>
        <w:t xml:space="preserve">procijenjen </w:t>
      </w:r>
      <w:r w:rsidR="00DD1576">
        <w:rPr>
          <w:szCs w:val="22"/>
          <w:lang w:val="hr-HR"/>
        </w:rPr>
        <w:t xml:space="preserve">prividni centralni volumen distribucije od </w:t>
      </w:r>
      <w:r w:rsidRPr="007C0730">
        <w:rPr>
          <w:szCs w:val="22"/>
          <w:lang w:val="hr-HR"/>
        </w:rPr>
        <w:t>0,728 </w:t>
      </w:r>
      <w:r w:rsidR="0091638D" w:rsidRPr="007C0730">
        <w:rPr>
          <w:szCs w:val="22"/>
          <w:lang w:val="hr-HR"/>
        </w:rPr>
        <w:t>l</w:t>
      </w:r>
      <w:r w:rsidRPr="007C0730">
        <w:rPr>
          <w:szCs w:val="22"/>
          <w:lang w:val="hr-HR"/>
        </w:rPr>
        <w:t xml:space="preserve">/kg, </w:t>
      </w:r>
      <w:r w:rsidR="00DD1576">
        <w:rPr>
          <w:szCs w:val="22"/>
          <w:lang w:val="hr-HR"/>
        </w:rPr>
        <w:t>i prividni</w:t>
      </w:r>
      <w:r w:rsidRPr="007C0730">
        <w:rPr>
          <w:szCs w:val="22"/>
          <w:lang w:val="hr-HR"/>
        </w:rPr>
        <w:t xml:space="preserve"> </w:t>
      </w:r>
      <w:r w:rsidR="00DD1576">
        <w:rPr>
          <w:szCs w:val="22"/>
          <w:lang w:val="hr-HR"/>
        </w:rPr>
        <w:t>periferni volumen distribucije</w:t>
      </w:r>
      <w:r w:rsidRPr="007C0730">
        <w:rPr>
          <w:szCs w:val="22"/>
          <w:lang w:val="hr-HR"/>
        </w:rPr>
        <w:t xml:space="preserve"> </w:t>
      </w:r>
      <w:r w:rsidR="00DD1576">
        <w:rPr>
          <w:szCs w:val="22"/>
          <w:lang w:val="hr-HR"/>
        </w:rPr>
        <w:t xml:space="preserve">od </w:t>
      </w:r>
      <w:r w:rsidRPr="007C0730">
        <w:rPr>
          <w:szCs w:val="22"/>
          <w:lang w:val="hr-HR"/>
        </w:rPr>
        <w:t>0,165 </w:t>
      </w:r>
      <w:r w:rsidR="0091638D" w:rsidRPr="007C0730">
        <w:rPr>
          <w:szCs w:val="22"/>
          <w:lang w:val="hr-HR"/>
        </w:rPr>
        <w:t>l</w:t>
      </w:r>
      <w:r w:rsidRPr="007C0730">
        <w:rPr>
          <w:szCs w:val="22"/>
          <w:lang w:val="hr-HR"/>
        </w:rPr>
        <w:t>/kg.</w:t>
      </w:r>
      <w:r w:rsidRPr="007C0730">
        <w:rPr>
          <w:szCs w:val="22"/>
          <w:u w:val="single"/>
          <w:lang w:val="hr-HR"/>
        </w:rPr>
        <w:t xml:space="preserve"> </w:t>
      </w:r>
    </w:p>
    <w:p w14:paraId="5590B9AF" w14:textId="77777777" w:rsidR="00872996" w:rsidRPr="00C1176F" w:rsidRDefault="00872996" w:rsidP="008D5FAA">
      <w:pPr>
        <w:numPr>
          <w:ilvl w:val="12"/>
          <w:numId w:val="0"/>
        </w:numPr>
        <w:spacing w:line="240" w:lineRule="auto"/>
        <w:ind w:right="-2"/>
        <w:jc w:val="both"/>
        <w:rPr>
          <w:szCs w:val="22"/>
          <w:u w:val="single"/>
          <w:lang w:val="hr-HR"/>
        </w:rPr>
      </w:pPr>
    </w:p>
    <w:p w14:paraId="1BBEE0D3" w14:textId="524253AB" w:rsidR="00812D16" w:rsidRPr="00C1176F" w:rsidRDefault="00812D16" w:rsidP="008D5FAA">
      <w:pPr>
        <w:numPr>
          <w:ilvl w:val="12"/>
          <w:numId w:val="0"/>
        </w:numPr>
        <w:spacing w:line="240" w:lineRule="auto"/>
        <w:ind w:right="-2"/>
        <w:jc w:val="both"/>
        <w:rPr>
          <w:szCs w:val="22"/>
          <w:u w:val="single"/>
          <w:lang w:val="hr-HR"/>
        </w:rPr>
      </w:pPr>
      <w:r w:rsidRPr="007C0730">
        <w:rPr>
          <w:szCs w:val="22"/>
          <w:u w:val="single"/>
          <w:lang w:val="hr-HR"/>
        </w:rPr>
        <w:t>Biotransformacija</w:t>
      </w:r>
    </w:p>
    <w:p w14:paraId="1ED49CFA" w14:textId="11F49E1A" w:rsidR="00DF552D" w:rsidRPr="008D5FAA" w:rsidRDefault="00DF552D" w:rsidP="008D5FAA">
      <w:pPr>
        <w:numPr>
          <w:ilvl w:val="12"/>
          <w:numId w:val="0"/>
        </w:numPr>
        <w:spacing w:line="240" w:lineRule="auto"/>
        <w:ind w:right="-2"/>
        <w:jc w:val="both"/>
        <w:rPr>
          <w:szCs w:val="22"/>
          <w:u w:val="single"/>
          <w:lang w:val="hr-HR"/>
        </w:rPr>
      </w:pPr>
    </w:p>
    <w:p w14:paraId="7062189E" w14:textId="11303AC6" w:rsidR="00872996" w:rsidRPr="007C0730" w:rsidRDefault="00872996" w:rsidP="008D5FAA">
      <w:pPr>
        <w:numPr>
          <w:ilvl w:val="12"/>
          <w:numId w:val="0"/>
        </w:numPr>
        <w:spacing w:line="240" w:lineRule="auto"/>
        <w:ind w:right="-2"/>
        <w:jc w:val="both"/>
        <w:rPr>
          <w:szCs w:val="22"/>
          <w:lang w:val="hr-HR"/>
        </w:rPr>
      </w:pPr>
      <w:r w:rsidRPr="007C0730">
        <w:rPr>
          <w:szCs w:val="22"/>
          <w:lang w:val="hr-HR"/>
        </w:rPr>
        <w:t>Vjeruje se da je metabolička sudbina somatrogona klasični katabolizam proteina, sa naknadnim obnavljanjem aminokiselina i povratkom u sistemsku cirkulaciju.</w:t>
      </w:r>
    </w:p>
    <w:p w14:paraId="024B845E" w14:textId="77777777" w:rsidR="00872996" w:rsidRPr="00C1176F" w:rsidRDefault="00872996" w:rsidP="008D5FAA">
      <w:pPr>
        <w:numPr>
          <w:ilvl w:val="12"/>
          <w:numId w:val="0"/>
        </w:numPr>
        <w:spacing w:line="240" w:lineRule="auto"/>
        <w:ind w:right="-2"/>
        <w:jc w:val="both"/>
        <w:rPr>
          <w:szCs w:val="22"/>
          <w:u w:val="single"/>
          <w:lang w:val="hr-HR"/>
        </w:rPr>
      </w:pPr>
    </w:p>
    <w:p w14:paraId="1BBEE0D5" w14:textId="30B66A77" w:rsidR="00812D16" w:rsidRPr="00C1176F" w:rsidRDefault="00B86F6B" w:rsidP="008D5FAA">
      <w:pPr>
        <w:keepNext/>
        <w:numPr>
          <w:ilvl w:val="12"/>
          <w:numId w:val="0"/>
        </w:numPr>
        <w:spacing w:line="240" w:lineRule="auto"/>
        <w:ind w:right="-2"/>
        <w:jc w:val="both"/>
        <w:rPr>
          <w:szCs w:val="22"/>
          <w:u w:val="single"/>
          <w:lang w:val="hr-HR"/>
        </w:rPr>
      </w:pPr>
      <w:r w:rsidRPr="007C0730">
        <w:rPr>
          <w:szCs w:val="22"/>
          <w:u w:val="single"/>
          <w:lang w:val="hr-HR"/>
        </w:rPr>
        <w:t>Eliminacija</w:t>
      </w:r>
    </w:p>
    <w:p w14:paraId="3DC628A8" w14:textId="460C86AA" w:rsidR="00872996" w:rsidRPr="007C0730" w:rsidRDefault="00872996" w:rsidP="008D5FAA">
      <w:pPr>
        <w:keepNext/>
        <w:jc w:val="both"/>
        <w:rPr>
          <w:szCs w:val="22"/>
          <w:lang w:val="hr-HR"/>
        </w:rPr>
      </w:pPr>
    </w:p>
    <w:p w14:paraId="1BBEE0DC" w14:textId="0BB7303F" w:rsidR="00BB18B3" w:rsidRPr="00D07CAB" w:rsidRDefault="00872996" w:rsidP="008D5FAA">
      <w:pPr>
        <w:jc w:val="both"/>
        <w:rPr>
          <w:szCs w:val="22"/>
          <w:lang w:val="hr-HR"/>
        </w:rPr>
      </w:pPr>
      <w:r w:rsidRPr="007C0730">
        <w:rPr>
          <w:szCs w:val="22"/>
          <w:lang w:val="hr-HR"/>
        </w:rPr>
        <w:t xml:space="preserve">Kod pedijatrijskih pacijenata sa GHD, </w:t>
      </w:r>
      <w:r w:rsidR="00DD1576">
        <w:rPr>
          <w:szCs w:val="22"/>
          <w:lang w:val="hr-HR"/>
        </w:rPr>
        <w:t xml:space="preserve">populacionom farmakokinetikom </w:t>
      </w:r>
      <w:r w:rsidRPr="007C0730">
        <w:rPr>
          <w:szCs w:val="22"/>
          <w:lang w:val="hr-HR"/>
        </w:rPr>
        <w:t>procijenjen</w:t>
      </w:r>
      <w:r w:rsidR="00DD1576">
        <w:rPr>
          <w:szCs w:val="22"/>
          <w:lang w:val="hr-HR"/>
        </w:rPr>
        <w:t xml:space="preserve"> je prividni</w:t>
      </w:r>
      <w:r w:rsidRPr="007C0730">
        <w:rPr>
          <w:szCs w:val="22"/>
          <w:lang w:val="hr-HR"/>
        </w:rPr>
        <w:t xml:space="preserve"> klirens </w:t>
      </w:r>
      <w:r w:rsidR="00DD1576">
        <w:rPr>
          <w:szCs w:val="22"/>
          <w:lang w:val="hr-HR"/>
        </w:rPr>
        <w:t>od</w:t>
      </w:r>
      <w:r w:rsidRPr="007C0730">
        <w:rPr>
          <w:szCs w:val="22"/>
          <w:lang w:val="hr-HR"/>
        </w:rPr>
        <w:t xml:space="preserve"> 0,0317 </w:t>
      </w:r>
      <w:r w:rsidR="0091638D" w:rsidRPr="007C0730">
        <w:rPr>
          <w:szCs w:val="22"/>
          <w:lang w:val="hr-HR"/>
        </w:rPr>
        <w:t>l/</w:t>
      </w:r>
      <w:r w:rsidR="0091638D" w:rsidRPr="007C0730" w:rsidDel="0091638D">
        <w:rPr>
          <w:szCs w:val="22"/>
          <w:lang w:val="hr-HR"/>
        </w:rPr>
        <w:t xml:space="preserve"> </w:t>
      </w:r>
      <w:r w:rsidRPr="007C0730">
        <w:rPr>
          <w:szCs w:val="22"/>
          <w:lang w:val="hr-HR"/>
        </w:rPr>
        <w:t xml:space="preserve">h/kg. Pacijenti koji su bili pozitivni na ADA imali su približno 25,8% smanjenja pretpostavljenog klirensa. </w:t>
      </w:r>
      <w:r w:rsidR="00DD1576">
        <w:rPr>
          <w:szCs w:val="22"/>
          <w:lang w:val="hr-HR"/>
        </w:rPr>
        <w:t>Populacionom</w:t>
      </w:r>
      <w:r w:rsidR="00DD1576" w:rsidRPr="00DD1576">
        <w:rPr>
          <w:szCs w:val="22"/>
          <w:lang w:val="hr-HR"/>
        </w:rPr>
        <w:t xml:space="preserve"> farmakokinetikom procijenjen</w:t>
      </w:r>
      <w:r w:rsidR="00DD1576">
        <w:rPr>
          <w:szCs w:val="22"/>
          <w:lang w:val="hr-HR"/>
        </w:rPr>
        <w:t xml:space="preserve">o je efektivno poluvrijeme eliminacije </w:t>
      </w:r>
      <w:r w:rsidR="00DD1576" w:rsidRPr="00DD1576">
        <w:rPr>
          <w:szCs w:val="22"/>
          <w:lang w:val="hr-HR"/>
        </w:rPr>
        <w:t>od</w:t>
      </w:r>
      <w:r w:rsidR="00DD1576">
        <w:rPr>
          <w:szCs w:val="22"/>
          <w:lang w:val="hr-HR"/>
        </w:rPr>
        <w:t xml:space="preserve"> </w:t>
      </w:r>
      <w:r w:rsidR="00DD1576" w:rsidRPr="00DD1576">
        <w:rPr>
          <w:szCs w:val="22"/>
          <w:lang w:val="hr-HR"/>
        </w:rPr>
        <w:t>28,2 sata, a somatrogon je prisutan u krvotoku oko 6 dana nakon posljednje doze</w:t>
      </w:r>
      <w:r w:rsidR="00DD1576">
        <w:rPr>
          <w:szCs w:val="22"/>
          <w:lang w:val="hr-HR"/>
        </w:rPr>
        <w:t>.</w:t>
      </w:r>
      <w:r w:rsidR="00DD1576" w:rsidRPr="00DD1576" w:rsidDel="00DD1576">
        <w:rPr>
          <w:szCs w:val="22"/>
          <w:lang w:val="hr-HR"/>
        </w:rPr>
        <w:t xml:space="preserve"> </w:t>
      </w:r>
    </w:p>
    <w:p w14:paraId="01CA5EA2" w14:textId="77777777" w:rsidR="00807A3F" w:rsidRPr="00C1176F" w:rsidRDefault="00807A3F" w:rsidP="008D5FAA">
      <w:pPr>
        <w:pStyle w:val="ListParagraph"/>
        <w:keepNext/>
        <w:ind w:left="0"/>
        <w:contextualSpacing w:val="0"/>
        <w:jc w:val="both"/>
        <w:rPr>
          <w:bCs/>
          <w:sz w:val="22"/>
          <w:szCs w:val="22"/>
          <w:u w:val="single"/>
          <w:lang w:val="hr-HR"/>
        </w:rPr>
      </w:pPr>
    </w:p>
    <w:p w14:paraId="502AB65B" w14:textId="1D37D3F0" w:rsidR="00807A3F" w:rsidRPr="00C1176F" w:rsidRDefault="00807A3F" w:rsidP="008D5FAA">
      <w:pPr>
        <w:pStyle w:val="ListParagraph"/>
        <w:keepNext/>
        <w:ind w:left="0"/>
        <w:contextualSpacing w:val="0"/>
        <w:jc w:val="both"/>
        <w:rPr>
          <w:bCs/>
          <w:sz w:val="22"/>
          <w:szCs w:val="22"/>
          <w:u w:val="single"/>
          <w:lang w:val="hr-HR"/>
        </w:rPr>
      </w:pPr>
      <w:r w:rsidRPr="007C0730">
        <w:rPr>
          <w:sz w:val="22"/>
          <w:szCs w:val="22"/>
          <w:u w:val="single"/>
          <w:lang w:val="hr-HR"/>
        </w:rPr>
        <w:t>Posebne populacije</w:t>
      </w:r>
    </w:p>
    <w:p w14:paraId="11A2A2B1" w14:textId="6D72396C" w:rsidR="00807A3F" w:rsidRPr="00C1176F" w:rsidRDefault="00807A3F" w:rsidP="008D5FAA">
      <w:pPr>
        <w:pStyle w:val="ListParagraph"/>
        <w:keepNext/>
        <w:ind w:left="0"/>
        <w:contextualSpacing w:val="0"/>
        <w:jc w:val="both"/>
        <w:rPr>
          <w:b/>
          <w:sz w:val="22"/>
          <w:szCs w:val="22"/>
          <w:lang w:val="hr-HR"/>
        </w:rPr>
      </w:pPr>
    </w:p>
    <w:p w14:paraId="27482DC7" w14:textId="77777777" w:rsidR="00807A3F" w:rsidRPr="00C1176F" w:rsidRDefault="00807A3F" w:rsidP="008D5FAA">
      <w:pPr>
        <w:pStyle w:val="ListParagraph"/>
        <w:keepNext/>
        <w:ind w:left="0"/>
        <w:contextualSpacing w:val="0"/>
        <w:jc w:val="both"/>
        <w:rPr>
          <w:bCs/>
          <w:i/>
          <w:iCs/>
          <w:sz w:val="22"/>
          <w:szCs w:val="22"/>
          <w:lang w:val="hr-HR"/>
        </w:rPr>
      </w:pPr>
      <w:r w:rsidRPr="007C0730">
        <w:rPr>
          <w:i/>
          <w:sz w:val="22"/>
          <w:szCs w:val="22"/>
          <w:lang w:val="hr-HR"/>
        </w:rPr>
        <w:t>Starosna dob, rasa, pol, tjelesna težina</w:t>
      </w:r>
    </w:p>
    <w:p w14:paraId="2D4807DB" w14:textId="0DC29291" w:rsidR="00A605CE" w:rsidRPr="00255289" w:rsidRDefault="00807A3F" w:rsidP="008D5FAA">
      <w:pPr>
        <w:jc w:val="both"/>
        <w:rPr>
          <w:rFonts w:eastAsia="SimSun"/>
          <w:szCs w:val="22"/>
          <w:lang w:val="hr-HR"/>
        </w:rPr>
      </w:pPr>
      <w:r w:rsidRPr="007C0730">
        <w:rPr>
          <w:szCs w:val="22"/>
          <w:lang w:val="hr-HR"/>
        </w:rPr>
        <w:t>Na osnovu analiza populacion</w:t>
      </w:r>
      <w:r w:rsidR="00DD1576">
        <w:rPr>
          <w:szCs w:val="22"/>
          <w:lang w:val="hr-HR"/>
        </w:rPr>
        <w:t>e</w:t>
      </w:r>
      <w:r w:rsidRPr="007C0730">
        <w:rPr>
          <w:szCs w:val="22"/>
          <w:lang w:val="hr-HR"/>
        </w:rPr>
        <w:t xml:space="preserve"> FK, starosna dob, pol, rasa i etnička pripadnost nemaju klinički značajan efekat na farmakokinetiku somatrogona kod pedijatrijskih pacijenata sa GHD. </w:t>
      </w:r>
      <w:bookmarkStart w:id="18" w:name="_Hlk78901589"/>
      <w:r w:rsidRPr="007C0730">
        <w:rPr>
          <w:szCs w:val="22"/>
          <w:lang w:val="hr-HR"/>
        </w:rPr>
        <w:t xml:space="preserve">Izloženost </w:t>
      </w:r>
      <w:r w:rsidRPr="00D07CAB">
        <w:rPr>
          <w:szCs w:val="22"/>
          <w:lang w:val="hr-HR"/>
        </w:rPr>
        <w:t>somatrogonu se smanjuje sa povećanjem tjelesne težine</w:t>
      </w:r>
      <w:bookmarkEnd w:id="18"/>
      <w:r w:rsidRPr="00D07CAB">
        <w:rPr>
          <w:szCs w:val="22"/>
          <w:lang w:val="hr-HR"/>
        </w:rPr>
        <w:t>.</w:t>
      </w:r>
      <w:r w:rsidRPr="00D07CAB">
        <w:rPr>
          <w:color w:val="0000FF"/>
          <w:szCs w:val="22"/>
          <w:lang w:val="hr-HR"/>
        </w:rPr>
        <w:t xml:space="preserve"> </w:t>
      </w:r>
      <w:r w:rsidRPr="00D07CAB">
        <w:rPr>
          <w:szCs w:val="22"/>
          <w:lang w:val="hr-HR"/>
        </w:rPr>
        <w:t>Međutim, doza somatrogona od 0,66 </w:t>
      </w:r>
      <w:r w:rsidRPr="00255289">
        <w:rPr>
          <w:szCs w:val="22"/>
          <w:lang w:val="hr-HR"/>
        </w:rPr>
        <w:t>mg/kg/nedjeljno obezbjeđuje adekvatnu sistemsku izloženost za bezbjedno postizanje efikasnosti u opsegu težine procijenjenom u kliničkim studijama.</w:t>
      </w:r>
    </w:p>
    <w:p w14:paraId="730E0C91" w14:textId="65866DBC" w:rsidR="00A605CE" w:rsidRPr="00D173DA" w:rsidRDefault="00A605CE" w:rsidP="008D5FAA">
      <w:pPr>
        <w:jc w:val="both"/>
        <w:rPr>
          <w:szCs w:val="22"/>
          <w:lang w:val="hr-HR"/>
        </w:rPr>
      </w:pPr>
    </w:p>
    <w:p w14:paraId="1BBEE0EE" w14:textId="64F97830" w:rsidR="00812D16" w:rsidRPr="00C1176F" w:rsidRDefault="00812D16" w:rsidP="008D5FAA">
      <w:pPr>
        <w:keepNext/>
        <w:jc w:val="both"/>
        <w:rPr>
          <w:b/>
          <w:szCs w:val="22"/>
          <w:lang w:val="hr-HR"/>
        </w:rPr>
      </w:pPr>
      <w:r w:rsidRPr="001E4FA7">
        <w:rPr>
          <w:b/>
          <w:szCs w:val="22"/>
          <w:lang w:val="hr-HR"/>
        </w:rPr>
        <w:t>5.3</w:t>
      </w:r>
      <w:r w:rsidRPr="008D5FAA">
        <w:rPr>
          <w:szCs w:val="22"/>
          <w:lang w:val="hr-HR"/>
        </w:rPr>
        <w:tab/>
      </w:r>
      <w:r w:rsidRPr="008D5FAA">
        <w:rPr>
          <w:b/>
          <w:szCs w:val="22"/>
          <w:lang w:val="hr-HR"/>
        </w:rPr>
        <w:t>Pretklinički podaci o bezbjednosti</w:t>
      </w:r>
    </w:p>
    <w:p w14:paraId="21010F63" w14:textId="77777777" w:rsidR="00AF4BC5" w:rsidRPr="007C0730" w:rsidRDefault="00AF4BC5" w:rsidP="008D5FAA">
      <w:pPr>
        <w:keepNext/>
        <w:tabs>
          <w:tab w:val="clear" w:pos="567"/>
          <w:tab w:val="left" w:pos="720"/>
        </w:tabs>
        <w:spacing w:line="240" w:lineRule="auto"/>
        <w:jc w:val="both"/>
        <w:outlineLvl w:val="0"/>
        <w:rPr>
          <w:color w:val="000000"/>
          <w:szCs w:val="22"/>
          <w:shd w:val="clear" w:color="auto" w:fill="FFFFFF"/>
          <w:lang w:val="hr-HR"/>
        </w:rPr>
      </w:pPr>
    </w:p>
    <w:p w14:paraId="7D56754A" w14:textId="47E7C1C2" w:rsidR="000A37BB" w:rsidRPr="00C1176F" w:rsidRDefault="00D02739" w:rsidP="008D5FAA">
      <w:pPr>
        <w:keepNext/>
        <w:tabs>
          <w:tab w:val="clear" w:pos="567"/>
          <w:tab w:val="left" w:pos="720"/>
        </w:tabs>
        <w:spacing w:line="240" w:lineRule="auto"/>
        <w:jc w:val="both"/>
        <w:outlineLvl w:val="0"/>
        <w:rPr>
          <w:szCs w:val="22"/>
          <w:lang w:val="hr-HR"/>
        </w:rPr>
      </w:pPr>
      <w:r w:rsidRPr="00D07CAB">
        <w:rPr>
          <w:color w:val="000000"/>
          <w:szCs w:val="22"/>
          <w:shd w:val="clear" w:color="auto" w:fill="FFFFFF"/>
          <w:lang w:val="hr-HR"/>
        </w:rPr>
        <w:t>Ispitivanja na životinjama ne ukazuju na poseban rizik za ljude, na osnovu konvencionalnih ispitivanja farmakološke bezbjednosti i toksičnosti ponovljenih doza.</w:t>
      </w:r>
    </w:p>
    <w:p w14:paraId="2C76607C" w14:textId="20E509EF" w:rsidR="004264C3" w:rsidRPr="00C1176F" w:rsidRDefault="004264C3" w:rsidP="008D5FAA">
      <w:pPr>
        <w:jc w:val="both"/>
        <w:rPr>
          <w:szCs w:val="22"/>
          <w:lang w:val="hr-HR"/>
        </w:rPr>
      </w:pPr>
    </w:p>
    <w:p w14:paraId="42ACA31E" w14:textId="0A0CFFA6" w:rsidR="001A2216" w:rsidRPr="00D07CAB" w:rsidRDefault="001A2216"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rPr>
      </w:pPr>
      <w:r w:rsidRPr="007C0730">
        <w:rPr>
          <w:rFonts w:ascii="Times New Roman" w:hAnsi="Times New Roman" w:cs="Times New Roman"/>
          <w:color w:val="000000"/>
          <w:sz w:val="22"/>
          <w:szCs w:val="22"/>
          <w:shd w:val="clear" w:color="auto" w:fill="FFFFFF"/>
          <w:lang w:val="hr-HR"/>
        </w:rPr>
        <w:t xml:space="preserve">Studije reproduktivne i razvojne toksičnosti sprovedene su kod pacova sa somatrogonom primijenjenim subkutano u dozama do 30 mg/kg (povezano sa nivoima izloženosti približno 14 puta maksimalne preporučene doze kod ljudi na osnovu AUC). </w:t>
      </w:r>
    </w:p>
    <w:p w14:paraId="7D2945E3" w14:textId="77777777" w:rsidR="00983618" w:rsidRPr="00255289" w:rsidRDefault="00983618"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eastAsia="en-US"/>
        </w:rPr>
      </w:pPr>
    </w:p>
    <w:p w14:paraId="73FA9F9F" w14:textId="336B0A47" w:rsidR="001A2216" w:rsidRPr="00D173DA" w:rsidRDefault="001A2216"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rPr>
      </w:pPr>
      <w:r w:rsidRPr="00D173DA">
        <w:rPr>
          <w:rFonts w:ascii="Times New Roman" w:hAnsi="Times New Roman" w:cs="Times New Roman"/>
          <w:color w:val="000000"/>
          <w:sz w:val="22"/>
          <w:szCs w:val="22"/>
          <w:shd w:val="clear" w:color="auto" w:fill="FFFFFF"/>
          <w:lang w:val="hr-HR"/>
        </w:rPr>
        <w:t>Somatrogon je izazvao povećanje dužine ciklusa estrusa, intervala kopulacije i broja žutih tijela kod ženki pacova, ali nije imao uticaja na indekse parenja, plodnost ili rani razvoj embriona.</w:t>
      </w:r>
    </w:p>
    <w:p w14:paraId="2C762687" w14:textId="77777777" w:rsidR="00983618" w:rsidRPr="001E4FA7" w:rsidRDefault="00983618"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eastAsia="en-US"/>
        </w:rPr>
      </w:pPr>
    </w:p>
    <w:p w14:paraId="70CA7BEA" w14:textId="18D66351" w:rsidR="001A2216" w:rsidRPr="007C0730" w:rsidRDefault="001A2216"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rPr>
      </w:pPr>
      <w:r w:rsidRPr="008D5FAA">
        <w:rPr>
          <w:rFonts w:ascii="Times New Roman" w:hAnsi="Times New Roman" w:cs="Times New Roman"/>
          <w:color w:val="000000"/>
          <w:sz w:val="22"/>
          <w:szCs w:val="22"/>
          <w:shd w:val="clear" w:color="auto" w:fill="FFFFFF"/>
          <w:lang w:val="hr-HR"/>
        </w:rPr>
        <w:t>Ni</w:t>
      </w:r>
      <w:r w:rsidR="00DD1576">
        <w:rPr>
          <w:rFonts w:ascii="Times New Roman" w:hAnsi="Times New Roman" w:cs="Times New Roman"/>
          <w:color w:val="000000"/>
          <w:sz w:val="22"/>
          <w:szCs w:val="22"/>
          <w:shd w:val="clear" w:color="auto" w:fill="FFFFFF"/>
          <w:lang w:val="hr-HR"/>
        </w:rPr>
        <w:t>je</w:t>
      </w:r>
      <w:r w:rsidRPr="007C0730">
        <w:rPr>
          <w:rFonts w:ascii="Times New Roman" w:hAnsi="Times New Roman" w:cs="Times New Roman"/>
          <w:color w:val="000000"/>
          <w:sz w:val="22"/>
          <w:szCs w:val="22"/>
          <w:shd w:val="clear" w:color="auto" w:fill="FFFFFF"/>
          <w:lang w:val="hr-HR"/>
        </w:rPr>
        <w:t xml:space="preserve">su primijećeni efekti somatrogona na razvoj embriona i fetusa. </w:t>
      </w:r>
    </w:p>
    <w:p w14:paraId="591A0B02" w14:textId="77777777" w:rsidR="00983618" w:rsidRPr="00D07CAB" w:rsidRDefault="00983618"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eastAsia="en-US"/>
        </w:rPr>
      </w:pPr>
    </w:p>
    <w:p w14:paraId="2300A23E" w14:textId="4E364F4F" w:rsidR="001A2216" w:rsidRPr="00D173DA" w:rsidRDefault="001A2216"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rPr>
      </w:pPr>
      <w:r w:rsidRPr="00255289">
        <w:rPr>
          <w:rFonts w:ascii="Times New Roman" w:hAnsi="Times New Roman" w:cs="Times New Roman"/>
          <w:color w:val="000000"/>
          <w:sz w:val="22"/>
          <w:szCs w:val="22"/>
          <w:shd w:val="clear" w:color="auto" w:fill="FFFFFF"/>
          <w:lang w:val="hr-HR"/>
        </w:rPr>
        <w:t>U ispitivanju pre-postnatalnog razvoja somatrogon je izazvao povećanje srednje tjelesne težine prve generacije (F1) (oba pola), kao i povećanje srednjeg kopulacionog intervala kod F1 ženki pri najvišoj dozi (30 mg/kg), koja je bila u skladu sa dužim ciklusom estrusa; međutim, nije bilo povezanih dejstava na indekse parenja.</w:t>
      </w:r>
    </w:p>
    <w:p w14:paraId="4F46044F" w14:textId="77777777" w:rsidR="004702DF" w:rsidRPr="001E4FA7" w:rsidRDefault="004702DF" w:rsidP="008D5FAA">
      <w:pPr>
        <w:pStyle w:val="BodytextAgency"/>
        <w:spacing w:after="0" w:line="240" w:lineRule="auto"/>
        <w:jc w:val="both"/>
        <w:rPr>
          <w:rFonts w:ascii="Times New Roman" w:eastAsia="Times New Roman" w:hAnsi="Times New Roman" w:cs="Times New Roman"/>
          <w:color w:val="000000"/>
          <w:sz w:val="22"/>
          <w:szCs w:val="22"/>
          <w:shd w:val="clear" w:color="auto" w:fill="FFFFFF"/>
          <w:lang w:val="hr-HR" w:eastAsia="en-US"/>
        </w:rPr>
      </w:pPr>
    </w:p>
    <w:p w14:paraId="34C7224E" w14:textId="77777777" w:rsidR="007D0F61" w:rsidRPr="00C1176F" w:rsidRDefault="007D0F61" w:rsidP="008D5FAA">
      <w:pPr>
        <w:jc w:val="both"/>
        <w:rPr>
          <w:szCs w:val="22"/>
          <w:lang w:val="hr-HR"/>
        </w:rPr>
      </w:pPr>
    </w:p>
    <w:p w14:paraId="1BBEE112" w14:textId="77777777" w:rsidR="00812D16" w:rsidRPr="009C2C08" w:rsidRDefault="00812D16" w:rsidP="00FE3809">
      <w:pPr>
        <w:keepNext/>
        <w:suppressAutoHyphens/>
        <w:spacing w:line="240" w:lineRule="auto"/>
        <w:ind w:left="562" w:hanging="562"/>
        <w:rPr>
          <w:b/>
          <w:szCs w:val="22"/>
          <w:lang w:val="hr-HR"/>
        </w:rPr>
      </w:pPr>
      <w:r w:rsidRPr="009C2C08">
        <w:rPr>
          <w:b/>
          <w:lang w:val="hr-HR"/>
        </w:rPr>
        <w:t>6.</w:t>
      </w:r>
      <w:r w:rsidRPr="009C2C08">
        <w:rPr>
          <w:b/>
          <w:lang w:val="hr-HR"/>
        </w:rPr>
        <w:tab/>
        <w:t>FARMACEUTSKI PODACI</w:t>
      </w:r>
    </w:p>
    <w:p w14:paraId="1BBEE113" w14:textId="77777777" w:rsidR="00812D16" w:rsidRPr="009C2C08" w:rsidRDefault="00812D16" w:rsidP="00FE3809">
      <w:pPr>
        <w:keepNext/>
        <w:spacing w:line="240" w:lineRule="auto"/>
        <w:rPr>
          <w:szCs w:val="22"/>
          <w:lang w:val="hr-HR"/>
        </w:rPr>
      </w:pPr>
    </w:p>
    <w:p w14:paraId="1BBEE114" w14:textId="20D4EBC2" w:rsidR="00812D16" w:rsidRPr="009C2C08" w:rsidRDefault="00812D16" w:rsidP="00FE3809">
      <w:pPr>
        <w:pStyle w:val="ListParagraph"/>
        <w:keepNext/>
        <w:numPr>
          <w:ilvl w:val="1"/>
          <w:numId w:val="6"/>
        </w:numPr>
        <w:ind w:left="562" w:hanging="562"/>
        <w:outlineLvl w:val="0"/>
        <w:rPr>
          <w:b/>
          <w:sz w:val="22"/>
          <w:szCs w:val="20"/>
          <w:lang w:val="hr-HR"/>
        </w:rPr>
      </w:pPr>
      <w:r w:rsidRPr="009C2C08">
        <w:rPr>
          <w:b/>
          <w:sz w:val="22"/>
          <w:lang w:val="hr-HR"/>
        </w:rPr>
        <w:t>Lista pomoćnih supstanci (ekscipijenasa)</w:t>
      </w:r>
    </w:p>
    <w:p w14:paraId="1E3A5785" w14:textId="77777777" w:rsidR="00381DDC" w:rsidRPr="009C2C08" w:rsidRDefault="00381DDC" w:rsidP="00BA38E9">
      <w:pPr>
        <w:keepNext/>
        <w:spacing w:line="240" w:lineRule="auto"/>
        <w:rPr>
          <w:szCs w:val="22"/>
          <w:lang w:val="hr-HR"/>
        </w:rPr>
      </w:pPr>
    </w:p>
    <w:p w14:paraId="57BF8D8C" w14:textId="77777777" w:rsidR="003716B8" w:rsidRPr="009C2C08" w:rsidRDefault="003716B8" w:rsidP="00BA38E9">
      <w:pPr>
        <w:keepNext/>
        <w:spacing w:line="240" w:lineRule="auto"/>
        <w:rPr>
          <w:szCs w:val="22"/>
          <w:lang w:val="hr-HR"/>
        </w:rPr>
      </w:pPr>
      <w:r w:rsidRPr="009C2C08">
        <w:rPr>
          <w:lang w:val="hr-HR"/>
        </w:rPr>
        <w:t>Trinatrijum citrat dihidrat</w:t>
      </w:r>
    </w:p>
    <w:p w14:paraId="6AA61437" w14:textId="7462449F" w:rsidR="003716B8" w:rsidRPr="009C2C08" w:rsidRDefault="001E4FA7" w:rsidP="00BA38E9">
      <w:pPr>
        <w:keepNext/>
        <w:spacing w:line="240" w:lineRule="auto"/>
        <w:rPr>
          <w:szCs w:val="22"/>
          <w:lang w:val="hr-HR"/>
        </w:rPr>
      </w:pPr>
      <w:r w:rsidRPr="009C2C08">
        <w:rPr>
          <w:lang w:val="hr-HR"/>
        </w:rPr>
        <w:t>Limunsk</w:t>
      </w:r>
      <w:r>
        <w:rPr>
          <w:lang w:val="hr-HR"/>
        </w:rPr>
        <w:t>a</w:t>
      </w:r>
      <w:r w:rsidRPr="009C2C08">
        <w:rPr>
          <w:lang w:val="hr-HR"/>
        </w:rPr>
        <w:t xml:space="preserve"> </w:t>
      </w:r>
      <w:r w:rsidR="003716B8" w:rsidRPr="009C2C08">
        <w:rPr>
          <w:lang w:val="hr-HR"/>
        </w:rPr>
        <w:t>kiselin</w:t>
      </w:r>
      <w:r>
        <w:rPr>
          <w:lang w:val="hr-HR"/>
        </w:rPr>
        <w:t>a, m</w:t>
      </w:r>
      <w:r w:rsidRPr="009C2C08">
        <w:rPr>
          <w:lang w:val="hr-HR"/>
        </w:rPr>
        <w:t>onohidrat</w:t>
      </w:r>
    </w:p>
    <w:p w14:paraId="00627274" w14:textId="77777777" w:rsidR="003716B8" w:rsidRPr="009C2C08" w:rsidRDefault="003716B8" w:rsidP="00BA38E9">
      <w:pPr>
        <w:keepNext/>
        <w:spacing w:line="240" w:lineRule="auto"/>
        <w:rPr>
          <w:szCs w:val="22"/>
          <w:lang w:val="hr-HR"/>
        </w:rPr>
      </w:pPr>
      <w:r w:rsidRPr="009C2C08">
        <w:rPr>
          <w:lang w:val="hr-HR"/>
        </w:rPr>
        <w:t>L-histidin</w:t>
      </w:r>
    </w:p>
    <w:p w14:paraId="5BCD71E7" w14:textId="77777777" w:rsidR="003716B8" w:rsidRPr="009C2C08" w:rsidRDefault="003716B8" w:rsidP="00BA38E9">
      <w:pPr>
        <w:keepNext/>
        <w:spacing w:line="240" w:lineRule="auto"/>
        <w:rPr>
          <w:szCs w:val="22"/>
          <w:lang w:val="hr-HR"/>
        </w:rPr>
      </w:pPr>
      <w:r w:rsidRPr="009C2C08">
        <w:rPr>
          <w:lang w:val="hr-HR"/>
        </w:rPr>
        <w:t>Natrijum hlorid</w:t>
      </w:r>
    </w:p>
    <w:p w14:paraId="739799BC" w14:textId="77777777" w:rsidR="003716B8" w:rsidRPr="009C2C08" w:rsidRDefault="003716B8" w:rsidP="00BA38E9">
      <w:pPr>
        <w:keepNext/>
        <w:spacing w:line="240" w:lineRule="auto"/>
        <w:rPr>
          <w:szCs w:val="22"/>
          <w:lang w:val="hr-HR"/>
        </w:rPr>
      </w:pPr>
      <w:r w:rsidRPr="009C2C08">
        <w:rPr>
          <w:lang w:val="hr-HR"/>
        </w:rPr>
        <w:t>m-krezol</w:t>
      </w:r>
    </w:p>
    <w:p w14:paraId="19F1C253" w14:textId="77777777" w:rsidR="003716B8" w:rsidRPr="009C2C08" w:rsidRDefault="003716B8" w:rsidP="003716B8">
      <w:pPr>
        <w:spacing w:line="240" w:lineRule="auto"/>
        <w:rPr>
          <w:szCs w:val="22"/>
          <w:lang w:val="hr-HR"/>
        </w:rPr>
      </w:pPr>
      <w:r w:rsidRPr="009C2C08">
        <w:rPr>
          <w:lang w:val="hr-HR"/>
        </w:rPr>
        <w:t>Poloksamer 188</w:t>
      </w:r>
    </w:p>
    <w:p w14:paraId="4B19BAC5" w14:textId="47902B64" w:rsidR="00CA3D35" w:rsidRPr="009C2C08" w:rsidRDefault="003716B8" w:rsidP="003716B8">
      <w:pPr>
        <w:pStyle w:val="Paragraph"/>
        <w:spacing w:after="0"/>
        <w:rPr>
          <w:sz w:val="20"/>
          <w:szCs w:val="20"/>
          <w:lang w:val="hr-HR"/>
        </w:rPr>
      </w:pPr>
      <w:r w:rsidRPr="009C2C08">
        <w:rPr>
          <w:sz w:val="22"/>
          <w:lang w:val="hr-HR"/>
        </w:rPr>
        <w:t>Voda za injekcije</w:t>
      </w:r>
    </w:p>
    <w:p w14:paraId="154C23D3" w14:textId="77777777" w:rsidR="00381DDC" w:rsidRPr="009C2C08" w:rsidRDefault="00381DDC" w:rsidP="00381DDC">
      <w:pPr>
        <w:pStyle w:val="Paragraph"/>
        <w:spacing w:after="0"/>
        <w:rPr>
          <w:sz w:val="20"/>
          <w:szCs w:val="20"/>
          <w:lang w:val="hr-HR"/>
        </w:rPr>
      </w:pPr>
    </w:p>
    <w:p w14:paraId="1BBEE14C" w14:textId="2DE009FE" w:rsidR="00812D16" w:rsidRPr="009C2C08" w:rsidRDefault="00C75A92" w:rsidP="00841181">
      <w:pPr>
        <w:pStyle w:val="ListParagraph"/>
        <w:numPr>
          <w:ilvl w:val="1"/>
          <w:numId w:val="6"/>
        </w:numPr>
        <w:tabs>
          <w:tab w:val="left" w:pos="562"/>
        </w:tabs>
        <w:ind w:left="562" w:hanging="562"/>
        <w:outlineLvl w:val="0"/>
        <w:rPr>
          <w:b/>
          <w:sz w:val="22"/>
          <w:szCs w:val="20"/>
          <w:lang w:val="hr-HR"/>
        </w:rPr>
      </w:pPr>
      <w:r w:rsidRPr="009C2C08">
        <w:rPr>
          <w:b/>
          <w:sz w:val="22"/>
          <w:lang w:val="hr-HR"/>
        </w:rPr>
        <w:t>In</w:t>
      </w:r>
      <w:r w:rsidR="00812D16" w:rsidRPr="009C2C08">
        <w:rPr>
          <w:b/>
          <w:sz w:val="22"/>
          <w:lang w:val="hr-HR"/>
        </w:rPr>
        <w:t>kompatibilnosti</w:t>
      </w:r>
    </w:p>
    <w:p w14:paraId="78E7B69D" w14:textId="77777777" w:rsidR="0034592A" w:rsidRPr="009C2C08" w:rsidRDefault="0034592A" w:rsidP="000A37BB">
      <w:pPr>
        <w:outlineLvl w:val="0"/>
        <w:rPr>
          <w:szCs w:val="22"/>
          <w:lang w:val="hr-HR"/>
        </w:rPr>
      </w:pPr>
    </w:p>
    <w:p w14:paraId="1BBEE14D" w14:textId="2CF379F9" w:rsidR="00812D16" w:rsidRPr="009C2C08" w:rsidRDefault="00381DDC" w:rsidP="001F6147">
      <w:pPr>
        <w:pStyle w:val="Paragraph"/>
        <w:spacing w:after="0"/>
        <w:rPr>
          <w:sz w:val="22"/>
          <w:szCs w:val="20"/>
          <w:lang w:val="hr-HR"/>
        </w:rPr>
      </w:pPr>
      <w:r w:rsidRPr="009C2C08">
        <w:rPr>
          <w:sz w:val="22"/>
          <w:lang w:val="hr-HR"/>
        </w:rPr>
        <w:t>U odsustvu ispitivanja kompatibilnosti, ovaj lijek se ne smije miješati sa drugim lijekovima.</w:t>
      </w:r>
    </w:p>
    <w:p w14:paraId="1BBEE153" w14:textId="77777777" w:rsidR="00812D16" w:rsidRPr="009C2C08" w:rsidRDefault="00812D16" w:rsidP="004B1CF5">
      <w:pPr>
        <w:spacing w:line="240" w:lineRule="auto"/>
        <w:rPr>
          <w:szCs w:val="22"/>
          <w:lang w:val="hr-HR"/>
        </w:rPr>
      </w:pPr>
    </w:p>
    <w:p w14:paraId="1BBEE154" w14:textId="06EC1A5C" w:rsidR="00812D16" w:rsidRPr="009C2C08" w:rsidRDefault="00812D16" w:rsidP="00841181">
      <w:pPr>
        <w:pStyle w:val="ListParagraph"/>
        <w:keepNext/>
        <w:numPr>
          <w:ilvl w:val="1"/>
          <w:numId w:val="5"/>
        </w:numPr>
        <w:ind w:left="562" w:hanging="562"/>
        <w:outlineLvl w:val="0"/>
        <w:rPr>
          <w:sz w:val="28"/>
          <w:szCs w:val="28"/>
          <w:lang w:val="hr-HR"/>
        </w:rPr>
      </w:pPr>
      <w:r w:rsidRPr="009C2C08">
        <w:rPr>
          <w:b/>
          <w:sz w:val="22"/>
          <w:lang w:val="hr-HR"/>
        </w:rPr>
        <w:t xml:space="preserve">Rok </w:t>
      </w:r>
      <w:r w:rsidR="00C75A92" w:rsidRPr="009C2C08">
        <w:rPr>
          <w:b/>
          <w:sz w:val="22"/>
          <w:lang w:val="hr-HR"/>
        </w:rPr>
        <w:t>upotrebe</w:t>
      </w:r>
    </w:p>
    <w:p w14:paraId="4DA58AE7" w14:textId="28395E94" w:rsidR="0034592A" w:rsidRPr="009C2C08" w:rsidRDefault="0034592A" w:rsidP="001F6147">
      <w:pPr>
        <w:pStyle w:val="ListParagraph"/>
        <w:keepNext/>
        <w:ind w:left="0"/>
        <w:jc w:val="both"/>
        <w:outlineLvl w:val="0"/>
        <w:rPr>
          <w:sz w:val="22"/>
          <w:szCs w:val="22"/>
          <w:lang w:val="hr-HR"/>
        </w:rPr>
      </w:pPr>
    </w:p>
    <w:p w14:paraId="3AD9EAAC" w14:textId="77777777" w:rsidR="001A2216" w:rsidRPr="009C2C08" w:rsidRDefault="001A2216" w:rsidP="001A2216">
      <w:pPr>
        <w:rPr>
          <w:szCs w:val="22"/>
          <w:u w:val="single"/>
          <w:lang w:val="hr-HR"/>
        </w:rPr>
      </w:pPr>
      <w:r w:rsidRPr="009C2C08">
        <w:rPr>
          <w:u w:val="single"/>
          <w:lang w:val="hr-HR"/>
        </w:rPr>
        <w:t>Prije prve upotrebe</w:t>
      </w:r>
    </w:p>
    <w:p w14:paraId="3BEE2A4F" w14:textId="77777777" w:rsidR="001A2216" w:rsidRPr="009C2C08" w:rsidRDefault="001A2216" w:rsidP="001F6147">
      <w:pPr>
        <w:pStyle w:val="ListParagraph"/>
        <w:keepNext/>
        <w:ind w:left="0"/>
        <w:jc w:val="both"/>
        <w:outlineLvl w:val="0"/>
        <w:rPr>
          <w:sz w:val="22"/>
          <w:szCs w:val="22"/>
          <w:lang w:val="hr-HR"/>
        </w:rPr>
      </w:pPr>
    </w:p>
    <w:p w14:paraId="1FE0A14D" w14:textId="560EE1E8" w:rsidR="00823304" w:rsidRPr="009C2C08" w:rsidRDefault="007E4EC5" w:rsidP="001F6147">
      <w:pPr>
        <w:pStyle w:val="Heading2"/>
        <w:numPr>
          <w:ilvl w:val="0"/>
          <w:numId w:val="0"/>
        </w:numPr>
        <w:spacing w:after="0"/>
        <w:rPr>
          <w:rFonts w:ascii="Times New Roman" w:hAnsi="Times New Roman"/>
          <w:b w:val="0"/>
          <w:sz w:val="22"/>
          <w:szCs w:val="22"/>
          <w:lang w:val="hr-HR"/>
        </w:rPr>
      </w:pPr>
      <w:bookmarkStart w:id="19" w:name="_Hlk31639288"/>
      <w:r>
        <w:rPr>
          <w:rFonts w:ascii="Times New Roman" w:hAnsi="Times New Roman"/>
          <w:b w:val="0"/>
          <w:sz w:val="22"/>
          <w:lang w:val="hr-HR"/>
        </w:rPr>
        <w:t>3 godine na 2</w:t>
      </w:r>
      <w:r w:rsidR="009757FD" w:rsidRPr="009C2C08">
        <w:rPr>
          <w:rFonts w:ascii="Times New Roman" w:hAnsi="Times New Roman"/>
          <w:b w:val="0"/>
          <w:sz w:val="22"/>
          <w:lang w:val="hr-HR"/>
        </w:rPr>
        <w:t>°C do 8°C.</w:t>
      </w:r>
    </w:p>
    <w:p w14:paraId="0849F62A" w14:textId="0EBC04F0" w:rsidR="00823304" w:rsidRPr="009C2C08" w:rsidRDefault="00823304" w:rsidP="001F6147">
      <w:pPr>
        <w:pStyle w:val="Heading2"/>
        <w:numPr>
          <w:ilvl w:val="0"/>
          <w:numId w:val="0"/>
        </w:numPr>
        <w:spacing w:after="0"/>
        <w:rPr>
          <w:rFonts w:ascii="Times New Roman" w:hAnsi="Times New Roman"/>
          <w:b w:val="0"/>
          <w:sz w:val="22"/>
          <w:szCs w:val="22"/>
          <w:lang w:val="hr-HR"/>
        </w:rPr>
      </w:pPr>
    </w:p>
    <w:p w14:paraId="4521CBBB" w14:textId="575BBBC8" w:rsidR="00AB16F3" w:rsidRPr="009C2C08" w:rsidRDefault="00515414" w:rsidP="00AB16F3">
      <w:pPr>
        <w:pStyle w:val="Paragraph"/>
        <w:spacing w:after="0"/>
        <w:rPr>
          <w:sz w:val="22"/>
          <w:szCs w:val="22"/>
          <w:lang w:val="hr-HR"/>
        </w:rPr>
      </w:pPr>
      <w:bookmarkStart w:id="20" w:name="_Hlk89857680"/>
      <w:r w:rsidRPr="009C2C08">
        <w:rPr>
          <w:sz w:val="22"/>
          <w:lang w:val="hr-HR"/>
        </w:rPr>
        <w:t>Prije prve upotrebe čuvajte lijek Ngenla u frižideru. Neotvoren</w:t>
      </w:r>
      <w:r w:rsidR="00B533B4">
        <w:rPr>
          <w:sz w:val="22"/>
          <w:lang w:val="hr-HR"/>
        </w:rPr>
        <w:t xml:space="preserve">i </w:t>
      </w:r>
      <w:r w:rsidRPr="009C2C08">
        <w:rPr>
          <w:sz w:val="22"/>
          <w:lang w:val="hr-HR"/>
        </w:rPr>
        <w:t>napunjen</w:t>
      </w:r>
      <w:r w:rsidR="00B533B4">
        <w:rPr>
          <w:sz w:val="22"/>
          <w:lang w:val="hr-HR"/>
        </w:rPr>
        <w:t>i injekcioni pen</w:t>
      </w:r>
      <w:r w:rsidRPr="009C2C08">
        <w:rPr>
          <w:sz w:val="22"/>
          <w:lang w:val="hr-HR"/>
        </w:rPr>
        <w:t xml:space="preserve"> može privremeno da stoji do 4 sata na temperaturi do 32°C</w:t>
      </w:r>
      <w:bookmarkEnd w:id="20"/>
      <w:r w:rsidRPr="009C2C08">
        <w:rPr>
          <w:sz w:val="22"/>
          <w:lang w:val="hr-HR"/>
        </w:rPr>
        <w:t xml:space="preserve">. </w:t>
      </w:r>
    </w:p>
    <w:p w14:paraId="0FC1D60F" w14:textId="77777777" w:rsidR="001A2216" w:rsidRPr="009C2C08" w:rsidRDefault="001A2216" w:rsidP="00AB16F3">
      <w:pPr>
        <w:pStyle w:val="Paragraph"/>
        <w:spacing w:after="0"/>
        <w:rPr>
          <w:sz w:val="22"/>
          <w:szCs w:val="22"/>
          <w:lang w:val="hr-HR"/>
        </w:rPr>
      </w:pPr>
    </w:p>
    <w:p w14:paraId="58DF6B9E" w14:textId="5229BA9F" w:rsidR="00823304" w:rsidRPr="009C2C08" w:rsidRDefault="00823304">
      <w:pPr>
        <w:keepNext/>
        <w:tabs>
          <w:tab w:val="clear" w:pos="567"/>
        </w:tabs>
        <w:rPr>
          <w:rFonts w:asciiTheme="majorBidi" w:hAnsiTheme="majorBidi" w:cstheme="majorBidi"/>
          <w:szCs w:val="22"/>
          <w:u w:val="single"/>
          <w:lang w:val="hr-HR"/>
        </w:rPr>
      </w:pPr>
      <w:r w:rsidRPr="009C2C08">
        <w:rPr>
          <w:rFonts w:asciiTheme="majorBidi" w:hAnsiTheme="majorBidi"/>
          <w:u w:val="single"/>
          <w:lang w:val="hr-HR"/>
        </w:rPr>
        <w:t>Nakon prve upotrebe</w:t>
      </w:r>
    </w:p>
    <w:p w14:paraId="4175C755" w14:textId="77777777" w:rsidR="000E4CC0" w:rsidRPr="009C2C08" w:rsidRDefault="000E4CC0" w:rsidP="00372AC5">
      <w:pPr>
        <w:keepNext/>
        <w:tabs>
          <w:tab w:val="clear" w:pos="567"/>
        </w:tabs>
        <w:rPr>
          <w:rFonts w:asciiTheme="majorBidi" w:hAnsiTheme="majorBidi" w:cstheme="majorBidi"/>
          <w:szCs w:val="22"/>
          <w:u w:val="single"/>
          <w:lang w:val="hr-HR"/>
        </w:rPr>
      </w:pPr>
    </w:p>
    <w:p w14:paraId="170CB904" w14:textId="25E9393C" w:rsidR="00985308" w:rsidRPr="009C2C08" w:rsidRDefault="00985308" w:rsidP="00372AC5">
      <w:pPr>
        <w:pStyle w:val="CommentText"/>
        <w:keepNext/>
        <w:rPr>
          <w:sz w:val="22"/>
          <w:szCs w:val="22"/>
          <w:lang w:val="hr-HR"/>
        </w:rPr>
      </w:pPr>
      <w:r w:rsidRPr="009C2C08">
        <w:rPr>
          <w:sz w:val="22"/>
          <w:lang w:val="hr-HR"/>
        </w:rPr>
        <w:t xml:space="preserve">28 dana. </w:t>
      </w:r>
    </w:p>
    <w:p w14:paraId="5E229350" w14:textId="4BD11A2A" w:rsidR="00985308" w:rsidRPr="009C2C08" w:rsidRDefault="00985308" w:rsidP="00372AC5">
      <w:pPr>
        <w:pStyle w:val="CommentText"/>
        <w:keepNext/>
        <w:rPr>
          <w:sz w:val="22"/>
          <w:szCs w:val="22"/>
          <w:lang w:val="hr-HR"/>
        </w:rPr>
      </w:pPr>
      <w:r w:rsidRPr="009C2C08">
        <w:rPr>
          <w:sz w:val="22"/>
          <w:lang w:val="hr-HR"/>
        </w:rPr>
        <w:t>Čuvati u frižideru (2°C – 8°C).</w:t>
      </w:r>
    </w:p>
    <w:p w14:paraId="6F7A3B20" w14:textId="77777777" w:rsidR="00985308" w:rsidRPr="009C2C08" w:rsidRDefault="00985308" w:rsidP="00372AC5">
      <w:pPr>
        <w:pStyle w:val="CommentText"/>
        <w:keepNext/>
        <w:rPr>
          <w:sz w:val="22"/>
          <w:szCs w:val="22"/>
          <w:lang w:val="hr-HR"/>
        </w:rPr>
      </w:pPr>
      <w:r w:rsidRPr="009C2C08">
        <w:rPr>
          <w:sz w:val="22"/>
          <w:lang w:val="hr-HR"/>
        </w:rPr>
        <w:t>Ne zamrzavati.</w:t>
      </w:r>
    </w:p>
    <w:p w14:paraId="3F3B3D60" w14:textId="1E1E4F0E" w:rsidR="00985308" w:rsidRPr="009C2C08" w:rsidRDefault="001A2216" w:rsidP="00985308">
      <w:pPr>
        <w:pStyle w:val="Heading2"/>
        <w:numPr>
          <w:ilvl w:val="0"/>
          <w:numId w:val="0"/>
        </w:numPr>
        <w:spacing w:after="0"/>
        <w:rPr>
          <w:rFonts w:ascii="Times New Roman" w:hAnsi="Times New Roman" w:cs="Times New Roman"/>
          <w:b w:val="0"/>
          <w:bCs w:val="0"/>
          <w:sz w:val="22"/>
          <w:szCs w:val="22"/>
          <w:lang w:val="hr-HR"/>
        </w:rPr>
      </w:pPr>
      <w:r w:rsidRPr="009C2C08">
        <w:rPr>
          <w:rFonts w:ascii="Times New Roman" w:hAnsi="Times New Roman"/>
          <w:b w:val="0"/>
          <w:sz w:val="22"/>
          <w:lang w:val="hr-HR"/>
        </w:rPr>
        <w:t xml:space="preserve">Čuvajte lijek Ngenla sa pričvršćenim poklopcem za </w:t>
      </w:r>
      <w:r w:rsidR="00926ABB">
        <w:rPr>
          <w:rFonts w:ascii="Times New Roman" w:hAnsi="Times New Roman"/>
          <w:b w:val="0"/>
          <w:sz w:val="22"/>
          <w:lang w:val="hr-HR"/>
        </w:rPr>
        <w:t>injekcioni pen</w:t>
      </w:r>
      <w:r w:rsidR="00926ABB" w:rsidRPr="009C2C08">
        <w:rPr>
          <w:rFonts w:ascii="Times New Roman" w:hAnsi="Times New Roman"/>
          <w:b w:val="0"/>
          <w:sz w:val="22"/>
          <w:lang w:val="hr-HR"/>
        </w:rPr>
        <w:t xml:space="preserve"> </w:t>
      </w:r>
      <w:r w:rsidRPr="009C2C08">
        <w:rPr>
          <w:rFonts w:ascii="Times New Roman" w:hAnsi="Times New Roman"/>
          <w:b w:val="0"/>
          <w:sz w:val="22"/>
          <w:lang w:val="hr-HR"/>
        </w:rPr>
        <w:t>da biste ga zaštitili od svjetlosti.</w:t>
      </w:r>
    </w:p>
    <w:p w14:paraId="2F8D7FBD" w14:textId="377F1BD4" w:rsidR="00823304" w:rsidRPr="009C2C08" w:rsidRDefault="00823304" w:rsidP="001F6147">
      <w:pPr>
        <w:pStyle w:val="Heading2"/>
        <w:numPr>
          <w:ilvl w:val="0"/>
          <w:numId w:val="0"/>
        </w:numPr>
        <w:spacing w:after="0"/>
        <w:rPr>
          <w:rFonts w:ascii="Times New Roman" w:hAnsi="Times New Roman"/>
          <w:b w:val="0"/>
          <w:sz w:val="22"/>
          <w:szCs w:val="22"/>
          <w:lang w:val="hr-HR"/>
        </w:rPr>
      </w:pPr>
    </w:p>
    <w:p w14:paraId="2F12E453" w14:textId="48B7241D" w:rsidR="001A2216" w:rsidRPr="009C2C08" w:rsidRDefault="00515414" w:rsidP="00B846D8">
      <w:pPr>
        <w:spacing w:line="240" w:lineRule="auto"/>
        <w:jc w:val="both"/>
        <w:rPr>
          <w:rStyle w:val="normaltextrun1"/>
          <w:szCs w:val="22"/>
          <w:lang w:val="hr-HR"/>
        </w:rPr>
      </w:pPr>
      <w:bookmarkStart w:id="21" w:name="_Hlk89892739"/>
      <w:bookmarkEnd w:id="19"/>
      <w:r w:rsidRPr="009C2C08">
        <w:rPr>
          <w:rStyle w:val="normaltextrun1"/>
          <w:lang w:val="hr-HR"/>
        </w:rPr>
        <w:t>Lijek Ngenla se može držati na sobnoj temperaturi (do 32°C) do 4 sata sa svakom injekcijom za najviše 5 puta. Vratite lijek Ngenla u frižider nakon svake upotrebe</w:t>
      </w:r>
      <w:bookmarkEnd w:id="21"/>
      <w:r w:rsidRPr="009C2C08">
        <w:rPr>
          <w:rStyle w:val="normaltextrun1"/>
          <w:lang w:val="hr-HR"/>
        </w:rPr>
        <w:t xml:space="preserve">. Ne izlažite lijek </w:t>
      </w:r>
      <w:r w:rsidRPr="009C2C08">
        <w:rPr>
          <w:lang w:val="hr-HR"/>
        </w:rPr>
        <w:t>Ngenla</w:t>
      </w:r>
      <w:r w:rsidRPr="009C2C08">
        <w:rPr>
          <w:rStyle w:val="normaltextrun1"/>
          <w:lang w:val="hr-HR"/>
        </w:rPr>
        <w:t xml:space="preserve"> temperaturama višim od </w:t>
      </w:r>
      <w:r w:rsidRPr="009C2C08">
        <w:rPr>
          <w:lang w:val="hr-HR"/>
        </w:rPr>
        <w:t>32°C niti ga ostavljajte na sobnoj temperaturi duže od 4 sata pri svakoj upotrebi.</w:t>
      </w:r>
      <w:r w:rsidRPr="009C2C08">
        <w:rPr>
          <w:rStyle w:val="normaltextrun1"/>
          <w:lang w:val="hr-HR"/>
        </w:rPr>
        <w:t xml:space="preserve"> </w:t>
      </w:r>
      <w:r w:rsidR="00926ABB">
        <w:rPr>
          <w:rStyle w:val="normaltextrun1"/>
          <w:lang w:val="hr-HR"/>
        </w:rPr>
        <w:t xml:space="preserve">Injekcioni </w:t>
      </w:r>
      <w:r w:rsidR="00926ABB">
        <w:rPr>
          <w:rStyle w:val="normaltextrun1"/>
          <w:lang w:val="hr-HR"/>
        </w:rPr>
        <w:lastRenderedPageBreak/>
        <w:t>pen</w:t>
      </w:r>
      <w:r w:rsidRPr="009C2C08">
        <w:rPr>
          <w:lang w:val="hr-HR"/>
        </w:rPr>
        <w:t xml:space="preserve"> lijeka Ngenla</w:t>
      </w:r>
      <w:r w:rsidRPr="009C2C08">
        <w:rPr>
          <w:rStyle w:val="normaltextrun1"/>
          <w:lang w:val="hr-HR"/>
        </w:rPr>
        <w:t xml:space="preserve"> treba baciti ako je korišćen 5 puta, ako je bi</w:t>
      </w:r>
      <w:r w:rsidR="00926ABB">
        <w:rPr>
          <w:rStyle w:val="normaltextrun1"/>
          <w:lang w:val="hr-HR"/>
        </w:rPr>
        <w:t>o</w:t>
      </w:r>
      <w:r w:rsidRPr="009C2C08">
        <w:rPr>
          <w:rStyle w:val="normaltextrun1"/>
          <w:lang w:val="hr-HR"/>
        </w:rPr>
        <w:t xml:space="preserve"> izložen temperaturama višim od 32 °C ili ako je staja</w:t>
      </w:r>
      <w:r w:rsidR="00926ABB">
        <w:rPr>
          <w:rStyle w:val="normaltextrun1"/>
          <w:lang w:val="hr-HR"/>
        </w:rPr>
        <w:t>o</w:t>
      </w:r>
      <w:r w:rsidRPr="009C2C08">
        <w:rPr>
          <w:rStyle w:val="normaltextrun1"/>
          <w:lang w:val="hr-HR"/>
        </w:rPr>
        <w:t xml:space="preserve"> van frižidera duže od 4 sata pri svakoj upotrebi.</w:t>
      </w:r>
    </w:p>
    <w:p w14:paraId="6A07914A" w14:textId="77777777" w:rsidR="001A2216" w:rsidRPr="009C2C08" w:rsidRDefault="001A2216" w:rsidP="00823304">
      <w:pPr>
        <w:pStyle w:val="Heading2"/>
        <w:numPr>
          <w:ilvl w:val="0"/>
          <w:numId w:val="0"/>
        </w:numPr>
        <w:spacing w:after="0"/>
        <w:rPr>
          <w:rFonts w:ascii="Times New Roman" w:hAnsi="Times New Roman"/>
          <w:b w:val="0"/>
          <w:bCs w:val="0"/>
          <w:sz w:val="22"/>
          <w:szCs w:val="22"/>
          <w:lang w:val="hr-HR"/>
        </w:rPr>
      </w:pPr>
    </w:p>
    <w:p w14:paraId="28D9A401" w14:textId="07674C1F" w:rsidR="00823304" w:rsidRPr="009C2C08" w:rsidRDefault="00823304" w:rsidP="00B846D8">
      <w:pPr>
        <w:pStyle w:val="Heading2"/>
        <w:numPr>
          <w:ilvl w:val="0"/>
          <w:numId w:val="0"/>
        </w:numPr>
        <w:spacing w:after="0"/>
        <w:jc w:val="both"/>
        <w:rPr>
          <w:rFonts w:ascii="Times New Roman" w:hAnsi="Times New Roman" w:cs="Times New Roman"/>
          <w:b w:val="0"/>
          <w:bCs w:val="0"/>
          <w:sz w:val="22"/>
          <w:szCs w:val="22"/>
          <w:lang w:val="hr-HR"/>
        </w:rPr>
      </w:pPr>
      <w:r w:rsidRPr="009C2C08">
        <w:rPr>
          <w:rFonts w:ascii="Times New Roman" w:hAnsi="Times New Roman"/>
          <w:b w:val="0"/>
          <w:sz w:val="22"/>
          <w:lang w:val="hr-HR"/>
        </w:rPr>
        <w:t>Hemijska i fizička stabilnost tokom upotrebe je demonstrirana tokom 28 dana od datuma prve upotrebe napunjen</w:t>
      </w:r>
      <w:r w:rsidR="00926ABB">
        <w:rPr>
          <w:rFonts w:ascii="Times New Roman" w:hAnsi="Times New Roman"/>
          <w:b w:val="0"/>
          <w:sz w:val="22"/>
          <w:lang w:val="hr-HR"/>
        </w:rPr>
        <w:t>og injekcionog pena</w:t>
      </w:r>
      <w:r w:rsidRPr="009C2C08">
        <w:rPr>
          <w:rFonts w:ascii="Times New Roman" w:hAnsi="Times New Roman"/>
          <w:b w:val="0"/>
          <w:sz w:val="22"/>
          <w:lang w:val="hr-HR"/>
        </w:rPr>
        <w:t>, kada je napunjen</w:t>
      </w:r>
      <w:r w:rsidR="00926ABB">
        <w:rPr>
          <w:rFonts w:ascii="Times New Roman" w:hAnsi="Times New Roman"/>
          <w:b w:val="0"/>
          <w:sz w:val="22"/>
          <w:lang w:val="hr-HR"/>
        </w:rPr>
        <w:t>i injekcioni pen</w:t>
      </w:r>
      <w:r w:rsidRPr="009C2C08">
        <w:rPr>
          <w:rFonts w:ascii="Times New Roman" w:hAnsi="Times New Roman"/>
          <w:b w:val="0"/>
          <w:sz w:val="22"/>
          <w:lang w:val="hr-HR"/>
        </w:rPr>
        <w:t xml:space="preserve"> čuvan na 2 °C do 8 °C između svake upotrebe. </w:t>
      </w:r>
      <w:bookmarkStart w:id="22" w:name="_Hlk74320976"/>
    </w:p>
    <w:bookmarkEnd w:id="22"/>
    <w:p w14:paraId="63EB107E" w14:textId="2A84B729" w:rsidR="00381DDC" w:rsidRPr="009C2C08" w:rsidRDefault="00381DDC" w:rsidP="00372AC5">
      <w:pPr>
        <w:spacing w:line="240" w:lineRule="auto"/>
        <w:rPr>
          <w:szCs w:val="22"/>
          <w:lang w:val="hr-HR"/>
        </w:rPr>
      </w:pPr>
    </w:p>
    <w:p w14:paraId="1BBEE15A" w14:textId="3F85776A" w:rsidR="00812D16" w:rsidRPr="009C2C08" w:rsidRDefault="00B721A6" w:rsidP="001F6147">
      <w:pPr>
        <w:keepNext/>
        <w:outlineLvl w:val="0"/>
        <w:rPr>
          <w:b/>
          <w:szCs w:val="22"/>
          <w:lang w:val="hr-HR"/>
        </w:rPr>
      </w:pPr>
      <w:r w:rsidRPr="009C2C08">
        <w:rPr>
          <w:b/>
          <w:lang w:val="hr-HR"/>
        </w:rPr>
        <w:t>6.4</w:t>
      </w:r>
      <w:r w:rsidRPr="009C2C08">
        <w:rPr>
          <w:b/>
          <w:lang w:val="hr-HR"/>
        </w:rPr>
        <w:tab/>
        <w:t>Posebne mjere upozorenja pri čuvanju lijeka</w:t>
      </w:r>
    </w:p>
    <w:p w14:paraId="1BBEE15B" w14:textId="0875C011" w:rsidR="005108A3" w:rsidRPr="009C2C08" w:rsidRDefault="005108A3" w:rsidP="001F6147">
      <w:pPr>
        <w:keepNext/>
        <w:spacing w:line="240" w:lineRule="auto"/>
        <w:outlineLvl w:val="0"/>
        <w:rPr>
          <w:szCs w:val="22"/>
          <w:lang w:val="hr-HR"/>
        </w:rPr>
      </w:pPr>
    </w:p>
    <w:p w14:paraId="09885BC4" w14:textId="2D043C8E" w:rsidR="00B42FC2" w:rsidRPr="009C2C08" w:rsidRDefault="00985308" w:rsidP="00B846D8">
      <w:pPr>
        <w:pStyle w:val="Paragraph"/>
        <w:spacing w:after="0"/>
        <w:jc w:val="both"/>
        <w:rPr>
          <w:rStyle w:val="normaltextrun1"/>
          <w:sz w:val="22"/>
          <w:szCs w:val="22"/>
          <w:lang w:val="hr-HR"/>
        </w:rPr>
      </w:pPr>
      <w:r w:rsidRPr="009C2C08">
        <w:rPr>
          <w:rStyle w:val="normaltextrun1"/>
          <w:sz w:val="22"/>
          <w:lang w:val="hr-HR"/>
        </w:rPr>
        <w:t>Čuvati u frižideru (2°C do 8°C). Ne zamrzavati</w:t>
      </w:r>
      <w:r w:rsidRPr="009C2C08">
        <w:rPr>
          <w:sz w:val="22"/>
          <w:lang w:val="hr-HR"/>
        </w:rPr>
        <w:t>.</w:t>
      </w:r>
      <w:bookmarkStart w:id="23" w:name="_Hlk85716926"/>
      <w:r w:rsidRPr="009C2C08">
        <w:rPr>
          <w:sz w:val="20"/>
          <w:lang w:val="hr-HR"/>
        </w:rPr>
        <w:t xml:space="preserve"> </w:t>
      </w:r>
      <w:bookmarkEnd w:id="23"/>
      <w:r w:rsidRPr="009C2C08">
        <w:rPr>
          <w:rStyle w:val="normaltextrun1"/>
          <w:sz w:val="22"/>
          <w:lang w:val="hr-HR"/>
        </w:rPr>
        <w:t xml:space="preserve">Čuvajte lijek </w:t>
      </w:r>
      <w:r w:rsidRPr="009C2C08">
        <w:rPr>
          <w:sz w:val="22"/>
          <w:lang w:val="hr-HR"/>
        </w:rPr>
        <w:t>Ngenla</w:t>
      </w:r>
      <w:r w:rsidRPr="009C2C08">
        <w:rPr>
          <w:rStyle w:val="normaltextrun1"/>
          <w:sz w:val="22"/>
          <w:lang w:val="hr-HR"/>
        </w:rPr>
        <w:t xml:space="preserve"> u spoljnoj kutiji kako biste ga zaštitili od svjetlosti.</w:t>
      </w:r>
    </w:p>
    <w:p w14:paraId="53678D99" w14:textId="77777777" w:rsidR="001E1BB9" w:rsidRPr="009C2C08" w:rsidRDefault="001E1BB9" w:rsidP="001E1BB9">
      <w:pPr>
        <w:spacing w:line="240" w:lineRule="auto"/>
        <w:rPr>
          <w:rStyle w:val="normaltextrun1"/>
          <w:lang w:val="hr-HR"/>
        </w:rPr>
      </w:pPr>
    </w:p>
    <w:p w14:paraId="37B2DDF5" w14:textId="2ABC0108" w:rsidR="00823304" w:rsidRPr="009C2C08" w:rsidRDefault="00823304" w:rsidP="00204AAB">
      <w:pPr>
        <w:spacing w:line="240" w:lineRule="auto"/>
        <w:rPr>
          <w:lang w:val="hr-HR"/>
        </w:rPr>
      </w:pPr>
      <w:r w:rsidRPr="009C2C08">
        <w:rPr>
          <w:lang w:val="hr-HR"/>
        </w:rPr>
        <w:t>Uslove skladištenja nakon prve upotrebe li</w:t>
      </w:r>
      <w:r w:rsidR="00CE7A3D" w:rsidRPr="009C2C08">
        <w:rPr>
          <w:lang w:val="hr-HR"/>
        </w:rPr>
        <w:t>j</w:t>
      </w:r>
      <w:r w:rsidRPr="009C2C08">
        <w:rPr>
          <w:lang w:val="hr-HR"/>
        </w:rPr>
        <w:t xml:space="preserve">eka vidjeti u </w:t>
      </w:r>
      <w:r w:rsidR="00CE7A3D" w:rsidRPr="009C2C08">
        <w:rPr>
          <w:lang w:val="hr-HR"/>
        </w:rPr>
        <w:t xml:space="preserve">dijelu </w:t>
      </w:r>
      <w:r w:rsidRPr="009C2C08">
        <w:rPr>
          <w:lang w:val="hr-HR"/>
        </w:rPr>
        <w:t>6.3.</w:t>
      </w:r>
    </w:p>
    <w:p w14:paraId="34990FBE" w14:textId="77777777" w:rsidR="00823304" w:rsidRPr="009C2C08" w:rsidRDefault="00823304" w:rsidP="00204AAB">
      <w:pPr>
        <w:spacing w:line="240" w:lineRule="auto"/>
        <w:rPr>
          <w:szCs w:val="22"/>
          <w:lang w:val="hr-HR"/>
        </w:rPr>
      </w:pPr>
    </w:p>
    <w:p w14:paraId="1BBEE162" w14:textId="139C9914" w:rsidR="00812D16" w:rsidRPr="009C2C08" w:rsidRDefault="00B721A6" w:rsidP="0050180A">
      <w:pPr>
        <w:keepNext/>
        <w:outlineLvl w:val="0"/>
        <w:rPr>
          <w:b/>
          <w:szCs w:val="22"/>
          <w:lang w:val="hr-HR"/>
        </w:rPr>
      </w:pPr>
      <w:r w:rsidRPr="009C2C08">
        <w:rPr>
          <w:b/>
          <w:lang w:val="hr-HR"/>
        </w:rPr>
        <w:t>6.5</w:t>
      </w:r>
      <w:r w:rsidRPr="009C2C08">
        <w:rPr>
          <w:b/>
          <w:lang w:val="hr-HR"/>
        </w:rPr>
        <w:tab/>
        <w:t>Vrsta i sadržaj pakovanja</w:t>
      </w:r>
    </w:p>
    <w:p w14:paraId="3DF0E1D8" w14:textId="77777777" w:rsidR="00CF0EDC" w:rsidRPr="009C2C08" w:rsidRDefault="00CF0EDC" w:rsidP="00CF0EDC">
      <w:pPr>
        <w:pStyle w:val="Paragraph"/>
        <w:spacing w:after="0"/>
        <w:rPr>
          <w:sz w:val="22"/>
          <w:szCs w:val="22"/>
          <w:u w:val="single"/>
          <w:lang w:val="hr-HR"/>
        </w:rPr>
      </w:pPr>
    </w:p>
    <w:p w14:paraId="4097333A" w14:textId="001C6257" w:rsidR="00CF0EDC" w:rsidRPr="009C2C08" w:rsidRDefault="00CF0EDC" w:rsidP="00CF0EDC">
      <w:pPr>
        <w:pStyle w:val="Paragraph"/>
        <w:spacing w:after="0"/>
        <w:rPr>
          <w:color w:val="000000" w:themeColor="text1"/>
          <w:sz w:val="22"/>
          <w:szCs w:val="22"/>
          <w:u w:val="single"/>
          <w:lang w:val="hr-HR"/>
        </w:rPr>
      </w:pPr>
      <w:bookmarkStart w:id="24" w:name="_Hlk85717203"/>
      <w:r w:rsidRPr="009C2C08">
        <w:rPr>
          <w:sz w:val="22"/>
          <w:u w:val="single"/>
          <w:lang w:val="hr-HR"/>
        </w:rPr>
        <w:t xml:space="preserve">Ngenla </w:t>
      </w:r>
      <w:r w:rsidRPr="009C2C08">
        <w:rPr>
          <w:color w:val="000000" w:themeColor="text1"/>
          <w:sz w:val="22"/>
          <w:u w:val="single"/>
          <w:lang w:val="hr-HR"/>
        </w:rPr>
        <w:t>24 mg rastvor za injekciju u napunjeno</w:t>
      </w:r>
      <w:r w:rsidR="00926ABB">
        <w:rPr>
          <w:color w:val="000000" w:themeColor="text1"/>
          <w:sz w:val="22"/>
          <w:u w:val="single"/>
          <w:lang w:val="hr-HR"/>
        </w:rPr>
        <w:t>m injekcionom penu</w:t>
      </w:r>
    </w:p>
    <w:bookmarkEnd w:id="24"/>
    <w:p w14:paraId="03951223" w14:textId="77777777" w:rsidR="00CF0EDC" w:rsidRPr="009C2C08" w:rsidRDefault="00CF0EDC" w:rsidP="00CF0EDC">
      <w:pPr>
        <w:keepNext/>
        <w:spacing w:line="240" w:lineRule="auto"/>
        <w:rPr>
          <w:sz w:val="20"/>
          <w:lang w:val="hr-HR"/>
        </w:rPr>
      </w:pPr>
    </w:p>
    <w:p w14:paraId="24FF75DC" w14:textId="3453ABA9" w:rsidR="00E062AD" w:rsidRPr="009C2C08" w:rsidRDefault="00CF0EDC" w:rsidP="00B846D8">
      <w:pPr>
        <w:jc w:val="both"/>
        <w:rPr>
          <w:szCs w:val="22"/>
          <w:lang w:val="hr-HR"/>
        </w:rPr>
      </w:pPr>
      <w:bookmarkStart w:id="25" w:name="_Hlk85717216"/>
      <w:r w:rsidRPr="009C2C08">
        <w:rPr>
          <w:lang w:val="hr-HR"/>
        </w:rPr>
        <w:t>Ova</w:t>
      </w:r>
      <w:bookmarkEnd w:id="25"/>
      <w:r w:rsidR="00926ABB">
        <w:rPr>
          <w:lang w:val="hr-HR"/>
        </w:rPr>
        <w:t>j</w:t>
      </w:r>
      <w:r w:rsidRPr="009C2C08">
        <w:rPr>
          <w:lang w:val="hr-HR"/>
        </w:rPr>
        <w:t xml:space="preserve"> napunjen</w:t>
      </w:r>
      <w:r w:rsidR="00926ABB">
        <w:rPr>
          <w:lang w:val="hr-HR"/>
        </w:rPr>
        <w:t>i injekcioni pen</w:t>
      </w:r>
      <w:r w:rsidRPr="009C2C08">
        <w:rPr>
          <w:lang w:val="hr-HR"/>
        </w:rPr>
        <w:t xml:space="preserve"> sa više doza za jednokratnu upotrebu, koj</w:t>
      </w:r>
      <w:r w:rsidR="00926ABB">
        <w:rPr>
          <w:lang w:val="hr-HR"/>
        </w:rPr>
        <w:t>i</w:t>
      </w:r>
      <w:r w:rsidRPr="009C2C08">
        <w:rPr>
          <w:lang w:val="hr-HR"/>
        </w:rPr>
        <w:t xml:space="preserve"> se sastoji od </w:t>
      </w:r>
      <w:r w:rsidR="00210890">
        <w:rPr>
          <w:lang w:val="hr-HR"/>
        </w:rPr>
        <w:t>uloška</w:t>
      </w:r>
      <w:r w:rsidR="00210890" w:rsidRPr="009C2C08">
        <w:rPr>
          <w:lang w:val="hr-HR"/>
        </w:rPr>
        <w:t xml:space="preserve"> </w:t>
      </w:r>
      <w:r w:rsidRPr="009C2C08">
        <w:rPr>
          <w:lang w:val="hr-HR"/>
        </w:rPr>
        <w:t>(providno staklo tipa I)</w:t>
      </w:r>
      <w:r w:rsidR="00C75A92" w:rsidRPr="009C2C08">
        <w:rPr>
          <w:lang w:val="hr-HR"/>
        </w:rPr>
        <w:t xml:space="preserve"> </w:t>
      </w:r>
      <w:r w:rsidRPr="009C2C08">
        <w:rPr>
          <w:lang w:val="hr-HR"/>
        </w:rPr>
        <w:t>trajno zapečaćenog u plastično</w:t>
      </w:r>
      <w:r w:rsidR="00210890">
        <w:rPr>
          <w:lang w:val="hr-HR"/>
        </w:rPr>
        <w:t>m penu</w:t>
      </w:r>
      <w:r w:rsidRPr="009C2C08">
        <w:rPr>
          <w:lang w:val="hr-HR"/>
        </w:rPr>
        <w:t>, sadrži 1,2 m</w:t>
      </w:r>
      <w:r w:rsidR="00CD0186" w:rsidRPr="009C2C08">
        <w:rPr>
          <w:lang w:val="hr-HR"/>
        </w:rPr>
        <w:t>l</w:t>
      </w:r>
      <w:r w:rsidRPr="009C2C08">
        <w:rPr>
          <w:lang w:val="hr-HR"/>
        </w:rPr>
        <w:t xml:space="preserve"> somatrogona. </w:t>
      </w:r>
      <w:r w:rsidR="00210890">
        <w:rPr>
          <w:lang w:val="hr-HR"/>
        </w:rPr>
        <w:t>Uložak</w:t>
      </w:r>
      <w:r w:rsidR="00210890" w:rsidRPr="009C2C08">
        <w:rPr>
          <w:lang w:val="hr-HR"/>
        </w:rPr>
        <w:t xml:space="preserve"> </w:t>
      </w:r>
      <w:r w:rsidRPr="009C2C08">
        <w:rPr>
          <w:lang w:val="hr-HR"/>
        </w:rPr>
        <w:t xml:space="preserve">je na dnu zatvoren gumenim čepom (gumeni zatvarači tipa I) u obliku klipa, a na vrhu gumenim čepom (gumeni zatvarači tipa I) u obliku diska i zapečaćen aluminijumskim poklopcem. Poklopac </w:t>
      </w:r>
      <w:r w:rsidR="00926ABB">
        <w:rPr>
          <w:lang w:val="hr-HR"/>
        </w:rPr>
        <w:t>pena</w:t>
      </w:r>
      <w:r w:rsidRPr="009C2C08">
        <w:rPr>
          <w:lang w:val="hr-HR"/>
        </w:rPr>
        <w:t xml:space="preserve">, dugme za doziranje i naljepnica na </w:t>
      </w:r>
      <w:r w:rsidR="00926ABB">
        <w:rPr>
          <w:lang w:val="hr-HR"/>
        </w:rPr>
        <w:t>injekcionom penu</w:t>
      </w:r>
      <w:r w:rsidR="00926ABB" w:rsidRPr="009C2C08">
        <w:rPr>
          <w:lang w:val="hr-HR"/>
        </w:rPr>
        <w:t xml:space="preserve"> </w:t>
      </w:r>
      <w:r w:rsidRPr="009C2C08">
        <w:rPr>
          <w:lang w:val="hr-HR"/>
        </w:rPr>
        <w:t xml:space="preserve">su </w:t>
      </w:r>
      <w:r w:rsidR="00C75A92" w:rsidRPr="009C2C08">
        <w:rPr>
          <w:lang w:val="hr-HR"/>
        </w:rPr>
        <w:t xml:space="preserve">ljubičaste </w:t>
      </w:r>
      <w:r w:rsidRPr="009C2C08">
        <w:rPr>
          <w:lang w:val="hr-HR"/>
        </w:rPr>
        <w:t xml:space="preserve">boje. </w:t>
      </w:r>
    </w:p>
    <w:p w14:paraId="018D0A48" w14:textId="77777777" w:rsidR="00E062AD" w:rsidRPr="009C2C08" w:rsidRDefault="00E062AD" w:rsidP="00CF0EDC">
      <w:pPr>
        <w:rPr>
          <w:szCs w:val="22"/>
          <w:lang w:val="hr-HR"/>
        </w:rPr>
      </w:pPr>
    </w:p>
    <w:p w14:paraId="5BDF12D2" w14:textId="2ED99B30" w:rsidR="00985308" w:rsidRPr="009C2C08" w:rsidRDefault="00985308" w:rsidP="00CF0EDC">
      <w:pPr>
        <w:rPr>
          <w:lang w:val="hr-HR"/>
        </w:rPr>
      </w:pPr>
      <w:r w:rsidRPr="009C2C08">
        <w:rPr>
          <w:lang w:val="hr-HR"/>
        </w:rPr>
        <w:t xml:space="preserve">Veličina pakovanja </w:t>
      </w:r>
      <w:r w:rsidR="00210890">
        <w:rPr>
          <w:lang w:val="hr-HR"/>
        </w:rPr>
        <w:t>je</w:t>
      </w:r>
      <w:r w:rsidR="00210890" w:rsidRPr="009C2C08">
        <w:rPr>
          <w:lang w:val="hr-HR"/>
        </w:rPr>
        <w:t xml:space="preserve"> </w:t>
      </w:r>
      <w:r w:rsidRPr="009C2C08">
        <w:rPr>
          <w:lang w:val="hr-HR"/>
        </w:rPr>
        <w:t>1 napunjen</w:t>
      </w:r>
      <w:r w:rsidR="00210890">
        <w:rPr>
          <w:lang w:val="hr-HR"/>
        </w:rPr>
        <w:t>i</w:t>
      </w:r>
      <w:r w:rsidR="00926ABB">
        <w:rPr>
          <w:lang w:val="hr-HR"/>
        </w:rPr>
        <w:t xml:space="preserve"> injekcion</w:t>
      </w:r>
      <w:r w:rsidR="00210890">
        <w:rPr>
          <w:lang w:val="hr-HR"/>
        </w:rPr>
        <w:t>i</w:t>
      </w:r>
      <w:r w:rsidR="00926ABB">
        <w:rPr>
          <w:lang w:val="hr-HR"/>
        </w:rPr>
        <w:t xml:space="preserve"> pen</w:t>
      </w:r>
      <w:r w:rsidRPr="009C2C08">
        <w:rPr>
          <w:lang w:val="hr-HR"/>
        </w:rPr>
        <w:t>.</w:t>
      </w:r>
    </w:p>
    <w:p w14:paraId="17E1E02D" w14:textId="17381130" w:rsidR="00985308" w:rsidRPr="009C2C08" w:rsidRDefault="00985308" w:rsidP="00985308">
      <w:pPr>
        <w:rPr>
          <w:lang w:val="hr-HR"/>
        </w:rPr>
      </w:pPr>
    </w:p>
    <w:p w14:paraId="2898F5D9" w14:textId="2D837DDD" w:rsidR="00CF0EDC" w:rsidRPr="009C2C08" w:rsidRDefault="00CF0EDC" w:rsidP="00CF0EDC">
      <w:pPr>
        <w:pStyle w:val="Paragraph"/>
        <w:spacing w:after="0"/>
        <w:rPr>
          <w:iCs/>
          <w:sz w:val="22"/>
          <w:szCs w:val="22"/>
          <w:u w:val="single"/>
          <w:lang w:val="hr-HR"/>
        </w:rPr>
      </w:pPr>
      <w:r w:rsidRPr="009C2C08">
        <w:rPr>
          <w:sz w:val="22"/>
          <w:u w:val="single"/>
          <w:lang w:val="hr-HR"/>
        </w:rPr>
        <w:t>Ngenla</w:t>
      </w:r>
      <w:r w:rsidRPr="009C2C08">
        <w:rPr>
          <w:color w:val="000000" w:themeColor="text1"/>
          <w:sz w:val="22"/>
          <w:u w:val="single"/>
          <w:lang w:val="hr-HR"/>
        </w:rPr>
        <w:t xml:space="preserve"> </w:t>
      </w:r>
      <w:r w:rsidRPr="009C2C08">
        <w:rPr>
          <w:sz w:val="22"/>
          <w:u w:val="single"/>
          <w:lang w:val="hr-HR"/>
        </w:rPr>
        <w:t>60 mg rastvor za injekciju u napunjeno</w:t>
      </w:r>
      <w:r w:rsidR="00926ABB">
        <w:rPr>
          <w:sz w:val="22"/>
          <w:u w:val="single"/>
          <w:lang w:val="hr-HR"/>
        </w:rPr>
        <w:t>m injekcionom penu</w:t>
      </w:r>
    </w:p>
    <w:p w14:paraId="0F1C4167" w14:textId="77777777" w:rsidR="00CF0EDC" w:rsidRPr="009C2C08" w:rsidRDefault="00CF0EDC" w:rsidP="00CF0EDC">
      <w:pPr>
        <w:rPr>
          <w:lang w:val="hr-HR"/>
        </w:rPr>
      </w:pPr>
    </w:p>
    <w:p w14:paraId="69575F87" w14:textId="64D6906C" w:rsidR="00E062AD" w:rsidRPr="009C2C08" w:rsidRDefault="00CF0EDC" w:rsidP="00B846D8">
      <w:pPr>
        <w:jc w:val="both"/>
        <w:rPr>
          <w:szCs w:val="22"/>
          <w:lang w:val="hr-HR"/>
        </w:rPr>
      </w:pPr>
      <w:r w:rsidRPr="009C2C08">
        <w:rPr>
          <w:lang w:val="hr-HR"/>
        </w:rPr>
        <w:t>Ova</w:t>
      </w:r>
      <w:r w:rsidR="00926ABB">
        <w:rPr>
          <w:lang w:val="hr-HR"/>
        </w:rPr>
        <w:t>j</w:t>
      </w:r>
      <w:r w:rsidRPr="009C2C08">
        <w:rPr>
          <w:lang w:val="hr-HR"/>
        </w:rPr>
        <w:t xml:space="preserve"> napunjen</w:t>
      </w:r>
      <w:r w:rsidR="00926ABB">
        <w:rPr>
          <w:lang w:val="hr-HR"/>
        </w:rPr>
        <w:t>i injekcioni pen</w:t>
      </w:r>
      <w:r w:rsidRPr="009C2C08">
        <w:rPr>
          <w:lang w:val="hr-HR"/>
        </w:rPr>
        <w:t xml:space="preserve"> sa više doza za jednokratnu upotrebu, koj</w:t>
      </w:r>
      <w:r w:rsidR="00926ABB">
        <w:rPr>
          <w:lang w:val="hr-HR"/>
        </w:rPr>
        <w:t>i</w:t>
      </w:r>
      <w:r w:rsidRPr="009C2C08">
        <w:rPr>
          <w:lang w:val="hr-HR"/>
        </w:rPr>
        <w:t xml:space="preserve"> se sastoji od </w:t>
      </w:r>
      <w:r w:rsidR="00210890">
        <w:rPr>
          <w:lang w:val="hr-HR"/>
        </w:rPr>
        <w:t>uloška</w:t>
      </w:r>
      <w:r w:rsidR="00210890" w:rsidRPr="009C2C08">
        <w:rPr>
          <w:lang w:val="hr-HR"/>
        </w:rPr>
        <w:t xml:space="preserve"> </w:t>
      </w:r>
      <w:r w:rsidRPr="009C2C08">
        <w:rPr>
          <w:lang w:val="hr-HR"/>
        </w:rPr>
        <w:t>(providno staklo tipa I) trajno zapečaćenog u plastično</w:t>
      </w:r>
      <w:r w:rsidR="0007545B">
        <w:rPr>
          <w:lang w:val="hr-HR"/>
        </w:rPr>
        <w:t>m</w:t>
      </w:r>
      <w:r w:rsidRPr="009C2C08">
        <w:rPr>
          <w:lang w:val="hr-HR"/>
        </w:rPr>
        <w:t xml:space="preserve"> </w:t>
      </w:r>
      <w:r w:rsidR="0007545B">
        <w:rPr>
          <w:lang w:val="hr-HR"/>
        </w:rPr>
        <w:t>penu</w:t>
      </w:r>
      <w:r w:rsidRPr="009C2C08">
        <w:rPr>
          <w:lang w:val="hr-HR"/>
        </w:rPr>
        <w:t>, sadrži 1,2 m</w:t>
      </w:r>
      <w:r w:rsidR="00CD0186" w:rsidRPr="009C2C08">
        <w:rPr>
          <w:lang w:val="hr-HR"/>
        </w:rPr>
        <w:t>l</w:t>
      </w:r>
      <w:r w:rsidRPr="009C2C08">
        <w:rPr>
          <w:lang w:val="hr-HR"/>
        </w:rPr>
        <w:t xml:space="preserve"> somatrogona. </w:t>
      </w:r>
      <w:r w:rsidR="0007545B">
        <w:rPr>
          <w:lang w:val="hr-HR"/>
        </w:rPr>
        <w:t>Uložak</w:t>
      </w:r>
      <w:r w:rsidR="0007545B" w:rsidRPr="009C2C08">
        <w:rPr>
          <w:lang w:val="hr-HR"/>
        </w:rPr>
        <w:t xml:space="preserve"> </w:t>
      </w:r>
      <w:r w:rsidRPr="009C2C08">
        <w:rPr>
          <w:lang w:val="hr-HR"/>
        </w:rPr>
        <w:t xml:space="preserve">je na dnu zatvoren gumenim čepom (gumeni zatvarači tipa I) u obliku klipa, a na vrhu gumenim čepom (gumeni zatvarači tipa I) u obliku diska i zapečaćen aluminijumskim poklopcem. Poklopac </w:t>
      </w:r>
      <w:r w:rsidR="00926ABB">
        <w:rPr>
          <w:lang w:val="hr-HR"/>
        </w:rPr>
        <w:t>p</w:t>
      </w:r>
      <w:r w:rsidR="00926ABB" w:rsidRPr="009C2C08">
        <w:rPr>
          <w:lang w:val="hr-HR"/>
        </w:rPr>
        <w:t>e</w:t>
      </w:r>
      <w:r w:rsidR="00926ABB">
        <w:rPr>
          <w:lang w:val="hr-HR"/>
        </w:rPr>
        <w:t>na</w:t>
      </w:r>
      <w:r w:rsidRPr="009C2C08">
        <w:rPr>
          <w:lang w:val="hr-HR"/>
        </w:rPr>
        <w:t xml:space="preserve">, dugme za doziranje i naljepnica na </w:t>
      </w:r>
      <w:r w:rsidR="0007545B">
        <w:rPr>
          <w:lang w:val="hr-HR"/>
        </w:rPr>
        <w:t xml:space="preserve">injekcionom </w:t>
      </w:r>
      <w:r w:rsidR="00926ABB">
        <w:rPr>
          <w:lang w:val="hr-HR"/>
        </w:rPr>
        <w:t>penu</w:t>
      </w:r>
      <w:r w:rsidR="00926ABB" w:rsidRPr="009C2C08">
        <w:rPr>
          <w:lang w:val="hr-HR"/>
        </w:rPr>
        <w:t xml:space="preserve"> </w:t>
      </w:r>
      <w:r w:rsidRPr="009C2C08">
        <w:rPr>
          <w:lang w:val="hr-HR"/>
        </w:rPr>
        <w:t xml:space="preserve">su plave boje. </w:t>
      </w:r>
    </w:p>
    <w:p w14:paraId="0019B8CD" w14:textId="77777777" w:rsidR="00E062AD" w:rsidRPr="009C2C08" w:rsidRDefault="00E062AD" w:rsidP="00CF0EDC">
      <w:pPr>
        <w:rPr>
          <w:szCs w:val="22"/>
          <w:lang w:val="hr-HR"/>
        </w:rPr>
      </w:pPr>
    </w:p>
    <w:p w14:paraId="4F61E8AD" w14:textId="7C6D9E0A" w:rsidR="00985308" w:rsidRPr="009C2C08" w:rsidRDefault="00985308" w:rsidP="00CF0EDC">
      <w:pPr>
        <w:rPr>
          <w:lang w:val="hr-HR"/>
        </w:rPr>
      </w:pPr>
      <w:r w:rsidRPr="009C2C08">
        <w:rPr>
          <w:lang w:val="hr-HR"/>
        </w:rPr>
        <w:t xml:space="preserve">Veličina pakovanja </w:t>
      </w:r>
      <w:r w:rsidR="00210890">
        <w:rPr>
          <w:lang w:val="hr-HR"/>
        </w:rPr>
        <w:t xml:space="preserve">je </w:t>
      </w:r>
      <w:r w:rsidRPr="009C2C08">
        <w:rPr>
          <w:lang w:val="hr-HR"/>
        </w:rPr>
        <w:t>1 napunjen</w:t>
      </w:r>
      <w:r w:rsidR="00210890">
        <w:rPr>
          <w:lang w:val="hr-HR"/>
        </w:rPr>
        <w:t>i</w:t>
      </w:r>
      <w:r w:rsidR="00926ABB">
        <w:rPr>
          <w:lang w:val="hr-HR"/>
        </w:rPr>
        <w:t xml:space="preserve"> injekcion</w:t>
      </w:r>
      <w:r w:rsidR="00210890">
        <w:rPr>
          <w:lang w:val="hr-HR"/>
        </w:rPr>
        <w:t>i</w:t>
      </w:r>
      <w:r w:rsidR="00926ABB">
        <w:rPr>
          <w:lang w:val="hr-HR"/>
        </w:rPr>
        <w:t xml:space="preserve"> pen</w:t>
      </w:r>
      <w:r w:rsidRPr="009C2C08">
        <w:rPr>
          <w:lang w:val="hr-HR"/>
        </w:rPr>
        <w:t>.</w:t>
      </w:r>
    </w:p>
    <w:p w14:paraId="7A2815E0" w14:textId="6943BD75" w:rsidR="00985308" w:rsidRPr="009C2C08" w:rsidRDefault="00985308" w:rsidP="00985308">
      <w:pPr>
        <w:rPr>
          <w:lang w:val="hr-HR"/>
        </w:rPr>
      </w:pPr>
    </w:p>
    <w:p w14:paraId="1BBEE16C" w14:textId="44AC79C5" w:rsidR="00812D16" w:rsidRPr="009C2C08" w:rsidRDefault="00812D16" w:rsidP="008D5FAA">
      <w:pPr>
        <w:spacing w:line="240" w:lineRule="auto"/>
        <w:ind w:left="567" w:hanging="567"/>
        <w:jc w:val="both"/>
        <w:outlineLvl w:val="0"/>
        <w:rPr>
          <w:lang w:val="hr-HR"/>
        </w:rPr>
      </w:pPr>
      <w:bookmarkStart w:id="26" w:name="OLE_LINK1"/>
      <w:r w:rsidRPr="009C2C08">
        <w:rPr>
          <w:b/>
          <w:lang w:val="hr-HR"/>
        </w:rPr>
        <w:t>6.6</w:t>
      </w:r>
      <w:r w:rsidRPr="009C2C08">
        <w:rPr>
          <w:lang w:val="hr-HR"/>
        </w:rPr>
        <w:tab/>
      </w:r>
      <w:r w:rsidR="00C75A92" w:rsidRPr="009C2C08">
        <w:rPr>
          <w:b/>
          <w:bCs/>
          <w:color w:val="000000"/>
          <w:szCs w:val="22"/>
        </w:rPr>
        <w:t>Posebne mjere opreza pri odlaganju materijala koji treba odbaciti nakon primjene lijeka</w:t>
      </w:r>
      <w:r w:rsidR="00C75A92" w:rsidRPr="009C2C08">
        <w:rPr>
          <w:b/>
          <w:bCs/>
          <w:szCs w:val="22"/>
        </w:rPr>
        <w:t xml:space="preserve"> (i druga uputstva za rukovanje lijekom)</w:t>
      </w:r>
    </w:p>
    <w:p w14:paraId="190D6D76" w14:textId="6E833CDC" w:rsidR="00F44A73" w:rsidRPr="009C2C08" w:rsidRDefault="00F44A73" w:rsidP="008D5FAA">
      <w:pPr>
        <w:pStyle w:val="Paragraph"/>
        <w:spacing w:after="0"/>
        <w:jc w:val="both"/>
        <w:rPr>
          <w:sz w:val="20"/>
          <w:szCs w:val="20"/>
          <w:lang w:val="hr-HR"/>
        </w:rPr>
      </w:pPr>
    </w:p>
    <w:p w14:paraId="4A7885A7" w14:textId="693BB155" w:rsidR="00803DC7" w:rsidRPr="009C2C08" w:rsidRDefault="00803DC7" w:rsidP="008D5FAA">
      <w:pPr>
        <w:tabs>
          <w:tab w:val="clear" w:pos="567"/>
        </w:tabs>
        <w:spacing w:line="240" w:lineRule="auto"/>
        <w:jc w:val="both"/>
        <w:rPr>
          <w:szCs w:val="22"/>
          <w:lang w:val="hr-HR"/>
        </w:rPr>
      </w:pPr>
      <w:r w:rsidRPr="009C2C08">
        <w:rPr>
          <w:lang w:val="hr-HR"/>
        </w:rPr>
        <w:t>Rastvor treba da bude bistar i bezbojan do blago svijetlo žuti rastvor i da ne sadrži čestice. Nemojte ubrizgavati lijek ako je zamućen, tamnožut ili sadrži čestice. Nemojte tresti, trešenje može oštetiti lijek.</w:t>
      </w:r>
    </w:p>
    <w:p w14:paraId="6F7EF37C" w14:textId="77777777" w:rsidR="006926F4" w:rsidRPr="009C2C08" w:rsidRDefault="006926F4" w:rsidP="008D5FAA">
      <w:pPr>
        <w:pStyle w:val="Paragraph"/>
        <w:spacing w:after="0"/>
        <w:jc w:val="both"/>
        <w:rPr>
          <w:sz w:val="22"/>
          <w:szCs w:val="22"/>
          <w:lang w:val="hr-HR"/>
        </w:rPr>
      </w:pPr>
    </w:p>
    <w:p w14:paraId="444584C6" w14:textId="5120D3F4" w:rsidR="00803DC7" w:rsidRPr="009C2C08" w:rsidRDefault="00803DC7" w:rsidP="008D5FAA">
      <w:pPr>
        <w:pStyle w:val="Paragraph"/>
        <w:spacing w:after="0"/>
        <w:jc w:val="both"/>
        <w:rPr>
          <w:sz w:val="22"/>
          <w:szCs w:val="22"/>
          <w:lang w:val="hr-HR"/>
        </w:rPr>
      </w:pPr>
      <w:r w:rsidRPr="009C2C08">
        <w:rPr>
          <w:sz w:val="22"/>
          <w:lang w:val="hr-HR"/>
        </w:rPr>
        <w:t>Svak</w:t>
      </w:r>
      <w:r w:rsidR="00AD4495">
        <w:rPr>
          <w:sz w:val="22"/>
          <w:lang w:val="hr-HR"/>
        </w:rPr>
        <w:t>i injekcioni pen</w:t>
      </w:r>
      <w:r w:rsidRPr="009C2C08">
        <w:rPr>
          <w:sz w:val="22"/>
          <w:lang w:val="hr-HR"/>
        </w:rPr>
        <w:t xml:space="preserve"> napunjen lijekom Ngenla treba da koristi samo jedan pacijent. </w:t>
      </w:r>
      <w:r w:rsidR="00AD4495">
        <w:rPr>
          <w:sz w:val="22"/>
          <w:lang w:val="hr-HR"/>
        </w:rPr>
        <w:t>Injekcioni pen</w:t>
      </w:r>
      <w:r w:rsidR="00AD4495" w:rsidRPr="009C2C08">
        <w:rPr>
          <w:sz w:val="22"/>
          <w:lang w:val="hr-HR"/>
        </w:rPr>
        <w:t xml:space="preserve"> </w:t>
      </w:r>
      <w:r w:rsidRPr="009C2C08">
        <w:rPr>
          <w:sz w:val="22"/>
          <w:lang w:val="hr-HR"/>
        </w:rPr>
        <w:t>napunjen lijekom Ngenla nikada ne smije da se dijeli između pacijenata, čak i ako se igla promijeni.</w:t>
      </w:r>
    </w:p>
    <w:p w14:paraId="3A0372A7" w14:textId="77777777" w:rsidR="00803DC7" w:rsidRPr="009C2C08" w:rsidRDefault="00803DC7" w:rsidP="008D5FAA">
      <w:pPr>
        <w:pStyle w:val="Paragraph"/>
        <w:spacing w:after="0"/>
        <w:jc w:val="both"/>
        <w:rPr>
          <w:sz w:val="22"/>
          <w:szCs w:val="22"/>
          <w:lang w:val="hr-HR"/>
        </w:rPr>
      </w:pPr>
    </w:p>
    <w:p w14:paraId="6AE545DD" w14:textId="1454D295" w:rsidR="006926F4" w:rsidRPr="009C2C08" w:rsidRDefault="00803DC7" w:rsidP="008D5FAA">
      <w:pPr>
        <w:pStyle w:val="Paragraph"/>
        <w:spacing w:after="0"/>
        <w:jc w:val="both"/>
        <w:rPr>
          <w:sz w:val="22"/>
          <w:szCs w:val="22"/>
          <w:lang w:val="hr-HR"/>
        </w:rPr>
      </w:pPr>
      <w:r w:rsidRPr="009C2C08">
        <w:rPr>
          <w:sz w:val="22"/>
          <w:lang w:val="hr-HR"/>
        </w:rPr>
        <w:t>Napunjen</w:t>
      </w:r>
      <w:r w:rsidR="00AD4495">
        <w:rPr>
          <w:sz w:val="22"/>
          <w:lang w:val="hr-HR"/>
        </w:rPr>
        <w:t>i injekcioni pen</w:t>
      </w:r>
      <w:r w:rsidRPr="009C2C08">
        <w:rPr>
          <w:sz w:val="22"/>
          <w:lang w:val="hr-HR"/>
        </w:rPr>
        <w:t xml:space="preserve"> treba koristiti samo do 28 dana nakon prve upotrebe i prije isteka roka </w:t>
      </w:r>
      <w:r w:rsidR="00255289">
        <w:rPr>
          <w:sz w:val="22"/>
          <w:lang w:val="hr-HR"/>
        </w:rPr>
        <w:t>upotrebe</w:t>
      </w:r>
      <w:r w:rsidRPr="009C2C08">
        <w:rPr>
          <w:sz w:val="22"/>
          <w:lang w:val="hr-HR"/>
        </w:rPr>
        <w:t xml:space="preserve">. </w:t>
      </w:r>
    </w:p>
    <w:p w14:paraId="0C27843A" w14:textId="2379EDD7" w:rsidR="00DF17BC" w:rsidRPr="009C2C08" w:rsidRDefault="00DF17BC" w:rsidP="008D5FAA">
      <w:pPr>
        <w:pStyle w:val="Paragraph"/>
        <w:tabs>
          <w:tab w:val="left" w:pos="1458"/>
        </w:tabs>
        <w:spacing w:after="0"/>
        <w:jc w:val="both"/>
        <w:rPr>
          <w:sz w:val="22"/>
          <w:szCs w:val="22"/>
          <w:lang w:val="hr-HR"/>
        </w:rPr>
      </w:pPr>
    </w:p>
    <w:p w14:paraId="5E77529C" w14:textId="43F181C2" w:rsidR="00F44A73" w:rsidRPr="009C2C08" w:rsidRDefault="00F44A73" w:rsidP="008D5FAA">
      <w:pPr>
        <w:pStyle w:val="Paragraph"/>
        <w:spacing w:after="0"/>
        <w:jc w:val="both"/>
        <w:rPr>
          <w:rStyle w:val="normaltextrun1"/>
          <w:lang w:val="hr-HR"/>
        </w:rPr>
      </w:pPr>
      <w:r w:rsidRPr="009C2C08">
        <w:rPr>
          <w:rStyle w:val="normaltextrun1"/>
          <w:sz w:val="22"/>
          <w:lang w:val="hr-HR"/>
        </w:rPr>
        <w:t>Ne zamrzavajte lijek.</w:t>
      </w:r>
      <w:r w:rsidRPr="009C2C08">
        <w:rPr>
          <w:sz w:val="20"/>
          <w:lang w:val="hr-HR"/>
        </w:rPr>
        <w:t xml:space="preserve"> </w:t>
      </w:r>
      <w:r w:rsidRPr="009C2C08">
        <w:rPr>
          <w:sz w:val="22"/>
          <w:lang w:val="hr-HR"/>
        </w:rPr>
        <w:t xml:space="preserve">Ne izlažite toploti (iznad 32°C). </w:t>
      </w:r>
      <w:r w:rsidRPr="009C2C08">
        <w:rPr>
          <w:rStyle w:val="normaltextrun1"/>
          <w:sz w:val="22"/>
          <w:lang w:val="hr-HR"/>
        </w:rPr>
        <w:t xml:space="preserve">Nemojte koristiti lijek </w:t>
      </w:r>
      <w:r w:rsidRPr="009C2C08">
        <w:rPr>
          <w:sz w:val="22"/>
          <w:lang w:val="hr-HR"/>
        </w:rPr>
        <w:t>Ngenla</w:t>
      </w:r>
      <w:r w:rsidRPr="009C2C08">
        <w:rPr>
          <w:rStyle w:val="normaltextrun1"/>
          <w:sz w:val="22"/>
          <w:lang w:val="hr-HR"/>
        </w:rPr>
        <w:t xml:space="preserve"> ako je zamrznut ili izložen toploti, već ga bacite u otpad.</w:t>
      </w:r>
    </w:p>
    <w:p w14:paraId="6EAF8467" w14:textId="77777777" w:rsidR="00F44A73" w:rsidRPr="009C2C08" w:rsidRDefault="00F44A73" w:rsidP="008D5FAA">
      <w:pPr>
        <w:pStyle w:val="Paragraph"/>
        <w:tabs>
          <w:tab w:val="left" w:pos="1458"/>
        </w:tabs>
        <w:spacing w:after="0"/>
        <w:jc w:val="both"/>
        <w:rPr>
          <w:sz w:val="22"/>
          <w:szCs w:val="22"/>
          <w:lang w:val="hr-HR"/>
        </w:rPr>
      </w:pPr>
    </w:p>
    <w:p w14:paraId="54ECB88E" w14:textId="77777777" w:rsidR="00BC6D1F" w:rsidRPr="009C2C08" w:rsidRDefault="00BC6D1F" w:rsidP="008D5FAA">
      <w:pPr>
        <w:jc w:val="both"/>
        <w:rPr>
          <w:szCs w:val="22"/>
          <w:u w:val="single"/>
          <w:lang w:val="hr-HR"/>
        </w:rPr>
      </w:pPr>
      <w:r w:rsidRPr="009C2C08">
        <w:rPr>
          <w:u w:val="single"/>
          <w:lang w:val="hr-HR"/>
        </w:rPr>
        <w:t xml:space="preserve">Priprema doze </w:t>
      </w:r>
    </w:p>
    <w:p w14:paraId="18710770" w14:textId="77777777" w:rsidR="00BC6D1F" w:rsidRPr="009C2C08" w:rsidRDefault="00BC6D1F" w:rsidP="008D5FAA">
      <w:pPr>
        <w:jc w:val="both"/>
        <w:rPr>
          <w:szCs w:val="22"/>
          <w:u w:val="single"/>
          <w:lang w:val="hr-HR"/>
        </w:rPr>
      </w:pPr>
    </w:p>
    <w:p w14:paraId="5E169BC3" w14:textId="1F2CB9CE" w:rsidR="00F527FE" w:rsidRPr="009C2C08" w:rsidRDefault="00AD4495" w:rsidP="008D5FAA">
      <w:pPr>
        <w:jc w:val="both"/>
        <w:rPr>
          <w:szCs w:val="22"/>
          <w:lang w:val="hr-HR"/>
        </w:rPr>
      </w:pPr>
      <w:r>
        <w:rPr>
          <w:lang w:val="hr-HR"/>
        </w:rPr>
        <w:t>Injekcioni pen</w:t>
      </w:r>
      <w:r w:rsidRPr="009C2C08">
        <w:rPr>
          <w:lang w:val="hr-HR"/>
        </w:rPr>
        <w:t xml:space="preserve"> </w:t>
      </w:r>
      <w:r w:rsidR="00BC6D1F" w:rsidRPr="009C2C08">
        <w:rPr>
          <w:lang w:val="hr-HR"/>
        </w:rPr>
        <w:t>se može koristiti direktno iz frižidera. Za prijatniji osjećaj prilikom primanja injekcije, napunjen</w:t>
      </w:r>
      <w:r>
        <w:rPr>
          <w:lang w:val="hr-HR"/>
        </w:rPr>
        <w:t>i injekcioni pen</w:t>
      </w:r>
      <w:r w:rsidR="00BC6D1F" w:rsidRPr="009C2C08">
        <w:rPr>
          <w:lang w:val="hr-HR"/>
        </w:rPr>
        <w:t xml:space="preserve"> koj</w:t>
      </w:r>
      <w:r>
        <w:rPr>
          <w:lang w:val="hr-HR"/>
        </w:rPr>
        <w:t>i</w:t>
      </w:r>
      <w:r w:rsidR="00BC6D1F" w:rsidRPr="009C2C08">
        <w:rPr>
          <w:lang w:val="hr-HR"/>
        </w:rPr>
        <w:t xml:space="preserve"> sadrži sterilni rastvor somatrogona može da dostigne sobnu temperaturu do 32°C u roku od 30 minuta. Treba pregledati da li u rastvoru u </w:t>
      </w:r>
      <w:r>
        <w:rPr>
          <w:lang w:val="hr-HR"/>
        </w:rPr>
        <w:t>injekcionom penu</w:t>
      </w:r>
      <w:r w:rsidRPr="009C2C08">
        <w:rPr>
          <w:lang w:val="hr-HR"/>
        </w:rPr>
        <w:t xml:space="preserve"> </w:t>
      </w:r>
      <w:r w:rsidR="00BC6D1F" w:rsidRPr="009C2C08">
        <w:rPr>
          <w:lang w:val="hr-HR"/>
        </w:rPr>
        <w:t xml:space="preserve">ima ljuspica, čestica </w:t>
      </w:r>
      <w:r w:rsidR="00BC6D1F" w:rsidRPr="009C2C08">
        <w:rPr>
          <w:lang w:val="hr-HR"/>
        </w:rPr>
        <w:lastRenderedPageBreak/>
        <w:t xml:space="preserve">i promjene boje. </w:t>
      </w:r>
      <w:r w:rsidR="00F527FE">
        <w:rPr>
          <w:lang w:val="hr-HR"/>
        </w:rPr>
        <w:t>I</w:t>
      </w:r>
      <w:r>
        <w:rPr>
          <w:lang w:val="hr-HR"/>
        </w:rPr>
        <w:t>njekcioni pen</w:t>
      </w:r>
      <w:r w:rsidR="00BC6D1F" w:rsidRPr="009C2C08">
        <w:rPr>
          <w:lang w:val="hr-HR"/>
        </w:rPr>
        <w:t xml:space="preserve"> ne treba tresti. Ako se uoče ljuspice, čestice ili promjene u boji, </w:t>
      </w:r>
      <w:r>
        <w:rPr>
          <w:lang w:val="hr-HR"/>
        </w:rPr>
        <w:t>injekcioni pen</w:t>
      </w:r>
      <w:r w:rsidRPr="009C2C08">
        <w:rPr>
          <w:lang w:val="hr-HR"/>
        </w:rPr>
        <w:t xml:space="preserve"> </w:t>
      </w:r>
      <w:r w:rsidR="00BC6D1F" w:rsidRPr="009C2C08">
        <w:rPr>
          <w:lang w:val="hr-HR"/>
        </w:rPr>
        <w:t>ne treba koristiti.</w:t>
      </w:r>
    </w:p>
    <w:p w14:paraId="2A379F03" w14:textId="77777777" w:rsidR="00255289" w:rsidRDefault="00255289" w:rsidP="008D5FAA">
      <w:pPr>
        <w:keepNext/>
        <w:jc w:val="both"/>
        <w:rPr>
          <w:u w:val="single"/>
          <w:lang w:val="hr-HR"/>
        </w:rPr>
      </w:pPr>
    </w:p>
    <w:p w14:paraId="2CD4D8A6" w14:textId="6D77DBC9" w:rsidR="00BC6D1F" w:rsidRPr="009C2C08" w:rsidRDefault="00BC6D1F" w:rsidP="008D5FAA">
      <w:pPr>
        <w:keepNext/>
        <w:jc w:val="both"/>
        <w:rPr>
          <w:szCs w:val="22"/>
          <w:u w:val="single"/>
          <w:lang w:val="hr-HR"/>
        </w:rPr>
      </w:pPr>
      <w:r w:rsidRPr="009C2C08">
        <w:rPr>
          <w:u w:val="single"/>
          <w:lang w:val="hr-HR"/>
        </w:rPr>
        <w:t xml:space="preserve">Primjena </w:t>
      </w:r>
    </w:p>
    <w:p w14:paraId="7C881DAF" w14:textId="77777777" w:rsidR="00BC6D1F" w:rsidRPr="009C2C08" w:rsidRDefault="00BC6D1F" w:rsidP="008D5FAA">
      <w:pPr>
        <w:keepNext/>
        <w:jc w:val="both"/>
        <w:rPr>
          <w:szCs w:val="22"/>
          <w:u w:val="single"/>
          <w:lang w:val="hr-HR"/>
        </w:rPr>
      </w:pPr>
    </w:p>
    <w:p w14:paraId="4F79675E" w14:textId="02476228" w:rsidR="00985308" w:rsidRPr="009C2C08" w:rsidRDefault="00255289" w:rsidP="008D5FAA">
      <w:pPr>
        <w:spacing w:before="4" w:line="240" w:lineRule="exact"/>
        <w:jc w:val="both"/>
        <w:rPr>
          <w:lang w:val="hr-HR"/>
        </w:rPr>
      </w:pPr>
      <w:r w:rsidRPr="00255289">
        <w:rPr>
          <w:lang w:val="hr-HR"/>
        </w:rPr>
        <w:t>Predviđeno</w:t>
      </w:r>
      <w:r w:rsidRPr="00255289" w:rsidDel="00255289">
        <w:rPr>
          <w:lang w:val="hr-HR"/>
        </w:rPr>
        <w:t xml:space="preserve"> </w:t>
      </w:r>
      <w:r w:rsidR="00985308" w:rsidRPr="009C2C08">
        <w:rPr>
          <w:lang w:val="hr-HR"/>
        </w:rPr>
        <w:t xml:space="preserve">mjesto ubrizgavanja treba pripremiti prema uputstvima </w:t>
      </w:r>
      <w:r>
        <w:rPr>
          <w:lang w:val="hr-HR"/>
        </w:rPr>
        <w:t>navedenim</w:t>
      </w:r>
      <w:r w:rsidRPr="009C2C08">
        <w:rPr>
          <w:lang w:val="hr-HR"/>
        </w:rPr>
        <w:t xml:space="preserve"> </w:t>
      </w:r>
      <w:r w:rsidR="00985308" w:rsidRPr="009C2C08">
        <w:rPr>
          <w:lang w:val="hr-HR"/>
        </w:rPr>
        <w:t xml:space="preserve">u Uputstvu za upotrebu. Preporučuje se rotiranje mjesta ubrizgavanja pri svakoj primjeni. </w:t>
      </w:r>
      <w:r w:rsidR="00985308" w:rsidRPr="009C2C08">
        <w:rPr>
          <w:rStyle w:val="normaltextrun1"/>
          <w:lang w:val="hr-HR"/>
        </w:rPr>
        <w:t>Nakon upotrebe, uvijek vratite poklopac na napunjen</w:t>
      </w:r>
      <w:r w:rsidR="00AD4495">
        <w:rPr>
          <w:rStyle w:val="normaltextrun1"/>
          <w:lang w:val="hr-HR"/>
        </w:rPr>
        <w:t>i injekcioni pen</w:t>
      </w:r>
      <w:r w:rsidR="00985308" w:rsidRPr="009C2C08">
        <w:rPr>
          <w:rStyle w:val="normaltextrun1"/>
          <w:lang w:val="hr-HR"/>
        </w:rPr>
        <w:t xml:space="preserve"> nakon svake injekcije. </w:t>
      </w:r>
      <w:r w:rsidR="00985308" w:rsidRPr="009C2C08">
        <w:rPr>
          <w:lang w:val="hr-HR"/>
        </w:rPr>
        <w:t xml:space="preserve">Vratite lijek Ngenla u frižider nakon svake upotrebe. Nova igla mora uvijek biti pričvršćena prije upotrebe. Igle se ne smiju ponovo koristiti. Iglu za injekciju treba ukloniti nakon svakog ubrizgavanja, a </w:t>
      </w:r>
      <w:r w:rsidR="00AD4495">
        <w:rPr>
          <w:lang w:val="hr-HR"/>
        </w:rPr>
        <w:t>injekcioni pen</w:t>
      </w:r>
      <w:r w:rsidR="00AD4495" w:rsidRPr="009C2C08">
        <w:rPr>
          <w:lang w:val="hr-HR"/>
        </w:rPr>
        <w:t xml:space="preserve"> </w:t>
      </w:r>
      <w:r w:rsidR="00985308" w:rsidRPr="009C2C08">
        <w:rPr>
          <w:lang w:val="hr-HR"/>
        </w:rPr>
        <w:t>treba čuvati bez pričvršćene igle. Ovo može spriječiti blokiranje igala, kontaminaciju, infekciju, curenje rastvora i netačno doziranje.</w:t>
      </w:r>
    </w:p>
    <w:p w14:paraId="7F7F5F41" w14:textId="77777777" w:rsidR="00985308" w:rsidRPr="009C2C08" w:rsidRDefault="00985308" w:rsidP="008D5FAA">
      <w:pPr>
        <w:jc w:val="both"/>
        <w:rPr>
          <w:lang w:val="hr-HR"/>
        </w:rPr>
      </w:pPr>
    </w:p>
    <w:p w14:paraId="54764636" w14:textId="5F9B3632" w:rsidR="00985308" w:rsidRPr="009C2C08" w:rsidRDefault="00985308" w:rsidP="008D5FAA">
      <w:pPr>
        <w:spacing w:before="4" w:line="240" w:lineRule="exact"/>
        <w:jc w:val="both"/>
        <w:rPr>
          <w:lang w:val="hr-HR"/>
        </w:rPr>
      </w:pPr>
      <w:r w:rsidRPr="009C2C08">
        <w:rPr>
          <w:lang w:val="hr-HR"/>
        </w:rPr>
        <w:t xml:space="preserve">U slučaju začepljenih igala (tj. tečnost se ne pojavljuje na vrhu igle), pacijenti moraju da poštuju uputstva opisana u Uputstvu za upotrebu koje je priloženo uputstvu za lijek. </w:t>
      </w:r>
    </w:p>
    <w:p w14:paraId="58705A5C" w14:textId="77777777" w:rsidR="00985308" w:rsidRPr="009C2C08" w:rsidRDefault="00985308" w:rsidP="008D5FAA">
      <w:pPr>
        <w:spacing w:before="4" w:line="240" w:lineRule="exact"/>
        <w:jc w:val="both"/>
        <w:rPr>
          <w:lang w:val="hr-HR"/>
        </w:rPr>
      </w:pPr>
    </w:p>
    <w:p w14:paraId="694765F8" w14:textId="288FC67F" w:rsidR="00985308" w:rsidRPr="009C2C08" w:rsidRDefault="00995EE3" w:rsidP="008D5FAA">
      <w:pPr>
        <w:jc w:val="both"/>
        <w:rPr>
          <w:lang w:val="hr-HR"/>
        </w:rPr>
      </w:pPr>
      <w:r w:rsidRPr="009C2C08">
        <w:rPr>
          <w:lang w:val="hr-HR"/>
        </w:rPr>
        <w:t>Za primjenu su potrebne sterilne igle, ali ni</w:t>
      </w:r>
      <w:r w:rsidR="00F527FE">
        <w:rPr>
          <w:lang w:val="hr-HR"/>
        </w:rPr>
        <w:t>je</w:t>
      </w:r>
      <w:r w:rsidRPr="009C2C08">
        <w:rPr>
          <w:lang w:val="hr-HR"/>
        </w:rPr>
        <w:t xml:space="preserve">su </w:t>
      </w:r>
      <w:r w:rsidR="00F527FE">
        <w:rPr>
          <w:lang w:val="hr-HR"/>
        </w:rPr>
        <w:t>uključene u pakovanje</w:t>
      </w:r>
      <w:r w:rsidRPr="009C2C08">
        <w:rPr>
          <w:lang w:val="hr-HR"/>
        </w:rPr>
        <w:t>. Lijek Ngenla se može primijeniti iglom od 4 mm do 8 mm i</w:t>
      </w:r>
      <w:r w:rsidR="00B846D8">
        <w:rPr>
          <w:lang w:val="hr-HR"/>
        </w:rPr>
        <w:t xml:space="preserve"> između</w:t>
      </w:r>
      <w:r w:rsidRPr="009C2C08">
        <w:rPr>
          <w:lang w:val="hr-HR"/>
        </w:rPr>
        <w:t xml:space="preserve"> 3</w:t>
      </w:r>
      <w:r w:rsidR="00B846D8">
        <w:rPr>
          <w:lang w:val="hr-HR"/>
        </w:rPr>
        <w:t>0G</w:t>
      </w:r>
      <w:r w:rsidRPr="009C2C08">
        <w:rPr>
          <w:lang w:val="hr-HR"/>
        </w:rPr>
        <w:t xml:space="preserve"> i 32G.</w:t>
      </w:r>
    </w:p>
    <w:p w14:paraId="0CE7CA6C" w14:textId="33649359" w:rsidR="00BC6D1F" w:rsidRPr="009C2C08" w:rsidRDefault="00BC6D1F" w:rsidP="008D5FAA">
      <w:pPr>
        <w:jc w:val="both"/>
        <w:rPr>
          <w:lang w:val="hr-HR"/>
        </w:rPr>
      </w:pPr>
    </w:p>
    <w:p w14:paraId="334D50D9" w14:textId="7CD31D65" w:rsidR="00BC6D1F" w:rsidRPr="009C2C08" w:rsidRDefault="00B8390B" w:rsidP="008D5FAA">
      <w:pPr>
        <w:jc w:val="both"/>
        <w:rPr>
          <w:szCs w:val="22"/>
          <w:lang w:val="hr-HR"/>
        </w:rPr>
      </w:pPr>
      <w:r w:rsidRPr="009C2C08">
        <w:rPr>
          <w:lang w:val="hr-HR"/>
        </w:rPr>
        <w:t xml:space="preserve">Uputstva za pripremu i primjenu proizvoda data su u </w:t>
      </w:r>
      <w:r w:rsidR="00910018" w:rsidRPr="009C2C08">
        <w:rPr>
          <w:lang w:val="hr-HR"/>
        </w:rPr>
        <w:t xml:space="preserve">Uputstvu </w:t>
      </w:r>
      <w:r w:rsidRPr="009C2C08">
        <w:rPr>
          <w:lang w:val="hr-HR"/>
        </w:rPr>
        <w:t xml:space="preserve">za lijek i Uputstvu za upotrebu. </w:t>
      </w:r>
    </w:p>
    <w:p w14:paraId="275A17E1" w14:textId="2FC341C0" w:rsidR="00A747A9" w:rsidRPr="009C2C08" w:rsidRDefault="00A747A9" w:rsidP="008D5FAA">
      <w:pPr>
        <w:jc w:val="both"/>
        <w:rPr>
          <w:szCs w:val="22"/>
          <w:lang w:val="hr-HR"/>
        </w:rPr>
      </w:pPr>
    </w:p>
    <w:p w14:paraId="7A8FC507" w14:textId="22326840" w:rsidR="00A747A9" w:rsidRPr="009C2C08" w:rsidRDefault="4CC60EF2" w:rsidP="008D5FAA">
      <w:pPr>
        <w:keepNext/>
        <w:jc w:val="both"/>
        <w:rPr>
          <w:szCs w:val="22"/>
          <w:u w:val="single"/>
          <w:lang w:val="hr-HR"/>
        </w:rPr>
      </w:pPr>
      <w:r w:rsidRPr="009C2C08">
        <w:rPr>
          <w:u w:val="single"/>
          <w:lang w:val="hr-HR"/>
        </w:rPr>
        <w:t xml:space="preserve">Odlaganje </w:t>
      </w:r>
    </w:p>
    <w:p w14:paraId="24E13BE0" w14:textId="77777777" w:rsidR="005E52CE" w:rsidRPr="009C2C08" w:rsidRDefault="005E52CE" w:rsidP="008D5FAA">
      <w:pPr>
        <w:keepNext/>
        <w:jc w:val="both"/>
        <w:rPr>
          <w:szCs w:val="22"/>
          <w:u w:val="single"/>
          <w:lang w:val="hr-HR"/>
        </w:rPr>
      </w:pPr>
    </w:p>
    <w:p w14:paraId="27B873FC" w14:textId="47C5B8B4" w:rsidR="00B45B3D" w:rsidRPr="009C2C08" w:rsidRDefault="4CC60EF2" w:rsidP="008D5FAA">
      <w:pPr>
        <w:jc w:val="both"/>
        <w:rPr>
          <w:szCs w:val="22"/>
          <w:lang w:val="hr-HR"/>
        </w:rPr>
      </w:pPr>
      <w:r w:rsidRPr="009C2C08">
        <w:rPr>
          <w:lang w:val="hr-HR"/>
        </w:rPr>
        <w:t>Svu neiskorišćenu količinu lijeka ili otpadnog materijala nakon njegove upotrebe treba ukloniti, u skladu sa važećim propisima. Ako je napunjen</w:t>
      </w:r>
      <w:r w:rsidR="00AD4495">
        <w:rPr>
          <w:lang w:val="hr-HR"/>
        </w:rPr>
        <w:t>i injekcioni pen</w:t>
      </w:r>
      <w:r w:rsidRPr="009C2C08">
        <w:rPr>
          <w:lang w:val="hr-HR"/>
        </w:rPr>
        <w:t xml:space="preserve"> praz</w:t>
      </w:r>
      <w:r w:rsidR="00AD4495">
        <w:rPr>
          <w:lang w:val="hr-HR"/>
        </w:rPr>
        <w:t>a</w:t>
      </w:r>
      <w:r w:rsidRPr="009C2C08">
        <w:rPr>
          <w:lang w:val="hr-HR"/>
        </w:rPr>
        <w:t>n, ako je bi</w:t>
      </w:r>
      <w:r w:rsidR="00AD4495">
        <w:rPr>
          <w:lang w:val="hr-HR"/>
        </w:rPr>
        <w:t>o</w:t>
      </w:r>
      <w:r w:rsidRPr="009C2C08">
        <w:rPr>
          <w:lang w:val="hr-HR"/>
        </w:rPr>
        <w:t xml:space="preserve"> izložen temperaturi višoj od 32°C, ako je staja</w:t>
      </w:r>
      <w:r w:rsidR="00AD4495">
        <w:rPr>
          <w:lang w:val="hr-HR"/>
        </w:rPr>
        <w:t>o</w:t>
      </w:r>
      <w:r w:rsidRPr="009C2C08">
        <w:rPr>
          <w:lang w:val="hr-HR"/>
        </w:rPr>
        <w:t xml:space="preserve"> van frižidera duže od 4 sata pri svakoj upotrebi, ako je korišćen 5 puta ili je prošlo više od 28 dana nakon prve upotrebe, treba </w:t>
      </w:r>
      <w:r w:rsidR="00AD4495">
        <w:rPr>
          <w:lang w:val="hr-HR"/>
        </w:rPr>
        <w:t>ga</w:t>
      </w:r>
      <w:r w:rsidRPr="009C2C08">
        <w:rPr>
          <w:lang w:val="hr-HR"/>
        </w:rPr>
        <w:t xml:space="preserve"> baciti čak i ako sadrži neiskorišćeni lijek. Mala količina sterilnog rastvora somatrogona može ostati u </w:t>
      </w:r>
      <w:r w:rsidR="00AD4495">
        <w:rPr>
          <w:lang w:val="hr-HR"/>
        </w:rPr>
        <w:t xml:space="preserve">injekcionom penu </w:t>
      </w:r>
      <w:r w:rsidRPr="009C2C08">
        <w:rPr>
          <w:lang w:val="hr-HR"/>
        </w:rPr>
        <w:t xml:space="preserve">nakon što su sve doze pravilno date. Pacijente treba uputiti da ne koriste preostali rastvor, već da propisno bace </w:t>
      </w:r>
      <w:r w:rsidR="00AD4495">
        <w:rPr>
          <w:lang w:val="hr-HR"/>
        </w:rPr>
        <w:t>injekcioni pen</w:t>
      </w:r>
      <w:r w:rsidR="00AD4495" w:rsidRPr="009C2C08">
        <w:rPr>
          <w:lang w:val="hr-HR"/>
        </w:rPr>
        <w:t xml:space="preserve"> </w:t>
      </w:r>
      <w:r w:rsidR="00B31F31" w:rsidRPr="00B31F31">
        <w:rPr>
          <w:lang w:val="hr-HR"/>
        </w:rPr>
        <w:t>na odgovarajući način</w:t>
      </w:r>
      <w:r w:rsidRPr="009C2C08">
        <w:rPr>
          <w:lang w:val="hr-HR"/>
        </w:rPr>
        <w:t>.</w:t>
      </w:r>
    </w:p>
    <w:p w14:paraId="4E47B8A6" w14:textId="57A51657" w:rsidR="00A747A9" w:rsidRPr="009C2C08" w:rsidRDefault="00A747A9" w:rsidP="008D5FAA">
      <w:pPr>
        <w:pStyle w:val="Paragraph"/>
        <w:spacing w:after="0"/>
        <w:jc w:val="both"/>
        <w:rPr>
          <w:sz w:val="22"/>
          <w:szCs w:val="22"/>
          <w:lang w:val="hr-HR"/>
        </w:rPr>
      </w:pPr>
    </w:p>
    <w:p w14:paraId="7356F73F" w14:textId="77777777" w:rsidR="00F4695A" w:rsidRPr="009C2C08" w:rsidRDefault="00F4695A" w:rsidP="00653994">
      <w:pPr>
        <w:pStyle w:val="Paragraph"/>
        <w:spacing w:after="0"/>
        <w:rPr>
          <w:sz w:val="22"/>
          <w:szCs w:val="22"/>
          <w:lang w:val="hr-HR"/>
        </w:rPr>
      </w:pPr>
    </w:p>
    <w:bookmarkEnd w:id="26"/>
    <w:p w14:paraId="1BBEE177" w14:textId="32A3ED3A" w:rsidR="00812D16" w:rsidRPr="009C2C08" w:rsidRDefault="00812D16" w:rsidP="00C162A8">
      <w:pPr>
        <w:keepNext/>
        <w:spacing w:line="240" w:lineRule="auto"/>
        <w:ind w:left="567" w:hanging="567"/>
        <w:rPr>
          <w:szCs w:val="22"/>
          <w:lang w:val="hr-HR"/>
        </w:rPr>
      </w:pPr>
      <w:r w:rsidRPr="009C2C08">
        <w:rPr>
          <w:b/>
          <w:lang w:val="hr-HR"/>
        </w:rPr>
        <w:t>7.</w:t>
      </w:r>
      <w:r w:rsidRPr="009C2C08">
        <w:rPr>
          <w:b/>
          <w:lang w:val="hr-HR"/>
        </w:rPr>
        <w:tab/>
        <w:t>NOSILAC DOZVOLE</w:t>
      </w:r>
    </w:p>
    <w:p w14:paraId="1BBEE178" w14:textId="77777777" w:rsidR="00812D16" w:rsidRPr="009C2C08" w:rsidRDefault="00812D16" w:rsidP="004B1CF5">
      <w:pPr>
        <w:spacing w:line="240" w:lineRule="auto"/>
        <w:rPr>
          <w:szCs w:val="22"/>
          <w:lang w:val="hr-HR"/>
        </w:rPr>
      </w:pPr>
    </w:p>
    <w:p w14:paraId="47F88952" w14:textId="77777777" w:rsidR="0003263B" w:rsidRPr="0067196B" w:rsidRDefault="0003263B" w:rsidP="0003263B">
      <w:pPr>
        <w:rPr>
          <w:szCs w:val="22"/>
        </w:rPr>
      </w:pPr>
      <w:r w:rsidRPr="0067196B">
        <w:rPr>
          <w:szCs w:val="22"/>
        </w:rPr>
        <w:t>Evropa Lek Pharma d.o.o. Podgorica</w:t>
      </w:r>
    </w:p>
    <w:p w14:paraId="24B8F285" w14:textId="77777777" w:rsidR="0003263B" w:rsidRPr="0067196B" w:rsidRDefault="0003263B" w:rsidP="0003263B">
      <w:pPr>
        <w:rPr>
          <w:szCs w:val="22"/>
        </w:rPr>
      </w:pPr>
      <w:r w:rsidRPr="0067196B">
        <w:rPr>
          <w:szCs w:val="22"/>
        </w:rPr>
        <w:t>Kritskog odreda 4/1, 81000 Podgorica, Crna Gora</w:t>
      </w:r>
    </w:p>
    <w:p w14:paraId="1BBEE17D" w14:textId="77777777" w:rsidR="00812D16" w:rsidRPr="009C2C08" w:rsidRDefault="00812D16" w:rsidP="004B1CF5">
      <w:pPr>
        <w:spacing w:line="240" w:lineRule="auto"/>
        <w:rPr>
          <w:szCs w:val="22"/>
          <w:lang w:val="hr-HR"/>
        </w:rPr>
      </w:pPr>
    </w:p>
    <w:p w14:paraId="1BBEE17E" w14:textId="77777777" w:rsidR="00812D16" w:rsidRPr="009C2C08" w:rsidRDefault="00812D16" w:rsidP="004B1CF5">
      <w:pPr>
        <w:spacing w:line="240" w:lineRule="auto"/>
        <w:rPr>
          <w:szCs w:val="22"/>
          <w:lang w:val="hr-HR"/>
        </w:rPr>
      </w:pPr>
    </w:p>
    <w:p w14:paraId="1BBEE17F" w14:textId="3FC2981A" w:rsidR="00812D16" w:rsidRPr="009C2C08" w:rsidRDefault="00812D16" w:rsidP="00372AC5">
      <w:pPr>
        <w:keepNext/>
        <w:spacing w:line="240" w:lineRule="auto"/>
        <w:ind w:left="567" w:hanging="567"/>
        <w:rPr>
          <w:b/>
          <w:szCs w:val="22"/>
          <w:lang w:val="hr-HR"/>
        </w:rPr>
      </w:pPr>
      <w:r w:rsidRPr="009C2C08">
        <w:rPr>
          <w:b/>
          <w:lang w:val="hr-HR"/>
        </w:rPr>
        <w:t>8.</w:t>
      </w:r>
      <w:r w:rsidRPr="009C2C08">
        <w:rPr>
          <w:b/>
          <w:lang w:val="hr-HR"/>
        </w:rPr>
        <w:tab/>
        <w:t xml:space="preserve">BROJ(EVI) DOZVOLE ZA STAVLJANJE LIJEKA U PROMET </w:t>
      </w:r>
    </w:p>
    <w:p w14:paraId="1BBEE181" w14:textId="6AC70576" w:rsidR="00812D16" w:rsidRPr="009C2C08" w:rsidRDefault="00812D16" w:rsidP="004B1CF5">
      <w:pPr>
        <w:spacing w:line="240" w:lineRule="auto"/>
        <w:rPr>
          <w:szCs w:val="22"/>
          <w:lang w:val="hr-HR"/>
        </w:rPr>
      </w:pPr>
    </w:p>
    <w:p w14:paraId="702974AE" w14:textId="2221F0EA" w:rsidR="005457CD" w:rsidRPr="00CD303A" w:rsidRDefault="007C5193" w:rsidP="007C5193">
      <w:pPr>
        <w:spacing w:line="240" w:lineRule="auto"/>
        <w:rPr>
          <w:szCs w:val="22"/>
        </w:rPr>
      </w:pPr>
      <w:r w:rsidRPr="00CD303A">
        <w:rPr>
          <w:szCs w:val="22"/>
        </w:rPr>
        <w:t>Ngenla, rastvor za injekciju u napunjenom injekcionom penu, 24mg, napunjeni injekcioni pen, 1x1.2ml: 2030/24/453 - 5646</w:t>
      </w:r>
    </w:p>
    <w:p w14:paraId="7C0C5830" w14:textId="08D5D25F" w:rsidR="007C5193" w:rsidRDefault="007C5193" w:rsidP="007C5193">
      <w:pPr>
        <w:spacing w:line="240" w:lineRule="auto"/>
        <w:rPr>
          <w:szCs w:val="22"/>
          <w:lang w:val="hr-HR"/>
        </w:rPr>
      </w:pPr>
    </w:p>
    <w:p w14:paraId="0DF4463E" w14:textId="17A5FF20" w:rsidR="007C5193" w:rsidRPr="00CD303A" w:rsidRDefault="007C5193" w:rsidP="007C5193">
      <w:pPr>
        <w:spacing w:line="240" w:lineRule="auto"/>
        <w:rPr>
          <w:szCs w:val="22"/>
        </w:rPr>
      </w:pPr>
      <w:r w:rsidRPr="00CD303A">
        <w:rPr>
          <w:szCs w:val="22"/>
        </w:rPr>
        <w:t>Ngenla, rastvor za injekciju u napunjenom injekcionom penu, 60 mg, napunjeni injekcioni pen, 1x1.2ml: 2030/24/452 - 5647</w:t>
      </w:r>
    </w:p>
    <w:p w14:paraId="21FA9239" w14:textId="4B6F2E97" w:rsidR="007C5193" w:rsidRDefault="007C5193" w:rsidP="004B1CF5">
      <w:pPr>
        <w:spacing w:line="240" w:lineRule="auto"/>
        <w:rPr>
          <w:szCs w:val="22"/>
          <w:lang w:val="hr-HR"/>
        </w:rPr>
      </w:pPr>
    </w:p>
    <w:p w14:paraId="035B2F93" w14:textId="77777777" w:rsidR="002B0F0C" w:rsidRPr="009C2C08" w:rsidRDefault="002B0F0C" w:rsidP="004B1CF5">
      <w:pPr>
        <w:spacing w:line="240" w:lineRule="auto"/>
        <w:rPr>
          <w:szCs w:val="22"/>
          <w:lang w:val="hr-HR"/>
        </w:rPr>
      </w:pPr>
    </w:p>
    <w:p w14:paraId="1BBEE182" w14:textId="1FA688F1" w:rsidR="00812D16" w:rsidRPr="009C2C08" w:rsidRDefault="00812D16" w:rsidP="00FE3809">
      <w:pPr>
        <w:keepNext/>
        <w:spacing w:line="240" w:lineRule="auto"/>
        <w:ind w:left="567" w:hanging="567"/>
        <w:rPr>
          <w:szCs w:val="22"/>
          <w:lang w:val="hr-HR"/>
        </w:rPr>
      </w:pPr>
      <w:r w:rsidRPr="009C2C08">
        <w:rPr>
          <w:b/>
          <w:lang w:val="hr-HR"/>
        </w:rPr>
        <w:t>9.</w:t>
      </w:r>
      <w:r w:rsidRPr="009C2C08">
        <w:rPr>
          <w:b/>
          <w:lang w:val="hr-HR"/>
        </w:rPr>
        <w:tab/>
        <w:t>DATUM PRVE DOZVOLE/OBNOVE DOZVOLE ZA STAVLJANJE LIJEKA U PROMET</w:t>
      </w:r>
    </w:p>
    <w:p w14:paraId="3C990F35" w14:textId="6EF87241" w:rsidR="00FE3809" w:rsidRDefault="00FE3809" w:rsidP="00EA545E">
      <w:pPr>
        <w:spacing w:line="240" w:lineRule="auto"/>
        <w:rPr>
          <w:szCs w:val="22"/>
          <w:lang w:val="hr-HR"/>
        </w:rPr>
      </w:pPr>
    </w:p>
    <w:p w14:paraId="4C441D2D" w14:textId="762FACDD" w:rsidR="007C5193" w:rsidRPr="009C2C08" w:rsidRDefault="007C5193" w:rsidP="00EA545E">
      <w:pPr>
        <w:spacing w:line="240" w:lineRule="auto"/>
        <w:rPr>
          <w:szCs w:val="22"/>
          <w:lang w:val="hr-HR"/>
        </w:rPr>
      </w:pPr>
      <w:r w:rsidRPr="007C5193">
        <w:rPr>
          <w:szCs w:val="22"/>
          <w:lang w:val="hr-HR"/>
        </w:rPr>
        <w:t>02.02.2024. godine</w:t>
      </w:r>
    </w:p>
    <w:p w14:paraId="1BBEE187" w14:textId="70C5B120" w:rsidR="00812D16" w:rsidRDefault="00812D16" w:rsidP="004B1CF5">
      <w:pPr>
        <w:spacing w:line="240" w:lineRule="auto"/>
        <w:rPr>
          <w:szCs w:val="22"/>
          <w:lang w:val="hr-HR"/>
        </w:rPr>
      </w:pPr>
    </w:p>
    <w:p w14:paraId="6B28FEC0" w14:textId="77777777" w:rsidR="002B0F0C" w:rsidRPr="009C2C08" w:rsidRDefault="002B0F0C" w:rsidP="004B1CF5">
      <w:pPr>
        <w:spacing w:line="240" w:lineRule="auto"/>
        <w:rPr>
          <w:szCs w:val="22"/>
          <w:lang w:val="hr-HR"/>
        </w:rPr>
      </w:pPr>
    </w:p>
    <w:p w14:paraId="1BBEE188" w14:textId="77777777" w:rsidR="00812D16" w:rsidRPr="009C2C08" w:rsidRDefault="00812D16" w:rsidP="00270252">
      <w:pPr>
        <w:keepNext/>
        <w:spacing w:line="240" w:lineRule="auto"/>
        <w:ind w:left="567" w:hanging="567"/>
        <w:rPr>
          <w:b/>
          <w:szCs w:val="22"/>
          <w:lang w:val="hr-HR"/>
        </w:rPr>
      </w:pPr>
      <w:r w:rsidRPr="009C2C08">
        <w:rPr>
          <w:b/>
          <w:lang w:val="hr-HR"/>
        </w:rPr>
        <w:t>10.</w:t>
      </w:r>
      <w:r w:rsidRPr="009C2C08">
        <w:rPr>
          <w:b/>
          <w:lang w:val="hr-HR"/>
        </w:rPr>
        <w:tab/>
        <w:t>DATUM REVIZIJE TEKSTA</w:t>
      </w:r>
    </w:p>
    <w:p w14:paraId="1BBEE189" w14:textId="77777777" w:rsidR="00812D16" w:rsidRPr="009C2C08" w:rsidRDefault="00812D16" w:rsidP="004B1CF5">
      <w:pPr>
        <w:spacing w:line="240" w:lineRule="auto"/>
        <w:rPr>
          <w:szCs w:val="22"/>
          <w:lang w:val="hr-HR"/>
        </w:rPr>
      </w:pPr>
    </w:p>
    <w:p w14:paraId="1BBEE19B" w14:textId="57F7F20B" w:rsidR="00F93136" w:rsidRPr="00CE7A3D" w:rsidRDefault="002B0F0C">
      <w:pPr>
        <w:tabs>
          <w:tab w:val="clear" w:pos="567"/>
        </w:tabs>
        <w:spacing w:line="240" w:lineRule="auto"/>
        <w:rPr>
          <w:szCs w:val="22"/>
          <w:lang w:val="hr-HR"/>
        </w:rPr>
      </w:pPr>
      <w:r>
        <w:rPr>
          <w:szCs w:val="22"/>
          <w:lang w:val="hr-HR"/>
        </w:rPr>
        <w:t>Oktobar</w:t>
      </w:r>
      <w:r w:rsidR="007C5193">
        <w:rPr>
          <w:szCs w:val="22"/>
          <w:lang w:val="hr-HR"/>
        </w:rPr>
        <w:t xml:space="preserve">, </w:t>
      </w:r>
      <w:r w:rsidR="007C5193" w:rsidRPr="007C5193">
        <w:rPr>
          <w:szCs w:val="22"/>
          <w:lang w:val="hr-HR"/>
        </w:rPr>
        <w:t>2024. godine</w:t>
      </w:r>
    </w:p>
    <w:sectPr w:rsidR="00F93136" w:rsidRPr="00CE7A3D" w:rsidSect="008D5FAA">
      <w:headerReference w:type="default" r:id="rId13"/>
      <w:footerReference w:type="default" r:id="rId14"/>
      <w:headerReference w:type="first" r:id="rId15"/>
      <w:footerReference w:type="first" r:id="rId16"/>
      <w:endnotePr>
        <w:numFmt w:val="decimal"/>
      </w:endnotePr>
      <w:pgSz w:w="11907" w:h="16840" w:code="9"/>
      <w:pgMar w:top="1134" w:right="1418" w:bottom="1134" w:left="1418"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A158" w14:textId="77777777" w:rsidR="00D33CDE" w:rsidRDefault="00D33CDE">
      <w:r>
        <w:separator/>
      </w:r>
    </w:p>
  </w:endnote>
  <w:endnote w:type="continuationSeparator" w:id="0">
    <w:p w14:paraId="7A5D5758" w14:textId="77777777" w:rsidR="00D33CDE" w:rsidRDefault="00D33CDE">
      <w:r>
        <w:continuationSeparator/>
      </w:r>
    </w:p>
  </w:endnote>
  <w:endnote w:type="continuationNotice" w:id="1">
    <w:p w14:paraId="3D439CD5" w14:textId="77777777" w:rsidR="00D33CDE" w:rsidRDefault="00D33C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charset w:val="80"/>
    <w:family w:val="auto"/>
    <w:pitch w:val="default"/>
    <w:sig w:usb0="00000000" w:usb1="08070000" w:usb2="00000010" w:usb3="00000000" w:csb0="0002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81"/>
    <w:family w:val="auto"/>
    <w:notTrueType/>
    <w:pitch w:val="default"/>
    <w:sig w:usb0="00000000" w:usb1="09070000" w:usb2="00000010" w:usb3="00000000" w:csb0="000A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EE48E" w14:textId="5683A874" w:rsidR="007C0730" w:rsidRPr="007C0730" w:rsidRDefault="007C0730">
    <w:pPr>
      <w:pStyle w:val="Footer"/>
      <w:tabs>
        <w:tab w:val="right" w:pos="8931"/>
      </w:tabs>
      <w:ind w:right="96"/>
      <w:jc w:val="center"/>
      <w:rPr>
        <w:sz w:val="22"/>
      </w:rPr>
    </w:pPr>
    <w:r>
      <w:fldChar w:fldCharType="begin"/>
    </w:r>
    <w:r>
      <w:instrText xml:space="preserve"> EQ </w:instrText>
    </w:r>
    <w:r>
      <w:fldChar w:fldCharType="end"/>
    </w:r>
    <w:r w:rsidRPr="008D5FAA">
      <w:rPr>
        <w:rStyle w:val="PageNumber"/>
        <w:rFonts w:ascii="Times New Roman" w:hAnsi="Times New Roman"/>
        <w:sz w:val="22"/>
      </w:rPr>
      <w:fldChar w:fldCharType="begin"/>
    </w:r>
    <w:r w:rsidRPr="008D5FAA">
      <w:rPr>
        <w:rStyle w:val="PageNumber"/>
        <w:rFonts w:ascii="Times New Roman" w:hAnsi="Times New Roman"/>
        <w:sz w:val="22"/>
      </w:rPr>
      <w:instrText xml:space="preserve">PAGE  </w:instrText>
    </w:r>
    <w:r w:rsidRPr="008D5FAA">
      <w:rPr>
        <w:rStyle w:val="PageNumber"/>
        <w:rFonts w:ascii="Times New Roman" w:hAnsi="Times New Roman"/>
        <w:sz w:val="22"/>
      </w:rPr>
      <w:fldChar w:fldCharType="separate"/>
    </w:r>
    <w:r w:rsidR="00054325">
      <w:rPr>
        <w:rStyle w:val="PageNumber"/>
        <w:rFonts w:ascii="Times New Roman" w:hAnsi="Times New Roman"/>
        <w:sz w:val="22"/>
      </w:rPr>
      <w:t>1</w:t>
    </w:r>
    <w:r w:rsidRPr="008D5FAA">
      <w:rPr>
        <w:rStyle w:val="PageNumber"/>
        <w:rFonts w:ascii="Times New Roman" w:hAnsi="Times New Roman"/>
        <w:sz w:val="22"/>
      </w:rPr>
      <w:fldChar w:fldCharType="end"/>
    </w:r>
    <w:r w:rsidR="00D173DA">
      <w:rPr>
        <w:rStyle w:val="PageNumber"/>
        <w:rFonts w:ascii="Times New Roman" w:hAnsi="Times New Roman"/>
        <w:sz w:val="22"/>
      </w:rPr>
      <w:t xml:space="preserve"> </w:t>
    </w:r>
    <w:r w:rsidRPr="008D5FAA">
      <w:rPr>
        <w:rStyle w:val="PageNumber"/>
        <w:rFonts w:ascii="Times New Roman" w:hAnsi="Times New Roman"/>
        <w:sz w:val="22"/>
      </w:rPr>
      <w:t>/</w:t>
    </w:r>
    <w:r w:rsidR="00D173DA">
      <w:rPr>
        <w:rStyle w:val="PageNumber"/>
        <w:rFonts w:ascii="Times New Roman" w:hAnsi="Times New Roman"/>
        <w:sz w:val="22"/>
      </w:rPr>
      <w:t xml:space="preserve"> </w:t>
    </w:r>
    <w:r w:rsidRPr="008D5FAA">
      <w:rPr>
        <w:rStyle w:val="PageNumber"/>
        <w:rFonts w:ascii="Times New Roman" w:hAnsi="Times New Roman"/>
        <w:sz w:val="22"/>
      </w:rPr>
      <w:t>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EE490" w14:textId="77777777" w:rsidR="007C0730" w:rsidRDefault="007C073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1C2CC" w14:textId="77777777" w:rsidR="00D33CDE" w:rsidRDefault="00D33CDE">
      <w:r>
        <w:separator/>
      </w:r>
    </w:p>
  </w:footnote>
  <w:footnote w:type="continuationSeparator" w:id="0">
    <w:p w14:paraId="0B50013E" w14:textId="77777777" w:rsidR="00D33CDE" w:rsidRDefault="00D33CDE">
      <w:r>
        <w:continuationSeparator/>
      </w:r>
    </w:p>
  </w:footnote>
  <w:footnote w:type="continuationNotice" w:id="1">
    <w:p w14:paraId="657475E1" w14:textId="77777777" w:rsidR="00D33CDE" w:rsidRDefault="00D33C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5BF62" w14:textId="20E8C8FD" w:rsidR="007C0730" w:rsidRPr="00342279" w:rsidRDefault="007C0730" w:rsidP="00807A3F">
    <w:pPr>
      <w:pStyle w:val="Header"/>
      <w:rPr>
        <w:rFonts w:ascii="Times New Roman" w:hAnsi="Times New Roman"/>
        <w:u w:val="single"/>
      </w:rPr>
    </w:pPr>
  </w:p>
  <w:p w14:paraId="6F50C894" w14:textId="773E98A0" w:rsidR="007C0730" w:rsidRPr="00807A3F" w:rsidRDefault="007C0730" w:rsidP="00342279">
    <w:pPr>
      <w:pStyle w:val="Header"/>
      <w:tabs>
        <w:tab w:val="right" w:pos="12960"/>
      </w:tabs>
      <w:rPr>
        <w:rFonts w:ascii="Times New Roman" w:hAnsi="Times New Roman"/>
      </w:rPr>
    </w:pPr>
  </w:p>
  <w:p w14:paraId="1BBEE48C" w14:textId="7171A033" w:rsidR="007C0730" w:rsidRPr="00342279" w:rsidRDefault="007C0730">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238DF" w14:textId="77777777" w:rsidR="007C0730" w:rsidRPr="005F7F3B" w:rsidRDefault="007C0730" w:rsidP="00342279">
    <w:pPr>
      <w:pStyle w:val="Header"/>
    </w:pPr>
  </w:p>
  <w:p w14:paraId="3A3CC0D1" w14:textId="77777777" w:rsidR="007C0730" w:rsidRPr="00342279" w:rsidRDefault="007C0730" w:rsidP="00342279">
    <w:pPr>
      <w:pStyle w:val="Header"/>
      <w:rPr>
        <w:rFonts w:ascii="Times New Roman" w:hAnsi="Times New Roman"/>
      </w:rPr>
    </w:pPr>
    <w:r>
      <w:rPr>
        <w:rFonts w:ascii="Times New Roman" w:hAnsi="Times New Roman"/>
      </w:rPr>
      <w:t xml:space="preserve">Somatrogon (PF-06836922, UPI: 997450) </w:t>
    </w:r>
  </w:p>
  <w:p w14:paraId="47BDEADE" w14:textId="77777777" w:rsidR="007C0730" w:rsidRPr="00342279" w:rsidRDefault="007C0730" w:rsidP="00342279">
    <w:pPr>
      <w:pStyle w:val="Header"/>
      <w:tabs>
        <w:tab w:val="right" w:pos="12960"/>
      </w:tabs>
      <w:rPr>
        <w:rFonts w:ascii="Times New Roman" w:hAnsi="Times New Roman"/>
      </w:rPr>
    </w:pPr>
  </w:p>
  <w:p w14:paraId="5BE8116D" w14:textId="5D7EF551" w:rsidR="007C0730" w:rsidRPr="00342279" w:rsidRDefault="007C0730" w:rsidP="00342279">
    <w:pPr>
      <w:pStyle w:val="Header"/>
      <w:tabs>
        <w:tab w:val="right" w:pos="12960"/>
      </w:tabs>
      <w:rPr>
        <w:rFonts w:ascii="Times New Roman" w:hAnsi="Times New Roman"/>
        <w:u w:val="single"/>
      </w:rPr>
    </w:pPr>
    <w:r>
      <w:rPr>
        <w:rFonts w:ascii="Times New Roman" w:hAnsi="Times New Roman"/>
        <w:u w:val="single"/>
      </w:rPr>
      <w:t>Sastanak prije podnošenja EU Zahtjeva za odobrenje za stavljanje u promet (Marketing Authorisation Application, MAA): Nacrt elemenata programa upravljanja rizicima (Risk Management Program, RMP) - Prilog 7.:</w:t>
    </w:r>
    <w:r>
      <w:rPr>
        <w:rFonts w:ascii="Times New Roman" w:hAnsi="Times New Roman"/>
        <w:u w:val="single"/>
      </w:rPr>
      <w:tab/>
    </w:r>
  </w:p>
  <w:p w14:paraId="6BD3C1C5" w14:textId="77777777" w:rsidR="007C0730" w:rsidRPr="00342279" w:rsidRDefault="007C0730" w:rsidP="00342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90A3F"/>
    <w:multiLevelType w:val="hybridMultilevel"/>
    <w:tmpl w:val="929E403E"/>
    <w:lvl w:ilvl="0" w:tplc="C5C25A9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47C7"/>
    <w:multiLevelType w:val="hybridMultilevel"/>
    <w:tmpl w:val="D1AA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74B5A"/>
    <w:multiLevelType w:val="hybridMultilevel"/>
    <w:tmpl w:val="675A571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64DC9"/>
    <w:multiLevelType w:val="hybridMultilevel"/>
    <w:tmpl w:val="AF1649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20B96"/>
    <w:multiLevelType w:val="hybridMultilevel"/>
    <w:tmpl w:val="E9A279F8"/>
    <w:lvl w:ilvl="0" w:tplc="B178B63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615B9"/>
    <w:multiLevelType w:val="hybridMultilevel"/>
    <w:tmpl w:val="842E4DF0"/>
    <w:lvl w:ilvl="0" w:tplc="720CC21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761DC"/>
    <w:multiLevelType w:val="hybridMultilevel"/>
    <w:tmpl w:val="181AF0BE"/>
    <w:lvl w:ilvl="0" w:tplc="C5C25A94">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D0484D"/>
    <w:multiLevelType w:val="hybridMultilevel"/>
    <w:tmpl w:val="08388EEC"/>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170576"/>
    <w:multiLevelType w:val="hybridMultilevel"/>
    <w:tmpl w:val="7F1490B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8318BA"/>
    <w:multiLevelType w:val="hybridMultilevel"/>
    <w:tmpl w:val="65FE18F6"/>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543347"/>
    <w:multiLevelType w:val="hybridMultilevel"/>
    <w:tmpl w:val="31ACE5F2"/>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9E218E"/>
    <w:multiLevelType w:val="multilevel"/>
    <w:tmpl w:val="C3F2A23E"/>
    <w:lvl w:ilvl="0">
      <w:start w:val="1"/>
      <w:numFmt w:val="decimal"/>
      <w:lvlRestart w:val="0"/>
      <w:pStyle w:val="Heading1"/>
      <w:suff w:val="space"/>
      <w:lvlText w:val="%1."/>
      <w:lvlJc w:val="left"/>
      <w:pPr>
        <w:tabs>
          <w:tab w:val="num" w:pos="0"/>
        </w:tabs>
        <w:ind w:left="0" w:firstLine="0"/>
      </w:pPr>
      <w:rPr>
        <w:rFonts w:ascii="Times New Roman Bold" w:hAnsi="Times New Roman Bold"/>
        <w:b/>
        <w:i w:val="0"/>
        <w:caps w:val="0"/>
        <w:smallCaps w:val="0"/>
        <w:sz w:val="24"/>
        <w:u w:val="none"/>
      </w:rPr>
    </w:lvl>
    <w:lvl w:ilvl="1">
      <w:start w:val="1"/>
      <w:numFmt w:val="decimal"/>
      <w:pStyle w:val="Heading2"/>
      <w:suff w:val="space"/>
      <w:lvlText w:val="%1.%2."/>
      <w:lvlJc w:val="left"/>
      <w:pPr>
        <w:tabs>
          <w:tab w:val="num" w:pos="0"/>
        </w:tabs>
        <w:ind w:left="0" w:firstLine="0"/>
      </w:pPr>
      <w:rPr>
        <w:rFonts w:ascii="Times New Roman Bold" w:hAnsi="Times New Roman Bold"/>
        <w:b/>
        <w:i w:val="0"/>
        <w:caps w:val="0"/>
        <w:sz w:val="24"/>
        <w:u w:val="none"/>
      </w:rPr>
    </w:lvl>
    <w:lvl w:ilvl="2">
      <w:start w:val="1"/>
      <w:numFmt w:val="decimal"/>
      <w:pStyle w:val="Heading3"/>
      <w:suff w:val="space"/>
      <w:lvlText w:val="%1.%2.%3."/>
      <w:lvlJc w:val="left"/>
      <w:pPr>
        <w:tabs>
          <w:tab w:val="num" w:pos="0"/>
        </w:tabs>
        <w:ind w:left="0" w:firstLine="0"/>
      </w:pPr>
      <w:rPr>
        <w:rFonts w:ascii="Times New Roman Bold" w:hAnsi="Times New Roman Bold"/>
        <w:b/>
        <w:i w:val="0"/>
        <w:caps w:val="0"/>
        <w:sz w:val="24"/>
        <w:u w:val="none"/>
      </w:rPr>
    </w:lvl>
    <w:lvl w:ilvl="3">
      <w:start w:val="1"/>
      <w:numFmt w:val="decimal"/>
      <w:pStyle w:val="Heading4"/>
      <w:suff w:val="space"/>
      <w:lvlText w:val="%1.%2.%3.%4."/>
      <w:lvlJc w:val="left"/>
      <w:pPr>
        <w:tabs>
          <w:tab w:val="num" w:pos="0"/>
        </w:tabs>
        <w:ind w:left="0" w:firstLine="0"/>
      </w:pPr>
      <w:rPr>
        <w:rFonts w:ascii="Times New Roman Bold" w:hAnsi="Times New Roman Bold"/>
        <w:b/>
        <w:i w:val="0"/>
        <w:caps w:val="0"/>
        <w:sz w:val="24"/>
        <w:u w:val="none"/>
      </w:rPr>
    </w:lvl>
    <w:lvl w:ilvl="4">
      <w:start w:val="1"/>
      <w:numFmt w:val="decimal"/>
      <w:pStyle w:val="Heading5"/>
      <w:suff w:val="space"/>
      <w:lvlText w:val="%1.%2.%3.%4.%5."/>
      <w:lvlJc w:val="left"/>
      <w:pPr>
        <w:tabs>
          <w:tab w:val="num" w:pos="0"/>
        </w:tabs>
        <w:ind w:left="0" w:firstLine="0"/>
      </w:pPr>
      <w:rPr>
        <w:rFonts w:ascii="Times New Roman Bold" w:hAnsi="Times New Roman Bold"/>
        <w:b/>
        <w:i w:val="0"/>
        <w:caps w:val="0"/>
        <w:sz w:val="24"/>
        <w:u w:val="none"/>
      </w:rPr>
    </w:lvl>
    <w:lvl w:ilvl="5">
      <w:start w:val="1"/>
      <w:numFmt w:val="decimal"/>
      <w:pStyle w:val="Heading6"/>
      <w:suff w:val="space"/>
      <w:lvlText w:val="%1.%2.%3.%4.%5.%6."/>
      <w:lvlJc w:val="left"/>
      <w:pPr>
        <w:tabs>
          <w:tab w:val="num" w:pos="0"/>
        </w:tabs>
        <w:ind w:left="0" w:firstLine="0"/>
      </w:pPr>
      <w:rPr>
        <w:rFonts w:ascii="Times New Roman Bold" w:hAnsi="Times New Roman Bold"/>
        <w:b/>
        <w:i w:val="0"/>
        <w:caps w:val="0"/>
        <w:sz w:val="24"/>
        <w:u w:val="none"/>
      </w:rPr>
    </w:lvl>
    <w:lvl w:ilvl="6">
      <w:start w:val="1"/>
      <w:numFmt w:val="decimal"/>
      <w:pStyle w:val="Heading7"/>
      <w:suff w:val="space"/>
      <w:lvlText w:val="%1.%2.%3.%4.%5.%6.%7."/>
      <w:lvlJc w:val="left"/>
      <w:pPr>
        <w:tabs>
          <w:tab w:val="num" w:pos="0"/>
        </w:tabs>
        <w:ind w:left="0" w:firstLine="0"/>
      </w:pPr>
      <w:rPr>
        <w:rFonts w:ascii="Times New Roman Bold" w:hAnsi="Times New Roman Bold"/>
        <w:b/>
        <w:i w:val="0"/>
        <w:caps w:val="0"/>
        <w:sz w:val="24"/>
        <w:u w:val="none"/>
      </w:rPr>
    </w:lvl>
    <w:lvl w:ilvl="7">
      <w:start w:val="1"/>
      <w:numFmt w:val="decimal"/>
      <w:pStyle w:val="Heading8"/>
      <w:suff w:val="space"/>
      <w:lvlText w:val="%1.%2.%3.%4.%5.%6.%7.%8."/>
      <w:lvlJc w:val="left"/>
      <w:pPr>
        <w:tabs>
          <w:tab w:val="num" w:pos="0"/>
        </w:tabs>
        <w:ind w:left="0" w:firstLine="0"/>
      </w:pPr>
      <w:rPr>
        <w:rFonts w:ascii="Times New Roman Bold" w:hAnsi="Times New Roman Bold"/>
        <w:b/>
        <w:i w:val="0"/>
        <w:caps w:val="0"/>
        <w:sz w:val="24"/>
        <w:u w:val="none"/>
      </w:rPr>
    </w:lvl>
    <w:lvl w:ilvl="8">
      <w:start w:val="1"/>
      <w:numFmt w:val="decimal"/>
      <w:pStyle w:val="Heading9"/>
      <w:suff w:val="space"/>
      <w:lvlText w:val="%1.%2.%3.%4.%5.%6.%7.%8.%9."/>
      <w:lvlJc w:val="left"/>
      <w:pPr>
        <w:tabs>
          <w:tab w:val="num" w:pos="0"/>
        </w:tabs>
        <w:ind w:left="0" w:firstLine="0"/>
      </w:pPr>
      <w:rPr>
        <w:rFonts w:ascii="Times New Roman Bold" w:hAnsi="Times New Roman Bold"/>
        <w:b/>
        <w:i w:val="0"/>
        <w:caps w:val="0"/>
        <w:sz w:val="24"/>
        <w:u w:val="none"/>
      </w:rPr>
    </w:lvl>
  </w:abstractNum>
  <w:abstractNum w:abstractNumId="14" w15:restartNumberingAfterBreak="0">
    <w:nsid w:val="17473C90"/>
    <w:multiLevelType w:val="multilevel"/>
    <w:tmpl w:val="CCC096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FA5FB6"/>
    <w:multiLevelType w:val="multilevel"/>
    <w:tmpl w:val="5F92BCA0"/>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ACE077A"/>
    <w:multiLevelType w:val="multilevel"/>
    <w:tmpl w:val="16761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BC92696"/>
    <w:multiLevelType w:val="hybridMultilevel"/>
    <w:tmpl w:val="BEA67E32"/>
    <w:lvl w:ilvl="0" w:tplc="0D44345A">
      <w:start w:val="1"/>
      <w:numFmt w:val="bullet"/>
      <w:lvlText w:val="-"/>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1C9548E4"/>
    <w:multiLevelType w:val="hybridMultilevel"/>
    <w:tmpl w:val="1D84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A20BF0"/>
    <w:multiLevelType w:val="hybridMultilevel"/>
    <w:tmpl w:val="6D20FFB0"/>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2365E1"/>
    <w:multiLevelType w:val="hybridMultilevel"/>
    <w:tmpl w:val="55400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36EB3"/>
    <w:multiLevelType w:val="hybridMultilevel"/>
    <w:tmpl w:val="33FCB36E"/>
    <w:lvl w:ilvl="0" w:tplc="28967C7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6A3515"/>
    <w:multiLevelType w:val="hybridMultilevel"/>
    <w:tmpl w:val="6F8C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241409"/>
    <w:multiLevelType w:val="hybridMultilevel"/>
    <w:tmpl w:val="532C34DE"/>
    <w:lvl w:ilvl="0" w:tplc="C5C25A9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394850"/>
    <w:multiLevelType w:val="hybridMultilevel"/>
    <w:tmpl w:val="A8E61F54"/>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171A64"/>
    <w:multiLevelType w:val="hybridMultilevel"/>
    <w:tmpl w:val="04081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58C793A"/>
    <w:multiLevelType w:val="hybridMultilevel"/>
    <w:tmpl w:val="09CE68DA"/>
    <w:lvl w:ilvl="0" w:tplc="0D44345A">
      <w:start w:val="1"/>
      <w:numFmt w:val="bullet"/>
      <w:lvlText w:val="-"/>
      <w:lvlJc w:val="left"/>
      <w:pPr>
        <w:ind w:left="-720" w:hanging="360"/>
      </w:pPr>
      <w:rPr>
        <w:rFonts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7" w15:restartNumberingAfterBreak="0">
    <w:nsid w:val="3BED4429"/>
    <w:multiLevelType w:val="hybridMultilevel"/>
    <w:tmpl w:val="52F4C016"/>
    <w:lvl w:ilvl="0" w:tplc="DEF28AE0">
      <w:start w:val="1"/>
      <w:numFmt w:val="bullet"/>
      <w:lvlText w:val=""/>
      <w:lvlJc w:val="left"/>
      <w:pPr>
        <w:ind w:left="720" w:hanging="360"/>
      </w:pPr>
      <w:rPr>
        <w:rFonts w:ascii="Symbol" w:hAnsi="Symbol" w:hint="default"/>
      </w:rPr>
    </w:lvl>
    <w:lvl w:ilvl="1" w:tplc="460A6FDA">
      <w:start w:val="1"/>
      <w:numFmt w:val="bullet"/>
      <w:lvlText w:val="o"/>
      <w:lvlJc w:val="left"/>
      <w:pPr>
        <w:ind w:left="1440" w:hanging="360"/>
      </w:pPr>
      <w:rPr>
        <w:rFonts w:ascii="Courier New" w:hAnsi="Courier New" w:cs="Courier New" w:hint="default"/>
      </w:rPr>
    </w:lvl>
    <w:lvl w:ilvl="2" w:tplc="7248B4C0">
      <w:start w:val="1"/>
      <w:numFmt w:val="bullet"/>
      <w:lvlText w:val=""/>
      <w:lvlJc w:val="left"/>
      <w:pPr>
        <w:ind w:left="2160" w:hanging="360"/>
      </w:pPr>
      <w:rPr>
        <w:rFonts w:ascii="Wingdings" w:hAnsi="Wingdings" w:hint="default"/>
      </w:rPr>
    </w:lvl>
    <w:lvl w:ilvl="3" w:tplc="B752537C">
      <w:start w:val="1"/>
      <w:numFmt w:val="bullet"/>
      <w:lvlText w:val=""/>
      <w:lvlJc w:val="left"/>
      <w:pPr>
        <w:ind w:left="2880" w:hanging="360"/>
      </w:pPr>
      <w:rPr>
        <w:rFonts w:ascii="Symbol" w:hAnsi="Symbol" w:hint="default"/>
      </w:rPr>
    </w:lvl>
    <w:lvl w:ilvl="4" w:tplc="0F04800A">
      <w:start w:val="1"/>
      <w:numFmt w:val="bullet"/>
      <w:lvlText w:val="o"/>
      <w:lvlJc w:val="left"/>
      <w:pPr>
        <w:ind w:left="3600" w:hanging="360"/>
      </w:pPr>
      <w:rPr>
        <w:rFonts w:ascii="Courier New" w:hAnsi="Courier New" w:cs="Courier New" w:hint="default"/>
      </w:rPr>
    </w:lvl>
    <w:lvl w:ilvl="5" w:tplc="A3348044">
      <w:start w:val="1"/>
      <w:numFmt w:val="bullet"/>
      <w:lvlText w:val=""/>
      <w:lvlJc w:val="left"/>
      <w:pPr>
        <w:ind w:left="4320" w:hanging="360"/>
      </w:pPr>
      <w:rPr>
        <w:rFonts w:ascii="Wingdings" w:hAnsi="Wingdings" w:hint="default"/>
      </w:rPr>
    </w:lvl>
    <w:lvl w:ilvl="6" w:tplc="274ACCB6">
      <w:start w:val="1"/>
      <w:numFmt w:val="bullet"/>
      <w:lvlText w:val=""/>
      <w:lvlJc w:val="left"/>
      <w:pPr>
        <w:ind w:left="5040" w:hanging="360"/>
      </w:pPr>
      <w:rPr>
        <w:rFonts w:ascii="Symbol" w:hAnsi="Symbol" w:hint="default"/>
      </w:rPr>
    </w:lvl>
    <w:lvl w:ilvl="7" w:tplc="1250D5DE">
      <w:start w:val="1"/>
      <w:numFmt w:val="bullet"/>
      <w:lvlText w:val="o"/>
      <w:lvlJc w:val="left"/>
      <w:pPr>
        <w:ind w:left="5760" w:hanging="360"/>
      </w:pPr>
      <w:rPr>
        <w:rFonts w:ascii="Courier New" w:hAnsi="Courier New" w:cs="Courier New" w:hint="default"/>
      </w:rPr>
    </w:lvl>
    <w:lvl w:ilvl="8" w:tplc="37FC200E">
      <w:start w:val="1"/>
      <w:numFmt w:val="bullet"/>
      <w:lvlText w:val=""/>
      <w:lvlJc w:val="left"/>
      <w:pPr>
        <w:ind w:left="6480" w:hanging="360"/>
      </w:pPr>
      <w:rPr>
        <w:rFonts w:ascii="Wingdings" w:hAnsi="Wingdings" w:hint="default"/>
      </w:rPr>
    </w:lvl>
  </w:abstractNum>
  <w:abstractNum w:abstractNumId="28" w15:restartNumberingAfterBreak="0">
    <w:nsid w:val="3C217056"/>
    <w:multiLevelType w:val="hybridMultilevel"/>
    <w:tmpl w:val="88A0F40A"/>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F6DF2"/>
    <w:multiLevelType w:val="hybridMultilevel"/>
    <w:tmpl w:val="8662D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E91C1C"/>
    <w:multiLevelType w:val="hybridMultilevel"/>
    <w:tmpl w:val="4B22D63C"/>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6C3006"/>
    <w:multiLevelType w:val="hybridMultilevel"/>
    <w:tmpl w:val="1E2A8844"/>
    <w:lvl w:ilvl="0" w:tplc="0D44345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DC0564"/>
    <w:multiLevelType w:val="hybridMultilevel"/>
    <w:tmpl w:val="DF2A1034"/>
    <w:lvl w:ilvl="0" w:tplc="4BFC71E6">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FC0B51"/>
    <w:multiLevelType w:val="hybridMultilevel"/>
    <w:tmpl w:val="6240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6B0970"/>
    <w:multiLevelType w:val="hybridMultilevel"/>
    <w:tmpl w:val="27C404D2"/>
    <w:lvl w:ilvl="0" w:tplc="8A6E0B34">
      <w:start w:val="1"/>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5" w15:restartNumberingAfterBreak="0">
    <w:nsid w:val="4FDB55EE"/>
    <w:multiLevelType w:val="hybridMultilevel"/>
    <w:tmpl w:val="66821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AE3997"/>
    <w:multiLevelType w:val="hybridMultilevel"/>
    <w:tmpl w:val="BAF4AA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2FB3AA6"/>
    <w:multiLevelType w:val="hybridMultilevel"/>
    <w:tmpl w:val="A546E356"/>
    <w:lvl w:ilvl="0" w:tplc="E7C0527E">
      <w:start w:val="1"/>
      <w:numFmt w:val="bullet"/>
      <w:lvlText w:val=""/>
      <w:lvlJc w:val="left"/>
      <w:pPr>
        <w:ind w:left="720" w:hanging="360"/>
      </w:pPr>
      <w:rPr>
        <w:rFonts w:ascii="Symbol" w:hAnsi="Symbol" w:hint="default"/>
      </w:rPr>
    </w:lvl>
    <w:lvl w:ilvl="1" w:tplc="0AF82C6E" w:tentative="1">
      <w:start w:val="1"/>
      <w:numFmt w:val="bullet"/>
      <w:lvlText w:val="o"/>
      <w:lvlJc w:val="left"/>
      <w:pPr>
        <w:ind w:left="1440" w:hanging="360"/>
      </w:pPr>
      <w:rPr>
        <w:rFonts w:ascii="Courier New" w:hAnsi="Courier New" w:cs="Courier New" w:hint="default"/>
      </w:rPr>
    </w:lvl>
    <w:lvl w:ilvl="2" w:tplc="CED8CBF8" w:tentative="1">
      <w:start w:val="1"/>
      <w:numFmt w:val="bullet"/>
      <w:lvlText w:val=""/>
      <w:lvlJc w:val="left"/>
      <w:pPr>
        <w:ind w:left="2160" w:hanging="360"/>
      </w:pPr>
      <w:rPr>
        <w:rFonts w:ascii="Wingdings" w:hAnsi="Wingdings" w:hint="default"/>
      </w:rPr>
    </w:lvl>
    <w:lvl w:ilvl="3" w:tplc="8A3EF6B6" w:tentative="1">
      <w:start w:val="1"/>
      <w:numFmt w:val="bullet"/>
      <w:lvlText w:val=""/>
      <w:lvlJc w:val="left"/>
      <w:pPr>
        <w:ind w:left="2880" w:hanging="360"/>
      </w:pPr>
      <w:rPr>
        <w:rFonts w:ascii="Symbol" w:hAnsi="Symbol" w:hint="default"/>
      </w:rPr>
    </w:lvl>
    <w:lvl w:ilvl="4" w:tplc="312CB952" w:tentative="1">
      <w:start w:val="1"/>
      <w:numFmt w:val="bullet"/>
      <w:lvlText w:val="o"/>
      <w:lvlJc w:val="left"/>
      <w:pPr>
        <w:ind w:left="3600" w:hanging="360"/>
      </w:pPr>
      <w:rPr>
        <w:rFonts w:ascii="Courier New" w:hAnsi="Courier New" w:cs="Courier New" w:hint="default"/>
      </w:rPr>
    </w:lvl>
    <w:lvl w:ilvl="5" w:tplc="1CD80756" w:tentative="1">
      <w:start w:val="1"/>
      <w:numFmt w:val="bullet"/>
      <w:lvlText w:val=""/>
      <w:lvlJc w:val="left"/>
      <w:pPr>
        <w:ind w:left="4320" w:hanging="360"/>
      </w:pPr>
      <w:rPr>
        <w:rFonts w:ascii="Wingdings" w:hAnsi="Wingdings" w:hint="default"/>
      </w:rPr>
    </w:lvl>
    <w:lvl w:ilvl="6" w:tplc="E1E22A6A" w:tentative="1">
      <w:start w:val="1"/>
      <w:numFmt w:val="bullet"/>
      <w:lvlText w:val=""/>
      <w:lvlJc w:val="left"/>
      <w:pPr>
        <w:ind w:left="5040" w:hanging="360"/>
      </w:pPr>
      <w:rPr>
        <w:rFonts w:ascii="Symbol" w:hAnsi="Symbol" w:hint="default"/>
      </w:rPr>
    </w:lvl>
    <w:lvl w:ilvl="7" w:tplc="8604DD26" w:tentative="1">
      <w:start w:val="1"/>
      <w:numFmt w:val="bullet"/>
      <w:lvlText w:val="o"/>
      <w:lvlJc w:val="left"/>
      <w:pPr>
        <w:ind w:left="5760" w:hanging="360"/>
      </w:pPr>
      <w:rPr>
        <w:rFonts w:ascii="Courier New" w:hAnsi="Courier New" w:cs="Courier New" w:hint="default"/>
      </w:rPr>
    </w:lvl>
    <w:lvl w:ilvl="8" w:tplc="83F02B30" w:tentative="1">
      <w:start w:val="1"/>
      <w:numFmt w:val="bullet"/>
      <w:lvlText w:val=""/>
      <w:lvlJc w:val="left"/>
      <w:pPr>
        <w:ind w:left="6480" w:hanging="360"/>
      </w:pPr>
      <w:rPr>
        <w:rFonts w:ascii="Wingdings" w:hAnsi="Wingdings" w:hint="default"/>
      </w:rPr>
    </w:lvl>
  </w:abstractNum>
  <w:abstractNum w:abstractNumId="38" w15:restartNumberingAfterBreak="0">
    <w:nsid w:val="539F3190"/>
    <w:multiLevelType w:val="hybridMultilevel"/>
    <w:tmpl w:val="3162CB7E"/>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2208E4"/>
    <w:multiLevelType w:val="hybridMultilevel"/>
    <w:tmpl w:val="A40CF498"/>
    <w:lvl w:ilvl="0" w:tplc="C5C25A9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FD20CE"/>
    <w:multiLevelType w:val="hybridMultilevel"/>
    <w:tmpl w:val="FC468C9E"/>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9B82444"/>
    <w:multiLevelType w:val="hybridMultilevel"/>
    <w:tmpl w:val="C6C88E6E"/>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A5004A"/>
    <w:multiLevelType w:val="hybridMultilevel"/>
    <w:tmpl w:val="440C15F8"/>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122A1E"/>
    <w:multiLevelType w:val="hybridMultilevel"/>
    <w:tmpl w:val="15C0D328"/>
    <w:lvl w:ilvl="0" w:tplc="FFFFFFFF">
      <w:start w:val="1"/>
      <w:numFmt w:val="bullet"/>
      <w:lvlText w:val="-"/>
      <w:lvlJc w:val="left"/>
      <w:pPr>
        <w:ind w:left="720" w:hanging="360"/>
      </w:pPr>
      <w:rPr>
        <w:rFonts w:hint="default"/>
      </w:rPr>
    </w:lvl>
    <w:lvl w:ilvl="1" w:tplc="0D44345A">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5E5883"/>
    <w:multiLevelType w:val="hybridMultilevel"/>
    <w:tmpl w:val="DECE36F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CA6B09"/>
    <w:multiLevelType w:val="hybridMultilevel"/>
    <w:tmpl w:val="1752F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102641"/>
    <w:multiLevelType w:val="hybridMultilevel"/>
    <w:tmpl w:val="D5A487AE"/>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3B162C"/>
    <w:multiLevelType w:val="hybridMultilevel"/>
    <w:tmpl w:val="C2FCD46C"/>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492FDA"/>
    <w:multiLevelType w:val="hybridMultilevel"/>
    <w:tmpl w:val="99668B0A"/>
    <w:lvl w:ilvl="0" w:tplc="C5C25A9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9337D0"/>
    <w:multiLevelType w:val="hybridMultilevel"/>
    <w:tmpl w:val="B23048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096320"/>
    <w:multiLevelType w:val="hybridMultilevel"/>
    <w:tmpl w:val="2BDAC1CE"/>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C01A4C"/>
    <w:multiLevelType w:val="hybridMultilevel"/>
    <w:tmpl w:val="AF2A6C8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876635"/>
    <w:multiLevelType w:val="hybridMultilevel"/>
    <w:tmpl w:val="9C54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6941CF"/>
    <w:multiLevelType w:val="hybridMultilevel"/>
    <w:tmpl w:val="CC488BF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6F20C5"/>
    <w:multiLevelType w:val="hybridMultilevel"/>
    <w:tmpl w:val="3886D6A2"/>
    <w:lvl w:ilvl="0" w:tplc="C5C25A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ED04D6"/>
    <w:multiLevelType w:val="hybridMultilevel"/>
    <w:tmpl w:val="5E124F6A"/>
    <w:lvl w:ilvl="0" w:tplc="0EBE0B46">
      <w:start w:val="1"/>
      <w:numFmt w:val="bullet"/>
      <w:lvlRestart w:val="0"/>
      <w:pStyle w:val="ListBullet2"/>
      <w:lvlText w:val=""/>
      <w:lvlJc w:val="left"/>
      <w:pPr>
        <w:tabs>
          <w:tab w:val="num" w:pos="720"/>
        </w:tabs>
        <w:ind w:left="720" w:hanging="360"/>
      </w:pPr>
      <w:rPr>
        <w:rFonts w:ascii="Symbol" w:hAnsi="Symbol" w:hint="default"/>
        <w:caps w:val="0"/>
        <w:u w:val="none"/>
      </w:rPr>
    </w:lvl>
    <w:lvl w:ilvl="1" w:tplc="C4662626">
      <w:numFmt w:val="decimal"/>
      <w:lvlText w:val=""/>
      <w:lvlJc w:val="left"/>
    </w:lvl>
    <w:lvl w:ilvl="2" w:tplc="CCE61046">
      <w:numFmt w:val="decimal"/>
      <w:lvlText w:val=""/>
      <w:lvlJc w:val="left"/>
    </w:lvl>
    <w:lvl w:ilvl="3" w:tplc="C0842EC4">
      <w:numFmt w:val="decimal"/>
      <w:lvlText w:val=""/>
      <w:lvlJc w:val="left"/>
    </w:lvl>
    <w:lvl w:ilvl="4" w:tplc="9E605044">
      <w:numFmt w:val="decimal"/>
      <w:lvlText w:val=""/>
      <w:lvlJc w:val="left"/>
    </w:lvl>
    <w:lvl w:ilvl="5" w:tplc="CF18800C">
      <w:numFmt w:val="decimal"/>
      <w:lvlText w:val=""/>
      <w:lvlJc w:val="left"/>
    </w:lvl>
    <w:lvl w:ilvl="6" w:tplc="C97045C0">
      <w:numFmt w:val="decimal"/>
      <w:lvlText w:val=""/>
      <w:lvlJc w:val="left"/>
    </w:lvl>
    <w:lvl w:ilvl="7" w:tplc="4D0668F6">
      <w:numFmt w:val="decimal"/>
      <w:lvlText w:val=""/>
      <w:lvlJc w:val="left"/>
    </w:lvl>
    <w:lvl w:ilvl="8" w:tplc="041E6756">
      <w:numFmt w:val="decimal"/>
      <w:lvlText w:val=""/>
      <w:lvlJc w:val="left"/>
    </w:lvl>
  </w:abstractNum>
  <w:abstractNum w:abstractNumId="56" w15:restartNumberingAfterBreak="0">
    <w:nsid w:val="753843AE"/>
    <w:multiLevelType w:val="hybridMultilevel"/>
    <w:tmpl w:val="D11A8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350A5A"/>
    <w:multiLevelType w:val="hybridMultilevel"/>
    <w:tmpl w:val="942AA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C17919"/>
    <w:multiLevelType w:val="hybridMultilevel"/>
    <w:tmpl w:val="33FC9E1A"/>
    <w:lvl w:ilvl="0" w:tplc="962E0E46">
      <w:start w:val="1"/>
      <w:numFmt w:val="bullet"/>
      <w:pStyle w:val="Bullets"/>
      <w:lvlText w:val=""/>
      <w:lvlJc w:val="left"/>
      <w:pPr>
        <w:tabs>
          <w:tab w:val="num" w:pos="1107"/>
        </w:tabs>
        <w:ind w:left="1107" w:hanging="567"/>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9" w15:restartNumberingAfterBreak="0">
    <w:nsid w:val="797F605F"/>
    <w:multiLevelType w:val="hybridMultilevel"/>
    <w:tmpl w:val="B630D2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EBC439E"/>
    <w:multiLevelType w:val="hybridMultilevel"/>
    <w:tmpl w:val="B246BE8E"/>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49"/>
  </w:num>
  <w:num w:numId="4">
    <w:abstractNumId w:val="13"/>
  </w:num>
  <w:num w:numId="5">
    <w:abstractNumId w:val="15"/>
  </w:num>
  <w:num w:numId="6">
    <w:abstractNumId w:val="14"/>
  </w:num>
  <w:num w:numId="7">
    <w:abstractNumId w:val="51"/>
  </w:num>
  <w:num w:numId="8">
    <w:abstractNumId w:val="3"/>
  </w:num>
  <w:num w:numId="9">
    <w:abstractNumId w:val="55"/>
  </w:num>
  <w:num w:numId="10">
    <w:abstractNumId w:val="2"/>
  </w:num>
  <w:num w:numId="11">
    <w:abstractNumId w:val="33"/>
  </w:num>
  <w:num w:numId="12">
    <w:abstractNumId w:val="35"/>
  </w:num>
  <w:num w:numId="13">
    <w:abstractNumId w:val="8"/>
  </w:num>
  <w:num w:numId="14">
    <w:abstractNumId w:val="42"/>
  </w:num>
  <w:num w:numId="15">
    <w:abstractNumId w:val="11"/>
  </w:num>
  <w:num w:numId="16">
    <w:abstractNumId w:val="12"/>
  </w:num>
  <w:num w:numId="17">
    <w:abstractNumId w:val="24"/>
  </w:num>
  <w:num w:numId="18">
    <w:abstractNumId w:val="41"/>
  </w:num>
  <w:num w:numId="19">
    <w:abstractNumId w:val="54"/>
  </w:num>
  <w:num w:numId="20">
    <w:abstractNumId w:val="39"/>
  </w:num>
  <w:num w:numId="21">
    <w:abstractNumId w:val="48"/>
  </w:num>
  <w:num w:numId="22">
    <w:abstractNumId w:val="23"/>
  </w:num>
  <w:num w:numId="23">
    <w:abstractNumId w:val="1"/>
  </w:num>
  <w:num w:numId="24">
    <w:abstractNumId w:val="9"/>
  </w:num>
  <w:num w:numId="25">
    <w:abstractNumId w:val="47"/>
  </w:num>
  <w:num w:numId="26">
    <w:abstractNumId w:val="28"/>
  </w:num>
  <w:num w:numId="27">
    <w:abstractNumId w:val="38"/>
  </w:num>
  <w:num w:numId="28">
    <w:abstractNumId w:val="46"/>
  </w:num>
  <w:num w:numId="29">
    <w:abstractNumId w:val="50"/>
  </w:num>
  <w:num w:numId="30">
    <w:abstractNumId w:val="30"/>
  </w:num>
  <w:num w:numId="31">
    <w:abstractNumId w:val="10"/>
  </w:num>
  <w:num w:numId="32">
    <w:abstractNumId w:val="19"/>
  </w:num>
  <w:num w:numId="33">
    <w:abstractNumId w:val="44"/>
  </w:num>
  <w:num w:numId="34">
    <w:abstractNumId w:val="53"/>
  </w:num>
  <w:num w:numId="35">
    <w:abstractNumId w:val="17"/>
  </w:num>
  <w:num w:numId="36">
    <w:abstractNumId w:val="40"/>
  </w:num>
  <w:num w:numId="37">
    <w:abstractNumId w:val="21"/>
  </w:num>
  <w:num w:numId="38">
    <w:abstractNumId w:val="29"/>
  </w:num>
  <w:num w:numId="39">
    <w:abstractNumId w:val="55"/>
  </w:num>
  <w:num w:numId="40">
    <w:abstractNumId w:val="58"/>
  </w:num>
  <w:num w:numId="41">
    <w:abstractNumId w:val="60"/>
  </w:num>
  <w:num w:numId="42">
    <w:abstractNumId w:val="59"/>
  </w:num>
  <w:num w:numId="43">
    <w:abstractNumId w:val="36"/>
  </w:num>
  <w:num w:numId="44">
    <w:abstractNumId w:val="27"/>
  </w:num>
  <w:num w:numId="45">
    <w:abstractNumId w:val="22"/>
  </w:num>
  <w:num w:numId="46">
    <w:abstractNumId w:val="31"/>
  </w:num>
  <w:num w:numId="47">
    <w:abstractNumId w:val="56"/>
  </w:num>
  <w:num w:numId="48">
    <w:abstractNumId w:val="18"/>
  </w:num>
  <w:num w:numId="49">
    <w:abstractNumId w:val="20"/>
  </w:num>
  <w:num w:numId="50">
    <w:abstractNumId w:val="52"/>
  </w:num>
  <w:num w:numId="51">
    <w:abstractNumId w:val="34"/>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num>
  <w:num w:numId="54">
    <w:abstractNumId w:val="45"/>
  </w:num>
  <w:num w:numId="55">
    <w:abstractNumId w:val="37"/>
  </w:num>
  <w:num w:numId="56">
    <w:abstractNumId w:val="57"/>
  </w:num>
  <w:num w:numId="57">
    <w:abstractNumId w:val="6"/>
  </w:num>
  <w:num w:numId="58">
    <w:abstractNumId w:val="7"/>
  </w:num>
  <w:num w:numId="59">
    <w:abstractNumId w:val="26"/>
  </w:num>
  <w:num w:numId="60">
    <w:abstractNumId w:val="32"/>
  </w:num>
  <w:num w:numId="61">
    <w:abstractNumId w:val="16"/>
  </w:num>
  <w:num w:numId="6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5AD"/>
    <w:rsid w:val="00000D45"/>
    <w:rsid w:val="00000D62"/>
    <w:rsid w:val="00001576"/>
    <w:rsid w:val="00001587"/>
    <w:rsid w:val="00001798"/>
    <w:rsid w:val="00001DF3"/>
    <w:rsid w:val="00002108"/>
    <w:rsid w:val="000025DB"/>
    <w:rsid w:val="000028CA"/>
    <w:rsid w:val="00002C74"/>
    <w:rsid w:val="00002E07"/>
    <w:rsid w:val="000034D4"/>
    <w:rsid w:val="0000362A"/>
    <w:rsid w:val="000039B1"/>
    <w:rsid w:val="00003AEF"/>
    <w:rsid w:val="00003BC0"/>
    <w:rsid w:val="00003F6F"/>
    <w:rsid w:val="000041A5"/>
    <w:rsid w:val="000044C9"/>
    <w:rsid w:val="00004C75"/>
    <w:rsid w:val="00004E44"/>
    <w:rsid w:val="00004EAD"/>
    <w:rsid w:val="00005110"/>
    <w:rsid w:val="00005701"/>
    <w:rsid w:val="000059AE"/>
    <w:rsid w:val="00005A7E"/>
    <w:rsid w:val="00006B2E"/>
    <w:rsid w:val="00006BA9"/>
    <w:rsid w:val="000070D0"/>
    <w:rsid w:val="000071D6"/>
    <w:rsid w:val="0000741D"/>
    <w:rsid w:val="000074D5"/>
    <w:rsid w:val="00007528"/>
    <w:rsid w:val="00007661"/>
    <w:rsid w:val="00007CD0"/>
    <w:rsid w:val="00007DF9"/>
    <w:rsid w:val="00007F69"/>
    <w:rsid w:val="000102D5"/>
    <w:rsid w:val="00010369"/>
    <w:rsid w:val="000105EE"/>
    <w:rsid w:val="0001099F"/>
    <w:rsid w:val="0001134C"/>
    <w:rsid w:val="0001164F"/>
    <w:rsid w:val="000121E6"/>
    <w:rsid w:val="000136CA"/>
    <w:rsid w:val="0001395E"/>
    <w:rsid w:val="00014869"/>
    <w:rsid w:val="000150D3"/>
    <w:rsid w:val="0001523E"/>
    <w:rsid w:val="0001543B"/>
    <w:rsid w:val="0001547E"/>
    <w:rsid w:val="00016387"/>
    <w:rsid w:val="0001668D"/>
    <w:rsid w:val="000166C1"/>
    <w:rsid w:val="00016AE5"/>
    <w:rsid w:val="00016EF8"/>
    <w:rsid w:val="000170E3"/>
    <w:rsid w:val="000171D8"/>
    <w:rsid w:val="000177B7"/>
    <w:rsid w:val="00017D4F"/>
    <w:rsid w:val="00017EB2"/>
    <w:rsid w:val="0002006B"/>
    <w:rsid w:val="00020A96"/>
    <w:rsid w:val="00020AE8"/>
    <w:rsid w:val="000212BB"/>
    <w:rsid w:val="00021695"/>
    <w:rsid w:val="00021AB9"/>
    <w:rsid w:val="00021B80"/>
    <w:rsid w:val="00021C91"/>
    <w:rsid w:val="0002244C"/>
    <w:rsid w:val="0002268E"/>
    <w:rsid w:val="00023220"/>
    <w:rsid w:val="00023A26"/>
    <w:rsid w:val="00023A2C"/>
    <w:rsid w:val="00023DBB"/>
    <w:rsid w:val="00023E2F"/>
    <w:rsid w:val="000242FA"/>
    <w:rsid w:val="00024656"/>
    <w:rsid w:val="000248BD"/>
    <w:rsid w:val="00024953"/>
    <w:rsid w:val="00024A60"/>
    <w:rsid w:val="00024A92"/>
    <w:rsid w:val="00024CED"/>
    <w:rsid w:val="00025648"/>
    <w:rsid w:val="00025EBE"/>
    <w:rsid w:val="00025F10"/>
    <w:rsid w:val="0002621C"/>
    <w:rsid w:val="0002633C"/>
    <w:rsid w:val="00026ADB"/>
    <w:rsid w:val="00026BF2"/>
    <w:rsid w:val="00026CC0"/>
    <w:rsid w:val="00026F72"/>
    <w:rsid w:val="00027063"/>
    <w:rsid w:val="000271F6"/>
    <w:rsid w:val="000273E1"/>
    <w:rsid w:val="0002743B"/>
    <w:rsid w:val="00027775"/>
    <w:rsid w:val="000277EE"/>
    <w:rsid w:val="00027A8D"/>
    <w:rsid w:val="000303B8"/>
    <w:rsid w:val="00030445"/>
    <w:rsid w:val="000304D1"/>
    <w:rsid w:val="000305C1"/>
    <w:rsid w:val="00030699"/>
    <w:rsid w:val="000309DD"/>
    <w:rsid w:val="00030C9E"/>
    <w:rsid w:val="00030D25"/>
    <w:rsid w:val="00031829"/>
    <w:rsid w:val="000318C7"/>
    <w:rsid w:val="00031BC7"/>
    <w:rsid w:val="0003263B"/>
    <w:rsid w:val="00032A72"/>
    <w:rsid w:val="00033D26"/>
    <w:rsid w:val="00033FDB"/>
    <w:rsid w:val="000344F6"/>
    <w:rsid w:val="000349B3"/>
    <w:rsid w:val="000350F9"/>
    <w:rsid w:val="0003512B"/>
    <w:rsid w:val="000358EE"/>
    <w:rsid w:val="0003593C"/>
    <w:rsid w:val="00035988"/>
    <w:rsid w:val="0003646D"/>
    <w:rsid w:val="000369FB"/>
    <w:rsid w:val="000377AD"/>
    <w:rsid w:val="00037C83"/>
    <w:rsid w:val="0004004C"/>
    <w:rsid w:val="00040490"/>
    <w:rsid w:val="00040DEA"/>
    <w:rsid w:val="0004124D"/>
    <w:rsid w:val="00041257"/>
    <w:rsid w:val="000414F0"/>
    <w:rsid w:val="000417F9"/>
    <w:rsid w:val="00041CD1"/>
    <w:rsid w:val="00041E02"/>
    <w:rsid w:val="00042263"/>
    <w:rsid w:val="000429BF"/>
    <w:rsid w:val="00042B36"/>
    <w:rsid w:val="00043505"/>
    <w:rsid w:val="000436C7"/>
    <w:rsid w:val="00043C70"/>
    <w:rsid w:val="00043CD4"/>
    <w:rsid w:val="00043E88"/>
    <w:rsid w:val="00044042"/>
    <w:rsid w:val="000442F3"/>
    <w:rsid w:val="00044A39"/>
    <w:rsid w:val="0004584D"/>
    <w:rsid w:val="000458A6"/>
    <w:rsid w:val="00045AEF"/>
    <w:rsid w:val="00045BBE"/>
    <w:rsid w:val="000460B9"/>
    <w:rsid w:val="00046E05"/>
    <w:rsid w:val="00047020"/>
    <w:rsid w:val="0004748A"/>
    <w:rsid w:val="000474D2"/>
    <w:rsid w:val="000474DC"/>
    <w:rsid w:val="0004761F"/>
    <w:rsid w:val="000477C4"/>
    <w:rsid w:val="0004790F"/>
    <w:rsid w:val="000479C5"/>
    <w:rsid w:val="00050DFD"/>
    <w:rsid w:val="00050E65"/>
    <w:rsid w:val="0005236B"/>
    <w:rsid w:val="000523DF"/>
    <w:rsid w:val="00052493"/>
    <w:rsid w:val="00052A36"/>
    <w:rsid w:val="00052D2C"/>
    <w:rsid w:val="00053201"/>
    <w:rsid w:val="0005332D"/>
    <w:rsid w:val="00053401"/>
    <w:rsid w:val="0005341E"/>
    <w:rsid w:val="00053809"/>
    <w:rsid w:val="00053914"/>
    <w:rsid w:val="00053D0C"/>
    <w:rsid w:val="00054325"/>
    <w:rsid w:val="00054756"/>
    <w:rsid w:val="00054818"/>
    <w:rsid w:val="00054A3D"/>
    <w:rsid w:val="00054BC3"/>
    <w:rsid w:val="00054D1A"/>
    <w:rsid w:val="000556C8"/>
    <w:rsid w:val="0005593E"/>
    <w:rsid w:val="00055AAE"/>
    <w:rsid w:val="000560C5"/>
    <w:rsid w:val="000562E2"/>
    <w:rsid w:val="0005643F"/>
    <w:rsid w:val="00056C49"/>
    <w:rsid w:val="00056CFD"/>
    <w:rsid w:val="00056FE0"/>
    <w:rsid w:val="000579B4"/>
    <w:rsid w:val="00057A62"/>
    <w:rsid w:val="00057EEF"/>
    <w:rsid w:val="00060090"/>
    <w:rsid w:val="000602CA"/>
    <w:rsid w:val="000603C8"/>
    <w:rsid w:val="000606D4"/>
    <w:rsid w:val="000608A4"/>
    <w:rsid w:val="00060AA1"/>
    <w:rsid w:val="00060D04"/>
    <w:rsid w:val="0006167F"/>
    <w:rsid w:val="00061E8F"/>
    <w:rsid w:val="00061FEE"/>
    <w:rsid w:val="000620CA"/>
    <w:rsid w:val="0006240E"/>
    <w:rsid w:val="000628B6"/>
    <w:rsid w:val="00062A11"/>
    <w:rsid w:val="00062BFC"/>
    <w:rsid w:val="00062C8C"/>
    <w:rsid w:val="000631FD"/>
    <w:rsid w:val="00063AB2"/>
    <w:rsid w:val="000642E5"/>
    <w:rsid w:val="000643D3"/>
    <w:rsid w:val="00064CB7"/>
    <w:rsid w:val="00064D4A"/>
    <w:rsid w:val="00065043"/>
    <w:rsid w:val="00065203"/>
    <w:rsid w:val="00065658"/>
    <w:rsid w:val="00065BFF"/>
    <w:rsid w:val="00065E58"/>
    <w:rsid w:val="000664E9"/>
    <w:rsid w:val="0006653D"/>
    <w:rsid w:val="00066863"/>
    <w:rsid w:val="00066CA7"/>
    <w:rsid w:val="00067191"/>
    <w:rsid w:val="00067704"/>
    <w:rsid w:val="00067A2A"/>
    <w:rsid w:val="00067A36"/>
    <w:rsid w:val="00067B16"/>
    <w:rsid w:val="00067E8E"/>
    <w:rsid w:val="0007004C"/>
    <w:rsid w:val="000706C3"/>
    <w:rsid w:val="0007071D"/>
    <w:rsid w:val="000707A1"/>
    <w:rsid w:val="00071F8A"/>
    <w:rsid w:val="00072027"/>
    <w:rsid w:val="00072158"/>
    <w:rsid w:val="000722B5"/>
    <w:rsid w:val="00072F19"/>
    <w:rsid w:val="000736E0"/>
    <w:rsid w:val="0007382E"/>
    <w:rsid w:val="00073A4B"/>
    <w:rsid w:val="00073CF5"/>
    <w:rsid w:val="00073D80"/>
    <w:rsid w:val="00073E04"/>
    <w:rsid w:val="0007401B"/>
    <w:rsid w:val="000746FF"/>
    <w:rsid w:val="000748F4"/>
    <w:rsid w:val="00074EFD"/>
    <w:rsid w:val="0007545B"/>
    <w:rsid w:val="000757B2"/>
    <w:rsid w:val="00076135"/>
    <w:rsid w:val="0007628D"/>
    <w:rsid w:val="000764EE"/>
    <w:rsid w:val="000767C9"/>
    <w:rsid w:val="00076823"/>
    <w:rsid w:val="00076F7A"/>
    <w:rsid w:val="00076FE5"/>
    <w:rsid w:val="00080146"/>
    <w:rsid w:val="0008016B"/>
    <w:rsid w:val="00081DAB"/>
    <w:rsid w:val="00081ECC"/>
    <w:rsid w:val="00082244"/>
    <w:rsid w:val="000824DA"/>
    <w:rsid w:val="00082523"/>
    <w:rsid w:val="000827B9"/>
    <w:rsid w:val="00082807"/>
    <w:rsid w:val="00082DBA"/>
    <w:rsid w:val="00083211"/>
    <w:rsid w:val="0008329B"/>
    <w:rsid w:val="00083C0B"/>
    <w:rsid w:val="0008461C"/>
    <w:rsid w:val="00084795"/>
    <w:rsid w:val="00086672"/>
    <w:rsid w:val="0008693E"/>
    <w:rsid w:val="00086ABA"/>
    <w:rsid w:val="00086DDB"/>
    <w:rsid w:val="00086F9B"/>
    <w:rsid w:val="00087975"/>
    <w:rsid w:val="00087CF7"/>
    <w:rsid w:val="00087E9A"/>
    <w:rsid w:val="00087EB6"/>
    <w:rsid w:val="00087FC7"/>
    <w:rsid w:val="000905BC"/>
    <w:rsid w:val="00090D1D"/>
    <w:rsid w:val="00090F68"/>
    <w:rsid w:val="00090FA7"/>
    <w:rsid w:val="00091907"/>
    <w:rsid w:val="00091F67"/>
    <w:rsid w:val="000925FE"/>
    <w:rsid w:val="00092829"/>
    <w:rsid w:val="00092A13"/>
    <w:rsid w:val="00092B09"/>
    <w:rsid w:val="00092BB6"/>
    <w:rsid w:val="000933CC"/>
    <w:rsid w:val="0009351E"/>
    <w:rsid w:val="00093F68"/>
    <w:rsid w:val="0009479A"/>
    <w:rsid w:val="00094A0C"/>
    <w:rsid w:val="00094AD6"/>
    <w:rsid w:val="00094EB6"/>
    <w:rsid w:val="00095569"/>
    <w:rsid w:val="00095875"/>
    <w:rsid w:val="00095D61"/>
    <w:rsid w:val="00095E44"/>
    <w:rsid w:val="00096594"/>
    <w:rsid w:val="00096D8D"/>
    <w:rsid w:val="00096EC5"/>
    <w:rsid w:val="00097513"/>
    <w:rsid w:val="0009755A"/>
    <w:rsid w:val="00097DFD"/>
    <w:rsid w:val="000A0583"/>
    <w:rsid w:val="000A1232"/>
    <w:rsid w:val="000A19DF"/>
    <w:rsid w:val="000A20B1"/>
    <w:rsid w:val="000A22C9"/>
    <w:rsid w:val="000A2532"/>
    <w:rsid w:val="000A2945"/>
    <w:rsid w:val="000A29A0"/>
    <w:rsid w:val="000A2DA8"/>
    <w:rsid w:val="000A30E5"/>
    <w:rsid w:val="000A3382"/>
    <w:rsid w:val="000A37BB"/>
    <w:rsid w:val="000A40D0"/>
    <w:rsid w:val="000A479D"/>
    <w:rsid w:val="000A58AA"/>
    <w:rsid w:val="000A663E"/>
    <w:rsid w:val="000A7157"/>
    <w:rsid w:val="000A72FB"/>
    <w:rsid w:val="000A7323"/>
    <w:rsid w:val="000A763F"/>
    <w:rsid w:val="000A7D32"/>
    <w:rsid w:val="000A7DC6"/>
    <w:rsid w:val="000A7FCD"/>
    <w:rsid w:val="000B001A"/>
    <w:rsid w:val="000B0097"/>
    <w:rsid w:val="000B0119"/>
    <w:rsid w:val="000B0DA3"/>
    <w:rsid w:val="000B0F5C"/>
    <w:rsid w:val="000B101F"/>
    <w:rsid w:val="000B1F4B"/>
    <w:rsid w:val="000B1FF3"/>
    <w:rsid w:val="000B2575"/>
    <w:rsid w:val="000B28F3"/>
    <w:rsid w:val="000B2A7D"/>
    <w:rsid w:val="000B2F27"/>
    <w:rsid w:val="000B2F58"/>
    <w:rsid w:val="000B37A8"/>
    <w:rsid w:val="000B4FB1"/>
    <w:rsid w:val="000B51D9"/>
    <w:rsid w:val="000B5559"/>
    <w:rsid w:val="000B5702"/>
    <w:rsid w:val="000B615F"/>
    <w:rsid w:val="000B6559"/>
    <w:rsid w:val="000B6849"/>
    <w:rsid w:val="000B6877"/>
    <w:rsid w:val="000B7BC2"/>
    <w:rsid w:val="000C03FB"/>
    <w:rsid w:val="000C1B1D"/>
    <w:rsid w:val="000C1C7F"/>
    <w:rsid w:val="000C1D9E"/>
    <w:rsid w:val="000C307B"/>
    <w:rsid w:val="000C308F"/>
    <w:rsid w:val="000C3F4F"/>
    <w:rsid w:val="000C4940"/>
    <w:rsid w:val="000C5071"/>
    <w:rsid w:val="000C51F3"/>
    <w:rsid w:val="000C557A"/>
    <w:rsid w:val="000C57A0"/>
    <w:rsid w:val="000C5A4E"/>
    <w:rsid w:val="000C5A60"/>
    <w:rsid w:val="000C5B80"/>
    <w:rsid w:val="000C635D"/>
    <w:rsid w:val="000C6433"/>
    <w:rsid w:val="000C68D8"/>
    <w:rsid w:val="000C6B59"/>
    <w:rsid w:val="000C70A1"/>
    <w:rsid w:val="000C72C7"/>
    <w:rsid w:val="000C74D3"/>
    <w:rsid w:val="000C74EB"/>
    <w:rsid w:val="000C7DBA"/>
    <w:rsid w:val="000C7DFE"/>
    <w:rsid w:val="000C7F49"/>
    <w:rsid w:val="000D1AEE"/>
    <w:rsid w:val="000D1F4F"/>
    <w:rsid w:val="000D2347"/>
    <w:rsid w:val="000D287A"/>
    <w:rsid w:val="000D2C4F"/>
    <w:rsid w:val="000D3108"/>
    <w:rsid w:val="000D3E15"/>
    <w:rsid w:val="000D3FCC"/>
    <w:rsid w:val="000D449F"/>
    <w:rsid w:val="000D44F1"/>
    <w:rsid w:val="000D4D07"/>
    <w:rsid w:val="000D5A8D"/>
    <w:rsid w:val="000D5B70"/>
    <w:rsid w:val="000D69DB"/>
    <w:rsid w:val="000D6B23"/>
    <w:rsid w:val="000D6B4A"/>
    <w:rsid w:val="000D6C82"/>
    <w:rsid w:val="000D7535"/>
    <w:rsid w:val="000D755D"/>
    <w:rsid w:val="000D767B"/>
    <w:rsid w:val="000D79C0"/>
    <w:rsid w:val="000D7B82"/>
    <w:rsid w:val="000E0338"/>
    <w:rsid w:val="000E0440"/>
    <w:rsid w:val="000E0AEF"/>
    <w:rsid w:val="000E104F"/>
    <w:rsid w:val="000E165D"/>
    <w:rsid w:val="000E1B39"/>
    <w:rsid w:val="000E1BAF"/>
    <w:rsid w:val="000E1BB4"/>
    <w:rsid w:val="000E223E"/>
    <w:rsid w:val="000E22E9"/>
    <w:rsid w:val="000E2491"/>
    <w:rsid w:val="000E2A77"/>
    <w:rsid w:val="000E2EA9"/>
    <w:rsid w:val="000E39FD"/>
    <w:rsid w:val="000E4107"/>
    <w:rsid w:val="000E4127"/>
    <w:rsid w:val="000E4136"/>
    <w:rsid w:val="000E4187"/>
    <w:rsid w:val="000E4408"/>
    <w:rsid w:val="000E46A3"/>
    <w:rsid w:val="000E46C4"/>
    <w:rsid w:val="000E4BBA"/>
    <w:rsid w:val="000E4CC0"/>
    <w:rsid w:val="000E4E88"/>
    <w:rsid w:val="000E4F14"/>
    <w:rsid w:val="000E529E"/>
    <w:rsid w:val="000E5591"/>
    <w:rsid w:val="000E566D"/>
    <w:rsid w:val="000E5726"/>
    <w:rsid w:val="000E5DB5"/>
    <w:rsid w:val="000E62CC"/>
    <w:rsid w:val="000E63A3"/>
    <w:rsid w:val="000E6C3E"/>
    <w:rsid w:val="000E6C94"/>
    <w:rsid w:val="000E730E"/>
    <w:rsid w:val="000E783D"/>
    <w:rsid w:val="000E7871"/>
    <w:rsid w:val="000E7927"/>
    <w:rsid w:val="000E79C4"/>
    <w:rsid w:val="000F091D"/>
    <w:rsid w:val="000F0EA1"/>
    <w:rsid w:val="000F0F2C"/>
    <w:rsid w:val="000F0FB9"/>
    <w:rsid w:val="000F1067"/>
    <w:rsid w:val="000F13A8"/>
    <w:rsid w:val="000F15CD"/>
    <w:rsid w:val="000F1BB2"/>
    <w:rsid w:val="000F1C57"/>
    <w:rsid w:val="000F20AE"/>
    <w:rsid w:val="000F20F0"/>
    <w:rsid w:val="000F217A"/>
    <w:rsid w:val="000F24DD"/>
    <w:rsid w:val="000F2969"/>
    <w:rsid w:val="000F2A23"/>
    <w:rsid w:val="000F2E1D"/>
    <w:rsid w:val="000F3271"/>
    <w:rsid w:val="000F3746"/>
    <w:rsid w:val="000F38F8"/>
    <w:rsid w:val="000F39AF"/>
    <w:rsid w:val="000F3B71"/>
    <w:rsid w:val="000F3BE5"/>
    <w:rsid w:val="000F3F94"/>
    <w:rsid w:val="000F424F"/>
    <w:rsid w:val="000F44F2"/>
    <w:rsid w:val="000F5235"/>
    <w:rsid w:val="000F5B21"/>
    <w:rsid w:val="000F6272"/>
    <w:rsid w:val="000F66A1"/>
    <w:rsid w:val="000F6812"/>
    <w:rsid w:val="000F6C9D"/>
    <w:rsid w:val="000F6CD2"/>
    <w:rsid w:val="000F6DA6"/>
    <w:rsid w:val="000F77FE"/>
    <w:rsid w:val="00100393"/>
    <w:rsid w:val="0010039F"/>
    <w:rsid w:val="00100DFD"/>
    <w:rsid w:val="00101CFA"/>
    <w:rsid w:val="00102395"/>
    <w:rsid w:val="00102AE1"/>
    <w:rsid w:val="00102CFB"/>
    <w:rsid w:val="00102D66"/>
    <w:rsid w:val="00103210"/>
    <w:rsid w:val="00103501"/>
    <w:rsid w:val="00103B20"/>
    <w:rsid w:val="00103B2D"/>
    <w:rsid w:val="00103CD2"/>
    <w:rsid w:val="00103E6B"/>
    <w:rsid w:val="00104061"/>
    <w:rsid w:val="00104335"/>
    <w:rsid w:val="001043E9"/>
    <w:rsid w:val="00104650"/>
    <w:rsid w:val="001046AA"/>
    <w:rsid w:val="00104722"/>
    <w:rsid w:val="00104967"/>
    <w:rsid w:val="00104C22"/>
    <w:rsid w:val="001051C7"/>
    <w:rsid w:val="0010528B"/>
    <w:rsid w:val="00105574"/>
    <w:rsid w:val="001057FD"/>
    <w:rsid w:val="001061B4"/>
    <w:rsid w:val="00106599"/>
    <w:rsid w:val="001067B4"/>
    <w:rsid w:val="00107186"/>
    <w:rsid w:val="00107236"/>
    <w:rsid w:val="001074B3"/>
    <w:rsid w:val="0010789B"/>
    <w:rsid w:val="00107B6A"/>
    <w:rsid w:val="00107E93"/>
    <w:rsid w:val="001101A2"/>
    <w:rsid w:val="001106F7"/>
    <w:rsid w:val="00110731"/>
    <w:rsid w:val="001107DF"/>
    <w:rsid w:val="001108A9"/>
    <w:rsid w:val="00110E02"/>
    <w:rsid w:val="0011117C"/>
    <w:rsid w:val="0011234B"/>
    <w:rsid w:val="00112EDA"/>
    <w:rsid w:val="00113012"/>
    <w:rsid w:val="001132D9"/>
    <w:rsid w:val="00113F5F"/>
    <w:rsid w:val="001140CA"/>
    <w:rsid w:val="00114174"/>
    <w:rsid w:val="00114369"/>
    <w:rsid w:val="001144AB"/>
    <w:rsid w:val="0011455D"/>
    <w:rsid w:val="001146C8"/>
    <w:rsid w:val="00114B02"/>
    <w:rsid w:val="00114BA4"/>
    <w:rsid w:val="00114DB8"/>
    <w:rsid w:val="00115DEA"/>
    <w:rsid w:val="00115F90"/>
    <w:rsid w:val="00116396"/>
    <w:rsid w:val="0011640E"/>
    <w:rsid w:val="00116908"/>
    <w:rsid w:val="00116EAF"/>
    <w:rsid w:val="00117395"/>
    <w:rsid w:val="00117B4A"/>
    <w:rsid w:val="00117C1D"/>
    <w:rsid w:val="00120193"/>
    <w:rsid w:val="00120548"/>
    <w:rsid w:val="001208DD"/>
    <w:rsid w:val="0012097D"/>
    <w:rsid w:val="001209D8"/>
    <w:rsid w:val="00121650"/>
    <w:rsid w:val="00121ED8"/>
    <w:rsid w:val="00121FD3"/>
    <w:rsid w:val="00122471"/>
    <w:rsid w:val="00122561"/>
    <w:rsid w:val="00122807"/>
    <w:rsid w:val="001228A0"/>
    <w:rsid w:val="00122D5D"/>
    <w:rsid w:val="00122E13"/>
    <w:rsid w:val="00122F43"/>
    <w:rsid w:val="00123261"/>
    <w:rsid w:val="0012335F"/>
    <w:rsid w:val="00123688"/>
    <w:rsid w:val="001244B7"/>
    <w:rsid w:val="00124C33"/>
    <w:rsid w:val="0012506B"/>
    <w:rsid w:val="001253FE"/>
    <w:rsid w:val="00125A05"/>
    <w:rsid w:val="00125F91"/>
    <w:rsid w:val="00127061"/>
    <w:rsid w:val="001277A3"/>
    <w:rsid w:val="001279DA"/>
    <w:rsid w:val="00127BD4"/>
    <w:rsid w:val="00127D19"/>
    <w:rsid w:val="00127EEC"/>
    <w:rsid w:val="00127F47"/>
    <w:rsid w:val="00130164"/>
    <w:rsid w:val="00130F73"/>
    <w:rsid w:val="00131748"/>
    <w:rsid w:val="00131CDC"/>
    <w:rsid w:val="00131EA7"/>
    <w:rsid w:val="001324EE"/>
    <w:rsid w:val="00132A3F"/>
    <w:rsid w:val="00132B30"/>
    <w:rsid w:val="00132EAB"/>
    <w:rsid w:val="0013346C"/>
    <w:rsid w:val="00133572"/>
    <w:rsid w:val="00133903"/>
    <w:rsid w:val="00133BB7"/>
    <w:rsid w:val="00133E1A"/>
    <w:rsid w:val="001340AF"/>
    <w:rsid w:val="001346F5"/>
    <w:rsid w:val="00134A99"/>
    <w:rsid w:val="00134E4A"/>
    <w:rsid w:val="00135321"/>
    <w:rsid w:val="00135FE7"/>
    <w:rsid w:val="001364FB"/>
    <w:rsid w:val="001365A9"/>
    <w:rsid w:val="001365F2"/>
    <w:rsid w:val="00136A5E"/>
    <w:rsid w:val="00136D7A"/>
    <w:rsid w:val="00136EBF"/>
    <w:rsid w:val="00137488"/>
    <w:rsid w:val="001374C5"/>
    <w:rsid w:val="00137812"/>
    <w:rsid w:val="00137CE5"/>
    <w:rsid w:val="001405E5"/>
    <w:rsid w:val="00140FBC"/>
    <w:rsid w:val="00141470"/>
    <w:rsid w:val="00141540"/>
    <w:rsid w:val="00141551"/>
    <w:rsid w:val="001423F3"/>
    <w:rsid w:val="00143448"/>
    <w:rsid w:val="001449DF"/>
    <w:rsid w:val="00144AE2"/>
    <w:rsid w:val="001452E0"/>
    <w:rsid w:val="0014569B"/>
    <w:rsid w:val="00145BC1"/>
    <w:rsid w:val="00145E00"/>
    <w:rsid w:val="00146B04"/>
    <w:rsid w:val="001470E0"/>
    <w:rsid w:val="001473FA"/>
    <w:rsid w:val="0014757C"/>
    <w:rsid w:val="0014759B"/>
    <w:rsid w:val="00147B15"/>
    <w:rsid w:val="00150060"/>
    <w:rsid w:val="00150B83"/>
    <w:rsid w:val="00151200"/>
    <w:rsid w:val="00152C18"/>
    <w:rsid w:val="00152E0A"/>
    <w:rsid w:val="0015370D"/>
    <w:rsid w:val="00153919"/>
    <w:rsid w:val="001547EF"/>
    <w:rsid w:val="0015493E"/>
    <w:rsid w:val="00154C69"/>
    <w:rsid w:val="00154ED2"/>
    <w:rsid w:val="00155095"/>
    <w:rsid w:val="001550B2"/>
    <w:rsid w:val="001550B4"/>
    <w:rsid w:val="00155803"/>
    <w:rsid w:val="001565B2"/>
    <w:rsid w:val="001565E9"/>
    <w:rsid w:val="001567DC"/>
    <w:rsid w:val="0015704C"/>
    <w:rsid w:val="00157057"/>
    <w:rsid w:val="001571BA"/>
    <w:rsid w:val="001576B5"/>
    <w:rsid w:val="00157895"/>
    <w:rsid w:val="00160643"/>
    <w:rsid w:val="001608EF"/>
    <w:rsid w:val="00160987"/>
    <w:rsid w:val="00160D98"/>
    <w:rsid w:val="001613CA"/>
    <w:rsid w:val="001616E6"/>
    <w:rsid w:val="00161701"/>
    <w:rsid w:val="00161E20"/>
    <w:rsid w:val="00161E87"/>
    <w:rsid w:val="0016250A"/>
    <w:rsid w:val="001628BA"/>
    <w:rsid w:val="0016292B"/>
    <w:rsid w:val="00162EC5"/>
    <w:rsid w:val="00163047"/>
    <w:rsid w:val="00164084"/>
    <w:rsid w:val="00164370"/>
    <w:rsid w:val="00164B0A"/>
    <w:rsid w:val="00164EF8"/>
    <w:rsid w:val="00165519"/>
    <w:rsid w:val="0016566C"/>
    <w:rsid w:val="001656A5"/>
    <w:rsid w:val="00165A25"/>
    <w:rsid w:val="00165DEF"/>
    <w:rsid w:val="0016618E"/>
    <w:rsid w:val="001662B0"/>
    <w:rsid w:val="001679FB"/>
    <w:rsid w:val="00167DDB"/>
    <w:rsid w:val="001701FC"/>
    <w:rsid w:val="00170CC8"/>
    <w:rsid w:val="00170F79"/>
    <w:rsid w:val="0017112E"/>
    <w:rsid w:val="00171F50"/>
    <w:rsid w:val="001720B0"/>
    <w:rsid w:val="00172351"/>
    <w:rsid w:val="001727F0"/>
    <w:rsid w:val="00172B06"/>
    <w:rsid w:val="00172DB6"/>
    <w:rsid w:val="0017347E"/>
    <w:rsid w:val="001735F7"/>
    <w:rsid w:val="00173894"/>
    <w:rsid w:val="00173C44"/>
    <w:rsid w:val="00173DA4"/>
    <w:rsid w:val="00174129"/>
    <w:rsid w:val="00174177"/>
    <w:rsid w:val="00174723"/>
    <w:rsid w:val="001747C6"/>
    <w:rsid w:val="001749D7"/>
    <w:rsid w:val="00174CD8"/>
    <w:rsid w:val="00174D6E"/>
    <w:rsid w:val="00175141"/>
    <w:rsid w:val="001752D8"/>
    <w:rsid w:val="00175931"/>
    <w:rsid w:val="00175DCB"/>
    <w:rsid w:val="00175F3D"/>
    <w:rsid w:val="00176A87"/>
    <w:rsid w:val="00176B04"/>
    <w:rsid w:val="00176B25"/>
    <w:rsid w:val="00176CC3"/>
    <w:rsid w:val="001773CC"/>
    <w:rsid w:val="0017746C"/>
    <w:rsid w:val="00180493"/>
    <w:rsid w:val="001806A2"/>
    <w:rsid w:val="00180B30"/>
    <w:rsid w:val="0018105D"/>
    <w:rsid w:val="00181157"/>
    <w:rsid w:val="001818E9"/>
    <w:rsid w:val="00181FF6"/>
    <w:rsid w:val="0018238B"/>
    <w:rsid w:val="00182464"/>
    <w:rsid w:val="00183419"/>
    <w:rsid w:val="001834C5"/>
    <w:rsid w:val="00183621"/>
    <w:rsid w:val="0018390A"/>
    <w:rsid w:val="0018394A"/>
    <w:rsid w:val="001839DB"/>
    <w:rsid w:val="00183E50"/>
    <w:rsid w:val="00183E77"/>
    <w:rsid w:val="00184264"/>
    <w:rsid w:val="0018482B"/>
    <w:rsid w:val="00184AA4"/>
    <w:rsid w:val="00184DCC"/>
    <w:rsid w:val="00184E75"/>
    <w:rsid w:val="00185700"/>
    <w:rsid w:val="00185F9C"/>
    <w:rsid w:val="00185FDD"/>
    <w:rsid w:val="001861F3"/>
    <w:rsid w:val="00186255"/>
    <w:rsid w:val="00186593"/>
    <w:rsid w:val="001866B0"/>
    <w:rsid w:val="00186A9D"/>
    <w:rsid w:val="00186DB8"/>
    <w:rsid w:val="001874A6"/>
    <w:rsid w:val="0018765B"/>
    <w:rsid w:val="001877BE"/>
    <w:rsid w:val="00187B6A"/>
    <w:rsid w:val="0019029A"/>
    <w:rsid w:val="001904AE"/>
    <w:rsid w:val="00190913"/>
    <w:rsid w:val="00190DBD"/>
    <w:rsid w:val="00190E9D"/>
    <w:rsid w:val="00190FE5"/>
    <w:rsid w:val="00191060"/>
    <w:rsid w:val="00191575"/>
    <w:rsid w:val="00191CDF"/>
    <w:rsid w:val="00191E88"/>
    <w:rsid w:val="0019236A"/>
    <w:rsid w:val="001926B6"/>
    <w:rsid w:val="0019274B"/>
    <w:rsid w:val="00192766"/>
    <w:rsid w:val="001930F5"/>
    <w:rsid w:val="00193B21"/>
    <w:rsid w:val="00193DD3"/>
    <w:rsid w:val="00193EB5"/>
    <w:rsid w:val="001940FF"/>
    <w:rsid w:val="0019425E"/>
    <w:rsid w:val="001948AA"/>
    <w:rsid w:val="00195476"/>
    <w:rsid w:val="00195946"/>
    <w:rsid w:val="00195F0E"/>
    <w:rsid w:val="00195F65"/>
    <w:rsid w:val="00196B60"/>
    <w:rsid w:val="00197580"/>
    <w:rsid w:val="00197F6E"/>
    <w:rsid w:val="001A0394"/>
    <w:rsid w:val="001A07E2"/>
    <w:rsid w:val="001A0A5D"/>
    <w:rsid w:val="001A0BB0"/>
    <w:rsid w:val="001A1496"/>
    <w:rsid w:val="001A2018"/>
    <w:rsid w:val="001A2216"/>
    <w:rsid w:val="001A37D0"/>
    <w:rsid w:val="001A39D9"/>
    <w:rsid w:val="001A4582"/>
    <w:rsid w:val="001A55C6"/>
    <w:rsid w:val="001A56F1"/>
    <w:rsid w:val="001A57E6"/>
    <w:rsid w:val="001A58E3"/>
    <w:rsid w:val="001A5C27"/>
    <w:rsid w:val="001A5D0E"/>
    <w:rsid w:val="001A5E63"/>
    <w:rsid w:val="001A6413"/>
    <w:rsid w:val="001A72D0"/>
    <w:rsid w:val="001A7676"/>
    <w:rsid w:val="001A7931"/>
    <w:rsid w:val="001A7A19"/>
    <w:rsid w:val="001A7C79"/>
    <w:rsid w:val="001A7F1A"/>
    <w:rsid w:val="001B000E"/>
    <w:rsid w:val="001B01C8"/>
    <w:rsid w:val="001B0B52"/>
    <w:rsid w:val="001B13F6"/>
    <w:rsid w:val="001B1747"/>
    <w:rsid w:val="001B1A31"/>
    <w:rsid w:val="001B1DBF"/>
    <w:rsid w:val="001B2D44"/>
    <w:rsid w:val="001B2E7F"/>
    <w:rsid w:val="001B34EE"/>
    <w:rsid w:val="001B364C"/>
    <w:rsid w:val="001B36FA"/>
    <w:rsid w:val="001B375C"/>
    <w:rsid w:val="001B3883"/>
    <w:rsid w:val="001B3B82"/>
    <w:rsid w:val="001B6099"/>
    <w:rsid w:val="001B62F7"/>
    <w:rsid w:val="001B632F"/>
    <w:rsid w:val="001B6800"/>
    <w:rsid w:val="001B7255"/>
    <w:rsid w:val="001B7312"/>
    <w:rsid w:val="001B752A"/>
    <w:rsid w:val="001B78ED"/>
    <w:rsid w:val="001B797D"/>
    <w:rsid w:val="001B7AF4"/>
    <w:rsid w:val="001B7E85"/>
    <w:rsid w:val="001C073A"/>
    <w:rsid w:val="001C11C9"/>
    <w:rsid w:val="001C12FB"/>
    <w:rsid w:val="001C2891"/>
    <w:rsid w:val="001C2CAC"/>
    <w:rsid w:val="001C2DB4"/>
    <w:rsid w:val="001C2F91"/>
    <w:rsid w:val="001C3034"/>
    <w:rsid w:val="001C3228"/>
    <w:rsid w:val="001C34F0"/>
    <w:rsid w:val="001C350D"/>
    <w:rsid w:val="001C35E9"/>
    <w:rsid w:val="001C36BD"/>
    <w:rsid w:val="001C3733"/>
    <w:rsid w:val="001C449E"/>
    <w:rsid w:val="001C4986"/>
    <w:rsid w:val="001C49B3"/>
    <w:rsid w:val="001C4C95"/>
    <w:rsid w:val="001C4E53"/>
    <w:rsid w:val="001C4FEB"/>
    <w:rsid w:val="001C53CD"/>
    <w:rsid w:val="001C53F4"/>
    <w:rsid w:val="001C5916"/>
    <w:rsid w:val="001C5961"/>
    <w:rsid w:val="001C59BE"/>
    <w:rsid w:val="001C5B30"/>
    <w:rsid w:val="001C65B0"/>
    <w:rsid w:val="001C67A5"/>
    <w:rsid w:val="001C6FBD"/>
    <w:rsid w:val="001C7243"/>
    <w:rsid w:val="001C7B4A"/>
    <w:rsid w:val="001C7CCA"/>
    <w:rsid w:val="001C7FF5"/>
    <w:rsid w:val="001D0186"/>
    <w:rsid w:val="001D0299"/>
    <w:rsid w:val="001D07B7"/>
    <w:rsid w:val="001D07E0"/>
    <w:rsid w:val="001D0838"/>
    <w:rsid w:val="001D08DC"/>
    <w:rsid w:val="001D0C74"/>
    <w:rsid w:val="001D0E6F"/>
    <w:rsid w:val="001D15C9"/>
    <w:rsid w:val="001D21ED"/>
    <w:rsid w:val="001D23C1"/>
    <w:rsid w:val="001D2953"/>
    <w:rsid w:val="001D2EB6"/>
    <w:rsid w:val="001D3922"/>
    <w:rsid w:val="001D3A3D"/>
    <w:rsid w:val="001D3C05"/>
    <w:rsid w:val="001D3CEB"/>
    <w:rsid w:val="001D3F96"/>
    <w:rsid w:val="001D3FE3"/>
    <w:rsid w:val="001D438F"/>
    <w:rsid w:val="001D4695"/>
    <w:rsid w:val="001D4BC1"/>
    <w:rsid w:val="001D4D01"/>
    <w:rsid w:val="001D57BB"/>
    <w:rsid w:val="001D64A4"/>
    <w:rsid w:val="001D6551"/>
    <w:rsid w:val="001D6AF4"/>
    <w:rsid w:val="001D6C4F"/>
    <w:rsid w:val="001D7F76"/>
    <w:rsid w:val="001D7FB4"/>
    <w:rsid w:val="001E0181"/>
    <w:rsid w:val="001E04B7"/>
    <w:rsid w:val="001E0CC1"/>
    <w:rsid w:val="001E12B8"/>
    <w:rsid w:val="001E14E6"/>
    <w:rsid w:val="001E1BB9"/>
    <w:rsid w:val="001E1C10"/>
    <w:rsid w:val="001E29B6"/>
    <w:rsid w:val="001E2C21"/>
    <w:rsid w:val="001E2CAA"/>
    <w:rsid w:val="001E366D"/>
    <w:rsid w:val="001E3A76"/>
    <w:rsid w:val="001E3CC0"/>
    <w:rsid w:val="001E3E05"/>
    <w:rsid w:val="001E400A"/>
    <w:rsid w:val="001E42A3"/>
    <w:rsid w:val="001E4535"/>
    <w:rsid w:val="001E4F55"/>
    <w:rsid w:val="001E4FA7"/>
    <w:rsid w:val="001E6273"/>
    <w:rsid w:val="001E62D1"/>
    <w:rsid w:val="001E630B"/>
    <w:rsid w:val="001E6440"/>
    <w:rsid w:val="001E65D5"/>
    <w:rsid w:val="001E67A5"/>
    <w:rsid w:val="001E6879"/>
    <w:rsid w:val="001E6CD3"/>
    <w:rsid w:val="001E7057"/>
    <w:rsid w:val="001E757D"/>
    <w:rsid w:val="001E77C3"/>
    <w:rsid w:val="001F090B"/>
    <w:rsid w:val="001F0B91"/>
    <w:rsid w:val="001F0BC5"/>
    <w:rsid w:val="001F0C0B"/>
    <w:rsid w:val="001F0FE3"/>
    <w:rsid w:val="001F1042"/>
    <w:rsid w:val="001F1312"/>
    <w:rsid w:val="001F1353"/>
    <w:rsid w:val="001F180A"/>
    <w:rsid w:val="001F185E"/>
    <w:rsid w:val="001F1A28"/>
    <w:rsid w:val="001F1AD0"/>
    <w:rsid w:val="001F1CD2"/>
    <w:rsid w:val="001F22A3"/>
    <w:rsid w:val="001F237C"/>
    <w:rsid w:val="001F25AE"/>
    <w:rsid w:val="001F2728"/>
    <w:rsid w:val="001F29BA"/>
    <w:rsid w:val="001F30CA"/>
    <w:rsid w:val="001F35E8"/>
    <w:rsid w:val="001F3B16"/>
    <w:rsid w:val="001F4014"/>
    <w:rsid w:val="001F4050"/>
    <w:rsid w:val="001F40F5"/>
    <w:rsid w:val="001F445E"/>
    <w:rsid w:val="001F4619"/>
    <w:rsid w:val="001F4890"/>
    <w:rsid w:val="001F5734"/>
    <w:rsid w:val="001F5B93"/>
    <w:rsid w:val="001F6147"/>
    <w:rsid w:val="001F6423"/>
    <w:rsid w:val="001F668D"/>
    <w:rsid w:val="001F6B23"/>
    <w:rsid w:val="001F6CC1"/>
    <w:rsid w:val="001F71B2"/>
    <w:rsid w:val="001F7AA7"/>
    <w:rsid w:val="00200038"/>
    <w:rsid w:val="00200072"/>
    <w:rsid w:val="002000D1"/>
    <w:rsid w:val="00200695"/>
    <w:rsid w:val="00200B18"/>
    <w:rsid w:val="00200B1F"/>
    <w:rsid w:val="00200C5E"/>
    <w:rsid w:val="002010C8"/>
    <w:rsid w:val="00201143"/>
    <w:rsid w:val="00201213"/>
    <w:rsid w:val="0020165E"/>
    <w:rsid w:val="002019EE"/>
    <w:rsid w:val="00201F78"/>
    <w:rsid w:val="0020272E"/>
    <w:rsid w:val="00202E50"/>
    <w:rsid w:val="00202F1E"/>
    <w:rsid w:val="00204AAB"/>
    <w:rsid w:val="00204DD6"/>
    <w:rsid w:val="00204E0C"/>
    <w:rsid w:val="002050B8"/>
    <w:rsid w:val="00205180"/>
    <w:rsid w:val="0020527F"/>
    <w:rsid w:val="00205599"/>
    <w:rsid w:val="002056DC"/>
    <w:rsid w:val="0020665E"/>
    <w:rsid w:val="00206716"/>
    <w:rsid w:val="00206963"/>
    <w:rsid w:val="00206C2E"/>
    <w:rsid w:val="00207156"/>
    <w:rsid w:val="0020720D"/>
    <w:rsid w:val="00207751"/>
    <w:rsid w:val="00207F81"/>
    <w:rsid w:val="00210244"/>
    <w:rsid w:val="002102BB"/>
    <w:rsid w:val="0021030A"/>
    <w:rsid w:val="00210638"/>
    <w:rsid w:val="00210890"/>
    <w:rsid w:val="002109F4"/>
    <w:rsid w:val="00210CDF"/>
    <w:rsid w:val="00210F80"/>
    <w:rsid w:val="00210FC9"/>
    <w:rsid w:val="00211031"/>
    <w:rsid w:val="00211FDA"/>
    <w:rsid w:val="00212696"/>
    <w:rsid w:val="002127F5"/>
    <w:rsid w:val="00212814"/>
    <w:rsid w:val="00212C40"/>
    <w:rsid w:val="00212D24"/>
    <w:rsid w:val="00212EC5"/>
    <w:rsid w:val="00213226"/>
    <w:rsid w:val="0021346E"/>
    <w:rsid w:val="00213645"/>
    <w:rsid w:val="00213821"/>
    <w:rsid w:val="00213892"/>
    <w:rsid w:val="00214139"/>
    <w:rsid w:val="00214AA0"/>
    <w:rsid w:val="00214FF3"/>
    <w:rsid w:val="00215763"/>
    <w:rsid w:val="002159EF"/>
    <w:rsid w:val="00215FDA"/>
    <w:rsid w:val="002160C2"/>
    <w:rsid w:val="00216828"/>
    <w:rsid w:val="00216E4A"/>
    <w:rsid w:val="002171C8"/>
    <w:rsid w:val="00217B16"/>
    <w:rsid w:val="002207EE"/>
    <w:rsid w:val="002212C3"/>
    <w:rsid w:val="00221341"/>
    <w:rsid w:val="00221D49"/>
    <w:rsid w:val="00222122"/>
    <w:rsid w:val="00222832"/>
    <w:rsid w:val="0022293D"/>
    <w:rsid w:val="00222BB9"/>
    <w:rsid w:val="00222D80"/>
    <w:rsid w:val="00223020"/>
    <w:rsid w:val="002238E3"/>
    <w:rsid w:val="0022395B"/>
    <w:rsid w:val="00223B72"/>
    <w:rsid w:val="00223DD6"/>
    <w:rsid w:val="0022441D"/>
    <w:rsid w:val="0022457D"/>
    <w:rsid w:val="002248A9"/>
    <w:rsid w:val="00224ADE"/>
    <w:rsid w:val="00224F55"/>
    <w:rsid w:val="0022502A"/>
    <w:rsid w:val="002258D6"/>
    <w:rsid w:val="00225B63"/>
    <w:rsid w:val="00225CEE"/>
    <w:rsid w:val="00225D5D"/>
    <w:rsid w:val="00225F00"/>
    <w:rsid w:val="00226C08"/>
    <w:rsid w:val="00226F35"/>
    <w:rsid w:val="0022739F"/>
    <w:rsid w:val="002274FB"/>
    <w:rsid w:val="002276FD"/>
    <w:rsid w:val="00227BD2"/>
    <w:rsid w:val="00227BF8"/>
    <w:rsid w:val="00227BFD"/>
    <w:rsid w:val="002301DE"/>
    <w:rsid w:val="002303B3"/>
    <w:rsid w:val="002304EE"/>
    <w:rsid w:val="00230855"/>
    <w:rsid w:val="002309D2"/>
    <w:rsid w:val="00230E1F"/>
    <w:rsid w:val="002311CA"/>
    <w:rsid w:val="00231939"/>
    <w:rsid w:val="00231B61"/>
    <w:rsid w:val="00232250"/>
    <w:rsid w:val="00232308"/>
    <w:rsid w:val="00232AB5"/>
    <w:rsid w:val="0023315B"/>
    <w:rsid w:val="002338A9"/>
    <w:rsid w:val="00233D93"/>
    <w:rsid w:val="00233ED7"/>
    <w:rsid w:val="002347FE"/>
    <w:rsid w:val="002348BB"/>
    <w:rsid w:val="00235E93"/>
    <w:rsid w:val="002360D3"/>
    <w:rsid w:val="002368AD"/>
    <w:rsid w:val="00236982"/>
    <w:rsid w:val="00236EA5"/>
    <w:rsid w:val="00237225"/>
    <w:rsid w:val="0023733B"/>
    <w:rsid w:val="002376CE"/>
    <w:rsid w:val="00237B02"/>
    <w:rsid w:val="002404E9"/>
    <w:rsid w:val="00240991"/>
    <w:rsid w:val="002409DC"/>
    <w:rsid w:val="0024135F"/>
    <w:rsid w:val="00241668"/>
    <w:rsid w:val="0024178D"/>
    <w:rsid w:val="00241EE3"/>
    <w:rsid w:val="0024249E"/>
    <w:rsid w:val="0024250B"/>
    <w:rsid w:val="00242B11"/>
    <w:rsid w:val="00243593"/>
    <w:rsid w:val="0024392B"/>
    <w:rsid w:val="002440E5"/>
    <w:rsid w:val="00244ECB"/>
    <w:rsid w:val="002450C6"/>
    <w:rsid w:val="002451AA"/>
    <w:rsid w:val="002451F7"/>
    <w:rsid w:val="0024551C"/>
    <w:rsid w:val="00245DCF"/>
    <w:rsid w:val="0024614C"/>
    <w:rsid w:val="00246284"/>
    <w:rsid w:val="0024661E"/>
    <w:rsid w:val="00246C65"/>
    <w:rsid w:val="00246EF4"/>
    <w:rsid w:val="0024721F"/>
    <w:rsid w:val="00247A4D"/>
    <w:rsid w:val="00247F18"/>
    <w:rsid w:val="00250812"/>
    <w:rsid w:val="00250B95"/>
    <w:rsid w:val="00251110"/>
    <w:rsid w:val="00251674"/>
    <w:rsid w:val="00251A10"/>
    <w:rsid w:val="0025242D"/>
    <w:rsid w:val="002526DF"/>
    <w:rsid w:val="0025290B"/>
    <w:rsid w:val="00252A28"/>
    <w:rsid w:val="00252BFF"/>
    <w:rsid w:val="00253490"/>
    <w:rsid w:val="00253732"/>
    <w:rsid w:val="00253A07"/>
    <w:rsid w:val="002540DD"/>
    <w:rsid w:val="002542A8"/>
    <w:rsid w:val="00254B97"/>
    <w:rsid w:val="00255289"/>
    <w:rsid w:val="00255AA7"/>
    <w:rsid w:val="00255B3F"/>
    <w:rsid w:val="00255B8F"/>
    <w:rsid w:val="00256146"/>
    <w:rsid w:val="0025636B"/>
    <w:rsid w:val="002568B9"/>
    <w:rsid w:val="00256DF2"/>
    <w:rsid w:val="0025751B"/>
    <w:rsid w:val="00257B33"/>
    <w:rsid w:val="00260A11"/>
    <w:rsid w:val="00260B4F"/>
    <w:rsid w:val="00260F3C"/>
    <w:rsid w:val="0026169A"/>
    <w:rsid w:val="00262456"/>
    <w:rsid w:val="00262763"/>
    <w:rsid w:val="002627B6"/>
    <w:rsid w:val="00262A43"/>
    <w:rsid w:val="00262CFD"/>
    <w:rsid w:val="0026322A"/>
    <w:rsid w:val="00263284"/>
    <w:rsid w:val="002645E6"/>
    <w:rsid w:val="00264A6B"/>
    <w:rsid w:val="00264BEA"/>
    <w:rsid w:val="0026546D"/>
    <w:rsid w:val="002656E5"/>
    <w:rsid w:val="00266C11"/>
    <w:rsid w:val="00266EC8"/>
    <w:rsid w:val="00267850"/>
    <w:rsid w:val="00267E68"/>
    <w:rsid w:val="00270252"/>
    <w:rsid w:val="0027031D"/>
    <w:rsid w:val="00270C29"/>
    <w:rsid w:val="00270D0A"/>
    <w:rsid w:val="00271032"/>
    <w:rsid w:val="00271C3B"/>
    <w:rsid w:val="00271F25"/>
    <w:rsid w:val="00272E25"/>
    <w:rsid w:val="0027385B"/>
    <w:rsid w:val="00273E3E"/>
    <w:rsid w:val="00274147"/>
    <w:rsid w:val="00274708"/>
    <w:rsid w:val="00274A2A"/>
    <w:rsid w:val="00275189"/>
    <w:rsid w:val="002752AC"/>
    <w:rsid w:val="00275523"/>
    <w:rsid w:val="002756DC"/>
    <w:rsid w:val="00275782"/>
    <w:rsid w:val="00275A46"/>
    <w:rsid w:val="00275EC6"/>
    <w:rsid w:val="00275F8C"/>
    <w:rsid w:val="00276412"/>
    <w:rsid w:val="00276437"/>
    <w:rsid w:val="0027667E"/>
    <w:rsid w:val="00276955"/>
    <w:rsid w:val="00276E3D"/>
    <w:rsid w:val="00276F05"/>
    <w:rsid w:val="00277E56"/>
    <w:rsid w:val="00280053"/>
    <w:rsid w:val="002805D0"/>
    <w:rsid w:val="0028063F"/>
    <w:rsid w:val="00280740"/>
    <w:rsid w:val="00280A1A"/>
    <w:rsid w:val="00280F9E"/>
    <w:rsid w:val="002819F3"/>
    <w:rsid w:val="00281A85"/>
    <w:rsid w:val="00281C25"/>
    <w:rsid w:val="00281DAE"/>
    <w:rsid w:val="002826B0"/>
    <w:rsid w:val="002828AD"/>
    <w:rsid w:val="00282C65"/>
    <w:rsid w:val="002830FD"/>
    <w:rsid w:val="00283391"/>
    <w:rsid w:val="002834D2"/>
    <w:rsid w:val="00283B02"/>
    <w:rsid w:val="00283C5D"/>
    <w:rsid w:val="00283E59"/>
    <w:rsid w:val="002844B0"/>
    <w:rsid w:val="002845EE"/>
    <w:rsid w:val="0028524E"/>
    <w:rsid w:val="00285471"/>
    <w:rsid w:val="00285CBD"/>
    <w:rsid w:val="00286322"/>
    <w:rsid w:val="00286A6A"/>
    <w:rsid w:val="00286B33"/>
    <w:rsid w:val="002876B3"/>
    <w:rsid w:val="00290BD7"/>
    <w:rsid w:val="00292A7C"/>
    <w:rsid w:val="00292EA2"/>
    <w:rsid w:val="002931B0"/>
    <w:rsid w:val="00294482"/>
    <w:rsid w:val="0029464A"/>
    <w:rsid w:val="0029516D"/>
    <w:rsid w:val="00295259"/>
    <w:rsid w:val="002958D3"/>
    <w:rsid w:val="002959DC"/>
    <w:rsid w:val="002964CC"/>
    <w:rsid w:val="00296B03"/>
    <w:rsid w:val="00296C1F"/>
    <w:rsid w:val="00296FA2"/>
    <w:rsid w:val="002970BE"/>
    <w:rsid w:val="002A07CF"/>
    <w:rsid w:val="002A1703"/>
    <w:rsid w:val="002A19EB"/>
    <w:rsid w:val="002A1ABC"/>
    <w:rsid w:val="002A266C"/>
    <w:rsid w:val="002A2790"/>
    <w:rsid w:val="002A27A5"/>
    <w:rsid w:val="002A3388"/>
    <w:rsid w:val="002A3BDD"/>
    <w:rsid w:val="002A3E0A"/>
    <w:rsid w:val="002A40E3"/>
    <w:rsid w:val="002A41E6"/>
    <w:rsid w:val="002A44C8"/>
    <w:rsid w:val="002A4A96"/>
    <w:rsid w:val="002A527F"/>
    <w:rsid w:val="002A5363"/>
    <w:rsid w:val="002A545A"/>
    <w:rsid w:val="002A5DF0"/>
    <w:rsid w:val="002A5E48"/>
    <w:rsid w:val="002A61FD"/>
    <w:rsid w:val="002A6A3B"/>
    <w:rsid w:val="002A6C9E"/>
    <w:rsid w:val="002A7F26"/>
    <w:rsid w:val="002B0059"/>
    <w:rsid w:val="002B02DF"/>
    <w:rsid w:val="002B0455"/>
    <w:rsid w:val="002B0CBA"/>
    <w:rsid w:val="002B0F0C"/>
    <w:rsid w:val="002B1442"/>
    <w:rsid w:val="002B1A86"/>
    <w:rsid w:val="002B1AAC"/>
    <w:rsid w:val="002B1DA6"/>
    <w:rsid w:val="002B261C"/>
    <w:rsid w:val="002B2A62"/>
    <w:rsid w:val="002B2B75"/>
    <w:rsid w:val="002B2BEE"/>
    <w:rsid w:val="002B2C86"/>
    <w:rsid w:val="002B2D1A"/>
    <w:rsid w:val="002B336C"/>
    <w:rsid w:val="002B35C5"/>
    <w:rsid w:val="002B3935"/>
    <w:rsid w:val="002B3BD5"/>
    <w:rsid w:val="002B406A"/>
    <w:rsid w:val="002B41D4"/>
    <w:rsid w:val="002B4562"/>
    <w:rsid w:val="002B46E1"/>
    <w:rsid w:val="002B4D8B"/>
    <w:rsid w:val="002B533A"/>
    <w:rsid w:val="002B543F"/>
    <w:rsid w:val="002B58EE"/>
    <w:rsid w:val="002B5FB5"/>
    <w:rsid w:val="002B6165"/>
    <w:rsid w:val="002B6597"/>
    <w:rsid w:val="002B6F96"/>
    <w:rsid w:val="002B700A"/>
    <w:rsid w:val="002B7D73"/>
    <w:rsid w:val="002C00AB"/>
    <w:rsid w:val="002C066C"/>
    <w:rsid w:val="002C06E3"/>
    <w:rsid w:val="002C0801"/>
    <w:rsid w:val="002C0F22"/>
    <w:rsid w:val="002C145F"/>
    <w:rsid w:val="002C1B90"/>
    <w:rsid w:val="002C28D7"/>
    <w:rsid w:val="002C2A1B"/>
    <w:rsid w:val="002C2C0C"/>
    <w:rsid w:val="002C2F8F"/>
    <w:rsid w:val="002C3041"/>
    <w:rsid w:val="002C33B3"/>
    <w:rsid w:val="002C3506"/>
    <w:rsid w:val="002C3556"/>
    <w:rsid w:val="002C3745"/>
    <w:rsid w:val="002C3B50"/>
    <w:rsid w:val="002C40CD"/>
    <w:rsid w:val="002C44B0"/>
    <w:rsid w:val="002C45FC"/>
    <w:rsid w:val="002C4AEF"/>
    <w:rsid w:val="002C4E07"/>
    <w:rsid w:val="002C4F69"/>
    <w:rsid w:val="002C5207"/>
    <w:rsid w:val="002C5C61"/>
    <w:rsid w:val="002C5DFF"/>
    <w:rsid w:val="002C6084"/>
    <w:rsid w:val="002C6123"/>
    <w:rsid w:val="002C6520"/>
    <w:rsid w:val="002C69F8"/>
    <w:rsid w:val="002C7632"/>
    <w:rsid w:val="002D01D9"/>
    <w:rsid w:val="002D0586"/>
    <w:rsid w:val="002D0B0A"/>
    <w:rsid w:val="002D0EC9"/>
    <w:rsid w:val="002D1016"/>
    <w:rsid w:val="002D1023"/>
    <w:rsid w:val="002D1459"/>
    <w:rsid w:val="002D1470"/>
    <w:rsid w:val="002D149B"/>
    <w:rsid w:val="002D198F"/>
    <w:rsid w:val="002D1F7E"/>
    <w:rsid w:val="002D21CF"/>
    <w:rsid w:val="002D2246"/>
    <w:rsid w:val="002D243F"/>
    <w:rsid w:val="002D26D4"/>
    <w:rsid w:val="002D2B1B"/>
    <w:rsid w:val="002D3129"/>
    <w:rsid w:val="002D3BCB"/>
    <w:rsid w:val="002D3DB7"/>
    <w:rsid w:val="002D3E73"/>
    <w:rsid w:val="002D3F25"/>
    <w:rsid w:val="002D42B2"/>
    <w:rsid w:val="002D42FE"/>
    <w:rsid w:val="002D455F"/>
    <w:rsid w:val="002D4627"/>
    <w:rsid w:val="002D4705"/>
    <w:rsid w:val="002D4BC6"/>
    <w:rsid w:val="002D511E"/>
    <w:rsid w:val="002D53B3"/>
    <w:rsid w:val="002D552A"/>
    <w:rsid w:val="002D57BE"/>
    <w:rsid w:val="002D5965"/>
    <w:rsid w:val="002D5B65"/>
    <w:rsid w:val="002D5FE5"/>
    <w:rsid w:val="002D60B6"/>
    <w:rsid w:val="002D6396"/>
    <w:rsid w:val="002D65F7"/>
    <w:rsid w:val="002D6DB2"/>
    <w:rsid w:val="002D70BA"/>
    <w:rsid w:val="002D717B"/>
    <w:rsid w:val="002D764B"/>
    <w:rsid w:val="002D7D34"/>
    <w:rsid w:val="002D7E5E"/>
    <w:rsid w:val="002D7F19"/>
    <w:rsid w:val="002E07BA"/>
    <w:rsid w:val="002E07EF"/>
    <w:rsid w:val="002E0983"/>
    <w:rsid w:val="002E0A22"/>
    <w:rsid w:val="002E0D06"/>
    <w:rsid w:val="002E0E9B"/>
    <w:rsid w:val="002E1810"/>
    <w:rsid w:val="002E1E4F"/>
    <w:rsid w:val="002E222B"/>
    <w:rsid w:val="002E2235"/>
    <w:rsid w:val="002E23E8"/>
    <w:rsid w:val="002E2BFA"/>
    <w:rsid w:val="002E2CAB"/>
    <w:rsid w:val="002E34C9"/>
    <w:rsid w:val="002E43B0"/>
    <w:rsid w:val="002E43E0"/>
    <w:rsid w:val="002E4CB7"/>
    <w:rsid w:val="002E4D99"/>
    <w:rsid w:val="002E4E94"/>
    <w:rsid w:val="002E6757"/>
    <w:rsid w:val="002E685C"/>
    <w:rsid w:val="002E69FC"/>
    <w:rsid w:val="002E6D51"/>
    <w:rsid w:val="002E76E2"/>
    <w:rsid w:val="002E78D5"/>
    <w:rsid w:val="002F053D"/>
    <w:rsid w:val="002F0542"/>
    <w:rsid w:val="002F0B62"/>
    <w:rsid w:val="002F1065"/>
    <w:rsid w:val="002F10C2"/>
    <w:rsid w:val="002F1F28"/>
    <w:rsid w:val="002F2248"/>
    <w:rsid w:val="002F23E3"/>
    <w:rsid w:val="002F2D69"/>
    <w:rsid w:val="002F393B"/>
    <w:rsid w:val="002F3A62"/>
    <w:rsid w:val="002F3D25"/>
    <w:rsid w:val="002F42D2"/>
    <w:rsid w:val="002F43CA"/>
    <w:rsid w:val="002F484F"/>
    <w:rsid w:val="002F4A02"/>
    <w:rsid w:val="002F4D20"/>
    <w:rsid w:val="002F50F0"/>
    <w:rsid w:val="002F57AA"/>
    <w:rsid w:val="002F6153"/>
    <w:rsid w:val="002F618B"/>
    <w:rsid w:val="002F61AB"/>
    <w:rsid w:val="002F63AF"/>
    <w:rsid w:val="002F64C5"/>
    <w:rsid w:val="002F6503"/>
    <w:rsid w:val="002F658C"/>
    <w:rsid w:val="002F6EA9"/>
    <w:rsid w:val="002F6EF7"/>
    <w:rsid w:val="002F6F6E"/>
    <w:rsid w:val="002F70E7"/>
    <w:rsid w:val="002F714C"/>
    <w:rsid w:val="002F77BF"/>
    <w:rsid w:val="0030040E"/>
    <w:rsid w:val="003004A2"/>
    <w:rsid w:val="003004B3"/>
    <w:rsid w:val="003008DE"/>
    <w:rsid w:val="00300CB8"/>
    <w:rsid w:val="003013B2"/>
    <w:rsid w:val="00301E40"/>
    <w:rsid w:val="0030242D"/>
    <w:rsid w:val="003026E6"/>
    <w:rsid w:val="00303169"/>
    <w:rsid w:val="00303313"/>
    <w:rsid w:val="00303AED"/>
    <w:rsid w:val="00303CDF"/>
    <w:rsid w:val="00303DD5"/>
    <w:rsid w:val="00304484"/>
    <w:rsid w:val="00304A64"/>
    <w:rsid w:val="00304A90"/>
    <w:rsid w:val="00304EB8"/>
    <w:rsid w:val="00305701"/>
    <w:rsid w:val="003058B3"/>
    <w:rsid w:val="00305B00"/>
    <w:rsid w:val="003061E5"/>
    <w:rsid w:val="003063A2"/>
    <w:rsid w:val="00306641"/>
    <w:rsid w:val="00306B78"/>
    <w:rsid w:val="00306BD6"/>
    <w:rsid w:val="00306EE0"/>
    <w:rsid w:val="00307547"/>
    <w:rsid w:val="00307903"/>
    <w:rsid w:val="0030797B"/>
    <w:rsid w:val="00307B74"/>
    <w:rsid w:val="00307C2E"/>
    <w:rsid w:val="00307FC1"/>
    <w:rsid w:val="00310218"/>
    <w:rsid w:val="00310267"/>
    <w:rsid w:val="003105C3"/>
    <w:rsid w:val="00310764"/>
    <w:rsid w:val="00310B8F"/>
    <w:rsid w:val="00310E0B"/>
    <w:rsid w:val="00311266"/>
    <w:rsid w:val="003112D3"/>
    <w:rsid w:val="00311B40"/>
    <w:rsid w:val="00311BFD"/>
    <w:rsid w:val="00312522"/>
    <w:rsid w:val="00312F22"/>
    <w:rsid w:val="0031386E"/>
    <w:rsid w:val="0031417D"/>
    <w:rsid w:val="00314718"/>
    <w:rsid w:val="0031488A"/>
    <w:rsid w:val="00314DD2"/>
    <w:rsid w:val="003151B7"/>
    <w:rsid w:val="00315582"/>
    <w:rsid w:val="003157C0"/>
    <w:rsid w:val="00315A9A"/>
    <w:rsid w:val="00316406"/>
    <w:rsid w:val="003165E3"/>
    <w:rsid w:val="00316778"/>
    <w:rsid w:val="003169F1"/>
    <w:rsid w:val="00316B9E"/>
    <w:rsid w:val="00316E00"/>
    <w:rsid w:val="00316EA3"/>
    <w:rsid w:val="0031756F"/>
    <w:rsid w:val="003175E1"/>
    <w:rsid w:val="00320203"/>
    <w:rsid w:val="0032166C"/>
    <w:rsid w:val="00321BED"/>
    <w:rsid w:val="00322002"/>
    <w:rsid w:val="00322C7E"/>
    <w:rsid w:val="003232F0"/>
    <w:rsid w:val="00323644"/>
    <w:rsid w:val="00323C21"/>
    <w:rsid w:val="00323EFC"/>
    <w:rsid w:val="00324064"/>
    <w:rsid w:val="003247B0"/>
    <w:rsid w:val="003251C7"/>
    <w:rsid w:val="003252C5"/>
    <w:rsid w:val="0032531B"/>
    <w:rsid w:val="00325530"/>
    <w:rsid w:val="00325743"/>
    <w:rsid w:val="0032591B"/>
    <w:rsid w:val="00325E62"/>
    <w:rsid w:val="00325E81"/>
    <w:rsid w:val="00326742"/>
    <w:rsid w:val="00326948"/>
    <w:rsid w:val="00326CFB"/>
    <w:rsid w:val="00326D39"/>
    <w:rsid w:val="00327052"/>
    <w:rsid w:val="00327063"/>
    <w:rsid w:val="003272B1"/>
    <w:rsid w:val="00327677"/>
    <w:rsid w:val="00330822"/>
    <w:rsid w:val="00330FB3"/>
    <w:rsid w:val="00331412"/>
    <w:rsid w:val="00331774"/>
    <w:rsid w:val="00331953"/>
    <w:rsid w:val="00331A4A"/>
    <w:rsid w:val="00331C65"/>
    <w:rsid w:val="00331F50"/>
    <w:rsid w:val="003327EE"/>
    <w:rsid w:val="003331BC"/>
    <w:rsid w:val="0033328E"/>
    <w:rsid w:val="0033422B"/>
    <w:rsid w:val="0033434E"/>
    <w:rsid w:val="0033437E"/>
    <w:rsid w:val="003344D5"/>
    <w:rsid w:val="0033486D"/>
    <w:rsid w:val="00334A38"/>
    <w:rsid w:val="00335228"/>
    <w:rsid w:val="00335477"/>
    <w:rsid w:val="00335670"/>
    <w:rsid w:val="003358E3"/>
    <w:rsid w:val="003358EE"/>
    <w:rsid w:val="00336047"/>
    <w:rsid w:val="00336160"/>
    <w:rsid w:val="0033671B"/>
    <w:rsid w:val="003367C4"/>
    <w:rsid w:val="00336D8E"/>
    <w:rsid w:val="003376B3"/>
    <w:rsid w:val="003376BC"/>
    <w:rsid w:val="00337A5E"/>
    <w:rsid w:val="00337B1C"/>
    <w:rsid w:val="00337DD8"/>
    <w:rsid w:val="00337E0B"/>
    <w:rsid w:val="00340054"/>
    <w:rsid w:val="003400FB"/>
    <w:rsid w:val="003413E2"/>
    <w:rsid w:val="00341401"/>
    <w:rsid w:val="00341C43"/>
    <w:rsid w:val="00341CE8"/>
    <w:rsid w:val="00342279"/>
    <w:rsid w:val="00342C48"/>
    <w:rsid w:val="00342DBA"/>
    <w:rsid w:val="0034353C"/>
    <w:rsid w:val="0034379E"/>
    <w:rsid w:val="00343CC3"/>
    <w:rsid w:val="00343E96"/>
    <w:rsid w:val="00344CEA"/>
    <w:rsid w:val="003451E2"/>
    <w:rsid w:val="0034547C"/>
    <w:rsid w:val="0034592A"/>
    <w:rsid w:val="00345C75"/>
    <w:rsid w:val="00345F22"/>
    <w:rsid w:val="00345F9C"/>
    <w:rsid w:val="003461A0"/>
    <w:rsid w:val="00346710"/>
    <w:rsid w:val="0034722E"/>
    <w:rsid w:val="00347240"/>
    <w:rsid w:val="003475A2"/>
    <w:rsid w:val="00347776"/>
    <w:rsid w:val="003501FF"/>
    <w:rsid w:val="0035055B"/>
    <w:rsid w:val="00350A59"/>
    <w:rsid w:val="00350CF2"/>
    <w:rsid w:val="00351A91"/>
    <w:rsid w:val="00351BC5"/>
    <w:rsid w:val="003520C4"/>
    <w:rsid w:val="003531A6"/>
    <w:rsid w:val="003532A9"/>
    <w:rsid w:val="003533AE"/>
    <w:rsid w:val="00353685"/>
    <w:rsid w:val="0035369D"/>
    <w:rsid w:val="003537A8"/>
    <w:rsid w:val="00353AF9"/>
    <w:rsid w:val="00353F73"/>
    <w:rsid w:val="0035421E"/>
    <w:rsid w:val="00354AB5"/>
    <w:rsid w:val="00355E14"/>
    <w:rsid w:val="00355E1B"/>
    <w:rsid w:val="00355E3F"/>
    <w:rsid w:val="00355FFE"/>
    <w:rsid w:val="00356210"/>
    <w:rsid w:val="00356F8B"/>
    <w:rsid w:val="0035707B"/>
    <w:rsid w:val="003570C7"/>
    <w:rsid w:val="00357A6A"/>
    <w:rsid w:val="00357C5E"/>
    <w:rsid w:val="00357D45"/>
    <w:rsid w:val="00357E4A"/>
    <w:rsid w:val="00357EEE"/>
    <w:rsid w:val="00357FC1"/>
    <w:rsid w:val="00360793"/>
    <w:rsid w:val="003608BD"/>
    <w:rsid w:val="00360E89"/>
    <w:rsid w:val="00361280"/>
    <w:rsid w:val="00361348"/>
    <w:rsid w:val="003613A0"/>
    <w:rsid w:val="003615F1"/>
    <w:rsid w:val="0036165B"/>
    <w:rsid w:val="00361796"/>
    <w:rsid w:val="00361A6E"/>
    <w:rsid w:val="003625CB"/>
    <w:rsid w:val="003626AF"/>
    <w:rsid w:val="0036297F"/>
    <w:rsid w:val="0036315F"/>
    <w:rsid w:val="0036395A"/>
    <w:rsid w:val="00363CA4"/>
    <w:rsid w:val="00363D7F"/>
    <w:rsid w:val="0036438A"/>
    <w:rsid w:val="003643BA"/>
    <w:rsid w:val="00364716"/>
    <w:rsid w:val="00364BC9"/>
    <w:rsid w:val="00365561"/>
    <w:rsid w:val="00365A6A"/>
    <w:rsid w:val="00365C7B"/>
    <w:rsid w:val="00365FE9"/>
    <w:rsid w:val="00366541"/>
    <w:rsid w:val="0036655E"/>
    <w:rsid w:val="00366A54"/>
    <w:rsid w:val="0036732D"/>
    <w:rsid w:val="003673F5"/>
    <w:rsid w:val="0036746C"/>
    <w:rsid w:val="0036766F"/>
    <w:rsid w:val="00367C66"/>
    <w:rsid w:val="003700B2"/>
    <w:rsid w:val="00370AEC"/>
    <w:rsid w:val="00370D7D"/>
    <w:rsid w:val="0037105E"/>
    <w:rsid w:val="003715FD"/>
    <w:rsid w:val="003716B8"/>
    <w:rsid w:val="0037233D"/>
    <w:rsid w:val="00372AC5"/>
    <w:rsid w:val="00373124"/>
    <w:rsid w:val="003731CB"/>
    <w:rsid w:val="003736EF"/>
    <w:rsid w:val="003737E3"/>
    <w:rsid w:val="00373C93"/>
    <w:rsid w:val="00373E31"/>
    <w:rsid w:val="003740ED"/>
    <w:rsid w:val="00374118"/>
    <w:rsid w:val="0037420D"/>
    <w:rsid w:val="003750F6"/>
    <w:rsid w:val="00375464"/>
    <w:rsid w:val="003754E3"/>
    <w:rsid w:val="003755CE"/>
    <w:rsid w:val="00375D05"/>
    <w:rsid w:val="00375EF7"/>
    <w:rsid w:val="0037650F"/>
    <w:rsid w:val="00376B79"/>
    <w:rsid w:val="00376F9B"/>
    <w:rsid w:val="00376FE9"/>
    <w:rsid w:val="0037711B"/>
    <w:rsid w:val="00377465"/>
    <w:rsid w:val="0037796A"/>
    <w:rsid w:val="00377CAF"/>
    <w:rsid w:val="00380A1A"/>
    <w:rsid w:val="00380D80"/>
    <w:rsid w:val="00381353"/>
    <w:rsid w:val="003813BF"/>
    <w:rsid w:val="00381AD8"/>
    <w:rsid w:val="00381DDC"/>
    <w:rsid w:val="00381F9E"/>
    <w:rsid w:val="00382C4A"/>
    <w:rsid w:val="00382CC7"/>
    <w:rsid w:val="003838E0"/>
    <w:rsid w:val="00383A60"/>
    <w:rsid w:val="00383E3E"/>
    <w:rsid w:val="00384193"/>
    <w:rsid w:val="00384502"/>
    <w:rsid w:val="00384886"/>
    <w:rsid w:val="0038500E"/>
    <w:rsid w:val="00385274"/>
    <w:rsid w:val="003857CA"/>
    <w:rsid w:val="003858C8"/>
    <w:rsid w:val="00385F8C"/>
    <w:rsid w:val="003867F3"/>
    <w:rsid w:val="0038761D"/>
    <w:rsid w:val="00387670"/>
    <w:rsid w:val="003877AF"/>
    <w:rsid w:val="00387B65"/>
    <w:rsid w:val="00387F66"/>
    <w:rsid w:val="003902B9"/>
    <w:rsid w:val="003903D9"/>
    <w:rsid w:val="003906F8"/>
    <w:rsid w:val="003916CE"/>
    <w:rsid w:val="003917DE"/>
    <w:rsid w:val="00392323"/>
    <w:rsid w:val="00392BCB"/>
    <w:rsid w:val="00392D1F"/>
    <w:rsid w:val="00393040"/>
    <w:rsid w:val="0039342E"/>
    <w:rsid w:val="003935EE"/>
    <w:rsid w:val="00393AB5"/>
    <w:rsid w:val="00393C28"/>
    <w:rsid w:val="00393EE9"/>
    <w:rsid w:val="0039408A"/>
    <w:rsid w:val="00394382"/>
    <w:rsid w:val="003945F5"/>
    <w:rsid w:val="00394CB5"/>
    <w:rsid w:val="00394F56"/>
    <w:rsid w:val="00395ABE"/>
    <w:rsid w:val="00396103"/>
    <w:rsid w:val="003961FC"/>
    <w:rsid w:val="0039673D"/>
    <w:rsid w:val="003973E2"/>
    <w:rsid w:val="003975DA"/>
    <w:rsid w:val="00397893"/>
    <w:rsid w:val="003A0092"/>
    <w:rsid w:val="003A0539"/>
    <w:rsid w:val="003A08F4"/>
    <w:rsid w:val="003A0E4A"/>
    <w:rsid w:val="003A0ED7"/>
    <w:rsid w:val="003A0F98"/>
    <w:rsid w:val="003A10F7"/>
    <w:rsid w:val="003A11EA"/>
    <w:rsid w:val="003A157D"/>
    <w:rsid w:val="003A2407"/>
    <w:rsid w:val="003A2728"/>
    <w:rsid w:val="003A27EC"/>
    <w:rsid w:val="003A2C14"/>
    <w:rsid w:val="003A2CF0"/>
    <w:rsid w:val="003A33B0"/>
    <w:rsid w:val="003A33D3"/>
    <w:rsid w:val="003A3880"/>
    <w:rsid w:val="003A39A2"/>
    <w:rsid w:val="003A3ADE"/>
    <w:rsid w:val="003A3C94"/>
    <w:rsid w:val="003A42DA"/>
    <w:rsid w:val="003A44ED"/>
    <w:rsid w:val="003A475C"/>
    <w:rsid w:val="003A4AB6"/>
    <w:rsid w:val="003A4B52"/>
    <w:rsid w:val="003A4CAF"/>
    <w:rsid w:val="003A5A51"/>
    <w:rsid w:val="003A5BC5"/>
    <w:rsid w:val="003A5D55"/>
    <w:rsid w:val="003A6521"/>
    <w:rsid w:val="003A737B"/>
    <w:rsid w:val="003A74E7"/>
    <w:rsid w:val="003A75E6"/>
    <w:rsid w:val="003B00AC"/>
    <w:rsid w:val="003B0109"/>
    <w:rsid w:val="003B1490"/>
    <w:rsid w:val="003B1866"/>
    <w:rsid w:val="003B1F3F"/>
    <w:rsid w:val="003B1F92"/>
    <w:rsid w:val="003B245E"/>
    <w:rsid w:val="003B255B"/>
    <w:rsid w:val="003B263F"/>
    <w:rsid w:val="003B2AF9"/>
    <w:rsid w:val="003B2C54"/>
    <w:rsid w:val="003B30AA"/>
    <w:rsid w:val="003B3188"/>
    <w:rsid w:val="003B3317"/>
    <w:rsid w:val="003B3D9D"/>
    <w:rsid w:val="003B402D"/>
    <w:rsid w:val="003B46EB"/>
    <w:rsid w:val="003B4B2F"/>
    <w:rsid w:val="003B4C50"/>
    <w:rsid w:val="003B4DC1"/>
    <w:rsid w:val="003B52D4"/>
    <w:rsid w:val="003B5639"/>
    <w:rsid w:val="003B5793"/>
    <w:rsid w:val="003B5938"/>
    <w:rsid w:val="003B5CC4"/>
    <w:rsid w:val="003B65DB"/>
    <w:rsid w:val="003B7BD6"/>
    <w:rsid w:val="003B7DF0"/>
    <w:rsid w:val="003C07AD"/>
    <w:rsid w:val="003C0C98"/>
    <w:rsid w:val="003C11BF"/>
    <w:rsid w:val="003C16AA"/>
    <w:rsid w:val="003C1CA5"/>
    <w:rsid w:val="003C1EC7"/>
    <w:rsid w:val="003C2178"/>
    <w:rsid w:val="003C2731"/>
    <w:rsid w:val="003C37E8"/>
    <w:rsid w:val="003C3D8E"/>
    <w:rsid w:val="003C4862"/>
    <w:rsid w:val="003C487A"/>
    <w:rsid w:val="003C5305"/>
    <w:rsid w:val="003C5E61"/>
    <w:rsid w:val="003C64A0"/>
    <w:rsid w:val="003C6778"/>
    <w:rsid w:val="003C6F0B"/>
    <w:rsid w:val="003C729D"/>
    <w:rsid w:val="003C72FE"/>
    <w:rsid w:val="003C770B"/>
    <w:rsid w:val="003C7BA3"/>
    <w:rsid w:val="003D06B5"/>
    <w:rsid w:val="003D110E"/>
    <w:rsid w:val="003D13A7"/>
    <w:rsid w:val="003D148D"/>
    <w:rsid w:val="003D3642"/>
    <w:rsid w:val="003D3843"/>
    <w:rsid w:val="003D3968"/>
    <w:rsid w:val="003D3E70"/>
    <w:rsid w:val="003D3EFB"/>
    <w:rsid w:val="003D45AB"/>
    <w:rsid w:val="003D47EE"/>
    <w:rsid w:val="003D4852"/>
    <w:rsid w:val="003D499E"/>
    <w:rsid w:val="003D4E9C"/>
    <w:rsid w:val="003D5D96"/>
    <w:rsid w:val="003D5EE8"/>
    <w:rsid w:val="003D626B"/>
    <w:rsid w:val="003D724B"/>
    <w:rsid w:val="003D748D"/>
    <w:rsid w:val="003D7946"/>
    <w:rsid w:val="003D79A0"/>
    <w:rsid w:val="003E01EF"/>
    <w:rsid w:val="003E044C"/>
    <w:rsid w:val="003E0761"/>
    <w:rsid w:val="003E090F"/>
    <w:rsid w:val="003E0D78"/>
    <w:rsid w:val="003E11DD"/>
    <w:rsid w:val="003E1296"/>
    <w:rsid w:val="003E1CB1"/>
    <w:rsid w:val="003E2B7A"/>
    <w:rsid w:val="003E2D2D"/>
    <w:rsid w:val="003E2FDC"/>
    <w:rsid w:val="003E3589"/>
    <w:rsid w:val="003E3602"/>
    <w:rsid w:val="003E3913"/>
    <w:rsid w:val="003E3A1D"/>
    <w:rsid w:val="003E418D"/>
    <w:rsid w:val="003E4B7B"/>
    <w:rsid w:val="003E5971"/>
    <w:rsid w:val="003E5D02"/>
    <w:rsid w:val="003E6114"/>
    <w:rsid w:val="003E6222"/>
    <w:rsid w:val="003E69DC"/>
    <w:rsid w:val="003E6CA0"/>
    <w:rsid w:val="003E733D"/>
    <w:rsid w:val="003E7413"/>
    <w:rsid w:val="003E76CD"/>
    <w:rsid w:val="003E77D7"/>
    <w:rsid w:val="003E7CF9"/>
    <w:rsid w:val="003F029C"/>
    <w:rsid w:val="003F0548"/>
    <w:rsid w:val="003F082F"/>
    <w:rsid w:val="003F13C7"/>
    <w:rsid w:val="003F1BC0"/>
    <w:rsid w:val="003F1D61"/>
    <w:rsid w:val="003F1F41"/>
    <w:rsid w:val="003F2213"/>
    <w:rsid w:val="003F2805"/>
    <w:rsid w:val="003F2FDE"/>
    <w:rsid w:val="003F300F"/>
    <w:rsid w:val="003F3124"/>
    <w:rsid w:val="003F330B"/>
    <w:rsid w:val="003F3894"/>
    <w:rsid w:val="003F4B4F"/>
    <w:rsid w:val="003F4EA2"/>
    <w:rsid w:val="003F5063"/>
    <w:rsid w:val="003F51DC"/>
    <w:rsid w:val="003F54AB"/>
    <w:rsid w:val="003F5921"/>
    <w:rsid w:val="003F5C58"/>
    <w:rsid w:val="003F5C96"/>
    <w:rsid w:val="003F6156"/>
    <w:rsid w:val="003F6218"/>
    <w:rsid w:val="003F645D"/>
    <w:rsid w:val="003F6E0C"/>
    <w:rsid w:val="003F6F1F"/>
    <w:rsid w:val="003F6FDF"/>
    <w:rsid w:val="003F7523"/>
    <w:rsid w:val="003F7C52"/>
    <w:rsid w:val="003F7E89"/>
    <w:rsid w:val="003F7F82"/>
    <w:rsid w:val="00400225"/>
    <w:rsid w:val="0040080B"/>
    <w:rsid w:val="00400A99"/>
    <w:rsid w:val="004016F5"/>
    <w:rsid w:val="00401EBA"/>
    <w:rsid w:val="00402835"/>
    <w:rsid w:val="00402C2D"/>
    <w:rsid w:val="00402CEE"/>
    <w:rsid w:val="0040307A"/>
    <w:rsid w:val="00403AAB"/>
    <w:rsid w:val="00403DE9"/>
    <w:rsid w:val="004044F1"/>
    <w:rsid w:val="004045AA"/>
    <w:rsid w:val="00404F15"/>
    <w:rsid w:val="00404F91"/>
    <w:rsid w:val="00404FDF"/>
    <w:rsid w:val="00405172"/>
    <w:rsid w:val="00405221"/>
    <w:rsid w:val="004053C8"/>
    <w:rsid w:val="0040549A"/>
    <w:rsid w:val="0040557F"/>
    <w:rsid w:val="00405907"/>
    <w:rsid w:val="00405B6C"/>
    <w:rsid w:val="00405B89"/>
    <w:rsid w:val="00405CC9"/>
    <w:rsid w:val="00405EA4"/>
    <w:rsid w:val="00406576"/>
    <w:rsid w:val="004065DA"/>
    <w:rsid w:val="00406C89"/>
    <w:rsid w:val="0040711E"/>
    <w:rsid w:val="00407535"/>
    <w:rsid w:val="0040782E"/>
    <w:rsid w:val="00407D67"/>
    <w:rsid w:val="00407EE4"/>
    <w:rsid w:val="004101D9"/>
    <w:rsid w:val="00410449"/>
    <w:rsid w:val="00410A87"/>
    <w:rsid w:val="00411C90"/>
    <w:rsid w:val="00412450"/>
    <w:rsid w:val="00412622"/>
    <w:rsid w:val="00412E30"/>
    <w:rsid w:val="004134AA"/>
    <w:rsid w:val="004138DE"/>
    <w:rsid w:val="00413B39"/>
    <w:rsid w:val="00414B2F"/>
    <w:rsid w:val="00414D35"/>
    <w:rsid w:val="00415A73"/>
    <w:rsid w:val="00415D4E"/>
    <w:rsid w:val="00415E58"/>
    <w:rsid w:val="00415EF3"/>
    <w:rsid w:val="004160B9"/>
    <w:rsid w:val="00416231"/>
    <w:rsid w:val="00416250"/>
    <w:rsid w:val="00416469"/>
    <w:rsid w:val="0041655C"/>
    <w:rsid w:val="00416671"/>
    <w:rsid w:val="00416B4C"/>
    <w:rsid w:val="004173BA"/>
    <w:rsid w:val="00417B50"/>
    <w:rsid w:val="00417E97"/>
    <w:rsid w:val="004207CA"/>
    <w:rsid w:val="004208AB"/>
    <w:rsid w:val="00420E2C"/>
    <w:rsid w:val="0042171B"/>
    <w:rsid w:val="004219EF"/>
    <w:rsid w:val="00421A72"/>
    <w:rsid w:val="004221B8"/>
    <w:rsid w:val="00422227"/>
    <w:rsid w:val="004224D2"/>
    <w:rsid w:val="00422D85"/>
    <w:rsid w:val="004231CD"/>
    <w:rsid w:val="0042387D"/>
    <w:rsid w:val="00423D27"/>
    <w:rsid w:val="00423EF2"/>
    <w:rsid w:val="00424348"/>
    <w:rsid w:val="004246F6"/>
    <w:rsid w:val="00424A05"/>
    <w:rsid w:val="00425123"/>
    <w:rsid w:val="0042513E"/>
    <w:rsid w:val="00426117"/>
    <w:rsid w:val="004264C3"/>
    <w:rsid w:val="004266BC"/>
    <w:rsid w:val="00426AC7"/>
    <w:rsid w:val="00426CD9"/>
    <w:rsid w:val="0042737D"/>
    <w:rsid w:val="00427BD1"/>
    <w:rsid w:val="00430091"/>
    <w:rsid w:val="004302B0"/>
    <w:rsid w:val="00430CA7"/>
    <w:rsid w:val="00430FEA"/>
    <w:rsid w:val="00430FEB"/>
    <w:rsid w:val="004310EE"/>
    <w:rsid w:val="00431473"/>
    <w:rsid w:val="00432182"/>
    <w:rsid w:val="004325DA"/>
    <w:rsid w:val="00432CD4"/>
    <w:rsid w:val="00433677"/>
    <w:rsid w:val="0043379E"/>
    <w:rsid w:val="00433E9C"/>
    <w:rsid w:val="004340D5"/>
    <w:rsid w:val="00434472"/>
    <w:rsid w:val="004345D5"/>
    <w:rsid w:val="00434880"/>
    <w:rsid w:val="00434A21"/>
    <w:rsid w:val="0043526D"/>
    <w:rsid w:val="0043531B"/>
    <w:rsid w:val="00436751"/>
    <w:rsid w:val="00436A81"/>
    <w:rsid w:val="00436AB2"/>
    <w:rsid w:val="00436C1D"/>
    <w:rsid w:val="00436C57"/>
    <w:rsid w:val="00436CF8"/>
    <w:rsid w:val="00436DA2"/>
    <w:rsid w:val="00436DE2"/>
    <w:rsid w:val="00436E85"/>
    <w:rsid w:val="00436E90"/>
    <w:rsid w:val="00436FD4"/>
    <w:rsid w:val="004376A1"/>
    <w:rsid w:val="00437E6A"/>
    <w:rsid w:val="004407BA"/>
    <w:rsid w:val="00440E61"/>
    <w:rsid w:val="00440F80"/>
    <w:rsid w:val="00441289"/>
    <w:rsid w:val="004412C7"/>
    <w:rsid w:val="0044244D"/>
    <w:rsid w:val="00442ECE"/>
    <w:rsid w:val="004431A3"/>
    <w:rsid w:val="004438EA"/>
    <w:rsid w:val="00444834"/>
    <w:rsid w:val="004448D5"/>
    <w:rsid w:val="0044555E"/>
    <w:rsid w:val="00445650"/>
    <w:rsid w:val="00445A29"/>
    <w:rsid w:val="0044601A"/>
    <w:rsid w:val="004460E9"/>
    <w:rsid w:val="004462AE"/>
    <w:rsid w:val="0044685A"/>
    <w:rsid w:val="004470A3"/>
    <w:rsid w:val="00447451"/>
    <w:rsid w:val="00447A00"/>
    <w:rsid w:val="00447B6F"/>
    <w:rsid w:val="00447B82"/>
    <w:rsid w:val="00450577"/>
    <w:rsid w:val="0045092E"/>
    <w:rsid w:val="00450E29"/>
    <w:rsid w:val="00452269"/>
    <w:rsid w:val="00452B0E"/>
    <w:rsid w:val="00452DA0"/>
    <w:rsid w:val="00452F9A"/>
    <w:rsid w:val="00453623"/>
    <w:rsid w:val="00453C11"/>
    <w:rsid w:val="00454342"/>
    <w:rsid w:val="004557B0"/>
    <w:rsid w:val="00455C3C"/>
    <w:rsid w:val="00455EDB"/>
    <w:rsid w:val="004576C9"/>
    <w:rsid w:val="004576F6"/>
    <w:rsid w:val="00457751"/>
    <w:rsid w:val="00457946"/>
    <w:rsid w:val="00457D4C"/>
    <w:rsid w:val="00457D8B"/>
    <w:rsid w:val="0046021D"/>
    <w:rsid w:val="00460A17"/>
    <w:rsid w:val="00460A2D"/>
    <w:rsid w:val="00460EED"/>
    <w:rsid w:val="0046120A"/>
    <w:rsid w:val="00461A39"/>
    <w:rsid w:val="00462663"/>
    <w:rsid w:val="004626C7"/>
    <w:rsid w:val="00462F79"/>
    <w:rsid w:val="00463438"/>
    <w:rsid w:val="0046368C"/>
    <w:rsid w:val="00463ECE"/>
    <w:rsid w:val="00464CA2"/>
    <w:rsid w:val="004651AB"/>
    <w:rsid w:val="00465388"/>
    <w:rsid w:val="00465403"/>
    <w:rsid w:val="00465566"/>
    <w:rsid w:val="00465CF3"/>
    <w:rsid w:val="00465E85"/>
    <w:rsid w:val="004677C9"/>
    <w:rsid w:val="00470058"/>
    <w:rsid w:val="004701B6"/>
    <w:rsid w:val="004702DF"/>
    <w:rsid w:val="00470380"/>
    <w:rsid w:val="00470593"/>
    <w:rsid w:val="00470B15"/>
    <w:rsid w:val="00470CB5"/>
    <w:rsid w:val="00470FD0"/>
    <w:rsid w:val="0047114C"/>
    <w:rsid w:val="0047120E"/>
    <w:rsid w:val="00471B15"/>
    <w:rsid w:val="00471BDF"/>
    <w:rsid w:val="00471EAB"/>
    <w:rsid w:val="004723EE"/>
    <w:rsid w:val="00472A22"/>
    <w:rsid w:val="00472A28"/>
    <w:rsid w:val="00472A4B"/>
    <w:rsid w:val="004731AE"/>
    <w:rsid w:val="0047328E"/>
    <w:rsid w:val="00473502"/>
    <w:rsid w:val="0047384A"/>
    <w:rsid w:val="004749BB"/>
    <w:rsid w:val="004753D7"/>
    <w:rsid w:val="00475611"/>
    <w:rsid w:val="00475A92"/>
    <w:rsid w:val="00475BE2"/>
    <w:rsid w:val="00475D8D"/>
    <w:rsid w:val="00475DC9"/>
    <w:rsid w:val="004763CE"/>
    <w:rsid w:val="0047647E"/>
    <w:rsid w:val="004767EF"/>
    <w:rsid w:val="00477382"/>
    <w:rsid w:val="00477BB9"/>
    <w:rsid w:val="00480325"/>
    <w:rsid w:val="004804FF"/>
    <w:rsid w:val="00480FD1"/>
    <w:rsid w:val="0048110A"/>
    <w:rsid w:val="004812B7"/>
    <w:rsid w:val="0048187A"/>
    <w:rsid w:val="0048246B"/>
    <w:rsid w:val="00482DA2"/>
    <w:rsid w:val="00482F60"/>
    <w:rsid w:val="0048307E"/>
    <w:rsid w:val="00483736"/>
    <w:rsid w:val="00483C0A"/>
    <w:rsid w:val="00483D89"/>
    <w:rsid w:val="00484A48"/>
    <w:rsid w:val="004855A9"/>
    <w:rsid w:val="004859EE"/>
    <w:rsid w:val="004860ED"/>
    <w:rsid w:val="00487366"/>
    <w:rsid w:val="004873E4"/>
    <w:rsid w:val="00487BBC"/>
    <w:rsid w:val="00490465"/>
    <w:rsid w:val="0049072C"/>
    <w:rsid w:val="00490FD1"/>
    <w:rsid w:val="0049119C"/>
    <w:rsid w:val="0049144C"/>
    <w:rsid w:val="004915F2"/>
    <w:rsid w:val="00491AD2"/>
    <w:rsid w:val="00491BD3"/>
    <w:rsid w:val="00491D92"/>
    <w:rsid w:val="0049205C"/>
    <w:rsid w:val="004920BB"/>
    <w:rsid w:val="0049286F"/>
    <w:rsid w:val="00492C4C"/>
    <w:rsid w:val="00493180"/>
    <w:rsid w:val="00493474"/>
    <w:rsid w:val="004935C0"/>
    <w:rsid w:val="004939BB"/>
    <w:rsid w:val="00493B43"/>
    <w:rsid w:val="00493DCF"/>
    <w:rsid w:val="00493F14"/>
    <w:rsid w:val="004940AD"/>
    <w:rsid w:val="00494EB1"/>
    <w:rsid w:val="00495C7F"/>
    <w:rsid w:val="0049616E"/>
    <w:rsid w:val="00496414"/>
    <w:rsid w:val="00496452"/>
    <w:rsid w:val="004964F5"/>
    <w:rsid w:val="00496FA6"/>
    <w:rsid w:val="0049785A"/>
    <w:rsid w:val="00497A38"/>
    <w:rsid w:val="00497D04"/>
    <w:rsid w:val="004A10EA"/>
    <w:rsid w:val="004A15DB"/>
    <w:rsid w:val="004A167C"/>
    <w:rsid w:val="004A1C65"/>
    <w:rsid w:val="004A1CE4"/>
    <w:rsid w:val="004A2414"/>
    <w:rsid w:val="004A2DF7"/>
    <w:rsid w:val="004A359B"/>
    <w:rsid w:val="004A36B3"/>
    <w:rsid w:val="004A3A6D"/>
    <w:rsid w:val="004A45BD"/>
    <w:rsid w:val="004A4656"/>
    <w:rsid w:val="004A470C"/>
    <w:rsid w:val="004A49C0"/>
    <w:rsid w:val="004A4D4B"/>
    <w:rsid w:val="004A5651"/>
    <w:rsid w:val="004A6522"/>
    <w:rsid w:val="004A6AE1"/>
    <w:rsid w:val="004A6D8B"/>
    <w:rsid w:val="004A77B0"/>
    <w:rsid w:val="004A7F5A"/>
    <w:rsid w:val="004B006A"/>
    <w:rsid w:val="004B08A9"/>
    <w:rsid w:val="004B1856"/>
    <w:rsid w:val="004B1CED"/>
    <w:rsid w:val="004B1CF5"/>
    <w:rsid w:val="004B22EC"/>
    <w:rsid w:val="004B2BA7"/>
    <w:rsid w:val="004B2E2F"/>
    <w:rsid w:val="004B330C"/>
    <w:rsid w:val="004B3371"/>
    <w:rsid w:val="004B3452"/>
    <w:rsid w:val="004B34A7"/>
    <w:rsid w:val="004B373A"/>
    <w:rsid w:val="004B38E7"/>
    <w:rsid w:val="004B3B06"/>
    <w:rsid w:val="004B3CD3"/>
    <w:rsid w:val="004B3ED5"/>
    <w:rsid w:val="004B3F57"/>
    <w:rsid w:val="004B420D"/>
    <w:rsid w:val="004B4235"/>
    <w:rsid w:val="004B4643"/>
    <w:rsid w:val="004B4752"/>
    <w:rsid w:val="004B4840"/>
    <w:rsid w:val="004B4A0A"/>
    <w:rsid w:val="004B59D5"/>
    <w:rsid w:val="004B5BB6"/>
    <w:rsid w:val="004B706B"/>
    <w:rsid w:val="004B7139"/>
    <w:rsid w:val="004B7AE7"/>
    <w:rsid w:val="004B7F67"/>
    <w:rsid w:val="004B7FBD"/>
    <w:rsid w:val="004C03F0"/>
    <w:rsid w:val="004C06BE"/>
    <w:rsid w:val="004C087F"/>
    <w:rsid w:val="004C0938"/>
    <w:rsid w:val="004C1111"/>
    <w:rsid w:val="004C12D3"/>
    <w:rsid w:val="004C17B0"/>
    <w:rsid w:val="004C1994"/>
    <w:rsid w:val="004C1DB4"/>
    <w:rsid w:val="004C256C"/>
    <w:rsid w:val="004C2D13"/>
    <w:rsid w:val="004C2DDF"/>
    <w:rsid w:val="004C3059"/>
    <w:rsid w:val="004C30A0"/>
    <w:rsid w:val="004C312B"/>
    <w:rsid w:val="004C4588"/>
    <w:rsid w:val="004C4B9F"/>
    <w:rsid w:val="004C4C69"/>
    <w:rsid w:val="004C5149"/>
    <w:rsid w:val="004C70FC"/>
    <w:rsid w:val="004C775C"/>
    <w:rsid w:val="004C78A6"/>
    <w:rsid w:val="004C7DF6"/>
    <w:rsid w:val="004D022C"/>
    <w:rsid w:val="004D061A"/>
    <w:rsid w:val="004D1926"/>
    <w:rsid w:val="004D1DF8"/>
    <w:rsid w:val="004D1EE6"/>
    <w:rsid w:val="004D2675"/>
    <w:rsid w:val="004D2C95"/>
    <w:rsid w:val="004D3F6C"/>
    <w:rsid w:val="004D4080"/>
    <w:rsid w:val="004D4729"/>
    <w:rsid w:val="004D47D0"/>
    <w:rsid w:val="004D5DD3"/>
    <w:rsid w:val="004D623D"/>
    <w:rsid w:val="004D6966"/>
    <w:rsid w:val="004D6B67"/>
    <w:rsid w:val="004D7539"/>
    <w:rsid w:val="004D76C8"/>
    <w:rsid w:val="004E033B"/>
    <w:rsid w:val="004E05FD"/>
    <w:rsid w:val="004E105D"/>
    <w:rsid w:val="004E183D"/>
    <w:rsid w:val="004E1875"/>
    <w:rsid w:val="004E188A"/>
    <w:rsid w:val="004E18EA"/>
    <w:rsid w:val="004E1A0D"/>
    <w:rsid w:val="004E23F5"/>
    <w:rsid w:val="004E245D"/>
    <w:rsid w:val="004E2B01"/>
    <w:rsid w:val="004E3156"/>
    <w:rsid w:val="004E3E22"/>
    <w:rsid w:val="004E5189"/>
    <w:rsid w:val="004E5418"/>
    <w:rsid w:val="004E5605"/>
    <w:rsid w:val="004E5DE1"/>
    <w:rsid w:val="004E63E5"/>
    <w:rsid w:val="004E65CD"/>
    <w:rsid w:val="004E6671"/>
    <w:rsid w:val="004E6A47"/>
    <w:rsid w:val="004E6B52"/>
    <w:rsid w:val="004E6B76"/>
    <w:rsid w:val="004E6DCD"/>
    <w:rsid w:val="004E7454"/>
    <w:rsid w:val="004E7FA3"/>
    <w:rsid w:val="004F03E0"/>
    <w:rsid w:val="004F063F"/>
    <w:rsid w:val="004F0882"/>
    <w:rsid w:val="004F0F80"/>
    <w:rsid w:val="004F11E6"/>
    <w:rsid w:val="004F120A"/>
    <w:rsid w:val="004F1437"/>
    <w:rsid w:val="004F1550"/>
    <w:rsid w:val="004F1E52"/>
    <w:rsid w:val="004F294E"/>
    <w:rsid w:val="004F2AFF"/>
    <w:rsid w:val="004F2C31"/>
    <w:rsid w:val="004F2C97"/>
    <w:rsid w:val="004F3540"/>
    <w:rsid w:val="004F384F"/>
    <w:rsid w:val="004F40D3"/>
    <w:rsid w:val="004F4327"/>
    <w:rsid w:val="004F436B"/>
    <w:rsid w:val="004F4393"/>
    <w:rsid w:val="004F4897"/>
    <w:rsid w:val="004F4934"/>
    <w:rsid w:val="004F4B0C"/>
    <w:rsid w:val="004F50E8"/>
    <w:rsid w:val="004F52DB"/>
    <w:rsid w:val="004F53DB"/>
    <w:rsid w:val="004F55C7"/>
    <w:rsid w:val="004F55DF"/>
    <w:rsid w:val="004F5624"/>
    <w:rsid w:val="004F5DA4"/>
    <w:rsid w:val="004F5E20"/>
    <w:rsid w:val="004F5E31"/>
    <w:rsid w:val="004F5E48"/>
    <w:rsid w:val="004F62B2"/>
    <w:rsid w:val="004F6424"/>
    <w:rsid w:val="004F64C8"/>
    <w:rsid w:val="004F675B"/>
    <w:rsid w:val="004F68B5"/>
    <w:rsid w:val="004F6C0E"/>
    <w:rsid w:val="004F7716"/>
    <w:rsid w:val="004F7CC4"/>
    <w:rsid w:val="0050031F"/>
    <w:rsid w:val="00500D32"/>
    <w:rsid w:val="00501108"/>
    <w:rsid w:val="005014A4"/>
    <w:rsid w:val="0050180A"/>
    <w:rsid w:val="0050191B"/>
    <w:rsid w:val="005021B2"/>
    <w:rsid w:val="00502BDF"/>
    <w:rsid w:val="00502C1C"/>
    <w:rsid w:val="00503106"/>
    <w:rsid w:val="00503B7C"/>
    <w:rsid w:val="00503F5A"/>
    <w:rsid w:val="005040CD"/>
    <w:rsid w:val="00504229"/>
    <w:rsid w:val="00504A55"/>
    <w:rsid w:val="00504F7F"/>
    <w:rsid w:val="00505229"/>
    <w:rsid w:val="0050523F"/>
    <w:rsid w:val="00506D80"/>
    <w:rsid w:val="0050750F"/>
    <w:rsid w:val="00507661"/>
    <w:rsid w:val="00507F98"/>
    <w:rsid w:val="0051025C"/>
    <w:rsid w:val="005108A3"/>
    <w:rsid w:val="00510CB2"/>
    <w:rsid w:val="00510DB5"/>
    <w:rsid w:val="00510F6E"/>
    <w:rsid w:val="00511013"/>
    <w:rsid w:val="00511422"/>
    <w:rsid w:val="005118AE"/>
    <w:rsid w:val="00511BAF"/>
    <w:rsid w:val="0051212F"/>
    <w:rsid w:val="005124B5"/>
    <w:rsid w:val="005124F7"/>
    <w:rsid w:val="00513653"/>
    <w:rsid w:val="00513A77"/>
    <w:rsid w:val="00514B17"/>
    <w:rsid w:val="00514EC0"/>
    <w:rsid w:val="005150D8"/>
    <w:rsid w:val="00515414"/>
    <w:rsid w:val="0051587A"/>
    <w:rsid w:val="005158FA"/>
    <w:rsid w:val="00515BE8"/>
    <w:rsid w:val="00515DA8"/>
    <w:rsid w:val="00516041"/>
    <w:rsid w:val="005169A4"/>
    <w:rsid w:val="005169AD"/>
    <w:rsid w:val="00516A90"/>
    <w:rsid w:val="00516B28"/>
    <w:rsid w:val="00517232"/>
    <w:rsid w:val="00520439"/>
    <w:rsid w:val="00520513"/>
    <w:rsid w:val="005208B9"/>
    <w:rsid w:val="00520981"/>
    <w:rsid w:val="00520DAA"/>
    <w:rsid w:val="00520EF1"/>
    <w:rsid w:val="005221F0"/>
    <w:rsid w:val="0052284C"/>
    <w:rsid w:val="00522874"/>
    <w:rsid w:val="0052293B"/>
    <w:rsid w:val="005240E3"/>
    <w:rsid w:val="00524807"/>
    <w:rsid w:val="00524E8B"/>
    <w:rsid w:val="00524F64"/>
    <w:rsid w:val="005252FE"/>
    <w:rsid w:val="005257A1"/>
    <w:rsid w:val="00525854"/>
    <w:rsid w:val="005258FF"/>
    <w:rsid w:val="00525B3A"/>
    <w:rsid w:val="00525B74"/>
    <w:rsid w:val="00525FF9"/>
    <w:rsid w:val="005263A7"/>
    <w:rsid w:val="00526700"/>
    <w:rsid w:val="00526C95"/>
    <w:rsid w:val="0052718A"/>
    <w:rsid w:val="00527234"/>
    <w:rsid w:val="005276B4"/>
    <w:rsid w:val="00530240"/>
    <w:rsid w:val="00530B11"/>
    <w:rsid w:val="00530FE7"/>
    <w:rsid w:val="005326D2"/>
    <w:rsid w:val="00532701"/>
    <w:rsid w:val="00532C41"/>
    <w:rsid w:val="00532D3F"/>
    <w:rsid w:val="00532DD4"/>
    <w:rsid w:val="00533200"/>
    <w:rsid w:val="0053386D"/>
    <w:rsid w:val="00533884"/>
    <w:rsid w:val="005338A0"/>
    <w:rsid w:val="0053391C"/>
    <w:rsid w:val="00533B1F"/>
    <w:rsid w:val="00533CDF"/>
    <w:rsid w:val="00534000"/>
    <w:rsid w:val="005342B6"/>
    <w:rsid w:val="00534506"/>
    <w:rsid w:val="00534700"/>
    <w:rsid w:val="00534A40"/>
    <w:rsid w:val="00534D87"/>
    <w:rsid w:val="00534FE1"/>
    <w:rsid w:val="0053579A"/>
    <w:rsid w:val="00535884"/>
    <w:rsid w:val="00535BAA"/>
    <w:rsid w:val="00535F2B"/>
    <w:rsid w:val="00536776"/>
    <w:rsid w:val="00536805"/>
    <w:rsid w:val="0053689D"/>
    <w:rsid w:val="00536EA6"/>
    <w:rsid w:val="00536F8C"/>
    <w:rsid w:val="00537753"/>
    <w:rsid w:val="0053791F"/>
    <w:rsid w:val="00537CEB"/>
    <w:rsid w:val="00537D04"/>
    <w:rsid w:val="00541503"/>
    <w:rsid w:val="005420C2"/>
    <w:rsid w:val="00542455"/>
    <w:rsid w:val="00542550"/>
    <w:rsid w:val="00542974"/>
    <w:rsid w:val="00542D2A"/>
    <w:rsid w:val="00543265"/>
    <w:rsid w:val="0054346A"/>
    <w:rsid w:val="005440D0"/>
    <w:rsid w:val="00544385"/>
    <w:rsid w:val="0054455E"/>
    <w:rsid w:val="00544CB4"/>
    <w:rsid w:val="0054548B"/>
    <w:rsid w:val="005457CD"/>
    <w:rsid w:val="005457DA"/>
    <w:rsid w:val="005457E5"/>
    <w:rsid w:val="00545928"/>
    <w:rsid w:val="00545F1A"/>
    <w:rsid w:val="0054608D"/>
    <w:rsid w:val="00546113"/>
    <w:rsid w:val="0054645F"/>
    <w:rsid w:val="00546622"/>
    <w:rsid w:val="00546742"/>
    <w:rsid w:val="005469E5"/>
    <w:rsid w:val="005469EB"/>
    <w:rsid w:val="00546A0F"/>
    <w:rsid w:val="00546A9B"/>
    <w:rsid w:val="00546D6E"/>
    <w:rsid w:val="00547071"/>
    <w:rsid w:val="005470C7"/>
    <w:rsid w:val="00547538"/>
    <w:rsid w:val="0054783B"/>
    <w:rsid w:val="00547A17"/>
    <w:rsid w:val="00547D94"/>
    <w:rsid w:val="005503EF"/>
    <w:rsid w:val="005509FF"/>
    <w:rsid w:val="00550E1A"/>
    <w:rsid w:val="00550F46"/>
    <w:rsid w:val="0055117D"/>
    <w:rsid w:val="005516B8"/>
    <w:rsid w:val="00551DBA"/>
    <w:rsid w:val="00551FBA"/>
    <w:rsid w:val="005523D1"/>
    <w:rsid w:val="00552679"/>
    <w:rsid w:val="00552A80"/>
    <w:rsid w:val="00552BA4"/>
    <w:rsid w:val="00552DB6"/>
    <w:rsid w:val="00552DE9"/>
    <w:rsid w:val="00553266"/>
    <w:rsid w:val="00553A2D"/>
    <w:rsid w:val="00553A5E"/>
    <w:rsid w:val="00553BFA"/>
    <w:rsid w:val="005542BD"/>
    <w:rsid w:val="00554B9D"/>
    <w:rsid w:val="00554C88"/>
    <w:rsid w:val="00554D05"/>
    <w:rsid w:val="00555852"/>
    <w:rsid w:val="0055596B"/>
    <w:rsid w:val="00555AC2"/>
    <w:rsid w:val="00555B7C"/>
    <w:rsid w:val="00556857"/>
    <w:rsid w:val="00556C2A"/>
    <w:rsid w:val="005570F1"/>
    <w:rsid w:val="005573D4"/>
    <w:rsid w:val="005574AA"/>
    <w:rsid w:val="00557544"/>
    <w:rsid w:val="0055799A"/>
    <w:rsid w:val="00557AB2"/>
    <w:rsid w:val="0056049D"/>
    <w:rsid w:val="0056077E"/>
    <w:rsid w:val="00560827"/>
    <w:rsid w:val="00560E8F"/>
    <w:rsid w:val="00560EDA"/>
    <w:rsid w:val="00561213"/>
    <w:rsid w:val="00561BB3"/>
    <w:rsid w:val="005620F7"/>
    <w:rsid w:val="0056245D"/>
    <w:rsid w:val="00562550"/>
    <w:rsid w:val="005625AA"/>
    <w:rsid w:val="005629B3"/>
    <w:rsid w:val="005629EE"/>
    <w:rsid w:val="00562A5A"/>
    <w:rsid w:val="00562B55"/>
    <w:rsid w:val="005631BC"/>
    <w:rsid w:val="0056341D"/>
    <w:rsid w:val="005638B7"/>
    <w:rsid w:val="00563BB0"/>
    <w:rsid w:val="00563F11"/>
    <w:rsid w:val="0056408E"/>
    <w:rsid w:val="00564326"/>
    <w:rsid w:val="005644A0"/>
    <w:rsid w:val="005646C1"/>
    <w:rsid w:val="005648C9"/>
    <w:rsid w:val="005648FA"/>
    <w:rsid w:val="00564972"/>
    <w:rsid w:val="00564D50"/>
    <w:rsid w:val="00564E8A"/>
    <w:rsid w:val="00565371"/>
    <w:rsid w:val="005660B9"/>
    <w:rsid w:val="0056610B"/>
    <w:rsid w:val="005667C5"/>
    <w:rsid w:val="005669F2"/>
    <w:rsid w:val="00566E1F"/>
    <w:rsid w:val="0056701E"/>
    <w:rsid w:val="00567346"/>
    <w:rsid w:val="00567A13"/>
    <w:rsid w:val="0057017A"/>
    <w:rsid w:val="0057058F"/>
    <w:rsid w:val="00570FB1"/>
    <w:rsid w:val="00571845"/>
    <w:rsid w:val="00571BCF"/>
    <w:rsid w:val="00572366"/>
    <w:rsid w:val="0057241F"/>
    <w:rsid w:val="0057244C"/>
    <w:rsid w:val="005727AA"/>
    <w:rsid w:val="005732EE"/>
    <w:rsid w:val="0057371B"/>
    <w:rsid w:val="00573855"/>
    <w:rsid w:val="0057485C"/>
    <w:rsid w:val="00574A53"/>
    <w:rsid w:val="00575223"/>
    <w:rsid w:val="00575CB0"/>
    <w:rsid w:val="00575DB2"/>
    <w:rsid w:val="00575EB8"/>
    <w:rsid w:val="00575F3F"/>
    <w:rsid w:val="00576057"/>
    <w:rsid w:val="0057613A"/>
    <w:rsid w:val="005762AF"/>
    <w:rsid w:val="00576614"/>
    <w:rsid w:val="0057678A"/>
    <w:rsid w:val="00577016"/>
    <w:rsid w:val="00577581"/>
    <w:rsid w:val="00577BDF"/>
    <w:rsid w:val="00577CF9"/>
    <w:rsid w:val="00577D2D"/>
    <w:rsid w:val="005803C7"/>
    <w:rsid w:val="00580817"/>
    <w:rsid w:val="00580991"/>
    <w:rsid w:val="00580E32"/>
    <w:rsid w:val="00581608"/>
    <w:rsid w:val="005817D0"/>
    <w:rsid w:val="00581862"/>
    <w:rsid w:val="00581B62"/>
    <w:rsid w:val="00582189"/>
    <w:rsid w:val="00582451"/>
    <w:rsid w:val="00582A9B"/>
    <w:rsid w:val="00582BC3"/>
    <w:rsid w:val="00582BF1"/>
    <w:rsid w:val="005830A7"/>
    <w:rsid w:val="005831DC"/>
    <w:rsid w:val="005832AB"/>
    <w:rsid w:val="00583B37"/>
    <w:rsid w:val="0058437C"/>
    <w:rsid w:val="00584597"/>
    <w:rsid w:val="005849E3"/>
    <w:rsid w:val="00585306"/>
    <w:rsid w:val="005854A7"/>
    <w:rsid w:val="00585792"/>
    <w:rsid w:val="005859A9"/>
    <w:rsid w:val="00585C7E"/>
    <w:rsid w:val="00585D93"/>
    <w:rsid w:val="00585F67"/>
    <w:rsid w:val="005869B3"/>
    <w:rsid w:val="005869B9"/>
    <w:rsid w:val="005869FC"/>
    <w:rsid w:val="00586F81"/>
    <w:rsid w:val="005878B7"/>
    <w:rsid w:val="00587DC2"/>
    <w:rsid w:val="00587F2D"/>
    <w:rsid w:val="00590836"/>
    <w:rsid w:val="0059095B"/>
    <w:rsid w:val="005909AF"/>
    <w:rsid w:val="00590B98"/>
    <w:rsid w:val="00591549"/>
    <w:rsid w:val="005915B3"/>
    <w:rsid w:val="00591B84"/>
    <w:rsid w:val="00591D71"/>
    <w:rsid w:val="00592002"/>
    <w:rsid w:val="00592AB2"/>
    <w:rsid w:val="00592B46"/>
    <w:rsid w:val="005935F4"/>
    <w:rsid w:val="00593E0A"/>
    <w:rsid w:val="0059532E"/>
    <w:rsid w:val="005956E3"/>
    <w:rsid w:val="00596A12"/>
    <w:rsid w:val="00596B28"/>
    <w:rsid w:val="00597849"/>
    <w:rsid w:val="005A0058"/>
    <w:rsid w:val="005A02A0"/>
    <w:rsid w:val="005A0687"/>
    <w:rsid w:val="005A07FE"/>
    <w:rsid w:val="005A0846"/>
    <w:rsid w:val="005A0854"/>
    <w:rsid w:val="005A095A"/>
    <w:rsid w:val="005A11C1"/>
    <w:rsid w:val="005A11E4"/>
    <w:rsid w:val="005A135F"/>
    <w:rsid w:val="005A141D"/>
    <w:rsid w:val="005A167F"/>
    <w:rsid w:val="005A20BF"/>
    <w:rsid w:val="005A2429"/>
    <w:rsid w:val="005A2976"/>
    <w:rsid w:val="005A346E"/>
    <w:rsid w:val="005A36DD"/>
    <w:rsid w:val="005A3793"/>
    <w:rsid w:val="005A3B13"/>
    <w:rsid w:val="005A3E15"/>
    <w:rsid w:val="005A3E7D"/>
    <w:rsid w:val="005A3E9D"/>
    <w:rsid w:val="005A403D"/>
    <w:rsid w:val="005A408E"/>
    <w:rsid w:val="005A493A"/>
    <w:rsid w:val="005A549A"/>
    <w:rsid w:val="005A5C59"/>
    <w:rsid w:val="005A5D0B"/>
    <w:rsid w:val="005A614C"/>
    <w:rsid w:val="005A63C0"/>
    <w:rsid w:val="005A6421"/>
    <w:rsid w:val="005A6580"/>
    <w:rsid w:val="005A69D4"/>
    <w:rsid w:val="005A6C5F"/>
    <w:rsid w:val="005A7029"/>
    <w:rsid w:val="005A727D"/>
    <w:rsid w:val="005A73CF"/>
    <w:rsid w:val="005A7EF5"/>
    <w:rsid w:val="005B0078"/>
    <w:rsid w:val="005B0548"/>
    <w:rsid w:val="005B1ABE"/>
    <w:rsid w:val="005B1B85"/>
    <w:rsid w:val="005B1C7C"/>
    <w:rsid w:val="005B1D3D"/>
    <w:rsid w:val="005B1F9C"/>
    <w:rsid w:val="005B20AC"/>
    <w:rsid w:val="005B22B6"/>
    <w:rsid w:val="005B2312"/>
    <w:rsid w:val="005B2A70"/>
    <w:rsid w:val="005B2E8B"/>
    <w:rsid w:val="005B2F3F"/>
    <w:rsid w:val="005B2F52"/>
    <w:rsid w:val="005B31A0"/>
    <w:rsid w:val="005B34B7"/>
    <w:rsid w:val="005B3D56"/>
    <w:rsid w:val="005B3EB1"/>
    <w:rsid w:val="005B3F6F"/>
    <w:rsid w:val="005B442B"/>
    <w:rsid w:val="005B5114"/>
    <w:rsid w:val="005B529E"/>
    <w:rsid w:val="005B55B4"/>
    <w:rsid w:val="005B587D"/>
    <w:rsid w:val="005B59A4"/>
    <w:rsid w:val="005B5E81"/>
    <w:rsid w:val="005B64C0"/>
    <w:rsid w:val="005B66FF"/>
    <w:rsid w:val="005B6798"/>
    <w:rsid w:val="005B67F8"/>
    <w:rsid w:val="005B6D26"/>
    <w:rsid w:val="005B798B"/>
    <w:rsid w:val="005B7B5D"/>
    <w:rsid w:val="005B7BD2"/>
    <w:rsid w:val="005C0184"/>
    <w:rsid w:val="005C03EC"/>
    <w:rsid w:val="005C0468"/>
    <w:rsid w:val="005C067B"/>
    <w:rsid w:val="005C1562"/>
    <w:rsid w:val="005C1842"/>
    <w:rsid w:val="005C1943"/>
    <w:rsid w:val="005C1F55"/>
    <w:rsid w:val="005C1FAE"/>
    <w:rsid w:val="005C2186"/>
    <w:rsid w:val="005C2DC5"/>
    <w:rsid w:val="005C39E8"/>
    <w:rsid w:val="005C3AF8"/>
    <w:rsid w:val="005C3B17"/>
    <w:rsid w:val="005C3B3C"/>
    <w:rsid w:val="005C43B8"/>
    <w:rsid w:val="005C461B"/>
    <w:rsid w:val="005C4966"/>
    <w:rsid w:val="005C4A1D"/>
    <w:rsid w:val="005C4AD5"/>
    <w:rsid w:val="005C4E6A"/>
    <w:rsid w:val="005C4F70"/>
    <w:rsid w:val="005C5341"/>
    <w:rsid w:val="005C5660"/>
    <w:rsid w:val="005C572A"/>
    <w:rsid w:val="005C5F43"/>
    <w:rsid w:val="005C71E4"/>
    <w:rsid w:val="005C72E3"/>
    <w:rsid w:val="005C74B4"/>
    <w:rsid w:val="005C7708"/>
    <w:rsid w:val="005C7DFE"/>
    <w:rsid w:val="005D0C15"/>
    <w:rsid w:val="005D11B2"/>
    <w:rsid w:val="005D12A5"/>
    <w:rsid w:val="005D171F"/>
    <w:rsid w:val="005D1957"/>
    <w:rsid w:val="005D1A56"/>
    <w:rsid w:val="005D1C5B"/>
    <w:rsid w:val="005D28F1"/>
    <w:rsid w:val="005D38BA"/>
    <w:rsid w:val="005D3960"/>
    <w:rsid w:val="005D3F31"/>
    <w:rsid w:val="005D3F77"/>
    <w:rsid w:val="005D448F"/>
    <w:rsid w:val="005D456D"/>
    <w:rsid w:val="005D4822"/>
    <w:rsid w:val="005D4B68"/>
    <w:rsid w:val="005D4C6C"/>
    <w:rsid w:val="005D4D75"/>
    <w:rsid w:val="005D5919"/>
    <w:rsid w:val="005D61FD"/>
    <w:rsid w:val="005D6CCC"/>
    <w:rsid w:val="005D6FDF"/>
    <w:rsid w:val="005D7640"/>
    <w:rsid w:val="005D79C9"/>
    <w:rsid w:val="005D7F32"/>
    <w:rsid w:val="005D7FF6"/>
    <w:rsid w:val="005E0898"/>
    <w:rsid w:val="005E099E"/>
    <w:rsid w:val="005E0A54"/>
    <w:rsid w:val="005E0F6B"/>
    <w:rsid w:val="005E11C1"/>
    <w:rsid w:val="005E13A9"/>
    <w:rsid w:val="005E142C"/>
    <w:rsid w:val="005E1A0B"/>
    <w:rsid w:val="005E1C08"/>
    <w:rsid w:val="005E1FC1"/>
    <w:rsid w:val="005E2110"/>
    <w:rsid w:val="005E24A2"/>
    <w:rsid w:val="005E2563"/>
    <w:rsid w:val="005E2889"/>
    <w:rsid w:val="005E32A2"/>
    <w:rsid w:val="005E394C"/>
    <w:rsid w:val="005E42BF"/>
    <w:rsid w:val="005E4E70"/>
    <w:rsid w:val="005E4F9E"/>
    <w:rsid w:val="005E5151"/>
    <w:rsid w:val="005E52CE"/>
    <w:rsid w:val="005E5483"/>
    <w:rsid w:val="005E57D0"/>
    <w:rsid w:val="005E5CED"/>
    <w:rsid w:val="005E61C3"/>
    <w:rsid w:val="005E65BB"/>
    <w:rsid w:val="005E6682"/>
    <w:rsid w:val="005E6B08"/>
    <w:rsid w:val="005E6D15"/>
    <w:rsid w:val="005E6DB9"/>
    <w:rsid w:val="005E6E23"/>
    <w:rsid w:val="005E7092"/>
    <w:rsid w:val="005E7643"/>
    <w:rsid w:val="005E7876"/>
    <w:rsid w:val="005E7C39"/>
    <w:rsid w:val="005EEB4A"/>
    <w:rsid w:val="005F08C3"/>
    <w:rsid w:val="005F096A"/>
    <w:rsid w:val="005F0B33"/>
    <w:rsid w:val="005F0DA0"/>
    <w:rsid w:val="005F13FC"/>
    <w:rsid w:val="005F14C1"/>
    <w:rsid w:val="005F15FE"/>
    <w:rsid w:val="005F1AEF"/>
    <w:rsid w:val="005F1B06"/>
    <w:rsid w:val="005F1F09"/>
    <w:rsid w:val="005F211E"/>
    <w:rsid w:val="005F2767"/>
    <w:rsid w:val="005F2900"/>
    <w:rsid w:val="005F3350"/>
    <w:rsid w:val="005F3794"/>
    <w:rsid w:val="005F4058"/>
    <w:rsid w:val="005F4217"/>
    <w:rsid w:val="005F42BE"/>
    <w:rsid w:val="005F4790"/>
    <w:rsid w:val="005F47C1"/>
    <w:rsid w:val="005F4914"/>
    <w:rsid w:val="005F4EFD"/>
    <w:rsid w:val="005F5409"/>
    <w:rsid w:val="005F5AAC"/>
    <w:rsid w:val="005F5BBF"/>
    <w:rsid w:val="005F62B7"/>
    <w:rsid w:val="005F67FC"/>
    <w:rsid w:val="005F6869"/>
    <w:rsid w:val="005F6BB9"/>
    <w:rsid w:val="005F6D19"/>
    <w:rsid w:val="005F6F83"/>
    <w:rsid w:val="005F70EB"/>
    <w:rsid w:val="005F731E"/>
    <w:rsid w:val="005F7D9E"/>
    <w:rsid w:val="006001F2"/>
    <w:rsid w:val="006015A7"/>
    <w:rsid w:val="006019FD"/>
    <w:rsid w:val="00601CBA"/>
    <w:rsid w:val="0060252B"/>
    <w:rsid w:val="0060254D"/>
    <w:rsid w:val="00602980"/>
    <w:rsid w:val="00603148"/>
    <w:rsid w:val="006034FE"/>
    <w:rsid w:val="00603852"/>
    <w:rsid w:val="00604AB5"/>
    <w:rsid w:val="00604C21"/>
    <w:rsid w:val="00605867"/>
    <w:rsid w:val="00605EFF"/>
    <w:rsid w:val="006063BE"/>
    <w:rsid w:val="00606843"/>
    <w:rsid w:val="00606FC7"/>
    <w:rsid w:val="00607464"/>
    <w:rsid w:val="0060750E"/>
    <w:rsid w:val="00607710"/>
    <w:rsid w:val="00607734"/>
    <w:rsid w:val="0061017D"/>
    <w:rsid w:val="006103BF"/>
    <w:rsid w:val="00610456"/>
    <w:rsid w:val="0061093E"/>
    <w:rsid w:val="00610C1F"/>
    <w:rsid w:val="00610FED"/>
    <w:rsid w:val="00611147"/>
    <w:rsid w:val="00611473"/>
    <w:rsid w:val="006117C3"/>
    <w:rsid w:val="00611B36"/>
    <w:rsid w:val="00611C44"/>
    <w:rsid w:val="00611CE5"/>
    <w:rsid w:val="00611F38"/>
    <w:rsid w:val="00612292"/>
    <w:rsid w:val="006122D1"/>
    <w:rsid w:val="006126D4"/>
    <w:rsid w:val="006128D2"/>
    <w:rsid w:val="00612F76"/>
    <w:rsid w:val="00613A34"/>
    <w:rsid w:val="00613CB6"/>
    <w:rsid w:val="00613E13"/>
    <w:rsid w:val="00613F7F"/>
    <w:rsid w:val="006142DC"/>
    <w:rsid w:val="006145E4"/>
    <w:rsid w:val="006145EA"/>
    <w:rsid w:val="00614B54"/>
    <w:rsid w:val="00614B5F"/>
    <w:rsid w:val="00615A77"/>
    <w:rsid w:val="00615ADA"/>
    <w:rsid w:val="00615E4D"/>
    <w:rsid w:val="0061607C"/>
    <w:rsid w:val="00616296"/>
    <w:rsid w:val="006162CE"/>
    <w:rsid w:val="0061666D"/>
    <w:rsid w:val="00617C22"/>
    <w:rsid w:val="00617DE5"/>
    <w:rsid w:val="006209BB"/>
    <w:rsid w:val="00620D91"/>
    <w:rsid w:val="006214DE"/>
    <w:rsid w:val="00621C50"/>
    <w:rsid w:val="00621FFD"/>
    <w:rsid w:val="006221CD"/>
    <w:rsid w:val="00622220"/>
    <w:rsid w:val="006225AF"/>
    <w:rsid w:val="00622CBF"/>
    <w:rsid w:val="0062383D"/>
    <w:rsid w:val="00623AC2"/>
    <w:rsid w:val="00623BA7"/>
    <w:rsid w:val="00623CE8"/>
    <w:rsid w:val="00623F38"/>
    <w:rsid w:val="00624163"/>
    <w:rsid w:val="006242A2"/>
    <w:rsid w:val="00625039"/>
    <w:rsid w:val="006259B7"/>
    <w:rsid w:val="00625C5D"/>
    <w:rsid w:val="00625E84"/>
    <w:rsid w:val="0062637B"/>
    <w:rsid w:val="006265D8"/>
    <w:rsid w:val="006266A9"/>
    <w:rsid w:val="00626BA6"/>
    <w:rsid w:val="00626CD8"/>
    <w:rsid w:val="00626CEE"/>
    <w:rsid w:val="00626E15"/>
    <w:rsid w:val="0062713F"/>
    <w:rsid w:val="0062743E"/>
    <w:rsid w:val="00627DDA"/>
    <w:rsid w:val="0063009F"/>
    <w:rsid w:val="00630426"/>
    <w:rsid w:val="00630B17"/>
    <w:rsid w:val="00630B53"/>
    <w:rsid w:val="006316C1"/>
    <w:rsid w:val="00631B2D"/>
    <w:rsid w:val="00631DC2"/>
    <w:rsid w:val="00631E8E"/>
    <w:rsid w:val="00631ED4"/>
    <w:rsid w:val="0063207A"/>
    <w:rsid w:val="00632195"/>
    <w:rsid w:val="006324D1"/>
    <w:rsid w:val="00632820"/>
    <w:rsid w:val="00632ABE"/>
    <w:rsid w:val="00633BC7"/>
    <w:rsid w:val="006344F7"/>
    <w:rsid w:val="006347FC"/>
    <w:rsid w:val="00634E92"/>
    <w:rsid w:val="00635348"/>
    <w:rsid w:val="006356E2"/>
    <w:rsid w:val="00635AC7"/>
    <w:rsid w:val="00635D09"/>
    <w:rsid w:val="00635E9C"/>
    <w:rsid w:val="006360A6"/>
    <w:rsid w:val="0063686D"/>
    <w:rsid w:val="00636A2A"/>
    <w:rsid w:val="00636BB1"/>
    <w:rsid w:val="00636EF7"/>
    <w:rsid w:val="006372F5"/>
    <w:rsid w:val="0063753F"/>
    <w:rsid w:val="006376C5"/>
    <w:rsid w:val="00637B41"/>
    <w:rsid w:val="0064015E"/>
    <w:rsid w:val="00640317"/>
    <w:rsid w:val="0064142D"/>
    <w:rsid w:val="006414EE"/>
    <w:rsid w:val="0064160E"/>
    <w:rsid w:val="00641F92"/>
    <w:rsid w:val="006421BA"/>
    <w:rsid w:val="00642524"/>
    <w:rsid w:val="00642D0A"/>
    <w:rsid w:val="00643ED2"/>
    <w:rsid w:val="00644902"/>
    <w:rsid w:val="00644E91"/>
    <w:rsid w:val="00645977"/>
    <w:rsid w:val="006459ED"/>
    <w:rsid w:val="00645F8A"/>
    <w:rsid w:val="0064630E"/>
    <w:rsid w:val="00646FE1"/>
    <w:rsid w:val="00647032"/>
    <w:rsid w:val="00647075"/>
    <w:rsid w:val="00647132"/>
    <w:rsid w:val="00647814"/>
    <w:rsid w:val="00647DB3"/>
    <w:rsid w:val="00647F3A"/>
    <w:rsid w:val="0065190A"/>
    <w:rsid w:val="00651A73"/>
    <w:rsid w:val="00653045"/>
    <w:rsid w:val="00653428"/>
    <w:rsid w:val="006536EB"/>
    <w:rsid w:val="00653994"/>
    <w:rsid w:val="00653F2D"/>
    <w:rsid w:val="006544A7"/>
    <w:rsid w:val="00654502"/>
    <w:rsid w:val="00654E96"/>
    <w:rsid w:val="0065581D"/>
    <w:rsid w:val="006559A4"/>
    <w:rsid w:val="00655BC6"/>
    <w:rsid w:val="00655C2F"/>
    <w:rsid w:val="00655F83"/>
    <w:rsid w:val="00656366"/>
    <w:rsid w:val="0065642A"/>
    <w:rsid w:val="006566FF"/>
    <w:rsid w:val="00656A34"/>
    <w:rsid w:val="00657052"/>
    <w:rsid w:val="00657AE7"/>
    <w:rsid w:val="006601EB"/>
    <w:rsid w:val="00660403"/>
    <w:rsid w:val="00661140"/>
    <w:rsid w:val="00661684"/>
    <w:rsid w:val="006619ED"/>
    <w:rsid w:val="00661A2A"/>
    <w:rsid w:val="00661AB3"/>
    <w:rsid w:val="00661C2F"/>
    <w:rsid w:val="00662450"/>
    <w:rsid w:val="00662782"/>
    <w:rsid w:val="006627FF"/>
    <w:rsid w:val="00662963"/>
    <w:rsid w:val="00662A80"/>
    <w:rsid w:val="006635B6"/>
    <w:rsid w:val="00663A10"/>
    <w:rsid w:val="00664B0A"/>
    <w:rsid w:val="00664D2A"/>
    <w:rsid w:val="00665994"/>
    <w:rsid w:val="006660A4"/>
    <w:rsid w:val="00666FCB"/>
    <w:rsid w:val="006672CB"/>
    <w:rsid w:val="00667B9D"/>
    <w:rsid w:val="00667C46"/>
    <w:rsid w:val="00667FDA"/>
    <w:rsid w:val="006703A8"/>
    <w:rsid w:val="006710DD"/>
    <w:rsid w:val="0067186F"/>
    <w:rsid w:val="006718BB"/>
    <w:rsid w:val="00671FC9"/>
    <w:rsid w:val="00672143"/>
    <w:rsid w:val="006722B1"/>
    <w:rsid w:val="00672908"/>
    <w:rsid w:val="00672955"/>
    <w:rsid w:val="00673200"/>
    <w:rsid w:val="00674D29"/>
    <w:rsid w:val="00674F7E"/>
    <w:rsid w:val="0067501E"/>
    <w:rsid w:val="0067584D"/>
    <w:rsid w:val="0067588D"/>
    <w:rsid w:val="0067717E"/>
    <w:rsid w:val="006773D2"/>
    <w:rsid w:val="00677D43"/>
    <w:rsid w:val="00680581"/>
    <w:rsid w:val="00680592"/>
    <w:rsid w:val="00680A56"/>
    <w:rsid w:val="006810AE"/>
    <w:rsid w:val="00681A41"/>
    <w:rsid w:val="00681DE6"/>
    <w:rsid w:val="006821B2"/>
    <w:rsid w:val="006827AB"/>
    <w:rsid w:val="00682A81"/>
    <w:rsid w:val="00682E4D"/>
    <w:rsid w:val="0068304F"/>
    <w:rsid w:val="006831F9"/>
    <w:rsid w:val="006836FF"/>
    <w:rsid w:val="006838C0"/>
    <w:rsid w:val="006843AE"/>
    <w:rsid w:val="006847BE"/>
    <w:rsid w:val="006847F7"/>
    <w:rsid w:val="006856FF"/>
    <w:rsid w:val="00685856"/>
    <w:rsid w:val="00685901"/>
    <w:rsid w:val="00685BB9"/>
    <w:rsid w:val="00685D41"/>
    <w:rsid w:val="00685F8C"/>
    <w:rsid w:val="00685FD4"/>
    <w:rsid w:val="006872F5"/>
    <w:rsid w:val="00687498"/>
    <w:rsid w:val="006875BF"/>
    <w:rsid w:val="00687605"/>
    <w:rsid w:val="00687C65"/>
    <w:rsid w:val="00687CB4"/>
    <w:rsid w:val="00687E06"/>
    <w:rsid w:val="00690127"/>
    <w:rsid w:val="006901E3"/>
    <w:rsid w:val="00690445"/>
    <w:rsid w:val="006904DE"/>
    <w:rsid w:val="00690A49"/>
    <w:rsid w:val="00690A82"/>
    <w:rsid w:val="00690D57"/>
    <w:rsid w:val="00691BFF"/>
    <w:rsid w:val="00691C43"/>
    <w:rsid w:val="00691C66"/>
    <w:rsid w:val="006925DC"/>
    <w:rsid w:val="006926F4"/>
    <w:rsid w:val="00692A50"/>
    <w:rsid w:val="00692A81"/>
    <w:rsid w:val="006931E7"/>
    <w:rsid w:val="0069359E"/>
    <w:rsid w:val="00693D0F"/>
    <w:rsid w:val="00694174"/>
    <w:rsid w:val="0069478F"/>
    <w:rsid w:val="00694DC0"/>
    <w:rsid w:val="00694E72"/>
    <w:rsid w:val="00695288"/>
    <w:rsid w:val="006952F6"/>
    <w:rsid w:val="006953C1"/>
    <w:rsid w:val="00695621"/>
    <w:rsid w:val="00695623"/>
    <w:rsid w:val="00695A18"/>
    <w:rsid w:val="006960F7"/>
    <w:rsid w:val="006962B0"/>
    <w:rsid w:val="0069689B"/>
    <w:rsid w:val="00696EB2"/>
    <w:rsid w:val="00697057"/>
    <w:rsid w:val="006970F7"/>
    <w:rsid w:val="0069741A"/>
    <w:rsid w:val="0069778A"/>
    <w:rsid w:val="00697D9E"/>
    <w:rsid w:val="006A03FC"/>
    <w:rsid w:val="006A05BF"/>
    <w:rsid w:val="006A0B66"/>
    <w:rsid w:val="006A0DEA"/>
    <w:rsid w:val="006A0E07"/>
    <w:rsid w:val="006A0F8C"/>
    <w:rsid w:val="006A0FD1"/>
    <w:rsid w:val="006A16E9"/>
    <w:rsid w:val="006A198E"/>
    <w:rsid w:val="006A1CE9"/>
    <w:rsid w:val="006A2326"/>
    <w:rsid w:val="006A286D"/>
    <w:rsid w:val="006A30CB"/>
    <w:rsid w:val="006A310C"/>
    <w:rsid w:val="006A3240"/>
    <w:rsid w:val="006A415A"/>
    <w:rsid w:val="006A50A6"/>
    <w:rsid w:val="006A50ED"/>
    <w:rsid w:val="006A5287"/>
    <w:rsid w:val="006A5450"/>
    <w:rsid w:val="006A5C71"/>
    <w:rsid w:val="006A5D3F"/>
    <w:rsid w:val="006A5E8E"/>
    <w:rsid w:val="006A68AB"/>
    <w:rsid w:val="006A6D0D"/>
    <w:rsid w:val="006A6F2A"/>
    <w:rsid w:val="006A7339"/>
    <w:rsid w:val="006A739D"/>
    <w:rsid w:val="006A7DFD"/>
    <w:rsid w:val="006B0199"/>
    <w:rsid w:val="006B033A"/>
    <w:rsid w:val="006B0A32"/>
    <w:rsid w:val="006B0BD8"/>
    <w:rsid w:val="006B0C64"/>
    <w:rsid w:val="006B0DC7"/>
    <w:rsid w:val="006B1323"/>
    <w:rsid w:val="006B1A8F"/>
    <w:rsid w:val="006B1E62"/>
    <w:rsid w:val="006B207C"/>
    <w:rsid w:val="006B27C7"/>
    <w:rsid w:val="006B280C"/>
    <w:rsid w:val="006B3043"/>
    <w:rsid w:val="006B311F"/>
    <w:rsid w:val="006B383C"/>
    <w:rsid w:val="006B386E"/>
    <w:rsid w:val="006B3BAC"/>
    <w:rsid w:val="006B415B"/>
    <w:rsid w:val="006B4557"/>
    <w:rsid w:val="006B47B3"/>
    <w:rsid w:val="006B5CC4"/>
    <w:rsid w:val="006B5E31"/>
    <w:rsid w:val="006B6B64"/>
    <w:rsid w:val="006B6B6D"/>
    <w:rsid w:val="006B7134"/>
    <w:rsid w:val="006B798F"/>
    <w:rsid w:val="006B7D98"/>
    <w:rsid w:val="006C002F"/>
    <w:rsid w:val="006C0251"/>
    <w:rsid w:val="006C027E"/>
    <w:rsid w:val="006C0320"/>
    <w:rsid w:val="006C0529"/>
    <w:rsid w:val="006C07DD"/>
    <w:rsid w:val="006C0D5C"/>
    <w:rsid w:val="006C14FC"/>
    <w:rsid w:val="006C22E3"/>
    <w:rsid w:val="006C2868"/>
    <w:rsid w:val="006C2B9A"/>
    <w:rsid w:val="006C2CFC"/>
    <w:rsid w:val="006C2E4E"/>
    <w:rsid w:val="006C33A8"/>
    <w:rsid w:val="006C39BB"/>
    <w:rsid w:val="006C4502"/>
    <w:rsid w:val="006C4773"/>
    <w:rsid w:val="006C4A99"/>
    <w:rsid w:val="006C4D3B"/>
    <w:rsid w:val="006C5498"/>
    <w:rsid w:val="006C5C52"/>
    <w:rsid w:val="006C5DBA"/>
    <w:rsid w:val="006C5E08"/>
    <w:rsid w:val="006C6114"/>
    <w:rsid w:val="006C6209"/>
    <w:rsid w:val="006C69DA"/>
    <w:rsid w:val="006C7288"/>
    <w:rsid w:val="006C72F4"/>
    <w:rsid w:val="006C7723"/>
    <w:rsid w:val="006C77F4"/>
    <w:rsid w:val="006C7ED4"/>
    <w:rsid w:val="006D02B5"/>
    <w:rsid w:val="006D0632"/>
    <w:rsid w:val="006D0784"/>
    <w:rsid w:val="006D07E7"/>
    <w:rsid w:val="006D1436"/>
    <w:rsid w:val="006D1690"/>
    <w:rsid w:val="006D179F"/>
    <w:rsid w:val="006D2288"/>
    <w:rsid w:val="006D2953"/>
    <w:rsid w:val="006D2DF1"/>
    <w:rsid w:val="006D2E78"/>
    <w:rsid w:val="006D2F57"/>
    <w:rsid w:val="006D393F"/>
    <w:rsid w:val="006D398D"/>
    <w:rsid w:val="006D4464"/>
    <w:rsid w:val="006D499A"/>
    <w:rsid w:val="006D5CD6"/>
    <w:rsid w:val="006D5D6B"/>
    <w:rsid w:val="006D5E91"/>
    <w:rsid w:val="006D6725"/>
    <w:rsid w:val="006D691E"/>
    <w:rsid w:val="006D6B3A"/>
    <w:rsid w:val="006D6B3B"/>
    <w:rsid w:val="006D70E3"/>
    <w:rsid w:val="006D78AE"/>
    <w:rsid w:val="006D7CF7"/>
    <w:rsid w:val="006D7E87"/>
    <w:rsid w:val="006E00F8"/>
    <w:rsid w:val="006E060D"/>
    <w:rsid w:val="006E0BE1"/>
    <w:rsid w:val="006E1445"/>
    <w:rsid w:val="006E14E6"/>
    <w:rsid w:val="006E1AEE"/>
    <w:rsid w:val="006E1F1C"/>
    <w:rsid w:val="006E29CC"/>
    <w:rsid w:val="006E2F52"/>
    <w:rsid w:val="006E32A9"/>
    <w:rsid w:val="006E39F3"/>
    <w:rsid w:val="006E3B9C"/>
    <w:rsid w:val="006E3E78"/>
    <w:rsid w:val="006E3F5F"/>
    <w:rsid w:val="006E4C6B"/>
    <w:rsid w:val="006E51A2"/>
    <w:rsid w:val="006E5A50"/>
    <w:rsid w:val="006E68C5"/>
    <w:rsid w:val="006E6991"/>
    <w:rsid w:val="006E6D28"/>
    <w:rsid w:val="006E703E"/>
    <w:rsid w:val="006E72F9"/>
    <w:rsid w:val="006E79FC"/>
    <w:rsid w:val="006E7D7E"/>
    <w:rsid w:val="006F0DE2"/>
    <w:rsid w:val="006F1039"/>
    <w:rsid w:val="006F11BD"/>
    <w:rsid w:val="006F1239"/>
    <w:rsid w:val="006F170F"/>
    <w:rsid w:val="006F1A4E"/>
    <w:rsid w:val="006F25B4"/>
    <w:rsid w:val="006F29DA"/>
    <w:rsid w:val="006F32C7"/>
    <w:rsid w:val="006F3312"/>
    <w:rsid w:val="006F3392"/>
    <w:rsid w:val="006F3495"/>
    <w:rsid w:val="006F3766"/>
    <w:rsid w:val="006F3790"/>
    <w:rsid w:val="006F3A0C"/>
    <w:rsid w:val="006F4057"/>
    <w:rsid w:val="006F417D"/>
    <w:rsid w:val="006F4A80"/>
    <w:rsid w:val="006F4D37"/>
    <w:rsid w:val="006F4F0E"/>
    <w:rsid w:val="006F5183"/>
    <w:rsid w:val="006F58D3"/>
    <w:rsid w:val="006F5C83"/>
    <w:rsid w:val="006F67CC"/>
    <w:rsid w:val="006F6B89"/>
    <w:rsid w:val="006F6CDE"/>
    <w:rsid w:val="006F6F3A"/>
    <w:rsid w:val="006F79C4"/>
    <w:rsid w:val="006F79E8"/>
    <w:rsid w:val="006F7A14"/>
    <w:rsid w:val="00700191"/>
    <w:rsid w:val="00700515"/>
    <w:rsid w:val="0070079A"/>
    <w:rsid w:val="007010F3"/>
    <w:rsid w:val="007015DB"/>
    <w:rsid w:val="00701C2D"/>
    <w:rsid w:val="00702162"/>
    <w:rsid w:val="0070246F"/>
    <w:rsid w:val="007025F9"/>
    <w:rsid w:val="00702B15"/>
    <w:rsid w:val="00702D52"/>
    <w:rsid w:val="00703149"/>
    <w:rsid w:val="00703355"/>
    <w:rsid w:val="00703930"/>
    <w:rsid w:val="007039FC"/>
    <w:rsid w:val="00703CF2"/>
    <w:rsid w:val="0070418B"/>
    <w:rsid w:val="007045F8"/>
    <w:rsid w:val="007052E8"/>
    <w:rsid w:val="0070581D"/>
    <w:rsid w:val="007058BC"/>
    <w:rsid w:val="00705A92"/>
    <w:rsid w:val="0070610E"/>
    <w:rsid w:val="0070617B"/>
    <w:rsid w:val="0070656E"/>
    <w:rsid w:val="00706D89"/>
    <w:rsid w:val="007071A7"/>
    <w:rsid w:val="0070723B"/>
    <w:rsid w:val="0070757F"/>
    <w:rsid w:val="00707759"/>
    <w:rsid w:val="00710081"/>
    <w:rsid w:val="007100C2"/>
    <w:rsid w:val="00710B0D"/>
    <w:rsid w:val="00710C14"/>
    <w:rsid w:val="007117B5"/>
    <w:rsid w:val="00711ABE"/>
    <w:rsid w:val="00711EFC"/>
    <w:rsid w:val="00711FA4"/>
    <w:rsid w:val="007130A3"/>
    <w:rsid w:val="00713677"/>
    <w:rsid w:val="00713B1A"/>
    <w:rsid w:val="00713B81"/>
    <w:rsid w:val="00713CB5"/>
    <w:rsid w:val="00713D29"/>
    <w:rsid w:val="00713EC3"/>
    <w:rsid w:val="00713F7A"/>
    <w:rsid w:val="00714BBF"/>
    <w:rsid w:val="00714E32"/>
    <w:rsid w:val="00714E3F"/>
    <w:rsid w:val="0071558B"/>
    <w:rsid w:val="00715776"/>
    <w:rsid w:val="00715969"/>
    <w:rsid w:val="00715971"/>
    <w:rsid w:val="00715A19"/>
    <w:rsid w:val="00715D9B"/>
    <w:rsid w:val="00716208"/>
    <w:rsid w:val="0071776A"/>
    <w:rsid w:val="007209C9"/>
    <w:rsid w:val="007209F6"/>
    <w:rsid w:val="00720C90"/>
    <w:rsid w:val="00721189"/>
    <w:rsid w:val="007215FB"/>
    <w:rsid w:val="00721F5B"/>
    <w:rsid w:val="007220E9"/>
    <w:rsid w:val="007221C3"/>
    <w:rsid w:val="007227E4"/>
    <w:rsid w:val="007228C7"/>
    <w:rsid w:val="00722BA3"/>
    <w:rsid w:val="00722BB5"/>
    <w:rsid w:val="00722F2C"/>
    <w:rsid w:val="0072345D"/>
    <w:rsid w:val="007237DF"/>
    <w:rsid w:val="0072389C"/>
    <w:rsid w:val="00723DAE"/>
    <w:rsid w:val="00723E49"/>
    <w:rsid w:val="00723EE7"/>
    <w:rsid w:val="007241A5"/>
    <w:rsid w:val="007241B2"/>
    <w:rsid w:val="00724596"/>
    <w:rsid w:val="007249FA"/>
    <w:rsid w:val="00724C31"/>
    <w:rsid w:val="00724DBA"/>
    <w:rsid w:val="007254D1"/>
    <w:rsid w:val="0072581E"/>
    <w:rsid w:val="00725B32"/>
    <w:rsid w:val="00725B3C"/>
    <w:rsid w:val="00725F14"/>
    <w:rsid w:val="00725FD5"/>
    <w:rsid w:val="0072624B"/>
    <w:rsid w:val="00726717"/>
    <w:rsid w:val="00726A1D"/>
    <w:rsid w:val="00726B3A"/>
    <w:rsid w:val="00726C6D"/>
    <w:rsid w:val="00726F4E"/>
    <w:rsid w:val="00730CA7"/>
    <w:rsid w:val="00730E41"/>
    <w:rsid w:val="00730F51"/>
    <w:rsid w:val="00731EBC"/>
    <w:rsid w:val="00732D76"/>
    <w:rsid w:val="00732E99"/>
    <w:rsid w:val="00732F31"/>
    <w:rsid w:val="0073300C"/>
    <w:rsid w:val="00733A4D"/>
    <w:rsid w:val="00733D54"/>
    <w:rsid w:val="00733DA2"/>
    <w:rsid w:val="007340AE"/>
    <w:rsid w:val="00734AD1"/>
    <w:rsid w:val="00734CEE"/>
    <w:rsid w:val="00734EF2"/>
    <w:rsid w:val="0073566C"/>
    <w:rsid w:val="0073589F"/>
    <w:rsid w:val="00735A1C"/>
    <w:rsid w:val="0073640B"/>
    <w:rsid w:val="007367AD"/>
    <w:rsid w:val="00736A4F"/>
    <w:rsid w:val="007374EE"/>
    <w:rsid w:val="00737537"/>
    <w:rsid w:val="00737753"/>
    <w:rsid w:val="00737768"/>
    <w:rsid w:val="00737824"/>
    <w:rsid w:val="00737911"/>
    <w:rsid w:val="00737A64"/>
    <w:rsid w:val="00737FFA"/>
    <w:rsid w:val="00740BB8"/>
    <w:rsid w:val="00740CE9"/>
    <w:rsid w:val="00740D57"/>
    <w:rsid w:val="007410F9"/>
    <w:rsid w:val="00741991"/>
    <w:rsid w:val="00741AB9"/>
    <w:rsid w:val="00741D3B"/>
    <w:rsid w:val="00742482"/>
    <w:rsid w:val="007425AC"/>
    <w:rsid w:val="007428E3"/>
    <w:rsid w:val="00742C39"/>
    <w:rsid w:val="0074394E"/>
    <w:rsid w:val="00744047"/>
    <w:rsid w:val="0074422D"/>
    <w:rsid w:val="00744342"/>
    <w:rsid w:val="007464D9"/>
    <w:rsid w:val="0074665E"/>
    <w:rsid w:val="00746B7E"/>
    <w:rsid w:val="00746D5C"/>
    <w:rsid w:val="0074711D"/>
    <w:rsid w:val="007477CF"/>
    <w:rsid w:val="007477D5"/>
    <w:rsid w:val="00747ABC"/>
    <w:rsid w:val="00750520"/>
    <w:rsid w:val="007506A4"/>
    <w:rsid w:val="00750A61"/>
    <w:rsid w:val="00750C0C"/>
    <w:rsid w:val="00750D0A"/>
    <w:rsid w:val="00750E90"/>
    <w:rsid w:val="00751642"/>
    <w:rsid w:val="00751B67"/>
    <w:rsid w:val="00751D93"/>
    <w:rsid w:val="00752300"/>
    <w:rsid w:val="00752477"/>
    <w:rsid w:val="007529C5"/>
    <w:rsid w:val="00752C1C"/>
    <w:rsid w:val="007532AF"/>
    <w:rsid w:val="0075348B"/>
    <w:rsid w:val="00753BF5"/>
    <w:rsid w:val="00753CAA"/>
    <w:rsid w:val="00754030"/>
    <w:rsid w:val="007543C8"/>
    <w:rsid w:val="00754490"/>
    <w:rsid w:val="007546B2"/>
    <w:rsid w:val="007546F8"/>
    <w:rsid w:val="00754AF6"/>
    <w:rsid w:val="00755142"/>
    <w:rsid w:val="00755245"/>
    <w:rsid w:val="0075558F"/>
    <w:rsid w:val="0075579B"/>
    <w:rsid w:val="00755ADB"/>
    <w:rsid w:val="00755BAB"/>
    <w:rsid w:val="00755F21"/>
    <w:rsid w:val="0075669E"/>
    <w:rsid w:val="007568F0"/>
    <w:rsid w:val="00756F22"/>
    <w:rsid w:val="00756F3D"/>
    <w:rsid w:val="007572F6"/>
    <w:rsid w:val="00757336"/>
    <w:rsid w:val="00757920"/>
    <w:rsid w:val="00757C1D"/>
    <w:rsid w:val="00757D5C"/>
    <w:rsid w:val="00757FAE"/>
    <w:rsid w:val="00760020"/>
    <w:rsid w:val="0076032F"/>
    <w:rsid w:val="0076080E"/>
    <w:rsid w:val="007610B3"/>
    <w:rsid w:val="0076117C"/>
    <w:rsid w:val="0076188D"/>
    <w:rsid w:val="00761FFF"/>
    <w:rsid w:val="0076282F"/>
    <w:rsid w:val="007631D8"/>
    <w:rsid w:val="00763F79"/>
    <w:rsid w:val="0076411D"/>
    <w:rsid w:val="007647EA"/>
    <w:rsid w:val="00764AD6"/>
    <w:rsid w:val="00764C17"/>
    <w:rsid w:val="007655FF"/>
    <w:rsid w:val="007658F0"/>
    <w:rsid w:val="007664E6"/>
    <w:rsid w:val="00766C4E"/>
    <w:rsid w:val="007670F8"/>
    <w:rsid w:val="007671D4"/>
    <w:rsid w:val="00767501"/>
    <w:rsid w:val="00767A0B"/>
    <w:rsid w:val="00767DDA"/>
    <w:rsid w:val="00770A85"/>
    <w:rsid w:val="00770EC7"/>
    <w:rsid w:val="00770EDE"/>
    <w:rsid w:val="007710BD"/>
    <w:rsid w:val="0077137F"/>
    <w:rsid w:val="00771429"/>
    <w:rsid w:val="00771FEA"/>
    <w:rsid w:val="007721F8"/>
    <w:rsid w:val="00773157"/>
    <w:rsid w:val="00773DAF"/>
    <w:rsid w:val="00773DC9"/>
    <w:rsid w:val="007743F4"/>
    <w:rsid w:val="0077451F"/>
    <w:rsid w:val="0077455F"/>
    <w:rsid w:val="00775543"/>
    <w:rsid w:val="0077572E"/>
    <w:rsid w:val="00775A0D"/>
    <w:rsid w:val="00775A7D"/>
    <w:rsid w:val="00775D0C"/>
    <w:rsid w:val="00775E2C"/>
    <w:rsid w:val="007761E1"/>
    <w:rsid w:val="00776CC5"/>
    <w:rsid w:val="00777B5F"/>
    <w:rsid w:val="00777BE4"/>
    <w:rsid w:val="0078031B"/>
    <w:rsid w:val="007807A6"/>
    <w:rsid w:val="00780A70"/>
    <w:rsid w:val="00780E79"/>
    <w:rsid w:val="00780F14"/>
    <w:rsid w:val="007812BA"/>
    <w:rsid w:val="00781B5A"/>
    <w:rsid w:val="00781DB5"/>
    <w:rsid w:val="00782032"/>
    <w:rsid w:val="00782641"/>
    <w:rsid w:val="00782C5C"/>
    <w:rsid w:val="007832FF"/>
    <w:rsid w:val="007837D1"/>
    <w:rsid w:val="00783C41"/>
    <w:rsid w:val="00783E38"/>
    <w:rsid w:val="00783EAD"/>
    <w:rsid w:val="00784277"/>
    <w:rsid w:val="00784545"/>
    <w:rsid w:val="0078498C"/>
    <w:rsid w:val="00784E9A"/>
    <w:rsid w:val="00784F44"/>
    <w:rsid w:val="0078515D"/>
    <w:rsid w:val="00785400"/>
    <w:rsid w:val="00785838"/>
    <w:rsid w:val="00785A9A"/>
    <w:rsid w:val="00785B75"/>
    <w:rsid w:val="00785FFC"/>
    <w:rsid w:val="00786375"/>
    <w:rsid w:val="00786608"/>
    <w:rsid w:val="00786672"/>
    <w:rsid w:val="00786922"/>
    <w:rsid w:val="00786F66"/>
    <w:rsid w:val="00787094"/>
    <w:rsid w:val="007870BF"/>
    <w:rsid w:val="007870E7"/>
    <w:rsid w:val="007872CF"/>
    <w:rsid w:val="0078753D"/>
    <w:rsid w:val="00787DB0"/>
    <w:rsid w:val="00790051"/>
    <w:rsid w:val="007910D2"/>
    <w:rsid w:val="007910DF"/>
    <w:rsid w:val="00791383"/>
    <w:rsid w:val="00791474"/>
    <w:rsid w:val="0079201C"/>
    <w:rsid w:val="007922D6"/>
    <w:rsid w:val="00792A67"/>
    <w:rsid w:val="0079307F"/>
    <w:rsid w:val="007931A7"/>
    <w:rsid w:val="00793920"/>
    <w:rsid w:val="00793B4E"/>
    <w:rsid w:val="00793D0B"/>
    <w:rsid w:val="007940C5"/>
    <w:rsid w:val="007947C4"/>
    <w:rsid w:val="00794815"/>
    <w:rsid w:val="00794A7F"/>
    <w:rsid w:val="00794ECD"/>
    <w:rsid w:val="0079527E"/>
    <w:rsid w:val="00795497"/>
    <w:rsid w:val="007955DD"/>
    <w:rsid w:val="00795654"/>
    <w:rsid w:val="00795812"/>
    <w:rsid w:val="00795CE1"/>
    <w:rsid w:val="00796437"/>
    <w:rsid w:val="00796CA3"/>
    <w:rsid w:val="00796D53"/>
    <w:rsid w:val="00796FD0"/>
    <w:rsid w:val="00797245"/>
    <w:rsid w:val="0079747F"/>
    <w:rsid w:val="00797D8B"/>
    <w:rsid w:val="00797E1A"/>
    <w:rsid w:val="007A015E"/>
    <w:rsid w:val="007A0217"/>
    <w:rsid w:val="007A0646"/>
    <w:rsid w:val="007A06AC"/>
    <w:rsid w:val="007A06CE"/>
    <w:rsid w:val="007A0948"/>
    <w:rsid w:val="007A0A55"/>
    <w:rsid w:val="007A0A6F"/>
    <w:rsid w:val="007A0D64"/>
    <w:rsid w:val="007A13A0"/>
    <w:rsid w:val="007A1B2F"/>
    <w:rsid w:val="007A1EA9"/>
    <w:rsid w:val="007A207E"/>
    <w:rsid w:val="007A223B"/>
    <w:rsid w:val="007A26AE"/>
    <w:rsid w:val="007A2E67"/>
    <w:rsid w:val="007A2F0E"/>
    <w:rsid w:val="007A32DF"/>
    <w:rsid w:val="007A3336"/>
    <w:rsid w:val="007A4636"/>
    <w:rsid w:val="007A4C89"/>
    <w:rsid w:val="007A4F0F"/>
    <w:rsid w:val="007A5212"/>
    <w:rsid w:val="007A5719"/>
    <w:rsid w:val="007A5D8B"/>
    <w:rsid w:val="007A6111"/>
    <w:rsid w:val="007A6253"/>
    <w:rsid w:val="007A6814"/>
    <w:rsid w:val="007A6CE2"/>
    <w:rsid w:val="007A6DED"/>
    <w:rsid w:val="007A7377"/>
    <w:rsid w:val="007A7618"/>
    <w:rsid w:val="007A79D9"/>
    <w:rsid w:val="007A7B4B"/>
    <w:rsid w:val="007B02EC"/>
    <w:rsid w:val="007B0F82"/>
    <w:rsid w:val="007B1014"/>
    <w:rsid w:val="007B103F"/>
    <w:rsid w:val="007B1484"/>
    <w:rsid w:val="007B1599"/>
    <w:rsid w:val="007B1A10"/>
    <w:rsid w:val="007B2923"/>
    <w:rsid w:val="007B31AB"/>
    <w:rsid w:val="007B31DD"/>
    <w:rsid w:val="007B3268"/>
    <w:rsid w:val="007B3325"/>
    <w:rsid w:val="007B3351"/>
    <w:rsid w:val="007B336E"/>
    <w:rsid w:val="007B37F1"/>
    <w:rsid w:val="007B3AD9"/>
    <w:rsid w:val="007B401C"/>
    <w:rsid w:val="007B42D3"/>
    <w:rsid w:val="007B46D9"/>
    <w:rsid w:val="007B575B"/>
    <w:rsid w:val="007B5F14"/>
    <w:rsid w:val="007B6659"/>
    <w:rsid w:val="007B6C39"/>
    <w:rsid w:val="007B76AB"/>
    <w:rsid w:val="007B7D93"/>
    <w:rsid w:val="007B7DBD"/>
    <w:rsid w:val="007C01A2"/>
    <w:rsid w:val="007C022A"/>
    <w:rsid w:val="007C0597"/>
    <w:rsid w:val="007C0730"/>
    <w:rsid w:val="007C09EA"/>
    <w:rsid w:val="007C0BA7"/>
    <w:rsid w:val="007C106B"/>
    <w:rsid w:val="007C138E"/>
    <w:rsid w:val="007C1894"/>
    <w:rsid w:val="007C19F0"/>
    <w:rsid w:val="007C21F4"/>
    <w:rsid w:val="007C2239"/>
    <w:rsid w:val="007C25A7"/>
    <w:rsid w:val="007C264B"/>
    <w:rsid w:val="007C269A"/>
    <w:rsid w:val="007C2CF1"/>
    <w:rsid w:val="007C3734"/>
    <w:rsid w:val="007C3863"/>
    <w:rsid w:val="007C45D3"/>
    <w:rsid w:val="007C4766"/>
    <w:rsid w:val="007C5193"/>
    <w:rsid w:val="007C57C1"/>
    <w:rsid w:val="007C597B"/>
    <w:rsid w:val="007C5D56"/>
    <w:rsid w:val="007C6A34"/>
    <w:rsid w:val="007C6B96"/>
    <w:rsid w:val="007C71E8"/>
    <w:rsid w:val="007C75F4"/>
    <w:rsid w:val="007C760C"/>
    <w:rsid w:val="007C7AFB"/>
    <w:rsid w:val="007C7FAB"/>
    <w:rsid w:val="007D02FA"/>
    <w:rsid w:val="007D08FD"/>
    <w:rsid w:val="007D093A"/>
    <w:rsid w:val="007D094B"/>
    <w:rsid w:val="007D0D33"/>
    <w:rsid w:val="007D0F61"/>
    <w:rsid w:val="007D0FAA"/>
    <w:rsid w:val="007D13F6"/>
    <w:rsid w:val="007D1584"/>
    <w:rsid w:val="007D1708"/>
    <w:rsid w:val="007D1782"/>
    <w:rsid w:val="007D1811"/>
    <w:rsid w:val="007D1866"/>
    <w:rsid w:val="007D1DDB"/>
    <w:rsid w:val="007D1E85"/>
    <w:rsid w:val="007D2044"/>
    <w:rsid w:val="007D252F"/>
    <w:rsid w:val="007D27CD"/>
    <w:rsid w:val="007D2D76"/>
    <w:rsid w:val="007D343A"/>
    <w:rsid w:val="007D378E"/>
    <w:rsid w:val="007D4F33"/>
    <w:rsid w:val="007D501B"/>
    <w:rsid w:val="007D5307"/>
    <w:rsid w:val="007D5493"/>
    <w:rsid w:val="007D554B"/>
    <w:rsid w:val="007D6148"/>
    <w:rsid w:val="007D6503"/>
    <w:rsid w:val="007D65C7"/>
    <w:rsid w:val="007D74D2"/>
    <w:rsid w:val="007D75E2"/>
    <w:rsid w:val="007D76C4"/>
    <w:rsid w:val="007D79B5"/>
    <w:rsid w:val="007E0445"/>
    <w:rsid w:val="007E04AD"/>
    <w:rsid w:val="007E074F"/>
    <w:rsid w:val="007E142F"/>
    <w:rsid w:val="007E15A1"/>
    <w:rsid w:val="007E15E6"/>
    <w:rsid w:val="007E17A1"/>
    <w:rsid w:val="007E2058"/>
    <w:rsid w:val="007E2334"/>
    <w:rsid w:val="007E23CE"/>
    <w:rsid w:val="007E2CE7"/>
    <w:rsid w:val="007E2F29"/>
    <w:rsid w:val="007E3E45"/>
    <w:rsid w:val="007E3F80"/>
    <w:rsid w:val="007E3F99"/>
    <w:rsid w:val="007E43C7"/>
    <w:rsid w:val="007E43D0"/>
    <w:rsid w:val="007E4EAB"/>
    <w:rsid w:val="007E4EB1"/>
    <w:rsid w:val="007E4EC5"/>
    <w:rsid w:val="007E4F00"/>
    <w:rsid w:val="007E54F8"/>
    <w:rsid w:val="007E5987"/>
    <w:rsid w:val="007E59D1"/>
    <w:rsid w:val="007E5BD8"/>
    <w:rsid w:val="007E60E6"/>
    <w:rsid w:val="007E677D"/>
    <w:rsid w:val="007E78AA"/>
    <w:rsid w:val="007E7BF9"/>
    <w:rsid w:val="007E7CB3"/>
    <w:rsid w:val="007E7EB8"/>
    <w:rsid w:val="007F0191"/>
    <w:rsid w:val="007F02BC"/>
    <w:rsid w:val="007F03B5"/>
    <w:rsid w:val="007F0E38"/>
    <w:rsid w:val="007F1D17"/>
    <w:rsid w:val="007F1D5A"/>
    <w:rsid w:val="007F20D7"/>
    <w:rsid w:val="007F2167"/>
    <w:rsid w:val="007F272D"/>
    <w:rsid w:val="007F29F5"/>
    <w:rsid w:val="007F2BF5"/>
    <w:rsid w:val="007F2E65"/>
    <w:rsid w:val="007F30DA"/>
    <w:rsid w:val="007F35AB"/>
    <w:rsid w:val="007F3C8C"/>
    <w:rsid w:val="007F43BA"/>
    <w:rsid w:val="007F45D1"/>
    <w:rsid w:val="007F4869"/>
    <w:rsid w:val="007F4D0D"/>
    <w:rsid w:val="007F4D59"/>
    <w:rsid w:val="007F4DD0"/>
    <w:rsid w:val="007F4EE2"/>
    <w:rsid w:val="007F64BE"/>
    <w:rsid w:val="007F6709"/>
    <w:rsid w:val="007F6DC3"/>
    <w:rsid w:val="007F7B82"/>
    <w:rsid w:val="007F7D09"/>
    <w:rsid w:val="007F7E2F"/>
    <w:rsid w:val="007F7E3F"/>
    <w:rsid w:val="007F7F86"/>
    <w:rsid w:val="00800034"/>
    <w:rsid w:val="008006B4"/>
    <w:rsid w:val="00800924"/>
    <w:rsid w:val="00800E4C"/>
    <w:rsid w:val="008015B6"/>
    <w:rsid w:val="00801EA5"/>
    <w:rsid w:val="00802976"/>
    <w:rsid w:val="00802E88"/>
    <w:rsid w:val="008033CC"/>
    <w:rsid w:val="008034D9"/>
    <w:rsid w:val="00803DC7"/>
    <w:rsid w:val="00803FD4"/>
    <w:rsid w:val="0080481C"/>
    <w:rsid w:val="00804C54"/>
    <w:rsid w:val="00804E4E"/>
    <w:rsid w:val="0080503F"/>
    <w:rsid w:val="008056DD"/>
    <w:rsid w:val="00805735"/>
    <w:rsid w:val="00805AC8"/>
    <w:rsid w:val="008066E8"/>
    <w:rsid w:val="00807A3F"/>
    <w:rsid w:val="00807A8E"/>
    <w:rsid w:val="00807BB2"/>
    <w:rsid w:val="00807D39"/>
    <w:rsid w:val="00807DBD"/>
    <w:rsid w:val="00810B0A"/>
    <w:rsid w:val="0081104C"/>
    <w:rsid w:val="008113A3"/>
    <w:rsid w:val="0081150B"/>
    <w:rsid w:val="008115E0"/>
    <w:rsid w:val="00811EC7"/>
    <w:rsid w:val="00811F88"/>
    <w:rsid w:val="008121F2"/>
    <w:rsid w:val="00812C13"/>
    <w:rsid w:val="00812D16"/>
    <w:rsid w:val="00813158"/>
    <w:rsid w:val="0081323F"/>
    <w:rsid w:val="0081376D"/>
    <w:rsid w:val="00814C03"/>
    <w:rsid w:val="00814DD2"/>
    <w:rsid w:val="00815FA0"/>
    <w:rsid w:val="0081631E"/>
    <w:rsid w:val="008163B1"/>
    <w:rsid w:val="008164D8"/>
    <w:rsid w:val="00816669"/>
    <w:rsid w:val="0081697E"/>
    <w:rsid w:val="00816C51"/>
    <w:rsid w:val="00816D92"/>
    <w:rsid w:val="00817FF3"/>
    <w:rsid w:val="0082047A"/>
    <w:rsid w:val="008208AE"/>
    <w:rsid w:val="008209B0"/>
    <w:rsid w:val="008215BE"/>
    <w:rsid w:val="00821865"/>
    <w:rsid w:val="0082195C"/>
    <w:rsid w:val="00821A19"/>
    <w:rsid w:val="00821B78"/>
    <w:rsid w:val="00821CDA"/>
    <w:rsid w:val="00822132"/>
    <w:rsid w:val="008225EB"/>
    <w:rsid w:val="0082265E"/>
    <w:rsid w:val="008227A2"/>
    <w:rsid w:val="00822B7B"/>
    <w:rsid w:val="0082327D"/>
    <w:rsid w:val="00823304"/>
    <w:rsid w:val="008233D8"/>
    <w:rsid w:val="0082356F"/>
    <w:rsid w:val="00823666"/>
    <w:rsid w:val="00823773"/>
    <w:rsid w:val="008238E3"/>
    <w:rsid w:val="0082426C"/>
    <w:rsid w:val="00824276"/>
    <w:rsid w:val="0082433D"/>
    <w:rsid w:val="008244A6"/>
    <w:rsid w:val="008245F5"/>
    <w:rsid w:val="00824A83"/>
    <w:rsid w:val="00824D12"/>
    <w:rsid w:val="008253FE"/>
    <w:rsid w:val="00825B78"/>
    <w:rsid w:val="00826509"/>
    <w:rsid w:val="00826A19"/>
    <w:rsid w:val="0082707B"/>
    <w:rsid w:val="00827622"/>
    <w:rsid w:val="0083046F"/>
    <w:rsid w:val="008305B4"/>
    <w:rsid w:val="00831176"/>
    <w:rsid w:val="008316B1"/>
    <w:rsid w:val="008318B2"/>
    <w:rsid w:val="0083354D"/>
    <w:rsid w:val="00833830"/>
    <w:rsid w:val="00833E36"/>
    <w:rsid w:val="00834052"/>
    <w:rsid w:val="008343B5"/>
    <w:rsid w:val="008343FE"/>
    <w:rsid w:val="0083467F"/>
    <w:rsid w:val="00834CBB"/>
    <w:rsid w:val="0083561B"/>
    <w:rsid w:val="008357E1"/>
    <w:rsid w:val="008357FD"/>
    <w:rsid w:val="00835F77"/>
    <w:rsid w:val="00836351"/>
    <w:rsid w:val="00836A2D"/>
    <w:rsid w:val="00836B5E"/>
    <w:rsid w:val="00836EE4"/>
    <w:rsid w:val="0083739B"/>
    <w:rsid w:val="008373AB"/>
    <w:rsid w:val="00837755"/>
    <w:rsid w:val="00837879"/>
    <w:rsid w:val="00837B95"/>
    <w:rsid w:val="00837D78"/>
    <w:rsid w:val="00840B38"/>
    <w:rsid w:val="00840BB0"/>
    <w:rsid w:val="00840CB2"/>
    <w:rsid w:val="00840D79"/>
    <w:rsid w:val="00840D84"/>
    <w:rsid w:val="00841181"/>
    <w:rsid w:val="0084174A"/>
    <w:rsid w:val="008420E7"/>
    <w:rsid w:val="00842A1A"/>
    <w:rsid w:val="00842A21"/>
    <w:rsid w:val="00843186"/>
    <w:rsid w:val="00843484"/>
    <w:rsid w:val="00843543"/>
    <w:rsid w:val="00843EF2"/>
    <w:rsid w:val="00843F6C"/>
    <w:rsid w:val="00844681"/>
    <w:rsid w:val="00845044"/>
    <w:rsid w:val="00845B52"/>
    <w:rsid w:val="00845DAD"/>
    <w:rsid w:val="00845EBA"/>
    <w:rsid w:val="00846208"/>
    <w:rsid w:val="00846AB6"/>
    <w:rsid w:val="00846DCB"/>
    <w:rsid w:val="008472B0"/>
    <w:rsid w:val="008479EF"/>
    <w:rsid w:val="00847A57"/>
    <w:rsid w:val="00850022"/>
    <w:rsid w:val="0085023E"/>
    <w:rsid w:val="00850678"/>
    <w:rsid w:val="0085104D"/>
    <w:rsid w:val="00851377"/>
    <w:rsid w:val="00851441"/>
    <w:rsid w:val="008518FF"/>
    <w:rsid w:val="00851FA6"/>
    <w:rsid w:val="008523A9"/>
    <w:rsid w:val="00852DFF"/>
    <w:rsid w:val="008538E9"/>
    <w:rsid w:val="00854074"/>
    <w:rsid w:val="0085425F"/>
    <w:rsid w:val="0085437C"/>
    <w:rsid w:val="0085482D"/>
    <w:rsid w:val="00854B2F"/>
    <w:rsid w:val="00855084"/>
    <w:rsid w:val="00855481"/>
    <w:rsid w:val="00856051"/>
    <w:rsid w:val="00856354"/>
    <w:rsid w:val="00856610"/>
    <w:rsid w:val="008568E1"/>
    <w:rsid w:val="00856966"/>
    <w:rsid w:val="00856BE9"/>
    <w:rsid w:val="00856EDC"/>
    <w:rsid w:val="008576CA"/>
    <w:rsid w:val="008578F8"/>
    <w:rsid w:val="00857AFF"/>
    <w:rsid w:val="00857BEB"/>
    <w:rsid w:val="00857D8D"/>
    <w:rsid w:val="008601C6"/>
    <w:rsid w:val="008602D8"/>
    <w:rsid w:val="00860566"/>
    <w:rsid w:val="008608DC"/>
    <w:rsid w:val="00860AE7"/>
    <w:rsid w:val="0086129A"/>
    <w:rsid w:val="0086165C"/>
    <w:rsid w:val="00861B26"/>
    <w:rsid w:val="00861B64"/>
    <w:rsid w:val="00861D72"/>
    <w:rsid w:val="008622E9"/>
    <w:rsid w:val="00862C54"/>
    <w:rsid w:val="00862EED"/>
    <w:rsid w:val="00863216"/>
    <w:rsid w:val="00863E23"/>
    <w:rsid w:val="00864167"/>
    <w:rsid w:val="008643FC"/>
    <w:rsid w:val="00864539"/>
    <w:rsid w:val="008649B9"/>
    <w:rsid w:val="00864FDB"/>
    <w:rsid w:val="00865B2C"/>
    <w:rsid w:val="00865CB6"/>
    <w:rsid w:val="008672C2"/>
    <w:rsid w:val="00867614"/>
    <w:rsid w:val="00867656"/>
    <w:rsid w:val="0086784F"/>
    <w:rsid w:val="0086794C"/>
    <w:rsid w:val="00870003"/>
    <w:rsid w:val="008700D8"/>
    <w:rsid w:val="0087012A"/>
    <w:rsid w:val="00870394"/>
    <w:rsid w:val="00870571"/>
    <w:rsid w:val="0087073B"/>
    <w:rsid w:val="008708A3"/>
    <w:rsid w:val="008717BA"/>
    <w:rsid w:val="00871946"/>
    <w:rsid w:val="00872529"/>
    <w:rsid w:val="00872683"/>
    <w:rsid w:val="0087268B"/>
    <w:rsid w:val="00872996"/>
    <w:rsid w:val="00872A4A"/>
    <w:rsid w:val="00872BA2"/>
    <w:rsid w:val="00873473"/>
    <w:rsid w:val="008737CF"/>
    <w:rsid w:val="00873967"/>
    <w:rsid w:val="00874108"/>
    <w:rsid w:val="008743BB"/>
    <w:rsid w:val="00874D9F"/>
    <w:rsid w:val="008753F6"/>
    <w:rsid w:val="008758B8"/>
    <w:rsid w:val="00875A61"/>
    <w:rsid w:val="00875E85"/>
    <w:rsid w:val="00876D7A"/>
    <w:rsid w:val="008770D4"/>
    <w:rsid w:val="00877234"/>
    <w:rsid w:val="00877284"/>
    <w:rsid w:val="00877403"/>
    <w:rsid w:val="00877428"/>
    <w:rsid w:val="008776D9"/>
    <w:rsid w:val="008800E5"/>
    <w:rsid w:val="0088119B"/>
    <w:rsid w:val="0088127F"/>
    <w:rsid w:val="008815EF"/>
    <w:rsid w:val="00881AF3"/>
    <w:rsid w:val="00881C04"/>
    <w:rsid w:val="00881C94"/>
    <w:rsid w:val="00883AD2"/>
    <w:rsid w:val="00883E17"/>
    <w:rsid w:val="00883ED5"/>
    <w:rsid w:val="008844D9"/>
    <w:rsid w:val="00884C14"/>
    <w:rsid w:val="00885273"/>
    <w:rsid w:val="008853A3"/>
    <w:rsid w:val="00885A53"/>
    <w:rsid w:val="00885F2C"/>
    <w:rsid w:val="008862E9"/>
    <w:rsid w:val="00886386"/>
    <w:rsid w:val="0088674B"/>
    <w:rsid w:val="008868A5"/>
    <w:rsid w:val="0088701C"/>
    <w:rsid w:val="00887490"/>
    <w:rsid w:val="008878C2"/>
    <w:rsid w:val="008902E4"/>
    <w:rsid w:val="008904EA"/>
    <w:rsid w:val="008904F2"/>
    <w:rsid w:val="008919E1"/>
    <w:rsid w:val="00891DCE"/>
    <w:rsid w:val="00892255"/>
    <w:rsid w:val="00892459"/>
    <w:rsid w:val="0089270F"/>
    <w:rsid w:val="0089274C"/>
    <w:rsid w:val="008927D5"/>
    <w:rsid w:val="008928B8"/>
    <w:rsid w:val="008929AA"/>
    <w:rsid w:val="00892AA5"/>
    <w:rsid w:val="00892F94"/>
    <w:rsid w:val="00892FD4"/>
    <w:rsid w:val="00893095"/>
    <w:rsid w:val="00893358"/>
    <w:rsid w:val="008934E0"/>
    <w:rsid w:val="008937C5"/>
    <w:rsid w:val="00893E4A"/>
    <w:rsid w:val="0089430E"/>
    <w:rsid w:val="0089449D"/>
    <w:rsid w:val="0089499B"/>
    <w:rsid w:val="00894ACA"/>
    <w:rsid w:val="00894B2D"/>
    <w:rsid w:val="00894EC5"/>
    <w:rsid w:val="0089526F"/>
    <w:rsid w:val="008954C3"/>
    <w:rsid w:val="00895551"/>
    <w:rsid w:val="00895552"/>
    <w:rsid w:val="00895731"/>
    <w:rsid w:val="00895B14"/>
    <w:rsid w:val="00895BE6"/>
    <w:rsid w:val="00895C7D"/>
    <w:rsid w:val="00895DE8"/>
    <w:rsid w:val="00896079"/>
    <w:rsid w:val="008961D1"/>
    <w:rsid w:val="00896658"/>
    <w:rsid w:val="008967B5"/>
    <w:rsid w:val="0089686B"/>
    <w:rsid w:val="00896884"/>
    <w:rsid w:val="00896BB6"/>
    <w:rsid w:val="008975F8"/>
    <w:rsid w:val="008A00EF"/>
    <w:rsid w:val="008A0247"/>
    <w:rsid w:val="008A03AC"/>
    <w:rsid w:val="008A0455"/>
    <w:rsid w:val="008A07C3"/>
    <w:rsid w:val="008A1008"/>
    <w:rsid w:val="008A1339"/>
    <w:rsid w:val="008A16C4"/>
    <w:rsid w:val="008A1734"/>
    <w:rsid w:val="008A1CF7"/>
    <w:rsid w:val="008A1EF5"/>
    <w:rsid w:val="008A24E0"/>
    <w:rsid w:val="008A305C"/>
    <w:rsid w:val="008A345A"/>
    <w:rsid w:val="008A364B"/>
    <w:rsid w:val="008A3C4E"/>
    <w:rsid w:val="008A3DB9"/>
    <w:rsid w:val="008A44EB"/>
    <w:rsid w:val="008A4626"/>
    <w:rsid w:val="008A49D0"/>
    <w:rsid w:val="008A55EB"/>
    <w:rsid w:val="008A5A0D"/>
    <w:rsid w:val="008A654F"/>
    <w:rsid w:val="008A676D"/>
    <w:rsid w:val="008A69A3"/>
    <w:rsid w:val="008A6A5C"/>
    <w:rsid w:val="008A7316"/>
    <w:rsid w:val="008A791B"/>
    <w:rsid w:val="008A7AD7"/>
    <w:rsid w:val="008B082D"/>
    <w:rsid w:val="008B0A78"/>
    <w:rsid w:val="008B0E8E"/>
    <w:rsid w:val="008B0FC5"/>
    <w:rsid w:val="008B1E0D"/>
    <w:rsid w:val="008B2716"/>
    <w:rsid w:val="008B3318"/>
    <w:rsid w:val="008B3471"/>
    <w:rsid w:val="008B386A"/>
    <w:rsid w:val="008B3898"/>
    <w:rsid w:val="008B3C87"/>
    <w:rsid w:val="008B3E15"/>
    <w:rsid w:val="008B4A1C"/>
    <w:rsid w:val="008B500A"/>
    <w:rsid w:val="008B520E"/>
    <w:rsid w:val="008B6751"/>
    <w:rsid w:val="008B6A49"/>
    <w:rsid w:val="008B7EF3"/>
    <w:rsid w:val="008C0415"/>
    <w:rsid w:val="008C04C8"/>
    <w:rsid w:val="008C0732"/>
    <w:rsid w:val="008C0840"/>
    <w:rsid w:val="008C090B"/>
    <w:rsid w:val="008C0CFF"/>
    <w:rsid w:val="008C1610"/>
    <w:rsid w:val="008C20A0"/>
    <w:rsid w:val="008C2575"/>
    <w:rsid w:val="008C28C0"/>
    <w:rsid w:val="008C2F1E"/>
    <w:rsid w:val="008C30E5"/>
    <w:rsid w:val="008C353C"/>
    <w:rsid w:val="008C3B5B"/>
    <w:rsid w:val="008C409F"/>
    <w:rsid w:val="008C571F"/>
    <w:rsid w:val="008C5A7E"/>
    <w:rsid w:val="008C5B05"/>
    <w:rsid w:val="008C602D"/>
    <w:rsid w:val="008C6BCC"/>
    <w:rsid w:val="008C6C82"/>
    <w:rsid w:val="008C6E8A"/>
    <w:rsid w:val="008C750E"/>
    <w:rsid w:val="008C7640"/>
    <w:rsid w:val="008C7C53"/>
    <w:rsid w:val="008C7C78"/>
    <w:rsid w:val="008D00B6"/>
    <w:rsid w:val="008D031F"/>
    <w:rsid w:val="008D078B"/>
    <w:rsid w:val="008D098D"/>
    <w:rsid w:val="008D135A"/>
    <w:rsid w:val="008D194E"/>
    <w:rsid w:val="008D1F96"/>
    <w:rsid w:val="008D21BA"/>
    <w:rsid w:val="008D2205"/>
    <w:rsid w:val="008D2331"/>
    <w:rsid w:val="008D2FA2"/>
    <w:rsid w:val="008D347F"/>
    <w:rsid w:val="008D35AD"/>
    <w:rsid w:val="008D36AE"/>
    <w:rsid w:val="008D36CD"/>
    <w:rsid w:val="008D4107"/>
    <w:rsid w:val="008D4380"/>
    <w:rsid w:val="008D4390"/>
    <w:rsid w:val="008D47E8"/>
    <w:rsid w:val="008D48D1"/>
    <w:rsid w:val="008D5137"/>
    <w:rsid w:val="008D5846"/>
    <w:rsid w:val="008D5FAA"/>
    <w:rsid w:val="008D6BE8"/>
    <w:rsid w:val="008D6F15"/>
    <w:rsid w:val="008D7399"/>
    <w:rsid w:val="008D7B8E"/>
    <w:rsid w:val="008E0568"/>
    <w:rsid w:val="008E0865"/>
    <w:rsid w:val="008E0EB9"/>
    <w:rsid w:val="008E169C"/>
    <w:rsid w:val="008E1A68"/>
    <w:rsid w:val="008E25F0"/>
    <w:rsid w:val="008E27E9"/>
    <w:rsid w:val="008E29E5"/>
    <w:rsid w:val="008E37E1"/>
    <w:rsid w:val="008E384E"/>
    <w:rsid w:val="008E42DE"/>
    <w:rsid w:val="008E438B"/>
    <w:rsid w:val="008E4875"/>
    <w:rsid w:val="008E4C90"/>
    <w:rsid w:val="008E699F"/>
    <w:rsid w:val="008E6BBC"/>
    <w:rsid w:val="008E6D6D"/>
    <w:rsid w:val="008E6E70"/>
    <w:rsid w:val="008F0039"/>
    <w:rsid w:val="008F0149"/>
    <w:rsid w:val="008F01E8"/>
    <w:rsid w:val="008F0657"/>
    <w:rsid w:val="008F06CB"/>
    <w:rsid w:val="008F0EFD"/>
    <w:rsid w:val="008F0FE5"/>
    <w:rsid w:val="008F14E7"/>
    <w:rsid w:val="008F1A9C"/>
    <w:rsid w:val="008F1F19"/>
    <w:rsid w:val="008F2423"/>
    <w:rsid w:val="008F24B4"/>
    <w:rsid w:val="008F2A47"/>
    <w:rsid w:val="008F2C49"/>
    <w:rsid w:val="008F3650"/>
    <w:rsid w:val="008F36F0"/>
    <w:rsid w:val="008F408A"/>
    <w:rsid w:val="008F4213"/>
    <w:rsid w:val="008F4367"/>
    <w:rsid w:val="008F4B95"/>
    <w:rsid w:val="008F4FFE"/>
    <w:rsid w:val="008F5540"/>
    <w:rsid w:val="008F66BC"/>
    <w:rsid w:val="008F6FA3"/>
    <w:rsid w:val="008F7043"/>
    <w:rsid w:val="008F7221"/>
    <w:rsid w:val="008F7707"/>
    <w:rsid w:val="008F7988"/>
    <w:rsid w:val="008F7BD3"/>
    <w:rsid w:val="008F7CD9"/>
    <w:rsid w:val="008F7CFF"/>
    <w:rsid w:val="008F7ED1"/>
    <w:rsid w:val="009009F7"/>
    <w:rsid w:val="00901738"/>
    <w:rsid w:val="00901A4D"/>
    <w:rsid w:val="00901C8D"/>
    <w:rsid w:val="00902A8B"/>
    <w:rsid w:val="00902C7B"/>
    <w:rsid w:val="009033A0"/>
    <w:rsid w:val="00904A4D"/>
    <w:rsid w:val="009055C7"/>
    <w:rsid w:val="00905643"/>
    <w:rsid w:val="00905EE9"/>
    <w:rsid w:val="009061A1"/>
    <w:rsid w:val="009064F6"/>
    <w:rsid w:val="009065F4"/>
    <w:rsid w:val="009068C3"/>
    <w:rsid w:val="00906BB0"/>
    <w:rsid w:val="00906EE8"/>
    <w:rsid w:val="009075A7"/>
    <w:rsid w:val="00907DFB"/>
    <w:rsid w:val="00910018"/>
    <w:rsid w:val="009100A8"/>
    <w:rsid w:val="00910624"/>
    <w:rsid w:val="00910FBA"/>
    <w:rsid w:val="009112C4"/>
    <w:rsid w:val="009119E7"/>
    <w:rsid w:val="00911B42"/>
    <w:rsid w:val="00911D39"/>
    <w:rsid w:val="009126EA"/>
    <w:rsid w:val="00912B9F"/>
    <w:rsid w:val="00913052"/>
    <w:rsid w:val="009135CB"/>
    <w:rsid w:val="00914067"/>
    <w:rsid w:val="009143B9"/>
    <w:rsid w:val="00914AC4"/>
    <w:rsid w:val="00914AEB"/>
    <w:rsid w:val="00914BDA"/>
    <w:rsid w:val="00914E3F"/>
    <w:rsid w:val="0091510C"/>
    <w:rsid w:val="00915D1A"/>
    <w:rsid w:val="00916011"/>
    <w:rsid w:val="0091638D"/>
    <w:rsid w:val="00916655"/>
    <w:rsid w:val="00916AF7"/>
    <w:rsid w:val="00916CA2"/>
    <w:rsid w:val="009171C3"/>
    <w:rsid w:val="00917C0F"/>
    <w:rsid w:val="009200E2"/>
    <w:rsid w:val="0092040E"/>
    <w:rsid w:val="00920778"/>
    <w:rsid w:val="009207AE"/>
    <w:rsid w:val="00920A80"/>
    <w:rsid w:val="00920C59"/>
    <w:rsid w:val="00920C6C"/>
    <w:rsid w:val="00921897"/>
    <w:rsid w:val="0092189D"/>
    <w:rsid w:val="00921C6D"/>
    <w:rsid w:val="00921FC3"/>
    <w:rsid w:val="00921FCE"/>
    <w:rsid w:val="0092220D"/>
    <w:rsid w:val="00922498"/>
    <w:rsid w:val="009227D9"/>
    <w:rsid w:val="00922870"/>
    <w:rsid w:val="009234CD"/>
    <w:rsid w:val="0092369E"/>
    <w:rsid w:val="0092379E"/>
    <w:rsid w:val="00923C44"/>
    <w:rsid w:val="00923D0A"/>
    <w:rsid w:val="0092445B"/>
    <w:rsid w:val="0092448B"/>
    <w:rsid w:val="00924543"/>
    <w:rsid w:val="00924E76"/>
    <w:rsid w:val="00925394"/>
    <w:rsid w:val="00925C72"/>
    <w:rsid w:val="00925E93"/>
    <w:rsid w:val="00926A7F"/>
    <w:rsid w:val="00926ABB"/>
    <w:rsid w:val="00926BA9"/>
    <w:rsid w:val="00926F53"/>
    <w:rsid w:val="00927791"/>
    <w:rsid w:val="00927F60"/>
    <w:rsid w:val="00930050"/>
    <w:rsid w:val="00930607"/>
    <w:rsid w:val="009307CE"/>
    <w:rsid w:val="00930D0A"/>
    <w:rsid w:val="00930D58"/>
    <w:rsid w:val="00931712"/>
    <w:rsid w:val="00931ACF"/>
    <w:rsid w:val="00931DAE"/>
    <w:rsid w:val="00932012"/>
    <w:rsid w:val="00932136"/>
    <w:rsid w:val="00932359"/>
    <w:rsid w:val="009329BA"/>
    <w:rsid w:val="00932F2E"/>
    <w:rsid w:val="0093304D"/>
    <w:rsid w:val="00934007"/>
    <w:rsid w:val="009348E1"/>
    <w:rsid w:val="00934C5B"/>
    <w:rsid w:val="00934E99"/>
    <w:rsid w:val="00935139"/>
    <w:rsid w:val="00935362"/>
    <w:rsid w:val="009353E2"/>
    <w:rsid w:val="009358B4"/>
    <w:rsid w:val="00935CFA"/>
    <w:rsid w:val="00936939"/>
    <w:rsid w:val="00936BA5"/>
    <w:rsid w:val="00937301"/>
    <w:rsid w:val="00937757"/>
    <w:rsid w:val="00937954"/>
    <w:rsid w:val="00937AC3"/>
    <w:rsid w:val="00940183"/>
    <w:rsid w:val="0094053B"/>
    <w:rsid w:val="00940AE0"/>
    <w:rsid w:val="00940FCC"/>
    <w:rsid w:val="009413E5"/>
    <w:rsid w:val="00941917"/>
    <w:rsid w:val="00941A0C"/>
    <w:rsid w:val="00942040"/>
    <w:rsid w:val="00942866"/>
    <w:rsid w:val="00942C9F"/>
    <w:rsid w:val="0094352C"/>
    <w:rsid w:val="009436B1"/>
    <w:rsid w:val="00943714"/>
    <w:rsid w:val="00943B70"/>
    <w:rsid w:val="00943E77"/>
    <w:rsid w:val="00943F98"/>
    <w:rsid w:val="009444D7"/>
    <w:rsid w:val="00945434"/>
    <w:rsid w:val="00945631"/>
    <w:rsid w:val="0094565D"/>
    <w:rsid w:val="00946627"/>
    <w:rsid w:val="00946862"/>
    <w:rsid w:val="00947256"/>
    <w:rsid w:val="00947549"/>
    <w:rsid w:val="00947AFD"/>
    <w:rsid w:val="00947CF3"/>
    <w:rsid w:val="00950A92"/>
    <w:rsid w:val="00950AB7"/>
    <w:rsid w:val="00950C3F"/>
    <w:rsid w:val="00951265"/>
    <w:rsid w:val="00952152"/>
    <w:rsid w:val="00952802"/>
    <w:rsid w:val="0095290E"/>
    <w:rsid w:val="00953143"/>
    <w:rsid w:val="0095323C"/>
    <w:rsid w:val="0095342F"/>
    <w:rsid w:val="0095387F"/>
    <w:rsid w:val="00953CB4"/>
    <w:rsid w:val="00953FC0"/>
    <w:rsid w:val="009541A2"/>
    <w:rsid w:val="00954617"/>
    <w:rsid w:val="00955E9B"/>
    <w:rsid w:val="0095611B"/>
    <w:rsid w:val="00957030"/>
    <w:rsid w:val="0095738E"/>
    <w:rsid w:val="0095793C"/>
    <w:rsid w:val="00957990"/>
    <w:rsid w:val="00960202"/>
    <w:rsid w:val="0096055D"/>
    <w:rsid w:val="0096060A"/>
    <w:rsid w:val="009609DA"/>
    <w:rsid w:val="00960EF7"/>
    <w:rsid w:val="0096111E"/>
    <w:rsid w:val="00961125"/>
    <w:rsid w:val="009612A6"/>
    <w:rsid w:val="00961410"/>
    <w:rsid w:val="00961E25"/>
    <w:rsid w:val="0096219B"/>
    <w:rsid w:val="009623D8"/>
    <w:rsid w:val="00962472"/>
    <w:rsid w:val="009625DE"/>
    <w:rsid w:val="00962A38"/>
    <w:rsid w:val="00962F52"/>
    <w:rsid w:val="009630BD"/>
    <w:rsid w:val="00963362"/>
    <w:rsid w:val="00963BD1"/>
    <w:rsid w:val="00964DE0"/>
    <w:rsid w:val="009659E4"/>
    <w:rsid w:val="0096611B"/>
    <w:rsid w:val="00966393"/>
    <w:rsid w:val="00966B1F"/>
    <w:rsid w:val="00966CEC"/>
    <w:rsid w:val="009671E6"/>
    <w:rsid w:val="00967496"/>
    <w:rsid w:val="00967630"/>
    <w:rsid w:val="0096764D"/>
    <w:rsid w:val="00967D25"/>
    <w:rsid w:val="009706D3"/>
    <w:rsid w:val="00970726"/>
    <w:rsid w:val="009707BD"/>
    <w:rsid w:val="00970A7E"/>
    <w:rsid w:val="00970BDE"/>
    <w:rsid w:val="009710C8"/>
    <w:rsid w:val="0097116E"/>
    <w:rsid w:val="0097150D"/>
    <w:rsid w:val="009716A4"/>
    <w:rsid w:val="00972127"/>
    <w:rsid w:val="0097237D"/>
    <w:rsid w:val="009724FA"/>
    <w:rsid w:val="00973093"/>
    <w:rsid w:val="009730A2"/>
    <w:rsid w:val="009730EB"/>
    <w:rsid w:val="0097375B"/>
    <w:rsid w:val="0097376A"/>
    <w:rsid w:val="009737D6"/>
    <w:rsid w:val="00973837"/>
    <w:rsid w:val="00973F7A"/>
    <w:rsid w:val="00974518"/>
    <w:rsid w:val="009747AA"/>
    <w:rsid w:val="00974E82"/>
    <w:rsid w:val="00975007"/>
    <w:rsid w:val="009757FD"/>
    <w:rsid w:val="0097605F"/>
    <w:rsid w:val="009771D0"/>
    <w:rsid w:val="00977869"/>
    <w:rsid w:val="009804E5"/>
    <w:rsid w:val="00980626"/>
    <w:rsid w:val="009807DE"/>
    <w:rsid w:val="00980852"/>
    <w:rsid w:val="0098092E"/>
    <w:rsid w:val="00980D12"/>
    <w:rsid w:val="00980D13"/>
    <w:rsid w:val="00980FE0"/>
    <w:rsid w:val="0098143E"/>
    <w:rsid w:val="0098330F"/>
    <w:rsid w:val="00983618"/>
    <w:rsid w:val="00983743"/>
    <w:rsid w:val="009837E9"/>
    <w:rsid w:val="00983817"/>
    <w:rsid w:val="00983B67"/>
    <w:rsid w:val="00984196"/>
    <w:rsid w:val="009849CD"/>
    <w:rsid w:val="00984AD8"/>
    <w:rsid w:val="00985308"/>
    <w:rsid w:val="00985F0F"/>
    <w:rsid w:val="00985F8B"/>
    <w:rsid w:val="009861CF"/>
    <w:rsid w:val="0098720D"/>
    <w:rsid w:val="00987347"/>
    <w:rsid w:val="009877D7"/>
    <w:rsid w:val="00987800"/>
    <w:rsid w:val="00987820"/>
    <w:rsid w:val="00990132"/>
    <w:rsid w:val="00990435"/>
    <w:rsid w:val="0099084E"/>
    <w:rsid w:val="00990ADF"/>
    <w:rsid w:val="00990B70"/>
    <w:rsid w:val="00990C3B"/>
    <w:rsid w:val="00990D38"/>
    <w:rsid w:val="0099165A"/>
    <w:rsid w:val="00991CBD"/>
    <w:rsid w:val="009921E6"/>
    <w:rsid w:val="00992838"/>
    <w:rsid w:val="009928B7"/>
    <w:rsid w:val="00992F39"/>
    <w:rsid w:val="00992F8C"/>
    <w:rsid w:val="00993168"/>
    <w:rsid w:val="0099321A"/>
    <w:rsid w:val="00993CCE"/>
    <w:rsid w:val="0099408B"/>
    <w:rsid w:val="0099418A"/>
    <w:rsid w:val="009943F3"/>
    <w:rsid w:val="009947E8"/>
    <w:rsid w:val="00994DAF"/>
    <w:rsid w:val="009953BF"/>
    <w:rsid w:val="00995EE3"/>
    <w:rsid w:val="009960B7"/>
    <w:rsid w:val="0099643F"/>
    <w:rsid w:val="00996C76"/>
    <w:rsid w:val="00996F08"/>
    <w:rsid w:val="009972FE"/>
    <w:rsid w:val="009975E4"/>
    <w:rsid w:val="00997866"/>
    <w:rsid w:val="00997917"/>
    <w:rsid w:val="009A00EE"/>
    <w:rsid w:val="009A04CF"/>
    <w:rsid w:val="009A08C4"/>
    <w:rsid w:val="009A094C"/>
    <w:rsid w:val="009A0B7E"/>
    <w:rsid w:val="009A1E51"/>
    <w:rsid w:val="009A25C3"/>
    <w:rsid w:val="009A2C24"/>
    <w:rsid w:val="009A2E02"/>
    <w:rsid w:val="009A32B5"/>
    <w:rsid w:val="009A37A8"/>
    <w:rsid w:val="009A37F4"/>
    <w:rsid w:val="009A3F98"/>
    <w:rsid w:val="009A4628"/>
    <w:rsid w:val="009A5C29"/>
    <w:rsid w:val="009A5EAF"/>
    <w:rsid w:val="009A6A90"/>
    <w:rsid w:val="009A6C1E"/>
    <w:rsid w:val="009A6C64"/>
    <w:rsid w:val="009A6E67"/>
    <w:rsid w:val="009A6E6E"/>
    <w:rsid w:val="009A6EF9"/>
    <w:rsid w:val="009A7120"/>
    <w:rsid w:val="009A718E"/>
    <w:rsid w:val="009A7C8D"/>
    <w:rsid w:val="009B0496"/>
    <w:rsid w:val="009B0903"/>
    <w:rsid w:val="009B0960"/>
    <w:rsid w:val="009B1029"/>
    <w:rsid w:val="009B10E7"/>
    <w:rsid w:val="009B1200"/>
    <w:rsid w:val="009B1579"/>
    <w:rsid w:val="009B167F"/>
    <w:rsid w:val="009B1842"/>
    <w:rsid w:val="009B19BD"/>
    <w:rsid w:val="009B1ACF"/>
    <w:rsid w:val="009B2172"/>
    <w:rsid w:val="009B2A3F"/>
    <w:rsid w:val="009B2CCD"/>
    <w:rsid w:val="009B3DA3"/>
    <w:rsid w:val="009B3EDA"/>
    <w:rsid w:val="009B4AB3"/>
    <w:rsid w:val="009B4ADC"/>
    <w:rsid w:val="009B5258"/>
    <w:rsid w:val="009B536C"/>
    <w:rsid w:val="009B5C19"/>
    <w:rsid w:val="009B6017"/>
    <w:rsid w:val="009B6496"/>
    <w:rsid w:val="009B6565"/>
    <w:rsid w:val="009B663B"/>
    <w:rsid w:val="009B6ED3"/>
    <w:rsid w:val="009B7238"/>
    <w:rsid w:val="009B72F3"/>
    <w:rsid w:val="009B73E4"/>
    <w:rsid w:val="009B754D"/>
    <w:rsid w:val="009B7E12"/>
    <w:rsid w:val="009C005C"/>
    <w:rsid w:val="009C01DA"/>
    <w:rsid w:val="009C05CC"/>
    <w:rsid w:val="009C0679"/>
    <w:rsid w:val="009C08F8"/>
    <w:rsid w:val="009C0C6D"/>
    <w:rsid w:val="009C0FA7"/>
    <w:rsid w:val="009C1528"/>
    <w:rsid w:val="009C1B31"/>
    <w:rsid w:val="009C1B3C"/>
    <w:rsid w:val="009C1E4C"/>
    <w:rsid w:val="009C1F68"/>
    <w:rsid w:val="009C20CC"/>
    <w:rsid w:val="009C22DE"/>
    <w:rsid w:val="009C234D"/>
    <w:rsid w:val="009C27EF"/>
    <w:rsid w:val="009C2BDF"/>
    <w:rsid w:val="009C2C08"/>
    <w:rsid w:val="009C2C34"/>
    <w:rsid w:val="009C32FB"/>
    <w:rsid w:val="009C350A"/>
    <w:rsid w:val="009C3558"/>
    <w:rsid w:val="009C3AC3"/>
    <w:rsid w:val="009C44E2"/>
    <w:rsid w:val="009C46C3"/>
    <w:rsid w:val="009C4C38"/>
    <w:rsid w:val="009C4DFA"/>
    <w:rsid w:val="009C55F2"/>
    <w:rsid w:val="009C562E"/>
    <w:rsid w:val="009C5C7B"/>
    <w:rsid w:val="009C5E44"/>
    <w:rsid w:val="009C6ACC"/>
    <w:rsid w:val="009C70A1"/>
    <w:rsid w:val="009C7183"/>
    <w:rsid w:val="009C7531"/>
    <w:rsid w:val="009C7680"/>
    <w:rsid w:val="009C7DC6"/>
    <w:rsid w:val="009D0A54"/>
    <w:rsid w:val="009D0FAD"/>
    <w:rsid w:val="009D1106"/>
    <w:rsid w:val="009D1549"/>
    <w:rsid w:val="009D1811"/>
    <w:rsid w:val="009D1FD8"/>
    <w:rsid w:val="009D220C"/>
    <w:rsid w:val="009D221F"/>
    <w:rsid w:val="009D2B57"/>
    <w:rsid w:val="009D2CD4"/>
    <w:rsid w:val="009D2E43"/>
    <w:rsid w:val="009D2E87"/>
    <w:rsid w:val="009D31C7"/>
    <w:rsid w:val="009D33DF"/>
    <w:rsid w:val="009D424D"/>
    <w:rsid w:val="009D42B0"/>
    <w:rsid w:val="009D48E9"/>
    <w:rsid w:val="009D494E"/>
    <w:rsid w:val="009D4A41"/>
    <w:rsid w:val="009D4D92"/>
    <w:rsid w:val="009D50A6"/>
    <w:rsid w:val="009D50FF"/>
    <w:rsid w:val="009D68A8"/>
    <w:rsid w:val="009D69B7"/>
    <w:rsid w:val="009D6C4A"/>
    <w:rsid w:val="009D7445"/>
    <w:rsid w:val="009D7872"/>
    <w:rsid w:val="009D79D4"/>
    <w:rsid w:val="009D79E7"/>
    <w:rsid w:val="009E098C"/>
    <w:rsid w:val="009E09F0"/>
    <w:rsid w:val="009E0AAE"/>
    <w:rsid w:val="009E0C9E"/>
    <w:rsid w:val="009E10E9"/>
    <w:rsid w:val="009E1676"/>
    <w:rsid w:val="009E19E8"/>
    <w:rsid w:val="009E1BA7"/>
    <w:rsid w:val="009E1D55"/>
    <w:rsid w:val="009E290B"/>
    <w:rsid w:val="009E336D"/>
    <w:rsid w:val="009E377C"/>
    <w:rsid w:val="009E384E"/>
    <w:rsid w:val="009E399E"/>
    <w:rsid w:val="009E3BB0"/>
    <w:rsid w:val="009E3CF1"/>
    <w:rsid w:val="009E3D0F"/>
    <w:rsid w:val="009E411C"/>
    <w:rsid w:val="009E458A"/>
    <w:rsid w:val="009E4C10"/>
    <w:rsid w:val="009E4E91"/>
    <w:rsid w:val="009E4FF7"/>
    <w:rsid w:val="009E5316"/>
    <w:rsid w:val="009E5D57"/>
    <w:rsid w:val="009E5D7C"/>
    <w:rsid w:val="009E5DFC"/>
    <w:rsid w:val="009E5FA8"/>
    <w:rsid w:val="009E6261"/>
    <w:rsid w:val="009E6299"/>
    <w:rsid w:val="009E6961"/>
    <w:rsid w:val="009E69D6"/>
    <w:rsid w:val="009E6DD7"/>
    <w:rsid w:val="009E6FB2"/>
    <w:rsid w:val="009E70DC"/>
    <w:rsid w:val="009E7477"/>
    <w:rsid w:val="009E7AA6"/>
    <w:rsid w:val="009F05CA"/>
    <w:rsid w:val="009F12ED"/>
    <w:rsid w:val="009F1789"/>
    <w:rsid w:val="009F196F"/>
    <w:rsid w:val="009F1A19"/>
    <w:rsid w:val="009F2952"/>
    <w:rsid w:val="009F2D13"/>
    <w:rsid w:val="009F2E3B"/>
    <w:rsid w:val="009F36D2"/>
    <w:rsid w:val="009F39E9"/>
    <w:rsid w:val="009F3B6B"/>
    <w:rsid w:val="009F4504"/>
    <w:rsid w:val="009F502C"/>
    <w:rsid w:val="009F56DE"/>
    <w:rsid w:val="009F599F"/>
    <w:rsid w:val="009F5BAA"/>
    <w:rsid w:val="009F5CC9"/>
    <w:rsid w:val="009F603B"/>
    <w:rsid w:val="009F61DA"/>
    <w:rsid w:val="009F636B"/>
    <w:rsid w:val="009F6987"/>
    <w:rsid w:val="009F720F"/>
    <w:rsid w:val="009F72ED"/>
    <w:rsid w:val="009F7D73"/>
    <w:rsid w:val="00A001CC"/>
    <w:rsid w:val="00A010E7"/>
    <w:rsid w:val="00A01386"/>
    <w:rsid w:val="00A0186B"/>
    <w:rsid w:val="00A019BD"/>
    <w:rsid w:val="00A01A17"/>
    <w:rsid w:val="00A01A60"/>
    <w:rsid w:val="00A01DE0"/>
    <w:rsid w:val="00A01DF2"/>
    <w:rsid w:val="00A01FEB"/>
    <w:rsid w:val="00A020C4"/>
    <w:rsid w:val="00A025FE"/>
    <w:rsid w:val="00A026FA"/>
    <w:rsid w:val="00A027BD"/>
    <w:rsid w:val="00A027C3"/>
    <w:rsid w:val="00A0308D"/>
    <w:rsid w:val="00A031D5"/>
    <w:rsid w:val="00A0351C"/>
    <w:rsid w:val="00A03848"/>
    <w:rsid w:val="00A039B7"/>
    <w:rsid w:val="00A03D43"/>
    <w:rsid w:val="00A03E6F"/>
    <w:rsid w:val="00A04710"/>
    <w:rsid w:val="00A04CB9"/>
    <w:rsid w:val="00A04F03"/>
    <w:rsid w:val="00A05FAD"/>
    <w:rsid w:val="00A06057"/>
    <w:rsid w:val="00A062B2"/>
    <w:rsid w:val="00A06A1B"/>
    <w:rsid w:val="00A06C8E"/>
    <w:rsid w:val="00A06E6E"/>
    <w:rsid w:val="00A0759D"/>
    <w:rsid w:val="00A076F9"/>
    <w:rsid w:val="00A07997"/>
    <w:rsid w:val="00A07B27"/>
    <w:rsid w:val="00A07B6A"/>
    <w:rsid w:val="00A07C0D"/>
    <w:rsid w:val="00A07F87"/>
    <w:rsid w:val="00A10EED"/>
    <w:rsid w:val="00A10F79"/>
    <w:rsid w:val="00A11A0C"/>
    <w:rsid w:val="00A12176"/>
    <w:rsid w:val="00A12872"/>
    <w:rsid w:val="00A12C51"/>
    <w:rsid w:val="00A13292"/>
    <w:rsid w:val="00A133C1"/>
    <w:rsid w:val="00A13659"/>
    <w:rsid w:val="00A1516D"/>
    <w:rsid w:val="00A1521D"/>
    <w:rsid w:val="00A155D6"/>
    <w:rsid w:val="00A15BDE"/>
    <w:rsid w:val="00A1637F"/>
    <w:rsid w:val="00A16439"/>
    <w:rsid w:val="00A17480"/>
    <w:rsid w:val="00A17705"/>
    <w:rsid w:val="00A17713"/>
    <w:rsid w:val="00A17CF4"/>
    <w:rsid w:val="00A206ED"/>
    <w:rsid w:val="00A207B8"/>
    <w:rsid w:val="00A20806"/>
    <w:rsid w:val="00A209FA"/>
    <w:rsid w:val="00A20AE0"/>
    <w:rsid w:val="00A20C39"/>
    <w:rsid w:val="00A20C7F"/>
    <w:rsid w:val="00A20C8D"/>
    <w:rsid w:val="00A211DA"/>
    <w:rsid w:val="00A21A15"/>
    <w:rsid w:val="00A21A9B"/>
    <w:rsid w:val="00A21D41"/>
    <w:rsid w:val="00A21F12"/>
    <w:rsid w:val="00A22DBA"/>
    <w:rsid w:val="00A2308E"/>
    <w:rsid w:val="00A2329D"/>
    <w:rsid w:val="00A242B3"/>
    <w:rsid w:val="00A24386"/>
    <w:rsid w:val="00A2490E"/>
    <w:rsid w:val="00A24EE9"/>
    <w:rsid w:val="00A25442"/>
    <w:rsid w:val="00A25539"/>
    <w:rsid w:val="00A25BFF"/>
    <w:rsid w:val="00A25CCA"/>
    <w:rsid w:val="00A26648"/>
    <w:rsid w:val="00A266F2"/>
    <w:rsid w:val="00A26E74"/>
    <w:rsid w:val="00A26F79"/>
    <w:rsid w:val="00A2710A"/>
    <w:rsid w:val="00A27522"/>
    <w:rsid w:val="00A27977"/>
    <w:rsid w:val="00A27E4F"/>
    <w:rsid w:val="00A27E58"/>
    <w:rsid w:val="00A30805"/>
    <w:rsid w:val="00A3136F"/>
    <w:rsid w:val="00A31416"/>
    <w:rsid w:val="00A32030"/>
    <w:rsid w:val="00A321FC"/>
    <w:rsid w:val="00A3290B"/>
    <w:rsid w:val="00A32D2D"/>
    <w:rsid w:val="00A33D20"/>
    <w:rsid w:val="00A33D79"/>
    <w:rsid w:val="00A340A0"/>
    <w:rsid w:val="00A34286"/>
    <w:rsid w:val="00A3453A"/>
    <w:rsid w:val="00A348A0"/>
    <w:rsid w:val="00A34D0C"/>
    <w:rsid w:val="00A34D76"/>
    <w:rsid w:val="00A34F8D"/>
    <w:rsid w:val="00A35125"/>
    <w:rsid w:val="00A365D0"/>
    <w:rsid w:val="00A3672F"/>
    <w:rsid w:val="00A368BC"/>
    <w:rsid w:val="00A36A36"/>
    <w:rsid w:val="00A373D5"/>
    <w:rsid w:val="00A37DD8"/>
    <w:rsid w:val="00A37E24"/>
    <w:rsid w:val="00A402B8"/>
    <w:rsid w:val="00A4043E"/>
    <w:rsid w:val="00A408AB"/>
    <w:rsid w:val="00A41FFC"/>
    <w:rsid w:val="00A4297E"/>
    <w:rsid w:val="00A437D9"/>
    <w:rsid w:val="00A43894"/>
    <w:rsid w:val="00A43C16"/>
    <w:rsid w:val="00A443A6"/>
    <w:rsid w:val="00A449D7"/>
    <w:rsid w:val="00A45324"/>
    <w:rsid w:val="00A45A1A"/>
    <w:rsid w:val="00A45BFC"/>
    <w:rsid w:val="00A45E61"/>
    <w:rsid w:val="00A45FF7"/>
    <w:rsid w:val="00A46971"/>
    <w:rsid w:val="00A47F32"/>
    <w:rsid w:val="00A5023A"/>
    <w:rsid w:val="00A51307"/>
    <w:rsid w:val="00A51778"/>
    <w:rsid w:val="00A51C85"/>
    <w:rsid w:val="00A51EF1"/>
    <w:rsid w:val="00A521D6"/>
    <w:rsid w:val="00A52210"/>
    <w:rsid w:val="00A53220"/>
    <w:rsid w:val="00A532FD"/>
    <w:rsid w:val="00A53419"/>
    <w:rsid w:val="00A538E6"/>
    <w:rsid w:val="00A53B89"/>
    <w:rsid w:val="00A53E05"/>
    <w:rsid w:val="00A54124"/>
    <w:rsid w:val="00A54215"/>
    <w:rsid w:val="00A54514"/>
    <w:rsid w:val="00A5473F"/>
    <w:rsid w:val="00A547D7"/>
    <w:rsid w:val="00A548D1"/>
    <w:rsid w:val="00A54E05"/>
    <w:rsid w:val="00A55AB5"/>
    <w:rsid w:val="00A56102"/>
    <w:rsid w:val="00A56198"/>
    <w:rsid w:val="00A56800"/>
    <w:rsid w:val="00A56966"/>
    <w:rsid w:val="00A56D7E"/>
    <w:rsid w:val="00A56EA0"/>
    <w:rsid w:val="00A56FFB"/>
    <w:rsid w:val="00A57155"/>
    <w:rsid w:val="00A5715A"/>
    <w:rsid w:val="00A57404"/>
    <w:rsid w:val="00A574B6"/>
    <w:rsid w:val="00A575BA"/>
    <w:rsid w:val="00A575BD"/>
    <w:rsid w:val="00A57A2B"/>
    <w:rsid w:val="00A57D2D"/>
    <w:rsid w:val="00A57E43"/>
    <w:rsid w:val="00A57EC3"/>
    <w:rsid w:val="00A605CE"/>
    <w:rsid w:val="00A6096C"/>
    <w:rsid w:val="00A60BCB"/>
    <w:rsid w:val="00A60C9B"/>
    <w:rsid w:val="00A60EEC"/>
    <w:rsid w:val="00A60F52"/>
    <w:rsid w:val="00A60FA3"/>
    <w:rsid w:val="00A61931"/>
    <w:rsid w:val="00A62062"/>
    <w:rsid w:val="00A6211F"/>
    <w:rsid w:val="00A62120"/>
    <w:rsid w:val="00A6225C"/>
    <w:rsid w:val="00A62428"/>
    <w:rsid w:val="00A628CC"/>
    <w:rsid w:val="00A62961"/>
    <w:rsid w:val="00A62B02"/>
    <w:rsid w:val="00A63085"/>
    <w:rsid w:val="00A630BA"/>
    <w:rsid w:val="00A63B83"/>
    <w:rsid w:val="00A63BB3"/>
    <w:rsid w:val="00A63D37"/>
    <w:rsid w:val="00A640B8"/>
    <w:rsid w:val="00A643BA"/>
    <w:rsid w:val="00A643C6"/>
    <w:rsid w:val="00A648BF"/>
    <w:rsid w:val="00A65079"/>
    <w:rsid w:val="00A658A7"/>
    <w:rsid w:val="00A65BD9"/>
    <w:rsid w:val="00A65F7A"/>
    <w:rsid w:val="00A66509"/>
    <w:rsid w:val="00A66718"/>
    <w:rsid w:val="00A671EF"/>
    <w:rsid w:val="00A673EE"/>
    <w:rsid w:val="00A676CD"/>
    <w:rsid w:val="00A7071A"/>
    <w:rsid w:val="00A70AF4"/>
    <w:rsid w:val="00A70B31"/>
    <w:rsid w:val="00A70FEB"/>
    <w:rsid w:val="00A71CB7"/>
    <w:rsid w:val="00A723F3"/>
    <w:rsid w:val="00A72733"/>
    <w:rsid w:val="00A733B7"/>
    <w:rsid w:val="00A73A74"/>
    <w:rsid w:val="00A73A89"/>
    <w:rsid w:val="00A7416D"/>
    <w:rsid w:val="00A7433D"/>
    <w:rsid w:val="00A747A9"/>
    <w:rsid w:val="00A74D11"/>
    <w:rsid w:val="00A74E5D"/>
    <w:rsid w:val="00A75144"/>
    <w:rsid w:val="00A7581E"/>
    <w:rsid w:val="00A759FE"/>
    <w:rsid w:val="00A75A97"/>
    <w:rsid w:val="00A75B84"/>
    <w:rsid w:val="00A75CF1"/>
    <w:rsid w:val="00A75FE1"/>
    <w:rsid w:val="00A76012"/>
    <w:rsid w:val="00A76055"/>
    <w:rsid w:val="00A766CA"/>
    <w:rsid w:val="00A76798"/>
    <w:rsid w:val="00A768F8"/>
    <w:rsid w:val="00A76D67"/>
    <w:rsid w:val="00A77562"/>
    <w:rsid w:val="00A776B8"/>
    <w:rsid w:val="00A77947"/>
    <w:rsid w:val="00A77B58"/>
    <w:rsid w:val="00A80182"/>
    <w:rsid w:val="00A80260"/>
    <w:rsid w:val="00A80687"/>
    <w:rsid w:val="00A81EB6"/>
    <w:rsid w:val="00A82773"/>
    <w:rsid w:val="00A828CC"/>
    <w:rsid w:val="00A82BAB"/>
    <w:rsid w:val="00A82CE8"/>
    <w:rsid w:val="00A82DE9"/>
    <w:rsid w:val="00A837FE"/>
    <w:rsid w:val="00A84520"/>
    <w:rsid w:val="00A84C9D"/>
    <w:rsid w:val="00A84CAC"/>
    <w:rsid w:val="00A85357"/>
    <w:rsid w:val="00A856B8"/>
    <w:rsid w:val="00A85CBB"/>
    <w:rsid w:val="00A86293"/>
    <w:rsid w:val="00A86296"/>
    <w:rsid w:val="00A865F0"/>
    <w:rsid w:val="00A86A99"/>
    <w:rsid w:val="00A871E5"/>
    <w:rsid w:val="00A87941"/>
    <w:rsid w:val="00A87FA2"/>
    <w:rsid w:val="00A900AD"/>
    <w:rsid w:val="00A90279"/>
    <w:rsid w:val="00A902DD"/>
    <w:rsid w:val="00A9088A"/>
    <w:rsid w:val="00A90BCE"/>
    <w:rsid w:val="00A90C1C"/>
    <w:rsid w:val="00A9135F"/>
    <w:rsid w:val="00A91617"/>
    <w:rsid w:val="00A9241C"/>
    <w:rsid w:val="00A92482"/>
    <w:rsid w:val="00A924AC"/>
    <w:rsid w:val="00A92606"/>
    <w:rsid w:val="00A92E52"/>
    <w:rsid w:val="00A92F02"/>
    <w:rsid w:val="00A92FFB"/>
    <w:rsid w:val="00A93121"/>
    <w:rsid w:val="00A93C1C"/>
    <w:rsid w:val="00A943CD"/>
    <w:rsid w:val="00A94B17"/>
    <w:rsid w:val="00A94E18"/>
    <w:rsid w:val="00A94F49"/>
    <w:rsid w:val="00A950C5"/>
    <w:rsid w:val="00A95682"/>
    <w:rsid w:val="00A964F3"/>
    <w:rsid w:val="00A96590"/>
    <w:rsid w:val="00A967AF"/>
    <w:rsid w:val="00A96FA8"/>
    <w:rsid w:val="00A96FE6"/>
    <w:rsid w:val="00A97587"/>
    <w:rsid w:val="00A97666"/>
    <w:rsid w:val="00A9770A"/>
    <w:rsid w:val="00A978AF"/>
    <w:rsid w:val="00A97936"/>
    <w:rsid w:val="00AA0213"/>
    <w:rsid w:val="00AA0222"/>
    <w:rsid w:val="00AA0A43"/>
    <w:rsid w:val="00AA0DD3"/>
    <w:rsid w:val="00AA16E1"/>
    <w:rsid w:val="00AA1C07"/>
    <w:rsid w:val="00AA1C20"/>
    <w:rsid w:val="00AA2866"/>
    <w:rsid w:val="00AA3688"/>
    <w:rsid w:val="00AA4006"/>
    <w:rsid w:val="00AA48C9"/>
    <w:rsid w:val="00AA4A2F"/>
    <w:rsid w:val="00AA4BC3"/>
    <w:rsid w:val="00AA543A"/>
    <w:rsid w:val="00AA558F"/>
    <w:rsid w:val="00AA5669"/>
    <w:rsid w:val="00AA5887"/>
    <w:rsid w:val="00AA5CA0"/>
    <w:rsid w:val="00AA6B4D"/>
    <w:rsid w:val="00AA70F3"/>
    <w:rsid w:val="00AA7493"/>
    <w:rsid w:val="00AA7AB1"/>
    <w:rsid w:val="00AB0A1F"/>
    <w:rsid w:val="00AB16F3"/>
    <w:rsid w:val="00AB16F4"/>
    <w:rsid w:val="00AB19F8"/>
    <w:rsid w:val="00AB1C84"/>
    <w:rsid w:val="00AB22DA"/>
    <w:rsid w:val="00AB2965"/>
    <w:rsid w:val="00AB2A61"/>
    <w:rsid w:val="00AB2A7D"/>
    <w:rsid w:val="00AB2C96"/>
    <w:rsid w:val="00AB35D8"/>
    <w:rsid w:val="00AB3A12"/>
    <w:rsid w:val="00AB485B"/>
    <w:rsid w:val="00AB4C32"/>
    <w:rsid w:val="00AB4CD8"/>
    <w:rsid w:val="00AB578B"/>
    <w:rsid w:val="00AB5A8D"/>
    <w:rsid w:val="00AB5C2A"/>
    <w:rsid w:val="00AB5CBE"/>
    <w:rsid w:val="00AB6642"/>
    <w:rsid w:val="00AB6785"/>
    <w:rsid w:val="00AB6B3C"/>
    <w:rsid w:val="00AB7129"/>
    <w:rsid w:val="00AB7D96"/>
    <w:rsid w:val="00AC037B"/>
    <w:rsid w:val="00AC090A"/>
    <w:rsid w:val="00AC09D7"/>
    <w:rsid w:val="00AC0A2B"/>
    <w:rsid w:val="00AC12C6"/>
    <w:rsid w:val="00AC1810"/>
    <w:rsid w:val="00AC19C2"/>
    <w:rsid w:val="00AC1D27"/>
    <w:rsid w:val="00AC202A"/>
    <w:rsid w:val="00AC208C"/>
    <w:rsid w:val="00AC26A9"/>
    <w:rsid w:val="00AC2E22"/>
    <w:rsid w:val="00AC2EFE"/>
    <w:rsid w:val="00AC2F9E"/>
    <w:rsid w:val="00AC31F2"/>
    <w:rsid w:val="00AC3930"/>
    <w:rsid w:val="00AC3AB1"/>
    <w:rsid w:val="00AC412C"/>
    <w:rsid w:val="00AC596C"/>
    <w:rsid w:val="00AC5A30"/>
    <w:rsid w:val="00AC5B81"/>
    <w:rsid w:val="00AC5B8E"/>
    <w:rsid w:val="00AC609D"/>
    <w:rsid w:val="00AC619D"/>
    <w:rsid w:val="00AC6518"/>
    <w:rsid w:val="00AC68C6"/>
    <w:rsid w:val="00AC70B0"/>
    <w:rsid w:val="00AC7342"/>
    <w:rsid w:val="00AC74CB"/>
    <w:rsid w:val="00AC7612"/>
    <w:rsid w:val="00AC77BB"/>
    <w:rsid w:val="00AC79C1"/>
    <w:rsid w:val="00AC7CA4"/>
    <w:rsid w:val="00AD0139"/>
    <w:rsid w:val="00AD02B0"/>
    <w:rsid w:val="00AD0795"/>
    <w:rsid w:val="00AD11A9"/>
    <w:rsid w:val="00AD15FA"/>
    <w:rsid w:val="00AD1981"/>
    <w:rsid w:val="00AD19C3"/>
    <w:rsid w:val="00AD1B4F"/>
    <w:rsid w:val="00AD1C18"/>
    <w:rsid w:val="00AD218F"/>
    <w:rsid w:val="00AD272D"/>
    <w:rsid w:val="00AD37BE"/>
    <w:rsid w:val="00AD3EC0"/>
    <w:rsid w:val="00AD4495"/>
    <w:rsid w:val="00AD493B"/>
    <w:rsid w:val="00AD4A0D"/>
    <w:rsid w:val="00AD4A64"/>
    <w:rsid w:val="00AD4D4E"/>
    <w:rsid w:val="00AD505E"/>
    <w:rsid w:val="00AD544B"/>
    <w:rsid w:val="00AD598F"/>
    <w:rsid w:val="00AD5C04"/>
    <w:rsid w:val="00AD5E03"/>
    <w:rsid w:val="00AD62F4"/>
    <w:rsid w:val="00AD6C8C"/>
    <w:rsid w:val="00AD6D09"/>
    <w:rsid w:val="00AD6D57"/>
    <w:rsid w:val="00AD6ED7"/>
    <w:rsid w:val="00AD74D2"/>
    <w:rsid w:val="00AD7634"/>
    <w:rsid w:val="00AD7B2A"/>
    <w:rsid w:val="00AE0059"/>
    <w:rsid w:val="00AE0449"/>
    <w:rsid w:val="00AE0715"/>
    <w:rsid w:val="00AE07DA"/>
    <w:rsid w:val="00AE0814"/>
    <w:rsid w:val="00AE098E"/>
    <w:rsid w:val="00AE0BBA"/>
    <w:rsid w:val="00AE2291"/>
    <w:rsid w:val="00AE25C8"/>
    <w:rsid w:val="00AE3552"/>
    <w:rsid w:val="00AE386C"/>
    <w:rsid w:val="00AE3982"/>
    <w:rsid w:val="00AE4003"/>
    <w:rsid w:val="00AE4113"/>
    <w:rsid w:val="00AE430E"/>
    <w:rsid w:val="00AE4380"/>
    <w:rsid w:val="00AE43A0"/>
    <w:rsid w:val="00AE4482"/>
    <w:rsid w:val="00AE45A6"/>
    <w:rsid w:val="00AE4FAC"/>
    <w:rsid w:val="00AE500E"/>
    <w:rsid w:val="00AE534B"/>
    <w:rsid w:val="00AE54EF"/>
    <w:rsid w:val="00AE5525"/>
    <w:rsid w:val="00AE566D"/>
    <w:rsid w:val="00AE5889"/>
    <w:rsid w:val="00AE5919"/>
    <w:rsid w:val="00AE5A34"/>
    <w:rsid w:val="00AE61D5"/>
    <w:rsid w:val="00AE6381"/>
    <w:rsid w:val="00AE656F"/>
    <w:rsid w:val="00AE65BD"/>
    <w:rsid w:val="00AE71EE"/>
    <w:rsid w:val="00AE78B4"/>
    <w:rsid w:val="00AE7933"/>
    <w:rsid w:val="00AE7D78"/>
    <w:rsid w:val="00AF052E"/>
    <w:rsid w:val="00AF0DFB"/>
    <w:rsid w:val="00AF1117"/>
    <w:rsid w:val="00AF1340"/>
    <w:rsid w:val="00AF1B83"/>
    <w:rsid w:val="00AF1D27"/>
    <w:rsid w:val="00AF2DF7"/>
    <w:rsid w:val="00AF2EBD"/>
    <w:rsid w:val="00AF2EEF"/>
    <w:rsid w:val="00AF419B"/>
    <w:rsid w:val="00AF41F6"/>
    <w:rsid w:val="00AF438E"/>
    <w:rsid w:val="00AF45CA"/>
    <w:rsid w:val="00AF47CA"/>
    <w:rsid w:val="00AF4BC5"/>
    <w:rsid w:val="00AF4BFE"/>
    <w:rsid w:val="00AF4CFE"/>
    <w:rsid w:val="00AF509E"/>
    <w:rsid w:val="00AF50F7"/>
    <w:rsid w:val="00AF55D6"/>
    <w:rsid w:val="00AF5CEE"/>
    <w:rsid w:val="00AF5FC7"/>
    <w:rsid w:val="00AF616F"/>
    <w:rsid w:val="00AF61A8"/>
    <w:rsid w:val="00AF64C5"/>
    <w:rsid w:val="00AF705E"/>
    <w:rsid w:val="00AF7506"/>
    <w:rsid w:val="00AF75E2"/>
    <w:rsid w:val="00AF76F5"/>
    <w:rsid w:val="00AF7C3B"/>
    <w:rsid w:val="00B007DD"/>
    <w:rsid w:val="00B0098A"/>
    <w:rsid w:val="00B00BDD"/>
    <w:rsid w:val="00B01016"/>
    <w:rsid w:val="00B0111B"/>
    <w:rsid w:val="00B0146E"/>
    <w:rsid w:val="00B01AE0"/>
    <w:rsid w:val="00B01C09"/>
    <w:rsid w:val="00B01EA2"/>
    <w:rsid w:val="00B02037"/>
    <w:rsid w:val="00B02160"/>
    <w:rsid w:val="00B021D1"/>
    <w:rsid w:val="00B02786"/>
    <w:rsid w:val="00B027CB"/>
    <w:rsid w:val="00B030E1"/>
    <w:rsid w:val="00B032E0"/>
    <w:rsid w:val="00B033ED"/>
    <w:rsid w:val="00B0352B"/>
    <w:rsid w:val="00B03535"/>
    <w:rsid w:val="00B037AF"/>
    <w:rsid w:val="00B039B7"/>
    <w:rsid w:val="00B042FD"/>
    <w:rsid w:val="00B059E4"/>
    <w:rsid w:val="00B0619B"/>
    <w:rsid w:val="00B066C9"/>
    <w:rsid w:val="00B0684E"/>
    <w:rsid w:val="00B07142"/>
    <w:rsid w:val="00B073E6"/>
    <w:rsid w:val="00B074C3"/>
    <w:rsid w:val="00B074F8"/>
    <w:rsid w:val="00B07615"/>
    <w:rsid w:val="00B077BC"/>
    <w:rsid w:val="00B079B1"/>
    <w:rsid w:val="00B07A0C"/>
    <w:rsid w:val="00B07CFC"/>
    <w:rsid w:val="00B07F1A"/>
    <w:rsid w:val="00B09AFD"/>
    <w:rsid w:val="00B100C5"/>
    <w:rsid w:val="00B100F8"/>
    <w:rsid w:val="00B10154"/>
    <w:rsid w:val="00B10245"/>
    <w:rsid w:val="00B10804"/>
    <w:rsid w:val="00B10D55"/>
    <w:rsid w:val="00B10E02"/>
    <w:rsid w:val="00B110F3"/>
    <w:rsid w:val="00B11526"/>
    <w:rsid w:val="00B11A3D"/>
    <w:rsid w:val="00B11F69"/>
    <w:rsid w:val="00B120FF"/>
    <w:rsid w:val="00B12185"/>
    <w:rsid w:val="00B121B0"/>
    <w:rsid w:val="00B12334"/>
    <w:rsid w:val="00B123BC"/>
    <w:rsid w:val="00B12DD0"/>
    <w:rsid w:val="00B13912"/>
    <w:rsid w:val="00B13B87"/>
    <w:rsid w:val="00B13F45"/>
    <w:rsid w:val="00B14068"/>
    <w:rsid w:val="00B1460D"/>
    <w:rsid w:val="00B14F51"/>
    <w:rsid w:val="00B153FB"/>
    <w:rsid w:val="00B154C5"/>
    <w:rsid w:val="00B15B7B"/>
    <w:rsid w:val="00B15EFE"/>
    <w:rsid w:val="00B16816"/>
    <w:rsid w:val="00B16DA5"/>
    <w:rsid w:val="00B1706D"/>
    <w:rsid w:val="00B1732A"/>
    <w:rsid w:val="00B177BE"/>
    <w:rsid w:val="00B17FAB"/>
    <w:rsid w:val="00B2013E"/>
    <w:rsid w:val="00B20881"/>
    <w:rsid w:val="00B20A5C"/>
    <w:rsid w:val="00B2131E"/>
    <w:rsid w:val="00B21B46"/>
    <w:rsid w:val="00B21BE7"/>
    <w:rsid w:val="00B22441"/>
    <w:rsid w:val="00B22C5F"/>
    <w:rsid w:val="00B2303E"/>
    <w:rsid w:val="00B2357A"/>
    <w:rsid w:val="00B23634"/>
    <w:rsid w:val="00B23687"/>
    <w:rsid w:val="00B23724"/>
    <w:rsid w:val="00B23A21"/>
    <w:rsid w:val="00B23AA1"/>
    <w:rsid w:val="00B243F0"/>
    <w:rsid w:val="00B248D5"/>
    <w:rsid w:val="00B25192"/>
    <w:rsid w:val="00B255F4"/>
    <w:rsid w:val="00B25710"/>
    <w:rsid w:val="00B26236"/>
    <w:rsid w:val="00B26548"/>
    <w:rsid w:val="00B2740D"/>
    <w:rsid w:val="00B27873"/>
    <w:rsid w:val="00B27B03"/>
    <w:rsid w:val="00B300B1"/>
    <w:rsid w:val="00B3091F"/>
    <w:rsid w:val="00B310A4"/>
    <w:rsid w:val="00B31258"/>
    <w:rsid w:val="00B31B62"/>
    <w:rsid w:val="00B31F31"/>
    <w:rsid w:val="00B3208E"/>
    <w:rsid w:val="00B325F8"/>
    <w:rsid w:val="00B33711"/>
    <w:rsid w:val="00B338DB"/>
    <w:rsid w:val="00B3416D"/>
    <w:rsid w:val="00B34378"/>
    <w:rsid w:val="00B34889"/>
    <w:rsid w:val="00B34ACF"/>
    <w:rsid w:val="00B34EA9"/>
    <w:rsid w:val="00B3630F"/>
    <w:rsid w:val="00B36348"/>
    <w:rsid w:val="00B37550"/>
    <w:rsid w:val="00B3779E"/>
    <w:rsid w:val="00B37B79"/>
    <w:rsid w:val="00B402C6"/>
    <w:rsid w:val="00B40B04"/>
    <w:rsid w:val="00B41A29"/>
    <w:rsid w:val="00B41DC1"/>
    <w:rsid w:val="00B42502"/>
    <w:rsid w:val="00B42B97"/>
    <w:rsid w:val="00B42C5A"/>
    <w:rsid w:val="00B42F33"/>
    <w:rsid w:val="00B42F69"/>
    <w:rsid w:val="00B42FC2"/>
    <w:rsid w:val="00B44358"/>
    <w:rsid w:val="00B44426"/>
    <w:rsid w:val="00B448C9"/>
    <w:rsid w:val="00B45833"/>
    <w:rsid w:val="00B45B3D"/>
    <w:rsid w:val="00B46EC7"/>
    <w:rsid w:val="00B5009C"/>
    <w:rsid w:val="00B50863"/>
    <w:rsid w:val="00B50A91"/>
    <w:rsid w:val="00B50B09"/>
    <w:rsid w:val="00B50CAE"/>
    <w:rsid w:val="00B5160B"/>
    <w:rsid w:val="00B51761"/>
    <w:rsid w:val="00B51871"/>
    <w:rsid w:val="00B52022"/>
    <w:rsid w:val="00B52187"/>
    <w:rsid w:val="00B524D5"/>
    <w:rsid w:val="00B528C5"/>
    <w:rsid w:val="00B530D3"/>
    <w:rsid w:val="00B532BF"/>
    <w:rsid w:val="00B533B4"/>
    <w:rsid w:val="00B53923"/>
    <w:rsid w:val="00B53CC1"/>
    <w:rsid w:val="00B53D0A"/>
    <w:rsid w:val="00B54691"/>
    <w:rsid w:val="00B5561D"/>
    <w:rsid w:val="00B55C86"/>
    <w:rsid w:val="00B55FD1"/>
    <w:rsid w:val="00B562A3"/>
    <w:rsid w:val="00B5681A"/>
    <w:rsid w:val="00B574C6"/>
    <w:rsid w:val="00B57B97"/>
    <w:rsid w:val="00B57E82"/>
    <w:rsid w:val="00B60367"/>
    <w:rsid w:val="00B6059C"/>
    <w:rsid w:val="00B60CCD"/>
    <w:rsid w:val="00B61299"/>
    <w:rsid w:val="00B61574"/>
    <w:rsid w:val="00B621B7"/>
    <w:rsid w:val="00B621E0"/>
    <w:rsid w:val="00B62854"/>
    <w:rsid w:val="00B62AF7"/>
    <w:rsid w:val="00B62EF1"/>
    <w:rsid w:val="00B62F55"/>
    <w:rsid w:val="00B6318C"/>
    <w:rsid w:val="00B6338B"/>
    <w:rsid w:val="00B640CC"/>
    <w:rsid w:val="00B645B6"/>
    <w:rsid w:val="00B64922"/>
    <w:rsid w:val="00B64B2F"/>
    <w:rsid w:val="00B64B4B"/>
    <w:rsid w:val="00B64D8C"/>
    <w:rsid w:val="00B652CD"/>
    <w:rsid w:val="00B655E3"/>
    <w:rsid w:val="00B655ED"/>
    <w:rsid w:val="00B65624"/>
    <w:rsid w:val="00B667BF"/>
    <w:rsid w:val="00B674D6"/>
    <w:rsid w:val="00B6797D"/>
    <w:rsid w:val="00B67B19"/>
    <w:rsid w:val="00B67FA5"/>
    <w:rsid w:val="00B705A3"/>
    <w:rsid w:val="00B70D12"/>
    <w:rsid w:val="00B70E8C"/>
    <w:rsid w:val="00B70EA0"/>
    <w:rsid w:val="00B72061"/>
    <w:rsid w:val="00B721A6"/>
    <w:rsid w:val="00B7245B"/>
    <w:rsid w:val="00B72FFA"/>
    <w:rsid w:val="00B7346C"/>
    <w:rsid w:val="00B735B8"/>
    <w:rsid w:val="00B73F56"/>
    <w:rsid w:val="00B74169"/>
    <w:rsid w:val="00B74426"/>
    <w:rsid w:val="00B74858"/>
    <w:rsid w:val="00B74CC0"/>
    <w:rsid w:val="00B752EB"/>
    <w:rsid w:val="00B75493"/>
    <w:rsid w:val="00B757B7"/>
    <w:rsid w:val="00B75F46"/>
    <w:rsid w:val="00B75FD9"/>
    <w:rsid w:val="00B76528"/>
    <w:rsid w:val="00B76766"/>
    <w:rsid w:val="00B77084"/>
    <w:rsid w:val="00B77171"/>
    <w:rsid w:val="00B77BE4"/>
    <w:rsid w:val="00B800BF"/>
    <w:rsid w:val="00B80116"/>
    <w:rsid w:val="00B801A8"/>
    <w:rsid w:val="00B805D6"/>
    <w:rsid w:val="00B80660"/>
    <w:rsid w:val="00B812BE"/>
    <w:rsid w:val="00B813D5"/>
    <w:rsid w:val="00B81915"/>
    <w:rsid w:val="00B81EAD"/>
    <w:rsid w:val="00B81EB2"/>
    <w:rsid w:val="00B8258D"/>
    <w:rsid w:val="00B825B4"/>
    <w:rsid w:val="00B8390B"/>
    <w:rsid w:val="00B839E6"/>
    <w:rsid w:val="00B842CA"/>
    <w:rsid w:val="00B846D8"/>
    <w:rsid w:val="00B84987"/>
    <w:rsid w:val="00B849CF"/>
    <w:rsid w:val="00B84D5D"/>
    <w:rsid w:val="00B84E7E"/>
    <w:rsid w:val="00B85077"/>
    <w:rsid w:val="00B86608"/>
    <w:rsid w:val="00B868E5"/>
    <w:rsid w:val="00B8690E"/>
    <w:rsid w:val="00B86937"/>
    <w:rsid w:val="00B869F9"/>
    <w:rsid w:val="00B86F6B"/>
    <w:rsid w:val="00B87847"/>
    <w:rsid w:val="00B90477"/>
    <w:rsid w:val="00B907F5"/>
    <w:rsid w:val="00B90A03"/>
    <w:rsid w:val="00B9100E"/>
    <w:rsid w:val="00B91829"/>
    <w:rsid w:val="00B91B43"/>
    <w:rsid w:val="00B92AA5"/>
    <w:rsid w:val="00B92B13"/>
    <w:rsid w:val="00B92BDC"/>
    <w:rsid w:val="00B9335E"/>
    <w:rsid w:val="00B93447"/>
    <w:rsid w:val="00B93904"/>
    <w:rsid w:val="00B93D3D"/>
    <w:rsid w:val="00B9401A"/>
    <w:rsid w:val="00B9427B"/>
    <w:rsid w:val="00B943B3"/>
    <w:rsid w:val="00B9440C"/>
    <w:rsid w:val="00B9481F"/>
    <w:rsid w:val="00B94930"/>
    <w:rsid w:val="00B955FE"/>
    <w:rsid w:val="00B95D22"/>
    <w:rsid w:val="00B962D2"/>
    <w:rsid w:val="00B9637A"/>
    <w:rsid w:val="00B96722"/>
    <w:rsid w:val="00B96744"/>
    <w:rsid w:val="00B96C77"/>
    <w:rsid w:val="00B96D7F"/>
    <w:rsid w:val="00B96E8D"/>
    <w:rsid w:val="00B979EC"/>
    <w:rsid w:val="00BA06DE"/>
    <w:rsid w:val="00BA0742"/>
    <w:rsid w:val="00BA0B9F"/>
    <w:rsid w:val="00BA1515"/>
    <w:rsid w:val="00BA17A8"/>
    <w:rsid w:val="00BA2AD6"/>
    <w:rsid w:val="00BA3287"/>
    <w:rsid w:val="00BA38E9"/>
    <w:rsid w:val="00BA394E"/>
    <w:rsid w:val="00BA3F71"/>
    <w:rsid w:val="00BA466E"/>
    <w:rsid w:val="00BA4785"/>
    <w:rsid w:val="00BA4F0B"/>
    <w:rsid w:val="00BA50F7"/>
    <w:rsid w:val="00BA5A3E"/>
    <w:rsid w:val="00BA5A50"/>
    <w:rsid w:val="00BA5C93"/>
    <w:rsid w:val="00BA5E35"/>
    <w:rsid w:val="00BA5EB1"/>
    <w:rsid w:val="00BA625E"/>
    <w:rsid w:val="00BA6419"/>
    <w:rsid w:val="00BA6550"/>
    <w:rsid w:val="00BA659D"/>
    <w:rsid w:val="00BA6653"/>
    <w:rsid w:val="00BA6EC0"/>
    <w:rsid w:val="00BA72D3"/>
    <w:rsid w:val="00BB016C"/>
    <w:rsid w:val="00BB0462"/>
    <w:rsid w:val="00BB0CCC"/>
    <w:rsid w:val="00BB0F00"/>
    <w:rsid w:val="00BB10BA"/>
    <w:rsid w:val="00BB18B3"/>
    <w:rsid w:val="00BB215C"/>
    <w:rsid w:val="00BB2DA9"/>
    <w:rsid w:val="00BB3415"/>
    <w:rsid w:val="00BB3642"/>
    <w:rsid w:val="00BB377B"/>
    <w:rsid w:val="00BB39B6"/>
    <w:rsid w:val="00BB3CD2"/>
    <w:rsid w:val="00BB3EC2"/>
    <w:rsid w:val="00BB4304"/>
    <w:rsid w:val="00BB4576"/>
    <w:rsid w:val="00BB4A3B"/>
    <w:rsid w:val="00BB4C20"/>
    <w:rsid w:val="00BB53D6"/>
    <w:rsid w:val="00BB59F6"/>
    <w:rsid w:val="00BB5DD7"/>
    <w:rsid w:val="00BB5EF0"/>
    <w:rsid w:val="00BB616F"/>
    <w:rsid w:val="00BB63D1"/>
    <w:rsid w:val="00BB66AB"/>
    <w:rsid w:val="00BB763B"/>
    <w:rsid w:val="00BB7BBA"/>
    <w:rsid w:val="00BC0258"/>
    <w:rsid w:val="00BC0598"/>
    <w:rsid w:val="00BC0AD6"/>
    <w:rsid w:val="00BC10DC"/>
    <w:rsid w:val="00BC122E"/>
    <w:rsid w:val="00BC13BF"/>
    <w:rsid w:val="00BC16E7"/>
    <w:rsid w:val="00BC1801"/>
    <w:rsid w:val="00BC1D27"/>
    <w:rsid w:val="00BC2BC9"/>
    <w:rsid w:val="00BC2EDF"/>
    <w:rsid w:val="00BC33E5"/>
    <w:rsid w:val="00BC3584"/>
    <w:rsid w:val="00BC3876"/>
    <w:rsid w:val="00BC38F1"/>
    <w:rsid w:val="00BC3E88"/>
    <w:rsid w:val="00BC48A8"/>
    <w:rsid w:val="00BC4E9C"/>
    <w:rsid w:val="00BC5838"/>
    <w:rsid w:val="00BC5EC3"/>
    <w:rsid w:val="00BC6901"/>
    <w:rsid w:val="00BC6D1F"/>
    <w:rsid w:val="00BC6DAB"/>
    <w:rsid w:val="00BC6DC2"/>
    <w:rsid w:val="00BC7381"/>
    <w:rsid w:val="00BC779C"/>
    <w:rsid w:val="00BC7A1D"/>
    <w:rsid w:val="00BD00D2"/>
    <w:rsid w:val="00BD01A9"/>
    <w:rsid w:val="00BD04C1"/>
    <w:rsid w:val="00BD06E5"/>
    <w:rsid w:val="00BD076B"/>
    <w:rsid w:val="00BD0DB0"/>
    <w:rsid w:val="00BD0E2E"/>
    <w:rsid w:val="00BD16BB"/>
    <w:rsid w:val="00BD1988"/>
    <w:rsid w:val="00BD19E4"/>
    <w:rsid w:val="00BD1A1F"/>
    <w:rsid w:val="00BD36D2"/>
    <w:rsid w:val="00BD3A9E"/>
    <w:rsid w:val="00BD49EB"/>
    <w:rsid w:val="00BD56C8"/>
    <w:rsid w:val="00BD6B34"/>
    <w:rsid w:val="00BD6B8D"/>
    <w:rsid w:val="00BD6CFE"/>
    <w:rsid w:val="00BD6EFB"/>
    <w:rsid w:val="00BD7330"/>
    <w:rsid w:val="00BD77FC"/>
    <w:rsid w:val="00BD78F7"/>
    <w:rsid w:val="00BD7A5D"/>
    <w:rsid w:val="00BE0416"/>
    <w:rsid w:val="00BE0AA4"/>
    <w:rsid w:val="00BE1276"/>
    <w:rsid w:val="00BE1BB6"/>
    <w:rsid w:val="00BE1DC4"/>
    <w:rsid w:val="00BE221B"/>
    <w:rsid w:val="00BE28F2"/>
    <w:rsid w:val="00BE2DA5"/>
    <w:rsid w:val="00BE2EBE"/>
    <w:rsid w:val="00BE3729"/>
    <w:rsid w:val="00BE37E9"/>
    <w:rsid w:val="00BE442D"/>
    <w:rsid w:val="00BE4ED6"/>
    <w:rsid w:val="00BE54F3"/>
    <w:rsid w:val="00BE5AA5"/>
    <w:rsid w:val="00BE5F67"/>
    <w:rsid w:val="00BE6064"/>
    <w:rsid w:val="00BE6173"/>
    <w:rsid w:val="00BE6C7D"/>
    <w:rsid w:val="00BE6D70"/>
    <w:rsid w:val="00BE6E5A"/>
    <w:rsid w:val="00BE7920"/>
    <w:rsid w:val="00BE7D06"/>
    <w:rsid w:val="00BF011B"/>
    <w:rsid w:val="00BF0A7F"/>
    <w:rsid w:val="00BF0E47"/>
    <w:rsid w:val="00BF0FC3"/>
    <w:rsid w:val="00BF110F"/>
    <w:rsid w:val="00BF183E"/>
    <w:rsid w:val="00BF1E46"/>
    <w:rsid w:val="00BF253F"/>
    <w:rsid w:val="00BF2A3A"/>
    <w:rsid w:val="00BF2CD1"/>
    <w:rsid w:val="00BF328B"/>
    <w:rsid w:val="00BF3937"/>
    <w:rsid w:val="00BF4476"/>
    <w:rsid w:val="00BF4B6A"/>
    <w:rsid w:val="00BF50C5"/>
    <w:rsid w:val="00BF5135"/>
    <w:rsid w:val="00BF575C"/>
    <w:rsid w:val="00BF582E"/>
    <w:rsid w:val="00BF5B2B"/>
    <w:rsid w:val="00BF6377"/>
    <w:rsid w:val="00BF67F6"/>
    <w:rsid w:val="00BF69A5"/>
    <w:rsid w:val="00BF6A77"/>
    <w:rsid w:val="00BF79BB"/>
    <w:rsid w:val="00BF7DD4"/>
    <w:rsid w:val="00BF7E69"/>
    <w:rsid w:val="00C0027E"/>
    <w:rsid w:val="00C00312"/>
    <w:rsid w:val="00C00763"/>
    <w:rsid w:val="00C00828"/>
    <w:rsid w:val="00C009F5"/>
    <w:rsid w:val="00C00DDA"/>
    <w:rsid w:val="00C01129"/>
    <w:rsid w:val="00C01385"/>
    <w:rsid w:val="00C0151E"/>
    <w:rsid w:val="00C01A1B"/>
    <w:rsid w:val="00C01D72"/>
    <w:rsid w:val="00C01DD9"/>
    <w:rsid w:val="00C02239"/>
    <w:rsid w:val="00C022E1"/>
    <w:rsid w:val="00C02354"/>
    <w:rsid w:val="00C02935"/>
    <w:rsid w:val="00C03074"/>
    <w:rsid w:val="00C0352A"/>
    <w:rsid w:val="00C037CB"/>
    <w:rsid w:val="00C0398D"/>
    <w:rsid w:val="00C03D5E"/>
    <w:rsid w:val="00C03DF8"/>
    <w:rsid w:val="00C0410F"/>
    <w:rsid w:val="00C04220"/>
    <w:rsid w:val="00C04787"/>
    <w:rsid w:val="00C047C0"/>
    <w:rsid w:val="00C04D46"/>
    <w:rsid w:val="00C04F6B"/>
    <w:rsid w:val="00C0512D"/>
    <w:rsid w:val="00C05B25"/>
    <w:rsid w:val="00C05C3D"/>
    <w:rsid w:val="00C0618E"/>
    <w:rsid w:val="00C06849"/>
    <w:rsid w:val="00C06CC3"/>
    <w:rsid w:val="00C06D93"/>
    <w:rsid w:val="00C06FF8"/>
    <w:rsid w:val="00C070D3"/>
    <w:rsid w:val="00C071AC"/>
    <w:rsid w:val="00C0754A"/>
    <w:rsid w:val="00C07653"/>
    <w:rsid w:val="00C07AF9"/>
    <w:rsid w:val="00C07CF0"/>
    <w:rsid w:val="00C07E7A"/>
    <w:rsid w:val="00C109A2"/>
    <w:rsid w:val="00C114DA"/>
    <w:rsid w:val="00C1161D"/>
    <w:rsid w:val="00C11707"/>
    <w:rsid w:val="00C1176F"/>
    <w:rsid w:val="00C11CEB"/>
    <w:rsid w:val="00C11E4C"/>
    <w:rsid w:val="00C120F3"/>
    <w:rsid w:val="00C125A8"/>
    <w:rsid w:val="00C1283D"/>
    <w:rsid w:val="00C12935"/>
    <w:rsid w:val="00C12936"/>
    <w:rsid w:val="00C13703"/>
    <w:rsid w:val="00C13A10"/>
    <w:rsid w:val="00C13A29"/>
    <w:rsid w:val="00C13F46"/>
    <w:rsid w:val="00C14954"/>
    <w:rsid w:val="00C1538E"/>
    <w:rsid w:val="00C15F10"/>
    <w:rsid w:val="00C162A8"/>
    <w:rsid w:val="00C16DD9"/>
    <w:rsid w:val="00C17160"/>
    <w:rsid w:val="00C1763B"/>
    <w:rsid w:val="00C179B0"/>
    <w:rsid w:val="00C20245"/>
    <w:rsid w:val="00C20BF8"/>
    <w:rsid w:val="00C20CA6"/>
    <w:rsid w:val="00C20F6D"/>
    <w:rsid w:val="00C211F9"/>
    <w:rsid w:val="00C21216"/>
    <w:rsid w:val="00C217B3"/>
    <w:rsid w:val="00C218B2"/>
    <w:rsid w:val="00C21AD6"/>
    <w:rsid w:val="00C21B80"/>
    <w:rsid w:val="00C21D59"/>
    <w:rsid w:val="00C21DD8"/>
    <w:rsid w:val="00C22267"/>
    <w:rsid w:val="00C224B5"/>
    <w:rsid w:val="00C226F9"/>
    <w:rsid w:val="00C231E3"/>
    <w:rsid w:val="00C23398"/>
    <w:rsid w:val="00C23B23"/>
    <w:rsid w:val="00C23BCD"/>
    <w:rsid w:val="00C23F8D"/>
    <w:rsid w:val="00C24102"/>
    <w:rsid w:val="00C2428B"/>
    <w:rsid w:val="00C24905"/>
    <w:rsid w:val="00C24D5C"/>
    <w:rsid w:val="00C2538F"/>
    <w:rsid w:val="00C25AED"/>
    <w:rsid w:val="00C26C22"/>
    <w:rsid w:val="00C273C6"/>
    <w:rsid w:val="00C27B03"/>
    <w:rsid w:val="00C27E73"/>
    <w:rsid w:val="00C3089B"/>
    <w:rsid w:val="00C30951"/>
    <w:rsid w:val="00C310F4"/>
    <w:rsid w:val="00C31343"/>
    <w:rsid w:val="00C315BC"/>
    <w:rsid w:val="00C32421"/>
    <w:rsid w:val="00C331DC"/>
    <w:rsid w:val="00C33A24"/>
    <w:rsid w:val="00C33BEE"/>
    <w:rsid w:val="00C3489D"/>
    <w:rsid w:val="00C34B40"/>
    <w:rsid w:val="00C34E04"/>
    <w:rsid w:val="00C351F0"/>
    <w:rsid w:val="00C35610"/>
    <w:rsid w:val="00C35836"/>
    <w:rsid w:val="00C361A9"/>
    <w:rsid w:val="00C36529"/>
    <w:rsid w:val="00C36916"/>
    <w:rsid w:val="00C36FEF"/>
    <w:rsid w:val="00C37D51"/>
    <w:rsid w:val="00C40C27"/>
    <w:rsid w:val="00C4113B"/>
    <w:rsid w:val="00C416EB"/>
    <w:rsid w:val="00C41CD3"/>
    <w:rsid w:val="00C41CE5"/>
    <w:rsid w:val="00C42B71"/>
    <w:rsid w:val="00C42D70"/>
    <w:rsid w:val="00C43438"/>
    <w:rsid w:val="00C4352B"/>
    <w:rsid w:val="00C43FE2"/>
    <w:rsid w:val="00C44264"/>
    <w:rsid w:val="00C44349"/>
    <w:rsid w:val="00C443A8"/>
    <w:rsid w:val="00C44689"/>
    <w:rsid w:val="00C449BA"/>
    <w:rsid w:val="00C44C27"/>
    <w:rsid w:val="00C454F6"/>
    <w:rsid w:val="00C46098"/>
    <w:rsid w:val="00C46251"/>
    <w:rsid w:val="00C463A2"/>
    <w:rsid w:val="00C46492"/>
    <w:rsid w:val="00C467AE"/>
    <w:rsid w:val="00C46D92"/>
    <w:rsid w:val="00C471C4"/>
    <w:rsid w:val="00C4790F"/>
    <w:rsid w:val="00C47FC0"/>
    <w:rsid w:val="00C50764"/>
    <w:rsid w:val="00C50A6D"/>
    <w:rsid w:val="00C51277"/>
    <w:rsid w:val="00C51612"/>
    <w:rsid w:val="00C5189F"/>
    <w:rsid w:val="00C5192D"/>
    <w:rsid w:val="00C51DEE"/>
    <w:rsid w:val="00C5258E"/>
    <w:rsid w:val="00C528CC"/>
    <w:rsid w:val="00C52ACD"/>
    <w:rsid w:val="00C52FF9"/>
    <w:rsid w:val="00C535B2"/>
    <w:rsid w:val="00C53ABD"/>
    <w:rsid w:val="00C53AD3"/>
    <w:rsid w:val="00C53C94"/>
    <w:rsid w:val="00C53EB9"/>
    <w:rsid w:val="00C54AEB"/>
    <w:rsid w:val="00C54F4D"/>
    <w:rsid w:val="00C5599B"/>
    <w:rsid w:val="00C56617"/>
    <w:rsid w:val="00C56908"/>
    <w:rsid w:val="00C570D5"/>
    <w:rsid w:val="00C570FB"/>
    <w:rsid w:val="00C57133"/>
    <w:rsid w:val="00C57741"/>
    <w:rsid w:val="00C57D6F"/>
    <w:rsid w:val="00C60612"/>
    <w:rsid w:val="00C6074F"/>
    <w:rsid w:val="00C60778"/>
    <w:rsid w:val="00C60E67"/>
    <w:rsid w:val="00C60EB7"/>
    <w:rsid w:val="00C618DE"/>
    <w:rsid w:val="00C61CF0"/>
    <w:rsid w:val="00C62568"/>
    <w:rsid w:val="00C62632"/>
    <w:rsid w:val="00C6296C"/>
    <w:rsid w:val="00C63EC4"/>
    <w:rsid w:val="00C64143"/>
    <w:rsid w:val="00C6434D"/>
    <w:rsid w:val="00C643D3"/>
    <w:rsid w:val="00C646D8"/>
    <w:rsid w:val="00C64786"/>
    <w:rsid w:val="00C64D3D"/>
    <w:rsid w:val="00C652E5"/>
    <w:rsid w:val="00C65905"/>
    <w:rsid w:val="00C65DFC"/>
    <w:rsid w:val="00C65ED7"/>
    <w:rsid w:val="00C66736"/>
    <w:rsid w:val="00C66771"/>
    <w:rsid w:val="00C668E5"/>
    <w:rsid w:val="00C67370"/>
    <w:rsid w:val="00C67446"/>
    <w:rsid w:val="00C70360"/>
    <w:rsid w:val="00C70962"/>
    <w:rsid w:val="00C71674"/>
    <w:rsid w:val="00C716D6"/>
    <w:rsid w:val="00C71913"/>
    <w:rsid w:val="00C71D43"/>
    <w:rsid w:val="00C7234A"/>
    <w:rsid w:val="00C7266A"/>
    <w:rsid w:val="00C72718"/>
    <w:rsid w:val="00C729CD"/>
    <w:rsid w:val="00C733F7"/>
    <w:rsid w:val="00C73416"/>
    <w:rsid w:val="00C73DA3"/>
    <w:rsid w:val="00C74595"/>
    <w:rsid w:val="00C7548E"/>
    <w:rsid w:val="00C75A92"/>
    <w:rsid w:val="00C75BDA"/>
    <w:rsid w:val="00C75D27"/>
    <w:rsid w:val="00C75DB6"/>
    <w:rsid w:val="00C75F70"/>
    <w:rsid w:val="00C76035"/>
    <w:rsid w:val="00C7697F"/>
    <w:rsid w:val="00C76E53"/>
    <w:rsid w:val="00C76EDF"/>
    <w:rsid w:val="00C7749D"/>
    <w:rsid w:val="00C779E5"/>
    <w:rsid w:val="00C77FA1"/>
    <w:rsid w:val="00C80370"/>
    <w:rsid w:val="00C8090E"/>
    <w:rsid w:val="00C811CF"/>
    <w:rsid w:val="00C8136C"/>
    <w:rsid w:val="00C81408"/>
    <w:rsid w:val="00C81856"/>
    <w:rsid w:val="00C81AE1"/>
    <w:rsid w:val="00C81BE4"/>
    <w:rsid w:val="00C81FD3"/>
    <w:rsid w:val="00C829A7"/>
    <w:rsid w:val="00C82BCA"/>
    <w:rsid w:val="00C82DC2"/>
    <w:rsid w:val="00C82F3C"/>
    <w:rsid w:val="00C82FAC"/>
    <w:rsid w:val="00C82FFA"/>
    <w:rsid w:val="00C8342B"/>
    <w:rsid w:val="00C83447"/>
    <w:rsid w:val="00C83FC2"/>
    <w:rsid w:val="00C84032"/>
    <w:rsid w:val="00C84A1B"/>
    <w:rsid w:val="00C84A4B"/>
    <w:rsid w:val="00C84D7F"/>
    <w:rsid w:val="00C85521"/>
    <w:rsid w:val="00C856C0"/>
    <w:rsid w:val="00C863EE"/>
    <w:rsid w:val="00C8720E"/>
    <w:rsid w:val="00C90944"/>
    <w:rsid w:val="00C90A53"/>
    <w:rsid w:val="00C90B9F"/>
    <w:rsid w:val="00C91027"/>
    <w:rsid w:val="00C91315"/>
    <w:rsid w:val="00C91C49"/>
    <w:rsid w:val="00C9209B"/>
    <w:rsid w:val="00C92646"/>
    <w:rsid w:val="00C9316A"/>
    <w:rsid w:val="00C93A02"/>
    <w:rsid w:val="00C93B5E"/>
    <w:rsid w:val="00C945DF"/>
    <w:rsid w:val="00C945FC"/>
    <w:rsid w:val="00C94854"/>
    <w:rsid w:val="00C9536D"/>
    <w:rsid w:val="00C956DB"/>
    <w:rsid w:val="00C95D8D"/>
    <w:rsid w:val="00C95DD3"/>
    <w:rsid w:val="00C95E95"/>
    <w:rsid w:val="00C963F0"/>
    <w:rsid w:val="00C96770"/>
    <w:rsid w:val="00C969BB"/>
    <w:rsid w:val="00C96EE1"/>
    <w:rsid w:val="00C96FCB"/>
    <w:rsid w:val="00C97348"/>
    <w:rsid w:val="00C97BFD"/>
    <w:rsid w:val="00C97C7F"/>
    <w:rsid w:val="00CA0094"/>
    <w:rsid w:val="00CA013A"/>
    <w:rsid w:val="00CA0743"/>
    <w:rsid w:val="00CA2283"/>
    <w:rsid w:val="00CA2313"/>
    <w:rsid w:val="00CA2953"/>
    <w:rsid w:val="00CA2A58"/>
    <w:rsid w:val="00CA2AEF"/>
    <w:rsid w:val="00CA2CA3"/>
    <w:rsid w:val="00CA325F"/>
    <w:rsid w:val="00CA33B8"/>
    <w:rsid w:val="00CA39BF"/>
    <w:rsid w:val="00CA3A9C"/>
    <w:rsid w:val="00CA3D35"/>
    <w:rsid w:val="00CA4C55"/>
    <w:rsid w:val="00CA4F32"/>
    <w:rsid w:val="00CA5174"/>
    <w:rsid w:val="00CA528A"/>
    <w:rsid w:val="00CA56CE"/>
    <w:rsid w:val="00CA56DF"/>
    <w:rsid w:val="00CA5A7B"/>
    <w:rsid w:val="00CA5F70"/>
    <w:rsid w:val="00CA5FE6"/>
    <w:rsid w:val="00CA6373"/>
    <w:rsid w:val="00CA64AF"/>
    <w:rsid w:val="00CA65B3"/>
    <w:rsid w:val="00CA6ABF"/>
    <w:rsid w:val="00CA6D9D"/>
    <w:rsid w:val="00CA6DD8"/>
    <w:rsid w:val="00CA6F24"/>
    <w:rsid w:val="00CA707B"/>
    <w:rsid w:val="00CA7C8C"/>
    <w:rsid w:val="00CB077D"/>
    <w:rsid w:val="00CB0803"/>
    <w:rsid w:val="00CB08E5"/>
    <w:rsid w:val="00CB0CBC"/>
    <w:rsid w:val="00CB1582"/>
    <w:rsid w:val="00CB1655"/>
    <w:rsid w:val="00CB1859"/>
    <w:rsid w:val="00CB1972"/>
    <w:rsid w:val="00CB1DC7"/>
    <w:rsid w:val="00CB22B7"/>
    <w:rsid w:val="00CB267F"/>
    <w:rsid w:val="00CB26F4"/>
    <w:rsid w:val="00CB31DA"/>
    <w:rsid w:val="00CB3783"/>
    <w:rsid w:val="00CB3876"/>
    <w:rsid w:val="00CB38B6"/>
    <w:rsid w:val="00CB39A3"/>
    <w:rsid w:val="00CB4145"/>
    <w:rsid w:val="00CB5032"/>
    <w:rsid w:val="00CB5308"/>
    <w:rsid w:val="00CB580B"/>
    <w:rsid w:val="00CB5D03"/>
    <w:rsid w:val="00CB6104"/>
    <w:rsid w:val="00CB6523"/>
    <w:rsid w:val="00CB67C7"/>
    <w:rsid w:val="00CB70E3"/>
    <w:rsid w:val="00CB7177"/>
    <w:rsid w:val="00CB722D"/>
    <w:rsid w:val="00CB7549"/>
    <w:rsid w:val="00CB7A7B"/>
    <w:rsid w:val="00CB7AC1"/>
    <w:rsid w:val="00CB7DF6"/>
    <w:rsid w:val="00CC0061"/>
    <w:rsid w:val="00CC04D6"/>
    <w:rsid w:val="00CC0619"/>
    <w:rsid w:val="00CC1201"/>
    <w:rsid w:val="00CC1545"/>
    <w:rsid w:val="00CC1684"/>
    <w:rsid w:val="00CC1A3E"/>
    <w:rsid w:val="00CC1B12"/>
    <w:rsid w:val="00CC20E8"/>
    <w:rsid w:val="00CC2389"/>
    <w:rsid w:val="00CC280B"/>
    <w:rsid w:val="00CC2D37"/>
    <w:rsid w:val="00CC2EC3"/>
    <w:rsid w:val="00CC303F"/>
    <w:rsid w:val="00CC3C96"/>
    <w:rsid w:val="00CC3DA0"/>
    <w:rsid w:val="00CC41AF"/>
    <w:rsid w:val="00CC4224"/>
    <w:rsid w:val="00CC4DC8"/>
    <w:rsid w:val="00CC51DF"/>
    <w:rsid w:val="00CC563D"/>
    <w:rsid w:val="00CC5B87"/>
    <w:rsid w:val="00CC712B"/>
    <w:rsid w:val="00CC7212"/>
    <w:rsid w:val="00CC74DC"/>
    <w:rsid w:val="00CC7717"/>
    <w:rsid w:val="00CC7A8F"/>
    <w:rsid w:val="00CD0186"/>
    <w:rsid w:val="00CD077C"/>
    <w:rsid w:val="00CD1637"/>
    <w:rsid w:val="00CD271D"/>
    <w:rsid w:val="00CD303A"/>
    <w:rsid w:val="00CD342A"/>
    <w:rsid w:val="00CD3700"/>
    <w:rsid w:val="00CD3940"/>
    <w:rsid w:val="00CD3E28"/>
    <w:rsid w:val="00CD3E9F"/>
    <w:rsid w:val="00CD42C9"/>
    <w:rsid w:val="00CD45A9"/>
    <w:rsid w:val="00CD489F"/>
    <w:rsid w:val="00CD5FF8"/>
    <w:rsid w:val="00CD603F"/>
    <w:rsid w:val="00CD673C"/>
    <w:rsid w:val="00CD6A59"/>
    <w:rsid w:val="00CD6FBF"/>
    <w:rsid w:val="00CD7080"/>
    <w:rsid w:val="00CD7718"/>
    <w:rsid w:val="00CE04F6"/>
    <w:rsid w:val="00CE07DE"/>
    <w:rsid w:val="00CE0AC0"/>
    <w:rsid w:val="00CE0BB5"/>
    <w:rsid w:val="00CE0C06"/>
    <w:rsid w:val="00CE0EAC"/>
    <w:rsid w:val="00CE1140"/>
    <w:rsid w:val="00CE14DE"/>
    <w:rsid w:val="00CE150A"/>
    <w:rsid w:val="00CE249A"/>
    <w:rsid w:val="00CE25EB"/>
    <w:rsid w:val="00CE28EC"/>
    <w:rsid w:val="00CE29A1"/>
    <w:rsid w:val="00CE2C84"/>
    <w:rsid w:val="00CE2E16"/>
    <w:rsid w:val="00CE2F14"/>
    <w:rsid w:val="00CE3129"/>
    <w:rsid w:val="00CE3628"/>
    <w:rsid w:val="00CE38D5"/>
    <w:rsid w:val="00CE3BCB"/>
    <w:rsid w:val="00CE44D9"/>
    <w:rsid w:val="00CE4598"/>
    <w:rsid w:val="00CE46B5"/>
    <w:rsid w:val="00CE4FF9"/>
    <w:rsid w:val="00CE5004"/>
    <w:rsid w:val="00CE51DD"/>
    <w:rsid w:val="00CE52B8"/>
    <w:rsid w:val="00CE6693"/>
    <w:rsid w:val="00CE6A0B"/>
    <w:rsid w:val="00CE6AFD"/>
    <w:rsid w:val="00CE6CBD"/>
    <w:rsid w:val="00CE6FE3"/>
    <w:rsid w:val="00CE7057"/>
    <w:rsid w:val="00CE70EA"/>
    <w:rsid w:val="00CE7659"/>
    <w:rsid w:val="00CE7A3D"/>
    <w:rsid w:val="00CE7BF6"/>
    <w:rsid w:val="00CE7C5D"/>
    <w:rsid w:val="00CE7E26"/>
    <w:rsid w:val="00CE7EDF"/>
    <w:rsid w:val="00CF00EC"/>
    <w:rsid w:val="00CF010F"/>
    <w:rsid w:val="00CF0950"/>
    <w:rsid w:val="00CF0EDC"/>
    <w:rsid w:val="00CF12E9"/>
    <w:rsid w:val="00CF1313"/>
    <w:rsid w:val="00CF172E"/>
    <w:rsid w:val="00CF2239"/>
    <w:rsid w:val="00CF2659"/>
    <w:rsid w:val="00CF26D3"/>
    <w:rsid w:val="00CF2C73"/>
    <w:rsid w:val="00CF2E9C"/>
    <w:rsid w:val="00CF33FA"/>
    <w:rsid w:val="00CF3447"/>
    <w:rsid w:val="00CF3769"/>
    <w:rsid w:val="00CF3822"/>
    <w:rsid w:val="00CF3B07"/>
    <w:rsid w:val="00CF3E04"/>
    <w:rsid w:val="00CF3FB8"/>
    <w:rsid w:val="00CF4453"/>
    <w:rsid w:val="00CF453A"/>
    <w:rsid w:val="00CF4C13"/>
    <w:rsid w:val="00CF50C4"/>
    <w:rsid w:val="00CF50E5"/>
    <w:rsid w:val="00CF5622"/>
    <w:rsid w:val="00CF6196"/>
    <w:rsid w:val="00CF62E0"/>
    <w:rsid w:val="00CF6384"/>
    <w:rsid w:val="00CF6902"/>
    <w:rsid w:val="00CF6ED5"/>
    <w:rsid w:val="00D00727"/>
    <w:rsid w:val="00D01468"/>
    <w:rsid w:val="00D01563"/>
    <w:rsid w:val="00D01647"/>
    <w:rsid w:val="00D019E3"/>
    <w:rsid w:val="00D02222"/>
    <w:rsid w:val="00D02739"/>
    <w:rsid w:val="00D02A20"/>
    <w:rsid w:val="00D02B8F"/>
    <w:rsid w:val="00D02D15"/>
    <w:rsid w:val="00D02F64"/>
    <w:rsid w:val="00D03148"/>
    <w:rsid w:val="00D03154"/>
    <w:rsid w:val="00D0367B"/>
    <w:rsid w:val="00D03AC9"/>
    <w:rsid w:val="00D03D6B"/>
    <w:rsid w:val="00D0401F"/>
    <w:rsid w:val="00D043E3"/>
    <w:rsid w:val="00D04D16"/>
    <w:rsid w:val="00D05849"/>
    <w:rsid w:val="00D05B75"/>
    <w:rsid w:val="00D06790"/>
    <w:rsid w:val="00D067CE"/>
    <w:rsid w:val="00D06C41"/>
    <w:rsid w:val="00D06C55"/>
    <w:rsid w:val="00D06E88"/>
    <w:rsid w:val="00D06FA0"/>
    <w:rsid w:val="00D0702F"/>
    <w:rsid w:val="00D07A15"/>
    <w:rsid w:val="00D07C04"/>
    <w:rsid w:val="00D07CAB"/>
    <w:rsid w:val="00D07EAB"/>
    <w:rsid w:val="00D07F6E"/>
    <w:rsid w:val="00D10357"/>
    <w:rsid w:val="00D112CD"/>
    <w:rsid w:val="00D112CF"/>
    <w:rsid w:val="00D112D7"/>
    <w:rsid w:val="00D11D84"/>
    <w:rsid w:val="00D11F90"/>
    <w:rsid w:val="00D12F62"/>
    <w:rsid w:val="00D132E2"/>
    <w:rsid w:val="00D13527"/>
    <w:rsid w:val="00D1354C"/>
    <w:rsid w:val="00D1428F"/>
    <w:rsid w:val="00D14AED"/>
    <w:rsid w:val="00D14C9D"/>
    <w:rsid w:val="00D14D73"/>
    <w:rsid w:val="00D1507B"/>
    <w:rsid w:val="00D150F3"/>
    <w:rsid w:val="00D15113"/>
    <w:rsid w:val="00D1594B"/>
    <w:rsid w:val="00D159B9"/>
    <w:rsid w:val="00D15C42"/>
    <w:rsid w:val="00D15E4E"/>
    <w:rsid w:val="00D15F0F"/>
    <w:rsid w:val="00D160D0"/>
    <w:rsid w:val="00D16A3A"/>
    <w:rsid w:val="00D16ADB"/>
    <w:rsid w:val="00D173DA"/>
    <w:rsid w:val="00D17601"/>
    <w:rsid w:val="00D17B53"/>
    <w:rsid w:val="00D17BDD"/>
    <w:rsid w:val="00D17C2D"/>
    <w:rsid w:val="00D17FBA"/>
    <w:rsid w:val="00D2026C"/>
    <w:rsid w:val="00D20A5D"/>
    <w:rsid w:val="00D20BF9"/>
    <w:rsid w:val="00D20D6E"/>
    <w:rsid w:val="00D21300"/>
    <w:rsid w:val="00D2194A"/>
    <w:rsid w:val="00D21D2C"/>
    <w:rsid w:val="00D22004"/>
    <w:rsid w:val="00D22406"/>
    <w:rsid w:val="00D22425"/>
    <w:rsid w:val="00D224D5"/>
    <w:rsid w:val="00D227DA"/>
    <w:rsid w:val="00D22F7B"/>
    <w:rsid w:val="00D230DC"/>
    <w:rsid w:val="00D23296"/>
    <w:rsid w:val="00D244B8"/>
    <w:rsid w:val="00D24685"/>
    <w:rsid w:val="00D24872"/>
    <w:rsid w:val="00D24FE0"/>
    <w:rsid w:val="00D25A2B"/>
    <w:rsid w:val="00D26855"/>
    <w:rsid w:val="00D26BB2"/>
    <w:rsid w:val="00D26C9A"/>
    <w:rsid w:val="00D27534"/>
    <w:rsid w:val="00D276BF"/>
    <w:rsid w:val="00D27C6E"/>
    <w:rsid w:val="00D27D10"/>
    <w:rsid w:val="00D27DF8"/>
    <w:rsid w:val="00D3020A"/>
    <w:rsid w:val="00D303E8"/>
    <w:rsid w:val="00D30406"/>
    <w:rsid w:val="00D318B7"/>
    <w:rsid w:val="00D3192C"/>
    <w:rsid w:val="00D31BA6"/>
    <w:rsid w:val="00D3257A"/>
    <w:rsid w:val="00D32BAC"/>
    <w:rsid w:val="00D32C6B"/>
    <w:rsid w:val="00D32D09"/>
    <w:rsid w:val="00D335E1"/>
    <w:rsid w:val="00D33B5C"/>
    <w:rsid w:val="00D33CDE"/>
    <w:rsid w:val="00D33FA6"/>
    <w:rsid w:val="00D3408E"/>
    <w:rsid w:val="00D340CC"/>
    <w:rsid w:val="00D343D9"/>
    <w:rsid w:val="00D343EF"/>
    <w:rsid w:val="00D3448C"/>
    <w:rsid w:val="00D34756"/>
    <w:rsid w:val="00D34D8A"/>
    <w:rsid w:val="00D35367"/>
    <w:rsid w:val="00D3545E"/>
    <w:rsid w:val="00D3583A"/>
    <w:rsid w:val="00D3592C"/>
    <w:rsid w:val="00D3594F"/>
    <w:rsid w:val="00D35EA4"/>
    <w:rsid w:val="00D35FEA"/>
    <w:rsid w:val="00D366E4"/>
    <w:rsid w:val="00D36912"/>
    <w:rsid w:val="00D36E95"/>
    <w:rsid w:val="00D37994"/>
    <w:rsid w:val="00D4028F"/>
    <w:rsid w:val="00D40347"/>
    <w:rsid w:val="00D40608"/>
    <w:rsid w:val="00D40810"/>
    <w:rsid w:val="00D411E2"/>
    <w:rsid w:val="00D4164B"/>
    <w:rsid w:val="00D4179E"/>
    <w:rsid w:val="00D41895"/>
    <w:rsid w:val="00D418DD"/>
    <w:rsid w:val="00D41A65"/>
    <w:rsid w:val="00D41BD8"/>
    <w:rsid w:val="00D422A0"/>
    <w:rsid w:val="00D423AC"/>
    <w:rsid w:val="00D430D2"/>
    <w:rsid w:val="00D438A5"/>
    <w:rsid w:val="00D43D89"/>
    <w:rsid w:val="00D441C7"/>
    <w:rsid w:val="00D4469D"/>
    <w:rsid w:val="00D44B15"/>
    <w:rsid w:val="00D44DC6"/>
    <w:rsid w:val="00D44F7D"/>
    <w:rsid w:val="00D45421"/>
    <w:rsid w:val="00D45AE9"/>
    <w:rsid w:val="00D45BA3"/>
    <w:rsid w:val="00D45D37"/>
    <w:rsid w:val="00D46165"/>
    <w:rsid w:val="00D464CD"/>
    <w:rsid w:val="00D464EF"/>
    <w:rsid w:val="00D46651"/>
    <w:rsid w:val="00D46AF1"/>
    <w:rsid w:val="00D476EA"/>
    <w:rsid w:val="00D476FC"/>
    <w:rsid w:val="00D501C1"/>
    <w:rsid w:val="00D511BD"/>
    <w:rsid w:val="00D514E5"/>
    <w:rsid w:val="00D52226"/>
    <w:rsid w:val="00D52A47"/>
    <w:rsid w:val="00D52B2D"/>
    <w:rsid w:val="00D53589"/>
    <w:rsid w:val="00D5358B"/>
    <w:rsid w:val="00D53788"/>
    <w:rsid w:val="00D539A6"/>
    <w:rsid w:val="00D539D5"/>
    <w:rsid w:val="00D53B68"/>
    <w:rsid w:val="00D54497"/>
    <w:rsid w:val="00D544D5"/>
    <w:rsid w:val="00D548AB"/>
    <w:rsid w:val="00D54CE3"/>
    <w:rsid w:val="00D54D2F"/>
    <w:rsid w:val="00D553B3"/>
    <w:rsid w:val="00D5560E"/>
    <w:rsid w:val="00D558C0"/>
    <w:rsid w:val="00D56185"/>
    <w:rsid w:val="00D56474"/>
    <w:rsid w:val="00D565B3"/>
    <w:rsid w:val="00D56CCB"/>
    <w:rsid w:val="00D56E74"/>
    <w:rsid w:val="00D57794"/>
    <w:rsid w:val="00D57897"/>
    <w:rsid w:val="00D6013B"/>
    <w:rsid w:val="00D602C0"/>
    <w:rsid w:val="00D602DE"/>
    <w:rsid w:val="00D6052F"/>
    <w:rsid w:val="00D6096A"/>
    <w:rsid w:val="00D60ABE"/>
    <w:rsid w:val="00D60C3D"/>
    <w:rsid w:val="00D60C63"/>
    <w:rsid w:val="00D60CE5"/>
    <w:rsid w:val="00D61497"/>
    <w:rsid w:val="00D61811"/>
    <w:rsid w:val="00D61A8B"/>
    <w:rsid w:val="00D61C36"/>
    <w:rsid w:val="00D61C3B"/>
    <w:rsid w:val="00D61EBD"/>
    <w:rsid w:val="00D61FAB"/>
    <w:rsid w:val="00D6318C"/>
    <w:rsid w:val="00D634F2"/>
    <w:rsid w:val="00D63E13"/>
    <w:rsid w:val="00D63F9F"/>
    <w:rsid w:val="00D6411B"/>
    <w:rsid w:val="00D644EA"/>
    <w:rsid w:val="00D646D3"/>
    <w:rsid w:val="00D64A50"/>
    <w:rsid w:val="00D64D85"/>
    <w:rsid w:val="00D64EA1"/>
    <w:rsid w:val="00D65AB9"/>
    <w:rsid w:val="00D65D38"/>
    <w:rsid w:val="00D662F2"/>
    <w:rsid w:val="00D665F1"/>
    <w:rsid w:val="00D66689"/>
    <w:rsid w:val="00D6711E"/>
    <w:rsid w:val="00D67600"/>
    <w:rsid w:val="00D67CD6"/>
    <w:rsid w:val="00D67DD2"/>
    <w:rsid w:val="00D67E24"/>
    <w:rsid w:val="00D70067"/>
    <w:rsid w:val="00D701AE"/>
    <w:rsid w:val="00D706A1"/>
    <w:rsid w:val="00D70802"/>
    <w:rsid w:val="00D717CE"/>
    <w:rsid w:val="00D71822"/>
    <w:rsid w:val="00D71B8C"/>
    <w:rsid w:val="00D71D9C"/>
    <w:rsid w:val="00D71F41"/>
    <w:rsid w:val="00D72DFF"/>
    <w:rsid w:val="00D72F70"/>
    <w:rsid w:val="00D730D4"/>
    <w:rsid w:val="00D7330F"/>
    <w:rsid w:val="00D73B08"/>
    <w:rsid w:val="00D73C92"/>
    <w:rsid w:val="00D74191"/>
    <w:rsid w:val="00D74ADB"/>
    <w:rsid w:val="00D74C2B"/>
    <w:rsid w:val="00D74C8D"/>
    <w:rsid w:val="00D74EC7"/>
    <w:rsid w:val="00D75E0B"/>
    <w:rsid w:val="00D75E79"/>
    <w:rsid w:val="00D76317"/>
    <w:rsid w:val="00D765CD"/>
    <w:rsid w:val="00D76871"/>
    <w:rsid w:val="00D768A7"/>
    <w:rsid w:val="00D76AAC"/>
    <w:rsid w:val="00D76AF7"/>
    <w:rsid w:val="00D76DBC"/>
    <w:rsid w:val="00D7713E"/>
    <w:rsid w:val="00D77210"/>
    <w:rsid w:val="00D77278"/>
    <w:rsid w:val="00D77979"/>
    <w:rsid w:val="00D80127"/>
    <w:rsid w:val="00D804E2"/>
    <w:rsid w:val="00D805D1"/>
    <w:rsid w:val="00D80C6E"/>
    <w:rsid w:val="00D80E3C"/>
    <w:rsid w:val="00D81151"/>
    <w:rsid w:val="00D81515"/>
    <w:rsid w:val="00D81F5A"/>
    <w:rsid w:val="00D81FB3"/>
    <w:rsid w:val="00D82B67"/>
    <w:rsid w:val="00D82FD7"/>
    <w:rsid w:val="00D832BF"/>
    <w:rsid w:val="00D83788"/>
    <w:rsid w:val="00D8415E"/>
    <w:rsid w:val="00D842B9"/>
    <w:rsid w:val="00D84936"/>
    <w:rsid w:val="00D849AE"/>
    <w:rsid w:val="00D849FF"/>
    <w:rsid w:val="00D84FA6"/>
    <w:rsid w:val="00D85834"/>
    <w:rsid w:val="00D85998"/>
    <w:rsid w:val="00D85C5F"/>
    <w:rsid w:val="00D85ECC"/>
    <w:rsid w:val="00D863C0"/>
    <w:rsid w:val="00D864C7"/>
    <w:rsid w:val="00D867A9"/>
    <w:rsid w:val="00D86979"/>
    <w:rsid w:val="00D869F3"/>
    <w:rsid w:val="00D86A85"/>
    <w:rsid w:val="00D86EB7"/>
    <w:rsid w:val="00D8700C"/>
    <w:rsid w:val="00D87120"/>
    <w:rsid w:val="00D8713C"/>
    <w:rsid w:val="00D873D1"/>
    <w:rsid w:val="00D87B2D"/>
    <w:rsid w:val="00D9014A"/>
    <w:rsid w:val="00D905DF"/>
    <w:rsid w:val="00D90DA1"/>
    <w:rsid w:val="00D9104E"/>
    <w:rsid w:val="00D91736"/>
    <w:rsid w:val="00D91E9F"/>
    <w:rsid w:val="00D91F51"/>
    <w:rsid w:val="00D91FD4"/>
    <w:rsid w:val="00D92025"/>
    <w:rsid w:val="00D9204D"/>
    <w:rsid w:val="00D92B5E"/>
    <w:rsid w:val="00D93388"/>
    <w:rsid w:val="00D9354A"/>
    <w:rsid w:val="00D9368A"/>
    <w:rsid w:val="00D9379F"/>
    <w:rsid w:val="00D93CFF"/>
    <w:rsid w:val="00D941B7"/>
    <w:rsid w:val="00D9428E"/>
    <w:rsid w:val="00D9479E"/>
    <w:rsid w:val="00D94BB1"/>
    <w:rsid w:val="00D95457"/>
    <w:rsid w:val="00D95D85"/>
    <w:rsid w:val="00D96825"/>
    <w:rsid w:val="00D97328"/>
    <w:rsid w:val="00D978AF"/>
    <w:rsid w:val="00D97A7B"/>
    <w:rsid w:val="00DA0B0F"/>
    <w:rsid w:val="00DA0C11"/>
    <w:rsid w:val="00DA0CE1"/>
    <w:rsid w:val="00DA0FAE"/>
    <w:rsid w:val="00DA1259"/>
    <w:rsid w:val="00DA1678"/>
    <w:rsid w:val="00DA1AAD"/>
    <w:rsid w:val="00DA1E08"/>
    <w:rsid w:val="00DA2B2D"/>
    <w:rsid w:val="00DA2B6D"/>
    <w:rsid w:val="00DA4110"/>
    <w:rsid w:val="00DA4A52"/>
    <w:rsid w:val="00DA4EF9"/>
    <w:rsid w:val="00DA4FBC"/>
    <w:rsid w:val="00DA5210"/>
    <w:rsid w:val="00DA5233"/>
    <w:rsid w:val="00DA535F"/>
    <w:rsid w:val="00DA57F6"/>
    <w:rsid w:val="00DA6050"/>
    <w:rsid w:val="00DA61B9"/>
    <w:rsid w:val="00DA6848"/>
    <w:rsid w:val="00DA68DE"/>
    <w:rsid w:val="00DA691C"/>
    <w:rsid w:val="00DA6AC7"/>
    <w:rsid w:val="00DA6AFA"/>
    <w:rsid w:val="00DA6CE0"/>
    <w:rsid w:val="00DA7145"/>
    <w:rsid w:val="00DA7457"/>
    <w:rsid w:val="00DA7544"/>
    <w:rsid w:val="00DA791E"/>
    <w:rsid w:val="00DB06DD"/>
    <w:rsid w:val="00DB0C0E"/>
    <w:rsid w:val="00DB1083"/>
    <w:rsid w:val="00DB161B"/>
    <w:rsid w:val="00DB1B31"/>
    <w:rsid w:val="00DB2076"/>
    <w:rsid w:val="00DB24B8"/>
    <w:rsid w:val="00DB268A"/>
    <w:rsid w:val="00DB2756"/>
    <w:rsid w:val="00DB27E5"/>
    <w:rsid w:val="00DB291B"/>
    <w:rsid w:val="00DB2995"/>
    <w:rsid w:val="00DB2ED0"/>
    <w:rsid w:val="00DB2ED6"/>
    <w:rsid w:val="00DB3485"/>
    <w:rsid w:val="00DB38F0"/>
    <w:rsid w:val="00DB3AF3"/>
    <w:rsid w:val="00DB3EE8"/>
    <w:rsid w:val="00DB409D"/>
    <w:rsid w:val="00DB4116"/>
    <w:rsid w:val="00DB4701"/>
    <w:rsid w:val="00DB477F"/>
    <w:rsid w:val="00DB4C8C"/>
    <w:rsid w:val="00DB4E76"/>
    <w:rsid w:val="00DB500E"/>
    <w:rsid w:val="00DB59C0"/>
    <w:rsid w:val="00DB61AB"/>
    <w:rsid w:val="00DB6CC1"/>
    <w:rsid w:val="00DB6E7F"/>
    <w:rsid w:val="00DB70E1"/>
    <w:rsid w:val="00DB73D3"/>
    <w:rsid w:val="00DB7C85"/>
    <w:rsid w:val="00DB7D8D"/>
    <w:rsid w:val="00DC0146"/>
    <w:rsid w:val="00DC03EE"/>
    <w:rsid w:val="00DC0D92"/>
    <w:rsid w:val="00DC0F5B"/>
    <w:rsid w:val="00DC119D"/>
    <w:rsid w:val="00DC1F26"/>
    <w:rsid w:val="00DC1FB4"/>
    <w:rsid w:val="00DC2416"/>
    <w:rsid w:val="00DC2CED"/>
    <w:rsid w:val="00DC2DA4"/>
    <w:rsid w:val="00DC2DB2"/>
    <w:rsid w:val="00DC3497"/>
    <w:rsid w:val="00DC36B8"/>
    <w:rsid w:val="00DC42FA"/>
    <w:rsid w:val="00DC4E4D"/>
    <w:rsid w:val="00DC52CA"/>
    <w:rsid w:val="00DC53DB"/>
    <w:rsid w:val="00DC53F2"/>
    <w:rsid w:val="00DC5A24"/>
    <w:rsid w:val="00DC5C63"/>
    <w:rsid w:val="00DC6339"/>
    <w:rsid w:val="00DC6A0E"/>
    <w:rsid w:val="00DC6B01"/>
    <w:rsid w:val="00DC6B0F"/>
    <w:rsid w:val="00DC6CE6"/>
    <w:rsid w:val="00DC6F9A"/>
    <w:rsid w:val="00DC76C5"/>
    <w:rsid w:val="00DC7797"/>
    <w:rsid w:val="00DC7E53"/>
    <w:rsid w:val="00DD078A"/>
    <w:rsid w:val="00DD0F6F"/>
    <w:rsid w:val="00DD1249"/>
    <w:rsid w:val="00DD1486"/>
    <w:rsid w:val="00DD1576"/>
    <w:rsid w:val="00DD1737"/>
    <w:rsid w:val="00DD1824"/>
    <w:rsid w:val="00DD27CD"/>
    <w:rsid w:val="00DD2E71"/>
    <w:rsid w:val="00DD34E1"/>
    <w:rsid w:val="00DD4286"/>
    <w:rsid w:val="00DD43DF"/>
    <w:rsid w:val="00DD448A"/>
    <w:rsid w:val="00DD45E7"/>
    <w:rsid w:val="00DD51EA"/>
    <w:rsid w:val="00DD59AC"/>
    <w:rsid w:val="00DD5AE0"/>
    <w:rsid w:val="00DD6214"/>
    <w:rsid w:val="00DD6702"/>
    <w:rsid w:val="00DD71F6"/>
    <w:rsid w:val="00DD7667"/>
    <w:rsid w:val="00DD7736"/>
    <w:rsid w:val="00DD777C"/>
    <w:rsid w:val="00DD78D2"/>
    <w:rsid w:val="00DE0A6B"/>
    <w:rsid w:val="00DE0D2F"/>
    <w:rsid w:val="00DE0D59"/>
    <w:rsid w:val="00DE0D75"/>
    <w:rsid w:val="00DE10CC"/>
    <w:rsid w:val="00DE1972"/>
    <w:rsid w:val="00DE19EB"/>
    <w:rsid w:val="00DE27A7"/>
    <w:rsid w:val="00DE27D1"/>
    <w:rsid w:val="00DE2B35"/>
    <w:rsid w:val="00DE2B9F"/>
    <w:rsid w:val="00DE2DC8"/>
    <w:rsid w:val="00DE3082"/>
    <w:rsid w:val="00DE4ABB"/>
    <w:rsid w:val="00DE4FEB"/>
    <w:rsid w:val="00DE5B0F"/>
    <w:rsid w:val="00DE72B3"/>
    <w:rsid w:val="00DE7359"/>
    <w:rsid w:val="00DF08F9"/>
    <w:rsid w:val="00DF0FE3"/>
    <w:rsid w:val="00DF129D"/>
    <w:rsid w:val="00DF17BC"/>
    <w:rsid w:val="00DF1B31"/>
    <w:rsid w:val="00DF1F8B"/>
    <w:rsid w:val="00DF27F0"/>
    <w:rsid w:val="00DF28A1"/>
    <w:rsid w:val="00DF2CB1"/>
    <w:rsid w:val="00DF2CE4"/>
    <w:rsid w:val="00DF2F4A"/>
    <w:rsid w:val="00DF2F63"/>
    <w:rsid w:val="00DF3196"/>
    <w:rsid w:val="00DF371D"/>
    <w:rsid w:val="00DF3906"/>
    <w:rsid w:val="00DF3A07"/>
    <w:rsid w:val="00DF3D15"/>
    <w:rsid w:val="00DF45BC"/>
    <w:rsid w:val="00DF4960"/>
    <w:rsid w:val="00DF4FE2"/>
    <w:rsid w:val="00DF52A0"/>
    <w:rsid w:val="00DF552D"/>
    <w:rsid w:val="00DF5B98"/>
    <w:rsid w:val="00DF5CAE"/>
    <w:rsid w:val="00DF65D0"/>
    <w:rsid w:val="00DF687D"/>
    <w:rsid w:val="00DF69F9"/>
    <w:rsid w:val="00DF73EF"/>
    <w:rsid w:val="00DF763F"/>
    <w:rsid w:val="00DF7850"/>
    <w:rsid w:val="00DF7DD6"/>
    <w:rsid w:val="00E015A9"/>
    <w:rsid w:val="00E017DB"/>
    <w:rsid w:val="00E0180E"/>
    <w:rsid w:val="00E01B18"/>
    <w:rsid w:val="00E01DCA"/>
    <w:rsid w:val="00E01E1D"/>
    <w:rsid w:val="00E020DD"/>
    <w:rsid w:val="00E02150"/>
    <w:rsid w:val="00E02191"/>
    <w:rsid w:val="00E021A9"/>
    <w:rsid w:val="00E02579"/>
    <w:rsid w:val="00E0272C"/>
    <w:rsid w:val="00E02B50"/>
    <w:rsid w:val="00E02CFA"/>
    <w:rsid w:val="00E02EED"/>
    <w:rsid w:val="00E03778"/>
    <w:rsid w:val="00E0400D"/>
    <w:rsid w:val="00E0450D"/>
    <w:rsid w:val="00E04711"/>
    <w:rsid w:val="00E0495A"/>
    <w:rsid w:val="00E04B3F"/>
    <w:rsid w:val="00E0507B"/>
    <w:rsid w:val="00E05C85"/>
    <w:rsid w:val="00E060C1"/>
    <w:rsid w:val="00E062AD"/>
    <w:rsid w:val="00E06B1E"/>
    <w:rsid w:val="00E07486"/>
    <w:rsid w:val="00E07616"/>
    <w:rsid w:val="00E07711"/>
    <w:rsid w:val="00E07787"/>
    <w:rsid w:val="00E07DFE"/>
    <w:rsid w:val="00E100D2"/>
    <w:rsid w:val="00E10697"/>
    <w:rsid w:val="00E10AAF"/>
    <w:rsid w:val="00E1156D"/>
    <w:rsid w:val="00E11662"/>
    <w:rsid w:val="00E116F1"/>
    <w:rsid w:val="00E11D49"/>
    <w:rsid w:val="00E12BD7"/>
    <w:rsid w:val="00E13B59"/>
    <w:rsid w:val="00E13F3A"/>
    <w:rsid w:val="00E13F53"/>
    <w:rsid w:val="00E147D5"/>
    <w:rsid w:val="00E1481F"/>
    <w:rsid w:val="00E148FC"/>
    <w:rsid w:val="00E14C0E"/>
    <w:rsid w:val="00E14CC6"/>
    <w:rsid w:val="00E14EF3"/>
    <w:rsid w:val="00E15594"/>
    <w:rsid w:val="00E155D8"/>
    <w:rsid w:val="00E158C7"/>
    <w:rsid w:val="00E16286"/>
    <w:rsid w:val="00E16642"/>
    <w:rsid w:val="00E16A8D"/>
    <w:rsid w:val="00E16DCB"/>
    <w:rsid w:val="00E16F71"/>
    <w:rsid w:val="00E1787C"/>
    <w:rsid w:val="00E17DF0"/>
    <w:rsid w:val="00E20C94"/>
    <w:rsid w:val="00E20FF3"/>
    <w:rsid w:val="00E21007"/>
    <w:rsid w:val="00E2119C"/>
    <w:rsid w:val="00E21634"/>
    <w:rsid w:val="00E2178A"/>
    <w:rsid w:val="00E21C51"/>
    <w:rsid w:val="00E22004"/>
    <w:rsid w:val="00E22307"/>
    <w:rsid w:val="00E22468"/>
    <w:rsid w:val="00E2249E"/>
    <w:rsid w:val="00E22B56"/>
    <w:rsid w:val="00E22B76"/>
    <w:rsid w:val="00E234F1"/>
    <w:rsid w:val="00E2377F"/>
    <w:rsid w:val="00E24162"/>
    <w:rsid w:val="00E241ED"/>
    <w:rsid w:val="00E24792"/>
    <w:rsid w:val="00E248D4"/>
    <w:rsid w:val="00E24E3A"/>
    <w:rsid w:val="00E25ADB"/>
    <w:rsid w:val="00E25AF8"/>
    <w:rsid w:val="00E25E17"/>
    <w:rsid w:val="00E263FC"/>
    <w:rsid w:val="00E264E7"/>
    <w:rsid w:val="00E26554"/>
    <w:rsid w:val="00E26C55"/>
    <w:rsid w:val="00E26F6C"/>
    <w:rsid w:val="00E277A5"/>
    <w:rsid w:val="00E3053B"/>
    <w:rsid w:val="00E3058B"/>
    <w:rsid w:val="00E306CF"/>
    <w:rsid w:val="00E30E83"/>
    <w:rsid w:val="00E318CC"/>
    <w:rsid w:val="00E31BD0"/>
    <w:rsid w:val="00E32D0D"/>
    <w:rsid w:val="00E32D84"/>
    <w:rsid w:val="00E3313B"/>
    <w:rsid w:val="00E334E4"/>
    <w:rsid w:val="00E338AA"/>
    <w:rsid w:val="00E3402D"/>
    <w:rsid w:val="00E34465"/>
    <w:rsid w:val="00E3497E"/>
    <w:rsid w:val="00E34B0C"/>
    <w:rsid w:val="00E34CA3"/>
    <w:rsid w:val="00E34F0C"/>
    <w:rsid w:val="00E3506E"/>
    <w:rsid w:val="00E3577D"/>
    <w:rsid w:val="00E35C4A"/>
    <w:rsid w:val="00E35C6E"/>
    <w:rsid w:val="00E362DD"/>
    <w:rsid w:val="00E3660E"/>
    <w:rsid w:val="00E37429"/>
    <w:rsid w:val="00E37A0F"/>
    <w:rsid w:val="00E37D5A"/>
    <w:rsid w:val="00E37DA6"/>
    <w:rsid w:val="00E37FE3"/>
    <w:rsid w:val="00E407E1"/>
    <w:rsid w:val="00E40BCC"/>
    <w:rsid w:val="00E40EB7"/>
    <w:rsid w:val="00E4100E"/>
    <w:rsid w:val="00E41763"/>
    <w:rsid w:val="00E424AE"/>
    <w:rsid w:val="00E43033"/>
    <w:rsid w:val="00E43AAA"/>
    <w:rsid w:val="00E43D87"/>
    <w:rsid w:val="00E4400C"/>
    <w:rsid w:val="00E44B2C"/>
    <w:rsid w:val="00E44C62"/>
    <w:rsid w:val="00E44DE2"/>
    <w:rsid w:val="00E459C7"/>
    <w:rsid w:val="00E4618F"/>
    <w:rsid w:val="00E46690"/>
    <w:rsid w:val="00E4677E"/>
    <w:rsid w:val="00E472A8"/>
    <w:rsid w:val="00E47760"/>
    <w:rsid w:val="00E47900"/>
    <w:rsid w:val="00E47C37"/>
    <w:rsid w:val="00E47C79"/>
    <w:rsid w:val="00E502E3"/>
    <w:rsid w:val="00E506D8"/>
    <w:rsid w:val="00E51457"/>
    <w:rsid w:val="00E5160B"/>
    <w:rsid w:val="00E51E61"/>
    <w:rsid w:val="00E5387C"/>
    <w:rsid w:val="00E53911"/>
    <w:rsid w:val="00E53ABC"/>
    <w:rsid w:val="00E53E19"/>
    <w:rsid w:val="00E5489B"/>
    <w:rsid w:val="00E548AF"/>
    <w:rsid w:val="00E54EF2"/>
    <w:rsid w:val="00E54F94"/>
    <w:rsid w:val="00E553C7"/>
    <w:rsid w:val="00E55BB0"/>
    <w:rsid w:val="00E55FA0"/>
    <w:rsid w:val="00E55FCE"/>
    <w:rsid w:val="00E57246"/>
    <w:rsid w:val="00E57272"/>
    <w:rsid w:val="00E57353"/>
    <w:rsid w:val="00E574EA"/>
    <w:rsid w:val="00E579B5"/>
    <w:rsid w:val="00E57F6F"/>
    <w:rsid w:val="00E60C1A"/>
    <w:rsid w:val="00E60D8C"/>
    <w:rsid w:val="00E60DC5"/>
    <w:rsid w:val="00E612A7"/>
    <w:rsid w:val="00E615E6"/>
    <w:rsid w:val="00E618D1"/>
    <w:rsid w:val="00E631F9"/>
    <w:rsid w:val="00E63559"/>
    <w:rsid w:val="00E63B85"/>
    <w:rsid w:val="00E63C24"/>
    <w:rsid w:val="00E657A2"/>
    <w:rsid w:val="00E6580B"/>
    <w:rsid w:val="00E66338"/>
    <w:rsid w:val="00E66347"/>
    <w:rsid w:val="00E66FDA"/>
    <w:rsid w:val="00E67180"/>
    <w:rsid w:val="00E676E2"/>
    <w:rsid w:val="00E67716"/>
    <w:rsid w:val="00E6794B"/>
    <w:rsid w:val="00E67F7F"/>
    <w:rsid w:val="00E70462"/>
    <w:rsid w:val="00E706DC"/>
    <w:rsid w:val="00E70893"/>
    <w:rsid w:val="00E70A6F"/>
    <w:rsid w:val="00E70C95"/>
    <w:rsid w:val="00E7190C"/>
    <w:rsid w:val="00E71CA7"/>
    <w:rsid w:val="00E7209E"/>
    <w:rsid w:val="00E720EB"/>
    <w:rsid w:val="00E72578"/>
    <w:rsid w:val="00E73844"/>
    <w:rsid w:val="00E74755"/>
    <w:rsid w:val="00E74FA2"/>
    <w:rsid w:val="00E74FA5"/>
    <w:rsid w:val="00E750DF"/>
    <w:rsid w:val="00E750E8"/>
    <w:rsid w:val="00E756A8"/>
    <w:rsid w:val="00E758FA"/>
    <w:rsid w:val="00E76032"/>
    <w:rsid w:val="00E768F2"/>
    <w:rsid w:val="00E76B1A"/>
    <w:rsid w:val="00E76E79"/>
    <w:rsid w:val="00E77CE0"/>
    <w:rsid w:val="00E77E9E"/>
    <w:rsid w:val="00E80518"/>
    <w:rsid w:val="00E80577"/>
    <w:rsid w:val="00E81867"/>
    <w:rsid w:val="00E81DED"/>
    <w:rsid w:val="00E82316"/>
    <w:rsid w:val="00E825B3"/>
    <w:rsid w:val="00E8269B"/>
    <w:rsid w:val="00E8275C"/>
    <w:rsid w:val="00E82D60"/>
    <w:rsid w:val="00E83A57"/>
    <w:rsid w:val="00E83B93"/>
    <w:rsid w:val="00E83EE0"/>
    <w:rsid w:val="00E84718"/>
    <w:rsid w:val="00E84886"/>
    <w:rsid w:val="00E849DE"/>
    <w:rsid w:val="00E84B90"/>
    <w:rsid w:val="00E84E66"/>
    <w:rsid w:val="00E851B0"/>
    <w:rsid w:val="00E853BE"/>
    <w:rsid w:val="00E854A3"/>
    <w:rsid w:val="00E855BC"/>
    <w:rsid w:val="00E85641"/>
    <w:rsid w:val="00E85779"/>
    <w:rsid w:val="00E85948"/>
    <w:rsid w:val="00E85E0A"/>
    <w:rsid w:val="00E8627A"/>
    <w:rsid w:val="00E86536"/>
    <w:rsid w:val="00E868ED"/>
    <w:rsid w:val="00E86B58"/>
    <w:rsid w:val="00E86D12"/>
    <w:rsid w:val="00E8ED13"/>
    <w:rsid w:val="00E90013"/>
    <w:rsid w:val="00E90D55"/>
    <w:rsid w:val="00E90FA5"/>
    <w:rsid w:val="00E90FB7"/>
    <w:rsid w:val="00E9167E"/>
    <w:rsid w:val="00E91A02"/>
    <w:rsid w:val="00E91BDE"/>
    <w:rsid w:val="00E91D29"/>
    <w:rsid w:val="00E9206E"/>
    <w:rsid w:val="00E922A4"/>
    <w:rsid w:val="00E925CE"/>
    <w:rsid w:val="00E92E6E"/>
    <w:rsid w:val="00E92E8F"/>
    <w:rsid w:val="00E934A7"/>
    <w:rsid w:val="00E93D0A"/>
    <w:rsid w:val="00E93F3F"/>
    <w:rsid w:val="00E94B63"/>
    <w:rsid w:val="00E94FE3"/>
    <w:rsid w:val="00E9552E"/>
    <w:rsid w:val="00E959D9"/>
    <w:rsid w:val="00E9606D"/>
    <w:rsid w:val="00E967CB"/>
    <w:rsid w:val="00E9701B"/>
    <w:rsid w:val="00E97678"/>
    <w:rsid w:val="00E97A12"/>
    <w:rsid w:val="00E97ACD"/>
    <w:rsid w:val="00EA004A"/>
    <w:rsid w:val="00EA05D9"/>
    <w:rsid w:val="00EA0630"/>
    <w:rsid w:val="00EA0D48"/>
    <w:rsid w:val="00EA1104"/>
    <w:rsid w:val="00EA1142"/>
    <w:rsid w:val="00EA143F"/>
    <w:rsid w:val="00EA2312"/>
    <w:rsid w:val="00EA2468"/>
    <w:rsid w:val="00EA2768"/>
    <w:rsid w:val="00EA2DDC"/>
    <w:rsid w:val="00EA35F5"/>
    <w:rsid w:val="00EA430B"/>
    <w:rsid w:val="00EA47A2"/>
    <w:rsid w:val="00EA50A5"/>
    <w:rsid w:val="00EA5257"/>
    <w:rsid w:val="00EA545E"/>
    <w:rsid w:val="00EA59B6"/>
    <w:rsid w:val="00EA683B"/>
    <w:rsid w:val="00EA6B2A"/>
    <w:rsid w:val="00EA6B68"/>
    <w:rsid w:val="00EA7415"/>
    <w:rsid w:val="00EB0008"/>
    <w:rsid w:val="00EB0225"/>
    <w:rsid w:val="00EB0433"/>
    <w:rsid w:val="00EB1173"/>
    <w:rsid w:val="00EB164D"/>
    <w:rsid w:val="00EB17F9"/>
    <w:rsid w:val="00EB1B8B"/>
    <w:rsid w:val="00EB1BCF"/>
    <w:rsid w:val="00EB227F"/>
    <w:rsid w:val="00EB24EC"/>
    <w:rsid w:val="00EB3524"/>
    <w:rsid w:val="00EB395D"/>
    <w:rsid w:val="00EB3C54"/>
    <w:rsid w:val="00EB44D7"/>
    <w:rsid w:val="00EB4951"/>
    <w:rsid w:val="00EB4B22"/>
    <w:rsid w:val="00EB52A2"/>
    <w:rsid w:val="00EB548F"/>
    <w:rsid w:val="00EB595B"/>
    <w:rsid w:val="00EB5A91"/>
    <w:rsid w:val="00EB5BA3"/>
    <w:rsid w:val="00EB5C39"/>
    <w:rsid w:val="00EB5D79"/>
    <w:rsid w:val="00EB6925"/>
    <w:rsid w:val="00EB7B30"/>
    <w:rsid w:val="00EB7EB3"/>
    <w:rsid w:val="00EC098E"/>
    <w:rsid w:val="00EC0BCB"/>
    <w:rsid w:val="00EC0DB5"/>
    <w:rsid w:val="00EC0E71"/>
    <w:rsid w:val="00EC104E"/>
    <w:rsid w:val="00EC2D43"/>
    <w:rsid w:val="00EC2FA6"/>
    <w:rsid w:val="00EC34B2"/>
    <w:rsid w:val="00EC362E"/>
    <w:rsid w:val="00EC4338"/>
    <w:rsid w:val="00EC49ED"/>
    <w:rsid w:val="00EC4B35"/>
    <w:rsid w:val="00EC4C8D"/>
    <w:rsid w:val="00EC569B"/>
    <w:rsid w:val="00EC5BD6"/>
    <w:rsid w:val="00EC622A"/>
    <w:rsid w:val="00EC639F"/>
    <w:rsid w:val="00EC63D1"/>
    <w:rsid w:val="00EC69C6"/>
    <w:rsid w:val="00EC6F83"/>
    <w:rsid w:val="00EC79F8"/>
    <w:rsid w:val="00ED0CAC"/>
    <w:rsid w:val="00ED12AB"/>
    <w:rsid w:val="00ED1774"/>
    <w:rsid w:val="00ED1813"/>
    <w:rsid w:val="00ED1827"/>
    <w:rsid w:val="00ED28A3"/>
    <w:rsid w:val="00ED2A70"/>
    <w:rsid w:val="00ED3413"/>
    <w:rsid w:val="00ED342C"/>
    <w:rsid w:val="00ED5098"/>
    <w:rsid w:val="00ED56BD"/>
    <w:rsid w:val="00ED5C49"/>
    <w:rsid w:val="00ED613A"/>
    <w:rsid w:val="00ED6517"/>
    <w:rsid w:val="00ED6CFA"/>
    <w:rsid w:val="00ED6D53"/>
    <w:rsid w:val="00ED6D69"/>
    <w:rsid w:val="00ED6FE8"/>
    <w:rsid w:val="00ED71BB"/>
    <w:rsid w:val="00ED791A"/>
    <w:rsid w:val="00EE01CB"/>
    <w:rsid w:val="00EE0867"/>
    <w:rsid w:val="00EE0A89"/>
    <w:rsid w:val="00EE0B79"/>
    <w:rsid w:val="00EE10FB"/>
    <w:rsid w:val="00EE1724"/>
    <w:rsid w:val="00EE17F6"/>
    <w:rsid w:val="00EE1855"/>
    <w:rsid w:val="00EE1D0C"/>
    <w:rsid w:val="00EE1E1F"/>
    <w:rsid w:val="00EE2104"/>
    <w:rsid w:val="00EE266D"/>
    <w:rsid w:val="00EE297C"/>
    <w:rsid w:val="00EE2A84"/>
    <w:rsid w:val="00EE2B68"/>
    <w:rsid w:val="00EE33E7"/>
    <w:rsid w:val="00EE361C"/>
    <w:rsid w:val="00EE3733"/>
    <w:rsid w:val="00EE395E"/>
    <w:rsid w:val="00EE3F32"/>
    <w:rsid w:val="00EE45C9"/>
    <w:rsid w:val="00EE6139"/>
    <w:rsid w:val="00EE6D50"/>
    <w:rsid w:val="00EE6D70"/>
    <w:rsid w:val="00EE6DC1"/>
    <w:rsid w:val="00EE7592"/>
    <w:rsid w:val="00EE7C52"/>
    <w:rsid w:val="00EE7FA4"/>
    <w:rsid w:val="00EF0501"/>
    <w:rsid w:val="00EF0BE5"/>
    <w:rsid w:val="00EF10C8"/>
    <w:rsid w:val="00EF1386"/>
    <w:rsid w:val="00EF1739"/>
    <w:rsid w:val="00EF2491"/>
    <w:rsid w:val="00EF256B"/>
    <w:rsid w:val="00EF2FB0"/>
    <w:rsid w:val="00EF31DD"/>
    <w:rsid w:val="00EF32AE"/>
    <w:rsid w:val="00EF344D"/>
    <w:rsid w:val="00EF420A"/>
    <w:rsid w:val="00EF4C21"/>
    <w:rsid w:val="00EF5277"/>
    <w:rsid w:val="00EF5520"/>
    <w:rsid w:val="00EF5829"/>
    <w:rsid w:val="00EF5CAD"/>
    <w:rsid w:val="00EF5DC5"/>
    <w:rsid w:val="00EF611F"/>
    <w:rsid w:val="00EF689A"/>
    <w:rsid w:val="00EF6A81"/>
    <w:rsid w:val="00EF6C71"/>
    <w:rsid w:val="00EF7604"/>
    <w:rsid w:val="00EF76E1"/>
    <w:rsid w:val="00EF7967"/>
    <w:rsid w:val="00EF7B0B"/>
    <w:rsid w:val="00EF7E01"/>
    <w:rsid w:val="00F01208"/>
    <w:rsid w:val="00F0269E"/>
    <w:rsid w:val="00F029AF"/>
    <w:rsid w:val="00F02C37"/>
    <w:rsid w:val="00F02D8C"/>
    <w:rsid w:val="00F02FFD"/>
    <w:rsid w:val="00F033DE"/>
    <w:rsid w:val="00F03694"/>
    <w:rsid w:val="00F03A1F"/>
    <w:rsid w:val="00F03E7E"/>
    <w:rsid w:val="00F04099"/>
    <w:rsid w:val="00F04446"/>
    <w:rsid w:val="00F04BB6"/>
    <w:rsid w:val="00F05721"/>
    <w:rsid w:val="00F05B66"/>
    <w:rsid w:val="00F05D77"/>
    <w:rsid w:val="00F05DC0"/>
    <w:rsid w:val="00F06E42"/>
    <w:rsid w:val="00F07177"/>
    <w:rsid w:val="00F079EA"/>
    <w:rsid w:val="00F07B41"/>
    <w:rsid w:val="00F07C0B"/>
    <w:rsid w:val="00F07F35"/>
    <w:rsid w:val="00F1030E"/>
    <w:rsid w:val="00F10925"/>
    <w:rsid w:val="00F10B37"/>
    <w:rsid w:val="00F10CA0"/>
    <w:rsid w:val="00F110B3"/>
    <w:rsid w:val="00F11A0E"/>
    <w:rsid w:val="00F11DB2"/>
    <w:rsid w:val="00F124C0"/>
    <w:rsid w:val="00F12E08"/>
    <w:rsid w:val="00F12F6C"/>
    <w:rsid w:val="00F13105"/>
    <w:rsid w:val="00F13853"/>
    <w:rsid w:val="00F13DAE"/>
    <w:rsid w:val="00F14933"/>
    <w:rsid w:val="00F14A68"/>
    <w:rsid w:val="00F14CE7"/>
    <w:rsid w:val="00F14D55"/>
    <w:rsid w:val="00F14EAA"/>
    <w:rsid w:val="00F15318"/>
    <w:rsid w:val="00F157D8"/>
    <w:rsid w:val="00F1628D"/>
    <w:rsid w:val="00F176CF"/>
    <w:rsid w:val="00F17E0F"/>
    <w:rsid w:val="00F17F2D"/>
    <w:rsid w:val="00F201AD"/>
    <w:rsid w:val="00F203C4"/>
    <w:rsid w:val="00F20778"/>
    <w:rsid w:val="00F208DD"/>
    <w:rsid w:val="00F21481"/>
    <w:rsid w:val="00F21B21"/>
    <w:rsid w:val="00F222BB"/>
    <w:rsid w:val="00F225E2"/>
    <w:rsid w:val="00F22B62"/>
    <w:rsid w:val="00F2334E"/>
    <w:rsid w:val="00F238A0"/>
    <w:rsid w:val="00F23A17"/>
    <w:rsid w:val="00F240E0"/>
    <w:rsid w:val="00F242DA"/>
    <w:rsid w:val="00F248A8"/>
    <w:rsid w:val="00F2491A"/>
    <w:rsid w:val="00F24B34"/>
    <w:rsid w:val="00F24EF6"/>
    <w:rsid w:val="00F254E4"/>
    <w:rsid w:val="00F258EE"/>
    <w:rsid w:val="00F26208"/>
    <w:rsid w:val="00F265EF"/>
    <w:rsid w:val="00F26AAB"/>
    <w:rsid w:val="00F26E6B"/>
    <w:rsid w:val="00F26F5D"/>
    <w:rsid w:val="00F27505"/>
    <w:rsid w:val="00F27581"/>
    <w:rsid w:val="00F27C98"/>
    <w:rsid w:val="00F27DEE"/>
    <w:rsid w:val="00F302FF"/>
    <w:rsid w:val="00F305FB"/>
    <w:rsid w:val="00F30773"/>
    <w:rsid w:val="00F307FF"/>
    <w:rsid w:val="00F3103C"/>
    <w:rsid w:val="00F311A2"/>
    <w:rsid w:val="00F313D5"/>
    <w:rsid w:val="00F31758"/>
    <w:rsid w:val="00F31C92"/>
    <w:rsid w:val="00F31F05"/>
    <w:rsid w:val="00F3234A"/>
    <w:rsid w:val="00F32937"/>
    <w:rsid w:val="00F3366D"/>
    <w:rsid w:val="00F3381E"/>
    <w:rsid w:val="00F33DC0"/>
    <w:rsid w:val="00F33E59"/>
    <w:rsid w:val="00F34612"/>
    <w:rsid w:val="00F34755"/>
    <w:rsid w:val="00F34931"/>
    <w:rsid w:val="00F349FC"/>
    <w:rsid w:val="00F34C92"/>
    <w:rsid w:val="00F35240"/>
    <w:rsid w:val="00F35D19"/>
    <w:rsid w:val="00F35EBD"/>
    <w:rsid w:val="00F36416"/>
    <w:rsid w:val="00F366D1"/>
    <w:rsid w:val="00F373AD"/>
    <w:rsid w:val="00F377AE"/>
    <w:rsid w:val="00F37B41"/>
    <w:rsid w:val="00F40303"/>
    <w:rsid w:val="00F40595"/>
    <w:rsid w:val="00F40CDE"/>
    <w:rsid w:val="00F41006"/>
    <w:rsid w:val="00F41269"/>
    <w:rsid w:val="00F41319"/>
    <w:rsid w:val="00F417D7"/>
    <w:rsid w:val="00F41A54"/>
    <w:rsid w:val="00F41A89"/>
    <w:rsid w:val="00F41F10"/>
    <w:rsid w:val="00F42203"/>
    <w:rsid w:val="00F4257E"/>
    <w:rsid w:val="00F42662"/>
    <w:rsid w:val="00F4333C"/>
    <w:rsid w:val="00F43ED6"/>
    <w:rsid w:val="00F44A73"/>
    <w:rsid w:val="00F44B13"/>
    <w:rsid w:val="00F44CA0"/>
    <w:rsid w:val="00F44E79"/>
    <w:rsid w:val="00F44F42"/>
    <w:rsid w:val="00F45155"/>
    <w:rsid w:val="00F45925"/>
    <w:rsid w:val="00F45BE7"/>
    <w:rsid w:val="00F46326"/>
    <w:rsid w:val="00F463BB"/>
    <w:rsid w:val="00F463D7"/>
    <w:rsid w:val="00F4695A"/>
    <w:rsid w:val="00F46B57"/>
    <w:rsid w:val="00F46DF2"/>
    <w:rsid w:val="00F479A4"/>
    <w:rsid w:val="00F47A58"/>
    <w:rsid w:val="00F47B4D"/>
    <w:rsid w:val="00F50163"/>
    <w:rsid w:val="00F5018F"/>
    <w:rsid w:val="00F502F8"/>
    <w:rsid w:val="00F50FB1"/>
    <w:rsid w:val="00F510E2"/>
    <w:rsid w:val="00F515F1"/>
    <w:rsid w:val="00F51694"/>
    <w:rsid w:val="00F51822"/>
    <w:rsid w:val="00F51B9F"/>
    <w:rsid w:val="00F51EC5"/>
    <w:rsid w:val="00F521E6"/>
    <w:rsid w:val="00F5273A"/>
    <w:rsid w:val="00F527FE"/>
    <w:rsid w:val="00F528A0"/>
    <w:rsid w:val="00F52D6B"/>
    <w:rsid w:val="00F52E18"/>
    <w:rsid w:val="00F5307F"/>
    <w:rsid w:val="00F53511"/>
    <w:rsid w:val="00F535E2"/>
    <w:rsid w:val="00F53609"/>
    <w:rsid w:val="00F5365A"/>
    <w:rsid w:val="00F5383E"/>
    <w:rsid w:val="00F53B86"/>
    <w:rsid w:val="00F540F1"/>
    <w:rsid w:val="00F54237"/>
    <w:rsid w:val="00F54516"/>
    <w:rsid w:val="00F546FB"/>
    <w:rsid w:val="00F54CE2"/>
    <w:rsid w:val="00F55335"/>
    <w:rsid w:val="00F55CF7"/>
    <w:rsid w:val="00F56316"/>
    <w:rsid w:val="00F57631"/>
    <w:rsid w:val="00F57AD2"/>
    <w:rsid w:val="00F57D1C"/>
    <w:rsid w:val="00F605E2"/>
    <w:rsid w:val="00F6077A"/>
    <w:rsid w:val="00F6086A"/>
    <w:rsid w:val="00F6131A"/>
    <w:rsid w:val="00F614E2"/>
    <w:rsid w:val="00F61501"/>
    <w:rsid w:val="00F6163E"/>
    <w:rsid w:val="00F6169B"/>
    <w:rsid w:val="00F6171C"/>
    <w:rsid w:val="00F617E2"/>
    <w:rsid w:val="00F61C2E"/>
    <w:rsid w:val="00F61E97"/>
    <w:rsid w:val="00F61EA4"/>
    <w:rsid w:val="00F62133"/>
    <w:rsid w:val="00F622A3"/>
    <w:rsid w:val="00F62824"/>
    <w:rsid w:val="00F62D7C"/>
    <w:rsid w:val="00F62F73"/>
    <w:rsid w:val="00F62FC5"/>
    <w:rsid w:val="00F63203"/>
    <w:rsid w:val="00F634C8"/>
    <w:rsid w:val="00F63BED"/>
    <w:rsid w:val="00F63BFB"/>
    <w:rsid w:val="00F63E8D"/>
    <w:rsid w:val="00F63ED1"/>
    <w:rsid w:val="00F642B4"/>
    <w:rsid w:val="00F64574"/>
    <w:rsid w:val="00F64FDD"/>
    <w:rsid w:val="00F65F8D"/>
    <w:rsid w:val="00F66377"/>
    <w:rsid w:val="00F6655C"/>
    <w:rsid w:val="00F666D7"/>
    <w:rsid w:val="00F66F1E"/>
    <w:rsid w:val="00F67155"/>
    <w:rsid w:val="00F672CF"/>
    <w:rsid w:val="00F674E8"/>
    <w:rsid w:val="00F67F1B"/>
    <w:rsid w:val="00F7058F"/>
    <w:rsid w:val="00F705AC"/>
    <w:rsid w:val="00F7083D"/>
    <w:rsid w:val="00F70D21"/>
    <w:rsid w:val="00F70D62"/>
    <w:rsid w:val="00F70F96"/>
    <w:rsid w:val="00F70FEF"/>
    <w:rsid w:val="00F71585"/>
    <w:rsid w:val="00F722E9"/>
    <w:rsid w:val="00F72D8C"/>
    <w:rsid w:val="00F73301"/>
    <w:rsid w:val="00F7350D"/>
    <w:rsid w:val="00F738E0"/>
    <w:rsid w:val="00F73F06"/>
    <w:rsid w:val="00F7477E"/>
    <w:rsid w:val="00F74F3A"/>
    <w:rsid w:val="00F750CE"/>
    <w:rsid w:val="00F754EC"/>
    <w:rsid w:val="00F7585C"/>
    <w:rsid w:val="00F75C02"/>
    <w:rsid w:val="00F75C4E"/>
    <w:rsid w:val="00F76146"/>
    <w:rsid w:val="00F76B21"/>
    <w:rsid w:val="00F76B32"/>
    <w:rsid w:val="00F76DF8"/>
    <w:rsid w:val="00F778EA"/>
    <w:rsid w:val="00F77CCE"/>
    <w:rsid w:val="00F77D25"/>
    <w:rsid w:val="00F77ECB"/>
    <w:rsid w:val="00F80602"/>
    <w:rsid w:val="00F809D2"/>
    <w:rsid w:val="00F80BB6"/>
    <w:rsid w:val="00F80C99"/>
    <w:rsid w:val="00F8116C"/>
    <w:rsid w:val="00F811E1"/>
    <w:rsid w:val="00F8163E"/>
    <w:rsid w:val="00F81936"/>
    <w:rsid w:val="00F81BF8"/>
    <w:rsid w:val="00F81E47"/>
    <w:rsid w:val="00F82249"/>
    <w:rsid w:val="00F824EF"/>
    <w:rsid w:val="00F827C4"/>
    <w:rsid w:val="00F8333B"/>
    <w:rsid w:val="00F83499"/>
    <w:rsid w:val="00F839FC"/>
    <w:rsid w:val="00F842D7"/>
    <w:rsid w:val="00F84345"/>
    <w:rsid w:val="00F84408"/>
    <w:rsid w:val="00F8464D"/>
    <w:rsid w:val="00F847A4"/>
    <w:rsid w:val="00F84AEB"/>
    <w:rsid w:val="00F84ED9"/>
    <w:rsid w:val="00F852B5"/>
    <w:rsid w:val="00F863E1"/>
    <w:rsid w:val="00F86474"/>
    <w:rsid w:val="00F86695"/>
    <w:rsid w:val="00F86855"/>
    <w:rsid w:val="00F868B4"/>
    <w:rsid w:val="00F86F69"/>
    <w:rsid w:val="00F871F1"/>
    <w:rsid w:val="00F8730A"/>
    <w:rsid w:val="00F873F6"/>
    <w:rsid w:val="00F87613"/>
    <w:rsid w:val="00F878A1"/>
    <w:rsid w:val="00F900F8"/>
    <w:rsid w:val="00F9016F"/>
    <w:rsid w:val="00F9025F"/>
    <w:rsid w:val="00F90601"/>
    <w:rsid w:val="00F91286"/>
    <w:rsid w:val="00F91582"/>
    <w:rsid w:val="00F91664"/>
    <w:rsid w:val="00F91759"/>
    <w:rsid w:val="00F91DEF"/>
    <w:rsid w:val="00F91EF9"/>
    <w:rsid w:val="00F924A5"/>
    <w:rsid w:val="00F92945"/>
    <w:rsid w:val="00F92B70"/>
    <w:rsid w:val="00F92F58"/>
    <w:rsid w:val="00F93136"/>
    <w:rsid w:val="00F93177"/>
    <w:rsid w:val="00F93553"/>
    <w:rsid w:val="00F93703"/>
    <w:rsid w:val="00F94C65"/>
    <w:rsid w:val="00F94E67"/>
    <w:rsid w:val="00F9503B"/>
    <w:rsid w:val="00F96988"/>
    <w:rsid w:val="00F97B99"/>
    <w:rsid w:val="00FA0168"/>
    <w:rsid w:val="00FA05D4"/>
    <w:rsid w:val="00FA087D"/>
    <w:rsid w:val="00FA0C4E"/>
    <w:rsid w:val="00FA0DEB"/>
    <w:rsid w:val="00FA1238"/>
    <w:rsid w:val="00FA1241"/>
    <w:rsid w:val="00FA199B"/>
    <w:rsid w:val="00FA1A79"/>
    <w:rsid w:val="00FA2883"/>
    <w:rsid w:val="00FA2E10"/>
    <w:rsid w:val="00FA307B"/>
    <w:rsid w:val="00FA345F"/>
    <w:rsid w:val="00FA3BD6"/>
    <w:rsid w:val="00FA400F"/>
    <w:rsid w:val="00FA4173"/>
    <w:rsid w:val="00FA48B8"/>
    <w:rsid w:val="00FA598A"/>
    <w:rsid w:val="00FA6092"/>
    <w:rsid w:val="00FA6155"/>
    <w:rsid w:val="00FA6E9D"/>
    <w:rsid w:val="00FA71BA"/>
    <w:rsid w:val="00FA75D3"/>
    <w:rsid w:val="00FA78FD"/>
    <w:rsid w:val="00FA7D9E"/>
    <w:rsid w:val="00FB03F3"/>
    <w:rsid w:val="00FB0872"/>
    <w:rsid w:val="00FB0D11"/>
    <w:rsid w:val="00FB0D19"/>
    <w:rsid w:val="00FB0E8D"/>
    <w:rsid w:val="00FB11BE"/>
    <w:rsid w:val="00FB12F8"/>
    <w:rsid w:val="00FB1357"/>
    <w:rsid w:val="00FB14A4"/>
    <w:rsid w:val="00FB168D"/>
    <w:rsid w:val="00FB1799"/>
    <w:rsid w:val="00FB1B56"/>
    <w:rsid w:val="00FB1FD5"/>
    <w:rsid w:val="00FB203B"/>
    <w:rsid w:val="00FB216C"/>
    <w:rsid w:val="00FB27F1"/>
    <w:rsid w:val="00FB2A1E"/>
    <w:rsid w:val="00FB2E94"/>
    <w:rsid w:val="00FB2EA8"/>
    <w:rsid w:val="00FB3BB8"/>
    <w:rsid w:val="00FB3D96"/>
    <w:rsid w:val="00FB47CF"/>
    <w:rsid w:val="00FB4C6F"/>
    <w:rsid w:val="00FB66BF"/>
    <w:rsid w:val="00FB6D57"/>
    <w:rsid w:val="00FB6E3E"/>
    <w:rsid w:val="00FB6F4F"/>
    <w:rsid w:val="00FB7067"/>
    <w:rsid w:val="00FB7953"/>
    <w:rsid w:val="00FB7BEA"/>
    <w:rsid w:val="00FC0B0C"/>
    <w:rsid w:val="00FC112D"/>
    <w:rsid w:val="00FC151A"/>
    <w:rsid w:val="00FC1631"/>
    <w:rsid w:val="00FC16C2"/>
    <w:rsid w:val="00FC1D96"/>
    <w:rsid w:val="00FC2074"/>
    <w:rsid w:val="00FC285D"/>
    <w:rsid w:val="00FC30EE"/>
    <w:rsid w:val="00FC3834"/>
    <w:rsid w:val="00FC4583"/>
    <w:rsid w:val="00FC4E2B"/>
    <w:rsid w:val="00FC4FC9"/>
    <w:rsid w:val="00FC5150"/>
    <w:rsid w:val="00FC539A"/>
    <w:rsid w:val="00FC55FD"/>
    <w:rsid w:val="00FC56E1"/>
    <w:rsid w:val="00FC57F0"/>
    <w:rsid w:val="00FC5A5C"/>
    <w:rsid w:val="00FC5C06"/>
    <w:rsid w:val="00FC5E76"/>
    <w:rsid w:val="00FC60B2"/>
    <w:rsid w:val="00FC64ED"/>
    <w:rsid w:val="00FC66DD"/>
    <w:rsid w:val="00FC69CF"/>
    <w:rsid w:val="00FC70B1"/>
    <w:rsid w:val="00FC7214"/>
    <w:rsid w:val="00FC7586"/>
    <w:rsid w:val="00FC7EBA"/>
    <w:rsid w:val="00FC7FB3"/>
    <w:rsid w:val="00FD058F"/>
    <w:rsid w:val="00FD0AF4"/>
    <w:rsid w:val="00FD0B70"/>
    <w:rsid w:val="00FD0DFB"/>
    <w:rsid w:val="00FD11B8"/>
    <w:rsid w:val="00FD1440"/>
    <w:rsid w:val="00FD1489"/>
    <w:rsid w:val="00FD17D7"/>
    <w:rsid w:val="00FD190C"/>
    <w:rsid w:val="00FD1DA7"/>
    <w:rsid w:val="00FD2937"/>
    <w:rsid w:val="00FD2DA9"/>
    <w:rsid w:val="00FD346D"/>
    <w:rsid w:val="00FD35FA"/>
    <w:rsid w:val="00FD3851"/>
    <w:rsid w:val="00FD3911"/>
    <w:rsid w:val="00FD3B02"/>
    <w:rsid w:val="00FD3CFC"/>
    <w:rsid w:val="00FD5187"/>
    <w:rsid w:val="00FD5277"/>
    <w:rsid w:val="00FD55FF"/>
    <w:rsid w:val="00FD59F1"/>
    <w:rsid w:val="00FD5AB0"/>
    <w:rsid w:val="00FD5C29"/>
    <w:rsid w:val="00FD66A4"/>
    <w:rsid w:val="00FD6888"/>
    <w:rsid w:val="00FD6F5B"/>
    <w:rsid w:val="00FD6FE2"/>
    <w:rsid w:val="00FD725D"/>
    <w:rsid w:val="00FD74CB"/>
    <w:rsid w:val="00FD7543"/>
    <w:rsid w:val="00FD79EA"/>
    <w:rsid w:val="00FD7BF5"/>
    <w:rsid w:val="00FE089E"/>
    <w:rsid w:val="00FE1206"/>
    <w:rsid w:val="00FE131E"/>
    <w:rsid w:val="00FE185C"/>
    <w:rsid w:val="00FE1E2D"/>
    <w:rsid w:val="00FE21C7"/>
    <w:rsid w:val="00FE270C"/>
    <w:rsid w:val="00FE296F"/>
    <w:rsid w:val="00FE2BDD"/>
    <w:rsid w:val="00FE35CB"/>
    <w:rsid w:val="00FE369E"/>
    <w:rsid w:val="00FE3809"/>
    <w:rsid w:val="00FE3C5F"/>
    <w:rsid w:val="00FE401B"/>
    <w:rsid w:val="00FE43B8"/>
    <w:rsid w:val="00FE4684"/>
    <w:rsid w:val="00FE4705"/>
    <w:rsid w:val="00FE48C7"/>
    <w:rsid w:val="00FE4A63"/>
    <w:rsid w:val="00FE4DF3"/>
    <w:rsid w:val="00FE50B1"/>
    <w:rsid w:val="00FE52AF"/>
    <w:rsid w:val="00FE538C"/>
    <w:rsid w:val="00FE557C"/>
    <w:rsid w:val="00FE59FF"/>
    <w:rsid w:val="00FE5C6E"/>
    <w:rsid w:val="00FE6091"/>
    <w:rsid w:val="00FE61EE"/>
    <w:rsid w:val="00FE6818"/>
    <w:rsid w:val="00FF14EA"/>
    <w:rsid w:val="00FF175F"/>
    <w:rsid w:val="00FF1AA5"/>
    <w:rsid w:val="00FF1ABB"/>
    <w:rsid w:val="00FF1F8D"/>
    <w:rsid w:val="00FF23EB"/>
    <w:rsid w:val="00FF286F"/>
    <w:rsid w:val="00FF3E2A"/>
    <w:rsid w:val="00FF3FA0"/>
    <w:rsid w:val="00FF48C2"/>
    <w:rsid w:val="00FF4C3A"/>
    <w:rsid w:val="00FF4DAF"/>
    <w:rsid w:val="00FF529B"/>
    <w:rsid w:val="00FF54C6"/>
    <w:rsid w:val="00FF5C46"/>
    <w:rsid w:val="00FF6048"/>
    <w:rsid w:val="00FF62E9"/>
    <w:rsid w:val="00FF62F4"/>
    <w:rsid w:val="00FF6519"/>
    <w:rsid w:val="00FF7221"/>
    <w:rsid w:val="00FF74E3"/>
    <w:rsid w:val="01F871CB"/>
    <w:rsid w:val="0354E954"/>
    <w:rsid w:val="04104D5B"/>
    <w:rsid w:val="0515F30F"/>
    <w:rsid w:val="05B4B971"/>
    <w:rsid w:val="061AFFAC"/>
    <w:rsid w:val="06B42055"/>
    <w:rsid w:val="07036CF3"/>
    <w:rsid w:val="07DB7F70"/>
    <w:rsid w:val="093218E2"/>
    <w:rsid w:val="0A9F82B6"/>
    <w:rsid w:val="0ABE9A53"/>
    <w:rsid w:val="0CBFC289"/>
    <w:rsid w:val="0D585452"/>
    <w:rsid w:val="0DD84723"/>
    <w:rsid w:val="0FB3C391"/>
    <w:rsid w:val="113B7FA2"/>
    <w:rsid w:val="11B8462F"/>
    <w:rsid w:val="1221FC1A"/>
    <w:rsid w:val="1227EB26"/>
    <w:rsid w:val="12E11D5A"/>
    <w:rsid w:val="1408E4E9"/>
    <w:rsid w:val="141A98FD"/>
    <w:rsid w:val="157BC9A6"/>
    <w:rsid w:val="16D325B4"/>
    <w:rsid w:val="17611BF8"/>
    <w:rsid w:val="179F54AD"/>
    <w:rsid w:val="193C4CE1"/>
    <w:rsid w:val="1951BB28"/>
    <w:rsid w:val="1A7FCA58"/>
    <w:rsid w:val="1A9E1548"/>
    <w:rsid w:val="1AB5C90F"/>
    <w:rsid w:val="1AFD6289"/>
    <w:rsid w:val="1B60D291"/>
    <w:rsid w:val="1C2BD5F4"/>
    <w:rsid w:val="1CEE96FB"/>
    <w:rsid w:val="1E809DCD"/>
    <w:rsid w:val="1EFCC4DB"/>
    <w:rsid w:val="204FC700"/>
    <w:rsid w:val="2092A458"/>
    <w:rsid w:val="20EDB23E"/>
    <w:rsid w:val="237FE7AC"/>
    <w:rsid w:val="252A35D5"/>
    <w:rsid w:val="264D1029"/>
    <w:rsid w:val="28F1D03C"/>
    <w:rsid w:val="29B71849"/>
    <w:rsid w:val="2A2C8012"/>
    <w:rsid w:val="2B0DD0BD"/>
    <w:rsid w:val="2B6ADAE7"/>
    <w:rsid w:val="2BFE58F9"/>
    <w:rsid w:val="2D1FCD89"/>
    <w:rsid w:val="2EA1396D"/>
    <w:rsid w:val="2F6BDDE8"/>
    <w:rsid w:val="2F71B172"/>
    <w:rsid w:val="309962F7"/>
    <w:rsid w:val="30B1BB0A"/>
    <w:rsid w:val="3141FECD"/>
    <w:rsid w:val="333CD776"/>
    <w:rsid w:val="33AC0C66"/>
    <w:rsid w:val="33C860FE"/>
    <w:rsid w:val="34E9748D"/>
    <w:rsid w:val="35B0BEF7"/>
    <w:rsid w:val="381CE509"/>
    <w:rsid w:val="390F6900"/>
    <w:rsid w:val="3A257FB7"/>
    <w:rsid w:val="3A90DFA5"/>
    <w:rsid w:val="3B1AC95D"/>
    <w:rsid w:val="3B95850C"/>
    <w:rsid w:val="3BDAD815"/>
    <w:rsid w:val="3C1B7A68"/>
    <w:rsid w:val="3C832649"/>
    <w:rsid w:val="3D39FD26"/>
    <w:rsid w:val="3D5196BF"/>
    <w:rsid w:val="3DAC8BA3"/>
    <w:rsid w:val="3E211814"/>
    <w:rsid w:val="3E5B0339"/>
    <w:rsid w:val="3E63587F"/>
    <w:rsid w:val="403145C4"/>
    <w:rsid w:val="40ABE739"/>
    <w:rsid w:val="413B98F7"/>
    <w:rsid w:val="413BA5D8"/>
    <w:rsid w:val="41470859"/>
    <w:rsid w:val="42268D68"/>
    <w:rsid w:val="42309815"/>
    <w:rsid w:val="455868B1"/>
    <w:rsid w:val="459161D1"/>
    <w:rsid w:val="46063526"/>
    <w:rsid w:val="46350F52"/>
    <w:rsid w:val="47977F13"/>
    <w:rsid w:val="47A3EAAE"/>
    <w:rsid w:val="4802524A"/>
    <w:rsid w:val="4812D3E1"/>
    <w:rsid w:val="484B9BDA"/>
    <w:rsid w:val="497C9D18"/>
    <w:rsid w:val="4A1A12FF"/>
    <w:rsid w:val="4A3B1014"/>
    <w:rsid w:val="4A690634"/>
    <w:rsid w:val="4BFE12DB"/>
    <w:rsid w:val="4C8F4180"/>
    <w:rsid w:val="4CC60EF2"/>
    <w:rsid w:val="4E28EFB2"/>
    <w:rsid w:val="4E62274A"/>
    <w:rsid w:val="4EC518E9"/>
    <w:rsid w:val="4F91D922"/>
    <w:rsid w:val="5067D2F8"/>
    <w:rsid w:val="5096066B"/>
    <w:rsid w:val="52376DF6"/>
    <w:rsid w:val="53E3BC36"/>
    <w:rsid w:val="5407B9F4"/>
    <w:rsid w:val="56641692"/>
    <w:rsid w:val="566ADA9C"/>
    <w:rsid w:val="56B64C12"/>
    <w:rsid w:val="5809BC19"/>
    <w:rsid w:val="589F5BF2"/>
    <w:rsid w:val="5A0E0761"/>
    <w:rsid w:val="5AAC3E9E"/>
    <w:rsid w:val="5ADE465C"/>
    <w:rsid w:val="5C12A845"/>
    <w:rsid w:val="5C8CA802"/>
    <w:rsid w:val="5CE7B550"/>
    <w:rsid w:val="5D521405"/>
    <w:rsid w:val="5ED95290"/>
    <w:rsid w:val="5F083EAE"/>
    <w:rsid w:val="601910EB"/>
    <w:rsid w:val="61455676"/>
    <w:rsid w:val="61C1403F"/>
    <w:rsid w:val="61CD5115"/>
    <w:rsid w:val="644B9E3F"/>
    <w:rsid w:val="654755D0"/>
    <w:rsid w:val="66407215"/>
    <w:rsid w:val="66C71D26"/>
    <w:rsid w:val="67926984"/>
    <w:rsid w:val="6A3C6C79"/>
    <w:rsid w:val="6AF5597C"/>
    <w:rsid w:val="6BE53348"/>
    <w:rsid w:val="6CB97963"/>
    <w:rsid w:val="6EDC8F63"/>
    <w:rsid w:val="6F419A8A"/>
    <w:rsid w:val="700EB517"/>
    <w:rsid w:val="703DE2EA"/>
    <w:rsid w:val="70455B1E"/>
    <w:rsid w:val="73151C3B"/>
    <w:rsid w:val="75B0F0A6"/>
    <w:rsid w:val="75DBB705"/>
    <w:rsid w:val="7640E40A"/>
    <w:rsid w:val="76692132"/>
    <w:rsid w:val="770B2B9E"/>
    <w:rsid w:val="77560403"/>
    <w:rsid w:val="78C3E858"/>
    <w:rsid w:val="78F6012F"/>
    <w:rsid w:val="795E7ED7"/>
    <w:rsid w:val="7A2CE66C"/>
    <w:rsid w:val="7AE6594B"/>
    <w:rsid w:val="7B990E5A"/>
    <w:rsid w:val="7C645243"/>
    <w:rsid w:val="7CE3C0F4"/>
    <w:rsid w:val="7CF07F44"/>
    <w:rsid w:val="7D85DC7F"/>
    <w:rsid w:val="7DBF3A32"/>
    <w:rsid w:val="7F1DFAC0"/>
    <w:rsid w:val="7F6041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BEDFB0"/>
  <w15:docId w15:val="{3AE95611-93BE-48D1-A29C-91624C63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ME"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D"/>
    <w:pPr>
      <w:tabs>
        <w:tab w:val="left" w:pos="567"/>
      </w:tabs>
      <w:spacing w:line="260" w:lineRule="exact"/>
    </w:pPr>
    <w:rPr>
      <w:rFonts w:eastAsia="Times New Roman"/>
      <w:sz w:val="22"/>
    </w:rPr>
  </w:style>
  <w:style w:type="paragraph" w:styleId="Heading1">
    <w:name w:val="heading 1"/>
    <w:next w:val="Paragraph"/>
    <w:link w:val="Heading1Char"/>
    <w:qFormat/>
    <w:rsid w:val="00DB7D8D"/>
    <w:pPr>
      <w:keepNext/>
      <w:numPr>
        <w:numId w:val="4"/>
      </w:numPr>
      <w:spacing w:before="240" w:after="240"/>
      <w:outlineLvl w:val="0"/>
    </w:pPr>
    <w:rPr>
      <w:rFonts w:ascii="Times New Roman Bold" w:eastAsia="Times New Roman" w:hAnsi="Times New Roman Bold" w:cs="Arial"/>
      <w:b/>
      <w:bCs/>
      <w:caps/>
      <w:sz w:val="24"/>
      <w:szCs w:val="28"/>
    </w:rPr>
  </w:style>
  <w:style w:type="paragraph" w:styleId="Heading2">
    <w:name w:val="heading 2"/>
    <w:next w:val="Paragraph"/>
    <w:link w:val="Heading2Char"/>
    <w:qFormat/>
    <w:rsid w:val="00DB7D8D"/>
    <w:pPr>
      <w:keepNext/>
      <w:numPr>
        <w:ilvl w:val="1"/>
        <w:numId w:val="4"/>
      </w:numPr>
      <w:tabs>
        <w:tab w:val="clear" w:pos="0"/>
      </w:tabs>
      <w:spacing w:after="240"/>
      <w:outlineLvl w:val="1"/>
    </w:pPr>
    <w:rPr>
      <w:rFonts w:ascii="Times New Roman Bold" w:eastAsia="Times New Roman" w:hAnsi="Times New Roman Bold" w:cs="Arial"/>
      <w:b/>
      <w:bCs/>
      <w:sz w:val="24"/>
      <w:szCs w:val="26"/>
    </w:rPr>
  </w:style>
  <w:style w:type="paragraph" w:styleId="Heading3">
    <w:name w:val="heading 3"/>
    <w:next w:val="Paragraph"/>
    <w:link w:val="Heading3Char"/>
    <w:qFormat/>
    <w:rsid w:val="00DB7D8D"/>
    <w:pPr>
      <w:keepNext/>
      <w:numPr>
        <w:ilvl w:val="2"/>
        <w:numId w:val="4"/>
      </w:numPr>
      <w:tabs>
        <w:tab w:val="clear" w:pos="0"/>
      </w:tabs>
      <w:spacing w:after="240"/>
      <w:outlineLvl w:val="2"/>
    </w:pPr>
    <w:rPr>
      <w:rFonts w:ascii="Times New Roman Bold" w:eastAsia="Times New Roman" w:hAnsi="Times New Roman Bold" w:cs="Arial"/>
      <w:b/>
      <w:sz w:val="24"/>
      <w:szCs w:val="26"/>
    </w:rPr>
  </w:style>
  <w:style w:type="paragraph" w:styleId="Heading4">
    <w:name w:val="heading 4"/>
    <w:next w:val="Paragraph"/>
    <w:link w:val="Heading4Char"/>
    <w:qFormat/>
    <w:rsid w:val="00DB7D8D"/>
    <w:pPr>
      <w:keepNext/>
      <w:numPr>
        <w:ilvl w:val="3"/>
        <w:numId w:val="4"/>
      </w:numPr>
      <w:tabs>
        <w:tab w:val="clear" w:pos="0"/>
      </w:tabs>
      <w:spacing w:after="240"/>
      <w:outlineLvl w:val="3"/>
    </w:pPr>
    <w:rPr>
      <w:rFonts w:ascii="Times New Roman Bold" w:eastAsia="Times New Roman" w:hAnsi="Times New Roman Bold" w:cs="Arial"/>
      <w:b/>
      <w:bCs/>
      <w:sz w:val="24"/>
      <w:szCs w:val="24"/>
    </w:rPr>
  </w:style>
  <w:style w:type="paragraph" w:styleId="Heading5">
    <w:name w:val="heading 5"/>
    <w:next w:val="Paragraph"/>
    <w:link w:val="Heading5Char"/>
    <w:qFormat/>
    <w:rsid w:val="00DB7D8D"/>
    <w:pPr>
      <w:keepNext/>
      <w:numPr>
        <w:ilvl w:val="4"/>
        <w:numId w:val="4"/>
      </w:numPr>
      <w:tabs>
        <w:tab w:val="clear" w:pos="0"/>
      </w:tabs>
      <w:spacing w:after="240"/>
      <w:outlineLvl w:val="4"/>
    </w:pPr>
    <w:rPr>
      <w:rFonts w:ascii="Times New Roman Bold" w:eastAsia="Times New Roman" w:hAnsi="Times New Roman Bold" w:cs="Arial"/>
      <w:b/>
      <w:iCs/>
      <w:sz w:val="24"/>
      <w:szCs w:val="24"/>
    </w:rPr>
  </w:style>
  <w:style w:type="paragraph" w:styleId="Heading6">
    <w:name w:val="heading 6"/>
    <w:next w:val="Paragraph"/>
    <w:link w:val="Heading6Char"/>
    <w:qFormat/>
    <w:rsid w:val="00DB7D8D"/>
    <w:pPr>
      <w:keepNext/>
      <w:numPr>
        <w:ilvl w:val="5"/>
        <w:numId w:val="4"/>
      </w:numPr>
      <w:tabs>
        <w:tab w:val="clear" w:pos="0"/>
      </w:tabs>
      <w:spacing w:after="240"/>
      <w:outlineLvl w:val="5"/>
    </w:pPr>
    <w:rPr>
      <w:rFonts w:ascii="Times New Roman Bold" w:eastAsia="Times New Roman" w:hAnsi="Times New Roman Bold" w:cs="Arial"/>
      <w:b/>
      <w:iCs/>
      <w:sz w:val="24"/>
      <w:szCs w:val="24"/>
    </w:rPr>
  </w:style>
  <w:style w:type="paragraph" w:styleId="Heading7">
    <w:name w:val="heading 7"/>
    <w:next w:val="Paragraph"/>
    <w:link w:val="Heading7Char"/>
    <w:qFormat/>
    <w:rsid w:val="00DB7D8D"/>
    <w:pPr>
      <w:keepNext/>
      <w:numPr>
        <w:ilvl w:val="6"/>
        <w:numId w:val="4"/>
      </w:numPr>
      <w:tabs>
        <w:tab w:val="clear" w:pos="0"/>
      </w:tabs>
      <w:spacing w:after="240"/>
      <w:outlineLvl w:val="6"/>
    </w:pPr>
    <w:rPr>
      <w:rFonts w:ascii="Times New Roman Bold" w:eastAsia="Times New Roman" w:hAnsi="Times New Roman Bold" w:cs="Arial"/>
      <w:b/>
      <w:iCs/>
      <w:sz w:val="24"/>
      <w:szCs w:val="24"/>
    </w:rPr>
  </w:style>
  <w:style w:type="paragraph" w:styleId="Heading8">
    <w:name w:val="heading 8"/>
    <w:next w:val="Paragraph"/>
    <w:link w:val="Heading8Char"/>
    <w:qFormat/>
    <w:rsid w:val="00DB7D8D"/>
    <w:pPr>
      <w:keepNext/>
      <w:numPr>
        <w:ilvl w:val="7"/>
        <w:numId w:val="4"/>
      </w:numPr>
      <w:tabs>
        <w:tab w:val="clear" w:pos="0"/>
      </w:tabs>
      <w:spacing w:after="240"/>
      <w:outlineLvl w:val="7"/>
    </w:pPr>
    <w:rPr>
      <w:rFonts w:ascii="Times New Roman Bold" w:eastAsia="Times New Roman" w:hAnsi="Times New Roman Bold" w:cs="Arial"/>
      <w:b/>
      <w:iCs/>
      <w:sz w:val="24"/>
      <w:szCs w:val="24"/>
    </w:rPr>
  </w:style>
  <w:style w:type="paragraph" w:styleId="Heading9">
    <w:name w:val="heading 9"/>
    <w:next w:val="Paragraph"/>
    <w:link w:val="Heading9Char"/>
    <w:qFormat/>
    <w:rsid w:val="00DB7D8D"/>
    <w:pPr>
      <w:keepNext/>
      <w:numPr>
        <w:ilvl w:val="8"/>
        <w:numId w:val="4"/>
      </w:numPr>
      <w:tabs>
        <w:tab w:val="clear" w:pos="0"/>
      </w:tabs>
      <w:spacing w:after="240"/>
      <w:outlineLvl w:val="8"/>
    </w:pPr>
    <w:rPr>
      <w:rFonts w:ascii="Times New Roman Bold" w:eastAsia="Times New Roman" w:hAnsi="Times New Roman Bold" w:cs="Arial"/>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aliases w:val="Page 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 H19,Char,Comment Text Char Char,Comment Text Char Char Char Char,Comment Text Char Char1,Comment Text Char Char1 Char,Comment Text Char1 Char,Comment Text Char1 Char Char,Comment Text Char2 Char,Kommentare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ME"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Bold" w:hAnsi="TimesNewRoman,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r-Latn-ME" w:eastAsia="en-GB" w:bidi="ar-SA"/>
    </w:rPr>
  </w:style>
  <w:style w:type="character" w:styleId="CommentReference">
    <w:name w:val="annotation reference"/>
    <w:aliases w:val="Annotationmark,-H18,CommentReference"/>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 H19 Char,Char Char,Comment Text Char Char Char,Comment Text Char Char Char Char Char,Comment Text Char Char1 Char1,Comment Text Char Char1 Char Char,Comment Text Char1 Char Char1,Comment Text Char1 Char 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rPr>
  </w:style>
  <w:style w:type="paragraph" w:customStyle="1" w:styleId="Paragraph">
    <w:name w:val="Paragraph"/>
    <w:link w:val="ParagraphChar"/>
    <w:qFormat/>
    <w:rsid w:val="00DB7D8D"/>
    <w:pPr>
      <w:spacing w:after="240"/>
    </w:pPr>
    <w:rPr>
      <w:rFonts w:eastAsia="Times New Roman"/>
      <w:sz w:val="24"/>
      <w:szCs w:val="24"/>
    </w:rPr>
  </w:style>
  <w:style w:type="character" w:customStyle="1" w:styleId="ParagraphChar">
    <w:name w:val="Paragraph Char"/>
    <w:link w:val="Paragraph"/>
    <w:rsid w:val="00DB7D8D"/>
    <w:rPr>
      <w:rFonts w:eastAsia="Times New Roman"/>
      <w:sz w:val="24"/>
      <w:szCs w:val="24"/>
    </w:rPr>
  </w:style>
  <w:style w:type="paragraph" w:customStyle="1" w:styleId="TableText">
    <w:name w:val="TableText"/>
    <w:link w:val="TableTextChar"/>
    <w:qFormat/>
    <w:rsid w:val="00DB7D8D"/>
    <w:rPr>
      <w:rFonts w:eastAsia="Times New Roman" w:cs="Arial"/>
      <w:sz w:val="24"/>
      <w:szCs w:val="24"/>
    </w:rPr>
  </w:style>
  <w:style w:type="character" w:customStyle="1" w:styleId="TableTextChar">
    <w:name w:val="TableText Char"/>
    <w:link w:val="TableText"/>
    <w:locked/>
    <w:rsid w:val="00DB7D8D"/>
    <w:rPr>
      <w:rFonts w:eastAsia="Times New Roman" w:cs="Arial"/>
      <w:sz w:val="24"/>
      <w:szCs w:val="24"/>
    </w:rPr>
  </w:style>
  <w:style w:type="character" w:customStyle="1" w:styleId="Heading1Char">
    <w:name w:val="Heading 1 Char"/>
    <w:link w:val="Heading1"/>
    <w:rsid w:val="00DB7D8D"/>
    <w:rPr>
      <w:rFonts w:ascii="Times New Roman Bold" w:eastAsia="Times New Roman" w:hAnsi="Times New Roman Bold" w:cs="Arial"/>
      <w:b/>
      <w:bCs/>
      <w:caps/>
      <w:sz w:val="24"/>
      <w:szCs w:val="28"/>
    </w:rPr>
  </w:style>
  <w:style w:type="character" w:customStyle="1" w:styleId="Heading2Char">
    <w:name w:val="Heading 2 Char"/>
    <w:link w:val="Heading2"/>
    <w:rsid w:val="00DB7D8D"/>
    <w:rPr>
      <w:rFonts w:ascii="Times New Roman Bold" w:eastAsia="Times New Roman" w:hAnsi="Times New Roman Bold" w:cs="Arial"/>
      <w:b/>
      <w:bCs/>
      <w:sz w:val="24"/>
      <w:szCs w:val="26"/>
    </w:rPr>
  </w:style>
  <w:style w:type="character" w:customStyle="1" w:styleId="Heading3Char">
    <w:name w:val="Heading 3 Char"/>
    <w:link w:val="Heading3"/>
    <w:rsid w:val="00DB7D8D"/>
    <w:rPr>
      <w:rFonts w:ascii="Times New Roman Bold" w:eastAsia="Times New Roman" w:hAnsi="Times New Roman Bold" w:cs="Arial"/>
      <w:b/>
      <w:sz w:val="24"/>
      <w:szCs w:val="26"/>
    </w:rPr>
  </w:style>
  <w:style w:type="character" w:customStyle="1" w:styleId="Heading4Char">
    <w:name w:val="Heading 4 Char"/>
    <w:link w:val="Heading4"/>
    <w:rsid w:val="00DB7D8D"/>
    <w:rPr>
      <w:rFonts w:ascii="Times New Roman Bold" w:eastAsia="Times New Roman" w:hAnsi="Times New Roman Bold" w:cs="Arial"/>
      <w:b/>
      <w:bCs/>
      <w:sz w:val="24"/>
      <w:szCs w:val="24"/>
    </w:rPr>
  </w:style>
  <w:style w:type="character" w:customStyle="1" w:styleId="Heading5Char">
    <w:name w:val="Heading 5 Char"/>
    <w:link w:val="Heading5"/>
    <w:rsid w:val="00DB7D8D"/>
    <w:rPr>
      <w:rFonts w:ascii="Times New Roman Bold" w:eastAsia="Times New Roman" w:hAnsi="Times New Roman Bold" w:cs="Arial"/>
      <w:b/>
      <w:iCs/>
      <w:sz w:val="24"/>
      <w:szCs w:val="24"/>
    </w:rPr>
  </w:style>
  <w:style w:type="character" w:customStyle="1" w:styleId="Heading6Char">
    <w:name w:val="Heading 6 Char"/>
    <w:link w:val="Heading6"/>
    <w:rsid w:val="00DB7D8D"/>
    <w:rPr>
      <w:rFonts w:ascii="Times New Roman Bold" w:eastAsia="Times New Roman" w:hAnsi="Times New Roman Bold" w:cs="Arial"/>
      <w:b/>
      <w:iCs/>
      <w:sz w:val="24"/>
      <w:szCs w:val="24"/>
    </w:rPr>
  </w:style>
  <w:style w:type="character" w:customStyle="1" w:styleId="Heading7Char">
    <w:name w:val="Heading 7 Char"/>
    <w:link w:val="Heading7"/>
    <w:rsid w:val="00DB7D8D"/>
    <w:rPr>
      <w:rFonts w:ascii="Times New Roman Bold" w:eastAsia="Times New Roman" w:hAnsi="Times New Roman Bold" w:cs="Arial"/>
      <w:b/>
      <w:iCs/>
      <w:sz w:val="24"/>
      <w:szCs w:val="24"/>
    </w:rPr>
  </w:style>
  <w:style w:type="character" w:customStyle="1" w:styleId="Heading8Char">
    <w:name w:val="Heading 8 Char"/>
    <w:link w:val="Heading8"/>
    <w:rsid w:val="00DB7D8D"/>
    <w:rPr>
      <w:rFonts w:ascii="Times New Roman Bold" w:eastAsia="Times New Roman" w:hAnsi="Times New Roman Bold" w:cs="Arial"/>
      <w:b/>
      <w:iCs/>
      <w:sz w:val="24"/>
      <w:szCs w:val="24"/>
    </w:rPr>
  </w:style>
  <w:style w:type="character" w:customStyle="1" w:styleId="Heading9Char">
    <w:name w:val="Heading 9 Char"/>
    <w:link w:val="Heading9"/>
    <w:rsid w:val="00DB7D8D"/>
    <w:rPr>
      <w:rFonts w:ascii="Times New Roman Bold" w:eastAsia="Times New Roman" w:hAnsi="Times New Roman Bold" w:cs="Arial"/>
      <w:b/>
      <w:iCs/>
      <w:sz w:val="24"/>
      <w:szCs w:val="24"/>
    </w:rPr>
  </w:style>
  <w:style w:type="paragraph" w:styleId="Caption">
    <w:name w:val="caption"/>
    <w:next w:val="Paragraph"/>
    <w:qFormat/>
    <w:rsid w:val="00CA013A"/>
    <w:pPr>
      <w:keepNext/>
      <w:tabs>
        <w:tab w:val="left" w:pos="1152"/>
      </w:tabs>
      <w:spacing w:after="240"/>
      <w:ind w:left="1152" w:hanging="1152"/>
    </w:pPr>
    <w:rPr>
      <w:rFonts w:ascii="Times New Roman Bold" w:eastAsia="Times New Roman" w:hAnsi="Times New Roman Bold" w:cs="Arial"/>
      <w:b/>
      <w:bCs/>
      <w:sz w:val="24"/>
      <w:szCs w:val="24"/>
    </w:rPr>
  </w:style>
  <w:style w:type="character" w:customStyle="1" w:styleId="Instructions">
    <w:name w:val="Instructions"/>
    <w:rsid w:val="00CA013A"/>
    <w:rPr>
      <w:i/>
      <w:iCs/>
      <w:color w:val="008000"/>
    </w:rPr>
  </w:style>
  <w:style w:type="paragraph" w:customStyle="1" w:styleId="TableTextColHead">
    <w:name w:val="TableText Col Head"/>
    <w:next w:val="Normal"/>
    <w:link w:val="TableTextColHeadChar"/>
    <w:rsid w:val="00CA013A"/>
    <w:pPr>
      <w:jc w:val="center"/>
    </w:pPr>
    <w:rPr>
      <w:rFonts w:ascii="Times New Roman Bold" w:eastAsia="Times New Roman" w:hAnsi="Times New Roman Bold"/>
      <w:b/>
      <w:sz w:val="24"/>
      <w:szCs w:val="24"/>
    </w:rPr>
  </w:style>
  <w:style w:type="paragraph" w:styleId="ListParagraph">
    <w:name w:val="List Paragraph"/>
    <w:basedOn w:val="Normal"/>
    <w:uiPriority w:val="34"/>
    <w:qFormat/>
    <w:rsid w:val="00867614"/>
    <w:pPr>
      <w:tabs>
        <w:tab w:val="clear" w:pos="567"/>
      </w:tabs>
      <w:spacing w:line="240" w:lineRule="auto"/>
      <w:ind w:left="720"/>
      <w:contextualSpacing/>
    </w:pPr>
    <w:rPr>
      <w:sz w:val="24"/>
      <w:szCs w:val="24"/>
      <w:lang w:eastAsia="en-GB"/>
    </w:rPr>
  </w:style>
  <w:style w:type="paragraph" w:styleId="NormalWeb">
    <w:name w:val="Normal (Web)"/>
    <w:basedOn w:val="Normal"/>
    <w:uiPriority w:val="99"/>
    <w:unhideWhenUsed/>
    <w:rsid w:val="000A7157"/>
    <w:pPr>
      <w:tabs>
        <w:tab w:val="clear" w:pos="567"/>
      </w:tabs>
      <w:spacing w:before="100" w:beforeAutospacing="1" w:after="100" w:afterAutospacing="1" w:line="240" w:lineRule="auto"/>
    </w:pPr>
    <w:rPr>
      <w:sz w:val="24"/>
      <w:szCs w:val="24"/>
      <w:lang w:eastAsia="en-GB"/>
    </w:rPr>
  </w:style>
  <w:style w:type="character" w:customStyle="1" w:styleId="FooterChar">
    <w:name w:val="Footer Char"/>
    <w:link w:val="Footer"/>
    <w:locked/>
    <w:rsid w:val="00636A2A"/>
    <w:rPr>
      <w:rFonts w:ascii="Arial" w:eastAsia="Times New Roman" w:hAnsi="Arial"/>
      <w:noProof/>
      <w:sz w:val="16"/>
      <w:lang w:val="sr-Latn-ME"/>
    </w:rPr>
  </w:style>
  <w:style w:type="paragraph" w:customStyle="1" w:styleId="Default">
    <w:name w:val="Default"/>
    <w:rsid w:val="00201F78"/>
    <w:pPr>
      <w:autoSpaceDE w:val="0"/>
      <w:autoSpaceDN w:val="0"/>
      <w:adjustRightInd w:val="0"/>
    </w:pPr>
    <w:rPr>
      <w:color w:val="000000"/>
      <w:sz w:val="24"/>
      <w:szCs w:val="24"/>
    </w:rPr>
  </w:style>
  <w:style w:type="paragraph" w:styleId="Index9">
    <w:name w:val="index 9"/>
    <w:basedOn w:val="Normal"/>
    <w:next w:val="Normal"/>
    <w:autoRedefine/>
    <w:rsid w:val="00621C50"/>
    <w:pPr>
      <w:tabs>
        <w:tab w:val="clear" w:pos="567"/>
      </w:tabs>
      <w:overflowPunct w:val="0"/>
      <w:autoSpaceDE w:val="0"/>
      <w:autoSpaceDN w:val="0"/>
      <w:adjustRightInd w:val="0"/>
      <w:spacing w:line="240" w:lineRule="auto"/>
      <w:ind w:left="2160" w:hanging="240"/>
      <w:textAlignment w:val="baseline"/>
    </w:pPr>
    <w:rPr>
      <w:sz w:val="24"/>
      <w:szCs w:val="24"/>
    </w:rPr>
  </w:style>
  <w:style w:type="character" w:customStyle="1" w:styleId="ilfuvd">
    <w:name w:val="ilfuvd"/>
    <w:basedOn w:val="DefaultParagraphFont"/>
    <w:rsid w:val="00D40608"/>
  </w:style>
  <w:style w:type="character" w:customStyle="1" w:styleId="st1">
    <w:name w:val="st1"/>
    <w:basedOn w:val="DefaultParagraphFont"/>
    <w:rsid w:val="00DF1B31"/>
  </w:style>
  <w:style w:type="paragraph" w:customStyle="1" w:styleId="TableHeading">
    <w:name w:val="Table Heading"/>
    <w:basedOn w:val="Normal"/>
    <w:rsid w:val="00D17B53"/>
    <w:pPr>
      <w:keepNext/>
      <w:keepLines/>
      <w:tabs>
        <w:tab w:val="clear" w:pos="567"/>
      </w:tabs>
      <w:spacing w:before="60" w:after="60" w:line="240" w:lineRule="auto"/>
      <w:jc w:val="center"/>
    </w:pPr>
    <w:rPr>
      <w:rFonts w:ascii="Arial" w:hAnsi="Arial"/>
      <w:b/>
      <w:sz w:val="24"/>
    </w:rPr>
  </w:style>
  <w:style w:type="character" w:customStyle="1" w:styleId="ExampleText">
    <w:name w:val="Example Text"/>
    <w:rsid w:val="00895C7D"/>
    <w:rPr>
      <w:color w:val="FF0000"/>
    </w:rPr>
  </w:style>
  <w:style w:type="character" w:customStyle="1" w:styleId="TableTextColHeadChar">
    <w:name w:val="TableText Col Head Char"/>
    <w:link w:val="TableTextColHead"/>
    <w:rsid w:val="00A747A9"/>
    <w:rPr>
      <w:rFonts w:ascii="Times New Roman Bold" w:eastAsia="Times New Roman" w:hAnsi="Times New Roman Bold"/>
      <w:b/>
      <w:sz w:val="24"/>
      <w:szCs w:val="24"/>
    </w:rPr>
  </w:style>
  <w:style w:type="character" w:customStyle="1" w:styleId="UnresolvedMention1">
    <w:name w:val="Unresolved Mention1"/>
    <w:basedOn w:val="DefaultParagraphFont"/>
    <w:uiPriority w:val="99"/>
    <w:unhideWhenUsed/>
    <w:rsid w:val="00C57133"/>
    <w:rPr>
      <w:color w:val="605E5C"/>
      <w:shd w:val="clear" w:color="auto" w:fill="E1DFDD"/>
    </w:rPr>
  </w:style>
  <w:style w:type="character" w:customStyle="1" w:styleId="Mention1">
    <w:name w:val="Mention1"/>
    <w:basedOn w:val="DefaultParagraphFont"/>
    <w:uiPriority w:val="99"/>
    <w:unhideWhenUsed/>
    <w:rsid w:val="00C57133"/>
    <w:rPr>
      <w:color w:val="2B579A"/>
      <w:shd w:val="clear" w:color="auto" w:fill="E1DFDD"/>
    </w:rPr>
  </w:style>
  <w:style w:type="character" w:customStyle="1" w:styleId="normaltextrun1">
    <w:name w:val="normaltextrun1"/>
    <w:rsid w:val="0006240E"/>
  </w:style>
  <w:style w:type="paragraph" w:customStyle="1" w:styleId="EquationFootnote">
    <w:name w:val="Equation Footnote"/>
    <w:next w:val="Normal"/>
    <w:rsid w:val="00FF3E2A"/>
    <w:rPr>
      <w:rFonts w:eastAsia="Times New Roman"/>
      <w:sz w:val="24"/>
    </w:rPr>
  </w:style>
  <w:style w:type="character" w:customStyle="1" w:styleId="PIHeading2Char">
    <w:name w:val="PI Heading 2 Char"/>
    <w:link w:val="PIHeading2"/>
    <w:locked/>
    <w:rsid w:val="001550B4"/>
    <w:rPr>
      <w:rFonts w:ascii="Arial" w:hAnsi="Arial" w:cs="Arial"/>
      <w:b/>
      <w:sz w:val="24"/>
    </w:rPr>
  </w:style>
  <w:style w:type="paragraph" w:customStyle="1" w:styleId="PIHeading2">
    <w:name w:val="PI Heading 2"/>
    <w:basedOn w:val="Normal"/>
    <w:link w:val="PIHeading2Char"/>
    <w:rsid w:val="001550B4"/>
    <w:pPr>
      <w:keepNext/>
      <w:keepLines/>
      <w:tabs>
        <w:tab w:val="clear" w:pos="567"/>
      </w:tabs>
      <w:spacing w:before="360" w:after="120" w:line="240" w:lineRule="auto"/>
      <w:outlineLvl w:val="1"/>
    </w:pPr>
    <w:rPr>
      <w:rFonts w:ascii="Arial" w:eastAsia="SimSun" w:hAnsi="Arial" w:cs="Arial"/>
      <w:b/>
      <w:sz w:val="24"/>
    </w:rPr>
  </w:style>
  <w:style w:type="paragraph" w:customStyle="1" w:styleId="PIHeading1">
    <w:name w:val="PI Heading 1"/>
    <w:basedOn w:val="Heading2"/>
    <w:link w:val="PIHeading1Char"/>
    <w:rsid w:val="005B0548"/>
    <w:pPr>
      <w:keepLines/>
      <w:numPr>
        <w:ilvl w:val="0"/>
        <w:numId w:val="0"/>
      </w:numPr>
      <w:spacing w:before="360"/>
    </w:pPr>
    <w:rPr>
      <w:rFonts w:ascii="Arial" w:hAnsi="Arial" w:cs="Times New Roman"/>
      <w:bCs w:val="0"/>
      <w:szCs w:val="20"/>
    </w:rPr>
  </w:style>
  <w:style w:type="character" w:customStyle="1" w:styleId="PIHeading1Char">
    <w:name w:val="PI Heading 1 Char"/>
    <w:link w:val="PIHeading1"/>
    <w:rsid w:val="005B0548"/>
    <w:rPr>
      <w:rFonts w:ascii="Arial" w:eastAsia="Times New Roman" w:hAnsi="Arial"/>
      <w:b/>
      <w:sz w:val="24"/>
    </w:rPr>
  </w:style>
  <w:style w:type="paragraph" w:styleId="ListBullet2">
    <w:name w:val="List Bullet 2"/>
    <w:rsid w:val="00255B8F"/>
    <w:pPr>
      <w:numPr>
        <w:numId w:val="9"/>
      </w:numPr>
      <w:spacing w:after="240"/>
    </w:pPr>
    <w:rPr>
      <w:rFonts w:eastAsia="Times New Roman"/>
      <w:sz w:val="24"/>
      <w:szCs w:val="24"/>
    </w:rPr>
  </w:style>
  <w:style w:type="paragraph" w:customStyle="1" w:styleId="paragraph0">
    <w:name w:val="paragraph"/>
    <w:basedOn w:val="Normal"/>
    <w:rsid w:val="00255B8F"/>
    <w:pPr>
      <w:tabs>
        <w:tab w:val="clear" w:pos="567"/>
      </w:tabs>
      <w:spacing w:before="100" w:beforeAutospacing="1" w:after="100" w:afterAutospacing="1" w:line="240" w:lineRule="auto"/>
    </w:pPr>
    <w:rPr>
      <w:sz w:val="24"/>
      <w:szCs w:val="24"/>
    </w:rPr>
  </w:style>
  <w:style w:type="character" w:customStyle="1" w:styleId="eop">
    <w:name w:val="eop"/>
    <w:rsid w:val="00255B8F"/>
  </w:style>
  <w:style w:type="character" w:customStyle="1" w:styleId="normaltextrun">
    <w:name w:val="normaltextrun"/>
    <w:rsid w:val="00255B8F"/>
  </w:style>
  <w:style w:type="paragraph" w:customStyle="1" w:styleId="TableTextFootnote">
    <w:name w:val="TableText Footnote"/>
    <w:rsid w:val="00C1763B"/>
    <w:rPr>
      <w:rFonts w:eastAsia="Times New Roman"/>
    </w:rPr>
  </w:style>
  <w:style w:type="character" w:styleId="FootnoteReference">
    <w:name w:val="footnote reference"/>
    <w:rsid w:val="00703CF2"/>
    <w:rPr>
      <w:vertAlign w:val="superscript"/>
    </w:rPr>
  </w:style>
  <w:style w:type="character" w:customStyle="1" w:styleId="TableText9">
    <w:name w:val="TableText 9"/>
    <w:rsid w:val="00016387"/>
    <w:rPr>
      <w:rFonts w:ascii="Times New Roman" w:hAnsi="Times New Roman"/>
      <w:sz w:val="18"/>
    </w:rPr>
  </w:style>
  <w:style w:type="character" w:customStyle="1" w:styleId="HeaderChar">
    <w:name w:val="Header Char"/>
    <w:aliases w:val="Page Header Char"/>
    <w:basedOn w:val="DefaultParagraphFont"/>
    <w:link w:val="Header"/>
    <w:uiPriority w:val="99"/>
    <w:rsid w:val="00342279"/>
    <w:rPr>
      <w:rFonts w:ascii="Arial" w:eastAsia="Times New Roman" w:hAnsi="Arial"/>
      <w:lang w:val="sr-Latn-ME"/>
    </w:rPr>
  </w:style>
  <w:style w:type="paragraph" w:customStyle="1" w:styleId="Figure">
    <w:name w:val="Figure"/>
    <w:next w:val="Normal"/>
    <w:rsid w:val="00807A3F"/>
    <w:pPr>
      <w:spacing w:after="240"/>
    </w:pPr>
    <w:rPr>
      <w:rFonts w:eastAsia="Times New Roman"/>
      <w:sz w:val="24"/>
    </w:rPr>
  </w:style>
  <w:style w:type="paragraph" w:customStyle="1" w:styleId="Bullets">
    <w:name w:val="Bullets"/>
    <w:basedOn w:val="Normal"/>
    <w:rsid w:val="002171C8"/>
    <w:pPr>
      <w:numPr>
        <w:numId w:val="40"/>
      </w:numPr>
      <w:tabs>
        <w:tab w:val="clear" w:pos="567"/>
      </w:tabs>
    </w:pPr>
  </w:style>
  <w:style w:type="character" w:customStyle="1" w:styleId="UnresolvedMention2">
    <w:name w:val="Unresolved Mention2"/>
    <w:basedOn w:val="DefaultParagraphFont"/>
    <w:uiPriority w:val="99"/>
    <w:unhideWhenUsed/>
    <w:rsid w:val="00314DD2"/>
    <w:rPr>
      <w:color w:val="605E5C"/>
      <w:shd w:val="clear" w:color="auto" w:fill="E1DFDD"/>
    </w:rPr>
  </w:style>
  <w:style w:type="character" w:styleId="FollowedHyperlink">
    <w:name w:val="FollowedHyperlink"/>
    <w:basedOn w:val="DefaultParagraphFont"/>
    <w:semiHidden/>
    <w:unhideWhenUsed/>
    <w:rsid w:val="00B02786"/>
    <w:rPr>
      <w:color w:val="800080" w:themeColor="followedHyperlink"/>
      <w:u w:val="single"/>
    </w:rPr>
  </w:style>
  <w:style w:type="paragraph" w:styleId="BodyTextIndent">
    <w:name w:val="Body Text Indent"/>
    <w:basedOn w:val="Normal"/>
    <w:link w:val="BodyTextIndentChar"/>
    <w:semiHidden/>
    <w:unhideWhenUsed/>
    <w:rsid w:val="00B41A29"/>
    <w:pPr>
      <w:spacing w:after="120"/>
      <w:ind w:left="360"/>
    </w:pPr>
  </w:style>
  <w:style w:type="character" w:customStyle="1" w:styleId="BodyTextIndentChar">
    <w:name w:val="Body Text Indent Char"/>
    <w:basedOn w:val="DefaultParagraphFont"/>
    <w:link w:val="BodyTextIndent"/>
    <w:semiHidden/>
    <w:rsid w:val="00B41A29"/>
    <w:rPr>
      <w:rFonts w:eastAsia="Times New Roman"/>
      <w:sz w:val="22"/>
      <w:lang w:val="sr-Latn-ME"/>
    </w:rPr>
  </w:style>
  <w:style w:type="character" w:customStyle="1" w:styleId="Mention2">
    <w:name w:val="Mention2"/>
    <w:basedOn w:val="DefaultParagraphFont"/>
    <w:uiPriority w:val="99"/>
    <w:unhideWhenUsed/>
    <w:rsid w:val="005A3E9D"/>
    <w:rPr>
      <w:color w:val="2B579A"/>
      <w:shd w:val="clear" w:color="auto" w:fill="E1DFDD"/>
    </w:rPr>
  </w:style>
  <w:style w:type="character" w:styleId="PlaceholderText">
    <w:name w:val="Placeholder Text"/>
    <w:basedOn w:val="DefaultParagraphFont"/>
    <w:uiPriority w:val="99"/>
    <w:semiHidden/>
    <w:rsid w:val="00710C14"/>
    <w:rPr>
      <w:color w:val="808080"/>
    </w:rPr>
  </w:style>
  <w:style w:type="character" w:styleId="Strong">
    <w:name w:val="Strong"/>
    <w:basedOn w:val="DefaultParagraphFont"/>
    <w:uiPriority w:val="22"/>
    <w:qFormat/>
    <w:rsid w:val="006B1323"/>
    <w:rPr>
      <w:b/>
      <w:bCs/>
    </w:rPr>
  </w:style>
  <w:style w:type="character" w:customStyle="1" w:styleId="hilightd">
    <w:name w:val="hilightd"/>
    <w:basedOn w:val="DefaultParagraphFont"/>
    <w:rsid w:val="00137CE5"/>
  </w:style>
  <w:style w:type="character" w:customStyle="1" w:styleId="hilighti">
    <w:name w:val="hilighti"/>
    <w:basedOn w:val="DefaultParagraphFont"/>
    <w:rsid w:val="00137CE5"/>
  </w:style>
  <w:style w:type="character" w:customStyle="1" w:styleId="Mention3">
    <w:name w:val="Mention3"/>
    <w:basedOn w:val="DefaultParagraphFont"/>
    <w:unhideWhenUsed/>
    <w:rsid w:val="005A549A"/>
    <w:rPr>
      <w:color w:val="2B579A"/>
      <w:shd w:val="clear" w:color="auto" w:fill="E1DFDD"/>
    </w:rPr>
  </w:style>
  <w:style w:type="character" w:customStyle="1" w:styleId="UnresolvedMention3">
    <w:name w:val="Unresolved Mention3"/>
    <w:basedOn w:val="DefaultParagraphFont"/>
    <w:uiPriority w:val="99"/>
    <w:unhideWhenUsed/>
    <w:rsid w:val="000071D6"/>
    <w:rPr>
      <w:color w:val="605E5C"/>
      <w:shd w:val="clear" w:color="auto" w:fill="E1DFDD"/>
    </w:rPr>
  </w:style>
  <w:style w:type="character" w:customStyle="1" w:styleId="Mention4">
    <w:name w:val="Mention4"/>
    <w:basedOn w:val="DefaultParagraphFont"/>
    <w:uiPriority w:val="99"/>
    <w:unhideWhenUsed/>
    <w:rsid w:val="00995EE3"/>
    <w:rPr>
      <w:color w:val="2B579A"/>
      <w:shd w:val="clear" w:color="auto" w:fill="E1DFDD"/>
    </w:rPr>
  </w:style>
  <w:style w:type="paragraph" w:styleId="NoSpacing">
    <w:name w:val="No Spacing"/>
    <w:uiPriority w:val="1"/>
    <w:qFormat/>
    <w:rsid w:val="000C557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93">
      <w:bodyDiv w:val="1"/>
      <w:marLeft w:val="0"/>
      <w:marRight w:val="0"/>
      <w:marTop w:val="0"/>
      <w:marBottom w:val="0"/>
      <w:divBdr>
        <w:top w:val="none" w:sz="0" w:space="0" w:color="auto"/>
        <w:left w:val="none" w:sz="0" w:space="0" w:color="auto"/>
        <w:bottom w:val="none" w:sz="0" w:space="0" w:color="auto"/>
        <w:right w:val="none" w:sz="0" w:space="0" w:color="auto"/>
      </w:divBdr>
    </w:div>
    <w:div w:id="46684897">
      <w:bodyDiv w:val="1"/>
      <w:marLeft w:val="0"/>
      <w:marRight w:val="0"/>
      <w:marTop w:val="0"/>
      <w:marBottom w:val="0"/>
      <w:divBdr>
        <w:top w:val="none" w:sz="0" w:space="0" w:color="auto"/>
        <w:left w:val="none" w:sz="0" w:space="0" w:color="auto"/>
        <w:bottom w:val="none" w:sz="0" w:space="0" w:color="auto"/>
        <w:right w:val="none" w:sz="0" w:space="0" w:color="auto"/>
      </w:divBdr>
    </w:div>
    <w:div w:id="49350449">
      <w:bodyDiv w:val="1"/>
      <w:marLeft w:val="0"/>
      <w:marRight w:val="0"/>
      <w:marTop w:val="0"/>
      <w:marBottom w:val="0"/>
      <w:divBdr>
        <w:top w:val="none" w:sz="0" w:space="0" w:color="auto"/>
        <w:left w:val="none" w:sz="0" w:space="0" w:color="auto"/>
        <w:bottom w:val="none" w:sz="0" w:space="0" w:color="auto"/>
        <w:right w:val="none" w:sz="0" w:space="0" w:color="auto"/>
      </w:divBdr>
    </w:div>
    <w:div w:id="63530153">
      <w:bodyDiv w:val="1"/>
      <w:marLeft w:val="0"/>
      <w:marRight w:val="0"/>
      <w:marTop w:val="0"/>
      <w:marBottom w:val="0"/>
      <w:divBdr>
        <w:top w:val="none" w:sz="0" w:space="0" w:color="auto"/>
        <w:left w:val="none" w:sz="0" w:space="0" w:color="auto"/>
        <w:bottom w:val="none" w:sz="0" w:space="0" w:color="auto"/>
        <w:right w:val="none" w:sz="0" w:space="0" w:color="auto"/>
      </w:divBdr>
    </w:div>
    <w:div w:id="97066596">
      <w:bodyDiv w:val="1"/>
      <w:marLeft w:val="0"/>
      <w:marRight w:val="0"/>
      <w:marTop w:val="0"/>
      <w:marBottom w:val="0"/>
      <w:divBdr>
        <w:top w:val="none" w:sz="0" w:space="0" w:color="auto"/>
        <w:left w:val="none" w:sz="0" w:space="0" w:color="auto"/>
        <w:bottom w:val="none" w:sz="0" w:space="0" w:color="auto"/>
        <w:right w:val="none" w:sz="0" w:space="0" w:color="auto"/>
      </w:divBdr>
    </w:div>
    <w:div w:id="104546615">
      <w:bodyDiv w:val="1"/>
      <w:marLeft w:val="0"/>
      <w:marRight w:val="0"/>
      <w:marTop w:val="0"/>
      <w:marBottom w:val="0"/>
      <w:divBdr>
        <w:top w:val="none" w:sz="0" w:space="0" w:color="auto"/>
        <w:left w:val="none" w:sz="0" w:space="0" w:color="auto"/>
        <w:bottom w:val="none" w:sz="0" w:space="0" w:color="auto"/>
        <w:right w:val="none" w:sz="0" w:space="0" w:color="auto"/>
      </w:divBdr>
    </w:div>
    <w:div w:id="127432609">
      <w:bodyDiv w:val="1"/>
      <w:marLeft w:val="0"/>
      <w:marRight w:val="0"/>
      <w:marTop w:val="0"/>
      <w:marBottom w:val="0"/>
      <w:divBdr>
        <w:top w:val="none" w:sz="0" w:space="0" w:color="auto"/>
        <w:left w:val="none" w:sz="0" w:space="0" w:color="auto"/>
        <w:bottom w:val="none" w:sz="0" w:space="0" w:color="auto"/>
        <w:right w:val="none" w:sz="0" w:space="0" w:color="auto"/>
      </w:divBdr>
    </w:div>
    <w:div w:id="150098687">
      <w:bodyDiv w:val="1"/>
      <w:marLeft w:val="0"/>
      <w:marRight w:val="0"/>
      <w:marTop w:val="0"/>
      <w:marBottom w:val="0"/>
      <w:divBdr>
        <w:top w:val="none" w:sz="0" w:space="0" w:color="auto"/>
        <w:left w:val="none" w:sz="0" w:space="0" w:color="auto"/>
        <w:bottom w:val="none" w:sz="0" w:space="0" w:color="auto"/>
        <w:right w:val="none" w:sz="0" w:space="0" w:color="auto"/>
      </w:divBdr>
    </w:div>
    <w:div w:id="168566567">
      <w:bodyDiv w:val="1"/>
      <w:marLeft w:val="0"/>
      <w:marRight w:val="0"/>
      <w:marTop w:val="0"/>
      <w:marBottom w:val="0"/>
      <w:divBdr>
        <w:top w:val="none" w:sz="0" w:space="0" w:color="auto"/>
        <w:left w:val="none" w:sz="0" w:space="0" w:color="auto"/>
        <w:bottom w:val="none" w:sz="0" w:space="0" w:color="auto"/>
        <w:right w:val="none" w:sz="0" w:space="0" w:color="auto"/>
      </w:divBdr>
    </w:div>
    <w:div w:id="188221992">
      <w:bodyDiv w:val="1"/>
      <w:marLeft w:val="0"/>
      <w:marRight w:val="0"/>
      <w:marTop w:val="0"/>
      <w:marBottom w:val="0"/>
      <w:divBdr>
        <w:top w:val="none" w:sz="0" w:space="0" w:color="auto"/>
        <w:left w:val="none" w:sz="0" w:space="0" w:color="auto"/>
        <w:bottom w:val="none" w:sz="0" w:space="0" w:color="auto"/>
        <w:right w:val="none" w:sz="0" w:space="0" w:color="auto"/>
      </w:divBdr>
      <w:divsChild>
        <w:div w:id="1258172847">
          <w:marLeft w:val="0"/>
          <w:marRight w:val="0"/>
          <w:marTop w:val="0"/>
          <w:marBottom w:val="0"/>
          <w:divBdr>
            <w:top w:val="none" w:sz="0" w:space="0" w:color="auto"/>
            <w:left w:val="none" w:sz="0" w:space="0" w:color="auto"/>
            <w:bottom w:val="none" w:sz="0" w:space="0" w:color="auto"/>
            <w:right w:val="none" w:sz="0" w:space="0" w:color="auto"/>
          </w:divBdr>
          <w:divsChild>
            <w:div w:id="48308401">
              <w:marLeft w:val="-225"/>
              <w:marRight w:val="-225"/>
              <w:marTop w:val="0"/>
              <w:marBottom w:val="0"/>
              <w:divBdr>
                <w:top w:val="none" w:sz="0" w:space="0" w:color="auto"/>
                <w:left w:val="none" w:sz="0" w:space="0" w:color="auto"/>
                <w:bottom w:val="none" w:sz="0" w:space="0" w:color="auto"/>
                <w:right w:val="none" w:sz="0" w:space="0" w:color="auto"/>
              </w:divBdr>
              <w:divsChild>
                <w:div w:id="2057044732">
                  <w:marLeft w:val="0"/>
                  <w:marRight w:val="0"/>
                  <w:marTop w:val="0"/>
                  <w:marBottom w:val="0"/>
                  <w:divBdr>
                    <w:top w:val="none" w:sz="0" w:space="0" w:color="auto"/>
                    <w:left w:val="none" w:sz="0" w:space="0" w:color="auto"/>
                    <w:bottom w:val="none" w:sz="0" w:space="0" w:color="auto"/>
                    <w:right w:val="none" w:sz="0" w:space="0" w:color="auto"/>
                  </w:divBdr>
                  <w:divsChild>
                    <w:div w:id="1871717862">
                      <w:marLeft w:val="0"/>
                      <w:marRight w:val="0"/>
                      <w:marTop w:val="0"/>
                      <w:marBottom w:val="0"/>
                      <w:divBdr>
                        <w:top w:val="none" w:sz="0" w:space="0" w:color="auto"/>
                        <w:left w:val="none" w:sz="0" w:space="0" w:color="auto"/>
                        <w:bottom w:val="none" w:sz="0" w:space="0" w:color="auto"/>
                        <w:right w:val="none" w:sz="0" w:space="0" w:color="auto"/>
                      </w:divBdr>
                      <w:divsChild>
                        <w:div w:id="709961777">
                          <w:marLeft w:val="0"/>
                          <w:marRight w:val="0"/>
                          <w:marTop w:val="0"/>
                          <w:marBottom w:val="0"/>
                          <w:divBdr>
                            <w:top w:val="none" w:sz="0" w:space="0" w:color="auto"/>
                            <w:left w:val="none" w:sz="0" w:space="0" w:color="auto"/>
                            <w:bottom w:val="none" w:sz="0" w:space="0" w:color="auto"/>
                            <w:right w:val="none" w:sz="0" w:space="0" w:color="auto"/>
                          </w:divBdr>
                          <w:divsChild>
                            <w:div w:id="1728333179">
                              <w:marLeft w:val="0"/>
                              <w:marRight w:val="0"/>
                              <w:marTop w:val="0"/>
                              <w:marBottom w:val="0"/>
                              <w:divBdr>
                                <w:top w:val="none" w:sz="0" w:space="0" w:color="auto"/>
                                <w:left w:val="none" w:sz="0" w:space="0" w:color="auto"/>
                                <w:bottom w:val="none" w:sz="0" w:space="0" w:color="auto"/>
                                <w:right w:val="none" w:sz="0" w:space="0" w:color="auto"/>
                              </w:divBdr>
                              <w:divsChild>
                                <w:div w:id="1111239906">
                                  <w:marLeft w:val="0"/>
                                  <w:marRight w:val="0"/>
                                  <w:marTop w:val="0"/>
                                  <w:marBottom w:val="0"/>
                                  <w:divBdr>
                                    <w:top w:val="none" w:sz="0" w:space="0" w:color="auto"/>
                                    <w:left w:val="none" w:sz="0" w:space="0" w:color="auto"/>
                                    <w:bottom w:val="none" w:sz="0" w:space="0" w:color="auto"/>
                                    <w:right w:val="none" w:sz="0" w:space="0" w:color="auto"/>
                                  </w:divBdr>
                                  <w:divsChild>
                                    <w:div w:id="20741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75022">
      <w:bodyDiv w:val="1"/>
      <w:marLeft w:val="0"/>
      <w:marRight w:val="0"/>
      <w:marTop w:val="0"/>
      <w:marBottom w:val="0"/>
      <w:divBdr>
        <w:top w:val="none" w:sz="0" w:space="0" w:color="auto"/>
        <w:left w:val="none" w:sz="0" w:space="0" w:color="auto"/>
        <w:bottom w:val="none" w:sz="0" w:space="0" w:color="auto"/>
        <w:right w:val="none" w:sz="0" w:space="0" w:color="auto"/>
      </w:divBdr>
    </w:div>
    <w:div w:id="272905517">
      <w:bodyDiv w:val="1"/>
      <w:marLeft w:val="0"/>
      <w:marRight w:val="0"/>
      <w:marTop w:val="0"/>
      <w:marBottom w:val="0"/>
      <w:divBdr>
        <w:top w:val="none" w:sz="0" w:space="0" w:color="auto"/>
        <w:left w:val="none" w:sz="0" w:space="0" w:color="auto"/>
        <w:bottom w:val="none" w:sz="0" w:space="0" w:color="auto"/>
        <w:right w:val="none" w:sz="0" w:space="0" w:color="auto"/>
      </w:divBdr>
    </w:div>
    <w:div w:id="340202173">
      <w:bodyDiv w:val="1"/>
      <w:marLeft w:val="0"/>
      <w:marRight w:val="0"/>
      <w:marTop w:val="0"/>
      <w:marBottom w:val="0"/>
      <w:divBdr>
        <w:top w:val="none" w:sz="0" w:space="0" w:color="auto"/>
        <w:left w:val="none" w:sz="0" w:space="0" w:color="auto"/>
        <w:bottom w:val="none" w:sz="0" w:space="0" w:color="auto"/>
        <w:right w:val="none" w:sz="0" w:space="0" w:color="auto"/>
      </w:divBdr>
    </w:div>
    <w:div w:id="406922908">
      <w:bodyDiv w:val="1"/>
      <w:marLeft w:val="0"/>
      <w:marRight w:val="0"/>
      <w:marTop w:val="0"/>
      <w:marBottom w:val="0"/>
      <w:divBdr>
        <w:top w:val="none" w:sz="0" w:space="0" w:color="auto"/>
        <w:left w:val="none" w:sz="0" w:space="0" w:color="auto"/>
        <w:bottom w:val="none" w:sz="0" w:space="0" w:color="auto"/>
        <w:right w:val="none" w:sz="0" w:space="0" w:color="auto"/>
      </w:divBdr>
      <w:divsChild>
        <w:div w:id="559365108">
          <w:marLeft w:val="0"/>
          <w:marRight w:val="0"/>
          <w:marTop w:val="0"/>
          <w:marBottom w:val="0"/>
          <w:divBdr>
            <w:top w:val="none" w:sz="0" w:space="0" w:color="auto"/>
            <w:left w:val="none" w:sz="0" w:space="0" w:color="auto"/>
            <w:bottom w:val="none" w:sz="0" w:space="0" w:color="auto"/>
            <w:right w:val="none" w:sz="0" w:space="0" w:color="auto"/>
          </w:divBdr>
        </w:div>
      </w:divsChild>
    </w:div>
    <w:div w:id="465123849">
      <w:bodyDiv w:val="1"/>
      <w:marLeft w:val="0"/>
      <w:marRight w:val="0"/>
      <w:marTop w:val="0"/>
      <w:marBottom w:val="0"/>
      <w:divBdr>
        <w:top w:val="none" w:sz="0" w:space="0" w:color="auto"/>
        <w:left w:val="none" w:sz="0" w:space="0" w:color="auto"/>
        <w:bottom w:val="none" w:sz="0" w:space="0" w:color="auto"/>
        <w:right w:val="none" w:sz="0" w:space="0" w:color="auto"/>
      </w:divBdr>
    </w:div>
    <w:div w:id="50937634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0594895">
      <w:bodyDiv w:val="1"/>
      <w:marLeft w:val="0"/>
      <w:marRight w:val="0"/>
      <w:marTop w:val="0"/>
      <w:marBottom w:val="0"/>
      <w:divBdr>
        <w:top w:val="none" w:sz="0" w:space="0" w:color="auto"/>
        <w:left w:val="none" w:sz="0" w:space="0" w:color="auto"/>
        <w:bottom w:val="none" w:sz="0" w:space="0" w:color="auto"/>
        <w:right w:val="none" w:sz="0" w:space="0" w:color="auto"/>
      </w:divBdr>
    </w:div>
    <w:div w:id="639919168">
      <w:bodyDiv w:val="1"/>
      <w:marLeft w:val="0"/>
      <w:marRight w:val="0"/>
      <w:marTop w:val="0"/>
      <w:marBottom w:val="0"/>
      <w:divBdr>
        <w:top w:val="none" w:sz="0" w:space="0" w:color="auto"/>
        <w:left w:val="none" w:sz="0" w:space="0" w:color="auto"/>
        <w:bottom w:val="none" w:sz="0" w:space="0" w:color="auto"/>
        <w:right w:val="none" w:sz="0" w:space="0" w:color="auto"/>
      </w:divBdr>
    </w:div>
    <w:div w:id="668563922">
      <w:bodyDiv w:val="1"/>
      <w:marLeft w:val="0"/>
      <w:marRight w:val="0"/>
      <w:marTop w:val="0"/>
      <w:marBottom w:val="0"/>
      <w:divBdr>
        <w:top w:val="none" w:sz="0" w:space="0" w:color="auto"/>
        <w:left w:val="none" w:sz="0" w:space="0" w:color="auto"/>
        <w:bottom w:val="none" w:sz="0" w:space="0" w:color="auto"/>
        <w:right w:val="none" w:sz="0" w:space="0" w:color="auto"/>
      </w:divBdr>
    </w:div>
    <w:div w:id="696858126">
      <w:bodyDiv w:val="1"/>
      <w:marLeft w:val="0"/>
      <w:marRight w:val="0"/>
      <w:marTop w:val="0"/>
      <w:marBottom w:val="0"/>
      <w:divBdr>
        <w:top w:val="none" w:sz="0" w:space="0" w:color="auto"/>
        <w:left w:val="none" w:sz="0" w:space="0" w:color="auto"/>
        <w:bottom w:val="none" w:sz="0" w:space="0" w:color="auto"/>
        <w:right w:val="none" w:sz="0" w:space="0" w:color="auto"/>
      </w:divBdr>
      <w:divsChild>
        <w:div w:id="1638561991">
          <w:marLeft w:val="0"/>
          <w:marRight w:val="0"/>
          <w:marTop w:val="0"/>
          <w:marBottom w:val="0"/>
          <w:divBdr>
            <w:top w:val="none" w:sz="0" w:space="0" w:color="auto"/>
            <w:left w:val="none" w:sz="0" w:space="0" w:color="auto"/>
            <w:bottom w:val="none" w:sz="0" w:space="0" w:color="auto"/>
            <w:right w:val="none" w:sz="0" w:space="0" w:color="auto"/>
          </w:divBdr>
          <w:divsChild>
            <w:div w:id="781919514">
              <w:marLeft w:val="-225"/>
              <w:marRight w:val="-225"/>
              <w:marTop w:val="0"/>
              <w:marBottom w:val="0"/>
              <w:divBdr>
                <w:top w:val="none" w:sz="0" w:space="0" w:color="auto"/>
                <w:left w:val="none" w:sz="0" w:space="0" w:color="auto"/>
                <w:bottom w:val="none" w:sz="0" w:space="0" w:color="auto"/>
                <w:right w:val="none" w:sz="0" w:space="0" w:color="auto"/>
              </w:divBdr>
              <w:divsChild>
                <w:div w:id="1429043510">
                  <w:marLeft w:val="0"/>
                  <w:marRight w:val="0"/>
                  <w:marTop w:val="0"/>
                  <w:marBottom w:val="0"/>
                  <w:divBdr>
                    <w:top w:val="none" w:sz="0" w:space="0" w:color="auto"/>
                    <w:left w:val="none" w:sz="0" w:space="0" w:color="auto"/>
                    <w:bottom w:val="none" w:sz="0" w:space="0" w:color="auto"/>
                    <w:right w:val="none" w:sz="0" w:space="0" w:color="auto"/>
                  </w:divBdr>
                  <w:divsChild>
                    <w:div w:id="1931817943">
                      <w:marLeft w:val="0"/>
                      <w:marRight w:val="0"/>
                      <w:marTop w:val="0"/>
                      <w:marBottom w:val="0"/>
                      <w:divBdr>
                        <w:top w:val="none" w:sz="0" w:space="0" w:color="auto"/>
                        <w:left w:val="none" w:sz="0" w:space="0" w:color="auto"/>
                        <w:bottom w:val="none" w:sz="0" w:space="0" w:color="auto"/>
                        <w:right w:val="none" w:sz="0" w:space="0" w:color="auto"/>
                      </w:divBdr>
                      <w:divsChild>
                        <w:div w:id="455222814">
                          <w:marLeft w:val="0"/>
                          <w:marRight w:val="0"/>
                          <w:marTop w:val="0"/>
                          <w:marBottom w:val="0"/>
                          <w:divBdr>
                            <w:top w:val="none" w:sz="0" w:space="0" w:color="auto"/>
                            <w:left w:val="none" w:sz="0" w:space="0" w:color="auto"/>
                            <w:bottom w:val="none" w:sz="0" w:space="0" w:color="auto"/>
                            <w:right w:val="none" w:sz="0" w:space="0" w:color="auto"/>
                          </w:divBdr>
                          <w:divsChild>
                            <w:div w:id="1380085695">
                              <w:marLeft w:val="0"/>
                              <w:marRight w:val="0"/>
                              <w:marTop w:val="0"/>
                              <w:marBottom w:val="0"/>
                              <w:divBdr>
                                <w:top w:val="none" w:sz="0" w:space="0" w:color="auto"/>
                                <w:left w:val="none" w:sz="0" w:space="0" w:color="auto"/>
                                <w:bottom w:val="none" w:sz="0" w:space="0" w:color="auto"/>
                                <w:right w:val="none" w:sz="0" w:space="0" w:color="auto"/>
                              </w:divBdr>
                              <w:divsChild>
                                <w:div w:id="833450484">
                                  <w:marLeft w:val="0"/>
                                  <w:marRight w:val="0"/>
                                  <w:marTop w:val="0"/>
                                  <w:marBottom w:val="0"/>
                                  <w:divBdr>
                                    <w:top w:val="none" w:sz="0" w:space="0" w:color="auto"/>
                                    <w:left w:val="none" w:sz="0" w:space="0" w:color="auto"/>
                                    <w:bottom w:val="none" w:sz="0" w:space="0" w:color="auto"/>
                                    <w:right w:val="none" w:sz="0" w:space="0" w:color="auto"/>
                                  </w:divBdr>
                                  <w:divsChild>
                                    <w:div w:id="2698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390301">
      <w:bodyDiv w:val="1"/>
      <w:marLeft w:val="0"/>
      <w:marRight w:val="0"/>
      <w:marTop w:val="0"/>
      <w:marBottom w:val="0"/>
      <w:divBdr>
        <w:top w:val="none" w:sz="0" w:space="0" w:color="auto"/>
        <w:left w:val="none" w:sz="0" w:space="0" w:color="auto"/>
        <w:bottom w:val="none" w:sz="0" w:space="0" w:color="auto"/>
        <w:right w:val="none" w:sz="0" w:space="0" w:color="auto"/>
      </w:divBdr>
    </w:div>
    <w:div w:id="754471127">
      <w:bodyDiv w:val="1"/>
      <w:marLeft w:val="0"/>
      <w:marRight w:val="0"/>
      <w:marTop w:val="0"/>
      <w:marBottom w:val="0"/>
      <w:divBdr>
        <w:top w:val="none" w:sz="0" w:space="0" w:color="auto"/>
        <w:left w:val="none" w:sz="0" w:space="0" w:color="auto"/>
        <w:bottom w:val="none" w:sz="0" w:space="0" w:color="auto"/>
        <w:right w:val="none" w:sz="0" w:space="0" w:color="auto"/>
      </w:divBdr>
    </w:div>
    <w:div w:id="761533909">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10831665">
      <w:bodyDiv w:val="1"/>
      <w:marLeft w:val="0"/>
      <w:marRight w:val="0"/>
      <w:marTop w:val="0"/>
      <w:marBottom w:val="0"/>
      <w:divBdr>
        <w:top w:val="none" w:sz="0" w:space="0" w:color="auto"/>
        <w:left w:val="none" w:sz="0" w:space="0" w:color="auto"/>
        <w:bottom w:val="none" w:sz="0" w:space="0" w:color="auto"/>
        <w:right w:val="none" w:sz="0" w:space="0" w:color="auto"/>
      </w:divBdr>
    </w:div>
    <w:div w:id="815951031">
      <w:bodyDiv w:val="1"/>
      <w:marLeft w:val="0"/>
      <w:marRight w:val="0"/>
      <w:marTop w:val="0"/>
      <w:marBottom w:val="0"/>
      <w:divBdr>
        <w:top w:val="none" w:sz="0" w:space="0" w:color="auto"/>
        <w:left w:val="none" w:sz="0" w:space="0" w:color="auto"/>
        <w:bottom w:val="none" w:sz="0" w:space="0" w:color="auto"/>
        <w:right w:val="none" w:sz="0" w:space="0" w:color="auto"/>
      </w:divBdr>
    </w:div>
    <w:div w:id="835264296">
      <w:bodyDiv w:val="1"/>
      <w:marLeft w:val="0"/>
      <w:marRight w:val="0"/>
      <w:marTop w:val="0"/>
      <w:marBottom w:val="0"/>
      <w:divBdr>
        <w:top w:val="none" w:sz="0" w:space="0" w:color="auto"/>
        <w:left w:val="none" w:sz="0" w:space="0" w:color="auto"/>
        <w:bottom w:val="none" w:sz="0" w:space="0" w:color="auto"/>
        <w:right w:val="none" w:sz="0" w:space="0" w:color="auto"/>
      </w:divBdr>
    </w:div>
    <w:div w:id="874849922">
      <w:bodyDiv w:val="1"/>
      <w:marLeft w:val="0"/>
      <w:marRight w:val="0"/>
      <w:marTop w:val="0"/>
      <w:marBottom w:val="0"/>
      <w:divBdr>
        <w:top w:val="none" w:sz="0" w:space="0" w:color="auto"/>
        <w:left w:val="none" w:sz="0" w:space="0" w:color="auto"/>
        <w:bottom w:val="none" w:sz="0" w:space="0" w:color="auto"/>
        <w:right w:val="none" w:sz="0" w:space="0" w:color="auto"/>
      </w:divBdr>
    </w:div>
    <w:div w:id="896625107">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8412524">
      <w:bodyDiv w:val="1"/>
      <w:marLeft w:val="0"/>
      <w:marRight w:val="0"/>
      <w:marTop w:val="0"/>
      <w:marBottom w:val="0"/>
      <w:divBdr>
        <w:top w:val="none" w:sz="0" w:space="0" w:color="auto"/>
        <w:left w:val="none" w:sz="0" w:space="0" w:color="auto"/>
        <w:bottom w:val="none" w:sz="0" w:space="0" w:color="auto"/>
        <w:right w:val="none" w:sz="0" w:space="0" w:color="auto"/>
      </w:divBdr>
    </w:div>
    <w:div w:id="975716293">
      <w:bodyDiv w:val="1"/>
      <w:marLeft w:val="0"/>
      <w:marRight w:val="0"/>
      <w:marTop w:val="0"/>
      <w:marBottom w:val="0"/>
      <w:divBdr>
        <w:top w:val="none" w:sz="0" w:space="0" w:color="auto"/>
        <w:left w:val="none" w:sz="0" w:space="0" w:color="auto"/>
        <w:bottom w:val="none" w:sz="0" w:space="0" w:color="auto"/>
        <w:right w:val="none" w:sz="0" w:space="0" w:color="auto"/>
      </w:divBdr>
    </w:div>
    <w:div w:id="1016538326">
      <w:bodyDiv w:val="1"/>
      <w:marLeft w:val="0"/>
      <w:marRight w:val="0"/>
      <w:marTop w:val="0"/>
      <w:marBottom w:val="0"/>
      <w:divBdr>
        <w:top w:val="none" w:sz="0" w:space="0" w:color="auto"/>
        <w:left w:val="none" w:sz="0" w:space="0" w:color="auto"/>
        <w:bottom w:val="none" w:sz="0" w:space="0" w:color="auto"/>
        <w:right w:val="none" w:sz="0" w:space="0" w:color="auto"/>
      </w:divBdr>
      <w:divsChild>
        <w:div w:id="723530695">
          <w:marLeft w:val="547"/>
          <w:marRight w:val="0"/>
          <w:marTop w:val="0"/>
          <w:marBottom w:val="0"/>
          <w:divBdr>
            <w:top w:val="none" w:sz="0" w:space="0" w:color="auto"/>
            <w:left w:val="none" w:sz="0" w:space="0" w:color="auto"/>
            <w:bottom w:val="none" w:sz="0" w:space="0" w:color="auto"/>
            <w:right w:val="none" w:sz="0" w:space="0" w:color="auto"/>
          </w:divBdr>
        </w:div>
        <w:div w:id="891575405">
          <w:marLeft w:val="1166"/>
          <w:marRight w:val="0"/>
          <w:marTop w:val="0"/>
          <w:marBottom w:val="0"/>
          <w:divBdr>
            <w:top w:val="none" w:sz="0" w:space="0" w:color="auto"/>
            <w:left w:val="none" w:sz="0" w:space="0" w:color="auto"/>
            <w:bottom w:val="none" w:sz="0" w:space="0" w:color="auto"/>
            <w:right w:val="none" w:sz="0" w:space="0" w:color="auto"/>
          </w:divBdr>
        </w:div>
        <w:div w:id="962930165">
          <w:marLeft w:val="1166"/>
          <w:marRight w:val="0"/>
          <w:marTop w:val="0"/>
          <w:marBottom w:val="0"/>
          <w:divBdr>
            <w:top w:val="none" w:sz="0" w:space="0" w:color="auto"/>
            <w:left w:val="none" w:sz="0" w:space="0" w:color="auto"/>
            <w:bottom w:val="none" w:sz="0" w:space="0" w:color="auto"/>
            <w:right w:val="none" w:sz="0" w:space="0" w:color="auto"/>
          </w:divBdr>
        </w:div>
      </w:divsChild>
    </w:div>
    <w:div w:id="1062874379">
      <w:bodyDiv w:val="1"/>
      <w:marLeft w:val="0"/>
      <w:marRight w:val="0"/>
      <w:marTop w:val="0"/>
      <w:marBottom w:val="0"/>
      <w:divBdr>
        <w:top w:val="none" w:sz="0" w:space="0" w:color="auto"/>
        <w:left w:val="none" w:sz="0" w:space="0" w:color="auto"/>
        <w:bottom w:val="none" w:sz="0" w:space="0" w:color="auto"/>
        <w:right w:val="none" w:sz="0" w:space="0" w:color="auto"/>
      </w:divBdr>
      <w:divsChild>
        <w:div w:id="127748279">
          <w:marLeft w:val="547"/>
          <w:marRight w:val="0"/>
          <w:marTop w:val="0"/>
          <w:marBottom w:val="0"/>
          <w:divBdr>
            <w:top w:val="none" w:sz="0" w:space="0" w:color="auto"/>
            <w:left w:val="none" w:sz="0" w:space="0" w:color="auto"/>
            <w:bottom w:val="none" w:sz="0" w:space="0" w:color="auto"/>
            <w:right w:val="none" w:sz="0" w:space="0" w:color="auto"/>
          </w:divBdr>
        </w:div>
      </w:divsChild>
    </w:div>
    <w:div w:id="107369489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2727238">
      <w:bodyDiv w:val="1"/>
      <w:marLeft w:val="0"/>
      <w:marRight w:val="0"/>
      <w:marTop w:val="0"/>
      <w:marBottom w:val="0"/>
      <w:divBdr>
        <w:top w:val="none" w:sz="0" w:space="0" w:color="auto"/>
        <w:left w:val="none" w:sz="0" w:space="0" w:color="auto"/>
        <w:bottom w:val="none" w:sz="0" w:space="0" w:color="auto"/>
        <w:right w:val="none" w:sz="0" w:space="0" w:color="auto"/>
      </w:divBdr>
    </w:div>
    <w:div w:id="1085151151">
      <w:bodyDiv w:val="1"/>
      <w:marLeft w:val="0"/>
      <w:marRight w:val="0"/>
      <w:marTop w:val="0"/>
      <w:marBottom w:val="0"/>
      <w:divBdr>
        <w:top w:val="none" w:sz="0" w:space="0" w:color="auto"/>
        <w:left w:val="none" w:sz="0" w:space="0" w:color="auto"/>
        <w:bottom w:val="none" w:sz="0" w:space="0" w:color="auto"/>
        <w:right w:val="none" w:sz="0" w:space="0" w:color="auto"/>
      </w:divBdr>
    </w:div>
    <w:div w:id="1185436079">
      <w:bodyDiv w:val="1"/>
      <w:marLeft w:val="0"/>
      <w:marRight w:val="0"/>
      <w:marTop w:val="0"/>
      <w:marBottom w:val="0"/>
      <w:divBdr>
        <w:top w:val="none" w:sz="0" w:space="0" w:color="auto"/>
        <w:left w:val="none" w:sz="0" w:space="0" w:color="auto"/>
        <w:bottom w:val="none" w:sz="0" w:space="0" w:color="auto"/>
        <w:right w:val="none" w:sz="0" w:space="0" w:color="auto"/>
      </w:divBdr>
    </w:div>
    <w:div w:id="1271014693">
      <w:bodyDiv w:val="1"/>
      <w:marLeft w:val="0"/>
      <w:marRight w:val="0"/>
      <w:marTop w:val="0"/>
      <w:marBottom w:val="0"/>
      <w:divBdr>
        <w:top w:val="none" w:sz="0" w:space="0" w:color="auto"/>
        <w:left w:val="none" w:sz="0" w:space="0" w:color="auto"/>
        <w:bottom w:val="none" w:sz="0" w:space="0" w:color="auto"/>
        <w:right w:val="none" w:sz="0" w:space="0" w:color="auto"/>
      </w:divBdr>
      <w:divsChild>
        <w:div w:id="2084255403">
          <w:marLeft w:val="0"/>
          <w:marRight w:val="0"/>
          <w:marTop w:val="0"/>
          <w:marBottom w:val="0"/>
          <w:divBdr>
            <w:top w:val="none" w:sz="0" w:space="0" w:color="auto"/>
            <w:left w:val="none" w:sz="0" w:space="0" w:color="auto"/>
            <w:bottom w:val="none" w:sz="0" w:space="0" w:color="auto"/>
            <w:right w:val="none" w:sz="0" w:space="0" w:color="auto"/>
          </w:divBdr>
        </w:div>
      </w:divsChild>
    </w:div>
    <w:div w:id="1279333193">
      <w:bodyDiv w:val="1"/>
      <w:marLeft w:val="0"/>
      <w:marRight w:val="0"/>
      <w:marTop w:val="0"/>
      <w:marBottom w:val="0"/>
      <w:divBdr>
        <w:top w:val="none" w:sz="0" w:space="0" w:color="auto"/>
        <w:left w:val="none" w:sz="0" w:space="0" w:color="auto"/>
        <w:bottom w:val="none" w:sz="0" w:space="0" w:color="auto"/>
        <w:right w:val="none" w:sz="0" w:space="0" w:color="auto"/>
      </w:divBdr>
      <w:divsChild>
        <w:div w:id="1882136016">
          <w:marLeft w:val="547"/>
          <w:marRight w:val="0"/>
          <w:marTop w:val="0"/>
          <w:marBottom w:val="0"/>
          <w:divBdr>
            <w:top w:val="none" w:sz="0" w:space="0" w:color="auto"/>
            <w:left w:val="none" w:sz="0" w:space="0" w:color="auto"/>
            <w:bottom w:val="none" w:sz="0" w:space="0" w:color="auto"/>
            <w:right w:val="none" w:sz="0" w:space="0" w:color="auto"/>
          </w:divBdr>
        </w:div>
      </w:divsChild>
    </w:div>
    <w:div w:id="1279411086">
      <w:bodyDiv w:val="1"/>
      <w:marLeft w:val="0"/>
      <w:marRight w:val="0"/>
      <w:marTop w:val="0"/>
      <w:marBottom w:val="0"/>
      <w:divBdr>
        <w:top w:val="none" w:sz="0" w:space="0" w:color="auto"/>
        <w:left w:val="none" w:sz="0" w:space="0" w:color="auto"/>
        <w:bottom w:val="none" w:sz="0" w:space="0" w:color="auto"/>
        <w:right w:val="none" w:sz="0" w:space="0" w:color="auto"/>
      </w:divBdr>
    </w:div>
    <w:div w:id="1325818506">
      <w:bodyDiv w:val="1"/>
      <w:marLeft w:val="0"/>
      <w:marRight w:val="0"/>
      <w:marTop w:val="0"/>
      <w:marBottom w:val="0"/>
      <w:divBdr>
        <w:top w:val="none" w:sz="0" w:space="0" w:color="auto"/>
        <w:left w:val="none" w:sz="0" w:space="0" w:color="auto"/>
        <w:bottom w:val="none" w:sz="0" w:space="0" w:color="auto"/>
        <w:right w:val="none" w:sz="0" w:space="0" w:color="auto"/>
      </w:divBdr>
    </w:div>
    <w:div w:id="1360819773">
      <w:bodyDiv w:val="1"/>
      <w:marLeft w:val="0"/>
      <w:marRight w:val="0"/>
      <w:marTop w:val="0"/>
      <w:marBottom w:val="0"/>
      <w:divBdr>
        <w:top w:val="none" w:sz="0" w:space="0" w:color="auto"/>
        <w:left w:val="none" w:sz="0" w:space="0" w:color="auto"/>
        <w:bottom w:val="none" w:sz="0" w:space="0" w:color="auto"/>
        <w:right w:val="none" w:sz="0" w:space="0" w:color="auto"/>
      </w:divBdr>
    </w:div>
    <w:div w:id="1373071339">
      <w:bodyDiv w:val="1"/>
      <w:marLeft w:val="0"/>
      <w:marRight w:val="0"/>
      <w:marTop w:val="0"/>
      <w:marBottom w:val="0"/>
      <w:divBdr>
        <w:top w:val="none" w:sz="0" w:space="0" w:color="auto"/>
        <w:left w:val="none" w:sz="0" w:space="0" w:color="auto"/>
        <w:bottom w:val="none" w:sz="0" w:space="0" w:color="auto"/>
        <w:right w:val="none" w:sz="0" w:space="0" w:color="auto"/>
      </w:divBdr>
      <w:divsChild>
        <w:div w:id="1282760679">
          <w:marLeft w:val="0"/>
          <w:marRight w:val="0"/>
          <w:marTop w:val="0"/>
          <w:marBottom w:val="0"/>
          <w:divBdr>
            <w:top w:val="none" w:sz="0" w:space="0" w:color="auto"/>
            <w:left w:val="none" w:sz="0" w:space="0" w:color="auto"/>
            <w:bottom w:val="none" w:sz="0" w:space="0" w:color="auto"/>
            <w:right w:val="none" w:sz="0" w:space="0" w:color="auto"/>
          </w:divBdr>
        </w:div>
      </w:divsChild>
    </w:div>
    <w:div w:id="1380860382">
      <w:bodyDiv w:val="1"/>
      <w:marLeft w:val="0"/>
      <w:marRight w:val="0"/>
      <w:marTop w:val="0"/>
      <w:marBottom w:val="0"/>
      <w:divBdr>
        <w:top w:val="none" w:sz="0" w:space="0" w:color="auto"/>
        <w:left w:val="none" w:sz="0" w:space="0" w:color="auto"/>
        <w:bottom w:val="none" w:sz="0" w:space="0" w:color="auto"/>
        <w:right w:val="none" w:sz="0" w:space="0" w:color="auto"/>
      </w:divBdr>
    </w:div>
    <w:div w:id="1389111019">
      <w:bodyDiv w:val="1"/>
      <w:marLeft w:val="0"/>
      <w:marRight w:val="0"/>
      <w:marTop w:val="0"/>
      <w:marBottom w:val="0"/>
      <w:divBdr>
        <w:top w:val="none" w:sz="0" w:space="0" w:color="auto"/>
        <w:left w:val="none" w:sz="0" w:space="0" w:color="auto"/>
        <w:bottom w:val="none" w:sz="0" w:space="0" w:color="auto"/>
        <w:right w:val="none" w:sz="0" w:space="0" w:color="auto"/>
      </w:divBdr>
    </w:div>
    <w:div w:id="1454590936">
      <w:bodyDiv w:val="1"/>
      <w:marLeft w:val="0"/>
      <w:marRight w:val="0"/>
      <w:marTop w:val="0"/>
      <w:marBottom w:val="0"/>
      <w:divBdr>
        <w:top w:val="none" w:sz="0" w:space="0" w:color="auto"/>
        <w:left w:val="none" w:sz="0" w:space="0" w:color="auto"/>
        <w:bottom w:val="none" w:sz="0" w:space="0" w:color="auto"/>
        <w:right w:val="none" w:sz="0" w:space="0" w:color="auto"/>
      </w:divBdr>
    </w:div>
    <w:div w:id="1488132498">
      <w:bodyDiv w:val="1"/>
      <w:marLeft w:val="0"/>
      <w:marRight w:val="0"/>
      <w:marTop w:val="0"/>
      <w:marBottom w:val="0"/>
      <w:divBdr>
        <w:top w:val="none" w:sz="0" w:space="0" w:color="auto"/>
        <w:left w:val="none" w:sz="0" w:space="0" w:color="auto"/>
        <w:bottom w:val="none" w:sz="0" w:space="0" w:color="auto"/>
        <w:right w:val="none" w:sz="0" w:space="0" w:color="auto"/>
      </w:divBdr>
    </w:div>
    <w:div w:id="1509632371">
      <w:bodyDiv w:val="1"/>
      <w:marLeft w:val="0"/>
      <w:marRight w:val="0"/>
      <w:marTop w:val="0"/>
      <w:marBottom w:val="0"/>
      <w:divBdr>
        <w:top w:val="none" w:sz="0" w:space="0" w:color="auto"/>
        <w:left w:val="none" w:sz="0" w:space="0" w:color="auto"/>
        <w:bottom w:val="none" w:sz="0" w:space="0" w:color="auto"/>
        <w:right w:val="none" w:sz="0" w:space="0" w:color="auto"/>
      </w:divBdr>
    </w:div>
    <w:div w:id="1530684866">
      <w:bodyDiv w:val="1"/>
      <w:marLeft w:val="0"/>
      <w:marRight w:val="0"/>
      <w:marTop w:val="0"/>
      <w:marBottom w:val="0"/>
      <w:divBdr>
        <w:top w:val="none" w:sz="0" w:space="0" w:color="auto"/>
        <w:left w:val="none" w:sz="0" w:space="0" w:color="auto"/>
        <w:bottom w:val="none" w:sz="0" w:space="0" w:color="auto"/>
        <w:right w:val="none" w:sz="0" w:space="0" w:color="auto"/>
      </w:divBdr>
      <w:divsChild>
        <w:div w:id="947084357">
          <w:marLeft w:val="0"/>
          <w:marRight w:val="0"/>
          <w:marTop w:val="0"/>
          <w:marBottom w:val="0"/>
          <w:divBdr>
            <w:top w:val="none" w:sz="0" w:space="0" w:color="auto"/>
            <w:left w:val="none" w:sz="0" w:space="0" w:color="auto"/>
            <w:bottom w:val="none" w:sz="0" w:space="0" w:color="auto"/>
            <w:right w:val="none" w:sz="0" w:space="0" w:color="auto"/>
          </w:divBdr>
        </w:div>
      </w:divsChild>
    </w:div>
    <w:div w:id="1556047942">
      <w:bodyDiv w:val="1"/>
      <w:marLeft w:val="0"/>
      <w:marRight w:val="0"/>
      <w:marTop w:val="0"/>
      <w:marBottom w:val="0"/>
      <w:divBdr>
        <w:top w:val="none" w:sz="0" w:space="0" w:color="auto"/>
        <w:left w:val="none" w:sz="0" w:space="0" w:color="auto"/>
        <w:bottom w:val="none" w:sz="0" w:space="0" w:color="auto"/>
        <w:right w:val="none" w:sz="0" w:space="0" w:color="auto"/>
      </w:divBdr>
    </w:div>
    <w:div w:id="155723215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0818263">
      <w:bodyDiv w:val="1"/>
      <w:marLeft w:val="0"/>
      <w:marRight w:val="0"/>
      <w:marTop w:val="0"/>
      <w:marBottom w:val="0"/>
      <w:divBdr>
        <w:top w:val="none" w:sz="0" w:space="0" w:color="auto"/>
        <w:left w:val="none" w:sz="0" w:space="0" w:color="auto"/>
        <w:bottom w:val="none" w:sz="0" w:space="0" w:color="auto"/>
        <w:right w:val="none" w:sz="0" w:space="0" w:color="auto"/>
      </w:divBdr>
    </w:div>
    <w:div w:id="1648851821">
      <w:bodyDiv w:val="1"/>
      <w:marLeft w:val="0"/>
      <w:marRight w:val="0"/>
      <w:marTop w:val="0"/>
      <w:marBottom w:val="0"/>
      <w:divBdr>
        <w:top w:val="none" w:sz="0" w:space="0" w:color="auto"/>
        <w:left w:val="none" w:sz="0" w:space="0" w:color="auto"/>
        <w:bottom w:val="none" w:sz="0" w:space="0" w:color="auto"/>
        <w:right w:val="none" w:sz="0" w:space="0" w:color="auto"/>
      </w:divBdr>
    </w:div>
    <w:div w:id="1741707046">
      <w:bodyDiv w:val="1"/>
      <w:marLeft w:val="0"/>
      <w:marRight w:val="0"/>
      <w:marTop w:val="0"/>
      <w:marBottom w:val="0"/>
      <w:divBdr>
        <w:top w:val="none" w:sz="0" w:space="0" w:color="auto"/>
        <w:left w:val="none" w:sz="0" w:space="0" w:color="auto"/>
        <w:bottom w:val="none" w:sz="0" w:space="0" w:color="auto"/>
        <w:right w:val="none" w:sz="0" w:space="0" w:color="auto"/>
      </w:divBdr>
    </w:div>
    <w:div w:id="1777368219">
      <w:bodyDiv w:val="1"/>
      <w:marLeft w:val="0"/>
      <w:marRight w:val="0"/>
      <w:marTop w:val="0"/>
      <w:marBottom w:val="0"/>
      <w:divBdr>
        <w:top w:val="none" w:sz="0" w:space="0" w:color="auto"/>
        <w:left w:val="none" w:sz="0" w:space="0" w:color="auto"/>
        <w:bottom w:val="none" w:sz="0" w:space="0" w:color="auto"/>
        <w:right w:val="none" w:sz="0" w:space="0" w:color="auto"/>
      </w:divBdr>
      <w:divsChild>
        <w:div w:id="1895848242">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4224392">
      <w:bodyDiv w:val="1"/>
      <w:marLeft w:val="0"/>
      <w:marRight w:val="0"/>
      <w:marTop w:val="0"/>
      <w:marBottom w:val="0"/>
      <w:divBdr>
        <w:top w:val="none" w:sz="0" w:space="0" w:color="auto"/>
        <w:left w:val="none" w:sz="0" w:space="0" w:color="auto"/>
        <w:bottom w:val="none" w:sz="0" w:space="0" w:color="auto"/>
        <w:right w:val="none" w:sz="0" w:space="0" w:color="auto"/>
      </w:divBdr>
    </w:div>
    <w:div w:id="1870219350">
      <w:bodyDiv w:val="1"/>
      <w:marLeft w:val="0"/>
      <w:marRight w:val="0"/>
      <w:marTop w:val="0"/>
      <w:marBottom w:val="0"/>
      <w:divBdr>
        <w:top w:val="none" w:sz="0" w:space="0" w:color="auto"/>
        <w:left w:val="none" w:sz="0" w:space="0" w:color="auto"/>
        <w:bottom w:val="none" w:sz="0" w:space="0" w:color="auto"/>
        <w:right w:val="none" w:sz="0" w:space="0" w:color="auto"/>
      </w:divBdr>
    </w:div>
    <w:div w:id="189203683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480463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83852731">
      <w:bodyDiv w:val="1"/>
      <w:marLeft w:val="0"/>
      <w:marRight w:val="0"/>
      <w:marTop w:val="0"/>
      <w:marBottom w:val="0"/>
      <w:divBdr>
        <w:top w:val="none" w:sz="0" w:space="0" w:color="auto"/>
        <w:left w:val="none" w:sz="0" w:space="0" w:color="auto"/>
        <w:bottom w:val="none" w:sz="0" w:space="0" w:color="auto"/>
        <w:right w:val="none" w:sz="0" w:space="0" w:color="auto"/>
      </w:divBdr>
    </w:div>
    <w:div w:id="1988977149">
      <w:bodyDiv w:val="1"/>
      <w:marLeft w:val="0"/>
      <w:marRight w:val="0"/>
      <w:marTop w:val="0"/>
      <w:marBottom w:val="0"/>
      <w:divBdr>
        <w:top w:val="none" w:sz="0" w:space="0" w:color="auto"/>
        <w:left w:val="none" w:sz="0" w:space="0" w:color="auto"/>
        <w:bottom w:val="none" w:sz="0" w:space="0" w:color="auto"/>
        <w:right w:val="none" w:sz="0" w:space="0" w:color="auto"/>
      </w:divBdr>
    </w:div>
    <w:div w:id="204108009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02986931">
      <w:bodyDiv w:val="1"/>
      <w:marLeft w:val="0"/>
      <w:marRight w:val="0"/>
      <w:marTop w:val="0"/>
      <w:marBottom w:val="0"/>
      <w:divBdr>
        <w:top w:val="none" w:sz="0" w:space="0" w:color="auto"/>
        <w:left w:val="none" w:sz="0" w:space="0" w:color="auto"/>
        <w:bottom w:val="none" w:sz="0" w:space="0" w:color="auto"/>
        <w:right w:val="none" w:sz="0" w:space="0" w:color="auto"/>
      </w:divBdr>
    </w:div>
    <w:div w:id="2109156504">
      <w:bodyDiv w:val="1"/>
      <w:marLeft w:val="0"/>
      <w:marRight w:val="0"/>
      <w:marTop w:val="0"/>
      <w:marBottom w:val="0"/>
      <w:divBdr>
        <w:top w:val="none" w:sz="0" w:space="0" w:color="auto"/>
        <w:left w:val="none" w:sz="0" w:space="0" w:color="auto"/>
        <w:bottom w:val="none" w:sz="0" w:space="0" w:color="auto"/>
        <w:right w:val="none" w:sz="0" w:space="0" w:color="auto"/>
      </w:divBdr>
      <w:divsChild>
        <w:div w:id="503280888">
          <w:marLeft w:val="0"/>
          <w:marRight w:val="0"/>
          <w:marTop w:val="0"/>
          <w:marBottom w:val="0"/>
          <w:divBdr>
            <w:top w:val="none" w:sz="0" w:space="0" w:color="auto"/>
            <w:left w:val="none" w:sz="0" w:space="0" w:color="auto"/>
            <w:bottom w:val="none" w:sz="0" w:space="0" w:color="auto"/>
            <w:right w:val="none" w:sz="0" w:space="0" w:color="auto"/>
          </w:divBdr>
          <w:divsChild>
            <w:div w:id="548881106">
              <w:marLeft w:val="-225"/>
              <w:marRight w:val="-225"/>
              <w:marTop w:val="0"/>
              <w:marBottom w:val="0"/>
              <w:divBdr>
                <w:top w:val="none" w:sz="0" w:space="0" w:color="auto"/>
                <w:left w:val="none" w:sz="0" w:space="0" w:color="auto"/>
                <w:bottom w:val="none" w:sz="0" w:space="0" w:color="auto"/>
                <w:right w:val="none" w:sz="0" w:space="0" w:color="auto"/>
              </w:divBdr>
              <w:divsChild>
                <w:div w:id="1454253413">
                  <w:marLeft w:val="0"/>
                  <w:marRight w:val="0"/>
                  <w:marTop w:val="0"/>
                  <w:marBottom w:val="0"/>
                  <w:divBdr>
                    <w:top w:val="none" w:sz="0" w:space="0" w:color="auto"/>
                    <w:left w:val="none" w:sz="0" w:space="0" w:color="auto"/>
                    <w:bottom w:val="none" w:sz="0" w:space="0" w:color="auto"/>
                    <w:right w:val="none" w:sz="0" w:space="0" w:color="auto"/>
                  </w:divBdr>
                  <w:divsChild>
                    <w:div w:id="46686934">
                      <w:marLeft w:val="0"/>
                      <w:marRight w:val="0"/>
                      <w:marTop w:val="0"/>
                      <w:marBottom w:val="0"/>
                      <w:divBdr>
                        <w:top w:val="none" w:sz="0" w:space="0" w:color="auto"/>
                        <w:left w:val="none" w:sz="0" w:space="0" w:color="auto"/>
                        <w:bottom w:val="none" w:sz="0" w:space="0" w:color="auto"/>
                        <w:right w:val="none" w:sz="0" w:space="0" w:color="auto"/>
                      </w:divBdr>
                      <w:divsChild>
                        <w:div w:id="1000238565">
                          <w:marLeft w:val="0"/>
                          <w:marRight w:val="0"/>
                          <w:marTop w:val="0"/>
                          <w:marBottom w:val="0"/>
                          <w:divBdr>
                            <w:top w:val="none" w:sz="0" w:space="0" w:color="auto"/>
                            <w:left w:val="none" w:sz="0" w:space="0" w:color="auto"/>
                            <w:bottom w:val="none" w:sz="0" w:space="0" w:color="auto"/>
                            <w:right w:val="none" w:sz="0" w:space="0" w:color="auto"/>
                          </w:divBdr>
                          <w:divsChild>
                            <w:div w:id="1762068278">
                              <w:marLeft w:val="0"/>
                              <w:marRight w:val="0"/>
                              <w:marTop w:val="0"/>
                              <w:marBottom w:val="0"/>
                              <w:divBdr>
                                <w:top w:val="none" w:sz="0" w:space="0" w:color="auto"/>
                                <w:left w:val="none" w:sz="0" w:space="0" w:color="auto"/>
                                <w:bottom w:val="none" w:sz="0" w:space="0" w:color="auto"/>
                                <w:right w:val="none" w:sz="0" w:space="0" w:color="auto"/>
                              </w:divBdr>
                              <w:divsChild>
                                <w:div w:id="866676556">
                                  <w:marLeft w:val="0"/>
                                  <w:marRight w:val="0"/>
                                  <w:marTop w:val="0"/>
                                  <w:marBottom w:val="0"/>
                                  <w:divBdr>
                                    <w:top w:val="none" w:sz="0" w:space="0" w:color="auto"/>
                                    <w:left w:val="none" w:sz="0" w:space="0" w:color="auto"/>
                                    <w:bottom w:val="none" w:sz="0" w:space="0" w:color="auto"/>
                                    <w:right w:val="none" w:sz="0" w:space="0" w:color="auto"/>
                                  </w:divBdr>
                                  <w:divsChild>
                                    <w:div w:id="59725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92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6F906-D5F8-437E-94D6-46AB8B34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5683</Words>
  <Characters>32396</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38003</CharactersWithSpaces>
  <SharedDoc>false</SharedDoc>
  <HLinks>
    <vt:vector size="36"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6094910</vt:i4>
      </vt:variant>
      <vt:variant>
        <vt:i4>6</vt:i4>
      </vt:variant>
      <vt:variant>
        <vt:i4>0</vt:i4>
      </vt:variant>
      <vt:variant>
        <vt:i4>5</vt:i4>
      </vt:variant>
      <vt:variant>
        <vt:lpwstr>https://www.ema.europa.eu/en/documents/regulatory-procedural-guideline/compilation-quality-review-documents-decisions-stylistic-matters-product-information_en.pdf</vt:lpwstr>
      </vt:variant>
      <vt:variant>
        <vt:lpwstr/>
      </vt:variant>
      <vt:variant>
        <vt:i4>5898322</vt:i4>
      </vt:variant>
      <vt:variant>
        <vt:i4>3</vt:i4>
      </vt:variant>
      <vt:variant>
        <vt:i4>0</vt:i4>
      </vt:variant>
      <vt:variant>
        <vt:i4>5</vt:i4>
      </vt:variant>
      <vt:variant>
        <vt:lpwstr>http://gdms.pfizer.com/gdms/drl/objectId/090177e194f92bec</vt:lpwstr>
      </vt:variant>
      <vt:variant>
        <vt:lpwstr/>
      </vt:variant>
      <vt:variant>
        <vt:i4>786542</vt:i4>
      </vt:variant>
      <vt:variant>
        <vt:i4>0</vt:i4>
      </vt:variant>
      <vt:variant>
        <vt:i4>0</vt:i4>
      </vt:variant>
      <vt:variant>
        <vt:i4>5</vt:i4>
      </vt:variant>
      <vt:variant>
        <vt:lpwstr>ema.europa.eu/en/documents/presentation/presentation-section-2-qualitative-quantitative-composition_en.pdf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Medoeva, Zarina</dc:creator>
  <cp:keywords/>
  <cp:lastModifiedBy>Berina Ljuca</cp:lastModifiedBy>
  <cp:revision>2</cp:revision>
  <dcterms:created xsi:type="dcterms:W3CDTF">2024-10-23T07:05:00Z</dcterms:created>
  <dcterms:modified xsi:type="dcterms:W3CDTF">2024-10-23T07:05:00Z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2023-06-05T11:41:12Z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de464a29-57ac-416c-b20e-f77aece77081</vt:lpwstr>
  </property>
  <property fmtid="{D5CDD505-2E9C-101B-9397-08002B2CF9AE}" pid="8" name="MSIP_Label_4791b42f-c435-42ca-9531-75a3f42aae3d_ContentBits">
    <vt:lpwstr>0</vt:lpwstr>
  </property>
  <property fmtid="{D5CDD505-2E9C-101B-9397-08002B2CF9AE}" pid="9" name="Pre-Flight-Check">
    <vt:lpwstr>Run by: Amelie.Favre; Results: ; Run at: 7/3/2023 4:49:49 PM</vt:lpwstr>
  </property>
</Properties>
</file>