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19BA3" w14:textId="77777777" w:rsidR="002510A5" w:rsidRPr="00B46EA2" w:rsidRDefault="002510A5" w:rsidP="002510A5">
      <w:pPr>
        <w:jc w:val="center"/>
        <w:rPr>
          <w:b/>
          <w:bCs/>
          <w:iCs/>
          <w:sz w:val="22"/>
          <w:szCs w:val="22"/>
          <w:u w:val="single"/>
          <w:lang w:val="sr-Latn-ME"/>
        </w:rPr>
      </w:pPr>
      <w:r w:rsidRPr="00B46EA2">
        <w:rPr>
          <w:b/>
          <w:bCs/>
          <w:iCs/>
          <w:sz w:val="22"/>
          <w:szCs w:val="22"/>
          <w:u w:val="single"/>
          <w:lang w:val="sr-Latn-ME"/>
        </w:rPr>
        <w:t>SAŽETAK KARAKTERISTIKA LIJEKA</w:t>
      </w:r>
    </w:p>
    <w:p w14:paraId="262CABC9" w14:textId="77777777" w:rsidR="002510A5" w:rsidRPr="00B46EA2" w:rsidRDefault="002510A5" w:rsidP="002510A5">
      <w:pPr>
        <w:rPr>
          <w:b/>
          <w:bCs/>
          <w:i/>
          <w:iCs/>
          <w:sz w:val="22"/>
          <w:szCs w:val="22"/>
          <w:u w:val="single"/>
          <w:lang w:val="sr-Latn-ME"/>
        </w:rPr>
      </w:pPr>
    </w:p>
    <w:p w14:paraId="1AC70342" w14:textId="77777777" w:rsidR="003C17AB" w:rsidRPr="00B46EA2" w:rsidRDefault="003C17AB" w:rsidP="00CA1FEB">
      <w:pPr>
        <w:rPr>
          <w:sz w:val="22"/>
          <w:szCs w:val="22"/>
          <w:lang w:val="sr-Latn-ME"/>
        </w:rPr>
      </w:pPr>
    </w:p>
    <w:p w14:paraId="0230F2EA" w14:textId="77777777" w:rsidR="00411B4B" w:rsidRPr="00B46EA2" w:rsidRDefault="00411B4B" w:rsidP="00F5167F">
      <w:pPr>
        <w:tabs>
          <w:tab w:val="left" w:pos="540"/>
          <w:tab w:val="left" w:pos="569"/>
        </w:tabs>
        <w:rPr>
          <w:b/>
          <w:bCs/>
          <w:sz w:val="22"/>
          <w:szCs w:val="22"/>
          <w:lang w:val="sr-Latn-ME"/>
        </w:rPr>
      </w:pPr>
      <w:r w:rsidRPr="00B46EA2">
        <w:rPr>
          <w:b/>
          <w:bCs/>
          <w:sz w:val="22"/>
          <w:szCs w:val="22"/>
          <w:lang w:val="sr-Latn-ME"/>
        </w:rPr>
        <w:t>1.</w:t>
      </w:r>
      <w:r w:rsidR="00F5167F" w:rsidRPr="00B46EA2">
        <w:rPr>
          <w:b/>
          <w:bCs/>
          <w:sz w:val="22"/>
          <w:szCs w:val="22"/>
          <w:lang w:val="sr-Latn-ME"/>
        </w:rPr>
        <w:tab/>
      </w:r>
      <w:r w:rsidR="002846DB" w:rsidRPr="00B46EA2">
        <w:rPr>
          <w:b/>
          <w:bCs/>
          <w:sz w:val="22"/>
          <w:szCs w:val="22"/>
          <w:lang w:val="sr-Latn-ME"/>
        </w:rPr>
        <w:t xml:space="preserve">NAZIV </w:t>
      </w:r>
      <w:r w:rsidRPr="00B46EA2">
        <w:rPr>
          <w:b/>
          <w:bCs/>
          <w:sz w:val="22"/>
          <w:szCs w:val="22"/>
          <w:lang w:val="sr-Latn-ME"/>
        </w:rPr>
        <w:t>LIJEKA</w:t>
      </w:r>
    </w:p>
    <w:p w14:paraId="2AE39C47" w14:textId="77777777" w:rsidR="00EC2532" w:rsidRPr="00B46EA2" w:rsidRDefault="00EC2532">
      <w:pPr>
        <w:rPr>
          <w:sz w:val="22"/>
          <w:szCs w:val="22"/>
          <w:lang w:val="sr-Latn-ME"/>
        </w:rPr>
      </w:pPr>
    </w:p>
    <w:p w14:paraId="725D0597" w14:textId="747754CC" w:rsidR="00A6040B" w:rsidRPr="00B46EA2" w:rsidRDefault="00A6040B" w:rsidP="00A6040B">
      <w:pPr>
        <w:rPr>
          <w:i/>
          <w:iCs/>
          <w:color w:val="808080"/>
          <w:sz w:val="22"/>
          <w:szCs w:val="22"/>
          <w:lang w:val="sr-Latn-ME"/>
        </w:rPr>
      </w:pPr>
      <w:r w:rsidRPr="00B46EA2">
        <w:rPr>
          <w:rFonts w:eastAsia="Calibri"/>
          <w:noProof/>
          <w:spacing w:val="-2"/>
          <w:sz w:val="22"/>
          <w:szCs w:val="22"/>
          <w:lang w:val="sr-Latn-ME"/>
        </w:rPr>
        <w:t>CitraFleet, 10 mg + 3</w:t>
      </w:r>
      <w:r w:rsidR="00334D28">
        <w:rPr>
          <w:rFonts w:eastAsia="Calibri"/>
          <w:noProof/>
          <w:spacing w:val="-2"/>
          <w:sz w:val="22"/>
          <w:szCs w:val="22"/>
          <w:lang w:val="sr-Latn-ME"/>
        </w:rPr>
        <w:t>,</w:t>
      </w:r>
      <w:r w:rsidRPr="00B46EA2">
        <w:rPr>
          <w:rFonts w:eastAsia="Calibri"/>
          <w:noProof/>
          <w:spacing w:val="-2"/>
          <w:sz w:val="22"/>
          <w:szCs w:val="22"/>
          <w:lang w:val="sr-Latn-ME"/>
        </w:rPr>
        <w:t>5 g + 10</w:t>
      </w:r>
      <w:r w:rsidR="00334D28">
        <w:rPr>
          <w:rFonts w:eastAsia="Calibri"/>
          <w:noProof/>
          <w:spacing w:val="-2"/>
          <w:sz w:val="22"/>
          <w:szCs w:val="22"/>
          <w:lang w:val="sr-Latn-ME"/>
        </w:rPr>
        <w:t>,</w:t>
      </w:r>
      <w:r w:rsidRPr="00B46EA2">
        <w:rPr>
          <w:rFonts w:eastAsia="Calibri"/>
          <w:noProof/>
          <w:spacing w:val="-2"/>
          <w:sz w:val="22"/>
          <w:szCs w:val="22"/>
          <w:lang w:val="sr-Latn-ME"/>
        </w:rPr>
        <w:t>97 g, prašak za oralni rastvor u kesici</w:t>
      </w:r>
    </w:p>
    <w:p w14:paraId="75AC7307" w14:textId="77777777" w:rsidR="00A6040B" w:rsidRPr="00B46EA2" w:rsidRDefault="00A6040B" w:rsidP="00A6040B">
      <w:pPr>
        <w:rPr>
          <w:bCs/>
          <w:sz w:val="22"/>
          <w:szCs w:val="22"/>
          <w:lang w:val="sr-Latn-ME"/>
        </w:rPr>
      </w:pPr>
    </w:p>
    <w:p w14:paraId="73C5D970" w14:textId="77777777" w:rsidR="00A6040B" w:rsidRPr="00B46EA2" w:rsidRDefault="00A6040B" w:rsidP="00A6040B">
      <w:pPr>
        <w:rPr>
          <w:sz w:val="22"/>
          <w:szCs w:val="22"/>
          <w:lang w:val="sr-Latn-ME"/>
        </w:rPr>
      </w:pPr>
      <w:r w:rsidRPr="00B46EA2">
        <w:rPr>
          <w:sz w:val="22"/>
          <w:szCs w:val="22"/>
          <w:lang w:val="sr-Latn-ME"/>
        </w:rPr>
        <w:t>INN: natrijum pikosulfat, magnezijum oksid, laki, limunska kiselina</w:t>
      </w:r>
    </w:p>
    <w:p w14:paraId="0448A3AE" w14:textId="66736A27" w:rsidR="00530BD7" w:rsidRDefault="00530BD7">
      <w:pPr>
        <w:rPr>
          <w:bCs/>
          <w:sz w:val="22"/>
          <w:szCs w:val="22"/>
          <w:lang w:val="sr-Latn-ME"/>
        </w:rPr>
      </w:pPr>
    </w:p>
    <w:p w14:paraId="74BC59D8" w14:textId="77777777" w:rsidR="00433733" w:rsidRPr="00B46EA2" w:rsidRDefault="00433733">
      <w:pPr>
        <w:rPr>
          <w:bCs/>
          <w:sz w:val="22"/>
          <w:szCs w:val="22"/>
          <w:lang w:val="sr-Latn-ME"/>
        </w:rPr>
      </w:pPr>
    </w:p>
    <w:p w14:paraId="71BC034E" w14:textId="77777777" w:rsidR="00411B4B" w:rsidRPr="00B46EA2" w:rsidRDefault="00411B4B" w:rsidP="00F5167F">
      <w:pPr>
        <w:tabs>
          <w:tab w:val="left" w:pos="540"/>
          <w:tab w:val="left" w:pos="569"/>
        </w:tabs>
        <w:rPr>
          <w:b/>
          <w:bCs/>
          <w:sz w:val="22"/>
          <w:szCs w:val="22"/>
          <w:lang w:val="sr-Latn-ME"/>
        </w:rPr>
      </w:pPr>
      <w:r w:rsidRPr="00B46EA2">
        <w:rPr>
          <w:b/>
          <w:bCs/>
          <w:sz w:val="22"/>
          <w:szCs w:val="22"/>
          <w:lang w:val="sr-Latn-ME"/>
        </w:rPr>
        <w:t xml:space="preserve">2. </w:t>
      </w:r>
      <w:r w:rsidR="00F5167F" w:rsidRPr="00B46EA2">
        <w:rPr>
          <w:b/>
          <w:bCs/>
          <w:sz w:val="22"/>
          <w:szCs w:val="22"/>
          <w:lang w:val="sr-Latn-ME"/>
        </w:rPr>
        <w:tab/>
      </w:r>
      <w:r w:rsidRPr="00B46EA2">
        <w:rPr>
          <w:b/>
          <w:bCs/>
          <w:sz w:val="22"/>
          <w:szCs w:val="22"/>
          <w:lang w:val="sr-Latn-ME"/>
        </w:rPr>
        <w:t>KVALITATIVNI I KVANTITATIVNI SASTAV</w:t>
      </w:r>
    </w:p>
    <w:p w14:paraId="61FE09D0" w14:textId="7744FB59" w:rsidR="00A6040B" w:rsidRPr="00B46EA2" w:rsidRDefault="00A6040B" w:rsidP="00FC2808">
      <w:pPr>
        <w:widowControl w:val="0"/>
        <w:spacing w:before="193"/>
        <w:jc w:val="both"/>
        <w:rPr>
          <w:noProof/>
          <w:sz w:val="22"/>
          <w:szCs w:val="22"/>
          <w:lang w:val="sr-Latn-ME"/>
        </w:rPr>
      </w:pPr>
      <w:r w:rsidRPr="00B46EA2">
        <w:rPr>
          <w:noProof/>
          <w:spacing w:val="-2"/>
          <w:sz w:val="22"/>
          <w:szCs w:val="22"/>
          <w:lang w:val="sr-Latn-ME"/>
        </w:rPr>
        <w:t>Jedna</w:t>
      </w:r>
      <w:r w:rsidRPr="00B46EA2">
        <w:rPr>
          <w:noProof/>
          <w:spacing w:val="5"/>
          <w:sz w:val="22"/>
          <w:szCs w:val="22"/>
          <w:lang w:val="sr-Latn-ME"/>
        </w:rPr>
        <w:t xml:space="preserve"> </w:t>
      </w:r>
      <w:r w:rsidRPr="00B46EA2">
        <w:rPr>
          <w:noProof/>
          <w:spacing w:val="-2"/>
          <w:sz w:val="22"/>
          <w:szCs w:val="22"/>
          <w:lang w:val="sr-Latn-ME"/>
        </w:rPr>
        <w:t>kesica</w:t>
      </w:r>
      <w:r w:rsidRPr="00B46EA2">
        <w:rPr>
          <w:noProof/>
          <w:spacing w:val="5"/>
          <w:sz w:val="22"/>
          <w:szCs w:val="22"/>
          <w:lang w:val="sr-Latn-ME"/>
        </w:rPr>
        <w:t xml:space="preserve"> </w:t>
      </w:r>
      <w:r w:rsidRPr="00B46EA2">
        <w:rPr>
          <w:noProof/>
          <w:spacing w:val="-1"/>
          <w:sz w:val="22"/>
          <w:szCs w:val="22"/>
          <w:lang w:val="sr-Latn-ME"/>
        </w:rPr>
        <w:t>lijeka</w:t>
      </w:r>
      <w:r w:rsidRPr="00B46EA2">
        <w:rPr>
          <w:noProof/>
          <w:spacing w:val="-2"/>
          <w:sz w:val="22"/>
          <w:szCs w:val="22"/>
          <w:lang w:val="sr-Latn-ME"/>
        </w:rPr>
        <w:t xml:space="preserve"> </w:t>
      </w:r>
      <w:r w:rsidRPr="00B46EA2">
        <w:rPr>
          <w:noProof/>
          <w:spacing w:val="-1"/>
          <w:sz w:val="22"/>
          <w:szCs w:val="22"/>
          <w:lang w:val="sr-Latn-ME"/>
        </w:rPr>
        <w:t>CitraFleet</w:t>
      </w:r>
      <w:r w:rsidRPr="00B46EA2">
        <w:rPr>
          <w:noProof/>
          <w:spacing w:val="1"/>
          <w:sz w:val="22"/>
          <w:szCs w:val="22"/>
          <w:lang w:val="sr-Latn-ME"/>
        </w:rPr>
        <w:t xml:space="preserve"> </w:t>
      </w:r>
      <w:r w:rsidRPr="00B46EA2">
        <w:rPr>
          <w:noProof/>
          <w:spacing w:val="-1"/>
          <w:sz w:val="22"/>
          <w:szCs w:val="22"/>
          <w:lang w:val="sr-Latn-ME"/>
        </w:rPr>
        <w:t>sadrži</w:t>
      </w:r>
      <w:r w:rsidRPr="00B46EA2">
        <w:rPr>
          <w:noProof/>
          <w:spacing w:val="-2"/>
          <w:sz w:val="22"/>
          <w:szCs w:val="22"/>
          <w:lang w:val="sr-Latn-ME"/>
        </w:rPr>
        <w:t xml:space="preserve"> </w:t>
      </w:r>
      <w:r w:rsidRPr="00B46EA2">
        <w:rPr>
          <w:noProof/>
          <w:spacing w:val="-1"/>
          <w:sz w:val="22"/>
          <w:szCs w:val="22"/>
          <w:lang w:val="sr-Latn-ME"/>
        </w:rPr>
        <w:t>sljedeće</w:t>
      </w:r>
      <w:r w:rsidRPr="00B46EA2">
        <w:rPr>
          <w:noProof/>
          <w:spacing w:val="-5"/>
          <w:sz w:val="22"/>
          <w:szCs w:val="22"/>
          <w:lang w:val="sr-Latn-ME"/>
        </w:rPr>
        <w:t xml:space="preserve"> </w:t>
      </w:r>
      <w:r w:rsidRPr="00B46EA2">
        <w:rPr>
          <w:noProof/>
          <w:sz w:val="22"/>
          <w:szCs w:val="22"/>
          <w:lang w:val="sr-Latn-ME"/>
        </w:rPr>
        <w:t>aktivne</w:t>
      </w:r>
      <w:r w:rsidRPr="00B46EA2">
        <w:rPr>
          <w:noProof/>
          <w:spacing w:val="-5"/>
          <w:sz w:val="22"/>
          <w:szCs w:val="22"/>
          <w:lang w:val="sr-Latn-ME"/>
        </w:rPr>
        <w:t xml:space="preserve"> </w:t>
      </w:r>
      <w:r w:rsidRPr="00B46EA2">
        <w:rPr>
          <w:noProof/>
          <w:spacing w:val="-1"/>
          <w:sz w:val="22"/>
          <w:szCs w:val="22"/>
          <w:lang w:val="sr-Latn-ME"/>
        </w:rPr>
        <w:t>supstance:</w:t>
      </w:r>
    </w:p>
    <w:p w14:paraId="69CB526B" w14:textId="2C6B7B32" w:rsidR="00A6040B" w:rsidRPr="00B46EA2" w:rsidRDefault="00A6040B" w:rsidP="00E40F3F">
      <w:pPr>
        <w:widowControl w:val="0"/>
        <w:numPr>
          <w:ilvl w:val="0"/>
          <w:numId w:val="12"/>
        </w:numPr>
        <w:tabs>
          <w:tab w:val="left" w:pos="426"/>
          <w:tab w:val="left" w:pos="3712"/>
        </w:tabs>
        <w:spacing w:before="1"/>
        <w:jc w:val="both"/>
        <w:rPr>
          <w:noProof/>
          <w:sz w:val="22"/>
          <w:szCs w:val="22"/>
          <w:lang w:val="sr-Latn-ME"/>
        </w:rPr>
      </w:pPr>
      <w:r w:rsidRPr="00B46EA2">
        <w:rPr>
          <w:noProof/>
          <w:spacing w:val="-2"/>
          <w:sz w:val="22"/>
          <w:szCs w:val="22"/>
          <w:lang w:val="sr-Latn-ME"/>
        </w:rPr>
        <w:t>Natrijum</w:t>
      </w:r>
      <w:r w:rsidR="001638FD" w:rsidRPr="00B46EA2">
        <w:rPr>
          <w:noProof/>
          <w:spacing w:val="-2"/>
          <w:sz w:val="22"/>
          <w:szCs w:val="22"/>
          <w:lang w:val="sr-Latn-ME"/>
        </w:rPr>
        <w:t xml:space="preserve"> </w:t>
      </w:r>
      <w:r w:rsidRPr="00B46EA2">
        <w:rPr>
          <w:noProof/>
          <w:spacing w:val="-2"/>
          <w:sz w:val="22"/>
          <w:szCs w:val="22"/>
          <w:lang w:val="sr-Latn-ME"/>
        </w:rPr>
        <w:t>pikosulfat</w:t>
      </w:r>
      <w:r w:rsidRPr="00B46EA2">
        <w:rPr>
          <w:noProof/>
          <w:spacing w:val="-2"/>
          <w:sz w:val="22"/>
          <w:szCs w:val="22"/>
          <w:lang w:val="sr-Latn-ME"/>
        </w:rPr>
        <w:tab/>
      </w:r>
      <w:r w:rsidRPr="00B46EA2">
        <w:rPr>
          <w:noProof/>
          <w:sz w:val="22"/>
          <w:szCs w:val="22"/>
          <w:lang w:val="sr-Latn-ME"/>
        </w:rPr>
        <w:t>10</w:t>
      </w:r>
      <w:r w:rsidRPr="00B46EA2">
        <w:rPr>
          <w:noProof/>
          <w:spacing w:val="2"/>
          <w:sz w:val="22"/>
          <w:szCs w:val="22"/>
          <w:lang w:val="sr-Latn-ME"/>
        </w:rPr>
        <w:t xml:space="preserve"> </w:t>
      </w:r>
      <w:r w:rsidRPr="00B46EA2">
        <w:rPr>
          <w:noProof/>
          <w:spacing w:val="-4"/>
          <w:sz w:val="22"/>
          <w:szCs w:val="22"/>
          <w:lang w:val="sr-Latn-ME"/>
        </w:rPr>
        <w:t>mg</w:t>
      </w:r>
    </w:p>
    <w:p w14:paraId="3825B541" w14:textId="3261FC5D" w:rsidR="00A6040B" w:rsidRPr="00B46EA2" w:rsidRDefault="00A6040B" w:rsidP="00E40F3F">
      <w:pPr>
        <w:widowControl w:val="0"/>
        <w:numPr>
          <w:ilvl w:val="0"/>
          <w:numId w:val="12"/>
        </w:numPr>
        <w:tabs>
          <w:tab w:val="left" w:pos="426"/>
          <w:tab w:val="left" w:pos="3712"/>
        </w:tabs>
        <w:spacing w:before="1"/>
        <w:jc w:val="both"/>
        <w:rPr>
          <w:noProof/>
          <w:sz w:val="22"/>
          <w:szCs w:val="22"/>
          <w:lang w:val="sr-Latn-ME"/>
        </w:rPr>
      </w:pPr>
      <w:r w:rsidRPr="00B46EA2">
        <w:rPr>
          <w:noProof/>
          <w:spacing w:val="-2"/>
          <w:sz w:val="22"/>
          <w:szCs w:val="22"/>
          <w:lang w:val="sr-Latn-ME"/>
        </w:rPr>
        <w:t>Magnezijum</w:t>
      </w:r>
      <w:r w:rsidR="001638FD" w:rsidRPr="00B46EA2">
        <w:rPr>
          <w:noProof/>
          <w:spacing w:val="-2"/>
          <w:sz w:val="22"/>
          <w:szCs w:val="22"/>
          <w:lang w:val="sr-Latn-ME"/>
        </w:rPr>
        <w:t xml:space="preserve"> </w:t>
      </w:r>
      <w:r w:rsidRPr="00B46EA2">
        <w:rPr>
          <w:noProof/>
          <w:spacing w:val="-2"/>
          <w:sz w:val="22"/>
          <w:szCs w:val="22"/>
          <w:lang w:val="sr-Latn-ME"/>
        </w:rPr>
        <w:t>oksid,</w:t>
      </w:r>
      <w:r w:rsidRPr="00B46EA2">
        <w:rPr>
          <w:noProof/>
          <w:spacing w:val="5"/>
          <w:sz w:val="22"/>
          <w:szCs w:val="22"/>
          <w:lang w:val="sr-Latn-ME"/>
        </w:rPr>
        <w:t xml:space="preserve"> </w:t>
      </w:r>
      <w:r w:rsidRPr="00B46EA2">
        <w:rPr>
          <w:noProof/>
          <w:spacing w:val="-1"/>
          <w:sz w:val="22"/>
          <w:szCs w:val="22"/>
          <w:lang w:val="sr-Latn-ME"/>
        </w:rPr>
        <w:t>laki</w:t>
      </w:r>
      <w:r w:rsidRPr="00B46EA2">
        <w:rPr>
          <w:noProof/>
          <w:spacing w:val="-1"/>
          <w:sz w:val="22"/>
          <w:szCs w:val="22"/>
          <w:lang w:val="sr-Latn-ME"/>
        </w:rPr>
        <w:tab/>
        <w:t xml:space="preserve">  </w:t>
      </w:r>
      <w:r w:rsidRPr="00B46EA2">
        <w:rPr>
          <w:noProof/>
          <w:sz w:val="22"/>
          <w:szCs w:val="22"/>
          <w:lang w:val="sr-Latn-ME"/>
        </w:rPr>
        <w:t>3,5</w:t>
      </w:r>
      <w:r w:rsidRPr="00B46EA2">
        <w:rPr>
          <w:noProof/>
          <w:spacing w:val="2"/>
          <w:sz w:val="22"/>
          <w:szCs w:val="22"/>
          <w:lang w:val="sr-Latn-ME"/>
        </w:rPr>
        <w:t xml:space="preserve"> </w:t>
      </w:r>
      <w:r w:rsidRPr="00B46EA2">
        <w:rPr>
          <w:noProof/>
          <w:sz w:val="22"/>
          <w:szCs w:val="22"/>
          <w:lang w:val="sr-Latn-ME"/>
        </w:rPr>
        <w:t>g</w:t>
      </w:r>
    </w:p>
    <w:p w14:paraId="19A7450C" w14:textId="77777777" w:rsidR="00A6040B" w:rsidRPr="00B46EA2" w:rsidRDefault="00A6040B" w:rsidP="00E40F3F">
      <w:pPr>
        <w:widowControl w:val="0"/>
        <w:numPr>
          <w:ilvl w:val="0"/>
          <w:numId w:val="12"/>
        </w:numPr>
        <w:tabs>
          <w:tab w:val="left" w:pos="426"/>
          <w:tab w:val="left" w:pos="3690"/>
        </w:tabs>
        <w:spacing w:before="1"/>
        <w:jc w:val="both"/>
        <w:rPr>
          <w:noProof/>
          <w:sz w:val="22"/>
          <w:szCs w:val="22"/>
          <w:lang w:val="sr-Latn-ME"/>
        </w:rPr>
      </w:pPr>
      <w:r w:rsidRPr="00B46EA2">
        <w:rPr>
          <w:noProof/>
          <w:spacing w:val="-2"/>
          <w:sz w:val="22"/>
          <w:szCs w:val="22"/>
          <w:lang w:val="sr-Latn-ME"/>
        </w:rPr>
        <w:t>Limunska</w:t>
      </w:r>
      <w:r w:rsidRPr="00B46EA2">
        <w:rPr>
          <w:noProof/>
          <w:spacing w:val="5"/>
          <w:sz w:val="22"/>
          <w:szCs w:val="22"/>
          <w:lang w:val="sr-Latn-ME"/>
        </w:rPr>
        <w:t xml:space="preserve"> </w:t>
      </w:r>
      <w:r w:rsidRPr="00B46EA2">
        <w:rPr>
          <w:noProof/>
          <w:spacing w:val="-2"/>
          <w:sz w:val="22"/>
          <w:szCs w:val="22"/>
          <w:lang w:val="sr-Latn-ME"/>
        </w:rPr>
        <w:t>kiselina</w:t>
      </w:r>
      <w:r w:rsidRPr="00B46EA2">
        <w:rPr>
          <w:noProof/>
          <w:spacing w:val="5"/>
          <w:sz w:val="22"/>
          <w:szCs w:val="22"/>
          <w:lang w:val="sr-Latn-ME"/>
        </w:rPr>
        <w:tab/>
      </w:r>
      <w:r w:rsidRPr="00B46EA2">
        <w:rPr>
          <w:noProof/>
          <w:sz w:val="22"/>
          <w:szCs w:val="22"/>
          <w:lang w:val="sr-Latn-ME"/>
        </w:rPr>
        <w:t>10,97</w:t>
      </w:r>
      <w:r w:rsidRPr="00B46EA2">
        <w:rPr>
          <w:noProof/>
          <w:spacing w:val="2"/>
          <w:sz w:val="22"/>
          <w:szCs w:val="22"/>
          <w:lang w:val="sr-Latn-ME"/>
        </w:rPr>
        <w:t xml:space="preserve"> </w:t>
      </w:r>
      <w:r w:rsidRPr="00B46EA2">
        <w:rPr>
          <w:noProof/>
          <w:sz w:val="22"/>
          <w:szCs w:val="22"/>
          <w:lang w:val="sr-Latn-ME"/>
        </w:rPr>
        <w:t>g</w:t>
      </w:r>
    </w:p>
    <w:p w14:paraId="4110AD4F" w14:textId="77777777" w:rsidR="00A6040B" w:rsidRPr="00B46EA2" w:rsidRDefault="00A6040B" w:rsidP="00A6040B">
      <w:pPr>
        <w:widowControl w:val="0"/>
        <w:spacing w:before="10"/>
        <w:rPr>
          <w:noProof/>
          <w:sz w:val="21"/>
          <w:szCs w:val="21"/>
          <w:lang w:val="sr-Latn-ME"/>
        </w:rPr>
      </w:pPr>
    </w:p>
    <w:p w14:paraId="37D58245" w14:textId="741B5566" w:rsidR="00A6040B" w:rsidRPr="00B46EA2" w:rsidRDefault="00A6040B" w:rsidP="00A6040B">
      <w:pPr>
        <w:jc w:val="both"/>
        <w:rPr>
          <w:rFonts w:eastAsia="Calibri"/>
          <w:noProof/>
          <w:spacing w:val="-2"/>
          <w:sz w:val="22"/>
          <w:szCs w:val="22"/>
          <w:lang w:val="sr-Latn-ME"/>
        </w:rPr>
      </w:pPr>
      <w:r w:rsidRPr="00B46EA2">
        <w:rPr>
          <w:rFonts w:eastAsia="Calibri"/>
          <w:noProof/>
          <w:spacing w:val="-2"/>
          <w:sz w:val="22"/>
          <w:szCs w:val="22"/>
          <w:lang w:val="sr-Latn-ME"/>
        </w:rPr>
        <w:t>Pomoćna</w:t>
      </w:r>
      <w:r w:rsidRPr="00B46EA2">
        <w:rPr>
          <w:rFonts w:eastAsia="Calibri"/>
          <w:noProof/>
          <w:spacing w:val="5"/>
          <w:sz w:val="22"/>
          <w:szCs w:val="22"/>
          <w:lang w:val="sr-Latn-ME"/>
        </w:rPr>
        <w:t xml:space="preserve"> </w:t>
      </w:r>
      <w:r w:rsidRPr="00B46EA2">
        <w:rPr>
          <w:rFonts w:eastAsia="Calibri"/>
          <w:noProof/>
          <w:spacing w:val="-1"/>
          <w:sz w:val="22"/>
          <w:szCs w:val="22"/>
          <w:lang w:val="sr-Latn-ME"/>
        </w:rPr>
        <w:t>supstanca</w:t>
      </w:r>
      <w:r w:rsidRPr="00B46EA2">
        <w:rPr>
          <w:rFonts w:eastAsia="Calibri"/>
          <w:noProof/>
          <w:sz w:val="22"/>
          <w:szCs w:val="22"/>
          <w:lang w:val="sr-Latn-ME"/>
        </w:rPr>
        <w:t xml:space="preserve"> sa </w:t>
      </w:r>
      <w:r w:rsidRPr="00B46EA2">
        <w:rPr>
          <w:rFonts w:eastAsia="Calibri"/>
          <w:noProof/>
          <w:spacing w:val="-2"/>
          <w:sz w:val="22"/>
          <w:szCs w:val="22"/>
          <w:lang w:val="sr-Latn-ME"/>
        </w:rPr>
        <w:t>potvrđenim dejstvom:</w:t>
      </w:r>
      <w:r w:rsidRPr="00B46EA2">
        <w:rPr>
          <w:rFonts w:eastAsia="Calibri"/>
          <w:noProof/>
          <w:spacing w:val="3"/>
          <w:sz w:val="22"/>
          <w:szCs w:val="22"/>
          <w:lang w:val="sr-Latn-ME"/>
        </w:rPr>
        <w:t xml:space="preserve"> </w:t>
      </w:r>
      <w:r w:rsidRPr="00B46EA2">
        <w:rPr>
          <w:rFonts w:eastAsia="Calibri"/>
          <w:noProof/>
          <w:spacing w:val="-2"/>
          <w:sz w:val="22"/>
          <w:szCs w:val="22"/>
          <w:lang w:val="sr-Latn-ME"/>
        </w:rPr>
        <w:t>jedna</w:t>
      </w:r>
      <w:r w:rsidRPr="00B46EA2">
        <w:rPr>
          <w:rFonts w:eastAsia="Calibri"/>
          <w:noProof/>
          <w:spacing w:val="5"/>
          <w:sz w:val="22"/>
          <w:szCs w:val="22"/>
          <w:lang w:val="sr-Latn-ME"/>
        </w:rPr>
        <w:t xml:space="preserve"> </w:t>
      </w:r>
      <w:r w:rsidRPr="00B46EA2">
        <w:rPr>
          <w:rFonts w:eastAsia="Calibri"/>
          <w:noProof/>
          <w:spacing w:val="-1"/>
          <w:sz w:val="22"/>
          <w:szCs w:val="22"/>
          <w:lang w:val="sr-Latn-ME"/>
        </w:rPr>
        <w:t>kesica</w:t>
      </w:r>
      <w:r w:rsidRPr="00B46EA2">
        <w:rPr>
          <w:rFonts w:eastAsia="Calibri"/>
          <w:noProof/>
          <w:spacing w:val="5"/>
          <w:sz w:val="22"/>
          <w:szCs w:val="22"/>
          <w:lang w:val="sr-Latn-ME"/>
        </w:rPr>
        <w:t xml:space="preserve"> </w:t>
      </w:r>
      <w:r w:rsidRPr="00B46EA2">
        <w:rPr>
          <w:rFonts w:eastAsia="Calibri"/>
          <w:noProof/>
          <w:spacing w:val="-2"/>
          <w:sz w:val="22"/>
          <w:szCs w:val="22"/>
          <w:lang w:val="sr-Latn-ME"/>
        </w:rPr>
        <w:t xml:space="preserve">sadrži </w:t>
      </w:r>
      <w:r w:rsidRPr="00B46EA2">
        <w:rPr>
          <w:rFonts w:eastAsia="Calibri"/>
          <w:noProof/>
          <w:sz w:val="22"/>
          <w:szCs w:val="22"/>
          <w:lang w:val="sr-Latn-ME"/>
        </w:rPr>
        <w:t>0,5g</w:t>
      </w:r>
      <w:r w:rsidRPr="00B46EA2">
        <w:rPr>
          <w:rFonts w:eastAsia="Calibri"/>
          <w:noProof/>
          <w:spacing w:val="-3"/>
          <w:sz w:val="22"/>
          <w:szCs w:val="22"/>
          <w:lang w:val="sr-Latn-ME"/>
        </w:rPr>
        <w:t xml:space="preserve"> </w:t>
      </w:r>
      <w:r w:rsidRPr="00B46EA2">
        <w:rPr>
          <w:rFonts w:eastAsia="Calibri"/>
          <w:noProof/>
          <w:spacing w:val="-2"/>
          <w:sz w:val="22"/>
          <w:szCs w:val="22"/>
          <w:lang w:val="sr-Latn-ME"/>
        </w:rPr>
        <w:t>kalijum</w:t>
      </w:r>
      <w:r w:rsidR="00BD6A96">
        <w:rPr>
          <w:rFonts w:eastAsia="Calibri"/>
          <w:noProof/>
          <w:spacing w:val="-2"/>
          <w:sz w:val="22"/>
          <w:szCs w:val="22"/>
          <w:lang w:val="sr-Latn-ME"/>
        </w:rPr>
        <w:t xml:space="preserve"> </w:t>
      </w:r>
      <w:r w:rsidRPr="00B46EA2">
        <w:rPr>
          <w:rFonts w:eastAsia="Calibri"/>
          <w:noProof/>
          <w:spacing w:val="-2"/>
          <w:sz w:val="22"/>
          <w:szCs w:val="22"/>
          <w:lang w:val="sr-Latn-ME"/>
        </w:rPr>
        <w:t>hidrogenkarbonata</w:t>
      </w:r>
      <w:r w:rsidRPr="00B46EA2">
        <w:rPr>
          <w:rFonts w:eastAsia="Calibri"/>
          <w:noProof/>
          <w:sz w:val="22"/>
          <w:szCs w:val="22"/>
          <w:lang w:val="sr-Latn-ME"/>
        </w:rPr>
        <w:t xml:space="preserve"> </w:t>
      </w:r>
      <w:r w:rsidRPr="00B46EA2">
        <w:rPr>
          <w:rFonts w:eastAsia="Calibri"/>
          <w:noProof/>
          <w:spacing w:val="-2"/>
          <w:sz w:val="22"/>
          <w:szCs w:val="22"/>
          <w:lang w:val="sr-Latn-ME"/>
        </w:rPr>
        <w:t xml:space="preserve">(odgovara: </w:t>
      </w:r>
      <w:r w:rsidRPr="00B46EA2">
        <w:rPr>
          <w:rFonts w:eastAsia="Calibri"/>
          <w:noProof/>
          <w:sz w:val="22"/>
          <w:szCs w:val="22"/>
          <w:lang w:val="sr-Latn-ME"/>
        </w:rPr>
        <w:t>5</w:t>
      </w:r>
      <w:r w:rsidRPr="00B46EA2">
        <w:rPr>
          <w:rFonts w:eastAsia="Calibri"/>
          <w:noProof/>
          <w:spacing w:val="2"/>
          <w:sz w:val="22"/>
          <w:szCs w:val="22"/>
          <w:lang w:val="sr-Latn-ME"/>
        </w:rPr>
        <w:t xml:space="preserve"> </w:t>
      </w:r>
      <w:r w:rsidRPr="00B46EA2">
        <w:rPr>
          <w:rFonts w:eastAsia="Calibri"/>
          <w:noProof/>
          <w:spacing w:val="-3"/>
          <w:sz w:val="22"/>
          <w:szCs w:val="22"/>
          <w:lang w:val="sr-Latn-ME"/>
        </w:rPr>
        <w:t>mmol</w:t>
      </w:r>
      <w:r w:rsidRPr="00B46EA2">
        <w:rPr>
          <w:rFonts w:eastAsia="Calibri"/>
          <w:noProof/>
          <w:spacing w:val="-2"/>
          <w:sz w:val="22"/>
          <w:szCs w:val="22"/>
          <w:lang w:val="sr-Latn-ME"/>
        </w:rPr>
        <w:t xml:space="preserve"> </w:t>
      </w:r>
      <w:r w:rsidRPr="00B46EA2">
        <w:rPr>
          <w:rFonts w:eastAsia="Calibri"/>
          <w:noProof/>
          <w:spacing w:val="-1"/>
          <w:sz w:val="22"/>
          <w:szCs w:val="22"/>
          <w:lang w:val="sr-Latn-ME"/>
        </w:rPr>
        <w:t>(195</w:t>
      </w:r>
      <w:r w:rsidRPr="00B46EA2">
        <w:rPr>
          <w:rFonts w:eastAsia="Calibri"/>
          <w:noProof/>
          <w:spacing w:val="7"/>
          <w:sz w:val="22"/>
          <w:szCs w:val="22"/>
          <w:lang w:val="sr-Latn-ME"/>
        </w:rPr>
        <w:t xml:space="preserve"> </w:t>
      </w:r>
      <w:r w:rsidRPr="00B46EA2">
        <w:rPr>
          <w:rFonts w:eastAsia="Calibri"/>
          <w:noProof/>
          <w:spacing w:val="-3"/>
          <w:sz w:val="22"/>
          <w:szCs w:val="22"/>
          <w:lang w:val="sr-Latn-ME"/>
        </w:rPr>
        <w:t>mg)</w:t>
      </w:r>
      <w:r w:rsidRPr="00B46EA2">
        <w:rPr>
          <w:rFonts w:eastAsia="Calibri"/>
          <w:noProof/>
          <w:spacing w:val="1"/>
          <w:sz w:val="22"/>
          <w:szCs w:val="22"/>
          <w:lang w:val="sr-Latn-ME"/>
        </w:rPr>
        <w:t xml:space="preserve"> </w:t>
      </w:r>
      <w:r w:rsidRPr="00B46EA2">
        <w:rPr>
          <w:rFonts w:eastAsia="Calibri"/>
          <w:noProof/>
          <w:spacing w:val="-2"/>
          <w:sz w:val="22"/>
          <w:szCs w:val="22"/>
          <w:lang w:val="sr-Latn-ME"/>
        </w:rPr>
        <w:t>kalijuma) (pogledati dio 4.4)</w:t>
      </w:r>
      <w:r w:rsidR="001638FD" w:rsidRPr="00B46EA2">
        <w:rPr>
          <w:rFonts w:eastAsia="Calibri"/>
          <w:noProof/>
          <w:spacing w:val="-2"/>
          <w:sz w:val="22"/>
          <w:szCs w:val="22"/>
          <w:lang w:val="sr-Latn-ME"/>
        </w:rPr>
        <w:t>.</w:t>
      </w:r>
    </w:p>
    <w:p w14:paraId="14F3715A" w14:textId="77777777" w:rsidR="00A6040B" w:rsidRPr="00B46EA2" w:rsidRDefault="00A6040B" w:rsidP="00A6040B">
      <w:pPr>
        <w:rPr>
          <w:rFonts w:ascii="Calibri" w:eastAsia="Calibri" w:hAnsi="Calibri"/>
          <w:noProof/>
          <w:spacing w:val="-2"/>
          <w:sz w:val="22"/>
          <w:szCs w:val="22"/>
          <w:lang w:val="sr-Latn-ME"/>
        </w:rPr>
      </w:pPr>
    </w:p>
    <w:p w14:paraId="71AAB1EF" w14:textId="22D3B470" w:rsidR="0003793F" w:rsidRPr="00B46EA2" w:rsidRDefault="00A6040B" w:rsidP="00A6040B">
      <w:pPr>
        <w:rPr>
          <w:sz w:val="22"/>
          <w:szCs w:val="22"/>
          <w:lang w:val="sr-Latn-ME"/>
        </w:rPr>
      </w:pPr>
      <w:r w:rsidRPr="00B46EA2">
        <w:rPr>
          <w:sz w:val="22"/>
          <w:szCs w:val="22"/>
          <w:lang w:val="sr-Latn-ME"/>
        </w:rPr>
        <w:t>Za spisak svih ekscipijenasa, pogledati dio 6.1</w:t>
      </w:r>
      <w:r w:rsidR="001638FD" w:rsidRPr="00B46EA2">
        <w:rPr>
          <w:sz w:val="22"/>
          <w:szCs w:val="22"/>
          <w:lang w:val="sr-Latn-ME"/>
        </w:rPr>
        <w:t>.</w:t>
      </w:r>
    </w:p>
    <w:p w14:paraId="3C790F1E" w14:textId="77777777" w:rsidR="0003793F" w:rsidRPr="00B46EA2" w:rsidRDefault="0003793F">
      <w:pPr>
        <w:rPr>
          <w:sz w:val="22"/>
          <w:szCs w:val="22"/>
          <w:lang w:val="sr-Latn-ME"/>
        </w:rPr>
      </w:pPr>
    </w:p>
    <w:p w14:paraId="0B45BDF4" w14:textId="77777777" w:rsidR="00C37FD7" w:rsidRPr="00B46EA2" w:rsidRDefault="00C37FD7">
      <w:pPr>
        <w:rPr>
          <w:sz w:val="22"/>
          <w:szCs w:val="22"/>
          <w:lang w:val="sr-Latn-ME"/>
        </w:rPr>
      </w:pPr>
    </w:p>
    <w:p w14:paraId="0D94FB22" w14:textId="77777777" w:rsidR="00411B4B" w:rsidRPr="00B46EA2" w:rsidRDefault="00411B4B" w:rsidP="00F5167F">
      <w:pPr>
        <w:tabs>
          <w:tab w:val="left" w:pos="540"/>
          <w:tab w:val="left" w:pos="569"/>
        </w:tabs>
        <w:rPr>
          <w:b/>
          <w:bCs/>
          <w:sz w:val="22"/>
          <w:szCs w:val="22"/>
          <w:lang w:val="sr-Latn-ME"/>
        </w:rPr>
      </w:pPr>
      <w:r w:rsidRPr="00B46EA2">
        <w:rPr>
          <w:b/>
          <w:bCs/>
          <w:sz w:val="22"/>
          <w:szCs w:val="22"/>
          <w:lang w:val="sr-Latn-ME"/>
        </w:rPr>
        <w:t xml:space="preserve">3. </w:t>
      </w:r>
      <w:r w:rsidR="00F5167F" w:rsidRPr="00B46EA2">
        <w:rPr>
          <w:b/>
          <w:bCs/>
          <w:sz w:val="22"/>
          <w:szCs w:val="22"/>
          <w:lang w:val="sr-Latn-ME"/>
        </w:rPr>
        <w:tab/>
      </w:r>
      <w:r w:rsidRPr="00B46EA2">
        <w:rPr>
          <w:b/>
          <w:bCs/>
          <w:sz w:val="22"/>
          <w:szCs w:val="22"/>
          <w:lang w:val="sr-Latn-ME"/>
        </w:rPr>
        <w:t>FARMACEUTSKI OBLIK</w:t>
      </w:r>
      <w:r w:rsidR="009F2D23" w:rsidRPr="00B46EA2">
        <w:rPr>
          <w:b/>
          <w:bCs/>
          <w:sz w:val="22"/>
          <w:szCs w:val="22"/>
          <w:lang w:val="sr-Latn-ME"/>
        </w:rPr>
        <w:t xml:space="preserve"> </w:t>
      </w:r>
    </w:p>
    <w:p w14:paraId="2772F163" w14:textId="77777777" w:rsidR="00411B4B" w:rsidRPr="00B46EA2" w:rsidRDefault="00411B4B">
      <w:pPr>
        <w:rPr>
          <w:bCs/>
          <w:sz w:val="22"/>
          <w:szCs w:val="22"/>
          <w:lang w:val="sr-Latn-ME"/>
        </w:rPr>
      </w:pPr>
    </w:p>
    <w:p w14:paraId="4235EBA8" w14:textId="77777777" w:rsidR="00A6040B" w:rsidRPr="00B46EA2" w:rsidRDefault="00A6040B" w:rsidP="00A6040B">
      <w:pPr>
        <w:tabs>
          <w:tab w:val="left" w:pos="540"/>
          <w:tab w:val="left" w:pos="569"/>
        </w:tabs>
        <w:rPr>
          <w:sz w:val="22"/>
          <w:szCs w:val="22"/>
          <w:lang w:val="sr-Latn-ME"/>
        </w:rPr>
      </w:pPr>
      <w:r w:rsidRPr="00B46EA2">
        <w:rPr>
          <w:sz w:val="22"/>
          <w:szCs w:val="22"/>
          <w:lang w:val="sr-Latn-ME"/>
        </w:rPr>
        <w:t>Prašak za oralni rastvor u kesici.</w:t>
      </w:r>
    </w:p>
    <w:p w14:paraId="7FA338FB" w14:textId="386F0AAC" w:rsidR="00EC2532" w:rsidRPr="00B46EA2" w:rsidRDefault="00A6040B" w:rsidP="00FC2808">
      <w:pPr>
        <w:jc w:val="both"/>
        <w:rPr>
          <w:sz w:val="22"/>
          <w:szCs w:val="22"/>
          <w:lang w:val="sr-Latn-ME"/>
        </w:rPr>
      </w:pPr>
      <w:r w:rsidRPr="00B46EA2">
        <w:rPr>
          <w:sz w:val="22"/>
          <w:szCs w:val="22"/>
          <w:lang w:val="sr-Latn-ME"/>
        </w:rPr>
        <w:t>Bijeli prašak sa mirisom i ukusom limuna.</w:t>
      </w:r>
    </w:p>
    <w:p w14:paraId="742A338B" w14:textId="56078ED1" w:rsidR="00A6040B" w:rsidRDefault="00A6040B" w:rsidP="00A6040B">
      <w:pPr>
        <w:rPr>
          <w:bCs/>
          <w:sz w:val="22"/>
          <w:szCs w:val="22"/>
          <w:lang w:val="sr-Latn-ME"/>
        </w:rPr>
      </w:pPr>
    </w:p>
    <w:p w14:paraId="7AFEDA6A" w14:textId="77777777" w:rsidR="00433733" w:rsidRPr="00B46EA2" w:rsidRDefault="00433733" w:rsidP="00A6040B">
      <w:pPr>
        <w:rPr>
          <w:bCs/>
          <w:sz w:val="22"/>
          <w:szCs w:val="22"/>
          <w:lang w:val="sr-Latn-ME"/>
        </w:rPr>
      </w:pPr>
    </w:p>
    <w:p w14:paraId="33CDE31B" w14:textId="77777777" w:rsidR="00411B4B" w:rsidRPr="00B46EA2" w:rsidRDefault="00411B4B" w:rsidP="00F5167F">
      <w:pPr>
        <w:tabs>
          <w:tab w:val="left" w:pos="540"/>
          <w:tab w:val="left" w:pos="569"/>
        </w:tabs>
        <w:rPr>
          <w:b/>
          <w:bCs/>
          <w:sz w:val="22"/>
          <w:szCs w:val="22"/>
          <w:lang w:val="sr-Latn-ME"/>
        </w:rPr>
      </w:pPr>
      <w:r w:rsidRPr="00B46EA2">
        <w:rPr>
          <w:b/>
          <w:bCs/>
          <w:sz w:val="22"/>
          <w:szCs w:val="22"/>
          <w:lang w:val="sr-Latn-ME"/>
        </w:rPr>
        <w:t xml:space="preserve">4. </w:t>
      </w:r>
      <w:r w:rsidR="00480FB1" w:rsidRPr="00B46EA2">
        <w:rPr>
          <w:b/>
          <w:bCs/>
          <w:sz w:val="22"/>
          <w:szCs w:val="22"/>
          <w:lang w:val="sr-Latn-ME"/>
        </w:rPr>
        <w:tab/>
      </w:r>
      <w:r w:rsidRPr="00B46EA2">
        <w:rPr>
          <w:b/>
          <w:bCs/>
          <w:sz w:val="22"/>
          <w:szCs w:val="22"/>
          <w:lang w:val="sr-Latn-ME"/>
        </w:rPr>
        <w:t>KLINIČKI PODACI</w:t>
      </w:r>
    </w:p>
    <w:p w14:paraId="51A94C70" w14:textId="77777777" w:rsidR="00A6040B" w:rsidRPr="00B46EA2" w:rsidRDefault="00A6040B" w:rsidP="00F5167F">
      <w:pPr>
        <w:tabs>
          <w:tab w:val="left" w:pos="540"/>
          <w:tab w:val="left" w:pos="569"/>
        </w:tabs>
        <w:rPr>
          <w:b/>
          <w:bCs/>
          <w:sz w:val="22"/>
          <w:szCs w:val="22"/>
          <w:lang w:val="sr-Latn-ME"/>
        </w:rPr>
      </w:pPr>
    </w:p>
    <w:p w14:paraId="4F0B0E09" w14:textId="2BCAAFF1" w:rsidR="00A6040B" w:rsidRPr="00B46EA2" w:rsidRDefault="00A6040B" w:rsidP="00A6040B">
      <w:pPr>
        <w:tabs>
          <w:tab w:val="left" w:pos="540"/>
          <w:tab w:val="left" w:pos="569"/>
        </w:tabs>
        <w:jc w:val="both"/>
        <w:rPr>
          <w:sz w:val="22"/>
          <w:szCs w:val="22"/>
          <w:lang w:val="sr-Latn-ME"/>
        </w:rPr>
      </w:pPr>
      <w:r w:rsidRPr="00B46EA2">
        <w:rPr>
          <w:sz w:val="22"/>
          <w:szCs w:val="22"/>
          <w:lang w:val="sr-Latn-ME"/>
        </w:rPr>
        <w:t>Lijek CitraFleet je indikovan za pražnjenje digestivnog trakta prije bilo kakvih dijagnostičkih procedura koje zaht</w:t>
      </w:r>
      <w:r w:rsidR="005C0971" w:rsidRPr="00B46EA2">
        <w:rPr>
          <w:sz w:val="22"/>
          <w:szCs w:val="22"/>
          <w:lang w:val="sr-Latn-ME"/>
        </w:rPr>
        <w:t>i</w:t>
      </w:r>
      <w:r w:rsidRPr="00B46EA2">
        <w:rPr>
          <w:sz w:val="22"/>
          <w:szCs w:val="22"/>
          <w:lang w:val="sr-Latn-ME"/>
        </w:rPr>
        <w:t>jevaju prazna crijeva, npr. kolonoskopija ili rendgensko snimanje.</w:t>
      </w:r>
    </w:p>
    <w:p w14:paraId="2C3E3898" w14:textId="0CDF509A" w:rsidR="00A6040B" w:rsidRPr="00B46EA2" w:rsidRDefault="00A6040B" w:rsidP="00A6040B">
      <w:pPr>
        <w:tabs>
          <w:tab w:val="left" w:pos="540"/>
          <w:tab w:val="left" w:pos="569"/>
        </w:tabs>
        <w:jc w:val="both"/>
        <w:rPr>
          <w:b/>
          <w:bCs/>
          <w:sz w:val="22"/>
          <w:szCs w:val="22"/>
          <w:lang w:val="sr-Latn-ME"/>
        </w:rPr>
      </w:pPr>
      <w:r w:rsidRPr="00B46EA2">
        <w:rPr>
          <w:sz w:val="22"/>
          <w:szCs w:val="22"/>
          <w:lang w:val="sr-Latn-ME"/>
        </w:rPr>
        <w:t>Lijek CitraFleet je indikovan za odrasle osobe (uključujući i starije osobe)</w:t>
      </w:r>
      <w:r w:rsidR="00647CDA">
        <w:rPr>
          <w:sz w:val="22"/>
          <w:szCs w:val="22"/>
          <w:lang w:val="sr-Latn-ME"/>
        </w:rPr>
        <w:t>,</w:t>
      </w:r>
      <w:r w:rsidRPr="00B46EA2">
        <w:rPr>
          <w:sz w:val="22"/>
          <w:szCs w:val="22"/>
          <w:lang w:val="sr-Latn-ME"/>
        </w:rPr>
        <w:t xml:space="preserve"> starije od 18 godina.</w:t>
      </w:r>
    </w:p>
    <w:p w14:paraId="7C8E4844" w14:textId="77777777" w:rsidR="00CD6F02" w:rsidRPr="00B46EA2" w:rsidRDefault="00CD6F02" w:rsidP="00480FB1">
      <w:pPr>
        <w:tabs>
          <w:tab w:val="left" w:pos="540"/>
          <w:tab w:val="left" w:pos="569"/>
        </w:tabs>
        <w:rPr>
          <w:bCs/>
          <w:sz w:val="22"/>
          <w:szCs w:val="22"/>
          <w:lang w:val="sr-Latn-ME"/>
        </w:rPr>
      </w:pPr>
    </w:p>
    <w:p w14:paraId="79774126" w14:textId="77777777" w:rsidR="00411B4B" w:rsidRPr="00B46EA2" w:rsidRDefault="00411B4B" w:rsidP="00480FB1">
      <w:pPr>
        <w:tabs>
          <w:tab w:val="left" w:pos="540"/>
          <w:tab w:val="left" w:pos="569"/>
        </w:tabs>
        <w:rPr>
          <w:b/>
          <w:bCs/>
          <w:sz w:val="22"/>
          <w:szCs w:val="22"/>
          <w:lang w:val="sr-Latn-ME"/>
        </w:rPr>
      </w:pPr>
      <w:r w:rsidRPr="00B46EA2">
        <w:rPr>
          <w:b/>
          <w:bCs/>
          <w:sz w:val="22"/>
          <w:szCs w:val="22"/>
          <w:lang w:val="sr-Latn-ME"/>
        </w:rPr>
        <w:t xml:space="preserve">4.1. </w:t>
      </w:r>
      <w:r w:rsidR="00480FB1" w:rsidRPr="00B46EA2">
        <w:rPr>
          <w:b/>
          <w:bCs/>
          <w:sz w:val="22"/>
          <w:szCs w:val="22"/>
          <w:lang w:val="sr-Latn-ME"/>
        </w:rPr>
        <w:tab/>
      </w:r>
      <w:r w:rsidRPr="00B46EA2">
        <w:rPr>
          <w:b/>
          <w:bCs/>
          <w:sz w:val="22"/>
          <w:szCs w:val="22"/>
          <w:lang w:val="sr-Latn-ME"/>
        </w:rPr>
        <w:t>Terapijske indikacije</w:t>
      </w:r>
    </w:p>
    <w:p w14:paraId="6F0B5719" w14:textId="77777777" w:rsidR="00411B4B" w:rsidRPr="00B46EA2" w:rsidRDefault="00411B4B" w:rsidP="00480FB1">
      <w:pPr>
        <w:tabs>
          <w:tab w:val="left" w:pos="540"/>
          <w:tab w:val="left" w:pos="569"/>
        </w:tabs>
        <w:rPr>
          <w:bCs/>
          <w:sz w:val="22"/>
          <w:szCs w:val="22"/>
          <w:lang w:val="sr-Latn-ME"/>
        </w:rPr>
      </w:pPr>
    </w:p>
    <w:p w14:paraId="21194382" w14:textId="77777777" w:rsidR="00411B4B" w:rsidRPr="00B46EA2" w:rsidRDefault="00411B4B" w:rsidP="00480FB1">
      <w:pPr>
        <w:tabs>
          <w:tab w:val="left" w:pos="540"/>
          <w:tab w:val="left" w:pos="569"/>
        </w:tabs>
        <w:rPr>
          <w:b/>
          <w:bCs/>
          <w:sz w:val="22"/>
          <w:szCs w:val="22"/>
          <w:lang w:val="sr-Latn-ME"/>
        </w:rPr>
      </w:pPr>
      <w:r w:rsidRPr="00B46EA2">
        <w:rPr>
          <w:b/>
          <w:bCs/>
          <w:sz w:val="22"/>
          <w:szCs w:val="22"/>
          <w:lang w:val="sr-Latn-ME"/>
        </w:rPr>
        <w:t xml:space="preserve">4.2. </w:t>
      </w:r>
      <w:r w:rsidR="00480FB1" w:rsidRPr="00B46EA2">
        <w:rPr>
          <w:b/>
          <w:bCs/>
          <w:sz w:val="22"/>
          <w:szCs w:val="22"/>
          <w:lang w:val="sr-Latn-ME"/>
        </w:rPr>
        <w:tab/>
      </w:r>
      <w:r w:rsidRPr="00B46EA2">
        <w:rPr>
          <w:b/>
          <w:bCs/>
          <w:sz w:val="22"/>
          <w:szCs w:val="22"/>
          <w:lang w:val="sr-Latn-ME"/>
        </w:rPr>
        <w:t>Doziranje i način primjene</w:t>
      </w:r>
    </w:p>
    <w:p w14:paraId="613F9B94" w14:textId="77777777" w:rsidR="0072020E" w:rsidRPr="00B46EA2" w:rsidRDefault="0072020E" w:rsidP="00480FB1">
      <w:pPr>
        <w:tabs>
          <w:tab w:val="left" w:pos="540"/>
          <w:tab w:val="left" w:pos="569"/>
        </w:tabs>
        <w:rPr>
          <w:bCs/>
          <w:sz w:val="22"/>
          <w:szCs w:val="22"/>
          <w:lang w:val="sr-Latn-ME"/>
        </w:rPr>
      </w:pPr>
    </w:p>
    <w:p w14:paraId="6040764C" w14:textId="77777777" w:rsidR="00452E9D" w:rsidRPr="00B46EA2" w:rsidRDefault="00452E9D" w:rsidP="00480FB1">
      <w:pPr>
        <w:tabs>
          <w:tab w:val="left" w:pos="540"/>
          <w:tab w:val="left" w:pos="569"/>
        </w:tabs>
        <w:rPr>
          <w:bCs/>
          <w:sz w:val="22"/>
          <w:szCs w:val="22"/>
          <w:u w:val="single"/>
          <w:lang w:val="sr-Latn-ME"/>
        </w:rPr>
      </w:pPr>
      <w:r w:rsidRPr="00B46EA2">
        <w:rPr>
          <w:bCs/>
          <w:sz w:val="22"/>
          <w:szCs w:val="22"/>
          <w:u w:val="single"/>
          <w:lang w:val="sr-Latn-ME"/>
        </w:rPr>
        <w:t>Doziranje</w:t>
      </w:r>
    </w:p>
    <w:p w14:paraId="06B65556" w14:textId="77777777" w:rsidR="00A6040B" w:rsidRPr="00B46EA2" w:rsidRDefault="00A6040B" w:rsidP="00480FB1">
      <w:pPr>
        <w:tabs>
          <w:tab w:val="left" w:pos="540"/>
          <w:tab w:val="left" w:pos="569"/>
        </w:tabs>
        <w:rPr>
          <w:bCs/>
          <w:sz w:val="22"/>
          <w:szCs w:val="22"/>
          <w:u w:val="single"/>
          <w:lang w:val="sr-Latn-ME"/>
        </w:rPr>
      </w:pPr>
    </w:p>
    <w:p w14:paraId="4B49004E" w14:textId="77777777" w:rsidR="00A6040B" w:rsidRPr="00B46EA2" w:rsidRDefault="00A6040B" w:rsidP="00A6040B">
      <w:pPr>
        <w:tabs>
          <w:tab w:val="left" w:pos="540"/>
          <w:tab w:val="left" w:pos="569"/>
        </w:tabs>
        <w:jc w:val="both"/>
        <w:rPr>
          <w:bCs/>
          <w:sz w:val="22"/>
          <w:szCs w:val="22"/>
          <w:lang w:val="sr-Latn-ME"/>
        </w:rPr>
      </w:pPr>
      <w:r w:rsidRPr="00B46EA2">
        <w:rPr>
          <w:bCs/>
          <w:i/>
          <w:sz w:val="22"/>
          <w:szCs w:val="22"/>
          <w:lang w:val="sr-Latn-ME"/>
        </w:rPr>
        <w:t>Odrasli (uključujući i starije) stariji od 18 godina:</w:t>
      </w:r>
    </w:p>
    <w:p w14:paraId="4A9D9497" w14:textId="57A80D2F" w:rsidR="00A6040B" w:rsidRPr="00B46EA2" w:rsidRDefault="00A6040B" w:rsidP="00A6040B">
      <w:pPr>
        <w:tabs>
          <w:tab w:val="left" w:pos="540"/>
          <w:tab w:val="left" w:pos="569"/>
        </w:tabs>
        <w:jc w:val="both"/>
        <w:rPr>
          <w:bCs/>
          <w:sz w:val="22"/>
          <w:szCs w:val="22"/>
          <w:lang w:val="sr-Latn-ME"/>
        </w:rPr>
      </w:pPr>
      <w:r w:rsidRPr="00B46EA2">
        <w:rPr>
          <w:bCs/>
          <w:sz w:val="22"/>
          <w:szCs w:val="22"/>
          <w:lang w:val="sr-Latn-ME"/>
        </w:rPr>
        <w:t>Lijek CitraFleet se primjenjuje na jedan od sljedećih načina:</w:t>
      </w:r>
    </w:p>
    <w:p w14:paraId="1A5A400C" w14:textId="650EA9E6" w:rsidR="00A6040B" w:rsidRPr="00B46EA2" w:rsidRDefault="00A6040B" w:rsidP="00BD6A96">
      <w:pPr>
        <w:numPr>
          <w:ilvl w:val="2"/>
          <w:numId w:val="13"/>
        </w:numPr>
        <w:tabs>
          <w:tab w:val="left" w:pos="540"/>
          <w:tab w:val="left" w:pos="569"/>
        </w:tabs>
        <w:ind w:left="426" w:hanging="284"/>
        <w:jc w:val="both"/>
        <w:rPr>
          <w:bCs/>
          <w:sz w:val="22"/>
          <w:szCs w:val="22"/>
          <w:lang w:val="sr-Latn-ME"/>
        </w:rPr>
      </w:pPr>
      <w:r w:rsidRPr="00B46EA2">
        <w:rPr>
          <w:bCs/>
          <w:sz w:val="22"/>
          <w:szCs w:val="22"/>
          <w:lang w:val="sr-Latn-ME"/>
        </w:rPr>
        <w:t>Obično se primjenjuje jedna kesica veče pr</w:t>
      </w:r>
      <w:r w:rsidR="005C0971" w:rsidRPr="00B46EA2">
        <w:rPr>
          <w:bCs/>
          <w:sz w:val="22"/>
          <w:szCs w:val="22"/>
          <w:lang w:val="sr-Latn-ME"/>
        </w:rPr>
        <w:t>ije</w:t>
      </w:r>
      <w:r w:rsidRPr="00B46EA2">
        <w:rPr>
          <w:bCs/>
          <w:sz w:val="22"/>
          <w:szCs w:val="22"/>
          <w:lang w:val="sr-Latn-ME"/>
        </w:rPr>
        <w:t xml:space="preserve"> izvođenja procedure i druga kesica ujutru na sam dan procedure.</w:t>
      </w:r>
    </w:p>
    <w:p w14:paraId="1357C203" w14:textId="77777777" w:rsidR="00A6040B" w:rsidRPr="00B46EA2" w:rsidRDefault="00A6040B" w:rsidP="00BD6A96">
      <w:pPr>
        <w:numPr>
          <w:ilvl w:val="2"/>
          <w:numId w:val="13"/>
        </w:numPr>
        <w:tabs>
          <w:tab w:val="left" w:pos="540"/>
          <w:tab w:val="left" w:pos="569"/>
        </w:tabs>
        <w:ind w:left="426" w:hanging="284"/>
        <w:jc w:val="both"/>
        <w:rPr>
          <w:bCs/>
          <w:sz w:val="22"/>
          <w:szCs w:val="22"/>
          <w:lang w:val="sr-Latn-ME"/>
        </w:rPr>
      </w:pPr>
      <w:r w:rsidRPr="00B46EA2">
        <w:rPr>
          <w:bCs/>
          <w:sz w:val="22"/>
          <w:szCs w:val="22"/>
          <w:lang w:val="sr-Latn-ME"/>
        </w:rPr>
        <w:t>Jedna kesica popodne i druga uveče prije procedure. Ovaj način više odgovara ukoliko je procedura zakazana u ranim jutarnjim satima.</w:t>
      </w:r>
    </w:p>
    <w:p w14:paraId="28BAA2AA" w14:textId="53454AA2" w:rsidR="00A6040B" w:rsidRPr="00B46EA2" w:rsidRDefault="00A6040B" w:rsidP="00BD6A96">
      <w:pPr>
        <w:numPr>
          <w:ilvl w:val="2"/>
          <w:numId w:val="13"/>
        </w:numPr>
        <w:tabs>
          <w:tab w:val="left" w:pos="540"/>
          <w:tab w:val="left" w:pos="569"/>
        </w:tabs>
        <w:ind w:left="426" w:hanging="284"/>
        <w:jc w:val="both"/>
        <w:rPr>
          <w:bCs/>
          <w:sz w:val="22"/>
          <w:szCs w:val="22"/>
          <w:lang w:val="sr-Latn-ME"/>
        </w:rPr>
      </w:pPr>
      <w:r w:rsidRPr="00B46EA2">
        <w:rPr>
          <w:bCs/>
          <w:sz w:val="22"/>
          <w:szCs w:val="22"/>
          <w:lang w:val="sr-Latn-ME"/>
        </w:rPr>
        <w:t>Ob</w:t>
      </w:r>
      <w:r w:rsidR="005C0971" w:rsidRPr="00B46EA2">
        <w:rPr>
          <w:bCs/>
          <w:sz w:val="22"/>
          <w:szCs w:val="22"/>
          <w:lang w:val="sr-Latn-ME"/>
        </w:rPr>
        <w:t>ij</w:t>
      </w:r>
      <w:r w:rsidRPr="00B46EA2">
        <w:rPr>
          <w:bCs/>
          <w:sz w:val="22"/>
          <w:szCs w:val="22"/>
          <w:lang w:val="sr-Latn-ME"/>
        </w:rPr>
        <w:t>e kesice se uzmu ujutru na dan procedure. Ovaj način je pogodan samo kada je procedura zakazana za popodne ili uveče.</w:t>
      </w:r>
    </w:p>
    <w:p w14:paraId="0AFDF267" w14:textId="1AFF28BB" w:rsidR="00A6040B" w:rsidRPr="00B46EA2" w:rsidRDefault="00A6040B" w:rsidP="00A6040B">
      <w:pPr>
        <w:tabs>
          <w:tab w:val="left" w:pos="540"/>
          <w:tab w:val="left" w:pos="569"/>
        </w:tabs>
        <w:jc w:val="both"/>
        <w:rPr>
          <w:bCs/>
          <w:sz w:val="22"/>
          <w:szCs w:val="22"/>
          <w:u w:val="single"/>
          <w:lang w:val="sr-Latn-ME"/>
        </w:rPr>
      </w:pPr>
      <w:r w:rsidRPr="00B46EA2">
        <w:rPr>
          <w:bCs/>
          <w:sz w:val="22"/>
          <w:szCs w:val="22"/>
          <w:lang w:val="sr-Latn-ME"/>
        </w:rPr>
        <w:t>Period između uzimanja 2 kesice trebalo bi da bude najmanje 5 sati.</w:t>
      </w:r>
    </w:p>
    <w:p w14:paraId="24073347" w14:textId="77777777" w:rsidR="00452E9D" w:rsidRPr="00B46EA2" w:rsidRDefault="00452E9D" w:rsidP="00480FB1">
      <w:pPr>
        <w:tabs>
          <w:tab w:val="left" w:pos="540"/>
          <w:tab w:val="left" w:pos="569"/>
        </w:tabs>
        <w:rPr>
          <w:bCs/>
          <w:sz w:val="22"/>
          <w:szCs w:val="22"/>
          <w:u w:val="single"/>
          <w:lang w:val="sr-Latn-ME"/>
        </w:rPr>
      </w:pPr>
    </w:p>
    <w:p w14:paraId="4346F353" w14:textId="77777777" w:rsidR="00452E9D" w:rsidRPr="00B46EA2" w:rsidRDefault="00452E9D" w:rsidP="00480FB1">
      <w:pPr>
        <w:tabs>
          <w:tab w:val="left" w:pos="540"/>
          <w:tab w:val="left" w:pos="569"/>
        </w:tabs>
        <w:rPr>
          <w:bCs/>
          <w:sz w:val="22"/>
          <w:szCs w:val="22"/>
          <w:u w:val="single"/>
          <w:lang w:val="sr-Latn-ME"/>
        </w:rPr>
      </w:pPr>
      <w:r w:rsidRPr="00B46EA2">
        <w:rPr>
          <w:bCs/>
          <w:sz w:val="22"/>
          <w:szCs w:val="22"/>
          <w:u w:val="single"/>
          <w:lang w:val="sr-Latn-ME"/>
        </w:rPr>
        <w:t>Način primjene</w:t>
      </w:r>
    </w:p>
    <w:p w14:paraId="3F721435" w14:textId="2D188812" w:rsidR="00A6040B" w:rsidRPr="00B46EA2" w:rsidRDefault="00A6040B" w:rsidP="00480FB1">
      <w:pPr>
        <w:tabs>
          <w:tab w:val="left" w:pos="540"/>
          <w:tab w:val="left" w:pos="569"/>
        </w:tabs>
        <w:rPr>
          <w:bCs/>
          <w:sz w:val="22"/>
          <w:szCs w:val="22"/>
          <w:lang w:val="sr-Latn-ME"/>
        </w:rPr>
      </w:pPr>
      <w:r w:rsidRPr="00B46EA2">
        <w:rPr>
          <w:bCs/>
          <w:sz w:val="22"/>
          <w:szCs w:val="22"/>
          <w:lang w:val="sr-Latn-ME"/>
        </w:rPr>
        <w:t>Oralna primjena.</w:t>
      </w:r>
    </w:p>
    <w:p w14:paraId="34CA1D88" w14:textId="77777777" w:rsidR="00A6040B" w:rsidRPr="00B46EA2" w:rsidRDefault="00A6040B" w:rsidP="00480FB1">
      <w:pPr>
        <w:tabs>
          <w:tab w:val="left" w:pos="540"/>
          <w:tab w:val="left" w:pos="569"/>
        </w:tabs>
        <w:rPr>
          <w:bCs/>
          <w:sz w:val="22"/>
          <w:szCs w:val="22"/>
          <w:lang w:val="sr-Latn-ME"/>
        </w:rPr>
      </w:pPr>
    </w:p>
    <w:p w14:paraId="5CA039B3" w14:textId="5A058353" w:rsidR="00A6040B" w:rsidRPr="00B46EA2" w:rsidRDefault="00A6040B" w:rsidP="00A6040B">
      <w:pPr>
        <w:tabs>
          <w:tab w:val="left" w:pos="540"/>
          <w:tab w:val="left" w:pos="569"/>
        </w:tabs>
        <w:jc w:val="both"/>
        <w:rPr>
          <w:bCs/>
          <w:sz w:val="22"/>
          <w:szCs w:val="22"/>
          <w:lang w:val="sr-Latn-ME"/>
        </w:rPr>
      </w:pPr>
      <w:r w:rsidRPr="00B46EA2">
        <w:rPr>
          <w:bCs/>
          <w:sz w:val="22"/>
          <w:szCs w:val="22"/>
          <w:lang w:val="sr-Latn-ME"/>
        </w:rPr>
        <w:t>Za uputstva o rekonstituciji l</w:t>
      </w:r>
      <w:r w:rsidR="005C0971" w:rsidRPr="00B46EA2">
        <w:rPr>
          <w:bCs/>
          <w:sz w:val="22"/>
          <w:szCs w:val="22"/>
          <w:lang w:val="sr-Latn-ME"/>
        </w:rPr>
        <w:t>ij</w:t>
      </w:r>
      <w:r w:rsidRPr="00B46EA2">
        <w:rPr>
          <w:bCs/>
          <w:sz w:val="22"/>
          <w:szCs w:val="22"/>
          <w:lang w:val="sr-Latn-ME"/>
        </w:rPr>
        <w:t>eka pr</w:t>
      </w:r>
      <w:r w:rsidR="005C0971" w:rsidRPr="00B46EA2">
        <w:rPr>
          <w:bCs/>
          <w:sz w:val="22"/>
          <w:szCs w:val="22"/>
          <w:lang w:val="sr-Latn-ME"/>
        </w:rPr>
        <w:t>ij</w:t>
      </w:r>
      <w:r w:rsidRPr="00B46EA2">
        <w:rPr>
          <w:bCs/>
          <w:sz w:val="22"/>
          <w:szCs w:val="22"/>
          <w:lang w:val="sr-Latn-ME"/>
        </w:rPr>
        <w:t>e prim</w:t>
      </w:r>
      <w:r w:rsidR="005C0971" w:rsidRPr="00B46EA2">
        <w:rPr>
          <w:bCs/>
          <w:sz w:val="22"/>
          <w:szCs w:val="22"/>
          <w:lang w:val="sr-Latn-ME"/>
        </w:rPr>
        <w:t>j</w:t>
      </w:r>
      <w:r w:rsidRPr="00B46EA2">
        <w:rPr>
          <w:bCs/>
          <w:sz w:val="22"/>
          <w:szCs w:val="22"/>
          <w:lang w:val="sr-Latn-ME"/>
        </w:rPr>
        <w:t xml:space="preserve">ene, </w:t>
      </w:r>
      <w:r w:rsidRPr="00B46EA2">
        <w:rPr>
          <w:sz w:val="22"/>
          <w:szCs w:val="22"/>
          <w:lang w:val="sr-Latn-ME"/>
        </w:rPr>
        <w:t>pogledati dio</w:t>
      </w:r>
      <w:r w:rsidRPr="00B46EA2">
        <w:rPr>
          <w:bCs/>
          <w:sz w:val="22"/>
          <w:szCs w:val="22"/>
          <w:lang w:val="sr-Latn-ME"/>
        </w:rPr>
        <w:t xml:space="preserve"> 6.6.</w:t>
      </w:r>
    </w:p>
    <w:p w14:paraId="09D28217" w14:textId="77777777" w:rsidR="00A6040B" w:rsidRPr="00B46EA2" w:rsidRDefault="00A6040B" w:rsidP="00A6040B">
      <w:pPr>
        <w:tabs>
          <w:tab w:val="left" w:pos="540"/>
          <w:tab w:val="left" w:pos="569"/>
        </w:tabs>
        <w:rPr>
          <w:bCs/>
          <w:sz w:val="22"/>
          <w:szCs w:val="22"/>
          <w:lang w:val="sr-Latn-ME"/>
        </w:rPr>
      </w:pPr>
    </w:p>
    <w:p w14:paraId="6BD55BB5" w14:textId="2F7ED45D" w:rsidR="00A6040B" w:rsidRPr="00B46EA2" w:rsidRDefault="00A6040B" w:rsidP="00A6040B">
      <w:pPr>
        <w:tabs>
          <w:tab w:val="left" w:pos="540"/>
          <w:tab w:val="left" w:pos="569"/>
        </w:tabs>
        <w:jc w:val="both"/>
        <w:rPr>
          <w:bCs/>
          <w:sz w:val="22"/>
          <w:szCs w:val="22"/>
          <w:lang w:val="sr-Latn-ME"/>
        </w:rPr>
      </w:pPr>
      <w:r w:rsidRPr="00B46EA2">
        <w:rPr>
          <w:bCs/>
          <w:sz w:val="22"/>
          <w:szCs w:val="22"/>
          <w:lang w:val="sr-Latn-ME"/>
        </w:rPr>
        <w:lastRenderedPageBreak/>
        <w:t>Dan pr</w:t>
      </w:r>
      <w:r w:rsidR="005C0971" w:rsidRPr="00B46EA2">
        <w:rPr>
          <w:bCs/>
          <w:sz w:val="22"/>
          <w:szCs w:val="22"/>
          <w:lang w:val="sr-Latn-ME"/>
        </w:rPr>
        <w:t>ij</w:t>
      </w:r>
      <w:r w:rsidRPr="00B46EA2">
        <w:rPr>
          <w:bCs/>
          <w:sz w:val="22"/>
          <w:szCs w:val="22"/>
          <w:lang w:val="sr-Latn-ME"/>
        </w:rPr>
        <w:t>e izvođenja odgovarajuće procedure preporučuje se dijeta sa malim unosom vlaknastih materija ili uzimanje samo bistrih tečnosti. Od trenutka započinjanja uzimanja l</w:t>
      </w:r>
      <w:r w:rsidR="00647CDA">
        <w:rPr>
          <w:bCs/>
          <w:sz w:val="22"/>
          <w:szCs w:val="22"/>
          <w:lang w:val="sr-Latn-ME"/>
        </w:rPr>
        <w:t>ije</w:t>
      </w:r>
      <w:r w:rsidRPr="00B46EA2">
        <w:rPr>
          <w:bCs/>
          <w:sz w:val="22"/>
          <w:szCs w:val="22"/>
          <w:lang w:val="sr-Latn-ME"/>
        </w:rPr>
        <w:t>ka CitraFleet pa sve do završetka same procedure ne treba uzimati čvrstu hranu.</w:t>
      </w:r>
    </w:p>
    <w:p w14:paraId="7FE74C32" w14:textId="77777777" w:rsidR="00A6040B" w:rsidRPr="00B46EA2" w:rsidRDefault="00A6040B" w:rsidP="00A6040B">
      <w:pPr>
        <w:tabs>
          <w:tab w:val="left" w:pos="540"/>
          <w:tab w:val="left" w:pos="569"/>
        </w:tabs>
        <w:jc w:val="both"/>
        <w:rPr>
          <w:bCs/>
          <w:sz w:val="22"/>
          <w:szCs w:val="22"/>
          <w:lang w:val="sr-Latn-ME"/>
        </w:rPr>
      </w:pPr>
      <w:r w:rsidRPr="00B46EA2">
        <w:rPr>
          <w:bCs/>
          <w:sz w:val="22"/>
          <w:szCs w:val="22"/>
          <w:lang w:val="sr-Latn-ME"/>
        </w:rPr>
        <w:t>Kako bi se sačuvao osmolaritet proizvoda, u cilju postizanja željenog dejstva, svaku kesicu treba rastvoriti u čaši vode. Proizvod se ne smije dalje razblaživati naknadnim unošenjem tečnosti odmah nakon primjene kesice.</w:t>
      </w:r>
    </w:p>
    <w:p w14:paraId="6763278D" w14:textId="77777777" w:rsidR="00A6040B" w:rsidRPr="00B46EA2" w:rsidRDefault="00A6040B" w:rsidP="00A6040B">
      <w:pPr>
        <w:tabs>
          <w:tab w:val="left" w:pos="540"/>
          <w:tab w:val="left" w:pos="569"/>
        </w:tabs>
        <w:jc w:val="both"/>
        <w:rPr>
          <w:bCs/>
          <w:sz w:val="22"/>
          <w:szCs w:val="22"/>
          <w:lang w:val="sr-Latn-ME"/>
        </w:rPr>
      </w:pPr>
    </w:p>
    <w:p w14:paraId="61F14322" w14:textId="5AED3CDD" w:rsidR="00A6040B" w:rsidRPr="00B46EA2" w:rsidRDefault="00A6040B" w:rsidP="00A6040B">
      <w:pPr>
        <w:tabs>
          <w:tab w:val="left" w:pos="540"/>
          <w:tab w:val="left" w:pos="569"/>
        </w:tabs>
        <w:jc w:val="both"/>
        <w:rPr>
          <w:bCs/>
          <w:sz w:val="22"/>
          <w:szCs w:val="22"/>
          <w:lang w:val="sr-Latn-ME"/>
        </w:rPr>
      </w:pPr>
      <w:r w:rsidRPr="00B46EA2">
        <w:rPr>
          <w:bCs/>
          <w:sz w:val="22"/>
          <w:szCs w:val="22"/>
          <w:lang w:val="sr-Latn-ME"/>
        </w:rPr>
        <w:t>Nakon perioda od 10 minuta posle primjene svake rastvorene kesice, preporučuje se unošenje približno 1,5-2 litra raznih bistrih tečnosti, i to u količini od 250-400 ml na svakih sat vremena. Preporučuje se unos bistrih supa i/ili rastvora sa elektrolitima. Sav</w:t>
      </w:r>
      <w:r w:rsidR="005C0971" w:rsidRPr="00B46EA2">
        <w:rPr>
          <w:bCs/>
          <w:sz w:val="22"/>
          <w:szCs w:val="22"/>
          <w:lang w:val="sr-Latn-ME"/>
        </w:rPr>
        <w:t>j</w:t>
      </w:r>
      <w:r w:rsidRPr="00B46EA2">
        <w:rPr>
          <w:bCs/>
          <w:sz w:val="22"/>
          <w:szCs w:val="22"/>
          <w:lang w:val="sr-Latn-ME"/>
        </w:rPr>
        <w:t>etuje se da pacijent ne pije samo vodu, običnu ili demineralizovanu.</w:t>
      </w:r>
    </w:p>
    <w:p w14:paraId="7FA9534D" w14:textId="77777777" w:rsidR="00A6040B" w:rsidRPr="00B46EA2" w:rsidRDefault="00A6040B" w:rsidP="00A6040B">
      <w:pPr>
        <w:tabs>
          <w:tab w:val="left" w:pos="540"/>
          <w:tab w:val="left" w:pos="569"/>
        </w:tabs>
        <w:jc w:val="both"/>
        <w:rPr>
          <w:bCs/>
          <w:sz w:val="22"/>
          <w:szCs w:val="22"/>
          <w:lang w:val="sr-Latn-ME"/>
        </w:rPr>
      </w:pPr>
    </w:p>
    <w:p w14:paraId="316EFD49" w14:textId="4E94655F" w:rsidR="00A6040B" w:rsidRPr="00B46EA2" w:rsidRDefault="00A6040B" w:rsidP="00A6040B">
      <w:pPr>
        <w:tabs>
          <w:tab w:val="left" w:pos="540"/>
          <w:tab w:val="left" w:pos="569"/>
        </w:tabs>
        <w:jc w:val="both"/>
        <w:rPr>
          <w:bCs/>
          <w:sz w:val="22"/>
          <w:szCs w:val="22"/>
          <w:lang w:val="sr-Latn-ME"/>
        </w:rPr>
      </w:pPr>
      <w:r w:rsidRPr="00B46EA2">
        <w:rPr>
          <w:bCs/>
          <w:sz w:val="22"/>
          <w:szCs w:val="22"/>
          <w:lang w:val="sr-Latn-ME"/>
        </w:rPr>
        <w:t>Pacijent ne treba da unosi hranu ili pića pr</w:t>
      </w:r>
      <w:r w:rsidR="005C0971" w:rsidRPr="00B46EA2">
        <w:rPr>
          <w:bCs/>
          <w:sz w:val="22"/>
          <w:szCs w:val="22"/>
          <w:lang w:val="sr-Latn-ME"/>
        </w:rPr>
        <w:t>ij</w:t>
      </w:r>
      <w:r w:rsidRPr="00B46EA2">
        <w:rPr>
          <w:bCs/>
          <w:sz w:val="22"/>
          <w:szCs w:val="22"/>
          <w:lang w:val="sr-Latn-ME"/>
        </w:rPr>
        <w:t>e izvođenja procedure (obično najmanje 2 sata pr</w:t>
      </w:r>
      <w:r w:rsidR="005C0971" w:rsidRPr="00B46EA2">
        <w:rPr>
          <w:bCs/>
          <w:sz w:val="22"/>
          <w:szCs w:val="22"/>
          <w:lang w:val="sr-Latn-ME"/>
        </w:rPr>
        <w:t>ij</w:t>
      </w:r>
      <w:r w:rsidRPr="00B46EA2">
        <w:rPr>
          <w:bCs/>
          <w:sz w:val="22"/>
          <w:szCs w:val="22"/>
          <w:lang w:val="sr-Latn-ME"/>
        </w:rPr>
        <w:t>e), a u skladu sa zahtjevima anestezije.</w:t>
      </w:r>
    </w:p>
    <w:p w14:paraId="13F18A67" w14:textId="77777777" w:rsidR="00452E9D" w:rsidRPr="00B46EA2" w:rsidRDefault="00452E9D" w:rsidP="00480FB1">
      <w:pPr>
        <w:tabs>
          <w:tab w:val="left" w:pos="540"/>
          <w:tab w:val="left" w:pos="569"/>
        </w:tabs>
        <w:rPr>
          <w:bCs/>
          <w:sz w:val="22"/>
          <w:szCs w:val="22"/>
          <w:lang w:val="sr-Latn-ME"/>
        </w:rPr>
      </w:pPr>
    </w:p>
    <w:p w14:paraId="34573D54" w14:textId="77777777" w:rsidR="00411B4B" w:rsidRPr="00B46EA2" w:rsidRDefault="00411B4B" w:rsidP="00480FB1">
      <w:pPr>
        <w:tabs>
          <w:tab w:val="left" w:pos="540"/>
          <w:tab w:val="left" w:pos="569"/>
        </w:tabs>
        <w:rPr>
          <w:b/>
          <w:bCs/>
          <w:sz w:val="22"/>
          <w:szCs w:val="22"/>
          <w:lang w:val="sr-Latn-ME"/>
        </w:rPr>
      </w:pPr>
      <w:r w:rsidRPr="00B46EA2">
        <w:rPr>
          <w:b/>
          <w:bCs/>
          <w:sz w:val="22"/>
          <w:szCs w:val="22"/>
          <w:lang w:val="sr-Latn-ME"/>
        </w:rPr>
        <w:t xml:space="preserve">4.3. </w:t>
      </w:r>
      <w:r w:rsidR="00480FB1" w:rsidRPr="00B46EA2">
        <w:rPr>
          <w:b/>
          <w:bCs/>
          <w:sz w:val="22"/>
          <w:szCs w:val="22"/>
          <w:lang w:val="sr-Latn-ME"/>
        </w:rPr>
        <w:tab/>
      </w:r>
      <w:r w:rsidRPr="00B46EA2">
        <w:rPr>
          <w:b/>
          <w:bCs/>
          <w:sz w:val="22"/>
          <w:szCs w:val="22"/>
          <w:lang w:val="sr-Latn-ME"/>
        </w:rPr>
        <w:t>Kontraindikacije</w:t>
      </w:r>
    </w:p>
    <w:p w14:paraId="2AA555DB" w14:textId="77777777" w:rsidR="00A6040B" w:rsidRPr="00B46EA2" w:rsidRDefault="00A6040B" w:rsidP="00480FB1">
      <w:pPr>
        <w:tabs>
          <w:tab w:val="left" w:pos="540"/>
          <w:tab w:val="left" w:pos="569"/>
        </w:tabs>
        <w:rPr>
          <w:b/>
          <w:bCs/>
          <w:sz w:val="22"/>
          <w:szCs w:val="22"/>
          <w:lang w:val="sr-Latn-ME"/>
        </w:rPr>
      </w:pPr>
    </w:p>
    <w:p w14:paraId="4E757646" w14:textId="4CEC6D63"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preosjetljivost na aktivnu supstancu ili na bilo koju od pomoćn</w:t>
      </w:r>
      <w:r w:rsidR="00BD6A96">
        <w:rPr>
          <w:sz w:val="22"/>
          <w:szCs w:val="22"/>
          <w:lang w:val="sr-Latn-ME"/>
        </w:rPr>
        <w:t xml:space="preserve">ih supstanci navedenih u dijelu </w:t>
      </w:r>
      <w:r w:rsidRPr="00B46EA2">
        <w:rPr>
          <w:sz w:val="22"/>
          <w:szCs w:val="22"/>
          <w:lang w:val="sr-Latn-ME"/>
        </w:rPr>
        <w:t>6.1.</w:t>
      </w:r>
      <w:r w:rsidR="005C0971" w:rsidRPr="00B46EA2">
        <w:rPr>
          <w:sz w:val="22"/>
          <w:szCs w:val="22"/>
          <w:lang w:val="sr-Latn-ME"/>
        </w:rPr>
        <w:t>,</w:t>
      </w:r>
    </w:p>
    <w:p w14:paraId="0B47459B" w14:textId="17FF2593"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kongestivna srčana insuficijencija</w:t>
      </w:r>
      <w:r w:rsidR="005C0971" w:rsidRPr="00B46EA2">
        <w:rPr>
          <w:sz w:val="22"/>
          <w:szCs w:val="22"/>
          <w:lang w:val="sr-Latn-ME"/>
        </w:rPr>
        <w:t>,</w:t>
      </w:r>
    </w:p>
    <w:p w14:paraId="48460D8C" w14:textId="45C7E36D"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teška dehidratacija</w:t>
      </w:r>
      <w:r w:rsidR="005C0971" w:rsidRPr="00B46EA2">
        <w:rPr>
          <w:sz w:val="22"/>
          <w:szCs w:val="22"/>
          <w:lang w:val="sr-Latn-ME"/>
        </w:rPr>
        <w:t>,</w:t>
      </w:r>
    </w:p>
    <w:p w14:paraId="42827D37" w14:textId="2D57D3E2"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hipermagnezemija</w:t>
      </w:r>
      <w:r w:rsidR="005C0971" w:rsidRPr="00B46EA2">
        <w:rPr>
          <w:sz w:val="22"/>
          <w:szCs w:val="22"/>
          <w:lang w:val="sr-Latn-ME"/>
        </w:rPr>
        <w:t>,</w:t>
      </w:r>
    </w:p>
    <w:p w14:paraId="230A7A27" w14:textId="11268AF2"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retencija gastričnog sadržaja</w:t>
      </w:r>
      <w:r w:rsidR="005C0971" w:rsidRPr="00B46EA2">
        <w:rPr>
          <w:sz w:val="22"/>
          <w:szCs w:val="22"/>
          <w:lang w:val="sr-Latn-ME"/>
        </w:rPr>
        <w:t>,</w:t>
      </w:r>
      <w:r w:rsidRPr="00B46EA2">
        <w:rPr>
          <w:sz w:val="22"/>
          <w:szCs w:val="22"/>
          <w:lang w:val="sr-Latn-ME"/>
        </w:rPr>
        <w:t xml:space="preserve"> </w:t>
      </w:r>
    </w:p>
    <w:p w14:paraId="63FCF578" w14:textId="73C3B613"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gastrointestinalana ulceracija</w:t>
      </w:r>
      <w:r w:rsidR="005C0971" w:rsidRPr="00B46EA2">
        <w:rPr>
          <w:sz w:val="22"/>
          <w:szCs w:val="22"/>
          <w:lang w:val="sr-Latn-ME"/>
        </w:rPr>
        <w:t>,</w:t>
      </w:r>
    </w:p>
    <w:p w14:paraId="7A61EB7C" w14:textId="5808F5CF"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toksični kolitis</w:t>
      </w:r>
      <w:r w:rsidR="005C0971" w:rsidRPr="00B46EA2">
        <w:rPr>
          <w:sz w:val="22"/>
          <w:szCs w:val="22"/>
          <w:lang w:val="sr-Latn-ME"/>
        </w:rPr>
        <w:t>,</w:t>
      </w:r>
    </w:p>
    <w:p w14:paraId="1993EDA8" w14:textId="1C894673"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toksični megakolon</w:t>
      </w:r>
      <w:r w:rsidR="005C0971" w:rsidRPr="00B46EA2">
        <w:rPr>
          <w:sz w:val="22"/>
          <w:szCs w:val="22"/>
          <w:lang w:val="sr-Latn-ME"/>
        </w:rPr>
        <w:t>,</w:t>
      </w:r>
    </w:p>
    <w:p w14:paraId="5B111860" w14:textId="3341DFC5"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ileus</w:t>
      </w:r>
      <w:r w:rsidR="005C0971" w:rsidRPr="00B46EA2">
        <w:rPr>
          <w:sz w:val="22"/>
          <w:szCs w:val="22"/>
          <w:lang w:val="sr-Latn-ME"/>
        </w:rPr>
        <w:t>,</w:t>
      </w:r>
    </w:p>
    <w:p w14:paraId="39E10C9E" w14:textId="2F975A22"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mučnina i povraćanje</w:t>
      </w:r>
      <w:r w:rsidR="005C0971" w:rsidRPr="00B46EA2">
        <w:rPr>
          <w:sz w:val="22"/>
          <w:szCs w:val="22"/>
          <w:lang w:val="sr-Latn-ME"/>
        </w:rPr>
        <w:t>,</w:t>
      </w:r>
    </w:p>
    <w:p w14:paraId="0EAD01C7" w14:textId="3A5A921B" w:rsidR="00586CDF"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ascites</w:t>
      </w:r>
      <w:r w:rsidR="005C0971" w:rsidRPr="00B46EA2">
        <w:rPr>
          <w:sz w:val="22"/>
          <w:szCs w:val="22"/>
          <w:lang w:val="sr-Latn-ME"/>
        </w:rPr>
        <w:t>,</w:t>
      </w:r>
    </w:p>
    <w:p w14:paraId="19ADEBDC" w14:textId="28C3D4DD"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akutna stanja u abdominalnoj hirurgiji kao što je akutni apendicitis i već postojeća ili sumnja na postojanje gastrointestinalne opstrukcije ili perforacije</w:t>
      </w:r>
      <w:r w:rsidR="005C0971" w:rsidRPr="00B46EA2">
        <w:rPr>
          <w:sz w:val="22"/>
          <w:szCs w:val="22"/>
          <w:lang w:val="sr-Latn-ME"/>
        </w:rPr>
        <w:t>,</w:t>
      </w:r>
    </w:p>
    <w:p w14:paraId="403E17E3" w14:textId="4FA52B10"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kod pacijenata sa rabdomiolizom, pošto laksativi mogu indukovati rabdomiolizu i tako pogoršaju stanje</w:t>
      </w:r>
      <w:r w:rsidR="005C0971" w:rsidRPr="00B46EA2">
        <w:rPr>
          <w:sz w:val="22"/>
          <w:szCs w:val="22"/>
          <w:lang w:val="sr-Latn-ME"/>
        </w:rPr>
        <w:t>,</w:t>
      </w:r>
      <w:r w:rsidRPr="00B46EA2">
        <w:rPr>
          <w:sz w:val="22"/>
          <w:szCs w:val="22"/>
          <w:lang w:val="sr-Latn-ME"/>
        </w:rPr>
        <w:t xml:space="preserve"> </w:t>
      </w:r>
    </w:p>
    <w:p w14:paraId="29272573" w14:textId="31465DCB"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kod pacijenata sa aktivnom inflamatornom bolešću crijeva (npr. Kronova bolest, ulcerozni kolitis)</w:t>
      </w:r>
      <w:r w:rsidR="005C0971" w:rsidRPr="00B46EA2">
        <w:rPr>
          <w:sz w:val="22"/>
          <w:szCs w:val="22"/>
          <w:lang w:val="sr-Latn-ME"/>
        </w:rPr>
        <w:t>,</w:t>
      </w:r>
      <w:r w:rsidRPr="00B46EA2">
        <w:rPr>
          <w:sz w:val="22"/>
          <w:szCs w:val="22"/>
          <w:lang w:val="sr-Latn-ME"/>
        </w:rPr>
        <w:t xml:space="preserve">  </w:t>
      </w:r>
    </w:p>
    <w:p w14:paraId="5DD47947" w14:textId="69A9E48F" w:rsidR="00A6040B" w:rsidRPr="00B46EA2" w:rsidRDefault="00A6040B" w:rsidP="00ED5466">
      <w:pPr>
        <w:numPr>
          <w:ilvl w:val="2"/>
          <w:numId w:val="13"/>
        </w:numPr>
        <w:tabs>
          <w:tab w:val="left" w:pos="540"/>
          <w:tab w:val="left" w:pos="569"/>
        </w:tabs>
        <w:ind w:left="426" w:hanging="284"/>
        <w:jc w:val="both"/>
        <w:rPr>
          <w:sz w:val="22"/>
          <w:szCs w:val="22"/>
          <w:lang w:val="sr-Latn-ME"/>
        </w:rPr>
      </w:pPr>
      <w:r w:rsidRPr="00B46EA2">
        <w:rPr>
          <w:sz w:val="22"/>
          <w:szCs w:val="22"/>
          <w:lang w:val="sr-Latn-ME"/>
        </w:rPr>
        <w:t>kod pacijenata sa ozbiljnim smanjenjem bubrežne funkcije, može doći do nakupljanja magnezijuma u plazmi. U tim slučajevima je potrebno koristiti druge preparate</w:t>
      </w:r>
      <w:r w:rsidR="005C0971" w:rsidRPr="00B46EA2">
        <w:rPr>
          <w:sz w:val="22"/>
          <w:szCs w:val="22"/>
          <w:lang w:val="sr-Latn-ME"/>
        </w:rPr>
        <w:t>.</w:t>
      </w:r>
    </w:p>
    <w:p w14:paraId="11D883EE" w14:textId="77777777" w:rsidR="0072020E" w:rsidRPr="00B46EA2" w:rsidRDefault="0072020E" w:rsidP="00480FB1">
      <w:pPr>
        <w:tabs>
          <w:tab w:val="left" w:pos="540"/>
          <w:tab w:val="left" w:pos="569"/>
        </w:tabs>
        <w:rPr>
          <w:bCs/>
          <w:sz w:val="22"/>
          <w:szCs w:val="22"/>
          <w:lang w:val="sr-Latn-ME"/>
        </w:rPr>
      </w:pPr>
    </w:p>
    <w:p w14:paraId="3A49EEB8" w14:textId="77777777" w:rsidR="00411B4B" w:rsidRPr="00B46EA2" w:rsidRDefault="00411B4B" w:rsidP="00480FB1">
      <w:pPr>
        <w:tabs>
          <w:tab w:val="left" w:pos="540"/>
          <w:tab w:val="left" w:pos="569"/>
        </w:tabs>
        <w:rPr>
          <w:b/>
          <w:bCs/>
          <w:sz w:val="22"/>
          <w:szCs w:val="22"/>
          <w:lang w:val="sr-Latn-ME"/>
        </w:rPr>
      </w:pPr>
      <w:r w:rsidRPr="00B46EA2">
        <w:rPr>
          <w:b/>
          <w:bCs/>
          <w:sz w:val="22"/>
          <w:szCs w:val="22"/>
          <w:lang w:val="sr-Latn-ME"/>
        </w:rPr>
        <w:t xml:space="preserve">4.4. </w:t>
      </w:r>
      <w:r w:rsidR="00480FB1" w:rsidRPr="00B46EA2">
        <w:rPr>
          <w:b/>
          <w:bCs/>
          <w:sz w:val="22"/>
          <w:szCs w:val="22"/>
          <w:lang w:val="sr-Latn-ME"/>
        </w:rPr>
        <w:tab/>
      </w:r>
      <w:r w:rsidRPr="00B46EA2">
        <w:rPr>
          <w:b/>
          <w:bCs/>
          <w:sz w:val="22"/>
          <w:szCs w:val="22"/>
          <w:lang w:val="sr-Latn-ME"/>
        </w:rPr>
        <w:t>Posebna upozorenja i mjere opreza pri upotrebi lijeka</w:t>
      </w:r>
    </w:p>
    <w:p w14:paraId="4157D798" w14:textId="77777777" w:rsidR="0072020E" w:rsidRPr="00B46EA2" w:rsidRDefault="0072020E" w:rsidP="00480FB1">
      <w:pPr>
        <w:tabs>
          <w:tab w:val="left" w:pos="540"/>
          <w:tab w:val="left" w:pos="569"/>
        </w:tabs>
        <w:rPr>
          <w:bCs/>
          <w:sz w:val="22"/>
          <w:szCs w:val="22"/>
          <w:lang w:val="sr-Latn-ME"/>
        </w:rPr>
      </w:pPr>
    </w:p>
    <w:p w14:paraId="506DD7FF"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Lijek CitraFleet ne trebа koristiti kаo rutinski lаksаtiv.</w:t>
      </w:r>
    </w:p>
    <w:p w14:paraId="21042E8D" w14:textId="77777777" w:rsidR="00586CDF" w:rsidRPr="00B46EA2" w:rsidRDefault="00586CDF" w:rsidP="00586CDF">
      <w:pPr>
        <w:tabs>
          <w:tab w:val="left" w:pos="540"/>
          <w:tab w:val="left" w:pos="569"/>
        </w:tabs>
        <w:rPr>
          <w:sz w:val="22"/>
          <w:szCs w:val="22"/>
          <w:lang w:val="sr-Latn-ME"/>
        </w:rPr>
      </w:pPr>
    </w:p>
    <w:p w14:paraId="387A93B1" w14:textId="0A73D9BA" w:rsidR="00586CDF" w:rsidRPr="00B46EA2" w:rsidRDefault="00586CDF" w:rsidP="00586CDF">
      <w:pPr>
        <w:tabs>
          <w:tab w:val="left" w:pos="540"/>
          <w:tab w:val="left" w:pos="569"/>
        </w:tabs>
        <w:jc w:val="both"/>
        <w:rPr>
          <w:sz w:val="22"/>
          <w:szCs w:val="22"/>
          <w:lang w:val="sr-Latn-ME"/>
        </w:rPr>
      </w:pPr>
      <w:r w:rsidRPr="00B46EA2">
        <w:rPr>
          <w:sz w:val="22"/>
          <w:szCs w:val="22"/>
          <w:lang w:val="sr-Latn-ME"/>
        </w:rPr>
        <w:t>Lijek CitraFleet r</w:t>
      </w:r>
      <w:r w:rsidR="005C0971" w:rsidRPr="00B46EA2">
        <w:rPr>
          <w:sz w:val="22"/>
          <w:szCs w:val="22"/>
          <w:lang w:val="sr-Latn-ME"/>
        </w:rPr>
        <w:t>ij</w:t>
      </w:r>
      <w:r w:rsidRPr="00B46EA2">
        <w:rPr>
          <w:sz w:val="22"/>
          <w:szCs w:val="22"/>
          <w:lang w:val="sr-Latn-ME"/>
        </w:rPr>
        <w:t>etko može dovesti do teških i potencijalno fatalnih slučajeva elektrolitnog disbalansa ili oštećenja funkcije bubrega kod slabih ili iscrpljenih pacijenata. Zato</w:t>
      </w:r>
      <w:r w:rsidR="00D34269">
        <w:rPr>
          <w:sz w:val="22"/>
          <w:szCs w:val="22"/>
          <w:lang w:val="sr-Latn-ME"/>
        </w:rPr>
        <w:t xml:space="preserve"> se</w:t>
      </w:r>
      <w:r w:rsidRPr="00B46EA2">
        <w:rPr>
          <w:sz w:val="22"/>
          <w:szCs w:val="22"/>
          <w:lang w:val="sr-Latn-ME"/>
        </w:rPr>
        <w:t xml:space="preserve"> odnos koristi i rizika primjene lijeka CitraFleet mora pažljivo razmotriti prije uvođenja terapije kod ove rizične populacije.</w:t>
      </w:r>
    </w:p>
    <w:p w14:paraId="5180B72E" w14:textId="77777777" w:rsidR="00586CDF" w:rsidRPr="00B46EA2" w:rsidRDefault="00586CDF" w:rsidP="00586CDF">
      <w:pPr>
        <w:tabs>
          <w:tab w:val="left" w:pos="540"/>
          <w:tab w:val="left" w:pos="569"/>
        </w:tabs>
        <w:rPr>
          <w:sz w:val="22"/>
          <w:szCs w:val="22"/>
          <w:lang w:val="sr-Latn-ME"/>
        </w:rPr>
      </w:pPr>
    </w:p>
    <w:p w14:paraId="52003D4C"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Poseban oprez je potreban pri propisivanju lijeka CitraFleet kod svih pacijenata, uzimajući u obzir kontraindikacije, i posebnu pažnju posvetiti važnosti adekvatne hidratacije i održavanju koncentracija elektrolita na početku i na kraju liječenja kod rizičnih populacija pacijenata (kao što je u daljem tekstu definisano).</w:t>
      </w:r>
    </w:p>
    <w:p w14:paraId="6E3C616D" w14:textId="77777777" w:rsidR="00586CDF" w:rsidRPr="00B46EA2" w:rsidRDefault="00586CDF" w:rsidP="00586CDF">
      <w:pPr>
        <w:tabs>
          <w:tab w:val="left" w:pos="540"/>
          <w:tab w:val="left" w:pos="569"/>
        </w:tabs>
        <w:rPr>
          <w:sz w:val="22"/>
          <w:szCs w:val="22"/>
          <w:lang w:val="sr-Latn-ME"/>
        </w:rPr>
      </w:pPr>
    </w:p>
    <w:p w14:paraId="1D72841E" w14:textId="1C72536A" w:rsidR="00586CDF" w:rsidRPr="00B46EA2" w:rsidRDefault="00586CDF" w:rsidP="00586CDF">
      <w:pPr>
        <w:tabs>
          <w:tab w:val="left" w:pos="540"/>
          <w:tab w:val="left" w:pos="569"/>
        </w:tabs>
        <w:rPr>
          <w:sz w:val="22"/>
          <w:szCs w:val="22"/>
          <w:lang w:val="sr-Latn-ME"/>
        </w:rPr>
      </w:pPr>
      <w:r w:rsidRPr="00B46EA2">
        <w:rPr>
          <w:sz w:val="22"/>
          <w:szCs w:val="22"/>
          <w:lang w:val="sr-Latn-ME"/>
        </w:rPr>
        <w:t>Poseban oprez može biti potreban kod starijih i iscrpljenih pacijenata, kao i kod pacijenata sa rizikom od hipokalemije ili hiponatremije.</w:t>
      </w:r>
    </w:p>
    <w:p w14:paraId="4D432D91" w14:textId="77777777" w:rsidR="00586CDF" w:rsidRPr="00B46EA2" w:rsidRDefault="00586CDF" w:rsidP="00586CDF">
      <w:pPr>
        <w:tabs>
          <w:tab w:val="left" w:pos="540"/>
          <w:tab w:val="left" w:pos="569"/>
        </w:tabs>
        <w:rPr>
          <w:sz w:val="22"/>
          <w:szCs w:val="22"/>
          <w:lang w:val="sr-Latn-ME"/>
        </w:rPr>
      </w:pPr>
    </w:p>
    <w:p w14:paraId="2537F622" w14:textId="7E98D6FC" w:rsidR="00586CDF" w:rsidRPr="00B46EA2" w:rsidRDefault="00586CDF" w:rsidP="00586CDF">
      <w:pPr>
        <w:tabs>
          <w:tab w:val="left" w:pos="540"/>
          <w:tab w:val="left" w:pos="569"/>
        </w:tabs>
        <w:jc w:val="both"/>
        <w:rPr>
          <w:sz w:val="22"/>
          <w:szCs w:val="22"/>
          <w:lang w:val="sr-Latn-ME"/>
        </w:rPr>
      </w:pPr>
      <w:r w:rsidRPr="00B46EA2">
        <w:rPr>
          <w:sz w:val="22"/>
          <w:szCs w:val="22"/>
          <w:lang w:val="sr-Latn-ME"/>
        </w:rPr>
        <w:t>Lijek CitraFleet treba koristiti sа oprezom kod pаcijenаtа sa hidro- i/ili elektrolitnim disbalansom i kod pacijenata koji uzimaju ljekove koji mogu uticаti nа hidro- i/ili elektrolitni disbalans npr. diuretici, kortikosteroidi,  litijum  (pogledati dio 4.5).</w:t>
      </w:r>
    </w:p>
    <w:p w14:paraId="6EEA43C0" w14:textId="77777777" w:rsidR="00586CDF" w:rsidRPr="00B46EA2" w:rsidRDefault="00586CDF" w:rsidP="00586CDF">
      <w:pPr>
        <w:tabs>
          <w:tab w:val="left" w:pos="540"/>
          <w:tab w:val="left" w:pos="569"/>
        </w:tabs>
        <w:jc w:val="both"/>
        <w:rPr>
          <w:sz w:val="22"/>
          <w:szCs w:val="22"/>
          <w:lang w:val="sr-Latn-ME"/>
        </w:rPr>
      </w:pPr>
    </w:p>
    <w:p w14:paraId="2C360EF1" w14:textId="5FAB293B" w:rsidR="00586CDF" w:rsidRPr="00B46EA2" w:rsidRDefault="00586CDF" w:rsidP="00586CDF">
      <w:pPr>
        <w:tabs>
          <w:tab w:val="left" w:pos="540"/>
          <w:tab w:val="left" w:pos="569"/>
        </w:tabs>
        <w:jc w:val="both"/>
        <w:rPr>
          <w:sz w:val="22"/>
          <w:szCs w:val="22"/>
          <w:lang w:val="sr-Latn-ME"/>
        </w:rPr>
      </w:pPr>
      <w:r w:rsidRPr="00B46EA2">
        <w:rPr>
          <w:sz w:val="22"/>
          <w:szCs w:val="22"/>
          <w:lang w:val="sr-Latn-ME"/>
        </w:rPr>
        <w:lastRenderedPageBreak/>
        <w:t>Oprez je potreban kod pacijenata sa nedavnom gastrointestinalnom hirurškom intervencijom ili kod pacijenata koji imaju oštećenu funkciju bubrega, blagu do um</w:t>
      </w:r>
      <w:r w:rsidR="005C0971" w:rsidRPr="00B46EA2">
        <w:rPr>
          <w:sz w:val="22"/>
          <w:szCs w:val="22"/>
          <w:lang w:val="sr-Latn-ME"/>
        </w:rPr>
        <w:t>j</w:t>
      </w:r>
      <w:r w:rsidRPr="00B46EA2">
        <w:rPr>
          <w:sz w:val="22"/>
          <w:szCs w:val="22"/>
          <w:lang w:val="sr-Latn-ME"/>
        </w:rPr>
        <w:t>erenu dehidrataciju, hipotenziju ili srčano oboljenje. Period za pročišćavanje crijevа ne trebа dа prelаzi 24 sаta, jer duže pripreme mogu povećа</w:t>
      </w:r>
      <w:r w:rsidR="00D34269">
        <w:rPr>
          <w:sz w:val="22"/>
          <w:szCs w:val="22"/>
          <w:lang w:val="sr-Latn-ME"/>
        </w:rPr>
        <w:t>ti</w:t>
      </w:r>
      <w:r w:rsidRPr="00B46EA2">
        <w:rPr>
          <w:sz w:val="22"/>
          <w:szCs w:val="22"/>
          <w:lang w:val="sr-Latn-ME"/>
        </w:rPr>
        <w:t xml:space="preserve"> rizik od nastanka disbalansa tečnosti i elektrolitа.</w:t>
      </w:r>
    </w:p>
    <w:p w14:paraId="30E8067F" w14:textId="77777777" w:rsidR="00586CDF" w:rsidRPr="00B46EA2" w:rsidRDefault="00586CDF" w:rsidP="00586CDF">
      <w:pPr>
        <w:tabs>
          <w:tab w:val="left" w:pos="540"/>
          <w:tab w:val="left" w:pos="569"/>
        </w:tabs>
        <w:rPr>
          <w:sz w:val="22"/>
          <w:szCs w:val="22"/>
          <w:lang w:val="sr-Latn-ME"/>
        </w:rPr>
      </w:pPr>
    </w:p>
    <w:p w14:paraId="504E12E6" w14:textId="3CFAC0B0" w:rsidR="00586CDF" w:rsidRPr="00B46EA2" w:rsidRDefault="00586CDF" w:rsidP="00586CDF">
      <w:pPr>
        <w:tabs>
          <w:tab w:val="left" w:pos="540"/>
          <w:tab w:val="left" w:pos="569"/>
        </w:tabs>
        <w:jc w:val="both"/>
        <w:rPr>
          <w:sz w:val="22"/>
          <w:szCs w:val="22"/>
          <w:lang w:val="sr-Latn-ME"/>
        </w:rPr>
      </w:pPr>
      <w:r w:rsidRPr="00B46EA2">
        <w:rPr>
          <w:sz w:val="22"/>
          <w:szCs w:val="22"/>
          <w:lang w:val="sr-Latn-ME"/>
        </w:rPr>
        <w:t>Dijareja koja se javlja zbog efekta evakuacije cr</w:t>
      </w:r>
      <w:r w:rsidR="005C0971" w:rsidRPr="00B46EA2">
        <w:rPr>
          <w:sz w:val="22"/>
          <w:szCs w:val="22"/>
          <w:lang w:val="sr-Latn-ME"/>
        </w:rPr>
        <w:t>ij</w:t>
      </w:r>
      <w:r w:rsidRPr="00B46EA2">
        <w:rPr>
          <w:sz w:val="22"/>
          <w:szCs w:val="22"/>
          <w:lang w:val="sr-Latn-ME"/>
        </w:rPr>
        <w:t>evnog sadržaja lijekom CitraFleet, može da rezultira gubitkom tečnosti i elektrolita, hipovolemijom i hipotenzijom. Dodatno, vazovagusni refleks može biti posl</w:t>
      </w:r>
      <w:r w:rsidR="00B52419" w:rsidRPr="00B46EA2">
        <w:rPr>
          <w:sz w:val="22"/>
          <w:szCs w:val="22"/>
          <w:lang w:val="sr-Latn-ME"/>
        </w:rPr>
        <w:t>j</w:t>
      </w:r>
      <w:r w:rsidRPr="00B46EA2">
        <w:rPr>
          <w:sz w:val="22"/>
          <w:szCs w:val="22"/>
          <w:lang w:val="sr-Latn-ME"/>
        </w:rPr>
        <w:t>edica stomačnog stimulusa, npr. bol, koji može dovesti do sniženog krvnog pritiska i gubitka sv</w:t>
      </w:r>
      <w:r w:rsidR="00D34269">
        <w:rPr>
          <w:sz w:val="22"/>
          <w:szCs w:val="22"/>
          <w:lang w:val="sr-Latn-ME"/>
        </w:rPr>
        <w:t>ij</w:t>
      </w:r>
      <w:r w:rsidRPr="00B46EA2">
        <w:rPr>
          <w:sz w:val="22"/>
          <w:szCs w:val="22"/>
          <w:lang w:val="sr-Latn-ME"/>
        </w:rPr>
        <w:t>esti. Potreban je odgovarajući unos bistrih tečnosti (pogledati dio 4.2.).</w:t>
      </w:r>
    </w:p>
    <w:p w14:paraId="5E37D672" w14:textId="77777777" w:rsidR="00586CDF" w:rsidRPr="00B46EA2" w:rsidRDefault="00586CDF" w:rsidP="00586CDF">
      <w:pPr>
        <w:tabs>
          <w:tab w:val="left" w:pos="540"/>
          <w:tab w:val="left" w:pos="569"/>
        </w:tabs>
        <w:jc w:val="both"/>
        <w:rPr>
          <w:sz w:val="22"/>
          <w:szCs w:val="22"/>
          <w:lang w:val="sr-Latn-ME"/>
        </w:rPr>
      </w:pPr>
    </w:p>
    <w:p w14:paraId="1F2ACBE7" w14:textId="6877C814" w:rsidR="00586CDF" w:rsidRPr="00B46EA2" w:rsidRDefault="00586CDF" w:rsidP="00586CDF">
      <w:pPr>
        <w:tabs>
          <w:tab w:val="left" w:pos="540"/>
          <w:tab w:val="left" w:pos="569"/>
        </w:tabs>
        <w:jc w:val="both"/>
        <w:rPr>
          <w:sz w:val="22"/>
          <w:szCs w:val="22"/>
          <w:lang w:val="sr-Latn-ME"/>
        </w:rPr>
      </w:pPr>
      <w:r w:rsidRPr="00B46EA2">
        <w:rPr>
          <w:sz w:val="22"/>
          <w:szCs w:val="22"/>
          <w:lang w:val="sr-Latn-ME"/>
        </w:rPr>
        <w:t>Lijek CitraFleet može modifikovаti resorpciju orаlno prim</w:t>
      </w:r>
      <w:r w:rsidR="00A73640">
        <w:rPr>
          <w:sz w:val="22"/>
          <w:szCs w:val="22"/>
          <w:lang w:val="sr-Latn-ME"/>
        </w:rPr>
        <w:t>i</w:t>
      </w:r>
      <w:r w:rsidRPr="00B46EA2">
        <w:rPr>
          <w:sz w:val="22"/>
          <w:szCs w:val="22"/>
          <w:lang w:val="sr-Latn-ME"/>
        </w:rPr>
        <w:t>jenjenih ljekova i trebа dа se koristi sа oprezom; npr. zab</w:t>
      </w:r>
      <w:r w:rsidR="00B52419" w:rsidRPr="00B46EA2">
        <w:rPr>
          <w:sz w:val="22"/>
          <w:szCs w:val="22"/>
          <w:lang w:val="sr-Latn-ME"/>
        </w:rPr>
        <w:t>ilje</w:t>
      </w:r>
      <w:r w:rsidRPr="00B46EA2">
        <w:rPr>
          <w:sz w:val="22"/>
          <w:szCs w:val="22"/>
          <w:lang w:val="sr-Latn-ME"/>
        </w:rPr>
        <w:t>ženi su izolovani slučajevi epileptičnih nаpаdа kod pacijenata koji su uzimali аntiepileptike, sa prethodno kontrolisаnom epilepsijom (pogledati djelove 4.5 i 4.8).</w:t>
      </w:r>
    </w:p>
    <w:p w14:paraId="47DD1364" w14:textId="77777777" w:rsidR="00586CDF" w:rsidRPr="00B46EA2" w:rsidRDefault="00586CDF" w:rsidP="00586CDF">
      <w:pPr>
        <w:tabs>
          <w:tab w:val="left" w:pos="540"/>
          <w:tab w:val="left" w:pos="569"/>
        </w:tabs>
        <w:jc w:val="both"/>
        <w:rPr>
          <w:sz w:val="22"/>
          <w:szCs w:val="22"/>
          <w:lang w:val="sr-Latn-ME"/>
        </w:rPr>
      </w:pPr>
    </w:p>
    <w:p w14:paraId="073DBF32" w14:textId="59F76CAB" w:rsidR="00586CDF" w:rsidRPr="00B46EA2" w:rsidRDefault="00586CDF" w:rsidP="00586CDF">
      <w:pPr>
        <w:tabs>
          <w:tab w:val="left" w:pos="540"/>
          <w:tab w:val="left" w:pos="569"/>
        </w:tabs>
        <w:jc w:val="both"/>
        <w:rPr>
          <w:sz w:val="22"/>
          <w:szCs w:val="22"/>
          <w:lang w:val="sr-Latn-ME"/>
        </w:rPr>
      </w:pPr>
      <w:r w:rsidRPr="00B46EA2">
        <w:rPr>
          <w:sz w:val="22"/>
          <w:szCs w:val="22"/>
          <w:lang w:val="sr-Latn-ME"/>
        </w:rPr>
        <w:t>Lijek CitraFleet može izazvati aftoidne ulceracije sluzokože debelog crijeva, a zab</w:t>
      </w:r>
      <w:r w:rsidR="00B52419" w:rsidRPr="00B46EA2">
        <w:rPr>
          <w:sz w:val="22"/>
          <w:szCs w:val="22"/>
          <w:lang w:val="sr-Latn-ME"/>
        </w:rPr>
        <w:t>ilje</w:t>
      </w:r>
      <w:r w:rsidRPr="00B46EA2">
        <w:rPr>
          <w:sz w:val="22"/>
          <w:szCs w:val="22"/>
          <w:lang w:val="sr-Latn-ME"/>
        </w:rPr>
        <w:t>ženi su i ozbiljni slučajevi kolitisa (uključujući ishemijski kolitis), koji su zaht</w:t>
      </w:r>
      <w:r w:rsidR="00B52419" w:rsidRPr="00B46EA2">
        <w:rPr>
          <w:sz w:val="22"/>
          <w:szCs w:val="22"/>
          <w:lang w:val="sr-Latn-ME"/>
        </w:rPr>
        <w:t>ij</w:t>
      </w:r>
      <w:r w:rsidRPr="00B46EA2">
        <w:rPr>
          <w:sz w:val="22"/>
          <w:szCs w:val="22"/>
          <w:lang w:val="sr-Latn-ME"/>
        </w:rPr>
        <w:t>evali hospitalizaciju. Kao rezultat toga, ovu dijagnozu treba razmotriti u slučaju jakog i/ili dugotrajnog bola u stomaku, sa ili bez rektalnog krvarenja, nakon prim</w:t>
      </w:r>
      <w:r w:rsidR="0099777C">
        <w:rPr>
          <w:sz w:val="22"/>
          <w:szCs w:val="22"/>
          <w:lang w:val="sr-Latn-ME"/>
        </w:rPr>
        <w:t>j</w:t>
      </w:r>
      <w:r w:rsidRPr="00B46EA2">
        <w:rPr>
          <w:sz w:val="22"/>
          <w:szCs w:val="22"/>
          <w:lang w:val="sr-Latn-ME"/>
        </w:rPr>
        <w:t>ene lijeka CitraFleet.</w:t>
      </w:r>
    </w:p>
    <w:p w14:paraId="66DC88CD" w14:textId="77777777" w:rsidR="00586CDF" w:rsidRPr="00B46EA2" w:rsidRDefault="00586CDF" w:rsidP="00586CDF">
      <w:pPr>
        <w:tabs>
          <w:tab w:val="left" w:pos="540"/>
          <w:tab w:val="left" w:pos="569"/>
        </w:tabs>
        <w:jc w:val="both"/>
        <w:rPr>
          <w:sz w:val="22"/>
          <w:szCs w:val="22"/>
          <w:lang w:val="sr-Latn-ME"/>
        </w:rPr>
      </w:pPr>
    </w:p>
    <w:p w14:paraId="3578FDAF" w14:textId="68F6BF28" w:rsidR="00586CDF" w:rsidRPr="00B46EA2" w:rsidRDefault="00586CDF" w:rsidP="00586CDF">
      <w:pPr>
        <w:tabs>
          <w:tab w:val="left" w:pos="540"/>
          <w:tab w:val="left" w:pos="569"/>
        </w:tabs>
        <w:jc w:val="both"/>
        <w:rPr>
          <w:sz w:val="22"/>
          <w:szCs w:val="22"/>
          <w:lang w:val="sr-Latn-ME"/>
        </w:rPr>
      </w:pPr>
      <w:r w:rsidRPr="00B46EA2">
        <w:rPr>
          <w:sz w:val="22"/>
          <w:szCs w:val="22"/>
          <w:lang w:val="sr-Latn-ME"/>
        </w:rPr>
        <w:t>Ovаj lijek sаdrži 5 mmol (ili 195 mg) kаlijumа po kesici. Savetuje se poseban oprez prilikom upotrebe kod pacijenata sa smanjenom funkcijom bubrega ili kod pacijenata koji su na dijeti u kojoj se kontroliše unos kalijuma.</w:t>
      </w:r>
    </w:p>
    <w:p w14:paraId="7DA8FAE9" w14:textId="77777777" w:rsidR="00586CDF" w:rsidRPr="00B46EA2" w:rsidRDefault="00586CDF" w:rsidP="00586CDF">
      <w:pPr>
        <w:tabs>
          <w:tab w:val="left" w:pos="540"/>
          <w:tab w:val="left" w:pos="569"/>
        </w:tabs>
        <w:rPr>
          <w:sz w:val="22"/>
          <w:szCs w:val="22"/>
          <w:lang w:val="sr-Latn-ME"/>
        </w:rPr>
      </w:pPr>
    </w:p>
    <w:p w14:paraId="61F6B862" w14:textId="383F5C36" w:rsidR="00057E35" w:rsidRPr="00B46EA2" w:rsidRDefault="00586CDF" w:rsidP="00586CDF">
      <w:pPr>
        <w:tabs>
          <w:tab w:val="left" w:pos="540"/>
          <w:tab w:val="left" w:pos="569"/>
        </w:tabs>
        <w:jc w:val="both"/>
        <w:rPr>
          <w:sz w:val="22"/>
          <w:szCs w:val="22"/>
          <w:lang w:val="sr-Latn-ME"/>
        </w:rPr>
      </w:pPr>
      <w:r w:rsidRPr="00B46EA2">
        <w:rPr>
          <w:sz w:val="22"/>
          <w:szCs w:val="22"/>
          <w:lang w:val="sr-Latn-ME"/>
        </w:rPr>
        <w:t>Ovaj lijek sadrži manje od 1 mmol natrijuma (23 mg) po kesici, tj. suštinski je bez natrijuma.</w:t>
      </w:r>
    </w:p>
    <w:p w14:paraId="510C8375" w14:textId="77777777" w:rsidR="00057E35" w:rsidRPr="00B46EA2" w:rsidRDefault="00057E35" w:rsidP="00480FB1">
      <w:pPr>
        <w:tabs>
          <w:tab w:val="left" w:pos="540"/>
          <w:tab w:val="left" w:pos="569"/>
        </w:tabs>
        <w:rPr>
          <w:bCs/>
          <w:sz w:val="22"/>
          <w:szCs w:val="22"/>
          <w:lang w:val="sr-Latn-ME"/>
        </w:rPr>
      </w:pPr>
    </w:p>
    <w:p w14:paraId="681C0302" w14:textId="77777777" w:rsidR="00411B4B" w:rsidRPr="00B46EA2" w:rsidRDefault="00411B4B" w:rsidP="00480FB1">
      <w:pPr>
        <w:tabs>
          <w:tab w:val="left" w:pos="540"/>
          <w:tab w:val="left" w:pos="569"/>
        </w:tabs>
        <w:rPr>
          <w:b/>
          <w:bCs/>
          <w:sz w:val="22"/>
          <w:szCs w:val="22"/>
          <w:lang w:val="sr-Latn-ME"/>
        </w:rPr>
      </w:pPr>
      <w:r w:rsidRPr="00B46EA2">
        <w:rPr>
          <w:b/>
          <w:bCs/>
          <w:sz w:val="22"/>
          <w:szCs w:val="22"/>
          <w:lang w:val="sr-Latn-ME"/>
        </w:rPr>
        <w:t>4.5.</w:t>
      </w:r>
      <w:r w:rsidR="000D60CC" w:rsidRPr="00B46EA2">
        <w:rPr>
          <w:b/>
          <w:bCs/>
          <w:sz w:val="22"/>
          <w:szCs w:val="22"/>
          <w:lang w:val="sr-Latn-ME"/>
        </w:rPr>
        <w:tab/>
      </w:r>
      <w:r w:rsidRPr="00B46EA2">
        <w:rPr>
          <w:b/>
          <w:bCs/>
          <w:sz w:val="22"/>
          <w:szCs w:val="22"/>
          <w:lang w:val="sr-Latn-ME"/>
        </w:rPr>
        <w:t>Interakcije sa drugim ljekovima i druge vrste interakcija</w:t>
      </w:r>
    </w:p>
    <w:p w14:paraId="1D0BF2B7" w14:textId="77777777" w:rsidR="00586CDF" w:rsidRPr="00B46EA2" w:rsidRDefault="00586CDF" w:rsidP="00480FB1">
      <w:pPr>
        <w:tabs>
          <w:tab w:val="left" w:pos="540"/>
          <w:tab w:val="left" w:pos="569"/>
        </w:tabs>
        <w:rPr>
          <w:b/>
          <w:bCs/>
          <w:sz w:val="22"/>
          <w:szCs w:val="22"/>
          <w:lang w:val="sr-Latn-ME"/>
        </w:rPr>
      </w:pPr>
    </w:p>
    <w:p w14:paraId="2989FAAC" w14:textId="0EB011C7" w:rsidR="00586CDF" w:rsidRPr="00B46EA2" w:rsidRDefault="00586CDF" w:rsidP="00586CDF">
      <w:pPr>
        <w:tabs>
          <w:tab w:val="left" w:pos="540"/>
          <w:tab w:val="left" w:pos="569"/>
        </w:tabs>
        <w:jc w:val="both"/>
        <w:rPr>
          <w:sz w:val="22"/>
          <w:szCs w:val="22"/>
          <w:lang w:val="sr-Latn-ME"/>
        </w:rPr>
      </w:pPr>
      <w:r w:rsidRPr="00B46EA2">
        <w:rPr>
          <w:sz w:val="22"/>
          <w:szCs w:val="22"/>
          <w:lang w:val="sr-Latn-ME"/>
        </w:rPr>
        <w:t>Kao laksativ, lijek CitraFleet povećava stepen pražnjenja crijeva. Zbog toga se resorpcija oralno prim</w:t>
      </w:r>
      <w:r w:rsidR="00923DBF" w:rsidRPr="00B46EA2">
        <w:rPr>
          <w:sz w:val="22"/>
          <w:szCs w:val="22"/>
          <w:lang w:val="sr-Latn-ME"/>
        </w:rPr>
        <w:t>i</w:t>
      </w:r>
      <w:r w:rsidRPr="00B46EA2">
        <w:rPr>
          <w:sz w:val="22"/>
          <w:szCs w:val="22"/>
          <w:lang w:val="sr-Latn-ME"/>
        </w:rPr>
        <w:t>jenjenih ljekova (npr. antiepileptici, kontraceptivi, antidijabetici, antibiotici) tokom trajanja terapije može prom</w:t>
      </w:r>
      <w:r w:rsidR="00B52419" w:rsidRPr="00B46EA2">
        <w:rPr>
          <w:sz w:val="22"/>
          <w:szCs w:val="22"/>
          <w:lang w:val="sr-Latn-ME"/>
        </w:rPr>
        <w:t>ij</w:t>
      </w:r>
      <w:r w:rsidRPr="00B46EA2">
        <w:rPr>
          <w:sz w:val="22"/>
          <w:szCs w:val="22"/>
          <w:lang w:val="sr-Latn-ME"/>
        </w:rPr>
        <w:t>eniti (pogledati dio 4.4). Tetracikline, fluorohinolonske antibotike i penicilamin treba uzeti najmanje 2 sata prije i ne manje od 6 sati nakon primjene lijeka CitraFleet kako bi se izb</w:t>
      </w:r>
      <w:r w:rsidR="00B52419" w:rsidRPr="00B46EA2">
        <w:rPr>
          <w:sz w:val="22"/>
          <w:szCs w:val="22"/>
          <w:lang w:val="sr-Latn-ME"/>
        </w:rPr>
        <w:t>j</w:t>
      </w:r>
      <w:r w:rsidRPr="00B46EA2">
        <w:rPr>
          <w:sz w:val="22"/>
          <w:szCs w:val="22"/>
          <w:lang w:val="sr-Latn-ME"/>
        </w:rPr>
        <w:t>eglo formiranje helata sa magnezijumom.</w:t>
      </w:r>
    </w:p>
    <w:p w14:paraId="2D625B52" w14:textId="77777777" w:rsidR="00586CDF" w:rsidRPr="00B46EA2" w:rsidRDefault="00586CDF" w:rsidP="00586CDF">
      <w:pPr>
        <w:tabs>
          <w:tab w:val="left" w:pos="540"/>
          <w:tab w:val="left" w:pos="569"/>
        </w:tabs>
        <w:jc w:val="both"/>
        <w:rPr>
          <w:sz w:val="22"/>
          <w:szCs w:val="22"/>
          <w:lang w:val="sr-Latn-ME"/>
        </w:rPr>
      </w:pPr>
    </w:p>
    <w:p w14:paraId="31563387"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Efikasnost lijeka CitraFleet se smanjuje ukoliko se primjenjuje istovremeno sa laksativima koji povećavaju zapreminu fecesa.</w:t>
      </w:r>
    </w:p>
    <w:p w14:paraId="53039A9B" w14:textId="77777777" w:rsidR="00586CDF" w:rsidRPr="00B46EA2" w:rsidRDefault="00586CDF" w:rsidP="00586CDF">
      <w:pPr>
        <w:tabs>
          <w:tab w:val="left" w:pos="540"/>
          <w:tab w:val="left" w:pos="569"/>
        </w:tabs>
        <w:jc w:val="both"/>
        <w:rPr>
          <w:sz w:val="22"/>
          <w:szCs w:val="22"/>
          <w:lang w:val="sr-Latn-ME"/>
        </w:rPr>
      </w:pPr>
    </w:p>
    <w:p w14:paraId="1ADCF404" w14:textId="77E5AE31" w:rsidR="00586CDF" w:rsidRPr="00B46EA2" w:rsidRDefault="00586CDF" w:rsidP="00586CDF">
      <w:pPr>
        <w:tabs>
          <w:tab w:val="left" w:pos="540"/>
          <w:tab w:val="left" w:pos="569"/>
        </w:tabs>
        <w:jc w:val="both"/>
        <w:rPr>
          <w:b/>
          <w:bCs/>
          <w:sz w:val="22"/>
          <w:szCs w:val="22"/>
          <w:lang w:val="sr-Latn-ME"/>
        </w:rPr>
      </w:pPr>
      <w:r w:rsidRPr="00B46EA2">
        <w:rPr>
          <w:sz w:val="22"/>
          <w:szCs w:val="22"/>
          <w:lang w:val="sr-Latn-ME"/>
        </w:rPr>
        <w:t>Potreban je oprez kod pacijenata koji već primaju ljekove koji mogu da izazovu hipokalemiju (kao što su diuretici ili kortikosteroidi, ili drugi ljekovi kod kojih je nastanak hipokalemije poseban rizik, npr. kardiotonični glikozidi). Oprez je takođe potreban kod pacijenata koji lijek Citra Fleet koriste istovremeno sa nesteroidnim antiinflamatornim l</w:t>
      </w:r>
      <w:r w:rsidR="00A73640">
        <w:rPr>
          <w:sz w:val="22"/>
          <w:szCs w:val="22"/>
          <w:lang w:val="sr-Latn-ME"/>
        </w:rPr>
        <w:t>j</w:t>
      </w:r>
      <w:r w:rsidRPr="00B46EA2">
        <w:rPr>
          <w:sz w:val="22"/>
          <w:szCs w:val="22"/>
          <w:lang w:val="sr-Latn-ME"/>
        </w:rPr>
        <w:t>ekovima (NSAIL) ili drugim ljekovima za koje je poznato da mogu da dovedu do SIDAH (sindrom poremećaja lučenja antidiuretskog hormona), npr. triciklični antidepresivi, selektivni inhibitori preuzimanja serotonina, antipsihotici i karbamazepin, pošto ovi ljekovi mogu povećati rizik od retencije tečnosti i/ili nastanka elektrolitnog disbalansa.</w:t>
      </w:r>
    </w:p>
    <w:p w14:paraId="15AC45F6" w14:textId="77777777" w:rsidR="0072020E" w:rsidRPr="00B46EA2" w:rsidRDefault="0072020E" w:rsidP="00480FB1">
      <w:pPr>
        <w:tabs>
          <w:tab w:val="left" w:pos="540"/>
          <w:tab w:val="left" w:pos="569"/>
        </w:tabs>
        <w:rPr>
          <w:bCs/>
          <w:sz w:val="22"/>
          <w:szCs w:val="22"/>
          <w:lang w:val="sr-Latn-ME"/>
        </w:rPr>
      </w:pPr>
    </w:p>
    <w:p w14:paraId="0D04A6DE" w14:textId="77777777" w:rsidR="0072020E" w:rsidRPr="00B46EA2" w:rsidRDefault="0072020E" w:rsidP="00480FB1">
      <w:pPr>
        <w:tabs>
          <w:tab w:val="left" w:pos="540"/>
          <w:tab w:val="left" w:pos="569"/>
        </w:tabs>
        <w:rPr>
          <w:b/>
          <w:sz w:val="22"/>
          <w:szCs w:val="22"/>
          <w:lang w:val="sr-Latn-ME"/>
        </w:rPr>
      </w:pPr>
      <w:r w:rsidRPr="00B46EA2">
        <w:rPr>
          <w:b/>
          <w:bCs/>
          <w:sz w:val="22"/>
          <w:szCs w:val="22"/>
          <w:lang w:val="sr-Latn-ME"/>
        </w:rPr>
        <w:t xml:space="preserve">4.6. </w:t>
      </w:r>
      <w:r w:rsidR="00480FB1" w:rsidRPr="00B46EA2">
        <w:rPr>
          <w:b/>
          <w:bCs/>
          <w:sz w:val="22"/>
          <w:szCs w:val="22"/>
          <w:lang w:val="sr-Latn-ME"/>
        </w:rPr>
        <w:tab/>
      </w:r>
      <w:r w:rsidR="006D20A5" w:rsidRPr="00B46EA2">
        <w:rPr>
          <w:b/>
          <w:sz w:val="22"/>
          <w:szCs w:val="22"/>
          <w:lang w:val="sr-Latn-ME"/>
        </w:rPr>
        <w:t>Plodnost, trudnoća i dojenje</w:t>
      </w:r>
    </w:p>
    <w:p w14:paraId="0682447B" w14:textId="77777777" w:rsidR="002031B3" w:rsidRPr="00B46EA2" w:rsidRDefault="002031B3" w:rsidP="00480FB1">
      <w:pPr>
        <w:tabs>
          <w:tab w:val="left" w:pos="540"/>
          <w:tab w:val="left" w:pos="569"/>
        </w:tabs>
        <w:rPr>
          <w:sz w:val="22"/>
          <w:szCs w:val="22"/>
          <w:u w:val="single"/>
          <w:lang w:val="sr-Latn-ME"/>
        </w:rPr>
      </w:pPr>
    </w:p>
    <w:p w14:paraId="5E949818" w14:textId="77777777" w:rsidR="00586CDF" w:rsidRPr="00B46EA2" w:rsidRDefault="00586CDF" w:rsidP="00586CDF">
      <w:pPr>
        <w:tabs>
          <w:tab w:val="left" w:pos="540"/>
          <w:tab w:val="left" w:pos="569"/>
        </w:tabs>
        <w:rPr>
          <w:sz w:val="22"/>
          <w:szCs w:val="22"/>
          <w:u w:val="single"/>
          <w:lang w:val="sr-Latn-ME"/>
        </w:rPr>
      </w:pPr>
      <w:r w:rsidRPr="00B46EA2">
        <w:rPr>
          <w:sz w:val="22"/>
          <w:szCs w:val="22"/>
          <w:u w:val="single"/>
          <w:lang w:val="sr-Latn-ME"/>
        </w:rPr>
        <w:t>Trudnoća</w:t>
      </w:r>
    </w:p>
    <w:p w14:paraId="059BB307" w14:textId="064B42AC" w:rsidR="00586CDF" w:rsidRPr="00B46EA2" w:rsidRDefault="00586CDF" w:rsidP="00586CDF">
      <w:pPr>
        <w:tabs>
          <w:tab w:val="left" w:pos="540"/>
          <w:tab w:val="left" w:pos="569"/>
        </w:tabs>
        <w:jc w:val="both"/>
        <w:rPr>
          <w:sz w:val="22"/>
          <w:szCs w:val="22"/>
          <w:lang w:val="sr-Latn-ME"/>
        </w:rPr>
      </w:pPr>
      <w:r w:rsidRPr="00B46EA2">
        <w:rPr>
          <w:sz w:val="22"/>
          <w:szCs w:val="22"/>
          <w:lang w:val="sr-Latn-ME"/>
        </w:rPr>
        <w:t>Klinički podaci za lijek CitraFleet, koji se odnose na izloženost trudnica lijeku kao i podaci koji se tiču reproduktivne toksičnosti, ni</w:t>
      </w:r>
      <w:r w:rsidR="00923DBF" w:rsidRPr="00B46EA2">
        <w:rPr>
          <w:sz w:val="22"/>
          <w:szCs w:val="22"/>
          <w:lang w:val="sr-Latn-ME"/>
        </w:rPr>
        <w:t>je</w:t>
      </w:r>
      <w:r w:rsidRPr="00B46EA2">
        <w:rPr>
          <w:sz w:val="22"/>
          <w:szCs w:val="22"/>
          <w:lang w:val="sr-Latn-ME"/>
        </w:rPr>
        <w:t>su dostupni. Kako je natrijum</w:t>
      </w:r>
      <w:r w:rsidR="00BD6A96">
        <w:rPr>
          <w:sz w:val="22"/>
          <w:szCs w:val="22"/>
          <w:lang w:val="sr-Latn-ME"/>
        </w:rPr>
        <w:t xml:space="preserve"> </w:t>
      </w:r>
      <w:r w:rsidRPr="00B46EA2">
        <w:rPr>
          <w:sz w:val="22"/>
          <w:szCs w:val="22"/>
          <w:lang w:val="sr-Latn-ME"/>
        </w:rPr>
        <w:t>pikosulfat stimulativni laksativ, zbog bezbjednosti, preporučuje se izb</w:t>
      </w:r>
      <w:r w:rsidR="00923DBF" w:rsidRPr="00B46EA2">
        <w:rPr>
          <w:sz w:val="22"/>
          <w:szCs w:val="22"/>
          <w:lang w:val="sr-Latn-ME"/>
        </w:rPr>
        <w:t>j</w:t>
      </w:r>
      <w:r w:rsidRPr="00B46EA2">
        <w:rPr>
          <w:sz w:val="22"/>
          <w:szCs w:val="22"/>
          <w:lang w:val="sr-Latn-ME"/>
        </w:rPr>
        <w:t xml:space="preserve">egavanje lijeka CitraFleet tokom trudnoće. </w:t>
      </w:r>
    </w:p>
    <w:p w14:paraId="412FD302" w14:textId="77777777" w:rsidR="00586CDF" w:rsidRPr="00B46EA2" w:rsidRDefault="00586CDF" w:rsidP="00586CDF">
      <w:pPr>
        <w:tabs>
          <w:tab w:val="left" w:pos="540"/>
          <w:tab w:val="left" w:pos="569"/>
        </w:tabs>
        <w:jc w:val="both"/>
        <w:rPr>
          <w:sz w:val="22"/>
          <w:szCs w:val="22"/>
          <w:u w:val="single"/>
          <w:lang w:val="sr-Latn-ME"/>
        </w:rPr>
      </w:pPr>
    </w:p>
    <w:p w14:paraId="62BEC7CB" w14:textId="77777777" w:rsidR="00586CDF" w:rsidRPr="00B46EA2" w:rsidRDefault="00586CDF" w:rsidP="00586CDF">
      <w:pPr>
        <w:tabs>
          <w:tab w:val="left" w:pos="540"/>
          <w:tab w:val="left" w:pos="569"/>
        </w:tabs>
        <w:jc w:val="both"/>
        <w:rPr>
          <w:sz w:val="22"/>
          <w:szCs w:val="22"/>
          <w:lang w:val="sr-Latn-ME"/>
        </w:rPr>
      </w:pPr>
      <w:r w:rsidRPr="00B46EA2">
        <w:rPr>
          <w:sz w:val="22"/>
          <w:szCs w:val="22"/>
          <w:u w:val="single"/>
          <w:lang w:val="sr-Latn-ME"/>
        </w:rPr>
        <w:t>Dojenje</w:t>
      </w:r>
      <w:r w:rsidRPr="00B46EA2">
        <w:rPr>
          <w:sz w:val="22"/>
          <w:szCs w:val="22"/>
          <w:lang w:val="sr-Latn-ME"/>
        </w:rPr>
        <w:t xml:space="preserve"> </w:t>
      </w:r>
    </w:p>
    <w:p w14:paraId="4B4EF62E" w14:textId="5DE428C1" w:rsidR="00586CDF" w:rsidRPr="00B46EA2" w:rsidRDefault="00586CDF" w:rsidP="00586CDF">
      <w:pPr>
        <w:tabs>
          <w:tab w:val="left" w:pos="540"/>
          <w:tab w:val="left" w:pos="569"/>
        </w:tabs>
        <w:jc w:val="both"/>
        <w:rPr>
          <w:sz w:val="22"/>
          <w:szCs w:val="22"/>
          <w:lang w:val="sr-Latn-ME"/>
        </w:rPr>
      </w:pPr>
      <w:r w:rsidRPr="00B46EA2">
        <w:rPr>
          <w:sz w:val="22"/>
          <w:szCs w:val="22"/>
          <w:lang w:val="sr-Latn-ME"/>
        </w:rPr>
        <w:t xml:space="preserve">Ne postoji iskustvo sa </w:t>
      </w:r>
      <w:r w:rsidR="001D5DB4">
        <w:rPr>
          <w:sz w:val="22"/>
          <w:szCs w:val="22"/>
          <w:lang w:val="sr-Latn-ME"/>
        </w:rPr>
        <w:t>primjenom</w:t>
      </w:r>
      <w:r w:rsidRPr="00B46EA2">
        <w:rPr>
          <w:sz w:val="22"/>
          <w:szCs w:val="22"/>
          <w:lang w:val="sr-Latn-ME"/>
        </w:rPr>
        <w:t xml:space="preserve"> lijeka CitraFleet kod dojilja. Međutim, zbog farmakokinetičkih svojstava aktivnih supstanci, upotreba lijeka CitraFleet kod žena koje doje može se razmotriti.</w:t>
      </w:r>
    </w:p>
    <w:p w14:paraId="7072F674" w14:textId="3BAB9576" w:rsidR="00586CDF" w:rsidRDefault="00586CDF" w:rsidP="00586CDF">
      <w:pPr>
        <w:tabs>
          <w:tab w:val="left" w:pos="540"/>
          <w:tab w:val="left" w:pos="569"/>
        </w:tabs>
        <w:jc w:val="both"/>
        <w:rPr>
          <w:sz w:val="22"/>
          <w:szCs w:val="22"/>
          <w:lang w:val="sr-Latn-ME"/>
        </w:rPr>
      </w:pPr>
    </w:p>
    <w:p w14:paraId="40919986" w14:textId="38FBD788" w:rsidR="00433733" w:rsidRDefault="00433733" w:rsidP="00586CDF">
      <w:pPr>
        <w:tabs>
          <w:tab w:val="left" w:pos="540"/>
          <w:tab w:val="left" w:pos="569"/>
        </w:tabs>
        <w:jc w:val="both"/>
        <w:rPr>
          <w:sz w:val="22"/>
          <w:szCs w:val="22"/>
          <w:lang w:val="sr-Latn-ME"/>
        </w:rPr>
      </w:pPr>
    </w:p>
    <w:p w14:paraId="30884FBA" w14:textId="77777777" w:rsidR="00433733" w:rsidRPr="00B46EA2" w:rsidRDefault="00433733" w:rsidP="00586CDF">
      <w:pPr>
        <w:tabs>
          <w:tab w:val="left" w:pos="540"/>
          <w:tab w:val="left" w:pos="569"/>
        </w:tabs>
        <w:jc w:val="both"/>
        <w:rPr>
          <w:sz w:val="22"/>
          <w:szCs w:val="22"/>
          <w:lang w:val="sr-Latn-ME"/>
        </w:rPr>
      </w:pPr>
    </w:p>
    <w:p w14:paraId="52EAF1B9" w14:textId="77777777" w:rsidR="0072020E" w:rsidRPr="00B46EA2" w:rsidRDefault="0072020E" w:rsidP="00396DFD">
      <w:pPr>
        <w:tabs>
          <w:tab w:val="left" w:pos="540"/>
          <w:tab w:val="left" w:pos="569"/>
        </w:tabs>
        <w:ind w:left="540" w:hanging="540"/>
        <w:rPr>
          <w:b/>
          <w:bCs/>
          <w:sz w:val="22"/>
          <w:szCs w:val="22"/>
          <w:lang w:val="sr-Latn-ME"/>
        </w:rPr>
      </w:pPr>
      <w:r w:rsidRPr="00B46EA2">
        <w:rPr>
          <w:b/>
          <w:bCs/>
          <w:sz w:val="22"/>
          <w:szCs w:val="22"/>
          <w:lang w:val="sr-Latn-ME"/>
        </w:rPr>
        <w:lastRenderedPageBreak/>
        <w:t xml:space="preserve">4.7. </w:t>
      </w:r>
      <w:r w:rsidR="00480FB1" w:rsidRPr="00B46EA2">
        <w:rPr>
          <w:b/>
          <w:bCs/>
          <w:sz w:val="22"/>
          <w:szCs w:val="22"/>
          <w:lang w:val="sr-Latn-ME"/>
        </w:rPr>
        <w:tab/>
      </w:r>
      <w:r w:rsidRPr="00B46EA2">
        <w:rPr>
          <w:b/>
          <w:bCs/>
          <w:sz w:val="22"/>
          <w:szCs w:val="22"/>
          <w:lang w:val="sr-Latn-ME"/>
        </w:rPr>
        <w:t xml:space="preserve">Uticaj na </w:t>
      </w:r>
      <w:r w:rsidR="002031B3" w:rsidRPr="00B46EA2">
        <w:rPr>
          <w:b/>
          <w:bCs/>
          <w:sz w:val="22"/>
          <w:szCs w:val="22"/>
          <w:lang w:val="sr-Latn-ME"/>
        </w:rPr>
        <w:t xml:space="preserve">sposobnost </w:t>
      </w:r>
      <w:r w:rsidR="00F34554" w:rsidRPr="00B46EA2">
        <w:rPr>
          <w:b/>
          <w:bCs/>
          <w:sz w:val="22"/>
          <w:szCs w:val="22"/>
          <w:lang w:val="sr-Latn-ME"/>
        </w:rPr>
        <w:t>upravljanja vozili</w:t>
      </w:r>
      <w:r w:rsidRPr="00B46EA2">
        <w:rPr>
          <w:b/>
          <w:bCs/>
          <w:sz w:val="22"/>
          <w:szCs w:val="22"/>
          <w:lang w:val="sr-Latn-ME"/>
        </w:rPr>
        <w:t>m</w:t>
      </w:r>
      <w:r w:rsidR="00F34554" w:rsidRPr="00B46EA2">
        <w:rPr>
          <w:b/>
          <w:bCs/>
          <w:sz w:val="22"/>
          <w:szCs w:val="22"/>
          <w:lang w:val="sr-Latn-ME"/>
        </w:rPr>
        <w:t>a</w:t>
      </w:r>
      <w:r w:rsidRPr="00B46EA2">
        <w:rPr>
          <w:b/>
          <w:bCs/>
          <w:sz w:val="22"/>
          <w:szCs w:val="22"/>
          <w:lang w:val="sr-Latn-ME"/>
        </w:rPr>
        <w:t xml:space="preserve"> i </w:t>
      </w:r>
      <w:r w:rsidR="000D3449" w:rsidRPr="00B46EA2">
        <w:rPr>
          <w:b/>
          <w:bCs/>
          <w:sz w:val="22"/>
          <w:szCs w:val="22"/>
          <w:lang w:val="sr-Latn-ME"/>
        </w:rPr>
        <w:t xml:space="preserve">rukovanje </w:t>
      </w:r>
      <w:r w:rsidRPr="00B46EA2">
        <w:rPr>
          <w:b/>
          <w:bCs/>
          <w:sz w:val="22"/>
          <w:szCs w:val="22"/>
          <w:lang w:val="sr-Latn-ME"/>
        </w:rPr>
        <w:t>mašinama</w:t>
      </w:r>
    </w:p>
    <w:p w14:paraId="3328D560" w14:textId="77777777" w:rsidR="00586CDF" w:rsidRPr="00B46EA2" w:rsidRDefault="00586CDF" w:rsidP="00480FB1">
      <w:pPr>
        <w:tabs>
          <w:tab w:val="left" w:pos="540"/>
          <w:tab w:val="left" w:pos="569"/>
        </w:tabs>
        <w:rPr>
          <w:b/>
          <w:bCs/>
          <w:sz w:val="22"/>
          <w:szCs w:val="22"/>
          <w:lang w:val="sr-Latn-ME"/>
        </w:rPr>
      </w:pPr>
    </w:p>
    <w:p w14:paraId="6F604CF0" w14:textId="0E35A972" w:rsidR="00586CDF" w:rsidRPr="00B46EA2" w:rsidRDefault="00586CDF" w:rsidP="00586CDF">
      <w:pPr>
        <w:tabs>
          <w:tab w:val="left" w:pos="540"/>
          <w:tab w:val="left" w:pos="569"/>
        </w:tabs>
        <w:jc w:val="both"/>
        <w:rPr>
          <w:b/>
          <w:bCs/>
          <w:sz w:val="22"/>
          <w:szCs w:val="22"/>
          <w:lang w:val="sr-Latn-ME"/>
        </w:rPr>
      </w:pPr>
      <w:r w:rsidRPr="00B46EA2">
        <w:rPr>
          <w:sz w:val="22"/>
          <w:szCs w:val="22"/>
          <w:lang w:val="sr-Latn-ME"/>
        </w:rPr>
        <w:t>Lijek CitraFleet može izazvati zamor ili vrtoglavicu, što je v</w:t>
      </w:r>
      <w:r w:rsidR="00923DBF" w:rsidRPr="00B46EA2">
        <w:rPr>
          <w:sz w:val="22"/>
          <w:szCs w:val="22"/>
          <w:lang w:val="sr-Latn-ME"/>
        </w:rPr>
        <w:t>j</w:t>
      </w:r>
      <w:r w:rsidRPr="00B46EA2">
        <w:rPr>
          <w:sz w:val="22"/>
          <w:szCs w:val="22"/>
          <w:lang w:val="sr-Latn-ME"/>
        </w:rPr>
        <w:t>erovatno posl</w:t>
      </w:r>
      <w:r w:rsidR="00923DBF" w:rsidRPr="00B46EA2">
        <w:rPr>
          <w:sz w:val="22"/>
          <w:szCs w:val="22"/>
          <w:lang w:val="sr-Latn-ME"/>
        </w:rPr>
        <w:t>j</w:t>
      </w:r>
      <w:r w:rsidRPr="00B46EA2">
        <w:rPr>
          <w:sz w:val="22"/>
          <w:szCs w:val="22"/>
          <w:lang w:val="sr-Latn-ME"/>
        </w:rPr>
        <w:t>edica dehidratacije i to može imati blag do um</w:t>
      </w:r>
      <w:r w:rsidR="001D5DB4">
        <w:rPr>
          <w:sz w:val="22"/>
          <w:szCs w:val="22"/>
          <w:lang w:val="sr-Latn-ME"/>
        </w:rPr>
        <w:t>j</w:t>
      </w:r>
      <w:r w:rsidRPr="00B46EA2">
        <w:rPr>
          <w:sz w:val="22"/>
          <w:szCs w:val="22"/>
          <w:lang w:val="sr-Latn-ME"/>
        </w:rPr>
        <w:t>eren</w:t>
      </w:r>
      <w:r w:rsidR="001D5DB4">
        <w:rPr>
          <w:sz w:val="22"/>
          <w:szCs w:val="22"/>
          <w:lang w:val="sr-Latn-ME"/>
        </w:rPr>
        <w:t>i</w:t>
      </w:r>
      <w:r w:rsidRPr="00B46EA2">
        <w:rPr>
          <w:sz w:val="22"/>
          <w:szCs w:val="22"/>
          <w:lang w:val="sr-Latn-ME"/>
        </w:rPr>
        <w:t xml:space="preserve"> ut</w:t>
      </w:r>
      <w:r w:rsidR="008524F9">
        <w:rPr>
          <w:sz w:val="22"/>
          <w:szCs w:val="22"/>
          <w:lang w:val="sr-Latn-ME"/>
        </w:rPr>
        <w:t>i</w:t>
      </w:r>
      <w:r w:rsidRPr="00B46EA2">
        <w:rPr>
          <w:sz w:val="22"/>
          <w:szCs w:val="22"/>
          <w:lang w:val="sr-Latn-ME"/>
        </w:rPr>
        <w:t>caj na sposobnost upravljanja vozilima i rukovanja mašinama</w:t>
      </w:r>
      <w:r w:rsidRPr="00B46EA2">
        <w:rPr>
          <w:b/>
          <w:bCs/>
          <w:sz w:val="22"/>
          <w:szCs w:val="22"/>
          <w:lang w:val="sr-Latn-ME"/>
        </w:rPr>
        <w:t xml:space="preserve"> </w:t>
      </w:r>
    </w:p>
    <w:p w14:paraId="476392DF" w14:textId="77777777" w:rsidR="00433733" w:rsidRDefault="00433733" w:rsidP="00480FB1">
      <w:pPr>
        <w:tabs>
          <w:tab w:val="left" w:pos="540"/>
          <w:tab w:val="left" w:pos="569"/>
        </w:tabs>
        <w:rPr>
          <w:b/>
          <w:bCs/>
          <w:sz w:val="22"/>
          <w:szCs w:val="22"/>
          <w:lang w:val="sr-Latn-ME"/>
        </w:rPr>
      </w:pPr>
    </w:p>
    <w:p w14:paraId="5BDA16D8" w14:textId="5BE6FC22"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4.8. </w:t>
      </w:r>
      <w:r w:rsidR="00480FB1" w:rsidRPr="00B46EA2">
        <w:rPr>
          <w:b/>
          <w:bCs/>
          <w:sz w:val="22"/>
          <w:szCs w:val="22"/>
          <w:lang w:val="sr-Latn-ME"/>
        </w:rPr>
        <w:tab/>
      </w:r>
      <w:r w:rsidRPr="00B46EA2">
        <w:rPr>
          <w:b/>
          <w:bCs/>
          <w:sz w:val="22"/>
          <w:szCs w:val="22"/>
          <w:lang w:val="sr-Latn-ME"/>
        </w:rPr>
        <w:t>Neželjena dejstva</w:t>
      </w:r>
    </w:p>
    <w:p w14:paraId="335AC519" w14:textId="77777777" w:rsidR="00586CDF" w:rsidRPr="00B46EA2" w:rsidRDefault="00586CDF" w:rsidP="00480FB1">
      <w:pPr>
        <w:tabs>
          <w:tab w:val="left" w:pos="540"/>
          <w:tab w:val="left" w:pos="569"/>
        </w:tabs>
        <w:rPr>
          <w:b/>
          <w:bCs/>
          <w:sz w:val="22"/>
          <w:szCs w:val="22"/>
          <w:lang w:val="sr-Latn-ME"/>
        </w:rPr>
      </w:pPr>
    </w:p>
    <w:p w14:paraId="15590819" w14:textId="039E7BB9" w:rsidR="00586CDF" w:rsidRPr="00B46EA2" w:rsidRDefault="00586CDF" w:rsidP="00586CDF">
      <w:pPr>
        <w:tabs>
          <w:tab w:val="left" w:pos="540"/>
          <w:tab w:val="left" w:pos="569"/>
        </w:tabs>
        <w:jc w:val="both"/>
        <w:rPr>
          <w:sz w:val="22"/>
          <w:szCs w:val="22"/>
          <w:lang w:val="sr-Latn-ME"/>
        </w:rPr>
      </w:pPr>
      <w:r w:rsidRPr="00B46EA2">
        <w:rPr>
          <w:sz w:val="22"/>
          <w:szCs w:val="22"/>
          <w:lang w:val="sr-Latn-ME"/>
        </w:rPr>
        <w:t>Najčešća neželjena dejstva prijavljena tokom kliničkih istraživanja primjenom kombinacije natrijum</w:t>
      </w:r>
      <w:r w:rsidR="00BD6A96">
        <w:rPr>
          <w:sz w:val="22"/>
          <w:szCs w:val="22"/>
          <w:lang w:val="sr-Latn-ME"/>
        </w:rPr>
        <w:t xml:space="preserve"> </w:t>
      </w:r>
      <w:r w:rsidRPr="00B46EA2">
        <w:rPr>
          <w:sz w:val="22"/>
          <w:szCs w:val="22"/>
          <w:lang w:val="sr-Latn-ME"/>
        </w:rPr>
        <w:t>pikosulfata i magnezijum</w:t>
      </w:r>
      <w:r w:rsidR="00BD6A96">
        <w:rPr>
          <w:sz w:val="22"/>
          <w:szCs w:val="22"/>
          <w:lang w:val="sr-Latn-ME"/>
        </w:rPr>
        <w:t xml:space="preserve"> </w:t>
      </w:r>
      <w:r w:rsidRPr="00B46EA2">
        <w:rPr>
          <w:sz w:val="22"/>
          <w:szCs w:val="22"/>
          <w:lang w:val="sr-Latn-ME"/>
        </w:rPr>
        <w:t>citrata su bila povezana sa direktnim efektom na crijeva (abdominalni bol i mučnina) i sa posl</w:t>
      </w:r>
      <w:r w:rsidR="00DE0D6A" w:rsidRPr="00B46EA2">
        <w:rPr>
          <w:sz w:val="22"/>
          <w:szCs w:val="22"/>
          <w:lang w:val="sr-Latn-ME"/>
        </w:rPr>
        <w:t>j</w:t>
      </w:r>
      <w:r w:rsidRPr="00B46EA2">
        <w:rPr>
          <w:sz w:val="22"/>
          <w:szCs w:val="22"/>
          <w:lang w:val="sr-Latn-ME"/>
        </w:rPr>
        <w:t>edicama dijareje i dehidratacije (poremećaj spavanja, suva usta, žeđ, glavobolja i zamor).</w:t>
      </w:r>
    </w:p>
    <w:p w14:paraId="13986E0B" w14:textId="77777777" w:rsidR="00586CDF" w:rsidRPr="00B46EA2" w:rsidRDefault="00586CDF" w:rsidP="00586CDF">
      <w:pPr>
        <w:tabs>
          <w:tab w:val="left" w:pos="540"/>
          <w:tab w:val="left" w:pos="569"/>
        </w:tabs>
        <w:jc w:val="both"/>
        <w:rPr>
          <w:sz w:val="22"/>
          <w:szCs w:val="22"/>
          <w:lang w:val="sr-Latn-ME"/>
        </w:rPr>
      </w:pPr>
    </w:p>
    <w:p w14:paraId="59C24FFF" w14:textId="1649D82E" w:rsidR="00586CDF" w:rsidRPr="00B46EA2" w:rsidRDefault="00586CDF" w:rsidP="00586CDF">
      <w:pPr>
        <w:tabs>
          <w:tab w:val="left" w:pos="540"/>
          <w:tab w:val="left" w:pos="569"/>
        </w:tabs>
        <w:jc w:val="both"/>
        <w:rPr>
          <w:sz w:val="22"/>
          <w:szCs w:val="22"/>
          <w:lang w:val="sr-Latn-ME"/>
        </w:rPr>
      </w:pPr>
      <w:r w:rsidRPr="00B46EA2">
        <w:rPr>
          <w:sz w:val="22"/>
          <w:szCs w:val="22"/>
          <w:lang w:val="sr-Latn-ME"/>
        </w:rPr>
        <w:t>Neželjena dejstva su prikazana prema MedDRA klasifikaciji sistema organa i prema sljedećoj učestalosti: veoma često (≥1/10); često (≥1/100 do &lt;1/10); povremeno ≥1/1000 do &lt;1/100). Učestalost je zasnovana na podacima dobijeni</w:t>
      </w:r>
      <w:r w:rsidR="00DE0D6A" w:rsidRPr="00B46EA2">
        <w:rPr>
          <w:sz w:val="22"/>
          <w:szCs w:val="22"/>
          <w:lang w:val="sr-Latn-ME"/>
        </w:rPr>
        <w:t>m</w:t>
      </w:r>
      <w:r w:rsidRPr="00B46EA2">
        <w:rPr>
          <w:sz w:val="22"/>
          <w:szCs w:val="22"/>
          <w:lang w:val="sr-Latn-ME"/>
        </w:rPr>
        <w:t xml:space="preserve"> analizom kliničkih studija.</w:t>
      </w:r>
    </w:p>
    <w:p w14:paraId="0E83C5BA" w14:textId="0D3AFAFB" w:rsidR="00586CDF" w:rsidRPr="00B46EA2" w:rsidRDefault="00586CDF" w:rsidP="00586CDF">
      <w:pPr>
        <w:tabs>
          <w:tab w:val="left" w:pos="540"/>
          <w:tab w:val="left" w:pos="569"/>
        </w:tabs>
        <w:jc w:val="both"/>
        <w:rPr>
          <w:sz w:val="22"/>
          <w:szCs w:val="22"/>
          <w:lang w:val="sr-Latn-ME"/>
        </w:rPr>
      </w:pPr>
      <w:r w:rsidRPr="00B46EA2">
        <w:rPr>
          <w:sz w:val="22"/>
          <w:szCs w:val="22"/>
          <w:lang w:val="sr-Latn-ME"/>
        </w:rPr>
        <w:t>Neželjena dejstva koja ni</w:t>
      </w:r>
      <w:r w:rsidR="00DE0D6A" w:rsidRPr="00B46EA2">
        <w:rPr>
          <w:sz w:val="22"/>
          <w:szCs w:val="22"/>
          <w:lang w:val="sr-Latn-ME"/>
        </w:rPr>
        <w:t>je</w:t>
      </w:r>
      <w:r w:rsidRPr="00B46EA2">
        <w:rPr>
          <w:sz w:val="22"/>
          <w:szCs w:val="22"/>
          <w:lang w:val="sr-Latn-ME"/>
        </w:rPr>
        <w:t>su prijavljena tokom ovih kliničkih istraživanja su opisana kao „nepoznate učestalosti” (učestalost se ne može proc</w:t>
      </w:r>
      <w:r w:rsidR="0037033B">
        <w:rPr>
          <w:sz w:val="22"/>
          <w:szCs w:val="22"/>
          <w:lang w:val="sr-Latn-ME"/>
        </w:rPr>
        <w:t>i</w:t>
      </w:r>
      <w:r w:rsidRPr="00B46EA2">
        <w:rPr>
          <w:sz w:val="22"/>
          <w:szCs w:val="22"/>
          <w:lang w:val="sr-Latn-ME"/>
        </w:rPr>
        <w:t>jeniti na osnovu dostupnih podataka).</w:t>
      </w:r>
    </w:p>
    <w:p w14:paraId="70452D1C" w14:textId="77777777" w:rsidR="00586CDF" w:rsidRPr="00B46EA2" w:rsidRDefault="00586CDF" w:rsidP="00586CDF">
      <w:pPr>
        <w:tabs>
          <w:tab w:val="left" w:pos="540"/>
          <w:tab w:val="left" w:pos="569"/>
        </w:tabs>
        <w:jc w:val="both"/>
        <w:rPr>
          <w:sz w:val="22"/>
          <w:szCs w:val="22"/>
          <w:lang w:val="sr-Latn-ME"/>
        </w:rPr>
      </w:pPr>
    </w:p>
    <w:p w14:paraId="28E08262" w14:textId="29F71AAE" w:rsidR="00586CDF" w:rsidRPr="00B46EA2" w:rsidRDefault="00586CDF" w:rsidP="00586CDF">
      <w:pPr>
        <w:tabs>
          <w:tab w:val="left" w:pos="540"/>
          <w:tab w:val="left" w:pos="569"/>
        </w:tabs>
        <w:jc w:val="both"/>
        <w:rPr>
          <w:sz w:val="22"/>
          <w:szCs w:val="22"/>
          <w:lang w:val="sr-Latn-ME"/>
        </w:rPr>
      </w:pPr>
      <w:r w:rsidRPr="00B46EA2">
        <w:rPr>
          <w:i/>
          <w:sz w:val="22"/>
          <w:szCs w:val="22"/>
          <w:lang w:val="sr-Latn-ME"/>
        </w:rPr>
        <w:t>Poremećaji imunskog sistema</w:t>
      </w:r>
    </w:p>
    <w:p w14:paraId="47F6C324"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Nepoznate učestalosti: anafilaktičke reakcije, preosjetljivost</w:t>
      </w:r>
    </w:p>
    <w:p w14:paraId="60A9183D" w14:textId="77777777" w:rsidR="00586CDF" w:rsidRPr="00B46EA2" w:rsidRDefault="00586CDF" w:rsidP="00586CDF">
      <w:pPr>
        <w:tabs>
          <w:tab w:val="left" w:pos="540"/>
          <w:tab w:val="left" w:pos="569"/>
        </w:tabs>
        <w:jc w:val="both"/>
        <w:rPr>
          <w:sz w:val="22"/>
          <w:szCs w:val="22"/>
          <w:lang w:val="sr-Latn-ME"/>
        </w:rPr>
      </w:pPr>
    </w:p>
    <w:p w14:paraId="5213C608" w14:textId="07C74102" w:rsidR="00586CDF" w:rsidRPr="00B46EA2" w:rsidRDefault="00586CDF" w:rsidP="00586CDF">
      <w:pPr>
        <w:tabs>
          <w:tab w:val="left" w:pos="540"/>
          <w:tab w:val="left" w:pos="569"/>
        </w:tabs>
        <w:jc w:val="both"/>
        <w:rPr>
          <w:sz w:val="22"/>
          <w:szCs w:val="22"/>
          <w:lang w:val="sr-Latn-ME"/>
        </w:rPr>
      </w:pPr>
      <w:r w:rsidRPr="00B46EA2">
        <w:rPr>
          <w:i/>
          <w:sz w:val="22"/>
          <w:szCs w:val="22"/>
          <w:lang w:val="sr-Latn-ME"/>
        </w:rPr>
        <w:t>Poremećaji metabolizma i ishrane</w:t>
      </w:r>
    </w:p>
    <w:p w14:paraId="5BA113FF"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Nepoznate učestalosti: hiponatremija, hipokalemija</w:t>
      </w:r>
    </w:p>
    <w:p w14:paraId="4D88F77A" w14:textId="77777777" w:rsidR="00586CDF" w:rsidRPr="00B46EA2" w:rsidRDefault="00586CDF" w:rsidP="00586CDF">
      <w:pPr>
        <w:tabs>
          <w:tab w:val="left" w:pos="540"/>
          <w:tab w:val="left" w:pos="569"/>
        </w:tabs>
        <w:jc w:val="both"/>
        <w:rPr>
          <w:sz w:val="22"/>
          <w:szCs w:val="22"/>
          <w:lang w:val="sr-Latn-ME"/>
        </w:rPr>
      </w:pPr>
    </w:p>
    <w:p w14:paraId="1A8AD4FF" w14:textId="02159B42" w:rsidR="00586CDF" w:rsidRPr="00B46EA2" w:rsidRDefault="00586CDF" w:rsidP="00586CDF">
      <w:pPr>
        <w:tabs>
          <w:tab w:val="left" w:pos="540"/>
          <w:tab w:val="left" w:pos="569"/>
        </w:tabs>
        <w:jc w:val="both"/>
        <w:rPr>
          <w:sz w:val="22"/>
          <w:szCs w:val="22"/>
          <w:lang w:val="sr-Latn-ME"/>
        </w:rPr>
      </w:pPr>
      <w:r w:rsidRPr="00B46EA2">
        <w:rPr>
          <w:i/>
          <w:sz w:val="22"/>
          <w:szCs w:val="22"/>
          <w:lang w:val="sr-Latn-ME"/>
        </w:rPr>
        <w:t>Psihijatrijski pore</w:t>
      </w:r>
      <w:r w:rsidR="00DE0D6A" w:rsidRPr="00B46EA2">
        <w:rPr>
          <w:i/>
          <w:sz w:val="22"/>
          <w:szCs w:val="22"/>
          <w:lang w:val="sr-Latn-ME"/>
        </w:rPr>
        <w:t>m</w:t>
      </w:r>
      <w:r w:rsidRPr="00B46EA2">
        <w:rPr>
          <w:i/>
          <w:sz w:val="22"/>
          <w:szCs w:val="22"/>
          <w:lang w:val="sr-Latn-ME"/>
        </w:rPr>
        <w:t>ećaji</w:t>
      </w:r>
    </w:p>
    <w:p w14:paraId="5B19EDA9" w14:textId="11F1E8EE" w:rsidR="00586CDF" w:rsidRPr="00B46EA2" w:rsidRDefault="00586CDF" w:rsidP="00586CDF">
      <w:pPr>
        <w:tabs>
          <w:tab w:val="left" w:pos="540"/>
          <w:tab w:val="left" w:pos="569"/>
        </w:tabs>
        <w:jc w:val="both"/>
        <w:rPr>
          <w:sz w:val="22"/>
          <w:szCs w:val="22"/>
          <w:lang w:val="sr-Latn-ME"/>
        </w:rPr>
      </w:pPr>
      <w:r w:rsidRPr="00B46EA2">
        <w:rPr>
          <w:sz w:val="22"/>
          <w:szCs w:val="22"/>
          <w:lang w:val="sr-Latn-ME"/>
        </w:rPr>
        <w:t>Često: poremećaj spavanja</w:t>
      </w:r>
    </w:p>
    <w:p w14:paraId="0CBF60FD" w14:textId="77777777" w:rsidR="00586CDF" w:rsidRPr="00B46EA2" w:rsidRDefault="00586CDF" w:rsidP="00586CDF">
      <w:pPr>
        <w:tabs>
          <w:tab w:val="left" w:pos="540"/>
          <w:tab w:val="left" w:pos="569"/>
        </w:tabs>
        <w:jc w:val="both"/>
        <w:rPr>
          <w:sz w:val="22"/>
          <w:szCs w:val="22"/>
          <w:lang w:val="sr-Latn-ME"/>
        </w:rPr>
      </w:pPr>
    </w:p>
    <w:p w14:paraId="24F86F4D" w14:textId="77777777" w:rsidR="00586CDF" w:rsidRPr="00B46EA2" w:rsidRDefault="00586CDF" w:rsidP="00586CDF">
      <w:pPr>
        <w:tabs>
          <w:tab w:val="left" w:pos="540"/>
          <w:tab w:val="left" w:pos="569"/>
        </w:tabs>
        <w:jc w:val="both"/>
        <w:rPr>
          <w:sz w:val="22"/>
          <w:szCs w:val="22"/>
          <w:lang w:val="sr-Latn-ME"/>
        </w:rPr>
      </w:pPr>
      <w:r w:rsidRPr="00B46EA2">
        <w:rPr>
          <w:i/>
          <w:sz w:val="22"/>
          <w:szCs w:val="22"/>
          <w:lang w:val="sr-Latn-ME"/>
        </w:rPr>
        <w:t>Poremećaji nervnog sistema</w:t>
      </w:r>
    </w:p>
    <w:p w14:paraId="69D2A8F3"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 xml:space="preserve">Često: glavobolja </w:t>
      </w:r>
    </w:p>
    <w:p w14:paraId="51A85329"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Povremeno: vrtoglavica</w:t>
      </w:r>
    </w:p>
    <w:p w14:paraId="418B206A"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Nepoznate učestalosti: epilepsija, grand mal konvulzije, konvulzije, stanje konfuzije</w:t>
      </w:r>
    </w:p>
    <w:p w14:paraId="11675827" w14:textId="77777777" w:rsidR="00586CDF" w:rsidRPr="00B46EA2" w:rsidRDefault="00586CDF" w:rsidP="00586CDF">
      <w:pPr>
        <w:tabs>
          <w:tab w:val="left" w:pos="540"/>
          <w:tab w:val="left" w:pos="569"/>
        </w:tabs>
        <w:jc w:val="both"/>
        <w:rPr>
          <w:sz w:val="22"/>
          <w:szCs w:val="22"/>
          <w:lang w:val="sr-Latn-ME"/>
        </w:rPr>
      </w:pPr>
    </w:p>
    <w:p w14:paraId="44AD9B3F" w14:textId="2ABB2AD5" w:rsidR="00586CDF" w:rsidRPr="00B46EA2" w:rsidRDefault="00586CDF" w:rsidP="00586CDF">
      <w:pPr>
        <w:tabs>
          <w:tab w:val="left" w:pos="540"/>
          <w:tab w:val="left" w:pos="569"/>
        </w:tabs>
        <w:jc w:val="both"/>
        <w:rPr>
          <w:sz w:val="22"/>
          <w:szCs w:val="22"/>
          <w:lang w:val="sr-Latn-ME"/>
        </w:rPr>
      </w:pPr>
      <w:r w:rsidRPr="00B46EA2">
        <w:rPr>
          <w:i/>
          <w:sz w:val="22"/>
          <w:szCs w:val="22"/>
          <w:lang w:val="sr-Latn-ME"/>
        </w:rPr>
        <w:t>Vaskularni poremećaji</w:t>
      </w:r>
    </w:p>
    <w:p w14:paraId="532999E0"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Povremeno: ortostatska hipotenzija</w:t>
      </w:r>
    </w:p>
    <w:p w14:paraId="7E0105FB" w14:textId="77777777" w:rsidR="00586CDF" w:rsidRPr="00B46EA2" w:rsidRDefault="00586CDF" w:rsidP="00586CDF">
      <w:pPr>
        <w:tabs>
          <w:tab w:val="left" w:pos="540"/>
          <w:tab w:val="left" w:pos="569"/>
        </w:tabs>
        <w:jc w:val="both"/>
        <w:rPr>
          <w:sz w:val="22"/>
          <w:szCs w:val="22"/>
          <w:lang w:val="sr-Latn-ME"/>
        </w:rPr>
      </w:pPr>
    </w:p>
    <w:p w14:paraId="084F65B3" w14:textId="08819D8D" w:rsidR="00586CDF" w:rsidRPr="00B46EA2" w:rsidRDefault="00586CDF" w:rsidP="00586CDF">
      <w:pPr>
        <w:tabs>
          <w:tab w:val="left" w:pos="540"/>
          <w:tab w:val="left" w:pos="569"/>
        </w:tabs>
        <w:jc w:val="both"/>
        <w:rPr>
          <w:sz w:val="22"/>
          <w:szCs w:val="22"/>
          <w:lang w:val="sr-Latn-ME"/>
        </w:rPr>
      </w:pPr>
      <w:r w:rsidRPr="00B46EA2">
        <w:rPr>
          <w:i/>
          <w:sz w:val="22"/>
          <w:szCs w:val="22"/>
          <w:lang w:val="sr-Latn-ME"/>
        </w:rPr>
        <w:t>Gastrointestinalni poremećaji</w:t>
      </w:r>
    </w:p>
    <w:p w14:paraId="68FD2CB6"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Veoma često: abdominalni bol</w:t>
      </w:r>
    </w:p>
    <w:p w14:paraId="53A93428"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 xml:space="preserve">Često: suva usta, mučnina, abdominalna distenzija, nelagodnost u analnoj regiji i proktalgija </w:t>
      </w:r>
    </w:p>
    <w:p w14:paraId="1D42CDE8"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Povremeno: povraćanje, fekalna inkontinencija</w:t>
      </w:r>
    </w:p>
    <w:p w14:paraId="26E1FBEC"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Nepoznate učestalosti: dijareja*, nadutost</w:t>
      </w:r>
    </w:p>
    <w:p w14:paraId="468A60E1" w14:textId="6F85DF58" w:rsidR="00586CDF" w:rsidRPr="00B46EA2" w:rsidRDefault="00586CDF" w:rsidP="00586CDF">
      <w:pPr>
        <w:tabs>
          <w:tab w:val="left" w:pos="540"/>
          <w:tab w:val="left" w:pos="569"/>
        </w:tabs>
        <w:jc w:val="both"/>
        <w:rPr>
          <w:sz w:val="22"/>
          <w:szCs w:val="22"/>
          <w:lang w:val="sr-Latn-ME"/>
        </w:rPr>
      </w:pPr>
      <w:r w:rsidRPr="00B46EA2">
        <w:rPr>
          <w:sz w:val="22"/>
          <w:szCs w:val="22"/>
          <w:lang w:val="sr-Latn-ME"/>
        </w:rPr>
        <w:t>*Dijareja je primarno kliničko dejstvo koj</w:t>
      </w:r>
      <w:r w:rsidR="00DE0D6A" w:rsidRPr="00B46EA2">
        <w:rPr>
          <w:sz w:val="22"/>
          <w:szCs w:val="22"/>
          <w:lang w:val="sr-Latn-ME"/>
        </w:rPr>
        <w:t>e</w:t>
      </w:r>
      <w:r w:rsidRPr="00B46EA2">
        <w:rPr>
          <w:sz w:val="22"/>
          <w:szCs w:val="22"/>
          <w:lang w:val="sr-Latn-ME"/>
        </w:rPr>
        <w:t xml:space="preserve"> ostvaruje lijek CitraFleet.</w:t>
      </w:r>
    </w:p>
    <w:p w14:paraId="45B370E7" w14:textId="77777777" w:rsidR="00586CDF" w:rsidRPr="00B46EA2" w:rsidRDefault="00586CDF" w:rsidP="00586CDF">
      <w:pPr>
        <w:tabs>
          <w:tab w:val="left" w:pos="540"/>
          <w:tab w:val="left" w:pos="569"/>
        </w:tabs>
        <w:jc w:val="both"/>
        <w:rPr>
          <w:sz w:val="22"/>
          <w:szCs w:val="22"/>
          <w:lang w:val="sr-Latn-ME"/>
        </w:rPr>
      </w:pPr>
    </w:p>
    <w:p w14:paraId="0FFF2D9B" w14:textId="7DD62ADA" w:rsidR="00586CDF" w:rsidRPr="00B46EA2" w:rsidRDefault="00586CDF" w:rsidP="00586CDF">
      <w:pPr>
        <w:tabs>
          <w:tab w:val="left" w:pos="540"/>
          <w:tab w:val="left" w:pos="569"/>
        </w:tabs>
        <w:jc w:val="both"/>
        <w:rPr>
          <w:sz w:val="22"/>
          <w:szCs w:val="22"/>
          <w:lang w:val="sr-Latn-ME"/>
        </w:rPr>
      </w:pPr>
      <w:r w:rsidRPr="00B46EA2">
        <w:rPr>
          <w:i/>
          <w:sz w:val="22"/>
          <w:szCs w:val="22"/>
          <w:lang w:val="sr-Latn-ME"/>
        </w:rPr>
        <w:t>Poremećaji kože i potkožnog tkiva</w:t>
      </w:r>
    </w:p>
    <w:p w14:paraId="4B854510"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Nepoznate učestalosti: osip (uključujući eritematozni i makulopapularni osip), urtikarija, svrab, purpura</w:t>
      </w:r>
    </w:p>
    <w:p w14:paraId="52B741AA" w14:textId="77777777" w:rsidR="00586CDF" w:rsidRPr="00B46EA2" w:rsidRDefault="00586CDF" w:rsidP="00586CDF">
      <w:pPr>
        <w:tabs>
          <w:tab w:val="left" w:pos="540"/>
          <w:tab w:val="left" w:pos="569"/>
        </w:tabs>
        <w:jc w:val="both"/>
        <w:rPr>
          <w:sz w:val="22"/>
          <w:szCs w:val="22"/>
          <w:lang w:val="sr-Latn-ME"/>
        </w:rPr>
      </w:pPr>
    </w:p>
    <w:p w14:paraId="5B5F0234" w14:textId="1C36DF04" w:rsidR="00586CDF" w:rsidRPr="00B46EA2" w:rsidRDefault="00586CDF" w:rsidP="00586CDF">
      <w:pPr>
        <w:tabs>
          <w:tab w:val="left" w:pos="540"/>
          <w:tab w:val="left" w:pos="569"/>
        </w:tabs>
        <w:jc w:val="both"/>
        <w:rPr>
          <w:sz w:val="22"/>
          <w:szCs w:val="22"/>
          <w:lang w:val="sr-Latn-ME"/>
        </w:rPr>
      </w:pPr>
      <w:r w:rsidRPr="00B46EA2">
        <w:rPr>
          <w:i/>
          <w:sz w:val="22"/>
          <w:szCs w:val="22"/>
          <w:lang w:val="sr-Latn-ME"/>
        </w:rPr>
        <w:t>Opšti poremećaji i reakcije na m</w:t>
      </w:r>
      <w:r w:rsidR="00DE0D6A" w:rsidRPr="00B46EA2">
        <w:rPr>
          <w:i/>
          <w:sz w:val="22"/>
          <w:szCs w:val="22"/>
          <w:lang w:val="sr-Latn-ME"/>
        </w:rPr>
        <w:t>j</w:t>
      </w:r>
      <w:r w:rsidRPr="00B46EA2">
        <w:rPr>
          <w:i/>
          <w:sz w:val="22"/>
          <w:szCs w:val="22"/>
          <w:lang w:val="sr-Latn-ME"/>
        </w:rPr>
        <w:t>estu primjene</w:t>
      </w:r>
    </w:p>
    <w:p w14:paraId="66E470DC" w14:textId="77777777" w:rsidR="00586CDF" w:rsidRPr="00B46EA2" w:rsidRDefault="00586CDF" w:rsidP="00586CDF">
      <w:pPr>
        <w:tabs>
          <w:tab w:val="left" w:pos="540"/>
          <w:tab w:val="left" w:pos="569"/>
        </w:tabs>
        <w:jc w:val="both"/>
        <w:rPr>
          <w:sz w:val="22"/>
          <w:szCs w:val="22"/>
          <w:lang w:val="sr-Latn-ME"/>
        </w:rPr>
      </w:pPr>
      <w:r w:rsidRPr="00B46EA2">
        <w:rPr>
          <w:sz w:val="22"/>
          <w:szCs w:val="22"/>
          <w:lang w:val="sr-Latn-ME"/>
        </w:rPr>
        <w:t xml:space="preserve">Često: žeđ, zamor </w:t>
      </w:r>
    </w:p>
    <w:p w14:paraId="64CA9E4F" w14:textId="00164CA3" w:rsidR="00586CDF" w:rsidRPr="00B46EA2" w:rsidRDefault="00586CDF" w:rsidP="00586CDF">
      <w:pPr>
        <w:tabs>
          <w:tab w:val="left" w:pos="540"/>
          <w:tab w:val="left" w:pos="569"/>
        </w:tabs>
        <w:jc w:val="both"/>
        <w:rPr>
          <w:sz w:val="22"/>
          <w:szCs w:val="22"/>
          <w:lang w:val="sr-Latn-ME"/>
        </w:rPr>
      </w:pPr>
      <w:r w:rsidRPr="00B46EA2">
        <w:rPr>
          <w:sz w:val="22"/>
          <w:szCs w:val="22"/>
          <w:lang w:val="sr-Latn-ME"/>
        </w:rPr>
        <w:t>Nepoznate učestalosti: bol</w:t>
      </w:r>
    </w:p>
    <w:p w14:paraId="4C28163D" w14:textId="77777777" w:rsidR="00586CDF" w:rsidRPr="00B46EA2" w:rsidRDefault="00586CDF" w:rsidP="00586CDF">
      <w:pPr>
        <w:tabs>
          <w:tab w:val="left" w:pos="540"/>
          <w:tab w:val="left" w:pos="569"/>
        </w:tabs>
        <w:jc w:val="both"/>
        <w:rPr>
          <w:sz w:val="22"/>
          <w:szCs w:val="22"/>
          <w:lang w:val="sr-Latn-ME"/>
        </w:rPr>
      </w:pPr>
    </w:p>
    <w:p w14:paraId="386BA9AC" w14:textId="7286B4D2" w:rsidR="00586CDF" w:rsidRPr="00B46EA2" w:rsidRDefault="00586CDF" w:rsidP="00586CDF">
      <w:pPr>
        <w:tabs>
          <w:tab w:val="left" w:pos="540"/>
          <w:tab w:val="left" w:pos="569"/>
        </w:tabs>
        <w:jc w:val="both"/>
        <w:rPr>
          <w:sz w:val="22"/>
          <w:szCs w:val="22"/>
          <w:lang w:val="sr-Latn-ME"/>
        </w:rPr>
      </w:pPr>
      <w:r w:rsidRPr="00B46EA2">
        <w:rPr>
          <w:sz w:val="22"/>
          <w:szCs w:val="22"/>
          <w:lang w:val="sr-Latn-ME"/>
        </w:rPr>
        <w:t>Hiponatremija je prijavljena sa povezanim konvulzijama ili bez njih (pogledati dio 4.4). Kod pacijenata obol</w:t>
      </w:r>
      <w:r w:rsidR="00F65A4F" w:rsidRPr="00B46EA2">
        <w:rPr>
          <w:sz w:val="22"/>
          <w:szCs w:val="22"/>
          <w:lang w:val="sr-Latn-ME"/>
        </w:rPr>
        <w:t>j</w:t>
      </w:r>
      <w:r w:rsidRPr="00B46EA2">
        <w:rPr>
          <w:sz w:val="22"/>
          <w:szCs w:val="22"/>
          <w:lang w:val="sr-Latn-ME"/>
        </w:rPr>
        <w:t>elih od epilepsije prijavljeni su slučajevi epileptičnih napada/grand mal konvulzija koji ni</w:t>
      </w:r>
      <w:r w:rsidR="00F65A4F" w:rsidRPr="00B46EA2">
        <w:rPr>
          <w:sz w:val="22"/>
          <w:szCs w:val="22"/>
          <w:lang w:val="sr-Latn-ME"/>
        </w:rPr>
        <w:t>je</w:t>
      </w:r>
      <w:r w:rsidRPr="00B46EA2">
        <w:rPr>
          <w:sz w:val="22"/>
          <w:szCs w:val="22"/>
          <w:lang w:val="sr-Latn-ME"/>
        </w:rPr>
        <w:t>su bili povezani sa hiponatremijom (pogledati djelove 4.4 i 4.5).</w:t>
      </w:r>
    </w:p>
    <w:p w14:paraId="58AB401F" w14:textId="77777777" w:rsidR="004E70AD" w:rsidRPr="00B46EA2" w:rsidRDefault="004E70AD" w:rsidP="00480FB1">
      <w:pPr>
        <w:tabs>
          <w:tab w:val="left" w:pos="540"/>
          <w:tab w:val="left" w:pos="569"/>
        </w:tabs>
        <w:rPr>
          <w:b/>
          <w:bCs/>
          <w:sz w:val="22"/>
          <w:szCs w:val="22"/>
          <w:lang w:val="sr-Latn-ME"/>
        </w:rPr>
      </w:pPr>
    </w:p>
    <w:p w14:paraId="0B493B2D" w14:textId="77777777" w:rsidR="00433733" w:rsidRDefault="00433733" w:rsidP="00A46C9A">
      <w:pPr>
        <w:spacing w:after="200" w:line="276" w:lineRule="auto"/>
        <w:rPr>
          <w:rFonts w:eastAsia="Calibri"/>
          <w:sz w:val="22"/>
          <w:szCs w:val="22"/>
          <w:u w:val="single"/>
          <w:lang w:val="sr-Latn-ME"/>
        </w:rPr>
      </w:pPr>
    </w:p>
    <w:p w14:paraId="111A04C2" w14:textId="77777777" w:rsidR="00433733" w:rsidRDefault="00433733" w:rsidP="00A46C9A">
      <w:pPr>
        <w:spacing w:after="200" w:line="276" w:lineRule="auto"/>
        <w:rPr>
          <w:rFonts w:eastAsia="Calibri"/>
          <w:sz w:val="22"/>
          <w:szCs w:val="22"/>
          <w:u w:val="single"/>
          <w:lang w:val="sr-Latn-ME"/>
        </w:rPr>
      </w:pPr>
    </w:p>
    <w:p w14:paraId="3CC7D56E" w14:textId="4401B8C4" w:rsidR="005A23D2" w:rsidRPr="00B46EA2" w:rsidRDefault="005A23D2" w:rsidP="00A46C9A">
      <w:pPr>
        <w:spacing w:after="200" w:line="276" w:lineRule="auto"/>
        <w:rPr>
          <w:rFonts w:eastAsia="Calibri"/>
          <w:sz w:val="22"/>
          <w:szCs w:val="22"/>
          <w:u w:val="single"/>
          <w:lang w:val="sr-Latn-ME"/>
        </w:rPr>
      </w:pPr>
      <w:r w:rsidRPr="00B46EA2">
        <w:rPr>
          <w:rFonts w:eastAsia="Calibri"/>
          <w:sz w:val="22"/>
          <w:szCs w:val="22"/>
          <w:u w:val="single"/>
          <w:lang w:val="sr-Latn-ME"/>
        </w:rPr>
        <w:lastRenderedPageBreak/>
        <w:t>Prijavljivanje sumnji na neželjena dejstva</w:t>
      </w:r>
    </w:p>
    <w:p w14:paraId="5953B394" w14:textId="77777777" w:rsidR="005A23D2" w:rsidRPr="00B46EA2" w:rsidRDefault="005A23D2" w:rsidP="00A46C9A">
      <w:pPr>
        <w:spacing w:after="200"/>
        <w:jc w:val="both"/>
        <w:rPr>
          <w:rFonts w:eastAsia="Calibri"/>
          <w:sz w:val="22"/>
          <w:szCs w:val="22"/>
          <w:lang w:val="sr-Latn-ME"/>
        </w:rPr>
      </w:pPr>
      <w:r w:rsidRPr="00B46EA2">
        <w:rPr>
          <w:rFonts w:eastAsia="Calibri"/>
          <w:sz w:val="22"/>
          <w:szCs w:val="22"/>
          <w:lang w:val="sr-Latn-ME"/>
        </w:rPr>
        <w:t>Prijavljivanje neželjenih dejstava nakon dobijanja dozvole je od velikog značaja jer obezbjeđuje kont</w:t>
      </w:r>
      <w:r w:rsidR="00EA5765" w:rsidRPr="00B46EA2">
        <w:rPr>
          <w:rFonts w:eastAsia="Calibri"/>
          <w:sz w:val="22"/>
          <w:szCs w:val="22"/>
          <w:lang w:val="sr-Latn-ME"/>
        </w:rPr>
        <w:t>inuirano praćenje odnosa korist</w:t>
      </w:r>
      <w:r w:rsidRPr="00B46EA2">
        <w:rPr>
          <w:rFonts w:eastAsia="Calibri"/>
          <w:sz w:val="22"/>
          <w:szCs w:val="22"/>
          <w:lang w:val="sr-Latn-ME"/>
        </w:rPr>
        <w:t>/rizik primjene lijeka. Zdravstveni radnici treba da prijave svaku sumnju na neželjeno</w:t>
      </w:r>
      <w:r w:rsidR="009B062A" w:rsidRPr="00B46EA2">
        <w:rPr>
          <w:rFonts w:eastAsia="Calibri"/>
          <w:sz w:val="22"/>
          <w:szCs w:val="22"/>
          <w:lang w:val="sr-Latn-ME"/>
        </w:rPr>
        <w:t xml:space="preserve"> </w:t>
      </w:r>
      <w:r w:rsidRPr="00B46EA2">
        <w:rPr>
          <w:rFonts w:eastAsia="Calibri"/>
          <w:sz w:val="22"/>
          <w:szCs w:val="22"/>
          <w:lang w:val="sr-Latn-ME"/>
        </w:rPr>
        <w:t xml:space="preserve">dejstvo ovog lijeka </w:t>
      </w:r>
      <w:r w:rsidR="004E70AD" w:rsidRPr="00B46EA2">
        <w:rPr>
          <w:rFonts w:eastAsia="Calibri"/>
          <w:sz w:val="22"/>
          <w:szCs w:val="22"/>
          <w:lang w:val="sr-Latn-ME"/>
        </w:rPr>
        <w:t>Institutu</w:t>
      </w:r>
      <w:r w:rsidRPr="00B46EA2">
        <w:rPr>
          <w:rFonts w:eastAsia="Calibri"/>
          <w:sz w:val="22"/>
          <w:szCs w:val="22"/>
          <w:lang w:val="sr-Latn-ME"/>
        </w:rPr>
        <w:t xml:space="preserve"> za ljekove i medicinska sredstva</w:t>
      </w:r>
      <w:r w:rsidR="004E70AD" w:rsidRPr="00B46EA2">
        <w:rPr>
          <w:rFonts w:eastAsia="Calibri"/>
          <w:sz w:val="22"/>
          <w:szCs w:val="22"/>
          <w:lang w:val="sr-Latn-ME"/>
        </w:rPr>
        <w:t xml:space="preserve"> </w:t>
      </w:r>
      <w:r w:rsidRPr="00B46EA2">
        <w:rPr>
          <w:rFonts w:eastAsia="Calibri"/>
          <w:sz w:val="22"/>
          <w:szCs w:val="22"/>
          <w:lang w:val="sr-Latn-ME"/>
        </w:rPr>
        <w:t>(</w:t>
      </w:r>
      <w:r w:rsidR="004E70AD" w:rsidRPr="00B46EA2">
        <w:rPr>
          <w:rFonts w:eastAsia="Calibri"/>
          <w:sz w:val="22"/>
          <w:szCs w:val="22"/>
          <w:lang w:val="sr-Latn-ME"/>
        </w:rPr>
        <w:t>CInMED</w:t>
      </w:r>
      <w:r w:rsidRPr="00B46EA2">
        <w:rPr>
          <w:rFonts w:eastAsia="Calibri"/>
          <w:sz w:val="22"/>
          <w:szCs w:val="22"/>
          <w:lang w:val="sr-Latn-ME"/>
        </w:rPr>
        <w:t>):</w:t>
      </w:r>
    </w:p>
    <w:p w14:paraId="7B1D0DB4" w14:textId="77777777" w:rsidR="005A23D2" w:rsidRPr="00B46EA2" w:rsidRDefault="004E70AD" w:rsidP="00A46C9A">
      <w:pPr>
        <w:pStyle w:val="NoSpacing"/>
        <w:jc w:val="both"/>
        <w:rPr>
          <w:rFonts w:eastAsia="Calibri"/>
          <w:sz w:val="22"/>
          <w:szCs w:val="22"/>
          <w:lang w:val="sr-Latn-ME"/>
        </w:rPr>
      </w:pPr>
      <w:r w:rsidRPr="00B46EA2">
        <w:rPr>
          <w:rFonts w:eastAsia="Calibri"/>
          <w:sz w:val="22"/>
          <w:szCs w:val="22"/>
          <w:lang w:val="sr-Latn-ME"/>
        </w:rPr>
        <w:t xml:space="preserve">Institut </w:t>
      </w:r>
      <w:r w:rsidR="005A23D2" w:rsidRPr="00B46EA2">
        <w:rPr>
          <w:rFonts w:eastAsia="Calibri"/>
          <w:sz w:val="22"/>
          <w:szCs w:val="22"/>
          <w:lang w:val="sr-Latn-ME"/>
        </w:rPr>
        <w:t xml:space="preserve">za ljekove i medicinska sredstva </w:t>
      </w:r>
    </w:p>
    <w:p w14:paraId="24A3A389" w14:textId="77777777" w:rsidR="005A23D2" w:rsidRPr="00B46EA2" w:rsidRDefault="005A23D2" w:rsidP="00A46C9A">
      <w:pPr>
        <w:pStyle w:val="NoSpacing"/>
        <w:jc w:val="both"/>
        <w:rPr>
          <w:rFonts w:eastAsia="Calibri"/>
          <w:sz w:val="22"/>
          <w:szCs w:val="22"/>
          <w:lang w:val="sr-Latn-ME"/>
        </w:rPr>
      </w:pPr>
      <w:r w:rsidRPr="00B46EA2">
        <w:rPr>
          <w:rFonts w:eastAsia="Calibri"/>
          <w:sz w:val="22"/>
          <w:szCs w:val="22"/>
          <w:lang w:val="sr-Latn-ME"/>
        </w:rPr>
        <w:t>Odjeljenje za farmakovigilancu</w:t>
      </w:r>
    </w:p>
    <w:p w14:paraId="34C57D09" w14:textId="77777777" w:rsidR="00EA5765" w:rsidRPr="00B46EA2" w:rsidRDefault="005A23D2" w:rsidP="00A46C9A">
      <w:pPr>
        <w:pStyle w:val="NoSpacing"/>
        <w:jc w:val="both"/>
        <w:rPr>
          <w:rFonts w:eastAsia="Calibri"/>
          <w:sz w:val="22"/>
          <w:szCs w:val="22"/>
          <w:lang w:val="sr-Latn-ME"/>
        </w:rPr>
      </w:pPr>
      <w:r w:rsidRPr="00B46EA2">
        <w:rPr>
          <w:rFonts w:eastAsia="Calibri"/>
          <w:sz w:val="22"/>
          <w:szCs w:val="22"/>
          <w:lang w:val="sr-Latn-ME"/>
        </w:rPr>
        <w:t>Bulevar Ivana Crnojevića 64a, 81000 Podgorica</w:t>
      </w:r>
    </w:p>
    <w:p w14:paraId="175A99F0" w14:textId="77777777" w:rsidR="00EA5765" w:rsidRPr="00B46EA2" w:rsidRDefault="00EA5765" w:rsidP="00A46C9A">
      <w:pPr>
        <w:pStyle w:val="NoSpacing"/>
        <w:rPr>
          <w:rFonts w:eastAsia="Calibri"/>
          <w:sz w:val="22"/>
          <w:szCs w:val="22"/>
          <w:lang w:val="sr-Latn-ME"/>
        </w:rPr>
      </w:pPr>
    </w:p>
    <w:p w14:paraId="09D05399" w14:textId="77777777" w:rsidR="005A23D2" w:rsidRPr="00B46EA2" w:rsidRDefault="005A23D2" w:rsidP="00A46C9A">
      <w:pPr>
        <w:pStyle w:val="NoSpacing"/>
        <w:jc w:val="both"/>
        <w:rPr>
          <w:rFonts w:eastAsia="Calibri"/>
          <w:sz w:val="22"/>
          <w:szCs w:val="22"/>
          <w:lang w:val="sr-Latn-ME"/>
        </w:rPr>
      </w:pPr>
      <w:r w:rsidRPr="00B46EA2">
        <w:rPr>
          <w:rFonts w:eastAsia="Calibri"/>
          <w:sz w:val="22"/>
          <w:szCs w:val="22"/>
          <w:lang w:val="sr-Latn-ME"/>
        </w:rPr>
        <w:t>tel: +382 (0) 20 310 280</w:t>
      </w:r>
    </w:p>
    <w:p w14:paraId="1823CC08" w14:textId="77777777" w:rsidR="00EA5765" w:rsidRPr="00B46EA2" w:rsidRDefault="005A23D2" w:rsidP="00FF3EDF">
      <w:pPr>
        <w:pStyle w:val="NoSpacing"/>
        <w:tabs>
          <w:tab w:val="left" w:pos="6720"/>
        </w:tabs>
        <w:jc w:val="both"/>
        <w:rPr>
          <w:rFonts w:eastAsia="Calibri"/>
          <w:sz w:val="22"/>
          <w:szCs w:val="22"/>
          <w:lang w:val="sr-Latn-ME"/>
        </w:rPr>
      </w:pPr>
      <w:r w:rsidRPr="00B46EA2">
        <w:rPr>
          <w:rFonts w:eastAsia="Calibri"/>
          <w:sz w:val="22"/>
          <w:szCs w:val="22"/>
          <w:lang w:val="sr-Latn-ME"/>
        </w:rPr>
        <w:t>fax:</w:t>
      </w:r>
      <w:r w:rsidR="00EA5765" w:rsidRPr="00B46EA2">
        <w:rPr>
          <w:rFonts w:eastAsia="Calibri"/>
          <w:sz w:val="22"/>
          <w:szCs w:val="22"/>
          <w:lang w:val="sr-Latn-ME"/>
        </w:rPr>
        <w:t xml:space="preserve"> </w:t>
      </w:r>
      <w:r w:rsidRPr="00B46EA2">
        <w:rPr>
          <w:rFonts w:eastAsia="Calibri"/>
          <w:sz w:val="22"/>
          <w:szCs w:val="22"/>
          <w:lang w:val="sr-Latn-ME"/>
        </w:rPr>
        <w:t>+382 (0) 20 310 581</w:t>
      </w:r>
      <w:r w:rsidR="00FF3EDF" w:rsidRPr="00B46EA2">
        <w:rPr>
          <w:rFonts w:eastAsia="Calibri"/>
          <w:sz w:val="22"/>
          <w:szCs w:val="22"/>
          <w:lang w:val="sr-Latn-ME"/>
        </w:rPr>
        <w:tab/>
      </w:r>
    </w:p>
    <w:p w14:paraId="30571245" w14:textId="77777777" w:rsidR="005A23D2" w:rsidRPr="00B46EA2" w:rsidRDefault="00AC4CD0" w:rsidP="00A46C9A">
      <w:pPr>
        <w:pStyle w:val="NoSpacing"/>
        <w:jc w:val="both"/>
        <w:rPr>
          <w:rFonts w:eastAsia="Calibri"/>
          <w:sz w:val="22"/>
          <w:szCs w:val="22"/>
          <w:lang w:val="sr-Latn-ME"/>
        </w:rPr>
      </w:pPr>
      <w:hyperlink r:id="rId8" w:history="1">
        <w:r w:rsidR="004E70AD" w:rsidRPr="00B46EA2">
          <w:rPr>
            <w:rStyle w:val="Hyperlink"/>
            <w:rFonts w:eastAsia="Calibri"/>
            <w:sz w:val="22"/>
            <w:szCs w:val="22"/>
            <w:lang w:val="sr-Latn-ME"/>
          </w:rPr>
          <w:t>www.cinmed.me</w:t>
        </w:r>
      </w:hyperlink>
    </w:p>
    <w:p w14:paraId="17649FDC" w14:textId="77777777" w:rsidR="00EA5765" w:rsidRPr="00B46EA2" w:rsidRDefault="00AC4CD0" w:rsidP="00A46C9A">
      <w:pPr>
        <w:pStyle w:val="NoSpacing"/>
        <w:jc w:val="both"/>
        <w:rPr>
          <w:rFonts w:eastAsia="Calibri"/>
          <w:color w:val="0000FF"/>
          <w:sz w:val="22"/>
          <w:szCs w:val="22"/>
          <w:u w:val="single"/>
          <w:lang w:val="sr-Latn-ME"/>
        </w:rPr>
      </w:pPr>
      <w:hyperlink r:id="rId9" w:history="1">
        <w:r w:rsidR="004E70AD" w:rsidRPr="00B46EA2">
          <w:rPr>
            <w:rStyle w:val="Hyperlink"/>
            <w:rFonts w:eastAsia="Calibri"/>
            <w:sz w:val="22"/>
            <w:szCs w:val="22"/>
            <w:lang w:val="sr-Latn-ME"/>
          </w:rPr>
          <w:t>nezeljenadejstva@cinmed.me</w:t>
        </w:r>
      </w:hyperlink>
    </w:p>
    <w:p w14:paraId="0A5576A5" w14:textId="77777777" w:rsidR="005A23D2" w:rsidRPr="00B46EA2" w:rsidRDefault="005A23D2" w:rsidP="00A46C9A">
      <w:pPr>
        <w:pStyle w:val="NoSpacing"/>
        <w:jc w:val="both"/>
        <w:rPr>
          <w:rFonts w:eastAsia="Calibri"/>
          <w:sz w:val="22"/>
          <w:szCs w:val="22"/>
          <w:lang w:val="sr-Latn-ME"/>
        </w:rPr>
      </w:pPr>
      <w:r w:rsidRPr="00B46EA2">
        <w:rPr>
          <w:rFonts w:eastAsia="Calibri"/>
          <w:sz w:val="22"/>
          <w:szCs w:val="22"/>
          <w:lang w:val="sr-Latn-ME"/>
        </w:rPr>
        <w:t>putem IS zdravstvene zaštite</w:t>
      </w:r>
    </w:p>
    <w:p w14:paraId="0BB54281" w14:textId="77777777" w:rsidR="007E31E9" w:rsidRPr="00B46EA2" w:rsidRDefault="007E31E9" w:rsidP="00A46C9A">
      <w:pPr>
        <w:pStyle w:val="NoSpacing"/>
        <w:jc w:val="both"/>
        <w:rPr>
          <w:rFonts w:eastAsia="Calibri"/>
          <w:sz w:val="22"/>
          <w:szCs w:val="22"/>
          <w:lang w:val="sr-Latn-ME"/>
        </w:rPr>
      </w:pPr>
      <w:r w:rsidRPr="00B46EA2">
        <w:rPr>
          <w:rFonts w:eastAsia="Calibri"/>
          <w:sz w:val="22"/>
          <w:szCs w:val="22"/>
          <w:lang w:val="sr-Latn-ME"/>
        </w:rPr>
        <w:t>QR kod za online prijavu</w:t>
      </w:r>
      <w:r w:rsidR="00D74CD2" w:rsidRPr="00B46EA2">
        <w:rPr>
          <w:rFonts w:eastAsia="Calibri"/>
          <w:sz w:val="22"/>
          <w:szCs w:val="22"/>
          <w:lang w:val="sr-Latn-ME"/>
        </w:rPr>
        <w:t xml:space="preserve"> sumnje na neželjeno dejstvo lijeka</w:t>
      </w:r>
      <w:r w:rsidRPr="00B46EA2">
        <w:rPr>
          <w:rFonts w:eastAsia="Calibri"/>
          <w:sz w:val="22"/>
          <w:szCs w:val="22"/>
          <w:lang w:val="sr-Latn-ME"/>
        </w:rPr>
        <w:t>:</w:t>
      </w:r>
    </w:p>
    <w:p w14:paraId="43C508EF" w14:textId="77777777" w:rsidR="004F17E2" w:rsidRPr="00B46EA2" w:rsidRDefault="004F17E2" w:rsidP="007E31E9">
      <w:pPr>
        <w:pStyle w:val="NoSpacing"/>
        <w:rPr>
          <w:rFonts w:eastAsia="Calibri"/>
          <w:sz w:val="22"/>
          <w:szCs w:val="22"/>
          <w:lang w:val="sr-Latn-ME"/>
        </w:rPr>
      </w:pPr>
    </w:p>
    <w:p w14:paraId="78F489E5" w14:textId="77777777" w:rsidR="00836B35" w:rsidRPr="00B46EA2" w:rsidRDefault="007F661E" w:rsidP="00480FB1">
      <w:pPr>
        <w:tabs>
          <w:tab w:val="left" w:pos="540"/>
          <w:tab w:val="left" w:pos="569"/>
        </w:tabs>
        <w:rPr>
          <w:b/>
          <w:bCs/>
          <w:sz w:val="22"/>
          <w:szCs w:val="22"/>
          <w:lang w:val="sr-Latn-ME"/>
        </w:rPr>
      </w:pPr>
      <w:r w:rsidRPr="00B46EA2">
        <w:rPr>
          <w:b/>
          <w:bCs/>
          <w:noProof/>
          <w:sz w:val="22"/>
          <w:szCs w:val="22"/>
          <w:lang w:val="sr-Latn-ME" w:eastAsia="sr-Latn-ME"/>
        </w:rPr>
        <w:drawing>
          <wp:inline distT="0" distB="0" distL="0" distR="0" wp14:anchorId="359E4420" wp14:editId="0990EA6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85B048F" w14:textId="77777777" w:rsidR="007F661E" w:rsidRPr="00B46EA2" w:rsidRDefault="007F661E" w:rsidP="00480FB1">
      <w:pPr>
        <w:tabs>
          <w:tab w:val="left" w:pos="540"/>
          <w:tab w:val="left" w:pos="569"/>
        </w:tabs>
        <w:rPr>
          <w:b/>
          <w:bCs/>
          <w:sz w:val="22"/>
          <w:szCs w:val="22"/>
          <w:lang w:val="sr-Latn-ME"/>
        </w:rPr>
      </w:pPr>
    </w:p>
    <w:p w14:paraId="36CAD138" w14:textId="77777777" w:rsidR="00CD6F02"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4.9. </w:t>
      </w:r>
      <w:r w:rsidR="00480FB1" w:rsidRPr="00B46EA2">
        <w:rPr>
          <w:b/>
          <w:bCs/>
          <w:sz w:val="22"/>
          <w:szCs w:val="22"/>
          <w:lang w:val="sr-Latn-ME"/>
        </w:rPr>
        <w:tab/>
      </w:r>
      <w:r w:rsidRPr="00B46EA2">
        <w:rPr>
          <w:b/>
          <w:bCs/>
          <w:sz w:val="22"/>
          <w:szCs w:val="22"/>
          <w:lang w:val="sr-Latn-ME"/>
        </w:rPr>
        <w:t>Predoziranje</w:t>
      </w:r>
      <w:r w:rsidR="002846DB" w:rsidRPr="00B46EA2">
        <w:rPr>
          <w:b/>
          <w:bCs/>
          <w:sz w:val="22"/>
          <w:szCs w:val="22"/>
          <w:lang w:val="sr-Latn-ME"/>
        </w:rPr>
        <w:t xml:space="preserve"> </w:t>
      </w:r>
    </w:p>
    <w:p w14:paraId="1DC92112" w14:textId="77777777" w:rsidR="00CD6F02" w:rsidRPr="00B46EA2" w:rsidRDefault="00CD6F02" w:rsidP="00480FB1">
      <w:pPr>
        <w:tabs>
          <w:tab w:val="left" w:pos="540"/>
          <w:tab w:val="left" w:pos="569"/>
        </w:tabs>
        <w:rPr>
          <w:b/>
          <w:bCs/>
          <w:sz w:val="22"/>
          <w:szCs w:val="22"/>
          <w:lang w:val="sr-Latn-ME"/>
        </w:rPr>
      </w:pPr>
    </w:p>
    <w:p w14:paraId="62B4AB30" w14:textId="540B4E6A" w:rsidR="00586CDF" w:rsidRPr="00B46EA2" w:rsidRDefault="00586CDF" w:rsidP="00586CDF">
      <w:pPr>
        <w:tabs>
          <w:tab w:val="left" w:pos="540"/>
          <w:tab w:val="left" w:pos="569"/>
        </w:tabs>
        <w:jc w:val="both"/>
        <w:rPr>
          <w:sz w:val="22"/>
          <w:szCs w:val="22"/>
          <w:lang w:val="sr-Latn-ME"/>
        </w:rPr>
      </w:pPr>
      <w:r w:rsidRPr="00B46EA2">
        <w:rPr>
          <w:sz w:val="22"/>
          <w:szCs w:val="22"/>
          <w:lang w:val="sr-Latn-ME"/>
        </w:rPr>
        <w:t>Ni</w:t>
      </w:r>
      <w:r w:rsidR="00F65A4F" w:rsidRPr="00B46EA2">
        <w:rPr>
          <w:sz w:val="22"/>
          <w:szCs w:val="22"/>
          <w:lang w:val="sr-Latn-ME"/>
        </w:rPr>
        <w:t>je</w:t>
      </w:r>
      <w:r w:rsidRPr="00B46EA2">
        <w:rPr>
          <w:sz w:val="22"/>
          <w:szCs w:val="22"/>
          <w:lang w:val="sr-Latn-ME"/>
        </w:rPr>
        <w:t>su prijavljeni slučajevi predoziranja l</w:t>
      </w:r>
      <w:r w:rsidR="0037033B">
        <w:rPr>
          <w:sz w:val="22"/>
          <w:szCs w:val="22"/>
          <w:lang w:val="sr-Latn-ME"/>
        </w:rPr>
        <w:t>ij</w:t>
      </w:r>
      <w:r w:rsidRPr="00B46EA2">
        <w:rPr>
          <w:sz w:val="22"/>
          <w:szCs w:val="22"/>
          <w:lang w:val="sr-Latn-ME"/>
        </w:rPr>
        <w:t>ekom CitraFleet ili sličnom kombinacijom natrijum</w:t>
      </w:r>
      <w:r w:rsidR="00BD6A96">
        <w:rPr>
          <w:sz w:val="22"/>
          <w:szCs w:val="22"/>
          <w:lang w:val="sr-Latn-ME"/>
        </w:rPr>
        <w:t xml:space="preserve"> </w:t>
      </w:r>
      <w:r w:rsidRPr="00B46EA2">
        <w:rPr>
          <w:sz w:val="22"/>
          <w:szCs w:val="22"/>
          <w:lang w:val="sr-Latn-ME"/>
        </w:rPr>
        <w:t>pikosulfata i magnezijum</w:t>
      </w:r>
      <w:r w:rsidR="00BD6A96">
        <w:rPr>
          <w:sz w:val="22"/>
          <w:szCs w:val="22"/>
          <w:lang w:val="sr-Latn-ME"/>
        </w:rPr>
        <w:t xml:space="preserve"> </w:t>
      </w:r>
      <w:r w:rsidRPr="00B46EA2">
        <w:rPr>
          <w:sz w:val="22"/>
          <w:szCs w:val="22"/>
          <w:lang w:val="sr-Latn-ME"/>
        </w:rPr>
        <w:t>citrata. Ipak, zbog njegovog mehanizma dejstva, predoziranje l</w:t>
      </w:r>
      <w:r w:rsidR="00F65A4F" w:rsidRPr="00B46EA2">
        <w:rPr>
          <w:sz w:val="22"/>
          <w:szCs w:val="22"/>
          <w:lang w:val="sr-Latn-ME"/>
        </w:rPr>
        <w:t>ij</w:t>
      </w:r>
      <w:r w:rsidRPr="00B46EA2">
        <w:rPr>
          <w:sz w:val="22"/>
          <w:szCs w:val="22"/>
          <w:lang w:val="sr-Latn-ME"/>
        </w:rPr>
        <w:t>kom CitraFleet moglo</w:t>
      </w:r>
      <w:r w:rsidR="00F65A4F" w:rsidRPr="00B46EA2">
        <w:rPr>
          <w:sz w:val="22"/>
          <w:szCs w:val="22"/>
          <w:lang w:val="sr-Latn-ME"/>
        </w:rPr>
        <w:t xml:space="preserve"> </w:t>
      </w:r>
      <w:r w:rsidRPr="00B46EA2">
        <w:rPr>
          <w:sz w:val="22"/>
          <w:szCs w:val="22"/>
          <w:lang w:val="sr-Latn-ME"/>
        </w:rPr>
        <w:t>bi dovesti do prekom</w:t>
      </w:r>
      <w:r w:rsidR="00F65A4F" w:rsidRPr="00B46EA2">
        <w:rPr>
          <w:sz w:val="22"/>
          <w:szCs w:val="22"/>
          <w:lang w:val="sr-Latn-ME"/>
        </w:rPr>
        <w:t>j</w:t>
      </w:r>
      <w:r w:rsidRPr="00B46EA2">
        <w:rPr>
          <w:sz w:val="22"/>
          <w:szCs w:val="22"/>
          <w:lang w:val="sr-Latn-ME"/>
        </w:rPr>
        <w:t>erne dijareje praćene dehidratacijom i gubitkom elektrolita. Dehidratacija može dovesti do ortostatske hipotenzije i vrtoglavice. Dehidrataciju i elektrolitni disbalans neophodno je korigovati unosom tečnosti i elektrolita.</w:t>
      </w:r>
    </w:p>
    <w:p w14:paraId="48066D34" w14:textId="465753FE" w:rsidR="00227BDB" w:rsidRDefault="00227BDB" w:rsidP="00480FB1">
      <w:pPr>
        <w:tabs>
          <w:tab w:val="left" w:pos="540"/>
          <w:tab w:val="left" w:pos="569"/>
        </w:tabs>
        <w:rPr>
          <w:b/>
          <w:bCs/>
          <w:sz w:val="22"/>
          <w:szCs w:val="22"/>
          <w:lang w:val="sr-Latn-ME"/>
        </w:rPr>
      </w:pPr>
    </w:p>
    <w:p w14:paraId="1F3DFFF5" w14:textId="77777777" w:rsidR="00433733" w:rsidRPr="00B46EA2" w:rsidRDefault="00433733" w:rsidP="00480FB1">
      <w:pPr>
        <w:tabs>
          <w:tab w:val="left" w:pos="540"/>
          <w:tab w:val="left" w:pos="569"/>
        </w:tabs>
        <w:rPr>
          <w:b/>
          <w:bCs/>
          <w:sz w:val="22"/>
          <w:szCs w:val="22"/>
          <w:lang w:val="sr-Latn-ME"/>
        </w:rPr>
      </w:pPr>
    </w:p>
    <w:p w14:paraId="3998508A"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5. </w:t>
      </w:r>
      <w:r w:rsidR="00480FB1" w:rsidRPr="00B46EA2">
        <w:rPr>
          <w:b/>
          <w:bCs/>
          <w:sz w:val="22"/>
          <w:szCs w:val="22"/>
          <w:lang w:val="sr-Latn-ME"/>
        </w:rPr>
        <w:tab/>
      </w:r>
      <w:r w:rsidRPr="00B46EA2">
        <w:rPr>
          <w:b/>
          <w:bCs/>
          <w:sz w:val="22"/>
          <w:szCs w:val="22"/>
          <w:lang w:val="sr-Latn-ME"/>
        </w:rPr>
        <w:t>FARMAKOLOŠK</w:t>
      </w:r>
      <w:r w:rsidR="000D425A" w:rsidRPr="00B46EA2">
        <w:rPr>
          <w:b/>
          <w:bCs/>
          <w:sz w:val="22"/>
          <w:szCs w:val="22"/>
          <w:lang w:val="sr-Latn-ME"/>
        </w:rPr>
        <w:t>I</w:t>
      </w:r>
      <w:r w:rsidRPr="00B46EA2">
        <w:rPr>
          <w:b/>
          <w:bCs/>
          <w:sz w:val="22"/>
          <w:szCs w:val="22"/>
          <w:lang w:val="sr-Latn-ME"/>
        </w:rPr>
        <w:t xml:space="preserve"> PODACI</w:t>
      </w:r>
    </w:p>
    <w:p w14:paraId="23568026" w14:textId="77777777" w:rsidR="0072020E" w:rsidRPr="00B46EA2" w:rsidRDefault="0072020E" w:rsidP="00480FB1">
      <w:pPr>
        <w:tabs>
          <w:tab w:val="left" w:pos="540"/>
          <w:tab w:val="left" w:pos="569"/>
        </w:tabs>
        <w:rPr>
          <w:b/>
          <w:bCs/>
          <w:sz w:val="22"/>
          <w:szCs w:val="22"/>
          <w:lang w:val="sr-Latn-ME"/>
        </w:rPr>
      </w:pPr>
    </w:p>
    <w:p w14:paraId="487EE641"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5.1. </w:t>
      </w:r>
      <w:r w:rsidR="00480FB1" w:rsidRPr="00B46EA2">
        <w:rPr>
          <w:b/>
          <w:bCs/>
          <w:sz w:val="22"/>
          <w:szCs w:val="22"/>
          <w:lang w:val="sr-Latn-ME"/>
        </w:rPr>
        <w:tab/>
      </w:r>
      <w:r w:rsidRPr="00B46EA2">
        <w:rPr>
          <w:b/>
          <w:bCs/>
          <w:sz w:val="22"/>
          <w:szCs w:val="22"/>
          <w:lang w:val="sr-Latn-ME"/>
        </w:rPr>
        <w:t>Farmakodinamski podaci</w:t>
      </w:r>
      <w:r w:rsidR="003A7059" w:rsidRPr="00B46EA2">
        <w:rPr>
          <w:b/>
          <w:bCs/>
          <w:sz w:val="22"/>
          <w:szCs w:val="22"/>
          <w:lang w:val="sr-Latn-ME"/>
        </w:rPr>
        <w:t xml:space="preserve"> </w:t>
      </w:r>
    </w:p>
    <w:p w14:paraId="47542B26" w14:textId="77777777" w:rsidR="00F45F77" w:rsidRPr="00B46EA2" w:rsidRDefault="00F45F77" w:rsidP="00480FB1">
      <w:pPr>
        <w:tabs>
          <w:tab w:val="left" w:pos="540"/>
          <w:tab w:val="left" w:pos="569"/>
        </w:tabs>
        <w:rPr>
          <w:b/>
          <w:bCs/>
          <w:sz w:val="22"/>
          <w:szCs w:val="22"/>
          <w:lang w:val="sr-Latn-ME"/>
        </w:rPr>
      </w:pPr>
    </w:p>
    <w:p w14:paraId="03081AFD" w14:textId="13CB7362" w:rsidR="0072020E" w:rsidRPr="00B46EA2" w:rsidRDefault="0072020E" w:rsidP="00480FB1">
      <w:pPr>
        <w:tabs>
          <w:tab w:val="left" w:pos="540"/>
          <w:tab w:val="left" w:pos="569"/>
        </w:tabs>
        <w:rPr>
          <w:bCs/>
          <w:sz w:val="22"/>
          <w:szCs w:val="22"/>
          <w:lang w:val="sr-Latn-ME"/>
        </w:rPr>
      </w:pPr>
      <w:r w:rsidRPr="00B46EA2">
        <w:rPr>
          <w:bCs/>
          <w:sz w:val="22"/>
          <w:szCs w:val="22"/>
          <w:lang w:val="sr-Latn-ME"/>
        </w:rPr>
        <w:t>Farmakoterapijska grupa:</w:t>
      </w:r>
      <w:r w:rsidR="00586CDF" w:rsidRPr="00B46EA2">
        <w:rPr>
          <w:bCs/>
          <w:sz w:val="22"/>
          <w:szCs w:val="22"/>
          <w:lang w:val="sr-Latn-ME"/>
        </w:rPr>
        <w:t xml:space="preserve"> ljekovi za konstipaciju, kontaktni laksativi</w:t>
      </w:r>
    </w:p>
    <w:p w14:paraId="690008A4" w14:textId="77777777" w:rsidR="0072020E" w:rsidRPr="00B46EA2" w:rsidRDefault="0072020E" w:rsidP="00480FB1">
      <w:pPr>
        <w:tabs>
          <w:tab w:val="left" w:pos="540"/>
          <w:tab w:val="left" w:pos="569"/>
        </w:tabs>
        <w:rPr>
          <w:bCs/>
          <w:sz w:val="22"/>
          <w:szCs w:val="22"/>
          <w:lang w:val="sr-Latn-ME"/>
        </w:rPr>
      </w:pPr>
    </w:p>
    <w:p w14:paraId="41586647" w14:textId="4003E4A1" w:rsidR="0072020E" w:rsidRPr="00B46EA2" w:rsidRDefault="0072020E" w:rsidP="00480FB1">
      <w:pPr>
        <w:tabs>
          <w:tab w:val="left" w:pos="540"/>
          <w:tab w:val="left" w:pos="569"/>
        </w:tabs>
        <w:rPr>
          <w:bCs/>
          <w:sz w:val="22"/>
          <w:szCs w:val="22"/>
          <w:lang w:val="sr-Latn-ME"/>
        </w:rPr>
      </w:pPr>
      <w:r w:rsidRPr="00B46EA2">
        <w:rPr>
          <w:bCs/>
          <w:sz w:val="22"/>
          <w:szCs w:val="22"/>
          <w:lang w:val="sr-Latn-ME"/>
        </w:rPr>
        <w:t>ATC kod:</w:t>
      </w:r>
      <w:r w:rsidR="00586CDF" w:rsidRPr="00B46EA2">
        <w:rPr>
          <w:bCs/>
          <w:sz w:val="22"/>
          <w:szCs w:val="22"/>
          <w:lang w:val="sr-Latn-ME"/>
        </w:rPr>
        <w:t xml:space="preserve"> A06AB58</w:t>
      </w:r>
    </w:p>
    <w:p w14:paraId="421CF7D2" w14:textId="77777777" w:rsidR="004338E1" w:rsidRPr="00B46EA2" w:rsidRDefault="004338E1" w:rsidP="00480FB1">
      <w:pPr>
        <w:tabs>
          <w:tab w:val="left" w:pos="540"/>
          <w:tab w:val="left" w:pos="569"/>
        </w:tabs>
        <w:rPr>
          <w:bCs/>
          <w:sz w:val="22"/>
          <w:szCs w:val="22"/>
          <w:lang w:val="sr-Latn-ME"/>
        </w:rPr>
      </w:pPr>
    </w:p>
    <w:p w14:paraId="1B94CC27" w14:textId="29B769D7"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Aktivne supstance lijeka CitraFleet su natrijum</w:t>
      </w:r>
      <w:r w:rsidR="00BD6A96">
        <w:rPr>
          <w:bCs/>
          <w:sz w:val="22"/>
          <w:szCs w:val="22"/>
          <w:lang w:val="sr-Latn-ME"/>
        </w:rPr>
        <w:t xml:space="preserve"> </w:t>
      </w:r>
      <w:r w:rsidRPr="00B46EA2">
        <w:rPr>
          <w:bCs/>
          <w:sz w:val="22"/>
          <w:szCs w:val="22"/>
          <w:lang w:val="sr-Latn-ME"/>
        </w:rPr>
        <w:t>pikosulfat i magnezijum</w:t>
      </w:r>
      <w:r w:rsidR="00BD6A96">
        <w:rPr>
          <w:bCs/>
          <w:sz w:val="22"/>
          <w:szCs w:val="22"/>
          <w:lang w:val="sr-Latn-ME"/>
        </w:rPr>
        <w:t xml:space="preserve"> </w:t>
      </w:r>
      <w:r w:rsidRPr="00B46EA2">
        <w:rPr>
          <w:bCs/>
          <w:sz w:val="22"/>
          <w:szCs w:val="22"/>
          <w:lang w:val="sr-Latn-ME"/>
        </w:rPr>
        <w:t>citrat.</w:t>
      </w:r>
    </w:p>
    <w:p w14:paraId="19FC2175" w14:textId="5444ABCF" w:rsidR="00B67151" w:rsidRPr="00B46EA2" w:rsidRDefault="00B67151" w:rsidP="004338E1">
      <w:pPr>
        <w:tabs>
          <w:tab w:val="left" w:pos="540"/>
          <w:tab w:val="left" w:pos="569"/>
        </w:tabs>
        <w:jc w:val="both"/>
        <w:rPr>
          <w:bCs/>
          <w:sz w:val="22"/>
          <w:szCs w:val="22"/>
          <w:lang w:val="sr-Latn-ME"/>
        </w:rPr>
      </w:pPr>
      <w:r w:rsidRPr="00ED5466">
        <w:rPr>
          <w:bCs/>
          <w:noProof/>
          <w:sz w:val="22"/>
          <w:szCs w:val="22"/>
          <w:lang w:val="sr-Latn-ME"/>
        </w:rPr>
        <w:t>Natrijum pikosulfat, stimulans katartik, aktivan je lokalno u debelom crijevu, a magnezijum citrat d</w:t>
      </w:r>
      <w:r w:rsidR="009F0648" w:rsidRPr="00B46EA2">
        <w:rPr>
          <w:bCs/>
          <w:noProof/>
          <w:sz w:val="22"/>
          <w:szCs w:val="22"/>
          <w:lang w:val="sr-Latn-ME"/>
        </w:rPr>
        <w:t>j</w:t>
      </w:r>
      <w:r w:rsidRPr="00FC2808">
        <w:rPr>
          <w:bCs/>
          <w:noProof/>
          <w:sz w:val="22"/>
          <w:szCs w:val="22"/>
          <w:lang w:val="sr-Latn-ME"/>
        </w:rPr>
        <w:t>eluje kao osmotski laksativ zadržavajući vlagu u debelom crijevu</w:t>
      </w:r>
      <w:r w:rsidRPr="00B46EA2">
        <w:rPr>
          <w:bCs/>
          <w:noProof/>
          <w:sz w:val="22"/>
          <w:szCs w:val="22"/>
          <w:lang w:val="sr-Latn-ME"/>
        </w:rPr>
        <w:t>.</w:t>
      </w:r>
    </w:p>
    <w:p w14:paraId="3668A53F" w14:textId="5643A4B2"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Natrijum</w:t>
      </w:r>
      <w:r w:rsidR="00BD6A96">
        <w:rPr>
          <w:bCs/>
          <w:sz w:val="22"/>
          <w:szCs w:val="22"/>
          <w:lang w:val="sr-Latn-ME"/>
        </w:rPr>
        <w:t xml:space="preserve"> </w:t>
      </w:r>
      <w:r w:rsidRPr="00B46EA2">
        <w:rPr>
          <w:bCs/>
          <w:sz w:val="22"/>
          <w:szCs w:val="22"/>
          <w:lang w:val="sr-Latn-ME"/>
        </w:rPr>
        <w:t>pikosulfat je lokalno djelujući laksativ koji nakon razgradnje pod uticajem bakterija u kolonu formira aktivno jedinjenje sa laksativnim djelovanjem, bis-(p-hidroksifenil)-piridil-2-metan (BHPM), koje ima dvostruko d</w:t>
      </w:r>
      <w:r w:rsidR="00F8571D" w:rsidRPr="00B46EA2">
        <w:rPr>
          <w:bCs/>
          <w:sz w:val="22"/>
          <w:szCs w:val="22"/>
          <w:lang w:val="sr-Latn-ME"/>
        </w:rPr>
        <w:t>j</w:t>
      </w:r>
      <w:r w:rsidRPr="00B46EA2">
        <w:rPr>
          <w:bCs/>
          <w:sz w:val="22"/>
          <w:szCs w:val="22"/>
          <w:lang w:val="sr-Latn-ME"/>
        </w:rPr>
        <w:t>elovanje: stimulaciju sluzokože debelog cr</w:t>
      </w:r>
      <w:r w:rsidR="00F8571D" w:rsidRPr="00B46EA2">
        <w:rPr>
          <w:bCs/>
          <w:sz w:val="22"/>
          <w:szCs w:val="22"/>
          <w:lang w:val="sr-Latn-ME"/>
        </w:rPr>
        <w:t>ij</w:t>
      </w:r>
      <w:r w:rsidRPr="00B46EA2">
        <w:rPr>
          <w:bCs/>
          <w:sz w:val="22"/>
          <w:szCs w:val="22"/>
          <w:lang w:val="sr-Latn-ME"/>
        </w:rPr>
        <w:t>eva i rektuma.</w:t>
      </w:r>
    </w:p>
    <w:p w14:paraId="67983AC0" w14:textId="217655AA"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Magnezijum</w:t>
      </w:r>
      <w:r w:rsidR="00BD6A96">
        <w:rPr>
          <w:bCs/>
          <w:sz w:val="22"/>
          <w:szCs w:val="22"/>
          <w:lang w:val="sr-Latn-ME"/>
        </w:rPr>
        <w:t xml:space="preserve"> </w:t>
      </w:r>
      <w:r w:rsidRPr="00B46EA2">
        <w:rPr>
          <w:bCs/>
          <w:sz w:val="22"/>
          <w:szCs w:val="22"/>
          <w:lang w:val="sr-Latn-ME"/>
        </w:rPr>
        <w:t>citrat djeluje kao osmotski laksativ zadržavajući tečnost u crijevima.</w:t>
      </w:r>
    </w:p>
    <w:p w14:paraId="5612C1EC" w14:textId="33EF3B91"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Kombinovano djelovanje ove dvije supstance dovodi do efekta „ispiranja” i, zajedno sa stimulacijom peristaltike,</w:t>
      </w:r>
      <w:r w:rsidR="00F8571D" w:rsidRPr="00B46EA2">
        <w:rPr>
          <w:bCs/>
          <w:sz w:val="22"/>
          <w:szCs w:val="22"/>
          <w:lang w:val="sr-Latn-ME"/>
        </w:rPr>
        <w:t xml:space="preserve"> </w:t>
      </w:r>
      <w:r w:rsidRPr="00B46EA2">
        <w:rPr>
          <w:bCs/>
          <w:sz w:val="22"/>
          <w:szCs w:val="22"/>
          <w:lang w:val="sr-Latn-ME"/>
        </w:rPr>
        <w:t>omogućava pražnjenje crijeva koje je neophodno pr</w:t>
      </w:r>
      <w:r w:rsidR="00F8571D" w:rsidRPr="00B46EA2">
        <w:rPr>
          <w:bCs/>
          <w:sz w:val="22"/>
          <w:szCs w:val="22"/>
          <w:lang w:val="sr-Latn-ME"/>
        </w:rPr>
        <w:t>ij</w:t>
      </w:r>
      <w:r w:rsidRPr="00B46EA2">
        <w:rPr>
          <w:bCs/>
          <w:sz w:val="22"/>
          <w:szCs w:val="22"/>
          <w:lang w:val="sr-Latn-ME"/>
        </w:rPr>
        <w:t>e radiografije, kolonoskopije ili hirurgije.</w:t>
      </w:r>
    </w:p>
    <w:p w14:paraId="28A66356" w14:textId="75A6870D"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Lijek CitraFleet nije nam</w:t>
      </w:r>
      <w:r w:rsidR="00F8571D" w:rsidRPr="00B46EA2">
        <w:rPr>
          <w:bCs/>
          <w:sz w:val="22"/>
          <w:szCs w:val="22"/>
          <w:lang w:val="sr-Latn-ME"/>
        </w:rPr>
        <w:t>ij</w:t>
      </w:r>
      <w:r w:rsidRPr="00B46EA2">
        <w:rPr>
          <w:bCs/>
          <w:sz w:val="22"/>
          <w:szCs w:val="22"/>
          <w:lang w:val="sr-Latn-ME"/>
        </w:rPr>
        <w:t>enjen za korišćenje kao rutinski laksativ.</w:t>
      </w:r>
    </w:p>
    <w:p w14:paraId="123DA39A" w14:textId="77777777" w:rsidR="004338E1" w:rsidRPr="00B46EA2" w:rsidRDefault="004338E1" w:rsidP="004338E1">
      <w:pPr>
        <w:tabs>
          <w:tab w:val="left" w:pos="540"/>
          <w:tab w:val="left" w:pos="569"/>
        </w:tabs>
        <w:jc w:val="both"/>
        <w:rPr>
          <w:bCs/>
          <w:sz w:val="22"/>
          <w:szCs w:val="22"/>
          <w:lang w:val="sr-Latn-ME"/>
        </w:rPr>
      </w:pPr>
    </w:p>
    <w:p w14:paraId="61B9F7C0" w14:textId="0AE62EA9"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U randomizovanoj, multicentričnoj studiji kod odraslih osoba, ispitivano je pražnjenje crijeva prije kolonoskopije korišćenjem dva različita režima uzimanja lijeka CitraFleet i preparata Klean-Prep (koji sadrži 59 g polietilen glikola 3350, 5,685 g anhidrovanog natrijum</w:t>
      </w:r>
      <w:r w:rsidR="00BD6A96">
        <w:rPr>
          <w:bCs/>
          <w:sz w:val="22"/>
          <w:szCs w:val="22"/>
          <w:lang w:val="sr-Latn-ME"/>
        </w:rPr>
        <w:t xml:space="preserve"> </w:t>
      </w:r>
      <w:r w:rsidRPr="00B46EA2">
        <w:rPr>
          <w:bCs/>
          <w:sz w:val="22"/>
          <w:szCs w:val="22"/>
          <w:lang w:val="sr-Latn-ME"/>
        </w:rPr>
        <w:t>sulfata, 1,685 g natrijum</w:t>
      </w:r>
      <w:r w:rsidR="00BD6A96">
        <w:rPr>
          <w:bCs/>
          <w:sz w:val="22"/>
          <w:szCs w:val="22"/>
          <w:lang w:val="sr-Latn-ME"/>
        </w:rPr>
        <w:t xml:space="preserve"> </w:t>
      </w:r>
      <w:r w:rsidRPr="00B46EA2">
        <w:rPr>
          <w:bCs/>
          <w:sz w:val="22"/>
          <w:szCs w:val="22"/>
          <w:lang w:val="sr-Latn-ME"/>
        </w:rPr>
        <w:t>bikarbonata, 1,465 g natrijum</w:t>
      </w:r>
      <w:r w:rsidR="00BD6A96">
        <w:rPr>
          <w:bCs/>
          <w:sz w:val="22"/>
          <w:szCs w:val="22"/>
          <w:lang w:val="sr-Latn-ME"/>
        </w:rPr>
        <w:t xml:space="preserve"> </w:t>
      </w:r>
      <w:r w:rsidRPr="00B46EA2">
        <w:rPr>
          <w:bCs/>
          <w:sz w:val="22"/>
          <w:szCs w:val="22"/>
          <w:lang w:val="sr-Latn-ME"/>
        </w:rPr>
        <w:t>hlorida i 0,7425 g kalijum</w:t>
      </w:r>
      <w:r w:rsidR="00BD6A96">
        <w:rPr>
          <w:bCs/>
          <w:sz w:val="22"/>
          <w:szCs w:val="22"/>
          <w:lang w:val="sr-Latn-ME"/>
        </w:rPr>
        <w:t xml:space="preserve"> </w:t>
      </w:r>
      <w:r w:rsidRPr="00B46EA2">
        <w:rPr>
          <w:bCs/>
          <w:sz w:val="22"/>
          <w:szCs w:val="22"/>
          <w:lang w:val="sr-Latn-ME"/>
        </w:rPr>
        <w:t xml:space="preserve">hlorida u jednoj kesici, a koji se rastvara u 1 litar vode). </w:t>
      </w:r>
      <w:r w:rsidRPr="00B46EA2">
        <w:rPr>
          <w:bCs/>
          <w:sz w:val="22"/>
          <w:szCs w:val="22"/>
          <w:lang w:val="sr-Latn-ME"/>
        </w:rPr>
        <w:lastRenderedPageBreak/>
        <w:t>Grupe pacijenata su uzimale: lijek CitraFleet kasnije tokom dana, dan pr</w:t>
      </w:r>
      <w:r w:rsidR="00F8571D" w:rsidRPr="00B46EA2">
        <w:rPr>
          <w:bCs/>
          <w:sz w:val="22"/>
          <w:szCs w:val="22"/>
          <w:lang w:val="sr-Latn-ME"/>
        </w:rPr>
        <w:t>ij</w:t>
      </w:r>
      <w:r w:rsidRPr="00B46EA2">
        <w:rPr>
          <w:bCs/>
          <w:sz w:val="22"/>
          <w:szCs w:val="22"/>
          <w:lang w:val="sr-Latn-ME"/>
        </w:rPr>
        <w:t>e izvođenja procedure (2</w:t>
      </w:r>
      <w:r w:rsidR="00FE2758" w:rsidRPr="00B46EA2">
        <w:rPr>
          <w:bCs/>
          <w:sz w:val="22"/>
          <w:szCs w:val="22"/>
          <w:lang w:val="sr-Latn-ME"/>
        </w:rPr>
        <w:t xml:space="preserve"> </w:t>
      </w:r>
      <w:r w:rsidRPr="00B46EA2">
        <w:rPr>
          <w:bCs/>
          <w:sz w:val="22"/>
          <w:szCs w:val="22"/>
          <w:lang w:val="sr-Latn-ME"/>
        </w:rPr>
        <w:t>kesice, sa 5 sati razmaka tokom popodneva i večeri, dan pr</w:t>
      </w:r>
      <w:r w:rsidR="00F8571D" w:rsidRPr="00B46EA2">
        <w:rPr>
          <w:bCs/>
          <w:sz w:val="22"/>
          <w:szCs w:val="22"/>
          <w:lang w:val="sr-Latn-ME"/>
        </w:rPr>
        <w:t>ij</w:t>
      </w:r>
      <w:r w:rsidRPr="00B46EA2">
        <w:rPr>
          <w:bCs/>
          <w:sz w:val="22"/>
          <w:szCs w:val="22"/>
          <w:lang w:val="sr-Latn-ME"/>
        </w:rPr>
        <w:t>e kolonoskopije, n = 229); na dan pr</w:t>
      </w:r>
      <w:r w:rsidR="00F8571D" w:rsidRPr="00B46EA2">
        <w:rPr>
          <w:bCs/>
          <w:sz w:val="22"/>
          <w:szCs w:val="22"/>
          <w:lang w:val="sr-Latn-ME"/>
        </w:rPr>
        <w:t>ij</w:t>
      </w:r>
      <w:r w:rsidRPr="00B46EA2">
        <w:rPr>
          <w:bCs/>
          <w:sz w:val="22"/>
          <w:szCs w:val="22"/>
          <w:lang w:val="sr-Latn-ME"/>
        </w:rPr>
        <w:t>e kolonoskopije Klean-Prep (4 kesice prim</w:t>
      </w:r>
      <w:r w:rsidR="00F8571D" w:rsidRPr="00B46EA2">
        <w:rPr>
          <w:bCs/>
          <w:sz w:val="22"/>
          <w:szCs w:val="22"/>
          <w:lang w:val="sr-Latn-ME"/>
        </w:rPr>
        <w:t>i</w:t>
      </w:r>
      <w:r w:rsidRPr="00B46EA2">
        <w:rPr>
          <w:bCs/>
          <w:sz w:val="22"/>
          <w:szCs w:val="22"/>
          <w:lang w:val="sr-Latn-ME"/>
        </w:rPr>
        <w:t>jenjene tokom popodneva i večeri dan prije kolonoskopije, n = 227); ujutro na dan kolonoskopije lijek CitraFleet (2 kesice, sa 3 sata razmaka ujutro pr</w:t>
      </w:r>
      <w:r w:rsidR="00F8571D" w:rsidRPr="00B46EA2">
        <w:rPr>
          <w:bCs/>
          <w:sz w:val="22"/>
          <w:szCs w:val="22"/>
          <w:lang w:val="sr-Latn-ME"/>
        </w:rPr>
        <w:t>ij</w:t>
      </w:r>
      <w:r w:rsidRPr="00B46EA2">
        <w:rPr>
          <w:bCs/>
          <w:sz w:val="22"/>
          <w:szCs w:val="22"/>
          <w:lang w:val="sr-Latn-ME"/>
        </w:rPr>
        <w:t>e kolonoskopije, n = 56). Stepen pražnjenja je proc</w:t>
      </w:r>
      <w:r w:rsidR="00F8571D" w:rsidRPr="00B46EA2">
        <w:rPr>
          <w:bCs/>
          <w:sz w:val="22"/>
          <w:szCs w:val="22"/>
          <w:lang w:val="sr-Latn-ME"/>
        </w:rPr>
        <w:t>je</w:t>
      </w:r>
      <w:r w:rsidRPr="00B46EA2">
        <w:rPr>
          <w:bCs/>
          <w:sz w:val="22"/>
          <w:szCs w:val="22"/>
          <w:lang w:val="sr-Latn-ME"/>
        </w:rPr>
        <w:t>njivan korišćenjem skale (odlično, dobro, solidno i loše). Dobri/odlični rezultati pražnjenja crijeva prijavljeni su kod 68,1% pacijenata u prvoj grupi (statistički se ne razlikuje od grupe pacijenata koji su koristili Klean-Prep), dok je značajno veći procenat pacijenata imao dobre/odlične rezultate pražnjenja cr</w:t>
      </w:r>
      <w:r w:rsidR="00F547CA" w:rsidRPr="00B46EA2">
        <w:rPr>
          <w:bCs/>
          <w:sz w:val="22"/>
          <w:szCs w:val="22"/>
          <w:lang w:val="sr-Latn-ME"/>
        </w:rPr>
        <w:t>ij</w:t>
      </w:r>
      <w:r w:rsidRPr="00B46EA2">
        <w:rPr>
          <w:bCs/>
          <w:sz w:val="22"/>
          <w:szCs w:val="22"/>
          <w:lang w:val="sr-Latn-ME"/>
        </w:rPr>
        <w:t>eva sa lijekom CitraFleet prim</w:t>
      </w:r>
      <w:r w:rsidR="00F8571D" w:rsidRPr="00B46EA2">
        <w:rPr>
          <w:bCs/>
          <w:sz w:val="22"/>
          <w:szCs w:val="22"/>
          <w:lang w:val="sr-Latn-ME"/>
        </w:rPr>
        <w:t>ij</w:t>
      </w:r>
      <w:r w:rsidRPr="00B46EA2">
        <w:rPr>
          <w:bCs/>
          <w:sz w:val="22"/>
          <w:szCs w:val="22"/>
          <w:lang w:val="sr-Latn-ME"/>
        </w:rPr>
        <w:t>enjenim ujutro pr</w:t>
      </w:r>
      <w:r w:rsidR="00F8571D" w:rsidRPr="00B46EA2">
        <w:rPr>
          <w:bCs/>
          <w:sz w:val="22"/>
          <w:szCs w:val="22"/>
          <w:lang w:val="sr-Latn-ME"/>
        </w:rPr>
        <w:t>ij</w:t>
      </w:r>
      <w:r w:rsidRPr="00B46EA2">
        <w:rPr>
          <w:bCs/>
          <w:sz w:val="22"/>
          <w:szCs w:val="22"/>
          <w:lang w:val="sr-Latn-ME"/>
        </w:rPr>
        <w:t>e kolonoskopije u poređenju sa oba režima primjene preparata prethodnog dana (p &lt;0,05). Oba CitraFleet režima su oc</w:t>
      </w:r>
      <w:r w:rsidR="00F8571D" w:rsidRPr="00B46EA2">
        <w:rPr>
          <w:bCs/>
          <w:sz w:val="22"/>
          <w:szCs w:val="22"/>
          <w:lang w:val="sr-Latn-ME"/>
        </w:rPr>
        <w:t>ij</w:t>
      </w:r>
      <w:r w:rsidRPr="00B46EA2">
        <w:rPr>
          <w:bCs/>
          <w:sz w:val="22"/>
          <w:szCs w:val="22"/>
          <w:lang w:val="sr-Latn-ME"/>
        </w:rPr>
        <w:t>enjena kao značajno lakša za pacijente nego Klean-Prep (p &lt;0,001). Svi režimi su dobro podnijeti, sa samo 2,2% pacijenata iz prve grupe koji su imali neželjena dejstva. Ozbiljnih neželjenih dejstava nije bilo.</w:t>
      </w:r>
    </w:p>
    <w:p w14:paraId="3662726B" w14:textId="77777777" w:rsidR="004338E1" w:rsidRPr="00B46EA2" w:rsidRDefault="004338E1" w:rsidP="004338E1">
      <w:pPr>
        <w:tabs>
          <w:tab w:val="left" w:pos="540"/>
          <w:tab w:val="left" w:pos="569"/>
        </w:tabs>
        <w:jc w:val="both"/>
        <w:rPr>
          <w:bCs/>
          <w:sz w:val="22"/>
          <w:szCs w:val="22"/>
          <w:lang w:val="sr-Latn-ME"/>
        </w:rPr>
      </w:pPr>
    </w:p>
    <w:p w14:paraId="20D56F28" w14:textId="0B5ACC38"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U randomizovanoj, multicentričnoj studiji kod odraslih osoba, poređeno je pražnjenje crijeva prije kolonoskopije korišćenjem dva različita režima uzimanja lijeka CitraFleet: režim pod</w:t>
      </w:r>
      <w:r w:rsidR="00F547CA" w:rsidRPr="00B46EA2">
        <w:rPr>
          <w:bCs/>
          <w:sz w:val="22"/>
          <w:szCs w:val="22"/>
          <w:lang w:val="sr-Latn-ME"/>
        </w:rPr>
        <w:t>ij</w:t>
      </w:r>
      <w:r w:rsidRPr="00B46EA2">
        <w:rPr>
          <w:bCs/>
          <w:sz w:val="22"/>
          <w:szCs w:val="22"/>
          <w:lang w:val="sr-Latn-ME"/>
        </w:rPr>
        <w:t>eljene doze (1 kesica uveče prethodnog dana i još jedna kesica ujutro prije kolonoskopije, n = 159) i režim ranog uzimanja prethodnog dana (1 kesica pr</w:t>
      </w:r>
      <w:r w:rsidR="00F547CA" w:rsidRPr="00B46EA2">
        <w:rPr>
          <w:bCs/>
          <w:sz w:val="22"/>
          <w:szCs w:val="22"/>
          <w:lang w:val="sr-Latn-ME"/>
        </w:rPr>
        <w:t>ij</w:t>
      </w:r>
      <w:r w:rsidRPr="00B46EA2">
        <w:rPr>
          <w:bCs/>
          <w:sz w:val="22"/>
          <w:szCs w:val="22"/>
          <w:lang w:val="sr-Latn-ME"/>
        </w:rPr>
        <w:t>e 8 sati dan pr</w:t>
      </w:r>
      <w:r w:rsidR="00F547CA" w:rsidRPr="00B46EA2">
        <w:rPr>
          <w:bCs/>
          <w:sz w:val="22"/>
          <w:szCs w:val="22"/>
          <w:lang w:val="sr-Latn-ME"/>
        </w:rPr>
        <w:t>i</w:t>
      </w:r>
      <w:r w:rsidR="00C978F1" w:rsidRPr="00B46EA2">
        <w:rPr>
          <w:bCs/>
          <w:sz w:val="22"/>
          <w:szCs w:val="22"/>
          <w:lang w:val="sr-Latn-ME"/>
        </w:rPr>
        <w:t>j</w:t>
      </w:r>
      <w:r w:rsidRPr="00B46EA2">
        <w:rPr>
          <w:bCs/>
          <w:sz w:val="22"/>
          <w:szCs w:val="22"/>
          <w:lang w:val="sr-Latn-ME"/>
        </w:rPr>
        <w:t>e kolonoskopije i druga 6-8 sati kasnije, n = 156). Stepen pražnjenja crijeva je proc</w:t>
      </w:r>
      <w:r w:rsidR="00F547CA" w:rsidRPr="00B46EA2">
        <w:rPr>
          <w:bCs/>
          <w:sz w:val="22"/>
          <w:szCs w:val="22"/>
          <w:lang w:val="sr-Latn-ME"/>
        </w:rPr>
        <w:t>j</w:t>
      </w:r>
      <w:r w:rsidRPr="00B46EA2">
        <w:rPr>
          <w:bCs/>
          <w:sz w:val="22"/>
          <w:szCs w:val="22"/>
          <w:lang w:val="sr-Latn-ME"/>
        </w:rPr>
        <w:t>enjivan korišćenjem skale (odlično, dobro, solidno i loše). Značajno veći procenat pacijenata na režimu pod</w:t>
      </w:r>
      <w:r w:rsidR="00F547CA" w:rsidRPr="00B46EA2">
        <w:rPr>
          <w:bCs/>
          <w:sz w:val="22"/>
          <w:szCs w:val="22"/>
          <w:lang w:val="sr-Latn-ME"/>
        </w:rPr>
        <w:t>ij</w:t>
      </w:r>
      <w:r w:rsidRPr="00B46EA2">
        <w:rPr>
          <w:bCs/>
          <w:sz w:val="22"/>
          <w:szCs w:val="22"/>
          <w:lang w:val="sr-Latn-ME"/>
        </w:rPr>
        <w:t>eljene doze je imao dobro/odlično pražnjenje (79,9% u odnosu na 30,8% rano prethodnog dana, p &lt;0,0001). Više od 93% pacijenata u ob</w:t>
      </w:r>
      <w:r w:rsidR="00F547CA" w:rsidRPr="00B46EA2">
        <w:rPr>
          <w:bCs/>
          <w:sz w:val="22"/>
          <w:szCs w:val="22"/>
          <w:lang w:val="sr-Latn-ME"/>
        </w:rPr>
        <w:t>ij</w:t>
      </w:r>
      <w:r w:rsidRPr="00B46EA2">
        <w:rPr>
          <w:bCs/>
          <w:sz w:val="22"/>
          <w:szCs w:val="22"/>
          <w:lang w:val="sr-Latn-ME"/>
        </w:rPr>
        <w:t>e grupe oc</w:t>
      </w:r>
      <w:r w:rsidR="00F547CA" w:rsidRPr="00B46EA2">
        <w:rPr>
          <w:bCs/>
          <w:sz w:val="22"/>
          <w:szCs w:val="22"/>
          <w:lang w:val="sr-Latn-ME"/>
        </w:rPr>
        <w:t>ij</w:t>
      </w:r>
      <w:r w:rsidRPr="00B46EA2">
        <w:rPr>
          <w:bCs/>
          <w:sz w:val="22"/>
          <w:szCs w:val="22"/>
          <w:lang w:val="sr-Latn-ME"/>
        </w:rPr>
        <w:t>enio je režime kao "laki" ili "veoma laki" za primjenu. Oba režima su dobro tolerisana sa 1,9% pacijenata u režimu pod</w:t>
      </w:r>
      <w:r w:rsidR="00F547CA" w:rsidRPr="00B46EA2">
        <w:rPr>
          <w:bCs/>
          <w:sz w:val="22"/>
          <w:szCs w:val="22"/>
          <w:lang w:val="sr-Latn-ME"/>
        </w:rPr>
        <w:t>ij</w:t>
      </w:r>
      <w:r w:rsidRPr="00B46EA2">
        <w:rPr>
          <w:bCs/>
          <w:sz w:val="22"/>
          <w:szCs w:val="22"/>
          <w:lang w:val="sr-Latn-ME"/>
        </w:rPr>
        <w:t>eljene doze i 2,5% pacijenata u režimu ranog uzimanja prethodnog dana kod kojih su se javila neželjena dejstva. Više pacijenata u grupi sa pod</w:t>
      </w:r>
      <w:r w:rsidR="00F547CA" w:rsidRPr="00B46EA2">
        <w:rPr>
          <w:bCs/>
          <w:sz w:val="22"/>
          <w:szCs w:val="22"/>
          <w:lang w:val="sr-Latn-ME"/>
        </w:rPr>
        <w:t>ij</w:t>
      </w:r>
      <w:r w:rsidRPr="00B46EA2">
        <w:rPr>
          <w:bCs/>
          <w:sz w:val="22"/>
          <w:szCs w:val="22"/>
          <w:lang w:val="sr-Latn-ME"/>
        </w:rPr>
        <w:t>eljenom dozom prijavilo je mučninu (23,3% u odnosu na 13,5%) i opštu fizičku nelagodu (29,6% u odnosu na 17,3%), dok je više pacijenata grupi sa režimom ranog uzimanja prijavilo glad (46,2% u odnosu na 32,1% sa pod</w:t>
      </w:r>
      <w:r w:rsidR="00F547CA" w:rsidRPr="00B46EA2">
        <w:rPr>
          <w:bCs/>
          <w:sz w:val="22"/>
          <w:szCs w:val="22"/>
          <w:lang w:val="sr-Latn-ME"/>
        </w:rPr>
        <w:t>ij</w:t>
      </w:r>
      <w:r w:rsidRPr="00B46EA2">
        <w:rPr>
          <w:bCs/>
          <w:sz w:val="22"/>
          <w:szCs w:val="22"/>
          <w:lang w:val="sr-Latn-ME"/>
        </w:rPr>
        <w:t>eljenom dozom). Nije bilo ozbiljnih neželjenih dejstava. Generalno, prom</w:t>
      </w:r>
      <w:r w:rsidR="00F8571D" w:rsidRPr="00B46EA2">
        <w:rPr>
          <w:bCs/>
          <w:sz w:val="22"/>
          <w:szCs w:val="22"/>
          <w:lang w:val="sr-Latn-ME"/>
        </w:rPr>
        <w:t>j</w:t>
      </w:r>
      <w:r w:rsidRPr="00B46EA2">
        <w:rPr>
          <w:bCs/>
          <w:sz w:val="22"/>
          <w:szCs w:val="22"/>
          <w:lang w:val="sr-Latn-ME"/>
        </w:rPr>
        <w:t>ene koncentracija elektrolita i drugih laboratorijskih parametara kod ob</w:t>
      </w:r>
      <w:r w:rsidR="00F8571D" w:rsidRPr="00B46EA2">
        <w:rPr>
          <w:bCs/>
          <w:sz w:val="22"/>
          <w:szCs w:val="22"/>
          <w:lang w:val="sr-Latn-ME"/>
        </w:rPr>
        <w:t>ij</w:t>
      </w:r>
      <w:r w:rsidRPr="00B46EA2">
        <w:rPr>
          <w:bCs/>
          <w:sz w:val="22"/>
          <w:szCs w:val="22"/>
          <w:lang w:val="sr-Latn-ME"/>
        </w:rPr>
        <w:t>e grupe pacijenata su bile neznatne.</w:t>
      </w:r>
    </w:p>
    <w:p w14:paraId="77589572" w14:textId="77777777" w:rsidR="002E37A5" w:rsidRPr="00B46EA2" w:rsidRDefault="002E37A5" w:rsidP="00480FB1">
      <w:pPr>
        <w:tabs>
          <w:tab w:val="left" w:pos="540"/>
          <w:tab w:val="left" w:pos="569"/>
        </w:tabs>
        <w:rPr>
          <w:b/>
          <w:bCs/>
          <w:sz w:val="22"/>
          <w:szCs w:val="22"/>
          <w:lang w:val="sr-Latn-ME"/>
        </w:rPr>
      </w:pPr>
    </w:p>
    <w:p w14:paraId="1C6A2696"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5.2. </w:t>
      </w:r>
      <w:r w:rsidR="00480FB1" w:rsidRPr="00B46EA2">
        <w:rPr>
          <w:b/>
          <w:bCs/>
          <w:sz w:val="22"/>
          <w:szCs w:val="22"/>
          <w:lang w:val="sr-Latn-ME"/>
        </w:rPr>
        <w:tab/>
      </w:r>
      <w:r w:rsidRPr="00B46EA2">
        <w:rPr>
          <w:b/>
          <w:bCs/>
          <w:sz w:val="22"/>
          <w:szCs w:val="22"/>
          <w:lang w:val="sr-Latn-ME"/>
        </w:rPr>
        <w:t>Farmakokinetički podaci</w:t>
      </w:r>
      <w:r w:rsidR="003A7059" w:rsidRPr="00B46EA2">
        <w:rPr>
          <w:b/>
          <w:bCs/>
          <w:sz w:val="22"/>
          <w:szCs w:val="22"/>
          <w:lang w:val="sr-Latn-ME"/>
        </w:rPr>
        <w:t xml:space="preserve"> </w:t>
      </w:r>
    </w:p>
    <w:p w14:paraId="75C5C02F" w14:textId="77777777" w:rsidR="004338E1" w:rsidRPr="00B46EA2" w:rsidRDefault="004338E1" w:rsidP="00480FB1">
      <w:pPr>
        <w:tabs>
          <w:tab w:val="left" w:pos="540"/>
          <w:tab w:val="left" w:pos="569"/>
        </w:tabs>
        <w:rPr>
          <w:b/>
          <w:bCs/>
          <w:sz w:val="22"/>
          <w:szCs w:val="22"/>
          <w:lang w:val="sr-Latn-ME"/>
        </w:rPr>
      </w:pPr>
    </w:p>
    <w:p w14:paraId="1FA6AFC1" w14:textId="369D013D" w:rsidR="004338E1" w:rsidRPr="00B46EA2" w:rsidRDefault="004338E1" w:rsidP="004338E1">
      <w:pPr>
        <w:tabs>
          <w:tab w:val="left" w:pos="540"/>
          <w:tab w:val="left" w:pos="569"/>
        </w:tabs>
        <w:jc w:val="both"/>
        <w:rPr>
          <w:sz w:val="22"/>
          <w:szCs w:val="22"/>
          <w:lang w:val="sr-Latn-ME"/>
        </w:rPr>
      </w:pPr>
      <w:r w:rsidRPr="00B46EA2">
        <w:rPr>
          <w:sz w:val="22"/>
          <w:szCs w:val="22"/>
          <w:lang w:val="sr-Latn-ME"/>
        </w:rPr>
        <w:t>Ob</w:t>
      </w:r>
      <w:r w:rsidR="00F547CA" w:rsidRPr="00B46EA2">
        <w:rPr>
          <w:sz w:val="22"/>
          <w:szCs w:val="22"/>
          <w:lang w:val="sr-Latn-ME"/>
        </w:rPr>
        <w:t>ij</w:t>
      </w:r>
      <w:r w:rsidRPr="00B46EA2">
        <w:rPr>
          <w:sz w:val="22"/>
          <w:szCs w:val="22"/>
          <w:lang w:val="sr-Latn-ME"/>
        </w:rPr>
        <w:t>e aktivne supstance d</w:t>
      </w:r>
      <w:r w:rsidR="00F547CA" w:rsidRPr="00B46EA2">
        <w:rPr>
          <w:sz w:val="22"/>
          <w:szCs w:val="22"/>
          <w:lang w:val="sr-Latn-ME"/>
        </w:rPr>
        <w:t>j</w:t>
      </w:r>
      <w:r w:rsidRPr="00B46EA2">
        <w:rPr>
          <w:sz w:val="22"/>
          <w:szCs w:val="22"/>
          <w:lang w:val="sr-Latn-ME"/>
        </w:rPr>
        <w:t>eluju lokalno u kolonu, i ne resorbuju se u količini koja bi mogla da se detektuje. Kod pacijenata sa teškim oštećenjem funkcije bubrega može doći do nakupljanja magnezijuma u plazmi.</w:t>
      </w:r>
    </w:p>
    <w:p w14:paraId="2F56F8D3" w14:textId="77777777" w:rsidR="0072020E" w:rsidRPr="00B46EA2" w:rsidRDefault="0072020E" w:rsidP="00480FB1">
      <w:pPr>
        <w:tabs>
          <w:tab w:val="left" w:pos="540"/>
          <w:tab w:val="left" w:pos="569"/>
        </w:tabs>
        <w:rPr>
          <w:bCs/>
          <w:sz w:val="22"/>
          <w:szCs w:val="22"/>
          <w:lang w:val="sr-Latn-ME"/>
        </w:rPr>
      </w:pPr>
    </w:p>
    <w:p w14:paraId="36947033"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5.3. </w:t>
      </w:r>
      <w:r w:rsidR="00480FB1" w:rsidRPr="00B46EA2">
        <w:rPr>
          <w:b/>
          <w:bCs/>
          <w:sz w:val="22"/>
          <w:szCs w:val="22"/>
          <w:lang w:val="sr-Latn-ME"/>
        </w:rPr>
        <w:tab/>
      </w:r>
      <w:r w:rsidRPr="00B46EA2">
        <w:rPr>
          <w:b/>
          <w:bCs/>
          <w:sz w:val="22"/>
          <w:szCs w:val="22"/>
          <w:lang w:val="sr-Latn-ME"/>
        </w:rPr>
        <w:t xml:space="preserve">Pretklinički podaci o bezbjednosti </w:t>
      </w:r>
    </w:p>
    <w:p w14:paraId="4A560611" w14:textId="77777777" w:rsidR="004338E1" w:rsidRPr="00B46EA2" w:rsidRDefault="004338E1" w:rsidP="00480FB1">
      <w:pPr>
        <w:tabs>
          <w:tab w:val="left" w:pos="540"/>
          <w:tab w:val="left" w:pos="569"/>
        </w:tabs>
        <w:rPr>
          <w:b/>
          <w:bCs/>
          <w:sz w:val="22"/>
          <w:szCs w:val="22"/>
          <w:lang w:val="sr-Latn-ME"/>
        </w:rPr>
      </w:pPr>
    </w:p>
    <w:p w14:paraId="60613A62" w14:textId="33B080D2"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Studije prenatalnog razvoja kod pacova i kunića ni</w:t>
      </w:r>
      <w:r w:rsidR="00C978F1" w:rsidRPr="00B46EA2">
        <w:rPr>
          <w:bCs/>
          <w:sz w:val="22"/>
          <w:szCs w:val="22"/>
          <w:lang w:val="sr-Latn-ME"/>
        </w:rPr>
        <w:t>j</w:t>
      </w:r>
      <w:r w:rsidR="00F547CA" w:rsidRPr="00B46EA2">
        <w:rPr>
          <w:bCs/>
          <w:sz w:val="22"/>
          <w:szCs w:val="22"/>
          <w:lang w:val="sr-Latn-ME"/>
        </w:rPr>
        <w:t>e</w:t>
      </w:r>
      <w:r w:rsidRPr="00B46EA2">
        <w:rPr>
          <w:bCs/>
          <w:sz w:val="22"/>
          <w:szCs w:val="22"/>
          <w:lang w:val="sr-Latn-ME"/>
        </w:rPr>
        <w:t>su pokazale teratogeni potencijal nakon oralne upotrebe natrijum</w:t>
      </w:r>
      <w:r w:rsidR="00BD6A96">
        <w:rPr>
          <w:bCs/>
          <w:sz w:val="22"/>
          <w:szCs w:val="22"/>
          <w:lang w:val="sr-Latn-ME"/>
        </w:rPr>
        <w:t xml:space="preserve"> </w:t>
      </w:r>
      <w:r w:rsidRPr="00B46EA2">
        <w:rPr>
          <w:bCs/>
          <w:sz w:val="22"/>
          <w:szCs w:val="22"/>
          <w:lang w:val="sr-Latn-ME"/>
        </w:rPr>
        <w:t>pikosulfata u dozama do 100 mg/kg/dan, ali je u ovim dozama zab</w:t>
      </w:r>
      <w:r w:rsidR="00F547CA" w:rsidRPr="00B46EA2">
        <w:rPr>
          <w:bCs/>
          <w:sz w:val="22"/>
          <w:szCs w:val="22"/>
          <w:lang w:val="sr-Latn-ME"/>
        </w:rPr>
        <w:t>ilj</w:t>
      </w:r>
      <w:r w:rsidRPr="00B46EA2">
        <w:rPr>
          <w:bCs/>
          <w:sz w:val="22"/>
          <w:szCs w:val="22"/>
          <w:lang w:val="sr-Latn-ME"/>
        </w:rPr>
        <w:t>ežena embriotoksičnost.</w:t>
      </w:r>
    </w:p>
    <w:p w14:paraId="0D099D9E" w14:textId="36009CAA" w:rsidR="004338E1" w:rsidRPr="00B46EA2" w:rsidRDefault="004338E1" w:rsidP="004338E1">
      <w:pPr>
        <w:tabs>
          <w:tab w:val="left" w:pos="540"/>
          <w:tab w:val="left" w:pos="569"/>
        </w:tabs>
        <w:jc w:val="both"/>
        <w:rPr>
          <w:bCs/>
          <w:sz w:val="22"/>
          <w:szCs w:val="22"/>
          <w:lang w:val="sr-Latn-ME"/>
        </w:rPr>
      </w:pPr>
      <w:r w:rsidRPr="00B46EA2">
        <w:rPr>
          <w:bCs/>
          <w:sz w:val="22"/>
          <w:szCs w:val="22"/>
          <w:lang w:val="sr-Latn-ME"/>
        </w:rPr>
        <w:t>Kod pacova, dnevna doza od 10 mg/kg tokom kasne gestacije (fetalnog razvoja) i laktacije smanjila je t</w:t>
      </w:r>
      <w:r w:rsidR="00F547CA" w:rsidRPr="00B46EA2">
        <w:rPr>
          <w:bCs/>
          <w:sz w:val="22"/>
          <w:szCs w:val="22"/>
          <w:lang w:val="sr-Latn-ME"/>
        </w:rPr>
        <w:t>j</w:t>
      </w:r>
      <w:r w:rsidRPr="00B46EA2">
        <w:rPr>
          <w:bCs/>
          <w:sz w:val="22"/>
          <w:szCs w:val="22"/>
          <w:lang w:val="sr-Latn-ME"/>
        </w:rPr>
        <w:t>elesnu masu i preživljavanje potomaka.</w:t>
      </w:r>
    </w:p>
    <w:p w14:paraId="77A11B2F" w14:textId="7F2F205F" w:rsidR="00836B35" w:rsidRPr="00B46EA2" w:rsidRDefault="004338E1" w:rsidP="004338E1">
      <w:pPr>
        <w:tabs>
          <w:tab w:val="left" w:pos="540"/>
          <w:tab w:val="left" w:pos="569"/>
        </w:tabs>
        <w:jc w:val="both"/>
        <w:rPr>
          <w:bCs/>
          <w:sz w:val="22"/>
          <w:szCs w:val="22"/>
          <w:lang w:val="sr-Latn-ME"/>
        </w:rPr>
      </w:pPr>
      <w:r w:rsidRPr="00B46EA2">
        <w:rPr>
          <w:bCs/>
          <w:sz w:val="22"/>
          <w:szCs w:val="22"/>
          <w:lang w:val="sr-Latn-ME"/>
        </w:rPr>
        <w:t>Oralna doza natijum-pikosulfata do 100 mg/kg kod mužjaka i ženki pacova nije ut</w:t>
      </w:r>
      <w:r w:rsidR="008524F9">
        <w:rPr>
          <w:bCs/>
          <w:sz w:val="22"/>
          <w:szCs w:val="22"/>
          <w:lang w:val="sr-Latn-ME"/>
        </w:rPr>
        <w:t>ic</w:t>
      </w:r>
      <w:r w:rsidRPr="00B46EA2">
        <w:rPr>
          <w:bCs/>
          <w:sz w:val="22"/>
          <w:szCs w:val="22"/>
          <w:lang w:val="sr-Latn-ME"/>
        </w:rPr>
        <w:t>ala na plodnost.</w:t>
      </w:r>
    </w:p>
    <w:p w14:paraId="7A9CBEED" w14:textId="3E1A27F2" w:rsidR="00396DFD" w:rsidRDefault="00396DFD" w:rsidP="00480FB1">
      <w:pPr>
        <w:tabs>
          <w:tab w:val="left" w:pos="540"/>
          <w:tab w:val="left" w:pos="569"/>
        </w:tabs>
        <w:rPr>
          <w:b/>
          <w:bCs/>
          <w:sz w:val="22"/>
          <w:szCs w:val="22"/>
          <w:lang w:val="sr-Latn-ME"/>
        </w:rPr>
      </w:pPr>
    </w:p>
    <w:p w14:paraId="0C7B4C21" w14:textId="77777777" w:rsidR="00433733" w:rsidRPr="00B46EA2" w:rsidRDefault="00433733" w:rsidP="00480FB1">
      <w:pPr>
        <w:tabs>
          <w:tab w:val="left" w:pos="540"/>
          <w:tab w:val="left" w:pos="569"/>
        </w:tabs>
        <w:rPr>
          <w:b/>
          <w:bCs/>
          <w:sz w:val="22"/>
          <w:szCs w:val="22"/>
          <w:lang w:val="sr-Latn-ME"/>
        </w:rPr>
      </w:pPr>
    </w:p>
    <w:p w14:paraId="6A5576D1"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6. </w:t>
      </w:r>
      <w:r w:rsidR="00480FB1" w:rsidRPr="00B46EA2">
        <w:rPr>
          <w:b/>
          <w:bCs/>
          <w:sz w:val="22"/>
          <w:szCs w:val="22"/>
          <w:lang w:val="sr-Latn-ME"/>
        </w:rPr>
        <w:tab/>
      </w:r>
      <w:r w:rsidRPr="00B46EA2">
        <w:rPr>
          <w:b/>
          <w:bCs/>
          <w:sz w:val="22"/>
          <w:szCs w:val="22"/>
          <w:lang w:val="sr-Latn-ME"/>
        </w:rPr>
        <w:t>FARMACEUTSKI PODACI</w:t>
      </w:r>
    </w:p>
    <w:p w14:paraId="6BBC1F58" w14:textId="77777777" w:rsidR="00836B35" w:rsidRPr="00B46EA2" w:rsidRDefault="00836B35" w:rsidP="00480FB1">
      <w:pPr>
        <w:tabs>
          <w:tab w:val="left" w:pos="540"/>
          <w:tab w:val="left" w:pos="569"/>
        </w:tabs>
        <w:rPr>
          <w:bCs/>
          <w:sz w:val="22"/>
          <w:szCs w:val="22"/>
          <w:lang w:val="sr-Latn-ME"/>
        </w:rPr>
      </w:pPr>
    </w:p>
    <w:p w14:paraId="2B0B50A1"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6.1. </w:t>
      </w:r>
      <w:r w:rsidR="00480FB1" w:rsidRPr="00B46EA2">
        <w:rPr>
          <w:b/>
          <w:bCs/>
          <w:sz w:val="22"/>
          <w:szCs w:val="22"/>
          <w:lang w:val="sr-Latn-ME"/>
        </w:rPr>
        <w:tab/>
      </w:r>
      <w:r w:rsidRPr="00B46EA2">
        <w:rPr>
          <w:b/>
          <w:bCs/>
          <w:sz w:val="22"/>
          <w:szCs w:val="22"/>
          <w:lang w:val="sr-Latn-ME"/>
        </w:rPr>
        <w:t>Lista pomoćnih supstanci</w:t>
      </w:r>
      <w:r w:rsidR="002E0135" w:rsidRPr="00B46EA2">
        <w:rPr>
          <w:b/>
          <w:bCs/>
          <w:sz w:val="22"/>
          <w:szCs w:val="22"/>
          <w:lang w:val="sr-Latn-ME"/>
        </w:rPr>
        <w:t xml:space="preserve"> (ekscipijenasa)</w:t>
      </w:r>
    </w:p>
    <w:p w14:paraId="624AAA24" w14:textId="77777777" w:rsidR="004338E1" w:rsidRPr="00B46EA2" w:rsidRDefault="004338E1" w:rsidP="00480FB1">
      <w:pPr>
        <w:tabs>
          <w:tab w:val="left" w:pos="540"/>
          <w:tab w:val="left" w:pos="569"/>
        </w:tabs>
        <w:rPr>
          <w:b/>
          <w:bCs/>
          <w:sz w:val="22"/>
          <w:szCs w:val="22"/>
          <w:lang w:val="sr-Latn-ME"/>
        </w:rPr>
      </w:pPr>
    </w:p>
    <w:p w14:paraId="63FFB9D9" w14:textId="154AB68F" w:rsidR="004338E1" w:rsidRPr="00B46EA2" w:rsidRDefault="004338E1" w:rsidP="004338E1">
      <w:pPr>
        <w:tabs>
          <w:tab w:val="left" w:pos="540"/>
          <w:tab w:val="left" w:pos="569"/>
        </w:tabs>
        <w:jc w:val="both"/>
        <w:rPr>
          <w:sz w:val="22"/>
          <w:szCs w:val="22"/>
          <w:lang w:val="sr-Latn-ME"/>
        </w:rPr>
      </w:pPr>
      <w:r w:rsidRPr="00B46EA2">
        <w:rPr>
          <w:sz w:val="22"/>
          <w:szCs w:val="22"/>
          <w:lang w:val="sr-Latn-ME"/>
        </w:rPr>
        <w:t>Kalijum</w:t>
      </w:r>
      <w:r w:rsidR="001638FD" w:rsidRPr="00B46EA2">
        <w:rPr>
          <w:sz w:val="22"/>
          <w:szCs w:val="22"/>
          <w:lang w:val="sr-Latn-ME"/>
        </w:rPr>
        <w:t xml:space="preserve"> </w:t>
      </w:r>
      <w:r w:rsidRPr="00B46EA2">
        <w:rPr>
          <w:sz w:val="22"/>
          <w:szCs w:val="22"/>
          <w:lang w:val="sr-Latn-ME"/>
        </w:rPr>
        <w:t xml:space="preserve">hidrogenkarbonat, </w:t>
      </w:r>
    </w:p>
    <w:p w14:paraId="64899D1C" w14:textId="6E4A3D40" w:rsidR="004338E1" w:rsidRPr="00B46EA2" w:rsidRDefault="004338E1" w:rsidP="004338E1">
      <w:pPr>
        <w:tabs>
          <w:tab w:val="left" w:pos="540"/>
          <w:tab w:val="left" w:pos="569"/>
        </w:tabs>
        <w:jc w:val="both"/>
        <w:rPr>
          <w:sz w:val="22"/>
          <w:szCs w:val="22"/>
          <w:lang w:val="sr-Latn-ME"/>
        </w:rPr>
      </w:pPr>
      <w:r w:rsidRPr="00B46EA2">
        <w:rPr>
          <w:sz w:val="22"/>
          <w:szCs w:val="22"/>
          <w:lang w:val="sr-Latn-ME"/>
        </w:rPr>
        <w:t>Saharin</w:t>
      </w:r>
      <w:r w:rsidR="001638FD" w:rsidRPr="00B46EA2">
        <w:rPr>
          <w:sz w:val="22"/>
          <w:szCs w:val="22"/>
          <w:lang w:val="sr-Latn-ME"/>
        </w:rPr>
        <w:t xml:space="preserve"> </w:t>
      </w:r>
      <w:r w:rsidRPr="00B46EA2">
        <w:rPr>
          <w:sz w:val="22"/>
          <w:szCs w:val="22"/>
          <w:lang w:val="sr-Latn-ME"/>
        </w:rPr>
        <w:t>natrijum (E954),</w:t>
      </w:r>
    </w:p>
    <w:p w14:paraId="4B14474A" w14:textId="0E5D2EDD" w:rsidR="004338E1" w:rsidRPr="00B46EA2" w:rsidRDefault="004338E1" w:rsidP="004338E1">
      <w:pPr>
        <w:tabs>
          <w:tab w:val="left" w:pos="540"/>
          <w:tab w:val="left" w:pos="569"/>
        </w:tabs>
        <w:rPr>
          <w:b/>
          <w:bCs/>
          <w:sz w:val="22"/>
          <w:szCs w:val="22"/>
          <w:lang w:val="sr-Latn-ME"/>
        </w:rPr>
      </w:pPr>
      <w:r w:rsidRPr="00B46EA2">
        <w:rPr>
          <w:sz w:val="22"/>
          <w:szCs w:val="22"/>
          <w:lang w:val="sr-Latn-ME"/>
        </w:rPr>
        <w:t>Aroma limuna: aroma limuna, maltodekstrin, tokoferol (E307)</w:t>
      </w:r>
    </w:p>
    <w:p w14:paraId="6C210C6C" w14:textId="77777777" w:rsidR="0072020E" w:rsidRPr="00B46EA2" w:rsidRDefault="0072020E" w:rsidP="00480FB1">
      <w:pPr>
        <w:tabs>
          <w:tab w:val="left" w:pos="540"/>
          <w:tab w:val="left" w:pos="569"/>
        </w:tabs>
        <w:rPr>
          <w:bCs/>
          <w:sz w:val="22"/>
          <w:szCs w:val="22"/>
          <w:lang w:val="sr-Latn-ME"/>
        </w:rPr>
      </w:pPr>
    </w:p>
    <w:p w14:paraId="4AE68691"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6.2. </w:t>
      </w:r>
      <w:r w:rsidR="00480FB1" w:rsidRPr="00B46EA2">
        <w:rPr>
          <w:b/>
          <w:bCs/>
          <w:sz w:val="22"/>
          <w:szCs w:val="22"/>
          <w:lang w:val="sr-Latn-ME"/>
        </w:rPr>
        <w:tab/>
      </w:r>
      <w:r w:rsidRPr="00B46EA2">
        <w:rPr>
          <w:b/>
          <w:bCs/>
          <w:sz w:val="22"/>
          <w:szCs w:val="22"/>
          <w:lang w:val="sr-Latn-ME"/>
        </w:rPr>
        <w:t>Inkompatibilnost</w:t>
      </w:r>
      <w:r w:rsidR="002846DB" w:rsidRPr="00B46EA2">
        <w:rPr>
          <w:b/>
          <w:bCs/>
          <w:sz w:val="22"/>
          <w:szCs w:val="22"/>
          <w:lang w:val="sr-Latn-ME"/>
        </w:rPr>
        <w:t>i</w:t>
      </w:r>
    </w:p>
    <w:p w14:paraId="0E5A37B9" w14:textId="77777777" w:rsidR="004338E1" w:rsidRPr="00B46EA2" w:rsidRDefault="004338E1" w:rsidP="00480FB1">
      <w:pPr>
        <w:tabs>
          <w:tab w:val="left" w:pos="540"/>
          <w:tab w:val="left" w:pos="569"/>
        </w:tabs>
        <w:rPr>
          <w:b/>
          <w:bCs/>
          <w:sz w:val="22"/>
          <w:szCs w:val="22"/>
          <w:lang w:val="sr-Latn-ME"/>
        </w:rPr>
      </w:pPr>
    </w:p>
    <w:p w14:paraId="6159F5BA" w14:textId="346C03C4" w:rsidR="004338E1" w:rsidRPr="00B46EA2" w:rsidRDefault="004338E1" w:rsidP="004338E1">
      <w:pPr>
        <w:tabs>
          <w:tab w:val="left" w:pos="540"/>
          <w:tab w:val="left" w:pos="569"/>
        </w:tabs>
        <w:jc w:val="both"/>
        <w:rPr>
          <w:sz w:val="22"/>
          <w:szCs w:val="22"/>
          <w:lang w:val="sr-Latn-ME"/>
        </w:rPr>
      </w:pPr>
      <w:r w:rsidRPr="00B46EA2">
        <w:rPr>
          <w:sz w:val="22"/>
          <w:szCs w:val="22"/>
          <w:lang w:val="sr-Latn-ME"/>
        </w:rPr>
        <w:t>Nije primjenljivo.</w:t>
      </w:r>
    </w:p>
    <w:p w14:paraId="08C541EB" w14:textId="77777777" w:rsidR="0072020E" w:rsidRPr="00B46EA2" w:rsidRDefault="0072020E" w:rsidP="00480FB1">
      <w:pPr>
        <w:tabs>
          <w:tab w:val="left" w:pos="540"/>
          <w:tab w:val="left" w:pos="569"/>
        </w:tabs>
        <w:rPr>
          <w:bCs/>
          <w:sz w:val="22"/>
          <w:szCs w:val="22"/>
          <w:lang w:val="sr-Latn-ME"/>
        </w:rPr>
      </w:pPr>
    </w:p>
    <w:p w14:paraId="045694CE" w14:textId="77777777" w:rsidR="00433733" w:rsidRDefault="00433733" w:rsidP="00480FB1">
      <w:pPr>
        <w:tabs>
          <w:tab w:val="left" w:pos="540"/>
          <w:tab w:val="left" w:pos="569"/>
        </w:tabs>
        <w:rPr>
          <w:b/>
          <w:bCs/>
          <w:sz w:val="22"/>
          <w:szCs w:val="22"/>
          <w:lang w:val="sr-Latn-ME"/>
        </w:rPr>
      </w:pPr>
    </w:p>
    <w:p w14:paraId="127E94AA" w14:textId="5EE4A338" w:rsidR="0072020E" w:rsidRPr="00B46EA2" w:rsidRDefault="0072020E" w:rsidP="00480FB1">
      <w:pPr>
        <w:tabs>
          <w:tab w:val="left" w:pos="540"/>
          <w:tab w:val="left" w:pos="569"/>
        </w:tabs>
        <w:rPr>
          <w:b/>
          <w:bCs/>
          <w:sz w:val="22"/>
          <w:szCs w:val="22"/>
          <w:lang w:val="sr-Latn-ME"/>
        </w:rPr>
      </w:pPr>
      <w:bookmarkStart w:id="0" w:name="_GoBack"/>
      <w:bookmarkEnd w:id="0"/>
      <w:r w:rsidRPr="00B46EA2">
        <w:rPr>
          <w:b/>
          <w:bCs/>
          <w:sz w:val="22"/>
          <w:szCs w:val="22"/>
          <w:lang w:val="sr-Latn-ME"/>
        </w:rPr>
        <w:lastRenderedPageBreak/>
        <w:t>6.3.</w:t>
      </w:r>
      <w:r w:rsidR="00C05DF8" w:rsidRPr="00B46EA2">
        <w:rPr>
          <w:b/>
          <w:bCs/>
          <w:sz w:val="22"/>
          <w:szCs w:val="22"/>
          <w:lang w:val="sr-Latn-ME"/>
        </w:rPr>
        <w:t xml:space="preserve"> </w:t>
      </w:r>
      <w:r w:rsidR="00480FB1" w:rsidRPr="00B46EA2">
        <w:rPr>
          <w:b/>
          <w:bCs/>
          <w:sz w:val="22"/>
          <w:szCs w:val="22"/>
          <w:lang w:val="sr-Latn-ME"/>
        </w:rPr>
        <w:tab/>
      </w:r>
      <w:r w:rsidRPr="00B46EA2">
        <w:rPr>
          <w:b/>
          <w:bCs/>
          <w:sz w:val="22"/>
          <w:szCs w:val="22"/>
          <w:lang w:val="sr-Latn-ME"/>
        </w:rPr>
        <w:t>Rok upotrebe</w:t>
      </w:r>
    </w:p>
    <w:p w14:paraId="2D393817" w14:textId="77777777" w:rsidR="004338E1" w:rsidRPr="00B46EA2" w:rsidRDefault="004338E1" w:rsidP="00480FB1">
      <w:pPr>
        <w:tabs>
          <w:tab w:val="left" w:pos="540"/>
          <w:tab w:val="left" w:pos="569"/>
        </w:tabs>
        <w:rPr>
          <w:b/>
          <w:bCs/>
          <w:sz w:val="22"/>
          <w:szCs w:val="22"/>
          <w:lang w:val="sr-Latn-ME"/>
        </w:rPr>
      </w:pPr>
    </w:p>
    <w:p w14:paraId="74C78525" w14:textId="77777777" w:rsidR="004338E1" w:rsidRPr="00B46EA2" w:rsidRDefault="004338E1" w:rsidP="004338E1">
      <w:pPr>
        <w:tabs>
          <w:tab w:val="left" w:pos="540"/>
          <w:tab w:val="left" w:pos="569"/>
        </w:tabs>
        <w:jc w:val="both"/>
        <w:rPr>
          <w:sz w:val="22"/>
          <w:szCs w:val="22"/>
          <w:lang w:val="sr-Latn-ME"/>
        </w:rPr>
      </w:pPr>
      <w:r w:rsidRPr="00B46EA2">
        <w:rPr>
          <w:sz w:val="22"/>
          <w:szCs w:val="22"/>
          <w:lang w:val="sr-Latn-ME"/>
        </w:rPr>
        <w:t>Rok upotrebe: 36 meseci.</w:t>
      </w:r>
    </w:p>
    <w:p w14:paraId="5EB8DB72" w14:textId="311CAE05" w:rsidR="004338E1" w:rsidRPr="00B46EA2" w:rsidRDefault="004338E1" w:rsidP="004338E1">
      <w:pPr>
        <w:tabs>
          <w:tab w:val="left" w:pos="540"/>
          <w:tab w:val="left" w:pos="569"/>
        </w:tabs>
        <w:rPr>
          <w:b/>
          <w:bCs/>
          <w:sz w:val="22"/>
          <w:szCs w:val="22"/>
          <w:lang w:val="sr-Latn-ME"/>
        </w:rPr>
      </w:pPr>
      <w:r w:rsidRPr="00B46EA2">
        <w:rPr>
          <w:sz w:val="22"/>
          <w:szCs w:val="22"/>
          <w:lang w:val="sr-Latn-ME"/>
        </w:rPr>
        <w:t>Nakon otvaranja i rastvaranja sadržaja kesice upotr</w:t>
      </w:r>
      <w:r w:rsidR="001638FD" w:rsidRPr="00B46EA2">
        <w:rPr>
          <w:sz w:val="22"/>
          <w:szCs w:val="22"/>
          <w:lang w:val="sr-Latn-ME"/>
        </w:rPr>
        <w:t>ij</w:t>
      </w:r>
      <w:r w:rsidRPr="00B46EA2">
        <w:rPr>
          <w:sz w:val="22"/>
          <w:szCs w:val="22"/>
          <w:lang w:val="sr-Latn-ME"/>
        </w:rPr>
        <w:t>ebiti odmah.</w:t>
      </w:r>
    </w:p>
    <w:p w14:paraId="1D19EB64" w14:textId="77777777" w:rsidR="0072020E" w:rsidRPr="00B46EA2" w:rsidRDefault="0072020E" w:rsidP="00480FB1">
      <w:pPr>
        <w:tabs>
          <w:tab w:val="left" w:pos="540"/>
          <w:tab w:val="left" w:pos="569"/>
        </w:tabs>
        <w:rPr>
          <w:bCs/>
          <w:sz w:val="22"/>
          <w:szCs w:val="22"/>
          <w:lang w:val="sr-Latn-ME"/>
        </w:rPr>
      </w:pPr>
    </w:p>
    <w:p w14:paraId="0668268F"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6.4. </w:t>
      </w:r>
      <w:r w:rsidR="00480FB1" w:rsidRPr="00B46EA2">
        <w:rPr>
          <w:b/>
          <w:bCs/>
          <w:sz w:val="22"/>
          <w:szCs w:val="22"/>
          <w:lang w:val="sr-Latn-ME"/>
        </w:rPr>
        <w:tab/>
      </w:r>
      <w:r w:rsidRPr="00B46EA2">
        <w:rPr>
          <w:b/>
          <w:bCs/>
          <w:sz w:val="22"/>
          <w:szCs w:val="22"/>
          <w:lang w:val="sr-Latn-ME"/>
        </w:rPr>
        <w:t>Posebne mjere upozorenja pri čuvanju</w:t>
      </w:r>
      <w:r w:rsidR="00F8570A" w:rsidRPr="00B46EA2">
        <w:rPr>
          <w:b/>
          <w:bCs/>
          <w:sz w:val="22"/>
          <w:szCs w:val="22"/>
          <w:lang w:val="sr-Latn-ME"/>
        </w:rPr>
        <w:t xml:space="preserve"> lijeka</w:t>
      </w:r>
    </w:p>
    <w:p w14:paraId="46F435C7" w14:textId="77777777" w:rsidR="004338E1" w:rsidRPr="00B46EA2" w:rsidRDefault="004338E1" w:rsidP="00480FB1">
      <w:pPr>
        <w:tabs>
          <w:tab w:val="left" w:pos="540"/>
          <w:tab w:val="left" w:pos="569"/>
        </w:tabs>
        <w:rPr>
          <w:b/>
          <w:bCs/>
          <w:sz w:val="22"/>
          <w:szCs w:val="22"/>
          <w:lang w:val="sr-Latn-ME"/>
        </w:rPr>
      </w:pPr>
    </w:p>
    <w:p w14:paraId="5C8B70EB" w14:textId="0AEC2062" w:rsidR="004338E1" w:rsidRPr="00B46EA2" w:rsidRDefault="004338E1" w:rsidP="00480FB1">
      <w:pPr>
        <w:tabs>
          <w:tab w:val="left" w:pos="540"/>
          <w:tab w:val="left" w:pos="569"/>
        </w:tabs>
        <w:rPr>
          <w:sz w:val="22"/>
          <w:szCs w:val="22"/>
          <w:lang w:val="sr-Latn-ME"/>
        </w:rPr>
      </w:pPr>
      <w:r w:rsidRPr="00B46EA2">
        <w:rPr>
          <w:sz w:val="22"/>
          <w:szCs w:val="22"/>
          <w:lang w:val="sr-Latn-ME"/>
        </w:rPr>
        <w:t>Lijek ne zaht</w:t>
      </w:r>
      <w:r w:rsidR="001638FD" w:rsidRPr="00B46EA2">
        <w:rPr>
          <w:sz w:val="22"/>
          <w:szCs w:val="22"/>
          <w:lang w:val="sr-Latn-ME"/>
        </w:rPr>
        <w:t>i</w:t>
      </w:r>
      <w:r w:rsidRPr="00B46EA2">
        <w:rPr>
          <w:sz w:val="22"/>
          <w:szCs w:val="22"/>
          <w:lang w:val="sr-Latn-ME"/>
        </w:rPr>
        <w:t>jeva posebne uslove čuvanja.</w:t>
      </w:r>
    </w:p>
    <w:p w14:paraId="649BFD82" w14:textId="77777777" w:rsidR="00EC2532" w:rsidRPr="00B46EA2" w:rsidRDefault="00EC2532" w:rsidP="00480FB1">
      <w:pPr>
        <w:tabs>
          <w:tab w:val="left" w:pos="540"/>
          <w:tab w:val="left" w:pos="569"/>
        </w:tabs>
        <w:rPr>
          <w:bCs/>
          <w:sz w:val="22"/>
          <w:szCs w:val="22"/>
          <w:lang w:val="sr-Latn-ME"/>
        </w:rPr>
      </w:pPr>
    </w:p>
    <w:p w14:paraId="4F5961F5"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6.5. </w:t>
      </w:r>
      <w:r w:rsidR="00480FB1" w:rsidRPr="00B46EA2">
        <w:rPr>
          <w:b/>
          <w:bCs/>
          <w:sz w:val="22"/>
          <w:szCs w:val="22"/>
          <w:lang w:val="sr-Latn-ME"/>
        </w:rPr>
        <w:tab/>
      </w:r>
      <w:r w:rsidR="002846DB" w:rsidRPr="00B46EA2">
        <w:rPr>
          <w:b/>
          <w:bCs/>
          <w:sz w:val="22"/>
          <w:szCs w:val="22"/>
          <w:lang w:val="sr-Latn-ME"/>
        </w:rPr>
        <w:t xml:space="preserve">Vrsta i sadržaj </w:t>
      </w:r>
      <w:r w:rsidR="00F8570A" w:rsidRPr="00B46EA2">
        <w:rPr>
          <w:b/>
          <w:bCs/>
          <w:sz w:val="22"/>
          <w:szCs w:val="22"/>
          <w:lang w:val="sr-Latn-ME"/>
        </w:rPr>
        <w:t>pakovanja</w:t>
      </w:r>
      <w:r w:rsidR="00C06864" w:rsidRPr="00B46EA2">
        <w:rPr>
          <w:b/>
          <w:bCs/>
          <w:sz w:val="22"/>
          <w:szCs w:val="22"/>
          <w:lang w:val="sr-Latn-ME"/>
        </w:rPr>
        <w:t xml:space="preserve"> </w:t>
      </w:r>
    </w:p>
    <w:p w14:paraId="0DED044D" w14:textId="77777777" w:rsidR="004338E1" w:rsidRPr="00B46EA2" w:rsidRDefault="004338E1" w:rsidP="00480FB1">
      <w:pPr>
        <w:tabs>
          <w:tab w:val="left" w:pos="540"/>
          <w:tab w:val="left" w:pos="569"/>
        </w:tabs>
        <w:rPr>
          <w:b/>
          <w:bCs/>
          <w:sz w:val="22"/>
          <w:szCs w:val="22"/>
          <w:lang w:val="sr-Latn-ME"/>
        </w:rPr>
      </w:pPr>
    </w:p>
    <w:p w14:paraId="71430BCE" w14:textId="77777777" w:rsidR="004338E1" w:rsidRPr="00B46EA2" w:rsidRDefault="004338E1" w:rsidP="004338E1">
      <w:pPr>
        <w:tabs>
          <w:tab w:val="left" w:pos="540"/>
          <w:tab w:val="left" w:pos="569"/>
        </w:tabs>
        <w:jc w:val="both"/>
        <w:rPr>
          <w:sz w:val="22"/>
          <w:szCs w:val="22"/>
          <w:lang w:val="sr-Latn-ME"/>
        </w:rPr>
      </w:pPr>
      <w:r w:rsidRPr="00B46EA2">
        <w:rPr>
          <w:sz w:val="22"/>
          <w:szCs w:val="22"/>
          <w:lang w:val="sr-Latn-ME"/>
        </w:rPr>
        <w:t>Unutrašnje pakovanje lijeka je kesica od polietilena, aluminijuma i poliestra (kompleks poliestar/aluminijum/polietilen) koja sadrži prašak za oralni rastvor.</w:t>
      </w:r>
    </w:p>
    <w:p w14:paraId="7393341C" w14:textId="4B0F7782" w:rsidR="004338E1" w:rsidRPr="00B46EA2" w:rsidRDefault="004338E1" w:rsidP="004338E1">
      <w:pPr>
        <w:tabs>
          <w:tab w:val="left" w:pos="540"/>
          <w:tab w:val="left" w:pos="569"/>
        </w:tabs>
        <w:jc w:val="both"/>
        <w:rPr>
          <w:sz w:val="22"/>
          <w:szCs w:val="22"/>
          <w:lang w:val="sr-Latn-ME"/>
        </w:rPr>
      </w:pPr>
      <w:r w:rsidRPr="00B46EA2">
        <w:rPr>
          <w:sz w:val="22"/>
          <w:szCs w:val="22"/>
          <w:lang w:val="sr-Latn-ME"/>
        </w:rPr>
        <w:t>Spoljašnje pakovanje je složiva kartonska kutija sa 2 kesice i Uputstvom za lijek.</w:t>
      </w:r>
    </w:p>
    <w:p w14:paraId="330FC5E7" w14:textId="77777777" w:rsidR="0072020E" w:rsidRPr="00B46EA2" w:rsidRDefault="0072020E" w:rsidP="00480FB1">
      <w:pPr>
        <w:tabs>
          <w:tab w:val="left" w:pos="540"/>
          <w:tab w:val="left" w:pos="569"/>
        </w:tabs>
        <w:rPr>
          <w:bCs/>
          <w:sz w:val="22"/>
          <w:szCs w:val="22"/>
          <w:lang w:val="sr-Latn-ME"/>
        </w:rPr>
      </w:pPr>
    </w:p>
    <w:p w14:paraId="7F27F6D8" w14:textId="77777777" w:rsidR="002846DB"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6.6. </w:t>
      </w:r>
      <w:r w:rsidR="00480FB1" w:rsidRPr="00B46EA2">
        <w:rPr>
          <w:b/>
          <w:bCs/>
          <w:sz w:val="22"/>
          <w:szCs w:val="22"/>
          <w:lang w:val="sr-Latn-ME"/>
        </w:rPr>
        <w:tab/>
      </w:r>
      <w:r w:rsidRPr="00B46EA2">
        <w:rPr>
          <w:b/>
          <w:bCs/>
          <w:color w:val="000000"/>
          <w:sz w:val="22"/>
          <w:szCs w:val="22"/>
          <w:lang w:val="sr-Latn-ME"/>
        </w:rPr>
        <w:t>Posebne mjere opreza pri odlaganju materijala koji treba odbaciti nakon primjene lijeka</w:t>
      </w:r>
      <w:r w:rsidRPr="00B46EA2">
        <w:rPr>
          <w:b/>
          <w:bCs/>
          <w:sz w:val="22"/>
          <w:szCs w:val="22"/>
          <w:lang w:val="sr-Latn-ME"/>
        </w:rPr>
        <w:t xml:space="preserve"> </w:t>
      </w:r>
      <w:r w:rsidR="00310F03" w:rsidRPr="00B46EA2">
        <w:rPr>
          <w:b/>
          <w:bCs/>
          <w:sz w:val="22"/>
          <w:szCs w:val="22"/>
          <w:lang w:val="sr-Latn-ME"/>
        </w:rPr>
        <w:t>(i druga uputs</w:t>
      </w:r>
      <w:r w:rsidR="004109FA" w:rsidRPr="00B46EA2">
        <w:rPr>
          <w:b/>
          <w:bCs/>
          <w:sz w:val="22"/>
          <w:szCs w:val="22"/>
          <w:lang w:val="sr-Latn-ME"/>
        </w:rPr>
        <w:t>t</w:t>
      </w:r>
      <w:r w:rsidR="00310F03" w:rsidRPr="00B46EA2">
        <w:rPr>
          <w:b/>
          <w:bCs/>
          <w:sz w:val="22"/>
          <w:szCs w:val="22"/>
          <w:lang w:val="sr-Latn-ME"/>
        </w:rPr>
        <w:t xml:space="preserve">va za rukovanje lijekom) </w:t>
      </w:r>
    </w:p>
    <w:p w14:paraId="353D5287" w14:textId="77777777" w:rsidR="004338E1" w:rsidRPr="00B46EA2" w:rsidRDefault="004338E1" w:rsidP="00480FB1">
      <w:pPr>
        <w:tabs>
          <w:tab w:val="left" w:pos="540"/>
          <w:tab w:val="left" w:pos="569"/>
        </w:tabs>
        <w:rPr>
          <w:b/>
          <w:bCs/>
          <w:sz w:val="22"/>
          <w:szCs w:val="22"/>
          <w:lang w:val="sr-Latn-ME"/>
        </w:rPr>
      </w:pPr>
    </w:p>
    <w:p w14:paraId="5300D602" w14:textId="77777777" w:rsidR="004338E1" w:rsidRPr="00B46EA2" w:rsidRDefault="004338E1" w:rsidP="004338E1">
      <w:pPr>
        <w:tabs>
          <w:tab w:val="left" w:pos="540"/>
          <w:tab w:val="left" w:pos="569"/>
        </w:tabs>
        <w:jc w:val="both"/>
        <w:rPr>
          <w:sz w:val="22"/>
          <w:szCs w:val="22"/>
          <w:lang w:val="sr-Latn-ME"/>
        </w:rPr>
      </w:pPr>
      <w:r w:rsidRPr="00B46EA2">
        <w:rPr>
          <w:sz w:val="22"/>
          <w:szCs w:val="22"/>
          <w:u w:val="single"/>
          <w:lang w:val="sr-Latn-ME"/>
        </w:rPr>
        <w:t>Način rastvaranja:</w:t>
      </w:r>
    </w:p>
    <w:p w14:paraId="621EF56C" w14:textId="7F1073B8" w:rsidR="004338E1" w:rsidRPr="00B46EA2" w:rsidRDefault="004338E1" w:rsidP="004338E1">
      <w:pPr>
        <w:tabs>
          <w:tab w:val="left" w:pos="540"/>
          <w:tab w:val="left" w:pos="569"/>
        </w:tabs>
        <w:jc w:val="both"/>
        <w:rPr>
          <w:sz w:val="22"/>
          <w:szCs w:val="22"/>
          <w:lang w:val="sr-Latn-ME"/>
        </w:rPr>
      </w:pPr>
      <w:r w:rsidRPr="00B46EA2">
        <w:rPr>
          <w:sz w:val="22"/>
          <w:szCs w:val="22"/>
          <w:lang w:val="sr-Latn-ME"/>
        </w:rPr>
        <w:t>Rastvoriti sadržaj jedne kesice u čaši vode (otprilike 150 ml). M</w:t>
      </w:r>
      <w:r w:rsidR="00E40F3F">
        <w:rPr>
          <w:sz w:val="22"/>
          <w:szCs w:val="22"/>
          <w:lang w:val="sr-Latn-ME"/>
        </w:rPr>
        <w:t xml:space="preserve">iješati 2 do </w:t>
      </w:r>
      <w:r w:rsidRPr="00B46EA2">
        <w:rPr>
          <w:sz w:val="22"/>
          <w:szCs w:val="22"/>
          <w:lang w:val="sr-Latn-ME"/>
        </w:rPr>
        <w:t>3 minuta. Ukoliko se rastvor ugrije prilikom m</w:t>
      </w:r>
      <w:r w:rsidR="00236310" w:rsidRPr="00B46EA2">
        <w:rPr>
          <w:sz w:val="22"/>
          <w:szCs w:val="22"/>
          <w:lang w:val="sr-Latn-ME"/>
        </w:rPr>
        <w:t>i</w:t>
      </w:r>
      <w:r w:rsidRPr="00B46EA2">
        <w:rPr>
          <w:sz w:val="22"/>
          <w:szCs w:val="22"/>
          <w:lang w:val="sr-Latn-ME"/>
        </w:rPr>
        <w:t>ješanja, sačekat</w:t>
      </w:r>
      <w:r w:rsidR="00E40F3F">
        <w:rPr>
          <w:sz w:val="22"/>
          <w:szCs w:val="22"/>
          <w:lang w:val="sr-Latn-ME"/>
        </w:rPr>
        <w:t>i</w:t>
      </w:r>
      <w:r w:rsidRPr="00B46EA2">
        <w:rPr>
          <w:sz w:val="22"/>
          <w:szCs w:val="22"/>
          <w:lang w:val="sr-Latn-ME"/>
        </w:rPr>
        <w:t xml:space="preserve"> da se ohladi pa ga onda popi</w:t>
      </w:r>
      <w:r w:rsidR="00E40F3F">
        <w:rPr>
          <w:sz w:val="22"/>
          <w:szCs w:val="22"/>
          <w:lang w:val="sr-Latn-ME"/>
        </w:rPr>
        <w:t>ti</w:t>
      </w:r>
      <w:r w:rsidRPr="00B46EA2">
        <w:rPr>
          <w:sz w:val="22"/>
          <w:szCs w:val="22"/>
          <w:lang w:val="sr-Latn-ME"/>
        </w:rPr>
        <w:t xml:space="preserve"> u c</w:t>
      </w:r>
      <w:r w:rsidR="00236310" w:rsidRPr="00B46EA2">
        <w:rPr>
          <w:sz w:val="22"/>
          <w:szCs w:val="22"/>
          <w:lang w:val="sr-Latn-ME"/>
        </w:rPr>
        <w:t>j</w:t>
      </w:r>
      <w:r w:rsidRPr="00B46EA2">
        <w:rPr>
          <w:sz w:val="22"/>
          <w:szCs w:val="22"/>
          <w:lang w:val="sr-Latn-ME"/>
        </w:rPr>
        <w:t>elosti. Rastvor je potrebno popiti odmah nakon pripreme. Dobijeni rastvor je zamućen.</w:t>
      </w:r>
    </w:p>
    <w:p w14:paraId="58BA2340" w14:textId="77777777" w:rsidR="004338E1" w:rsidRPr="00B46EA2" w:rsidRDefault="004338E1" w:rsidP="004338E1">
      <w:pPr>
        <w:tabs>
          <w:tab w:val="left" w:pos="540"/>
          <w:tab w:val="left" w:pos="569"/>
        </w:tabs>
        <w:jc w:val="both"/>
        <w:rPr>
          <w:sz w:val="22"/>
          <w:szCs w:val="22"/>
          <w:lang w:val="sr-Latn-ME"/>
        </w:rPr>
      </w:pPr>
    </w:p>
    <w:p w14:paraId="20B4CBF2" w14:textId="6FC9D5AF" w:rsidR="004338E1" w:rsidRPr="00B46EA2" w:rsidRDefault="004338E1" w:rsidP="00655CA2">
      <w:pPr>
        <w:tabs>
          <w:tab w:val="left" w:pos="540"/>
          <w:tab w:val="left" w:pos="569"/>
        </w:tabs>
        <w:jc w:val="both"/>
        <w:rPr>
          <w:b/>
          <w:bCs/>
          <w:sz w:val="22"/>
          <w:szCs w:val="22"/>
          <w:lang w:val="sr-Latn-ME"/>
        </w:rPr>
      </w:pPr>
      <w:r w:rsidRPr="00B46EA2">
        <w:rPr>
          <w:sz w:val="22"/>
          <w:szCs w:val="22"/>
          <w:lang w:val="sr-Latn-ME"/>
        </w:rPr>
        <w:t>Svu neiskorišćenu količinu lijeka ili otpadnog materijala nakon njegove upotreba treba ukloniti, u skladu sa važećim propisima.</w:t>
      </w:r>
    </w:p>
    <w:p w14:paraId="3B35CB0F" w14:textId="77777777" w:rsidR="00B66A70" w:rsidRPr="00B46EA2" w:rsidRDefault="00B66A70" w:rsidP="00480FB1">
      <w:pPr>
        <w:tabs>
          <w:tab w:val="left" w:pos="540"/>
          <w:tab w:val="left" w:pos="569"/>
        </w:tabs>
        <w:rPr>
          <w:b/>
          <w:bCs/>
          <w:sz w:val="22"/>
          <w:szCs w:val="22"/>
          <w:lang w:val="sr-Latn-ME"/>
        </w:rPr>
      </w:pPr>
    </w:p>
    <w:p w14:paraId="19BBCB67" w14:textId="77777777" w:rsidR="0072020E" w:rsidRPr="00B46EA2" w:rsidRDefault="0072020E" w:rsidP="00480FB1">
      <w:pPr>
        <w:tabs>
          <w:tab w:val="left" w:pos="540"/>
          <w:tab w:val="left" w:pos="569"/>
        </w:tabs>
        <w:rPr>
          <w:bCs/>
          <w:sz w:val="22"/>
          <w:szCs w:val="22"/>
          <w:lang w:val="sr-Latn-ME"/>
        </w:rPr>
      </w:pPr>
    </w:p>
    <w:p w14:paraId="5476F6CC" w14:textId="77777777" w:rsidR="00F8570A"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7. </w:t>
      </w:r>
      <w:r w:rsidR="00480FB1" w:rsidRPr="00B46EA2">
        <w:rPr>
          <w:b/>
          <w:bCs/>
          <w:sz w:val="22"/>
          <w:szCs w:val="22"/>
          <w:lang w:val="sr-Latn-ME"/>
        </w:rPr>
        <w:tab/>
      </w:r>
      <w:r w:rsidRPr="00B46EA2">
        <w:rPr>
          <w:b/>
          <w:bCs/>
          <w:sz w:val="22"/>
          <w:szCs w:val="22"/>
          <w:lang w:val="sr-Latn-ME"/>
        </w:rPr>
        <w:t>NOSILAC DOZVOLE</w:t>
      </w:r>
      <w:r w:rsidR="00483928" w:rsidRPr="00B46EA2">
        <w:rPr>
          <w:b/>
          <w:bCs/>
          <w:sz w:val="22"/>
          <w:szCs w:val="22"/>
          <w:lang w:val="sr-Latn-ME"/>
        </w:rPr>
        <w:t xml:space="preserve"> </w:t>
      </w:r>
    </w:p>
    <w:p w14:paraId="28AD3E19" w14:textId="77777777" w:rsidR="004338E1" w:rsidRPr="00B46EA2" w:rsidRDefault="004338E1" w:rsidP="00480FB1">
      <w:pPr>
        <w:tabs>
          <w:tab w:val="left" w:pos="540"/>
          <w:tab w:val="left" w:pos="569"/>
        </w:tabs>
        <w:rPr>
          <w:b/>
          <w:bCs/>
          <w:sz w:val="22"/>
          <w:szCs w:val="22"/>
          <w:lang w:val="sr-Latn-ME"/>
        </w:rPr>
      </w:pPr>
    </w:p>
    <w:p w14:paraId="6EFC094E" w14:textId="2364CEA6" w:rsidR="004338E1" w:rsidRPr="00B46EA2" w:rsidRDefault="00236310" w:rsidP="004338E1">
      <w:pPr>
        <w:tabs>
          <w:tab w:val="left" w:pos="540"/>
          <w:tab w:val="left" w:pos="569"/>
        </w:tabs>
        <w:rPr>
          <w:sz w:val="22"/>
          <w:szCs w:val="22"/>
          <w:lang w:val="sr-Latn-ME"/>
        </w:rPr>
      </w:pPr>
      <w:r w:rsidRPr="00B46EA2">
        <w:rPr>
          <w:sz w:val="22"/>
          <w:szCs w:val="22"/>
          <w:lang w:val="sr-Latn-ME"/>
        </w:rPr>
        <w:t>“</w:t>
      </w:r>
      <w:r w:rsidR="004338E1" w:rsidRPr="00B46EA2">
        <w:rPr>
          <w:sz w:val="22"/>
          <w:szCs w:val="22"/>
          <w:lang w:val="sr-Latn-ME"/>
        </w:rPr>
        <w:t>GOODWILL PHARMA</w:t>
      </w:r>
      <w:r w:rsidRPr="00B46EA2">
        <w:rPr>
          <w:sz w:val="22"/>
          <w:szCs w:val="22"/>
          <w:lang w:val="sr-Latn-ME"/>
        </w:rPr>
        <w:t>”</w:t>
      </w:r>
      <w:r w:rsidR="004338E1" w:rsidRPr="00B46EA2">
        <w:rPr>
          <w:sz w:val="22"/>
          <w:szCs w:val="22"/>
          <w:lang w:val="sr-Latn-ME"/>
        </w:rPr>
        <w:t xml:space="preserve"> D</w:t>
      </w:r>
      <w:r w:rsidR="004633E5">
        <w:rPr>
          <w:sz w:val="22"/>
          <w:szCs w:val="22"/>
          <w:lang w:val="sr-Latn-ME"/>
        </w:rPr>
        <w:t>.</w:t>
      </w:r>
      <w:r w:rsidR="004338E1" w:rsidRPr="00B46EA2">
        <w:rPr>
          <w:sz w:val="22"/>
          <w:szCs w:val="22"/>
          <w:lang w:val="sr-Latn-ME"/>
        </w:rPr>
        <w:t>O</w:t>
      </w:r>
      <w:r w:rsidR="004633E5">
        <w:rPr>
          <w:sz w:val="22"/>
          <w:szCs w:val="22"/>
          <w:lang w:val="sr-Latn-ME"/>
        </w:rPr>
        <w:t>.</w:t>
      </w:r>
      <w:r w:rsidR="004338E1" w:rsidRPr="00B46EA2">
        <w:rPr>
          <w:sz w:val="22"/>
          <w:szCs w:val="22"/>
          <w:lang w:val="sr-Latn-ME"/>
        </w:rPr>
        <w:t>O</w:t>
      </w:r>
      <w:r w:rsidR="004633E5">
        <w:rPr>
          <w:sz w:val="22"/>
          <w:szCs w:val="22"/>
          <w:lang w:val="sr-Latn-ME"/>
        </w:rPr>
        <w:t>.</w:t>
      </w:r>
      <w:r w:rsidR="004338E1" w:rsidRPr="00B46EA2">
        <w:rPr>
          <w:sz w:val="22"/>
          <w:szCs w:val="22"/>
          <w:lang w:val="sr-Latn-ME"/>
        </w:rPr>
        <w:t xml:space="preserve"> PODGORICA</w:t>
      </w:r>
    </w:p>
    <w:p w14:paraId="55FDF3BD" w14:textId="05EBE76E" w:rsidR="004338E1" w:rsidRPr="00B46EA2" w:rsidRDefault="004338E1" w:rsidP="004338E1">
      <w:pPr>
        <w:tabs>
          <w:tab w:val="left" w:pos="540"/>
          <w:tab w:val="left" w:pos="569"/>
        </w:tabs>
        <w:rPr>
          <w:bCs/>
          <w:sz w:val="22"/>
          <w:szCs w:val="22"/>
          <w:lang w:val="sr-Latn-ME"/>
        </w:rPr>
      </w:pPr>
      <w:r w:rsidRPr="00B46EA2">
        <w:rPr>
          <w:sz w:val="22"/>
          <w:szCs w:val="22"/>
          <w:lang w:val="sr-Latn-ME"/>
        </w:rPr>
        <w:t>Crnogorskih serdara br.</w:t>
      </w:r>
      <w:r w:rsidR="00236310" w:rsidRPr="00B46EA2">
        <w:rPr>
          <w:sz w:val="22"/>
          <w:szCs w:val="22"/>
          <w:lang w:val="sr-Latn-ME"/>
        </w:rPr>
        <w:t xml:space="preserve"> </w:t>
      </w:r>
      <w:r w:rsidRPr="00B46EA2">
        <w:rPr>
          <w:sz w:val="22"/>
          <w:szCs w:val="22"/>
          <w:lang w:val="sr-Latn-ME"/>
        </w:rPr>
        <w:t xml:space="preserve">23, </w:t>
      </w:r>
      <w:r w:rsidR="00E40F3F">
        <w:rPr>
          <w:rFonts w:eastAsia="Calibri"/>
          <w:sz w:val="22"/>
          <w:szCs w:val="22"/>
        </w:rPr>
        <w:t xml:space="preserve">81000 </w:t>
      </w:r>
      <w:r w:rsidRPr="00B46EA2">
        <w:rPr>
          <w:sz w:val="22"/>
          <w:szCs w:val="22"/>
          <w:lang w:val="sr-Latn-ME"/>
        </w:rPr>
        <w:t>Podgorica</w:t>
      </w:r>
      <w:r w:rsidR="004633E5">
        <w:rPr>
          <w:sz w:val="22"/>
          <w:szCs w:val="22"/>
          <w:lang w:val="sr-Latn-ME"/>
        </w:rPr>
        <w:t xml:space="preserve">, </w:t>
      </w:r>
      <w:r w:rsidR="004633E5">
        <w:rPr>
          <w:bCs/>
          <w:noProof/>
          <w:sz w:val="22"/>
          <w:szCs w:val="22"/>
          <w:lang w:val="sr-Latn-RS"/>
        </w:rPr>
        <w:t>Crna Gora</w:t>
      </w:r>
    </w:p>
    <w:p w14:paraId="1D8A622C" w14:textId="324C4AAF" w:rsidR="00C37FD7" w:rsidRDefault="00C37FD7" w:rsidP="00480FB1">
      <w:pPr>
        <w:tabs>
          <w:tab w:val="left" w:pos="540"/>
          <w:tab w:val="left" w:pos="569"/>
        </w:tabs>
        <w:rPr>
          <w:bCs/>
          <w:sz w:val="22"/>
          <w:szCs w:val="22"/>
          <w:lang w:val="sr-Latn-ME"/>
        </w:rPr>
      </w:pPr>
    </w:p>
    <w:p w14:paraId="33D9DDF6" w14:textId="77777777" w:rsidR="00476F2B" w:rsidRPr="00B46EA2" w:rsidRDefault="00476F2B" w:rsidP="00480FB1">
      <w:pPr>
        <w:tabs>
          <w:tab w:val="left" w:pos="540"/>
          <w:tab w:val="left" w:pos="569"/>
        </w:tabs>
        <w:rPr>
          <w:bCs/>
          <w:sz w:val="22"/>
          <w:szCs w:val="22"/>
          <w:lang w:val="sr-Latn-ME"/>
        </w:rPr>
      </w:pPr>
    </w:p>
    <w:p w14:paraId="60E4F5A5"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8. </w:t>
      </w:r>
      <w:r w:rsidR="00480FB1" w:rsidRPr="00B46EA2">
        <w:rPr>
          <w:b/>
          <w:bCs/>
          <w:sz w:val="22"/>
          <w:szCs w:val="22"/>
          <w:lang w:val="sr-Latn-ME"/>
        </w:rPr>
        <w:tab/>
      </w:r>
      <w:r w:rsidRPr="00B46EA2">
        <w:rPr>
          <w:b/>
          <w:bCs/>
          <w:sz w:val="22"/>
          <w:szCs w:val="22"/>
          <w:lang w:val="sr-Latn-ME"/>
        </w:rPr>
        <w:t>BROJ DOZVOLE</w:t>
      </w:r>
      <w:r w:rsidR="008A6D43" w:rsidRPr="00B46EA2">
        <w:rPr>
          <w:b/>
          <w:bCs/>
          <w:sz w:val="22"/>
          <w:szCs w:val="22"/>
          <w:lang w:val="sr-Latn-ME"/>
        </w:rPr>
        <w:t xml:space="preserve"> ZA STAVLJANJE LIJEKA U PROMET</w:t>
      </w:r>
    </w:p>
    <w:p w14:paraId="18D6C9C5" w14:textId="7EDF64EA" w:rsidR="004338E1" w:rsidRDefault="004338E1" w:rsidP="00480FB1">
      <w:pPr>
        <w:tabs>
          <w:tab w:val="left" w:pos="540"/>
          <w:tab w:val="left" w:pos="569"/>
        </w:tabs>
        <w:rPr>
          <w:b/>
          <w:bCs/>
          <w:sz w:val="22"/>
          <w:szCs w:val="22"/>
          <w:lang w:val="sr-Latn-ME"/>
        </w:rPr>
      </w:pPr>
    </w:p>
    <w:p w14:paraId="5B2F686E" w14:textId="65F03763" w:rsidR="00476F2B" w:rsidRPr="00B46EA2" w:rsidRDefault="00476F2B" w:rsidP="00480FB1">
      <w:pPr>
        <w:tabs>
          <w:tab w:val="left" w:pos="540"/>
          <w:tab w:val="left" w:pos="569"/>
        </w:tabs>
        <w:rPr>
          <w:b/>
          <w:bCs/>
          <w:sz w:val="22"/>
          <w:szCs w:val="22"/>
          <w:lang w:val="sr-Latn-ME"/>
        </w:rPr>
      </w:pPr>
      <w:r>
        <w:rPr>
          <w:rFonts w:ascii="TimesNewRoman" w:hAnsi="TimesNewRoman" w:cs="TimesNewRoman"/>
          <w:sz w:val="22"/>
          <w:szCs w:val="22"/>
          <w:lang w:val="sr-Latn-ME" w:eastAsia="sr-Latn-ME"/>
        </w:rPr>
        <w:t>2030/24/5551 - 590</w:t>
      </w:r>
    </w:p>
    <w:p w14:paraId="73682CE7" w14:textId="1D37E258" w:rsidR="00F45F77" w:rsidRDefault="00F45F77" w:rsidP="00480FB1">
      <w:pPr>
        <w:tabs>
          <w:tab w:val="left" w:pos="540"/>
          <w:tab w:val="left" w:pos="569"/>
        </w:tabs>
        <w:rPr>
          <w:bCs/>
          <w:sz w:val="22"/>
          <w:szCs w:val="22"/>
          <w:lang w:val="sr-Latn-ME"/>
        </w:rPr>
      </w:pPr>
    </w:p>
    <w:p w14:paraId="03F31520" w14:textId="77777777" w:rsidR="00476F2B" w:rsidRPr="00B46EA2" w:rsidRDefault="00476F2B" w:rsidP="00480FB1">
      <w:pPr>
        <w:tabs>
          <w:tab w:val="left" w:pos="540"/>
          <w:tab w:val="left" w:pos="569"/>
        </w:tabs>
        <w:rPr>
          <w:bCs/>
          <w:sz w:val="22"/>
          <w:szCs w:val="22"/>
          <w:lang w:val="sr-Latn-ME"/>
        </w:rPr>
      </w:pPr>
    </w:p>
    <w:p w14:paraId="7E8F92B3" w14:textId="77777777" w:rsidR="0072020E" w:rsidRPr="00B46EA2" w:rsidRDefault="0072020E" w:rsidP="00480FB1">
      <w:pPr>
        <w:tabs>
          <w:tab w:val="left" w:pos="540"/>
          <w:tab w:val="left" w:pos="569"/>
        </w:tabs>
        <w:rPr>
          <w:b/>
          <w:bCs/>
          <w:sz w:val="22"/>
          <w:szCs w:val="22"/>
          <w:lang w:val="sr-Latn-ME"/>
        </w:rPr>
      </w:pPr>
      <w:r w:rsidRPr="00B46EA2">
        <w:rPr>
          <w:b/>
          <w:bCs/>
          <w:sz w:val="22"/>
          <w:szCs w:val="22"/>
          <w:lang w:val="sr-Latn-ME"/>
        </w:rPr>
        <w:t xml:space="preserve">9. </w:t>
      </w:r>
      <w:r w:rsidR="00480FB1" w:rsidRPr="00B46EA2">
        <w:rPr>
          <w:b/>
          <w:bCs/>
          <w:sz w:val="22"/>
          <w:szCs w:val="22"/>
          <w:lang w:val="sr-Latn-ME"/>
        </w:rPr>
        <w:tab/>
      </w:r>
      <w:r w:rsidRPr="00B46EA2">
        <w:rPr>
          <w:b/>
          <w:bCs/>
          <w:sz w:val="22"/>
          <w:szCs w:val="22"/>
          <w:lang w:val="sr-Latn-ME"/>
        </w:rPr>
        <w:t xml:space="preserve">DATUM </w:t>
      </w:r>
      <w:r w:rsidR="00C05DF8" w:rsidRPr="00B46EA2">
        <w:rPr>
          <w:b/>
          <w:bCs/>
          <w:sz w:val="22"/>
          <w:szCs w:val="22"/>
          <w:lang w:val="sr-Latn-ME"/>
        </w:rPr>
        <w:t xml:space="preserve">PRVE </w:t>
      </w:r>
      <w:r w:rsidR="008A6D43" w:rsidRPr="00B46EA2">
        <w:rPr>
          <w:b/>
          <w:bCs/>
          <w:sz w:val="22"/>
          <w:szCs w:val="22"/>
          <w:lang w:val="sr-Latn-ME"/>
        </w:rPr>
        <w:t>DOZVOLE</w:t>
      </w:r>
      <w:r w:rsidR="00C05DF8" w:rsidRPr="00B46EA2">
        <w:rPr>
          <w:b/>
          <w:bCs/>
          <w:sz w:val="22"/>
          <w:szCs w:val="22"/>
          <w:lang w:val="sr-Latn-ME"/>
        </w:rPr>
        <w:t>/OBNOVE DOZVOLE</w:t>
      </w:r>
      <w:r w:rsidR="008A6D43" w:rsidRPr="00B46EA2">
        <w:rPr>
          <w:b/>
          <w:bCs/>
          <w:sz w:val="22"/>
          <w:szCs w:val="22"/>
          <w:lang w:val="sr-Latn-ME"/>
        </w:rPr>
        <w:t xml:space="preserve"> ZA STAVLJANJE LIJEKA U PROMET</w:t>
      </w:r>
    </w:p>
    <w:p w14:paraId="64FBD5BC" w14:textId="1359E98D" w:rsidR="0072020E" w:rsidRDefault="0072020E" w:rsidP="00480FB1">
      <w:pPr>
        <w:tabs>
          <w:tab w:val="left" w:pos="540"/>
          <w:tab w:val="left" w:pos="569"/>
        </w:tabs>
        <w:rPr>
          <w:bCs/>
          <w:sz w:val="22"/>
          <w:szCs w:val="22"/>
          <w:lang w:val="sr-Latn-ME"/>
        </w:rPr>
      </w:pPr>
    </w:p>
    <w:p w14:paraId="7B617C3E" w14:textId="7A73A5F4" w:rsidR="00476F2B" w:rsidRDefault="00476F2B" w:rsidP="00480FB1">
      <w:pPr>
        <w:tabs>
          <w:tab w:val="left" w:pos="540"/>
          <w:tab w:val="left" w:pos="569"/>
        </w:tabs>
        <w:rPr>
          <w:rFonts w:ascii="TimesNewRoman" w:hAnsi="TimesNewRoman" w:cs="TimesNewRoman"/>
          <w:sz w:val="22"/>
          <w:szCs w:val="22"/>
          <w:lang w:val="sr-Latn-ME" w:eastAsia="sr-Latn-ME"/>
        </w:rPr>
      </w:pPr>
      <w:r>
        <w:rPr>
          <w:rFonts w:ascii="TimesNewRoman" w:hAnsi="TimesNewRoman" w:cs="TimesNewRoman"/>
          <w:sz w:val="22"/>
          <w:szCs w:val="22"/>
          <w:lang w:val="sr-Latn-ME" w:eastAsia="sr-Latn-ME"/>
        </w:rPr>
        <w:t>23.10.2024. godine</w:t>
      </w:r>
    </w:p>
    <w:p w14:paraId="41B27C73" w14:textId="77777777" w:rsidR="00476F2B" w:rsidRPr="00B46EA2" w:rsidRDefault="00476F2B" w:rsidP="00480FB1">
      <w:pPr>
        <w:tabs>
          <w:tab w:val="left" w:pos="540"/>
          <w:tab w:val="left" w:pos="569"/>
        </w:tabs>
        <w:rPr>
          <w:bCs/>
          <w:sz w:val="22"/>
          <w:szCs w:val="22"/>
          <w:lang w:val="sr-Latn-ME"/>
        </w:rPr>
      </w:pPr>
    </w:p>
    <w:p w14:paraId="2C437F1D" w14:textId="77777777" w:rsidR="00836B35" w:rsidRPr="00B46EA2" w:rsidRDefault="00836B35" w:rsidP="00480FB1">
      <w:pPr>
        <w:tabs>
          <w:tab w:val="left" w:pos="540"/>
          <w:tab w:val="left" w:pos="569"/>
        </w:tabs>
        <w:rPr>
          <w:bCs/>
          <w:sz w:val="22"/>
          <w:szCs w:val="22"/>
          <w:lang w:val="sr-Latn-ME"/>
        </w:rPr>
      </w:pPr>
    </w:p>
    <w:p w14:paraId="34705201" w14:textId="77777777" w:rsidR="003F6A59" w:rsidRPr="00B46EA2" w:rsidRDefault="0072020E" w:rsidP="00C05DF8">
      <w:pPr>
        <w:tabs>
          <w:tab w:val="left" w:pos="540"/>
          <w:tab w:val="left" w:pos="569"/>
        </w:tabs>
        <w:ind w:left="540" w:hanging="540"/>
        <w:rPr>
          <w:bCs/>
          <w:sz w:val="22"/>
          <w:szCs w:val="22"/>
          <w:lang w:val="sr-Latn-ME"/>
        </w:rPr>
      </w:pPr>
      <w:r w:rsidRPr="00B46EA2">
        <w:rPr>
          <w:b/>
          <w:bCs/>
          <w:sz w:val="22"/>
          <w:szCs w:val="22"/>
          <w:lang w:val="sr-Latn-ME"/>
        </w:rPr>
        <w:t xml:space="preserve">10. </w:t>
      </w:r>
      <w:r w:rsidR="00480FB1" w:rsidRPr="00B46EA2">
        <w:rPr>
          <w:b/>
          <w:bCs/>
          <w:sz w:val="22"/>
          <w:szCs w:val="22"/>
          <w:lang w:val="sr-Latn-ME"/>
        </w:rPr>
        <w:tab/>
      </w:r>
      <w:r w:rsidR="002846DB" w:rsidRPr="00B46EA2">
        <w:rPr>
          <w:b/>
          <w:bCs/>
          <w:sz w:val="22"/>
          <w:szCs w:val="22"/>
          <w:lang w:val="sr-Latn-ME"/>
        </w:rPr>
        <w:t>D</w:t>
      </w:r>
      <w:r w:rsidR="00EC2532" w:rsidRPr="00B46EA2">
        <w:rPr>
          <w:b/>
          <w:bCs/>
          <w:sz w:val="22"/>
          <w:szCs w:val="22"/>
          <w:lang w:val="sr-Latn-ME"/>
        </w:rPr>
        <w:t xml:space="preserve">ATUM REVIZIJE TEKSTA </w:t>
      </w:r>
    </w:p>
    <w:p w14:paraId="5406BB5E" w14:textId="77777777" w:rsidR="003F6A59" w:rsidRPr="00B46EA2" w:rsidRDefault="003F6A59" w:rsidP="00480FB1">
      <w:pPr>
        <w:tabs>
          <w:tab w:val="left" w:pos="540"/>
          <w:tab w:val="left" w:pos="569"/>
        </w:tabs>
        <w:rPr>
          <w:bCs/>
          <w:sz w:val="22"/>
          <w:szCs w:val="22"/>
          <w:lang w:val="sr-Latn-ME"/>
        </w:rPr>
      </w:pPr>
    </w:p>
    <w:p w14:paraId="214ED82C" w14:textId="275032B7" w:rsidR="008A6D43" w:rsidRPr="00B46EA2" w:rsidRDefault="00476F2B" w:rsidP="00480FB1">
      <w:pPr>
        <w:tabs>
          <w:tab w:val="left" w:pos="540"/>
          <w:tab w:val="left" w:pos="569"/>
        </w:tabs>
        <w:rPr>
          <w:bCs/>
          <w:sz w:val="22"/>
          <w:szCs w:val="22"/>
          <w:lang w:val="sr-Latn-ME"/>
        </w:rPr>
      </w:pPr>
      <w:r>
        <w:rPr>
          <w:rFonts w:ascii="TimesNewRoman" w:hAnsi="TimesNewRoman" w:cs="TimesNewRoman"/>
          <w:sz w:val="22"/>
          <w:szCs w:val="22"/>
          <w:lang w:val="sr-Latn-ME" w:eastAsia="sr-Latn-ME"/>
        </w:rPr>
        <w:t>Oktobar, 2024. godine</w:t>
      </w:r>
    </w:p>
    <w:p w14:paraId="41261328" w14:textId="77777777" w:rsidR="003F6A59" w:rsidRPr="00B46EA2" w:rsidRDefault="003F6A59" w:rsidP="00DE3F5C">
      <w:pPr>
        <w:rPr>
          <w:sz w:val="22"/>
          <w:szCs w:val="22"/>
          <w:lang w:val="sr-Latn-ME"/>
        </w:rPr>
      </w:pPr>
    </w:p>
    <w:sectPr w:rsidR="003F6A59" w:rsidRPr="00B46EA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D5E1D" w14:textId="77777777" w:rsidR="00AC4CD0" w:rsidRDefault="00AC4CD0">
      <w:r>
        <w:separator/>
      </w:r>
    </w:p>
  </w:endnote>
  <w:endnote w:type="continuationSeparator" w:id="0">
    <w:p w14:paraId="3DFD900A" w14:textId="77777777" w:rsidR="00AC4CD0" w:rsidRDefault="00AC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706C8" w14:textId="61638F2B"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33733">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33733">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A8359" w14:textId="77777777" w:rsidR="00AC4CD0" w:rsidRDefault="00AC4CD0">
      <w:r>
        <w:separator/>
      </w:r>
    </w:p>
  </w:footnote>
  <w:footnote w:type="continuationSeparator" w:id="0">
    <w:p w14:paraId="1657DCF4" w14:textId="77777777" w:rsidR="00AC4CD0" w:rsidRDefault="00AC4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D1D32"/>
    <w:multiLevelType w:val="hybridMultilevel"/>
    <w:tmpl w:val="6B5E82AE"/>
    <w:lvl w:ilvl="0" w:tplc="D11825C6">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70D1CC2"/>
    <w:multiLevelType w:val="hybridMultilevel"/>
    <w:tmpl w:val="0660D420"/>
    <w:lvl w:ilvl="0" w:tplc="FF761F7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A7F8B"/>
    <w:multiLevelType w:val="multilevel"/>
    <w:tmpl w:val="7AEC46C8"/>
    <w:lvl w:ilvl="0">
      <w:start w:val="1"/>
      <w:numFmt w:val="decimal"/>
      <w:lvlText w:val="%1."/>
      <w:lvlJc w:val="left"/>
      <w:pPr>
        <w:ind w:left="112" w:hanging="222"/>
      </w:pPr>
      <w:rPr>
        <w:rFonts w:ascii="Times New Roman" w:eastAsia="Times New Roman" w:hAnsi="Times New Roman" w:hint="default"/>
        <w:b/>
        <w:bCs/>
        <w:sz w:val="22"/>
        <w:szCs w:val="22"/>
      </w:rPr>
    </w:lvl>
    <w:lvl w:ilvl="1">
      <w:start w:val="1"/>
      <w:numFmt w:val="decimal"/>
      <w:lvlText w:val="%1.%2."/>
      <w:lvlJc w:val="left"/>
      <w:pPr>
        <w:ind w:left="654" w:hanging="384"/>
      </w:pPr>
      <w:rPr>
        <w:rFonts w:ascii="Times New Roman" w:eastAsia="Times New Roman" w:hAnsi="Times New Roman" w:hint="default"/>
        <w:b/>
        <w:bCs/>
        <w:spacing w:val="-1"/>
        <w:sz w:val="22"/>
        <w:szCs w:val="22"/>
      </w:rPr>
    </w:lvl>
    <w:lvl w:ilvl="2">
      <w:start w:val="1"/>
      <w:numFmt w:val="bullet"/>
      <w:lvlText w:val=""/>
      <w:lvlJc w:val="left"/>
      <w:pPr>
        <w:ind w:left="832" w:hanging="360"/>
      </w:pPr>
      <w:rPr>
        <w:rFonts w:ascii="Symbol" w:eastAsia="Symbol" w:hAnsi="Symbol" w:hint="default"/>
        <w:sz w:val="22"/>
        <w:szCs w:val="22"/>
      </w:rPr>
    </w:lvl>
    <w:lvl w:ilvl="3">
      <w:start w:val="1"/>
      <w:numFmt w:val="bullet"/>
      <w:lvlText w:val="•"/>
      <w:lvlJc w:val="left"/>
      <w:pPr>
        <w:ind w:left="1961" w:hanging="360"/>
      </w:pPr>
      <w:rPr>
        <w:rFonts w:hint="default"/>
      </w:rPr>
    </w:lvl>
    <w:lvl w:ilvl="4">
      <w:start w:val="1"/>
      <w:numFmt w:val="bullet"/>
      <w:lvlText w:val="•"/>
      <w:lvlJc w:val="left"/>
      <w:pPr>
        <w:ind w:left="3090" w:hanging="360"/>
      </w:pPr>
      <w:rPr>
        <w:rFonts w:hint="default"/>
      </w:rPr>
    </w:lvl>
    <w:lvl w:ilvl="5">
      <w:start w:val="1"/>
      <w:numFmt w:val="bullet"/>
      <w:lvlText w:val="•"/>
      <w:lvlJc w:val="left"/>
      <w:pPr>
        <w:ind w:left="4220" w:hanging="360"/>
      </w:pPr>
      <w:rPr>
        <w:rFonts w:hint="default"/>
      </w:rPr>
    </w:lvl>
    <w:lvl w:ilvl="6">
      <w:start w:val="1"/>
      <w:numFmt w:val="bullet"/>
      <w:lvlText w:val="•"/>
      <w:lvlJc w:val="left"/>
      <w:pPr>
        <w:ind w:left="5349" w:hanging="360"/>
      </w:pPr>
      <w:rPr>
        <w:rFonts w:hint="default"/>
      </w:rPr>
    </w:lvl>
    <w:lvl w:ilvl="7">
      <w:start w:val="1"/>
      <w:numFmt w:val="bullet"/>
      <w:lvlText w:val="•"/>
      <w:lvlJc w:val="left"/>
      <w:pPr>
        <w:ind w:left="6478" w:hanging="360"/>
      </w:pPr>
      <w:rPr>
        <w:rFonts w:hint="default"/>
      </w:rPr>
    </w:lvl>
    <w:lvl w:ilvl="8">
      <w:start w:val="1"/>
      <w:numFmt w:val="bullet"/>
      <w:lvlText w:val="•"/>
      <w:lvlJc w:val="left"/>
      <w:pPr>
        <w:ind w:left="7607" w:hanging="360"/>
      </w:pPr>
      <w:rPr>
        <w:rFont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87A5F"/>
    <w:multiLevelType w:val="hybridMultilevel"/>
    <w:tmpl w:val="DAC0B8E8"/>
    <w:lvl w:ilvl="0" w:tplc="55481542">
      <w:start w:val="1"/>
      <w:numFmt w:val="bullet"/>
      <w:lvlText w:val="-"/>
      <w:lvlJc w:val="left"/>
      <w:pPr>
        <w:ind w:left="832" w:hanging="720"/>
      </w:pPr>
      <w:rPr>
        <w:rFonts w:ascii="Times New Roman" w:eastAsia="Times New Roman" w:hAnsi="Times New Roman" w:hint="default"/>
        <w:sz w:val="22"/>
        <w:szCs w:val="22"/>
      </w:rPr>
    </w:lvl>
    <w:lvl w:ilvl="1" w:tplc="FF761F74">
      <w:start w:val="1"/>
      <w:numFmt w:val="bullet"/>
      <w:lvlText w:val="•"/>
      <w:lvlJc w:val="left"/>
      <w:pPr>
        <w:ind w:left="1736" w:hanging="720"/>
      </w:pPr>
      <w:rPr>
        <w:rFonts w:hint="default"/>
      </w:rPr>
    </w:lvl>
    <w:lvl w:ilvl="2" w:tplc="1A00F6DE">
      <w:start w:val="1"/>
      <w:numFmt w:val="bullet"/>
      <w:lvlText w:val="•"/>
      <w:lvlJc w:val="left"/>
      <w:pPr>
        <w:ind w:left="2639" w:hanging="720"/>
      </w:pPr>
      <w:rPr>
        <w:rFonts w:hint="default"/>
      </w:rPr>
    </w:lvl>
    <w:lvl w:ilvl="3" w:tplc="6C16DFBE">
      <w:start w:val="1"/>
      <w:numFmt w:val="bullet"/>
      <w:lvlText w:val="•"/>
      <w:lvlJc w:val="left"/>
      <w:pPr>
        <w:ind w:left="3542" w:hanging="720"/>
      </w:pPr>
      <w:rPr>
        <w:rFonts w:hint="default"/>
      </w:rPr>
    </w:lvl>
    <w:lvl w:ilvl="4" w:tplc="037CEF3E">
      <w:start w:val="1"/>
      <w:numFmt w:val="bullet"/>
      <w:lvlText w:val="•"/>
      <w:lvlJc w:val="left"/>
      <w:pPr>
        <w:ind w:left="4445" w:hanging="720"/>
      </w:pPr>
      <w:rPr>
        <w:rFonts w:hint="default"/>
      </w:rPr>
    </w:lvl>
    <w:lvl w:ilvl="5" w:tplc="D45AFF96">
      <w:start w:val="1"/>
      <w:numFmt w:val="bullet"/>
      <w:lvlText w:val="•"/>
      <w:lvlJc w:val="left"/>
      <w:pPr>
        <w:ind w:left="5349" w:hanging="720"/>
      </w:pPr>
      <w:rPr>
        <w:rFonts w:hint="default"/>
      </w:rPr>
    </w:lvl>
    <w:lvl w:ilvl="6" w:tplc="C408FBC0">
      <w:start w:val="1"/>
      <w:numFmt w:val="bullet"/>
      <w:lvlText w:val="•"/>
      <w:lvlJc w:val="left"/>
      <w:pPr>
        <w:ind w:left="6252" w:hanging="720"/>
      </w:pPr>
      <w:rPr>
        <w:rFonts w:hint="default"/>
      </w:rPr>
    </w:lvl>
    <w:lvl w:ilvl="7" w:tplc="B762C4EA">
      <w:start w:val="1"/>
      <w:numFmt w:val="bullet"/>
      <w:lvlText w:val="•"/>
      <w:lvlJc w:val="left"/>
      <w:pPr>
        <w:ind w:left="7155" w:hanging="720"/>
      </w:pPr>
      <w:rPr>
        <w:rFonts w:hint="default"/>
      </w:rPr>
    </w:lvl>
    <w:lvl w:ilvl="8" w:tplc="B6F8EB74">
      <w:start w:val="1"/>
      <w:numFmt w:val="bullet"/>
      <w:lvlText w:val="•"/>
      <w:lvlJc w:val="left"/>
      <w:pPr>
        <w:ind w:left="8058" w:hanging="720"/>
      </w:pPr>
      <w:rPr>
        <w:rFonts w:hint="default"/>
      </w:rPr>
    </w:lvl>
  </w:abstractNum>
  <w:num w:numId="1">
    <w:abstractNumId w:val="2"/>
  </w:num>
  <w:num w:numId="2">
    <w:abstractNumId w:val="12"/>
  </w:num>
  <w:num w:numId="3">
    <w:abstractNumId w:val="0"/>
  </w:num>
  <w:num w:numId="4">
    <w:abstractNumId w:val="11"/>
  </w:num>
  <w:num w:numId="5">
    <w:abstractNumId w:val="4"/>
  </w:num>
  <w:num w:numId="6">
    <w:abstractNumId w:val="1"/>
  </w:num>
  <w:num w:numId="7">
    <w:abstractNumId w:val="10"/>
  </w:num>
  <w:num w:numId="8">
    <w:abstractNumId w:val="3"/>
  </w:num>
  <w:num w:numId="9">
    <w:abstractNumId w:val="7"/>
  </w:num>
  <w:num w:numId="10">
    <w:abstractNumId w:val="13"/>
  </w:num>
  <w:num w:numId="11">
    <w:abstractNumId w:val="5"/>
  </w:num>
  <w:num w:numId="12">
    <w:abstractNumId w:val="14"/>
  </w:num>
  <w:num w:numId="13">
    <w:abstractNumId w:val="9"/>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91561"/>
    <w:rsid w:val="000A3F58"/>
    <w:rsid w:val="000D2343"/>
    <w:rsid w:val="000D3449"/>
    <w:rsid w:val="000D425A"/>
    <w:rsid w:val="000D60CC"/>
    <w:rsid w:val="000E2084"/>
    <w:rsid w:val="000E6F55"/>
    <w:rsid w:val="000F77FA"/>
    <w:rsid w:val="00107BF7"/>
    <w:rsid w:val="00126D33"/>
    <w:rsid w:val="00126F53"/>
    <w:rsid w:val="0014766D"/>
    <w:rsid w:val="00151A07"/>
    <w:rsid w:val="001536CC"/>
    <w:rsid w:val="001638FD"/>
    <w:rsid w:val="001A3FBA"/>
    <w:rsid w:val="001A5518"/>
    <w:rsid w:val="001B1C6A"/>
    <w:rsid w:val="001B6EFD"/>
    <w:rsid w:val="001C1263"/>
    <w:rsid w:val="001C1417"/>
    <w:rsid w:val="001D5DB4"/>
    <w:rsid w:val="001E390B"/>
    <w:rsid w:val="001F42FB"/>
    <w:rsid w:val="001F719A"/>
    <w:rsid w:val="002031B3"/>
    <w:rsid w:val="00215931"/>
    <w:rsid w:val="00224C91"/>
    <w:rsid w:val="00227BDB"/>
    <w:rsid w:val="00234CB1"/>
    <w:rsid w:val="002352F8"/>
    <w:rsid w:val="00236310"/>
    <w:rsid w:val="002430F4"/>
    <w:rsid w:val="002510A5"/>
    <w:rsid w:val="00254A0A"/>
    <w:rsid w:val="00266046"/>
    <w:rsid w:val="002846BC"/>
    <w:rsid w:val="002846DB"/>
    <w:rsid w:val="00284CCD"/>
    <w:rsid w:val="002C6637"/>
    <w:rsid w:val="002E0135"/>
    <w:rsid w:val="002E37A5"/>
    <w:rsid w:val="00310F03"/>
    <w:rsid w:val="003247D2"/>
    <w:rsid w:val="00334D28"/>
    <w:rsid w:val="003445C1"/>
    <w:rsid w:val="00355B61"/>
    <w:rsid w:val="00362686"/>
    <w:rsid w:val="0037033B"/>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3733"/>
    <w:rsid w:val="004338E1"/>
    <w:rsid w:val="00436D43"/>
    <w:rsid w:val="00436F42"/>
    <w:rsid w:val="004378B4"/>
    <w:rsid w:val="00451314"/>
    <w:rsid w:val="00452E9D"/>
    <w:rsid w:val="004534C7"/>
    <w:rsid w:val="004633E5"/>
    <w:rsid w:val="004671AA"/>
    <w:rsid w:val="00471DF8"/>
    <w:rsid w:val="00476F2B"/>
    <w:rsid w:val="00480FB1"/>
    <w:rsid w:val="00483928"/>
    <w:rsid w:val="004B01CD"/>
    <w:rsid w:val="004C331F"/>
    <w:rsid w:val="004C45E5"/>
    <w:rsid w:val="004D6103"/>
    <w:rsid w:val="004E3BCE"/>
    <w:rsid w:val="004E70AD"/>
    <w:rsid w:val="004F0E97"/>
    <w:rsid w:val="004F17E2"/>
    <w:rsid w:val="00501DD1"/>
    <w:rsid w:val="00515C21"/>
    <w:rsid w:val="00530BD7"/>
    <w:rsid w:val="00545CD2"/>
    <w:rsid w:val="005476F3"/>
    <w:rsid w:val="00572527"/>
    <w:rsid w:val="00573E40"/>
    <w:rsid w:val="00576348"/>
    <w:rsid w:val="00586CDF"/>
    <w:rsid w:val="005A0B2E"/>
    <w:rsid w:val="005A23D2"/>
    <w:rsid w:val="005A36CB"/>
    <w:rsid w:val="005B49B8"/>
    <w:rsid w:val="005B73E5"/>
    <w:rsid w:val="005C0741"/>
    <w:rsid w:val="005C0971"/>
    <w:rsid w:val="005C5EF4"/>
    <w:rsid w:val="005E2E0B"/>
    <w:rsid w:val="005E67AD"/>
    <w:rsid w:val="005E7A7D"/>
    <w:rsid w:val="00602457"/>
    <w:rsid w:val="00622ADA"/>
    <w:rsid w:val="00644FC3"/>
    <w:rsid w:val="00646BD1"/>
    <w:rsid w:val="00647CDA"/>
    <w:rsid w:val="00655CA2"/>
    <w:rsid w:val="006561C2"/>
    <w:rsid w:val="00671CB3"/>
    <w:rsid w:val="00674BAF"/>
    <w:rsid w:val="00682200"/>
    <w:rsid w:val="0068345C"/>
    <w:rsid w:val="00692BF6"/>
    <w:rsid w:val="006A1351"/>
    <w:rsid w:val="006A1497"/>
    <w:rsid w:val="006B0BD1"/>
    <w:rsid w:val="006B5404"/>
    <w:rsid w:val="006B6503"/>
    <w:rsid w:val="006C3D0A"/>
    <w:rsid w:val="006C43A0"/>
    <w:rsid w:val="006D20A5"/>
    <w:rsid w:val="006D37BF"/>
    <w:rsid w:val="00702E22"/>
    <w:rsid w:val="0072020E"/>
    <w:rsid w:val="00754902"/>
    <w:rsid w:val="00786071"/>
    <w:rsid w:val="007A3ECB"/>
    <w:rsid w:val="007D7BB3"/>
    <w:rsid w:val="007E31E9"/>
    <w:rsid w:val="007F05E3"/>
    <w:rsid w:val="007F661E"/>
    <w:rsid w:val="00824AB9"/>
    <w:rsid w:val="00836B35"/>
    <w:rsid w:val="00843BDE"/>
    <w:rsid w:val="008524F9"/>
    <w:rsid w:val="0087588C"/>
    <w:rsid w:val="00890F51"/>
    <w:rsid w:val="0089705C"/>
    <w:rsid w:val="008A6D43"/>
    <w:rsid w:val="008B491E"/>
    <w:rsid w:val="008C1A28"/>
    <w:rsid w:val="008C2E98"/>
    <w:rsid w:val="008C7388"/>
    <w:rsid w:val="008E49BD"/>
    <w:rsid w:val="008E53E9"/>
    <w:rsid w:val="008E5771"/>
    <w:rsid w:val="008F4ACF"/>
    <w:rsid w:val="009078AF"/>
    <w:rsid w:val="00921ABB"/>
    <w:rsid w:val="00923DBF"/>
    <w:rsid w:val="00924166"/>
    <w:rsid w:val="00940B9B"/>
    <w:rsid w:val="00950F03"/>
    <w:rsid w:val="00953573"/>
    <w:rsid w:val="0095676E"/>
    <w:rsid w:val="00956983"/>
    <w:rsid w:val="00963CF0"/>
    <w:rsid w:val="00964BB1"/>
    <w:rsid w:val="009775D9"/>
    <w:rsid w:val="00997175"/>
    <w:rsid w:val="0099777C"/>
    <w:rsid w:val="009A1847"/>
    <w:rsid w:val="009B062A"/>
    <w:rsid w:val="009E7C6F"/>
    <w:rsid w:val="009F0648"/>
    <w:rsid w:val="009F1793"/>
    <w:rsid w:val="009F2D23"/>
    <w:rsid w:val="00A01D69"/>
    <w:rsid w:val="00A02335"/>
    <w:rsid w:val="00A46C9A"/>
    <w:rsid w:val="00A6040B"/>
    <w:rsid w:val="00A619F3"/>
    <w:rsid w:val="00A62A73"/>
    <w:rsid w:val="00A73640"/>
    <w:rsid w:val="00A87FF6"/>
    <w:rsid w:val="00AA0A3B"/>
    <w:rsid w:val="00AA2763"/>
    <w:rsid w:val="00AA33B6"/>
    <w:rsid w:val="00AB50CA"/>
    <w:rsid w:val="00AB6D64"/>
    <w:rsid w:val="00AC4CD0"/>
    <w:rsid w:val="00AC53CE"/>
    <w:rsid w:val="00AD2193"/>
    <w:rsid w:val="00AF19F4"/>
    <w:rsid w:val="00AF2AC7"/>
    <w:rsid w:val="00AF4777"/>
    <w:rsid w:val="00AF74CE"/>
    <w:rsid w:val="00B208DB"/>
    <w:rsid w:val="00B23F69"/>
    <w:rsid w:val="00B46EA2"/>
    <w:rsid w:val="00B52419"/>
    <w:rsid w:val="00B60619"/>
    <w:rsid w:val="00B66A70"/>
    <w:rsid w:val="00B67151"/>
    <w:rsid w:val="00B67366"/>
    <w:rsid w:val="00B80EE1"/>
    <w:rsid w:val="00B84135"/>
    <w:rsid w:val="00BA79AF"/>
    <w:rsid w:val="00BD6A96"/>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0852"/>
    <w:rsid w:val="00C94C0D"/>
    <w:rsid w:val="00C978F1"/>
    <w:rsid w:val="00CA1FEB"/>
    <w:rsid w:val="00CD4F85"/>
    <w:rsid w:val="00CD6F02"/>
    <w:rsid w:val="00CE246D"/>
    <w:rsid w:val="00CF07A0"/>
    <w:rsid w:val="00CF3E03"/>
    <w:rsid w:val="00D0082A"/>
    <w:rsid w:val="00D21455"/>
    <w:rsid w:val="00D34269"/>
    <w:rsid w:val="00D47634"/>
    <w:rsid w:val="00D709B3"/>
    <w:rsid w:val="00D74CD2"/>
    <w:rsid w:val="00DA2ED6"/>
    <w:rsid w:val="00DB1D55"/>
    <w:rsid w:val="00DB1DAA"/>
    <w:rsid w:val="00DB76B8"/>
    <w:rsid w:val="00DC2EA1"/>
    <w:rsid w:val="00DD6AAF"/>
    <w:rsid w:val="00DE0D6A"/>
    <w:rsid w:val="00DE3F5C"/>
    <w:rsid w:val="00DF1D20"/>
    <w:rsid w:val="00E04F00"/>
    <w:rsid w:val="00E21324"/>
    <w:rsid w:val="00E246B9"/>
    <w:rsid w:val="00E31FEA"/>
    <w:rsid w:val="00E40F3F"/>
    <w:rsid w:val="00E45169"/>
    <w:rsid w:val="00E47787"/>
    <w:rsid w:val="00E51C30"/>
    <w:rsid w:val="00E64180"/>
    <w:rsid w:val="00E7235D"/>
    <w:rsid w:val="00E74AEE"/>
    <w:rsid w:val="00E868E5"/>
    <w:rsid w:val="00E91805"/>
    <w:rsid w:val="00E9237A"/>
    <w:rsid w:val="00E939FA"/>
    <w:rsid w:val="00EA5765"/>
    <w:rsid w:val="00EC2532"/>
    <w:rsid w:val="00ED5466"/>
    <w:rsid w:val="00ED7812"/>
    <w:rsid w:val="00EF3B86"/>
    <w:rsid w:val="00F317E9"/>
    <w:rsid w:val="00F34554"/>
    <w:rsid w:val="00F35B68"/>
    <w:rsid w:val="00F45F77"/>
    <w:rsid w:val="00F5167F"/>
    <w:rsid w:val="00F52258"/>
    <w:rsid w:val="00F547CA"/>
    <w:rsid w:val="00F65A4F"/>
    <w:rsid w:val="00F8570A"/>
    <w:rsid w:val="00F8571D"/>
    <w:rsid w:val="00F91C7B"/>
    <w:rsid w:val="00FC2808"/>
    <w:rsid w:val="00FE2758"/>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C5F8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A6040B"/>
    <w:pPr>
      <w:ind w:left="720"/>
      <w:contextualSpacing/>
    </w:pPr>
  </w:style>
  <w:style w:type="paragraph" w:styleId="Revision">
    <w:name w:val="Revision"/>
    <w:hidden/>
    <w:uiPriority w:val="99"/>
    <w:semiHidden/>
    <w:rsid w:val="006C43A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27102-2E3A-4DCD-80FA-C57E2135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18029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7</cp:revision>
  <cp:lastPrinted>2023-02-09T08:16:00Z</cp:lastPrinted>
  <dcterms:created xsi:type="dcterms:W3CDTF">2024-10-22T08:59:00Z</dcterms:created>
  <dcterms:modified xsi:type="dcterms:W3CDTF">2024-10-23T07:35:00Z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