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DB0D" w14:textId="77777777" w:rsidR="001A5518" w:rsidRPr="00253510" w:rsidRDefault="001A5518" w:rsidP="001A5518">
      <w:pPr>
        <w:rPr>
          <w:b/>
          <w:bCs/>
          <w:i/>
          <w:iCs/>
          <w:sz w:val="22"/>
          <w:szCs w:val="22"/>
          <w:u w:val="single"/>
          <w:lang w:val="sr-Latn-ME"/>
        </w:rPr>
      </w:pPr>
    </w:p>
    <w:p w14:paraId="350A466F" w14:textId="77777777" w:rsidR="00F91C7B" w:rsidRPr="00253510" w:rsidRDefault="00F91C7B" w:rsidP="001A5518">
      <w:pPr>
        <w:rPr>
          <w:b/>
          <w:bCs/>
          <w:i/>
          <w:iCs/>
          <w:sz w:val="22"/>
          <w:szCs w:val="22"/>
          <w:u w:val="single"/>
          <w:lang w:val="sr-Latn-ME"/>
        </w:rPr>
      </w:pPr>
    </w:p>
    <w:p w14:paraId="663CD974" w14:textId="77777777" w:rsidR="002510A5" w:rsidRPr="00253510" w:rsidRDefault="002510A5" w:rsidP="002510A5">
      <w:pPr>
        <w:jc w:val="center"/>
        <w:rPr>
          <w:b/>
          <w:bCs/>
          <w:iCs/>
          <w:sz w:val="22"/>
          <w:szCs w:val="22"/>
          <w:u w:val="single"/>
          <w:lang w:val="sr-Latn-ME"/>
        </w:rPr>
      </w:pPr>
      <w:r w:rsidRPr="00253510">
        <w:rPr>
          <w:b/>
          <w:bCs/>
          <w:iCs/>
          <w:sz w:val="22"/>
          <w:szCs w:val="22"/>
          <w:u w:val="single"/>
          <w:lang w:val="sr-Latn-ME"/>
        </w:rPr>
        <w:t>SAŽETAK KARAKTERISTIKA LIJEKA</w:t>
      </w:r>
    </w:p>
    <w:p w14:paraId="0572C135" w14:textId="77777777" w:rsidR="003C17AB" w:rsidRPr="00253510" w:rsidRDefault="003C17AB" w:rsidP="00F5167F">
      <w:pPr>
        <w:tabs>
          <w:tab w:val="left" w:pos="540"/>
          <w:tab w:val="left" w:pos="569"/>
        </w:tabs>
        <w:rPr>
          <w:noProof/>
          <w:sz w:val="22"/>
          <w:szCs w:val="22"/>
          <w:lang w:val="sr-Latn-ME"/>
        </w:rPr>
      </w:pPr>
    </w:p>
    <w:p w14:paraId="1E6AC5B4" w14:textId="77777777" w:rsidR="00C37FD7" w:rsidRPr="00253510" w:rsidRDefault="00C37FD7" w:rsidP="00F5167F">
      <w:pPr>
        <w:tabs>
          <w:tab w:val="left" w:pos="540"/>
          <w:tab w:val="left" w:pos="569"/>
        </w:tabs>
        <w:rPr>
          <w:bCs/>
          <w:sz w:val="22"/>
          <w:szCs w:val="22"/>
          <w:lang w:val="sr-Latn-ME"/>
        </w:rPr>
      </w:pPr>
    </w:p>
    <w:p w14:paraId="012F4DC1" w14:textId="77777777" w:rsidR="00411B4B" w:rsidRPr="00253510" w:rsidRDefault="00411B4B" w:rsidP="00F5167F">
      <w:pPr>
        <w:tabs>
          <w:tab w:val="left" w:pos="540"/>
          <w:tab w:val="left" w:pos="569"/>
        </w:tabs>
        <w:rPr>
          <w:b/>
          <w:bCs/>
          <w:sz w:val="22"/>
          <w:szCs w:val="22"/>
          <w:lang w:val="sr-Latn-ME"/>
        </w:rPr>
      </w:pPr>
      <w:r w:rsidRPr="00253510">
        <w:rPr>
          <w:b/>
          <w:bCs/>
          <w:sz w:val="22"/>
          <w:szCs w:val="22"/>
          <w:lang w:val="sr-Latn-ME"/>
        </w:rPr>
        <w:t>1.</w:t>
      </w:r>
      <w:r w:rsidR="00F5167F" w:rsidRPr="00253510">
        <w:rPr>
          <w:b/>
          <w:bCs/>
          <w:sz w:val="22"/>
          <w:szCs w:val="22"/>
          <w:lang w:val="sr-Latn-ME"/>
        </w:rPr>
        <w:tab/>
      </w:r>
      <w:r w:rsidR="002846DB" w:rsidRPr="00253510">
        <w:rPr>
          <w:b/>
          <w:bCs/>
          <w:sz w:val="22"/>
          <w:szCs w:val="22"/>
          <w:lang w:val="sr-Latn-ME"/>
        </w:rPr>
        <w:t xml:space="preserve">NAZIV </w:t>
      </w:r>
      <w:r w:rsidRPr="00253510">
        <w:rPr>
          <w:b/>
          <w:bCs/>
          <w:sz w:val="22"/>
          <w:szCs w:val="22"/>
          <w:lang w:val="sr-Latn-ME"/>
        </w:rPr>
        <w:t>LIJEKA</w:t>
      </w:r>
    </w:p>
    <w:p w14:paraId="0EC6A3E8" w14:textId="77777777" w:rsidR="00EC2532" w:rsidRPr="00253510" w:rsidRDefault="00EC2532">
      <w:pPr>
        <w:rPr>
          <w:sz w:val="22"/>
          <w:szCs w:val="22"/>
          <w:lang w:val="sr-Latn-ME"/>
        </w:rPr>
      </w:pPr>
    </w:p>
    <w:p w14:paraId="758AB6FF" w14:textId="1F820DE6" w:rsidR="000F73FE" w:rsidRPr="00253510" w:rsidRDefault="000F73FE" w:rsidP="000F73FE">
      <w:pPr>
        <w:pStyle w:val="NoSpacing"/>
        <w:rPr>
          <w:sz w:val="22"/>
          <w:lang w:val="sr-Latn-ME"/>
        </w:rPr>
      </w:pPr>
      <w:r w:rsidRPr="00253510">
        <w:rPr>
          <w:sz w:val="22"/>
          <w:lang w:val="sr-Latn-ME"/>
        </w:rPr>
        <w:t>Nurofen</w:t>
      </w:r>
      <w:r w:rsidR="00D40E42" w:rsidRPr="00253510">
        <w:rPr>
          <w:sz w:val="22"/>
          <w:vertAlign w:val="superscript"/>
          <w:lang w:val="sr-Latn-ME"/>
        </w:rPr>
        <w:t>®</w:t>
      </w:r>
      <w:r w:rsidRPr="00253510">
        <w:rPr>
          <w:sz w:val="22"/>
          <w:lang w:val="sr-Latn-ME"/>
        </w:rPr>
        <w:t xml:space="preserve">, 200 mg, obložene tablete </w:t>
      </w:r>
    </w:p>
    <w:p w14:paraId="659B576C" w14:textId="77777777" w:rsidR="000D425A" w:rsidRPr="00253510" w:rsidRDefault="000D425A">
      <w:pPr>
        <w:rPr>
          <w:bCs/>
          <w:sz w:val="22"/>
          <w:szCs w:val="22"/>
          <w:lang w:val="sr-Latn-ME"/>
        </w:rPr>
      </w:pPr>
    </w:p>
    <w:p w14:paraId="1375B95B" w14:textId="77777777" w:rsidR="006D20A5" w:rsidRPr="00253510" w:rsidRDefault="006D20A5" w:rsidP="006D20A5">
      <w:pPr>
        <w:rPr>
          <w:sz w:val="22"/>
          <w:szCs w:val="22"/>
          <w:lang w:val="sr-Latn-ME"/>
        </w:rPr>
      </w:pPr>
      <w:r w:rsidRPr="00253510">
        <w:rPr>
          <w:sz w:val="22"/>
          <w:szCs w:val="22"/>
          <w:lang w:val="sr-Latn-ME"/>
        </w:rPr>
        <w:t>INN:</w:t>
      </w:r>
      <w:r w:rsidR="000F73FE" w:rsidRPr="00253510">
        <w:rPr>
          <w:sz w:val="22"/>
          <w:szCs w:val="22"/>
          <w:lang w:val="sr-Latn-ME"/>
        </w:rPr>
        <w:t xml:space="preserve"> ibuprofen</w:t>
      </w:r>
    </w:p>
    <w:p w14:paraId="265499D9" w14:textId="77777777" w:rsidR="006D20A5" w:rsidRPr="00253510" w:rsidRDefault="006D20A5">
      <w:pPr>
        <w:rPr>
          <w:bCs/>
          <w:sz w:val="22"/>
          <w:szCs w:val="22"/>
          <w:lang w:val="sr-Latn-ME"/>
        </w:rPr>
      </w:pPr>
    </w:p>
    <w:p w14:paraId="169EDFBE" w14:textId="77777777" w:rsidR="00530BD7" w:rsidRPr="00253510" w:rsidRDefault="00530BD7">
      <w:pPr>
        <w:rPr>
          <w:bCs/>
          <w:sz w:val="22"/>
          <w:szCs w:val="22"/>
          <w:lang w:val="sr-Latn-ME"/>
        </w:rPr>
      </w:pPr>
    </w:p>
    <w:p w14:paraId="67FA418E" w14:textId="77777777" w:rsidR="00411B4B" w:rsidRPr="00253510" w:rsidRDefault="00411B4B" w:rsidP="00F5167F">
      <w:pPr>
        <w:tabs>
          <w:tab w:val="left" w:pos="540"/>
          <w:tab w:val="left" w:pos="569"/>
        </w:tabs>
        <w:rPr>
          <w:b/>
          <w:bCs/>
          <w:sz w:val="22"/>
          <w:szCs w:val="22"/>
          <w:lang w:val="sr-Latn-ME"/>
        </w:rPr>
      </w:pPr>
      <w:r w:rsidRPr="00253510">
        <w:rPr>
          <w:b/>
          <w:bCs/>
          <w:sz w:val="22"/>
          <w:szCs w:val="22"/>
          <w:lang w:val="sr-Latn-ME"/>
        </w:rPr>
        <w:t xml:space="preserve">2. </w:t>
      </w:r>
      <w:r w:rsidR="00F5167F" w:rsidRPr="00253510">
        <w:rPr>
          <w:b/>
          <w:bCs/>
          <w:sz w:val="22"/>
          <w:szCs w:val="22"/>
          <w:lang w:val="sr-Latn-ME"/>
        </w:rPr>
        <w:tab/>
      </w:r>
      <w:r w:rsidRPr="00253510">
        <w:rPr>
          <w:b/>
          <w:bCs/>
          <w:sz w:val="22"/>
          <w:szCs w:val="22"/>
          <w:lang w:val="sr-Latn-ME"/>
        </w:rPr>
        <w:t>KVALITATIVNI I KVANTITATIVNI SASTAV</w:t>
      </w:r>
    </w:p>
    <w:p w14:paraId="06B1D402" w14:textId="77777777" w:rsidR="000F73FE" w:rsidRPr="00253510" w:rsidRDefault="000F73FE" w:rsidP="00F5167F">
      <w:pPr>
        <w:tabs>
          <w:tab w:val="left" w:pos="540"/>
          <w:tab w:val="left" w:pos="569"/>
        </w:tabs>
        <w:rPr>
          <w:b/>
          <w:bCs/>
          <w:sz w:val="22"/>
          <w:szCs w:val="22"/>
          <w:lang w:val="sr-Latn-ME"/>
        </w:rPr>
      </w:pPr>
    </w:p>
    <w:p w14:paraId="6F1F0805" w14:textId="77777777" w:rsidR="000F73FE" w:rsidRPr="00253510" w:rsidRDefault="000F73FE" w:rsidP="000F73FE">
      <w:pPr>
        <w:rPr>
          <w:sz w:val="22"/>
          <w:szCs w:val="22"/>
          <w:lang w:val="sr-Latn-ME"/>
        </w:rPr>
      </w:pPr>
      <w:r w:rsidRPr="00253510">
        <w:rPr>
          <w:sz w:val="22"/>
          <w:szCs w:val="22"/>
          <w:lang w:val="sr-Latn-ME"/>
        </w:rPr>
        <w:t>Jedna obložena tableta sadrži 200 mg ibuprofena.</w:t>
      </w:r>
    </w:p>
    <w:p w14:paraId="1483A9F8" w14:textId="77777777" w:rsidR="000F73FE" w:rsidRPr="00253510" w:rsidRDefault="000F73FE" w:rsidP="000F73FE">
      <w:pPr>
        <w:rPr>
          <w:sz w:val="22"/>
          <w:szCs w:val="22"/>
          <w:lang w:val="sr-Latn-ME"/>
        </w:rPr>
      </w:pPr>
    </w:p>
    <w:p w14:paraId="1428FADD" w14:textId="19B8043D" w:rsidR="000F73FE" w:rsidRPr="00253510" w:rsidRDefault="000F73FE" w:rsidP="00CF6F2C">
      <w:pPr>
        <w:rPr>
          <w:sz w:val="22"/>
          <w:szCs w:val="22"/>
          <w:lang w:val="sr-Latn-ME"/>
        </w:rPr>
      </w:pPr>
      <w:r w:rsidRPr="00253510">
        <w:rPr>
          <w:sz w:val="22"/>
          <w:szCs w:val="22"/>
          <w:lang w:val="sr-Latn-ME"/>
        </w:rPr>
        <w:t>Pomoćn</w:t>
      </w:r>
      <w:r w:rsidR="00E618FB">
        <w:rPr>
          <w:sz w:val="22"/>
          <w:szCs w:val="22"/>
          <w:lang w:val="sr-Latn-ME"/>
        </w:rPr>
        <w:t>e</w:t>
      </w:r>
      <w:r w:rsidRPr="00253510">
        <w:rPr>
          <w:sz w:val="22"/>
          <w:szCs w:val="22"/>
          <w:lang w:val="sr-Latn-ME"/>
        </w:rPr>
        <w:t xml:space="preserve"> supstanc</w:t>
      </w:r>
      <w:r w:rsidR="00E618FB">
        <w:rPr>
          <w:sz w:val="22"/>
          <w:szCs w:val="22"/>
          <w:lang w:val="sr-Latn-ME"/>
        </w:rPr>
        <w:t>e</w:t>
      </w:r>
      <w:r w:rsidRPr="00253510">
        <w:rPr>
          <w:sz w:val="22"/>
          <w:szCs w:val="22"/>
          <w:lang w:val="sr-Latn-ME"/>
        </w:rPr>
        <w:t xml:space="preserve"> sa potvrđenim dejstvom: </w:t>
      </w:r>
    </w:p>
    <w:p w14:paraId="43714A4A" w14:textId="77777777" w:rsidR="00CF6F2C" w:rsidRPr="00253510" w:rsidRDefault="00CF6F2C" w:rsidP="00CF6F2C">
      <w:pPr>
        <w:pStyle w:val="Header"/>
        <w:rPr>
          <w:sz w:val="22"/>
          <w:szCs w:val="22"/>
          <w:lang w:val="sr-Latn-ME"/>
        </w:rPr>
      </w:pPr>
      <w:r w:rsidRPr="00253510">
        <w:rPr>
          <w:sz w:val="22"/>
          <w:szCs w:val="22"/>
          <w:lang w:val="sr-Latn-ME"/>
        </w:rPr>
        <w:t>Jedna obložena tableta sadrži 13,71 mg (0,6 mmol) natrijuma.</w:t>
      </w:r>
    </w:p>
    <w:p w14:paraId="6C3BC755" w14:textId="77777777" w:rsidR="00CF6F2C" w:rsidRPr="00253510" w:rsidRDefault="00CF6F2C" w:rsidP="00CF6F2C">
      <w:pPr>
        <w:pStyle w:val="Header"/>
        <w:rPr>
          <w:sz w:val="22"/>
          <w:szCs w:val="22"/>
          <w:lang w:val="sr-Latn-ME"/>
        </w:rPr>
      </w:pPr>
      <w:r w:rsidRPr="00253510">
        <w:rPr>
          <w:sz w:val="22"/>
          <w:szCs w:val="22"/>
          <w:lang w:val="sr-Latn-ME"/>
        </w:rPr>
        <w:t>Jedna obložena tableta sadrži 116,1 mg saharaze.</w:t>
      </w:r>
    </w:p>
    <w:p w14:paraId="133A6CEC" w14:textId="77777777" w:rsidR="00CF6F2C" w:rsidRPr="00253510" w:rsidRDefault="00CF6F2C" w:rsidP="00CF6F2C">
      <w:pPr>
        <w:rPr>
          <w:sz w:val="22"/>
          <w:szCs w:val="22"/>
          <w:lang w:val="sr-Latn-ME"/>
        </w:rPr>
      </w:pPr>
    </w:p>
    <w:p w14:paraId="032CAD95" w14:textId="77777777" w:rsidR="0003793F" w:rsidRPr="00253510" w:rsidRDefault="0003793F">
      <w:pPr>
        <w:rPr>
          <w:sz w:val="22"/>
          <w:szCs w:val="22"/>
          <w:lang w:val="sr-Latn-ME"/>
        </w:rPr>
      </w:pPr>
      <w:r w:rsidRPr="00253510">
        <w:rPr>
          <w:sz w:val="22"/>
          <w:szCs w:val="22"/>
          <w:lang w:val="sr-Latn-ME"/>
        </w:rPr>
        <w:t>Za spisak svih ekscipijenasa, pogledati dio 6.1.</w:t>
      </w:r>
    </w:p>
    <w:p w14:paraId="640BD091" w14:textId="77777777" w:rsidR="0003793F" w:rsidRPr="00253510" w:rsidRDefault="0003793F">
      <w:pPr>
        <w:rPr>
          <w:sz w:val="22"/>
          <w:szCs w:val="22"/>
          <w:lang w:val="sr-Latn-ME"/>
        </w:rPr>
      </w:pPr>
    </w:p>
    <w:p w14:paraId="344D47A9" w14:textId="77777777" w:rsidR="00C37FD7" w:rsidRPr="00253510" w:rsidRDefault="00C37FD7">
      <w:pPr>
        <w:rPr>
          <w:sz w:val="22"/>
          <w:szCs w:val="22"/>
          <w:lang w:val="sr-Latn-ME"/>
        </w:rPr>
      </w:pPr>
    </w:p>
    <w:p w14:paraId="13C2E7FA" w14:textId="77777777" w:rsidR="000F73FE" w:rsidRPr="00253510" w:rsidRDefault="00411B4B" w:rsidP="000F73FE">
      <w:pPr>
        <w:tabs>
          <w:tab w:val="left" w:pos="540"/>
          <w:tab w:val="left" w:pos="569"/>
        </w:tabs>
        <w:rPr>
          <w:b/>
          <w:bCs/>
          <w:sz w:val="22"/>
          <w:szCs w:val="22"/>
          <w:lang w:val="sr-Latn-ME"/>
        </w:rPr>
      </w:pPr>
      <w:r w:rsidRPr="00253510">
        <w:rPr>
          <w:b/>
          <w:bCs/>
          <w:sz w:val="22"/>
          <w:szCs w:val="22"/>
          <w:lang w:val="sr-Latn-ME"/>
        </w:rPr>
        <w:t xml:space="preserve">3. </w:t>
      </w:r>
      <w:r w:rsidR="00F5167F" w:rsidRPr="00253510">
        <w:rPr>
          <w:b/>
          <w:bCs/>
          <w:sz w:val="22"/>
          <w:szCs w:val="22"/>
          <w:lang w:val="sr-Latn-ME"/>
        </w:rPr>
        <w:tab/>
      </w:r>
      <w:r w:rsidRPr="00253510">
        <w:rPr>
          <w:b/>
          <w:bCs/>
          <w:sz w:val="22"/>
          <w:szCs w:val="22"/>
          <w:lang w:val="sr-Latn-ME"/>
        </w:rPr>
        <w:t>FARMACEUTSKI OBLIK</w:t>
      </w:r>
      <w:r w:rsidR="009F2D23" w:rsidRPr="00253510">
        <w:rPr>
          <w:b/>
          <w:bCs/>
          <w:sz w:val="22"/>
          <w:szCs w:val="22"/>
          <w:lang w:val="sr-Latn-ME"/>
        </w:rPr>
        <w:t xml:space="preserve"> </w:t>
      </w:r>
    </w:p>
    <w:p w14:paraId="374A2389" w14:textId="77777777" w:rsidR="000F73FE" w:rsidRPr="00253510" w:rsidRDefault="000F73FE" w:rsidP="000F73FE">
      <w:pPr>
        <w:tabs>
          <w:tab w:val="left" w:pos="540"/>
          <w:tab w:val="left" w:pos="569"/>
        </w:tabs>
        <w:rPr>
          <w:b/>
          <w:bCs/>
          <w:sz w:val="22"/>
          <w:szCs w:val="22"/>
          <w:lang w:val="sr-Latn-ME"/>
        </w:rPr>
      </w:pPr>
    </w:p>
    <w:p w14:paraId="3241FDB6" w14:textId="77777777" w:rsidR="000F73FE" w:rsidRPr="00253510" w:rsidRDefault="000F73FE" w:rsidP="000F73FE">
      <w:pPr>
        <w:tabs>
          <w:tab w:val="left" w:pos="540"/>
          <w:tab w:val="left" w:pos="569"/>
        </w:tabs>
        <w:rPr>
          <w:b/>
          <w:bCs/>
          <w:sz w:val="20"/>
          <w:szCs w:val="22"/>
          <w:lang w:val="sr-Latn-ME"/>
        </w:rPr>
      </w:pPr>
      <w:r w:rsidRPr="00253510">
        <w:rPr>
          <w:sz w:val="22"/>
          <w:szCs w:val="22"/>
          <w:lang w:val="sr-Latn-ME"/>
        </w:rPr>
        <w:t>Obložena tableta.</w:t>
      </w:r>
    </w:p>
    <w:p w14:paraId="28AEF8C6" w14:textId="53595022" w:rsidR="000F73FE" w:rsidRPr="00253510" w:rsidRDefault="000F73FE" w:rsidP="000F73FE">
      <w:pPr>
        <w:rPr>
          <w:sz w:val="22"/>
          <w:szCs w:val="22"/>
          <w:lang w:val="sr-Latn-ME"/>
        </w:rPr>
      </w:pPr>
      <w:r w:rsidRPr="00253510">
        <w:rPr>
          <w:sz w:val="22"/>
          <w:szCs w:val="22"/>
          <w:lang w:val="sr-Latn-ME"/>
        </w:rPr>
        <w:t>B</w:t>
      </w:r>
      <w:r w:rsidR="00A2544C" w:rsidRPr="00253510">
        <w:rPr>
          <w:sz w:val="22"/>
          <w:szCs w:val="22"/>
          <w:lang w:val="sr-Latn-ME"/>
        </w:rPr>
        <w:t>ij</w:t>
      </w:r>
      <w:r w:rsidRPr="00253510">
        <w:rPr>
          <w:sz w:val="22"/>
          <w:szCs w:val="22"/>
          <w:lang w:val="sr-Latn-ME"/>
        </w:rPr>
        <w:t>ele do skoro b</w:t>
      </w:r>
      <w:r w:rsidR="000207C4" w:rsidRPr="00253510">
        <w:rPr>
          <w:sz w:val="22"/>
          <w:szCs w:val="22"/>
          <w:lang w:val="sr-Latn-ME"/>
        </w:rPr>
        <w:t>ij</w:t>
      </w:r>
      <w:r w:rsidRPr="00253510">
        <w:rPr>
          <w:sz w:val="22"/>
          <w:szCs w:val="22"/>
          <w:lang w:val="sr-Latn-ME"/>
        </w:rPr>
        <w:t>ele, okrugle, bikonveksne, obložene tablete</w:t>
      </w:r>
      <w:r w:rsidR="000207C4" w:rsidRPr="00253510">
        <w:rPr>
          <w:sz w:val="22"/>
          <w:szCs w:val="22"/>
          <w:lang w:val="sr-Latn-ME"/>
        </w:rPr>
        <w:t>,</w:t>
      </w:r>
      <w:r w:rsidRPr="00253510">
        <w:rPr>
          <w:sz w:val="22"/>
          <w:szCs w:val="22"/>
          <w:lang w:val="sr-Latn-ME"/>
        </w:rPr>
        <w:t xml:space="preserve"> na jednoj strani sa utisnutom oznakom “NUROFEN” crne boje.</w:t>
      </w:r>
    </w:p>
    <w:p w14:paraId="5B8A8C9C" w14:textId="77777777" w:rsidR="00411B4B" w:rsidRPr="00253510" w:rsidRDefault="00411B4B">
      <w:pPr>
        <w:rPr>
          <w:bCs/>
          <w:sz w:val="22"/>
          <w:szCs w:val="22"/>
          <w:lang w:val="sr-Latn-ME"/>
        </w:rPr>
      </w:pPr>
    </w:p>
    <w:p w14:paraId="6D411DDA" w14:textId="77777777" w:rsidR="00EC2532" w:rsidRPr="00253510" w:rsidRDefault="00EC2532">
      <w:pPr>
        <w:rPr>
          <w:bCs/>
          <w:sz w:val="22"/>
          <w:szCs w:val="22"/>
          <w:lang w:val="sr-Latn-ME"/>
        </w:rPr>
      </w:pPr>
    </w:p>
    <w:p w14:paraId="76232496" w14:textId="77777777" w:rsidR="00411B4B" w:rsidRPr="00253510" w:rsidRDefault="00411B4B" w:rsidP="00F5167F">
      <w:pPr>
        <w:tabs>
          <w:tab w:val="left" w:pos="540"/>
          <w:tab w:val="left" w:pos="569"/>
        </w:tabs>
        <w:rPr>
          <w:b/>
          <w:bCs/>
          <w:sz w:val="22"/>
          <w:szCs w:val="22"/>
          <w:lang w:val="sr-Latn-ME"/>
        </w:rPr>
      </w:pPr>
      <w:r w:rsidRPr="00253510">
        <w:rPr>
          <w:b/>
          <w:bCs/>
          <w:sz w:val="22"/>
          <w:szCs w:val="22"/>
          <w:lang w:val="sr-Latn-ME"/>
        </w:rPr>
        <w:t xml:space="preserve">4. </w:t>
      </w:r>
      <w:r w:rsidR="00480FB1" w:rsidRPr="00253510">
        <w:rPr>
          <w:b/>
          <w:bCs/>
          <w:sz w:val="22"/>
          <w:szCs w:val="22"/>
          <w:lang w:val="sr-Latn-ME"/>
        </w:rPr>
        <w:tab/>
      </w:r>
      <w:r w:rsidRPr="00253510">
        <w:rPr>
          <w:b/>
          <w:bCs/>
          <w:sz w:val="22"/>
          <w:szCs w:val="22"/>
          <w:lang w:val="sr-Latn-ME"/>
        </w:rPr>
        <w:t>KLINIČKI PODACI</w:t>
      </w:r>
    </w:p>
    <w:p w14:paraId="3D3F7A04" w14:textId="77777777" w:rsidR="00CD6F02" w:rsidRPr="00253510" w:rsidRDefault="00CD6F02" w:rsidP="00480FB1">
      <w:pPr>
        <w:tabs>
          <w:tab w:val="left" w:pos="540"/>
          <w:tab w:val="left" w:pos="569"/>
        </w:tabs>
        <w:rPr>
          <w:bCs/>
          <w:sz w:val="22"/>
          <w:szCs w:val="22"/>
          <w:lang w:val="sr-Latn-ME"/>
        </w:rPr>
      </w:pPr>
    </w:p>
    <w:p w14:paraId="4738B81B" w14:textId="77777777" w:rsidR="00411B4B" w:rsidRPr="00253510" w:rsidRDefault="00411B4B" w:rsidP="00480FB1">
      <w:pPr>
        <w:tabs>
          <w:tab w:val="left" w:pos="540"/>
          <w:tab w:val="left" w:pos="569"/>
        </w:tabs>
        <w:rPr>
          <w:b/>
          <w:bCs/>
          <w:sz w:val="22"/>
          <w:szCs w:val="22"/>
          <w:lang w:val="sr-Latn-ME"/>
        </w:rPr>
      </w:pPr>
      <w:r w:rsidRPr="00253510">
        <w:rPr>
          <w:b/>
          <w:bCs/>
          <w:sz w:val="22"/>
          <w:szCs w:val="22"/>
          <w:lang w:val="sr-Latn-ME"/>
        </w:rPr>
        <w:t xml:space="preserve">4.1. </w:t>
      </w:r>
      <w:r w:rsidR="00480FB1" w:rsidRPr="00253510">
        <w:rPr>
          <w:b/>
          <w:bCs/>
          <w:sz w:val="22"/>
          <w:szCs w:val="22"/>
          <w:lang w:val="sr-Latn-ME"/>
        </w:rPr>
        <w:tab/>
      </w:r>
      <w:r w:rsidRPr="00253510">
        <w:rPr>
          <w:b/>
          <w:bCs/>
          <w:sz w:val="22"/>
          <w:szCs w:val="22"/>
          <w:lang w:val="sr-Latn-ME"/>
        </w:rPr>
        <w:t>Terapijske indikacije</w:t>
      </w:r>
    </w:p>
    <w:p w14:paraId="65FBB6AD" w14:textId="77777777" w:rsidR="000F73FE" w:rsidRPr="00253510" w:rsidRDefault="000F73FE" w:rsidP="00480FB1">
      <w:pPr>
        <w:tabs>
          <w:tab w:val="left" w:pos="540"/>
          <w:tab w:val="left" w:pos="569"/>
        </w:tabs>
        <w:rPr>
          <w:b/>
          <w:bCs/>
          <w:sz w:val="22"/>
          <w:szCs w:val="22"/>
          <w:lang w:val="sr-Latn-ME"/>
        </w:rPr>
      </w:pPr>
    </w:p>
    <w:p w14:paraId="049C0702" w14:textId="09865EE9"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Za ublažavanje simptoma blagog do um</w:t>
      </w:r>
      <w:r w:rsidR="005D0941" w:rsidRPr="00253510">
        <w:rPr>
          <w:rFonts w:eastAsia="Calibri"/>
          <w:bCs/>
          <w:sz w:val="22"/>
          <w:szCs w:val="22"/>
          <w:lang w:val="sr-Latn-ME"/>
        </w:rPr>
        <w:t>j</w:t>
      </w:r>
      <w:r w:rsidRPr="00253510">
        <w:rPr>
          <w:rFonts w:eastAsia="Calibri"/>
          <w:bCs/>
          <w:sz w:val="22"/>
          <w:szCs w:val="22"/>
          <w:lang w:val="sr-Latn-ME"/>
        </w:rPr>
        <w:t>erenog bola u slučaju glavobolje, zubobolje,</w:t>
      </w:r>
      <w:r w:rsidR="00AB437C">
        <w:rPr>
          <w:rFonts w:eastAsia="Calibri"/>
          <w:bCs/>
          <w:sz w:val="22"/>
          <w:szCs w:val="22"/>
          <w:lang w:val="sr-Latn-ME"/>
        </w:rPr>
        <w:t xml:space="preserve"> menstrualnih bolova, </w:t>
      </w:r>
      <w:r w:rsidRPr="00253510">
        <w:rPr>
          <w:rFonts w:eastAsia="Calibri"/>
          <w:bCs/>
          <w:sz w:val="22"/>
          <w:szCs w:val="22"/>
          <w:lang w:val="sr-Latn-ME"/>
        </w:rPr>
        <w:t xml:space="preserve"> snižavanje povišene t</w:t>
      </w:r>
      <w:r w:rsidR="00A2544C" w:rsidRPr="00253510">
        <w:rPr>
          <w:rFonts w:eastAsia="Calibri"/>
          <w:bCs/>
          <w:sz w:val="22"/>
          <w:szCs w:val="22"/>
          <w:lang w:val="sr-Latn-ME"/>
        </w:rPr>
        <w:t>j</w:t>
      </w:r>
      <w:r w:rsidRPr="00253510">
        <w:rPr>
          <w:rFonts w:eastAsia="Calibri"/>
          <w:bCs/>
          <w:sz w:val="22"/>
          <w:szCs w:val="22"/>
          <w:lang w:val="sr-Latn-ME"/>
        </w:rPr>
        <w:t>elesne temperature</w:t>
      </w:r>
      <w:r w:rsidR="005D0941" w:rsidRPr="00253510">
        <w:rPr>
          <w:rFonts w:eastAsia="Calibri"/>
          <w:bCs/>
          <w:sz w:val="22"/>
          <w:szCs w:val="22"/>
          <w:lang w:val="sr-Latn-ME"/>
        </w:rPr>
        <w:t>,</w:t>
      </w:r>
      <w:r w:rsidRPr="00253510">
        <w:rPr>
          <w:rFonts w:eastAsia="Calibri"/>
          <w:bCs/>
          <w:sz w:val="22"/>
          <w:szCs w:val="22"/>
          <w:lang w:val="sr-Latn-ME"/>
        </w:rPr>
        <w:t xml:space="preserve"> kao i za otklanjanje simptoma obične prehlade.</w:t>
      </w:r>
    </w:p>
    <w:p w14:paraId="70C58A60" w14:textId="77777777" w:rsidR="00411B4B" w:rsidRPr="00253510" w:rsidRDefault="00411B4B" w:rsidP="00480FB1">
      <w:pPr>
        <w:tabs>
          <w:tab w:val="left" w:pos="540"/>
          <w:tab w:val="left" w:pos="569"/>
        </w:tabs>
        <w:rPr>
          <w:bCs/>
          <w:sz w:val="22"/>
          <w:szCs w:val="22"/>
          <w:lang w:val="sr-Latn-ME"/>
        </w:rPr>
      </w:pPr>
    </w:p>
    <w:p w14:paraId="655A7CFC" w14:textId="77777777" w:rsidR="00411B4B" w:rsidRPr="00253510" w:rsidRDefault="00411B4B" w:rsidP="00253510">
      <w:pPr>
        <w:tabs>
          <w:tab w:val="left" w:pos="540"/>
          <w:tab w:val="left" w:pos="569"/>
        </w:tabs>
        <w:jc w:val="both"/>
        <w:rPr>
          <w:b/>
          <w:bCs/>
          <w:sz w:val="22"/>
          <w:szCs w:val="22"/>
          <w:lang w:val="sr-Latn-ME"/>
        </w:rPr>
      </w:pPr>
      <w:r w:rsidRPr="00253510">
        <w:rPr>
          <w:b/>
          <w:bCs/>
          <w:sz w:val="22"/>
          <w:szCs w:val="22"/>
          <w:lang w:val="sr-Latn-ME"/>
        </w:rPr>
        <w:t xml:space="preserve">4.2. </w:t>
      </w:r>
      <w:r w:rsidR="00480FB1" w:rsidRPr="00253510">
        <w:rPr>
          <w:b/>
          <w:bCs/>
          <w:sz w:val="22"/>
          <w:szCs w:val="22"/>
          <w:lang w:val="sr-Latn-ME"/>
        </w:rPr>
        <w:tab/>
      </w:r>
      <w:r w:rsidRPr="00253510">
        <w:rPr>
          <w:b/>
          <w:bCs/>
          <w:sz w:val="22"/>
          <w:szCs w:val="22"/>
          <w:lang w:val="sr-Latn-ME"/>
        </w:rPr>
        <w:t>Doziranje i način primjene</w:t>
      </w:r>
    </w:p>
    <w:p w14:paraId="5B79AFFA" w14:textId="77777777" w:rsidR="0072020E" w:rsidRPr="00253510" w:rsidRDefault="0072020E" w:rsidP="00253510">
      <w:pPr>
        <w:tabs>
          <w:tab w:val="left" w:pos="540"/>
          <w:tab w:val="left" w:pos="569"/>
        </w:tabs>
        <w:jc w:val="both"/>
        <w:rPr>
          <w:bCs/>
          <w:sz w:val="22"/>
          <w:szCs w:val="22"/>
          <w:lang w:val="sr-Latn-ME"/>
        </w:rPr>
      </w:pPr>
    </w:p>
    <w:p w14:paraId="66610141" w14:textId="77777777" w:rsidR="00452E9D" w:rsidRPr="00253510" w:rsidRDefault="00452E9D" w:rsidP="00253510">
      <w:pPr>
        <w:tabs>
          <w:tab w:val="left" w:pos="540"/>
          <w:tab w:val="left" w:pos="569"/>
        </w:tabs>
        <w:jc w:val="both"/>
        <w:rPr>
          <w:bCs/>
          <w:sz w:val="22"/>
          <w:szCs w:val="22"/>
          <w:u w:val="single"/>
          <w:lang w:val="sr-Latn-ME"/>
        </w:rPr>
      </w:pPr>
      <w:r w:rsidRPr="00253510">
        <w:rPr>
          <w:bCs/>
          <w:sz w:val="22"/>
          <w:szCs w:val="22"/>
          <w:u w:val="single"/>
          <w:lang w:val="sr-Latn-ME"/>
        </w:rPr>
        <w:t>Doziranje</w:t>
      </w:r>
    </w:p>
    <w:p w14:paraId="327A08FC" w14:textId="50D26479"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Najnižu efektivnu dozu treba prim</w:t>
      </w:r>
      <w:r w:rsidR="00A2544C" w:rsidRPr="00253510">
        <w:rPr>
          <w:bCs/>
          <w:sz w:val="22"/>
          <w:szCs w:val="22"/>
          <w:lang w:val="sr-Latn-ME"/>
        </w:rPr>
        <w:t>j</w:t>
      </w:r>
      <w:r w:rsidRPr="00253510">
        <w:rPr>
          <w:bCs/>
          <w:sz w:val="22"/>
          <w:szCs w:val="22"/>
          <w:lang w:val="sr-Latn-ME"/>
        </w:rPr>
        <w:t>enjivati u najkraćem vremenskom periodu potrebnom za ublažavanje simptoma. Ukoliko je neophodna upotreba l</w:t>
      </w:r>
      <w:r w:rsidR="00A2544C" w:rsidRPr="00253510">
        <w:rPr>
          <w:bCs/>
          <w:sz w:val="22"/>
          <w:szCs w:val="22"/>
          <w:lang w:val="sr-Latn-ME"/>
        </w:rPr>
        <w:t>ij</w:t>
      </w:r>
      <w:r w:rsidRPr="00253510">
        <w:rPr>
          <w:bCs/>
          <w:sz w:val="22"/>
          <w:szCs w:val="22"/>
          <w:lang w:val="sr-Latn-ME"/>
        </w:rPr>
        <w:t>eka duže od 4 dana u slučaju terapije bola ili 3 dana u slučaju povišene t</w:t>
      </w:r>
      <w:r w:rsidR="00A2544C" w:rsidRPr="00253510">
        <w:rPr>
          <w:bCs/>
          <w:sz w:val="22"/>
          <w:szCs w:val="22"/>
          <w:lang w:val="sr-Latn-ME"/>
        </w:rPr>
        <w:t>j</w:t>
      </w:r>
      <w:r w:rsidRPr="00253510">
        <w:rPr>
          <w:bCs/>
          <w:sz w:val="22"/>
          <w:szCs w:val="22"/>
          <w:lang w:val="sr-Latn-ME"/>
        </w:rPr>
        <w:t>elesne temperature ili ukoliko dođe do pogoršanja simptoma, pacijent treba da konsultuje l</w:t>
      </w:r>
      <w:r w:rsidR="00A2544C" w:rsidRPr="00253510">
        <w:rPr>
          <w:bCs/>
          <w:sz w:val="22"/>
          <w:szCs w:val="22"/>
          <w:lang w:val="sr-Latn-ME"/>
        </w:rPr>
        <w:t>j</w:t>
      </w:r>
      <w:r w:rsidRPr="00253510">
        <w:rPr>
          <w:bCs/>
          <w:sz w:val="22"/>
          <w:szCs w:val="22"/>
          <w:lang w:val="sr-Latn-ME"/>
        </w:rPr>
        <w:t>ekara.</w:t>
      </w:r>
    </w:p>
    <w:p w14:paraId="0EB77461" w14:textId="77777777" w:rsidR="000F73FE" w:rsidRPr="00253510" w:rsidRDefault="000F73FE" w:rsidP="00253510">
      <w:pPr>
        <w:tabs>
          <w:tab w:val="left" w:pos="540"/>
          <w:tab w:val="left" w:pos="569"/>
        </w:tabs>
        <w:jc w:val="both"/>
        <w:rPr>
          <w:bCs/>
          <w:sz w:val="22"/>
          <w:szCs w:val="22"/>
          <w:lang w:val="sr-Latn-ME"/>
        </w:rPr>
      </w:pPr>
    </w:p>
    <w:p w14:paraId="2EF875FF" w14:textId="77777777"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 xml:space="preserve">Odrasli i adolescenti preko 12 godina: </w:t>
      </w:r>
    </w:p>
    <w:p w14:paraId="0CD3796D" w14:textId="77777777"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Početna doza: 200 mg ili 400 mg ibuprofena. Po potrebi, može se uzeti dodatna doza od 1 ili 2 tablete (200 mg do 400 mg ibuprofena) u intervalu doziranja od 4 do 6 sati.</w:t>
      </w:r>
    </w:p>
    <w:p w14:paraId="27E61082" w14:textId="7596010D"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Potrebno je da prođe najmanje 4 sata između doza, i ne sm</w:t>
      </w:r>
      <w:r w:rsidR="00A2544C" w:rsidRPr="00253510">
        <w:rPr>
          <w:bCs/>
          <w:sz w:val="22"/>
          <w:szCs w:val="22"/>
          <w:lang w:val="sr-Latn-ME"/>
        </w:rPr>
        <w:t>ij</w:t>
      </w:r>
      <w:r w:rsidRPr="00253510">
        <w:rPr>
          <w:bCs/>
          <w:sz w:val="22"/>
          <w:szCs w:val="22"/>
          <w:lang w:val="sr-Latn-ME"/>
        </w:rPr>
        <w:t>e se prekoračiti doza od 1200 mg u periodu od 24 sata (6 Nurofen tableta). Samo za kratkotrajnu prim</w:t>
      </w:r>
      <w:r w:rsidR="00A2544C" w:rsidRPr="00253510">
        <w:rPr>
          <w:bCs/>
          <w:sz w:val="22"/>
          <w:szCs w:val="22"/>
          <w:lang w:val="sr-Latn-ME"/>
        </w:rPr>
        <w:t>j</w:t>
      </w:r>
      <w:r w:rsidRPr="00253510">
        <w:rPr>
          <w:bCs/>
          <w:sz w:val="22"/>
          <w:szCs w:val="22"/>
          <w:lang w:val="sr-Latn-ME"/>
        </w:rPr>
        <w:t>enu.</w:t>
      </w:r>
    </w:p>
    <w:p w14:paraId="401410C3" w14:textId="77777777" w:rsidR="000F73FE" w:rsidRPr="00253510" w:rsidRDefault="000F73FE" w:rsidP="00253510">
      <w:pPr>
        <w:tabs>
          <w:tab w:val="left" w:pos="540"/>
          <w:tab w:val="left" w:pos="569"/>
        </w:tabs>
        <w:jc w:val="both"/>
        <w:rPr>
          <w:bCs/>
          <w:sz w:val="22"/>
          <w:szCs w:val="22"/>
          <w:lang w:val="sr-Latn-ME"/>
        </w:rPr>
      </w:pPr>
    </w:p>
    <w:p w14:paraId="5CD3D1E5" w14:textId="77777777"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Starije osobe i pacijenti sa oštećenom renalnom i hepatičkom funkcijom treba da uzimaju najnižu efektivnu dozu.</w:t>
      </w:r>
    </w:p>
    <w:p w14:paraId="45281BDA" w14:textId="6135BE1B" w:rsidR="00452E9D" w:rsidRPr="00253510" w:rsidRDefault="000F73FE" w:rsidP="00253510">
      <w:pPr>
        <w:tabs>
          <w:tab w:val="left" w:pos="540"/>
          <w:tab w:val="left" w:pos="569"/>
        </w:tabs>
        <w:jc w:val="both"/>
        <w:rPr>
          <w:bCs/>
          <w:sz w:val="22"/>
          <w:szCs w:val="22"/>
          <w:lang w:val="sr-Latn-ME"/>
        </w:rPr>
      </w:pPr>
      <w:r w:rsidRPr="00253510">
        <w:rPr>
          <w:bCs/>
          <w:sz w:val="22"/>
          <w:szCs w:val="22"/>
          <w:lang w:val="sr-Latn-ME"/>
        </w:rPr>
        <w:t>L</w:t>
      </w:r>
      <w:r w:rsidR="00A2544C" w:rsidRPr="00253510">
        <w:rPr>
          <w:bCs/>
          <w:sz w:val="22"/>
          <w:szCs w:val="22"/>
          <w:lang w:val="sr-Latn-ME"/>
        </w:rPr>
        <w:t>ij</w:t>
      </w:r>
      <w:r w:rsidRPr="00253510">
        <w:rPr>
          <w:bCs/>
          <w:sz w:val="22"/>
          <w:szCs w:val="22"/>
          <w:lang w:val="sr-Latn-ME"/>
        </w:rPr>
        <w:t>ek nije nam</w:t>
      </w:r>
      <w:r w:rsidR="00A2544C" w:rsidRPr="00253510">
        <w:rPr>
          <w:bCs/>
          <w:sz w:val="22"/>
          <w:szCs w:val="22"/>
          <w:lang w:val="sr-Latn-ME"/>
        </w:rPr>
        <w:t>ij</w:t>
      </w:r>
      <w:r w:rsidRPr="00253510">
        <w:rPr>
          <w:bCs/>
          <w:sz w:val="22"/>
          <w:szCs w:val="22"/>
          <w:lang w:val="sr-Latn-ME"/>
        </w:rPr>
        <w:t>enjen d</w:t>
      </w:r>
      <w:r w:rsidR="00A2544C" w:rsidRPr="00253510">
        <w:rPr>
          <w:bCs/>
          <w:sz w:val="22"/>
          <w:szCs w:val="22"/>
          <w:lang w:val="sr-Latn-ME"/>
        </w:rPr>
        <w:t>j</w:t>
      </w:r>
      <w:r w:rsidRPr="00253510">
        <w:rPr>
          <w:bCs/>
          <w:sz w:val="22"/>
          <w:szCs w:val="22"/>
          <w:lang w:val="sr-Latn-ME"/>
        </w:rPr>
        <w:t>eci mlađoj od 12 godina.</w:t>
      </w:r>
    </w:p>
    <w:p w14:paraId="2EC155FC" w14:textId="77777777" w:rsidR="000F73FE" w:rsidRPr="00253510" w:rsidRDefault="000F73FE" w:rsidP="00253510">
      <w:pPr>
        <w:tabs>
          <w:tab w:val="left" w:pos="540"/>
          <w:tab w:val="left" w:pos="569"/>
        </w:tabs>
        <w:jc w:val="both"/>
        <w:rPr>
          <w:bCs/>
          <w:sz w:val="22"/>
          <w:szCs w:val="22"/>
          <w:lang w:val="sr-Latn-ME"/>
        </w:rPr>
      </w:pPr>
    </w:p>
    <w:p w14:paraId="4A0C6B94" w14:textId="77777777" w:rsidR="00452E9D" w:rsidRPr="00253510" w:rsidRDefault="00452E9D" w:rsidP="00253510">
      <w:pPr>
        <w:tabs>
          <w:tab w:val="left" w:pos="540"/>
          <w:tab w:val="left" w:pos="569"/>
        </w:tabs>
        <w:jc w:val="both"/>
        <w:rPr>
          <w:bCs/>
          <w:sz w:val="22"/>
          <w:szCs w:val="22"/>
          <w:u w:val="single"/>
          <w:lang w:val="sr-Latn-ME"/>
        </w:rPr>
      </w:pPr>
      <w:r w:rsidRPr="00253510">
        <w:rPr>
          <w:bCs/>
          <w:sz w:val="22"/>
          <w:szCs w:val="22"/>
          <w:u w:val="single"/>
          <w:lang w:val="sr-Latn-ME"/>
        </w:rPr>
        <w:t>Način primjene</w:t>
      </w:r>
    </w:p>
    <w:p w14:paraId="5987EE19" w14:textId="77777777" w:rsidR="000F73FE" w:rsidRPr="00253510" w:rsidRDefault="000F73FE" w:rsidP="00253510">
      <w:pPr>
        <w:tabs>
          <w:tab w:val="left" w:pos="540"/>
          <w:tab w:val="left" w:pos="569"/>
        </w:tabs>
        <w:jc w:val="both"/>
        <w:rPr>
          <w:bCs/>
          <w:sz w:val="22"/>
          <w:szCs w:val="22"/>
          <w:lang w:val="sr-Latn-ME"/>
        </w:rPr>
      </w:pPr>
      <w:r w:rsidRPr="00253510">
        <w:rPr>
          <w:bCs/>
          <w:sz w:val="22"/>
          <w:szCs w:val="22"/>
          <w:lang w:val="sr-Latn-ME"/>
        </w:rPr>
        <w:t>Tablete se uzimaju oralno, sa dovoljnom količinom vode.</w:t>
      </w:r>
    </w:p>
    <w:p w14:paraId="4EC60D0C" w14:textId="77777777" w:rsidR="00452E9D" w:rsidRPr="00253510" w:rsidRDefault="00452E9D" w:rsidP="00253510">
      <w:pPr>
        <w:tabs>
          <w:tab w:val="left" w:pos="540"/>
          <w:tab w:val="left" w:pos="569"/>
        </w:tabs>
        <w:jc w:val="both"/>
        <w:rPr>
          <w:bCs/>
          <w:sz w:val="22"/>
          <w:szCs w:val="22"/>
          <w:lang w:val="sr-Latn-ME"/>
        </w:rPr>
      </w:pPr>
    </w:p>
    <w:p w14:paraId="1EEF68A4" w14:textId="747C9BD5" w:rsidR="00411B4B" w:rsidRPr="00253510" w:rsidRDefault="00411B4B" w:rsidP="00253510">
      <w:pPr>
        <w:tabs>
          <w:tab w:val="left" w:pos="540"/>
          <w:tab w:val="left" w:pos="569"/>
        </w:tabs>
        <w:jc w:val="both"/>
        <w:rPr>
          <w:b/>
          <w:bCs/>
          <w:sz w:val="22"/>
          <w:szCs w:val="22"/>
          <w:lang w:val="sr-Latn-ME"/>
        </w:rPr>
      </w:pPr>
      <w:r w:rsidRPr="00253510">
        <w:rPr>
          <w:b/>
          <w:bCs/>
          <w:sz w:val="22"/>
          <w:szCs w:val="22"/>
          <w:lang w:val="sr-Latn-ME"/>
        </w:rPr>
        <w:t xml:space="preserve">4.3. </w:t>
      </w:r>
      <w:r w:rsidR="00480FB1" w:rsidRPr="00253510">
        <w:rPr>
          <w:b/>
          <w:bCs/>
          <w:sz w:val="22"/>
          <w:szCs w:val="22"/>
          <w:lang w:val="sr-Latn-ME"/>
        </w:rPr>
        <w:tab/>
      </w:r>
      <w:r w:rsidRPr="00253510">
        <w:rPr>
          <w:b/>
          <w:bCs/>
          <w:sz w:val="22"/>
          <w:szCs w:val="22"/>
          <w:lang w:val="sr-Latn-ME"/>
        </w:rPr>
        <w:t>Kontraindikacije</w:t>
      </w:r>
    </w:p>
    <w:p w14:paraId="6B732A65" w14:textId="77777777" w:rsidR="000318A7" w:rsidRPr="00253510" w:rsidRDefault="000318A7" w:rsidP="00253510">
      <w:pPr>
        <w:tabs>
          <w:tab w:val="left" w:pos="540"/>
          <w:tab w:val="left" w:pos="569"/>
        </w:tabs>
        <w:jc w:val="both"/>
        <w:rPr>
          <w:b/>
          <w:bCs/>
          <w:sz w:val="22"/>
          <w:szCs w:val="22"/>
          <w:lang w:val="sr-Latn-ME"/>
        </w:rPr>
      </w:pPr>
    </w:p>
    <w:p w14:paraId="618E28E7" w14:textId="3673FD52" w:rsidR="000F73FE" w:rsidRPr="00253510" w:rsidRDefault="000F73FE" w:rsidP="00253510">
      <w:pPr>
        <w:numPr>
          <w:ilvl w:val="0"/>
          <w:numId w:val="12"/>
        </w:numPr>
        <w:jc w:val="both"/>
        <w:rPr>
          <w:rFonts w:eastAsia="Calibri"/>
          <w:sz w:val="22"/>
          <w:szCs w:val="22"/>
          <w:lang w:val="sr-Latn-ME"/>
        </w:rPr>
      </w:pPr>
      <w:r w:rsidRPr="00253510">
        <w:rPr>
          <w:sz w:val="22"/>
          <w:szCs w:val="22"/>
          <w:lang w:val="sr-Latn-ME"/>
        </w:rPr>
        <w:t>Preos</w:t>
      </w:r>
      <w:r w:rsidR="00A2544C" w:rsidRPr="00253510">
        <w:rPr>
          <w:sz w:val="22"/>
          <w:szCs w:val="22"/>
          <w:lang w:val="sr-Latn-ME"/>
        </w:rPr>
        <w:t>j</w:t>
      </w:r>
      <w:r w:rsidRPr="00253510">
        <w:rPr>
          <w:sz w:val="22"/>
          <w:szCs w:val="22"/>
          <w:lang w:val="sr-Latn-ME"/>
        </w:rPr>
        <w:t>etljivost na aktivnu supstancu ili na bilo koju od pomoćnih supstanci navedenih u od</w:t>
      </w:r>
      <w:r w:rsidR="00A2544C" w:rsidRPr="00253510">
        <w:rPr>
          <w:sz w:val="22"/>
          <w:szCs w:val="22"/>
          <w:lang w:val="sr-Latn-ME"/>
        </w:rPr>
        <w:t>j</w:t>
      </w:r>
      <w:r w:rsidRPr="00253510">
        <w:rPr>
          <w:sz w:val="22"/>
          <w:szCs w:val="22"/>
          <w:lang w:val="sr-Latn-ME"/>
        </w:rPr>
        <w:t>eljku 6.1.</w:t>
      </w:r>
    </w:p>
    <w:p w14:paraId="25C41124" w14:textId="1AC9FF98"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Pacijenti koji su ranije pokazali reakcije preos</w:t>
      </w:r>
      <w:r w:rsidR="00A2544C" w:rsidRPr="00253510">
        <w:rPr>
          <w:rFonts w:eastAsia="Calibri"/>
          <w:sz w:val="22"/>
          <w:szCs w:val="22"/>
          <w:lang w:val="sr-Latn-ME"/>
        </w:rPr>
        <w:t>j</w:t>
      </w:r>
      <w:r w:rsidRPr="00253510">
        <w:rPr>
          <w:rFonts w:eastAsia="Calibri"/>
          <w:sz w:val="22"/>
          <w:szCs w:val="22"/>
          <w:lang w:val="sr-Latn-ME"/>
        </w:rPr>
        <w:t>etljivosti (npr. bronhospazam, astma, rinitis, angioedem ili urtikarija) kao odgovor na ibuprofen, acetilsalicilnu kiselinu (Aspirin) ili druge nesteroidne antiinflamatorne lekove (NSAIL).</w:t>
      </w:r>
    </w:p>
    <w:p w14:paraId="6DD26924" w14:textId="525F24A9"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Aktivni ulkus ili istorija (ranija pojava) rekurentnog peptičkog ulkusa/krvarenja u organima digestivnog sistema (dv</w:t>
      </w:r>
      <w:r w:rsidR="00A2544C" w:rsidRPr="00253510">
        <w:rPr>
          <w:rFonts w:eastAsia="Calibri"/>
          <w:sz w:val="22"/>
          <w:szCs w:val="22"/>
          <w:lang w:val="sr-Latn-ME"/>
        </w:rPr>
        <w:t>ij</w:t>
      </w:r>
      <w:r w:rsidRPr="00253510">
        <w:rPr>
          <w:rFonts w:eastAsia="Calibri"/>
          <w:sz w:val="22"/>
          <w:szCs w:val="22"/>
          <w:lang w:val="sr-Latn-ME"/>
        </w:rPr>
        <w:t>e ili više različitih epizoda dokazane ulceracije ili krvarenja).</w:t>
      </w:r>
    </w:p>
    <w:p w14:paraId="3C188CD4" w14:textId="77777777"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Istorija gastrointestinalnog krvarenja ili perforacije, povezanih sa ranijim NSAIL terapijama.</w:t>
      </w:r>
    </w:p>
    <w:p w14:paraId="14DF7982" w14:textId="6CD1BF76"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Teška srčana insuficijencija (NYHA klasa IV, teška bubrežna insuficijencija ili teška hepatička insuficijencija) (vid</w:t>
      </w:r>
      <w:r w:rsidR="00A2544C" w:rsidRPr="00253510">
        <w:rPr>
          <w:rFonts w:eastAsia="Calibri"/>
          <w:sz w:val="22"/>
          <w:szCs w:val="22"/>
          <w:lang w:val="sr-Latn-ME"/>
        </w:rPr>
        <w:t>j</w:t>
      </w:r>
      <w:r w:rsidRPr="00253510">
        <w:rPr>
          <w:rFonts w:eastAsia="Calibri"/>
          <w:sz w:val="22"/>
          <w:szCs w:val="22"/>
          <w:lang w:val="sr-Latn-ME"/>
        </w:rPr>
        <w:t>eti od</w:t>
      </w:r>
      <w:r w:rsidR="00A2544C" w:rsidRPr="00253510">
        <w:rPr>
          <w:rFonts w:eastAsia="Calibri"/>
          <w:sz w:val="22"/>
          <w:szCs w:val="22"/>
          <w:lang w:val="sr-Latn-ME"/>
        </w:rPr>
        <w:t>j</w:t>
      </w:r>
      <w:r w:rsidRPr="00253510">
        <w:rPr>
          <w:rFonts w:eastAsia="Calibri"/>
          <w:sz w:val="22"/>
          <w:szCs w:val="22"/>
          <w:lang w:val="sr-Latn-ME"/>
        </w:rPr>
        <w:t>eljak 4.4).</w:t>
      </w:r>
    </w:p>
    <w:p w14:paraId="5C45378F" w14:textId="4A17FE10"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Posl</w:t>
      </w:r>
      <w:r w:rsidR="00B15DB7" w:rsidRPr="00253510">
        <w:rPr>
          <w:rFonts w:eastAsia="Calibri"/>
          <w:sz w:val="22"/>
          <w:szCs w:val="22"/>
          <w:lang w:val="sr-Latn-ME"/>
        </w:rPr>
        <w:t>j</w:t>
      </w:r>
      <w:r w:rsidRPr="00253510">
        <w:rPr>
          <w:rFonts w:eastAsia="Calibri"/>
          <w:sz w:val="22"/>
          <w:szCs w:val="22"/>
          <w:lang w:val="sr-Latn-ME"/>
        </w:rPr>
        <w:t>ednji trimestar trudnoće (vid</w:t>
      </w:r>
      <w:r w:rsidR="00A2544C" w:rsidRPr="00253510">
        <w:rPr>
          <w:rFonts w:eastAsia="Calibri"/>
          <w:sz w:val="22"/>
          <w:szCs w:val="22"/>
          <w:lang w:val="sr-Latn-ME"/>
        </w:rPr>
        <w:t>j</w:t>
      </w:r>
      <w:r w:rsidRPr="00253510">
        <w:rPr>
          <w:rFonts w:eastAsia="Calibri"/>
          <w:sz w:val="22"/>
          <w:szCs w:val="22"/>
          <w:lang w:val="sr-Latn-ME"/>
        </w:rPr>
        <w:t>eti od</w:t>
      </w:r>
      <w:r w:rsidR="00A2544C" w:rsidRPr="00253510">
        <w:rPr>
          <w:rFonts w:eastAsia="Calibri"/>
          <w:sz w:val="22"/>
          <w:szCs w:val="22"/>
          <w:lang w:val="sr-Latn-ME"/>
        </w:rPr>
        <w:t>j</w:t>
      </w:r>
      <w:r w:rsidRPr="00253510">
        <w:rPr>
          <w:rFonts w:eastAsia="Calibri"/>
          <w:sz w:val="22"/>
          <w:szCs w:val="22"/>
          <w:lang w:val="sr-Latn-ME"/>
        </w:rPr>
        <w:t>eljak 4.6).</w:t>
      </w:r>
    </w:p>
    <w:p w14:paraId="66713FCA" w14:textId="275E58F7" w:rsidR="000F73FE" w:rsidRPr="00253510" w:rsidRDefault="000F73FE" w:rsidP="00253510">
      <w:pPr>
        <w:numPr>
          <w:ilvl w:val="0"/>
          <w:numId w:val="12"/>
        </w:numPr>
        <w:jc w:val="both"/>
        <w:rPr>
          <w:rFonts w:eastAsia="Calibri"/>
          <w:sz w:val="22"/>
          <w:szCs w:val="22"/>
          <w:lang w:val="sr-Latn-ME"/>
        </w:rPr>
      </w:pPr>
      <w:r w:rsidRPr="00253510">
        <w:rPr>
          <w:rFonts w:eastAsia="Calibri"/>
          <w:sz w:val="22"/>
          <w:szCs w:val="22"/>
          <w:lang w:val="sr-Latn-ME"/>
        </w:rPr>
        <w:t>D</w:t>
      </w:r>
      <w:r w:rsidR="00A2544C" w:rsidRPr="00253510">
        <w:rPr>
          <w:rFonts w:eastAsia="Calibri"/>
          <w:sz w:val="22"/>
          <w:szCs w:val="22"/>
          <w:lang w:val="sr-Latn-ME"/>
        </w:rPr>
        <w:t>j</w:t>
      </w:r>
      <w:r w:rsidRPr="00253510">
        <w:rPr>
          <w:rFonts w:eastAsia="Calibri"/>
          <w:sz w:val="22"/>
          <w:szCs w:val="22"/>
          <w:lang w:val="sr-Latn-ME"/>
        </w:rPr>
        <w:t>eca mlađa od 12 godina.</w:t>
      </w:r>
    </w:p>
    <w:p w14:paraId="21A9163B" w14:textId="77777777" w:rsidR="0072020E" w:rsidRPr="00253510" w:rsidRDefault="0072020E" w:rsidP="00253510">
      <w:pPr>
        <w:tabs>
          <w:tab w:val="left" w:pos="540"/>
          <w:tab w:val="left" w:pos="569"/>
        </w:tabs>
        <w:jc w:val="both"/>
        <w:rPr>
          <w:bCs/>
          <w:sz w:val="22"/>
          <w:szCs w:val="22"/>
          <w:lang w:val="sr-Latn-ME"/>
        </w:rPr>
      </w:pPr>
    </w:p>
    <w:p w14:paraId="6EC693D9" w14:textId="22E0A89F" w:rsidR="00411B4B" w:rsidRPr="00253510" w:rsidRDefault="00411B4B" w:rsidP="00480FB1">
      <w:pPr>
        <w:tabs>
          <w:tab w:val="left" w:pos="540"/>
          <w:tab w:val="left" w:pos="569"/>
        </w:tabs>
        <w:rPr>
          <w:b/>
          <w:bCs/>
          <w:sz w:val="22"/>
          <w:szCs w:val="22"/>
          <w:lang w:val="sr-Latn-ME"/>
        </w:rPr>
      </w:pPr>
      <w:r w:rsidRPr="00253510">
        <w:rPr>
          <w:b/>
          <w:bCs/>
          <w:sz w:val="22"/>
          <w:szCs w:val="22"/>
          <w:lang w:val="sr-Latn-ME"/>
        </w:rPr>
        <w:t xml:space="preserve">4.4. </w:t>
      </w:r>
      <w:r w:rsidR="00480FB1" w:rsidRPr="00253510">
        <w:rPr>
          <w:b/>
          <w:bCs/>
          <w:sz w:val="22"/>
          <w:szCs w:val="22"/>
          <w:lang w:val="sr-Latn-ME"/>
        </w:rPr>
        <w:tab/>
      </w:r>
      <w:r w:rsidRPr="00253510">
        <w:rPr>
          <w:b/>
          <w:bCs/>
          <w:sz w:val="22"/>
          <w:szCs w:val="22"/>
          <w:lang w:val="sr-Latn-ME"/>
        </w:rPr>
        <w:t>Posebna upozorenja i mjere opreza pri upotrebi lijeka</w:t>
      </w:r>
    </w:p>
    <w:p w14:paraId="1FB1B2E8" w14:textId="77777777" w:rsidR="00CB7614" w:rsidRPr="00253510" w:rsidRDefault="00CB7614" w:rsidP="00480FB1">
      <w:pPr>
        <w:tabs>
          <w:tab w:val="left" w:pos="540"/>
          <w:tab w:val="left" w:pos="569"/>
        </w:tabs>
        <w:rPr>
          <w:b/>
          <w:bCs/>
          <w:sz w:val="22"/>
          <w:szCs w:val="22"/>
          <w:lang w:val="sr-Latn-ME"/>
        </w:rPr>
      </w:pPr>
    </w:p>
    <w:p w14:paraId="5322D16F" w14:textId="3E2CF3F0" w:rsidR="000F73FE" w:rsidRPr="00253510" w:rsidRDefault="000F73FE" w:rsidP="000F73FE">
      <w:pPr>
        <w:pStyle w:val="NormalIndent"/>
        <w:ind w:left="0"/>
        <w:jc w:val="both"/>
        <w:rPr>
          <w:szCs w:val="22"/>
          <w:lang w:val="sr-Latn-ME" w:eastAsia="en-US"/>
        </w:rPr>
      </w:pPr>
      <w:r w:rsidRPr="00253510">
        <w:rPr>
          <w:szCs w:val="22"/>
          <w:lang w:val="sr-Latn-ME" w:eastAsia="en-US"/>
        </w:rPr>
        <w:t>Neželjena dejstva se mogu svesti na minimum uzimanjem najmanje efektivne doze u najkraćem vremenskom periodu neophodnom za kontrolu simptoma (vid</w:t>
      </w:r>
      <w:r w:rsidR="00A2544C" w:rsidRPr="00253510">
        <w:rPr>
          <w:szCs w:val="22"/>
          <w:lang w:val="sr-Latn-ME" w:eastAsia="en-US"/>
        </w:rPr>
        <w:t>j</w:t>
      </w:r>
      <w:r w:rsidRPr="00253510">
        <w:rPr>
          <w:szCs w:val="22"/>
          <w:lang w:val="sr-Latn-ME" w:eastAsia="en-US"/>
        </w:rPr>
        <w:t>eti od</w:t>
      </w:r>
      <w:r w:rsidR="00A2544C" w:rsidRPr="00253510">
        <w:rPr>
          <w:szCs w:val="22"/>
          <w:lang w:val="sr-Latn-ME" w:eastAsia="en-US"/>
        </w:rPr>
        <w:t>j</w:t>
      </w:r>
      <w:r w:rsidRPr="00253510">
        <w:rPr>
          <w:szCs w:val="22"/>
          <w:lang w:val="sr-Latn-ME" w:eastAsia="en-US"/>
        </w:rPr>
        <w:t>eljak 4.2 i gastrointestinalne i kardiovaskularne rizike u nastavku teksta).</w:t>
      </w:r>
    </w:p>
    <w:p w14:paraId="79C974D9" w14:textId="77777777" w:rsidR="000F73FE" w:rsidRPr="00253510" w:rsidRDefault="000F73FE" w:rsidP="000F73FE">
      <w:pPr>
        <w:pStyle w:val="NormalIndent"/>
        <w:spacing w:after="0"/>
        <w:ind w:left="0"/>
        <w:jc w:val="both"/>
        <w:rPr>
          <w:b/>
          <w:szCs w:val="22"/>
          <w:lang w:val="sr-Latn-ME"/>
        </w:rPr>
      </w:pPr>
      <w:r w:rsidRPr="00253510">
        <w:rPr>
          <w:b/>
          <w:szCs w:val="22"/>
          <w:lang w:val="sr-Latn-ME"/>
        </w:rPr>
        <w:t>Respiratorna dejstva:</w:t>
      </w:r>
    </w:p>
    <w:p w14:paraId="4094ADC1" w14:textId="77777777" w:rsidR="000F73FE" w:rsidRPr="00253510" w:rsidRDefault="000F73FE" w:rsidP="000F73FE">
      <w:pPr>
        <w:pStyle w:val="NormalIndent"/>
        <w:spacing w:after="0"/>
        <w:ind w:left="0"/>
        <w:jc w:val="both"/>
        <w:rPr>
          <w:bCs/>
          <w:szCs w:val="22"/>
          <w:lang w:val="sr-Latn-ME"/>
        </w:rPr>
      </w:pPr>
      <w:r w:rsidRPr="00253510">
        <w:rPr>
          <w:bCs/>
          <w:szCs w:val="22"/>
          <w:lang w:val="sr-Latn-ME"/>
        </w:rPr>
        <w:t>Bronhospazam se može javiti kod pacijenata koji imaju ili su ranije imali bronhijalnu astmu ili alergijske reakcije.</w:t>
      </w:r>
    </w:p>
    <w:p w14:paraId="22DAA7F2" w14:textId="77777777" w:rsidR="000F73FE" w:rsidRPr="00253510" w:rsidRDefault="000F73FE" w:rsidP="000F73FE">
      <w:pPr>
        <w:pStyle w:val="NormalIndent"/>
        <w:spacing w:after="0"/>
        <w:ind w:left="0"/>
        <w:jc w:val="both"/>
        <w:rPr>
          <w:bCs/>
          <w:szCs w:val="22"/>
          <w:lang w:val="sr-Latn-ME"/>
        </w:rPr>
      </w:pPr>
    </w:p>
    <w:p w14:paraId="3969B8CB" w14:textId="40E3279D" w:rsidR="000F73FE" w:rsidRPr="00253510" w:rsidRDefault="000F73FE" w:rsidP="000F73FE">
      <w:pPr>
        <w:pStyle w:val="NormalIndent"/>
        <w:spacing w:after="0"/>
        <w:ind w:left="0"/>
        <w:jc w:val="both"/>
        <w:rPr>
          <w:b/>
          <w:szCs w:val="22"/>
          <w:lang w:val="sr-Latn-ME"/>
        </w:rPr>
      </w:pPr>
      <w:r w:rsidRPr="00253510">
        <w:rPr>
          <w:b/>
          <w:szCs w:val="22"/>
          <w:lang w:val="sr-Latn-ME"/>
        </w:rPr>
        <w:t>SLE i m</w:t>
      </w:r>
      <w:r w:rsidR="00442F1B" w:rsidRPr="00253510">
        <w:rPr>
          <w:b/>
          <w:szCs w:val="22"/>
          <w:lang w:val="sr-Latn-ME"/>
        </w:rPr>
        <w:t>j</w:t>
      </w:r>
      <w:r w:rsidRPr="00253510">
        <w:rPr>
          <w:b/>
          <w:szCs w:val="22"/>
          <w:lang w:val="sr-Latn-ME"/>
        </w:rPr>
        <w:t>ešovita oboljenja vezivnog tkiva:</w:t>
      </w:r>
    </w:p>
    <w:p w14:paraId="27E32155" w14:textId="08734F22" w:rsidR="000F73FE" w:rsidRPr="00253510" w:rsidRDefault="000F73FE" w:rsidP="000F73FE">
      <w:pPr>
        <w:pStyle w:val="NormalIndent"/>
        <w:spacing w:after="0"/>
        <w:ind w:left="0"/>
        <w:jc w:val="both"/>
        <w:rPr>
          <w:szCs w:val="22"/>
          <w:lang w:val="sr-Latn-ME" w:eastAsia="en-US"/>
        </w:rPr>
      </w:pPr>
      <w:r w:rsidRPr="00253510">
        <w:rPr>
          <w:szCs w:val="22"/>
          <w:lang w:val="sr-Latn-ME" w:eastAsia="en-US"/>
        </w:rPr>
        <w:t>Sistemski eritemski lupus kao i pacijenti sa m</w:t>
      </w:r>
      <w:r w:rsidR="00A2544C" w:rsidRPr="00253510">
        <w:rPr>
          <w:szCs w:val="22"/>
          <w:lang w:val="sr-Latn-ME" w:eastAsia="en-US"/>
        </w:rPr>
        <w:t>j</w:t>
      </w:r>
      <w:r w:rsidRPr="00253510">
        <w:rPr>
          <w:szCs w:val="22"/>
          <w:lang w:val="sr-Latn-ME" w:eastAsia="en-US"/>
        </w:rPr>
        <w:t>ešovitim oboljenjem vezivnog tkiva – povećani rizik od aseptičnog meningitisa (vid</w:t>
      </w:r>
      <w:r w:rsidR="00442F1B" w:rsidRPr="00253510">
        <w:rPr>
          <w:szCs w:val="22"/>
          <w:lang w:val="sr-Latn-ME" w:eastAsia="en-US"/>
        </w:rPr>
        <w:t>j</w:t>
      </w:r>
      <w:r w:rsidRPr="00253510">
        <w:rPr>
          <w:szCs w:val="22"/>
          <w:lang w:val="sr-Latn-ME" w:eastAsia="en-US"/>
        </w:rPr>
        <w:t>eti od</w:t>
      </w:r>
      <w:r w:rsidR="00442F1B" w:rsidRPr="00253510">
        <w:rPr>
          <w:szCs w:val="22"/>
          <w:lang w:val="sr-Latn-ME" w:eastAsia="en-US"/>
        </w:rPr>
        <w:t>j</w:t>
      </w:r>
      <w:r w:rsidRPr="00253510">
        <w:rPr>
          <w:szCs w:val="22"/>
          <w:lang w:val="sr-Latn-ME" w:eastAsia="en-US"/>
        </w:rPr>
        <w:t>eljak 4.8).</w:t>
      </w:r>
    </w:p>
    <w:p w14:paraId="4F828EB2" w14:textId="77777777" w:rsidR="000F73FE" w:rsidRPr="00253510" w:rsidRDefault="000F73FE" w:rsidP="000F73FE">
      <w:pPr>
        <w:pStyle w:val="NormalIndent"/>
        <w:spacing w:after="0"/>
        <w:ind w:left="0"/>
        <w:jc w:val="both"/>
        <w:rPr>
          <w:szCs w:val="22"/>
          <w:lang w:val="sr-Latn-ME" w:eastAsia="en-US"/>
        </w:rPr>
      </w:pPr>
    </w:p>
    <w:p w14:paraId="5EA9342E" w14:textId="77777777" w:rsidR="000F73FE" w:rsidRPr="00253510" w:rsidRDefault="000F73FE" w:rsidP="000F73FE">
      <w:pPr>
        <w:pStyle w:val="NormalIndent"/>
        <w:spacing w:after="0"/>
        <w:ind w:left="0"/>
        <w:jc w:val="both"/>
        <w:rPr>
          <w:b/>
          <w:szCs w:val="22"/>
          <w:lang w:val="sr-Latn-ME"/>
        </w:rPr>
      </w:pPr>
      <w:r w:rsidRPr="00253510">
        <w:rPr>
          <w:b/>
          <w:szCs w:val="22"/>
          <w:lang w:val="sr-Latn-ME"/>
        </w:rPr>
        <w:t xml:space="preserve">Kardiovaskularna i cerebrovaskularna dejstva: </w:t>
      </w:r>
    </w:p>
    <w:p w14:paraId="1C43A9AC" w14:textId="1DE4AB82" w:rsidR="000F73FE" w:rsidRPr="00253510" w:rsidRDefault="000F73FE" w:rsidP="000F73FE">
      <w:pPr>
        <w:pStyle w:val="NormalIndent"/>
        <w:spacing w:after="0"/>
        <w:ind w:left="0"/>
        <w:jc w:val="both"/>
        <w:rPr>
          <w:szCs w:val="22"/>
          <w:lang w:val="sr-Latn-ME"/>
        </w:rPr>
      </w:pPr>
      <w:r w:rsidRPr="00253510">
        <w:rPr>
          <w:szCs w:val="22"/>
          <w:lang w:val="sr-Latn-ME"/>
        </w:rPr>
        <w:t>Potrebno je postupati sa oprezom (konsultacija sa l</w:t>
      </w:r>
      <w:r w:rsidR="00A2544C" w:rsidRPr="00253510">
        <w:rPr>
          <w:szCs w:val="22"/>
          <w:lang w:val="sr-Latn-ME"/>
        </w:rPr>
        <w:t>j</w:t>
      </w:r>
      <w:r w:rsidRPr="00253510">
        <w:rPr>
          <w:szCs w:val="22"/>
          <w:lang w:val="sr-Latn-ME"/>
        </w:rPr>
        <w:t>ekarom ili farmaceutom) pr</w:t>
      </w:r>
      <w:r w:rsidR="00A2544C" w:rsidRPr="00253510">
        <w:rPr>
          <w:szCs w:val="22"/>
          <w:lang w:val="sr-Latn-ME"/>
        </w:rPr>
        <w:t>ij</w:t>
      </w:r>
      <w:r w:rsidRPr="00253510">
        <w:rPr>
          <w:szCs w:val="22"/>
          <w:lang w:val="sr-Latn-ME"/>
        </w:rPr>
        <w:t>e započinjanja l</w:t>
      </w:r>
      <w:r w:rsidR="00A2544C" w:rsidRPr="00253510">
        <w:rPr>
          <w:szCs w:val="22"/>
          <w:lang w:val="sr-Latn-ME"/>
        </w:rPr>
        <w:t>ij</w:t>
      </w:r>
      <w:r w:rsidRPr="00253510">
        <w:rPr>
          <w:szCs w:val="22"/>
          <w:lang w:val="sr-Latn-ME"/>
        </w:rPr>
        <w:t xml:space="preserve">ečenja pacijenata sa istorijom povišenog krvnog pritiska i/ili srčane isuficijencije, pošto su zadržavanje tečnosti, povišeni krvni pritisak i otok prijavljeni u vezi sa NSAIL terapijom. </w:t>
      </w:r>
    </w:p>
    <w:p w14:paraId="6AD0E09B" w14:textId="3196F24C" w:rsidR="000F73FE" w:rsidRPr="00253510" w:rsidRDefault="000F73FE" w:rsidP="000F73FE">
      <w:pPr>
        <w:pStyle w:val="NormalIndent"/>
        <w:spacing w:after="0"/>
        <w:ind w:left="0"/>
        <w:jc w:val="both"/>
        <w:rPr>
          <w:szCs w:val="22"/>
          <w:lang w:val="sr-Latn-ME"/>
        </w:rPr>
      </w:pPr>
      <w:r w:rsidRPr="00253510">
        <w:rPr>
          <w:szCs w:val="22"/>
          <w:lang w:val="sr-Latn-ME"/>
        </w:rPr>
        <w:t>Kliničko ispitivanje i epidemiološki podaci navode da korišćenje ibuprofena, posebno u visokim dozama (2400 mg dnevno) i dugotrajno l</w:t>
      </w:r>
      <w:r w:rsidR="00A2544C" w:rsidRPr="00253510">
        <w:rPr>
          <w:szCs w:val="22"/>
          <w:lang w:val="sr-Latn-ME"/>
        </w:rPr>
        <w:t>ij</w:t>
      </w:r>
      <w:r w:rsidRPr="00253510">
        <w:rPr>
          <w:szCs w:val="22"/>
          <w:lang w:val="sr-Latn-ME"/>
        </w:rPr>
        <w:t>ečenje mogu biti povezani sa blago povećanim rizikom od arterijskih trombotičkih događaja (na prim</w:t>
      </w:r>
      <w:r w:rsidR="00442F1B" w:rsidRPr="00253510">
        <w:rPr>
          <w:szCs w:val="22"/>
          <w:lang w:val="sr-Latn-ME"/>
        </w:rPr>
        <w:t>j</w:t>
      </w:r>
      <w:r w:rsidRPr="00253510">
        <w:rPr>
          <w:szCs w:val="22"/>
          <w:lang w:val="sr-Latn-ME"/>
        </w:rPr>
        <w:t>er infarkt miokarda ili moždani udar). Generalno, epidemiološke studije ne navode da su male doze ibuprofena (npr. ≤1200 mg dnevno) povezane sa povećanim rizikom od arterijskih trombotičkih događaja.</w:t>
      </w:r>
    </w:p>
    <w:p w14:paraId="6A459231" w14:textId="43876197" w:rsidR="000F73FE" w:rsidRPr="00253510" w:rsidRDefault="000F73FE" w:rsidP="000F73FE">
      <w:pPr>
        <w:pStyle w:val="NormalIndent"/>
        <w:spacing w:after="0"/>
        <w:ind w:left="0"/>
        <w:jc w:val="both"/>
        <w:rPr>
          <w:szCs w:val="22"/>
          <w:lang w:val="sr-Latn-ME"/>
        </w:rPr>
      </w:pPr>
      <w:r w:rsidRPr="00253510">
        <w:rPr>
          <w:szCs w:val="22"/>
          <w:lang w:val="sr-Latn-ME"/>
        </w:rPr>
        <w:t xml:space="preserve">Pacijente sa nekontrolisanom hipertenzijom, kongestivnom srčanom insuficijencijom </w:t>
      </w:r>
      <w:r w:rsidRPr="00253510">
        <w:rPr>
          <w:rFonts w:eastAsia="Calibri"/>
          <w:szCs w:val="22"/>
          <w:lang w:val="sr-Latn-ME"/>
        </w:rPr>
        <w:t>NYHA klase II-III, ishemijskom bolešću srca, bolešću perifernih arterija i/ili cerebrovaskularnom bolešću</w:t>
      </w:r>
      <w:r w:rsidRPr="00253510">
        <w:rPr>
          <w:szCs w:val="22"/>
          <w:lang w:val="sr-Latn-ME"/>
        </w:rPr>
        <w:t xml:space="preserve">, trebalo </w:t>
      </w:r>
      <w:r w:rsidR="00442F1B" w:rsidRPr="00253510">
        <w:rPr>
          <w:szCs w:val="22"/>
          <w:lang w:val="sr-Latn-ME"/>
        </w:rPr>
        <w:t xml:space="preserve">bi </w:t>
      </w:r>
      <w:r w:rsidRPr="00253510">
        <w:rPr>
          <w:szCs w:val="22"/>
          <w:lang w:val="sr-Latn-ME"/>
        </w:rPr>
        <w:t>l</w:t>
      </w:r>
      <w:r w:rsidR="00A2544C" w:rsidRPr="00253510">
        <w:rPr>
          <w:szCs w:val="22"/>
          <w:lang w:val="sr-Latn-ME"/>
        </w:rPr>
        <w:t>ij</w:t>
      </w:r>
      <w:r w:rsidRPr="00253510">
        <w:rPr>
          <w:szCs w:val="22"/>
          <w:lang w:val="sr-Latn-ME"/>
        </w:rPr>
        <w:t>ečiti ibuprofenom samo nakon pažljivog razmatranja.</w:t>
      </w:r>
      <w:r w:rsidR="00A2544C" w:rsidRPr="00253510">
        <w:rPr>
          <w:szCs w:val="22"/>
          <w:lang w:val="sr-Latn-ME"/>
        </w:rPr>
        <w:t xml:space="preserve"> </w:t>
      </w:r>
      <w:r w:rsidRPr="00253510">
        <w:rPr>
          <w:szCs w:val="22"/>
          <w:lang w:val="sr-Latn-ME"/>
        </w:rPr>
        <w:t>Treba izb</w:t>
      </w:r>
      <w:r w:rsidR="00A2544C" w:rsidRPr="00253510">
        <w:rPr>
          <w:szCs w:val="22"/>
          <w:lang w:val="sr-Latn-ME"/>
        </w:rPr>
        <w:t>j</w:t>
      </w:r>
      <w:r w:rsidRPr="00253510">
        <w:rPr>
          <w:szCs w:val="22"/>
          <w:lang w:val="sr-Latn-ME"/>
        </w:rPr>
        <w:t>egavati visoke doze (2400 mg / dan).</w:t>
      </w:r>
    </w:p>
    <w:p w14:paraId="0A06539F" w14:textId="27688F53" w:rsidR="000F73FE" w:rsidRPr="00253510" w:rsidRDefault="000F73FE" w:rsidP="000F73FE">
      <w:pPr>
        <w:pStyle w:val="NormalIndent"/>
        <w:spacing w:after="0"/>
        <w:ind w:left="0"/>
        <w:jc w:val="both"/>
        <w:rPr>
          <w:szCs w:val="22"/>
          <w:lang w:val="sr-Latn-ME"/>
        </w:rPr>
      </w:pPr>
      <w:r w:rsidRPr="00253510">
        <w:rPr>
          <w:szCs w:val="22"/>
          <w:lang w:val="sr-Latn-ME"/>
        </w:rPr>
        <w:t xml:space="preserve">Kod pacijenata sa faktorima rizika za kardiovaskularne događaje (npr. hipertenzija, hiperlipidemija, </w:t>
      </w:r>
      <w:r w:rsidRPr="00253510">
        <w:rPr>
          <w:i/>
          <w:szCs w:val="22"/>
          <w:lang w:val="sr-Latn-ME"/>
        </w:rPr>
        <w:t>diabetes mellitus</w:t>
      </w:r>
      <w:r w:rsidRPr="00253510">
        <w:rPr>
          <w:szCs w:val="22"/>
          <w:lang w:val="sr-Latn-ME"/>
        </w:rPr>
        <w:t>, pušenje), pažl</w:t>
      </w:r>
      <w:r w:rsidR="00A2544C" w:rsidRPr="00253510">
        <w:rPr>
          <w:szCs w:val="22"/>
          <w:lang w:val="sr-Latn-ME"/>
        </w:rPr>
        <w:t>jivo bi trebalo razmotriti primje</w:t>
      </w:r>
      <w:r w:rsidRPr="00253510">
        <w:rPr>
          <w:szCs w:val="22"/>
          <w:lang w:val="sr-Latn-ME"/>
        </w:rPr>
        <w:t>nu l</w:t>
      </w:r>
      <w:r w:rsidR="00A2544C" w:rsidRPr="00253510">
        <w:rPr>
          <w:szCs w:val="22"/>
          <w:lang w:val="sr-Latn-ME"/>
        </w:rPr>
        <w:t>ij</w:t>
      </w:r>
      <w:r w:rsidRPr="00253510">
        <w:rPr>
          <w:szCs w:val="22"/>
          <w:lang w:val="sr-Latn-ME"/>
        </w:rPr>
        <w:t>eka, posebno kada su potrebne visoke doze ibuprofena (2400 mg / dan) ili dugotrajna terapija.</w:t>
      </w:r>
    </w:p>
    <w:p w14:paraId="2FC2AADE" w14:textId="77777777" w:rsidR="000F73FE" w:rsidRPr="00253510" w:rsidRDefault="000F73FE" w:rsidP="000F73FE">
      <w:pPr>
        <w:pStyle w:val="NormalIndent"/>
        <w:spacing w:after="0"/>
        <w:ind w:left="0"/>
        <w:jc w:val="both"/>
        <w:rPr>
          <w:b/>
          <w:szCs w:val="22"/>
          <w:lang w:val="sr-Latn-ME"/>
        </w:rPr>
      </w:pPr>
    </w:p>
    <w:p w14:paraId="5A21D1A6" w14:textId="77777777" w:rsidR="000F73FE" w:rsidRPr="00253510" w:rsidRDefault="000F73FE" w:rsidP="000F73FE">
      <w:pPr>
        <w:pStyle w:val="NormalIndent"/>
        <w:spacing w:after="0"/>
        <w:ind w:left="0"/>
        <w:jc w:val="both"/>
        <w:rPr>
          <w:b/>
          <w:szCs w:val="22"/>
          <w:lang w:val="sr-Latn-ME"/>
        </w:rPr>
      </w:pPr>
      <w:r w:rsidRPr="00253510">
        <w:rPr>
          <w:b/>
          <w:szCs w:val="22"/>
          <w:lang w:val="sr-Latn-ME"/>
        </w:rPr>
        <w:t>Renalna dejstva:</w:t>
      </w:r>
    </w:p>
    <w:p w14:paraId="5E74C6B0" w14:textId="06655F26" w:rsidR="000F73FE" w:rsidRPr="00253510" w:rsidRDefault="000F73FE" w:rsidP="000F73FE">
      <w:pPr>
        <w:pStyle w:val="NormalIndent"/>
        <w:spacing w:after="0"/>
        <w:ind w:left="0"/>
        <w:jc w:val="both"/>
        <w:rPr>
          <w:szCs w:val="22"/>
          <w:lang w:val="sr-Latn-ME"/>
        </w:rPr>
      </w:pPr>
      <w:r w:rsidRPr="00253510">
        <w:rPr>
          <w:szCs w:val="22"/>
          <w:lang w:val="sr-Latn-ME"/>
        </w:rPr>
        <w:t>Može doći do daljeg pogoršanja funkcije bubrega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eljke 4.3 i 4.8).</w:t>
      </w:r>
    </w:p>
    <w:p w14:paraId="40F731AB" w14:textId="6B171176" w:rsidR="000F73FE" w:rsidRPr="00253510" w:rsidRDefault="000F73FE" w:rsidP="000F73FE">
      <w:pPr>
        <w:pStyle w:val="NormalIndent"/>
        <w:spacing w:after="0"/>
        <w:ind w:left="0"/>
        <w:jc w:val="both"/>
        <w:rPr>
          <w:b/>
          <w:szCs w:val="22"/>
          <w:lang w:val="sr-Latn-ME"/>
        </w:rPr>
      </w:pPr>
      <w:r w:rsidRPr="00253510">
        <w:rPr>
          <w:szCs w:val="22"/>
          <w:lang w:val="sr-Latn-ME"/>
        </w:rPr>
        <w:t>Redovna upotreba l</w:t>
      </w:r>
      <w:r w:rsidR="00A2544C" w:rsidRPr="00253510">
        <w:rPr>
          <w:szCs w:val="22"/>
          <w:lang w:val="sr-Latn-ME"/>
        </w:rPr>
        <w:t>j</w:t>
      </w:r>
      <w:r w:rsidRPr="00253510">
        <w:rPr>
          <w:szCs w:val="22"/>
          <w:lang w:val="sr-Latn-ME"/>
        </w:rPr>
        <w:t>ekova protiv bolova, naročito sa kombinacijom većeg broja aktivnih supstanci protiv bolova, može dovesti do trajnog oštećenja bubrega koje je povezano sa rizikom od otkazivanja bubrega (analgetska nefropatija). Postoji rizik od oštećenja bubrega kod dehidrirane d</w:t>
      </w:r>
      <w:r w:rsidR="00A2544C" w:rsidRPr="00253510">
        <w:rPr>
          <w:szCs w:val="22"/>
          <w:lang w:val="sr-Latn-ME"/>
        </w:rPr>
        <w:t>j</w:t>
      </w:r>
      <w:r w:rsidRPr="00253510">
        <w:rPr>
          <w:szCs w:val="22"/>
          <w:lang w:val="sr-Latn-ME"/>
        </w:rPr>
        <w:t>ece i adolescenata.</w:t>
      </w:r>
    </w:p>
    <w:p w14:paraId="66393DE4" w14:textId="77777777" w:rsidR="000F73FE" w:rsidRPr="00253510" w:rsidRDefault="000F73FE" w:rsidP="000F73FE">
      <w:pPr>
        <w:pStyle w:val="NormalIndent"/>
        <w:spacing w:after="0"/>
        <w:ind w:left="0"/>
        <w:jc w:val="both"/>
        <w:rPr>
          <w:b/>
          <w:szCs w:val="22"/>
          <w:lang w:val="sr-Latn-ME"/>
        </w:rPr>
      </w:pPr>
    </w:p>
    <w:p w14:paraId="3D084CB0" w14:textId="77777777" w:rsidR="000F73FE" w:rsidRPr="00253510" w:rsidRDefault="000F73FE" w:rsidP="000F73FE">
      <w:pPr>
        <w:pStyle w:val="NormalIndent"/>
        <w:spacing w:after="0"/>
        <w:ind w:left="0"/>
        <w:jc w:val="both"/>
        <w:rPr>
          <w:b/>
          <w:szCs w:val="22"/>
          <w:lang w:val="sr-Latn-ME"/>
        </w:rPr>
      </w:pPr>
      <w:r w:rsidRPr="00253510">
        <w:rPr>
          <w:b/>
          <w:szCs w:val="22"/>
          <w:lang w:val="sr-Latn-ME"/>
        </w:rPr>
        <w:t>Hepatička dejstva:</w:t>
      </w:r>
    </w:p>
    <w:p w14:paraId="0272D542" w14:textId="3B592BB1" w:rsidR="000F73FE" w:rsidRPr="00253510" w:rsidRDefault="000F73FE" w:rsidP="000F73FE">
      <w:pPr>
        <w:pStyle w:val="NormalIndent"/>
        <w:spacing w:after="0"/>
        <w:ind w:left="0"/>
        <w:jc w:val="both"/>
        <w:rPr>
          <w:b/>
          <w:szCs w:val="22"/>
          <w:lang w:val="sr-Latn-ME"/>
        </w:rPr>
      </w:pPr>
      <w:r w:rsidRPr="00253510">
        <w:rPr>
          <w:szCs w:val="22"/>
          <w:lang w:val="sr-Latn-ME"/>
        </w:rPr>
        <w:t>Oštećenje jetre (vid</w:t>
      </w:r>
      <w:r w:rsidR="00530C07"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eljke 4.3 i 4.8).</w:t>
      </w:r>
    </w:p>
    <w:p w14:paraId="0A6BE5E0" w14:textId="77777777" w:rsidR="000F73FE" w:rsidRPr="00253510" w:rsidRDefault="000F73FE" w:rsidP="000F73FE">
      <w:pPr>
        <w:pStyle w:val="NormalIndent"/>
        <w:spacing w:after="0"/>
        <w:ind w:left="0"/>
        <w:jc w:val="both"/>
        <w:rPr>
          <w:b/>
          <w:szCs w:val="22"/>
          <w:lang w:val="sr-Latn-ME"/>
        </w:rPr>
      </w:pPr>
    </w:p>
    <w:p w14:paraId="3300D978" w14:textId="77777777" w:rsidR="003A3512" w:rsidRPr="00253510" w:rsidRDefault="003A3512" w:rsidP="000F73FE">
      <w:pPr>
        <w:pStyle w:val="NormalIndent"/>
        <w:spacing w:after="0"/>
        <w:ind w:left="0"/>
        <w:jc w:val="both"/>
        <w:rPr>
          <w:b/>
          <w:szCs w:val="22"/>
          <w:lang w:val="sr-Latn-ME"/>
        </w:rPr>
      </w:pPr>
    </w:p>
    <w:p w14:paraId="685E6BE3" w14:textId="5D7029CF" w:rsidR="000F73FE" w:rsidRPr="00253510" w:rsidRDefault="000F73FE" w:rsidP="000F73FE">
      <w:pPr>
        <w:pStyle w:val="NormalIndent"/>
        <w:spacing w:after="0"/>
        <w:ind w:left="0"/>
        <w:jc w:val="both"/>
        <w:rPr>
          <w:b/>
          <w:szCs w:val="22"/>
          <w:lang w:val="sr-Latn-ME"/>
        </w:rPr>
      </w:pPr>
      <w:r w:rsidRPr="00253510">
        <w:rPr>
          <w:b/>
          <w:szCs w:val="22"/>
          <w:lang w:val="sr-Latn-ME"/>
        </w:rPr>
        <w:lastRenderedPageBreak/>
        <w:t>Gastrointestinalna dejstva:</w:t>
      </w:r>
    </w:p>
    <w:p w14:paraId="095DC611" w14:textId="7DCD4622" w:rsidR="000F73FE" w:rsidRPr="00253510" w:rsidRDefault="000F73FE" w:rsidP="000F73FE">
      <w:pPr>
        <w:pStyle w:val="NormalIndent"/>
        <w:spacing w:after="0"/>
        <w:ind w:left="0"/>
        <w:jc w:val="both"/>
        <w:rPr>
          <w:szCs w:val="22"/>
          <w:lang w:val="sr-Latn-ME"/>
        </w:rPr>
      </w:pPr>
      <w:r w:rsidRPr="00253510">
        <w:rPr>
          <w:szCs w:val="22"/>
          <w:lang w:val="sr-Latn-ME"/>
        </w:rPr>
        <w:t>Upotreba l</w:t>
      </w:r>
      <w:r w:rsidR="00A2544C" w:rsidRPr="00253510">
        <w:rPr>
          <w:szCs w:val="22"/>
          <w:lang w:val="sr-Latn-ME"/>
        </w:rPr>
        <w:t>ij</w:t>
      </w:r>
      <w:r w:rsidRPr="00253510">
        <w:rPr>
          <w:szCs w:val="22"/>
          <w:lang w:val="sr-Latn-ME"/>
        </w:rPr>
        <w:t>eka Nurofen sa drugim NSAID uključujući selektivne inhibitore COX-2 treba izb</w:t>
      </w:r>
      <w:r w:rsidR="00A2544C" w:rsidRPr="00253510">
        <w:rPr>
          <w:szCs w:val="22"/>
          <w:lang w:val="sr-Latn-ME"/>
        </w:rPr>
        <w:t>j</w:t>
      </w:r>
      <w:r w:rsidRPr="00253510">
        <w:rPr>
          <w:szCs w:val="22"/>
          <w:lang w:val="sr-Latn-ME"/>
        </w:rPr>
        <w:t>egavati.</w:t>
      </w:r>
    </w:p>
    <w:p w14:paraId="6D841FDD" w14:textId="77777777" w:rsidR="000F73FE" w:rsidRPr="00253510" w:rsidRDefault="000F73FE" w:rsidP="000F73FE">
      <w:pPr>
        <w:pStyle w:val="NormalIndent"/>
        <w:spacing w:after="0"/>
        <w:ind w:left="0"/>
        <w:jc w:val="both"/>
        <w:rPr>
          <w:color w:val="FF0000"/>
          <w:szCs w:val="22"/>
          <w:lang w:val="sr-Latn-ME"/>
        </w:rPr>
      </w:pPr>
    </w:p>
    <w:p w14:paraId="00C74924" w14:textId="77777777" w:rsidR="000F73FE" w:rsidRPr="00253510" w:rsidRDefault="000F73FE" w:rsidP="000F73FE">
      <w:pPr>
        <w:pStyle w:val="NormalIndent"/>
        <w:spacing w:after="0"/>
        <w:ind w:left="0"/>
        <w:jc w:val="both"/>
        <w:rPr>
          <w:szCs w:val="22"/>
          <w:lang w:val="sr-Latn-ME"/>
        </w:rPr>
      </w:pPr>
      <w:r w:rsidRPr="00253510">
        <w:rPr>
          <w:szCs w:val="22"/>
          <w:lang w:val="sr-Latn-ME"/>
        </w:rPr>
        <w:t xml:space="preserve">Starije osobe </w:t>
      </w:r>
    </w:p>
    <w:p w14:paraId="784D9442" w14:textId="2D3B860A" w:rsidR="000F73FE" w:rsidRPr="00253510" w:rsidRDefault="000F73FE" w:rsidP="000F73FE">
      <w:pPr>
        <w:pStyle w:val="NormalIndent"/>
        <w:ind w:left="0"/>
        <w:jc w:val="both"/>
        <w:rPr>
          <w:szCs w:val="22"/>
          <w:lang w:val="sr-Latn-ME"/>
        </w:rPr>
      </w:pPr>
      <w:r w:rsidRPr="00253510">
        <w:rPr>
          <w:szCs w:val="22"/>
          <w:lang w:val="sr-Latn-ME"/>
        </w:rPr>
        <w:t>Starije osobe imaju povećanu učestalost neželjenih reakcija na NSAIL, posebno gastrointestinalnih krvarenja i perforacije, koje mogu biti sa smrtnim ishodom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 xml:space="preserve">eljak 4.2).  </w:t>
      </w:r>
    </w:p>
    <w:p w14:paraId="533DB24B" w14:textId="77777777" w:rsidR="000F73FE" w:rsidRPr="00253510" w:rsidRDefault="000F73FE" w:rsidP="000F73FE">
      <w:pPr>
        <w:pStyle w:val="NormalIndent"/>
        <w:ind w:left="0"/>
        <w:jc w:val="both"/>
        <w:rPr>
          <w:szCs w:val="22"/>
          <w:lang w:val="sr-Latn-ME"/>
        </w:rPr>
      </w:pPr>
      <w:r w:rsidRPr="00253510">
        <w:rPr>
          <w:szCs w:val="22"/>
          <w:lang w:val="sr-Latn-ME"/>
        </w:rPr>
        <w:t>Gastrointestinalno krvarenje, ulceracija ili perforacija</w:t>
      </w:r>
    </w:p>
    <w:p w14:paraId="00EDD878" w14:textId="5DE9A088" w:rsidR="000F73FE" w:rsidRPr="00253510" w:rsidRDefault="000F73FE" w:rsidP="000F73FE">
      <w:pPr>
        <w:pStyle w:val="NormalIndent"/>
        <w:ind w:left="0"/>
        <w:jc w:val="both"/>
        <w:rPr>
          <w:szCs w:val="22"/>
          <w:lang w:val="sr-Latn-ME"/>
        </w:rPr>
      </w:pPr>
      <w:r w:rsidRPr="00253510">
        <w:rPr>
          <w:szCs w:val="22"/>
          <w:lang w:val="sr-Latn-ME"/>
        </w:rPr>
        <w:t>Gastrointestinalno krvarenje, ulceracija ili perforacija, koji mogu biti sa smrtnim ishodom, prijavljivani su sa svim NSAIL u bilo kom trenutku za vr</w:t>
      </w:r>
      <w:r w:rsidR="00530C07" w:rsidRPr="00253510">
        <w:rPr>
          <w:szCs w:val="22"/>
          <w:lang w:val="sr-Latn-ME"/>
        </w:rPr>
        <w:t>ij</w:t>
      </w:r>
      <w:r w:rsidRPr="00253510">
        <w:rPr>
          <w:szCs w:val="22"/>
          <w:lang w:val="sr-Latn-ME"/>
        </w:rPr>
        <w:t>eme l</w:t>
      </w:r>
      <w:r w:rsidR="00A2544C" w:rsidRPr="00253510">
        <w:rPr>
          <w:szCs w:val="22"/>
          <w:lang w:val="sr-Latn-ME"/>
        </w:rPr>
        <w:t>ij</w:t>
      </w:r>
      <w:r w:rsidRPr="00253510">
        <w:rPr>
          <w:szCs w:val="22"/>
          <w:lang w:val="sr-Latn-ME"/>
        </w:rPr>
        <w:t>ečenja, sa ili bez simptoma upozorenja ili ranije istorije gastrointestinalnih stanja.</w:t>
      </w:r>
    </w:p>
    <w:p w14:paraId="3F961251" w14:textId="3AC20485" w:rsidR="000F73FE" w:rsidRPr="00253510" w:rsidRDefault="000F73FE" w:rsidP="000F73FE">
      <w:pPr>
        <w:pStyle w:val="NormalIndent"/>
        <w:ind w:left="0"/>
        <w:jc w:val="both"/>
        <w:rPr>
          <w:szCs w:val="22"/>
          <w:lang w:val="sr-Latn-ME"/>
        </w:rPr>
      </w:pPr>
      <w:r w:rsidRPr="00253510">
        <w:rPr>
          <w:szCs w:val="22"/>
          <w:lang w:val="sr-Latn-ME"/>
        </w:rPr>
        <w:t>Rizik od gastrointestinalnog krvarenja, ulceracije ili perforacije je veći sa povećanjem doza NSAIL, kod pacijenata sa istorijom čira, posebno sa komplikacijama krvarenja ili perforacije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 xml:space="preserve">eljak 4.3), i kod starijih osoba. </w:t>
      </w:r>
    </w:p>
    <w:p w14:paraId="7B497308" w14:textId="559C182F" w:rsidR="000F73FE" w:rsidRPr="00253510" w:rsidRDefault="000F73FE" w:rsidP="000F73FE">
      <w:pPr>
        <w:pStyle w:val="NormalIndent"/>
        <w:ind w:left="0"/>
        <w:jc w:val="both"/>
        <w:rPr>
          <w:szCs w:val="22"/>
          <w:lang w:val="sr-Latn-ME"/>
        </w:rPr>
      </w:pPr>
      <w:r w:rsidRPr="00253510">
        <w:rPr>
          <w:szCs w:val="22"/>
          <w:lang w:val="sr-Latn-ME"/>
        </w:rPr>
        <w:t>Ti pacijenti bi trebalo da započnu l</w:t>
      </w:r>
      <w:r w:rsidR="00A2544C" w:rsidRPr="00253510">
        <w:rPr>
          <w:szCs w:val="22"/>
          <w:lang w:val="sr-Latn-ME"/>
        </w:rPr>
        <w:t>ij</w:t>
      </w:r>
      <w:r w:rsidRPr="00253510">
        <w:rPr>
          <w:szCs w:val="22"/>
          <w:lang w:val="sr-Latn-ME"/>
        </w:rPr>
        <w:t>ečenje sa najmanjom raspoloživom dozom. Treba razmotriti istovremenu prim</w:t>
      </w:r>
      <w:r w:rsidR="00A2544C" w:rsidRPr="00253510">
        <w:rPr>
          <w:szCs w:val="22"/>
          <w:lang w:val="sr-Latn-ME"/>
        </w:rPr>
        <w:t>j</w:t>
      </w:r>
      <w:r w:rsidRPr="00253510">
        <w:rPr>
          <w:szCs w:val="22"/>
          <w:lang w:val="sr-Latn-ME"/>
        </w:rPr>
        <w:t>enu inhibitora protonske pumpe kod ovih pacijenata, kao i kod pacijenata koji istovre</w:t>
      </w:r>
      <w:r w:rsidR="00530C07" w:rsidRPr="00253510">
        <w:rPr>
          <w:szCs w:val="22"/>
          <w:lang w:val="sr-Latn-ME"/>
        </w:rPr>
        <w:t>me</w:t>
      </w:r>
      <w:r w:rsidRPr="00253510">
        <w:rPr>
          <w:szCs w:val="22"/>
          <w:lang w:val="sr-Latn-ME"/>
        </w:rPr>
        <w:t>no uzimaju male doze acetilsalicilne kiseline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eljak 4.5).</w:t>
      </w:r>
    </w:p>
    <w:p w14:paraId="4BCEFBC2" w14:textId="35552997" w:rsidR="000F73FE" w:rsidRPr="00253510" w:rsidRDefault="000F73FE" w:rsidP="000F73FE">
      <w:pPr>
        <w:pStyle w:val="NormalIndent"/>
        <w:ind w:left="0"/>
        <w:jc w:val="both"/>
        <w:rPr>
          <w:szCs w:val="22"/>
          <w:lang w:val="sr-Latn-ME"/>
        </w:rPr>
      </w:pPr>
      <w:r w:rsidRPr="00253510">
        <w:rPr>
          <w:szCs w:val="22"/>
          <w:lang w:val="sr-Latn-ME"/>
        </w:rPr>
        <w:t>Pacijenti sa istorijom gastrointestinalne toksičnosti, pogotovo starije osobe, treba da prijave sve neuobičajene abdominalne simptome (posebno gastrointestinalno krvarenje), naročito u početnim fazama l</w:t>
      </w:r>
      <w:r w:rsidR="00A2544C" w:rsidRPr="00253510">
        <w:rPr>
          <w:szCs w:val="22"/>
          <w:lang w:val="sr-Latn-ME"/>
        </w:rPr>
        <w:t>ij</w:t>
      </w:r>
      <w:r w:rsidRPr="00253510">
        <w:rPr>
          <w:szCs w:val="22"/>
          <w:lang w:val="sr-Latn-ME"/>
        </w:rPr>
        <w:t xml:space="preserve">ečenja. </w:t>
      </w:r>
    </w:p>
    <w:p w14:paraId="5E9D1312" w14:textId="3BB7B7FF" w:rsidR="000F73FE" w:rsidRPr="00253510" w:rsidRDefault="000F73FE" w:rsidP="000F73FE">
      <w:pPr>
        <w:pStyle w:val="NormalIndent"/>
        <w:ind w:left="0"/>
        <w:jc w:val="both"/>
        <w:rPr>
          <w:szCs w:val="22"/>
          <w:lang w:val="sr-Latn-ME"/>
        </w:rPr>
      </w:pPr>
      <w:r w:rsidRPr="00253510">
        <w:rPr>
          <w:szCs w:val="22"/>
          <w:lang w:val="sr-Latn-ME"/>
        </w:rPr>
        <w:t>Sav</w:t>
      </w:r>
      <w:r w:rsidR="00530C07" w:rsidRPr="00253510">
        <w:rPr>
          <w:szCs w:val="22"/>
          <w:lang w:val="sr-Latn-ME"/>
        </w:rPr>
        <w:t>j</w:t>
      </w:r>
      <w:r w:rsidRPr="00253510">
        <w:rPr>
          <w:szCs w:val="22"/>
          <w:lang w:val="sr-Latn-ME"/>
        </w:rPr>
        <w:t>etuje se oprez kod pacijenata koji istovremeno uzimaju l</w:t>
      </w:r>
      <w:r w:rsidR="00A2544C" w:rsidRPr="00253510">
        <w:rPr>
          <w:szCs w:val="22"/>
          <w:lang w:val="sr-Latn-ME"/>
        </w:rPr>
        <w:t>j</w:t>
      </w:r>
      <w:r w:rsidRPr="00253510">
        <w:rPr>
          <w:szCs w:val="22"/>
          <w:lang w:val="sr-Latn-ME"/>
        </w:rPr>
        <w:t xml:space="preserve">ekove koji mogu povećati rizik od ulceracije ili krvarenja, kao što su oralni kortikosteroidi, </w:t>
      </w:r>
      <w:r w:rsidR="00530C07" w:rsidRPr="00253510">
        <w:rPr>
          <w:szCs w:val="22"/>
          <w:lang w:val="sr-Latn-ME"/>
        </w:rPr>
        <w:t xml:space="preserve">antikoagulansi </w:t>
      </w:r>
      <w:r w:rsidRPr="00253510">
        <w:rPr>
          <w:szCs w:val="22"/>
          <w:lang w:val="sr-Latn-ME"/>
        </w:rPr>
        <w:t>kao što je varfarin, selektivni inhibitori ponovnog preuzimanja serotonina ili l</w:t>
      </w:r>
      <w:r w:rsidR="00A2544C" w:rsidRPr="00253510">
        <w:rPr>
          <w:szCs w:val="22"/>
          <w:lang w:val="sr-Latn-ME"/>
        </w:rPr>
        <w:t>j</w:t>
      </w:r>
      <w:r w:rsidRPr="00253510">
        <w:rPr>
          <w:szCs w:val="22"/>
          <w:lang w:val="sr-Latn-ME"/>
        </w:rPr>
        <w:t>ekovi koji inhibiraju agregaciju trombocita kao što je acetilsalicilna kiselina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eljak 4.5).</w:t>
      </w:r>
    </w:p>
    <w:p w14:paraId="4AF19253" w14:textId="77777777" w:rsidR="000F73FE" w:rsidRPr="00253510" w:rsidRDefault="000F73FE" w:rsidP="000F73FE">
      <w:pPr>
        <w:pStyle w:val="NormalIndent"/>
        <w:ind w:left="0"/>
        <w:jc w:val="both"/>
        <w:rPr>
          <w:szCs w:val="22"/>
          <w:u w:val="single"/>
          <w:lang w:val="sr-Latn-ME"/>
        </w:rPr>
      </w:pPr>
      <w:r w:rsidRPr="00253510">
        <w:rPr>
          <w:szCs w:val="22"/>
          <w:lang w:val="sr-Latn-ME"/>
        </w:rPr>
        <w:t xml:space="preserve">Kada dođe do gastrointestinalnih krvarenja ili ulceracije kod pacijenata koji uzimaju ibuprofen, terapiju treba prekinuti. </w:t>
      </w:r>
    </w:p>
    <w:p w14:paraId="30874C80" w14:textId="5E20F458" w:rsidR="000F73FE" w:rsidRPr="00253510" w:rsidRDefault="000F73FE" w:rsidP="000F73FE">
      <w:pPr>
        <w:pStyle w:val="NormalIndent"/>
        <w:ind w:left="0"/>
        <w:jc w:val="both"/>
        <w:rPr>
          <w:szCs w:val="22"/>
          <w:lang w:val="sr-Latn-ME"/>
        </w:rPr>
      </w:pPr>
      <w:r w:rsidRPr="00253510">
        <w:rPr>
          <w:szCs w:val="22"/>
          <w:lang w:val="sr-Latn-ME"/>
        </w:rPr>
        <w:t>NSAIL treba pažljivo davati pacijentima sa istorijom gastrointestinalnih oboljenja (ulcerozni kolitis, Kronova bolest) pošto ta stanja mogu da se pogoršaju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eljak 4.8).</w:t>
      </w:r>
    </w:p>
    <w:p w14:paraId="518E95E1" w14:textId="6C278941" w:rsidR="000F73FE" w:rsidRPr="00253510" w:rsidRDefault="00CF6F2C" w:rsidP="000F73FE">
      <w:pPr>
        <w:pStyle w:val="NormalIndent"/>
        <w:ind w:left="0"/>
        <w:jc w:val="both"/>
        <w:rPr>
          <w:b/>
          <w:szCs w:val="22"/>
          <w:lang w:val="sr-Latn-ME"/>
        </w:rPr>
      </w:pPr>
      <w:r w:rsidRPr="00253510">
        <w:rPr>
          <w:b/>
          <w:szCs w:val="22"/>
          <w:lang w:val="sr-Latn-ME"/>
        </w:rPr>
        <w:t>Teške</w:t>
      </w:r>
      <w:r w:rsidRPr="00253510">
        <w:rPr>
          <w:b/>
          <w:color w:val="FF0000"/>
          <w:szCs w:val="22"/>
          <w:lang w:val="sr-Latn-ME"/>
        </w:rPr>
        <w:t xml:space="preserve"> </w:t>
      </w:r>
      <w:r w:rsidRPr="00253510">
        <w:rPr>
          <w:b/>
          <w:szCs w:val="22"/>
          <w:lang w:val="sr-Latn-ME"/>
        </w:rPr>
        <w:t>kožne</w:t>
      </w:r>
      <w:r w:rsidR="000F73FE" w:rsidRPr="00253510">
        <w:rPr>
          <w:b/>
          <w:szCs w:val="22"/>
          <w:lang w:val="sr-Latn-ME"/>
        </w:rPr>
        <w:t xml:space="preserve"> reakcije:</w:t>
      </w:r>
    </w:p>
    <w:p w14:paraId="6618A83C" w14:textId="18CB0833" w:rsidR="000F73FE" w:rsidRPr="00253510" w:rsidRDefault="000F73FE" w:rsidP="000F73FE">
      <w:pPr>
        <w:pStyle w:val="NormalIndent"/>
        <w:ind w:left="0"/>
        <w:jc w:val="both"/>
        <w:rPr>
          <w:szCs w:val="22"/>
          <w:lang w:val="sr-Latn-ME"/>
        </w:rPr>
      </w:pPr>
      <w:r w:rsidRPr="00253510">
        <w:rPr>
          <w:szCs w:val="22"/>
          <w:lang w:val="sr-Latn-ME"/>
        </w:rPr>
        <w:t xml:space="preserve">Teške kožne reakcije, od </w:t>
      </w:r>
      <w:r w:rsidR="00CF6F2C" w:rsidRPr="00253510">
        <w:rPr>
          <w:szCs w:val="22"/>
          <w:lang w:val="sr-Latn-ME"/>
        </w:rPr>
        <w:t>kojih su neke sa fatalnim ishodom</w:t>
      </w:r>
      <w:r w:rsidRPr="00253510">
        <w:rPr>
          <w:szCs w:val="22"/>
          <w:lang w:val="sr-Latn-ME"/>
        </w:rPr>
        <w:t>, uključujući eksfolijativni dermatitis, Stivens-Džonsonov sindrom i toksičnu epidermalnu nekrolizu, veoma r</w:t>
      </w:r>
      <w:r w:rsidR="00A2544C" w:rsidRPr="00253510">
        <w:rPr>
          <w:szCs w:val="22"/>
          <w:lang w:val="sr-Latn-ME"/>
        </w:rPr>
        <w:t>ij</w:t>
      </w:r>
      <w:r w:rsidRPr="00253510">
        <w:rPr>
          <w:szCs w:val="22"/>
          <w:lang w:val="sr-Latn-ME"/>
        </w:rPr>
        <w:t>etko su prijavljene u vezi sa upotrebom NSAIL (vid</w:t>
      </w:r>
      <w:r w:rsidR="00A2544C" w:rsidRPr="00253510">
        <w:rPr>
          <w:szCs w:val="22"/>
          <w:lang w:val="sr-Latn-ME"/>
        </w:rPr>
        <w:t>j</w:t>
      </w:r>
      <w:r w:rsidRPr="00253510">
        <w:rPr>
          <w:szCs w:val="22"/>
          <w:lang w:val="sr-Latn-ME"/>
        </w:rPr>
        <w:t>eti od</w:t>
      </w:r>
      <w:r w:rsidR="00A2544C" w:rsidRPr="00253510">
        <w:rPr>
          <w:szCs w:val="22"/>
          <w:lang w:val="sr-Latn-ME"/>
        </w:rPr>
        <w:t>j</w:t>
      </w:r>
      <w:r w:rsidRPr="00253510">
        <w:rPr>
          <w:szCs w:val="22"/>
          <w:lang w:val="sr-Latn-ME"/>
        </w:rPr>
        <w:t xml:space="preserve">eljak 4.8). </w:t>
      </w:r>
    </w:p>
    <w:p w14:paraId="621BAA5B" w14:textId="4F6E2025" w:rsidR="00CF6F2C" w:rsidRPr="00253510" w:rsidRDefault="000F73FE" w:rsidP="00CF6F2C">
      <w:pPr>
        <w:pStyle w:val="NormalIndent"/>
        <w:ind w:left="0"/>
        <w:jc w:val="both"/>
        <w:rPr>
          <w:szCs w:val="22"/>
          <w:lang w:val="sr-Latn-ME"/>
        </w:rPr>
      </w:pPr>
      <w:r w:rsidRPr="00253510">
        <w:rPr>
          <w:szCs w:val="22"/>
          <w:lang w:val="sr-Latn-ME"/>
        </w:rPr>
        <w:t>Izgleda da su pacijenti pod najvećim rizikom od tih reakcija u ranoj fazi l</w:t>
      </w:r>
      <w:r w:rsidR="00736FC5" w:rsidRPr="00253510">
        <w:rPr>
          <w:szCs w:val="22"/>
          <w:lang w:val="sr-Latn-ME"/>
        </w:rPr>
        <w:t>ij</w:t>
      </w:r>
      <w:r w:rsidRPr="00253510">
        <w:rPr>
          <w:szCs w:val="22"/>
          <w:lang w:val="sr-Latn-ME"/>
        </w:rPr>
        <w:t>ečenja: nastupanje tih reakcija se dešava u najvećem broju slučajeva tokom prvog m</w:t>
      </w:r>
      <w:r w:rsidR="00A2544C" w:rsidRPr="00253510">
        <w:rPr>
          <w:szCs w:val="22"/>
          <w:lang w:val="sr-Latn-ME"/>
        </w:rPr>
        <w:t>j</w:t>
      </w:r>
      <w:r w:rsidRPr="00253510">
        <w:rPr>
          <w:szCs w:val="22"/>
          <w:lang w:val="sr-Latn-ME"/>
        </w:rPr>
        <w:t>eseca l</w:t>
      </w:r>
      <w:r w:rsidR="00A2544C" w:rsidRPr="00253510">
        <w:rPr>
          <w:szCs w:val="22"/>
          <w:lang w:val="sr-Latn-ME"/>
        </w:rPr>
        <w:t>ij</w:t>
      </w:r>
      <w:r w:rsidRPr="00253510">
        <w:rPr>
          <w:szCs w:val="22"/>
          <w:lang w:val="sr-Latn-ME"/>
        </w:rPr>
        <w:t>ečenja.</w:t>
      </w:r>
      <w:r w:rsidR="00CF6F2C" w:rsidRPr="00253510">
        <w:rPr>
          <w:szCs w:val="22"/>
          <w:lang w:val="sr-Latn-ME"/>
        </w:rPr>
        <w:t xml:space="preserve"> Prijavljena je akutna generalizovana egzantematozna pustuloza (eng. </w:t>
      </w:r>
      <w:r w:rsidR="00CF6F2C" w:rsidRPr="00253510">
        <w:rPr>
          <w:i/>
          <w:szCs w:val="22"/>
          <w:lang w:val="sr-Latn-ME"/>
        </w:rPr>
        <w:t>Acute generalised exanthematous pustulosis</w:t>
      </w:r>
      <w:r w:rsidR="00CF6F2C" w:rsidRPr="00253510">
        <w:rPr>
          <w:szCs w:val="22"/>
          <w:lang w:val="sr-Latn-ME"/>
        </w:rPr>
        <w:t>, AGEP) prilikom prim</w:t>
      </w:r>
      <w:r w:rsidR="00A2544C" w:rsidRPr="00253510">
        <w:rPr>
          <w:szCs w:val="22"/>
          <w:lang w:val="sr-Latn-ME"/>
        </w:rPr>
        <w:t>j</w:t>
      </w:r>
      <w:r w:rsidR="00CF6F2C" w:rsidRPr="00253510">
        <w:rPr>
          <w:szCs w:val="22"/>
          <w:lang w:val="sr-Latn-ME"/>
        </w:rPr>
        <w:t>ene l</w:t>
      </w:r>
      <w:r w:rsidR="00A2544C" w:rsidRPr="00253510">
        <w:rPr>
          <w:szCs w:val="22"/>
          <w:lang w:val="sr-Latn-ME"/>
        </w:rPr>
        <w:t>j</w:t>
      </w:r>
      <w:r w:rsidR="00CF6F2C" w:rsidRPr="00253510">
        <w:rPr>
          <w:szCs w:val="22"/>
          <w:lang w:val="sr-Latn-ME"/>
        </w:rPr>
        <w:t>ekova koji sadrže ibuprofen. Pacijentu se sav</w:t>
      </w:r>
      <w:r w:rsidR="00736FC5" w:rsidRPr="00253510">
        <w:rPr>
          <w:szCs w:val="22"/>
          <w:lang w:val="sr-Latn-ME"/>
        </w:rPr>
        <w:t>j</w:t>
      </w:r>
      <w:r w:rsidR="00CF6F2C" w:rsidRPr="00253510">
        <w:rPr>
          <w:szCs w:val="22"/>
          <w:lang w:val="sr-Latn-ME"/>
        </w:rPr>
        <w:t>etuje da prekine sa uzimanjem l</w:t>
      </w:r>
      <w:r w:rsidR="00A2544C" w:rsidRPr="00253510">
        <w:rPr>
          <w:szCs w:val="22"/>
          <w:lang w:val="sr-Latn-ME"/>
        </w:rPr>
        <w:t>ij</w:t>
      </w:r>
      <w:r w:rsidR="00CF6F2C" w:rsidRPr="00253510">
        <w:rPr>
          <w:szCs w:val="22"/>
          <w:lang w:val="sr-Latn-ME"/>
        </w:rPr>
        <w:t xml:space="preserve">eka Nurofen pri prvoj pojavi znakova i </w:t>
      </w:r>
      <w:r w:rsidR="00736FC5" w:rsidRPr="00253510">
        <w:rPr>
          <w:szCs w:val="22"/>
          <w:lang w:val="sr-Latn-ME"/>
        </w:rPr>
        <w:t>simptoma teških kožnih reakcija</w:t>
      </w:r>
      <w:r w:rsidR="00CF6F2C" w:rsidRPr="00253510">
        <w:rPr>
          <w:szCs w:val="22"/>
          <w:lang w:val="sr-Latn-ME"/>
        </w:rPr>
        <w:t>, kao što su osip na koži, mukozne lezije ili drugi znakovi reakcija preos</w:t>
      </w:r>
      <w:r w:rsidR="00530C07" w:rsidRPr="00253510">
        <w:rPr>
          <w:szCs w:val="22"/>
          <w:lang w:val="sr-Latn-ME"/>
        </w:rPr>
        <w:t>j</w:t>
      </w:r>
      <w:r w:rsidR="00CF6F2C" w:rsidRPr="00253510">
        <w:rPr>
          <w:szCs w:val="22"/>
          <w:lang w:val="sr-Latn-ME"/>
        </w:rPr>
        <w:t>etljivosti.</w:t>
      </w:r>
    </w:p>
    <w:p w14:paraId="595EEEE1" w14:textId="77777777" w:rsidR="00CF6F2C" w:rsidRPr="00253510" w:rsidRDefault="00CF6F2C" w:rsidP="00CF6F2C">
      <w:pPr>
        <w:pStyle w:val="NormalIndent"/>
        <w:ind w:left="0"/>
        <w:rPr>
          <w:szCs w:val="22"/>
          <w:lang w:val="sr-Latn-ME"/>
        </w:rPr>
      </w:pPr>
      <w:r w:rsidRPr="00253510">
        <w:rPr>
          <w:szCs w:val="22"/>
          <w:lang w:val="sr-Latn-ME"/>
        </w:rPr>
        <w:t>Maskiranje simptoma osnovnih infekcija</w:t>
      </w:r>
    </w:p>
    <w:p w14:paraId="29FF0FBF" w14:textId="2CFD27DC" w:rsidR="00CF6F2C" w:rsidRPr="00253510" w:rsidRDefault="00530C07" w:rsidP="00CF6F2C">
      <w:pPr>
        <w:pStyle w:val="NormalIndent"/>
        <w:ind w:left="0"/>
        <w:jc w:val="both"/>
        <w:rPr>
          <w:color w:val="FF0000"/>
          <w:szCs w:val="22"/>
          <w:lang w:val="sr-Latn-ME"/>
        </w:rPr>
      </w:pPr>
      <w:r w:rsidRPr="00253510">
        <w:rPr>
          <w:szCs w:val="22"/>
          <w:lang w:val="sr-Latn-ME"/>
        </w:rPr>
        <w:t xml:space="preserve">Lijek </w:t>
      </w:r>
      <w:r w:rsidR="00CF6F2C" w:rsidRPr="00253510">
        <w:rPr>
          <w:szCs w:val="22"/>
          <w:lang w:val="sr-Latn-ME"/>
        </w:rPr>
        <w:t>Nurofen može prikriti simptome infekcije, što može dovesti do odloženog započinjanja odgovarajućeg l</w:t>
      </w:r>
      <w:r w:rsidR="00736FC5" w:rsidRPr="00253510">
        <w:rPr>
          <w:szCs w:val="22"/>
          <w:lang w:val="sr-Latn-ME"/>
        </w:rPr>
        <w:t>ij</w:t>
      </w:r>
      <w:r w:rsidR="00CF6F2C" w:rsidRPr="00253510">
        <w:rPr>
          <w:szCs w:val="22"/>
          <w:lang w:val="sr-Latn-ME"/>
        </w:rPr>
        <w:t>ečenja i time pogoršati ishod infekcije. Ovo je prim</w:t>
      </w:r>
      <w:r w:rsidR="00736FC5" w:rsidRPr="00253510">
        <w:rPr>
          <w:szCs w:val="22"/>
          <w:lang w:val="sr-Latn-ME"/>
        </w:rPr>
        <w:t>ij</w:t>
      </w:r>
      <w:r w:rsidR="00CF6F2C" w:rsidRPr="00253510">
        <w:rPr>
          <w:szCs w:val="22"/>
          <w:lang w:val="sr-Latn-ME"/>
        </w:rPr>
        <w:t xml:space="preserve">ećeno kod bakterijske vanbolničke pneumonije i kod bakterijskih komplikacija u slučaju varičele. Kada se </w:t>
      </w:r>
      <w:r w:rsidRPr="00253510">
        <w:rPr>
          <w:szCs w:val="22"/>
          <w:lang w:val="sr-Latn-ME"/>
        </w:rPr>
        <w:t xml:space="preserve">lijek </w:t>
      </w:r>
      <w:r w:rsidR="00CF6F2C" w:rsidRPr="00253510">
        <w:rPr>
          <w:szCs w:val="22"/>
          <w:lang w:val="sr-Latn-ME"/>
        </w:rPr>
        <w:t>Nurofen prim</w:t>
      </w:r>
      <w:r w:rsidR="00736FC5" w:rsidRPr="00253510">
        <w:rPr>
          <w:szCs w:val="22"/>
          <w:lang w:val="sr-Latn-ME"/>
        </w:rPr>
        <w:t>j</w:t>
      </w:r>
      <w:r w:rsidR="00CF6F2C" w:rsidRPr="00253510">
        <w:rPr>
          <w:szCs w:val="22"/>
          <w:lang w:val="sr-Latn-ME"/>
        </w:rPr>
        <w:t>enjuje za povišenu t</w:t>
      </w:r>
      <w:r w:rsidR="00736FC5" w:rsidRPr="00253510">
        <w:rPr>
          <w:szCs w:val="22"/>
          <w:lang w:val="sr-Latn-ME"/>
        </w:rPr>
        <w:t>j</w:t>
      </w:r>
      <w:r w:rsidR="00CF6F2C" w:rsidRPr="00253510">
        <w:rPr>
          <w:szCs w:val="22"/>
          <w:lang w:val="sr-Latn-ME"/>
        </w:rPr>
        <w:t>elesnu temperaturu ili za ublažavanje bolova u vezi sa infekcijom, sav</w:t>
      </w:r>
      <w:r w:rsidR="00736FC5" w:rsidRPr="00253510">
        <w:rPr>
          <w:szCs w:val="22"/>
          <w:lang w:val="sr-Latn-ME"/>
        </w:rPr>
        <w:t>j</w:t>
      </w:r>
      <w:r w:rsidR="00CF6F2C" w:rsidRPr="00253510">
        <w:rPr>
          <w:szCs w:val="22"/>
          <w:lang w:val="sr-Latn-ME"/>
        </w:rPr>
        <w:t>etuje se praćenje infekcije. U vanbolničkim uslovima, pacijent treba da se obrati l</w:t>
      </w:r>
      <w:r w:rsidR="00736FC5" w:rsidRPr="00253510">
        <w:rPr>
          <w:szCs w:val="22"/>
          <w:lang w:val="sr-Latn-ME"/>
        </w:rPr>
        <w:t>j</w:t>
      </w:r>
      <w:r w:rsidR="00CF6F2C" w:rsidRPr="00253510">
        <w:rPr>
          <w:szCs w:val="22"/>
          <w:lang w:val="sr-Latn-ME"/>
        </w:rPr>
        <w:t>ekaru ako simptomi potraju ili se pogoršaju.</w:t>
      </w:r>
    </w:p>
    <w:p w14:paraId="6986F22A" w14:textId="3E5A1284" w:rsidR="000F73FE" w:rsidRPr="00253510" w:rsidRDefault="000F73FE" w:rsidP="00CF6F2C">
      <w:pPr>
        <w:jc w:val="both"/>
        <w:rPr>
          <w:color w:val="FF0000"/>
          <w:sz w:val="22"/>
          <w:szCs w:val="22"/>
          <w:lang w:val="sr-Latn-ME"/>
        </w:rPr>
      </w:pPr>
    </w:p>
    <w:p w14:paraId="79051C81" w14:textId="77777777" w:rsidR="000F73FE" w:rsidRPr="00253510" w:rsidRDefault="000F73FE" w:rsidP="000F73FE">
      <w:pPr>
        <w:pStyle w:val="NormalIndent"/>
        <w:ind w:left="0"/>
        <w:jc w:val="both"/>
        <w:rPr>
          <w:b/>
          <w:szCs w:val="22"/>
          <w:lang w:val="sr-Latn-ME"/>
        </w:rPr>
      </w:pPr>
      <w:r w:rsidRPr="00253510">
        <w:rPr>
          <w:b/>
          <w:szCs w:val="22"/>
          <w:lang w:val="sr-Latn-ME"/>
        </w:rPr>
        <w:t>Ostale napomene:</w:t>
      </w:r>
    </w:p>
    <w:p w14:paraId="54238C9B" w14:textId="08663A77" w:rsidR="000F73FE" w:rsidRPr="00253510" w:rsidRDefault="000F73FE" w:rsidP="000F73FE">
      <w:pPr>
        <w:pStyle w:val="NormalIndent"/>
        <w:ind w:left="0"/>
        <w:jc w:val="both"/>
        <w:rPr>
          <w:szCs w:val="22"/>
          <w:lang w:val="sr-Latn-ME"/>
        </w:rPr>
      </w:pPr>
      <w:r w:rsidRPr="00253510">
        <w:rPr>
          <w:szCs w:val="22"/>
          <w:lang w:val="sr-Latn-ME"/>
        </w:rPr>
        <w:t>Postoje ograničeni podaci da l</w:t>
      </w:r>
      <w:r w:rsidR="00736FC5" w:rsidRPr="00253510">
        <w:rPr>
          <w:szCs w:val="22"/>
          <w:lang w:val="sr-Latn-ME"/>
        </w:rPr>
        <w:t>j</w:t>
      </w:r>
      <w:r w:rsidRPr="00253510">
        <w:rPr>
          <w:szCs w:val="22"/>
          <w:lang w:val="sr-Latn-ME"/>
        </w:rPr>
        <w:t>ekovi koji inhibiraju sintezu ciklooksigenaze/prostaglandina mogu izazvati pogoršanje plodnosti kod žena efektom na ovulaciju. Uticaj je reverzibilan i povlači se sa prekidom terapije.</w:t>
      </w:r>
    </w:p>
    <w:p w14:paraId="2FA4FCD8" w14:textId="7497ABC3" w:rsidR="000F3970" w:rsidRPr="00253510" w:rsidRDefault="000F3970" w:rsidP="000F3970">
      <w:pPr>
        <w:autoSpaceDE w:val="0"/>
        <w:autoSpaceDN w:val="0"/>
        <w:adjustRightInd w:val="0"/>
        <w:jc w:val="both"/>
        <w:rPr>
          <w:szCs w:val="22"/>
          <w:lang w:val="sr-Latn-ME" w:eastAsia="en-GB"/>
        </w:rPr>
      </w:pPr>
      <w:r w:rsidRPr="00253510">
        <w:rPr>
          <w:sz w:val="22"/>
          <w:szCs w:val="22"/>
          <w:lang w:val="sr-Latn-ME" w:eastAsia="en-GB"/>
        </w:rPr>
        <w:lastRenderedPageBreak/>
        <w:t>Izuzetno, vari</w:t>
      </w:r>
      <w:r w:rsidRPr="00253510">
        <w:rPr>
          <w:rFonts w:hint="eastAsia"/>
          <w:sz w:val="22"/>
          <w:szCs w:val="22"/>
          <w:lang w:val="sr-Latn-ME" w:eastAsia="en-GB"/>
        </w:rPr>
        <w:t>č</w:t>
      </w:r>
      <w:r w:rsidRPr="00253510">
        <w:rPr>
          <w:sz w:val="22"/>
          <w:szCs w:val="22"/>
          <w:lang w:val="sr-Latn-ME" w:eastAsia="en-GB"/>
        </w:rPr>
        <w:t>ela mo</w:t>
      </w:r>
      <w:r w:rsidRPr="00253510">
        <w:rPr>
          <w:rFonts w:hint="eastAsia"/>
          <w:sz w:val="22"/>
          <w:szCs w:val="22"/>
          <w:lang w:val="sr-Latn-ME" w:eastAsia="en-GB"/>
        </w:rPr>
        <w:t>ž</w:t>
      </w:r>
      <w:r w:rsidRPr="00253510">
        <w:rPr>
          <w:sz w:val="22"/>
          <w:szCs w:val="22"/>
          <w:lang w:val="sr-Latn-ME" w:eastAsia="en-GB"/>
        </w:rPr>
        <w:t>e biti uzrok ozbiljnih komplikovanih infekcija ko</w:t>
      </w:r>
      <w:r w:rsidRPr="00253510">
        <w:rPr>
          <w:rFonts w:hint="eastAsia"/>
          <w:sz w:val="22"/>
          <w:szCs w:val="22"/>
          <w:lang w:val="sr-Latn-ME" w:eastAsia="en-GB"/>
        </w:rPr>
        <w:t>ž</w:t>
      </w:r>
      <w:r w:rsidRPr="00253510">
        <w:rPr>
          <w:sz w:val="22"/>
          <w:szCs w:val="22"/>
          <w:lang w:val="sr-Latn-ME" w:eastAsia="en-GB"/>
        </w:rPr>
        <w:t>e i mekih tkiva. Do danas, doprinos uloge NSAIL u pogoršanju ovih infekcija se ne može isključiti. Stoga je preporučljivo da se izbjegne primjena ibuprofena u slučaju varičele</w:t>
      </w:r>
      <w:r w:rsidRPr="00253510">
        <w:rPr>
          <w:szCs w:val="22"/>
          <w:lang w:val="sr-Latn-ME" w:eastAsia="en-GB"/>
        </w:rPr>
        <w:t>.</w:t>
      </w:r>
    </w:p>
    <w:p w14:paraId="79A55A10" w14:textId="77777777" w:rsidR="000F3970" w:rsidRPr="00253510" w:rsidRDefault="000F3970" w:rsidP="000F3970">
      <w:pPr>
        <w:autoSpaceDE w:val="0"/>
        <w:autoSpaceDN w:val="0"/>
        <w:adjustRightInd w:val="0"/>
        <w:jc w:val="both"/>
        <w:rPr>
          <w:szCs w:val="22"/>
          <w:lang w:val="sr-Latn-ME" w:eastAsia="en-GB"/>
        </w:rPr>
      </w:pPr>
    </w:p>
    <w:p w14:paraId="28DF4D9A" w14:textId="5E16E6E6" w:rsidR="000F73FE" w:rsidRPr="00253510" w:rsidRDefault="000F73FE" w:rsidP="000F3970">
      <w:pPr>
        <w:pStyle w:val="NormalIndent"/>
        <w:ind w:left="0"/>
        <w:jc w:val="both"/>
        <w:rPr>
          <w:b/>
          <w:szCs w:val="22"/>
          <w:lang w:val="sr-Latn-ME"/>
        </w:rPr>
      </w:pPr>
      <w:r w:rsidRPr="00253510">
        <w:rPr>
          <w:szCs w:val="22"/>
          <w:lang w:val="sr-Latn-ME"/>
        </w:rPr>
        <w:t>Pri produženoj prim</w:t>
      </w:r>
      <w:r w:rsidR="00530C07" w:rsidRPr="00253510">
        <w:rPr>
          <w:szCs w:val="22"/>
          <w:lang w:val="sr-Latn-ME"/>
        </w:rPr>
        <w:t>j</w:t>
      </w:r>
      <w:r w:rsidRPr="00253510">
        <w:rPr>
          <w:szCs w:val="22"/>
          <w:lang w:val="sr-Latn-ME"/>
        </w:rPr>
        <w:t>eni l</w:t>
      </w:r>
      <w:r w:rsidR="00736FC5" w:rsidRPr="00253510">
        <w:rPr>
          <w:szCs w:val="22"/>
          <w:lang w:val="sr-Latn-ME"/>
        </w:rPr>
        <w:t>j</w:t>
      </w:r>
      <w:r w:rsidRPr="00253510">
        <w:rPr>
          <w:szCs w:val="22"/>
          <w:lang w:val="sr-Latn-ME"/>
        </w:rPr>
        <w:t>ekova protiv bolova, može se javiti glavobolja ili pojačati postojeća, koju ne treba l</w:t>
      </w:r>
      <w:r w:rsidR="00736FC5" w:rsidRPr="00253510">
        <w:rPr>
          <w:szCs w:val="22"/>
          <w:lang w:val="sr-Latn-ME"/>
        </w:rPr>
        <w:t>ij</w:t>
      </w:r>
      <w:r w:rsidRPr="00253510">
        <w:rPr>
          <w:szCs w:val="22"/>
          <w:lang w:val="sr-Latn-ME"/>
        </w:rPr>
        <w:t>ečiti povećanom dozom l</w:t>
      </w:r>
      <w:r w:rsidR="00736FC5" w:rsidRPr="00253510">
        <w:rPr>
          <w:szCs w:val="22"/>
          <w:lang w:val="sr-Latn-ME"/>
        </w:rPr>
        <w:t>ij</w:t>
      </w:r>
      <w:r w:rsidRPr="00253510">
        <w:rPr>
          <w:szCs w:val="22"/>
          <w:lang w:val="sr-Latn-ME"/>
        </w:rPr>
        <w:t>eka.</w:t>
      </w:r>
      <w:r w:rsidRPr="00253510">
        <w:rPr>
          <w:b/>
          <w:szCs w:val="22"/>
          <w:lang w:val="sr-Latn-ME"/>
        </w:rPr>
        <w:t xml:space="preserve"> </w:t>
      </w:r>
      <w:r w:rsidRPr="00253510">
        <w:rPr>
          <w:szCs w:val="22"/>
          <w:lang w:val="sr-Latn-ME"/>
        </w:rPr>
        <w:t>Kod pacijenata koji imaju česte ili svakodnevne glavobolje uprkos (ili kao rezultat) redovnoj upotrebi l</w:t>
      </w:r>
      <w:r w:rsidR="00736FC5" w:rsidRPr="00253510">
        <w:rPr>
          <w:szCs w:val="22"/>
          <w:lang w:val="sr-Latn-ME"/>
        </w:rPr>
        <w:t>j</w:t>
      </w:r>
      <w:r w:rsidRPr="00253510">
        <w:rPr>
          <w:szCs w:val="22"/>
          <w:lang w:val="sr-Latn-ME"/>
        </w:rPr>
        <w:t>ekova protiv bolova, dijagnoza koju bi trebalo uzeti u obzir je glavobolja zbog prekom</w:t>
      </w:r>
      <w:r w:rsidR="00530C07" w:rsidRPr="00253510">
        <w:rPr>
          <w:szCs w:val="22"/>
          <w:lang w:val="sr-Latn-ME"/>
        </w:rPr>
        <w:t>j</w:t>
      </w:r>
      <w:r w:rsidRPr="00253510">
        <w:rPr>
          <w:szCs w:val="22"/>
          <w:lang w:val="sr-Latn-ME"/>
        </w:rPr>
        <w:t>erne upotrebe l</w:t>
      </w:r>
      <w:r w:rsidR="00736FC5" w:rsidRPr="00253510">
        <w:rPr>
          <w:szCs w:val="22"/>
          <w:lang w:val="sr-Latn-ME"/>
        </w:rPr>
        <w:t>j</w:t>
      </w:r>
      <w:r w:rsidRPr="00253510">
        <w:rPr>
          <w:szCs w:val="22"/>
          <w:lang w:val="sr-Latn-ME"/>
        </w:rPr>
        <w:t>ekova. Ako se ovo dogodi ili postoji sumnja</w:t>
      </w:r>
      <w:r w:rsidR="00530C07" w:rsidRPr="00253510">
        <w:rPr>
          <w:szCs w:val="22"/>
          <w:lang w:val="sr-Latn-ME"/>
        </w:rPr>
        <w:t>,</w:t>
      </w:r>
      <w:r w:rsidRPr="00253510">
        <w:rPr>
          <w:szCs w:val="22"/>
          <w:lang w:val="sr-Latn-ME"/>
        </w:rPr>
        <w:t xml:space="preserve"> potrebno je konsultovati l</w:t>
      </w:r>
      <w:r w:rsidR="00736FC5" w:rsidRPr="00253510">
        <w:rPr>
          <w:szCs w:val="22"/>
          <w:lang w:val="sr-Latn-ME"/>
        </w:rPr>
        <w:t>j</w:t>
      </w:r>
      <w:r w:rsidRPr="00253510">
        <w:rPr>
          <w:szCs w:val="22"/>
          <w:lang w:val="sr-Latn-ME"/>
        </w:rPr>
        <w:t>ekara zbog dobijanja adekvatne terapije.</w:t>
      </w:r>
    </w:p>
    <w:p w14:paraId="19B0C91E" w14:textId="05BEE02F" w:rsidR="000F73FE" w:rsidRPr="00253510" w:rsidRDefault="000F73FE" w:rsidP="000F73FE">
      <w:pPr>
        <w:pStyle w:val="NormalIndent"/>
        <w:spacing w:after="0"/>
        <w:ind w:left="0"/>
        <w:jc w:val="both"/>
        <w:rPr>
          <w:b/>
          <w:szCs w:val="22"/>
          <w:lang w:val="sr-Latn-ME"/>
        </w:rPr>
      </w:pPr>
      <w:r w:rsidRPr="00253510">
        <w:rPr>
          <w:b/>
          <w:szCs w:val="22"/>
          <w:lang w:val="sr-Latn-ME"/>
        </w:rPr>
        <w:t>Ovaj l</w:t>
      </w:r>
      <w:r w:rsidR="00736FC5" w:rsidRPr="00253510">
        <w:rPr>
          <w:b/>
          <w:szCs w:val="22"/>
          <w:lang w:val="sr-Latn-ME"/>
        </w:rPr>
        <w:t>ij</w:t>
      </w:r>
      <w:r w:rsidRPr="00253510">
        <w:rPr>
          <w:b/>
          <w:szCs w:val="22"/>
          <w:lang w:val="sr-Latn-ME"/>
        </w:rPr>
        <w:t>ek sadrži saharozu.</w:t>
      </w:r>
    </w:p>
    <w:p w14:paraId="2E2031E8" w14:textId="121A78D2" w:rsidR="000F73FE" w:rsidRPr="00253510" w:rsidRDefault="000F73FE" w:rsidP="000F73FE">
      <w:pPr>
        <w:pStyle w:val="NormalIndent"/>
        <w:spacing w:after="0"/>
        <w:ind w:left="0"/>
        <w:jc w:val="both"/>
        <w:rPr>
          <w:szCs w:val="22"/>
          <w:lang w:val="sr-Latn-ME"/>
        </w:rPr>
      </w:pPr>
      <w:r w:rsidRPr="00253510">
        <w:rPr>
          <w:szCs w:val="22"/>
          <w:lang w:val="sr-Latn-ME"/>
        </w:rPr>
        <w:t>Pacijenti sa r</w:t>
      </w:r>
      <w:r w:rsidR="00736FC5" w:rsidRPr="00253510">
        <w:rPr>
          <w:szCs w:val="22"/>
          <w:lang w:val="sr-Latn-ME"/>
        </w:rPr>
        <w:t>ij</w:t>
      </w:r>
      <w:r w:rsidRPr="00253510">
        <w:rPr>
          <w:szCs w:val="22"/>
          <w:lang w:val="sr-Latn-ME"/>
        </w:rPr>
        <w:t>etkim nasl</w:t>
      </w:r>
      <w:r w:rsidR="00530C07" w:rsidRPr="00253510">
        <w:rPr>
          <w:szCs w:val="22"/>
          <w:lang w:val="sr-Latn-ME"/>
        </w:rPr>
        <w:t>j</w:t>
      </w:r>
      <w:r w:rsidRPr="00253510">
        <w:rPr>
          <w:szCs w:val="22"/>
          <w:lang w:val="sr-Latn-ME"/>
        </w:rPr>
        <w:t xml:space="preserve">ednim oboljenjem </w:t>
      </w:r>
      <w:r w:rsidRPr="00253510">
        <w:rPr>
          <w:rFonts w:eastAsia="Calibri"/>
          <w:szCs w:val="22"/>
          <w:lang w:val="sr-Latn-ME"/>
        </w:rPr>
        <w:t xml:space="preserve">intolerancije na fruktozu, </w:t>
      </w:r>
      <w:r w:rsidRPr="00253510">
        <w:rPr>
          <w:szCs w:val="22"/>
          <w:lang w:val="sr-Latn-ME"/>
        </w:rPr>
        <w:t xml:space="preserve">glukozno-galaktoznom </w:t>
      </w:r>
      <w:r w:rsidR="00530C07" w:rsidRPr="00253510">
        <w:rPr>
          <w:szCs w:val="22"/>
          <w:lang w:val="sr-Latn-ME"/>
        </w:rPr>
        <w:t xml:space="preserve">malapsorpcijom </w:t>
      </w:r>
      <w:r w:rsidRPr="00253510">
        <w:rPr>
          <w:szCs w:val="22"/>
          <w:lang w:val="sr-Latn-ME"/>
        </w:rPr>
        <w:t>ili nedost</w:t>
      </w:r>
      <w:r w:rsidR="00736FC5" w:rsidRPr="00253510">
        <w:rPr>
          <w:szCs w:val="22"/>
          <w:lang w:val="sr-Latn-ME"/>
        </w:rPr>
        <w:t>atkom saharaza-izomaltaze ne smi</w:t>
      </w:r>
      <w:r w:rsidRPr="00253510">
        <w:rPr>
          <w:szCs w:val="22"/>
          <w:lang w:val="sr-Latn-ME"/>
        </w:rPr>
        <w:t>ju koristiti ovaj l</w:t>
      </w:r>
      <w:r w:rsidR="00736FC5" w:rsidRPr="00253510">
        <w:rPr>
          <w:szCs w:val="22"/>
          <w:lang w:val="sr-Latn-ME"/>
        </w:rPr>
        <w:t>ij</w:t>
      </w:r>
      <w:r w:rsidRPr="00253510">
        <w:rPr>
          <w:szCs w:val="22"/>
          <w:lang w:val="sr-Latn-ME"/>
        </w:rPr>
        <w:t xml:space="preserve">ek. </w:t>
      </w:r>
    </w:p>
    <w:p w14:paraId="55315ED4" w14:textId="77777777" w:rsidR="00CF6F2C" w:rsidRPr="00253510" w:rsidRDefault="00CF6F2C" w:rsidP="000F73FE">
      <w:pPr>
        <w:pStyle w:val="NormalIndent"/>
        <w:spacing w:after="0"/>
        <w:ind w:left="0"/>
        <w:jc w:val="both"/>
        <w:rPr>
          <w:szCs w:val="22"/>
          <w:lang w:val="sr-Latn-ME"/>
        </w:rPr>
      </w:pPr>
    </w:p>
    <w:p w14:paraId="242758FD" w14:textId="7B05684A" w:rsidR="000F73FE" w:rsidRPr="00253510" w:rsidRDefault="000F73FE" w:rsidP="000F73FE">
      <w:pPr>
        <w:jc w:val="both"/>
        <w:rPr>
          <w:sz w:val="22"/>
          <w:szCs w:val="22"/>
          <w:lang w:val="sr-Latn-ME"/>
        </w:rPr>
      </w:pPr>
      <w:r w:rsidRPr="00253510">
        <w:rPr>
          <w:b/>
          <w:sz w:val="22"/>
          <w:szCs w:val="22"/>
          <w:lang w:val="sr-Latn-ME"/>
        </w:rPr>
        <w:t>Ovaj l</w:t>
      </w:r>
      <w:r w:rsidR="00BB603B" w:rsidRPr="00253510">
        <w:rPr>
          <w:b/>
          <w:sz w:val="22"/>
          <w:szCs w:val="22"/>
          <w:lang w:val="sr-Latn-ME"/>
        </w:rPr>
        <w:t>ij</w:t>
      </w:r>
      <w:r w:rsidRPr="00253510">
        <w:rPr>
          <w:b/>
          <w:sz w:val="22"/>
          <w:szCs w:val="22"/>
          <w:lang w:val="sr-Latn-ME"/>
        </w:rPr>
        <w:t>ek sadrži natrijum.</w:t>
      </w:r>
      <w:r w:rsidRPr="00253510">
        <w:rPr>
          <w:sz w:val="22"/>
          <w:szCs w:val="22"/>
          <w:lang w:val="sr-Latn-ME"/>
        </w:rPr>
        <w:t xml:space="preserve"> </w:t>
      </w:r>
    </w:p>
    <w:p w14:paraId="147DFA86" w14:textId="362637EA" w:rsidR="00CF6F2C" w:rsidRPr="00253510" w:rsidRDefault="00CF6F2C" w:rsidP="00CF6F2C">
      <w:pPr>
        <w:pStyle w:val="NormalIndent"/>
        <w:ind w:left="0"/>
        <w:jc w:val="both"/>
        <w:rPr>
          <w:color w:val="FF0000"/>
          <w:szCs w:val="22"/>
          <w:lang w:val="sr-Latn-ME"/>
        </w:rPr>
      </w:pPr>
      <w:r w:rsidRPr="00253510">
        <w:rPr>
          <w:szCs w:val="22"/>
          <w:lang w:val="sr-Latn-ME"/>
        </w:rPr>
        <w:t>Ovaj l</w:t>
      </w:r>
      <w:r w:rsidR="00BB603B" w:rsidRPr="00253510">
        <w:rPr>
          <w:szCs w:val="22"/>
          <w:lang w:val="sr-Latn-ME"/>
        </w:rPr>
        <w:t>ij</w:t>
      </w:r>
      <w:r w:rsidRPr="00253510">
        <w:rPr>
          <w:szCs w:val="22"/>
          <w:lang w:val="sr-Latn-ME"/>
        </w:rPr>
        <w:t>ek sadrži 13,71 mg natrijuma po tableti, što je ekvivalentno 0,68% od preporučenog maksimalnog dnevnog unosa od 2 g natrijuma za odraslu osobu prema preporukama Sv</w:t>
      </w:r>
      <w:r w:rsidR="00530C07" w:rsidRPr="00253510">
        <w:rPr>
          <w:szCs w:val="22"/>
          <w:lang w:val="sr-Latn-ME"/>
        </w:rPr>
        <w:t>j</w:t>
      </w:r>
      <w:r w:rsidRPr="00253510">
        <w:rPr>
          <w:szCs w:val="22"/>
          <w:lang w:val="sr-Latn-ME"/>
        </w:rPr>
        <w:t>etske zdravstvene organizacije.</w:t>
      </w:r>
    </w:p>
    <w:p w14:paraId="770BBA22" w14:textId="33A2DC58" w:rsidR="000F73FE" w:rsidRPr="00253510" w:rsidRDefault="000F73FE" w:rsidP="000F73FE">
      <w:pPr>
        <w:jc w:val="both"/>
        <w:rPr>
          <w:noProof/>
          <w:sz w:val="22"/>
          <w:szCs w:val="22"/>
          <w:lang w:val="sr-Latn-ME"/>
        </w:rPr>
      </w:pPr>
      <w:r w:rsidRPr="00253510">
        <w:rPr>
          <w:noProof/>
          <w:sz w:val="22"/>
          <w:szCs w:val="22"/>
          <w:lang w:val="sr-Latn-ME"/>
        </w:rPr>
        <w:t>Međutim, u zavisnosti od doziranja, pacijent može uzeti više od jedne tablete po dozi. U tom slučaju, sav</w:t>
      </w:r>
      <w:r w:rsidR="00BB603B" w:rsidRPr="00253510">
        <w:rPr>
          <w:noProof/>
          <w:sz w:val="22"/>
          <w:szCs w:val="22"/>
          <w:lang w:val="sr-Latn-ME"/>
        </w:rPr>
        <w:t>j</w:t>
      </w:r>
      <w:r w:rsidRPr="00253510">
        <w:rPr>
          <w:noProof/>
          <w:sz w:val="22"/>
          <w:szCs w:val="22"/>
          <w:lang w:val="sr-Latn-ME"/>
        </w:rPr>
        <w:t>etuje se poseban oprez prilikom upotrebe kod pacijenata koji su na dijeti u kojoj se kontroliše unos natrijuma.</w:t>
      </w:r>
    </w:p>
    <w:p w14:paraId="7B2F7A72" w14:textId="77777777" w:rsidR="00057E35" w:rsidRPr="00253510" w:rsidRDefault="00057E35" w:rsidP="00480FB1">
      <w:pPr>
        <w:tabs>
          <w:tab w:val="left" w:pos="540"/>
          <w:tab w:val="left" w:pos="569"/>
        </w:tabs>
        <w:rPr>
          <w:bCs/>
          <w:sz w:val="22"/>
          <w:szCs w:val="22"/>
          <w:lang w:val="sr-Latn-ME"/>
        </w:rPr>
      </w:pPr>
    </w:p>
    <w:p w14:paraId="6779600C" w14:textId="77777777" w:rsidR="00411B4B" w:rsidRPr="00253510" w:rsidRDefault="00411B4B" w:rsidP="00480FB1">
      <w:pPr>
        <w:tabs>
          <w:tab w:val="left" w:pos="540"/>
          <w:tab w:val="left" w:pos="569"/>
        </w:tabs>
        <w:rPr>
          <w:b/>
          <w:bCs/>
          <w:sz w:val="22"/>
          <w:szCs w:val="22"/>
          <w:lang w:val="sr-Latn-ME"/>
        </w:rPr>
      </w:pPr>
      <w:r w:rsidRPr="00253510">
        <w:rPr>
          <w:b/>
          <w:bCs/>
          <w:sz w:val="22"/>
          <w:szCs w:val="22"/>
          <w:lang w:val="sr-Latn-ME"/>
        </w:rPr>
        <w:t>4.5.</w:t>
      </w:r>
      <w:r w:rsidR="000D60CC" w:rsidRPr="00253510">
        <w:rPr>
          <w:b/>
          <w:bCs/>
          <w:sz w:val="22"/>
          <w:szCs w:val="22"/>
          <w:lang w:val="sr-Latn-ME"/>
        </w:rPr>
        <w:tab/>
      </w:r>
      <w:r w:rsidRPr="00253510">
        <w:rPr>
          <w:b/>
          <w:bCs/>
          <w:sz w:val="22"/>
          <w:szCs w:val="22"/>
          <w:lang w:val="sr-Latn-ME"/>
        </w:rPr>
        <w:t>Interakcije sa drugim ljekovima i druge vrste interakcija</w:t>
      </w:r>
    </w:p>
    <w:p w14:paraId="230864DA" w14:textId="77777777" w:rsidR="000F3970" w:rsidRPr="00253510" w:rsidRDefault="000F3970" w:rsidP="000F73FE">
      <w:pPr>
        <w:rPr>
          <w:b/>
          <w:bCs/>
          <w:sz w:val="22"/>
          <w:szCs w:val="22"/>
          <w:lang w:val="sr-Latn-ME"/>
        </w:rPr>
      </w:pPr>
    </w:p>
    <w:p w14:paraId="36669748" w14:textId="46721E7C" w:rsidR="000F73FE" w:rsidRPr="00253510" w:rsidRDefault="000F73FE" w:rsidP="000F73FE">
      <w:pPr>
        <w:rPr>
          <w:b/>
          <w:bCs/>
          <w:sz w:val="22"/>
          <w:szCs w:val="22"/>
          <w:lang w:val="sr-Latn-ME"/>
        </w:rPr>
      </w:pPr>
      <w:r w:rsidRPr="00253510">
        <w:rPr>
          <w:b/>
          <w:bCs/>
          <w:sz w:val="22"/>
          <w:szCs w:val="22"/>
          <w:lang w:val="sr-Latn-ME"/>
        </w:rPr>
        <w:t>Ibuprofen treba da se izb</w:t>
      </w:r>
      <w:r w:rsidR="00BB603B" w:rsidRPr="00253510">
        <w:rPr>
          <w:b/>
          <w:bCs/>
          <w:sz w:val="22"/>
          <w:szCs w:val="22"/>
          <w:lang w:val="sr-Latn-ME"/>
        </w:rPr>
        <w:t>j</w:t>
      </w:r>
      <w:r w:rsidRPr="00253510">
        <w:rPr>
          <w:b/>
          <w:bCs/>
          <w:sz w:val="22"/>
          <w:szCs w:val="22"/>
          <w:lang w:val="sr-Latn-ME"/>
        </w:rPr>
        <w:t>egava u kombinaciji sa:</w:t>
      </w:r>
    </w:p>
    <w:p w14:paraId="18C686B7" w14:textId="77777777" w:rsidR="000F73FE" w:rsidRPr="00253510" w:rsidRDefault="000F73FE" w:rsidP="000F73FE">
      <w:pPr>
        <w:rPr>
          <w:b/>
          <w:bCs/>
          <w:sz w:val="22"/>
          <w:szCs w:val="22"/>
          <w:lang w:val="sr-Latn-ME"/>
        </w:rPr>
      </w:pPr>
    </w:p>
    <w:p w14:paraId="132AE0FE" w14:textId="552E22E3" w:rsidR="000F73FE" w:rsidRPr="00253510" w:rsidRDefault="000F73FE" w:rsidP="000F73FE">
      <w:pPr>
        <w:pStyle w:val="ListParagraph"/>
        <w:numPr>
          <w:ilvl w:val="0"/>
          <w:numId w:val="13"/>
        </w:numPr>
        <w:rPr>
          <w:szCs w:val="22"/>
          <w:lang w:val="sr-Latn-ME" w:eastAsia="en-GB"/>
        </w:rPr>
      </w:pPr>
      <w:r w:rsidRPr="00253510">
        <w:rPr>
          <w:b/>
          <w:szCs w:val="22"/>
          <w:lang w:val="sr-Latn-ME"/>
        </w:rPr>
        <w:t>Acetilsalicilnom kiselinom (Aspirin)</w:t>
      </w:r>
      <w:r w:rsidRPr="00253510">
        <w:rPr>
          <w:szCs w:val="22"/>
          <w:lang w:val="sr-Latn-ME"/>
        </w:rPr>
        <w:t>, jer to može povećati rizik od neželjenih reakcija (vid</w:t>
      </w:r>
      <w:r w:rsidR="00BB603B" w:rsidRPr="00253510">
        <w:rPr>
          <w:szCs w:val="22"/>
          <w:lang w:val="sr-Latn-ME"/>
        </w:rPr>
        <w:t>j</w:t>
      </w:r>
      <w:r w:rsidRPr="00253510">
        <w:rPr>
          <w:szCs w:val="22"/>
          <w:lang w:val="sr-Latn-ME"/>
        </w:rPr>
        <w:t>eti od</w:t>
      </w:r>
      <w:r w:rsidR="00BB603B" w:rsidRPr="00253510">
        <w:rPr>
          <w:szCs w:val="22"/>
          <w:lang w:val="sr-Latn-ME"/>
        </w:rPr>
        <w:t>j</w:t>
      </w:r>
      <w:r w:rsidRPr="00253510">
        <w:rPr>
          <w:szCs w:val="22"/>
          <w:lang w:val="sr-Latn-ME"/>
        </w:rPr>
        <w:t>eljak 4.4).</w:t>
      </w:r>
      <w:r w:rsidRPr="00253510">
        <w:rPr>
          <w:szCs w:val="22"/>
          <w:lang w:val="sr-Latn-ME" w:eastAsia="en-GB"/>
        </w:rPr>
        <w:t xml:space="preserve"> Eksperimentalni podaci navode da ibuprofen može da inhibira dejstvo niskih doza aspirina na agregaciju trombocita kada se prim</w:t>
      </w:r>
      <w:r w:rsidR="00EA6FE9" w:rsidRPr="00253510">
        <w:rPr>
          <w:szCs w:val="22"/>
          <w:lang w:val="sr-Latn-ME" w:eastAsia="en-GB"/>
        </w:rPr>
        <w:t>j</w:t>
      </w:r>
      <w:r w:rsidRPr="00253510">
        <w:rPr>
          <w:szCs w:val="22"/>
          <w:lang w:val="sr-Latn-ME" w:eastAsia="en-GB"/>
        </w:rPr>
        <w:t xml:space="preserve">enjuju istovremeno. Međutim, ograničenja tih podataka i nepouzdanost u vezi sa ekstrapolacijom podataka </w:t>
      </w:r>
      <w:r w:rsidRPr="00253510">
        <w:rPr>
          <w:i/>
          <w:szCs w:val="22"/>
          <w:lang w:val="sr-Latn-ME" w:eastAsia="en-GB"/>
        </w:rPr>
        <w:t>ex vivo</w:t>
      </w:r>
      <w:r w:rsidRPr="00253510">
        <w:rPr>
          <w:szCs w:val="22"/>
          <w:lang w:val="sr-Latn-ME" w:eastAsia="en-GB"/>
        </w:rPr>
        <w:t xml:space="preserve"> na kliničko stanje impliciraju da se ne mogu izvesti nikakvi čvrsti zaključci za redovno korišćenje ibuprofena, i da se ne smatra da je ijedan relevantan efekat v</w:t>
      </w:r>
      <w:r w:rsidR="00097C55" w:rsidRPr="00253510">
        <w:rPr>
          <w:szCs w:val="22"/>
          <w:lang w:val="sr-Latn-ME" w:eastAsia="en-GB"/>
        </w:rPr>
        <w:t>j</w:t>
      </w:r>
      <w:r w:rsidRPr="00253510">
        <w:rPr>
          <w:szCs w:val="22"/>
          <w:lang w:val="sr-Latn-ME" w:eastAsia="en-GB"/>
        </w:rPr>
        <w:t>erovatan za povremeno korišćenje ibuprofena (vid</w:t>
      </w:r>
      <w:r w:rsidR="00097C55" w:rsidRPr="00253510">
        <w:rPr>
          <w:szCs w:val="22"/>
          <w:lang w:val="sr-Latn-ME" w:eastAsia="en-GB"/>
        </w:rPr>
        <w:t>j</w:t>
      </w:r>
      <w:r w:rsidRPr="00253510">
        <w:rPr>
          <w:szCs w:val="22"/>
          <w:lang w:val="sr-Latn-ME" w:eastAsia="en-GB"/>
        </w:rPr>
        <w:t>eti od</w:t>
      </w:r>
      <w:r w:rsidR="00097C55" w:rsidRPr="00253510">
        <w:rPr>
          <w:szCs w:val="22"/>
          <w:lang w:val="sr-Latn-ME" w:eastAsia="en-GB"/>
        </w:rPr>
        <w:t>j</w:t>
      </w:r>
      <w:r w:rsidRPr="00253510">
        <w:rPr>
          <w:szCs w:val="22"/>
          <w:lang w:val="sr-Latn-ME" w:eastAsia="en-GB"/>
        </w:rPr>
        <w:t>eljak 5.1).</w:t>
      </w:r>
    </w:p>
    <w:p w14:paraId="6F0620D3" w14:textId="79D1993E" w:rsidR="000F73FE" w:rsidRPr="00253510" w:rsidRDefault="000F73FE" w:rsidP="000F73FE">
      <w:pPr>
        <w:pStyle w:val="ListParagraph"/>
        <w:numPr>
          <w:ilvl w:val="0"/>
          <w:numId w:val="13"/>
        </w:numPr>
        <w:rPr>
          <w:szCs w:val="22"/>
          <w:lang w:val="sr-Latn-ME" w:eastAsia="en-GB"/>
        </w:rPr>
      </w:pPr>
      <w:r w:rsidRPr="00253510">
        <w:rPr>
          <w:b/>
          <w:szCs w:val="22"/>
          <w:lang w:val="sr-Latn-ME" w:eastAsia="en-GB"/>
        </w:rPr>
        <w:t>drugim NSAIL, uključujući selektivne inhibitore ciklo-oksigenaze-2:</w:t>
      </w:r>
      <w:r w:rsidRPr="00253510">
        <w:rPr>
          <w:szCs w:val="22"/>
          <w:lang w:val="sr-Latn-ME" w:eastAsia="en-GB"/>
        </w:rPr>
        <w:t xml:space="preserve"> </w:t>
      </w:r>
      <w:r w:rsidR="00EA6FE9" w:rsidRPr="00253510">
        <w:rPr>
          <w:szCs w:val="22"/>
          <w:lang w:val="sr-Latn-ME" w:eastAsia="en-GB"/>
        </w:rPr>
        <w:t xml:space="preserve">Izbjegavati </w:t>
      </w:r>
      <w:r w:rsidRPr="00253510">
        <w:rPr>
          <w:szCs w:val="22"/>
          <w:lang w:val="sr-Latn-ME" w:eastAsia="en-GB"/>
        </w:rPr>
        <w:t>istovremenu upotrebu dva ili više NSAIL, jer to može povećati rizik od neželjenih dejstava (vid</w:t>
      </w:r>
      <w:r w:rsidR="00097C55" w:rsidRPr="00253510">
        <w:rPr>
          <w:szCs w:val="22"/>
          <w:lang w:val="sr-Latn-ME" w:eastAsia="en-GB"/>
        </w:rPr>
        <w:t>j</w:t>
      </w:r>
      <w:r w:rsidRPr="00253510">
        <w:rPr>
          <w:szCs w:val="22"/>
          <w:lang w:val="sr-Latn-ME" w:eastAsia="en-GB"/>
        </w:rPr>
        <w:t>eti od</w:t>
      </w:r>
      <w:r w:rsidR="00097C55" w:rsidRPr="00253510">
        <w:rPr>
          <w:szCs w:val="22"/>
          <w:lang w:val="sr-Latn-ME" w:eastAsia="en-GB"/>
        </w:rPr>
        <w:t>j</w:t>
      </w:r>
      <w:r w:rsidRPr="00253510">
        <w:rPr>
          <w:szCs w:val="22"/>
          <w:lang w:val="sr-Latn-ME" w:eastAsia="en-GB"/>
        </w:rPr>
        <w:t>eljak 4.4)</w:t>
      </w:r>
    </w:p>
    <w:p w14:paraId="59263377" w14:textId="77777777" w:rsidR="000F73FE" w:rsidRPr="00253510" w:rsidRDefault="000F73FE" w:rsidP="000F73FE">
      <w:pPr>
        <w:tabs>
          <w:tab w:val="num" w:pos="1080"/>
        </w:tabs>
        <w:spacing w:after="120"/>
        <w:rPr>
          <w:dstrike/>
          <w:sz w:val="22"/>
          <w:szCs w:val="22"/>
          <w:lang w:val="sr-Latn-ME" w:eastAsia="en-GB"/>
        </w:rPr>
      </w:pPr>
    </w:p>
    <w:p w14:paraId="29913CF7" w14:textId="77777777" w:rsidR="000F73FE" w:rsidRPr="00253510" w:rsidRDefault="000F73FE" w:rsidP="000F73FE">
      <w:pPr>
        <w:spacing w:after="120"/>
        <w:rPr>
          <w:b/>
          <w:sz w:val="22"/>
          <w:szCs w:val="22"/>
          <w:lang w:val="sr-Latn-ME"/>
        </w:rPr>
      </w:pPr>
      <w:r w:rsidRPr="00253510">
        <w:rPr>
          <w:b/>
          <w:sz w:val="22"/>
          <w:szCs w:val="22"/>
          <w:lang w:val="sr-Latn-ME"/>
        </w:rPr>
        <w:t>Ibuprofen bi trebalo koristiti uz oprez u kombinaciji sa:</w:t>
      </w:r>
    </w:p>
    <w:p w14:paraId="43DC9650" w14:textId="01BF5D88" w:rsidR="000F73FE" w:rsidRPr="00253510" w:rsidRDefault="000F73FE" w:rsidP="000F73FE">
      <w:pPr>
        <w:pStyle w:val="ListParagraph"/>
        <w:numPr>
          <w:ilvl w:val="0"/>
          <w:numId w:val="14"/>
        </w:numPr>
        <w:tabs>
          <w:tab w:val="clear" w:pos="284"/>
        </w:tabs>
        <w:spacing w:after="120"/>
        <w:rPr>
          <w:szCs w:val="22"/>
          <w:lang w:val="sr-Latn-ME" w:eastAsia="en-GB"/>
        </w:rPr>
      </w:pPr>
      <w:r w:rsidRPr="00253510">
        <w:rPr>
          <w:b/>
          <w:szCs w:val="22"/>
          <w:lang w:val="sr-Latn-ME" w:eastAsia="en-GB"/>
        </w:rPr>
        <w:t>Antikoagulansima:</w:t>
      </w:r>
      <w:r w:rsidRPr="00253510">
        <w:rPr>
          <w:szCs w:val="22"/>
          <w:lang w:val="sr-Latn-ME" w:eastAsia="en-GB"/>
        </w:rPr>
        <w:t xml:space="preserve"> NSAIL mogu da pojačaju dejstvo antikoagulanasa, kao što je varfarin (vid</w:t>
      </w:r>
      <w:r w:rsidR="00097C55" w:rsidRPr="00253510">
        <w:rPr>
          <w:szCs w:val="22"/>
          <w:lang w:val="sr-Latn-ME" w:eastAsia="en-GB"/>
        </w:rPr>
        <w:t>j</w:t>
      </w:r>
      <w:r w:rsidRPr="00253510">
        <w:rPr>
          <w:szCs w:val="22"/>
          <w:lang w:val="sr-Latn-ME" w:eastAsia="en-GB"/>
        </w:rPr>
        <w:t>eti od</w:t>
      </w:r>
      <w:r w:rsidR="00097C55" w:rsidRPr="00253510">
        <w:rPr>
          <w:szCs w:val="22"/>
          <w:lang w:val="sr-Latn-ME" w:eastAsia="en-GB"/>
        </w:rPr>
        <w:t>j</w:t>
      </w:r>
      <w:r w:rsidRPr="00253510">
        <w:rPr>
          <w:szCs w:val="22"/>
          <w:lang w:val="sr-Latn-ME" w:eastAsia="en-GB"/>
        </w:rPr>
        <w:t>eljak 4.4).</w:t>
      </w:r>
    </w:p>
    <w:p w14:paraId="007F58F4" w14:textId="6B869C95" w:rsidR="000F73FE" w:rsidRPr="00253510" w:rsidRDefault="000F73FE" w:rsidP="000F73FE">
      <w:pPr>
        <w:pStyle w:val="ListParagraph"/>
        <w:numPr>
          <w:ilvl w:val="0"/>
          <w:numId w:val="14"/>
        </w:numPr>
        <w:rPr>
          <w:szCs w:val="22"/>
          <w:lang w:val="sr-Latn-ME" w:eastAsia="en-GB"/>
        </w:rPr>
      </w:pPr>
      <w:r w:rsidRPr="00253510">
        <w:rPr>
          <w:b/>
          <w:szCs w:val="22"/>
          <w:lang w:val="sr-Latn-ME" w:eastAsia="en-GB"/>
        </w:rPr>
        <w:t>Antihipertenzivima</w:t>
      </w:r>
      <w:r w:rsidRPr="00253510">
        <w:rPr>
          <w:szCs w:val="22"/>
          <w:lang w:val="sr-Latn-ME" w:eastAsia="en-GB"/>
        </w:rPr>
        <w:t xml:space="preserve"> (ACE inhibitori i angiotenzin II antagonisti) </w:t>
      </w:r>
      <w:r w:rsidRPr="00253510">
        <w:rPr>
          <w:b/>
          <w:szCs w:val="22"/>
          <w:lang w:val="sr-Latn-ME" w:eastAsia="en-GB"/>
        </w:rPr>
        <w:t>i diureticima</w:t>
      </w:r>
      <w:r w:rsidRPr="00253510">
        <w:rPr>
          <w:szCs w:val="22"/>
          <w:lang w:val="sr-Latn-ME" w:eastAsia="en-GB"/>
        </w:rPr>
        <w:t>: NSAIL mogu da umanje dejstvo tih l</w:t>
      </w:r>
      <w:r w:rsidR="00097C55" w:rsidRPr="00253510">
        <w:rPr>
          <w:szCs w:val="22"/>
          <w:lang w:val="sr-Latn-ME" w:eastAsia="en-GB"/>
        </w:rPr>
        <w:t>j</w:t>
      </w:r>
      <w:r w:rsidRPr="00253510">
        <w:rPr>
          <w:szCs w:val="22"/>
          <w:lang w:val="sr-Latn-ME" w:eastAsia="en-GB"/>
        </w:rPr>
        <w:t>ekova. Kod nekih pacijenata sa oštećenom bubrežnom funkcijom (npr. dehidrirani pacijenti ili stariji pacijenti sa oštećenom bubrežnom funkcijom), istovremeno davanje ACE-inhibitora ili antagonista angiotenzina II i agenasa koji inhibiraju ciklo-oksigenazu može da rezultuje daljim pogoršanjem bubrežne funkcije, uključujući moguću akutnu insuficijenciju bubrega, koje se obično može normalizovati. Te interakcije treba uzeti u obzir kod pacijenata koji uzimaju koksib istovremeno sa ACE inhibitorima ili antagonistima angiotenzina II. Stoga, kombinaciju l</w:t>
      </w:r>
      <w:r w:rsidR="00097C55" w:rsidRPr="00253510">
        <w:rPr>
          <w:szCs w:val="22"/>
          <w:lang w:val="sr-Latn-ME" w:eastAsia="en-GB"/>
        </w:rPr>
        <w:t>j</w:t>
      </w:r>
      <w:r w:rsidRPr="00253510">
        <w:rPr>
          <w:szCs w:val="22"/>
          <w:lang w:val="sr-Latn-ME" w:eastAsia="en-GB"/>
        </w:rPr>
        <w:t>ekova bi trebalo davati uz oprez, posebno kod starijih osoba. Pacijente bi trebalo adekvatno hidrirati i trebalo bi uzeti u obzir praćenje bubrežne funkcije po započinjanju istovremene terapije, a periodično i kasnije. Diuretici mogu da povećaju rizik od nefrotoksičnosti NSAIL</w:t>
      </w:r>
    </w:p>
    <w:p w14:paraId="30842C9C" w14:textId="37C68405" w:rsidR="000F73FE" w:rsidRPr="00253510" w:rsidRDefault="000F73FE" w:rsidP="000F73FE">
      <w:pPr>
        <w:pStyle w:val="ListParagraph"/>
        <w:numPr>
          <w:ilvl w:val="0"/>
          <w:numId w:val="14"/>
        </w:numPr>
        <w:rPr>
          <w:szCs w:val="22"/>
          <w:lang w:val="sr-Latn-ME" w:eastAsia="en-GB"/>
        </w:rPr>
      </w:pPr>
      <w:r w:rsidRPr="00253510">
        <w:rPr>
          <w:b/>
          <w:szCs w:val="22"/>
          <w:lang w:val="sr-Latn-ME" w:eastAsia="en-GB"/>
        </w:rPr>
        <w:t>Diureticima koji štede kalijum:</w:t>
      </w:r>
      <w:r w:rsidRPr="00253510">
        <w:rPr>
          <w:szCs w:val="22"/>
          <w:lang w:val="sr-Latn-ME" w:eastAsia="en-GB"/>
        </w:rPr>
        <w:t xml:space="preserve"> istovremena prim</w:t>
      </w:r>
      <w:r w:rsidR="00EA6FE9" w:rsidRPr="00253510">
        <w:rPr>
          <w:szCs w:val="22"/>
          <w:lang w:val="sr-Latn-ME" w:eastAsia="en-GB"/>
        </w:rPr>
        <w:t>j</w:t>
      </w:r>
      <w:r w:rsidRPr="00253510">
        <w:rPr>
          <w:szCs w:val="22"/>
          <w:lang w:val="sr-Latn-ME" w:eastAsia="en-GB"/>
        </w:rPr>
        <w:t xml:space="preserve">ena ibuprofena i diuretika koji štede kalijum </w:t>
      </w:r>
    </w:p>
    <w:p w14:paraId="59B01757" w14:textId="1AAAD67C" w:rsidR="000F73FE" w:rsidRPr="00253510" w:rsidRDefault="000F73FE" w:rsidP="000F73FE">
      <w:pPr>
        <w:pStyle w:val="ListParagraph"/>
        <w:rPr>
          <w:szCs w:val="22"/>
          <w:lang w:val="sr-Latn-ME" w:eastAsia="en-GB"/>
        </w:rPr>
      </w:pPr>
      <w:r w:rsidRPr="00253510">
        <w:rPr>
          <w:szCs w:val="22"/>
          <w:lang w:val="sr-Latn-ME" w:eastAsia="en-GB"/>
        </w:rPr>
        <w:t>može dovesti do hiperkal</w:t>
      </w:r>
      <w:r w:rsidR="00EA6FE9" w:rsidRPr="00253510">
        <w:rPr>
          <w:szCs w:val="22"/>
          <w:lang w:val="sr-Latn-ME" w:eastAsia="en-GB"/>
        </w:rPr>
        <w:t>ij</w:t>
      </w:r>
      <w:r w:rsidRPr="00253510">
        <w:rPr>
          <w:szCs w:val="22"/>
          <w:lang w:val="sr-Latn-ME" w:eastAsia="en-GB"/>
        </w:rPr>
        <w:t>emije (preporučuje se praćenje koncentracije kalijuma u serumu).</w:t>
      </w:r>
    </w:p>
    <w:p w14:paraId="537C5290" w14:textId="627DE5AA" w:rsidR="000F73FE" w:rsidRPr="00253510" w:rsidRDefault="000F73FE" w:rsidP="000F73FE">
      <w:pPr>
        <w:pStyle w:val="ListParagraph"/>
        <w:numPr>
          <w:ilvl w:val="0"/>
          <w:numId w:val="14"/>
        </w:numPr>
        <w:rPr>
          <w:szCs w:val="22"/>
          <w:lang w:val="sr-Latn-ME" w:eastAsia="en-GB"/>
        </w:rPr>
      </w:pPr>
      <w:r w:rsidRPr="00253510">
        <w:rPr>
          <w:b/>
          <w:szCs w:val="22"/>
          <w:lang w:val="sr-Latn-ME" w:eastAsia="en-GB"/>
        </w:rPr>
        <w:t>Kortikosteroidima</w:t>
      </w:r>
      <w:r w:rsidRPr="00253510">
        <w:rPr>
          <w:szCs w:val="22"/>
          <w:lang w:val="sr-Latn-ME" w:eastAsia="en-GB"/>
        </w:rPr>
        <w:t>: jer oni mogu povećati rizik od gastrointestinalnih ulceracija ili krvarenja (vid</w:t>
      </w:r>
      <w:r w:rsidR="00097C55" w:rsidRPr="00253510">
        <w:rPr>
          <w:szCs w:val="22"/>
          <w:lang w:val="sr-Latn-ME" w:eastAsia="en-GB"/>
        </w:rPr>
        <w:t>j</w:t>
      </w:r>
      <w:r w:rsidRPr="00253510">
        <w:rPr>
          <w:szCs w:val="22"/>
          <w:lang w:val="sr-Latn-ME" w:eastAsia="en-GB"/>
        </w:rPr>
        <w:t>eti od</w:t>
      </w:r>
      <w:r w:rsidR="00097C55" w:rsidRPr="00253510">
        <w:rPr>
          <w:szCs w:val="22"/>
          <w:lang w:val="sr-Latn-ME" w:eastAsia="en-GB"/>
        </w:rPr>
        <w:t>j</w:t>
      </w:r>
      <w:r w:rsidRPr="00253510">
        <w:rPr>
          <w:szCs w:val="22"/>
          <w:lang w:val="sr-Latn-ME" w:eastAsia="en-GB"/>
        </w:rPr>
        <w:t>eljak 4.4)</w:t>
      </w:r>
    </w:p>
    <w:p w14:paraId="63783A53" w14:textId="78F478F7" w:rsidR="000F73FE" w:rsidRPr="00253510" w:rsidRDefault="000F73FE" w:rsidP="000F73FE">
      <w:pPr>
        <w:pStyle w:val="ListParagraph"/>
        <w:numPr>
          <w:ilvl w:val="0"/>
          <w:numId w:val="14"/>
        </w:numPr>
        <w:tabs>
          <w:tab w:val="clear" w:pos="284"/>
          <w:tab w:val="num" w:pos="1080"/>
        </w:tabs>
        <w:spacing w:after="120"/>
        <w:rPr>
          <w:i/>
          <w:szCs w:val="22"/>
          <w:lang w:val="sr-Latn-ME" w:eastAsia="en-GB"/>
        </w:rPr>
      </w:pPr>
      <w:r w:rsidRPr="00253510">
        <w:rPr>
          <w:b/>
          <w:szCs w:val="22"/>
          <w:lang w:val="sr-Latn-ME" w:eastAsia="en-GB"/>
        </w:rPr>
        <w:lastRenderedPageBreak/>
        <w:t>Antitrombotici</w:t>
      </w:r>
      <w:r w:rsidR="00EA6FE9" w:rsidRPr="00253510">
        <w:rPr>
          <w:b/>
          <w:szCs w:val="22"/>
          <w:lang w:val="sr-Latn-ME" w:eastAsia="en-GB"/>
        </w:rPr>
        <w:t>ma</w:t>
      </w:r>
      <w:r w:rsidRPr="00253510">
        <w:rPr>
          <w:b/>
          <w:szCs w:val="22"/>
          <w:lang w:val="sr-Latn-ME" w:eastAsia="en-GB"/>
        </w:rPr>
        <w:t xml:space="preserve"> i selektivnim inhibitorima ponovnog preuzimanja serotonina (SSRI):</w:t>
      </w:r>
      <w:r w:rsidRPr="00253510">
        <w:rPr>
          <w:szCs w:val="22"/>
          <w:lang w:val="sr-Latn-ME" w:eastAsia="en-GB"/>
        </w:rPr>
        <w:t xml:space="preserve"> povećani rizik od gastrointestinalnog krvarenja (vid</w:t>
      </w:r>
      <w:r w:rsidR="00097C55" w:rsidRPr="00253510">
        <w:rPr>
          <w:szCs w:val="22"/>
          <w:lang w:val="sr-Latn-ME" w:eastAsia="en-GB"/>
        </w:rPr>
        <w:t>j</w:t>
      </w:r>
      <w:r w:rsidRPr="00253510">
        <w:rPr>
          <w:szCs w:val="22"/>
          <w:lang w:val="sr-Latn-ME" w:eastAsia="en-GB"/>
        </w:rPr>
        <w:t>eti od</w:t>
      </w:r>
      <w:r w:rsidR="00097C55" w:rsidRPr="00253510">
        <w:rPr>
          <w:szCs w:val="22"/>
          <w:lang w:val="sr-Latn-ME" w:eastAsia="en-GB"/>
        </w:rPr>
        <w:t>j</w:t>
      </w:r>
      <w:r w:rsidRPr="00253510">
        <w:rPr>
          <w:szCs w:val="22"/>
          <w:lang w:val="sr-Latn-ME" w:eastAsia="en-GB"/>
        </w:rPr>
        <w:t>eljak 4.4).</w:t>
      </w:r>
    </w:p>
    <w:p w14:paraId="16625E18" w14:textId="77777777" w:rsidR="000F73FE" w:rsidRPr="00253510" w:rsidRDefault="000F73FE" w:rsidP="000F73FE">
      <w:pPr>
        <w:pStyle w:val="ListParagraph"/>
        <w:numPr>
          <w:ilvl w:val="0"/>
          <w:numId w:val="14"/>
        </w:numPr>
        <w:tabs>
          <w:tab w:val="clear" w:pos="284"/>
          <w:tab w:val="num" w:pos="1080"/>
        </w:tabs>
        <w:spacing w:after="120"/>
        <w:rPr>
          <w:i/>
          <w:szCs w:val="22"/>
          <w:lang w:val="sr-Latn-ME" w:eastAsia="en-GB"/>
        </w:rPr>
      </w:pPr>
      <w:r w:rsidRPr="00253510">
        <w:rPr>
          <w:b/>
          <w:szCs w:val="22"/>
          <w:lang w:val="sr-Latn-ME" w:eastAsia="en-GB"/>
        </w:rPr>
        <w:t>Kardiotoničnim glikozidima</w:t>
      </w:r>
      <w:r w:rsidRPr="00253510">
        <w:rPr>
          <w:i/>
          <w:szCs w:val="22"/>
          <w:lang w:val="sr-Latn-ME" w:eastAsia="en-GB"/>
        </w:rPr>
        <w:t xml:space="preserve">: </w:t>
      </w:r>
      <w:r w:rsidRPr="00253510">
        <w:rPr>
          <w:szCs w:val="22"/>
          <w:lang w:val="sr-Latn-ME" w:eastAsia="en-GB"/>
        </w:rPr>
        <w:t>NSAIL mogu da pogoršaju srčanu insuficijenciju, da smanje GFR i da povećaju nivoe glikozida u plazmi.</w:t>
      </w:r>
    </w:p>
    <w:p w14:paraId="56C06D53"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Litijumom:</w:t>
      </w:r>
      <w:r w:rsidRPr="00253510">
        <w:rPr>
          <w:szCs w:val="22"/>
          <w:lang w:val="sr-Latn-ME" w:eastAsia="en-GB"/>
        </w:rPr>
        <w:t xml:space="preserve"> postoje dokazi o potencijalnim povećanjima koncentracije litijuma u plazmi.</w:t>
      </w:r>
    </w:p>
    <w:p w14:paraId="2F2EE23E"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Metotreksatom</w:t>
      </w:r>
      <w:r w:rsidRPr="00253510">
        <w:rPr>
          <w:i/>
          <w:szCs w:val="22"/>
          <w:lang w:val="sr-Latn-ME" w:eastAsia="en-GB"/>
        </w:rPr>
        <w:t>:</w:t>
      </w:r>
      <w:r w:rsidRPr="00253510">
        <w:rPr>
          <w:szCs w:val="22"/>
          <w:lang w:val="sr-Latn-ME" w:eastAsia="en-GB"/>
        </w:rPr>
        <w:t xml:space="preserve"> postoje dokazi za potencijalno povećanje koncentracije metotreksata u plazmi.</w:t>
      </w:r>
    </w:p>
    <w:p w14:paraId="34AA3D3D"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Ciklosporinom</w:t>
      </w:r>
      <w:r w:rsidRPr="00253510">
        <w:rPr>
          <w:i/>
          <w:szCs w:val="22"/>
          <w:lang w:val="sr-Latn-ME" w:eastAsia="en-GB"/>
        </w:rPr>
        <w:t xml:space="preserve">: </w:t>
      </w:r>
      <w:r w:rsidRPr="00253510">
        <w:rPr>
          <w:szCs w:val="22"/>
          <w:lang w:val="sr-Latn-ME" w:eastAsia="en-GB"/>
        </w:rPr>
        <w:t>povećani rizik od nefrotoksičnosti.</w:t>
      </w:r>
    </w:p>
    <w:p w14:paraId="01FC2967"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Mifepristonom:</w:t>
      </w:r>
      <w:r w:rsidRPr="00253510">
        <w:rPr>
          <w:szCs w:val="22"/>
          <w:lang w:val="sr-Latn-ME" w:eastAsia="en-GB"/>
        </w:rPr>
        <w:t xml:space="preserve"> NSAIL ne treba koristiti 8-12 dana nakon uzimanja mifepristona, jer NSAIL može da umanji dejstvo mifepristona.</w:t>
      </w:r>
    </w:p>
    <w:p w14:paraId="41CCF889"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Takrolimusom:</w:t>
      </w:r>
      <w:r w:rsidRPr="00253510">
        <w:rPr>
          <w:szCs w:val="22"/>
          <w:lang w:val="sr-Latn-ME" w:eastAsia="en-GB"/>
        </w:rPr>
        <w:t xml:space="preserve"> mogući povećan rizik od nefrotoksičnosti kada se NSAIL daju sa takrolimusom.</w:t>
      </w:r>
    </w:p>
    <w:p w14:paraId="6F676860"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Zidovudinom</w:t>
      </w:r>
      <w:r w:rsidRPr="00253510">
        <w:rPr>
          <w:i/>
          <w:szCs w:val="22"/>
          <w:lang w:val="sr-Latn-ME" w:eastAsia="en-GB"/>
        </w:rPr>
        <w:t>:</w:t>
      </w:r>
      <w:r w:rsidRPr="00253510">
        <w:rPr>
          <w:szCs w:val="22"/>
          <w:lang w:val="sr-Latn-ME" w:eastAsia="en-GB"/>
        </w:rPr>
        <w:t xml:space="preserve"> povećani rizik od hematološke toksičnosti kada se NSAIL daje sa zidovudinom. Postoji dokaz za povećani rizik od hemartroze i hematoma kod HIV (+) hemofiličara koji primaju istovremenu terapiju zidovudinom i ibuprofenom.</w:t>
      </w:r>
    </w:p>
    <w:p w14:paraId="6D1C1C17" w14:textId="77777777" w:rsidR="000F73FE" w:rsidRPr="00253510" w:rsidRDefault="000F73FE" w:rsidP="000F73FE">
      <w:pPr>
        <w:pStyle w:val="ListParagraph"/>
        <w:numPr>
          <w:ilvl w:val="0"/>
          <w:numId w:val="14"/>
        </w:numPr>
        <w:tabs>
          <w:tab w:val="clear" w:pos="284"/>
          <w:tab w:val="num" w:pos="1080"/>
        </w:tabs>
        <w:spacing w:after="120"/>
        <w:rPr>
          <w:szCs w:val="22"/>
          <w:lang w:val="sr-Latn-ME" w:eastAsia="en-GB"/>
        </w:rPr>
      </w:pPr>
      <w:r w:rsidRPr="00253510">
        <w:rPr>
          <w:b/>
          <w:szCs w:val="22"/>
          <w:lang w:val="sr-Latn-ME" w:eastAsia="en-GB"/>
        </w:rPr>
        <w:t>Hinolonskim antibioticima:</w:t>
      </w:r>
      <w:r w:rsidRPr="00253510">
        <w:rPr>
          <w:i/>
          <w:szCs w:val="22"/>
          <w:lang w:val="sr-Latn-ME" w:eastAsia="en-GB"/>
        </w:rPr>
        <w:t xml:space="preserve"> </w:t>
      </w:r>
      <w:r w:rsidRPr="00253510">
        <w:rPr>
          <w:szCs w:val="22"/>
          <w:lang w:val="sr-Latn-ME" w:eastAsia="en-GB"/>
        </w:rPr>
        <w:t>podaci o životinjama navode da NSAIL mogu da povećaju rizik od konvulzija povezan sa hinolonskim antibioticima. Pacijenti koji uzimaju NSAIL i hinolone mogu da imaju povećan rizik od pojave konvulzija.</w:t>
      </w:r>
    </w:p>
    <w:p w14:paraId="6A6E89E0" w14:textId="71C14AC8" w:rsidR="000F73FE" w:rsidRPr="00253510" w:rsidRDefault="000F73FE" w:rsidP="000F73FE">
      <w:pPr>
        <w:pStyle w:val="ListParagraph"/>
        <w:numPr>
          <w:ilvl w:val="0"/>
          <w:numId w:val="14"/>
        </w:numPr>
        <w:tabs>
          <w:tab w:val="clear" w:pos="284"/>
        </w:tabs>
        <w:spacing w:after="120"/>
        <w:rPr>
          <w:szCs w:val="22"/>
          <w:lang w:val="sr-Latn-ME" w:eastAsia="en-GB"/>
        </w:rPr>
      </w:pPr>
      <w:r w:rsidRPr="00253510">
        <w:rPr>
          <w:b/>
          <w:szCs w:val="22"/>
          <w:lang w:val="sr-Latn-ME" w:eastAsia="en-GB"/>
        </w:rPr>
        <w:t xml:space="preserve">Sulfonilurea: </w:t>
      </w:r>
      <w:r w:rsidRPr="00253510">
        <w:rPr>
          <w:szCs w:val="22"/>
          <w:lang w:val="sr-Latn-ME" w:eastAsia="en-GB"/>
        </w:rPr>
        <w:t>klinička ispitivanja su pokazala interakcije između NSAIL i antidijabetika (sulfoniluree). Mada interakcije između ibuprofena i sulfoniluree do danas nisu opisane, prov</w:t>
      </w:r>
      <w:r w:rsidR="00097C55" w:rsidRPr="00253510">
        <w:rPr>
          <w:szCs w:val="22"/>
          <w:lang w:val="sr-Latn-ME" w:eastAsia="en-GB"/>
        </w:rPr>
        <w:t>j</w:t>
      </w:r>
      <w:r w:rsidRPr="00253510">
        <w:rPr>
          <w:szCs w:val="22"/>
          <w:lang w:val="sr-Latn-ME" w:eastAsia="en-GB"/>
        </w:rPr>
        <w:t>era koncentracije glukoze u krvi se preporučuje kao m</w:t>
      </w:r>
      <w:r w:rsidR="00EA6FE9" w:rsidRPr="00253510">
        <w:rPr>
          <w:szCs w:val="22"/>
          <w:lang w:val="sr-Latn-ME" w:eastAsia="en-GB"/>
        </w:rPr>
        <w:t>j</w:t>
      </w:r>
      <w:r w:rsidRPr="00253510">
        <w:rPr>
          <w:szCs w:val="22"/>
          <w:lang w:val="sr-Latn-ME" w:eastAsia="en-GB"/>
        </w:rPr>
        <w:t>era opreza pri istovremenoj prim</w:t>
      </w:r>
      <w:r w:rsidR="00097C55" w:rsidRPr="00253510">
        <w:rPr>
          <w:szCs w:val="22"/>
          <w:lang w:val="sr-Latn-ME" w:eastAsia="en-GB"/>
        </w:rPr>
        <w:t>j</w:t>
      </w:r>
      <w:r w:rsidRPr="00253510">
        <w:rPr>
          <w:szCs w:val="22"/>
          <w:lang w:val="sr-Latn-ME" w:eastAsia="en-GB"/>
        </w:rPr>
        <w:t>eni.</w:t>
      </w:r>
    </w:p>
    <w:p w14:paraId="2DAC4964" w14:textId="2A7CA4B7" w:rsidR="000F73FE" w:rsidRPr="00253510" w:rsidRDefault="000F73FE" w:rsidP="000F73FE">
      <w:pPr>
        <w:pStyle w:val="ListParagraph"/>
        <w:numPr>
          <w:ilvl w:val="0"/>
          <w:numId w:val="14"/>
        </w:numPr>
        <w:tabs>
          <w:tab w:val="clear" w:pos="284"/>
        </w:tabs>
        <w:spacing w:after="120"/>
        <w:rPr>
          <w:szCs w:val="22"/>
          <w:lang w:val="sr-Latn-ME" w:eastAsia="en-GB"/>
        </w:rPr>
      </w:pPr>
      <w:r w:rsidRPr="00253510">
        <w:rPr>
          <w:b/>
          <w:szCs w:val="22"/>
          <w:lang w:val="sr-Latn-ME" w:eastAsia="en-GB"/>
        </w:rPr>
        <w:t>Probenecid i sulfinpirazon</w:t>
      </w:r>
      <w:r w:rsidRPr="00253510">
        <w:rPr>
          <w:szCs w:val="22"/>
          <w:lang w:val="sr-Latn-ME" w:eastAsia="en-GB"/>
        </w:rPr>
        <w:t>: l</w:t>
      </w:r>
      <w:r w:rsidR="00097C55" w:rsidRPr="00253510">
        <w:rPr>
          <w:szCs w:val="22"/>
          <w:lang w:val="sr-Latn-ME" w:eastAsia="en-GB"/>
        </w:rPr>
        <w:t>j</w:t>
      </w:r>
      <w:r w:rsidRPr="00253510">
        <w:rPr>
          <w:szCs w:val="22"/>
          <w:lang w:val="sr-Latn-ME" w:eastAsia="en-GB"/>
        </w:rPr>
        <w:t>ekovi koji sadrže probenecid ili sulfinpirazon mogu odložiti izlučivanje ibuprofena.</w:t>
      </w:r>
    </w:p>
    <w:p w14:paraId="45885433" w14:textId="77777777" w:rsidR="000F73FE" w:rsidRPr="00253510" w:rsidRDefault="000F73FE" w:rsidP="000F73FE">
      <w:pPr>
        <w:pStyle w:val="ListParagraph"/>
        <w:numPr>
          <w:ilvl w:val="0"/>
          <w:numId w:val="14"/>
        </w:numPr>
        <w:tabs>
          <w:tab w:val="clear" w:pos="284"/>
        </w:tabs>
        <w:spacing w:after="120"/>
        <w:rPr>
          <w:szCs w:val="22"/>
          <w:lang w:val="sr-Latn-ME" w:eastAsia="en-GB"/>
        </w:rPr>
      </w:pPr>
      <w:r w:rsidRPr="00253510">
        <w:rPr>
          <w:b/>
          <w:szCs w:val="22"/>
          <w:lang w:val="sr-Latn-ME" w:eastAsia="en-GB"/>
        </w:rPr>
        <w:t>Fenitoin</w:t>
      </w:r>
      <w:r w:rsidRPr="00253510">
        <w:rPr>
          <w:szCs w:val="22"/>
          <w:lang w:val="sr-Latn-ME" w:eastAsia="en-GB"/>
        </w:rPr>
        <w:t>: istovremena upotreba ibuprofena sa fenitoinom može povećati serumske koncentracije fenitoina. Ako se koristi kako je propisano, kontrola koncentracije fenitoina u serumu obično nije potrebna.</w:t>
      </w:r>
    </w:p>
    <w:p w14:paraId="1A12FE53" w14:textId="77777777" w:rsidR="0072020E" w:rsidRPr="00253510" w:rsidRDefault="0072020E" w:rsidP="00480FB1">
      <w:pPr>
        <w:tabs>
          <w:tab w:val="left" w:pos="540"/>
          <w:tab w:val="left" w:pos="569"/>
        </w:tabs>
        <w:rPr>
          <w:bCs/>
          <w:sz w:val="22"/>
          <w:szCs w:val="22"/>
          <w:lang w:val="sr-Latn-ME"/>
        </w:rPr>
      </w:pPr>
    </w:p>
    <w:p w14:paraId="65B368CD" w14:textId="77777777" w:rsidR="0072020E" w:rsidRPr="00253510" w:rsidRDefault="0072020E" w:rsidP="00480FB1">
      <w:pPr>
        <w:tabs>
          <w:tab w:val="left" w:pos="540"/>
          <w:tab w:val="left" w:pos="569"/>
        </w:tabs>
        <w:rPr>
          <w:b/>
          <w:sz w:val="22"/>
          <w:szCs w:val="22"/>
          <w:lang w:val="sr-Latn-ME"/>
        </w:rPr>
      </w:pPr>
      <w:r w:rsidRPr="00253510">
        <w:rPr>
          <w:b/>
          <w:bCs/>
          <w:sz w:val="22"/>
          <w:szCs w:val="22"/>
          <w:lang w:val="sr-Latn-ME"/>
        </w:rPr>
        <w:t xml:space="preserve">4.6. </w:t>
      </w:r>
      <w:r w:rsidR="00480FB1" w:rsidRPr="00253510">
        <w:rPr>
          <w:b/>
          <w:bCs/>
          <w:sz w:val="22"/>
          <w:szCs w:val="22"/>
          <w:lang w:val="sr-Latn-ME"/>
        </w:rPr>
        <w:tab/>
      </w:r>
      <w:r w:rsidR="006D20A5" w:rsidRPr="00253510">
        <w:rPr>
          <w:b/>
          <w:sz w:val="22"/>
          <w:szCs w:val="22"/>
          <w:lang w:val="sr-Latn-ME"/>
        </w:rPr>
        <w:t>Plodnost, trudnoća i dojenje</w:t>
      </w:r>
    </w:p>
    <w:p w14:paraId="2EC87896" w14:textId="77777777" w:rsidR="002031B3" w:rsidRPr="00253510" w:rsidRDefault="002031B3" w:rsidP="00480FB1">
      <w:pPr>
        <w:tabs>
          <w:tab w:val="left" w:pos="540"/>
          <w:tab w:val="left" w:pos="569"/>
        </w:tabs>
        <w:rPr>
          <w:sz w:val="22"/>
          <w:szCs w:val="22"/>
          <w:u w:val="single"/>
          <w:lang w:val="sr-Latn-ME"/>
        </w:rPr>
      </w:pPr>
    </w:p>
    <w:p w14:paraId="5BC6CC7C" w14:textId="77777777" w:rsidR="002031B3" w:rsidRPr="00253510" w:rsidRDefault="002031B3" w:rsidP="002031B3">
      <w:pPr>
        <w:tabs>
          <w:tab w:val="left" w:pos="540"/>
          <w:tab w:val="left" w:pos="569"/>
        </w:tabs>
        <w:rPr>
          <w:sz w:val="22"/>
          <w:szCs w:val="22"/>
          <w:u w:val="single"/>
          <w:lang w:val="sr-Latn-ME"/>
        </w:rPr>
      </w:pPr>
      <w:r w:rsidRPr="00253510">
        <w:rPr>
          <w:sz w:val="22"/>
          <w:szCs w:val="22"/>
          <w:u w:val="single"/>
          <w:lang w:val="sr-Latn-ME"/>
        </w:rPr>
        <w:t>Plodnost</w:t>
      </w:r>
    </w:p>
    <w:p w14:paraId="749FA183" w14:textId="0AC7DB5F" w:rsidR="000F73FE" w:rsidRPr="00253510" w:rsidRDefault="000F73FE" w:rsidP="000F73FE">
      <w:pPr>
        <w:jc w:val="both"/>
        <w:rPr>
          <w:sz w:val="22"/>
          <w:szCs w:val="22"/>
          <w:lang w:val="sr-Latn-ME"/>
        </w:rPr>
      </w:pPr>
      <w:r w:rsidRPr="00253510">
        <w:rPr>
          <w:rFonts w:eastAsia="Calibri"/>
          <w:bCs/>
          <w:sz w:val="22"/>
          <w:szCs w:val="22"/>
          <w:lang w:val="sr-Latn-ME"/>
        </w:rPr>
        <w:t>Postoje izv</w:t>
      </w:r>
      <w:r w:rsidR="00097C55" w:rsidRPr="00253510">
        <w:rPr>
          <w:rFonts w:eastAsia="Calibri"/>
          <w:bCs/>
          <w:sz w:val="22"/>
          <w:szCs w:val="22"/>
          <w:lang w:val="sr-Latn-ME"/>
        </w:rPr>
        <w:t>j</w:t>
      </w:r>
      <w:r w:rsidRPr="00253510">
        <w:rPr>
          <w:rFonts w:eastAsia="Calibri"/>
          <w:bCs/>
          <w:sz w:val="22"/>
          <w:szCs w:val="22"/>
          <w:lang w:val="sr-Latn-ME"/>
        </w:rPr>
        <w:t>esni dokazi da supstance koje inhibiraju sintezu ciklooksigenaze/prostaglandina mogu ometati plodnost žena dejstvom na ovulaciju. Ovo dejstvo je reverzibilno po prekidu terapije.</w:t>
      </w:r>
    </w:p>
    <w:p w14:paraId="2B041115" w14:textId="77777777" w:rsidR="002031B3" w:rsidRPr="00253510" w:rsidRDefault="002031B3" w:rsidP="002031B3">
      <w:pPr>
        <w:tabs>
          <w:tab w:val="left" w:pos="540"/>
          <w:tab w:val="left" w:pos="569"/>
        </w:tabs>
        <w:rPr>
          <w:sz w:val="22"/>
          <w:szCs w:val="22"/>
          <w:u w:val="single"/>
          <w:lang w:val="sr-Latn-ME"/>
        </w:rPr>
      </w:pPr>
    </w:p>
    <w:p w14:paraId="56101B15" w14:textId="77777777" w:rsidR="007A3ECB" w:rsidRPr="00253510" w:rsidRDefault="007A3ECB" w:rsidP="00480FB1">
      <w:pPr>
        <w:tabs>
          <w:tab w:val="left" w:pos="540"/>
          <w:tab w:val="left" w:pos="569"/>
        </w:tabs>
        <w:rPr>
          <w:sz w:val="22"/>
          <w:szCs w:val="22"/>
          <w:u w:val="single"/>
          <w:lang w:val="sr-Latn-ME"/>
        </w:rPr>
      </w:pPr>
      <w:r w:rsidRPr="00253510">
        <w:rPr>
          <w:sz w:val="22"/>
          <w:szCs w:val="22"/>
          <w:u w:val="single"/>
          <w:lang w:val="sr-Latn-ME"/>
        </w:rPr>
        <w:t>Trudnoća</w:t>
      </w:r>
    </w:p>
    <w:p w14:paraId="42EBE745" w14:textId="5E1F23A7"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Inhibicija sinteze prostaglandina može nepovoljno da d</w:t>
      </w:r>
      <w:r w:rsidR="00097C55" w:rsidRPr="00253510">
        <w:rPr>
          <w:rFonts w:eastAsia="Calibri"/>
          <w:bCs/>
          <w:sz w:val="22"/>
          <w:szCs w:val="22"/>
          <w:lang w:val="sr-Latn-ME"/>
        </w:rPr>
        <w:t>j</w:t>
      </w:r>
      <w:r w:rsidRPr="00253510">
        <w:rPr>
          <w:rFonts w:eastAsia="Calibri"/>
          <w:bCs/>
          <w:sz w:val="22"/>
          <w:szCs w:val="22"/>
          <w:lang w:val="sr-Latn-ME"/>
        </w:rPr>
        <w:t>eluje na trudnoću i/ili fetalni/embrionalni razvoj. Podaci iz epidemioloških studija navode povećan rizik od pobačaja i srčanih malformacija i gastrošize nakon korišćenja inhibitora sinteze prostaglandina u ranoj trudnoći. Apsolutni rizik za srčane malformacije je bio povećan za manje od 1% do oko 1,5%. V</w:t>
      </w:r>
      <w:r w:rsidR="00097C55" w:rsidRPr="00253510">
        <w:rPr>
          <w:rFonts w:eastAsia="Calibri"/>
          <w:bCs/>
          <w:sz w:val="22"/>
          <w:szCs w:val="22"/>
          <w:lang w:val="sr-Latn-ME"/>
        </w:rPr>
        <w:t>j</w:t>
      </w:r>
      <w:r w:rsidRPr="00253510">
        <w:rPr>
          <w:rFonts w:eastAsia="Calibri"/>
          <w:bCs/>
          <w:sz w:val="22"/>
          <w:szCs w:val="22"/>
          <w:lang w:val="sr-Latn-ME"/>
        </w:rPr>
        <w:t>eruje se da se rizik povećava sa dozom i trajanjem terapije. Kod životinja, pokazalo se da davanje inhibitora sinteze prostaglandina rezultuje povećanim gubitkom ploda pr</w:t>
      </w:r>
      <w:r w:rsidR="00097C55" w:rsidRPr="00253510">
        <w:rPr>
          <w:rFonts w:eastAsia="Calibri"/>
          <w:bCs/>
          <w:sz w:val="22"/>
          <w:szCs w:val="22"/>
          <w:lang w:val="sr-Latn-ME"/>
        </w:rPr>
        <w:t>ij</w:t>
      </w:r>
      <w:r w:rsidRPr="00253510">
        <w:rPr>
          <w:rFonts w:eastAsia="Calibri"/>
          <w:bCs/>
          <w:sz w:val="22"/>
          <w:szCs w:val="22"/>
          <w:lang w:val="sr-Latn-ME"/>
        </w:rPr>
        <w:t>e i posl</w:t>
      </w:r>
      <w:r w:rsidR="00E452CD" w:rsidRPr="00253510">
        <w:rPr>
          <w:rFonts w:eastAsia="Calibri"/>
          <w:bCs/>
          <w:sz w:val="22"/>
          <w:szCs w:val="22"/>
          <w:lang w:val="sr-Latn-ME"/>
        </w:rPr>
        <w:t>ij</w:t>
      </w:r>
      <w:r w:rsidRPr="00253510">
        <w:rPr>
          <w:rFonts w:eastAsia="Calibri"/>
          <w:bCs/>
          <w:sz w:val="22"/>
          <w:szCs w:val="22"/>
          <w:lang w:val="sr-Latn-ME"/>
        </w:rPr>
        <w:t>e implantacije i embriofetalnom smrću. Uz to, povećani broj slučajeva raznih</w:t>
      </w:r>
      <w:r w:rsidR="00097C55" w:rsidRPr="00253510">
        <w:rPr>
          <w:rFonts w:eastAsia="Calibri"/>
          <w:bCs/>
          <w:sz w:val="22"/>
          <w:szCs w:val="22"/>
          <w:lang w:val="sr-Latn-ME"/>
        </w:rPr>
        <w:t xml:space="preserve"> </w:t>
      </w:r>
      <w:r w:rsidRPr="00253510">
        <w:rPr>
          <w:rFonts w:eastAsia="Calibri"/>
          <w:bCs/>
          <w:sz w:val="22"/>
          <w:szCs w:val="22"/>
          <w:lang w:val="sr-Latn-ME"/>
        </w:rPr>
        <w:t xml:space="preserve">malformacija, uključujući kardiovaskularne, prijavljen je kod životinja kojima je dat inhibitor sinteze prostaglandina tokom perioda organogeneze. Tokom prvog i drugog tromesečja trudnoće, </w:t>
      </w:r>
      <w:r w:rsidR="00E452CD" w:rsidRPr="00253510">
        <w:rPr>
          <w:rFonts w:eastAsia="Calibri"/>
          <w:bCs/>
          <w:sz w:val="22"/>
          <w:szCs w:val="22"/>
          <w:lang w:val="sr-Latn-ME"/>
        </w:rPr>
        <w:t xml:space="preserve">lijek </w:t>
      </w:r>
      <w:r w:rsidRPr="00253510">
        <w:rPr>
          <w:rFonts w:eastAsia="Calibri"/>
          <w:bCs/>
          <w:sz w:val="22"/>
          <w:szCs w:val="22"/>
          <w:lang w:val="sr-Latn-ME"/>
        </w:rPr>
        <w:t xml:space="preserve">Nurofen ne treba davati osim ako je izričito neophodno. Ako </w:t>
      </w:r>
      <w:r w:rsidR="00E452CD" w:rsidRPr="00253510">
        <w:rPr>
          <w:rFonts w:eastAsia="Calibri"/>
          <w:bCs/>
          <w:sz w:val="22"/>
          <w:szCs w:val="22"/>
          <w:lang w:val="sr-Latn-ME"/>
        </w:rPr>
        <w:t xml:space="preserve">lijek </w:t>
      </w:r>
      <w:r w:rsidRPr="00253510">
        <w:rPr>
          <w:rFonts w:eastAsia="Calibri"/>
          <w:bCs/>
          <w:sz w:val="22"/>
          <w:szCs w:val="22"/>
          <w:lang w:val="sr-Latn-ME"/>
        </w:rPr>
        <w:t>Nurofen koriste žene koje pokušavaju da zatrudne, ili tokom prvog i drugog trimestra trudnoće, trebalo bi davati najmanju dozu tokom najkraćeg perioda neophodnog za l</w:t>
      </w:r>
      <w:r w:rsidR="00097C55" w:rsidRPr="00253510">
        <w:rPr>
          <w:rFonts w:eastAsia="Calibri"/>
          <w:bCs/>
          <w:sz w:val="22"/>
          <w:szCs w:val="22"/>
          <w:lang w:val="sr-Latn-ME"/>
        </w:rPr>
        <w:t>ij</w:t>
      </w:r>
      <w:r w:rsidRPr="00253510">
        <w:rPr>
          <w:rFonts w:eastAsia="Calibri"/>
          <w:bCs/>
          <w:sz w:val="22"/>
          <w:szCs w:val="22"/>
          <w:lang w:val="sr-Latn-ME"/>
        </w:rPr>
        <w:t xml:space="preserve">ečenje. </w:t>
      </w:r>
    </w:p>
    <w:p w14:paraId="6F141875" w14:textId="77777777" w:rsidR="000F73FE" w:rsidRPr="00253510" w:rsidRDefault="000F73FE" w:rsidP="000F73FE">
      <w:pPr>
        <w:jc w:val="both"/>
        <w:rPr>
          <w:rFonts w:eastAsia="Calibri"/>
          <w:bCs/>
          <w:sz w:val="22"/>
          <w:szCs w:val="22"/>
          <w:lang w:val="sr-Latn-ME"/>
        </w:rPr>
      </w:pPr>
    </w:p>
    <w:p w14:paraId="70FB2AE6" w14:textId="1A767C6B"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Za vr</w:t>
      </w:r>
      <w:r w:rsidR="00097C55" w:rsidRPr="00253510">
        <w:rPr>
          <w:rFonts w:eastAsia="Calibri"/>
          <w:bCs/>
          <w:sz w:val="22"/>
          <w:szCs w:val="22"/>
          <w:lang w:val="sr-Latn-ME"/>
        </w:rPr>
        <w:t>ij</w:t>
      </w:r>
      <w:r w:rsidRPr="00253510">
        <w:rPr>
          <w:rFonts w:eastAsia="Calibri"/>
          <w:bCs/>
          <w:sz w:val="22"/>
          <w:szCs w:val="22"/>
          <w:lang w:val="sr-Latn-ME"/>
        </w:rPr>
        <w:t>eme trećeg trimestra trudnoće, svi inhibitori sinteze prostaglandina mogu izložiti fetus:</w:t>
      </w:r>
    </w:p>
    <w:p w14:paraId="6EA9B70F" w14:textId="77777777" w:rsidR="000F73FE" w:rsidRPr="00253510" w:rsidRDefault="000F73FE" w:rsidP="000F73FE">
      <w:pPr>
        <w:jc w:val="both"/>
        <w:rPr>
          <w:rFonts w:eastAsia="Calibri"/>
          <w:bCs/>
          <w:sz w:val="22"/>
          <w:szCs w:val="22"/>
          <w:lang w:val="sr-Latn-ME"/>
        </w:rPr>
      </w:pPr>
    </w:p>
    <w:p w14:paraId="7FE09DE0" w14:textId="77777777" w:rsidR="000F73FE" w:rsidRPr="00253510" w:rsidRDefault="000F73FE" w:rsidP="00253510">
      <w:pPr>
        <w:ind w:left="284"/>
        <w:jc w:val="both"/>
        <w:rPr>
          <w:rFonts w:eastAsia="Calibri"/>
          <w:bCs/>
          <w:sz w:val="22"/>
          <w:szCs w:val="22"/>
          <w:lang w:val="sr-Latn-ME"/>
        </w:rPr>
      </w:pPr>
      <w:r w:rsidRPr="00253510">
        <w:rPr>
          <w:rFonts w:eastAsia="Calibri"/>
          <w:bCs/>
          <w:sz w:val="22"/>
          <w:szCs w:val="22"/>
          <w:lang w:val="sr-Latn-ME"/>
        </w:rPr>
        <w:t xml:space="preserve">- kardiopulmonalnoj toksičnosti (uz prerano zatvaranje </w:t>
      </w:r>
      <w:r w:rsidRPr="00253510">
        <w:rPr>
          <w:rFonts w:eastAsia="Calibri"/>
          <w:bCs/>
          <w:i/>
          <w:sz w:val="22"/>
          <w:szCs w:val="22"/>
          <w:lang w:val="sr-Latn-ME"/>
        </w:rPr>
        <w:t>ductus arteriosus</w:t>
      </w:r>
      <w:r w:rsidRPr="00253510">
        <w:rPr>
          <w:rFonts w:eastAsia="Calibri"/>
          <w:bCs/>
          <w:sz w:val="22"/>
          <w:szCs w:val="22"/>
          <w:lang w:val="sr-Latn-ME"/>
        </w:rPr>
        <w:t>-a i plućnu hipertenziju);</w:t>
      </w:r>
    </w:p>
    <w:p w14:paraId="67159C13" w14:textId="77777777" w:rsidR="000F73FE" w:rsidRPr="00253510" w:rsidRDefault="000F73FE" w:rsidP="00253510">
      <w:pPr>
        <w:ind w:left="284"/>
        <w:jc w:val="both"/>
        <w:rPr>
          <w:rFonts w:eastAsia="Calibri"/>
          <w:bCs/>
          <w:sz w:val="22"/>
          <w:szCs w:val="22"/>
          <w:lang w:val="sr-Latn-ME"/>
        </w:rPr>
      </w:pPr>
      <w:r w:rsidRPr="00253510">
        <w:rPr>
          <w:rFonts w:eastAsia="Calibri"/>
          <w:bCs/>
          <w:sz w:val="22"/>
          <w:szCs w:val="22"/>
          <w:lang w:val="sr-Latn-ME"/>
        </w:rPr>
        <w:t xml:space="preserve">- bubrežnoj disfunkciji, koja može da se razvije u bubrežnu insuficijenciju sa oligohidroamniozom; </w:t>
      </w:r>
    </w:p>
    <w:p w14:paraId="43116EED" w14:textId="77777777" w:rsidR="000F73FE" w:rsidRPr="00253510" w:rsidRDefault="000F73FE" w:rsidP="000F73FE">
      <w:pPr>
        <w:jc w:val="both"/>
        <w:rPr>
          <w:rFonts w:eastAsia="Calibri"/>
          <w:bCs/>
          <w:sz w:val="22"/>
          <w:szCs w:val="22"/>
          <w:lang w:val="sr-Latn-ME"/>
        </w:rPr>
      </w:pPr>
    </w:p>
    <w:p w14:paraId="0ED954C4" w14:textId="77777777"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majku i novorođenče, na kraju trudnoće:</w:t>
      </w:r>
    </w:p>
    <w:p w14:paraId="42958E70" w14:textId="77777777" w:rsidR="000F73FE" w:rsidRPr="00253510" w:rsidRDefault="000F73FE" w:rsidP="00253510">
      <w:pPr>
        <w:ind w:left="284"/>
        <w:jc w:val="both"/>
        <w:rPr>
          <w:rFonts w:eastAsia="Calibri"/>
          <w:bCs/>
          <w:sz w:val="22"/>
          <w:szCs w:val="22"/>
          <w:lang w:val="sr-Latn-ME"/>
        </w:rPr>
      </w:pPr>
      <w:r w:rsidRPr="00253510">
        <w:rPr>
          <w:rFonts w:eastAsia="Calibri"/>
          <w:bCs/>
          <w:sz w:val="22"/>
          <w:szCs w:val="22"/>
          <w:lang w:val="sr-Latn-ME"/>
        </w:rPr>
        <w:t>- mogućem produženom krvarenju, antikoagulantno dejstvo koje može da se ispolji čak i sa veoma malim dozama;</w:t>
      </w:r>
    </w:p>
    <w:p w14:paraId="7E86311B" w14:textId="52388FD0" w:rsidR="000F73FE" w:rsidRPr="00253510" w:rsidRDefault="000F73FE" w:rsidP="00253510">
      <w:pPr>
        <w:ind w:left="284"/>
        <w:jc w:val="both"/>
        <w:rPr>
          <w:rFonts w:eastAsia="Calibri"/>
          <w:bCs/>
          <w:sz w:val="22"/>
          <w:szCs w:val="22"/>
          <w:lang w:val="sr-Latn-ME"/>
        </w:rPr>
      </w:pPr>
      <w:r w:rsidRPr="00253510">
        <w:rPr>
          <w:rFonts w:eastAsia="Calibri"/>
          <w:bCs/>
          <w:sz w:val="22"/>
          <w:szCs w:val="22"/>
          <w:lang w:val="sr-Latn-ME"/>
        </w:rPr>
        <w:t>- inhibiciji kontrakcija mat</w:t>
      </w:r>
      <w:r w:rsidR="00176170" w:rsidRPr="00253510">
        <w:rPr>
          <w:rFonts w:eastAsia="Calibri"/>
          <w:bCs/>
          <w:sz w:val="22"/>
          <w:szCs w:val="22"/>
          <w:lang w:val="sr-Latn-ME"/>
        </w:rPr>
        <w:t>e</w:t>
      </w:r>
      <w:r w:rsidRPr="00253510">
        <w:rPr>
          <w:rFonts w:eastAsia="Calibri"/>
          <w:bCs/>
          <w:sz w:val="22"/>
          <w:szCs w:val="22"/>
          <w:lang w:val="sr-Latn-ME"/>
        </w:rPr>
        <w:t>rice što rezultuje odloženim ili produženim porođajem.</w:t>
      </w:r>
    </w:p>
    <w:p w14:paraId="7D16D184" w14:textId="77777777" w:rsidR="000F73FE" w:rsidRPr="00253510" w:rsidRDefault="000F73FE" w:rsidP="000F73FE">
      <w:pPr>
        <w:jc w:val="both"/>
        <w:rPr>
          <w:rFonts w:eastAsia="Calibri"/>
          <w:bCs/>
          <w:sz w:val="22"/>
          <w:szCs w:val="22"/>
          <w:lang w:val="sr-Latn-ME"/>
        </w:rPr>
      </w:pPr>
    </w:p>
    <w:p w14:paraId="6F70A6C4" w14:textId="6F8080FE"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Kao posl</w:t>
      </w:r>
      <w:r w:rsidR="00E452CD" w:rsidRPr="00253510">
        <w:rPr>
          <w:rFonts w:eastAsia="Calibri"/>
          <w:bCs/>
          <w:sz w:val="22"/>
          <w:szCs w:val="22"/>
          <w:lang w:val="sr-Latn-ME"/>
        </w:rPr>
        <w:t>j</w:t>
      </w:r>
      <w:r w:rsidRPr="00253510">
        <w:rPr>
          <w:rFonts w:eastAsia="Calibri"/>
          <w:bCs/>
          <w:sz w:val="22"/>
          <w:szCs w:val="22"/>
          <w:lang w:val="sr-Latn-ME"/>
        </w:rPr>
        <w:t>edica toga, l</w:t>
      </w:r>
      <w:r w:rsidR="00097C55" w:rsidRPr="00253510">
        <w:rPr>
          <w:rFonts w:eastAsia="Calibri"/>
          <w:bCs/>
          <w:sz w:val="22"/>
          <w:szCs w:val="22"/>
          <w:lang w:val="sr-Latn-ME"/>
        </w:rPr>
        <w:t>ij</w:t>
      </w:r>
      <w:r w:rsidRPr="00253510">
        <w:rPr>
          <w:rFonts w:eastAsia="Calibri"/>
          <w:bCs/>
          <w:sz w:val="22"/>
          <w:szCs w:val="22"/>
          <w:lang w:val="sr-Latn-ME"/>
        </w:rPr>
        <w:t>ek Nurofen je kontraindikovan za vr</w:t>
      </w:r>
      <w:r w:rsidR="00097C55" w:rsidRPr="00253510">
        <w:rPr>
          <w:rFonts w:eastAsia="Calibri"/>
          <w:bCs/>
          <w:sz w:val="22"/>
          <w:szCs w:val="22"/>
          <w:lang w:val="sr-Latn-ME"/>
        </w:rPr>
        <w:t>ij</w:t>
      </w:r>
      <w:r w:rsidRPr="00253510">
        <w:rPr>
          <w:rFonts w:eastAsia="Calibri"/>
          <w:bCs/>
          <w:sz w:val="22"/>
          <w:szCs w:val="22"/>
          <w:lang w:val="sr-Latn-ME"/>
        </w:rPr>
        <w:t>eme trećeg trimestra trudnoće.</w:t>
      </w:r>
    </w:p>
    <w:p w14:paraId="4FBAAA1C" w14:textId="77777777" w:rsidR="002031B3" w:rsidRPr="00253510" w:rsidRDefault="002031B3" w:rsidP="00480FB1">
      <w:pPr>
        <w:tabs>
          <w:tab w:val="left" w:pos="540"/>
          <w:tab w:val="left" w:pos="569"/>
        </w:tabs>
        <w:rPr>
          <w:sz w:val="22"/>
          <w:szCs w:val="22"/>
          <w:u w:val="single"/>
          <w:lang w:val="sr-Latn-ME"/>
        </w:rPr>
      </w:pPr>
    </w:p>
    <w:p w14:paraId="471CC638" w14:textId="77777777" w:rsidR="0072020E" w:rsidRPr="00253510" w:rsidRDefault="007A3ECB" w:rsidP="00480FB1">
      <w:pPr>
        <w:tabs>
          <w:tab w:val="left" w:pos="540"/>
          <w:tab w:val="left" w:pos="569"/>
        </w:tabs>
        <w:rPr>
          <w:b/>
          <w:bCs/>
          <w:sz w:val="22"/>
          <w:szCs w:val="22"/>
          <w:lang w:val="sr-Latn-ME"/>
        </w:rPr>
      </w:pPr>
      <w:r w:rsidRPr="00253510">
        <w:rPr>
          <w:sz w:val="22"/>
          <w:szCs w:val="22"/>
          <w:u w:val="single"/>
          <w:lang w:val="sr-Latn-ME"/>
        </w:rPr>
        <w:t xml:space="preserve">Dojenje </w:t>
      </w:r>
    </w:p>
    <w:p w14:paraId="35ED2836" w14:textId="66F1ABC8" w:rsidR="000F73FE" w:rsidRPr="00253510" w:rsidRDefault="000F73FE" w:rsidP="000F73FE">
      <w:pPr>
        <w:jc w:val="both"/>
        <w:rPr>
          <w:rFonts w:eastAsia="Calibri"/>
          <w:bCs/>
          <w:sz w:val="22"/>
          <w:szCs w:val="22"/>
          <w:lang w:val="sr-Latn-ME"/>
        </w:rPr>
      </w:pPr>
      <w:r w:rsidRPr="00253510">
        <w:rPr>
          <w:rFonts w:eastAsia="Calibri"/>
          <w:bCs/>
          <w:sz w:val="22"/>
          <w:szCs w:val="22"/>
          <w:lang w:val="sr-Latn-ME"/>
        </w:rPr>
        <w:t>U ograničenom broju studija, ibuprofen se pojavljuje u majčinom ml</w:t>
      </w:r>
      <w:r w:rsidR="00E452CD" w:rsidRPr="00253510">
        <w:rPr>
          <w:rFonts w:eastAsia="Calibri"/>
          <w:bCs/>
          <w:sz w:val="22"/>
          <w:szCs w:val="22"/>
          <w:lang w:val="sr-Latn-ME"/>
        </w:rPr>
        <w:t>ij</w:t>
      </w:r>
      <w:r w:rsidRPr="00253510">
        <w:rPr>
          <w:rFonts w:eastAsia="Calibri"/>
          <w:bCs/>
          <w:sz w:val="22"/>
          <w:szCs w:val="22"/>
          <w:lang w:val="sr-Latn-ME"/>
        </w:rPr>
        <w:t>eku u veoma maloj koncentraciji i nije v</w:t>
      </w:r>
      <w:r w:rsidR="00097C55" w:rsidRPr="00253510">
        <w:rPr>
          <w:rFonts w:eastAsia="Calibri"/>
          <w:bCs/>
          <w:sz w:val="22"/>
          <w:szCs w:val="22"/>
          <w:lang w:val="sr-Latn-ME"/>
        </w:rPr>
        <w:t>j</w:t>
      </w:r>
      <w:r w:rsidRPr="00253510">
        <w:rPr>
          <w:rFonts w:eastAsia="Calibri"/>
          <w:bCs/>
          <w:sz w:val="22"/>
          <w:szCs w:val="22"/>
          <w:lang w:val="sr-Latn-ME"/>
        </w:rPr>
        <w:t>erovatno da će uticati nepovoljno na odojče.</w:t>
      </w:r>
    </w:p>
    <w:p w14:paraId="662C7F99" w14:textId="77777777" w:rsidR="00227BDB" w:rsidRPr="00253510" w:rsidRDefault="00227BDB" w:rsidP="00396DFD">
      <w:pPr>
        <w:tabs>
          <w:tab w:val="left" w:pos="540"/>
          <w:tab w:val="left" w:pos="569"/>
        </w:tabs>
        <w:ind w:left="540" w:hanging="540"/>
        <w:rPr>
          <w:b/>
          <w:bCs/>
          <w:sz w:val="22"/>
          <w:szCs w:val="22"/>
          <w:lang w:val="sr-Latn-ME"/>
        </w:rPr>
      </w:pPr>
    </w:p>
    <w:p w14:paraId="54280492" w14:textId="77777777" w:rsidR="0072020E" w:rsidRPr="00253510" w:rsidRDefault="0072020E" w:rsidP="00396DFD">
      <w:pPr>
        <w:tabs>
          <w:tab w:val="left" w:pos="540"/>
          <w:tab w:val="left" w:pos="569"/>
        </w:tabs>
        <w:ind w:left="540" w:hanging="540"/>
        <w:rPr>
          <w:b/>
          <w:bCs/>
          <w:sz w:val="22"/>
          <w:szCs w:val="22"/>
          <w:lang w:val="sr-Latn-ME"/>
        </w:rPr>
      </w:pPr>
      <w:r w:rsidRPr="00253510">
        <w:rPr>
          <w:b/>
          <w:bCs/>
          <w:sz w:val="22"/>
          <w:szCs w:val="22"/>
          <w:lang w:val="sr-Latn-ME"/>
        </w:rPr>
        <w:t xml:space="preserve">4.7. </w:t>
      </w:r>
      <w:r w:rsidR="00480FB1" w:rsidRPr="00253510">
        <w:rPr>
          <w:b/>
          <w:bCs/>
          <w:sz w:val="22"/>
          <w:szCs w:val="22"/>
          <w:lang w:val="sr-Latn-ME"/>
        </w:rPr>
        <w:tab/>
      </w:r>
      <w:r w:rsidRPr="00253510">
        <w:rPr>
          <w:b/>
          <w:bCs/>
          <w:sz w:val="22"/>
          <w:szCs w:val="22"/>
          <w:lang w:val="sr-Latn-ME"/>
        </w:rPr>
        <w:t xml:space="preserve">Uticaj na </w:t>
      </w:r>
      <w:r w:rsidR="002031B3" w:rsidRPr="00253510">
        <w:rPr>
          <w:b/>
          <w:bCs/>
          <w:sz w:val="22"/>
          <w:szCs w:val="22"/>
          <w:lang w:val="sr-Latn-ME"/>
        </w:rPr>
        <w:t xml:space="preserve">sposobnost </w:t>
      </w:r>
      <w:r w:rsidR="00F34554" w:rsidRPr="00253510">
        <w:rPr>
          <w:b/>
          <w:bCs/>
          <w:sz w:val="22"/>
          <w:szCs w:val="22"/>
          <w:lang w:val="sr-Latn-ME"/>
        </w:rPr>
        <w:t>upravljanja vozili</w:t>
      </w:r>
      <w:r w:rsidRPr="00253510">
        <w:rPr>
          <w:b/>
          <w:bCs/>
          <w:sz w:val="22"/>
          <w:szCs w:val="22"/>
          <w:lang w:val="sr-Latn-ME"/>
        </w:rPr>
        <w:t>m</w:t>
      </w:r>
      <w:r w:rsidR="00F34554" w:rsidRPr="00253510">
        <w:rPr>
          <w:b/>
          <w:bCs/>
          <w:sz w:val="22"/>
          <w:szCs w:val="22"/>
          <w:lang w:val="sr-Latn-ME"/>
        </w:rPr>
        <w:t>a</w:t>
      </w:r>
      <w:r w:rsidRPr="00253510">
        <w:rPr>
          <w:b/>
          <w:bCs/>
          <w:sz w:val="22"/>
          <w:szCs w:val="22"/>
          <w:lang w:val="sr-Latn-ME"/>
        </w:rPr>
        <w:t xml:space="preserve"> i </w:t>
      </w:r>
      <w:r w:rsidR="000D3449" w:rsidRPr="00253510">
        <w:rPr>
          <w:b/>
          <w:bCs/>
          <w:sz w:val="22"/>
          <w:szCs w:val="22"/>
          <w:lang w:val="sr-Latn-ME"/>
        </w:rPr>
        <w:t xml:space="preserve">rukovanje </w:t>
      </w:r>
      <w:r w:rsidRPr="00253510">
        <w:rPr>
          <w:b/>
          <w:bCs/>
          <w:sz w:val="22"/>
          <w:szCs w:val="22"/>
          <w:lang w:val="sr-Latn-ME"/>
        </w:rPr>
        <w:t>mašinama</w:t>
      </w:r>
    </w:p>
    <w:p w14:paraId="4D59F7F6" w14:textId="77777777" w:rsidR="00176170" w:rsidRPr="00253510" w:rsidRDefault="00176170" w:rsidP="000F73FE">
      <w:pPr>
        <w:rPr>
          <w:rFonts w:eastAsia="Calibri"/>
          <w:sz w:val="22"/>
          <w:szCs w:val="22"/>
          <w:lang w:val="sr-Latn-ME"/>
        </w:rPr>
      </w:pPr>
    </w:p>
    <w:p w14:paraId="1E4435C6" w14:textId="74E9EDF0" w:rsidR="000F73FE" w:rsidRPr="00253510" w:rsidRDefault="000F73FE" w:rsidP="000F73FE">
      <w:pPr>
        <w:rPr>
          <w:sz w:val="22"/>
          <w:szCs w:val="22"/>
          <w:lang w:val="sr-Latn-ME"/>
        </w:rPr>
      </w:pPr>
      <w:r w:rsidRPr="00253510">
        <w:rPr>
          <w:rFonts w:eastAsia="Calibri"/>
          <w:sz w:val="22"/>
          <w:szCs w:val="22"/>
          <w:lang w:val="sr-Latn-ME"/>
        </w:rPr>
        <w:t>Nema očekivanog uticaja l</w:t>
      </w:r>
      <w:r w:rsidR="00097C55" w:rsidRPr="00253510">
        <w:rPr>
          <w:rFonts w:eastAsia="Calibri"/>
          <w:sz w:val="22"/>
          <w:szCs w:val="22"/>
          <w:lang w:val="sr-Latn-ME"/>
        </w:rPr>
        <w:t>ij</w:t>
      </w:r>
      <w:r w:rsidRPr="00253510">
        <w:rPr>
          <w:rFonts w:eastAsia="Calibri"/>
          <w:sz w:val="22"/>
          <w:szCs w:val="22"/>
          <w:lang w:val="sr-Latn-ME"/>
        </w:rPr>
        <w:t>eka na sposobnost upravljanja vozilima i rukovanja mašinama.</w:t>
      </w:r>
    </w:p>
    <w:p w14:paraId="39CFB383" w14:textId="77777777" w:rsidR="0072020E" w:rsidRPr="00253510" w:rsidRDefault="0072020E" w:rsidP="00480FB1">
      <w:pPr>
        <w:tabs>
          <w:tab w:val="left" w:pos="540"/>
          <w:tab w:val="left" w:pos="569"/>
        </w:tabs>
        <w:rPr>
          <w:b/>
          <w:bCs/>
          <w:sz w:val="22"/>
          <w:szCs w:val="22"/>
          <w:lang w:val="sr-Latn-ME"/>
        </w:rPr>
      </w:pPr>
    </w:p>
    <w:p w14:paraId="70268679" w14:textId="3B2BDEBC"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4.8. </w:t>
      </w:r>
      <w:r w:rsidR="00480FB1" w:rsidRPr="00253510">
        <w:rPr>
          <w:b/>
          <w:bCs/>
          <w:sz w:val="22"/>
          <w:szCs w:val="22"/>
          <w:lang w:val="sr-Latn-ME"/>
        </w:rPr>
        <w:tab/>
      </w:r>
      <w:r w:rsidRPr="00253510">
        <w:rPr>
          <w:b/>
          <w:bCs/>
          <w:sz w:val="22"/>
          <w:szCs w:val="22"/>
          <w:lang w:val="sr-Latn-ME"/>
        </w:rPr>
        <w:t>Neželjena dejstva</w:t>
      </w:r>
    </w:p>
    <w:p w14:paraId="1D0CB6DA" w14:textId="77777777" w:rsidR="0048288D" w:rsidRPr="00253510" w:rsidRDefault="0048288D" w:rsidP="00480FB1">
      <w:pPr>
        <w:tabs>
          <w:tab w:val="left" w:pos="540"/>
          <w:tab w:val="left" w:pos="569"/>
        </w:tabs>
        <w:rPr>
          <w:b/>
          <w:bCs/>
          <w:sz w:val="22"/>
          <w:szCs w:val="22"/>
          <w:lang w:val="sr-Latn-ME"/>
        </w:rPr>
      </w:pPr>
    </w:p>
    <w:p w14:paraId="1101C0A7" w14:textId="78F0E0B2" w:rsidR="000F73FE" w:rsidRPr="00253510" w:rsidRDefault="000F73FE" w:rsidP="000F73FE">
      <w:pPr>
        <w:pStyle w:val="NormalIndent"/>
        <w:ind w:left="0"/>
        <w:jc w:val="both"/>
        <w:rPr>
          <w:szCs w:val="22"/>
          <w:lang w:val="sr-Latn-ME"/>
        </w:rPr>
      </w:pPr>
      <w:r w:rsidRPr="00253510">
        <w:rPr>
          <w:szCs w:val="22"/>
          <w:lang w:val="sr-Latn-ME"/>
        </w:rPr>
        <w:t>Spisak sl</w:t>
      </w:r>
      <w:r w:rsidR="0048288D" w:rsidRPr="00253510">
        <w:rPr>
          <w:szCs w:val="22"/>
          <w:lang w:val="sr-Latn-ME"/>
        </w:rPr>
        <w:t>j</w:t>
      </w:r>
      <w:r w:rsidRPr="00253510">
        <w:rPr>
          <w:szCs w:val="22"/>
          <w:lang w:val="sr-Latn-ME"/>
        </w:rPr>
        <w:t>edećih neželjenih d</w:t>
      </w:r>
      <w:r w:rsidR="00BA377B" w:rsidRPr="00253510">
        <w:rPr>
          <w:szCs w:val="22"/>
          <w:lang w:val="sr-Latn-ME"/>
        </w:rPr>
        <w:t>ejstava</w:t>
      </w:r>
      <w:r w:rsidRPr="00253510">
        <w:rPr>
          <w:szCs w:val="22"/>
          <w:lang w:val="sr-Latn-ME"/>
        </w:rPr>
        <w:t xml:space="preserve"> se povezuje sa prim</w:t>
      </w:r>
      <w:r w:rsidR="00097C55" w:rsidRPr="00253510">
        <w:rPr>
          <w:szCs w:val="22"/>
          <w:lang w:val="sr-Latn-ME"/>
        </w:rPr>
        <w:t>j</w:t>
      </w:r>
      <w:r w:rsidRPr="00253510">
        <w:rPr>
          <w:szCs w:val="22"/>
          <w:lang w:val="sr-Latn-ME"/>
        </w:rPr>
        <w:t>enom ibuprofena u dozama koje se mogu izdavati bez recepta (maksimalno 1200 mg ibuprofena dnevno), i pri kratkotrajnoj upotrebi. U l</w:t>
      </w:r>
      <w:r w:rsidR="00097C55" w:rsidRPr="00253510">
        <w:rPr>
          <w:szCs w:val="22"/>
          <w:lang w:val="sr-Latn-ME"/>
        </w:rPr>
        <w:t>ij</w:t>
      </w:r>
      <w:r w:rsidRPr="00253510">
        <w:rPr>
          <w:szCs w:val="22"/>
          <w:lang w:val="sr-Latn-ME"/>
        </w:rPr>
        <w:t>ečenju hroničnih stanja, dugoročnom terapijom, može doći do dodatnih neželjenih dejstava.</w:t>
      </w:r>
    </w:p>
    <w:p w14:paraId="0B488157" w14:textId="33916230" w:rsidR="000F73FE" w:rsidRPr="00253510" w:rsidRDefault="000F73FE" w:rsidP="000F73FE">
      <w:pPr>
        <w:rPr>
          <w:rFonts w:eastAsia="Calibri"/>
          <w:sz w:val="22"/>
          <w:szCs w:val="22"/>
          <w:lang w:val="sr-Latn-ME"/>
        </w:rPr>
      </w:pPr>
      <w:r w:rsidRPr="00253510">
        <w:rPr>
          <w:rFonts w:eastAsia="Calibri"/>
          <w:sz w:val="22"/>
          <w:szCs w:val="22"/>
          <w:lang w:val="sr-Latn-ME"/>
        </w:rPr>
        <w:t>Neželjen</w:t>
      </w:r>
      <w:r w:rsidR="00BA377B" w:rsidRPr="00253510">
        <w:rPr>
          <w:rFonts w:eastAsia="Calibri"/>
          <w:sz w:val="22"/>
          <w:szCs w:val="22"/>
          <w:lang w:val="sr-Latn-ME"/>
        </w:rPr>
        <w:t>a</w:t>
      </w:r>
      <w:r w:rsidRPr="00253510">
        <w:rPr>
          <w:rFonts w:eastAsia="Calibri"/>
          <w:sz w:val="22"/>
          <w:szCs w:val="22"/>
          <w:lang w:val="sr-Latn-ME"/>
        </w:rPr>
        <w:t xml:space="preserve"> d</w:t>
      </w:r>
      <w:r w:rsidR="00BA377B" w:rsidRPr="00253510">
        <w:rPr>
          <w:rFonts w:eastAsia="Calibri"/>
          <w:sz w:val="22"/>
          <w:szCs w:val="22"/>
          <w:lang w:val="sr-Latn-ME"/>
        </w:rPr>
        <w:t>ejstva</w:t>
      </w:r>
      <w:r w:rsidRPr="00253510">
        <w:rPr>
          <w:rFonts w:eastAsia="Calibri"/>
          <w:sz w:val="22"/>
          <w:szCs w:val="22"/>
          <w:lang w:val="sr-Latn-ME"/>
        </w:rPr>
        <w:t xml:space="preserve"> koj</w:t>
      </w:r>
      <w:r w:rsidR="00BA377B" w:rsidRPr="00253510">
        <w:rPr>
          <w:rFonts w:eastAsia="Calibri"/>
          <w:sz w:val="22"/>
          <w:szCs w:val="22"/>
          <w:lang w:val="sr-Latn-ME"/>
        </w:rPr>
        <w:t>a</w:t>
      </w:r>
      <w:r w:rsidRPr="00253510">
        <w:rPr>
          <w:rFonts w:eastAsia="Calibri"/>
          <w:sz w:val="22"/>
          <w:szCs w:val="22"/>
          <w:lang w:val="sr-Latn-ME"/>
        </w:rPr>
        <w:t xml:space="preserve"> su povezan</w:t>
      </w:r>
      <w:r w:rsidR="00BA377B" w:rsidRPr="00253510">
        <w:rPr>
          <w:rFonts w:eastAsia="Calibri"/>
          <w:sz w:val="22"/>
          <w:szCs w:val="22"/>
          <w:lang w:val="sr-Latn-ME"/>
        </w:rPr>
        <w:t>a</w:t>
      </w:r>
      <w:r w:rsidRPr="00253510">
        <w:rPr>
          <w:rFonts w:eastAsia="Calibri"/>
          <w:sz w:val="22"/>
          <w:szCs w:val="22"/>
          <w:lang w:val="sr-Latn-ME"/>
        </w:rPr>
        <w:t xml:space="preserve"> sa prim</w:t>
      </w:r>
      <w:r w:rsidR="00097C55" w:rsidRPr="00253510">
        <w:rPr>
          <w:rFonts w:eastAsia="Calibri"/>
          <w:sz w:val="22"/>
          <w:szCs w:val="22"/>
          <w:lang w:val="sr-Latn-ME"/>
        </w:rPr>
        <w:t>j</w:t>
      </w:r>
      <w:r w:rsidRPr="00253510">
        <w:rPr>
          <w:rFonts w:eastAsia="Calibri"/>
          <w:sz w:val="22"/>
          <w:szCs w:val="22"/>
          <w:lang w:val="sr-Latn-ME"/>
        </w:rPr>
        <w:t>enom ibuprofena, su klasifikovan</w:t>
      </w:r>
      <w:r w:rsidR="00C906A9" w:rsidRPr="00253510">
        <w:rPr>
          <w:rFonts w:eastAsia="Calibri"/>
          <w:sz w:val="22"/>
          <w:szCs w:val="22"/>
          <w:lang w:val="sr-Latn-ME"/>
        </w:rPr>
        <w:t>a</w:t>
      </w:r>
      <w:r w:rsidRPr="00253510">
        <w:rPr>
          <w:rFonts w:eastAsia="Calibri"/>
          <w:sz w:val="22"/>
          <w:szCs w:val="22"/>
          <w:lang w:val="sr-Latn-ME"/>
        </w:rPr>
        <w:t xml:space="preserve"> prema sistemima organa i prema  učestalosti. Učestalost je definisana: veoma često (≥ 1/10), često (≥ 1/100 do &lt; 1/10), povremeno ( ≥ 1/1000 do  &lt; 1/100), r</w:t>
      </w:r>
      <w:r w:rsidR="00097C55" w:rsidRPr="00253510">
        <w:rPr>
          <w:rFonts w:eastAsia="Calibri"/>
          <w:sz w:val="22"/>
          <w:szCs w:val="22"/>
          <w:lang w:val="sr-Latn-ME"/>
        </w:rPr>
        <w:t>ij</w:t>
      </w:r>
      <w:r w:rsidRPr="00253510">
        <w:rPr>
          <w:rFonts w:eastAsia="Calibri"/>
          <w:sz w:val="22"/>
          <w:szCs w:val="22"/>
          <w:lang w:val="sr-Latn-ME"/>
        </w:rPr>
        <w:t>etko ( ≥  1/10000 do  &lt; 1/1000), veoma r</w:t>
      </w:r>
      <w:r w:rsidR="00097C55" w:rsidRPr="00253510">
        <w:rPr>
          <w:rFonts w:eastAsia="Calibri"/>
          <w:sz w:val="22"/>
          <w:szCs w:val="22"/>
          <w:lang w:val="sr-Latn-ME"/>
        </w:rPr>
        <w:t>ij</w:t>
      </w:r>
      <w:r w:rsidRPr="00253510">
        <w:rPr>
          <w:rFonts w:eastAsia="Calibri"/>
          <w:sz w:val="22"/>
          <w:szCs w:val="22"/>
          <w:lang w:val="sr-Latn-ME"/>
        </w:rPr>
        <w:t>etko (&lt; 1/10000), nepoznate učestalosti (ne može se proc</w:t>
      </w:r>
      <w:r w:rsidR="00097C55" w:rsidRPr="00253510">
        <w:rPr>
          <w:rFonts w:eastAsia="Calibri"/>
          <w:sz w:val="22"/>
          <w:szCs w:val="22"/>
          <w:lang w:val="sr-Latn-ME"/>
        </w:rPr>
        <w:t>ij</w:t>
      </w:r>
      <w:r w:rsidRPr="00253510">
        <w:rPr>
          <w:rFonts w:eastAsia="Calibri"/>
          <w:sz w:val="22"/>
          <w:szCs w:val="22"/>
          <w:lang w:val="sr-Latn-ME"/>
        </w:rPr>
        <w:t>eniti na osnovu raspoloživih podataka).</w:t>
      </w:r>
    </w:p>
    <w:p w14:paraId="7796A2B2" w14:textId="3FC2D414" w:rsidR="000F73FE" w:rsidRPr="00253510" w:rsidRDefault="000F73FE" w:rsidP="000F73FE">
      <w:pPr>
        <w:pStyle w:val="NormalIndent"/>
        <w:ind w:left="0"/>
        <w:jc w:val="both"/>
        <w:rPr>
          <w:rFonts w:eastAsia="Calibri"/>
          <w:bCs/>
          <w:szCs w:val="22"/>
          <w:lang w:val="sr-Latn-ME"/>
        </w:rPr>
      </w:pPr>
      <w:r w:rsidRPr="00253510">
        <w:rPr>
          <w:rFonts w:eastAsia="Calibri"/>
          <w:bCs/>
          <w:szCs w:val="22"/>
          <w:lang w:val="sr-Latn-ME"/>
        </w:rPr>
        <w:t>U okviru svih grupa učestalosti javljanja, neželjen</w:t>
      </w:r>
      <w:r w:rsidR="000108DC" w:rsidRPr="00253510">
        <w:rPr>
          <w:rFonts w:eastAsia="Calibri"/>
          <w:bCs/>
          <w:szCs w:val="22"/>
          <w:lang w:val="sr-Latn-ME"/>
        </w:rPr>
        <w:t>a</w:t>
      </w:r>
      <w:r w:rsidRPr="00253510">
        <w:rPr>
          <w:rFonts w:eastAsia="Calibri"/>
          <w:bCs/>
          <w:szCs w:val="22"/>
          <w:lang w:val="sr-Latn-ME"/>
        </w:rPr>
        <w:t xml:space="preserve"> d</w:t>
      </w:r>
      <w:r w:rsidR="000108DC" w:rsidRPr="00253510">
        <w:rPr>
          <w:rFonts w:eastAsia="Calibri"/>
          <w:bCs/>
          <w:szCs w:val="22"/>
          <w:lang w:val="sr-Latn-ME"/>
        </w:rPr>
        <w:t>ejstva</w:t>
      </w:r>
      <w:r w:rsidRPr="00253510">
        <w:rPr>
          <w:rFonts w:eastAsia="Calibri"/>
          <w:bCs/>
          <w:szCs w:val="22"/>
          <w:lang w:val="sr-Latn-ME"/>
        </w:rPr>
        <w:t xml:space="preserve"> su opisan</w:t>
      </w:r>
      <w:r w:rsidR="000108DC" w:rsidRPr="00253510">
        <w:rPr>
          <w:rFonts w:eastAsia="Calibri"/>
          <w:bCs/>
          <w:szCs w:val="22"/>
          <w:lang w:val="sr-Latn-ME"/>
        </w:rPr>
        <w:t>a</w:t>
      </w:r>
      <w:r w:rsidRPr="00253510">
        <w:rPr>
          <w:rFonts w:eastAsia="Calibri"/>
          <w:bCs/>
          <w:szCs w:val="22"/>
          <w:lang w:val="sr-Latn-ME"/>
        </w:rPr>
        <w:t xml:space="preserve"> po opadajućoj ozbiljnosti.</w:t>
      </w:r>
    </w:p>
    <w:p w14:paraId="7FD4CE2F" w14:textId="77777777" w:rsidR="0048288D" w:rsidRPr="00253510" w:rsidRDefault="0048288D" w:rsidP="000F73FE">
      <w:pPr>
        <w:pStyle w:val="NormalIndent"/>
        <w:ind w:left="0"/>
        <w:jc w:val="both"/>
        <w:rPr>
          <w:rFonts w:eastAsia="Calibri"/>
          <w:bCs/>
          <w:szCs w:val="22"/>
          <w:lang w:val="sr-Latn-ME"/>
        </w:rPr>
      </w:pPr>
    </w:p>
    <w:p w14:paraId="532199DD" w14:textId="5AC1DAC9" w:rsidR="000F73FE" w:rsidRPr="00253510" w:rsidRDefault="000F73FE" w:rsidP="000F73FE">
      <w:pPr>
        <w:pStyle w:val="NormalIndent"/>
        <w:ind w:left="0"/>
        <w:jc w:val="both"/>
        <w:rPr>
          <w:rFonts w:eastAsia="Calibri"/>
          <w:b/>
          <w:bCs/>
          <w:szCs w:val="22"/>
          <w:lang w:val="sr-Latn-ME"/>
        </w:rPr>
      </w:pPr>
      <w:r w:rsidRPr="00253510">
        <w:rPr>
          <w:rFonts w:eastAsia="Calibri"/>
          <w:b/>
          <w:bCs/>
          <w:szCs w:val="22"/>
          <w:lang w:val="sr-Latn-ME"/>
        </w:rPr>
        <w:t>Tabela neželjenih d</w:t>
      </w:r>
      <w:r w:rsidR="00E63538" w:rsidRPr="00253510">
        <w:rPr>
          <w:rFonts w:eastAsia="Calibri"/>
          <w:b/>
          <w:bCs/>
          <w:szCs w:val="22"/>
          <w:lang w:val="sr-Latn-ME"/>
        </w:rPr>
        <w:t>ejstava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18"/>
        <w:gridCol w:w="4698"/>
      </w:tblGrid>
      <w:tr w:rsidR="000F73FE" w:rsidRPr="003A3512" w14:paraId="50954D6D" w14:textId="77777777" w:rsidTr="00097C55">
        <w:trPr>
          <w:trHeight w:val="567"/>
        </w:trPr>
        <w:tc>
          <w:tcPr>
            <w:tcW w:w="2660" w:type="dxa"/>
            <w:tcBorders>
              <w:bottom w:val="single" w:sz="4" w:space="0" w:color="auto"/>
            </w:tcBorders>
            <w:shd w:val="clear" w:color="auto" w:fill="auto"/>
          </w:tcPr>
          <w:p w14:paraId="4B188D33" w14:textId="59F3253D" w:rsidR="000F73FE" w:rsidRPr="00253510" w:rsidRDefault="009835B9" w:rsidP="00097C55">
            <w:pPr>
              <w:tabs>
                <w:tab w:val="left" w:pos="720"/>
              </w:tabs>
              <w:rPr>
                <w:rFonts w:eastAsia="Calibri"/>
                <w:b/>
                <w:bCs/>
                <w:sz w:val="22"/>
                <w:szCs w:val="22"/>
                <w:lang w:val="sr-Latn-ME"/>
              </w:rPr>
            </w:pPr>
            <w:r w:rsidRPr="00253510">
              <w:rPr>
                <w:rFonts w:eastAsia="Calibri"/>
                <w:b/>
                <w:bCs/>
                <w:sz w:val="22"/>
                <w:szCs w:val="22"/>
                <w:lang w:val="sr-Latn-ME"/>
              </w:rPr>
              <w:t>Sistem organa</w:t>
            </w:r>
          </w:p>
        </w:tc>
        <w:tc>
          <w:tcPr>
            <w:tcW w:w="2218" w:type="dxa"/>
            <w:shd w:val="clear" w:color="auto" w:fill="auto"/>
          </w:tcPr>
          <w:p w14:paraId="07EDB62C" w14:textId="4BB9425A"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U</w:t>
            </w:r>
            <w:r w:rsidR="009835B9" w:rsidRPr="00253510">
              <w:rPr>
                <w:rFonts w:eastAsia="Calibri"/>
                <w:b/>
                <w:bCs/>
                <w:sz w:val="22"/>
                <w:szCs w:val="22"/>
                <w:lang w:val="sr-Latn-ME"/>
              </w:rPr>
              <w:t>čestalost</w:t>
            </w:r>
          </w:p>
        </w:tc>
        <w:tc>
          <w:tcPr>
            <w:tcW w:w="4698" w:type="dxa"/>
            <w:shd w:val="clear" w:color="auto" w:fill="auto"/>
          </w:tcPr>
          <w:p w14:paraId="457264E4" w14:textId="3D6172B1" w:rsidR="000F73FE" w:rsidRPr="00253510" w:rsidRDefault="009835B9">
            <w:pPr>
              <w:tabs>
                <w:tab w:val="left" w:pos="720"/>
              </w:tabs>
              <w:rPr>
                <w:rFonts w:eastAsia="Calibri"/>
                <w:b/>
                <w:sz w:val="22"/>
                <w:szCs w:val="22"/>
                <w:lang w:val="sr-Latn-ME"/>
              </w:rPr>
            </w:pPr>
            <w:r w:rsidRPr="00253510">
              <w:rPr>
                <w:rFonts w:eastAsia="Calibri"/>
                <w:b/>
                <w:sz w:val="22"/>
                <w:szCs w:val="22"/>
                <w:lang w:val="sr-Latn-ME"/>
              </w:rPr>
              <w:t>Neželjen</w:t>
            </w:r>
            <w:r w:rsidR="00F02BE3" w:rsidRPr="00253510">
              <w:rPr>
                <w:rFonts w:eastAsia="Calibri"/>
                <w:b/>
                <w:sz w:val="22"/>
                <w:szCs w:val="22"/>
                <w:lang w:val="sr-Latn-ME"/>
              </w:rPr>
              <w:t>a</w:t>
            </w:r>
            <w:r w:rsidRPr="00253510">
              <w:rPr>
                <w:rFonts w:eastAsia="Calibri"/>
                <w:b/>
                <w:sz w:val="22"/>
                <w:szCs w:val="22"/>
                <w:lang w:val="sr-Latn-ME"/>
              </w:rPr>
              <w:t xml:space="preserve"> d</w:t>
            </w:r>
            <w:r w:rsidR="00F02BE3" w:rsidRPr="00253510">
              <w:rPr>
                <w:rFonts w:eastAsia="Calibri"/>
                <w:b/>
                <w:sz w:val="22"/>
                <w:szCs w:val="22"/>
                <w:lang w:val="sr-Latn-ME"/>
              </w:rPr>
              <w:t>ejstva</w:t>
            </w:r>
          </w:p>
        </w:tc>
      </w:tr>
      <w:tr w:rsidR="000F73FE" w:rsidRPr="003A3512" w14:paraId="680B6B58" w14:textId="77777777" w:rsidTr="00097C55">
        <w:tc>
          <w:tcPr>
            <w:tcW w:w="2660" w:type="dxa"/>
            <w:tcBorders>
              <w:bottom w:val="single" w:sz="4" w:space="0" w:color="auto"/>
            </w:tcBorders>
            <w:shd w:val="clear" w:color="auto" w:fill="auto"/>
          </w:tcPr>
          <w:p w14:paraId="0AC83D32"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Infekcije i parazitske infekcije</w:t>
            </w:r>
          </w:p>
        </w:tc>
        <w:tc>
          <w:tcPr>
            <w:tcW w:w="2218" w:type="dxa"/>
            <w:shd w:val="clear" w:color="auto" w:fill="auto"/>
          </w:tcPr>
          <w:p w14:paraId="3EE05E89" w14:textId="52B4C979"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40979086" w14:textId="77777777" w:rsidR="000F73FE" w:rsidRPr="00253510" w:rsidRDefault="000F73FE" w:rsidP="00097C55">
            <w:pPr>
              <w:rPr>
                <w:rFonts w:eastAsia="Calibri"/>
                <w:sz w:val="22"/>
                <w:szCs w:val="22"/>
                <w:lang w:val="sr-Latn-ME"/>
              </w:rPr>
            </w:pPr>
            <w:r w:rsidRPr="00253510">
              <w:rPr>
                <w:rFonts w:eastAsia="Calibri"/>
                <w:sz w:val="22"/>
                <w:szCs w:val="22"/>
                <w:lang w:val="sr-Latn-ME"/>
              </w:rPr>
              <w:t>Pogoršanje inflamatorne reakcije povezane sa infekcijom (npr. razvoj nekrotizirajućeg fasciitisa je povezan sa upotrebom NSAIL)</w:t>
            </w:r>
          </w:p>
          <w:p w14:paraId="11904DF5" w14:textId="77777777" w:rsidR="000F73FE" w:rsidRPr="00253510" w:rsidRDefault="000F73FE" w:rsidP="00097C55">
            <w:pPr>
              <w:rPr>
                <w:rFonts w:eastAsia="Calibri"/>
                <w:sz w:val="22"/>
                <w:szCs w:val="22"/>
                <w:lang w:val="sr-Latn-ME"/>
              </w:rPr>
            </w:pPr>
            <w:r w:rsidRPr="00253510">
              <w:rPr>
                <w:rFonts w:eastAsia="Calibri"/>
                <w:sz w:val="22"/>
                <w:szCs w:val="22"/>
                <w:lang w:val="sr-Latn-ME"/>
              </w:rPr>
              <w:t>Tokom infekcije varičelom mogu se javiti ozbiljne kožne infekcije i komplikacije mekog tkiva.</w:t>
            </w:r>
          </w:p>
        </w:tc>
      </w:tr>
      <w:tr w:rsidR="000F73FE" w:rsidRPr="003A3512" w14:paraId="442D7F7A" w14:textId="77777777" w:rsidTr="00097C55">
        <w:tc>
          <w:tcPr>
            <w:tcW w:w="2660" w:type="dxa"/>
            <w:tcBorders>
              <w:bottom w:val="single" w:sz="4" w:space="0" w:color="auto"/>
            </w:tcBorders>
            <w:shd w:val="clear" w:color="auto" w:fill="auto"/>
          </w:tcPr>
          <w:p w14:paraId="192209C7"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Poremećaji krvi</w:t>
            </w:r>
          </w:p>
          <w:p w14:paraId="49DDE5F8" w14:textId="77777777"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i limfnog sistema</w:t>
            </w:r>
          </w:p>
          <w:p w14:paraId="60CC2A4B" w14:textId="77777777" w:rsidR="000F73FE" w:rsidRPr="00253510" w:rsidRDefault="000F73FE" w:rsidP="00097C55">
            <w:pPr>
              <w:tabs>
                <w:tab w:val="left" w:pos="720"/>
              </w:tabs>
              <w:rPr>
                <w:rFonts w:eastAsia="Calibri"/>
                <w:b/>
                <w:bCs/>
                <w:sz w:val="22"/>
                <w:szCs w:val="22"/>
                <w:lang w:val="sr-Latn-ME"/>
              </w:rPr>
            </w:pPr>
          </w:p>
        </w:tc>
        <w:tc>
          <w:tcPr>
            <w:tcW w:w="2218" w:type="dxa"/>
            <w:shd w:val="clear" w:color="auto" w:fill="auto"/>
          </w:tcPr>
          <w:p w14:paraId="137F58DD" w14:textId="7CA2059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1780D30E" w14:textId="5E79B7B5" w:rsidR="000F73FE" w:rsidRPr="00253510" w:rsidRDefault="000F73FE">
            <w:pPr>
              <w:rPr>
                <w:rFonts w:eastAsia="Calibri"/>
                <w:sz w:val="22"/>
                <w:szCs w:val="22"/>
                <w:lang w:val="sr-Latn-ME"/>
              </w:rPr>
            </w:pPr>
            <w:r w:rsidRPr="00253510">
              <w:rPr>
                <w:rFonts w:eastAsia="Calibri"/>
                <w:sz w:val="22"/>
                <w:szCs w:val="22"/>
                <w:lang w:val="sr-Latn-ME"/>
              </w:rPr>
              <w:t>Poremećaji hematopoeze (anemija, leukopenija, trombocitopenija, pancitopenija, agranulocitoza)</w:t>
            </w:r>
          </w:p>
        </w:tc>
      </w:tr>
      <w:tr w:rsidR="000F73FE" w:rsidRPr="003A3512" w14:paraId="6AD45B01" w14:textId="77777777" w:rsidTr="00097C55">
        <w:tc>
          <w:tcPr>
            <w:tcW w:w="2660" w:type="dxa"/>
            <w:tcBorders>
              <w:top w:val="single" w:sz="4" w:space="0" w:color="auto"/>
              <w:left w:val="single" w:sz="4" w:space="0" w:color="auto"/>
              <w:bottom w:val="nil"/>
              <w:right w:val="single" w:sz="4" w:space="0" w:color="auto"/>
            </w:tcBorders>
            <w:shd w:val="clear" w:color="auto" w:fill="auto"/>
          </w:tcPr>
          <w:p w14:paraId="2080386C" w14:textId="7E897890" w:rsidR="000F73FE" w:rsidRPr="00253510" w:rsidRDefault="000F73FE" w:rsidP="00097C55">
            <w:pPr>
              <w:rPr>
                <w:rFonts w:eastAsia="Calibri"/>
                <w:b/>
                <w:sz w:val="22"/>
                <w:szCs w:val="22"/>
                <w:lang w:val="sr-Latn-ME"/>
              </w:rPr>
            </w:pPr>
            <w:r w:rsidRPr="00253510">
              <w:rPr>
                <w:rFonts w:eastAsia="Calibri"/>
                <w:b/>
                <w:sz w:val="22"/>
                <w:szCs w:val="22"/>
                <w:lang w:val="sr-Latn-ME"/>
              </w:rPr>
              <w:t>Poremećaji imunog sistema</w:t>
            </w:r>
          </w:p>
        </w:tc>
        <w:tc>
          <w:tcPr>
            <w:tcW w:w="2218" w:type="dxa"/>
            <w:tcBorders>
              <w:left w:val="single" w:sz="4" w:space="0" w:color="auto"/>
            </w:tcBorders>
            <w:shd w:val="clear" w:color="auto" w:fill="auto"/>
          </w:tcPr>
          <w:p w14:paraId="72015D8D"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Povremeno</w:t>
            </w:r>
          </w:p>
        </w:tc>
        <w:tc>
          <w:tcPr>
            <w:tcW w:w="4698" w:type="dxa"/>
            <w:shd w:val="clear" w:color="auto" w:fill="auto"/>
          </w:tcPr>
          <w:p w14:paraId="396ECDA7" w14:textId="09B523B3"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Reakcije preosetljivosti koje podrazum</w:t>
            </w:r>
            <w:r w:rsidR="00A14167" w:rsidRPr="00253510">
              <w:rPr>
                <w:rFonts w:eastAsia="Calibri"/>
                <w:sz w:val="22"/>
                <w:szCs w:val="22"/>
                <w:lang w:val="sr-Latn-ME"/>
              </w:rPr>
              <w:t>ij</w:t>
            </w:r>
            <w:r w:rsidRPr="00253510">
              <w:rPr>
                <w:rFonts w:eastAsia="Calibri"/>
                <w:sz w:val="22"/>
                <w:szCs w:val="22"/>
                <w:lang w:val="sr-Latn-ME"/>
              </w:rPr>
              <w:t>evaju urtikariju, pruritus, purpuru i egzantem, kao i napad astme, ponekad sa hipotenzijom</w:t>
            </w:r>
          </w:p>
        </w:tc>
      </w:tr>
      <w:tr w:rsidR="000F73FE" w:rsidRPr="003A3512" w14:paraId="2AE96EBA" w14:textId="77777777" w:rsidTr="00097C55">
        <w:trPr>
          <w:trHeight w:val="945"/>
        </w:trPr>
        <w:tc>
          <w:tcPr>
            <w:tcW w:w="2660" w:type="dxa"/>
            <w:vMerge w:val="restart"/>
            <w:tcBorders>
              <w:top w:val="nil"/>
              <w:left w:val="single" w:sz="4" w:space="0" w:color="auto"/>
              <w:right w:val="single" w:sz="4" w:space="0" w:color="auto"/>
            </w:tcBorders>
            <w:shd w:val="clear" w:color="auto" w:fill="auto"/>
          </w:tcPr>
          <w:p w14:paraId="6FB41F4F" w14:textId="77777777" w:rsidR="000F73FE" w:rsidRPr="00253510" w:rsidRDefault="000F73FE" w:rsidP="00097C55">
            <w:pPr>
              <w:rPr>
                <w:rFonts w:eastAsia="Calibri"/>
                <w:b/>
                <w:sz w:val="22"/>
                <w:szCs w:val="22"/>
                <w:lang w:val="sr-Latn-ME"/>
              </w:rPr>
            </w:pPr>
          </w:p>
        </w:tc>
        <w:tc>
          <w:tcPr>
            <w:tcW w:w="2218" w:type="dxa"/>
            <w:tcBorders>
              <w:left w:val="single" w:sz="4" w:space="0" w:color="auto"/>
            </w:tcBorders>
            <w:shd w:val="clear" w:color="auto" w:fill="auto"/>
          </w:tcPr>
          <w:p w14:paraId="6C2213E8" w14:textId="6EBD5B80"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72628F02" w14:textId="332E9497" w:rsidR="000F73FE" w:rsidRPr="00253510" w:rsidRDefault="000F73FE" w:rsidP="00097C55">
            <w:pPr>
              <w:tabs>
                <w:tab w:val="left" w:pos="8100"/>
              </w:tabs>
              <w:rPr>
                <w:rFonts w:eastAsia="Calibri"/>
                <w:sz w:val="22"/>
                <w:szCs w:val="22"/>
                <w:lang w:val="sr-Latn-ME"/>
              </w:rPr>
            </w:pPr>
            <w:r w:rsidRPr="00253510">
              <w:rPr>
                <w:rFonts w:eastAsia="Calibri"/>
                <w:sz w:val="22"/>
                <w:szCs w:val="22"/>
                <w:lang w:val="sr-Latn-ME"/>
              </w:rPr>
              <w:t>Teške reakcije preos</w:t>
            </w:r>
            <w:r w:rsidR="00097C55" w:rsidRPr="00253510">
              <w:rPr>
                <w:rFonts w:eastAsia="Calibri"/>
                <w:sz w:val="22"/>
                <w:szCs w:val="22"/>
                <w:lang w:val="sr-Latn-ME"/>
              </w:rPr>
              <w:t>j</w:t>
            </w:r>
            <w:r w:rsidRPr="00253510">
              <w:rPr>
                <w:rFonts w:eastAsia="Calibri"/>
                <w:sz w:val="22"/>
                <w:szCs w:val="22"/>
                <w:lang w:val="sr-Latn-ME"/>
              </w:rPr>
              <w:t>etljivosti uključujući edem lica, jezika i grkljana, dispneja, tahikardija, hipotenzija ili težak šok (vid</w:t>
            </w:r>
            <w:r w:rsidR="00097C55" w:rsidRPr="00253510">
              <w:rPr>
                <w:rFonts w:eastAsia="Calibri"/>
                <w:sz w:val="22"/>
                <w:szCs w:val="22"/>
                <w:lang w:val="sr-Latn-ME"/>
              </w:rPr>
              <w:t>j</w:t>
            </w:r>
            <w:r w:rsidRPr="00253510">
              <w:rPr>
                <w:rFonts w:eastAsia="Calibri"/>
                <w:sz w:val="22"/>
                <w:szCs w:val="22"/>
                <w:lang w:val="sr-Latn-ME"/>
              </w:rPr>
              <w:t>eti od</w:t>
            </w:r>
            <w:r w:rsidR="00097C55" w:rsidRPr="00253510">
              <w:rPr>
                <w:rFonts w:eastAsia="Calibri"/>
                <w:sz w:val="22"/>
                <w:szCs w:val="22"/>
                <w:lang w:val="sr-Latn-ME"/>
              </w:rPr>
              <w:t>j</w:t>
            </w:r>
            <w:r w:rsidRPr="00253510">
              <w:rPr>
                <w:rFonts w:eastAsia="Calibri"/>
                <w:sz w:val="22"/>
                <w:szCs w:val="22"/>
                <w:lang w:val="sr-Latn-ME"/>
              </w:rPr>
              <w:t>eljak 4.4)</w:t>
            </w:r>
          </w:p>
          <w:p w14:paraId="4A1536F0" w14:textId="77777777" w:rsidR="000F73FE" w:rsidRPr="00253510" w:rsidRDefault="000F73FE" w:rsidP="00097C55">
            <w:pPr>
              <w:tabs>
                <w:tab w:val="left" w:pos="8100"/>
              </w:tabs>
              <w:rPr>
                <w:rFonts w:eastAsia="Calibri"/>
                <w:sz w:val="22"/>
                <w:szCs w:val="22"/>
                <w:lang w:val="sr-Latn-ME"/>
              </w:rPr>
            </w:pPr>
          </w:p>
        </w:tc>
      </w:tr>
      <w:tr w:rsidR="000F73FE" w:rsidRPr="003A3512" w14:paraId="2129D6DD" w14:textId="77777777" w:rsidTr="00097C55">
        <w:trPr>
          <w:trHeight w:val="570"/>
        </w:trPr>
        <w:tc>
          <w:tcPr>
            <w:tcW w:w="2660" w:type="dxa"/>
            <w:vMerge/>
            <w:tcBorders>
              <w:left w:val="single" w:sz="4" w:space="0" w:color="auto"/>
              <w:bottom w:val="single" w:sz="4" w:space="0" w:color="auto"/>
              <w:right w:val="single" w:sz="4" w:space="0" w:color="auto"/>
            </w:tcBorders>
            <w:shd w:val="clear" w:color="auto" w:fill="auto"/>
          </w:tcPr>
          <w:p w14:paraId="5849B1BB" w14:textId="77777777" w:rsidR="000F73FE" w:rsidRPr="00253510" w:rsidRDefault="000F73FE" w:rsidP="00097C55">
            <w:pPr>
              <w:rPr>
                <w:rFonts w:eastAsia="Calibri"/>
                <w:b/>
                <w:sz w:val="22"/>
                <w:szCs w:val="22"/>
                <w:lang w:val="sr-Latn-ME"/>
              </w:rPr>
            </w:pPr>
          </w:p>
        </w:tc>
        <w:tc>
          <w:tcPr>
            <w:tcW w:w="2218" w:type="dxa"/>
            <w:tcBorders>
              <w:left w:val="single" w:sz="4" w:space="0" w:color="auto"/>
            </w:tcBorders>
            <w:shd w:val="clear" w:color="auto" w:fill="auto"/>
          </w:tcPr>
          <w:p w14:paraId="1E343CCF"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Nepoznato</w:t>
            </w:r>
          </w:p>
        </w:tc>
        <w:tc>
          <w:tcPr>
            <w:tcW w:w="4698" w:type="dxa"/>
            <w:shd w:val="clear" w:color="auto" w:fill="auto"/>
          </w:tcPr>
          <w:p w14:paraId="550D9DED" w14:textId="77777777" w:rsidR="000F73FE" w:rsidRPr="00253510" w:rsidRDefault="000F73FE" w:rsidP="00097C55">
            <w:pPr>
              <w:tabs>
                <w:tab w:val="left" w:pos="8100"/>
              </w:tabs>
              <w:rPr>
                <w:rFonts w:eastAsia="Calibri"/>
                <w:sz w:val="22"/>
                <w:szCs w:val="22"/>
                <w:lang w:val="sr-Latn-ME"/>
              </w:rPr>
            </w:pPr>
            <w:r w:rsidRPr="00253510">
              <w:rPr>
                <w:rFonts w:eastAsia="Calibri"/>
                <w:sz w:val="22"/>
                <w:szCs w:val="22"/>
                <w:lang w:val="sr-Latn-ME"/>
              </w:rPr>
              <w:t>Sindrom nalik lupusu</w:t>
            </w:r>
            <w:r w:rsidRPr="00253510">
              <w:rPr>
                <w:rFonts w:eastAsia="Calibri"/>
                <w:sz w:val="22"/>
                <w:szCs w:val="22"/>
                <w:vertAlign w:val="superscript"/>
                <w:lang w:val="sr-Latn-ME"/>
              </w:rPr>
              <w:t xml:space="preserve"> </w:t>
            </w:r>
          </w:p>
          <w:p w14:paraId="067066F1" w14:textId="77777777" w:rsidR="000F73FE" w:rsidRPr="00253510" w:rsidRDefault="000F73FE" w:rsidP="00097C55">
            <w:pPr>
              <w:tabs>
                <w:tab w:val="left" w:pos="8100"/>
              </w:tabs>
              <w:rPr>
                <w:rFonts w:eastAsia="Calibri"/>
                <w:sz w:val="22"/>
                <w:szCs w:val="22"/>
                <w:lang w:val="sr-Latn-ME"/>
              </w:rPr>
            </w:pPr>
          </w:p>
        </w:tc>
      </w:tr>
      <w:tr w:rsidR="000F73FE" w:rsidRPr="003A3512" w14:paraId="46238131" w14:textId="77777777" w:rsidTr="00097C55">
        <w:tc>
          <w:tcPr>
            <w:tcW w:w="2660" w:type="dxa"/>
            <w:tcBorders>
              <w:bottom w:val="nil"/>
            </w:tcBorders>
            <w:shd w:val="clear" w:color="auto" w:fill="auto"/>
          </w:tcPr>
          <w:p w14:paraId="5D248F4F"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Psihijatrijski poremećaji</w:t>
            </w:r>
          </w:p>
        </w:tc>
        <w:tc>
          <w:tcPr>
            <w:tcW w:w="2218" w:type="dxa"/>
            <w:shd w:val="clear" w:color="auto" w:fill="auto"/>
          </w:tcPr>
          <w:p w14:paraId="5E9ABE49" w14:textId="1D07260C"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 xml:space="preserve">etko </w:t>
            </w:r>
          </w:p>
        </w:tc>
        <w:tc>
          <w:tcPr>
            <w:tcW w:w="4698" w:type="dxa"/>
            <w:shd w:val="clear" w:color="auto" w:fill="auto"/>
          </w:tcPr>
          <w:p w14:paraId="7182E8A2"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Depresija, konfuzija, halucinacije, psihotične reakcije</w:t>
            </w:r>
          </w:p>
        </w:tc>
      </w:tr>
      <w:tr w:rsidR="000F73FE" w:rsidRPr="003A3512" w14:paraId="2707B858" w14:textId="77777777" w:rsidTr="00097C55">
        <w:trPr>
          <w:trHeight w:val="225"/>
        </w:trPr>
        <w:tc>
          <w:tcPr>
            <w:tcW w:w="2660" w:type="dxa"/>
            <w:vMerge w:val="restart"/>
            <w:shd w:val="clear" w:color="auto" w:fill="auto"/>
          </w:tcPr>
          <w:p w14:paraId="5B2015D5"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Poremećaji nervnog sistema</w:t>
            </w:r>
          </w:p>
        </w:tc>
        <w:tc>
          <w:tcPr>
            <w:tcW w:w="2218" w:type="dxa"/>
            <w:shd w:val="clear" w:color="auto" w:fill="auto"/>
          </w:tcPr>
          <w:p w14:paraId="78F26ED5"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Često</w:t>
            </w:r>
          </w:p>
        </w:tc>
        <w:tc>
          <w:tcPr>
            <w:tcW w:w="4698" w:type="dxa"/>
            <w:shd w:val="clear" w:color="auto" w:fill="auto"/>
          </w:tcPr>
          <w:p w14:paraId="0792D526" w14:textId="0CF9F95F"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Glavobolja (vid</w:t>
            </w:r>
            <w:r w:rsidR="0048288D" w:rsidRPr="00253510">
              <w:rPr>
                <w:rFonts w:eastAsia="Calibri"/>
                <w:bCs/>
                <w:sz w:val="22"/>
                <w:szCs w:val="22"/>
                <w:lang w:val="sr-Latn-ME"/>
              </w:rPr>
              <w:t>j</w:t>
            </w:r>
            <w:r w:rsidRPr="00253510">
              <w:rPr>
                <w:rFonts w:eastAsia="Calibri"/>
                <w:bCs/>
                <w:sz w:val="22"/>
                <w:szCs w:val="22"/>
                <w:lang w:val="sr-Latn-ME"/>
              </w:rPr>
              <w:t>eti od</w:t>
            </w:r>
            <w:r w:rsidR="0048288D" w:rsidRPr="00253510">
              <w:rPr>
                <w:rFonts w:eastAsia="Calibri"/>
                <w:bCs/>
                <w:sz w:val="22"/>
                <w:szCs w:val="22"/>
                <w:lang w:val="sr-Latn-ME"/>
              </w:rPr>
              <w:t>j</w:t>
            </w:r>
            <w:r w:rsidRPr="00253510">
              <w:rPr>
                <w:rFonts w:eastAsia="Calibri"/>
                <w:bCs/>
                <w:sz w:val="22"/>
                <w:szCs w:val="22"/>
                <w:lang w:val="sr-Latn-ME"/>
              </w:rPr>
              <w:t>eljak 4.4), vrtoglavica</w:t>
            </w:r>
          </w:p>
        </w:tc>
      </w:tr>
      <w:tr w:rsidR="000F73FE" w:rsidRPr="003A3512" w14:paraId="7A9A8CCA" w14:textId="77777777" w:rsidTr="00097C55">
        <w:trPr>
          <w:trHeight w:val="285"/>
        </w:trPr>
        <w:tc>
          <w:tcPr>
            <w:tcW w:w="2660" w:type="dxa"/>
            <w:vMerge/>
            <w:tcBorders>
              <w:bottom w:val="nil"/>
            </w:tcBorders>
            <w:shd w:val="clear" w:color="auto" w:fill="auto"/>
          </w:tcPr>
          <w:p w14:paraId="6E37E1E1" w14:textId="77777777" w:rsidR="000F73FE" w:rsidRPr="00253510" w:rsidRDefault="000F73FE" w:rsidP="00097C55">
            <w:pPr>
              <w:rPr>
                <w:rFonts w:eastAsia="Calibri"/>
                <w:b/>
                <w:sz w:val="22"/>
                <w:szCs w:val="22"/>
                <w:lang w:val="sr-Latn-ME"/>
              </w:rPr>
            </w:pPr>
          </w:p>
        </w:tc>
        <w:tc>
          <w:tcPr>
            <w:tcW w:w="2218" w:type="dxa"/>
            <w:shd w:val="clear" w:color="auto" w:fill="auto"/>
          </w:tcPr>
          <w:p w14:paraId="70E173BD"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Povremeno</w:t>
            </w:r>
          </w:p>
        </w:tc>
        <w:tc>
          <w:tcPr>
            <w:tcW w:w="4698" w:type="dxa"/>
            <w:shd w:val="clear" w:color="auto" w:fill="auto"/>
          </w:tcPr>
          <w:p w14:paraId="1422155F" w14:textId="7AE31608"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Somnolencija, umor, uznemirenost, nesanica, razdražljivost</w:t>
            </w:r>
          </w:p>
        </w:tc>
      </w:tr>
      <w:tr w:rsidR="000F73FE" w:rsidRPr="003A3512" w14:paraId="4AE1670A" w14:textId="77777777" w:rsidTr="00097C55">
        <w:trPr>
          <w:trHeight w:val="300"/>
        </w:trPr>
        <w:tc>
          <w:tcPr>
            <w:tcW w:w="2660" w:type="dxa"/>
            <w:vMerge w:val="restart"/>
            <w:tcBorders>
              <w:top w:val="nil"/>
            </w:tcBorders>
            <w:shd w:val="clear" w:color="auto" w:fill="auto"/>
          </w:tcPr>
          <w:p w14:paraId="161812D4" w14:textId="77777777" w:rsidR="000F73FE" w:rsidRPr="00253510" w:rsidRDefault="000F73FE" w:rsidP="00097C55">
            <w:pPr>
              <w:rPr>
                <w:rFonts w:eastAsia="Calibri"/>
                <w:b/>
                <w:sz w:val="22"/>
                <w:szCs w:val="22"/>
                <w:highlight w:val="yellow"/>
                <w:lang w:val="sr-Latn-ME"/>
              </w:rPr>
            </w:pPr>
          </w:p>
        </w:tc>
        <w:tc>
          <w:tcPr>
            <w:tcW w:w="2218" w:type="dxa"/>
            <w:shd w:val="clear" w:color="auto" w:fill="auto"/>
          </w:tcPr>
          <w:p w14:paraId="349702CB" w14:textId="364B4EE3"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p w14:paraId="2052ECEE" w14:textId="77777777" w:rsidR="000F73FE" w:rsidRPr="00253510" w:rsidRDefault="000F73FE" w:rsidP="00097C55">
            <w:pPr>
              <w:tabs>
                <w:tab w:val="left" w:pos="720"/>
              </w:tabs>
              <w:rPr>
                <w:rFonts w:eastAsia="Calibri"/>
                <w:bCs/>
                <w:sz w:val="22"/>
                <w:szCs w:val="22"/>
                <w:lang w:val="sr-Latn-ME"/>
              </w:rPr>
            </w:pPr>
          </w:p>
        </w:tc>
        <w:tc>
          <w:tcPr>
            <w:tcW w:w="4698" w:type="dxa"/>
            <w:shd w:val="clear" w:color="auto" w:fill="auto"/>
          </w:tcPr>
          <w:p w14:paraId="28582F5E" w14:textId="77777777" w:rsidR="000F73FE" w:rsidRPr="00253510" w:rsidRDefault="000F73FE" w:rsidP="00097C55">
            <w:pPr>
              <w:tabs>
                <w:tab w:val="left" w:pos="720"/>
              </w:tabs>
              <w:rPr>
                <w:rFonts w:eastAsia="Calibri"/>
                <w:sz w:val="22"/>
                <w:szCs w:val="22"/>
                <w:vertAlign w:val="superscript"/>
                <w:lang w:val="sr-Latn-ME"/>
              </w:rPr>
            </w:pPr>
            <w:r w:rsidRPr="00253510">
              <w:rPr>
                <w:rFonts w:eastAsia="Calibri"/>
                <w:sz w:val="22"/>
                <w:szCs w:val="22"/>
                <w:lang w:val="sr-Latn-ME"/>
              </w:rPr>
              <w:t>Aseptični meningitis</w:t>
            </w:r>
          </w:p>
          <w:p w14:paraId="5A1DF8DF" w14:textId="77777777" w:rsidR="000F73FE" w:rsidRPr="00253510" w:rsidRDefault="000F73FE" w:rsidP="00097C55">
            <w:pPr>
              <w:tabs>
                <w:tab w:val="left" w:pos="720"/>
              </w:tabs>
              <w:rPr>
                <w:rFonts w:eastAsia="Calibri"/>
                <w:sz w:val="22"/>
                <w:szCs w:val="22"/>
                <w:lang w:val="sr-Latn-ME"/>
              </w:rPr>
            </w:pPr>
          </w:p>
        </w:tc>
      </w:tr>
      <w:tr w:rsidR="000F73FE" w:rsidRPr="003A3512" w14:paraId="6C5F3CDB" w14:textId="77777777" w:rsidTr="00097C55">
        <w:trPr>
          <w:trHeight w:val="210"/>
        </w:trPr>
        <w:tc>
          <w:tcPr>
            <w:tcW w:w="2660" w:type="dxa"/>
            <w:vMerge/>
            <w:shd w:val="clear" w:color="auto" w:fill="auto"/>
          </w:tcPr>
          <w:p w14:paraId="443AD747" w14:textId="77777777" w:rsidR="000F73FE" w:rsidRPr="00253510" w:rsidRDefault="000F73FE" w:rsidP="00097C55">
            <w:pPr>
              <w:rPr>
                <w:rFonts w:eastAsia="Calibri"/>
                <w:b/>
                <w:sz w:val="22"/>
                <w:szCs w:val="22"/>
                <w:highlight w:val="yellow"/>
                <w:lang w:val="sr-Latn-ME"/>
              </w:rPr>
            </w:pPr>
          </w:p>
        </w:tc>
        <w:tc>
          <w:tcPr>
            <w:tcW w:w="2218" w:type="dxa"/>
            <w:shd w:val="clear" w:color="auto" w:fill="auto"/>
          </w:tcPr>
          <w:p w14:paraId="2061A72C"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Nepoznato</w:t>
            </w:r>
          </w:p>
        </w:tc>
        <w:tc>
          <w:tcPr>
            <w:tcW w:w="4698" w:type="dxa"/>
            <w:shd w:val="clear" w:color="auto" w:fill="auto"/>
          </w:tcPr>
          <w:p w14:paraId="5D56F76F"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Vertigo</w:t>
            </w:r>
          </w:p>
        </w:tc>
      </w:tr>
      <w:tr w:rsidR="000F73FE" w:rsidRPr="003A3512" w14:paraId="4B8B1BEC" w14:textId="77777777" w:rsidTr="00097C55">
        <w:trPr>
          <w:trHeight w:val="210"/>
        </w:trPr>
        <w:tc>
          <w:tcPr>
            <w:tcW w:w="2660" w:type="dxa"/>
            <w:shd w:val="clear" w:color="auto" w:fill="auto"/>
          </w:tcPr>
          <w:p w14:paraId="1CAE8E1A"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 xml:space="preserve">Poremećaji uha i labirinta </w:t>
            </w:r>
          </w:p>
        </w:tc>
        <w:tc>
          <w:tcPr>
            <w:tcW w:w="2218" w:type="dxa"/>
            <w:shd w:val="clear" w:color="auto" w:fill="auto"/>
          </w:tcPr>
          <w:p w14:paraId="6F8E4EB0" w14:textId="021E1A9C"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R</w:t>
            </w:r>
            <w:r w:rsidR="00097C55" w:rsidRPr="00253510">
              <w:rPr>
                <w:rFonts w:eastAsia="Calibri"/>
                <w:bCs/>
                <w:sz w:val="22"/>
                <w:szCs w:val="22"/>
                <w:lang w:val="sr-Latn-ME"/>
              </w:rPr>
              <w:t>ij</w:t>
            </w:r>
            <w:r w:rsidRPr="00253510">
              <w:rPr>
                <w:rFonts w:eastAsia="Calibri"/>
                <w:bCs/>
                <w:sz w:val="22"/>
                <w:szCs w:val="22"/>
                <w:lang w:val="sr-Latn-ME"/>
              </w:rPr>
              <w:t>etko</w:t>
            </w:r>
          </w:p>
          <w:p w14:paraId="416DAE93" w14:textId="77777777" w:rsidR="000F73FE" w:rsidRPr="00253510" w:rsidRDefault="000F73FE" w:rsidP="00097C55">
            <w:pPr>
              <w:tabs>
                <w:tab w:val="left" w:pos="720"/>
              </w:tabs>
              <w:rPr>
                <w:rFonts w:eastAsia="Calibri"/>
                <w:bCs/>
                <w:sz w:val="22"/>
                <w:szCs w:val="22"/>
                <w:lang w:val="sr-Latn-ME"/>
              </w:rPr>
            </w:pPr>
          </w:p>
        </w:tc>
        <w:tc>
          <w:tcPr>
            <w:tcW w:w="4698" w:type="dxa"/>
            <w:shd w:val="clear" w:color="auto" w:fill="auto"/>
          </w:tcPr>
          <w:p w14:paraId="27CF01F7"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Tinitus</w:t>
            </w:r>
          </w:p>
        </w:tc>
      </w:tr>
      <w:tr w:rsidR="000F73FE" w:rsidRPr="003A3512" w14:paraId="05D7C7FA" w14:textId="77777777" w:rsidTr="00097C55">
        <w:trPr>
          <w:trHeight w:val="270"/>
        </w:trPr>
        <w:tc>
          <w:tcPr>
            <w:tcW w:w="2660" w:type="dxa"/>
            <w:vMerge w:val="restart"/>
            <w:shd w:val="clear" w:color="auto" w:fill="auto"/>
          </w:tcPr>
          <w:p w14:paraId="32BB199B"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Poremećaji oka</w:t>
            </w:r>
          </w:p>
        </w:tc>
        <w:tc>
          <w:tcPr>
            <w:tcW w:w="2218" w:type="dxa"/>
            <w:shd w:val="clear" w:color="auto" w:fill="auto"/>
          </w:tcPr>
          <w:p w14:paraId="4ED2263A"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Povremeno</w:t>
            </w:r>
          </w:p>
        </w:tc>
        <w:tc>
          <w:tcPr>
            <w:tcW w:w="4698" w:type="dxa"/>
            <w:shd w:val="clear" w:color="auto" w:fill="auto"/>
          </w:tcPr>
          <w:p w14:paraId="6F114D85"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 xml:space="preserve">Poremećaj vida </w:t>
            </w:r>
          </w:p>
        </w:tc>
      </w:tr>
      <w:tr w:rsidR="000F73FE" w:rsidRPr="003A3512" w14:paraId="0EF54757" w14:textId="77777777" w:rsidTr="00097C55">
        <w:trPr>
          <w:trHeight w:val="221"/>
        </w:trPr>
        <w:tc>
          <w:tcPr>
            <w:tcW w:w="2660" w:type="dxa"/>
            <w:vMerge/>
            <w:shd w:val="clear" w:color="auto" w:fill="auto"/>
          </w:tcPr>
          <w:p w14:paraId="421F8196" w14:textId="77777777" w:rsidR="000F73FE" w:rsidRPr="00253510" w:rsidRDefault="000F73FE" w:rsidP="00097C55">
            <w:pPr>
              <w:rPr>
                <w:rFonts w:eastAsia="Calibri"/>
                <w:b/>
                <w:sz w:val="22"/>
                <w:szCs w:val="22"/>
                <w:lang w:val="sr-Latn-ME"/>
              </w:rPr>
            </w:pPr>
          </w:p>
        </w:tc>
        <w:tc>
          <w:tcPr>
            <w:tcW w:w="2218" w:type="dxa"/>
            <w:shd w:val="clear" w:color="auto" w:fill="auto"/>
          </w:tcPr>
          <w:p w14:paraId="4DBB2112"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Nepoznato</w:t>
            </w:r>
          </w:p>
        </w:tc>
        <w:tc>
          <w:tcPr>
            <w:tcW w:w="4698" w:type="dxa"/>
            <w:shd w:val="clear" w:color="auto" w:fill="auto"/>
          </w:tcPr>
          <w:p w14:paraId="1EF0979E"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Toksična ambliopija</w:t>
            </w:r>
          </w:p>
        </w:tc>
      </w:tr>
      <w:tr w:rsidR="000F73FE" w:rsidRPr="003A3512" w14:paraId="63C7C7C5" w14:textId="77777777" w:rsidTr="00097C55">
        <w:trPr>
          <w:trHeight w:val="449"/>
        </w:trPr>
        <w:tc>
          <w:tcPr>
            <w:tcW w:w="2660" w:type="dxa"/>
            <w:shd w:val="clear" w:color="auto" w:fill="auto"/>
          </w:tcPr>
          <w:p w14:paraId="72BE9E42"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lastRenderedPageBreak/>
              <w:t>Kardiološki poremećaji</w:t>
            </w:r>
          </w:p>
        </w:tc>
        <w:tc>
          <w:tcPr>
            <w:tcW w:w="2218" w:type="dxa"/>
            <w:shd w:val="clear" w:color="auto" w:fill="auto"/>
          </w:tcPr>
          <w:p w14:paraId="15CA3906" w14:textId="57EF725E"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09FA5627" w14:textId="74D13C7F" w:rsidR="000F73FE" w:rsidRPr="00253510" w:rsidRDefault="000F73FE">
            <w:pPr>
              <w:tabs>
                <w:tab w:val="left" w:pos="720"/>
              </w:tabs>
              <w:rPr>
                <w:rFonts w:eastAsia="Calibri"/>
                <w:sz w:val="22"/>
                <w:szCs w:val="22"/>
                <w:lang w:val="sr-Latn-ME"/>
              </w:rPr>
            </w:pPr>
            <w:r w:rsidRPr="00253510">
              <w:rPr>
                <w:rFonts w:eastAsia="Calibri"/>
                <w:sz w:val="22"/>
                <w:szCs w:val="22"/>
                <w:lang w:val="sr-Latn-ME"/>
              </w:rPr>
              <w:t>Palpitacije, srčana insuficijencija, infarkt miokarda, akutni plućni edem, edem (vid</w:t>
            </w:r>
            <w:r w:rsidR="00097C55" w:rsidRPr="00253510">
              <w:rPr>
                <w:rFonts w:eastAsia="Calibri"/>
                <w:sz w:val="22"/>
                <w:szCs w:val="22"/>
                <w:lang w:val="sr-Latn-ME"/>
              </w:rPr>
              <w:t>j</w:t>
            </w:r>
            <w:r w:rsidRPr="00253510">
              <w:rPr>
                <w:rFonts w:eastAsia="Calibri"/>
                <w:sz w:val="22"/>
                <w:szCs w:val="22"/>
                <w:lang w:val="sr-Latn-ME"/>
              </w:rPr>
              <w:t>eti od</w:t>
            </w:r>
            <w:r w:rsidR="00097C55" w:rsidRPr="00253510">
              <w:rPr>
                <w:rFonts w:eastAsia="Calibri"/>
                <w:sz w:val="22"/>
                <w:szCs w:val="22"/>
                <w:lang w:val="sr-Latn-ME"/>
              </w:rPr>
              <w:t>j</w:t>
            </w:r>
            <w:r w:rsidRPr="00253510">
              <w:rPr>
                <w:rFonts w:eastAsia="Calibri"/>
                <w:sz w:val="22"/>
                <w:szCs w:val="22"/>
                <w:lang w:val="sr-Latn-ME"/>
              </w:rPr>
              <w:t>eljak 4.4)</w:t>
            </w:r>
          </w:p>
        </w:tc>
      </w:tr>
      <w:tr w:rsidR="000F73FE" w:rsidRPr="003A3512" w14:paraId="5A02BE78" w14:textId="77777777" w:rsidTr="00097C55">
        <w:trPr>
          <w:trHeight w:val="413"/>
        </w:trPr>
        <w:tc>
          <w:tcPr>
            <w:tcW w:w="2660" w:type="dxa"/>
            <w:shd w:val="clear" w:color="auto" w:fill="auto"/>
          </w:tcPr>
          <w:p w14:paraId="0247B3DA" w14:textId="77777777" w:rsidR="000F73FE" w:rsidRPr="00253510" w:rsidRDefault="000F73FE" w:rsidP="00097C55">
            <w:pPr>
              <w:tabs>
                <w:tab w:val="left" w:pos="720"/>
              </w:tabs>
              <w:rPr>
                <w:rFonts w:eastAsia="Calibri"/>
                <w:b/>
                <w:sz w:val="22"/>
                <w:szCs w:val="22"/>
                <w:lang w:val="sr-Latn-ME"/>
              </w:rPr>
            </w:pPr>
            <w:r w:rsidRPr="00253510">
              <w:rPr>
                <w:rFonts w:eastAsia="Calibri"/>
                <w:b/>
                <w:sz w:val="22"/>
                <w:szCs w:val="22"/>
                <w:lang w:val="sr-Latn-ME"/>
              </w:rPr>
              <w:t>Vaskularni poremećaji</w:t>
            </w:r>
          </w:p>
          <w:p w14:paraId="13CB5929" w14:textId="77777777" w:rsidR="000F73FE" w:rsidRPr="00253510" w:rsidRDefault="000F73FE" w:rsidP="00097C55">
            <w:pPr>
              <w:rPr>
                <w:rFonts w:eastAsia="Calibri"/>
                <w:b/>
                <w:sz w:val="22"/>
                <w:szCs w:val="22"/>
                <w:lang w:val="sr-Latn-ME"/>
              </w:rPr>
            </w:pPr>
          </w:p>
        </w:tc>
        <w:tc>
          <w:tcPr>
            <w:tcW w:w="2218" w:type="dxa"/>
            <w:shd w:val="clear" w:color="auto" w:fill="auto"/>
          </w:tcPr>
          <w:p w14:paraId="7B283EC1" w14:textId="180353A0"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51FC602F" w14:textId="1A0ABD44" w:rsidR="000F73FE" w:rsidRPr="00253510" w:rsidRDefault="000F73FE">
            <w:pPr>
              <w:tabs>
                <w:tab w:val="left" w:pos="720"/>
              </w:tabs>
              <w:rPr>
                <w:rFonts w:eastAsia="Calibri"/>
                <w:sz w:val="22"/>
                <w:szCs w:val="22"/>
                <w:lang w:val="sr-Latn-ME"/>
              </w:rPr>
            </w:pPr>
            <w:r w:rsidRPr="00253510">
              <w:rPr>
                <w:rFonts w:eastAsia="Calibri"/>
                <w:sz w:val="22"/>
                <w:szCs w:val="22"/>
                <w:lang w:val="sr-Latn-ME"/>
              </w:rPr>
              <w:t>Arterijska hipertenzija (vid</w:t>
            </w:r>
            <w:r w:rsidR="00097C55" w:rsidRPr="00253510">
              <w:rPr>
                <w:rFonts w:eastAsia="Calibri"/>
                <w:sz w:val="22"/>
                <w:szCs w:val="22"/>
                <w:lang w:val="sr-Latn-ME"/>
              </w:rPr>
              <w:t>j</w:t>
            </w:r>
            <w:r w:rsidRPr="00253510">
              <w:rPr>
                <w:rFonts w:eastAsia="Calibri"/>
                <w:sz w:val="22"/>
                <w:szCs w:val="22"/>
                <w:lang w:val="sr-Latn-ME"/>
              </w:rPr>
              <w:t>eti od</w:t>
            </w:r>
            <w:r w:rsidR="00097C55" w:rsidRPr="00253510">
              <w:rPr>
                <w:rFonts w:eastAsia="Calibri"/>
                <w:sz w:val="22"/>
                <w:szCs w:val="22"/>
                <w:lang w:val="sr-Latn-ME"/>
              </w:rPr>
              <w:t>j</w:t>
            </w:r>
            <w:r w:rsidRPr="00253510">
              <w:rPr>
                <w:rFonts w:eastAsia="Calibri"/>
                <w:sz w:val="22"/>
                <w:szCs w:val="22"/>
                <w:lang w:val="sr-Latn-ME"/>
              </w:rPr>
              <w:t xml:space="preserve">eljak 4.4) </w:t>
            </w:r>
          </w:p>
        </w:tc>
      </w:tr>
      <w:tr w:rsidR="000F73FE" w:rsidRPr="003A3512" w14:paraId="293F5F80" w14:textId="77777777" w:rsidTr="00097C55">
        <w:tc>
          <w:tcPr>
            <w:tcW w:w="2660" w:type="dxa"/>
            <w:shd w:val="clear" w:color="auto" w:fill="auto"/>
          </w:tcPr>
          <w:p w14:paraId="3651E1CD"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Respiratorni, torakalni i medijastinalni poremećaji</w:t>
            </w:r>
          </w:p>
        </w:tc>
        <w:tc>
          <w:tcPr>
            <w:tcW w:w="2218" w:type="dxa"/>
            <w:tcBorders>
              <w:bottom w:val="single" w:sz="4" w:space="0" w:color="auto"/>
            </w:tcBorders>
            <w:shd w:val="clear" w:color="auto" w:fill="auto"/>
          </w:tcPr>
          <w:p w14:paraId="7E505800"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Povremeno</w:t>
            </w:r>
          </w:p>
        </w:tc>
        <w:tc>
          <w:tcPr>
            <w:tcW w:w="4698" w:type="dxa"/>
            <w:shd w:val="clear" w:color="auto" w:fill="auto"/>
          </w:tcPr>
          <w:p w14:paraId="6B4CF2BB" w14:textId="290B8730" w:rsidR="000F73FE" w:rsidRPr="00253510" w:rsidRDefault="000F73FE" w:rsidP="00097C55">
            <w:pPr>
              <w:tabs>
                <w:tab w:val="left" w:pos="720"/>
              </w:tabs>
              <w:rPr>
                <w:rFonts w:eastAsia="Calibri"/>
                <w:sz w:val="22"/>
                <w:szCs w:val="22"/>
                <w:vertAlign w:val="superscript"/>
                <w:lang w:val="sr-Latn-ME"/>
              </w:rPr>
            </w:pPr>
            <w:r w:rsidRPr="00253510">
              <w:rPr>
                <w:rFonts w:eastAsia="Calibri"/>
                <w:sz w:val="22"/>
                <w:szCs w:val="22"/>
                <w:lang w:val="sr-Latn-ME"/>
              </w:rPr>
              <w:t>Bronhospazam, alergijski rinitis (vid</w:t>
            </w:r>
            <w:r w:rsidR="00097C55" w:rsidRPr="00253510">
              <w:rPr>
                <w:rFonts w:eastAsia="Calibri"/>
                <w:sz w:val="22"/>
                <w:szCs w:val="22"/>
                <w:lang w:val="sr-Latn-ME"/>
              </w:rPr>
              <w:t>j</w:t>
            </w:r>
            <w:r w:rsidRPr="00253510">
              <w:rPr>
                <w:rFonts w:eastAsia="Calibri"/>
                <w:sz w:val="22"/>
                <w:szCs w:val="22"/>
                <w:lang w:val="sr-Latn-ME"/>
              </w:rPr>
              <w:t>eti od</w:t>
            </w:r>
            <w:r w:rsidR="00097C55" w:rsidRPr="00253510">
              <w:rPr>
                <w:rFonts w:eastAsia="Calibri"/>
                <w:sz w:val="22"/>
                <w:szCs w:val="22"/>
                <w:lang w:val="sr-Latn-ME"/>
              </w:rPr>
              <w:t>j</w:t>
            </w:r>
            <w:r w:rsidRPr="00253510">
              <w:rPr>
                <w:rFonts w:eastAsia="Calibri"/>
                <w:sz w:val="22"/>
                <w:szCs w:val="22"/>
                <w:lang w:val="sr-Latn-ME"/>
              </w:rPr>
              <w:t xml:space="preserve">eljak 4.4)  </w:t>
            </w:r>
          </w:p>
          <w:p w14:paraId="0208DE28" w14:textId="77777777" w:rsidR="000F73FE" w:rsidRPr="00253510" w:rsidRDefault="000F73FE" w:rsidP="00097C55">
            <w:pPr>
              <w:tabs>
                <w:tab w:val="left" w:pos="720"/>
              </w:tabs>
              <w:rPr>
                <w:rFonts w:eastAsia="Calibri"/>
                <w:bCs/>
                <w:sz w:val="22"/>
                <w:szCs w:val="22"/>
                <w:lang w:val="sr-Latn-ME"/>
              </w:rPr>
            </w:pPr>
          </w:p>
        </w:tc>
      </w:tr>
      <w:tr w:rsidR="000F73FE" w:rsidRPr="003A3512" w14:paraId="217437C0" w14:textId="77777777" w:rsidTr="00097C55">
        <w:tc>
          <w:tcPr>
            <w:tcW w:w="2660" w:type="dxa"/>
            <w:vMerge w:val="restart"/>
            <w:shd w:val="clear" w:color="auto" w:fill="auto"/>
          </w:tcPr>
          <w:p w14:paraId="7F3F8977" w14:textId="77777777" w:rsidR="000F73FE" w:rsidRPr="00253510" w:rsidRDefault="000F73FE" w:rsidP="00097C55">
            <w:pPr>
              <w:rPr>
                <w:rFonts w:eastAsia="Calibri"/>
                <w:b/>
                <w:sz w:val="22"/>
                <w:szCs w:val="22"/>
                <w:lang w:val="sr-Latn-ME"/>
              </w:rPr>
            </w:pPr>
            <w:r w:rsidRPr="00253510">
              <w:rPr>
                <w:rFonts w:eastAsia="Calibri"/>
                <w:b/>
                <w:sz w:val="22"/>
                <w:szCs w:val="22"/>
                <w:lang w:val="sr-Latn-ME"/>
              </w:rPr>
              <w:t>Gastrointestinalni poremećaji</w:t>
            </w:r>
          </w:p>
          <w:p w14:paraId="43899483" w14:textId="77777777" w:rsidR="000F73FE" w:rsidRPr="00253510" w:rsidRDefault="000F73FE" w:rsidP="00097C55">
            <w:pPr>
              <w:rPr>
                <w:rFonts w:eastAsia="Calibri"/>
                <w:b/>
                <w:sz w:val="22"/>
                <w:szCs w:val="22"/>
                <w:lang w:val="sr-Latn-ME"/>
              </w:rPr>
            </w:pPr>
          </w:p>
        </w:tc>
        <w:tc>
          <w:tcPr>
            <w:tcW w:w="2218" w:type="dxa"/>
            <w:shd w:val="clear" w:color="auto" w:fill="auto"/>
          </w:tcPr>
          <w:p w14:paraId="10135037"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Često</w:t>
            </w:r>
          </w:p>
        </w:tc>
        <w:tc>
          <w:tcPr>
            <w:tcW w:w="4698" w:type="dxa"/>
            <w:shd w:val="clear" w:color="auto" w:fill="auto"/>
          </w:tcPr>
          <w:p w14:paraId="4FF913AA"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Gorušica, dispepsija, bol u stomaku i mučnina, povraćanje, nadimanje, dijareja, konstipacija, okultni gubitak krvi koji može dovesti do anemije</w:t>
            </w:r>
          </w:p>
        </w:tc>
      </w:tr>
      <w:tr w:rsidR="000F73FE" w:rsidRPr="003A3512" w14:paraId="22411A81" w14:textId="77777777" w:rsidTr="00097C55">
        <w:tc>
          <w:tcPr>
            <w:tcW w:w="2660" w:type="dxa"/>
            <w:vMerge/>
            <w:shd w:val="clear" w:color="auto" w:fill="auto"/>
          </w:tcPr>
          <w:p w14:paraId="028B962C" w14:textId="77777777" w:rsidR="000F73FE" w:rsidRPr="00253510" w:rsidRDefault="000F73FE" w:rsidP="00097C55">
            <w:pPr>
              <w:rPr>
                <w:rFonts w:eastAsia="Calibri"/>
                <w:b/>
                <w:sz w:val="22"/>
                <w:szCs w:val="22"/>
                <w:lang w:val="sr-Latn-ME"/>
              </w:rPr>
            </w:pPr>
          </w:p>
        </w:tc>
        <w:tc>
          <w:tcPr>
            <w:tcW w:w="2218" w:type="dxa"/>
            <w:shd w:val="clear" w:color="auto" w:fill="auto"/>
          </w:tcPr>
          <w:p w14:paraId="400CCC28"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Povremeno</w:t>
            </w:r>
          </w:p>
        </w:tc>
        <w:tc>
          <w:tcPr>
            <w:tcW w:w="4698" w:type="dxa"/>
            <w:shd w:val="clear" w:color="auto" w:fill="auto"/>
          </w:tcPr>
          <w:p w14:paraId="460100E3" w14:textId="3A4DF9BB" w:rsidR="000F73FE" w:rsidRPr="00253510" w:rsidRDefault="000F73FE" w:rsidP="00097C55">
            <w:pPr>
              <w:rPr>
                <w:rFonts w:eastAsia="Calibri"/>
                <w:bCs/>
                <w:sz w:val="22"/>
                <w:szCs w:val="22"/>
                <w:lang w:val="sr-Latn-ME"/>
              </w:rPr>
            </w:pPr>
            <w:r w:rsidRPr="00253510">
              <w:rPr>
                <w:rFonts w:eastAsia="Calibri"/>
                <w:bCs/>
                <w:sz w:val="22"/>
                <w:szCs w:val="22"/>
                <w:lang w:val="sr-Latn-ME"/>
              </w:rPr>
              <w:t>Peptički ulkus, gastrointestinalne perforacije ili gastrointestinalna krvarenja, melena i hematemeza, ulcerativni stomatitis, kolitis, pogoršanje inflamatorne bolesti cr</w:t>
            </w:r>
            <w:r w:rsidR="002B3322" w:rsidRPr="00253510">
              <w:rPr>
                <w:rFonts w:eastAsia="Calibri"/>
                <w:bCs/>
                <w:sz w:val="22"/>
                <w:szCs w:val="22"/>
                <w:lang w:val="sr-Latn-ME"/>
              </w:rPr>
              <w:t>ij</w:t>
            </w:r>
            <w:r w:rsidRPr="00253510">
              <w:rPr>
                <w:rFonts w:eastAsia="Calibri"/>
                <w:bCs/>
                <w:sz w:val="22"/>
                <w:szCs w:val="22"/>
                <w:lang w:val="sr-Latn-ME"/>
              </w:rPr>
              <w:t>eva, perforacije divertikula, fistule i gastritis</w:t>
            </w:r>
          </w:p>
          <w:p w14:paraId="2F8BD397" w14:textId="77777777" w:rsidR="000F73FE" w:rsidRPr="00253510" w:rsidRDefault="000F73FE" w:rsidP="00097C55">
            <w:pPr>
              <w:tabs>
                <w:tab w:val="left" w:pos="720"/>
              </w:tabs>
              <w:rPr>
                <w:rFonts w:eastAsia="Calibri"/>
                <w:bCs/>
                <w:sz w:val="22"/>
                <w:szCs w:val="22"/>
                <w:lang w:val="sr-Latn-ME"/>
              </w:rPr>
            </w:pPr>
          </w:p>
        </w:tc>
      </w:tr>
      <w:tr w:rsidR="000F73FE" w:rsidRPr="003A3512" w14:paraId="5B09C7C6" w14:textId="77777777" w:rsidTr="00097C55">
        <w:trPr>
          <w:trHeight w:val="1410"/>
        </w:trPr>
        <w:tc>
          <w:tcPr>
            <w:tcW w:w="2660" w:type="dxa"/>
            <w:vMerge/>
            <w:shd w:val="clear" w:color="auto" w:fill="auto"/>
          </w:tcPr>
          <w:p w14:paraId="36A287C1" w14:textId="77777777" w:rsidR="000F73FE" w:rsidRPr="00253510" w:rsidRDefault="000F73FE" w:rsidP="00097C55">
            <w:pPr>
              <w:tabs>
                <w:tab w:val="left" w:pos="720"/>
              </w:tabs>
              <w:rPr>
                <w:rFonts w:eastAsia="Calibri"/>
                <w:bCs/>
                <w:sz w:val="22"/>
                <w:szCs w:val="22"/>
                <w:lang w:val="sr-Latn-ME"/>
              </w:rPr>
            </w:pPr>
          </w:p>
        </w:tc>
        <w:tc>
          <w:tcPr>
            <w:tcW w:w="2218" w:type="dxa"/>
            <w:shd w:val="clear" w:color="auto" w:fill="auto"/>
          </w:tcPr>
          <w:p w14:paraId="143EB622" w14:textId="0C29A71E"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44DDE09C" w14:textId="77777777" w:rsidR="000F73FE" w:rsidRPr="00253510" w:rsidRDefault="000F73FE" w:rsidP="00097C55">
            <w:pPr>
              <w:tabs>
                <w:tab w:val="left" w:pos="720"/>
              </w:tabs>
              <w:rPr>
                <w:rFonts w:eastAsia="Calibri"/>
                <w:sz w:val="22"/>
                <w:szCs w:val="22"/>
                <w:lang w:val="sr-Latn-ME"/>
              </w:rPr>
            </w:pPr>
          </w:p>
          <w:p w14:paraId="0EFEAB99" w14:textId="77777777" w:rsidR="000F73FE" w:rsidRPr="00253510" w:rsidRDefault="000F73FE" w:rsidP="00097C55">
            <w:pPr>
              <w:tabs>
                <w:tab w:val="left" w:pos="720"/>
              </w:tabs>
              <w:rPr>
                <w:rFonts w:eastAsia="Calibri"/>
                <w:bCs/>
                <w:sz w:val="22"/>
                <w:szCs w:val="22"/>
                <w:lang w:val="sr-Latn-ME"/>
              </w:rPr>
            </w:pPr>
            <w:r w:rsidRPr="00253510">
              <w:rPr>
                <w:rFonts w:eastAsia="Calibri"/>
                <w:sz w:val="22"/>
                <w:szCs w:val="22"/>
                <w:lang w:val="sr-Latn-ME"/>
              </w:rPr>
              <w:t>Ezofagitis, pankreatitis, intestinalne strikture</w:t>
            </w:r>
          </w:p>
        </w:tc>
      </w:tr>
      <w:tr w:rsidR="000F73FE" w:rsidRPr="003A3512" w14:paraId="48C79220" w14:textId="77777777" w:rsidTr="00097C55">
        <w:tc>
          <w:tcPr>
            <w:tcW w:w="2660" w:type="dxa"/>
            <w:tcBorders>
              <w:bottom w:val="single" w:sz="4" w:space="0" w:color="auto"/>
            </w:tcBorders>
            <w:shd w:val="clear" w:color="auto" w:fill="auto"/>
          </w:tcPr>
          <w:p w14:paraId="2141E3CD" w14:textId="77777777"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Hepatobilijarni poremećaji</w:t>
            </w:r>
          </w:p>
        </w:tc>
        <w:tc>
          <w:tcPr>
            <w:tcW w:w="2218" w:type="dxa"/>
            <w:shd w:val="clear" w:color="auto" w:fill="auto"/>
          </w:tcPr>
          <w:p w14:paraId="77CD0663" w14:textId="34FCE71E"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0F7AF8C8"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 xml:space="preserve"> Oštećenje jetre, posebno kod duže upotrebe, insuficijencija jetre, akutni hepatitis, žutica</w:t>
            </w:r>
          </w:p>
          <w:p w14:paraId="7BA6CB06" w14:textId="77777777" w:rsidR="000F73FE" w:rsidRPr="00253510" w:rsidRDefault="000F73FE" w:rsidP="00097C55">
            <w:pPr>
              <w:tabs>
                <w:tab w:val="left" w:pos="720"/>
              </w:tabs>
              <w:rPr>
                <w:rFonts w:eastAsia="Calibri"/>
                <w:sz w:val="22"/>
                <w:szCs w:val="22"/>
                <w:lang w:val="sr-Latn-ME"/>
              </w:rPr>
            </w:pPr>
          </w:p>
        </w:tc>
      </w:tr>
      <w:tr w:rsidR="000F73FE" w:rsidRPr="003A3512" w14:paraId="04DB6C63" w14:textId="77777777" w:rsidTr="00097C55">
        <w:trPr>
          <w:trHeight w:val="1500"/>
        </w:trPr>
        <w:tc>
          <w:tcPr>
            <w:tcW w:w="2660" w:type="dxa"/>
            <w:vMerge w:val="restart"/>
            <w:tcBorders>
              <w:top w:val="single" w:sz="4" w:space="0" w:color="auto"/>
            </w:tcBorders>
            <w:shd w:val="clear" w:color="auto" w:fill="auto"/>
          </w:tcPr>
          <w:p w14:paraId="2B3DB3A9" w14:textId="77777777" w:rsidR="000F73FE" w:rsidRPr="00253510" w:rsidRDefault="000F73FE" w:rsidP="00097C55">
            <w:pPr>
              <w:tabs>
                <w:tab w:val="left" w:pos="720"/>
              </w:tabs>
              <w:rPr>
                <w:rFonts w:eastAsia="Calibri"/>
                <w:bCs/>
                <w:sz w:val="22"/>
                <w:szCs w:val="22"/>
                <w:lang w:val="sr-Latn-ME"/>
              </w:rPr>
            </w:pPr>
            <w:r w:rsidRPr="00253510">
              <w:rPr>
                <w:rFonts w:eastAsia="Calibri"/>
                <w:b/>
                <w:bCs/>
                <w:sz w:val="22"/>
                <w:szCs w:val="22"/>
                <w:lang w:val="sr-Latn-ME"/>
              </w:rPr>
              <w:t>Poremećaji kože i potkožnog tkiva</w:t>
            </w:r>
          </w:p>
        </w:tc>
        <w:tc>
          <w:tcPr>
            <w:tcW w:w="2218" w:type="dxa"/>
            <w:shd w:val="clear" w:color="auto" w:fill="auto"/>
          </w:tcPr>
          <w:p w14:paraId="792232A8" w14:textId="653B2CBC"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2FFE5630" w14:textId="0EF148D7" w:rsidR="000F73FE" w:rsidRPr="00253510" w:rsidRDefault="00097C55" w:rsidP="00097C55">
            <w:pPr>
              <w:tabs>
                <w:tab w:val="left" w:pos="720"/>
              </w:tabs>
              <w:rPr>
                <w:rFonts w:eastAsia="Calibri"/>
                <w:sz w:val="22"/>
                <w:szCs w:val="22"/>
                <w:lang w:val="sr-Latn-ME"/>
              </w:rPr>
            </w:pPr>
            <w:r w:rsidRPr="00253510">
              <w:rPr>
                <w:rFonts w:eastAsia="Calibri"/>
                <w:sz w:val="22"/>
                <w:szCs w:val="22"/>
                <w:lang w:val="sr-Latn-ME"/>
              </w:rPr>
              <w:t>Teški oblici kožnih reakcija (</w:t>
            </w:r>
            <w:r w:rsidR="000F73FE" w:rsidRPr="00253510">
              <w:rPr>
                <w:rFonts w:eastAsia="Calibri"/>
                <w:sz w:val="22"/>
                <w:szCs w:val="22"/>
                <w:lang w:val="sr-Latn-ME"/>
              </w:rPr>
              <w:t>multiformni eritem, eksfolijativni dermatitis, osip na koži sa plikovima uključujući Stivens-Džonsonov sindrom i toksičnu epidermalnu nekrolizu), alopecija</w:t>
            </w:r>
          </w:p>
          <w:p w14:paraId="4B3D2C5B" w14:textId="77777777" w:rsidR="000F73FE" w:rsidRPr="00253510" w:rsidRDefault="000F73FE" w:rsidP="00097C55">
            <w:pPr>
              <w:tabs>
                <w:tab w:val="left" w:pos="720"/>
              </w:tabs>
              <w:rPr>
                <w:rFonts w:eastAsia="Calibri"/>
                <w:sz w:val="22"/>
                <w:szCs w:val="22"/>
                <w:lang w:val="sr-Latn-ME"/>
              </w:rPr>
            </w:pPr>
          </w:p>
        </w:tc>
      </w:tr>
      <w:tr w:rsidR="000F73FE" w:rsidRPr="003A3512" w14:paraId="3D81D836" w14:textId="77777777" w:rsidTr="00097C55">
        <w:trPr>
          <w:trHeight w:val="270"/>
        </w:trPr>
        <w:tc>
          <w:tcPr>
            <w:tcW w:w="2660" w:type="dxa"/>
            <w:vMerge/>
            <w:shd w:val="clear" w:color="auto" w:fill="auto"/>
          </w:tcPr>
          <w:p w14:paraId="70D9D6D2" w14:textId="77777777" w:rsidR="000F73FE" w:rsidRPr="00253510" w:rsidRDefault="000F73FE" w:rsidP="00097C55">
            <w:pPr>
              <w:tabs>
                <w:tab w:val="left" w:pos="720"/>
              </w:tabs>
              <w:rPr>
                <w:rFonts w:eastAsia="Calibri"/>
                <w:b/>
                <w:bCs/>
                <w:sz w:val="22"/>
                <w:szCs w:val="22"/>
                <w:lang w:val="sr-Latn-ME"/>
              </w:rPr>
            </w:pPr>
          </w:p>
        </w:tc>
        <w:tc>
          <w:tcPr>
            <w:tcW w:w="2218" w:type="dxa"/>
            <w:shd w:val="clear" w:color="auto" w:fill="auto"/>
          </w:tcPr>
          <w:p w14:paraId="701333B7" w14:textId="77777777"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Nepoznato</w:t>
            </w:r>
          </w:p>
        </w:tc>
        <w:tc>
          <w:tcPr>
            <w:tcW w:w="4698" w:type="dxa"/>
            <w:shd w:val="clear" w:color="auto" w:fill="auto"/>
          </w:tcPr>
          <w:p w14:paraId="0FE98C17" w14:textId="393560B8" w:rsidR="000F73FE" w:rsidRPr="00253510" w:rsidRDefault="000F73FE" w:rsidP="00097C55">
            <w:pPr>
              <w:tabs>
                <w:tab w:val="left" w:pos="720"/>
              </w:tabs>
              <w:rPr>
                <w:sz w:val="22"/>
                <w:szCs w:val="22"/>
                <w:lang w:val="sr-Latn-ME"/>
              </w:rPr>
            </w:pPr>
            <w:r w:rsidRPr="00253510">
              <w:rPr>
                <w:rFonts w:eastAsia="Calibri"/>
                <w:sz w:val="22"/>
                <w:szCs w:val="22"/>
                <w:lang w:val="sr-Latn-ME"/>
              </w:rPr>
              <w:t>Fotosenzitivnost, l</w:t>
            </w:r>
            <w:r w:rsidR="00097C55" w:rsidRPr="00253510">
              <w:rPr>
                <w:rFonts w:eastAsia="Calibri"/>
                <w:sz w:val="22"/>
                <w:szCs w:val="22"/>
                <w:lang w:val="sr-Latn-ME"/>
              </w:rPr>
              <w:t>j</w:t>
            </w:r>
            <w:r w:rsidRPr="00253510">
              <w:rPr>
                <w:rFonts w:eastAsia="Calibri"/>
                <w:sz w:val="22"/>
                <w:szCs w:val="22"/>
                <w:lang w:val="sr-Latn-ME"/>
              </w:rPr>
              <w:t>ekovima indukovana reakcija sa eozinofilijom i sistemskim simptomima (DRESS)</w:t>
            </w:r>
            <w:r w:rsidRPr="00253510">
              <w:rPr>
                <w:sz w:val="22"/>
                <w:szCs w:val="22"/>
                <w:lang w:val="sr-Latn-ME"/>
              </w:rPr>
              <w:t xml:space="preserve"> </w:t>
            </w:r>
          </w:p>
          <w:p w14:paraId="31FFCDAB" w14:textId="0DB00BBA" w:rsidR="00C554A1" w:rsidRPr="00253510" w:rsidRDefault="00C554A1" w:rsidP="00097C55">
            <w:pPr>
              <w:tabs>
                <w:tab w:val="left" w:pos="720"/>
              </w:tabs>
              <w:rPr>
                <w:rFonts w:eastAsia="Calibri"/>
                <w:color w:val="000000" w:themeColor="text1"/>
                <w:sz w:val="22"/>
                <w:szCs w:val="22"/>
                <w:lang w:val="sr-Latn-ME"/>
              </w:rPr>
            </w:pPr>
            <w:r w:rsidRPr="00253510">
              <w:rPr>
                <w:rFonts w:eastAsia="Calibri"/>
                <w:color w:val="000000" w:themeColor="text1"/>
                <w:szCs w:val="22"/>
                <w:lang w:val="sr-Latn-ME"/>
              </w:rPr>
              <w:t>Akutna generalizovana egzantematozna pustuloza (AGEP)</w:t>
            </w:r>
          </w:p>
        </w:tc>
      </w:tr>
      <w:tr w:rsidR="000F73FE" w:rsidRPr="003A3512" w14:paraId="60C9AB20" w14:textId="77777777" w:rsidTr="00097C55">
        <w:trPr>
          <w:trHeight w:val="495"/>
        </w:trPr>
        <w:tc>
          <w:tcPr>
            <w:tcW w:w="2660" w:type="dxa"/>
            <w:vMerge w:val="restart"/>
            <w:shd w:val="clear" w:color="auto" w:fill="auto"/>
          </w:tcPr>
          <w:p w14:paraId="39506736" w14:textId="77777777"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Poremećaji bubrega i urinarnog sistema</w:t>
            </w:r>
          </w:p>
        </w:tc>
        <w:tc>
          <w:tcPr>
            <w:tcW w:w="2218" w:type="dxa"/>
            <w:shd w:val="clear" w:color="auto" w:fill="auto"/>
          </w:tcPr>
          <w:p w14:paraId="5C94430E" w14:textId="4FCC3AB3"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R</w:t>
            </w:r>
            <w:r w:rsidR="00097C55" w:rsidRPr="00253510">
              <w:rPr>
                <w:rFonts w:eastAsia="Calibri"/>
                <w:bCs/>
                <w:sz w:val="22"/>
                <w:szCs w:val="22"/>
                <w:lang w:val="sr-Latn-ME"/>
              </w:rPr>
              <w:t>ij</w:t>
            </w:r>
            <w:r w:rsidRPr="00253510">
              <w:rPr>
                <w:rFonts w:eastAsia="Calibri"/>
                <w:bCs/>
                <w:sz w:val="22"/>
                <w:szCs w:val="22"/>
                <w:lang w:val="sr-Latn-ME"/>
              </w:rPr>
              <w:t>etko</w:t>
            </w:r>
          </w:p>
          <w:p w14:paraId="3EDD5205" w14:textId="77777777" w:rsidR="000F73FE" w:rsidRPr="00253510" w:rsidRDefault="000F73FE" w:rsidP="00097C55">
            <w:pPr>
              <w:tabs>
                <w:tab w:val="left" w:pos="720"/>
              </w:tabs>
              <w:rPr>
                <w:rFonts w:eastAsia="Calibri"/>
                <w:bCs/>
                <w:sz w:val="22"/>
                <w:szCs w:val="22"/>
                <w:lang w:val="sr-Latn-ME"/>
              </w:rPr>
            </w:pPr>
          </w:p>
        </w:tc>
        <w:tc>
          <w:tcPr>
            <w:tcW w:w="4698" w:type="dxa"/>
            <w:shd w:val="clear" w:color="auto" w:fill="auto"/>
          </w:tcPr>
          <w:p w14:paraId="4BA04CCD"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Papilarna nekroza, naročito pri dugotrajnoj upotrebi</w:t>
            </w:r>
          </w:p>
          <w:p w14:paraId="5FAF3D25" w14:textId="77777777" w:rsidR="000F73FE" w:rsidRPr="00253510" w:rsidRDefault="000F73FE" w:rsidP="00097C55">
            <w:pPr>
              <w:tabs>
                <w:tab w:val="left" w:pos="720"/>
              </w:tabs>
              <w:rPr>
                <w:rFonts w:eastAsia="Calibri"/>
                <w:sz w:val="22"/>
                <w:szCs w:val="22"/>
                <w:lang w:val="sr-Latn-ME"/>
              </w:rPr>
            </w:pPr>
          </w:p>
        </w:tc>
      </w:tr>
      <w:tr w:rsidR="000F73FE" w:rsidRPr="003A3512" w14:paraId="6204548A" w14:textId="77777777" w:rsidTr="00097C55">
        <w:trPr>
          <w:trHeight w:val="765"/>
        </w:trPr>
        <w:tc>
          <w:tcPr>
            <w:tcW w:w="2660" w:type="dxa"/>
            <w:vMerge/>
            <w:shd w:val="clear" w:color="auto" w:fill="auto"/>
          </w:tcPr>
          <w:p w14:paraId="33B6E00A" w14:textId="77777777" w:rsidR="000F73FE" w:rsidRPr="00253510" w:rsidRDefault="000F73FE" w:rsidP="00097C55">
            <w:pPr>
              <w:tabs>
                <w:tab w:val="left" w:pos="720"/>
              </w:tabs>
              <w:rPr>
                <w:rFonts w:eastAsia="Calibri"/>
                <w:b/>
                <w:bCs/>
                <w:sz w:val="22"/>
                <w:szCs w:val="22"/>
                <w:lang w:val="sr-Latn-ME"/>
              </w:rPr>
            </w:pPr>
          </w:p>
        </w:tc>
        <w:tc>
          <w:tcPr>
            <w:tcW w:w="2218" w:type="dxa"/>
            <w:shd w:val="clear" w:color="auto" w:fill="auto"/>
          </w:tcPr>
          <w:p w14:paraId="09BDAB50" w14:textId="68F4C648"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4C61E112" w14:textId="5C7244BD" w:rsidR="000F73FE" w:rsidRPr="00253510" w:rsidRDefault="000F73FE">
            <w:pPr>
              <w:tabs>
                <w:tab w:val="left" w:pos="720"/>
              </w:tabs>
              <w:rPr>
                <w:rFonts w:eastAsia="Calibri"/>
                <w:sz w:val="22"/>
                <w:szCs w:val="22"/>
                <w:lang w:val="sr-Latn-ME"/>
              </w:rPr>
            </w:pPr>
            <w:r w:rsidRPr="00253510">
              <w:rPr>
                <w:rFonts w:eastAsia="Calibri"/>
                <w:sz w:val="22"/>
                <w:szCs w:val="22"/>
                <w:lang w:val="sr-Latn-ME"/>
              </w:rPr>
              <w:t>Razvoj edema, posebno kod pacijenata sa arterijskom hipertenzijom ili bubrežnom insuficijencijom, nefrotski sindrom, intersticijalni nefritis koji može biti povezan sa akutnom insuficijencijom bubrega</w:t>
            </w:r>
          </w:p>
        </w:tc>
      </w:tr>
      <w:tr w:rsidR="000F73FE" w:rsidRPr="003A3512" w14:paraId="2F9797DF" w14:textId="77777777" w:rsidTr="00097C55">
        <w:tc>
          <w:tcPr>
            <w:tcW w:w="2660" w:type="dxa"/>
            <w:shd w:val="clear" w:color="auto" w:fill="auto"/>
          </w:tcPr>
          <w:p w14:paraId="5B2C2CA4" w14:textId="77777777"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Poremećaji reproduktivnog sistema i dojki</w:t>
            </w:r>
          </w:p>
        </w:tc>
        <w:tc>
          <w:tcPr>
            <w:tcW w:w="2218" w:type="dxa"/>
            <w:shd w:val="clear" w:color="auto" w:fill="auto"/>
          </w:tcPr>
          <w:p w14:paraId="48B968BE" w14:textId="1167AF85"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Veoma r</w:t>
            </w:r>
            <w:r w:rsidR="00097C55" w:rsidRPr="00253510">
              <w:rPr>
                <w:rFonts w:eastAsia="Calibri"/>
                <w:bCs/>
                <w:sz w:val="22"/>
                <w:szCs w:val="22"/>
                <w:lang w:val="sr-Latn-ME"/>
              </w:rPr>
              <w:t>ij</w:t>
            </w:r>
            <w:r w:rsidRPr="00253510">
              <w:rPr>
                <w:rFonts w:eastAsia="Calibri"/>
                <w:bCs/>
                <w:sz w:val="22"/>
                <w:szCs w:val="22"/>
                <w:lang w:val="sr-Latn-ME"/>
              </w:rPr>
              <w:t xml:space="preserve">etko </w:t>
            </w:r>
          </w:p>
        </w:tc>
        <w:tc>
          <w:tcPr>
            <w:tcW w:w="4698" w:type="dxa"/>
            <w:shd w:val="clear" w:color="auto" w:fill="auto"/>
          </w:tcPr>
          <w:p w14:paraId="0BF420B6" w14:textId="77777777"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Menstrualni poremećaji</w:t>
            </w:r>
          </w:p>
        </w:tc>
      </w:tr>
      <w:tr w:rsidR="000F73FE" w:rsidRPr="003A3512" w14:paraId="3DA0C3E0" w14:textId="77777777" w:rsidTr="00097C55">
        <w:trPr>
          <w:trHeight w:val="345"/>
        </w:trPr>
        <w:tc>
          <w:tcPr>
            <w:tcW w:w="2660" w:type="dxa"/>
            <w:vMerge w:val="restart"/>
            <w:shd w:val="clear" w:color="auto" w:fill="auto"/>
          </w:tcPr>
          <w:p w14:paraId="65AA10DD" w14:textId="77777777" w:rsidR="000F73FE" w:rsidRPr="00253510" w:rsidRDefault="000F73FE" w:rsidP="00097C55">
            <w:pPr>
              <w:tabs>
                <w:tab w:val="left" w:pos="720"/>
              </w:tabs>
              <w:rPr>
                <w:rFonts w:eastAsia="Calibri"/>
                <w:b/>
                <w:bCs/>
                <w:sz w:val="22"/>
                <w:szCs w:val="22"/>
                <w:lang w:val="sr-Latn-ME"/>
              </w:rPr>
            </w:pPr>
            <w:r w:rsidRPr="00253510">
              <w:rPr>
                <w:rFonts w:eastAsia="Calibri"/>
                <w:b/>
                <w:bCs/>
                <w:sz w:val="22"/>
                <w:szCs w:val="22"/>
                <w:lang w:val="sr-Latn-ME"/>
              </w:rPr>
              <w:t>Ispitivanja</w:t>
            </w:r>
          </w:p>
        </w:tc>
        <w:tc>
          <w:tcPr>
            <w:tcW w:w="2218" w:type="dxa"/>
            <w:shd w:val="clear" w:color="auto" w:fill="auto"/>
          </w:tcPr>
          <w:p w14:paraId="4855D9BB" w14:textId="51C5425A" w:rsidR="000F73FE" w:rsidRPr="00253510" w:rsidRDefault="000F73FE" w:rsidP="00097C55">
            <w:pPr>
              <w:tabs>
                <w:tab w:val="left" w:pos="720"/>
              </w:tabs>
              <w:rPr>
                <w:rFonts w:eastAsia="Calibri"/>
                <w:bCs/>
                <w:sz w:val="22"/>
                <w:szCs w:val="22"/>
                <w:lang w:val="sr-Latn-ME"/>
              </w:rPr>
            </w:pPr>
            <w:r w:rsidRPr="00253510">
              <w:rPr>
                <w:rFonts w:eastAsia="Calibri"/>
                <w:bCs/>
                <w:sz w:val="22"/>
                <w:szCs w:val="22"/>
                <w:lang w:val="sr-Latn-ME"/>
              </w:rPr>
              <w:t>R</w:t>
            </w:r>
            <w:r w:rsidR="00097C55" w:rsidRPr="00253510">
              <w:rPr>
                <w:rFonts w:eastAsia="Calibri"/>
                <w:bCs/>
                <w:sz w:val="22"/>
                <w:szCs w:val="22"/>
                <w:lang w:val="sr-Latn-ME"/>
              </w:rPr>
              <w:t>ij</w:t>
            </w:r>
            <w:r w:rsidRPr="00253510">
              <w:rPr>
                <w:rFonts w:eastAsia="Calibri"/>
                <w:bCs/>
                <w:sz w:val="22"/>
                <w:szCs w:val="22"/>
                <w:lang w:val="sr-Latn-ME"/>
              </w:rPr>
              <w:t>etko</w:t>
            </w:r>
          </w:p>
        </w:tc>
        <w:tc>
          <w:tcPr>
            <w:tcW w:w="4698" w:type="dxa"/>
            <w:shd w:val="clear" w:color="auto" w:fill="auto"/>
          </w:tcPr>
          <w:p w14:paraId="208EC6E8" w14:textId="178F6A03"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Smanjene vr</w:t>
            </w:r>
            <w:r w:rsidR="00097C55" w:rsidRPr="00253510">
              <w:rPr>
                <w:rFonts w:eastAsia="Calibri"/>
                <w:sz w:val="22"/>
                <w:szCs w:val="22"/>
                <w:lang w:val="sr-Latn-ME"/>
              </w:rPr>
              <w:t>ij</w:t>
            </w:r>
            <w:r w:rsidRPr="00253510">
              <w:rPr>
                <w:rFonts w:eastAsia="Calibri"/>
                <w:sz w:val="22"/>
                <w:szCs w:val="22"/>
                <w:lang w:val="sr-Latn-ME"/>
              </w:rPr>
              <w:t>ednosti  hemoglobina i hematokrita</w:t>
            </w:r>
          </w:p>
          <w:p w14:paraId="2071824F" w14:textId="77777777" w:rsidR="000F73FE" w:rsidRPr="00253510" w:rsidRDefault="000F73FE" w:rsidP="00097C55">
            <w:pPr>
              <w:tabs>
                <w:tab w:val="left" w:pos="720"/>
              </w:tabs>
              <w:rPr>
                <w:rFonts w:eastAsia="Calibri"/>
                <w:sz w:val="22"/>
                <w:szCs w:val="22"/>
                <w:lang w:val="sr-Latn-ME"/>
              </w:rPr>
            </w:pPr>
          </w:p>
        </w:tc>
      </w:tr>
      <w:tr w:rsidR="000F73FE" w:rsidRPr="003A3512" w14:paraId="591F34F5" w14:textId="77777777" w:rsidTr="00097C55">
        <w:trPr>
          <w:trHeight w:val="405"/>
        </w:trPr>
        <w:tc>
          <w:tcPr>
            <w:tcW w:w="2660" w:type="dxa"/>
            <w:vMerge/>
            <w:shd w:val="clear" w:color="auto" w:fill="auto"/>
          </w:tcPr>
          <w:p w14:paraId="5B874489" w14:textId="77777777" w:rsidR="000F73FE" w:rsidRPr="00253510" w:rsidRDefault="000F73FE" w:rsidP="00097C55">
            <w:pPr>
              <w:tabs>
                <w:tab w:val="left" w:pos="720"/>
              </w:tabs>
              <w:rPr>
                <w:rFonts w:eastAsia="Calibri"/>
                <w:b/>
                <w:bCs/>
                <w:sz w:val="22"/>
                <w:szCs w:val="22"/>
                <w:lang w:val="sr-Latn-ME"/>
              </w:rPr>
            </w:pPr>
          </w:p>
        </w:tc>
        <w:tc>
          <w:tcPr>
            <w:tcW w:w="2218" w:type="dxa"/>
            <w:shd w:val="clear" w:color="auto" w:fill="auto"/>
          </w:tcPr>
          <w:p w14:paraId="6F5D25A4" w14:textId="77777777" w:rsidR="000F73FE" w:rsidRPr="00253510" w:rsidDel="005876B1" w:rsidRDefault="000F73FE" w:rsidP="00097C55">
            <w:pPr>
              <w:tabs>
                <w:tab w:val="left" w:pos="720"/>
              </w:tabs>
              <w:rPr>
                <w:rFonts w:eastAsia="Calibri"/>
                <w:bCs/>
                <w:sz w:val="22"/>
                <w:szCs w:val="22"/>
                <w:lang w:val="sr-Latn-ME"/>
              </w:rPr>
            </w:pPr>
            <w:r w:rsidRPr="00253510">
              <w:rPr>
                <w:rFonts w:eastAsia="Calibri"/>
                <w:bCs/>
                <w:sz w:val="22"/>
                <w:szCs w:val="22"/>
                <w:lang w:val="sr-Latn-ME"/>
              </w:rPr>
              <w:t xml:space="preserve">Nepoznato </w:t>
            </w:r>
          </w:p>
        </w:tc>
        <w:tc>
          <w:tcPr>
            <w:tcW w:w="4698" w:type="dxa"/>
            <w:shd w:val="clear" w:color="auto" w:fill="auto"/>
          </w:tcPr>
          <w:p w14:paraId="6379F7AB" w14:textId="73E2BD78" w:rsidR="000F73FE" w:rsidRPr="00253510" w:rsidRDefault="000F73FE" w:rsidP="00097C55">
            <w:pPr>
              <w:tabs>
                <w:tab w:val="left" w:pos="720"/>
              </w:tabs>
              <w:rPr>
                <w:rFonts w:eastAsia="Calibri"/>
                <w:sz w:val="22"/>
                <w:szCs w:val="22"/>
                <w:lang w:val="sr-Latn-ME"/>
              </w:rPr>
            </w:pPr>
            <w:r w:rsidRPr="00253510">
              <w:rPr>
                <w:rFonts w:eastAsia="Calibri"/>
                <w:sz w:val="22"/>
                <w:szCs w:val="22"/>
                <w:lang w:val="sr-Latn-ME"/>
              </w:rPr>
              <w:t>Povećanje koncentracije uree u krvi, serumske transaminaze i alkalne fosfataze, inhibicija agregacije trombocita, produženo vr</w:t>
            </w:r>
            <w:r w:rsidR="00097C55" w:rsidRPr="00253510">
              <w:rPr>
                <w:rFonts w:eastAsia="Calibri"/>
                <w:sz w:val="22"/>
                <w:szCs w:val="22"/>
                <w:lang w:val="sr-Latn-ME"/>
              </w:rPr>
              <w:t>ij</w:t>
            </w:r>
            <w:r w:rsidRPr="00253510">
              <w:rPr>
                <w:rFonts w:eastAsia="Calibri"/>
                <w:sz w:val="22"/>
                <w:szCs w:val="22"/>
                <w:lang w:val="sr-Latn-ME"/>
              </w:rPr>
              <w:t>eme krvarenja, smanjenje koncentracije kalcijuma u serumu</w:t>
            </w:r>
          </w:p>
        </w:tc>
      </w:tr>
    </w:tbl>
    <w:p w14:paraId="1D3F930B" w14:textId="77777777" w:rsidR="004E70AD" w:rsidRPr="00253510" w:rsidRDefault="004E70AD" w:rsidP="00480FB1">
      <w:pPr>
        <w:tabs>
          <w:tab w:val="left" w:pos="540"/>
          <w:tab w:val="left" w:pos="569"/>
        </w:tabs>
        <w:rPr>
          <w:b/>
          <w:bCs/>
          <w:sz w:val="22"/>
          <w:szCs w:val="22"/>
          <w:lang w:val="sr-Latn-ME"/>
        </w:rPr>
      </w:pPr>
    </w:p>
    <w:p w14:paraId="2AF8C006" w14:textId="77777777" w:rsidR="000F73FE" w:rsidRPr="00253510" w:rsidRDefault="000F73FE" w:rsidP="00480FB1">
      <w:pPr>
        <w:tabs>
          <w:tab w:val="left" w:pos="540"/>
          <w:tab w:val="left" w:pos="569"/>
        </w:tabs>
        <w:rPr>
          <w:b/>
          <w:bCs/>
          <w:sz w:val="22"/>
          <w:szCs w:val="22"/>
          <w:lang w:val="sr-Latn-ME"/>
        </w:rPr>
      </w:pPr>
    </w:p>
    <w:p w14:paraId="23EB7468" w14:textId="77777777" w:rsidR="000F73FE" w:rsidRPr="00253510" w:rsidRDefault="000F73FE" w:rsidP="000F73FE">
      <w:pPr>
        <w:rPr>
          <w:b/>
          <w:noProof/>
          <w:sz w:val="22"/>
          <w:szCs w:val="22"/>
          <w:u w:val="single"/>
          <w:lang w:val="sr-Latn-ME"/>
        </w:rPr>
      </w:pPr>
      <w:r w:rsidRPr="00253510">
        <w:rPr>
          <w:b/>
          <w:noProof/>
          <w:sz w:val="22"/>
          <w:szCs w:val="22"/>
          <w:u w:val="single"/>
          <w:lang w:val="sr-Latn-ME"/>
        </w:rPr>
        <w:lastRenderedPageBreak/>
        <w:t>Opis selektovanih neželjenih reakcija</w:t>
      </w:r>
    </w:p>
    <w:p w14:paraId="1ADD8589" w14:textId="77777777" w:rsidR="000F73FE" w:rsidRPr="00253510" w:rsidRDefault="000F73FE" w:rsidP="000F73FE">
      <w:pPr>
        <w:pStyle w:val="NormalIndent"/>
        <w:ind w:left="0"/>
        <w:jc w:val="both"/>
        <w:rPr>
          <w:b/>
          <w:i/>
          <w:szCs w:val="22"/>
          <w:lang w:val="sr-Latn-ME"/>
        </w:rPr>
      </w:pPr>
    </w:p>
    <w:p w14:paraId="3F58A4BF" w14:textId="77777777" w:rsidR="000F73FE" w:rsidRPr="00253510" w:rsidRDefault="000F73FE" w:rsidP="000F73FE">
      <w:pPr>
        <w:pStyle w:val="NormalIndent"/>
        <w:ind w:left="0"/>
        <w:jc w:val="both"/>
        <w:rPr>
          <w:b/>
          <w:i/>
          <w:szCs w:val="22"/>
          <w:lang w:val="sr-Latn-ME"/>
        </w:rPr>
      </w:pPr>
      <w:r w:rsidRPr="00253510">
        <w:rPr>
          <w:b/>
          <w:i/>
          <w:szCs w:val="22"/>
          <w:lang w:val="sr-Latn-ME"/>
        </w:rPr>
        <w:t>Infekcije i parazitske bolesti</w:t>
      </w:r>
    </w:p>
    <w:p w14:paraId="46B51445" w14:textId="6849BA57" w:rsidR="000F73FE" w:rsidRPr="00253510" w:rsidRDefault="000F73FE" w:rsidP="000F73FE">
      <w:pPr>
        <w:pStyle w:val="NormalIndent"/>
        <w:ind w:left="0"/>
        <w:jc w:val="both"/>
        <w:rPr>
          <w:szCs w:val="22"/>
          <w:lang w:val="sr-Latn-ME"/>
        </w:rPr>
      </w:pPr>
      <w:r w:rsidRPr="00253510">
        <w:rPr>
          <w:szCs w:val="22"/>
          <w:lang w:val="sr-Latn-ME"/>
        </w:rPr>
        <w:t>Ovo je v</w:t>
      </w:r>
      <w:r w:rsidR="00097C55" w:rsidRPr="00253510">
        <w:rPr>
          <w:szCs w:val="22"/>
          <w:lang w:val="sr-Latn-ME"/>
        </w:rPr>
        <w:t>j</w:t>
      </w:r>
      <w:r w:rsidRPr="00253510">
        <w:rPr>
          <w:szCs w:val="22"/>
          <w:lang w:val="sr-Latn-ME"/>
        </w:rPr>
        <w:t>erovatno povezano sa mehanizmom dejstva NSAIL. Pacijentima se sav</w:t>
      </w:r>
      <w:r w:rsidR="00097C55" w:rsidRPr="00253510">
        <w:rPr>
          <w:szCs w:val="22"/>
          <w:lang w:val="sr-Latn-ME"/>
        </w:rPr>
        <w:t>j</w:t>
      </w:r>
      <w:r w:rsidRPr="00253510">
        <w:rPr>
          <w:szCs w:val="22"/>
          <w:lang w:val="sr-Latn-ME"/>
        </w:rPr>
        <w:t>etuje da se odmah konsultuju sa l</w:t>
      </w:r>
      <w:r w:rsidR="00097C55" w:rsidRPr="00253510">
        <w:rPr>
          <w:szCs w:val="22"/>
          <w:lang w:val="sr-Latn-ME"/>
        </w:rPr>
        <w:t>j</w:t>
      </w:r>
      <w:r w:rsidRPr="00253510">
        <w:rPr>
          <w:szCs w:val="22"/>
          <w:lang w:val="sr-Latn-ME"/>
        </w:rPr>
        <w:t>ekarom ukoliko se pojave ili pogoršaju znaci infekcije tokom l</w:t>
      </w:r>
      <w:r w:rsidR="00097C55" w:rsidRPr="00253510">
        <w:rPr>
          <w:szCs w:val="22"/>
          <w:lang w:val="sr-Latn-ME"/>
        </w:rPr>
        <w:t>ij</w:t>
      </w:r>
      <w:r w:rsidRPr="00253510">
        <w:rPr>
          <w:szCs w:val="22"/>
          <w:lang w:val="sr-Latn-ME"/>
        </w:rPr>
        <w:t>ečenja ibuprofenom. Mora se ispitati da li postoji indikacija za antiinfektivno/antibiotsko l</w:t>
      </w:r>
      <w:r w:rsidR="00097C55" w:rsidRPr="00253510">
        <w:rPr>
          <w:szCs w:val="22"/>
          <w:lang w:val="sr-Latn-ME"/>
        </w:rPr>
        <w:t>ij</w:t>
      </w:r>
      <w:r w:rsidRPr="00253510">
        <w:rPr>
          <w:szCs w:val="22"/>
          <w:lang w:val="sr-Latn-ME"/>
        </w:rPr>
        <w:t>ečenje.</w:t>
      </w:r>
    </w:p>
    <w:p w14:paraId="2BD76F96" w14:textId="77777777" w:rsidR="000F73FE" w:rsidRPr="00253510" w:rsidRDefault="000F73FE" w:rsidP="000F73FE">
      <w:pPr>
        <w:pStyle w:val="NormalIndent"/>
        <w:ind w:left="0"/>
        <w:jc w:val="both"/>
        <w:rPr>
          <w:b/>
          <w:i/>
          <w:szCs w:val="22"/>
          <w:lang w:val="sr-Latn-ME"/>
        </w:rPr>
      </w:pPr>
      <w:r w:rsidRPr="00253510">
        <w:rPr>
          <w:b/>
          <w:i/>
          <w:szCs w:val="22"/>
          <w:lang w:val="sr-Latn-ME"/>
        </w:rPr>
        <w:t>Poremećaji krvi i limfnog sistema</w:t>
      </w:r>
    </w:p>
    <w:p w14:paraId="02E0A324" w14:textId="5BDC0E06" w:rsidR="000F73FE" w:rsidRPr="00253510" w:rsidRDefault="000F73FE" w:rsidP="000F73FE">
      <w:pPr>
        <w:pStyle w:val="NormalIndent"/>
        <w:ind w:left="0"/>
        <w:jc w:val="both"/>
        <w:rPr>
          <w:szCs w:val="22"/>
          <w:lang w:val="sr-Latn-ME"/>
        </w:rPr>
      </w:pPr>
      <w:r w:rsidRPr="00253510">
        <w:rPr>
          <w:szCs w:val="22"/>
          <w:lang w:val="sr-Latn-ME"/>
        </w:rPr>
        <w:t>Prvi znaci mogu biti povišena t</w:t>
      </w:r>
      <w:r w:rsidR="00097C55" w:rsidRPr="00253510">
        <w:rPr>
          <w:szCs w:val="22"/>
          <w:lang w:val="sr-Latn-ME"/>
        </w:rPr>
        <w:t>j</w:t>
      </w:r>
      <w:r w:rsidRPr="00253510">
        <w:rPr>
          <w:szCs w:val="22"/>
          <w:lang w:val="sr-Latn-ME"/>
        </w:rPr>
        <w:t>elesna temperatura, bol u grlu, površinske ulceracije u usnoj duplji, simptomi slični gripu, teška iscrpljenost, krvarenje iz nosa i krvarenje kože, koji se naročito javljaju nakon duže upotrebe visokih doza. Kod dugotrajne prim</w:t>
      </w:r>
      <w:r w:rsidR="00EC40A2" w:rsidRPr="00253510">
        <w:rPr>
          <w:szCs w:val="22"/>
          <w:lang w:val="sr-Latn-ME"/>
        </w:rPr>
        <w:t>j</w:t>
      </w:r>
      <w:r w:rsidRPr="00253510">
        <w:rPr>
          <w:szCs w:val="22"/>
          <w:lang w:val="sr-Latn-ME"/>
        </w:rPr>
        <w:t>ene l</w:t>
      </w:r>
      <w:r w:rsidR="00097C55" w:rsidRPr="00253510">
        <w:rPr>
          <w:szCs w:val="22"/>
          <w:lang w:val="sr-Latn-ME"/>
        </w:rPr>
        <w:t>ij</w:t>
      </w:r>
      <w:r w:rsidRPr="00253510">
        <w:rPr>
          <w:szCs w:val="22"/>
          <w:lang w:val="sr-Latn-ME"/>
        </w:rPr>
        <w:t>eka neophodna je prov</w:t>
      </w:r>
      <w:r w:rsidR="00097C55" w:rsidRPr="00253510">
        <w:rPr>
          <w:szCs w:val="22"/>
          <w:lang w:val="sr-Latn-ME"/>
        </w:rPr>
        <w:t>j</w:t>
      </w:r>
      <w:r w:rsidRPr="00253510">
        <w:rPr>
          <w:szCs w:val="22"/>
          <w:lang w:val="sr-Latn-ME"/>
        </w:rPr>
        <w:t>era krvne slike (vid</w:t>
      </w:r>
      <w:r w:rsidR="00097C55" w:rsidRPr="00253510">
        <w:rPr>
          <w:szCs w:val="22"/>
          <w:lang w:val="sr-Latn-ME"/>
        </w:rPr>
        <w:t>j</w:t>
      </w:r>
      <w:r w:rsidRPr="00253510">
        <w:rPr>
          <w:szCs w:val="22"/>
          <w:lang w:val="sr-Latn-ME"/>
        </w:rPr>
        <w:t>eti od</w:t>
      </w:r>
      <w:r w:rsidR="00097C55" w:rsidRPr="00253510">
        <w:rPr>
          <w:szCs w:val="22"/>
          <w:lang w:val="sr-Latn-ME"/>
        </w:rPr>
        <w:t>j</w:t>
      </w:r>
      <w:r w:rsidRPr="00253510">
        <w:rPr>
          <w:szCs w:val="22"/>
          <w:lang w:val="sr-Latn-ME"/>
        </w:rPr>
        <w:t>eljak 4.4).</w:t>
      </w:r>
    </w:p>
    <w:p w14:paraId="7EDF40CA" w14:textId="26C3DD47" w:rsidR="000F73FE" w:rsidRPr="00253510" w:rsidRDefault="000F73FE" w:rsidP="000F73FE">
      <w:pPr>
        <w:pStyle w:val="NormalIndent"/>
        <w:ind w:left="0"/>
        <w:jc w:val="both"/>
        <w:rPr>
          <w:b/>
          <w:i/>
          <w:szCs w:val="22"/>
          <w:lang w:val="sr-Latn-ME"/>
        </w:rPr>
      </w:pPr>
      <w:r w:rsidRPr="00253510">
        <w:rPr>
          <w:b/>
          <w:i/>
          <w:szCs w:val="22"/>
          <w:lang w:val="sr-Latn-ME"/>
        </w:rPr>
        <w:t>Poremećaji imunog sistema</w:t>
      </w:r>
    </w:p>
    <w:p w14:paraId="55C585BC" w14:textId="00309803" w:rsidR="000F73FE" w:rsidRPr="00253510" w:rsidRDefault="000F73FE" w:rsidP="000F73FE">
      <w:pPr>
        <w:pStyle w:val="NormalIndent"/>
        <w:ind w:left="0"/>
        <w:jc w:val="both"/>
        <w:rPr>
          <w:b/>
          <w:i/>
          <w:noProof/>
          <w:szCs w:val="22"/>
          <w:lang w:val="sr-Latn-ME"/>
        </w:rPr>
      </w:pPr>
      <w:r w:rsidRPr="00253510">
        <w:rPr>
          <w:noProof/>
          <w:szCs w:val="22"/>
          <w:lang w:val="sr-Latn-ME"/>
        </w:rPr>
        <w:t>Reakcije preos</w:t>
      </w:r>
      <w:r w:rsidR="005E6C3C" w:rsidRPr="00253510">
        <w:rPr>
          <w:noProof/>
          <w:szCs w:val="22"/>
          <w:lang w:val="sr-Latn-ME"/>
        </w:rPr>
        <w:t>j</w:t>
      </w:r>
      <w:r w:rsidRPr="00253510">
        <w:rPr>
          <w:noProof/>
          <w:szCs w:val="22"/>
          <w:lang w:val="sr-Latn-ME"/>
        </w:rPr>
        <w:t>etljivosti mogu da se sastoje iz a) nespecifičnih alergijskih reakcija i anafilakse, b) reakcije respiratornog trakta koje obuhvataju astmu, pogoršanje astme, bronhospazam ili dispneju, ili c) raznovrsne kožne bolesti, uključujući pruritus, urtikariju, purpuru, angioedem i veoma r</w:t>
      </w:r>
      <w:r w:rsidR="005E6C3C" w:rsidRPr="00253510">
        <w:rPr>
          <w:noProof/>
          <w:szCs w:val="22"/>
          <w:lang w:val="sr-Latn-ME"/>
        </w:rPr>
        <w:t>ij</w:t>
      </w:r>
      <w:r w:rsidRPr="00253510">
        <w:rPr>
          <w:noProof/>
          <w:szCs w:val="22"/>
          <w:lang w:val="sr-Latn-ME"/>
        </w:rPr>
        <w:t>etko eksfolijativne i bulozne dermatoze uključujući toksičnu epidermalnu nekrolizu, Stivens-Džonsonov sindrom i multiformni eritem.</w:t>
      </w:r>
    </w:p>
    <w:p w14:paraId="15A873E9" w14:textId="77777777" w:rsidR="000F73FE" w:rsidRPr="00253510" w:rsidRDefault="000F73FE" w:rsidP="000F73FE">
      <w:pPr>
        <w:pStyle w:val="NormalIndent"/>
        <w:ind w:left="0"/>
        <w:jc w:val="both"/>
        <w:rPr>
          <w:b/>
          <w:i/>
          <w:noProof/>
          <w:szCs w:val="22"/>
          <w:lang w:val="sr-Latn-ME"/>
        </w:rPr>
      </w:pPr>
      <w:r w:rsidRPr="00253510">
        <w:rPr>
          <w:b/>
          <w:i/>
          <w:noProof/>
          <w:szCs w:val="22"/>
          <w:lang w:val="sr-Latn-ME"/>
        </w:rPr>
        <w:t>Poremećaji nervnog sistema</w:t>
      </w:r>
    </w:p>
    <w:p w14:paraId="7A7379B9" w14:textId="5C0A8813" w:rsidR="000F73FE" w:rsidRPr="00253510" w:rsidRDefault="000F73FE" w:rsidP="000F73FE">
      <w:pPr>
        <w:rPr>
          <w:noProof/>
          <w:sz w:val="22"/>
          <w:szCs w:val="22"/>
          <w:lang w:val="sr-Latn-ME"/>
        </w:rPr>
      </w:pPr>
      <w:r w:rsidRPr="00253510">
        <w:rPr>
          <w:noProof/>
          <w:sz w:val="22"/>
          <w:szCs w:val="22"/>
          <w:lang w:val="sr-Latn-ME"/>
        </w:rPr>
        <w:t>Pojedinačni slučajevi simptoma aseptičnog meningitisa (kao što su ukočenost vrata, glavobolja, mučnina, povraćanje, povišena temperatura ili gubitak sv</w:t>
      </w:r>
      <w:r w:rsidR="00097C55" w:rsidRPr="00253510">
        <w:rPr>
          <w:noProof/>
          <w:sz w:val="22"/>
          <w:szCs w:val="22"/>
          <w:lang w:val="sr-Latn-ME"/>
        </w:rPr>
        <w:t>ij</w:t>
      </w:r>
      <w:r w:rsidRPr="00253510">
        <w:rPr>
          <w:noProof/>
          <w:sz w:val="22"/>
          <w:szCs w:val="22"/>
          <w:lang w:val="sr-Latn-ME"/>
        </w:rPr>
        <w:t>esti) su prim</w:t>
      </w:r>
      <w:r w:rsidR="00097C55" w:rsidRPr="00253510">
        <w:rPr>
          <w:noProof/>
          <w:sz w:val="22"/>
          <w:szCs w:val="22"/>
          <w:lang w:val="sr-Latn-ME"/>
        </w:rPr>
        <w:t>ij</w:t>
      </w:r>
      <w:r w:rsidRPr="00253510">
        <w:rPr>
          <w:noProof/>
          <w:sz w:val="22"/>
          <w:szCs w:val="22"/>
          <w:lang w:val="sr-Latn-ME"/>
        </w:rPr>
        <w:t>ećeni tokom l</w:t>
      </w:r>
      <w:r w:rsidR="00097C55" w:rsidRPr="00253510">
        <w:rPr>
          <w:noProof/>
          <w:sz w:val="22"/>
          <w:szCs w:val="22"/>
          <w:lang w:val="sr-Latn-ME"/>
        </w:rPr>
        <w:t>ij</w:t>
      </w:r>
      <w:r w:rsidRPr="00253510">
        <w:rPr>
          <w:noProof/>
          <w:sz w:val="22"/>
          <w:szCs w:val="22"/>
          <w:lang w:val="sr-Latn-ME"/>
        </w:rPr>
        <w:t>ečenja ibuprofenom kod pacijenata sa postojećim autoimunim bolestima (kao što su sistemski lupus eritematozus, m</w:t>
      </w:r>
      <w:r w:rsidR="000B6BEA" w:rsidRPr="00253510">
        <w:rPr>
          <w:noProof/>
          <w:sz w:val="22"/>
          <w:szCs w:val="22"/>
          <w:lang w:val="sr-Latn-ME"/>
        </w:rPr>
        <w:t>j</w:t>
      </w:r>
      <w:r w:rsidRPr="00253510">
        <w:rPr>
          <w:noProof/>
          <w:sz w:val="22"/>
          <w:szCs w:val="22"/>
          <w:lang w:val="sr-Latn-ME"/>
        </w:rPr>
        <w:t>ešovita bolest vezivnog tkiva.</w:t>
      </w:r>
    </w:p>
    <w:p w14:paraId="3B11A45F" w14:textId="77777777" w:rsidR="000F73FE" w:rsidRPr="00253510" w:rsidRDefault="000F73FE" w:rsidP="000F73FE">
      <w:pPr>
        <w:rPr>
          <w:noProof/>
          <w:sz w:val="22"/>
          <w:szCs w:val="22"/>
          <w:lang w:val="sr-Latn-ME"/>
        </w:rPr>
      </w:pPr>
    </w:p>
    <w:p w14:paraId="2EDB9539" w14:textId="77777777" w:rsidR="000F73FE" w:rsidRPr="00253510" w:rsidRDefault="000F73FE" w:rsidP="000F73FE">
      <w:pPr>
        <w:rPr>
          <w:b/>
          <w:i/>
          <w:noProof/>
          <w:sz w:val="22"/>
          <w:szCs w:val="22"/>
          <w:lang w:val="sr-Latn-ME"/>
        </w:rPr>
      </w:pPr>
      <w:r w:rsidRPr="00253510">
        <w:rPr>
          <w:b/>
          <w:i/>
          <w:noProof/>
          <w:sz w:val="22"/>
          <w:szCs w:val="22"/>
          <w:lang w:val="sr-Latn-ME"/>
        </w:rPr>
        <w:t>Poremećaji oka</w:t>
      </w:r>
    </w:p>
    <w:p w14:paraId="38F874D6" w14:textId="2D75FA51" w:rsidR="000F73FE" w:rsidRPr="00253510" w:rsidRDefault="000F73FE" w:rsidP="000F73FE">
      <w:pPr>
        <w:rPr>
          <w:noProof/>
          <w:sz w:val="22"/>
          <w:szCs w:val="22"/>
          <w:lang w:val="sr-Latn-ME"/>
        </w:rPr>
      </w:pPr>
      <w:r w:rsidRPr="00253510">
        <w:rPr>
          <w:noProof/>
          <w:sz w:val="22"/>
          <w:szCs w:val="22"/>
          <w:lang w:val="sr-Latn-ME"/>
        </w:rPr>
        <w:t>Reverzibilna stanja kao što su toksična ambliopija, zamagljen vid i prom</w:t>
      </w:r>
      <w:r w:rsidR="00822154" w:rsidRPr="00253510">
        <w:rPr>
          <w:noProof/>
          <w:sz w:val="22"/>
          <w:szCs w:val="22"/>
          <w:lang w:val="sr-Latn-ME"/>
        </w:rPr>
        <w:t>j</w:t>
      </w:r>
      <w:r w:rsidRPr="00253510">
        <w:rPr>
          <w:noProof/>
          <w:sz w:val="22"/>
          <w:szCs w:val="22"/>
          <w:lang w:val="sr-Latn-ME"/>
        </w:rPr>
        <w:t xml:space="preserve">ene u percepciji boje su uočeni. U ovim slučajevima neophodno je prekinuti terapiju ibuprofenom. </w:t>
      </w:r>
    </w:p>
    <w:p w14:paraId="2EA71A5F" w14:textId="77777777" w:rsidR="000F73FE" w:rsidRPr="00253510" w:rsidRDefault="000F73FE" w:rsidP="000F73FE">
      <w:pPr>
        <w:rPr>
          <w:b/>
          <w:i/>
          <w:noProof/>
          <w:sz w:val="22"/>
          <w:szCs w:val="22"/>
          <w:lang w:val="sr-Latn-ME"/>
        </w:rPr>
      </w:pPr>
    </w:p>
    <w:p w14:paraId="5BAB862D" w14:textId="77777777" w:rsidR="000F73FE" w:rsidRPr="00253510" w:rsidRDefault="000F73FE" w:rsidP="000F73FE">
      <w:pPr>
        <w:pStyle w:val="NormalIndent"/>
        <w:spacing w:after="0"/>
        <w:ind w:left="0"/>
        <w:jc w:val="both"/>
        <w:rPr>
          <w:b/>
          <w:i/>
          <w:szCs w:val="22"/>
          <w:lang w:val="sr-Latn-ME"/>
        </w:rPr>
      </w:pPr>
      <w:r w:rsidRPr="00253510">
        <w:rPr>
          <w:b/>
          <w:i/>
          <w:szCs w:val="22"/>
          <w:lang w:val="sr-Latn-ME"/>
        </w:rPr>
        <w:t xml:space="preserve">Poremećaji bubrega i urinarnog sistema </w:t>
      </w:r>
    </w:p>
    <w:p w14:paraId="5E475A1E" w14:textId="1B132562" w:rsidR="000F73FE" w:rsidRPr="00253510" w:rsidRDefault="000F73FE" w:rsidP="000F73FE">
      <w:pPr>
        <w:rPr>
          <w:b/>
          <w:i/>
          <w:sz w:val="22"/>
          <w:szCs w:val="22"/>
          <w:lang w:val="sr-Latn-ME"/>
        </w:rPr>
      </w:pPr>
      <w:r w:rsidRPr="00253510">
        <w:rPr>
          <w:sz w:val="22"/>
          <w:szCs w:val="22"/>
          <w:lang w:val="sr-Latn-ME"/>
        </w:rPr>
        <w:t>Može se javiti različit stepen bubrežne insuficijencije, posebno kod dugotrajne upotrebe ili visoke doze. Akutno smanjenje funkcije bubrega takođe može biti povezano sa generalizovanim reakcija</w:t>
      </w:r>
      <w:r w:rsidR="00A36D38" w:rsidRPr="00253510">
        <w:rPr>
          <w:sz w:val="22"/>
          <w:szCs w:val="22"/>
          <w:lang w:val="sr-Latn-ME"/>
        </w:rPr>
        <w:t xml:space="preserve">ma </w:t>
      </w:r>
      <w:r w:rsidRPr="00253510">
        <w:rPr>
          <w:sz w:val="22"/>
          <w:szCs w:val="22"/>
          <w:lang w:val="sr-Latn-ME"/>
        </w:rPr>
        <w:t>preos</w:t>
      </w:r>
      <w:r w:rsidR="000B6BEA" w:rsidRPr="00253510">
        <w:rPr>
          <w:sz w:val="22"/>
          <w:szCs w:val="22"/>
          <w:lang w:val="sr-Latn-ME"/>
        </w:rPr>
        <w:t>j</w:t>
      </w:r>
      <w:r w:rsidRPr="00253510">
        <w:rPr>
          <w:sz w:val="22"/>
          <w:szCs w:val="22"/>
          <w:lang w:val="sr-Latn-ME"/>
        </w:rPr>
        <w:t>etljivosti.</w:t>
      </w:r>
    </w:p>
    <w:p w14:paraId="72590EB5" w14:textId="77777777" w:rsidR="000F73FE" w:rsidRPr="00253510" w:rsidRDefault="000F73FE" w:rsidP="00480FB1">
      <w:pPr>
        <w:tabs>
          <w:tab w:val="left" w:pos="540"/>
          <w:tab w:val="left" w:pos="569"/>
        </w:tabs>
        <w:rPr>
          <w:b/>
          <w:bCs/>
          <w:sz w:val="22"/>
          <w:szCs w:val="22"/>
          <w:lang w:val="sr-Latn-ME"/>
        </w:rPr>
      </w:pPr>
    </w:p>
    <w:p w14:paraId="6342708C" w14:textId="77777777" w:rsidR="005A23D2" w:rsidRPr="00253510" w:rsidRDefault="005A23D2" w:rsidP="00A46C9A">
      <w:pPr>
        <w:spacing w:after="200" w:line="276" w:lineRule="auto"/>
        <w:rPr>
          <w:rFonts w:eastAsia="Calibri"/>
          <w:sz w:val="22"/>
          <w:szCs w:val="22"/>
          <w:u w:val="single"/>
          <w:lang w:val="sr-Latn-ME"/>
        </w:rPr>
      </w:pPr>
      <w:r w:rsidRPr="00253510">
        <w:rPr>
          <w:rFonts w:eastAsia="Calibri"/>
          <w:sz w:val="22"/>
          <w:szCs w:val="22"/>
          <w:u w:val="single"/>
          <w:lang w:val="sr-Latn-ME"/>
        </w:rPr>
        <w:t>Prijavljivanje sumnji na neželjena dejstva</w:t>
      </w:r>
    </w:p>
    <w:p w14:paraId="06E493EA" w14:textId="77777777" w:rsidR="005A23D2" w:rsidRPr="00253510" w:rsidRDefault="005A23D2" w:rsidP="00A46C9A">
      <w:pPr>
        <w:spacing w:after="200"/>
        <w:jc w:val="both"/>
        <w:rPr>
          <w:rFonts w:eastAsia="Calibri"/>
          <w:sz w:val="22"/>
          <w:szCs w:val="22"/>
          <w:lang w:val="sr-Latn-ME"/>
        </w:rPr>
      </w:pPr>
      <w:r w:rsidRPr="00253510">
        <w:rPr>
          <w:rFonts w:eastAsia="Calibri"/>
          <w:sz w:val="22"/>
          <w:szCs w:val="22"/>
          <w:lang w:val="sr-Latn-ME"/>
        </w:rPr>
        <w:t>Prijavljivanje neželjenih dejstava nakon dobijanja dozvole je od velikog značaja jer obezbjeđuje kont</w:t>
      </w:r>
      <w:r w:rsidR="00EA5765" w:rsidRPr="00253510">
        <w:rPr>
          <w:rFonts w:eastAsia="Calibri"/>
          <w:sz w:val="22"/>
          <w:szCs w:val="22"/>
          <w:lang w:val="sr-Latn-ME"/>
        </w:rPr>
        <w:t>inuirano praćenje odnosa korist</w:t>
      </w:r>
      <w:r w:rsidRPr="00253510">
        <w:rPr>
          <w:rFonts w:eastAsia="Calibri"/>
          <w:sz w:val="22"/>
          <w:szCs w:val="22"/>
          <w:lang w:val="sr-Latn-ME"/>
        </w:rPr>
        <w:t>/rizik primjene lijeka. Zdravstveni radnici treba da prijave svaku sumnju na neželjeno</w:t>
      </w:r>
      <w:r w:rsidR="009B062A" w:rsidRPr="00253510">
        <w:rPr>
          <w:rFonts w:eastAsia="Calibri"/>
          <w:sz w:val="22"/>
          <w:szCs w:val="22"/>
          <w:lang w:val="sr-Latn-ME"/>
        </w:rPr>
        <w:t xml:space="preserve"> </w:t>
      </w:r>
      <w:r w:rsidRPr="00253510">
        <w:rPr>
          <w:rFonts w:eastAsia="Calibri"/>
          <w:sz w:val="22"/>
          <w:szCs w:val="22"/>
          <w:lang w:val="sr-Latn-ME"/>
        </w:rPr>
        <w:t xml:space="preserve">dejstvo ovog lijeka </w:t>
      </w:r>
      <w:r w:rsidR="004E70AD" w:rsidRPr="00253510">
        <w:rPr>
          <w:rFonts w:eastAsia="Calibri"/>
          <w:sz w:val="22"/>
          <w:szCs w:val="22"/>
          <w:lang w:val="sr-Latn-ME"/>
        </w:rPr>
        <w:t>Institutu</w:t>
      </w:r>
      <w:r w:rsidRPr="00253510">
        <w:rPr>
          <w:rFonts w:eastAsia="Calibri"/>
          <w:sz w:val="22"/>
          <w:szCs w:val="22"/>
          <w:lang w:val="sr-Latn-ME"/>
        </w:rPr>
        <w:t xml:space="preserve"> za ljekove i medicinska sredstva</w:t>
      </w:r>
      <w:r w:rsidR="004E70AD" w:rsidRPr="00253510">
        <w:rPr>
          <w:rFonts w:eastAsia="Calibri"/>
          <w:sz w:val="22"/>
          <w:szCs w:val="22"/>
          <w:lang w:val="sr-Latn-ME"/>
        </w:rPr>
        <w:t xml:space="preserve"> </w:t>
      </w:r>
      <w:r w:rsidRPr="00253510">
        <w:rPr>
          <w:rFonts w:eastAsia="Calibri"/>
          <w:sz w:val="22"/>
          <w:szCs w:val="22"/>
          <w:lang w:val="sr-Latn-ME"/>
        </w:rPr>
        <w:t>(</w:t>
      </w:r>
      <w:r w:rsidR="004E70AD" w:rsidRPr="00253510">
        <w:rPr>
          <w:rFonts w:eastAsia="Calibri"/>
          <w:sz w:val="22"/>
          <w:szCs w:val="22"/>
          <w:lang w:val="sr-Latn-ME"/>
        </w:rPr>
        <w:t>CInMED</w:t>
      </w:r>
      <w:r w:rsidRPr="00253510">
        <w:rPr>
          <w:rFonts w:eastAsia="Calibri"/>
          <w:sz w:val="22"/>
          <w:szCs w:val="22"/>
          <w:lang w:val="sr-Latn-ME"/>
        </w:rPr>
        <w:t>):</w:t>
      </w:r>
    </w:p>
    <w:p w14:paraId="0A0B1E73" w14:textId="77777777" w:rsidR="005A23D2" w:rsidRPr="00253510" w:rsidRDefault="004E70AD" w:rsidP="00A46C9A">
      <w:pPr>
        <w:pStyle w:val="NoSpacing"/>
        <w:jc w:val="both"/>
        <w:rPr>
          <w:rFonts w:eastAsia="Calibri"/>
          <w:sz w:val="22"/>
          <w:szCs w:val="22"/>
          <w:lang w:val="sr-Latn-ME"/>
        </w:rPr>
      </w:pPr>
      <w:r w:rsidRPr="00253510">
        <w:rPr>
          <w:rFonts w:eastAsia="Calibri"/>
          <w:sz w:val="22"/>
          <w:szCs w:val="22"/>
          <w:lang w:val="sr-Latn-ME"/>
        </w:rPr>
        <w:t xml:space="preserve">Institut </w:t>
      </w:r>
      <w:r w:rsidR="005A23D2" w:rsidRPr="00253510">
        <w:rPr>
          <w:rFonts w:eastAsia="Calibri"/>
          <w:sz w:val="22"/>
          <w:szCs w:val="22"/>
          <w:lang w:val="sr-Latn-ME"/>
        </w:rPr>
        <w:t xml:space="preserve">za ljekove i medicinska sredstva </w:t>
      </w:r>
    </w:p>
    <w:p w14:paraId="679BDC38" w14:textId="77777777" w:rsidR="005A23D2" w:rsidRPr="00253510" w:rsidRDefault="005A23D2" w:rsidP="00A46C9A">
      <w:pPr>
        <w:pStyle w:val="NoSpacing"/>
        <w:jc w:val="both"/>
        <w:rPr>
          <w:rFonts w:eastAsia="Calibri"/>
          <w:sz w:val="22"/>
          <w:szCs w:val="22"/>
          <w:lang w:val="sr-Latn-ME"/>
        </w:rPr>
      </w:pPr>
      <w:r w:rsidRPr="00253510">
        <w:rPr>
          <w:rFonts w:eastAsia="Calibri"/>
          <w:sz w:val="22"/>
          <w:szCs w:val="22"/>
          <w:lang w:val="sr-Latn-ME"/>
        </w:rPr>
        <w:t>Odjeljenje za farmakovigilancu</w:t>
      </w:r>
    </w:p>
    <w:p w14:paraId="615C4442" w14:textId="77777777" w:rsidR="00EA5765" w:rsidRPr="00253510" w:rsidRDefault="005A23D2" w:rsidP="00A46C9A">
      <w:pPr>
        <w:pStyle w:val="NoSpacing"/>
        <w:jc w:val="both"/>
        <w:rPr>
          <w:rFonts w:eastAsia="Calibri"/>
          <w:sz w:val="22"/>
          <w:szCs w:val="22"/>
          <w:lang w:val="sr-Latn-ME"/>
        </w:rPr>
      </w:pPr>
      <w:r w:rsidRPr="00253510">
        <w:rPr>
          <w:rFonts w:eastAsia="Calibri"/>
          <w:sz w:val="22"/>
          <w:szCs w:val="22"/>
          <w:lang w:val="sr-Latn-ME"/>
        </w:rPr>
        <w:t>Bulevar Ivana Crnojevića 64a, 81000 Podgorica</w:t>
      </w:r>
    </w:p>
    <w:p w14:paraId="2BB371BE" w14:textId="77777777" w:rsidR="00EA5765" w:rsidRPr="00253510" w:rsidRDefault="00EA5765" w:rsidP="00A46C9A">
      <w:pPr>
        <w:pStyle w:val="NoSpacing"/>
        <w:rPr>
          <w:rFonts w:eastAsia="Calibri"/>
          <w:sz w:val="22"/>
          <w:szCs w:val="22"/>
          <w:lang w:val="sr-Latn-ME"/>
        </w:rPr>
      </w:pPr>
    </w:p>
    <w:p w14:paraId="1E1F50BB" w14:textId="77777777" w:rsidR="005A23D2" w:rsidRPr="00253510" w:rsidRDefault="005A23D2" w:rsidP="00A46C9A">
      <w:pPr>
        <w:pStyle w:val="NoSpacing"/>
        <w:jc w:val="both"/>
        <w:rPr>
          <w:rFonts w:eastAsia="Calibri"/>
          <w:sz w:val="22"/>
          <w:szCs w:val="22"/>
          <w:lang w:val="sr-Latn-ME"/>
        </w:rPr>
      </w:pPr>
      <w:r w:rsidRPr="00253510">
        <w:rPr>
          <w:rFonts w:eastAsia="Calibri"/>
          <w:sz w:val="22"/>
          <w:szCs w:val="22"/>
          <w:lang w:val="sr-Latn-ME"/>
        </w:rPr>
        <w:t>tel: +382 (0) 20 310 280</w:t>
      </w:r>
    </w:p>
    <w:p w14:paraId="3268CD15" w14:textId="77777777" w:rsidR="00EA5765" w:rsidRPr="00253510" w:rsidRDefault="005A23D2" w:rsidP="00A46C9A">
      <w:pPr>
        <w:pStyle w:val="NoSpacing"/>
        <w:jc w:val="both"/>
        <w:rPr>
          <w:rFonts w:eastAsia="Calibri"/>
          <w:sz w:val="22"/>
          <w:szCs w:val="22"/>
          <w:lang w:val="sr-Latn-ME"/>
        </w:rPr>
      </w:pPr>
      <w:r w:rsidRPr="00253510">
        <w:rPr>
          <w:rFonts w:eastAsia="Calibri"/>
          <w:sz w:val="22"/>
          <w:szCs w:val="22"/>
          <w:lang w:val="sr-Latn-ME"/>
        </w:rPr>
        <w:t>fax:</w:t>
      </w:r>
      <w:r w:rsidR="00EA5765" w:rsidRPr="00253510">
        <w:rPr>
          <w:rFonts w:eastAsia="Calibri"/>
          <w:sz w:val="22"/>
          <w:szCs w:val="22"/>
          <w:lang w:val="sr-Latn-ME"/>
        </w:rPr>
        <w:t xml:space="preserve"> </w:t>
      </w:r>
      <w:r w:rsidRPr="00253510">
        <w:rPr>
          <w:rFonts w:eastAsia="Calibri"/>
          <w:sz w:val="22"/>
          <w:szCs w:val="22"/>
          <w:lang w:val="sr-Latn-ME"/>
        </w:rPr>
        <w:t>+382 (0) 20 310 581</w:t>
      </w:r>
    </w:p>
    <w:p w14:paraId="79906C7A" w14:textId="77777777" w:rsidR="005A23D2" w:rsidRPr="00253510" w:rsidRDefault="00EB4EA0" w:rsidP="00A46C9A">
      <w:pPr>
        <w:pStyle w:val="NoSpacing"/>
        <w:jc w:val="both"/>
        <w:rPr>
          <w:rFonts w:eastAsia="Calibri"/>
          <w:sz w:val="22"/>
          <w:szCs w:val="22"/>
          <w:lang w:val="sr-Latn-ME"/>
        </w:rPr>
      </w:pPr>
      <w:hyperlink r:id="rId8" w:history="1">
        <w:r w:rsidR="004E70AD" w:rsidRPr="00253510">
          <w:rPr>
            <w:rStyle w:val="Hyperlink"/>
            <w:rFonts w:eastAsia="Calibri"/>
            <w:sz w:val="22"/>
            <w:szCs w:val="22"/>
            <w:lang w:val="sr-Latn-ME"/>
          </w:rPr>
          <w:t>www.cinmed.me</w:t>
        </w:r>
      </w:hyperlink>
    </w:p>
    <w:p w14:paraId="349E79F5" w14:textId="77777777" w:rsidR="00EA5765" w:rsidRPr="00253510" w:rsidRDefault="00EB4EA0" w:rsidP="00A46C9A">
      <w:pPr>
        <w:pStyle w:val="NoSpacing"/>
        <w:jc w:val="both"/>
        <w:rPr>
          <w:rFonts w:eastAsia="Calibri"/>
          <w:color w:val="0000FF"/>
          <w:sz w:val="22"/>
          <w:szCs w:val="22"/>
          <w:u w:val="single"/>
          <w:lang w:val="sr-Latn-ME"/>
        </w:rPr>
      </w:pPr>
      <w:hyperlink r:id="rId9" w:history="1">
        <w:r w:rsidR="004E70AD" w:rsidRPr="00253510">
          <w:rPr>
            <w:rStyle w:val="Hyperlink"/>
            <w:rFonts w:eastAsia="Calibri"/>
            <w:sz w:val="22"/>
            <w:szCs w:val="22"/>
            <w:lang w:val="sr-Latn-ME"/>
          </w:rPr>
          <w:t>nezeljenadejstva@cinmed.me</w:t>
        </w:r>
      </w:hyperlink>
    </w:p>
    <w:p w14:paraId="3EB98CBD" w14:textId="77777777" w:rsidR="005A23D2" w:rsidRPr="00253510" w:rsidRDefault="005A23D2" w:rsidP="00A46C9A">
      <w:pPr>
        <w:pStyle w:val="NoSpacing"/>
        <w:jc w:val="both"/>
        <w:rPr>
          <w:rFonts w:eastAsia="Calibri"/>
          <w:sz w:val="22"/>
          <w:szCs w:val="22"/>
          <w:lang w:val="sr-Latn-ME"/>
        </w:rPr>
      </w:pPr>
      <w:r w:rsidRPr="00253510">
        <w:rPr>
          <w:rFonts w:eastAsia="Calibri"/>
          <w:sz w:val="22"/>
          <w:szCs w:val="22"/>
          <w:lang w:val="sr-Latn-ME"/>
        </w:rPr>
        <w:t>putem IS zdravstvene zaštite</w:t>
      </w:r>
    </w:p>
    <w:p w14:paraId="6F58F53D" w14:textId="77777777" w:rsidR="00836B35" w:rsidRPr="00253510" w:rsidRDefault="00836B35" w:rsidP="00480FB1">
      <w:pPr>
        <w:tabs>
          <w:tab w:val="left" w:pos="540"/>
          <w:tab w:val="left" w:pos="569"/>
        </w:tabs>
        <w:rPr>
          <w:b/>
          <w:bCs/>
          <w:sz w:val="22"/>
          <w:szCs w:val="22"/>
          <w:lang w:val="sr-Latn-ME"/>
        </w:rPr>
      </w:pPr>
    </w:p>
    <w:p w14:paraId="42C52969" w14:textId="77777777" w:rsidR="00CD6F02"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4.9. </w:t>
      </w:r>
      <w:r w:rsidR="00480FB1" w:rsidRPr="00253510">
        <w:rPr>
          <w:b/>
          <w:bCs/>
          <w:sz w:val="22"/>
          <w:szCs w:val="22"/>
          <w:lang w:val="sr-Latn-ME"/>
        </w:rPr>
        <w:tab/>
      </w:r>
      <w:r w:rsidRPr="00253510">
        <w:rPr>
          <w:b/>
          <w:bCs/>
          <w:sz w:val="22"/>
          <w:szCs w:val="22"/>
          <w:lang w:val="sr-Latn-ME"/>
        </w:rPr>
        <w:t>Predoziranje</w:t>
      </w:r>
      <w:r w:rsidR="002846DB" w:rsidRPr="00253510">
        <w:rPr>
          <w:b/>
          <w:bCs/>
          <w:sz w:val="22"/>
          <w:szCs w:val="22"/>
          <w:lang w:val="sr-Latn-ME"/>
        </w:rPr>
        <w:t xml:space="preserve"> </w:t>
      </w:r>
    </w:p>
    <w:p w14:paraId="20D26B8D" w14:textId="77777777" w:rsidR="000F73FE" w:rsidRPr="00253510" w:rsidRDefault="000F73FE" w:rsidP="000F73FE">
      <w:pPr>
        <w:tabs>
          <w:tab w:val="left" w:pos="540"/>
          <w:tab w:val="left" w:pos="569"/>
        </w:tabs>
        <w:rPr>
          <w:b/>
          <w:bCs/>
          <w:sz w:val="22"/>
          <w:szCs w:val="22"/>
          <w:lang w:val="sr-Latn-ME"/>
        </w:rPr>
      </w:pPr>
    </w:p>
    <w:p w14:paraId="4374C1DC" w14:textId="52C9BFB6" w:rsidR="000F73FE" w:rsidRPr="00253510" w:rsidRDefault="000F73FE" w:rsidP="000F73FE">
      <w:pPr>
        <w:tabs>
          <w:tab w:val="left" w:pos="540"/>
          <w:tab w:val="left" w:pos="569"/>
        </w:tabs>
        <w:jc w:val="both"/>
        <w:rPr>
          <w:bCs/>
          <w:sz w:val="22"/>
          <w:szCs w:val="22"/>
          <w:lang w:val="sr-Latn-ME"/>
        </w:rPr>
      </w:pPr>
      <w:r w:rsidRPr="00253510">
        <w:rPr>
          <w:bCs/>
          <w:sz w:val="22"/>
          <w:szCs w:val="22"/>
          <w:lang w:val="sr-Latn-ME"/>
        </w:rPr>
        <w:t>Kod d</w:t>
      </w:r>
      <w:r w:rsidR="000B6BEA" w:rsidRPr="00253510">
        <w:rPr>
          <w:bCs/>
          <w:sz w:val="22"/>
          <w:szCs w:val="22"/>
          <w:lang w:val="sr-Latn-ME"/>
        </w:rPr>
        <w:t>j</w:t>
      </w:r>
      <w:r w:rsidRPr="00253510">
        <w:rPr>
          <w:bCs/>
          <w:sz w:val="22"/>
          <w:szCs w:val="22"/>
          <w:lang w:val="sr-Latn-ME"/>
        </w:rPr>
        <w:t>ece, gutanje više od 400 mg/kg može da prouzrokuje simptome. Kod odraslih, dozno zavisni odgovor je manje jasno izražen. Poluvr</w:t>
      </w:r>
      <w:r w:rsidR="0020518C" w:rsidRPr="00253510">
        <w:rPr>
          <w:bCs/>
          <w:sz w:val="22"/>
          <w:szCs w:val="22"/>
          <w:lang w:val="sr-Latn-ME"/>
        </w:rPr>
        <w:t>ij</w:t>
      </w:r>
      <w:r w:rsidRPr="00253510">
        <w:rPr>
          <w:bCs/>
          <w:sz w:val="22"/>
          <w:szCs w:val="22"/>
          <w:lang w:val="sr-Latn-ME"/>
        </w:rPr>
        <w:t>eme eliminacije kod predoziranja je 1,5-3 sata.</w:t>
      </w:r>
    </w:p>
    <w:p w14:paraId="713DF341" w14:textId="77777777" w:rsidR="000F73FE" w:rsidRPr="00253510" w:rsidRDefault="000F73FE" w:rsidP="000F73FE">
      <w:pPr>
        <w:tabs>
          <w:tab w:val="left" w:pos="540"/>
          <w:tab w:val="left" w:pos="569"/>
        </w:tabs>
        <w:jc w:val="both"/>
        <w:rPr>
          <w:bCs/>
          <w:sz w:val="22"/>
          <w:szCs w:val="22"/>
          <w:lang w:val="sr-Latn-ME"/>
        </w:rPr>
      </w:pPr>
    </w:p>
    <w:p w14:paraId="47AFEF7B" w14:textId="77777777" w:rsidR="003A3512" w:rsidRPr="00253510" w:rsidRDefault="003A3512" w:rsidP="000F73FE">
      <w:pPr>
        <w:tabs>
          <w:tab w:val="left" w:pos="540"/>
          <w:tab w:val="left" w:pos="569"/>
        </w:tabs>
        <w:jc w:val="both"/>
        <w:rPr>
          <w:bCs/>
          <w:sz w:val="22"/>
          <w:szCs w:val="22"/>
          <w:lang w:val="sr-Latn-ME"/>
        </w:rPr>
      </w:pPr>
    </w:p>
    <w:p w14:paraId="70A9F8C0" w14:textId="6CA9C322" w:rsidR="000F73FE" w:rsidRPr="00253510" w:rsidRDefault="000F73FE" w:rsidP="000F73FE">
      <w:pPr>
        <w:tabs>
          <w:tab w:val="left" w:pos="540"/>
          <w:tab w:val="left" w:pos="569"/>
        </w:tabs>
        <w:jc w:val="both"/>
        <w:rPr>
          <w:bCs/>
          <w:sz w:val="22"/>
          <w:szCs w:val="22"/>
          <w:lang w:val="sr-Latn-ME"/>
        </w:rPr>
      </w:pPr>
      <w:r w:rsidRPr="00253510">
        <w:rPr>
          <w:bCs/>
          <w:sz w:val="22"/>
          <w:szCs w:val="22"/>
          <w:lang w:val="sr-Latn-ME"/>
        </w:rPr>
        <w:lastRenderedPageBreak/>
        <w:t>Simptomi</w:t>
      </w:r>
    </w:p>
    <w:p w14:paraId="43B8CC92" w14:textId="4A95F580" w:rsidR="000F73FE" w:rsidRPr="00253510" w:rsidRDefault="000F73FE" w:rsidP="000F73FE">
      <w:pPr>
        <w:tabs>
          <w:tab w:val="left" w:pos="540"/>
          <w:tab w:val="left" w:pos="569"/>
        </w:tabs>
        <w:jc w:val="both"/>
        <w:rPr>
          <w:bCs/>
          <w:sz w:val="22"/>
          <w:szCs w:val="22"/>
          <w:lang w:val="sr-Latn-ME"/>
        </w:rPr>
      </w:pPr>
      <w:r w:rsidRPr="00253510">
        <w:rPr>
          <w:bCs/>
          <w:sz w:val="22"/>
          <w:szCs w:val="22"/>
          <w:lang w:val="sr-Latn-ME"/>
        </w:rPr>
        <w:t>Kod većine pacijenata koji su uzeli klinički značajne količine NSAIL se neće ispoljiti drugi simptomi osim mučnine, povraćanja, epigastričnog bola, ili, r</w:t>
      </w:r>
      <w:r w:rsidR="000B6BEA" w:rsidRPr="00253510">
        <w:rPr>
          <w:bCs/>
          <w:sz w:val="22"/>
          <w:szCs w:val="22"/>
          <w:lang w:val="sr-Latn-ME"/>
        </w:rPr>
        <w:t>j</w:t>
      </w:r>
      <w:r w:rsidRPr="00253510">
        <w:rPr>
          <w:bCs/>
          <w:sz w:val="22"/>
          <w:szCs w:val="22"/>
          <w:lang w:val="sr-Latn-ME"/>
        </w:rPr>
        <w:t>eđe, dijareje. Zujanje u ušima, glavobolja, zamagljen vid i gastrointestinalno krvarenje su takođe mogući. Kod težeg trovanja, prim</w:t>
      </w:r>
      <w:r w:rsidR="0020518C" w:rsidRPr="00253510">
        <w:rPr>
          <w:bCs/>
          <w:sz w:val="22"/>
          <w:szCs w:val="22"/>
          <w:lang w:val="sr-Latn-ME"/>
        </w:rPr>
        <w:t>ij</w:t>
      </w:r>
      <w:r w:rsidRPr="00253510">
        <w:rPr>
          <w:bCs/>
          <w:sz w:val="22"/>
          <w:szCs w:val="22"/>
          <w:lang w:val="sr-Latn-ME"/>
        </w:rPr>
        <w:t>ećena je toksičnost centralnog nervnog sistema, koja se manifestuje kao pospanost, vrtoglavica, povremena uzbuđenost i dezorijentisanost ili koma. Ponekad se kod pacijenata pojavljuju konvulzije. Kod teškog trovanja može doći do metaboličke acidoze, a protrombinsko vr</w:t>
      </w:r>
      <w:r w:rsidR="0020518C" w:rsidRPr="00253510">
        <w:rPr>
          <w:bCs/>
          <w:sz w:val="22"/>
          <w:szCs w:val="22"/>
          <w:lang w:val="sr-Latn-ME"/>
        </w:rPr>
        <w:t>ij</w:t>
      </w:r>
      <w:r w:rsidRPr="00253510">
        <w:rPr>
          <w:bCs/>
          <w:sz w:val="22"/>
          <w:szCs w:val="22"/>
          <w:lang w:val="sr-Latn-ME"/>
        </w:rPr>
        <w:t>eme/INR može biti produženo, v</w:t>
      </w:r>
      <w:r w:rsidR="000B6BEA" w:rsidRPr="00253510">
        <w:rPr>
          <w:bCs/>
          <w:sz w:val="22"/>
          <w:szCs w:val="22"/>
          <w:lang w:val="sr-Latn-ME"/>
        </w:rPr>
        <w:t>j</w:t>
      </w:r>
      <w:r w:rsidRPr="00253510">
        <w:rPr>
          <w:bCs/>
          <w:sz w:val="22"/>
          <w:szCs w:val="22"/>
          <w:lang w:val="sr-Latn-ME"/>
        </w:rPr>
        <w:t>erovatno usl</w:t>
      </w:r>
      <w:r w:rsidR="0020518C" w:rsidRPr="00253510">
        <w:rPr>
          <w:bCs/>
          <w:sz w:val="22"/>
          <w:szCs w:val="22"/>
          <w:lang w:val="sr-Latn-ME"/>
        </w:rPr>
        <w:t>j</w:t>
      </w:r>
      <w:r w:rsidRPr="00253510">
        <w:rPr>
          <w:bCs/>
          <w:sz w:val="22"/>
          <w:szCs w:val="22"/>
          <w:lang w:val="sr-Latn-ME"/>
        </w:rPr>
        <w:t>ed ometanja dejstva faktora koagulacije u krvotoku. Može doći do akutne insuficijencije bubrega, oštećenja jetre, hipotenzije, respiratorne depresije i cijanoze. Pogoršanje astme je moguće kod astmatičara.</w:t>
      </w:r>
    </w:p>
    <w:p w14:paraId="238CC965" w14:textId="77777777" w:rsidR="000F73FE" w:rsidRPr="00253510" w:rsidRDefault="000F73FE" w:rsidP="000F73FE">
      <w:pPr>
        <w:tabs>
          <w:tab w:val="left" w:pos="540"/>
          <w:tab w:val="left" w:pos="569"/>
        </w:tabs>
        <w:jc w:val="both"/>
        <w:rPr>
          <w:bCs/>
          <w:sz w:val="22"/>
          <w:szCs w:val="22"/>
          <w:lang w:val="sr-Latn-ME"/>
        </w:rPr>
      </w:pPr>
    </w:p>
    <w:p w14:paraId="6B16DEB0" w14:textId="3C4227EB" w:rsidR="000F73FE" w:rsidRPr="00253510" w:rsidRDefault="000F73FE" w:rsidP="000F73FE">
      <w:pPr>
        <w:tabs>
          <w:tab w:val="left" w:pos="540"/>
          <w:tab w:val="left" w:pos="569"/>
        </w:tabs>
        <w:jc w:val="both"/>
        <w:rPr>
          <w:bCs/>
          <w:sz w:val="22"/>
          <w:szCs w:val="22"/>
          <w:lang w:val="sr-Latn-ME"/>
        </w:rPr>
      </w:pPr>
      <w:r w:rsidRPr="00253510">
        <w:rPr>
          <w:bCs/>
          <w:sz w:val="22"/>
          <w:szCs w:val="22"/>
          <w:lang w:val="sr-Latn-ME"/>
        </w:rPr>
        <w:t>Terapijske m</w:t>
      </w:r>
      <w:r w:rsidR="000B6BEA" w:rsidRPr="00253510">
        <w:rPr>
          <w:bCs/>
          <w:sz w:val="22"/>
          <w:szCs w:val="22"/>
          <w:lang w:val="sr-Latn-ME"/>
        </w:rPr>
        <w:t>j</w:t>
      </w:r>
      <w:r w:rsidRPr="00253510">
        <w:rPr>
          <w:bCs/>
          <w:sz w:val="22"/>
          <w:szCs w:val="22"/>
          <w:lang w:val="sr-Latn-ME"/>
        </w:rPr>
        <w:t xml:space="preserve">ere </w:t>
      </w:r>
    </w:p>
    <w:p w14:paraId="6769EC36" w14:textId="51023D69" w:rsidR="00CD6F02" w:rsidRPr="00253510" w:rsidRDefault="000F73FE" w:rsidP="000F73FE">
      <w:pPr>
        <w:tabs>
          <w:tab w:val="left" w:pos="540"/>
          <w:tab w:val="left" w:pos="569"/>
        </w:tabs>
        <w:jc w:val="both"/>
        <w:rPr>
          <w:bCs/>
          <w:sz w:val="22"/>
          <w:szCs w:val="22"/>
          <w:lang w:val="sr-Latn-ME"/>
        </w:rPr>
      </w:pPr>
      <w:r w:rsidRPr="00253510">
        <w:rPr>
          <w:bCs/>
          <w:sz w:val="22"/>
          <w:szCs w:val="22"/>
          <w:lang w:val="sr-Latn-ME"/>
        </w:rPr>
        <w:t>Nema specifičnog antidota. Terapija bi trebalo da bude simptomatska i da obuhvata održavanje disajnih puteva čistim i praćenje srčanih i vitalnih znakova dok se ne stabilizuju. Razmotriti oralno davanje aktivnog uglja ako se pacijent pojavi u roku od sat vremena od gutanja potencijalno toksične količine. Ako su učestale ili dugotrajne, konvulzije treba l</w:t>
      </w:r>
      <w:r w:rsidR="000B6BEA" w:rsidRPr="00253510">
        <w:rPr>
          <w:bCs/>
          <w:sz w:val="22"/>
          <w:szCs w:val="22"/>
          <w:lang w:val="sr-Latn-ME"/>
        </w:rPr>
        <w:t>ij</w:t>
      </w:r>
      <w:r w:rsidRPr="00253510">
        <w:rPr>
          <w:bCs/>
          <w:sz w:val="22"/>
          <w:szCs w:val="22"/>
          <w:lang w:val="sr-Latn-ME"/>
        </w:rPr>
        <w:t>ečiti intravenskim davanjem diazepama ili lorazepama. Dati bronhodilatatore za astmu.</w:t>
      </w:r>
    </w:p>
    <w:p w14:paraId="6597D192" w14:textId="7F1E7A68" w:rsidR="00227BDB" w:rsidRPr="00253510" w:rsidRDefault="00227BDB" w:rsidP="00480FB1">
      <w:pPr>
        <w:tabs>
          <w:tab w:val="left" w:pos="540"/>
          <w:tab w:val="left" w:pos="569"/>
        </w:tabs>
        <w:rPr>
          <w:b/>
          <w:bCs/>
          <w:sz w:val="22"/>
          <w:szCs w:val="22"/>
          <w:lang w:val="sr-Latn-ME"/>
        </w:rPr>
      </w:pPr>
    </w:p>
    <w:p w14:paraId="4F4AEA15" w14:textId="77777777" w:rsidR="003A3512" w:rsidRPr="00253510" w:rsidRDefault="003A3512" w:rsidP="00480FB1">
      <w:pPr>
        <w:tabs>
          <w:tab w:val="left" w:pos="540"/>
          <w:tab w:val="left" w:pos="569"/>
        </w:tabs>
        <w:rPr>
          <w:b/>
          <w:bCs/>
          <w:sz w:val="22"/>
          <w:szCs w:val="22"/>
          <w:lang w:val="sr-Latn-ME"/>
        </w:rPr>
      </w:pPr>
    </w:p>
    <w:p w14:paraId="0C4FB4D8"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5. </w:t>
      </w:r>
      <w:r w:rsidR="00480FB1" w:rsidRPr="00253510">
        <w:rPr>
          <w:b/>
          <w:bCs/>
          <w:sz w:val="22"/>
          <w:szCs w:val="22"/>
          <w:lang w:val="sr-Latn-ME"/>
        </w:rPr>
        <w:tab/>
      </w:r>
      <w:r w:rsidRPr="00253510">
        <w:rPr>
          <w:b/>
          <w:bCs/>
          <w:sz w:val="22"/>
          <w:szCs w:val="22"/>
          <w:lang w:val="sr-Latn-ME"/>
        </w:rPr>
        <w:t>FARMAKOLOŠK</w:t>
      </w:r>
      <w:r w:rsidR="000D425A" w:rsidRPr="00253510">
        <w:rPr>
          <w:b/>
          <w:bCs/>
          <w:sz w:val="22"/>
          <w:szCs w:val="22"/>
          <w:lang w:val="sr-Latn-ME"/>
        </w:rPr>
        <w:t>I</w:t>
      </w:r>
      <w:r w:rsidRPr="00253510">
        <w:rPr>
          <w:b/>
          <w:bCs/>
          <w:sz w:val="22"/>
          <w:szCs w:val="22"/>
          <w:lang w:val="sr-Latn-ME"/>
        </w:rPr>
        <w:t xml:space="preserve"> PODACI</w:t>
      </w:r>
    </w:p>
    <w:p w14:paraId="68D97E09" w14:textId="77777777" w:rsidR="0072020E" w:rsidRPr="00253510" w:rsidRDefault="0072020E" w:rsidP="00480FB1">
      <w:pPr>
        <w:tabs>
          <w:tab w:val="left" w:pos="540"/>
          <w:tab w:val="left" w:pos="569"/>
        </w:tabs>
        <w:rPr>
          <w:b/>
          <w:bCs/>
          <w:sz w:val="22"/>
          <w:szCs w:val="22"/>
          <w:lang w:val="sr-Latn-ME"/>
        </w:rPr>
      </w:pPr>
    </w:p>
    <w:p w14:paraId="7AC5089E"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5.1. </w:t>
      </w:r>
      <w:r w:rsidR="00480FB1" w:rsidRPr="00253510">
        <w:rPr>
          <w:b/>
          <w:bCs/>
          <w:sz w:val="22"/>
          <w:szCs w:val="22"/>
          <w:lang w:val="sr-Latn-ME"/>
        </w:rPr>
        <w:tab/>
      </w:r>
      <w:r w:rsidRPr="00253510">
        <w:rPr>
          <w:b/>
          <w:bCs/>
          <w:sz w:val="22"/>
          <w:szCs w:val="22"/>
          <w:lang w:val="sr-Latn-ME"/>
        </w:rPr>
        <w:t>Farmakodinamski podaci</w:t>
      </w:r>
      <w:r w:rsidR="003A7059" w:rsidRPr="00253510">
        <w:rPr>
          <w:b/>
          <w:bCs/>
          <w:sz w:val="22"/>
          <w:szCs w:val="22"/>
          <w:lang w:val="sr-Latn-ME"/>
        </w:rPr>
        <w:t xml:space="preserve"> </w:t>
      </w:r>
    </w:p>
    <w:p w14:paraId="73E87E12" w14:textId="77777777" w:rsidR="00F45F77" w:rsidRPr="00253510" w:rsidRDefault="00F45F77" w:rsidP="00480FB1">
      <w:pPr>
        <w:tabs>
          <w:tab w:val="left" w:pos="540"/>
          <w:tab w:val="left" w:pos="569"/>
        </w:tabs>
        <w:rPr>
          <w:b/>
          <w:bCs/>
          <w:sz w:val="22"/>
          <w:szCs w:val="22"/>
          <w:lang w:val="sr-Latn-ME"/>
        </w:rPr>
      </w:pPr>
    </w:p>
    <w:p w14:paraId="39396F4D" w14:textId="77777777" w:rsidR="0072020E" w:rsidRPr="00253510" w:rsidRDefault="0072020E" w:rsidP="00480FB1">
      <w:pPr>
        <w:tabs>
          <w:tab w:val="left" w:pos="540"/>
          <w:tab w:val="left" w:pos="569"/>
        </w:tabs>
        <w:rPr>
          <w:bCs/>
          <w:sz w:val="22"/>
          <w:szCs w:val="22"/>
          <w:lang w:val="sr-Latn-ME"/>
        </w:rPr>
      </w:pPr>
      <w:r w:rsidRPr="00253510">
        <w:rPr>
          <w:bCs/>
          <w:sz w:val="22"/>
          <w:szCs w:val="22"/>
          <w:lang w:val="sr-Latn-ME"/>
        </w:rPr>
        <w:t>Farmakoterapijska grupa:</w:t>
      </w:r>
      <w:r w:rsidR="000F73FE" w:rsidRPr="00253510">
        <w:rPr>
          <w:lang w:val="sr-Latn-ME"/>
        </w:rPr>
        <w:t xml:space="preserve"> </w:t>
      </w:r>
      <w:r w:rsidR="000F73FE" w:rsidRPr="00253510">
        <w:rPr>
          <w:bCs/>
          <w:sz w:val="22"/>
          <w:szCs w:val="22"/>
          <w:lang w:val="sr-Latn-ME"/>
        </w:rPr>
        <w:t>Nesteroidni antiinflamatorni i antireumatski proizvodi. Derivati propionske kiseline</w:t>
      </w:r>
    </w:p>
    <w:p w14:paraId="6B6FB310" w14:textId="77777777" w:rsidR="0072020E" w:rsidRPr="00253510" w:rsidRDefault="0072020E" w:rsidP="00480FB1">
      <w:pPr>
        <w:tabs>
          <w:tab w:val="left" w:pos="540"/>
          <w:tab w:val="left" w:pos="569"/>
        </w:tabs>
        <w:rPr>
          <w:bCs/>
          <w:sz w:val="22"/>
          <w:szCs w:val="22"/>
          <w:lang w:val="sr-Latn-ME"/>
        </w:rPr>
      </w:pPr>
    </w:p>
    <w:p w14:paraId="373561B4" w14:textId="77777777" w:rsidR="0072020E" w:rsidRPr="00253510" w:rsidRDefault="0072020E" w:rsidP="00480FB1">
      <w:pPr>
        <w:tabs>
          <w:tab w:val="left" w:pos="540"/>
          <w:tab w:val="left" w:pos="569"/>
        </w:tabs>
        <w:rPr>
          <w:bCs/>
          <w:sz w:val="22"/>
          <w:szCs w:val="22"/>
          <w:lang w:val="sr-Latn-ME"/>
        </w:rPr>
      </w:pPr>
      <w:r w:rsidRPr="00253510">
        <w:rPr>
          <w:bCs/>
          <w:sz w:val="22"/>
          <w:szCs w:val="22"/>
          <w:lang w:val="sr-Latn-ME"/>
        </w:rPr>
        <w:t>ATC kod:</w:t>
      </w:r>
      <w:r w:rsidR="00BE7766" w:rsidRPr="00253510">
        <w:rPr>
          <w:lang w:val="sr-Latn-ME"/>
        </w:rPr>
        <w:t xml:space="preserve"> </w:t>
      </w:r>
      <w:r w:rsidR="00BE7766" w:rsidRPr="00253510">
        <w:rPr>
          <w:bCs/>
          <w:sz w:val="22"/>
          <w:szCs w:val="22"/>
          <w:lang w:val="sr-Latn-ME"/>
        </w:rPr>
        <w:t>M01AE01</w:t>
      </w:r>
    </w:p>
    <w:p w14:paraId="15F1F7A8" w14:textId="77777777" w:rsidR="00BE7766" w:rsidRPr="00253510" w:rsidRDefault="00BE7766" w:rsidP="00480FB1">
      <w:pPr>
        <w:tabs>
          <w:tab w:val="left" w:pos="540"/>
          <w:tab w:val="left" w:pos="569"/>
        </w:tabs>
        <w:rPr>
          <w:bCs/>
          <w:sz w:val="22"/>
          <w:szCs w:val="22"/>
          <w:lang w:val="sr-Latn-ME"/>
        </w:rPr>
      </w:pPr>
    </w:p>
    <w:p w14:paraId="7EB6A385" w14:textId="77777777"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 xml:space="preserve">Ibuprofen je derivat pripionske kiseline sa analgetskim, antiinflamatornim i antipiretskim dejstvom. </w:t>
      </w:r>
    </w:p>
    <w:p w14:paraId="3FAC2E10" w14:textId="77777777"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Terapijsko dejstvo se kao i kod drugih NSAIL postiže inhibicijom enzima ciklooksigenaze, što dovodi do značajne redukcije sinteze prostaglandina.</w:t>
      </w:r>
    </w:p>
    <w:p w14:paraId="4B6FE252" w14:textId="75BA4F85"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Eksperimentalni podaci ukazuju da prim</w:t>
      </w:r>
      <w:r w:rsidR="000B6BEA" w:rsidRPr="00253510">
        <w:rPr>
          <w:bCs/>
          <w:sz w:val="22"/>
          <w:szCs w:val="22"/>
          <w:lang w:val="sr-Latn-ME"/>
        </w:rPr>
        <w:t>j</w:t>
      </w:r>
      <w:r w:rsidRPr="00253510">
        <w:rPr>
          <w:bCs/>
          <w:sz w:val="22"/>
          <w:szCs w:val="22"/>
          <w:lang w:val="sr-Latn-ME"/>
        </w:rPr>
        <w:t>ena ibuprofena može kompetitivno inhibirati dejstvo malih doza acetilsalicilne kiseline na agregaciju trombocita pri istovremenoj prim</w:t>
      </w:r>
      <w:r w:rsidR="000B6BEA" w:rsidRPr="00253510">
        <w:rPr>
          <w:bCs/>
          <w:sz w:val="22"/>
          <w:szCs w:val="22"/>
          <w:lang w:val="sr-Latn-ME"/>
        </w:rPr>
        <w:t>j</w:t>
      </w:r>
      <w:r w:rsidRPr="00253510">
        <w:rPr>
          <w:bCs/>
          <w:sz w:val="22"/>
          <w:szCs w:val="22"/>
          <w:lang w:val="sr-Latn-ME"/>
        </w:rPr>
        <w:t>eni.</w:t>
      </w:r>
    </w:p>
    <w:p w14:paraId="1E4A3AB5" w14:textId="01622491" w:rsidR="002E37A5" w:rsidRPr="00253510" w:rsidRDefault="00BE7766" w:rsidP="00BE7766">
      <w:pPr>
        <w:tabs>
          <w:tab w:val="left" w:pos="540"/>
          <w:tab w:val="left" w:pos="569"/>
        </w:tabs>
        <w:jc w:val="both"/>
        <w:rPr>
          <w:bCs/>
          <w:sz w:val="22"/>
          <w:szCs w:val="22"/>
          <w:lang w:val="sr-Latn-ME"/>
        </w:rPr>
      </w:pPr>
      <w:r w:rsidRPr="00253510">
        <w:rPr>
          <w:bCs/>
          <w:sz w:val="22"/>
          <w:szCs w:val="22"/>
          <w:lang w:val="sr-Latn-ME"/>
        </w:rPr>
        <w:t>Neke farmakodinamske studije su pokazale da prim</w:t>
      </w:r>
      <w:r w:rsidR="000B6BEA" w:rsidRPr="00253510">
        <w:rPr>
          <w:bCs/>
          <w:sz w:val="22"/>
          <w:szCs w:val="22"/>
          <w:lang w:val="sr-Latn-ME"/>
        </w:rPr>
        <w:t>j</w:t>
      </w:r>
      <w:r w:rsidRPr="00253510">
        <w:rPr>
          <w:bCs/>
          <w:sz w:val="22"/>
          <w:szCs w:val="22"/>
          <w:lang w:val="sr-Latn-ME"/>
        </w:rPr>
        <w:t>ena jedne doze od 400 mg ibuprofena 8 sati pr</w:t>
      </w:r>
      <w:r w:rsidR="000B6BEA" w:rsidRPr="00253510">
        <w:rPr>
          <w:bCs/>
          <w:sz w:val="22"/>
          <w:szCs w:val="22"/>
          <w:lang w:val="sr-Latn-ME"/>
        </w:rPr>
        <w:t>ij</w:t>
      </w:r>
      <w:r w:rsidRPr="00253510">
        <w:rPr>
          <w:bCs/>
          <w:sz w:val="22"/>
          <w:szCs w:val="22"/>
          <w:lang w:val="sr-Latn-ME"/>
        </w:rPr>
        <w:t>e ili 30 minuta posl</w:t>
      </w:r>
      <w:r w:rsidR="004932E5" w:rsidRPr="00253510">
        <w:rPr>
          <w:bCs/>
          <w:sz w:val="22"/>
          <w:szCs w:val="22"/>
          <w:lang w:val="sr-Latn-ME"/>
        </w:rPr>
        <w:t>ij</w:t>
      </w:r>
      <w:r w:rsidRPr="00253510">
        <w:rPr>
          <w:bCs/>
          <w:sz w:val="22"/>
          <w:szCs w:val="22"/>
          <w:lang w:val="sr-Latn-ME"/>
        </w:rPr>
        <w:t>e prim</w:t>
      </w:r>
      <w:r w:rsidR="000B6BEA" w:rsidRPr="00253510">
        <w:rPr>
          <w:bCs/>
          <w:sz w:val="22"/>
          <w:szCs w:val="22"/>
          <w:lang w:val="sr-Latn-ME"/>
        </w:rPr>
        <w:t>j</w:t>
      </w:r>
      <w:r w:rsidRPr="00253510">
        <w:rPr>
          <w:bCs/>
          <w:sz w:val="22"/>
          <w:szCs w:val="22"/>
          <w:lang w:val="sr-Latn-ME"/>
        </w:rPr>
        <w:t>ene acetilsalicilne kiseline (oblik sa trenutnim oslobađanjem, 81 mg) dovodi do smanjenja dejstva acetilsalicilne kiseline na stvaranje tromboksana ili agregaciju trombocita. Iako postoje neke nepoznanice pri ekstrapolaciji podataka na kliničku situaciju, mogućnost da redovna, dugotrajna upotreba ibuprofena može da redukuje kardioprotektivni efekat niskih doza acetilsalicilne kiseline se ne može isključiti. Nijedan klinički relevantni efekat nije v</w:t>
      </w:r>
      <w:r w:rsidR="000B6BEA" w:rsidRPr="00253510">
        <w:rPr>
          <w:bCs/>
          <w:sz w:val="22"/>
          <w:szCs w:val="22"/>
          <w:lang w:val="sr-Latn-ME"/>
        </w:rPr>
        <w:t>j</w:t>
      </w:r>
      <w:r w:rsidRPr="00253510">
        <w:rPr>
          <w:bCs/>
          <w:sz w:val="22"/>
          <w:szCs w:val="22"/>
          <w:lang w:val="sr-Latn-ME"/>
        </w:rPr>
        <w:t>erovatan pri povremenoj prim</w:t>
      </w:r>
      <w:r w:rsidR="000B6BEA" w:rsidRPr="00253510">
        <w:rPr>
          <w:bCs/>
          <w:sz w:val="22"/>
          <w:szCs w:val="22"/>
          <w:lang w:val="sr-Latn-ME"/>
        </w:rPr>
        <w:t>j</w:t>
      </w:r>
      <w:r w:rsidRPr="00253510">
        <w:rPr>
          <w:bCs/>
          <w:sz w:val="22"/>
          <w:szCs w:val="22"/>
          <w:lang w:val="sr-Latn-ME"/>
        </w:rPr>
        <w:t>eni ibuprofena (vid</w:t>
      </w:r>
      <w:r w:rsidR="000B6BEA" w:rsidRPr="00253510">
        <w:rPr>
          <w:bCs/>
          <w:sz w:val="22"/>
          <w:szCs w:val="22"/>
          <w:lang w:val="sr-Latn-ME"/>
        </w:rPr>
        <w:t>j</w:t>
      </w:r>
      <w:r w:rsidRPr="00253510">
        <w:rPr>
          <w:bCs/>
          <w:sz w:val="22"/>
          <w:szCs w:val="22"/>
          <w:lang w:val="sr-Latn-ME"/>
        </w:rPr>
        <w:t>eti od</w:t>
      </w:r>
      <w:r w:rsidR="000B6BEA" w:rsidRPr="00253510">
        <w:rPr>
          <w:bCs/>
          <w:sz w:val="22"/>
          <w:szCs w:val="22"/>
          <w:lang w:val="sr-Latn-ME"/>
        </w:rPr>
        <w:t>j</w:t>
      </w:r>
      <w:r w:rsidRPr="00253510">
        <w:rPr>
          <w:bCs/>
          <w:sz w:val="22"/>
          <w:szCs w:val="22"/>
          <w:lang w:val="sr-Latn-ME"/>
        </w:rPr>
        <w:t>eljak 4.5).</w:t>
      </w:r>
    </w:p>
    <w:p w14:paraId="20BB0035" w14:textId="77777777" w:rsidR="00BE7766" w:rsidRPr="00253510" w:rsidRDefault="00BE7766" w:rsidP="00BE7766">
      <w:pPr>
        <w:tabs>
          <w:tab w:val="left" w:pos="540"/>
          <w:tab w:val="left" w:pos="569"/>
        </w:tabs>
        <w:jc w:val="both"/>
        <w:rPr>
          <w:bCs/>
          <w:sz w:val="22"/>
          <w:szCs w:val="22"/>
          <w:lang w:val="sr-Latn-ME"/>
        </w:rPr>
      </w:pPr>
    </w:p>
    <w:p w14:paraId="4103AB8C"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5.2. </w:t>
      </w:r>
      <w:r w:rsidR="00480FB1" w:rsidRPr="00253510">
        <w:rPr>
          <w:b/>
          <w:bCs/>
          <w:sz w:val="22"/>
          <w:szCs w:val="22"/>
          <w:lang w:val="sr-Latn-ME"/>
        </w:rPr>
        <w:tab/>
      </w:r>
      <w:r w:rsidRPr="00253510">
        <w:rPr>
          <w:b/>
          <w:bCs/>
          <w:sz w:val="22"/>
          <w:szCs w:val="22"/>
          <w:lang w:val="sr-Latn-ME"/>
        </w:rPr>
        <w:t>Farmakokinetički podaci</w:t>
      </w:r>
      <w:r w:rsidR="003A7059" w:rsidRPr="00253510">
        <w:rPr>
          <w:b/>
          <w:bCs/>
          <w:sz w:val="22"/>
          <w:szCs w:val="22"/>
          <w:lang w:val="sr-Latn-ME"/>
        </w:rPr>
        <w:t xml:space="preserve"> </w:t>
      </w:r>
    </w:p>
    <w:p w14:paraId="44D8FFD6" w14:textId="77777777" w:rsidR="0072020E" w:rsidRPr="00253510" w:rsidRDefault="0072020E" w:rsidP="00480FB1">
      <w:pPr>
        <w:tabs>
          <w:tab w:val="left" w:pos="540"/>
          <w:tab w:val="left" w:pos="569"/>
        </w:tabs>
        <w:rPr>
          <w:bCs/>
          <w:sz w:val="22"/>
          <w:szCs w:val="22"/>
          <w:lang w:val="sr-Latn-ME"/>
        </w:rPr>
      </w:pPr>
    </w:p>
    <w:p w14:paraId="53DB96BF" w14:textId="488DEA55"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Nakon oralne prim</w:t>
      </w:r>
      <w:r w:rsidR="000B6BEA" w:rsidRPr="00253510">
        <w:rPr>
          <w:bCs/>
          <w:sz w:val="22"/>
          <w:szCs w:val="22"/>
          <w:lang w:val="sr-Latn-ME"/>
        </w:rPr>
        <w:t>j</w:t>
      </w:r>
      <w:r w:rsidRPr="00253510">
        <w:rPr>
          <w:bCs/>
          <w:sz w:val="22"/>
          <w:szCs w:val="22"/>
          <w:lang w:val="sr-Latn-ME"/>
        </w:rPr>
        <w:t>ene</w:t>
      </w:r>
      <w:r w:rsidR="00EF3B6B" w:rsidRPr="00253510">
        <w:rPr>
          <w:bCs/>
          <w:sz w:val="22"/>
          <w:szCs w:val="22"/>
          <w:lang w:val="sr-Latn-ME"/>
        </w:rPr>
        <w:t>,</w:t>
      </w:r>
      <w:r w:rsidRPr="00253510">
        <w:rPr>
          <w:bCs/>
          <w:sz w:val="22"/>
          <w:szCs w:val="22"/>
          <w:lang w:val="sr-Latn-ME"/>
        </w:rPr>
        <w:t xml:space="preserve"> ibuprofen se brzo resorbuje iz gastrointestinalnog trakta, a maksimalna koncentracija u serumu se postiže nakon 1-2 sata od prim</w:t>
      </w:r>
      <w:r w:rsidR="00EF3B6B" w:rsidRPr="00253510">
        <w:rPr>
          <w:bCs/>
          <w:sz w:val="22"/>
          <w:szCs w:val="22"/>
          <w:lang w:val="sr-Latn-ME"/>
        </w:rPr>
        <w:t>j</w:t>
      </w:r>
      <w:r w:rsidRPr="00253510">
        <w:rPr>
          <w:bCs/>
          <w:sz w:val="22"/>
          <w:szCs w:val="22"/>
          <w:lang w:val="sr-Latn-ME"/>
        </w:rPr>
        <w:t>ene l</w:t>
      </w:r>
      <w:r w:rsidR="000B6BEA" w:rsidRPr="00253510">
        <w:rPr>
          <w:bCs/>
          <w:sz w:val="22"/>
          <w:szCs w:val="22"/>
          <w:lang w:val="sr-Latn-ME"/>
        </w:rPr>
        <w:t>ij</w:t>
      </w:r>
      <w:r w:rsidRPr="00253510">
        <w:rPr>
          <w:bCs/>
          <w:sz w:val="22"/>
          <w:szCs w:val="22"/>
          <w:lang w:val="sr-Latn-ME"/>
        </w:rPr>
        <w:t>eka. Poluvr</w:t>
      </w:r>
      <w:r w:rsidR="000B6BEA" w:rsidRPr="00253510">
        <w:rPr>
          <w:bCs/>
          <w:sz w:val="22"/>
          <w:szCs w:val="22"/>
          <w:lang w:val="sr-Latn-ME"/>
        </w:rPr>
        <w:t>ij</w:t>
      </w:r>
      <w:r w:rsidRPr="00253510">
        <w:rPr>
          <w:bCs/>
          <w:sz w:val="22"/>
          <w:szCs w:val="22"/>
          <w:lang w:val="sr-Latn-ME"/>
        </w:rPr>
        <w:t>eme eliminacije je oko 2 sata.</w:t>
      </w:r>
      <w:r w:rsidR="000B6BEA" w:rsidRPr="00253510">
        <w:rPr>
          <w:bCs/>
          <w:sz w:val="22"/>
          <w:szCs w:val="22"/>
          <w:lang w:val="sr-Latn-ME"/>
        </w:rPr>
        <w:t xml:space="preserve"> </w:t>
      </w:r>
      <w:r w:rsidRPr="00253510">
        <w:rPr>
          <w:bCs/>
          <w:sz w:val="22"/>
          <w:szCs w:val="22"/>
          <w:lang w:val="sr-Latn-ME"/>
        </w:rPr>
        <w:t>Ibuprofen se metaboliše u jetri do dva neaktivna metabolita koji se kao takvi ili u vidu konjugata, zajedno sa neprom</w:t>
      </w:r>
      <w:r w:rsidR="000B6BEA" w:rsidRPr="00253510">
        <w:rPr>
          <w:bCs/>
          <w:sz w:val="22"/>
          <w:szCs w:val="22"/>
          <w:lang w:val="sr-Latn-ME"/>
        </w:rPr>
        <w:t>ij</w:t>
      </w:r>
      <w:r w:rsidRPr="00253510">
        <w:rPr>
          <w:bCs/>
          <w:sz w:val="22"/>
          <w:szCs w:val="22"/>
          <w:lang w:val="sr-Latn-ME"/>
        </w:rPr>
        <w:t>enjenim l</w:t>
      </w:r>
      <w:r w:rsidR="000B6BEA" w:rsidRPr="00253510">
        <w:rPr>
          <w:bCs/>
          <w:sz w:val="22"/>
          <w:szCs w:val="22"/>
          <w:lang w:val="sr-Latn-ME"/>
        </w:rPr>
        <w:t>ij</w:t>
      </w:r>
      <w:r w:rsidRPr="00253510">
        <w:rPr>
          <w:bCs/>
          <w:sz w:val="22"/>
          <w:szCs w:val="22"/>
          <w:lang w:val="sr-Latn-ME"/>
        </w:rPr>
        <w:t xml:space="preserve">ekom izlučuju putem bubrega. Eksrecija putem bubrega je brza i potpuna. </w:t>
      </w:r>
    </w:p>
    <w:p w14:paraId="2A330DB5" w14:textId="77777777" w:rsidR="00BE7766" w:rsidRPr="00253510" w:rsidRDefault="00BE7766" w:rsidP="00BE7766">
      <w:pPr>
        <w:tabs>
          <w:tab w:val="left" w:pos="540"/>
          <w:tab w:val="left" w:pos="569"/>
        </w:tabs>
        <w:jc w:val="both"/>
        <w:rPr>
          <w:bCs/>
          <w:sz w:val="22"/>
          <w:szCs w:val="22"/>
          <w:lang w:val="sr-Latn-ME"/>
        </w:rPr>
      </w:pPr>
    </w:p>
    <w:p w14:paraId="03A196F3" w14:textId="77777777"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Ibuprofen se u visokom stepenu vezuje za proteine plazme.</w:t>
      </w:r>
    </w:p>
    <w:p w14:paraId="6928929C" w14:textId="66AADE68" w:rsidR="00BE7766" w:rsidRPr="00253510" w:rsidRDefault="000B6BEA" w:rsidP="00BE7766">
      <w:pPr>
        <w:tabs>
          <w:tab w:val="left" w:pos="540"/>
          <w:tab w:val="left" w:pos="569"/>
        </w:tabs>
        <w:jc w:val="both"/>
        <w:rPr>
          <w:bCs/>
          <w:sz w:val="22"/>
          <w:szCs w:val="22"/>
          <w:lang w:val="sr-Latn-ME"/>
        </w:rPr>
      </w:pPr>
      <w:r w:rsidRPr="00253510">
        <w:rPr>
          <w:bCs/>
          <w:sz w:val="22"/>
          <w:szCs w:val="22"/>
          <w:lang w:val="sr-Latn-ME"/>
        </w:rPr>
        <w:t>Nisu zabi</w:t>
      </w:r>
      <w:r w:rsidR="00BE7766" w:rsidRPr="00253510">
        <w:rPr>
          <w:bCs/>
          <w:sz w:val="22"/>
          <w:szCs w:val="22"/>
          <w:lang w:val="sr-Latn-ME"/>
        </w:rPr>
        <w:t>l</w:t>
      </w:r>
      <w:r w:rsidRPr="00253510">
        <w:rPr>
          <w:bCs/>
          <w:sz w:val="22"/>
          <w:szCs w:val="22"/>
          <w:lang w:val="sr-Latn-ME"/>
        </w:rPr>
        <w:t>j</w:t>
      </w:r>
      <w:r w:rsidR="00BE7766" w:rsidRPr="00253510">
        <w:rPr>
          <w:bCs/>
          <w:sz w:val="22"/>
          <w:szCs w:val="22"/>
          <w:lang w:val="sr-Latn-ME"/>
        </w:rPr>
        <w:t>ežene značajne razlike u farmakokinetičkom profilu kod odraslih. U ograničenim studijama, ibuprofen se pojavljivao u ml</w:t>
      </w:r>
      <w:r w:rsidR="00EF3B6B" w:rsidRPr="00253510">
        <w:rPr>
          <w:bCs/>
          <w:sz w:val="22"/>
          <w:szCs w:val="22"/>
          <w:lang w:val="sr-Latn-ME"/>
        </w:rPr>
        <w:t>ij</w:t>
      </w:r>
      <w:r w:rsidR="00BE7766" w:rsidRPr="00253510">
        <w:rPr>
          <w:bCs/>
          <w:sz w:val="22"/>
          <w:szCs w:val="22"/>
          <w:lang w:val="sr-Latn-ME"/>
        </w:rPr>
        <w:t>eku dojilje u malim koncentracijama.</w:t>
      </w:r>
    </w:p>
    <w:p w14:paraId="548D5C90" w14:textId="77777777" w:rsidR="00BE7766" w:rsidRPr="00253510" w:rsidRDefault="00BE7766" w:rsidP="00BE7766">
      <w:pPr>
        <w:tabs>
          <w:tab w:val="left" w:pos="540"/>
          <w:tab w:val="left" w:pos="569"/>
        </w:tabs>
        <w:rPr>
          <w:bCs/>
          <w:sz w:val="22"/>
          <w:szCs w:val="22"/>
          <w:lang w:val="sr-Latn-ME"/>
        </w:rPr>
      </w:pPr>
    </w:p>
    <w:p w14:paraId="4E24DDBF"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5.3. </w:t>
      </w:r>
      <w:r w:rsidR="00480FB1" w:rsidRPr="00253510">
        <w:rPr>
          <w:b/>
          <w:bCs/>
          <w:sz w:val="22"/>
          <w:szCs w:val="22"/>
          <w:lang w:val="sr-Latn-ME"/>
        </w:rPr>
        <w:tab/>
      </w:r>
      <w:r w:rsidRPr="00253510">
        <w:rPr>
          <w:b/>
          <w:bCs/>
          <w:sz w:val="22"/>
          <w:szCs w:val="22"/>
          <w:lang w:val="sr-Latn-ME"/>
        </w:rPr>
        <w:t xml:space="preserve">Pretklinički podaci o bezbjednosti </w:t>
      </w:r>
    </w:p>
    <w:p w14:paraId="775BD5A1" w14:textId="77777777" w:rsidR="00836B35" w:rsidRPr="00253510" w:rsidRDefault="00836B35" w:rsidP="00480FB1">
      <w:pPr>
        <w:tabs>
          <w:tab w:val="left" w:pos="540"/>
          <w:tab w:val="left" w:pos="569"/>
        </w:tabs>
        <w:rPr>
          <w:bCs/>
          <w:sz w:val="22"/>
          <w:szCs w:val="22"/>
          <w:lang w:val="sr-Latn-ME"/>
        </w:rPr>
      </w:pPr>
    </w:p>
    <w:p w14:paraId="191F7B40" w14:textId="7DBFC36B" w:rsidR="00396DFD" w:rsidRPr="00253510" w:rsidRDefault="00BE7766" w:rsidP="00480FB1">
      <w:pPr>
        <w:tabs>
          <w:tab w:val="left" w:pos="540"/>
          <w:tab w:val="left" w:pos="569"/>
        </w:tabs>
        <w:rPr>
          <w:bCs/>
          <w:sz w:val="22"/>
          <w:szCs w:val="22"/>
          <w:lang w:val="sr-Latn-ME"/>
        </w:rPr>
      </w:pPr>
      <w:r w:rsidRPr="00253510">
        <w:rPr>
          <w:bCs/>
          <w:sz w:val="22"/>
          <w:szCs w:val="22"/>
          <w:lang w:val="sr-Latn-ME"/>
        </w:rPr>
        <w:t>Nije prim</w:t>
      </w:r>
      <w:r w:rsidR="00A94878" w:rsidRPr="00253510">
        <w:rPr>
          <w:bCs/>
          <w:sz w:val="22"/>
          <w:szCs w:val="22"/>
          <w:lang w:val="sr-Latn-ME"/>
        </w:rPr>
        <w:t>j</w:t>
      </w:r>
      <w:r w:rsidRPr="00253510">
        <w:rPr>
          <w:bCs/>
          <w:sz w:val="22"/>
          <w:szCs w:val="22"/>
          <w:lang w:val="sr-Latn-ME"/>
        </w:rPr>
        <w:t>enljivo.</w:t>
      </w:r>
    </w:p>
    <w:p w14:paraId="67C8002B" w14:textId="4964C7B9" w:rsidR="00BE7766" w:rsidRPr="00253510" w:rsidRDefault="00BE7766" w:rsidP="00480FB1">
      <w:pPr>
        <w:tabs>
          <w:tab w:val="left" w:pos="540"/>
          <w:tab w:val="left" w:pos="569"/>
        </w:tabs>
        <w:rPr>
          <w:bCs/>
          <w:sz w:val="22"/>
          <w:szCs w:val="22"/>
          <w:lang w:val="sr-Latn-ME"/>
        </w:rPr>
      </w:pPr>
    </w:p>
    <w:p w14:paraId="3A4EE158" w14:textId="36565821" w:rsidR="003A3512" w:rsidRPr="00253510" w:rsidRDefault="003A3512" w:rsidP="00480FB1">
      <w:pPr>
        <w:tabs>
          <w:tab w:val="left" w:pos="540"/>
          <w:tab w:val="left" w:pos="569"/>
        </w:tabs>
        <w:rPr>
          <w:bCs/>
          <w:sz w:val="22"/>
          <w:szCs w:val="22"/>
          <w:lang w:val="sr-Latn-ME"/>
        </w:rPr>
      </w:pPr>
    </w:p>
    <w:p w14:paraId="297FBB83" w14:textId="77777777" w:rsidR="003A3512" w:rsidRPr="00253510" w:rsidRDefault="003A3512" w:rsidP="00480FB1">
      <w:pPr>
        <w:tabs>
          <w:tab w:val="left" w:pos="540"/>
          <w:tab w:val="left" w:pos="569"/>
        </w:tabs>
        <w:rPr>
          <w:bCs/>
          <w:sz w:val="22"/>
          <w:szCs w:val="22"/>
          <w:lang w:val="sr-Latn-ME"/>
        </w:rPr>
      </w:pPr>
    </w:p>
    <w:p w14:paraId="7EBB5B1E"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lastRenderedPageBreak/>
        <w:t xml:space="preserve">6. </w:t>
      </w:r>
      <w:r w:rsidR="00480FB1" w:rsidRPr="00253510">
        <w:rPr>
          <w:b/>
          <w:bCs/>
          <w:sz w:val="22"/>
          <w:szCs w:val="22"/>
          <w:lang w:val="sr-Latn-ME"/>
        </w:rPr>
        <w:tab/>
      </w:r>
      <w:r w:rsidRPr="00253510">
        <w:rPr>
          <w:b/>
          <w:bCs/>
          <w:sz w:val="22"/>
          <w:szCs w:val="22"/>
          <w:lang w:val="sr-Latn-ME"/>
        </w:rPr>
        <w:t>FARMACEUTSKI PODACI</w:t>
      </w:r>
    </w:p>
    <w:p w14:paraId="74A38482" w14:textId="77777777" w:rsidR="00836B35" w:rsidRPr="00253510" w:rsidRDefault="00836B35" w:rsidP="00480FB1">
      <w:pPr>
        <w:tabs>
          <w:tab w:val="left" w:pos="540"/>
          <w:tab w:val="left" w:pos="569"/>
        </w:tabs>
        <w:rPr>
          <w:bCs/>
          <w:sz w:val="22"/>
          <w:szCs w:val="22"/>
          <w:lang w:val="sr-Latn-ME"/>
        </w:rPr>
      </w:pPr>
    </w:p>
    <w:p w14:paraId="401F5DBF"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6.1. </w:t>
      </w:r>
      <w:r w:rsidR="00480FB1" w:rsidRPr="00253510">
        <w:rPr>
          <w:b/>
          <w:bCs/>
          <w:sz w:val="22"/>
          <w:szCs w:val="22"/>
          <w:lang w:val="sr-Latn-ME"/>
        </w:rPr>
        <w:tab/>
      </w:r>
      <w:r w:rsidRPr="00253510">
        <w:rPr>
          <w:b/>
          <w:bCs/>
          <w:sz w:val="22"/>
          <w:szCs w:val="22"/>
          <w:lang w:val="sr-Latn-ME"/>
        </w:rPr>
        <w:t>Lista pomoćnih supstanci</w:t>
      </w:r>
      <w:r w:rsidR="002E0135" w:rsidRPr="00253510">
        <w:rPr>
          <w:b/>
          <w:bCs/>
          <w:sz w:val="22"/>
          <w:szCs w:val="22"/>
          <w:lang w:val="sr-Latn-ME"/>
        </w:rPr>
        <w:t xml:space="preserve"> (ekscipijenasa)</w:t>
      </w:r>
    </w:p>
    <w:p w14:paraId="0E5C3F3B" w14:textId="77777777" w:rsidR="00BE7766" w:rsidRPr="00253510" w:rsidRDefault="00BE7766" w:rsidP="00BE7766">
      <w:pPr>
        <w:tabs>
          <w:tab w:val="left" w:pos="540"/>
          <w:tab w:val="left" w:pos="569"/>
        </w:tabs>
        <w:rPr>
          <w:bCs/>
          <w:sz w:val="22"/>
          <w:szCs w:val="22"/>
          <w:lang w:val="sr-Latn-ME"/>
        </w:rPr>
      </w:pPr>
    </w:p>
    <w:p w14:paraId="03F281EB" w14:textId="77777777" w:rsidR="00BE7766" w:rsidRPr="00253510" w:rsidRDefault="00BE7766" w:rsidP="00BE7766">
      <w:pPr>
        <w:tabs>
          <w:tab w:val="left" w:pos="540"/>
          <w:tab w:val="left" w:pos="569"/>
        </w:tabs>
        <w:rPr>
          <w:bCs/>
          <w:i/>
          <w:iCs/>
          <w:sz w:val="22"/>
          <w:szCs w:val="22"/>
          <w:u w:val="single"/>
          <w:lang w:val="sr-Latn-ME"/>
        </w:rPr>
      </w:pPr>
      <w:r w:rsidRPr="00253510">
        <w:rPr>
          <w:bCs/>
          <w:i/>
          <w:iCs/>
          <w:sz w:val="22"/>
          <w:szCs w:val="22"/>
          <w:u w:val="single"/>
          <w:lang w:val="sr-Latn-ME"/>
        </w:rPr>
        <w:t>Jezgro tablete:</w:t>
      </w:r>
    </w:p>
    <w:p w14:paraId="096ED2CA" w14:textId="1EA70C37" w:rsidR="00BE7766" w:rsidRPr="00253510" w:rsidRDefault="006E29AC" w:rsidP="00BE7766">
      <w:pPr>
        <w:tabs>
          <w:tab w:val="left" w:pos="540"/>
          <w:tab w:val="left" w:pos="569"/>
        </w:tabs>
        <w:rPr>
          <w:bCs/>
          <w:sz w:val="22"/>
          <w:szCs w:val="22"/>
          <w:lang w:val="sr-Latn-ME"/>
        </w:rPr>
      </w:pPr>
      <w:r>
        <w:rPr>
          <w:bCs/>
          <w:sz w:val="22"/>
          <w:szCs w:val="22"/>
          <w:lang w:val="sr-Latn-ME"/>
        </w:rPr>
        <w:t xml:space="preserve">kroskarmeloza </w:t>
      </w:r>
      <w:r w:rsidR="00BE7766" w:rsidRPr="00253510">
        <w:rPr>
          <w:bCs/>
          <w:sz w:val="22"/>
          <w:szCs w:val="22"/>
          <w:lang w:val="sr-Latn-ME"/>
        </w:rPr>
        <w:t>natrijum</w:t>
      </w:r>
    </w:p>
    <w:p w14:paraId="7B994E9E" w14:textId="68A39ABB" w:rsidR="00BE7766" w:rsidRPr="00253510" w:rsidRDefault="00BE7766" w:rsidP="00BE7766">
      <w:pPr>
        <w:tabs>
          <w:tab w:val="left" w:pos="540"/>
          <w:tab w:val="left" w:pos="569"/>
        </w:tabs>
        <w:rPr>
          <w:bCs/>
          <w:sz w:val="22"/>
          <w:szCs w:val="22"/>
          <w:lang w:val="sr-Latn-ME"/>
        </w:rPr>
      </w:pPr>
      <w:r w:rsidRPr="00253510">
        <w:rPr>
          <w:bCs/>
          <w:sz w:val="22"/>
          <w:szCs w:val="22"/>
          <w:lang w:val="sr-Latn-ME"/>
        </w:rPr>
        <w:t>natrijum</w:t>
      </w:r>
      <w:r w:rsidR="006E29AC">
        <w:rPr>
          <w:bCs/>
          <w:sz w:val="22"/>
          <w:szCs w:val="22"/>
          <w:lang w:val="sr-Latn-ME"/>
        </w:rPr>
        <w:t xml:space="preserve"> </w:t>
      </w:r>
      <w:r w:rsidRPr="00253510">
        <w:rPr>
          <w:bCs/>
          <w:sz w:val="22"/>
          <w:szCs w:val="22"/>
          <w:lang w:val="sr-Latn-ME"/>
        </w:rPr>
        <w:t>laurilsulfat</w:t>
      </w:r>
    </w:p>
    <w:p w14:paraId="436A0F4A" w14:textId="6773EC12" w:rsidR="00BE7766" w:rsidRPr="00253510" w:rsidRDefault="00BE7766" w:rsidP="00BE7766">
      <w:pPr>
        <w:tabs>
          <w:tab w:val="left" w:pos="540"/>
          <w:tab w:val="left" w:pos="569"/>
        </w:tabs>
        <w:rPr>
          <w:bCs/>
          <w:sz w:val="22"/>
          <w:szCs w:val="22"/>
          <w:lang w:val="sr-Latn-ME"/>
        </w:rPr>
      </w:pPr>
      <w:r w:rsidRPr="00253510">
        <w:rPr>
          <w:bCs/>
          <w:sz w:val="22"/>
          <w:szCs w:val="22"/>
          <w:lang w:val="sr-Latn-ME"/>
        </w:rPr>
        <w:t>natrijum</w:t>
      </w:r>
      <w:r w:rsidR="006E29AC">
        <w:rPr>
          <w:bCs/>
          <w:sz w:val="22"/>
          <w:szCs w:val="22"/>
          <w:lang w:val="sr-Latn-ME"/>
        </w:rPr>
        <w:t xml:space="preserve"> </w:t>
      </w:r>
      <w:r w:rsidRPr="00253510">
        <w:rPr>
          <w:bCs/>
          <w:sz w:val="22"/>
          <w:szCs w:val="22"/>
          <w:lang w:val="sr-Latn-ME"/>
        </w:rPr>
        <w:t xml:space="preserve">citrat </w:t>
      </w:r>
    </w:p>
    <w:p w14:paraId="56D96884"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stearinska kiselina</w:t>
      </w:r>
    </w:p>
    <w:p w14:paraId="6D8B7999" w14:textId="65345D35" w:rsidR="00BE7766" w:rsidRPr="00253510" w:rsidRDefault="00BE7766" w:rsidP="00BE7766">
      <w:pPr>
        <w:tabs>
          <w:tab w:val="left" w:pos="540"/>
          <w:tab w:val="left" w:pos="569"/>
        </w:tabs>
        <w:rPr>
          <w:bCs/>
          <w:sz w:val="22"/>
          <w:szCs w:val="22"/>
          <w:lang w:val="sr-Latn-ME"/>
        </w:rPr>
      </w:pPr>
      <w:r w:rsidRPr="00253510">
        <w:rPr>
          <w:bCs/>
          <w:sz w:val="22"/>
          <w:szCs w:val="22"/>
          <w:lang w:val="sr-Latn-ME"/>
        </w:rPr>
        <w:t>silicijum</w:t>
      </w:r>
      <w:r w:rsidR="006E29AC">
        <w:rPr>
          <w:bCs/>
          <w:sz w:val="22"/>
          <w:szCs w:val="22"/>
          <w:lang w:val="sr-Latn-ME"/>
        </w:rPr>
        <w:t xml:space="preserve"> </w:t>
      </w:r>
      <w:r w:rsidRPr="00253510">
        <w:rPr>
          <w:bCs/>
          <w:sz w:val="22"/>
          <w:szCs w:val="22"/>
          <w:lang w:val="sr-Latn-ME"/>
        </w:rPr>
        <w:t>dioksid, koloidni, bezvodni</w:t>
      </w:r>
    </w:p>
    <w:p w14:paraId="7595BBC4" w14:textId="77777777" w:rsidR="006E29AC" w:rsidRDefault="006E29AC" w:rsidP="00BE7766">
      <w:pPr>
        <w:tabs>
          <w:tab w:val="left" w:pos="540"/>
          <w:tab w:val="left" w:pos="569"/>
        </w:tabs>
        <w:rPr>
          <w:bCs/>
          <w:i/>
          <w:iCs/>
          <w:sz w:val="22"/>
          <w:szCs w:val="22"/>
          <w:u w:val="single"/>
          <w:lang w:val="sr-Latn-ME"/>
        </w:rPr>
      </w:pPr>
    </w:p>
    <w:p w14:paraId="1AC4E722" w14:textId="30BD9F51" w:rsidR="00BE7766" w:rsidRPr="00253510" w:rsidRDefault="00BE7766" w:rsidP="00BE7766">
      <w:pPr>
        <w:tabs>
          <w:tab w:val="left" w:pos="540"/>
          <w:tab w:val="left" w:pos="569"/>
        </w:tabs>
        <w:rPr>
          <w:bCs/>
          <w:i/>
          <w:iCs/>
          <w:sz w:val="22"/>
          <w:szCs w:val="22"/>
          <w:u w:val="single"/>
          <w:lang w:val="sr-Latn-ME"/>
        </w:rPr>
      </w:pPr>
      <w:r w:rsidRPr="00253510">
        <w:rPr>
          <w:bCs/>
          <w:i/>
          <w:iCs/>
          <w:sz w:val="22"/>
          <w:szCs w:val="22"/>
          <w:u w:val="single"/>
          <w:lang w:val="sr-Latn-ME"/>
        </w:rPr>
        <w:t>Obloga tablete:</w:t>
      </w:r>
    </w:p>
    <w:p w14:paraId="0EE3C345" w14:textId="719085DC" w:rsidR="00BE7766" w:rsidRPr="00253510" w:rsidRDefault="006E29AC" w:rsidP="00BE7766">
      <w:pPr>
        <w:tabs>
          <w:tab w:val="left" w:pos="540"/>
          <w:tab w:val="left" w:pos="569"/>
        </w:tabs>
        <w:rPr>
          <w:bCs/>
          <w:sz w:val="22"/>
          <w:szCs w:val="22"/>
          <w:lang w:val="sr-Latn-ME"/>
        </w:rPr>
      </w:pPr>
      <w:r>
        <w:rPr>
          <w:bCs/>
          <w:sz w:val="22"/>
          <w:szCs w:val="22"/>
          <w:lang w:val="sr-Latn-ME"/>
        </w:rPr>
        <w:t xml:space="preserve">karmeloza </w:t>
      </w:r>
      <w:r w:rsidR="00BE7766" w:rsidRPr="00253510">
        <w:rPr>
          <w:bCs/>
          <w:sz w:val="22"/>
          <w:szCs w:val="22"/>
          <w:lang w:val="sr-Latn-ME"/>
        </w:rPr>
        <w:t>natrijum</w:t>
      </w:r>
    </w:p>
    <w:p w14:paraId="52C6DF38"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talk</w:t>
      </w:r>
    </w:p>
    <w:p w14:paraId="326E472E" w14:textId="3782098E" w:rsidR="00BE7766" w:rsidRPr="00253510" w:rsidRDefault="00BE7766" w:rsidP="00BE7766">
      <w:pPr>
        <w:tabs>
          <w:tab w:val="left" w:pos="540"/>
          <w:tab w:val="left" w:pos="569"/>
        </w:tabs>
        <w:rPr>
          <w:bCs/>
          <w:sz w:val="22"/>
          <w:szCs w:val="22"/>
          <w:lang w:val="sr-Latn-ME"/>
        </w:rPr>
      </w:pPr>
      <w:r w:rsidRPr="00253510">
        <w:rPr>
          <w:bCs/>
          <w:sz w:val="22"/>
          <w:szCs w:val="22"/>
          <w:lang w:val="sr-Latn-ME"/>
        </w:rPr>
        <w:t>arapska guma</w:t>
      </w:r>
      <w:r w:rsidR="006E29AC">
        <w:rPr>
          <w:bCs/>
          <w:sz w:val="22"/>
          <w:szCs w:val="22"/>
          <w:lang w:val="sr-Latn-ME"/>
        </w:rPr>
        <w:t>,</w:t>
      </w:r>
      <w:r w:rsidRPr="00253510">
        <w:rPr>
          <w:bCs/>
          <w:sz w:val="22"/>
          <w:szCs w:val="22"/>
          <w:lang w:val="sr-Latn-ME"/>
        </w:rPr>
        <w:t xml:space="preserve"> osušena raspršivanjem</w:t>
      </w:r>
    </w:p>
    <w:p w14:paraId="4BAD6F66"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saharoza</w:t>
      </w:r>
    </w:p>
    <w:p w14:paraId="57978507" w14:textId="506C4D78" w:rsidR="00BE7766" w:rsidRPr="00253510" w:rsidRDefault="00BE7766" w:rsidP="00BE7766">
      <w:pPr>
        <w:tabs>
          <w:tab w:val="left" w:pos="540"/>
          <w:tab w:val="left" w:pos="569"/>
        </w:tabs>
        <w:rPr>
          <w:bCs/>
          <w:sz w:val="22"/>
          <w:szCs w:val="22"/>
          <w:lang w:val="sr-Latn-ME"/>
        </w:rPr>
      </w:pPr>
      <w:r w:rsidRPr="00253510">
        <w:rPr>
          <w:bCs/>
          <w:sz w:val="22"/>
          <w:szCs w:val="22"/>
          <w:lang w:val="sr-Latn-ME"/>
        </w:rPr>
        <w:t>titan</w:t>
      </w:r>
      <w:r w:rsidR="006E29AC">
        <w:rPr>
          <w:bCs/>
          <w:sz w:val="22"/>
          <w:szCs w:val="22"/>
          <w:lang w:val="sr-Latn-ME"/>
        </w:rPr>
        <w:t xml:space="preserve"> </w:t>
      </w:r>
      <w:r w:rsidRPr="00253510">
        <w:rPr>
          <w:bCs/>
          <w:sz w:val="22"/>
          <w:szCs w:val="22"/>
          <w:lang w:val="sr-Latn-ME"/>
        </w:rPr>
        <w:t>dioksid (E171)</w:t>
      </w:r>
    </w:p>
    <w:p w14:paraId="6AD749BD"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makrogol 6000</w:t>
      </w:r>
    </w:p>
    <w:p w14:paraId="6233BA1B" w14:textId="77777777" w:rsidR="00BE7766" w:rsidRPr="00253510" w:rsidRDefault="00BE7766" w:rsidP="00BE7766">
      <w:pPr>
        <w:tabs>
          <w:tab w:val="left" w:pos="540"/>
          <w:tab w:val="left" w:pos="569"/>
        </w:tabs>
        <w:rPr>
          <w:bCs/>
          <w:sz w:val="22"/>
          <w:szCs w:val="22"/>
          <w:lang w:val="sr-Latn-ME"/>
        </w:rPr>
      </w:pPr>
    </w:p>
    <w:p w14:paraId="7577820F"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Mastilo za štampu (</w:t>
      </w:r>
      <w:r w:rsidRPr="00253510">
        <w:rPr>
          <w:bCs/>
          <w:i/>
          <w:iCs/>
          <w:sz w:val="22"/>
          <w:szCs w:val="22"/>
          <w:lang w:val="sr-Latn-ME"/>
        </w:rPr>
        <w:t>Opacode S-127794 Black</w:t>
      </w:r>
      <w:r w:rsidRPr="00253510">
        <w:rPr>
          <w:bCs/>
          <w:sz w:val="22"/>
          <w:szCs w:val="22"/>
          <w:lang w:val="sr-Latn-ME"/>
        </w:rPr>
        <w:t>):</w:t>
      </w:r>
    </w:p>
    <w:p w14:paraId="04C57B01" w14:textId="77777777" w:rsidR="00BE7766" w:rsidRPr="00253510" w:rsidRDefault="00BE7766" w:rsidP="00BE7766">
      <w:pPr>
        <w:tabs>
          <w:tab w:val="left" w:pos="540"/>
          <w:tab w:val="left" w:pos="569"/>
        </w:tabs>
        <w:rPr>
          <w:bCs/>
          <w:sz w:val="22"/>
          <w:szCs w:val="22"/>
          <w:lang w:val="sr-Latn-ME"/>
        </w:rPr>
      </w:pPr>
      <w:r w:rsidRPr="00253510">
        <w:rPr>
          <w:bCs/>
          <w:sz w:val="22"/>
          <w:szCs w:val="22"/>
          <w:lang w:val="sr-Latn-ME"/>
        </w:rPr>
        <w:t>šelak</w:t>
      </w:r>
    </w:p>
    <w:p w14:paraId="270C8B17" w14:textId="65E4DADE" w:rsidR="00BE7766" w:rsidRPr="00253510" w:rsidRDefault="00BE7766" w:rsidP="00BE7766">
      <w:pPr>
        <w:tabs>
          <w:tab w:val="left" w:pos="540"/>
          <w:tab w:val="left" w:pos="569"/>
        </w:tabs>
        <w:rPr>
          <w:bCs/>
          <w:sz w:val="22"/>
          <w:szCs w:val="22"/>
          <w:lang w:val="sr-Latn-ME"/>
        </w:rPr>
      </w:pPr>
      <w:r w:rsidRPr="00253510">
        <w:rPr>
          <w:bCs/>
          <w:sz w:val="22"/>
          <w:szCs w:val="22"/>
          <w:lang w:val="sr-Latn-ME"/>
        </w:rPr>
        <w:t>gvožđe</w:t>
      </w:r>
      <w:r w:rsidR="00C554A1" w:rsidRPr="00253510">
        <w:rPr>
          <w:bCs/>
          <w:sz w:val="22"/>
          <w:szCs w:val="22"/>
          <w:lang w:val="sr-Latn-ME"/>
        </w:rPr>
        <w:t xml:space="preserve"> </w:t>
      </w:r>
      <w:r w:rsidRPr="00253510">
        <w:rPr>
          <w:bCs/>
          <w:sz w:val="22"/>
          <w:szCs w:val="22"/>
          <w:lang w:val="sr-Latn-ME"/>
        </w:rPr>
        <w:t>(III)</w:t>
      </w:r>
      <w:r w:rsidR="006E29AC">
        <w:rPr>
          <w:bCs/>
          <w:sz w:val="22"/>
          <w:szCs w:val="22"/>
          <w:lang w:val="sr-Latn-ME"/>
        </w:rPr>
        <w:t xml:space="preserve"> </w:t>
      </w:r>
      <w:r w:rsidRPr="00253510">
        <w:rPr>
          <w:bCs/>
          <w:sz w:val="22"/>
          <w:szCs w:val="22"/>
          <w:lang w:val="sr-Latn-ME"/>
        </w:rPr>
        <w:t>oksid, crni (E 172)</w:t>
      </w:r>
    </w:p>
    <w:p w14:paraId="2740ADE6" w14:textId="77777777" w:rsidR="0072020E" w:rsidRPr="00253510" w:rsidRDefault="00BE7766" w:rsidP="00BE7766">
      <w:pPr>
        <w:tabs>
          <w:tab w:val="left" w:pos="540"/>
          <w:tab w:val="left" w:pos="569"/>
        </w:tabs>
        <w:rPr>
          <w:bCs/>
          <w:sz w:val="22"/>
          <w:szCs w:val="22"/>
          <w:lang w:val="sr-Latn-ME"/>
        </w:rPr>
      </w:pPr>
      <w:r w:rsidRPr="00253510">
        <w:rPr>
          <w:bCs/>
          <w:sz w:val="22"/>
          <w:szCs w:val="22"/>
          <w:lang w:val="sr-Latn-ME"/>
        </w:rPr>
        <w:t>propilenglikol</w:t>
      </w:r>
    </w:p>
    <w:p w14:paraId="775C2166" w14:textId="77777777" w:rsidR="00BE7766" w:rsidRPr="00253510" w:rsidRDefault="00BE7766" w:rsidP="00BE7766">
      <w:pPr>
        <w:tabs>
          <w:tab w:val="left" w:pos="540"/>
          <w:tab w:val="left" w:pos="569"/>
        </w:tabs>
        <w:rPr>
          <w:bCs/>
          <w:sz w:val="22"/>
          <w:szCs w:val="22"/>
          <w:lang w:val="sr-Latn-ME"/>
        </w:rPr>
      </w:pPr>
    </w:p>
    <w:p w14:paraId="247A45E2"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6.2. </w:t>
      </w:r>
      <w:r w:rsidR="00480FB1" w:rsidRPr="00253510">
        <w:rPr>
          <w:b/>
          <w:bCs/>
          <w:sz w:val="22"/>
          <w:szCs w:val="22"/>
          <w:lang w:val="sr-Latn-ME"/>
        </w:rPr>
        <w:tab/>
      </w:r>
      <w:r w:rsidRPr="00253510">
        <w:rPr>
          <w:b/>
          <w:bCs/>
          <w:sz w:val="22"/>
          <w:szCs w:val="22"/>
          <w:lang w:val="sr-Latn-ME"/>
        </w:rPr>
        <w:t>Inkompatibilnost</w:t>
      </w:r>
      <w:r w:rsidR="002846DB" w:rsidRPr="00253510">
        <w:rPr>
          <w:b/>
          <w:bCs/>
          <w:sz w:val="22"/>
          <w:szCs w:val="22"/>
          <w:lang w:val="sr-Latn-ME"/>
        </w:rPr>
        <w:t>i</w:t>
      </w:r>
    </w:p>
    <w:p w14:paraId="2FCED90C" w14:textId="77777777" w:rsidR="004F3455" w:rsidRDefault="004F3455" w:rsidP="00480FB1">
      <w:pPr>
        <w:tabs>
          <w:tab w:val="left" w:pos="540"/>
          <w:tab w:val="left" w:pos="569"/>
        </w:tabs>
        <w:rPr>
          <w:bCs/>
          <w:sz w:val="22"/>
          <w:szCs w:val="22"/>
          <w:lang w:val="sr-Latn-ME"/>
        </w:rPr>
      </w:pPr>
    </w:p>
    <w:p w14:paraId="01D7C473" w14:textId="66178825" w:rsidR="0072020E" w:rsidRPr="00253510" w:rsidRDefault="00BE7766" w:rsidP="00480FB1">
      <w:pPr>
        <w:tabs>
          <w:tab w:val="left" w:pos="540"/>
          <w:tab w:val="left" w:pos="569"/>
        </w:tabs>
        <w:rPr>
          <w:bCs/>
          <w:sz w:val="22"/>
          <w:szCs w:val="22"/>
          <w:lang w:val="sr-Latn-ME"/>
        </w:rPr>
      </w:pPr>
      <w:r w:rsidRPr="00253510">
        <w:rPr>
          <w:bCs/>
          <w:sz w:val="22"/>
          <w:szCs w:val="22"/>
          <w:lang w:val="sr-Latn-ME"/>
        </w:rPr>
        <w:t>Nema.</w:t>
      </w:r>
    </w:p>
    <w:p w14:paraId="4D981EFB" w14:textId="77777777" w:rsidR="00BE7766" w:rsidRPr="00253510" w:rsidRDefault="00BE7766" w:rsidP="00480FB1">
      <w:pPr>
        <w:tabs>
          <w:tab w:val="left" w:pos="540"/>
          <w:tab w:val="left" w:pos="569"/>
        </w:tabs>
        <w:rPr>
          <w:bCs/>
          <w:sz w:val="22"/>
          <w:szCs w:val="22"/>
          <w:lang w:val="sr-Latn-ME"/>
        </w:rPr>
      </w:pPr>
    </w:p>
    <w:p w14:paraId="5FE96DA8"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6.3.</w:t>
      </w:r>
      <w:r w:rsidR="00C05DF8" w:rsidRPr="00253510">
        <w:rPr>
          <w:b/>
          <w:bCs/>
          <w:sz w:val="22"/>
          <w:szCs w:val="22"/>
          <w:lang w:val="sr-Latn-ME"/>
        </w:rPr>
        <w:t xml:space="preserve"> </w:t>
      </w:r>
      <w:r w:rsidR="00480FB1" w:rsidRPr="00253510">
        <w:rPr>
          <w:b/>
          <w:bCs/>
          <w:sz w:val="22"/>
          <w:szCs w:val="22"/>
          <w:lang w:val="sr-Latn-ME"/>
        </w:rPr>
        <w:tab/>
      </w:r>
      <w:r w:rsidRPr="00253510">
        <w:rPr>
          <w:b/>
          <w:bCs/>
          <w:sz w:val="22"/>
          <w:szCs w:val="22"/>
          <w:lang w:val="sr-Latn-ME"/>
        </w:rPr>
        <w:t>Rok upotrebe</w:t>
      </w:r>
    </w:p>
    <w:p w14:paraId="4D0F42BB" w14:textId="77777777" w:rsidR="004F3455" w:rsidRDefault="004F3455" w:rsidP="00480FB1">
      <w:pPr>
        <w:tabs>
          <w:tab w:val="left" w:pos="540"/>
          <w:tab w:val="left" w:pos="569"/>
        </w:tabs>
        <w:rPr>
          <w:bCs/>
          <w:sz w:val="22"/>
          <w:szCs w:val="22"/>
          <w:lang w:val="sr-Latn-ME"/>
        </w:rPr>
      </w:pPr>
    </w:p>
    <w:p w14:paraId="1920BB26" w14:textId="3E548F6E" w:rsidR="0072020E" w:rsidRPr="00253510" w:rsidRDefault="00BE7766" w:rsidP="00480FB1">
      <w:pPr>
        <w:tabs>
          <w:tab w:val="left" w:pos="540"/>
          <w:tab w:val="left" w:pos="569"/>
        </w:tabs>
        <w:rPr>
          <w:bCs/>
          <w:sz w:val="22"/>
          <w:szCs w:val="22"/>
          <w:lang w:val="sr-Latn-ME"/>
        </w:rPr>
      </w:pPr>
      <w:r w:rsidRPr="00253510">
        <w:rPr>
          <w:bCs/>
          <w:sz w:val="22"/>
          <w:szCs w:val="22"/>
          <w:lang w:val="sr-Latn-ME"/>
        </w:rPr>
        <w:t>3 godine.</w:t>
      </w:r>
    </w:p>
    <w:p w14:paraId="17B8509D" w14:textId="77777777" w:rsidR="00BE7766" w:rsidRPr="00253510" w:rsidRDefault="00BE7766" w:rsidP="00480FB1">
      <w:pPr>
        <w:tabs>
          <w:tab w:val="left" w:pos="540"/>
          <w:tab w:val="left" w:pos="569"/>
        </w:tabs>
        <w:rPr>
          <w:bCs/>
          <w:sz w:val="22"/>
          <w:szCs w:val="22"/>
          <w:lang w:val="sr-Latn-ME"/>
        </w:rPr>
      </w:pPr>
    </w:p>
    <w:p w14:paraId="14F9462B"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6.4. </w:t>
      </w:r>
      <w:r w:rsidR="00480FB1" w:rsidRPr="00253510">
        <w:rPr>
          <w:b/>
          <w:bCs/>
          <w:sz w:val="22"/>
          <w:szCs w:val="22"/>
          <w:lang w:val="sr-Latn-ME"/>
        </w:rPr>
        <w:tab/>
      </w:r>
      <w:r w:rsidRPr="00253510">
        <w:rPr>
          <w:b/>
          <w:bCs/>
          <w:sz w:val="22"/>
          <w:szCs w:val="22"/>
          <w:lang w:val="sr-Latn-ME"/>
        </w:rPr>
        <w:t>Posebne mjere upozorenja pri čuvanju</w:t>
      </w:r>
      <w:r w:rsidR="00F8570A" w:rsidRPr="00253510">
        <w:rPr>
          <w:b/>
          <w:bCs/>
          <w:sz w:val="22"/>
          <w:szCs w:val="22"/>
          <w:lang w:val="sr-Latn-ME"/>
        </w:rPr>
        <w:t xml:space="preserve"> lijeka</w:t>
      </w:r>
    </w:p>
    <w:p w14:paraId="2C43ECD9" w14:textId="77777777" w:rsidR="000B6BEA" w:rsidRPr="00253510" w:rsidRDefault="000B6BEA" w:rsidP="00480FB1">
      <w:pPr>
        <w:tabs>
          <w:tab w:val="left" w:pos="540"/>
          <w:tab w:val="left" w:pos="569"/>
        </w:tabs>
        <w:rPr>
          <w:b/>
          <w:bCs/>
          <w:sz w:val="22"/>
          <w:szCs w:val="22"/>
          <w:lang w:val="sr-Latn-ME"/>
        </w:rPr>
      </w:pPr>
    </w:p>
    <w:p w14:paraId="3A059CC3" w14:textId="0464DB76" w:rsidR="00EC2532" w:rsidRPr="00253510" w:rsidRDefault="00BE7766" w:rsidP="00480FB1">
      <w:pPr>
        <w:tabs>
          <w:tab w:val="left" w:pos="540"/>
          <w:tab w:val="left" w:pos="569"/>
        </w:tabs>
        <w:rPr>
          <w:bCs/>
          <w:sz w:val="22"/>
          <w:szCs w:val="22"/>
          <w:lang w:val="sr-Latn-ME"/>
        </w:rPr>
      </w:pPr>
      <w:r w:rsidRPr="00253510">
        <w:rPr>
          <w:bCs/>
          <w:sz w:val="22"/>
          <w:szCs w:val="22"/>
          <w:lang w:val="sr-Latn-ME"/>
        </w:rPr>
        <w:t>L</w:t>
      </w:r>
      <w:r w:rsidR="000B6BEA" w:rsidRPr="00253510">
        <w:rPr>
          <w:bCs/>
          <w:sz w:val="22"/>
          <w:szCs w:val="22"/>
          <w:lang w:val="sr-Latn-ME"/>
        </w:rPr>
        <w:t>ij</w:t>
      </w:r>
      <w:r w:rsidRPr="00253510">
        <w:rPr>
          <w:bCs/>
          <w:sz w:val="22"/>
          <w:szCs w:val="22"/>
          <w:lang w:val="sr-Latn-ME"/>
        </w:rPr>
        <w:t>ek ne zaht</w:t>
      </w:r>
      <w:r w:rsidR="000B6BEA" w:rsidRPr="00253510">
        <w:rPr>
          <w:bCs/>
          <w:sz w:val="22"/>
          <w:szCs w:val="22"/>
          <w:lang w:val="sr-Latn-ME"/>
        </w:rPr>
        <w:t>ijeva posebne uslove čuvanja.</w:t>
      </w:r>
    </w:p>
    <w:p w14:paraId="045BC713" w14:textId="77777777" w:rsidR="00BE7766" w:rsidRPr="00253510" w:rsidRDefault="00BE7766" w:rsidP="00480FB1">
      <w:pPr>
        <w:tabs>
          <w:tab w:val="left" w:pos="540"/>
          <w:tab w:val="left" w:pos="569"/>
        </w:tabs>
        <w:rPr>
          <w:bCs/>
          <w:sz w:val="22"/>
          <w:szCs w:val="22"/>
          <w:lang w:val="sr-Latn-ME"/>
        </w:rPr>
      </w:pPr>
    </w:p>
    <w:p w14:paraId="4FF0DC66"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6.5. </w:t>
      </w:r>
      <w:r w:rsidR="00480FB1" w:rsidRPr="00253510">
        <w:rPr>
          <w:b/>
          <w:bCs/>
          <w:sz w:val="22"/>
          <w:szCs w:val="22"/>
          <w:lang w:val="sr-Latn-ME"/>
        </w:rPr>
        <w:tab/>
      </w:r>
      <w:r w:rsidR="002846DB" w:rsidRPr="00253510">
        <w:rPr>
          <w:b/>
          <w:bCs/>
          <w:sz w:val="22"/>
          <w:szCs w:val="22"/>
          <w:lang w:val="sr-Latn-ME"/>
        </w:rPr>
        <w:t xml:space="preserve">Vrsta i sadržaj </w:t>
      </w:r>
      <w:r w:rsidR="00F8570A" w:rsidRPr="00253510">
        <w:rPr>
          <w:b/>
          <w:bCs/>
          <w:sz w:val="22"/>
          <w:szCs w:val="22"/>
          <w:lang w:val="sr-Latn-ME"/>
        </w:rPr>
        <w:t>pakovanja</w:t>
      </w:r>
      <w:r w:rsidR="00C06864" w:rsidRPr="00253510">
        <w:rPr>
          <w:b/>
          <w:bCs/>
          <w:sz w:val="22"/>
          <w:szCs w:val="22"/>
          <w:lang w:val="sr-Latn-ME"/>
        </w:rPr>
        <w:t xml:space="preserve"> </w:t>
      </w:r>
    </w:p>
    <w:p w14:paraId="37A2129F" w14:textId="77777777" w:rsidR="004F3455" w:rsidRDefault="004F3455" w:rsidP="00BE7766">
      <w:pPr>
        <w:tabs>
          <w:tab w:val="left" w:pos="540"/>
          <w:tab w:val="left" w:pos="569"/>
        </w:tabs>
        <w:jc w:val="both"/>
        <w:rPr>
          <w:bCs/>
          <w:sz w:val="22"/>
          <w:szCs w:val="22"/>
          <w:lang w:val="sr-Latn-ME"/>
        </w:rPr>
      </w:pPr>
    </w:p>
    <w:p w14:paraId="66440D3E" w14:textId="1874104D"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Nurofen, obložene tablete, 12 x (200 mg)</w:t>
      </w:r>
    </w:p>
    <w:p w14:paraId="5BBCFBB5" w14:textId="17AD7488"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Unutrašnje pakovanje je neprovidni b</w:t>
      </w:r>
      <w:r w:rsidR="00DB3F7F">
        <w:rPr>
          <w:bCs/>
          <w:sz w:val="22"/>
          <w:szCs w:val="22"/>
          <w:lang w:val="sr-Latn-ME"/>
        </w:rPr>
        <w:t>ij</w:t>
      </w:r>
      <w:r w:rsidRPr="00253510">
        <w:rPr>
          <w:bCs/>
          <w:sz w:val="22"/>
          <w:szCs w:val="22"/>
          <w:lang w:val="sr-Latn-ME"/>
        </w:rPr>
        <w:t>eli PVC</w:t>
      </w:r>
      <w:r w:rsidR="00AB437C">
        <w:rPr>
          <w:bCs/>
          <w:sz w:val="22"/>
          <w:szCs w:val="22"/>
          <w:lang w:val="sr-Latn-ME"/>
        </w:rPr>
        <w:t>/Al ili PVC/PVdC/Al</w:t>
      </w:r>
      <w:r w:rsidRPr="00253510">
        <w:rPr>
          <w:bCs/>
          <w:sz w:val="22"/>
          <w:szCs w:val="22"/>
          <w:lang w:val="sr-Latn-ME"/>
        </w:rPr>
        <w:t xml:space="preserve"> blister sa 12 tableta.</w:t>
      </w:r>
    </w:p>
    <w:p w14:paraId="7C113614" w14:textId="44E21666"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Spoljašnje pakovanje je složiva kartonska kutija sa 1 blisterom i Uputstvom za l</w:t>
      </w:r>
      <w:r w:rsidR="000B6BEA" w:rsidRPr="00253510">
        <w:rPr>
          <w:bCs/>
          <w:sz w:val="22"/>
          <w:szCs w:val="22"/>
          <w:lang w:val="sr-Latn-ME"/>
        </w:rPr>
        <w:t>ij</w:t>
      </w:r>
      <w:r w:rsidRPr="00253510">
        <w:rPr>
          <w:bCs/>
          <w:sz w:val="22"/>
          <w:szCs w:val="22"/>
          <w:lang w:val="sr-Latn-ME"/>
        </w:rPr>
        <w:t>ek.</w:t>
      </w:r>
    </w:p>
    <w:p w14:paraId="3B54899D" w14:textId="77777777" w:rsidR="00BE7766" w:rsidRPr="00253510" w:rsidRDefault="00BE7766" w:rsidP="00BE7766">
      <w:pPr>
        <w:tabs>
          <w:tab w:val="left" w:pos="540"/>
          <w:tab w:val="left" w:pos="569"/>
        </w:tabs>
        <w:jc w:val="both"/>
        <w:rPr>
          <w:bCs/>
          <w:sz w:val="22"/>
          <w:szCs w:val="22"/>
          <w:lang w:val="sr-Latn-ME"/>
        </w:rPr>
      </w:pPr>
    </w:p>
    <w:p w14:paraId="353018B0" w14:textId="77777777"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Nurofen, obložene tablete, 24 x (200 mg)</w:t>
      </w:r>
    </w:p>
    <w:p w14:paraId="112FEAD0" w14:textId="745C3EE0" w:rsidR="00BE7766" w:rsidRPr="00253510" w:rsidRDefault="00BE7766" w:rsidP="00BE7766">
      <w:pPr>
        <w:tabs>
          <w:tab w:val="left" w:pos="540"/>
          <w:tab w:val="left" w:pos="569"/>
        </w:tabs>
        <w:jc w:val="both"/>
        <w:rPr>
          <w:bCs/>
          <w:sz w:val="22"/>
          <w:szCs w:val="22"/>
          <w:lang w:val="sr-Latn-ME"/>
        </w:rPr>
      </w:pPr>
      <w:r w:rsidRPr="00253510">
        <w:rPr>
          <w:bCs/>
          <w:sz w:val="22"/>
          <w:szCs w:val="22"/>
          <w:lang w:val="sr-Latn-ME"/>
        </w:rPr>
        <w:t>Unutrašnje pakovanje je neprovidni b</w:t>
      </w:r>
      <w:r w:rsidR="00DB3F7F">
        <w:rPr>
          <w:bCs/>
          <w:sz w:val="22"/>
          <w:szCs w:val="22"/>
          <w:lang w:val="sr-Latn-ME"/>
        </w:rPr>
        <w:t>ij</w:t>
      </w:r>
      <w:r w:rsidRPr="00253510">
        <w:rPr>
          <w:bCs/>
          <w:sz w:val="22"/>
          <w:szCs w:val="22"/>
          <w:lang w:val="sr-Latn-ME"/>
        </w:rPr>
        <w:t>eli PVC</w:t>
      </w:r>
      <w:r w:rsidR="00AB437C">
        <w:rPr>
          <w:bCs/>
          <w:sz w:val="22"/>
          <w:szCs w:val="22"/>
          <w:lang w:val="sr-Latn-ME"/>
        </w:rPr>
        <w:t>/Al ili PVC/PVdC/Al</w:t>
      </w:r>
      <w:r w:rsidRPr="00253510">
        <w:rPr>
          <w:bCs/>
          <w:sz w:val="22"/>
          <w:szCs w:val="22"/>
          <w:lang w:val="sr-Latn-ME"/>
        </w:rPr>
        <w:t xml:space="preserve"> blister sa 12 tableta.</w:t>
      </w:r>
    </w:p>
    <w:p w14:paraId="764FDCFD" w14:textId="30823187" w:rsidR="0072020E" w:rsidRPr="00253510" w:rsidRDefault="00BE7766" w:rsidP="00BE7766">
      <w:pPr>
        <w:tabs>
          <w:tab w:val="left" w:pos="540"/>
          <w:tab w:val="left" w:pos="569"/>
        </w:tabs>
        <w:jc w:val="both"/>
        <w:rPr>
          <w:bCs/>
          <w:sz w:val="22"/>
          <w:szCs w:val="22"/>
          <w:lang w:val="sr-Latn-ME"/>
        </w:rPr>
      </w:pPr>
      <w:r w:rsidRPr="00253510">
        <w:rPr>
          <w:bCs/>
          <w:sz w:val="22"/>
          <w:szCs w:val="22"/>
          <w:lang w:val="sr-Latn-ME"/>
        </w:rPr>
        <w:t>Spoljašnje pakovanje je složiva kartonska kutija sa 2 blistera i Uputstvom za l</w:t>
      </w:r>
      <w:r w:rsidR="000B6BEA" w:rsidRPr="00253510">
        <w:rPr>
          <w:bCs/>
          <w:sz w:val="22"/>
          <w:szCs w:val="22"/>
          <w:lang w:val="sr-Latn-ME"/>
        </w:rPr>
        <w:t>ij</w:t>
      </w:r>
      <w:r w:rsidRPr="00253510">
        <w:rPr>
          <w:bCs/>
          <w:sz w:val="22"/>
          <w:szCs w:val="22"/>
          <w:lang w:val="sr-Latn-ME"/>
        </w:rPr>
        <w:t>ek.</w:t>
      </w:r>
    </w:p>
    <w:p w14:paraId="70DDD549" w14:textId="77777777" w:rsidR="00BE7766" w:rsidRPr="00253510" w:rsidRDefault="00BE7766" w:rsidP="00BE7766">
      <w:pPr>
        <w:tabs>
          <w:tab w:val="left" w:pos="540"/>
          <w:tab w:val="left" w:pos="569"/>
        </w:tabs>
        <w:rPr>
          <w:bCs/>
          <w:sz w:val="22"/>
          <w:szCs w:val="22"/>
          <w:lang w:val="sr-Latn-ME"/>
        </w:rPr>
      </w:pPr>
    </w:p>
    <w:p w14:paraId="094C49A2" w14:textId="77777777" w:rsidR="002846DB" w:rsidRPr="00253510" w:rsidRDefault="0072020E" w:rsidP="00253510">
      <w:pPr>
        <w:tabs>
          <w:tab w:val="left" w:pos="540"/>
          <w:tab w:val="left" w:pos="569"/>
        </w:tabs>
        <w:jc w:val="both"/>
        <w:rPr>
          <w:b/>
          <w:bCs/>
          <w:sz w:val="22"/>
          <w:szCs w:val="22"/>
          <w:lang w:val="sr-Latn-ME"/>
        </w:rPr>
      </w:pPr>
      <w:r w:rsidRPr="00253510">
        <w:rPr>
          <w:b/>
          <w:bCs/>
          <w:sz w:val="22"/>
          <w:szCs w:val="22"/>
          <w:lang w:val="sr-Latn-ME"/>
        </w:rPr>
        <w:t xml:space="preserve">6.6. </w:t>
      </w:r>
      <w:r w:rsidR="00480FB1" w:rsidRPr="00253510">
        <w:rPr>
          <w:b/>
          <w:bCs/>
          <w:sz w:val="22"/>
          <w:szCs w:val="22"/>
          <w:lang w:val="sr-Latn-ME"/>
        </w:rPr>
        <w:tab/>
      </w:r>
      <w:r w:rsidRPr="00253510">
        <w:rPr>
          <w:b/>
          <w:bCs/>
          <w:color w:val="000000"/>
          <w:sz w:val="22"/>
          <w:szCs w:val="22"/>
          <w:lang w:val="sr-Latn-ME"/>
        </w:rPr>
        <w:t>Posebne mjere opreza pri odlaganju materijala koji treba odbaciti nakon primjene lijeka</w:t>
      </w:r>
      <w:r w:rsidRPr="00253510">
        <w:rPr>
          <w:b/>
          <w:bCs/>
          <w:sz w:val="22"/>
          <w:szCs w:val="22"/>
          <w:lang w:val="sr-Latn-ME"/>
        </w:rPr>
        <w:t xml:space="preserve"> </w:t>
      </w:r>
      <w:r w:rsidR="00310F03" w:rsidRPr="00253510">
        <w:rPr>
          <w:b/>
          <w:bCs/>
          <w:sz w:val="22"/>
          <w:szCs w:val="22"/>
          <w:lang w:val="sr-Latn-ME"/>
        </w:rPr>
        <w:t>(i druga uputs</w:t>
      </w:r>
      <w:r w:rsidR="004109FA" w:rsidRPr="00253510">
        <w:rPr>
          <w:b/>
          <w:bCs/>
          <w:sz w:val="22"/>
          <w:szCs w:val="22"/>
          <w:lang w:val="sr-Latn-ME"/>
        </w:rPr>
        <w:t>t</w:t>
      </w:r>
      <w:r w:rsidR="00310F03" w:rsidRPr="00253510">
        <w:rPr>
          <w:b/>
          <w:bCs/>
          <w:sz w:val="22"/>
          <w:szCs w:val="22"/>
          <w:lang w:val="sr-Latn-ME"/>
        </w:rPr>
        <w:t xml:space="preserve">va za rukovanje lijekom) </w:t>
      </w:r>
    </w:p>
    <w:p w14:paraId="02F813C5" w14:textId="77777777" w:rsidR="004F3455" w:rsidRDefault="004F3455" w:rsidP="00480FB1">
      <w:pPr>
        <w:tabs>
          <w:tab w:val="left" w:pos="540"/>
          <w:tab w:val="left" w:pos="569"/>
        </w:tabs>
        <w:rPr>
          <w:bCs/>
          <w:sz w:val="22"/>
          <w:szCs w:val="22"/>
          <w:lang w:val="sr-Latn-ME"/>
        </w:rPr>
      </w:pPr>
    </w:p>
    <w:p w14:paraId="4EB185EC" w14:textId="01FDDC46" w:rsidR="00B66A70" w:rsidRPr="00253510" w:rsidRDefault="00BE7766" w:rsidP="00480FB1">
      <w:pPr>
        <w:tabs>
          <w:tab w:val="left" w:pos="540"/>
          <w:tab w:val="left" w:pos="569"/>
        </w:tabs>
        <w:rPr>
          <w:bCs/>
          <w:sz w:val="22"/>
          <w:szCs w:val="22"/>
          <w:lang w:val="sr-Latn-ME"/>
        </w:rPr>
      </w:pPr>
      <w:r w:rsidRPr="00253510">
        <w:rPr>
          <w:bCs/>
          <w:sz w:val="22"/>
          <w:szCs w:val="22"/>
          <w:lang w:val="sr-Latn-ME"/>
        </w:rPr>
        <w:t>Neupotrebljeni l</w:t>
      </w:r>
      <w:r w:rsidR="000B6BEA" w:rsidRPr="00253510">
        <w:rPr>
          <w:bCs/>
          <w:sz w:val="22"/>
          <w:szCs w:val="22"/>
          <w:lang w:val="sr-Latn-ME"/>
        </w:rPr>
        <w:t>ij</w:t>
      </w:r>
      <w:r w:rsidRPr="00253510">
        <w:rPr>
          <w:bCs/>
          <w:sz w:val="22"/>
          <w:szCs w:val="22"/>
          <w:lang w:val="sr-Latn-ME"/>
        </w:rPr>
        <w:t>ek se uništava u skladu sa važećim propisima.</w:t>
      </w:r>
    </w:p>
    <w:p w14:paraId="0B6B7FCF" w14:textId="30CA3784" w:rsidR="0072020E" w:rsidRDefault="0072020E" w:rsidP="00480FB1">
      <w:pPr>
        <w:tabs>
          <w:tab w:val="left" w:pos="540"/>
          <w:tab w:val="left" w:pos="569"/>
        </w:tabs>
        <w:rPr>
          <w:bCs/>
          <w:sz w:val="22"/>
          <w:szCs w:val="22"/>
          <w:lang w:val="sr-Latn-ME"/>
        </w:rPr>
      </w:pPr>
    </w:p>
    <w:p w14:paraId="58C08018" w14:textId="77777777" w:rsidR="00146B28" w:rsidRPr="00253510" w:rsidRDefault="00146B28" w:rsidP="00480FB1">
      <w:pPr>
        <w:tabs>
          <w:tab w:val="left" w:pos="540"/>
          <w:tab w:val="left" w:pos="569"/>
        </w:tabs>
        <w:rPr>
          <w:bCs/>
          <w:sz w:val="22"/>
          <w:szCs w:val="22"/>
          <w:lang w:val="sr-Latn-ME"/>
        </w:rPr>
      </w:pPr>
    </w:p>
    <w:p w14:paraId="3612F035" w14:textId="77777777" w:rsidR="00F8570A" w:rsidRPr="00253510" w:rsidRDefault="0072020E" w:rsidP="00480FB1">
      <w:pPr>
        <w:tabs>
          <w:tab w:val="left" w:pos="540"/>
          <w:tab w:val="left" w:pos="569"/>
        </w:tabs>
        <w:rPr>
          <w:b/>
          <w:bCs/>
          <w:sz w:val="22"/>
          <w:szCs w:val="22"/>
          <w:lang w:val="sr-Latn-ME"/>
        </w:rPr>
      </w:pPr>
      <w:r w:rsidRPr="00253510">
        <w:rPr>
          <w:b/>
          <w:bCs/>
          <w:sz w:val="22"/>
          <w:szCs w:val="22"/>
          <w:lang w:val="sr-Latn-ME"/>
        </w:rPr>
        <w:t xml:space="preserve">7. </w:t>
      </w:r>
      <w:r w:rsidR="00480FB1" w:rsidRPr="00253510">
        <w:rPr>
          <w:b/>
          <w:bCs/>
          <w:sz w:val="22"/>
          <w:szCs w:val="22"/>
          <w:lang w:val="sr-Latn-ME"/>
        </w:rPr>
        <w:tab/>
      </w:r>
      <w:r w:rsidRPr="00253510">
        <w:rPr>
          <w:b/>
          <w:bCs/>
          <w:sz w:val="22"/>
          <w:szCs w:val="22"/>
          <w:lang w:val="sr-Latn-ME"/>
        </w:rPr>
        <w:t>NOSILAC DOZVOLE</w:t>
      </w:r>
      <w:r w:rsidR="00483928" w:rsidRPr="00253510">
        <w:rPr>
          <w:b/>
          <w:bCs/>
          <w:sz w:val="22"/>
          <w:szCs w:val="22"/>
          <w:lang w:val="sr-Latn-ME"/>
        </w:rPr>
        <w:t xml:space="preserve"> </w:t>
      </w:r>
    </w:p>
    <w:p w14:paraId="032671DE" w14:textId="77777777" w:rsidR="004F3455" w:rsidRDefault="004F3455" w:rsidP="000C1A9E">
      <w:pPr>
        <w:tabs>
          <w:tab w:val="left" w:pos="540"/>
          <w:tab w:val="left" w:pos="569"/>
        </w:tabs>
        <w:rPr>
          <w:bCs/>
          <w:sz w:val="22"/>
          <w:szCs w:val="22"/>
          <w:lang w:val="sr-Latn-ME"/>
        </w:rPr>
      </w:pPr>
    </w:p>
    <w:p w14:paraId="40899B4D" w14:textId="7D4A1F0F" w:rsidR="001D052B" w:rsidRDefault="001D052B" w:rsidP="001D052B">
      <w:pPr>
        <w:rPr>
          <w:sz w:val="22"/>
          <w:szCs w:val="22"/>
          <w:lang w:val="sr-Latn-ME"/>
        </w:rPr>
      </w:pPr>
      <w:r>
        <w:rPr>
          <w:sz w:val="22"/>
          <w:szCs w:val="22"/>
          <w:lang w:val="sr-Latn-ME"/>
        </w:rPr>
        <w:t>NELT MNE, Bulevar 21. maj 140,</w:t>
      </w:r>
      <w:r>
        <w:rPr>
          <w:sz w:val="22"/>
          <w:szCs w:val="22"/>
          <w:lang w:val="sr-Latn-ME"/>
        </w:rPr>
        <w:t xml:space="preserve"> </w:t>
      </w:r>
      <w:bookmarkStart w:id="0" w:name="_GoBack"/>
      <w:bookmarkEnd w:id="0"/>
      <w:r>
        <w:rPr>
          <w:sz w:val="22"/>
          <w:szCs w:val="22"/>
          <w:lang w:val="sr-Latn-ME"/>
        </w:rPr>
        <w:t>81000 Podgorica, Crna Gora</w:t>
      </w:r>
    </w:p>
    <w:p w14:paraId="536F8589" w14:textId="1A8AAE8A" w:rsidR="00C37FD7" w:rsidRDefault="00C37FD7" w:rsidP="00480FB1">
      <w:pPr>
        <w:tabs>
          <w:tab w:val="left" w:pos="540"/>
          <w:tab w:val="left" w:pos="569"/>
        </w:tabs>
        <w:rPr>
          <w:bCs/>
          <w:sz w:val="22"/>
          <w:szCs w:val="22"/>
          <w:lang w:val="sr-Latn-ME"/>
        </w:rPr>
      </w:pPr>
    </w:p>
    <w:p w14:paraId="5556AF96" w14:textId="77777777" w:rsidR="00146B28" w:rsidRPr="00253510" w:rsidRDefault="00146B28" w:rsidP="00480FB1">
      <w:pPr>
        <w:tabs>
          <w:tab w:val="left" w:pos="540"/>
          <w:tab w:val="left" w:pos="569"/>
        </w:tabs>
        <w:rPr>
          <w:bCs/>
          <w:sz w:val="22"/>
          <w:szCs w:val="22"/>
          <w:lang w:val="sr-Latn-ME"/>
        </w:rPr>
      </w:pPr>
    </w:p>
    <w:p w14:paraId="7862C50A" w14:textId="77777777" w:rsidR="0072020E" w:rsidRPr="00253510" w:rsidRDefault="0072020E" w:rsidP="00480FB1">
      <w:pPr>
        <w:tabs>
          <w:tab w:val="left" w:pos="540"/>
          <w:tab w:val="left" w:pos="569"/>
        </w:tabs>
        <w:rPr>
          <w:b/>
          <w:bCs/>
          <w:sz w:val="22"/>
          <w:szCs w:val="22"/>
          <w:lang w:val="sr-Latn-ME"/>
        </w:rPr>
      </w:pPr>
      <w:r w:rsidRPr="00253510">
        <w:rPr>
          <w:b/>
          <w:bCs/>
          <w:sz w:val="22"/>
          <w:szCs w:val="22"/>
          <w:lang w:val="sr-Latn-ME"/>
        </w:rPr>
        <w:lastRenderedPageBreak/>
        <w:t xml:space="preserve">8. </w:t>
      </w:r>
      <w:r w:rsidR="00480FB1" w:rsidRPr="00253510">
        <w:rPr>
          <w:b/>
          <w:bCs/>
          <w:sz w:val="22"/>
          <w:szCs w:val="22"/>
          <w:lang w:val="sr-Latn-ME"/>
        </w:rPr>
        <w:tab/>
      </w:r>
      <w:r w:rsidRPr="00253510">
        <w:rPr>
          <w:b/>
          <w:bCs/>
          <w:sz w:val="22"/>
          <w:szCs w:val="22"/>
          <w:lang w:val="sr-Latn-ME"/>
        </w:rPr>
        <w:t>BROJ DOZVOLE</w:t>
      </w:r>
      <w:r w:rsidR="008A6D43" w:rsidRPr="00253510">
        <w:rPr>
          <w:b/>
          <w:bCs/>
          <w:sz w:val="22"/>
          <w:szCs w:val="22"/>
          <w:lang w:val="sr-Latn-ME"/>
        </w:rPr>
        <w:t xml:space="preserve"> ZA STAVLJANJE LIJEKA U PROMET</w:t>
      </w:r>
    </w:p>
    <w:p w14:paraId="55383AB4" w14:textId="77777777" w:rsidR="004F3455" w:rsidRDefault="004F3455" w:rsidP="00BE7766">
      <w:pPr>
        <w:tabs>
          <w:tab w:val="left" w:pos="540"/>
          <w:tab w:val="left" w:pos="569"/>
        </w:tabs>
        <w:rPr>
          <w:bCs/>
          <w:sz w:val="22"/>
          <w:szCs w:val="22"/>
          <w:lang w:val="sr-Latn-ME"/>
        </w:rPr>
      </w:pPr>
    </w:p>
    <w:p w14:paraId="002DFC89" w14:textId="4A1E3506" w:rsidR="00BE7766" w:rsidRPr="00253510" w:rsidRDefault="00BE7766" w:rsidP="00BE7766">
      <w:pPr>
        <w:tabs>
          <w:tab w:val="left" w:pos="540"/>
          <w:tab w:val="left" w:pos="569"/>
        </w:tabs>
        <w:rPr>
          <w:bCs/>
          <w:sz w:val="22"/>
          <w:szCs w:val="22"/>
          <w:lang w:val="sr-Latn-ME"/>
        </w:rPr>
      </w:pPr>
      <w:r w:rsidRPr="00253510">
        <w:rPr>
          <w:bCs/>
          <w:sz w:val="22"/>
          <w:szCs w:val="22"/>
          <w:lang w:val="sr-Latn-ME"/>
        </w:rPr>
        <w:t>Nurofen</w:t>
      </w:r>
      <w:r w:rsidR="00587D86" w:rsidRPr="00253510">
        <w:rPr>
          <w:bCs/>
          <w:sz w:val="22"/>
          <w:szCs w:val="22"/>
          <w:vertAlign w:val="superscript"/>
          <w:lang w:val="sr-Latn-ME"/>
        </w:rPr>
        <w:t>®</w:t>
      </w:r>
      <w:r w:rsidRPr="00253510">
        <w:rPr>
          <w:bCs/>
          <w:sz w:val="22"/>
          <w:szCs w:val="22"/>
          <w:lang w:val="sr-Latn-ME"/>
        </w:rPr>
        <w:t>, obložen</w:t>
      </w:r>
      <w:r w:rsidR="001260EC">
        <w:rPr>
          <w:bCs/>
          <w:sz w:val="22"/>
          <w:szCs w:val="22"/>
          <w:lang w:val="sr-Latn-ME"/>
        </w:rPr>
        <w:t>a</w:t>
      </w:r>
      <w:r w:rsidRPr="00253510">
        <w:rPr>
          <w:bCs/>
          <w:sz w:val="22"/>
          <w:szCs w:val="22"/>
          <w:lang w:val="sr-Latn-ME"/>
        </w:rPr>
        <w:t xml:space="preserve"> tablet</w:t>
      </w:r>
      <w:r w:rsidR="001260EC">
        <w:rPr>
          <w:bCs/>
          <w:sz w:val="22"/>
          <w:szCs w:val="22"/>
          <w:lang w:val="sr-Latn-ME"/>
        </w:rPr>
        <w:t>a</w:t>
      </w:r>
      <w:r w:rsidRPr="00253510">
        <w:rPr>
          <w:bCs/>
          <w:sz w:val="22"/>
          <w:szCs w:val="22"/>
          <w:lang w:val="sr-Latn-ME"/>
        </w:rPr>
        <w:t xml:space="preserve">, </w:t>
      </w:r>
      <w:r w:rsidR="001260EC">
        <w:rPr>
          <w:bCs/>
          <w:sz w:val="22"/>
          <w:szCs w:val="22"/>
          <w:lang w:val="sr-Latn-ME"/>
        </w:rPr>
        <w:t xml:space="preserve">200 mg, blister, </w:t>
      </w:r>
      <w:r w:rsidRPr="00253510">
        <w:rPr>
          <w:bCs/>
          <w:sz w:val="22"/>
          <w:szCs w:val="22"/>
          <w:lang w:val="sr-Latn-ME"/>
        </w:rPr>
        <w:t xml:space="preserve">12 </w:t>
      </w:r>
      <w:r w:rsidR="001260EC">
        <w:rPr>
          <w:bCs/>
          <w:sz w:val="22"/>
          <w:szCs w:val="22"/>
          <w:lang w:val="sr-Latn-ME"/>
        </w:rPr>
        <w:t>(1x12) obloženih tableta</w:t>
      </w:r>
      <w:r w:rsidRPr="00253510">
        <w:rPr>
          <w:bCs/>
          <w:sz w:val="22"/>
          <w:szCs w:val="22"/>
          <w:lang w:val="sr-Latn-ME"/>
        </w:rPr>
        <w:t xml:space="preserve">: </w:t>
      </w:r>
      <w:r w:rsidR="00D357A7">
        <w:rPr>
          <w:rFonts w:ascii="TimesNewRoman" w:hAnsi="TimesNewRoman" w:cs="TimesNewRoman"/>
          <w:sz w:val="22"/>
          <w:szCs w:val="22"/>
          <w:lang w:val="sr-Latn-ME" w:eastAsia="sr-Latn-ME"/>
        </w:rPr>
        <w:t>2030/21/872 - 2119</w:t>
      </w:r>
    </w:p>
    <w:p w14:paraId="7F3DB675" w14:textId="255621B5" w:rsidR="0072020E" w:rsidRPr="00253510" w:rsidRDefault="00BE7766" w:rsidP="00BE7766">
      <w:pPr>
        <w:tabs>
          <w:tab w:val="left" w:pos="540"/>
          <w:tab w:val="left" w:pos="569"/>
        </w:tabs>
        <w:rPr>
          <w:bCs/>
          <w:sz w:val="22"/>
          <w:szCs w:val="22"/>
          <w:lang w:val="sr-Latn-ME"/>
        </w:rPr>
      </w:pPr>
      <w:r w:rsidRPr="00253510">
        <w:rPr>
          <w:bCs/>
          <w:sz w:val="22"/>
          <w:szCs w:val="22"/>
          <w:lang w:val="sr-Latn-ME"/>
        </w:rPr>
        <w:t>Nurofen</w:t>
      </w:r>
      <w:r w:rsidR="00587D86" w:rsidRPr="00253510">
        <w:rPr>
          <w:bCs/>
          <w:sz w:val="22"/>
          <w:szCs w:val="22"/>
          <w:vertAlign w:val="superscript"/>
          <w:lang w:val="sr-Latn-ME"/>
        </w:rPr>
        <w:t>®</w:t>
      </w:r>
      <w:r w:rsidRPr="00253510">
        <w:rPr>
          <w:bCs/>
          <w:sz w:val="22"/>
          <w:szCs w:val="22"/>
          <w:lang w:val="sr-Latn-ME"/>
        </w:rPr>
        <w:t>, obložen</w:t>
      </w:r>
      <w:r w:rsidR="001260EC">
        <w:rPr>
          <w:bCs/>
          <w:sz w:val="22"/>
          <w:szCs w:val="22"/>
          <w:lang w:val="sr-Latn-ME"/>
        </w:rPr>
        <w:t>a</w:t>
      </w:r>
      <w:r w:rsidRPr="00253510">
        <w:rPr>
          <w:bCs/>
          <w:sz w:val="22"/>
          <w:szCs w:val="22"/>
          <w:lang w:val="sr-Latn-ME"/>
        </w:rPr>
        <w:t xml:space="preserve"> tablet</w:t>
      </w:r>
      <w:r w:rsidR="001260EC">
        <w:rPr>
          <w:bCs/>
          <w:sz w:val="22"/>
          <w:szCs w:val="22"/>
          <w:lang w:val="sr-Latn-ME"/>
        </w:rPr>
        <w:t>a</w:t>
      </w:r>
      <w:r w:rsidRPr="00253510">
        <w:rPr>
          <w:bCs/>
          <w:sz w:val="22"/>
          <w:szCs w:val="22"/>
          <w:lang w:val="sr-Latn-ME"/>
        </w:rPr>
        <w:t xml:space="preserve">, </w:t>
      </w:r>
      <w:r w:rsidR="001260EC">
        <w:rPr>
          <w:bCs/>
          <w:sz w:val="22"/>
          <w:szCs w:val="22"/>
          <w:lang w:val="sr-Latn-ME"/>
        </w:rPr>
        <w:t>200 mg, blister, 24 (2x12) obložene tablete</w:t>
      </w:r>
      <w:r w:rsidRPr="00253510">
        <w:rPr>
          <w:bCs/>
          <w:sz w:val="22"/>
          <w:szCs w:val="22"/>
          <w:lang w:val="sr-Latn-ME"/>
        </w:rPr>
        <w:t>:</w:t>
      </w:r>
      <w:r w:rsidR="00D357A7">
        <w:rPr>
          <w:bCs/>
          <w:sz w:val="22"/>
          <w:szCs w:val="22"/>
          <w:lang w:val="sr-Latn-ME"/>
        </w:rPr>
        <w:t xml:space="preserve"> </w:t>
      </w:r>
      <w:r w:rsidR="00D357A7">
        <w:rPr>
          <w:rFonts w:ascii="TimesNewRoman" w:hAnsi="TimesNewRoman" w:cs="TimesNewRoman"/>
          <w:sz w:val="22"/>
          <w:szCs w:val="22"/>
          <w:lang w:val="sr-Latn-ME" w:eastAsia="sr-Latn-ME"/>
        </w:rPr>
        <w:t>2030/21/873 - 2118</w:t>
      </w:r>
    </w:p>
    <w:p w14:paraId="7D8DAA87" w14:textId="731E4B65" w:rsidR="00F45F77" w:rsidRDefault="00F45F77" w:rsidP="00480FB1">
      <w:pPr>
        <w:tabs>
          <w:tab w:val="left" w:pos="540"/>
          <w:tab w:val="left" w:pos="569"/>
        </w:tabs>
        <w:rPr>
          <w:bCs/>
          <w:sz w:val="22"/>
          <w:szCs w:val="22"/>
          <w:lang w:val="sr-Latn-ME"/>
        </w:rPr>
      </w:pPr>
    </w:p>
    <w:p w14:paraId="6C3F4797" w14:textId="77777777" w:rsidR="004F3455" w:rsidRPr="00253510" w:rsidRDefault="004F3455" w:rsidP="00480FB1">
      <w:pPr>
        <w:tabs>
          <w:tab w:val="left" w:pos="540"/>
          <w:tab w:val="left" w:pos="569"/>
        </w:tabs>
        <w:rPr>
          <w:bCs/>
          <w:sz w:val="22"/>
          <w:szCs w:val="22"/>
          <w:lang w:val="sr-Latn-ME"/>
        </w:rPr>
      </w:pPr>
    </w:p>
    <w:p w14:paraId="3ED3E737" w14:textId="77777777" w:rsidR="0072020E" w:rsidRPr="00253510" w:rsidRDefault="0072020E" w:rsidP="00253510">
      <w:pPr>
        <w:tabs>
          <w:tab w:val="left" w:pos="540"/>
          <w:tab w:val="left" w:pos="569"/>
        </w:tabs>
        <w:jc w:val="both"/>
        <w:rPr>
          <w:b/>
          <w:bCs/>
          <w:sz w:val="22"/>
          <w:szCs w:val="22"/>
          <w:lang w:val="sr-Latn-ME"/>
        </w:rPr>
      </w:pPr>
      <w:r w:rsidRPr="00253510">
        <w:rPr>
          <w:b/>
          <w:bCs/>
          <w:sz w:val="22"/>
          <w:szCs w:val="22"/>
          <w:lang w:val="sr-Latn-ME"/>
        </w:rPr>
        <w:t xml:space="preserve">9. </w:t>
      </w:r>
      <w:r w:rsidR="00480FB1" w:rsidRPr="00253510">
        <w:rPr>
          <w:b/>
          <w:bCs/>
          <w:sz w:val="22"/>
          <w:szCs w:val="22"/>
          <w:lang w:val="sr-Latn-ME"/>
        </w:rPr>
        <w:tab/>
      </w:r>
      <w:r w:rsidRPr="00253510">
        <w:rPr>
          <w:b/>
          <w:bCs/>
          <w:sz w:val="22"/>
          <w:szCs w:val="22"/>
          <w:lang w:val="sr-Latn-ME"/>
        </w:rPr>
        <w:t xml:space="preserve">DATUM </w:t>
      </w:r>
      <w:r w:rsidR="00C05DF8" w:rsidRPr="00253510">
        <w:rPr>
          <w:b/>
          <w:bCs/>
          <w:sz w:val="22"/>
          <w:szCs w:val="22"/>
          <w:lang w:val="sr-Latn-ME"/>
        </w:rPr>
        <w:t xml:space="preserve">PRVE </w:t>
      </w:r>
      <w:r w:rsidR="008A6D43" w:rsidRPr="00253510">
        <w:rPr>
          <w:b/>
          <w:bCs/>
          <w:sz w:val="22"/>
          <w:szCs w:val="22"/>
          <w:lang w:val="sr-Latn-ME"/>
        </w:rPr>
        <w:t>DOZVOLE</w:t>
      </w:r>
      <w:r w:rsidR="00C05DF8" w:rsidRPr="00253510">
        <w:rPr>
          <w:b/>
          <w:bCs/>
          <w:sz w:val="22"/>
          <w:szCs w:val="22"/>
          <w:lang w:val="sr-Latn-ME"/>
        </w:rPr>
        <w:t>/OBNOVE DOZVOLE</w:t>
      </w:r>
      <w:r w:rsidR="008A6D43" w:rsidRPr="00253510">
        <w:rPr>
          <w:b/>
          <w:bCs/>
          <w:sz w:val="22"/>
          <w:szCs w:val="22"/>
          <w:lang w:val="sr-Latn-ME"/>
        </w:rPr>
        <w:t xml:space="preserve"> ZA STAVLJANJE LIJEKA U PROMET</w:t>
      </w:r>
    </w:p>
    <w:p w14:paraId="7186B29D" w14:textId="77777777" w:rsidR="004F3455" w:rsidRDefault="004F3455" w:rsidP="00480FB1">
      <w:pPr>
        <w:tabs>
          <w:tab w:val="left" w:pos="540"/>
          <w:tab w:val="left" w:pos="569"/>
        </w:tabs>
        <w:rPr>
          <w:bCs/>
          <w:sz w:val="22"/>
          <w:szCs w:val="22"/>
          <w:lang w:val="sr-Latn-ME"/>
        </w:rPr>
      </w:pPr>
    </w:p>
    <w:p w14:paraId="0DA6C95C" w14:textId="2D47161E" w:rsidR="00587D86" w:rsidRPr="001A65C0" w:rsidRDefault="00587D86" w:rsidP="00587D86">
      <w:pPr>
        <w:tabs>
          <w:tab w:val="left" w:pos="540"/>
          <w:tab w:val="left" w:pos="569"/>
        </w:tabs>
        <w:rPr>
          <w:bCs/>
          <w:sz w:val="22"/>
          <w:szCs w:val="22"/>
          <w:lang w:val="sr-Latn-ME"/>
        </w:rPr>
      </w:pPr>
      <w:r w:rsidRPr="001A65C0">
        <w:rPr>
          <w:bCs/>
          <w:sz w:val="22"/>
          <w:szCs w:val="22"/>
          <w:lang w:val="sr-Latn-ME"/>
        </w:rPr>
        <w:t>Nurofen</w:t>
      </w:r>
      <w:r w:rsidRPr="001A65C0">
        <w:rPr>
          <w:bCs/>
          <w:sz w:val="22"/>
          <w:szCs w:val="22"/>
          <w:vertAlign w:val="superscript"/>
          <w:lang w:val="sr-Latn-ME"/>
        </w:rPr>
        <w:t>®</w:t>
      </w:r>
      <w:r w:rsidRPr="001A65C0">
        <w:rPr>
          <w:bCs/>
          <w:sz w:val="22"/>
          <w:szCs w:val="22"/>
          <w:lang w:val="sr-Latn-ME"/>
        </w:rPr>
        <w:t>, obložen</w:t>
      </w:r>
      <w:r>
        <w:rPr>
          <w:bCs/>
          <w:sz w:val="22"/>
          <w:szCs w:val="22"/>
          <w:lang w:val="sr-Latn-ME"/>
        </w:rPr>
        <w:t>a</w:t>
      </w:r>
      <w:r w:rsidRPr="001A65C0">
        <w:rPr>
          <w:bCs/>
          <w:sz w:val="22"/>
          <w:szCs w:val="22"/>
          <w:lang w:val="sr-Latn-ME"/>
        </w:rPr>
        <w:t xml:space="preserve"> tablet</w:t>
      </w:r>
      <w:r>
        <w:rPr>
          <w:bCs/>
          <w:sz w:val="22"/>
          <w:szCs w:val="22"/>
          <w:lang w:val="sr-Latn-ME"/>
        </w:rPr>
        <w:t>a</w:t>
      </w:r>
      <w:r w:rsidRPr="001A65C0">
        <w:rPr>
          <w:bCs/>
          <w:sz w:val="22"/>
          <w:szCs w:val="22"/>
          <w:lang w:val="sr-Latn-ME"/>
        </w:rPr>
        <w:t xml:space="preserve">, </w:t>
      </w:r>
      <w:r>
        <w:rPr>
          <w:bCs/>
          <w:sz w:val="22"/>
          <w:szCs w:val="22"/>
          <w:lang w:val="sr-Latn-ME"/>
        </w:rPr>
        <w:t xml:space="preserve">200 mg, blister, </w:t>
      </w:r>
      <w:r w:rsidRPr="001A65C0">
        <w:rPr>
          <w:bCs/>
          <w:sz w:val="22"/>
          <w:szCs w:val="22"/>
          <w:lang w:val="sr-Latn-ME"/>
        </w:rPr>
        <w:t xml:space="preserve">12 </w:t>
      </w:r>
      <w:r>
        <w:rPr>
          <w:bCs/>
          <w:sz w:val="22"/>
          <w:szCs w:val="22"/>
          <w:lang w:val="sr-Latn-ME"/>
        </w:rPr>
        <w:t>(1x12) obloženih tableta</w:t>
      </w:r>
      <w:r w:rsidRPr="001A65C0">
        <w:rPr>
          <w:bCs/>
          <w:sz w:val="22"/>
          <w:szCs w:val="22"/>
          <w:lang w:val="sr-Latn-ME"/>
        </w:rPr>
        <w:t xml:space="preserve">: </w:t>
      </w:r>
      <w:r w:rsidR="00D357A7">
        <w:rPr>
          <w:bCs/>
          <w:sz w:val="22"/>
          <w:szCs w:val="22"/>
          <w:lang w:val="sr-Latn-ME"/>
        </w:rPr>
        <w:t>28.07.2021. godine</w:t>
      </w:r>
    </w:p>
    <w:p w14:paraId="52877802" w14:textId="24EE0F09" w:rsidR="00587D86" w:rsidRPr="001A65C0" w:rsidRDefault="00587D86" w:rsidP="00587D86">
      <w:pPr>
        <w:tabs>
          <w:tab w:val="left" w:pos="540"/>
          <w:tab w:val="left" w:pos="569"/>
        </w:tabs>
        <w:rPr>
          <w:bCs/>
          <w:sz w:val="22"/>
          <w:szCs w:val="22"/>
          <w:lang w:val="sr-Latn-ME"/>
        </w:rPr>
      </w:pPr>
      <w:r w:rsidRPr="001A65C0">
        <w:rPr>
          <w:bCs/>
          <w:sz w:val="22"/>
          <w:szCs w:val="22"/>
          <w:lang w:val="sr-Latn-ME"/>
        </w:rPr>
        <w:t>Nurofen</w:t>
      </w:r>
      <w:r w:rsidRPr="001A65C0">
        <w:rPr>
          <w:bCs/>
          <w:sz w:val="22"/>
          <w:szCs w:val="22"/>
          <w:vertAlign w:val="superscript"/>
          <w:lang w:val="sr-Latn-ME"/>
        </w:rPr>
        <w:t>®</w:t>
      </w:r>
      <w:r w:rsidRPr="001A65C0">
        <w:rPr>
          <w:bCs/>
          <w:sz w:val="22"/>
          <w:szCs w:val="22"/>
          <w:lang w:val="sr-Latn-ME"/>
        </w:rPr>
        <w:t>, obložen</w:t>
      </w:r>
      <w:r>
        <w:rPr>
          <w:bCs/>
          <w:sz w:val="22"/>
          <w:szCs w:val="22"/>
          <w:lang w:val="sr-Latn-ME"/>
        </w:rPr>
        <w:t>a</w:t>
      </w:r>
      <w:r w:rsidRPr="001A65C0">
        <w:rPr>
          <w:bCs/>
          <w:sz w:val="22"/>
          <w:szCs w:val="22"/>
          <w:lang w:val="sr-Latn-ME"/>
        </w:rPr>
        <w:t xml:space="preserve"> tablet</w:t>
      </w:r>
      <w:r>
        <w:rPr>
          <w:bCs/>
          <w:sz w:val="22"/>
          <w:szCs w:val="22"/>
          <w:lang w:val="sr-Latn-ME"/>
        </w:rPr>
        <w:t>a</w:t>
      </w:r>
      <w:r w:rsidRPr="001A65C0">
        <w:rPr>
          <w:bCs/>
          <w:sz w:val="22"/>
          <w:szCs w:val="22"/>
          <w:lang w:val="sr-Latn-ME"/>
        </w:rPr>
        <w:t xml:space="preserve">, </w:t>
      </w:r>
      <w:r>
        <w:rPr>
          <w:bCs/>
          <w:sz w:val="22"/>
          <w:szCs w:val="22"/>
          <w:lang w:val="sr-Latn-ME"/>
        </w:rPr>
        <w:t>200 mg, blister, 24 (2x12) obložene tablete</w:t>
      </w:r>
      <w:r w:rsidRPr="001A65C0">
        <w:rPr>
          <w:bCs/>
          <w:sz w:val="22"/>
          <w:szCs w:val="22"/>
          <w:lang w:val="sr-Latn-ME"/>
        </w:rPr>
        <w:t>:</w:t>
      </w:r>
      <w:r w:rsidR="00D357A7">
        <w:rPr>
          <w:bCs/>
          <w:sz w:val="22"/>
          <w:szCs w:val="22"/>
          <w:lang w:val="sr-Latn-ME"/>
        </w:rPr>
        <w:t xml:space="preserve"> 28.07.2021. godine</w:t>
      </w:r>
    </w:p>
    <w:p w14:paraId="34642A5B" w14:textId="2D1F2B27" w:rsidR="00836B35" w:rsidRDefault="00836B35" w:rsidP="00480FB1">
      <w:pPr>
        <w:tabs>
          <w:tab w:val="left" w:pos="540"/>
          <w:tab w:val="left" w:pos="569"/>
        </w:tabs>
        <w:rPr>
          <w:bCs/>
          <w:sz w:val="22"/>
          <w:szCs w:val="22"/>
          <w:lang w:val="sr-Latn-ME"/>
        </w:rPr>
      </w:pPr>
    </w:p>
    <w:p w14:paraId="1FC748C4" w14:textId="77777777" w:rsidR="00146B28" w:rsidRPr="00253510" w:rsidRDefault="00146B28" w:rsidP="00480FB1">
      <w:pPr>
        <w:tabs>
          <w:tab w:val="left" w:pos="540"/>
          <w:tab w:val="left" w:pos="569"/>
        </w:tabs>
        <w:rPr>
          <w:bCs/>
          <w:sz w:val="22"/>
          <w:szCs w:val="22"/>
          <w:lang w:val="sr-Latn-ME"/>
        </w:rPr>
      </w:pPr>
    </w:p>
    <w:p w14:paraId="01B9B41D" w14:textId="77777777" w:rsidR="003F6A59" w:rsidRPr="00253510" w:rsidRDefault="0072020E" w:rsidP="00C05DF8">
      <w:pPr>
        <w:tabs>
          <w:tab w:val="left" w:pos="540"/>
          <w:tab w:val="left" w:pos="569"/>
        </w:tabs>
        <w:ind w:left="540" w:hanging="540"/>
        <w:rPr>
          <w:bCs/>
          <w:sz w:val="22"/>
          <w:szCs w:val="22"/>
          <w:lang w:val="sr-Latn-ME"/>
        </w:rPr>
      </w:pPr>
      <w:r w:rsidRPr="00253510">
        <w:rPr>
          <w:b/>
          <w:bCs/>
          <w:sz w:val="22"/>
          <w:szCs w:val="22"/>
          <w:lang w:val="sr-Latn-ME"/>
        </w:rPr>
        <w:t xml:space="preserve">10. </w:t>
      </w:r>
      <w:r w:rsidR="00480FB1" w:rsidRPr="00253510">
        <w:rPr>
          <w:b/>
          <w:bCs/>
          <w:sz w:val="22"/>
          <w:szCs w:val="22"/>
          <w:lang w:val="sr-Latn-ME"/>
        </w:rPr>
        <w:tab/>
      </w:r>
      <w:r w:rsidR="002846DB" w:rsidRPr="00253510">
        <w:rPr>
          <w:b/>
          <w:bCs/>
          <w:sz w:val="22"/>
          <w:szCs w:val="22"/>
          <w:lang w:val="sr-Latn-ME"/>
        </w:rPr>
        <w:t>D</w:t>
      </w:r>
      <w:r w:rsidR="00EC2532" w:rsidRPr="00253510">
        <w:rPr>
          <w:b/>
          <w:bCs/>
          <w:sz w:val="22"/>
          <w:szCs w:val="22"/>
          <w:lang w:val="sr-Latn-ME"/>
        </w:rPr>
        <w:t xml:space="preserve">ATUM REVIZIJE TEKSTA </w:t>
      </w:r>
    </w:p>
    <w:p w14:paraId="4C3F61D9" w14:textId="77777777" w:rsidR="003F6A59" w:rsidRPr="00253510" w:rsidRDefault="003F6A59" w:rsidP="00480FB1">
      <w:pPr>
        <w:tabs>
          <w:tab w:val="left" w:pos="540"/>
          <w:tab w:val="left" w:pos="569"/>
        </w:tabs>
        <w:rPr>
          <w:bCs/>
          <w:sz w:val="22"/>
          <w:szCs w:val="22"/>
          <w:lang w:val="sr-Latn-ME"/>
        </w:rPr>
      </w:pPr>
    </w:p>
    <w:p w14:paraId="3699AD35" w14:textId="62350612" w:rsidR="008A6D43" w:rsidRPr="00253510" w:rsidRDefault="00D357A7" w:rsidP="00480FB1">
      <w:pPr>
        <w:tabs>
          <w:tab w:val="left" w:pos="540"/>
          <w:tab w:val="left" w:pos="569"/>
        </w:tabs>
        <w:rPr>
          <w:bCs/>
          <w:sz w:val="22"/>
          <w:szCs w:val="22"/>
          <w:lang w:val="sr-Latn-ME"/>
        </w:rPr>
      </w:pPr>
      <w:r>
        <w:rPr>
          <w:bCs/>
          <w:sz w:val="22"/>
          <w:szCs w:val="22"/>
          <w:lang w:val="sr-Latn-ME"/>
        </w:rPr>
        <w:t>Jul, 2021. godine</w:t>
      </w:r>
    </w:p>
    <w:p w14:paraId="40969FE6" w14:textId="30857D6D" w:rsidR="003F6A59" w:rsidRPr="00253510" w:rsidRDefault="003F6A59" w:rsidP="00DE3F5C">
      <w:pPr>
        <w:rPr>
          <w:sz w:val="22"/>
          <w:szCs w:val="22"/>
          <w:lang w:val="sr-Latn-ME"/>
        </w:rPr>
      </w:pPr>
    </w:p>
    <w:sectPr w:rsidR="003F6A59" w:rsidRPr="00253510"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75EE" w14:textId="77777777" w:rsidR="00EB4EA0" w:rsidRDefault="00EB4EA0">
      <w:r>
        <w:separator/>
      </w:r>
    </w:p>
  </w:endnote>
  <w:endnote w:type="continuationSeparator" w:id="0">
    <w:p w14:paraId="43CFA4E3" w14:textId="77777777" w:rsidR="00EB4EA0" w:rsidRDefault="00EB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8624" w14:textId="664BCDEA" w:rsidR="00097C55" w:rsidRPr="00566A4D" w:rsidRDefault="00097C55" w:rsidP="00B23F69">
    <w:pPr>
      <w:pStyle w:val="Footer"/>
      <w:jc w:val="center"/>
      <w:rPr>
        <w:sz w:val="20"/>
        <w:szCs w:val="20"/>
      </w:rPr>
    </w:pPr>
    <w:r w:rsidRPr="00566A4D">
      <w:rPr>
        <w:sz w:val="20"/>
        <w:szCs w:val="20"/>
      </w:rPr>
      <w:fldChar w:fldCharType="begin"/>
    </w:r>
    <w:r w:rsidRPr="00566A4D">
      <w:rPr>
        <w:sz w:val="20"/>
        <w:szCs w:val="20"/>
      </w:rPr>
      <w:instrText xml:space="preserve"> PAGE </w:instrText>
    </w:r>
    <w:r w:rsidRPr="00566A4D">
      <w:rPr>
        <w:sz w:val="20"/>
        <w:szCs w:val="20"/>
      </w:rPr>
      <w:fldChar w:fldCharType="separate"/>
    </w:r>
    <w:r w:rsidR="001D052B">
      <w:rPr>
        <w:noProof/>
        <w:sz w:val="20"/>
        <w:szCs w:val="20"/>
      </w:rPr>
      <w:t>11</w:t>
    </w:r>
    <w:r w:rsidRPr="00566A4D">
      <w:rPr>
        <w:sz w:val="20"/>
        <w:szCs w:val="20"/>
      </w:rPr>
      <w:fldChar w:fldCharType="end"/>
    </w:r>
    <w:r w:rsidRPr="00566A4D">
      <w:rPr>
        <w:sz w:val="20"/>
        <w:szCs w:val="20"/>
      </w:rPr>
      <w:t xml:space="preserve"> / </w:t>
    </w:r>
    <w:r w:rsidRPr="00566A4D">
      <w:rPr>
        <w:sz w:val="20"/>
        <w:szCs w:val="20"/>
      </w:rPr>
      <w:fldChar w:fldCharType="begin"/>
    </w:r>
    <w:r w:rsidRPr="00566A4D">
      <w:rPr>
        <w:sz w:val="20"/>
        <w:szCs w:val="20"/>
      </w:rPr>
      <w:instrText xml:space="preserve"> NUMPAGES </w:instrText>
    </w:r>
    <w:r w:rsidRPr="00566A4D">
      <w:rPr>
        <w:sz w:val="20"/>
        <w:szCs w:val="20"/>
      </w:rPr>
      <w:fldChar w:fldCharType="separate"/>
    </w:r>
    <w:r w:rsidR="001D052B">
      <w:rPr>
        <w:noProof/>
        <w:sz w:val="20"/>
        <w:szCs w:val="20"/>
      </w:rPr>
      <w:t>11</w:t>
    </w:r>
    <w:r w:rsidRPr="00566A4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D425" w14:textId="77777777" w:rsidR="00EB4EA0" w:rsidRDefault="00EB4EA0">
      <w:r>
        <w:separator/>
      </w:r>
    </w:p>
  </w:footnote>
  <w:footnote w:type="continuationSeparator" w:id="0">
    <w:p w14:paraId="138BEF55" w14:textId="77777777" w:rsidR="00EB4EA0" w:rsidRDefault="00EB4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455713"/>
    <w:multiLevelType w:val="hybridMultilevel"/>
    <w:tmpl w:val="D726480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10E03"/>
    <w:multiLevelType w:val="hybridMultilevel"/>
    <w:tmpl w:val="F196AB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B0B51"/>
    <w:multiLevelType w:val="hybridMultilevel"/>
    <w:tmpl w:val="1ECAAA4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8"/>
  </w:num>
  <w:num w:numId="10">
    <w:abstractNumId w:val="12"/>
  </w:num>
  <w:num w:numId="11">
    <w:abstractNumId w:val="6"/>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8DC"/>
    <w:rsid w:val="000176CA"/>
    <w:rsid w:val="000207C4"/>
    <w:rsid w:val="000318A7"/>
    <w:rsid w:val="00035264"/>
    <w:rsid w:val="00036FA0"/>
    <w:rsid w:val="0003793F"/>
    <w:rsid w:val="00057E35"/>
    <w:rsid w:val="0007604F"/>
    <w:rsid w:val="00076726"/>
    <w:rsid w:val="00080303"/>
    <w:rsid w:val="00090701"/>
    <w:rsid w:val="00097C55"/>
    <w:rsid w:val="000A3F58"/>
    <w:rsid w:val="000B6BEA"/>
    <w:rsid w:val="000C1A9E"/>
    <w:rsid w:val="000D2343"/>
    <w:rsid w:val="000D3449"/>
    <w:rsid w:val="000D425A"/>
    <w:rsid w:val="000D60CC"/>
    <w:rsid w:val="000E2084"/>
    <w:rsid w:val="000E6F55"/>
    <w:rsid w:val="000F3970"/>
    <w:rsid w:val="000F73FE"/>
    <w:rsid w:val="000F77FA"/>
    <w:rsid w:val="00107BF7"/>
    <w:rsid w:val="001260EC"/>
    <w:rsid w:val="00126F53"/>
    <w:rsid w:val="00146B28"/>
    <w:rsid w:val="0014766D"/>
    <w:rsid w:val="001536CC"/>
    <w:rsid w:val="00165652"/>
    <w:rsid w:val="00176170"/>
    <w:rsid w:val="001A3FBA"/>
    <w:rsid w:val="001A5518"/>
    <w:rsid w:val="001B1C6A"/>
    <w:rsid w:val="001C1263"/>
    <w:rsid w:val="001C1417"/>
    <w:rsid w:val="001D052B"/>
    <w:rsid w:val="001E390B"/>
    <w:rsid w:val="001F42FB"/>
    <w:rsid w:val="001F719A"/>
    <w:rsid w:val="002031B3"/>
    <w:rsid w:val="0020518C"/>
    <w:rsid w:val="00215931"/>
    <w:rsid w:val="00224C91"/>
    <w:rsid w:val="00227BDB"/>
    <w:rsid w:val="00234CB1"/>
    <w:rsid w:val="002352F8"/>
    <w:rsid w:val="002510A5"/>
    <w:rsid w:val="00253510"/>
    <w:rsid w:val="00254A0A"/>
    <w:rsid w:val="00254FF0"/>
    <w:rsid w:val="00266046"/>
    <w:rsid w:val="002846DB"/>
    <w:rsid w:val="00284CCD"/>
    <w:rsid w:val="002B3322"/>
    <w:rsid w:val="002C6637"/>
    <w:rsid w:val="002E0135"/>
    <w:rsid w:val="002E37A5"/>
    <w:rsid w:val="00310F03"/>
    <w:rsid w:val="003247D2"/>
    <w:rsid w:val="00340ED4"/>
    <w:rsid w:val="003445C1"/>
    <w:rsid w:val="00355B61"/>
    <w:rsid w:val="00362686"/>
    <w:rsid w:val="003679E0"/>
    <w:rsid w:val="00371510"/>
    <w:rsid w:val="00396DFD"/>
    <w:rsid w:val="003A3512"/>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42F1B"/>
    <w:rsid w:val="00451314"/>
    <w:rsid w:val="00452E9D"/>
    <w:rsid w:val="004534C7"/>
    <w:rsid w:val="004572E9"/>
    <w:rsid w:val="004671AA"/>
    <w:rsid w:val="00467773"/>
    <w:rsid w:val="00480FB1"/>
    <w:rsid w:val="0048288D"/>
    <w:rsid w:val="00483928"/>
    <w:rsid w:val="004932E5"/>
    <w:rsid w:val="004C2880"/>
    <w:rsid w:val="004C331F"/>
    <w:rsid w:val="004D6103"/>
    <w:rsid w:val="004E3BCE"/>
    <w:rsid w:val="004E70AD"/>
    <w:rsid w:val="004F0E97"/>
    <w:rsid w:val="004F3455"/>
    <w:rsid w:val="00501DD1"/>
    <w:rsid w:val="00515C21"/>
    <w:rsid w:val="00530BD7"/>
    <w:rsid w:val="00530C07"/>
    <w:rsid w:val="00545CD2"/>
    <w:rsid w:val="005476F3"/>
    <w:rsid w:val="00566A4D"/>
    <w:rsid w:val="00572527"/>
    <w:rsid w:val="00573E40"/>
    <w:rsid w:val="00576348"/>
    <w:rsid w:val="00587D86"/>
    <w:rsid w:val="005A0B2E"/>
    <w:rsid w:val="005A23D2"/>
    <w:rsid w:val="005A36CB"/>
    <w:rsid w:val="005B49B8"/>
    <w:rsid w:val="005C0741"/>
    <w:rsid w:val="005C5EF4"/>
    <w:rsid w:val="005D0941"/>
    <w:rsid w:val="005E2E0B"/>
    <w:rsid w:val="005E6C3C"/>
    <w:rsid w:val="005E7A7D"/>
    <w:rsid w:val="00602457"/>
    <w:rsid w:val="00612331"/>
    <w:rsid w:val="00644FC3"/>
    <w:rsid w:val="00646BD1"/>
    <w:rsid w:val="006561C2"/>
    <w:rsid w:val="006573D8"/>
    <w:rsid w:val="00671CB3"/>
    <w:rsid w:val="0067258C"/>
    <w:rsid w:val="00674BAF"/>
    <w:rsid w:val="00675D47"/>
    <w:rsid w:val="00682200"/>
    <w:rsid w:val="00692BF6"/>
    <w:rsid w:val="006A1497"/>
    <w:rsid w:val="006A5D78"/>
    <w:rsid w:val="006B0BD1"/>
    <w:rsid w:val="006B5404"/>
    <w:rsid w:val="006D20A5"/>
    <w:rsid w:val="006D37BF"/>
    <w:rsid w:val="006E29AC"/>
    <w:rsid w:val="00702466"/>
    <w:rsid w:val="00702E22"/>
    <w:rsid w:val="0072020E"/>
    <w:rsid w:val="00736FC5"/>
    <w:rsid w:val="00786071"/>
    <w:rsid w:val="007A3ECB"/>
    <w:rsid w:val="007B666C"/>
    <w:rsid w:val="007D7BB3"/>
    <w:rsid w:val="00822154"/>
    <w:rsid w:val="00824AB9"/>
    <w:rsid w:val="00836B35"/>
    <w:rsid w:val="00843BDE"/>
    <w:rsid w:val="0087588C"/>
    <w:rsid w:val="00892CC0"/>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75D9"/>
    <w:rsid w:val="009835B9"/>
    <w:rsid w:val="00997175"/>
    <w:rsid w:val="009A1847"/>
    <w:rsid w:val="009B062A"/>
    <w:rsid w:val="009C5B7E"/>
    <w:rsid w:val="009E7C6F"/>
    <w:rsid w:val="009F1793"/>
    <w:rsid w:val="009F2D23"/>
    <w:rsid w:val="00A01D69"/>
    <w:rsid w:val="00A02335"/>
    <w:rsid w:val="00A14167"/>
    <w:rsid w:val="00A2544C"/>
    <w:rsid w:val="00A36D38"/>
    <w:rsid w:val="00A46C9A"/>
    <w:rsid w:val="00A619F3"/>
    <w:rsid w:val="00A62A73"/>
    <w:rsid w:val="00A87F3F"/>
    <w:rsid w:val="00A87FF6"/>
    <w:rsid w:val="00A94878"/>
    <w:rsid w:val="00AA0A3B"/>
    <w:rsid w:val="00AA2763"/>
    <w:rsid w:val="00AA33B6"/>
    <w:rsid w:val="00AB437C"/>
    <w:rsid w:val="00AB50CA"/>
    <w:rsid w:val="00AB6D64"/>
    <w:rsid w:val="00AC53CE"/>
    <w:rsid w:val="00AD20E4"/>
    <w:rsid w:val="00AD2193"/>
    <w:rsid w:val="00AF2AC7"/>
    <w:rsid w:val="00AF74CE"/>
    <w:rsid w:val="00B15DB7"/>
    <w:rsid w:val="00B208DB"/>
    <w:rsid w:val="00B23F69"/>
    <w:rsid w:val="00B41F02"/>
    <w:rsid w:val="00B60619"/>
    <w:rsid w:val="00B66A70"/>
    <w:rsid w:val="00B67366"/>
    <w:rsid w:val="00B80EE1"/>
    <w:rsid w:val="00B84135"/>
    <w:rsid w:val="00BA377B"/>
    <w:rsid w:val="00BB603B"/>
    <w:rsid w:val="00BD0F38"/>
    <w:rsid w:val="00BE7766"/>
    <w:rsid w:val="00C04D34"/>
    <w:rsid w:val="00C05DF8"/>
    <w:rsid w:val="00C06864"/>
    <w:rsid w:val="00C10F54"/>
    <w:rsid w:val="00C23D8D"/>
    <w:rsid w:val="00C37AA3"/>
    <w:rsid w:val="00C37FD7"/>
    <w:rsid w:val="00C43419"/>
    <w:rsid w:val="00C44CF3"/>
    <w:rsid w:val="00C554A1"/>
    <w:rsid w:val="00C61BE0"/>
    <w:rsid w:val="00C6707E"/>
    <w:rsid w:val="00C70B0E"/>
    <w:rsid w:val="00C773CA"/>
    <w:rsid w:val="00C83785"/>
    <w:rsid w:val="00C83AED"/>
    <w:rsid w:val="00C906A9"/>
    <w:rsid w:val="00C94C0D"/>
    <w:rsid w:val="00C95396"/>
    <w:rsid w:val="00CA1FEB"/>
    <w:rsid w:val="00CB7614"/>
    <w:rsid w:val="00CD2E9E"/>
    <w:rsid w:val="00CD4F85"/>
    <w:rsid w:val="00CD6F02"/>
    <w:rsid w:val="00CE246D"/>
    <w:rsid w:val="00CF07A0"/>
    <w:rsid w:val="00CF3E03"/>
    <w:rsid w:val="00CF6F2C"/>
    <w:rsid w:val="00CF75C0"/>
    <w:rsid w:val="00D0082A"/>
    <w:rsid w:val="00D21455"/>
    <w:rsid w:val="00D357A7"/>
    <w:rsid w:val="00D40E42"/>
    <w:rsid w:val="00D47634"/>
    <w:rsid w:val="00D709B3"/>
    <w:rsid w:val="00DA2ED6"/>
    <w:rsid w:val="00DB3F7F"/>
    <w:rsid w:val="00DB76B8"/>
    <w:rsid w:val="00DC2EA1"/>
    <w:rsid w:val="00DD6AAF"/>
    <w:rsid w:val="00DE1B0F"/>
    <w:rsid w:val="00DE3F5C"/>
    <w:rsid w:val="00DE5D50"/>
    <w:rsid w:val="00DE668A"/>
    <w:rsid w:val="00DF1D20"/>
    <w:rsid w:val="00E21324"/>
    <w:rsid w:val="00E246B9"/>
    <w:rsid w:val="00E31FEA"/>
    <w:rsid w:val="00E45169"/>
    <w:rsid w:val="00E452CD"/>
    <w:rsid w:val="00E47787"/>
    <w:rsid w:val="00E51C30"/>
    <w:rsid w:val="00E618FB"/>
    <w:rsid w:val="00E63538"/>
    <w:rsid w:val="00E64180"/>
    <w:rsid w:val="00E74AEE"/>
    <w:rsid w:val="00E868E5"/>
    <w:rsid w:val="00E9237A"/>
    <w:rsid w:val="00E939FA"/>
    <w:rsid w:val="00E9593E"/>
    <w:rsid w:val="00EA5765"/>
    <w:rsid w:val="00EA6FE9"/>
    <w:rsid w:val="00EB4EA0"/>
    <w:rsid w:val="00EC2532"/>
    <w:rsid w:val="00EC40A2"/>
    <w:rsid w:val="00ED7812"/>
    <w:rsid w:val="00EF3B6B"/>
    <w:rsid w:val="00EF3B86"/>
    <w:rsid w:val="00F02BE3"/>
    <w:rsid w:val="00F317E9"/>
    <w:rsid w:val="00F34554"/>
    <w:rsid w:val="00F45F77"/>
    <w:rsid w:val="00F4674D"/>
    <w:rsid w:val="00F5167F"/>
    <w:rsid w:val="00F52258"/>
    <w:rsid w:val="00F82160"/>
    <w:rsid w:val="00F8570A"/>
    <w:rsid w:val="00F91C7B"/>
    <w:rsid w:val="00FF031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4D4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rsid w:val="000F73FE"/>
    <w:rPr>
      <w:sz w:val="24"/>
      <w:szCs w:val="24"/>
      <w:lang w:val="en-US" w:eastAsia="en-US"/>
    </w:rPr>
  </w:style>
  <w:style w:type="paragraph" w:styleId="NormalIndent">
    <w:name w:val="Normal Indent"/>
    <w:basedOn w:val="Normal"/>
    <w:link w:val="NormalIndentChar"/>
    <w:rsid w:val="000F73FE"/>
    <w:pPr>
      <w:spacing w:after="120"/>
      <w:ind w:left="720"/>
    </w:pPr>
    <w:rPr>
      <w:sz w:val="22"/>
      <w:szCs w:val="20"/>
      <w:lang w:val="en-GB" w:eastAsia="en-GB"/>
    </w:rPr>
  </w:style>
  <w:style w:type="character" w:customStyle="1" w:styleId="NormalIndentChar">
    <w:name w:val="Normal Indent Char"/>
    <w:link w:val="NormalIndent"/>
    <w:rsid w:val="000F73FE"/>
    <w:rPr>
      <w:sz w:val="22"/>
      <w:lang w:val="en-GB" w:eastAsia="en-GB"/>
    </w:rPr>
  </w:style>
  <w:style w:type="paragraph" w:styleId="ListParagraph">
    <w:name w:val="List Paragraph"/>
    <w:basedOn w:val="Normal"/>
    <w:uiPriority w:val="34"/>
    <w:qFormat/>
    <w:rsid w:val="000F73FE"/>
    <w:pPr>
      <w:tabs>
        <w:tab w:val="left" w:pos="284"/>
      </w:tabs>
      <w:ind w:left="720"/>
      <w:contextualSpacing/>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9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A814-1FF4-42F6-AD7D-C0DC13ED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28426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2</cp:revision>
  <dcterms:created xsi:type="dcterms:W3CDTF">2024-10-23T13:02:00Z</dcterms:created>
  <dcterms:modified xsi:type="dcterms:W3CDTF">2024-10-23T13:02:00Z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