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1608A" w14:textId="77777777" w:rsidR="001A5518" w:rsidRPr="00070F42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797D061" w14:textId="77777777" w:rsidR="002510A5" w:rsidRPr="00070F42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70F4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621ED3D" w14:textId="77777777" w:rsidR="002510A5" w:rsidRPr="00070F42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E96E206" w14:textId="77777777" w:rsidR="003C17AB" w:rsidRPr="00070F42" w:rsidRDefault="003C17AB" w:rsidP="00CA1FEB">
      <w:pPr>
        <w:rPr>
          <w:sz w:val="22"/>
          <w:szCs w:val="22"/>
          <w:lang w:val="sr-Latn-ME"/>
        </w:rPr>
      </w:pPr>
    </w:p>
    <w:p w14:paraId="35BC4BD2" w14:textId="77777777" w:rsidR="00411B4B" w:rsidRPr="00070F4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>1.</w:t>
      </w:r>
      <w:r w:rsidR="00F5167F" w:rsidRPr="00070F42">
        <w:rPr>
          <w:b/>
          <w:bCs/>
          <w:sz w:val="22"/>
          <w:szCs w:val="22"/>
          <w:lang w:val="sr-Latn-ME"/>
        </w:rPr>
        <w:tab/>
      </w:r>
      <w:r w:rsidR="002846DB" w:rsidRPr="00070F42">
        <w:rPr>
          <w:b/>
          <w:bCs/>
          <w:sz w:val="22"/>
          <w:szCs w:val="22"/>
          <w:lang w:val="sr-Latn-ME"/>
        </w:rPr>
        <w:t xml:space="preserve">NAZIV </w:t>
      </w:r>
      <w:r w:rsidRPr="00070F42">
        <w:rPr>
          <w:b/>
          <w:bCs/>
          <w:sz w:val="22"/>
          <w:szCs w:val="22"/>
          <w:lang w:val="sr-Latn-ME"/>
        </w:rPr>
        <w:t>LIJEKA</w:t>
      </w:r>
    </w:p>
    <w:p w14:paraId="13B57927" w14:textId="77777777" w:rsidR="00EC2532" w:rsidRPr="00070F42" w:rsidRDefault="00EC2532">
      <w:pPr>
        <w:rPr>
          <w:sz w:val="22"/>
          <w:szCs w:val="22"/>
          <w:lang w:val="sr-Latn-ME"/>
        </w:rPr>
      </w:pPr>
    </w:p>
    <w:p w14:paraId="1DE7DD36" w14:textId="08AC860E" w:rsidR="003951A3" w:rsidRPr="00070F42" w:rsidRDefault="003951A3" w:rsidP="003951A3">
      <w:pPr>
        <w:rPr>
          <w:noProof/>
          <w:color w:val="808080"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Nexavar, 200 mg, film tablet</w:t>
      </w:r>
      <w:r w:rsidR="00D52AA5" w:rsidRPr="00070F42">
        <w:rPr>
          <w:noProof/>
          <w:sz w:val="22"/>
          <w:szCs w:val="22"/>
          <w:lang w:val="sr-Latn-ME"/>
        </w:rPr>
        <w:t>a</w:t>
      </w:r>
    </w:p>
    <w:p w14:paraId="631E1464" w14:textId="77777777" w:rsidR="003951A3" w:rsidRPr="00070F42" w:rsidRDefault="003951A3" w:rsidP="003951A3">
      <w:pPr>
        <w:rPr>
          <w:bCs/>
          <w:noProof/>
          <w:sz w:val="22"/>
          <w:szCs w:val="22"/>
          <w:lang w:val="sr-Latn-ME"/>
        </w:rPr>
      </w:pPr>
    </w:p>
    <w:p w14:paraId="14012DE0" w14:textId="77777777" w:rsidR="003951A3" w:rsidRPr="00070F42" w:rsidRDefault="003951A3" w:rsidP="003951A3">
      <w:pPr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INN: sorafenib</w:t>
      </w:r>
    </w:p>
    <w:p w14:paraId="4886DB8F" w14:textId="77777777" w:rsidR="006D20A5" w:rsidRPr="00070F42" w:rsidRDefault="006D20A5">
      <w:pPr>
        <w:rPr>
          <w:bCs/>
          <w:sz w:val="22"/>
          <w:szCs w:val="22"/>
          <w:lang w:val="sr-Latn-ME"/>
        </w:rPr>
      </w:pPr>
    </w:p>
    <w:p w14:paraId="78A1EA7E" w14:textId="77777777" w:rsidR="00530BD7" w:rsidRPr="00070F42" w:rsidRDefault="00530BD7">
      <w:pPr>
        <w:rPr>
          <w:bCs/>
          <w:sz w:val="22"/>
          <w:szCs w:val="22"/>
          <w:lang w:val="sr-Latn-ME"/>
        </w:rPr>
      </w:pPr>
    </w:p>
    <w:p w14:paraId="76ADD30A" w14:textId="77777777" w:rsidR="00411B4B" w:rsidRPr="00070F4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2. </w:t>
      </w:r>
      <w:r w:rsidR="00F5167F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KVALITATIVNI I KVANTITATIVNI SASTAV</w:t>
      </w:r>
    </w:p>
    <w:p w14:paraId="0CD932E7" w14:textId="77777777" w:rsidR="003951A3" w:rsidRPr="00070F42" w:rsidRDefault="003951A3" w:rsidP="003951A3">
      <w:pPr>
        <w:rPr>
          <w:noProof/>
          <w:sz w:val="22"/>
          <w:szCs w:val="22"/>
          <w:lang w:val="sr-Latn-ME"/>
        </w:rPr>
      </w:pPr>
    </w:p>
    <w:p w14:paraId="038285D0" w14:textId="5D9F8F77" w:rsidR="003951A3" w:rsidRPr="00070F42" w:rsidRDefault="003951A3" w:rsidP="003951A3">
      <w:pPr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Svaka film tableta sadrži 200 mg sorafeniba (u obliku sorafenib</w:t>
      </w:r>
      <w:r w:rsidR="00D52AA5" w:rsidRPr="00070F42">
        <w:rPr>
          <w:noProof/>
          <w:sz w:val="22"/>
          <w:szCs w:val="22"/>
          <w:lang w:val="sr-Latn-ME"/>
        </w:rPr>
        <w:t xml:space="preserve"> </w:t>
      </w:r>
      <w:r w:rsidRPr="00070F42">
        <w:rPr>
          <w:noProof/>
          <w:sz w:val="22"/>
          <w:szCs w:val="22"/>
          <w:lang w:val="sr-Latn-ME"/>
        </w:rPr>
        <w:t>tosilata).</w:t>
      </w:r>
    </w:p>
    <w:p w14:paraId="05861CCC" w14:textId="77777777" w:rsidR="005A0B2E" w:rsidRPr="00070F42" w:rsidRDefault="005A0B2E">
      <w:pPr>
        <w:rPr>
          <w:sz w:val="22"/>
          <w:szCs w:val="22"/>
          <w:lang w:val="sr-Latn-ME"/>
        </w:rPr>
      </w:pPr>
    </w:p>
    <w:p w14:paraId="050B82D3" w14:textId="77777777" w:rsidR="0003793F" w:rsidRPr="00070F42" w:rsidRDefault="0003793F">
      <w:pPr>
        <w:rPr>
          <w:sz w:val="22"/>
          <w:szCs w:val="22"/>
          <w:lang w:val="sr-Latn-ME"/>
        </w:rPr>
      </w:pPr>
      <w:r w:rsidRPr="00070F42">
        <w:rPr>
          <w:sz w:val="22"/>
          <w:szCs w:val="22"/>
          <w:lang w:val="sr-Latn-ME"/>
        </w:rPr>
        <w:t>Za spisak svih ekscipijenasa, pogledati dio 6.1.</w:t>
      </w:r>
    </w:p>
    <w:p w14:paraId="25A67B6C" w14:textId="77777777" w:rsidR="0003793F" w:rsidRPr="00070F42" w:rsidRDefault="0003793F">
      <w:pPr>
        <w:rPr>
          <w:sz w:val="22"/>
          <w:szCs w:val="22"/>
          <w:lang w:val="sr-Latn-ME"/>
        </w:rPr>
      </w:pPr>
    </w:p>
    <w:p w14:paraId="7ED99C7F" w14:textId="77777777" w:rsidR="00C37FD7" w:rsidRPr="00070F42" w:rsidRDefault="00C37FD7">
      <w:pPr>
        <w:rPr>
          <w:sz w:val="22"/>
          <w:szCs w:val="22"/>
          <w:lang w:val="sr-Latn-ME"/>
        </w:rPr>
      </w:pPr>
    </w:p>
    <w:p w14:paraId="7D55B22A" w14:textId="77777777" w:rsidR="00411B4B" w:rsidRPr="00070F4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3. </w:t>
      </w:r>
      <w:r w:rsidR="00F5167F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FARMACEUTSKI OBLIK</w:t>
      </w:r>
      <w:r w:rsidR="009F2D23" w:rsidRPr="00070F42">
        <w:rPr>
          <w:b/>
          <w:bCs/>
          <w:sz w:val="22"/>
          <w:szCs w:val="22"/>
          <w:lang w:val="sr-Latn-ME"/>
        </w:rPr>
        <w:t xml:space="preserve"> </w:t>
      </w:r>
    </w:p>
    <w:p w14:paraId="457AC5A8" w14:textId="77777777" w:rsidR="003951A3" w:rsidRPr="00070F42" w:rsidRDefault="003951A3" w:rsidP="003951A3">
      <w:pPr>
        <w:rPr>
          <w:bCs/>
          <w:noProof/>
          <w:sz w:val="22"/>
          <w:szCs w:val="22"/>
          <w:lang w:val="sr-Latn-ME"/>
        </w:rPr>
      </w:pPr>
    </w:p>
    <w:p w14:paraId="11FD8ECF" w14:textId="7A742EC0" w:rsidR="003951A3" w:rsidRPr="00070F42" w:rsidRDefault="003951A3" w:rsidP="003951A3">
      <w:pPr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Film tablete.</w:t>
      </w:r>
    </w:p>
    <w:p w14:paraId="475C4755" w14:textId="77777777" w:rsidR="003951A3" w:rsidRPr="00070F42" w:rsidRDefault="003951A3" w:rsidP="003951A3">
      <w:pPr>
        <w:rPr>
          <w:bCs/>
          <w:noProof/>
          <w:sz w:val="22"/>
          <w:szCs w:val="22"/>
          <w:lang w:val="sr-Latn-ME"/>
        </w:rPr>
      </w:pPr>
    </w:p>
    <w:p w14:paraId="3A296132" w14:textId="7E8DE5C5" w:rsidR="003951A3" w:rsidRPr="00070F42" w:rsidRDefault="003951A3" w:rsidP="003951A3">
      <w:pPr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Crvene, okrugle, </w:t>
      </w:r>
      <w:proofErr w:type="spellStart"/>
      <w:r w:rsidR="00AB1D71">
        <w:t>fasetirane</w:t>
      </w:r>
      <w:proofErr w:type="spellEnd"/>
      <w:r w:rsidR="00AB1D71">
        <w:rPr>
          <w:spacing w:val="-7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bikonveksne film tablete</w:t>
      </w:r>
      <w:r w:rsidR="00CD15F0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na kojima su sa jedne strane oznake Bayer, a sa druge broj “200”.</w:t>
      </w:r>
    </w:p>
    <w:p w14:paraId="5BA0E32D" w14:textId="77777777" w:rsidR="00411B4B" w:rsidRPr="00070F42" w:rsidRDefault="00411B4B">
      <w:pPr>
        <w:rPr>
          <w:bCs/>
          <w:sz w:val="22"/>
          <w:szCs w:val="22"/>
          <w:lang w:val="sr-Latn-ME"/>
        </w:rPr>
      </w:pPr>
    </w:p>
    <w:p w14:paraId="4638212B" w14:textId="77777777" w:rsidR="00EC2532" w:rsidRPr="00070F42" w:rsidRDefault="00EC2532">
      <w:pPr>
        <w:rPr>
          <w:bCs/>
          <w:sz w:val="22"/>
          <w:szCs w:val="22"/>
          <w:lang w:val="sr-Latn-ME"/>
        </w:rPr>
      </w:pPr>
    </w:p>
    <w:p w14:paraId="725D5712" w14:textId="77777777" w:rsidR="00411B4B" w:rsidRPr="00070F4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KLINIČKI PODACI</w:t>
      </w:r>
    </w:p>
    <w:p w14:paraId="01E22F53" w14:textId="77777777" w:rsidR="00CD6F02" w:rsidRPr="00070F42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3E3846" w14:textId="77777777" w:rsidR="00411B4B" w:rsidRPr="00070F4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4.1.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Terapijske indikacije</w:t>
      </w:r>
    </w:p>
    <w:p w14:paraId="630CFF99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04B6828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Hepatocelularni karcinom</w:t>
      </w:r>
    </w:p>
    <w:p w14:paraId="68BB194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CC50876" w14:textId="204556FD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Nexavar je indikovan za liječenje hepatocelularn</w:t>
      </w:r>
      <w:r w:rsidR="00CD15F0" w:rsidRPr="00070F42">
        <w:rPr>
          <w:bCs/>
          <w:noProof/>
          <w:sz w:val="22"/>
          <w:szCs w:val="22"/>
          <w:lang w:val="sr-Latn-ME"/>
        </w:rPr>
        <w:t>og</w:t>
      </w:r>
      <w:r w:rsidRPr="00070F42">
        <w:rPr>
          <w:bCs/>
          <w:noProof/>
          <w:sz w:val="22"/>
          <w:szCs w:val="22"/>
          <w:lang w:val="sr-Latn-ME"/>
        </w:rPr>
        <w:t xml:space="preserve"> karcinom</w:t>
      </w:r>
      <w:r w:rsidR="00CD15F0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(vidjeti dio 5.1).</w:t>
      </w:r>
    </w:p>
    <w:p w14:paraId="5DE2910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7E189D6" w14:textId="1F26FCB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Karcinom bubre</w:t>
      </w:r>
      <w:r w:rsidR="00CE5256" w:rsidRPr="00070F42">
        <w:rPr>
          <w:bCs/>
          <w:noProof/>
          <w:sz w:val="22"/>
          <w:szCs w:val="22"/>
          <w:u w:val="single"/>
          <w:lang w:val="sr-Latn-ME"/>
        </w:rPr>
        <w:t>žnih ćelija</w:t>
      </w:r>
    </w:p>
    <w:p w14:paraId="0271B29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EDDB24F" w14:textId="4D4FB3E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Nexavar je indikovan za liječenje </w:t>
      </w:r>
      <w:r w:rsidR="00CB4940" w:rsidRPr="00070F42">
        <w:rPr>
          <w:bCs/>
          <w:noProof/>
          <w:sz w:val="22"/>
          <w:szCs w:val="22"/>
          <w:lang w:val="sr-Latn-ME"/>
        </w:rPr>
        <w:t xml:space="preserve">pacijenata </w:t>
      </w:r>
      <w:r w:rsidRPr="00070F42">
        <w:rPr>
          <w:bCs/>
          <w:noProof/>
          <w:sz w:val="22"/>
          <w:szCs w:val="22"/>
          <w:lang w:val="sr-Latn-ME"/>
        </w:rPr>
        <w:t>sa uznapredovalim karcinomom bubre</w:t>
      </w:r>
      <w:r w:rsidR="00CE5256" w:rsidRPr="00070F42">
        <w:rPr>
          <w:bCs/>
          <w:noProof/>
          <w:sz w:val="22"/>
          <w:szCs w:val="22"/>
          <w:lang w:val="sr-Latn-ME"/>
        </w:rPr>
        <w:t>žnih ćelija</w:t>
      </w:r>
      <w:r w:rsidRPr="00070F42">
        <w:rPr>
          <w:bCs/>
          <w:noProof/>
          <w:sz w:val="22"/>
          <w:szCs w:val="22"/>
          <w:lang w:val="sr-Latn-ME"/>
        </w:rPr>
        <w:t xml:space="preserve">, </w:t>
      </w:r>
      <w:r w:rsidR="00CD15F0" w:rsidRPr="00070F42">
        <w:rPr>
          <w:bCs/>
          <w:noProof/>
          <w:sz w:val="22"/>
          <w:szCs w:val="22"/>
          <w:lang w:val="sr-Latn-ME"/>
        </w:rPr>
        <w:t xml:space="preserve">kod </w:t>
      </w:r>
      <w:r w:rsidRPr="00070F42">
        <w:rPr>
          <w:bCs/>
          <w:noProof/>
          <w:sz w:val="22"/>
          <w:szCs w:val="22"/>
          <w:lang w:val="sr-Latn-ME"/>
        </w:rPr>
        <w:t>koji</w:t>
      </w:r>
      <w:r w:rsidR="00CD15F0" w:rsidRPr="00070F42">
        <w:rPr>
          <w:bCs/>
          <w:noProof/>
          <w:sz w:val="22"/>
          <w:szCs w:val="22"/>
          <w:lang w:val="sr-Latn-ME"/>
        </w:rPr>
        <w:t>h</w:t>
      </w:r>
      <w:r w:rsidRPr="00070F42">
        <w:rPr>
          <w:bCs/>
          <w:noProof/>
          <w:sz w:val="22"/>
          <w:szCs w:val="22"/>
          <w:lang w:val="sr-Latn-ME"/>
        </w:rPr>
        <w:t xml:space="preserve"> prethodn</w:t>
      </w:r>
      <w:r w:rsidR="00CD15F0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terapij</w:t>
      </w:r>
      <w:r w:rsidR="00CD15F0" w:rsidRPr="00070F42">
        <w:rPr>
          <w:bCs/>
          <w:noProof/>
          <w:sz w:val="22"/>
          <w:szCs w:val="22"/>
          <w:lang w:val="sr-Latn-ME"/>
        </w:rPr>
        <w:t>a, zasnovana na prim</w:t>
      </w:r>
      <w:r w:rsidR="00AD7D89" w:rsidRPr="00070F42">
        <w:rPr>
          <w:bCs/>
          <w:noProof/>
          <w:sz w:val="22"/>
          <w:szCs w:val="22"/>
          <w:lang w:val="sr-Latn-ME"/>
        </w:rPr>
        <w:t>j</w:t>
      </w:r>
      <w:r w:rsidR="00CD15F0" w:rsidRPr="00070F42">
        <w:rPr>
          <w:bCs/>
          <w:noProof/>
          <w:sz w:val="22"/>
          <w:szCs w:val="22"/>
          <w:lang w:val="sr-Latn-ME"/>
        </w:rPr>
        <w:t>eni</w:t>
      </w:r>
      <w:r w:rsidRPr="00070F42">
        <w:rPr>
          <w:bCs/>
          <w:noProof/>
          <w:sz w:val="22"/>
          <w:szCs w:val="22"/>
          <w:lang w:val="sr-Latn-ME"/>
        </w:rPr>
        <w:t xml:space="preserve"> interferon</w:t>
      </w:r>
      <w:r w:rsidR="00CD15F0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>-alfa ili interleukin</w:t>
      </w:r>
      <w:r w:rsidR="00CD15F0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-2, </w:t>
      </w:r>
      <w:r w:rsidR="00CD15F0" w:rsidRPr="00070F42">
        <w:rPr>
          <w:bCs/>
          <w:noProof/>
          <w:sz w:val="22"/>
          <w:szCs w:val="22"/>
          <w:lang w:val="sr-Latn-ME"/>
        </w:rPr>
        <w:t>nije bila usp</w:t>
      </w:r>
      <w:r w:rsidR="00AD7D89" w:rsidRPr="00070F42">
        <w:rPr>
          <w:bCs/>
          <w:noProof/>
          <w:sz w:val="22"/>
          <w:szCs w:val="22"/>
          <w:lang w:val="sr-Latn-ME"/>
        </w:rPr>
        <w:t>j</w:t>
      </w:r>
      <w:r w:rsidR="00CD15F0" w:rsidRPr="00070F42">
        <w:rPr>
          <w:bCs/>
          <w:noProof/>
          <w:sz w:val="22"/>
          <w:szCs w:val="22"/>
          <w:lang w:val="sr-Latn-ME"/>
        </w:rPr>
        <w:t xml:space="preserve">ešna, </w:t>
      </w:r>
      <w:r w:rsidRPr="00070F42">
        <w:rPr>
          <w:bCs/>
          <w:noProof/>
          <w:sz w:val="22"/>
          <w:szCs w:val="22"/>
          <w:lang w:val="sr-Latn-ME"/>
        </w:rPr>
        <w:t xml:space="preserve">ili </w:t>
      </w:r>
      <w:r w:rsidR="00CD15F0" w:rsidRPr="00070F42">
        <w:rPr>
          <w:bCs/>
          <w:noProof/>
          <w:sz w:val="22"/>
          <w:szCs w:val="22"/>
          <w:lang w:val="sr-Latn-ME"/>
        </w:rPr>
        <w:t>kod kojih</w:t>
      </w:r>
      <w:r w:rsidRPr="00070F42">
        <w:rPr>
          <w:bCs/>
          <w:noProof/>
          <w:sz w:val="22"/>
          <w:szCs w:val="22"/>
          <w:lang w:val="sr-Latn-ME"/>
        </w:rPr>
        <w:t xml:space="preserve"> ova terapija nije bila adekvatna.</w:t>
      </w:r>
    </w:p>
    <w:p w14:paraId="7A0E5DE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435A2F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Diferencirani karcinom tireoidne žlijezde</w:t>
      </w:r>
    </w:p>
    <w:p w14:paraId="68BA9AC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9CFA598" w14:textId="63707D6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Nexavar je indikovan za liječenje pacijenta sa progresivnim, lokalno uznapredovalim ili </w:t>
      </w:r>
      <w:r w:rsidR="00293AE2" w:rsidRPr="00070F42">
        <w:rPr>
          <w:bCs/>
          <w:noProof/>
          <w:sz w:val="22"/>
          <w:szCs w:val="22"/>
          <w:lang w:val="sr-Latn-ME"/>
        </w:rPr>
        <w:t>metastatskim</w:t>
      </w:r>
      <w:r w:rsidRPr="00070F42">
        <w:rPr>
          <w:bCs/>
          <w:noProof/>
          <w:sz w:val="22"/>
          <w:szCs w:val="22"/>
          <w:lang w:val="sr-Latn-ME"/>
        </w:rPr>
        <w:t>, diferenciranim (papilarne/folikularne/Hurth</w:t>
      </w:r>
      <w:r w:rsidR="00293AE2" w:rsidRPr="00070F42">
        <w:rPr>
          <w:bCs/>
          <w:noProof/>
          <w:sz w:val="22"/>
          <w:szCs w:val="22"/>
          <w:lang w:val="sr-Latn-ME"/>
        </w:rPr>
        <w:t>l</w:t>
      </w:r>
      <w:r w:rsidRPr="00070F42">
        <w:rPr>
          <w:bCs/>
          <w:noProof/>
          <w:sz w:val="22"/>
          <w:szCs w:val="22"/>
          <w:lang w:val="sr-Latn-ME"/>
        </w:rPr>
        <w:t>e-ijev</w:t>
      </w:r>
      <w:r w:rsidR="00CD15F0" w:rsidRPr="00070F42">
        <w:rPr>
          <w:bCs/>
          <w:noProof/>
          <w:sz w:val="22"/>
          <w:szCs w:val="22"/>
          <w:lang w:val="sr-Latn-ME"/>
        </w:rPr>
        <w:t>ih</w:t>
      </w:r>
      <w:r w:rsidRPr="00070F42">
        <w:rPr>
          <w:bCs/>
          <w:noProof/>
          <w:sz w:val="22"/>
          <w:szCs w:val="22"/>
          <w:lang w:val="sr-Latn-ME"/>
        </w:rPr>
        <w:t xml:space="preserve"> ćelij</w:t>
      </w:r>
      <w:r w:rsidR="00CD15F0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) karcinomom tireoidne žlijezde, koji </w:t>
      </w:r>
      <w:r w:rsidR="00293AE2" w:rsidRPr="00070F42">
        <w:rPr>
          <w:sz w:val="22"/>
          <w:szCs w:val="22"/>
          <w:lang w:val="sr-Latn-ME"/>
        </w:rPr>
        <w:t>je refraktoran</w:t>
      </w:r>
      <w:r w:rsidRPr="00070F42">
        <w:rPr>
          <w:bCs/>
          <w:noProof/>
          <w:sz w:val="22"/>
          <w:szCs w:val="22"/>
          <w:lang w:val="sr-Latn-ME"/>
        </w:rPr>
        <w:t xml:space="preserve"> na terapiju radioaktivnim jodom.</w:t>
      </w:r>
    </w:p>
    <w:p w14:paraId="3701CD51" w14:textId="77777777" w:rsidR="00411B4B" w:rsidRPr="00070F42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2E7EE1" w14:textId="77777777" w:rsidR="00411B4B" w:rsidRPr="00070F4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4.2.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Doziranje i način primjene</w:t>
      </w:r>
    </w:p>
    <w:p w14:paraId="2C908317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3F01D436" w14:textId="3BF1A89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Liječenje lijekom Nexavar treba</w:t>
      </w:r>
      <w:r w:rsidR="00293AE2" w:rsidRPr="00070F42">
        <w:rPr>
          <w:bCs/>
          <w:noProof/>
          <w:sz w:val="22"/>
          <w:szCs w:val="22"/>
          <w:lang w:val="sr-Latn-ME"/>
        </w:rPr>
        <w:t xml:space="preserve"> sprovoditi</w:t>
      </w:r>
      <w:r w:rsidRPr="00070F42">
        <w:rPr>
          <w:bCs/>
          <w:noProof/>
          <w:sz w:val="22"/>
          <w:szCs w:val="22"/>
          <w:lang w:val="sr-Latn-ME"/>
        </w:rPr>
        <w:t xml:space="preserve"> pod nadzorom ljekara sa iskustvom u primjeni </w:t>
      </w:r>
      <w:r w:rsidR="00CD15F0" w:rsidRPr="00070F42">
        <w:rPr>
          <w:bCs/>
          <w:noProof/>
          <w:sz w:val="22"/>
          <w:szCs w:val="22"/>
          <w:lang w:val="sr-Latn-ME"/>
        </w:rPr>
        <w:t>antineoplastika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21C67181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FD2DB1" w14:textId="77777777" w:rsidR="00452E9D" w:rsidRPr="00070F42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70F42">
        <w:rPr>
          <w:bCs/>
          <w:sz w:val="22"/>
          <w:szCs w:val="22"/>
          <w:u w:val="single"/>
          <w:lang w:val="sr-Latn-ME"/>
        </w:rPr>
        <w:t>Doziranje</w:t>
      </w:r>
    </w:p>
    <w:p w14:paraId="787AB3D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6511938" w14:textId="1945AA1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Preporučena doza</w:t>
      </w:r>
      <w:r w:rsidR="00CD15F0" w:rsidRPr="00070F42">
        <w:rPr>
          <w:bCs/>
          <w:noProof/>
          <w:sz w:val="22"/>
          <w:szCs w:val="22"/>
          <w:lang w:val="sr-Latn-ME"/>
        </w:rPr>
        <w:t xml:space="preserve"> l</w:t>
      </w:r>
      <w:r w:rsidR="00681E12" w:rsidRPr="00070F42">
        <w:rPr>
          <w:bCs/>
          <w:noProof/>
          <w:sz w:val="22"/>
          <w:szCs w:val="22"/>
          <w:lang w:val="sr-Latn-ME"/>
        </w:rPr>
        <w:t>ij</w:t>
      </w:r>
      <w:r w:rsidR="00CD15F0" w:rsidRPr="00070F42">
        <w:rPr>
          <w:bCs/>
          <w:noProof/>
          <w:sz w:val="22"/>
          <w:szCs w:val="22"/>
          <w:lang w:val="sr-Latn-ME"/>
        </w:rPr>
        <w:t>eka</w:t>
      </w:r>
      <w:r w:rsidRPr="00070F42">
        <w:rPr>
          <w:bCs/>
          <w:noProof/>
          <w:sz w:val="22"/>
          <w:szCs w:val="22"/>
          <w:lang w:val="sr-Latn-ME"/>
        </w:rPr>
        <w:t xml:space="preserve"> Nexavar kod odraslih je 400 mg </w:t>
      </w:r>
      <w:r w:rsidR="00CD15F0" w:rsidRPr="00070F42">
        <w:rPr>
          <w:bCs/>
          <w:noProof/>
          <w:sz w:val="22"/>
          <w:szCs w:val="22"/>
          <w:lang w:val="sr-Latn-ME"/>
        </w:rPr>
        <w:t xml:space="preserve">sorafeniba </w:t>
      </w:r>
      <w:r w:rsidRPr="00070F42">
        <w:rPr>
          <w:bCs/>
          <w:noProof/>
          <w:sz w:val="22"/>
          <w:szCs w:val="22"/>
          <w:lang w:val="sr-Latn-ME"/>
        </w:rPr>
        <w:t>(dvije tablete od 200 mg) dva puta dnevno (</w:t>
      </w:r>
      <w:r w:rsidR="00293AE2" w:rsidRPr="00070F42">
        <w:rPr>
          <w:bCs/>
          <w:noProof/>
          <w:sz w:val="22"/>
          <w:szCs w:val="22"/>
          <w:lang w:val="sr-Latn-ME"/>
        </w:rPr>
        <w:t xml:space="preserve">što odgovara </w:t>
      </w:r>
      <w:r w:rsidRPr="00070F42">
        <w:rPr>
          <w:bCs/>
          <w:noProof/>
          <w:sz w:val="22"/>
          <w:szCs w:val="22"/>
          <w:lang w:val="sr-Latn-ME"/>
        </w:rPr>
        <w:t xml:space="preserve">ukupnoj dnevnoj dozi od 800 mg). </w:t>
      </w:r>
    </w:p>
    <w:p w14:paraId="4041272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E86CFCB" w14:textId="653A781E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lastRenderedPageBreak/>
        <w:t>Liječenje treba nastaviti sve dok se primjećuje klinička korist</w:t>
      </w:r>
      <w:r w:rsidR="00CD15F0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ili dok se ne razviju znaci neprihvatljive toksičnosti.</w:t>
      </w:r>
    </w:p>
    <w:p w14:paraId="34DE581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0E55C4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Prilagođavanje doziranja</w:t>
      </w:r>
    </w:p>
    <w:p w14:paraId="0A12741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0FCCE89" w14:textId="17491589" w:rsidR="003951A3" w:rsidRPr="00070F42" w:rsidRDefault="009D216A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Terapija 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suspektnih neželjenih dejstava lijeka može da zahtijeva privremeno prekidanje terapije ili smanjenje doze </w:t>
      </w:r>
      <w:r w:rsidRPr="00070F42">
        <w:rPr>
          <w:bCs/>
          <w:noProof/>
          <w:sz w:val="22"/>
          <w:szCs w:val="22"/>
          <w:lang w:val="sr-Latn-ME"/>
        </w:rPr>
        <w:t>sorafeniba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. </w:t>
      </w:r>
    </w:p>
    <w:p w14:paraId="7D8BFD0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E765279" w14:textId="69CBDB6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Kada je neophodno smanjenje doze tokom liječenja hepatocelularnog karcinoma (</w:t>
      </w:r>
      <w:r w:rsidR="00293AE2" w:rsidRPr="00070F42">
        <w:rPr>
          <w:sz w:val="22"/>
          <w:szCs w:val="22"/>
          <w:lang w:val="sr-Latn-ME"/>
        </w:rPr>
        <w:t xml:space="preserve">engl. </w:t>
      </w:r>
      <w:r w:rsidR="00293AE2" w:rsidRPr="00070F42">
        <w:rPr>
          <w:i/>
          <w:iCs/>
          <w:sz w:val="22"/>
          <w:szCs w:val="22"/>
          <w:lang w:val="sr-Latn-ME"/>
        </w:rPr>
        <w:t>hepatocellular carcinoma</w:t>
      </w:r>
      <w:r w:rsidR="00293AE2" w:rsidRPr="00070F42">
        <w:rPr>
          <w:sz w:val="22"/>
          <w:szCs w:val="22"/>
          <w:lang w:val="sr-Latn-ME"/>
        </w:rPr>
        <w:t>,</w:t>
      </w:r>
      <w:r w:rsidR="00293AE2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HCC) i uznapredovalog karcinoma bubre</w:t>
      </w:r>
      <w:r w:rsidR="00293AE2" w:rsidRPr="00070F42">
        <w:rPr>
          <w:bCs/>
          <w:noProof/>
          <w:sz w:val="22"/>
          <w:szCs w:val="22"/>
          <w:lang w:val="sr-Latn-ME"/>
        </w:rPr>
        <w:t>žnih ćelija</w:t>
      </w:r>
      <w:r w:rsidRPr="00070F42">
        <w:rPr>
          <w:bCs/>
          <w:noProof/>
          <w:sz w:val="22"/>
          <w:szCs w:val="22"/>
          <w:lang w:val="sr-Latn-ME"/>
        </w:rPr>
        <w:t xml:space="preserve"> (</w:t>
      </w:r>
      <w:r w:rsidR="00293AE2" w:rsidRPr="00070F42">
        <w:rPr>
          <w:bCs/>
          <w:noProof/>
          <w:sz w:val="22"/>
          <w:szCs w:val="22"/>
          <w:lang w:val="sr-Latn-ME"/>
        </w:rPr>
        <w:t xml:space="preserve">engl. </w:t>
      </w:r>
      <w:r w:rsidR="00293AE2" w:rsidRPr="00070F42">
        <w:rPr>
          <w:bCs/>
          <w:i/>
          <w:iCs/>
          <w:noProof/>
          <w:sz w:val="22"/>
          <w:szCs w:val="22"/>
          <w:lang w:val="sr-Latn-ME"/>
        </w:rPr>
        <w:t>renal cell carcinoma</w:t>
      </w:r>
      <w:r w:rsidR="00293AE2" w:rsidRPr="00070F42">
        <w:rPr>
          <w:bCs/>
          <w:noProof/>
          <w:sz w:val="22"/>
          <w:szCs w:val="22"/>
          <w:lang w:val="sr-Latn-ME"/>
        </w:rPr>
        <w:t xml:space="preserve">, </w:t>
      </w:r>
      <w:r w:rsidRPr="00070F42">
        <w:rPr>
          <w:bCs/>
          <w:noProof/>
          <w:sz w:val="22"/>
          <w:szCs w:val="22"/>
          <w:lang w:val="sr-Latn-ME"/>
        </w:rPr>
        <w:t>RCC), dozu lijeka Nexavar trebalo bi smanjiti na dvije tablete od 200 mg</w:t>
      </w:r>
      <w:r w:rsidR="00293AE2" w:rsidRPr="00070F42">
        <w:rPr>
          <w:bCs/>
          <w:noProof/>
          <w:sz w:val="22"/>
          <w:szCs w:val="22"/>
          <w:lang w:val="sr-Latn-ME"/>
        </w:rPr>
        <w:t xml:space="preserve"> sorafeniba</w:t>
      </w:r>
      <w:r w:rsidRPr="00070F42">
        <w:rPr>
          <w:bCs/>
          <w:noProof/>
          <w:sz w:val="22"/>
          <w:szCs w:val="22"/>
          <w:lang w:val="sr-Latn-ME"/>
        </w:rPr>
        <w:t xml:space="preserve"> jednom dnevno (vidjeti dio 4.4).</w:t>
      </w:r>
    </w:p>
    <w:p w14:paraId="1C46F76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1B9A502" w14:textId="4CAD8FFB" w:rsidR="00A82EF4" w:rsidRPr="00070F42" w:rsidRDefault="003951A3" w:rsidP="00A82EF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Kada je neophodno smanjiti dozu tokom terapije diferenciranog karcinoma tireoideje (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engl. </w:t>
      </w:r>
      <w:r w:rsidR="00A82EF4" w:rsidRPr="00070F42">
        <w:rPr>
          <w:bCs/>
          <w:i/>
          <w:iCs/>
          <w:noProof/>
          <w:sz w:val="22"/>
          <w:szCs w:val="22"/>
          <w:lang w:val="sr-Latn-ME"/>
        </w:rPr>
        <w:t>differentiated thyroid carcinoma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, </w:t>
      </w:r>
      <w:r w:rsidRPr="00070F42">
        <w:rPr>
          <w:bCs/>
          <w:noProof/>
          <w:sz w:val="22"/>
          <w:szCs w:val="22"/>
          <w:lang w:val="sr-Latn-ME"/>
        </w:rPr>
        <w:t>DTC), dozu lijeka Nexavar treba smanjiti na 600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mg sorafeniba dnevno, u podijeljenim dozama (dvije tablete od 200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mg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 i</w:t>
      </w:r>
      <w:r w:rsidRPr="00070F42">
        <w:rPr>
          <w:bCs/>
          <w:noProof/>
          <w:sz w:val="22"/>
          <w:szCs w:val="22"/>
          <w:lang w:val="sr-Latn-ME"/>
        </w:rPr>
        <w:t xml:space="preserve"> nakon dvanaest sati jedna tableta od 200 mg).</w:t>
      </w:r>
    </w:p>
    <w:p w14:paraId="02BA298A" w14:textId="1E206E5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Ukoliko je potrebno dodatno smanjiti dozu, doza lijeka Nexavar može biti smanjena na 400 mg sorafeniba dnevno u podijeljenim dozama (po jedna tableta od 200 mg na dvanaest sati), a za dodatno smanjenje može se uzeti jedna tableta od 200 mg jednom dnevno. Nakon poboljšanja neželjenih reakcija koje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hematološkog porekla, doza lijeka Nexavar se može povećati.</w:t>
      </w:r>
    </w:p>
    <w:p w14:paraId="3AD848B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66A1CB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Pedijatrijska populacija</w:t>
      </w:r>
    </w:p>
    <w:p w14:paraId="7FDCD54C" w14:textId="02DF4E9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Bezbjednost i efikasnost kod djece i adolescenata 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uzrasta do </w:t>
      </w:r>
      <w:r w:rsidRPr="00070F42">
        <w:rPr>
          <w:bCs/>
          <w:noProof/>
          <w:sz w:val="22"/>
          <w:szCs w:val="22"/>
          <w:lang w:val="sr-Latn-ME"/>
        </w:rPr>
        <w:t>18 godina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još ustanovljeni. Nema dostupnih podataka.</w:t>
      </w:r>
    </w:p>
    <w:p w14:paraId="55EFBA9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8D742E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Starija populacija</w:t>
      </w:r>
    </w:p>
    <w:p w14:paraId="252E42EE" w14:textId="1EE688FD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Kod starijih </w:t>
      </w:r>
      <w:r w:rsidR="00CD5004" w:rsidRPr="00070F42">
        <w:rPr>
          <w:bCs/>
          <w:noProof/>
          <w:sz w:val="22"/>
          <w:szCs w:val="22"/>
          <w:lang w:val="sr-Latn-ME"/>
        </w:rPr>
        <w:t xml:space="preserve">pacijenata </w:t>
      </w:r>
      <w:r w:rsidRPr="00070F42">
        <w:rPr>
          <w:bCs/>
          <w:noProof/>
          <w:sz w:val="22"/>
          <w:szCs w:val="22"/>
          <w:lang w:val="sr-Latn-ME"/>
        </w:rPr>
        <w:t>(</w:t>
      </w:r>
      <w:r w:rsidR="00CD5004" w:rsidRPr="00070F42">
        <w:rPr>
          <w:bCs/>
          <w:noProof/>
          <w:sz w:val="22"/>
          <w:szCs w:val="22"/>
          <w:lang w:val="sr-Latn-ME"/>
        </w:rPr>
        <w:t xml:space="preserve">pacijenti </w:t>
      </w:r>
      <w:r w:rsidRPr="00070F42">
        <w:rPr>
          <w:bCs/>
          <w:noProof/>
          <w:sz w:val="22"/>
          <w:szCs w:val="22"/>
          <w:lang w:val="sr-Latn-ME"/>
        </w:rPr>
        <w:t>stariji od 65 godina) nije potrebno prilagođavanje doze.</w:t>
      </w:r>
    </w:p>
    <w:p w14:paraId="7ACA61F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11D9288" w14:textId="4BD73612" w:rsidR="003951A3" w:rsidRPr="00070F42" w:rsidRDefault="00A82EF4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Oštećenje funkcije </w:t>
      </w:r>
      <w:r w:rsidR="003951A3" w:rsidRPr="00070F42">
        <w:rPr>
          <w:bCs/>
          <w:i/>
          <w:iCs/>
          <w:noProof/>
          <w:sz w:val="22"/>
          <w:szCs w:val="22"/>
          <w:lang w:val="sr-Latn-ME"/>
        </w:rPr>
        <w:t>bubrega</w:t>
      </w:r>
    </w:p>
    <w:p w14:paraId="268B35A9" w14:textId="6D55173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Prilagođavanje doze nije potrebno kod pacijenata sa blagim, umjerenim ili teškim poremećajem funkcije bubrega. </w:t>
      </w:r>
      <w:r w:rsidR="00A82EF4" w:rsidRPr="00070F42">
        <w:rPr>
          <w:bCs/>
          <w:noProof/>
          <w:sz w:val="22"/>
          <w:szCs w:val="22"/>
          <w:lang w:val="sr-Latn-ME"/>
        </w:rPr>
        <w:t>Nema dostupnih podataka o primjeni kod pacijenata</w:t>
      </w:r>
      <w:r w:rsidRPr="00070F42">
        <w:rPr>
          <w:bCs/>
          <w:noProof/>
          <w:sz w:val="22"/>
          <w:szCs w:val="22"/>
          <w:lang w:val="sr-Latn-ME"/>
        </w:rPr>
        <w:t xml:space="preserve"> koji</w:t>
      </w:r>
      <w:r w:rsidR="00CD5004" w:rsidRPr="00070F42">
        <w:rPr>
          <w:bCs/>
          <w:noProof/>
          <w:sz w:val="22"/>
          <w:szCs w:val="22"/>
          <w:lang w:val="sr-Latn-ME"/>
        </w:rPr>
        <w:t>ma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CD5004" w:rsidRPr="00070F42">
        <w:rPr>
          <w:bCs/>
          <w:noProof/>
          <w:sz w:val="22"/>
          <w:szCs w:val="22"/>
          <w:lang w:val="sr-Latn-ME"/>
        </w:rPr>
        <w:t xml:space="preserve">je potrebna </w:t>
      </w:r>
      <w:r w:rsidRPr="00070F42">
        <w:rPr>
          <w:bCs/>
          <w:noProof/>
          <w:sz w:val="22"/>
          <w:szCs w:val="22"/>
          <w:lang w:val="sr-Latn-ME"/>
        </w:rPr>
        <w:t>dijaliz</w:t>
      </w:r>
      <w:r w:rsidR="00CD5004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(vidjeti dio 5.2).</w:t>
      </w:r>
    </w:p>
    <w:p w14:paraId="45966E7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7186515" w14:textId="70E6B9B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Preporučuje se praćenje balansa tečnosti i elektrolita kod pacijenata sa rizikom za nastanak </w:t>
      </w:r>
      <w:r w:rsidR="00A82EF4" w:rsidRPr="00070F42">
        <w:rPr>
          <w:bCs/>
          <w:noProof/>
          <w:sz w:val="22"/>
          <w:szCs w:val="22"/>
          <w:lang w:val="sr-Latn-ME"/>
        </w:rPr>
        <w:t>poremećaja funkcije bubrega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3DEAA3A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D953361" w14:textId="7875AC87" w:rsidR="003951A3" w:rsidRPr="00070F42" w:rsidRDefault="00A82EF4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Oštećenje</w:t>
      </w:r>
      <w:r w:rsidR="00E26CE4" w:rsidRPr="00070F42">
        <w:rPr>
          <w:bCs/>
          <w:i/>
          <w:i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funkcije </w:t>
      </w:r>
      <w:r w:rsidR="003951A3" w:rsidRPr="00070F42">
        <w:rPr>
          <w:bCs/>
          <w:i/>
          <w:iCs/>
          <w:noProof/>
          <w:sz w:val="22"/>
          <w:szCs w:val="22"/>
          <w:lang w:val="sr-Latn-ME"/>
        </w:rPr>
        <w:t>jetre</w:t>
      </w:r>
    </w:p>
    <w:p w14:paraId="0FE0F7CB" w14:textId="64ED20C3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Nije potrebno prilagođavanje doze kod pacijenata sa poremećajem jetre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 Pugh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A82EF4" w:rsidRPr="00070F42">
        <w:rPr>
          <w:bCs/>
          <w:noProof/>
          <w:sz w:val="22"/>
          <w:szCs w:val="22"/>
          <w:lang w:val="sr-Latn-ME"/>
        </w:rPr>
        <w:t xml:space="preserve">stadijuma </w:t>
      </w:r>
      <w:r w:rsidRPr="00070F42">
        <w:rPr>
          <w:bCs/>
          <w:noProof/>
          <w:sz w:val="22"/>
          <w:szCs w:val="22"/>
          <w:lang w:val="sr-Latn-ME"/>
        </w:rPr>
        <w:t>A ili B (blagim do umjerenim).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 xml:space="preserve">su dostupni podaci </w:t>
      </w:r>
      <w:r w:rsidR="005E365A" w:rsidRPr="00070F42">
        <w:rPr>
          <w:bCs/>
          <w:noProof/>
          <w:sz w:val="22"/>
          <w:szCs w:val="22"/>
          <w:lang w:val="sr-Latn-ME"/>
        </w:rPr>
        <w:t>o primjeni kod</w:t>
      </w:r>
      <w:r w:rsidRPr="00070F42">
        <w:rPr>
          <w:bCs/>
          <w:noProof/>
          <w:sz w:val="22"/>
          <w:szCs w:val="22"/>
          <w:lang w:val="sr-Latn-ME"/>
        </w:rPr>
        <w:t xml:space="preserve"> pacijen</w:t>
      </w:r>
      <w:r w:rsidR="005E365A" w:rsidRPr="00070F42">
        <w:rPr>
          <w:bCs/>
          <w:noProof/>
          <w:sz w:val="22"/>
          <w:szCs w:val="22"/>
          <w:lang w:val="sr-Latn-ME"/>
        </w:rPr>
        <w:t>ata</w:t>
      </w:r>
      <w:r w:rsidRPr="00070F42">
        <w:rPr>
          <w:bCs/>
          <w:noProof/>
          <w:sz w:val="22"/>
          <w:szCs w:val="22"/>
          <w:lang w:val="sr-Latn-ME"/>
        </w:rPr>
        <w:t xml:space="preserve"> sa </w:t>
      </w:r>
      <w:r w:rsidR="00457448" w:rsidRPr="00070F42">
        <w:rPr>
          <w:bCs/>
          <w:noProof/>
          <w:sz w:val="22"/>
          <w:szCs w:val="22"/>
          <w:lang w:val="sr-Latn-ME"/>
        </w:rPr>
        <w:t>poremećajem funkcije jetre</w:t>
      </w:r>
      <w:r w:rsidR="00457448" w:rsidRPr="00070F42">
        <w:rPr>
          <w:bCs/>
          <w:i/>
          <w:i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 Pugh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stadijuma </w:t>
      </w:r>
      <w:r w:rsidRPr="00070F42">
        <w:rPr>
          <w:bCs/>
          <w:noProof/>
          <w:sz w:val="22"/>
          <w:szCs w:val="22"/>
          <w:lang w:val="sr-Latn-ME"/>
        </w:rPr>
        <w:t>C (</w:t>
      </w:r>
      <w:r w:rsidR="00457448" w:rsidRPr="00070F42">
        <w:rPr>
          <w:bCs/>
          <w:noProof/>
          <w:sz w:val="22"/>
          <w:szCs w:val="22"/>
          <w:lang w:val="sr-Latn-ME"/>
        </w:rPr>
        <w:t>teškim</w:t>
      </w:r>
      <w:r w:rsidRPr="00070F42">
        <w:rPr>
          <w:bCs/>
          <w:noProof/>
          <w:sz w:val="22"/>
          <w:szCs w:val="22"/>
          <w:lang w:val="sr-Latn-ME"/>
        </w:rPr>
        <w:t>) (vidjeti dijelove 4.4. i 5.2).</w:t>
      </w:r>
    </w:p>
    <w:p w14:paraId="0FCEB240" w14:textId="77777777" w:rsidR="00452E9D" w:rsidRPr="00070F42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0798F7A7" w14:textId="77777777" w:rsidR="00452E9D" w:rsidRPr="00070F42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070F42">
        <w:rPr>
          <w:bCs/>
          <w:sz w:val="22"/>
          <w:szCs w:val="22"/>
          <w:u w:val="single"/>
          <w:lang w:val="sr-Latn-ME"/>
        </w:rPr>
        <w:t>Način primjene</w:t>
      </w:r>
    </w:p>
    <w:p w14:paraId="586F572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27087B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Oralna upotreba.</w:t>
      </w:r>
    </w:p>
    <w:p w14:paraId="7212F83A" w14:textId="2D78505E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Preporučuje se primjena sorafeniba bez hrane ili sa obrokom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 sa niskim ili umjerenim sadržajem masti</w:t>
      </w:r>
      <w:r w:rsidRPr="00070F42">
        <w:rPr>
          <w:bCs/>
          <w:noProof/>
          <w:sz w:val="22"/>
          <w:szCs w:val="22"/>
          <w:lang w:val="sr-Latn-ME"/>
        </w:rPr>
        <w:t xml:space="preserve">. Ako pacijent namjerava da uzme obrok sa dosta masti, tablete sorafeniba bi trebalo uzeti najmanje 1 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sat </w:t>
      </w:r>
      <w:r w:rsidRPr="00070F42">
        <w:rPr>
          <w:bCs/>
          <w:noProof/>
          <w:sz w:val="22"/>
          <w:szCs w:val="22"/>
          <w:lang w:val="sr-Latn-ME"/>
        </w:rPr>
        <w:t>prije ili 2</w:t>
      </w:r>
      <w:r w:rsidR="00CD5004" w:rsidRPr="00070F42">
        <w:rPr>
          <w:bCs/>
          <w:noProof/>
          <w:sz w:val="22"/>
          <w:szCs w:val="22"/>
          <w:lang w:val="sr-Latn-ME"/>
        </w:rPr>
        <w:t xml:space="preserve"> </w:t>
      </w:r>
      <w:r w:rsidR="00457448" w:rsidRPr="00070F42">
        <w:rPr>
          <w:bCs/>
          <w:noProof/>
          <w:sz w:val="22"/>
          <w:szCs w:val="22"/>
          <w:lang w:val="sr-Latn-ME"/>
        </w:rPr>
        <w:t>sata</w:t>
      </w:r>
      <w:r w:rsidRPr="00070F42">
        <w:rPr>
          <w:bCs/>
          <w:noProof/>
          <w:sz w:val="22"/>
          <w:szCs w:val="22"/>
          <w:lang w:val="sr-Latn-ME"/>
        </w:rPr>
        <w:t xml:space="preserve"> posl</w:t>
      </w:r>
      <w:r w:rsidR="00457448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 obroka. Tablete treba progutati uz čašu vode.</w:t>
      </w:r>
    </w:p>
    <w:p w14:paraId="12617034" w14:textId="77777777" w:rsidR="00452E9D" w:rsidRPr="00070F42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1A26A6" w14:textId="77777777" w:rsidR="00411B4B" w:rsidRPr="00070F4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4.3.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Kontraindikacije</w:t>
      </w:r>
    </w:p>
    <w:p w14:paraId="40ACB021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3BEDA7AC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Preosjetljivost na aktivnu supstancu ili na bilo koji drugi sastojak preparata naveden u dijelu 6.1.</w:t>
      </w:r>
    </w:p>
    <w:p w14:paraId="69498B23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6BBFF1" w14:textId="77777777" w:rsidR="00411B4B" w:rsidRPr="00070F4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4.4.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C5D0A4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8612FA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Dermatološka toksičnost</w:t>
      </w:r>
    </w:p>
    <w:p w14:paraId="336CC61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EF77C2C" w14:textId="35C35590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Kožne reakcije na šakama i stopalima (palmarno-plantarna eritrodizestezija) i osip predstavljaju najčešća neželjena dejstva lijeka Nexavar. Osip i kožne reakcije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 na šakama i stopalima</w:t>
      </w:r>
      <w:r w:rsidRPr="00070F42">
        <w:rPr>
          <w:bCs/>
          <w:noProof/>
          <w:sz w:val="22"/>
          <w:szCs w:val="22"/>
          <w:lang w:val="sr-Latn-ME"/>
        </w:rPr>
        <w:t xml:space="preserve"> su obično CTC </w:t>
      </w:r>
      <w:r w:rsidRPr="00070F42">
        <w:rPr>
          <w:bCs/>
          <w:noProof/>
          <w:sz w:val="22"/>
          <w:szCs w:val="22"/>
          <w:lang w:val="sr-Latn-ME"/>
        </w:rPr>
        <w:lastRenderedPageBreak/>
        <w:t>(</w:t>
      </w:r>
      <w:r w:rsidRPr="00070F42">
        <w:rPr>
          <w:bCs/>
          <w:i/>
          <w:iCs/>
          <w:noProof/>
          <w:sz w:val="22"/>
          <w:szCs w:val="22"/>
          <w:lang w:val="sr-Latn-ME"/>
        </w:rPr>
        <w:t>Common Toxicity Criteria</w:t>
      </w:r>
      <w:r w:rsidRPr="00070F42">
        <w:rPr>
          <w:bCs/>
          <w:noProof/>
          <w:sz w:val="22"/>
          <w:szCs w:val="22"/>
          <w:lang w:val="sr-Latn-ME"/>
        </w:rPr>
        <w:t>) stepena 1 i 2</w:t>
      </w:r>
      <w:r w:rsidR="00457448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i generalno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 se</w:t>
      </w:r>
      <w:r w:rsidRPr="00070F42">
        <w:rPr>
          <w:bCs/>
          <w:noProof/>
          <w:sz w:val="22"/>
          <w:szCs w:val="22"/>
          <w:lang w:val="sr-Latn-ME"/>
        </w:rPr>
        <w:t xml:space="preserve"> javljaju u toku prvih šest ned</w:t>
      </w:r>
      <w:r w:rsidR="00BE3C0C" w:rsidRPr="00070F42">
        <w:rPr>
          <w:bCs/>
          <w:noProof/>
          <w:sz w:val="22"/>
          <w:szCs w:val="22"/>
          <w:lang w:val="sr-Latn-ME"/>
        </w:rPr>
        <w:t>j</w:t>
      </w:r>
      <w:r w:rsidRPr="00070F42">
        <w:rPr>
          <w:bCs/>
          <w:noProof/>
          <w:sz w:val="22"/>
          <w:szCs w:val="22"/>
          <w:lang w:val="sr-Latn-ME"/>
        </w:rPr>
        <w:t xml:space="preserve">elja terapije </w:t>
      </w:r>
      <w:r w:rsidR="00457448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>. Liječenje dermatološke toksičnosti može uključiti lokalnu terapiju u cilju simptomatskog poboljšanja, privremeno obustavljanje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 terapije</w:t>
      </w:r>
      <w:r w:rsidRPr="00070F42">
        <w:rPr>
          <w:bCs/>
          <w:noProof/>
          <w:sz w:val="22"/>
          <w:szCs w:val="22"/>
          <w:lang w:val="sr-Latn-ME"/>
        </w:rPr>
        <w:t xml:space="preserve"> i/ili modifikovanje doze </w:t>
      </w:r>
      <w:r w:rsidR="00457448" w:rsidRPr="00070F42">
        <w:rPr>
          <w:bCs/>
          <w:noProof/>
          <w:sz w:val="22"/>
          <w:szCs w:val="22"/>
          <w:lang w:val="sr-Latn-ME"/>
        </w:rPr>
        <w:t>sorafeniba</w:t>
      </w:r>
      <w:r w:rsidR="00E26CE4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ili u </w:t>
      </w:r>
      <w:r w:rsidR="00457448" w:rsidRPr="00070F42">
        <w:rPr>
          <w:bCs/>
          <w:noProof/>
          <w:sz w:val="22"/>
          <w:szCs w:val="22"/>
          <w:lang w:val="sr-Latn-ME"/>
        </w:rPr>
        <w:t xml:space="preserve">teškim </w:t>
      </w:r>
      <w:r w:rsidRPr="00070F42">
        <w:rPr>
          <w:bCs/>
          <w:noProof/>
          <w:sz w:val="22"/>
          <w:szCs w:val="22"/>
          <w:lang w:val="sr-Latn-ME"/>
        </w:rPr>
        <w:t xml:space="preserve">ili perzistentnim slučajevima, trajno obustavljanje primjene </w:t>
      </w:r>
      <w:r w:rsidR="00457448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 xml:space="preserve"> (vidjeti dio 4.8).</w:t>
      </w:r>
    </w:p>
    <w:p w14:paraId="2763A9C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5762D9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Hipertenzija</w:t>
      </w:r>
    </w:p>
    <w:p w14:paraId="11BEAC1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ADD4386" w14:textId="74DF7605" w:rsidR="003951A3" w:rsidRPr="00070F42" w:rsidRDefault="00457448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Kod pacijenata l</w:t>
      </w:r>
      <w:r w:rsidR="00E26CE4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ečenih sorafenibom uočena je p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ovećana incidenca arterijske hipertenzije. Hipertenzija je bila obično blaga do umjerena, pojavljivala se rano tokom terapije i </w:t>
      </w:r>
      <w:r w:rsidR="00B57DED" w:rsidRPr="00070F42">
        <w:rPr>
          <w:bCs/>
          <w:noProof/>
          <w:sz w:val="22"/>
          <w:szCs w:val="22"/>
          <w:lang w:val="sr-Latn-ME"/>
        </w:rPr>
        <w:t>uspješno je zbrinjavana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standa</w:t>
      </w:r>
      <w:r w:rsidR="00B57DED" w:rsidRPr="00070F42">
        <w:rPr>
          <w:bCs/>
          <w:noProof/>
          <w:sz w:val="22"/>
          <w:szCs w:val="22"/>
          <w:lang w:val="sr-Latn-ME"/>
        </w:rPr>
        <w:t>r</w:t>
      </w:r>
      <w:r w:rsidR="003951A3" w:rsidRPr="00070F42">
        <w:rPr>
          <w:bCs/>
          <w:noProof/>
          <w:sz w:val="22"/>
          <w:szCs w:val="22"/>
          <w:lang w:val="sr-Latn-ME"/>
        </w:rPr>
        <w:t>dn</w:t>
      </w:r>
      <w:r w:rsidR="00B57DED" w:rsidRPr="00070F42">
        <w:rPr>
          <w:bCs/>
          <w:noProof/>
          <w:sz w:val="22"/>
          <w:szCs w:val="22"/>
          <w:lang w:val="sr-Latn-ME"/>
        </w:rPr>
        <w:t>om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antihipertenzivn</w:t>
      </w:r>
      <w:r w:rsidR="00B57DED" w:rsidRPr="00070F42">
        <w:rPr>
          <w:bCs/>
          <w:noProof/>
          <w:sz w:val="22"/>
          <w:szCs w:val="22"/>
          <w:lang w:val="sr-Latn-ME"/>
        </w:rPr>
        <w:t>om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terapij</w:t>
      </w:r>
      <w:r w:rsidR="00B57DED" w:rsidRPr="00070F42">
        <w:rPr>
          <w:bCs/>
          <w:noProof/>
          <w:sz w:val="22"/>
          <w:szCs w:val="22"/>
          <w:lang w:val="sr-Latn-ME"/>
        </w:rPr>
        <w:t>om</w:t>
      </w:r>
      <w:r w:rsidR="003951A3" w:rsidRPr="00070F42">
        <w:rPr>
          <w:bCs/>
          <w:noProof/>
          <w:sz w:val="22"/>
          <w:szCs w:val="22"/>
          <w:lang w:val="sr-Latn-ME"/>
        </w:rPr>
        <w:t>. Treb</w:t>
      </w:r>
      <w:r w:rsidR="00B57DED"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redovno pratiti krvn</w:t>
      </w:r>
      <w:r w:rsidR="00AD6A58" w:rsidRPr="00070F42">
        <w:rPr>
          <w:bCs/>
          <w:noProof/>
          <w:sz w:val="22"/>
          <w:szCs w:val="22"/>
          <w:lang w:val="sr-Latn-ME"/>
        </w:rPr>
        <w:t>i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pritis</w:t>
      </w:r>
      <w:r w:rsidR="00AD6A58"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k i preduzeti mjere, ako je potrebno, u skladu sa standardnom medicinskom praksom. U slučajevima </w:t>
      </w:r>
      <w:r w:rsidR="00AD6A58" w:rsidRPr="00070F42">
        <w:rPr>
          <w:bCs/>
          <w:noProof/>
          <w:sz w:val="22"/>
          <w:szCs w:val="22"/>
          <w:lang w:val="sr-Latn-ME"/>
        </w:rPr>
        <w:t>teške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ili perzistentne hipertenzije, ili hipertenzivne krize uprkos uvođenju antihipertenzivne terapije, trebalo bi razmotriti mogućnost trajnog obustavljanja primjene </w:t>
      </w:r>
      <w:r w:rsidR="00AD6A58" w:rsidRPr="00070F42">
        <w:rPr>
          <w:bCs/>
          <w:noProof/>
          <w:sz w:val="22"/>
          <w:szCs w:val="22"/>
          <w:lang w:val="sr-Latn-ME"/>
        </w:rPr>
        <w:t>sorafeniba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(vidjeti dio 4.8).</w:t>
      </w:r>
    </w:p>
    <w:p w14:paraId="757462F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D057E2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Aneurizme i disekcije arterija</w:t>
      </w:r>
    </w:p>
    <w:p w14:paraId="26C5E26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08B7EC2" w14:textId="3DC27E2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Primjena inhibitora VEGF puta kod pacijenata sa </w:t>
      </w:r>
      <w:r w:rsidR="00582877" w:rsidRPr="00070F42">
        <w:rPr>
          <w:bCs/>
          <w:noProof/>
          <w:sz w:val="22"/>
          <w:szCs w:val="22"/>
          <w:lang w:val="sr-Latn-ME"/>
        </w:rPr>
        <w:t xml:space="preserve">hipertenzijom </w:t>
      </w:r>
      <w:r w:rsidRPr="00070F42">
        <w:rPr>
          <w:bCs/>
          <w:noProof/>
          <w:sz w:val="22"/>
          <w:szCs w:val="22"/>
          <w:lang w:val="sr-Latn-ME"/>
        </w:rPr>
        <w:t xml:space="preserve">ili bez </w:t>
      </w:r>
      <w:r w:rsidR="00582877" w:rsidRPr="00070F42">
        <w:rPr>
          <w:bCs/>
          <w:noProof/>
          <w:sz w:val="22"/>
          <w:szCs w:val="22"/>
          <w:lang w:val="sr-Latn-ME"/>
        </w:rPr>
        <w:t xml:space="preserve">nje </w:t>
      </w:r>
      <w:r w:rsidRPr="00070F42">
        <w:rPr>
          <w:bCs/>
          <w:noProof/>
          <w:sz w:val="22"/>
          <w:szCs w:val="22"/>
          <w:lang w:val="sr-Latn-ME"/>
        </w:rPr>
        <w:t xml:space="preserve">može </w:t>
      </w:r>
      <w:r w:rsidR="00582877" w:rsidRPr="00070F42">
        <w:rPr>
          <w:bCs/>
          <w:noProof/>
          <w:sz w:val="22"/>
          <w:szCs w:val="22"/>
          <w:lang w:val="sr-Latn-ME"/>
        </w:rPr>
        <w:t xml:space="preserve">podstaći </w:t>
      </w:r>
      <w:r w:rsidRPr="00070F42">
        <w:rPr>
          <w:bCs/>
          <w:noProof/>
          <w:sz w:val="22"/>
          <w:szCs w:val="22"/>
          <w:lang w:val="sr-Latn-ME"/>
        </w:rPr>
        <w:t>stvaranje aneurizmi i/ili disekcije arterija. Prije početka primjene lijeka Nexavar, potrebno je pažljivo razmotriti ovaj rizik kod pacijenata sa faktorima rizika kao što su hipertenzija ili aneurizma u anamnezi.</w:t>
      </w:r>
    </w:p>
    <w:p w14:paraId="528A9D2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ABD039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Hipoglikemija</w:t>
      </w:r>
    </w:p>
    <w:p w14:paraId="303EB64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0E4A600" w14:textId="545C8D12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Tokom liječenja sorafenibom u nekim slučajevima je zabilježeno klinički simptomatsko sniženje glukoze u krvi, koje zahtijeva hospitalizaciju zbog gubitka svijesti. U slučaju simptomatske hipoglikemije liječenje sorafenibom treba privremeno prekinuti. Kod </w:t>
      </w:r>
      <w:r w:rsidR="00CB4940" w:rsidRPr="00070F42">
        <w:rPr>
          <w:bCs/>
          <w:noProof/>
          <w:sz w:val="22"/>
          <w:szCs w:val="22"/>
          <w:lang w:val="sr-Latn-ME"/>
        </w:rPr>
        <w:t xml:space="preserve">pacijenata </w:t>
      </w:r>
      <w:r w:rsidRPr="00070F42">
        <w:rPr>
          <w:bCs/>
          <w:noProof/>
          <w:sz w:val="22"/>
          <w:szCs w:val="22"/>
          <w:lang w:val="sr-Latn-ME"/>
        </w:rPr>
        <w:t>sa dijabetesom potrebno je redovno proveravati nivo glukoze u krvi kako bi se procijenilo da li je potrebno prilagoditi doziranje antidijabetičkog lijeka.</w:t>
      </w:r>
    </w:p>
    <w:p w14:paraId="0EC13BC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61ED27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Krvarenje</w:t>
      </w:r>
    </w:p>
    <w:p w14:paraId="077C767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CD9BAA0" w14:textId="452AD2F7" w:rsidR="003951A3" w:rsidRPr="00070F42" w:rsidRDefault="00AD6A58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Nakon 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primjene </w:t>
      </w:r>
      <w:r w:rsidRPr="00070F42">
        <w:rPr>
          <w:bCs/>
          <w:noProof/>
          <w:sz w:val="22"/>
          <w:szCs w:val="22"/>
          <w:lang w:val="sr-Latn-ME"/>
        </w:rPr>
        <w:t>sorafeniba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, može da se javi povećani rizik od krvarenja. Ako krvarenje zahtijeva medicinsku intervenciju, preporučuje se da se razmotri trajno obustavljanje primjene </w:t>
      </w:r>
      <w:r w:rsidRPr="00070F42">
        <w:rPr>
          <w:bCs/>
          <w:noProof/>
          <w:sz w:val="22"/>
          <w:szCs w:val="22"/>
          <w:lang w:val="sr-Latn-ME"/>
        </w:rPr>
        <w:t>sorafeniba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(vidjeti dio 4.8).</w:t>
      </w:r>
    </w:p>
    <w:p w14:paraId="57D96E9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B74178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Srčana ishemija i/ili infarkt</w:t>
      </w:r>
    </w:p>
    <w:p w14:paraId="3FB7883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EF238BD" w14:textId="307F0F7D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 randomiz</w:t>
      </w:r>
      <w:r w:rsidR="00866BA1" w:rsidRPr="00070F42">
        <w:rPr>
          <w:bCs/>
          <w:noProof/>
          <w:sz w:val="22"/>
          <w:szCs w:val="22"/>
          <w:lang w:val="sr-Latn-ME"/>
        </w:rPr>
        <w:t>ov</w:t>
      </w:r>
      <w:r w:rsidRPr="00070F42">
        <w:rPr>
          <w:bCs/>
          <w:noProof/>
          <w:sz w:val="22"/>
          <w:szCs w:val="22"/>
          <w:lang w:val="sr-Latn-ME"/>
        </w:rPr>
        <w:t xml:space="preserve">anoj, placebo kontrolisanoj, dvostruko slepoj studiji (studija 1, vidjeti dio 5.1) incidenca srčane ishemije/infarkta </w:t>
      </w:r>
      <w:r w:rsidR="003011DE" w:rsidRPr="00070F42">
        <w:rPr>
          <w:bCs/>
          <w:noProof/>
          <w:sz w:val="22"/>
          <w:szCs w:val="22"/>
          <w:lang w:val="sr-Latn-ME"/>
        </w:rPr>
        <w:t>kao posljedice terapije</w:t>
      </w:r>
      <w:r w:rsidRPr="00070F42">
        <w:rPr>
          <w:bCs/>
          <w:noProof/>
          <w:sz w:val="22"/>
          <w:szCs w:val="22"/>
          <w:lang w:val="sr-Latn-ME"/>
        </w:rPr>
        <w:t xml:space="preserve"> bila </w:t>
      </w:r>
      <w:r w:rsidR="00B71F70" w:rsidRPr="00070F42">
        <w:rPr>
          <w:bCs/>
          <w:noProof/>
          <w:sz w:val="22"/>
          <w:szCs w:val="22"/>
          <w:lang w:val="sr-Latn-ME"/>
        </w:rPr>
        <w:t xml:space="preserve">je </w:t>
      </w:r>
      <w:r w:rsidRPr="00070F42">
        <w:rPr>
          <w:bCs/>
          <w:noProof/>
          <w:sz w:val="22"/>
          <w:szCs w:val="22"/>
          <w:lang w:val="sr-Latn-ME"/>
        </w:rPr>
        <w:t xml:space="preserve">viša u grupi koja je primala </w:t>
      </w:r>
      <w:r w:rsidR="00AD6A58" w:rsidRPr="00070F42">
        <w:rPr>
          <w:bCs/>
          <w:noProof/>
          <w:sz w:val="22"/>
          <w:szCs w:val="22"/>
          <w:lang w:val="sr-Latn-ME"/>
        </w:rPr>
        <w:t xml:space="preserve">sorafenib </w:t>
      </w:r>
      <w:r w:rsidRPr="00070F42">
        <w:rPr>
          <w:bCs/>
          <w:noProof/>
          <w:sz w:val="22"/>
          <w:szCs w:val="22"/>
          <w:lang w:val="sr-Latn-ME"/>
        </w:rPr>
        <w:t xml:space="preserve">(4,9%), u poređenju sa placebo grupom (0,4%). U studiji 3 (vidjeti dio 5.1) incidenca srčane ishemije/infarkta </w:t>
      </w:r>
      <w:r w:rsidR="00AD6A58" w:rsidRPr="00070F42">
        <w:rPr>
          <w:bCs/>
          <w:noProof/>
          <w:sz w:val="22"/>
          <w:szCs w:val="22"/>
          <w:lang w:val="sr-Latn-ME"/>
        </w:rPr>
        <w:t xml:space="preserve">kao posljedice terapije </w:t>
      </w:r>
      <w:r w:rsidRPr="00070F42">
        <w:rPr>
          <w:bCs/>
          <w:noProof/>
          <w:sz w:val="22"/>
          <w:szCs w:val="22"/>
          <w:lang w:val="sr-Latn-ME"/>
        </w:rPr>
        <w:t xml:space="preserve">bila je 2,7% u grupi koja je primala </w:t>
      </w:r>
      <w:r w:rsidR="00AD6A58" w:rsidRPr="00070F42">
        <w:rPr>
          <w:bCs/>
          <w:noProof/>
          <w:sz w:val="22"/>
          <w:szCs w:val="22"/>
          <w:lang w:val="sr-Latn-ME"/>
        </w:rPr>
        <w:t>sorafenib</w:t>
      </w:r>
      <w:r w:rsidR="003011DE" w:rsidRPr="00070F42">
        <w:rPr>
          <w:bCs/>
          <w:noProof/>
          <w:sz w:val="22"/>
          <w:szCs w:val="22"/>
          <w:lang w:val="sr-Latn-ME"/>
        </w:rPr>
        <w:t>,</w:t>
      </w:r>
      <w:r w:rsidR="00AD6A58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u poređenju sa 1,3% u placebo grupi. Pacijenti sa nestabilnom bolešću koronarnih arterija</w:t>
      </w:r>
      <w:r w:rsidR="00AD6A58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ili nedavnim infarktom miokarda</w:t>
      </w:r>
      <w:r w:rsidR="00AD6A58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bili su isključeni iz ovih studija. </w:t>
      </w:r>
      <w:r w:rsidR="00AD6A58" w:rsidRPr="00070F42">
        <w:rPr>
          <w:bCs/>
          <w:noProof/>
          <w:sz w:val="22"/>
          <w:szCs w:val="22"/>
          <w:lang w:val="sr-Latn-ME"/>
        </w:rPr>
        <w:t>Kod pacijenata kod kojih se razvije srčana ishemija i/ili infarkt t</w:t>
      </w:r>
      <w:r w:rsidRPr="00070F42">
        <w:rPr>
          <w:bCs/>
          <w:noProof/>
          <w:sz w:val="22"/>
          <w:szCs w:val="22"/>
          <w:lang w:val="sr-Latn-ME"/>
        </w:rPr>
        <w:t xml:space="preserve">reba razmotriti privremeno ili trajno obustavljanje primjene </w:t>
      </w:r>
      <w:r w:rsidR="00AD6A58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 xml:space="preserve"> (vidjeti dio 4.8).</w:t>
      </w:r>
    </w:p>
    <w:p w14:paraId="2D77ADC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352CD1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Produženje QT intervala</w:t>
      </w:r>
    </w:p>
    <w:p w14:paraId="7A91BED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454459B" w14:textId="1581EBA1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Pokazano je da </w:t>
      </w:r>
      <w:r w:rsidR="00AD6A58" w:rsidRPr="00070F42">
        <w:rPr>
          <w:bCs/>
          <w:noProof/>
          <w:sz w:val="22"/>
          <w:szCs w:val="22"/>
          <w:lang w:val="sr-Latn-ME"/>
        </w:rPr>
        <w:t xml:space="preserve">sorafenib </w:t>
      </w:r>
      <w:r w:rsidRPr="00070F42">
        <w:rPr>
          <w:bCs/>
          <w:noProof/>
          <w:sz w:val="22"/>
          <w:szCs w:val="22"/>
          <w:lang w:val="sr-Latn-ME"/>
        </w:rPr>
        <w:t xml:space="preserve">produžava QT/QTc interval (vidjeti dio 5.1), što može povećati rizik </w:t>
      </w:r>
      <w:r w:rsidR="00AD6A58" w:rsidRPr="00070F42">
        <w:rPr>
          <w:bCs/>
          <w:noProof/>
          <w:sz w:val="22"/>
          <w:szCs w:val="22"/>
          <w:lang w:val="sr-Latn-ME"/>
        </w:rPr>
        <w:t xml:space="preserve">za </w:t>
      </w:r>
      <w:r w:rsidRPr="00070F42">
        <w:rPr>
          <w:bCs/>
          <w:noProof/>
          <w:sz w:val="22"/>
          <w:szCs w:val="22"/>
          <w:lang w:val="sr-Latn-ME"/>
        </w:rPr>
        <w:t>pojav</w:t>
      </w:r>
      <w:r w:rsidR="00AD6A58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ventrikularnih aritmija. Potreban je oprez </w:t>
      </w:r>
      <w:r w:rsidR="00CD73D9" w:rsidRPr="00070F42">
        <w:rPr>
          <w:bCs/>
          <w:noProof/>
          <w:sz w:val="22"/>
          <w:szCs w:val="22"/>
          <w:lang w:val="sr-Latn-ME"/>
        </w:rPr>
        <w:t>pri prim</w:t>
      </w:r>
      <w:r w:rsidR="003011DE" w:rsidRPr="00070F42">
        <w:rPr>
          <w:bCs/>
          <w:noProof/>
          <w:sz w:val="22"/>
          <w:szCs w:val="22"/>
          <w:lang w:val="sr-Latn-ME"/>
        </w:rPr>
        <w:t>j</w:t>
      </w:r>
      <w:r w:rsidR="00CD73D9" w:rsidRPr="00070F42">
        <w:rPr>
          <w:bCs/>
          <w:noProof/>
          <w:sz w:val="22"/>
          <w:szCs w:val="22"/>
          <w:lang w:val="sr-Latn-ME"/>
        </w:rPr>
        <w:t>eni</w:t>
      </w:r>
      <w:r w:rsidRPr="00070F42">
        <w:rPr>
          <w:bCs/>
          <w:noProof/>
          <w:sz w:val="22"/>
          <w:szCs w:val="22"/>
          <w:lang w:val="sr-Latn-ME"/>
        </w:rPr>
        <w:t xml:space="preserve"> sorafeniba kod pacijenata koji imaju, ili kod kojih postoji vjerovatnoća pojave produženog QTc intervala, kao što su pacijenti sa kongenitalnim sindromom produženog QT intervala, pacijenti </w:t>
      </w:r>
      <w:r w:rsidR="00CD73D9" w:rsidRPr="00070F42">
        <w:rPr>
          <w:bCs/>
          <w:noProof/>
          <w:sz w:val="22"/>
          <w:szCs w:val="22"/>
          <w:lang w:val="sr-Latn-ME"/>
        </w:rPr>
        <w:t>liječen</w:t>
      </w:r>
      <w:r w:rsidRPr="00070F42">
        <w:rPr>
          <w:bCs/>
          <w:noProof/>
          <w:sz w:val="22"/>
          <w:szCs w:val="22"/>
          <w:lang w:val="sr-Latn-ME"/>
        </w:rPr>
        <w:t xml:space="preserve">i velikim kumulativnim dozama antraciklina, pacijenti koji su na terapiji određenim antiaritmijskim ljekovima ili drugim ljekovima koji dovode do </w:t>
      </w:r>
      <w:r w:rsidR="00CD73D9" w:rsidRPr="00070F42">
        <w:rPr>
          <w:bCs/>
          <w:noProof/>
          <w:sz w:val="22"/>
          <w:szCs w:val="22"/>
          <w:lang w:val="sr-Latn-ME"/>
        </w:rPr>
        <w:t xml:space="preserve">produžavanja </w:t>
      </w:r>
      <w:r w:rsidRPr="00070F42">
        <w:rPr>
          <w:bCs/>
          <w:noProof/>
          <w:sz w:val="22"/>
          <w:szCs w:val="22"/>
          <w:lang w:val="sr-Latn-ME"/>
        </w:rPr>
        <w:t>QT intervala</w:t>
      </w:r>
      <w:r w:rsidR="00CD73D9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ili pacijenti sa poremećajem elektrolita poput hipokalijemije, hipokalcemije ili hipomagnezijemije. </w:t>
      </w:r>
      <w:r w:rsidR="00CD73D9" w:rsidRPr="00070F42">
        <w:rPr>
          <w:bCs/>
          <w:noProof/>
          <w:sz w:val="22"/>
          <w:szCs w:val="22"/>
          <w:lang w:val="sr-Latn-ME"/>
        </w:rPr>
        <w:t xml:space="preserve">Tokom </w:t>
      </w:r>
      <w:r w:rsidRPr="00070F42">
        <w:rPr>
          <w:bCs/>
          <w:noProof/>
          <w:sz w:val="22"/>
          <w:szCs w:val="22"/>
          <w:lang w:val="sr-Latn-ME"/>
        </w:rPr>
        <w:t xml:space="preserve">primjene </w:t>
      </w:r>
      <w:r w:rsidR="00CD73D9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 xml:space="preserve"> kod ovih pacijenata, treba </w:t>
      </w:r>
      <w:r w:rsidR="00CD73D9" w:rsidRPr="00070F42">
        <w:rPr>
          <w:bCs/>
          <w:noProof/>
          <w:sz w:val="22"/>
          <w:szCs w:val="22"/>
          <w:lang w:val="sr-Latn-ME"/>
        </w:rPr>
        <w:t>razmotriti periodično praćenje</w:t>
      </w:r>
      <w:r w:rsidRPr="00070F42">
        <w:rPr>
          <w:bCs/>
          <w:noProof/>
          <w:sz w:val="22"/>
          <w:szCs w:val="22"/>
          <w:lang w:val="sr-Latn-ME"/>
        </w:rPr>
        <w:t xml:space="preserve"> elektrokardiogram</w:t>
      </w:r>
      <w:r w:rsidR="00CD73D9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i elektrolit</w:t>
      </w:r>
      <w:r w:rsidR="00CD73D9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(magnezijum, kalijum, k</w:t>
      </w:r>
      <w:r w:rsidR="004D3571" w:rsidRPr="00070F42">
        <w:rPr>
          <w:bCs/>
          <w:noProof/>
          <w:sz w:val="22"/>
          <w:szCs w:val="22"/>
          <w:lang w:val="sr-Latn-ME"/>
        </w:rPr>
        <w:t>al</w:t>
      </w:r>
      <w:r w:rsidRPr="00070F42">
        <w:rPr>
          <w:bCs/>
          <w:noProof/>
          <w:sz w:val="22"/>
          <w:szCs w:val="22"/>
          <w:lang w:val="sr-Latn-ME"/>
        </w:rPr>
        <w:t xml:space="preserve">cijum). </w:t>
      </w:r>
    </w:p>
    <w:p w14:paraId="6FFF27FE" w14:textId="00EE9A1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C9A2EFC" w14:textId="34FBE781" w:rsidR="00855573" w:rsidRPr="00070F42" w:rsidRDefault="0085557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ED167B" w14:textId="77777777" w:rsidR="00855573" w:rsidRPr="00070F42" w:rsidRDefault="0085557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AAE2F9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lastRenderedPageBreak/>
        <w:t>Gastrointestinalna perforacija</w:t>
      </w:r>
    </w:p>
    <w:p w14:paraId="77637D8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D48D0C" w14:textId="34394253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Gastrointestinalna perforacija je neželjen</w:t>
      </w:r>
      <w:r w:rsidR="00CD73D9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CD73D9" w:rsidRPr="00070F42">
        <w:rPr>
          <w:bCs/>
          <w:noProof/>
          <w:sz w:val="22"/>
          <w:szCs w:val="22"/>
          <w:lang w:val="sr-Latn-ME"/>
        </w:rPr>
        <w:t>događaj</w:t>
      </w:r>
      <w:r w:rsidRPr="00070F42">
        <w:rPr>
          <w:bCs/>
          <w:noProof/>
          <w:sz w:val="22"/>
          <w:szCs w:val="22"/>
          <w:lang w:val="sr-Latn-ME"/>
        </w:rPr>
        <w:t xml:space="preserve"> koj</w:t>
      </w:r>
      <w:r w:rsidR="00CD73D9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 se povremeno javlja</w:t>
      </w:r>
      <w:r w:rsidR="00CD73D9" w:rsidRPr="00070F42">
        <w:rPr>
          <w:bCs/>
          <w:noProof/>
          <w:sz w:val="22"/>
          <w:szCs w:val="22"/>
          <w:lang w:val="sr-Latn-ME"/>
        </w:rPr>
        <w:t xml:space="preserve"> i prijavljena je</w:t>
      </w:r>
      <w:r w:rsidRPr="00070F42">
        <w:rPr>
          <w:bCs/>
          <w:noProof/>
          <w:sz w:val="22"/>
          <w:szCs w:val="22"/>
          <w:lang w:val="sr-Latn-ME"/>
        </w:rPr>
        <w:t xml:space="preserve"> kod manje od 1% pacijenata koji uzimaju sorafenib. U nekim slučajevima ovo nije bilo povezano sa jasnim intraabdominalnim tumorom. Terapiju sorafenibom treba prekinuti (vidjeti dio 4.8).</w:t>
      </w:r>
    </w:p>
    <w:p w14:paraId="010CF72E" w14:textId="3ED2020A" w:rsidR="00A1565A" w:rsidRPr="00070F42" w:rsidRDefault="00A1565A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9A5016B" w14:textId="28947085" w:rsidR="00A1565A" w:rsidRPr="00070F42" w:rsidRDefault="00A1565A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Sindrom lize tumora</w:t>
      </w:r>
    </w:p>
    <w:p w14:paraId="61AD675F" w14:textId="4357DA9B" w:rsidR="00A1565A" w:rsidRPr="00070F42" w:rsidRDefault="00A1565A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1C6A3511" w14:textId="41FB2AEE" w:rsidR="00A1565A" w:rsidRPr="00070F42" w:rsidRDefault="001D5A9A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Slučajevi sindroma lize tumora, od kojih su neki bili sa smrtnim ishodom, prijavljeni su kod pacijenata</w:t>
      </w:r>
      <w:r w:rsidRPr="00070F42">
        <w:rPr>
          <w:bCs/>
          <w:noProof/>
          <w:sz w:val="22"/>
          <w:szCs w:val="22"/>
          <w:lang w:val="sr-Latn-ME"/>
        </w:rPr>
        <w:br/>
        <w:t>liječenih sorafenibom nakon stavljanja lijeka u promet. Faktori rizika za sindrom lize tumora uključuju</w:t>
      </w:r>
      <w:r w:rsidRPr="00070F42">
        <w:rPr>
          <w:bCs/>
          <w:noProof/>
          <w:sz w:val="22"/>
          <w:szCs w:val="22"/>
          <w:lang w:val="sr-Latn-ME"/>
        </w:rPr>
        <w:br/>
        <w:t>veliko t</w:t>
      </w:r>
      <w:r w:rsidR="00113CF7" w:rsidRPr="00070F42">
        <w:rPr>
          <w:bCs/>
          <w:noProof/>
          <w:sz w:val="22"/>
          <w:szCs w:val="22"/>
          <w:lang w:val="sr-Latn-ME"/>
        </w:rPr>
        <w:t>umorsko opterećenje, postojeću</w:t>
      </w:r>
      <w:r w:rsidRPr="00070F42">
        <w:rPr>
          <w:bCs/>
          <w:noProof/>
          <w:sz w:val="22"/>
          <w:szCs w:val="22"/>
          <w:lang w:val="sr-Latn-ME"/>
        </w:rPr>
        <w:t xml:space="preserve"> h</w:t>
      </w:r>
      <w:r w:rsidR="00113CF7" w:rsidRPr="00070F42">
        <w:rPr>
          <w:bCs/>
          <w:noProof/>
          <w:sz w:val="22"/>
          <w:szCs w:val="22"/>
          <w:lang w:val="sr-Latn-ME"/>
        </w:rPr>
        <w:t>roničnu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113CF7" w:rsidRPr="00070F42">
        <w:rPr>
          <w:bCs/>
          <w:noProof/>
          <w:sz w:val="22"/>
          <w:szCs w:val="22"/>
          <w:lang w:val="sr-Latn-ME"/>
        </w:rPr>
        <w:t>insuficijenciju</w:t>
      </w:r>
      <w:r w:rsidRPr="00070F42">
        <w:rPr>
          <w:bCs/>
          <w:noProof/>
          <w:sz w:val="22"/>
          <w:szCs w:val="22"/>
          <w:lang w:val="sr-Latn-ME"/>
        </w:rPr>
        <w:t xml:space="preserve"> bubrega, oliguriju, dehidraciju, hipotenziju</w:t>
      </w:r>
      <w:r w:rsidR="00113CF7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i</w:t>
      </w:r>
      <w:r w:rsidR="00113CF7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 xml:space="preserve">kiseli urin. Te </w:t>
      </w:r>
      <w:r w:rsidR="00113CF7" w:rsidRPr="00070F42">
        <w:rPr>
          <w:bCs/>
          <w:noProof/>
          <w:sz w:val="22"/>
          <w:szCs w:val="22"/>
          <w:lang w:val="sr-Latn-ME"/>
        </w:rPr>
        <w:t xml:space="preserve">pacijente </w:t>
      </w:r>
      <w:r w:rsidRPr="00070F42">
        <w:rPr>
          <w:bCs/>
          <w:noProof/>
          <w:sz w:val="22"/>
          <w:szCs w:val="22"/>
          <w:lang w:val="sr-Latn-ME"/>
        </w:rPr>
        <w:t>treba pomno pratiti i odmah liječiti kako je klinički indi</w:t>
      </w:r>
      <w:r w:rsidR="00113CF7" w:rsidRPr="00070F42">
        <w:rPr>
          <w:bCs/>
          <w:noProof/>
          <w:sz w:val="22"/>
          <w:szCs w:val="22"/>
          <w:lang w:val="sr-Latn-ME"/>
        </w:rPr>
        <w:t>kov</w:t>
      </w:r>
      <w:r w:rsidRPr="00070F42">
        <w:rPr>
          <w:bCs/>
          <w:noProof/>
          <w:sz w:val="22"/>
          <w:szCs w:val="22"/>
          <w:lang w:val="sr-Latn-ME"/>
        </w:rPr>
        <w:t>ano</w:t>
      </w:r>
      <w:r w:rsidR="00113CF7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te je potrebno</w:t>
      </w:r>
      <w:r w:rsidR="00113CF7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razmotriti profilaktičku hidraciju.</w:t>
      </w:r>
    </w:p>
    <w:p w14:paraId="7B33E4E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0E0EF60" w14:textId="7101C874" w:rsidR="003951A3" w:rsidRPr="00070F42" w:rsidRDefault="00CD73D9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 xml:space="preserve">Oštećenje funkcije </w:t>
      </w:r>
      <w:r w:rsidR="003951A3" w:rsidRPr="00070F42">
        <w:rPr>
          <w:bCs/>
          <w:noProof/>
          <w:sz w:val="22"/>
          <w:szCs w:val="22"/>
          <w:u w:val="single"/>
          <w:lang w:val="sr-Latn-ME"/>
        </w:rPr>
        <w:t>jetre</w:t>
      </w:r>
    </w:p>
    <w:p w14:paraId="204BE2C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A46FEC0" w14:textId="0209B50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Nema dostupnih podataka o pacijentima sa </w:t>
      </w:r>
      <w:r w:rsidR="00CD73D9" w:rsidRPr="00070F42">
        <w:rPr>
          <w:bCs/>
          <w:noProof/>
          <w:sz w:val="22"/>
          <w:szCs w:val="22"/>
          <w:lang w:val="sr-Latn-ME"/>
        </w:rPr>
        <w:t xml:space="preserve">oštećenjem funkcije jetre stadijuma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 Pugh</w:t>
      </w:r>
      <w:r w:rsidRPr="00070F42">
        <w:rPr>
          <w:bCs/>
          <w:noProof/>
          <w:sz w:val="22"/>
          <w:szCs w:val="22"/>
          <w:lang w:val="sr-Latn-ME"/>
        </w:rPr>
        <w:t xml:space="preserve"> C (</w:t>
      </w:r>
      <w:r w:rsidR="00CD73D9" w:rsidRPr="00070F42">
        <w:rPr>
          <w:bCs/>
          <w:noProof/>
          <w:sz w:val="22"/>
          <w:szCs w:val="22"/>
          <w:lang w:val="sr-Latn-ME"/>
        </w:rPr>
        <w:t>teško</w:t>
      </w:r>
      <w:r w:rsidRPr="00070F42">
        <w:rPr>
          <w:bCs/>
          <w:noProof/>
          <w:sz w:val="22"/>
          <w:szCs w:val="22"/>
          <w:lang w:val="sr-Latn-ME"/>
        </w:rPr>
        <w:t xml:space="preserve">). Pošto se sorafenib uglavnom elimiše preko jetre, izloženost lijeku može da bude povećana kod pacijenata sa teškim </w:t>
      </w:r>
      <w:r w:rsidR="00CD73D9" w:rsidRPr="00070F42">
        <w:rPr>
          <w:bCs/>
          <w:noProof/>
          <w:sz w:val="22"/>
          <w:szCs w:val="22"/>
          <w:lang w:val="sr-Latn-ME"/>
        </w:rPr>
        <w:t xml:space="preserve">oštećenjem funkcije </w:t>
      </w:r>
      <w:r w:rsidRPr="00070F42">
        <w:rPr>
          <w:bCs/>
          <w:noProof/>
          <w:sz w:val="22"/>
          <w:szCs w:val="22"/>
          <w:lang w:val="sr-Latn-ME"/>
        </w:rPr>
        <w:t>jetre (vidjeti djelove 4.2. i 5.2).</w:t>
      </w:r>
    </w:p>
    <w:p w14:paraId="30A7D02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0E9888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Istovremena primjena varfarina</w:t>
      </w:r>
    </w:p>
    <w:p w14:paraId="0A26FEB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5061590" w14:textId="1E91BE85" w:rsidR="003951A3" w:rsidRPr="00070F42" w:rsidRDefault="00CD73D9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Kod nekih pacijenata koji su uzimali varfarin tokom terapije sorafenibom prijavljivani su rijetki slučajevi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krvarenja ili povećanje </w:t>
      </w:r>
      <w:r w:rsidRPr="00070F42">
        <w:rPr>
          <w:bCs/>
          <w:noProof/>
          <w:sz w:val="22"/>
          <w:szCs w:val="22"/>
          <w:lang w:val="sr-Latn-ME"/>
        </w:rPr>
        <w:t xml:space="preserve">vrijednosti </w:t>
      </w:r>
      <w:r w:rsidR="001D2548" w:rsidRPr="00070F42">
        <w:rPr>
          <w:bCs/>
          <w:noProof/>
          <w:sz w:val="22"/>
          <w:szCs w:val="22"/>
          <w:lang w:val="sr-Latn-ME"/>
        </w:rPr>
        <w:t xml:space="preserve">internacionalnog normalizovanog odnosa (engl. </w:t>
      </w:r>
      <w:r w:rsidR="003951A3" w:rsidRPr="00070F42">
        <w:rPr>
          <w:bCs/>
          <w:i/>
          <w:iCs/>
          <w:noProof/>
          <w:sz w:val="22"/>
          <w:szCs w:val="22"/>
          <w:lang w:val="sr-Latn-ME"/>
        </w:rPr>
        <w:t>International Normalised Ratio</w:t>
      </w:r>
      <w:r w:rsidR="001D2548" w:rsidRPr="00070F42">
        <w:rPr>
          <w:bCs/>
          <w:noProof/>
          <w:sz w:val="22"/>
          <w:szCs w:val="22"/>
          <w:lang w:val="sr-Latn-ME"/>
        </w:rPr>
        <w:t>, INR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). Pacijente koji istovremeno </w:t>
      </w:r>
      <w:r w:rsidR="001D2548" w:rsidRPr="00070F42">
        <w:rPr>
          <w:bCs/>
          <w:noProof/>
          <w:sz w:val="22"/>
          <w:szCs w:val="22"/>
          <w:lang w:val="sr-Latn-ME"/>
        </w:rPr>
        <w:t xml:space="preserve">uzimaju </w:t>
      </w:r>
      <w:r w:rsidR="003951A3" w:rsidRPr="00070F42">
        <w:rPr>
          <w:bCs/>
          <w:noProof/>
          <w:sz w:val="22"/>
          <w:szCs w:val="22"/>
          <w:lang w:val="sr-Latn-ME"/>
        </w:rPr>
        <w:t>varfarin ili fenprokumon trebalo bi redovno kontrolisati</w:t>
      </w:r>
      <w:r w:rsidR="001D2548" w:rsidRPr="00070F42">
        <w:rPr>
          <w:bCs/>
          <w:noProof/>
          <w:sz w:val="22"/>
          <w:szCs w:val="22"/>
          <w:lang w:val="sr-Latn-ME"/>
        </w:rPr>
        <w:t>, kako bi se uočile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promjene protrombinskog vremena, INR</w:t>
      </w:r>
      <w:r w:rsidR="001D2548" w:rsidRPr="00070F42">
        <w:rPr>
          <w:bCs/>
          <w:noProof/>
          <w:sz w:val="22"/>
          <w:szCs w:val="22"/>
          <w:lang w:val="sr-Latn-ME"/>
        </w:rPr>
        <w:t>-a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ili </w:t>
      </w:r>
      <w:r w:rsidR="001D2548" w:rsidRPr="00070F42">
        <w:rPr>
          <w:bCs/>
          <w:noProof/>
          <w:sz w:val="22"/>
          <w:szCs w:val="22"/>
          <w:lang w:val="sr-Latn-ME"/>
        </w:rPr>
        <w:t xml:space="preserve">pojave </w:t>
      </w:r>
      <w:r w:rsidR="003951A3" w:rsidRPr="00070F42">
        <w:rPr>
          <w:bCs/>
          <w:noProof/>
          <w:sz w:val="22"/>
          <w:szCs w:val="22"/>
          <w:lang w:val="sr-Latn-ME"/>
        </w:rPr>
        <w:t>kliničkih epizoda krvarenja (vidjeti djelove 4.5</w:t>
      </w:r>
      <w:r w:rsidR="00B27AA7" w:rsidRPr="00070F42">
        <w:rPr>
          <w:bCs/>
          <w:noProof/>
          <w:sz w:val="22"/>
          <w:szCs w:val="22"/>
          <w:lang w:val="sr-Latn-ME"/>
        </w:rPr>
        <w:t>.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i 4.8).</w:t>
      </w:r>
    </w:p>
    <w:p w14:paraId="2575E47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6C9A68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Komplikacije kod zarastanja rana</w:t>
      </w:r>
    </w:p>
    <w:p w14:paraId="710777D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68C6BC9" w14:textId="773BF383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Do sada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 xml:space="preserve">su sprovođene formalne studije o uticaju sorafeniba na zarastanje rana. </w:t>
      </w:r>
      <w:r w:rsidR="001D2548" w:rsidRPr="00070F42">
        <w:rPr>
          <w:bCs/>
          <w:noProof/>
          <w:sz w:val="22"/>
          <w:szCs w:val="22"/>
          <w:lang w:val="sr-Latn-ME"/>
        </w:rPr>
        <w:t>Kod pacijenata koji se podvrgavaju većim hirurškim zahvatima iz predostrožnosti se p</w:t>
      </w:r>
      <w:r w:rsidRPr="00070F42">
        <w:rPr>
          <w:bCs/>
          <w:noProof/>
          <w:sz w:val="22"/>
          <w:szCs w:val="22"/>
          <w:lang w:val="sr-Latn-ME"/>
        </w:rPr>
        <w:t xml:space="preserve">reporučuje privremeno prekidanje terapije </w:t>
      </w:r>
      <w:r w:rsidR="001D2548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>. Postoji ograničeno kliničko iskustvo kad</w:t>
      </w:r>
      <w:r w:rsidR="007746B9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je u pitanju vrijeme nakon kojeg se može ponovo uvesti terapija posl</w:t>
      </w:r>
      <w:r w:rsidR="007746B9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 xml:space="preserve">e većih hirurških intervencija. Stoga, odluka o nastavku terapije </w:t>
      </w:r>
      <w:r w:rsidR="001D2548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 xml:space="preserve"> posl</w:t>
      </w:r>
      <w:r w:rsidR="001D2548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 većih hirurških zahvata treba da bude zasnovana na kliničkoj procjeni adekvatnog zarastanja rana.</w:t>
      </w:r>
    </w:p>
    <w:p w14:paraId="140FD65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9F672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Starija populacija</w:t>
      </w:r>
    </w:p>
    <w:p w14:paraId="04462EC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37E0ED8" w14:textId="24B0BC64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Prijavljeni su slučajevi bubrežne insuficijencije. </w:t>
      </w:r>
      <w:r w:rsidR="001D2548" w:rsidRPr="00070F42">
        <w:rPr>
          <w:bCs/>
          <w:noProof/>
          <w:sz w:val="22"/>
          <w:szCs w:val="22"/>
          <w:lang w:val="sr-Latn-ME"/>
        </w:rPr>
        <w:t>Potrebno je</w:t>
      </w:r>
      <w:r w:rsidRPr="00070F42">
        <w:rPr>
          <w:bCs/>
          <w:noProof/>
          <w:sz w:val="22"/>
          <w:szCs w:val="22"/>
          <w:lang w:val="sr-Latn-ME"/>
        </w:rPr>
        <w:t xml:space="preserve"> razmotriti praćenje bubrežne funkcije.</w:t>
      </w:r>
    </w:p>
    <w:p w14:paraId="660C39E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E17218B" w14:textId="2B3811D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 xml:space="preserve">Interakcije </w:t>
      </w:r>
      <w:r w:rsidR="001D2548" w:rsidRPr="00070F42">
        <w:rPr>
          <w:bCs/>
          <w:noProof/>
          <w:sz w:val="22"/>
          <w:szCs w:val="22"/>
          <w:u w:val="single"/>
          <w:lang w:val="sr-Latn-ME"/>
        </w:rPr>
        <w:t>sa drugim ljekovima</w:t>
      </w:r>
    </w:p>
    <w:p w14:paraId="586ED9A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FA04411" w14:textId="3CD01A5D" w:rsidR="003951A3" w:rsidRPr="00070F42" w:rsidRDefault="001D2548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Preporučuje se oprez pri istovremenoj primjeni sorafeniba i jedinjenja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koja se metabolišu/eliminišu </w:t>
      </w:r>
      <w:r w:rsidRPr="00070F42">
        <w:rPr>
          <w:bCs/>
          <w:noProof/>
          <w:sz w:val="22"/>
          <w:szCs w:val="22"/>
          <w:lang w:val="sr-Latn-ME"/>
        </w:rPr>
        <w:t>pretežno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</w:t>
      </w:r>
      <w:r w:rsidRPr="00070F42">
        <w:rPr>
          <w:bCs/>
          <w:noProof/>
          <w:sz w:val="22"/>
          <w:szCs w:val="22"/>
          <w:lang w:val="sr-Latn-ME"/>
        </w:rPr>
        <w:t>utem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UGT1A1 (npr. irinotekan) ili UGT1A9 puteva (vidjeti dio 4.5).</w:t>
      </w:r>
    </w:p>
    <w:p w14:paraId="326011B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A93CB7B" w14:textId="34BCACC6" w:rsidR="003951A3" w:rsidRPr="00070F42" w:rsidRDefault="001D2548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</w:t>
      </w:r>
      <w:r w:rsidR="003951A3" w:rsidRPr="00070F42">
        <w:rPr>
          <w:bCs/>
          <w:noProof/>
          <w:sz w:val="22"/>
          <w:szCs w:val="22"/>
          <w:lang w:val="sr-Latn-ME"/>
        </w:rPr>
        <w:t>reporučuje</w:t>
      </w:r>
      <w:r w:rsidRPr="00070F42">
        <w:rPr>
          <w:bCs/>
          <w:noProof/>
          <w:sz w:val="22"/>
          <w:szCs w:val="22"/>
          <w:lang w:val="sr-Latn-ME"/>
        </w:rPr>
        <w:t xml:space="preserve"> se oprez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kada se </w:t>
      </w:r>
      <w:r w:rsidRPr="00070F42">
        <w:rPr>
          <w:bCs/>
          <w:noProof/>
          <w:sz w:val="22"/>
          <w:szCs w:val="22"/>
          <w:lang w:val="sr-Latn-ME"/>
        </w:rPr>
        <w:t>sorafenib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primjenjuje</w:t>
      </w:r>
      <w:r w:rsidRPr="00070F42">
        <w:rPr>
          <w:bCs/>
          <w:noProof/>
          <w:sz w:val="22"/>
          <w:szCs w:val="22"/>
          <w:lang w:val="sr-Latn-ME"/>
        </w:rPr>
        <w:t xml:space="preserve"> istovremeno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sa docetakselom (vidjeti dio 4.5).</w:t>
      </w:r>
    </w:p>
    <w:p w14:paraId="02F2042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996172D" w14:textId="03E65423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Istovremena primjena neomicina ili drugih antibiotika koji u</w:t>
      </w:r>
      <w:r w:rsidR="001D2548" w:rsidRPr="00070F42">
        <w:rPr>
          <w:bCs/>
          <w:noProof/>
          <w:sz w:val="22"/>
          <w:szCs w:val="22"/>
          <w:lang w:val="sr-Latn-ME"/>
        </w:rPr>
        <w:t>zrokuju veći poremećaj</w:t>
      </w:r>
      <w:r w:rsidRPr="00070F42">
        <w:rPr>
          <w:bCs/>
          <w:noProof/>
          <w:sz w:val="22"/>
          <w:szCs w:val="22"/>
          <w:lang w:val="sr-Latn-ME"/>
        </w:rPr>
        <w:t xml:space="preserve"> gastrointestinaln</w:t>
      </w:r>
      <w:r w:rsidR="001D2548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mikroflor</w:t>
      </w:r>
      <w:r w:rsidR="001D2548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može smanjiti bioraspoloživost sorafeniba (vidjeti dio 4.5). Treba razmotriti rizik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 od</w:t>
      </w:r>
      <w:r w:rsidRPr="00070F42">
        <w:rPr>
          <w:bCs/>
          <w:noProof/>
          <w:sz w:val="22"/>
          <w:szCs w:val="22"/>
          <w:lang w:val="sr-Latn-ME"/>
        </w:rPr>
        <w:t xml:space="preserve"> sniženja koncentracije sorafeniba u plazmi prije nego što se započne terapija antibioticima. </w:t>
      </w:r>
    </w:p>
    <w:p w14:paraId="2E03C60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1D00F18" w14:textId="3909B76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Prijavljena je veća smrtnost pacijenata sa 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karcinomom </w:t>
      </w:r>
      <w:r w:rsidRPr="00070F42">
        <w:rPr>
          <w:bCs/>
          <w:noProof/>
          <w:sz w:val="22"/>
          <w:szCs w:val="22"/>
          <w:lang w:val="sr-Latn-ME"/>
        </w:rPr>
        <w:t>skvamozni</w:t>
      </w:r>
      <w:r w:rsidR="009D216A" w:rsidRPr="00070F42">
        <w:rPr>
          <w:bCs/>
          <w:noProof/>
          <w:sz w:val="22"/>
          <w:szCs w:val="22"/>
          <w:lang w:val="sr-Latn-ME"/>
        </w:rPr>
        <w:t>h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ćelija </w:t>
      </w:r>
      <w:r w:rsidRPr="00070F42">
        <w:rPr>
          <w:bCs/>
          <w:noProof/>
          <w:sz w:val="22"/>
          <w:szCs w:val="22"/>
          <w:lang w:val="sr-Latn-ME"/>
        </w:rPr>
        <w:t>pluća koji su bili na terapiji sorafenibom u kombinaciji sa hemoterapij</w:t>
      </w:r>
      <w:r w:rsidR="009D216A" w:rsidRPr="00070F42">
        <w:rPr>
          <w:bCs/>
          <w:noProof/>
          <w:sz w:val="22"/>
          <w:szCs w:val="22"/>
          <w:lang w:val="sr-Latn-ME"/>
        </w:rPr>
        <w:t>om zasnovano</w:t>
      </w:r>
      <w:r w:rsidR="005C1864" w:rsidRPr="00070F42">
        <w:rPr>
          <w:bCs/>
          <w:noProof/>
          <w:sz w:val="22"/>
          <w:szCs w:val="22"/>
          <w:lang w:val="sr-Latn-ME"/>
        </w:rPr>
        <w:t>m</w:t>
      </w:r>
      <w:r w:rsidRPr="00070F42">
        <w:rPr>
          <w:bCs/>
          <w:noProof/>
          <w:sz w:val="22"/>
          <w:szCs w:val="22"/>
          <w:lang w:val="sr-Latn-ME"/>
        </w:rPr>
        <w:t xml:space="preserve"> na platini. U dva randomiz</w:t>
      </w:r>
      <w:r w:rsidR="00503DA0" w:rsidRPr="00070F42">
        <w:rPr>
          <w:bCs/>
          <w:noProof/>
          <w:sz w:val="22"/>
          <w:szCs w:val="22"/>
          <w:lang w:val="sr-Latn-ME"/>
        </w:rPr>
        <w:t>ov</w:t>
      </w:r>
      <w:r w:rsidRPr="00070F42">
        <w:rPr>
          <w:bCs/>
          <w:noProof/>
          <w:sz w:val="22"/>
          <w:szCs w:val="22"/>
          <w:lang w:val="sr-Latn-ME"/>
        </w:rPr>
        <w:t>ana ispitivanja kod pacijenata sa nesitnoćelijskim karcinomom pluća (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engl. </w:t>
      </w:r>
      <w:r w:rsidRPr="00070F42">
        <w:rPr>
          <w:bCs/>
          <w:i/>
          <w:iCs/>
          <w:noProof/>
          <w:sz w:val="22"/>
          <w:szCs w:val="22"/>
          <w:lang w:val="sr-Latn-ME"/>
        </w:rPr>
        <w:t>Non-Small Cell Lung Cancer</w:t>
      </w:r>
      <w:r w:rsidR="009D216A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NSCLC) u podgrupi pacijenata sa karcinomom skvamoznih ćelija koji su bili na terapiji sorafenibom u kombinaciji sa paklitakselom/karboplatinom, nađeno je da je HR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 (engl. </w:t>
      </w:r>
      <w:r w:rsidR="009D216A" w:rsidRPr="00070F42">
        <w:rPr>
          <w:bCs/>
          <w:i/>
          <w:iCs/>
          <w:noProof/>
          <w:sz w:val="22"/>
          <w:szCs w:val="22"/>
          <w:lang w:val="sr-Latn-ME"/>
        </w:rPr>
        <w:t>Hazard Ratio</w:t>
      </w:r>
      <w:r w:rsidR="009D216A" w:rsidRPr="00070F42">
        <w:rPr>
          <w:bCs/>
          <w:noProof/>
          <w:sz w:val="22"/>
          <w:szCs w:val="22"/>
          <w:lang w:val="sr-Latn-ME"/>
        </w:rPr>
        <w:t>)</w:t>
      </w:r>
      <w:r w:rsidRPr="00070F42">
        <w:rPr>
          <w:bCs/>
          <w:noProof/>
          <w:sz w:val="22"/>
          <w:szCs w:val="22"/>
          <w:lang w:val="sr-Latn-ME"/>
        </w:rPr>
        <w:t xml:space="preserve"> ukupnog preživljavanja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 bio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lastRenderedPageBreak/>
        <w:t>1,81 (95% CI 1,19; 2,74), a u kombinaciji sa gemcitabinom/cisplatinom 1,22 (95% CI 0,82; 1,80). Nijedan od razloga smrtnosti nije bio dominantan, ali prim</w:t>
      </w:r>
      <w:r w:rsidR="00503DA0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jećena je veća incidenca neželjenih </w:t>
      </w:r>
      <w:r w:rsidR="009D216A" w:rsidRPr="00070F42">
        <w:rPr>
          <w:bCs/>
          <w:noProof/>
          <w:sz w:val="22"/>
          <w:szCs w:val="22"/>
          <w:lang w:val="sr-Latn-ME"/>
        </w:rPr>
        <w:t xml:space="preserve">događaja </w:t>
      </w:r>
      <w:r w:rsidRPr="00070F42">
        <w:rPr>
          <w:bCs/>
          <w:noProof/>
          <w:sz w:val="22"/>
          <w:szCs w:val="22"/>
          <w:lang w:val="sr-Latn-ME"/>
        </w:rPr>
        <w:t>kao što su respiratorn</w:t>
      </w:r>
      <w:r w:rsidR="009D216A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insuficijencij</w:t>
      </w:r>
      <w:r w:rsidR="009D216A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>, hemoragij</w:t>
      </w:r>
      <w:r w:rsidR="009D216A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i infekcije kod pacijenata koji su bili na terapiji sorafenibom u kombinaciji sa hemoterapij</w:t>
      </w:r>
      <w:r w:rsidR="009D216A" w:rsidRPr="00070F42">
        <w:rPr>
          <w:bCs/>
          <w:noProof/>
          <w:sz w:val="22"/>
          <w:szCs w:val="22"/>
          <w:lang w:val="sr-Latn-ME"/>
        </w:rPr>
        <w:t>o</w:t>
      </w:r>
      <w:r w:rsidRPr="00070F42">
        <w:rPr>
          <w:bCs/>
          <w:noProof/>
          <w:sz w:val="22"/>
          <w:szCs w:val="22"/>
          <w:lang w:val="sr-Latn-ME"/>
        </w:rPr>
        <w:t xml:space="preserve">m </w:t>
      </w:r>
      <w:r w:rsidR="009D216A" w:rsidRPr="00070F42">
        <w:rPr>
          <w:bCs/>
          <w:noProof/>
          <w:sz w:val="22"/>
          <w:szCs w:val="22"/>
          <w:lang w:val="sr-Latn-ME"/>
        </w:rPr>
        <w:t>zasnovano</w:t>
      </w:r>
      <w:r w:rsidR="005C1864" w:rsidRPr="00070F42">
        <w:rPr>
          <w:bCs/>
          <w:noProof/>
          <w:sz w:val="22"/>
          <w:szCs w:val="22"/>
          <w:lang w:val="sr-Latn-ME"/>
        </w:rPr>
        <w:t>m</w:t>
      </w:r>
      <w:r w:rsidRPr="00070F42">
        <w:rPr>
          <w:bCs/>
          <w:noProof/>
          <w:sz w:val="22"/>
          <w:szCs w:val="22"/>
          <w:lang w:val="sr-Latn-ME"/>
        </w:rPr>
        <w:t xml:space="preserve"> na platini.</w:t>
      </w:r>
    </w:p>
    <w:p w14:paraId="05DFF9C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C7E8DB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Posebna upozorenja vezana za oboljenje</w:t>
      </w:r>
    </w:p>
    <w:p w14:paraId="1E0F0BA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23E063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u w:val="single"/>
          <w:lang w:val="sr-Latn-ME"/>
        </w:rPr>
      </w:pPr>
      <w:r w:rsidRPr="00070F42">
        <w:rPr>
          <w:bCs/>
          <w:i/>
          <w:iCs/>
          <w:noProof/>
          <w:sz w:val="22"/>
          <w:szCs w:val="22"/>
          <w:u w:val="single"/>
          <w:lang w:val="sr-Latn-ME"/>
        </w:rPr>
        <w:t>Diferencirani karcinom tireoideje (DTC)</w:t>
      </w:r>
    </w:p>
    <w:p w14:paraId="608146F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A8B7905" w14:textId="2BAB617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Prije započinjanja terapije, ljekarima se preporučuje da pažljivo procijene prognozu svakog pacijenta ponaosob uzimajući u obzir maksimalnu veličinu lezije (vidjeti dio 5.1), simptome </w:t>
      </w:r>
      <w:r w:rsidR="009D216A" w:rsidRPr="00070F42">
        <w:rPr>
          <w:bCs/>
          <w:noProof/>
          <w:sz w:val="22"/>
          <w:szCs w:val="22"/>
          <w:lang w:val="sr-Latn-ME"/>
        </w:rPr>
        <w:t>povezane sa bolešću</w:t>
      </w:r>
      <w:r w:rsidRPr="00070F42">
        <w:rPr>
          <w:bCs/>
          <w:noProof/>
          <w:sz w:val="22"/>
          <w:szCs w:val="22"/>
          <w:lang w:val="sr-Latn-ME"/>
        </w:rPr>
        <w:t xml:space="preserve"> (vidjeti dio 5.1) i brzinu napredovanja oboljenja.</w:t>
      </w:r>
    </w:p>
    <w:p w14:paraId="33AE9D1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CCE5BBE" w14:textId="1CC29208" w:rsidR="003951A3" w:rsidRPr="00070F42" w:rsidRDefault="009D216A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Terapija 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suspektnih neželjenih dejstava lijeka može da zahtijeva privremeno prekidanje terapije ili smanjenje doze </w:t>
      </w:r>
      <w:r w:rsidRPr="00070F42">
        <w:rPr>
          <w:bCs/>
          <w:noProof/>
          <w:sz w:val="22"/>
          <w:szCs w:val="22"/>
          <w:lang w:val="sr-Latn-ME"/>
        </w:rPr>
        <w:t>sorafeniba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. U studiji 5 (vidjeti dio 5.1), </w:t>
      </w:r>
      <w:r w:rsidR="00800786" w:rsidRPr="00070F42">
        <w:rPr>
          <w:bCs/>
          <w:noProof/>
          <w:sz w:val="22"/>
          <w:szCs w:val="22"/>
          <w:lang w:val="sr-Latn-ME"/>
        </w:rPr>
        <w:t xml:space="preserve">primjena je bila prekinuta kod </w:t>
      </w:r>
      <w:r w:rsidR="003951A3" w:rsidRPr="00070F42">
        <w:rPr>
          <w:bCs/>
          <w:noProof/>
          <w:sz w:val="22"/>
          <w:szCs w:val="22"/>
          <w:lang w:val="sr-Latn-ME"/>
        </w:rPr>
        <w:t>37% ispitanika, a kod 35% je smanjen</w:t>
      </w:r>
      <w:r w:rsidR="00F63D60"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doz</w:t>
      </w:r>
      <w:r w:rsidR="00F63D60"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već tokom prvog ciklusa liječenja </w:t>
      </w:r>
      <w:r w:rsidR="00F63D60" w:rsidRPr="00070F42">
        <w:rPr>
          <w:bCs/>
          <w:noProof/>
          <w:sz w:val="22"/>
          <w:szCs w:val="22"/>
          <w:lang w:val="sr-Latn-ME"/>
        </w:rPr>
        <w:t>sorafenibom</w:t>
      </w:r>
      <w:r w:rsidR="003951A3" w:rsidRPr="00070F42">
        <w:rPr>
          <w:bCs/>
          <w:noProof/>
          <w:sz w:val="22"/>
          <w:szCs w:val="22"/>
          <w:lang w:val="sr-Latn-ME"/>
        </w:rPr>
        <w:t>.</w:t>
      </w:r>
    </w:p>
    <w:p w14:paraId="23A26BA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909BC04" w14:textId="6F690DE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Smanjenje doze je samo djelimično bilo uspješno u ublažavanju neželjenih reakcija. Zbog toga se preporučuje da se 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prilikom ponavljanih procjena odnosa korist/rizik </w:t>
      </w:r>
      <w:r w:rsidRPr="00070F42">
        <w:rPr>
          <w:bCs/>
          <w:noProof/>
          <w:sz w:val="22"/>
          <w:szCs w:val="22"/>
          <w:lang w:val="sr-Latn-ME"/>
        </w:rPr>
        <w:t xml:space="preserve">uzme </w:t>
      </w:r>
      <w:r w:rsidR="00EF32AF" w:rsidRPr="00070F42">
        <w:rPr>
          <w:bCs/>
          <w:noProof/>
          <w:sz w:val="22"/>
          <w:szCs w:val="22"/>
          <w:lang w:val="sr-Latn-ME"/>
        </w:rPr>
        <w:t xml:space="preserve">u obzir </w:t>
      </w:r>
      <w:r w:rsidRPr="00070F42">
        <w:rPr>
          <w:bCs/>
          <w:noProof/>
          <w:sz w:val="22"/>
          <w:szCs w:val="22"/>
          <w:lang w:val="sr-Latn-ME"/>
        </w:rPr>
        <w:t>antitumorska aktivnost i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 podnošljivost lijeka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757EBC1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A01D77B" w14:textId="2C473E52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Hemoragija </w:t>
      </w:r>
      <w:r w:rsidR="00800786" w:rsidRPr="00070F42">
        <w:rPr>
          <w:bCs/>
          <w:i/>
          <w:iCs/>
          <w:noProof/>
          <w:sz w:val="22"/>
          <w:szCs w:val="22"/>
          <w:lang w:val="sr-Latn-ME"/>
        </w:rPr>
        <w:t>kod</w:t>
      </w: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 DTC</w:t>
      </w:r>
    </w:p>
    <w:p w14:paraId="53B45489" w14:textId="428534BF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Kod pacijenata sa DTC, zbog potencijalnog rizika od krvarenja, trahealnu, bronhijalnu i ezofagealnu infiltraciju treba liječiti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 lokalnom terapijom</w:t>
      </w:r>
      <w:r w:rsidRPr="00070F42">
        <w:rPr>
          <w:bCs/>
          <w:noProof/>
          <w:sz w:val="22"/>
          <w:szCs w:val="22"/>
          <w:lang w:val="sr-Latn-ME"/>
        </w:rPr>
        <w:t xml:space="preserve">, prije primjene </w:t>
      </w:r>
      <w:r w:rsidR="00F63D60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481BF73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3E7E4F3" w14:textId="442E9CBE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Hipokalcemija </w:t>
      </w:r>
      <w:r w:rsidR="00026DB0" w:rsidRPr="00070F42">
        <w:rPr>
          <w:bCs/>
          <w:i/>
          <w:iCs/>
          <w:noProof/>
          <w:sz w:val="22"/>
          <w:szCs w:val="22"/>
          <w:lang w:val="sr-Latn-ME"/>
        </w:rPr>
        <w:t>kod</w:t>
      </w: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 DTC</w:t>
      </w:r>
    </w:p>
    <w:p w14:paraId="224734AB" w14:textId="6E83741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Prilikom primjene </w:t>
      </w:r>
      <w:r w:rsidR="00F63D60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 xml:space="preserve"> kod pacijenata sa DTC preporučuje se pažljivo praćenje nivoa kalcijuma u krvi. U kliničkim ispitivanjima hipokalcemija se češće i u težem obliku javljala kod pacijenata sa DTC, naročito 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kod onih </w:t>
      </w:r>
      <w:r w:rsidRPr="00070F42">
        <w:rPr>
          <w:bCs/>
          <w:noProof/>
          <w:sz w:val="22"/>
          <w:szCs w:val="22"/>
          <w:lang w:val="sr-Latn-ME"/>
        </w:rPr>
        <w:t>sa hipoparatireo</w:t>
      </w:r>
      <w:r w:rsidR="00026DB0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dizm</w:t>
      </w:r>
      <w:r w:rsidR="00F63D60" w:rsidRPr="00070F42">
        <w:rPr>
          <w:bCs/>
          <w:noProof/>
          <w:sz w:val="22"/>
          <w:szCs w:val="22"/>
          <w:lang w:val="sr-Latn-ME"/>
        </w:rPr>
        <w:t>om u istoriji bolesti</w:t>
      </w:r>
      <w:r w:rsidRPr="00070F42">
        <w:rPr>
          <w:bCs/>
          <w:noProof/>
          <w:sz w:val="22"/>
          <w:szCs w:val="22"/>
          <w:lang w:val="sr-Latn-ME"/>
        </w:rPr>
        <w:t xml:space="preserve">, u odnosu na pacijente sa 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karcinomom bubrežnih ćelija ili </w:t>
      </w:r>
      <w:r w:rsidRPr="00070F42">
        <w:rPr>
          <w:bCs/>
          <w:noProof/>
          <w:sz w:val="22"/>
          <w:szCs w:val="22"/>
          <w:lang w:val="sr-Latn-ME"/>
        </w:rPr>
        <w:t>hepatocelularnim karcinomom. Hipokalcemija stepena 3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 i 4</w:t>
      </w:r>
      <w:r w:rsidRPr="00070F42">
        <w:rPr>
          <w:bCs/>
          <w:noProof/>
          <w:sz w:val="22"/>
          <w:szCs w:val="22"/>
          <w:lang w:val="sr-Latn-ME"/>
        </w:rPr>
        <w:t xml:space="preserve"> javila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 se</w:t>
      </w:r>
      <w:r w:rsidRPr="00070F42">
        <w:rPr>
          <w:bCs/>
          <w:noProof/>
          <w:sz w:val="22"/>
          <w:szCs w:val="22"/>
          <w:lang w:val="sr-Latn-ME"/>
        </w:rPr>
        <w:t xml:space="preserve"> kod 6.8%, odnosno 3.4% pacijenta sa DTC 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liječenih sorafenibom </w:t>
      </w:r>
      <w:r w:rsidRPr="00070F42">
        <w:rPr>
          <w:bCs/>
          <w:noProof/>
          <w:sz w:val="22"/>
          <w:szCs w:val="22"/>
          <w:lang w:val="sr-Latn-ME"/>
        </w:rPr>
        <w:t xml:space="preserve">(vidjeti dio 4.8). </w:t>
      </w:r>
      <w:r w:rsidR="00F63D60" w:rsidRPr="00070F42">
        <w:rPr>
          <w:bCs/>
          <w:noProof/>
          <w:sz w:val="22"/>
          <w:szCs w:val="22"/>
          <w:lang w:val="sr-Latn-ME"/>
        </w:rPr>
        <w:t>Tešku</w:t>
      </w:r>
      <w:r w:rsidRPr="00070F42">
        <w:rPr>
          <w:bCs/>
          <w:noProof/>
          <w:sz w:val="22"/>
          <w:szCs w:val="22"/>
          <w:lang w:val="sr-Latn-ME"/>
        </w:rPr>
        <w:t xml:space="preserve"> hipokal</w:t>
      </w:r>
      <w:r w:rsidR="00925EEB" w:rsidRPr="00070F42">
        <w:rPr>
          <w:bCs/>
          <w:noProof/>
          <w:sz w:val="22"/>
          <w:szCs w:val="22"/>
          <w:lang w:val="sr-Latn-ME"/>
        </w:rPr>
        <w:t>c</w:t>
      </w:r>
      <w:r w:rsidRPr="00070F42">
        <w:rPr>
          <w:bCs/>
          <w:noProof/>
          <w:sz w:val="22"/>
          <w:szCs w:val="22"/>
          <w:lang w:val="sr-Latn-ME"/>
        </w:rPr>
        <w:t xml:space="preserve">emiju treba </w:t>
      </w:r>
      <w:r w:rsidR="00F63D60" w:rsidRPr="00070F42">
        <w:rPr>
          <w:bCs/>
          <w:noProof/>
          <w:sz w:val="22"/>
          <w:szCs w:val="22"/>
          <w:lang w:val="sr-Latn-ME"/>
        </w:rPr>
        <w:t xml:space="preserve">korigovati </w:t>
      </w:r>
      <w:r w:rsidRPr="00070F42">
        <w:rPr>
          <w:bCs/>
          <w:noProof/>
          <w:sz w:val="22"/>
          <w:szCs w:val="22"/>
          <w:lang w:val="sr-Latn-ME"/>
        </w:rPr>
        <w:t xml:space="preserve">kako bi se spriječile komplikacije kao što su produženje QT intervala ili </w:t>
      </w:r>
      <w:r w:rsidRPr="00070F42">
        <w:rPr>
          <w:bCs/>
          <w:i/>
          <w:iCs/>
          <w:noProof/>
          <w:sz w:val="22"/>
          <w:szCs w:val="22"/>
          <w:lang w:val="sr-Latn-ME"/>
        </w:rPr>
        <w:t>torsade de pointes</w:t>
      </w:r>
      <w:r w:rsidRPr="00070F42">
        <w:rPr>
          <w:bCs/>
          <w:noProof/>
          <w:sz w:val="22"/>
          <w:szCs w:val="22"/>
          <w:lang w:val="sr-Latn-ME"/>
        </w:rPr>
        <w:t xml:space="preserve"> (vidjeti dio </w:t>
      </w:r>
      <w:r w:rsidR="00925EEB" w:rsidRPr="00070F42">
        <w:rPr>
          <w:bCs/>
          <w:noProof/>
          <w:sz w:val="22"/>
          <w:szCs w:val="22"/>
          <w:lang w:val="sr-Latn-ME"/>
        </w:rPr>
        <w:t>„P</w:t>
      </w:r>
      <w:r w:rsidRPr="00070F42">
        <w:rPr>
          <w:bCs/>
          <w:noProof/>
          <w:sz w:val="22"/>
          <w:szCs w:val="22"/>
          <w:lang w:val="sr-Latn-ME"/>
        </w:rPr>
        <w:t>roduženje QT intervala</w:t>
      </w:r>
      <w:r w:rsidR="00925EEB" w:rsidRPr="00070F42">
        <w:rPr>
          <w:bCs/>
          <w:noProof/>
          <w:sz w:val="22"/>
          <w:szCs w:val="22"/>
          <w:lang w:val="sr-Latn-ME"/>
        </w:rPr>
        <w:t>“</w:t>
      </w:r>
      <w:r w:rsidRPr="00070F42">
        <w:rPr>
          <w:bCs/>
          <w:noProof/>
          <w:sz w:val="22"/>
          <w:szCs w:val="22"/>
          <w:lang w:val="sr-Latn-ME"/>
        </w:rPr>
        <w:t>).</w:t>
      </w:r>
    </w:p>
    <w:p w14:paraId="20BC374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FA23AC5" w14:textId="440970DE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TSH supersija </w:t>
      </w:r>
      <w:r w:rsidR="003D1432" w:rsidRPr="00070F42">
        <w:rPr>
          <w:bCs/>
          <w:i/>
          <w:iCs/>
          <w:noProof/>
          <w:sz w:val="22"/>
          <w:szCs w:val="22"/>
          <w:lang w:val="sr-Latn-ME"/>
        </w:rPr>
        <w:t>kod</w:t>
      </w:r>
      <w:r w:rsidRPr="00070F42">
        <w:rPr>
          <w:bCs/>
          <w:i/>
          <w:iCs/>
          <w:noProof/>
          <w:sz w:val="22"/>
          <w:szCs w:val="22"/>
          <w:lang w:val="sr-Latn-ME"/>
        </w:rPr>
        <w:t xml:space="preserve"> DTC</w:t>
      </w:r>
    </w:p>
    <w:p w14:paraId="3DB58171" w14:textId="13BB3AF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 studiji 5 (vidjeti dio 5.1), prim</w:t>
      </w:r>
      <w:r w:rsidR="003D1432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jećeno je povećanje </w:t>
      </w:r>
      <w:r w:rsidR="00925EEB" w:rsidRPr="00070F42">
        <w:rPr>
          <w:bCs/>
          <w:noProof/>
          <w:sz w:val="22"/>
          <w:szCs w:val="22"/>
          <w:lang w:val="sr-Latn-ME"/>
        </w:rPr>
        <w:t xml:space="preserve">vrijednosti </w:t>
      </w:r>
      <w:r w:rsidRPr="00070F42">
        <w:rPr>
          <w:bCs/>
          <w:noProof/>
          <w:sz w:val="22"/>
          <w:szCs w:val="22"/>
          <w:lang w:val="sr-Latn-ME"/>
        </w:rPr>
        <w:t>TSH iznad 0,5</w:t>
      </w:r>
      <w:r w:rsidR="00925EEB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 xml:space="preserve">mU/L kod pacijenata koji su bili na terapiji </w:t>
      </w:r>
      <w:r w:rsidR="00925EEB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 xml:space="preserve">. Preporučuje se pažljivo praćenje </w:t>
      </w:r>
      <w:r w:rsidR="00925EEB" w:rsidRPr="00070F42">
        <w:rPr>
          <w:bCs/>
          <w:noProof/>
          <w:sz w:val="22"/>
          <w:szCs w:val="22"/>
          <w:lang w:val="sr-Latn-ME"/>
        </w:rPr>
        <w:t>vrijednosti</w:t>
      </w:r>
      <w:r w:rsidRPr="00070F42">
        <w:rPr>
          <w:bCs/>
          <w:noProof/>
          <w:sz w:val="22"/>
          <w:szCs w:val="22"/>
          <w:lang w:val="sr-Latn-ME"/>
        </w:rPr>
        <w:t xml:space="preserve"> TSH kod pacijenata koji boluju od DTC</w:t>
      </w:r>
      <w:r w:rsidR="00925EEB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a na terapiji su </w:t>
      </w:r>
      <w:r w:rsidR="00925EEB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773398D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17BC401" w14:textId="3B8EA2E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u w:val="single"/>
          <w:lang w:val="sr-Latn-ME"/>
        </w:rPr>
      </w:pPr>
      <w:r w:rsidRPr="00070F42">
        <w:rPr>
          <w:bCs/>
          <w:i/>
          <w:iCs/>
          <w:noProof/>
          <w:sz w:val="22"/>
          <w:szCs w:val="22"/>
          <w:u w:val="single"/>
          <w:lang w:val="sr-Latn-ME"/>
        </w:rPr>
        <w:t>Karcinom bubre</w:t>
      </w:r>
      <w:r w:rsidR="00925EEB" w:rsidRPr="00070F42">
        <w:rPr>
          <w:bCs/>
          <w:i/>
          <w:iCs/>
          <w:noProof/>
          <w:sz w:val="22"/>
          <w:szCs w:val="22"/>
          <w:u w:val="single"/>
          <w:lang w:val="sr-Latn-ME"/>
        </w:rPr>
        <w:t>žnih ćelija</w:t>
      </w:r>
    </w:p>
    <w:p w14:paraId="541B27E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0D715C6" w14:textId="68803443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Pacijenti sa visokim rizikom, prema </w:t>
      </w:r>
      <w:r w:rsidR="00925EEB" w:rsidRPr="00070F42">
        <w:rPr>
          <w:bCs/>
          <w:noProof/>
          <w:sz w:val="22"/>
          <w:szCs w:val="22"/>
          <w:lang w:val="sr-Latn-ME"/>
        </w:rPr>
        <w:t xml:space="preserve">prognostičkim grupama </w:t>
      </w:r>
      <w:r w:rsidRPr="00070F42">
        <w:rPr>
          <w:bCs/>
          <w:noProof/>
          <w:sz w:val="22"/>
          <w:szCs w:val="22"/>
          <w:lang w:val="sr-Latn-ME"/>
        </w:rPr>
        <w:t>MSKCC (</w:t>
      </w:r>
      <w:r w:rsidRPr="00070F42">
        <w:rPr>
          <w:bCs/>
          <w:i/>
          <w:iCs/>
          <w:noProof/>
          <w:sz w:val="22"/>
          <w:szCs w:val="22"/>
          <w:lang w:val="sr-Latn-ME"/>
        </w:rPr>
        <w:t>Memorial Sloan Kettering Cancer Center</w:t>
      </w:r>
      <w:r w:rsidRPr="00070F42">
        <w:rPr>
          <w:bCs/>
          <w:noProof/>
          <w:sz w:val="22"/>
          <w:szCs w:val="22"/>
          <w:lang w:val="sr-Latn-ME"/>
        </w:rPr>
        <w:t>),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bili uključeni u fazu III kliničke studije karcinoma bubre</w:t>
      </w:r>
      <w:r w:rsidR="00925EEB" w:rsidRPr="00070F42">
        <w:rPr>
          <w:bCs/>
          <w:noProof/>
          <w:sz w:val="22"/>
          <w:szCs w:val="22"/>
          <w:lang w:val="sr-Latn-ME"/>
        </w:rPr>
        <w:t>žnih ćelija</w:t>
      </w:r>
      <w:r w:rsidRPr="00070F42">
        <w:rPr>
          <w:bCs/>
          <w:noProof/>
          <w:sz w:val="22"/>
          <w:szCs w:val="22"/>
          <w:lang w:val="sr-Latn-ME"/>
        </w:rPr>
        <w:t xml:space="preserve"> (vidjeti Studiju 1 u dijelu 5.1) </w:t>
      </w:r>
      <w:r w:rsidR="00925EEB" w:rsidRPr="00070F42">
        <w:rPr>
          <w:bCs/>
          <w:noProof/>
          <w:sz w:val="22"/>
          <w:szCs w:val="22"/>
          <w:lang w:val="sr-Latn-ME"/>
        </w:rPr>
        <w:t>tako da</w:t>
      </w:r>
      <w:r w:rsidRPr="00070F42">
        <w:rPr>
          <w:bCs/>
          <w:noProof/>
          <w:sz w:val="22"/>
          <w:szCs w:val="22"/>
          <w:lang w:val="sr-Latn-ME"/>
        </w:rPr>
        <w:t xml:space="preserve"> odnos korist/rizik nije procijenjen u ovoj grupi pacijenata.</w:t>
      </w:r>
    </w:p>
    <w:p w14:paraId="466B17A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5767F5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Informacije o pomoćnim supstancama</w:t>
      </w:r>
    </w:p>
    <w:p w14:paraId="7E00E0A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2B69C7E" w14:textId="1D884E8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Ovaj l</w:t>
      </w:r>
      <w:r w:rsidR="00925EEB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ek sadrži manje od 1 mmol (23 mg) natrijuma po dozi, tj. zanemar</w:t>
      </w:r>
      <w:r w:rsidR="003D1432" w:rsidRPr="00070F42">
        <w:rPr>
          <w:bCs/>
          <w:noProof/>
          <w:sz w:val="22"/>
          <w:szCs w:val="22"/>
          <w:lang w:val="sr-Latn-ME"/>
        </w:rPr>
        <w:t>lj</w:t>
      </w:r>
      <w:r w:rsidRPr="00070F42">
        <w:rPr>
          <w:bCs/>
          <w:noProof/>
          <w:sz w:val="22"/>
          <w:szCs w:val="22"/>
          <w:lang w:val="sr-Latn-ME"/>
        </w:rPr>
        <w:t>ive količine natrijuma.</w:t>
      </w:r>
    </w:p>
    <w:p w14:paraId="4364FEAA" w14:textId="77777777" w:rsidR="00057E35" w:rsidRPr="00070F42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8A9F85" w14:textId="77777777" w:rsidR="00411B4B" w:rsidRPr="00070F42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>4.5.</w:t>
      </w:r>
      <w:r w:rsidR="000D60CC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EC4B1F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AEB6A2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Induktori metaboličkih enzima</w:t>
      </w:r>
    </w:p>
    <w:p w14:paraId="645440D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F478C70" w14:textId="393BDEAC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Primjena rifampicina </w:t>
      </w:r>
      <w:r w:rsidR="00925EEB" w:rsidRPr="00070F42">
        <w:rPr>
          <w:bCs/>
          <w:noProof/>
          <w:sz w:val="22"/>
          <w:szCs w:val="22"/>
          <w:lang w:val="sr-Latn-ME"/>
        </w:rPr>
        <w:t xml:space="preserve">tokom </w:t>
      </w:r>
      <w:r w:rsidRPr="00070F42">
        <w:rPr>
          <w:bCs/>
          <w:noProof/>
          <w:sz w:val="22"/>
          <w:szCs w:val="22"/>
          <w:lang w:val="sr-Latn-ME"/>
        </w:rPr>
        <w:t>5 dana prije primjene pojedinačne doze sorafeniba dovela je do smanjenja PIK-a sorafeniba za prosječno 37%. Drugi induktori CYP3A4 aktivnosti i/ili gluk</w:t>
      </w:r>
      <w:r w:rsidR="00345888" w:rsidRPr="00070F42">
        <w:rPr>
          <w:bCs/>
          <w:noProof/>
          <w:sz w:val="22"/>
          <w:szCs w:val="22"/>
          <w:lang w:val="sr-Latn-ME"/>
        </w:rPr>
        <w:t>ur</w:t>
      </w:r>
      <w:r w:rsidRPr="00070F42">
        <w:rPr>
          <w:bCs/>
          <w:noProof/>
          <w:sz w:val="22"/>
          <w:szCs w:val="22"/>
          <w:lang w:val="sr-Latn-ME"/>
        </w:rPr>
        <w:t xml:space="preserve">onidacije (npr. </w:t>
      </w:r>
      <w:r w:rsidRPr="00070F42">
        <w:rPr>
          <w:bCs/>
          <w:i/>
          <w:iCs/>
          <w:noProof/>
          <w:sz w:val="22"/>
          <w:szCs w:val="22"/>
          <w:lang w:val="sr-Latn-ME"/>
        </w:rPr>
        <w:t>Hypericum perforatum</w:t>
      </w:r>
      <w:r w:rsidRPr="00070F42">
        <w:rPr>
          <w:bCs/>
          <w:noProof/>
          <w:sz w:val="22"/>
          <w:szCs w:val="22"/>
          <w:lang w:val="sr-Latn-ME"/>
        </w:rPr>
        <w:t>, odnosno kantarion, fenitoin, karbamazepin, fenobarbital i deksametazon) mogu takođe ubrzati metabolizam sorafeniba i tako smanjiti koncentraciju sorafeniba.</w:t>
      </w:r>
    </w:p>
    <w:p w14:paraId="1AA0361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lastRenderedPageBreak/>
        <w:t>Inhibitori CYP3A4</w:t>
      </w:r>
    </w:p>
    <w:p w14:paraId="0F480ED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A6DF298" w14:textId="543F6FFE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Ketokonazol, </w:t>
      </w:r>
      <w:r w:rsidR="00925EEB" w:rsidRPr="00070F42">
        <w:rPr>
          <w:bCs/>
          <w:noProof/>
          <w:sz w:val="22"/>
          <w:szCs w:val="22"/>
          <w:lang w:val="sr-Latn-ME"/>
        </w:rPr>
        <w:t xml:space="preserve">snažan </w:t>
      </w:r>
      <w:r w:rsidRPr="00070F42">
        <w:rPr>
          <w:bCs/>
          <w:noProof/>
          <w:sz w:val="22"/>
          <w:szCs w:val="22"/>
          <w:lang w:val="sr-Latn-ME"/>
        </w:rPr>
        <w:t>inhibitor CYP3A4, prim</w:t>
      </w:r>
      <w:r w:rsidR="00345888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jenjen jednom dnevno tokom 7 dana kod zdravih muških dobrovoljaca, nije mijenjao prosječni PIK pojedinačne doze od 50 mg sorafeniba. Ovi podaci sugerišu da kliničk</w:t>
      </w:r>
      <w:r w:rsidR="00925EEB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farmakokinetička interakcija sorafeniba i inhibitora CYP3A4 nije vjerovatna.</w:t>
      </w:r>
    </w:p>
    <w:p w14:paraId="47009CA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D8711B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Supstrati CYP2B6, CYP2C8 i CYP2C9 izoenzima</w:t>
      </w:r>
    </w:p>
    <w:p w14:paraId="41C002F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E3E4A8A" w14:textId="48DA472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U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 xml:space="preserve"> uslovima sorafenib inhibira CYP2B6, CYP2C8 i CYP2C9 približno istom jačinom. Međutim, u </w:t>
      </w:r>
      <w:r w:rsidR="00925EEB" w:rsidRPr="00070F42">
        <w:rPr>
          <w:bCs/>
          <w:noProof/>
          <w:sz w:val="22"/>
          <w:szCs w:val="22"/>
          <w:lang w:val="sr-Latn-ME"/>
        </w:rPr>
        <w:t xml:space="preserve">kliničkim farmakokinetičkim </w:t>
      </w:r>
      <w:r w:rsidRPr="00070F42">
        <w:rPr>
          <w:bCs/>
          <w:noProof/>
          <w:sz w:val="22"/>
          <w:szCs w:val="22"/>
          <w:lang w:val="sr-Latn-ME"/>
        </w:rPr>
        <w:t>ispitivanj</w:t>
      </w:r>
      <w:r w:rsidR="00925EEB" w:rsidRPr="00070F42">
        <w:rPr>
          <w:bCs/>
          <w:noProof/>
          <w:sz w:val="22"/>
          <w:szCs w:val="22"/>
          <w:lang w:val="sr-Latn-ME"/>
        </w:rPr>
        <w:t>ima</w:t>
      </w:r>
      <w:r w:rsidRPr="00070F42">
        <w:rPr>
          <w:bCs/>
          <w:noProof/>
          <w:sz w:val="22"/>
          <w:szCs w:val="22"/>
          <w:lang w:val="sr-Latn-ME"/>
        </w:rPr>
        <w:t xml:space="preserve"> kod istovremene primjene sorafeniba 400 mg dva puta dnevno sa ciklofosfamidom, 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supstratom </w:t>
      </w:r>
      <w:r w:rsidRPr="00070F42">
        <w:rPr>
          <w:bCs/>
          <w:noProof/>
          <w:sz w:val="22"/>
          <w:szCs w:val="22"/>
          <w:lang w:val="sr-Latn-ME"/>
        </w:rPr>
        <w:t>CYP2B6, ili paklitakselom,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 supstratom</w:t>
      </w:r>
      <w:r w:rsidRPr="00070F42">
        <w:rPr>
          <w:bCs/>
          <w:noProof/>
          <w:sz w:val="22"/>
          <w:szCs w:val="22"/>
          <w:lang w:val="sr-Latn-ME"/>
        </w:rPr>
        <w:t xml:space="preserve"> CYP2C8, nije došlo do klinički značajne inhibicije. Ovi podaci ukazuju da sorafenib u preporučenoj dozi od 400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 xml:space="preserve">mg dva puta dnevno možda nije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vivo</w:t>
      </w:r>
      <w:r w:rsidRPr="00070F42">
        <w:rPr>
          <w:bCs/>
          <w:noProof/>
          <w:sz w:val="22"/>
          <w:szCs w:val="22"/>
          <w:lang w:val="sr-Latn-ME"/>
        </w:rPr>
        <w:t xml:space="preserve"> inhibitor CYP2B6 ili CYP2C8 izoenzima.</w:t>
      </w:r>
    </w:p>
    <w:p w14:paraId="36BE92A9" w14:textId="2C1AE2AD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Takođe, istovremena primjena sorafeniba i varfarina, 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supstrata </w:t>
      </w:r>
      <w:r w:rsidRPr="00070F42">
        <w:rPr>
          <w:bCs/>
          <w:noProof/>
          <w:sz w:val="22"/>
          <w:szCs w:val="22"/>
          <w:lang w:val="sr-Latn-ME"/>
        </w:rPr>
        <w:t>CYP2C9, nije dovela do promjene srednje vr</w:t>
      </w:r>
      <w:r w:rsidR="0099456E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 xml:space="preserve">ednosti PT-INR u odnosu na placebo. Prema tome, može se očekivati da će rizik za klinički 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značajnu </w:t>
      </w:r>
      <w:r w:rsidRPr="00070F42">
        <w:rPr>
          <w:bCs/>
          <w:noProof/>
          <w:sz w:val="22"/>
          <w:szCs w:val="22"/>
          <w:lang w:val="sr-Latn-ME"/>
        </w:rPr>
        <w:t xml:space="preserve">inhibiciju CYP2C9 sorafenibom </w:t>
      </w:r>
      <w:r w:rsidR="0099456E" w:rsidRPr="00070F42">
        <w:rPr>
          <w:bCs/>
          <w:i/>
          <w:iCs/>
          <w:noProof/>
          <w:sz w:val="22"/>
          <w:szCs w:val="22"/>
          <w:lang w:val="sr-Latn-ME"/>
        </w:rPr>
        <w:t>in vivo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biti nizak. Međutim, pacijenti koji su na terapiji varfarinom ili fenprokumonom treba redovno da kontrolišu svoj INR (vidjeti dio 4.4).</w:t>
      </w:r>
    </w:p>
    <w:p w14:paraId="480D210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AB9F0C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Supstrati CYP3A4, CYP2D6 i CYP2C19 izoenzima</w:t>
      </w:r>
    </w:p>
    <w:p w14:paraId="0A55C75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7CD73C2" w14:textId="78E84E6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Istovremena primjena sorafeniba i midazolama, dekstrometorfana ili omeprazola, koji su supstrati citohroma CYP3A4, CYP2D6, odnosno CYP2C19, nije mijenjala izloženost ovim </w:t>
      </w:r>
      <w:r w:rsidR="0099456E" w:rsidRPr="00070F42">
        <w:rPr>
          <w:bCs/>
          <w:noProof/>
          <w:sz w:val="22"/>
          <w:szCs w:val="22"/>
          <w:lang w:val="sr-Latn-ME"/>
        </w:rPr>
        <w:t>ljekovina</w:t>
      </w:r>
      <w:r w:rsidRPr="00070F42">
        <w:rPr>
          <w:bCs/>
          <w:noProof/>
          <w:sz w:val="22"/>
          <w:szCs w:val="22"/>
          <w:lang w:val="sr-Latn-ME"/>
        </w:rPr>
        <w:t>. Ovo ukazuje na to da sorafenib nije ni inhibitor ni induktor ovih izoenzima citohroma P450. Stoga, kliničk</w:t>
      </w:r>
      <w:r w:rsidR="0099456E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farmakokinetičke interakcije sorafeniba sa supstratima ovih enzima ni</w:t>
      </w:r>
      <w:r w:rsidR="0099456E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 xml:space="preserve">su vjerovatne. </w:t>
      </w:r>
    </w:p>
    <w:p w14:paraId="3FDE857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6B2CB3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Supstrati UGT1A1 i UGT1A9 izoenzima</w:t>
      </w:r>
    </w:p>
    <w:p w14:paraId="242BFF6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6F1481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>, sorafenib inhibira glukuronidaciju preko UGT1A1 i UGT1A9. Klinički značaj ovog nalaza je nepoznat (vidjeti dolje i dio 4.4).</w:t>
      </w:r>
    </w:p>
    <w:p w14:paraId="31676D0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7CD804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i/>
          <w:iCs/>
          <w:noProof/>
          <w:sz w:val="22"/>
          <w:szCs w:val="22"/>
          <w:u w:val="single"/>
          <w:lang w:val="sr-Latn-ME"/>
        </w:rPr>
        <w:t>In vitro</w:t>
      </w:r>
      <w:r w:rsidRPr="00070F42">
        <w:rPr>
          <w:bCs/>
          <w:noProof/>
          <w:sz w:val="22"/>
          <w:szCs w:val="22"/>
          <w:u w:val="single"/>
          <w:lang w:val="sr-Latn-ME"/>
        </w:rPr>
        <w:t xml:space="preserve"> studije indukcije CYP enzima</w:t>
      </w:r>
    </w:p>
    <w:p w14:paraId="51BDFCA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0917D1E" w14:textId="049D4FC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Aktivnosti CYP1A2 i CYP3A4 ni</w:t>
      </w:r>
      <w:r w:rsidR="0099456E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bile izmijenjene posl</w:t>
      </w:r>
      <w:r w:rsidR="0099456E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 xml:space="preserve">e 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tretiranja </w:t>
      </w:r>
      <w:r w:rsidRPr="00070F42">
        <w:rPr>
          <w:bCs/>
          <w:noProof/>
          <w:sz w:val="22"/>
          <w:szCs w:val="22"/>
          <w:lang w:val="sr-Latn-ME"/>
        </w:rPr>
        <w:t>kulture humanih hepatocita sorafenibom, što ukazuje na to da sorafenib v</w:t>
      </w:r>
      <w:r w:rsidR="0099456E" w:rsidRPr="00070F42">
        <w:rPr>
          <w:bCs/>
          <w:noProof/>
          <w:sz w:val="22"/>
          <w:szCs w:val="22"/>
          <w:lang w:val="sr-Latn-ME"/>
        </w:rPr>
        <w:t>j</w:t>
      </w:r>
      <w:r w:rsidRPr="00070F42">
        <w:rPr>
          <w:bCs/>
          <w:noProof/>
          <w:sz w:val="22"/>
          <w:szCs w:val="22"/>
          <w:lang w:val="sr-Latn-ME"/>
        </w:rPr>
        <w:t>erovatno nije induktor CYP1A2 i CYP3A4.</w:t>
      </w:r>
    </w:p>
    <w:p w14:paraId="6879861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91A284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P-gp supstrati</w:t>
      </w:r>
    </w:p>
    <w:p w14:paraId="1B87FDC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B1F171A" w14:textId="220A851F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 xml:space="preserve"> je pokazano da sorafenib inhibira transportni protein p-glikoprotein (P-gp). Povećanje koncentracije</w:t>
      </w:r>
      <w:r w:rsidR="0099456E" w:rsidRPr="00070F42">
        <w:rPr>
          <w:bCs/>
          <w:noProof/>
          <w:sz w:val="22"/>
          <w:szCs w:val="22"/>
          <w:lang w:val="sr-Latn-ME"/>
        </w:rPr>
        <w:t xml:space="preserve"> P-gp supstrata</w:t>
      </w:r>
      <w:r w:rsidRPr="00070F42">
        <w:rPr>
          <w:bCs/>
          <w:noProof/>
          <w:sz w:val="22"/>
          <w:szCs w:val="22"/>
          <w:lang w:val="sr-Latn-ME"/>
        </w:rPr>
        <w:t xml:space="preserve"> u plazmi, kao što je digoksin, ne može se isključiti prilikom istovremene primjene sorafeniba.</w:t>
      </w:r>
    </w:p>
    <w:p w14:paraId="02C6248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675027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Kombinacija sa drugim antineoplastičnim ljekovima</w:t>
      </w:r>
    </w:p>
    <w:p w14:paraId="51ECC03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296C9CD" w14:textId="5CDD2F8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U kliničkim ispitivanjima, </w:t>
      </w:r>
      <w:r w:rsidR="00831AF8" w:rsidRPr="00070F42">
        <w:rPr>
          <w:bCs/>
          <w:noProof/>
          <w:sz w:val="22"/>
          <w:szCs w:val="22"/>
          <w:lang w:val="sr-Latn-ME"/>
        </w:rPr>
        <w:t xml:space="preserve">sorafenib </w:t>
      </w:r>
      <w:r w:rsidRPr="00070F42">
        <w:rPr>
          <w:bCs/>
          <w:noProof/>
          <w:sz w:val="22"/>
          <w:szCs w:val="22"/>
          <w:lang w:val="sr-Latn-ME"/>
        </w:rPr>
        <w:t xml:space="preserve">je primjenjivan sa raznim </w:t>
      </w:r>
      <w:r w:rsidR="00831AF8" w:rsidRPr="00070F42">
        <w:rPr>
          <w:bCs/>
          <w:noProof/>
          <w:sz w:val="22"/>
          <w:szCs w:val="22"/>
          <w:lang w:val="sr-Latn-ME"/>
        </w:rPr>
        <w:t xml:space="preserve">drugim </w:t>
      </w:r>
      <w:r w:rsidRPr="00070F42">
        <w:rPr>
          <w:bCs/>
          <w:noProof/>
          <w:sz w:val="22"/>
          <w:szCs w:val="22"/>
          <w:lang w:val="sr-Latn-ME"/>
        </w:rPr>
        <w:t>antineoplastičnim ljekovima pri njihovim uobičajenim doznim režimima</w:t>
      </w:r>
      <w:r w:rsidR="00831AF8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uključujući gemcitabin, cisplatin, oksaliplatin, paklitaksel, karboplatin, kapecitabin, doksorubicin, irinotekan, docetaksel i ciklofosfamid. Sorafenib nije imao klinički značaj</w:t>
      </w:r>
      <w:r w:rsidR="00831AF8" w:rsidRPr="00070F42">
        <w:rPr>
          <w:bCs/>
          <w:noProof/>
          <w:sz w:val="22"/>
          <w:szCs w:val="22"/>
          <w:lang w:val="sr-Latn-ME"/>
        </w:rPr>
        <w:t>an uticaj</w:t>
      </w:r>
      <w:r w:rsidRPr="00070F42">
        <w:rPr>
          <w:bCs/>
          <w:noProof/>
          <w:sz w:val="22"/>
          <w:szCs w:val="22"/>
          <w:lang w:val="sr-Latn-ME"/>
        </w:rPr>
        <w:t xml:space="preserve"> na farmakokinetiku gemcitabina, cisplatina, karboplatina, oksaliplatina ili ciklofosfamida. </w:t>
      </w:r>
    </w:p>
    <w:p w14:paraId="6DC8812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00ED004" w14:textId="02D26A6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Paklitaksel/karboplatin</w:t>
      </w:r>
    </w:p>
    <w:p w14:paraId="5D4932F5" w14:textId="77777777" w:rsidR="00831AF8" w:rsidRPr="00070F42" w:rsidRDefault="00831AF8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14:paraId="134F1222" w14:textId="031497D8" w:rsidR="003951A3" w:rsidRPr="00070F42" w:rsidRDefault="003951A3" w:rsidP="005C1864">
      <w:pPr>
        <w:pStyle w:val="ListParagraph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Primjena paklitaksela (225 mg/m</w:t>
      </w:r>
      <w:r w:rsidRPr="00070F42">
        <w:rPr>
          <w:bCs/>
          <w:noProof/>
          <w:sz w:val="22"/>
          <w:szCs w:val="22"/>
          <w:vertAlign w:val="superscript"/>
          <w:lang w:val="sr-Latn-ME"/>
        </w:rPr>
        <w:t>2</w:t>
      </w:r>
      <w:r w:rsidRPr="00070F42">
        <w:rPr>
          <w:bCs/>
          <w:noProof/>
          <w:sz w:val="22"/>
          <w:szCs w:val="22"/>
          <w:lang w:val="sr-Latn-ME"/>
        </w:rPr>
        <w:t>) i karboplatina (PIK = 6) sa sorafenibom (≤ 400 mg dva puta dnevno), prim</w:t>
      </w:r>
      <w:r w:rsidR="00B57566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jenjenog sa trodnevnom pauzom u doziranju sorafeniba (dva dana prije i na dan primjene paklitaksela/karboplatina), nije dovela do značajnog uticaja na farmakokinetiku paklitaksela. </w:t>
      </w:r>
    </w:p>
    <w:p w14:paraId="5B774C4F" w14:textId="6661510A" w:rsidR="003951A3" w:rsidRPr="00070F42" w:rsidRDefault="003951A3" w:rsidP="005C1864">
      <w:pPr>
        <w:pStyle w:val="ListParagraph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Istovremena primjena paklitaksela (225 mg/m</w:t>
      </w:r>
      <w:r w:rsidRPr="00070F42">
        <w:rPr>
          <w:bCs/>
          <w:noProof/>
          <w:sz w:val="22"/>
          <w:szCs w:val="22"/>
          <w:vertAlign w:val="superscript"/>
          <w:lang w:val="sr-Latn-ME"/>
        </w:rPr>
        <w:t>2</w:t>
      </w:r>
      <w:r w:rsidRPr="00070F42">
        <w:rPr>
          <w:bCs/>
          <w:noProof/>
          <w:sz w:val="22"/>
          <w:szCs w:val="22"/>
          <w:lang w:val="sr-Latn-ME"/>
        </w:rPr>
        <w:t xml:space="preserve">, jednom </w:t>
      </w:r>
      <w:r w:rsidR="00831AF8" w:rsidRPr="00070F42">
        <w:rPr>
          <w:bCs/>
          <w:noProof/>
          <w:sz w:val="22"/>
          <w:szCs w:val="22"/>
          <w:lang w:val="sr-Latn-ME"/>
        </w:rPr>
        <w:t>na svake</w:t>
      </w:r>
      <w:r w:rsidRPr="00070F42">
        <w:rPr>
          <w:bCs/>
          <w:noProof/>
          <w:sz w:val="22"/>
          <w:szCs w:val="22"/>
          <w:lang w:val="sr-Latn-ME"/>
        </w:rPr>
        <w:t xml:space="preserve"> 3 ned</w:t>
      </w:r>
      <w:r w:rsidR="00831AF8" w:rsidRPr="00070F42">
        <w:rPr>
          <w:bCs/>
          <w:noProof/>
          <w:sz w:val="22"/>
          <w:szCs w:val="22"/>
          <w:lang w:val="sr-Latn-ME"/>
        </w:rPr>
        <w:t>j</w:t>
      </w:r>
      <w:r w:rsidRPr="00070F42">
        <w:rPr>
          <w:bCs/>
          <w:noProof/>
          <w:sz w:val="22"/>
          <w:szCs w:val="22"/>
          <w:lang w:val="sr-Latn-ME"/>
        </w:rPr>
        <w:t xml:space="preserve">elje) i karboplatina (PIK = 6) sa sorafenibom (400 mg dva puta dnevno, bez pauze u doziranju sorafeniba) dovela je do 47% </w:t>
      </w:r>
      <w:r w:rsidRPr="00070F42">
        <w:rPr>
          <w:bCs/>
          <w:noProof/>
          <w:sz w:val="22"/>
          <w:szCs w:val="22"/>
          <w:lang w:val="sr-Latn-ME"/>
        </w:rPr>
        <w:lastRenderedPageBreak/>
        <w:t>povećanja izloženosti sorafenibu, 29% povećanja izloženosti paklitakselu i 50% povećanja izloženosti 6-OH-paklitakselu. Nije bilo uticaja na farmakokinetiku karboplatina.</w:t>
      </w:r>
    </w:p>
    <w:p w14:paraId="6C154C79" w14:textId="77777777" w:rsidR="00831AF8" w:rsidRPr="00070F42" w:rsidRDefault="00831AF8" w:rsidP="003951A3">
      <w:pPr>
        <w:tabs>
          <w:tab w:val="left" w:pos="142"/>
        </w:tabs>
        <w:jc w:val="both"/>
        <w:rPr>
          <w:bCs/>
          <w:noProof/>
          <w:sz w:val="22"/>
          <w:szCs w:val="22"/>
          <w:lang w:val="sr-Latn-ME"/>
        </w:rPr>
      </w:pPr>
    </w:p>
    <w:p w14:paraId="0AB7681E" w14:textId="4811E574" w:rsidR="003951A3" w:rsidRPr="00070F42" w:rsidRDefault="003951A3" w:rsidP="003951A3">
      <w:pPr>
        <w:tabs>
          <w:tab w:val="left" w:pos="142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Ovi podaci ukazuju da nije potrebno prilagođavati dozu u slučaju kada su paklitaksel i karboplatin prim</w:t>
      </w:r>
      <w:r w:rsidR="00B57566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jenjeni istovremeno sa sorafenibom uz trodnevnu pauzu u doziranju sorafeniba (dva dana prije i na dan primjene paklitaksela/karboplatina). Klinički značaj povećanja izloženosti sorafenibu i paklitakselu nakon istovremene primjene sa sorafenibom bez pauze u doziranju nije poznat.</w:t>
      </w:r>
    </w:p>
    <w:p w14:paraId="3921EC3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56FBEF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Kapecitabin</w:t>
      </w:r>
    </w:p>
    <w:p w14:paraId="0AFED4E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D3AE926" w14:textId="7DFD52AD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Istovremena primjena kapecitabina (750-1050 mg/m</w:t>
      </w:r>
      <w:r w:rsidRPr="00070F42">
        <w:rPr>
          <w:bCs/>
          <w:noProof/>
          <w:sz w:val="22"/>
          <w:szCs w:val="22"/>
          <w:vertAlign w:val="superscript"/>
          <w:lang w:val="sr-Latn-ME"/>
        </w:rPr>
        <w:t>2</w:t>
      </w:r>
      <w:r w:rsidRPr="00070F42">
        <w:rPr>
          <w:bCs/>
          <w:noProof/>
          <w:sz w:val="22"/>
          <w:szCs w:val="22"/>
          <w:lang w:val="sr-Latn-ME"/>
        </w:rPr>
        <w:t xml:space="preserve"> dva puta dnevno, od 1. do 14. dana u svakom ciklusu od 21 dan) i sorafeniba (200 ili 400 mg dva puta dnevno, </w:t>
      </w:r>
      <w:r w:rsidR="00831AF8" w:rsidRPr="00070F42">
        <w:rPr>
          <w:bCs/>
          <w:noProof/>
          <w:sz w:val="22"/>
          <w:szCs w:val="22"/>
          <w:lang w:val="sr-Latn-ME"/>
        </w:rPr>
        <w:t xml:space="preserve">kontinuirana </w:t>
      </w:r>
      <w:r w:rsidRPr="00070F42">
        <w:rPr>
          <w:bCs/>
          <w:noProof/>
          <w:sz w:val="22"/>
          <w:szCs w:val="22"/>
          <w:lang w:val="sr-Latn-ME"/>
        </w:rPr>
        <w:t xml:space="preserve">neprekidna primjena) nije dovela do značajne promjene u izloženosti sorafenibu, ali je došlo do 15-50% povećanja izloženosti kapecitabinu i 0-52% povećanja izloženosti 5-FU. Klinički značaj ovih malih do umjerenih povećanja u </w:t>
      </w:r>
      <w:r w:rsidR="00831AF8" w:rsidRPr="00070F42">
        <w:rPr>
          <w:bCs/>
          <w:noProof/>
          <w:sz w:val="22"/>
          <w:szCs w:val="22"/>
          <w:lang w:val="sr-Latn-ME"/>
        </w:rPr>
        <w:t xml:space="preserve">izloženosti </w:t>
      </w:r>
      <w:r w:rsidRPr="00070F42">
        <w:rPr>
          <w:bCs/>
          <w:noProof/>
          <w:sz w:val="22"/>
          <w:szCs w:val="22"/>
          <w:lang w:val="sr-Latn-ME"/>
        </w:rPr>
        <w:t xml:space="preserve">kapecitabinu i 5-FU kod istovremene primjene sa sorafenibom je nepoznat. </w:t>
      </w:r>
    </w:p>
    <w:p w14:paraId="080F565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F6FDAB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Doksorubicin/irinotekan</w:t>
      </w:r>
    </w:p>
    <w:p w14:paraId="11265E2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7F78099" w14:textId="701E091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Istovremena terapija</w:t>
      </w:r>
      <w:r w:rsidR="00174AA9" w:rsidRPr="00070F42">
        <w:rPr>
          <w:bCs/>
          <w:noProof/>
          <w:sz w:val="22"/>
          <w:szCs w:val="22"/>
          <w:lang w:val="sr-Latn-ME"/>
        </w:rPr>
        <w:t xml:space="preserve"> sa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831AF8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 xml:space="preserve"> imala je za rezultat </w:t>
      </w:r>
      <w:r w:rsidR="00831AF8" w:rsidRPr="00070F42">
        <w:rPr>
          <w:bCs/>
          <w:noProof/>
          <w:sz w:val="22"/>
          <w:szCs w:val="22"/>
          <w:lang w:val="sr-Latn-ME"/>
        </w:rPr>
        <w:t xml:space="preserve">povećanje PIK-a doksorubicina za </w:t>
      </w:r>
      <w:r w:rsidRPr="00070F42">
        <w:rPr>
          <w:bCs/>
          <w:noProof/>
          <w:sz w:val="22"/>
          <w:szCs w:val="22"/>
          <w:lang w:val="sr-Latn-ME"/>
        </w:rPr>
        <w:t xml:space="preserve">21%. Prilikom primjene sa irinotekanom, čiji se aktivni metabolit SN-38 dalje metaboliše preko UGT1A1 puta, postoji </w:t>
      </w:r>
      <w:r w:rsidR="00174AA9" w:rsidRPr="00070F42">
        <w:rPr>
          <w:bCs/>
          <w:noProof/>
          <w:sz w:val="22"/>
          <w:szCs w:val="22"/>
          <w:lang w:val="sr-Latn-ME"/>
        </w:rPr>
        <w:t xml:space="preserve">povećanje PIK-a SN-38 od </w:t>
      </w:r>
      <w:r w:rsidRPr="00070F42">
        <w:rPr>
          <w:bCs/>
          <w:noProof/>
          <w:sz w:val="22"/>
          <w:szCs w:val="22"/>
          <w:lang w:val="sr-Latn-ME"/>
        </w:rPr>
        <w:t xml:space="preserve">67-120% i </w:t>
      </w:r>
      <w:r w:rsidR="00174AA9" w:rsidRPr="00070F42">
        <w:rPr>
          <w:bCs/>
          <w:noProof/>
          <w:sz w:val="22"/>
          <w:szCs w:val="22"/>
          <w:lang w:val="sr-Latn-ME"/>
        </w:rPr>
        <w:t xml:space="preserve">povećanje PIK-a irinotekana od </w:t>
      </w:r>
      <w:r w:rsidRPr="00070F42">
        <w:rPr>
          <w:bCs/>
          <w:noProof/>
          <w:sz w:val="22"/>
          <w:szCs w:val="22"/>
          <w:lang w:val="sr-Latn-ME"/>
        </w:rPr>
        <w:t>26-42%. Klinički značaj ovih nalaza je nepoznat (vidjeti dio 4.4).</w:t>
      </w:r>
    </w:p>
    <w:p w14:paraId="3D0D336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7A4E7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Docetaksel</w:t>
      </w:r>
    </w:p>
    <w:p w14:paraId="751FEBD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4A85A92" w14:textId="69E777A4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Istovremena primjena docetaksela (75 ili 100 mg/m</w:t>
      </w:r>
      <w:r w:rsidRPr="00070F42">
        <w:rPr>
          <w:bCs/>
          <w:noProof/>
          <w:sz w:val="22"/>
          <w:szCs w:val="22"/>
          <w:vertAlign w:val="superscript"/>
          <w:lang w:val="sr-Latn-ME"/>
        </w:rPr>
        <w:t>2</w:t>
      </w:r>
      <w:r w:rsidRPr="00070F42">
        <w:rPr>
          <w:bCs/>
          <w:noProof/>
          <w:sz w:val="22"/>
          <w:szCs w:val="22"/>
          <w:lang w:val="sr-Latn-ME"/>
        </w:rPr>
        <w:t xml:space="preserve"> prim</w:t>
      </w:r>
      <w:r w:rsidR="009E799B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jenjenog jednom na svakih 21 dan) i sorafeniba (200 ili 400 mg dva puta dnevno, prim</w:t>
      </w:r>
      <w:r w:rsidR="009E799B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jenjenog od 2. do 19. dana tokom 21-dnevnog ciklusa, sa pauzom u doziranju od 3 dana u </w:t>
      </w:r>
      <w:r w:rsidR="00174AA9" w:rsidRPr="00070F42">
        <w:rPr>
          <w:bCs/>
          <w:noProof/>
          <w:sz w:val="22"/>
          <w:szCs w:val="22"/>
          <w:lang w:val="sr-Latn-ME"/>
        </w:rPr>
        <w:t xml:space="preserve">vrijeme </w:t>
      </w:r>
      <w:r w:rsidRPr="00070F42">
        <w:rPr>
          <w:bCs/>
          <w:noProof/>
          <w:sz w:val="22"/>
          <w:szCs w:val="22"/>
          <w:lang w:val="sr-Latn-ME"/>
        </w:rPr>
        <w:t>primjen</w:t>
      </w:r>
      <w:r w:rsidR="00174AA9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docetaksela) dovela je do povećanja PIK-a docetaksela od 36-80% i povećanja C</w:t>
      </w:r>
      <w:r w:rsidRPr="00070F42">
        <w:rPr>
          <w:bCs/>
          <w:noProof/>
          <w:sz w:val="22"/>
          <w:szCs w:val="22"/>
          <w:vertAlign w:val="subscript"/>
          <w:lang w:val="sr-Latn-ME"/>
        </w:rPr>
        <w:t>max</w:t>
      </w:r>
      <w:r w:rsidRPr="00070F42">
        <w:rPr>
          <w:bCs/>
          <w:noProof/>
          <w:sz w:val="22"/>
          <w:szCs w:val="22"/>
          <w:lang w:val="sr-Latn-ME"/>
        </w:rPr>
        <w:t xml:space="preserve"> docetaksela od 16-32%. Ukoliko se sorafenib primjenjuje istovremeno sa docetakselom potreban je oprez (vidjeti dio 4.4).</w:t>
      </w:r>
    </w:p>
    <w:p w14:paraId="29A7726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7DD7BD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Istovremena primjena sa drugim ljekovima</w:t>
      </w:r>
    </w:p>
    <w:p w14:paraId="26E4C27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104530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Neomicin</w:t>
      </w:r>
    </w:p>
    <w:p w14:paraId="0DF0FAB3" w14:textId="6FEB38E3" w:rsidR="003951A3" w:rsidRPr="00070F42" w:rsidRDefault="00174AA9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Istovremena primjena </w:t>
      </w:r>
      <w:r w:rsidR="003951A3" w:rsidRPr="00070F42">
        <w:rPr>
          <w:bCs/>
          <w:noProof/>
          <w:sz w:val="22"/>
          <w:szCs w:val="22"/>
          <w:lang w:val="sr-Latn-ME"/>
        </w:rPr>
        <w:t>neomicin</w:t>
      </w:r>
      <w:r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, </w:t>
      </w:r>
      <w:r w:rsidRPr="00070F42">
        <w:rPr>
          <w:bCs/>
          <w:noProof/>
          <w:sz w:val="22"/>
          <w:szCs w:val="22"/>
          <w:lang w:val="sr-Latn-ME"/>
        </w:rPr>
        <w:t xml:space="preserve">nesistemskog </w:t>
      </w:r>
      <w:r w:rsidR="003951A3" w:rsidRPr="00070F42">
        <w:rPr>
          <w:bCs/>
          <w:noProof/>
          <w:sz w:val="22"/>
          <w:szCs w:val="22"/>
          <w:lang w:val="sr-Latn-ME"/>
        </w:rPr>
        <w:t>antibiotik</w:t>
      </w:r>
      <w:r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koji</w:t>
      </w:r>
      <w:r w:rsidRPr="00070F42">
        <w:rPr>
          <w:bCs/>
          <w:noProof/>
          <w:sz w:val="22"/>
          <w:szCs w:val="22"/>
          <w:lang w:val="sr-Latn-ME"/>
        </w:rPr>
        <w:t xml:space="preserve"> se koristio za eradikaciju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gastrointestinaln</w:t>
      </w:r>
      <w:r w:rsidRPr="00070F42">
        <w:rPr>
          <w:bCs/>
          <w:noProof/>
          <w:sz w:val="22"/>
          <w:szCs w:val="22"/>
          <w:lang w:val="sr-Latn-ME"/>
        </w:rPr>
        <w:t>e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flor</w:t>
      </w:r>
      <w:r w:rsidRPr="00070F42">
        <w:rPr>
          <w:bCs/>
          <w:noProof/>
          <w:sz w:val="22"/>
          <w:szCs w:val="22"/>
          <w:lang w:val="sr-Latn-ME"/>
        </w:rPr>
        <w:t>e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, </w:t>
      </w:r>
      <w:r w:rsidRPr="00070F42">
        <w:rPr>
          <w:bCs/>
          <w:noProof/>
          <w:sz w:val="22"/>
          <w:szCs w:val="22"/>
          <w:lang w:val="sr-Latn-ME"/>
        </w:rPr>
        <w:t>interferira sa enterohepatičkim recikliranjem sorafniba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(vidjeti dio 5.2. Metabolizam i eliminacija), što dovodi do smanjenja </w:t>
      </w:r>
      <w:r w:rsidRPr="00070F42">
        <w:rPr>
          <w:bCs/>
          <w:noProof/>
          <w:sz w:val="22"/>
          <w:szCs w:val="22"/>
          <w:lang w:val="sr-Latn-ME"/>
        </w:rPr>
        <w:t xml:space="preserve">izloženosti </w:t>
      </w:r>
      <w:r w:rsidR="003951A3" w:rsidRPr="00070F42">
        <w:rPr>
          <w:bCs/>
          <w:noProof/>
          <w:sz w:val="22"/>
          <w:szCs w:val="22"/>
          <w:lang w:val="sr-Latn-ME"/>
        </w:rPr>
        <w:t>sorafenib</w:t>
      </w:r>
      <w:r w:rsidRPr="00070F42">
        <w:rPr>
          <w:bCs/>
          <w:noProof/>
          <w:sz w:val="22"/>
          <w:szCs w:val="22"/>
          <w:lang w:val="sr-Latn-ME"/>
        </w:rPr>
        <w:t>u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. Kod zdravih dobrovoljaca koji su </w:t>
      </w:r>
      <w:r w:rsidRPr="00070F42">
        <w:rPr>
          <w:bCs/>
          <w:noProof/>
          <w:sz w:val="22"/>
          <w:szCs w:val="22"/>
          <w:lang w:val="sr-Latn-ME"/>
        </w:rPr>
        <w:t>primali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neomicin </w:t>
      </w:r>
      <w:r w:rsidRPr="00070F42">
        <w:rPr>
          <w:bCs/>
          <w:noProof/>
          <w:sz w:val="22"/>
          <w:szCs w:val="22"/>
          <w:lang w:val="sr-Latn-ME"/>
        </w:rPr>
        <w:t xml:space="preserve">tokom 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5 dana, prosječna </w:t>
      </w:r>
      <w:r w:rsidRPr="00070F42">
        <w:rPr>
          <w:bCs/>
          <w:noProof/>
          <w:sz w:val="22"/>
          <w:szCs w:val="22"/>
          <w:lang w:val="sr-Latn-ME"/>
        </w:rPr>
        <w:t>izloženost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sorafenib</w:t>
      </w:r>
      <w:r w:rsidRPr="00070F42">
        <w:rPr>
          <w:bCs/>
          <w:noProof/>
          <w:sz w:val="22"/>
          <w:szCs w:val="22"/>
          <w:lang w:val="sr-Latn-ME"/>
        </w:rPr>
        <w:t>u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se smanjila za 54%. Uticaj </w:t>
      </w:r>
      <w:r w:rsidRPr="00070F42">
        <w:rPr>
          <w:bCs/>
          <w:noProof/>
          <w:sz w:val="22"/>
          <w:szCs w:val="22"/>
          <w:lang w:val="sr-Latn-ME"/>
        </w:rPr>
        <w:t xml:space="preserve">drugih </w:t>
      </w:r>
      <w:r w:rsidR="003951A3" w:rsidRPr="00070F42">
        <w:rPr>
          <w:bCs/>
          <w:noProof/>
          <w:sz w:val="22"/>
          <w:szCs w:val="22"/>
          <w:lang w:val="sr-Latn-ME"/>
        </w:rPr>
        <w:t>antibiotika nije ispitivan, ali bi vjerovatno zavisio od njihove sposobnosti da interreaguju sa mikroorganizmima koji imaju glukuronidaznu aktivnost.</w:t>
      </w:r>
    </w:p>
    <w:p w14:paraId="25166A0A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EEC85D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4.6.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="006D20A5" w:rsidRPr="00070F42">
        <w:rPr>
          <w:b/>
          <w:sz w:val="22"/>
          <w:szCs w:val="22"/>
          <w:lang w:val="sr-Latn-ME"/>
        </w:rPr>
        <w:t>Plodnost, trudnoća i dojenje</w:t>
      </w:r>
    </w:p>
    <w:p w14:paraId="4E89839B" w14:textId="77777777" w:rsidR="002031B3" w:rsidRPr="00070F42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18BA45F8" w14:textId="77777777" w:rsidR="005B663F" w:rsidRPr="00070F42" w:rsidRDefault="005B663F" w:rsidP="005B663F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70F42">
        <w:rPr>
          <w:sz w:val="22"/>
          <w:szCs w:val="22"/>
          <w:u w:val="single"/>
          <w:lang w:val="sr-Latn-ME"/>
        </w:rPr>
        <w:t>Plodnost</w:t>
      </w:r>
    </w:p>
    <w:p w14:paraId="3D1B0AE5" w14:textId="77777777" w:rsidR="005B663F" w:rsidRPr="00070F42" w:rsidRDefault="005B663F" w:rsidP="005B663F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17DB7D3" w14:textId="13656970" w:rsidR="005B663F" w:rsidRPr="00070F42" w:rsidRDefault="005B663F" w:rsidP="005B663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70F42">
        <w:rPr>
          <w:noProof/>
          <w:sz w:val="22"/>
          <w:szCs w:val="22"/>
          <w:lang w:val="sr-Latn-ME"/>
        </w:rPr>
        <w:t>Rezultati ipitivanja na životinjama ukazuju na to da sorafenib može da ošteti plodnost muškaraca i žena (vidjeti dio 5.3).</w:t>
      </w:r>
    </w:p>
    <w:p w14:paraId="5F02022D" w14:textId="77777777" w:rsidR="005B663F" w:rsidRPr="00070F42" w:rsidRDefault="005B663F" w:rsidP="005B663F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7ACC2918" w14:textId="77777777" w:rsidR="00BE3C0C" w:rsidRPr="00070F42" w:rsidRDefault="00BE3C0C" w:rsidP="00BE3C0C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70F42">
        <w:rPr>
          <w:sz w:val="22"/>
          <w:szCs w:val="22"/>
          <w:u w:val="single"/>
          <w:lang w:val="sr-Latn-ME"/>
        </w:rPr>
        <w:t>Trudnoća</w:t>
      </w:r>
    </w:p>
    <w:p w14:paraId="05518591" w14:textId="77777777" w:rsidR="00BE3C0C" w:rsidRPr="00070F42" w:rsidRDefault="00BE3C0C" w:rsidP="00BE3C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237DCB4B" w14:textId="1A74EDAC" w:rsidR="00BE3C0C" w:rsidRPr="00070F42" w:rsidRDefault="00BE3C0C" w:rsidP="00BE3C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Nema podataka o primjeni sorafeniba kod trudnica. Studije na životinjama pokazale su reproduktivnu toksičnost, uključujući malformacije (vidjeti dio 5.3). Kod pacova je pokazano da sorafenib i njegovi metaboliti prolaze kroz placentu, pa se predviđa da bi sorafenib mogao da uzrokuje štetna dejstva na fetus. Sorafenib se </w:t>
      </w:r>
      <w:r w:rsidR="00B64E63" w:rsidRPr="00070F42">
        <w:rPr>
          <w:noProof/>
          <w:sz w:val="22"/>
          <w:szCs w:val="22"/>
          <w:lang w:val="sr-Latn-ME"/>
        </w:rPr>
        <w:t>n</w:t>
      </w:r>
      <w:r w:rsidRPr="00070F42">
        <w:rPr>
          <w:noProof/>
          <w:sz w:val="22"/>
          <w:szCs w:val="22"/>
          <w:lang w:val="sr-Latn-ME"/>
        </w:rPr>
        <w:t>e smije koristiti u toku trudnoće osim ako je apsolutno neophodan, i to posl</w:t>
      </w:r>
      <w:r w:rsidR="001B4565" w:rsidRPr="00070F42">
        <w:rPr>
          <w:noProof/>
          <w:sz w:val="22"/>
          <w:szCs w:val="22"/>
          <w:lang w:val="sr-Latn-ME"/>
        </w:rPr>
        <w:t>ij</w:t>
      </w:r>
      <w:r w:rsidRPr="00070F42">
        <w:rPr>
          <w:noProof/>
          <w:sz w:val="22"/>
          <w:szCs w:val="22"/>
          <w:lang w:val="sr-Latn-ME"/>
        </w:rPr>
        <w:t>e pažljivog razmatranja potreba majke i rizika za fetus.</w:t>
      </w:r>
    </w:p>
    <w:p w14:paraId="2BECB7E4" w14:textId="77777777" w:rsidR="00BE3C0C" w:rsidRPr="00070F42" w:rsidRDefault="00BE3C0C" w:rsidP="00BE3C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Žene u reproduktivnoj dobi moraju koristiti efikasnu kontracepciju za vrijeme terapije.</w:t>
      </w:r>
    </w:p>
    <w:p w14:paraId="33576FC9" w14:textId="77777777" w:rsidR="00BE3C0C" w:rsidRPr="00070F42" w:rsidRDefault="00BE3C0C" w:rsidP="00BE3C0C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C683036" w14:textId="77777777" w:rsidR="00BE3C0C" w:rsidRPr="00070F42" w:rsidRDefault="00BE3C0C" w:rsidP="00BE3C0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sz w:val="22"/>
          <w:szCs w:val="22"/>
          <w:u w:val="single"/>
          <w:lang w:val="sr-Latn-ME"/>
        </w:rPr>
        <w:lastRenderedPageBreak/>
        <w:t xml:space="preserve">Dojenje </w:t>
      </w:r>
    </w:p>
    <w:p w14:paraId="040E5852" w14:textId="77777777" w:rsidR="00BE3C0C" w:rsidRPr="00070F42" w:rsidRDefault="00BE3C0C" w:rsidP="00BE3C0C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</w:p>
    <w:p w14:paraId="355EE6F4" w14:textId="310F00EF" w:rsidR="00BE3C0C" w:rsidRPr="00070F42" w:rsidRDefault="00BE3C0C" w:rsidP="00BE3C0C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Nije poznato da li se sorafenib izlučuje u majčino mlijeko kod ljudi. Kod životinja, sorafenib i/ili njegovi metaboliti su se izlučivali u mlijeko. Pošto sorafenib može da naškodi rastu i razvoju deteta (vidjeti dio 5.3), žene ne smiju da doje tokom terapije sorafenibom.</w:t>
      </w:r>
    </w:p>
    <w:p w14:paraId="71C14F32" w14:textId="77777777" w:rsidR="00BE3C0C" w:rsidRPr="00070F42" w:rsidRDefault="00BE3C0C" w:rsidP="00BE3C0C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</w:p>
    <w:p w14:paraId="723F66F7" w14:textId="77777777" w:rsidR="0072020E" w:rsidRPr="00070F42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4.7.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 xml:space="preserve">Uticaj na </w:t>
      </w:r>
      <w:r w:rsidR="002031B3" w:rsidRPr="00070F4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70F42">
        <w:rPr>
          <w:b/>
          <w:bCs/>
          <w:sz w:val="22"/>
          <w:szCs w:val="22"/>
          <w:lang w:val="sr-Latn-ME"/>
        </w:rPr>
        <w:t>upravljanja vozili</w:t>
      </w:r>
      <w:r w:rsidRPr="00070F42">
        <w:rPr>
          <w:b/>
          <w:bCs/>
          <w:sz w:val="22"/>
          <w:szCs w:val="22"/>
          <w:lang w:val="sr-Latn-ME"/>
        </w:rPr>
        <w:t>m</w:t>
      </w:r>
      <w:r w:rsidR="00F34554" w:rsidRPr="00070F42">
        <w:rPr>
          <w:b/>
          <w:bCs/>
          <w:sz w:val="22"/>
          <w:szCs w:val="22"/>
          <w:lang w:val="sr-Latn-ME"/>
        </w:rPr>
        <w:t>a</w:t>
      </w:r>
      <w:r w:rsidRPr="00070F42">
        <w:rPr>
          <w:b/>
          <w:bCs/>
          <w:sz w:val="22"/>
          <w:szCs w:val="22"/>
          <w:lang w:val="sr-Latn-ME"/>
        </w:rPr>
        <w:t xml:space="preserve"> i </w:t>
      </w:r>
      <w:r w:rsidR="000D3449" w:rsidRPr="00070F42">
        <w:rPr>
          <w:b/>
          <w:bCs/>
          <w:sz w:val="22"/>
          <w:szCs w:val="22"/>
          <w:lang w:val="sr-Latn-ME"/>
        </w:rPr>
        <w:t xml:space="preserve">rukovanje </w:t>
      </w:r>
      <w:r w:rsidRPr="00070F42">
        <w:rPr>
          <w:b/>
          <w:bCs/>
          <w:sz w:val="22"/>
          <w:szCs w:val="22"/>
          <w:lang w:val="sr-Latn-ME"/>
        </w:rPr>
        <w:t>mašinama</w:t>
      </w:r>
    </w:p>
    <w:p w14:paraId="29F60292" w14:textId="77777777" w:rsidR="003951A3" w:rsidRPr="00070F42" w:rsidRDefault="003951A3" w:rsidP="003951A3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</w:p>
    <w:p w14:paraId="5DCD54BB" w14:textId="1E3CA3A0" w:rsidR="003951A3" w:rsidRPr="00070F42" w:rsidRDefault="003951A3" w:rsidP="003951A3">
      <w:pPr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Ni</w:t>
      </w:r>
      <w:r w:rsidR="00BE3C0C" w:rsidRPr="00070F42">
        <w:rPr>
          <w:noProof/>
          <w:sz w:val="22"/>
          <w:szCs w:val="22"/>
          <w:lang w:val="sr-Latn-ME"/>
        </w:rPr>
        <w:t>je</w:t>
      </w:r>
      <w:r w:rsidRPr="00070F42">
        <w:rPr>
          <w:noProof/>
          <w:sz w:val="22"/>
          <w:szCs w:val="22"/>
          <w:lang w:val="sr-Latn-ME"/>
        </w:rPr>
        <w:t xml:space="preserve">su sprovedena ispitivanja o uticaju na sposobnost </w:t>
      </w:r>
      <w:r w:rsidR="00681E12" w:rsidRPr="00070F42">
        <w:rPr>
          <w:noProof/>
          <w:sz w:val="22"/>
          <w:szCs w:val="22"/>
          <w:lang w:val="sr-Latn-ME"/>
        </w:rPr>
        <w:t xml:space="preserve">upravljanja vozilima </w:t>
      </w:r>
      <w:r w:rsidRPr="00070F42">
        <w:rPr>
          <w:noProof/>
          <w:sz w:val="22"/>
          <w:szCs w:val="22"/>
          <w:lang w:val="sr-Latn-ME"/>
        </w:rPr>
        <w:t>i rukovanj</w:t>
      </w:r>
      <w:r w:rsidR="00681E12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mašinama. Nema dokaza da </w:t>
      </w:r>
      <w:r w:rsidR="00681E12" w:rsidRPr="00070F42">
        <w:rPr>
          <w:noProof/>
          <w:sz w:val="22"/>
          <w:szCs w:val="22"/>
          <w:lang w:val="sr-Latn-ME"/>
        </w:rPr>
        <w:t xml:space="preserve">sorafenib </w:t>
      </w:r>
      <w:r w:rsidRPr="00070F42">
        <w:rPr>
          <w:noProof/>
          <w:sz w:val="22"/>
          <w:szCs w:val="22"/>
          <w:lang w:val="sr-Latn-ME"/>
        </w:rPr>
        <w:t xml:space="preserve">utiče na sposobnost upravljanja vozilima ili </w:t>
      </w:r>
      <w:r w:rsidR="00681E12" w:rsidRPr="00070F42">
        <w:rPr>
          <w:noProof/>
          <w:sz w:val="22"/>
          <w:szCs w:val="22"/>
          <w:lang w:val="sr-Latn-ME"/>
        </w:rPr>
        <w:t xml:space="preserve">rukovanja </w:t>
      </w:r>
      <w:r w:rsidRPr="00070F42">
        <w:rPr>
          <w:noProof/>
          <w:sz w:val="22"/>
          <w:szCs w:val="22"/>
          <w:lang w:val="sr-Latn-ME"/>
        </w:rPr>
        <w:t>mašinama.</w:t>
      </w:r>
    </w:p>
    <w:p w14:paraId="055DF9CF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453938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4.8.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Neželjena dejstva</w:t>
      </w:r>
    </w:p>
    <w:p w14:paraId="4E8B3DBF" w14:textId="77777777" w:rsidR="003951A3" w:rsidRPr="00070F42" w:rsidRDefault="003951A3" w:rsidP="003951A3">
      <w:pPr>
        <w:rPr>
          <w:noProof/>
          <w:sz w:val="22"/>
          <w:szCs w:val="22"/>
          <w:lang w:val="sr-Latn-ME"/>
        </w:rPr>
      </w:pPr>
    </w:p>
    <w:p w14:paraId="4ECC97A9" w14:textId="794EF39F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Najznačajnij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ozbiljn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neželjen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681E12" w:rsidRPr="00070F42">
        <w:rPr>
          <w:noProof/>
          <w:sz w:val="22"/>
          <w:szCs w:val="22"/>
          <w:lang w:val="sr-Latn-ME"/>
        </w:rPr>
        <w:t>reakcije</w:t>
      </w:r>
      <w:r w:rsidRPr="00070F42">
        <w:rPr>
          <w:noProof/>
          <w:sz w:val="22"/>
          <w:szCs w:val="22"/>
          <w:lang w:val="sr-Latn-ME"/>
        </w:rPr>
        <w:t xml:space="preserve"> su infarkt</w:t>
      </w:r>
      <w:r w:rsidR="00681E12" w:rsidRPr="00070F42">
        <w:rPr>
          <w:noProof/>
          <w:sz w:val="22"/>
          <w:szCs w:val="22"/>
          <w:lang w:val="sr-Latn-ME"/>
        </w:rPr>
        <w:t>/ishemija</w:t>
      </w:r>
      <w:r w:rsidRPr="00070F42">
        <w:rPr>
          <w:noProof/>
          <w:sz w:val="22"/>
          <w:szCs w:val="22"/>
          <w:lang w:val="sr-Latn-ME"/>
        </w:rPr>
        <w:t xml:space="preserve"> miokarda, gastrointestinalna perforacija, hepatitis izazvan l</w:t>
      </w:r>
      <w:r w:rsidR="00681E12" w:rsidRPr="00070F42">
        <w:rPr>
          <w:noProof/>
          <w:sz w:val="22"/>
          <w:szCs w:val="22"/>
          <w:lang w:val="sr-Latn-ME"/>
        </w:rPr>
        <w:t>ij</w:t>
      </w:r>
      <w:r w:rsidRPr="00070F42">
        <w:rPr>
          <w:noProof/>
          <w:sz w:val="22"/>
          <w:szCs w:val="22"/>
          <w:lang w:val="sr-Latn-ME"/>
        </w:rPr>
        <w:t>ekom, hemoragija i hipertenzija/hipertenzivna kriza.</w:t>
      </w:r>
    </w:p>
    <w:p w14:paraId="19E30EFB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36C26BD5" w14:textId="6553EF95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Najčešć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neželjen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681E12" w:rsidRPr="00070F42">
        <w:rPr>
          <w:noProof/>
          <w:sz w:val="22"/>
          <w:szCs w:val="22"/>
          <w:lang w:val="sr-Latn-ME"/>
        </w:rPr>
        <w:t>reakcije</w:t>
      </w:r>
      <w:r w:rsidRPr="00070F42">
        <w:rPr>
          <w:noProof/>
          <w:sz w:val="22"/>
          <w:szCs w:val="22"/>
          <w:lang w:val="sr-Latn-ME"/>
        </w:rPr>
        <w:t xml:space="preserve"> bil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su dijareja, zamor, alopecija, infekcija, </w:t>
      </w:r>
      <w:r w:rsidR="00681E12" w:rsidRPr="00070F42">
        <w:rPr>
          <w:noProof/>
          <w:sz w:val="22"/>
          <w:szCs w:val="22"/>
          <w:lang w:val="sr-Latn-ME"/>
        </w:rPr>
        <w:t>kožna reakcija na</w:t>
      </w:r>
      <w:r w:rsidRPr="00070F42">
        <w:rPr>
          <w:noProof/>
          <w:sz w:val="22"/>
          <w:szCs w:val="22"/>
          <w:lang w:val="sr-Latn-ME"/>
        </w:rPr>
        <w:t xml:space="preserve"> šaka</w:t>
      </w:r>
      <w:r w:rsidR="00681E12" w:rsidRPr="00070F42">
        <w:rPr>
          <w:noProof/>
          <w:sz w:val="22"/>
          <w:szCs w:val="22"/>
          <w:lang w:val="sr-Latn-ME"/>
        </w:rPr>
        <w:t>ma</w:t>
      </w:r>
      <w:r w:rsidRPr="00070F42">
        <w:rPr>
          <w:noProof/>
          <w:sz w:val="22"/>
          <w:szCs w:val="22"/>
          <w:lang w:val="sr-Latn-ME"/>
        </w:rPr>
        <w:t xml:space="preserve"> i stopal</w:t>
      </w:r>
      <w:r w:rsidR="00681E12" w:rsidRPr="00070F42">
        <w:rPr>
          <w:noProof/>
          <w:sz w:val="22"/>
          <w:szCs w:val="22"/>
          <w:lang w:val="sr-Latn-ME"/>
        </w:rPr>
        <w:t>im</w:t>
      </w:r>
      <w:r w:rsidRPr="00070F42">
        <w:rPr>
          <w:noProof/>
          <w:sz w:val="22"/>
          <w:szCs w:val="22"/>
          <w:lang w:val="sr-Latn-ME"/>
        </w:rPr>
        <w:t>a (</w:t>
      </w:r>
      <w:r w:rsidR="00681E12" w:rsidRPr="00070F42">
        <w:rPr>
          <w:noProof/>
          <w:sz w:val="22"/>
          <w:szCs w:val="22"/>
          <w:lang w:val="sr-Latn-ME"/>
        </w:rPr>
        <w:t xml:space="preserve">odgovara </w:t>
      </w:r>
      <w:r w:rsidRPr="00070F42">
        <w:rPr>
          <w:noProof/>
          <w:sz w:val="22"/>
          <w:szCs w:val="22"/>
          <w:lang w:val="sr-Latn-ME"/>
        </w:rPr>
        <w:t>sindrom</w:t>
      </w:r>
      <w:r w:rsidR="00681E12" w:rsidRPr="00070F42">
        <w:rPr>
          <w:noProof/>
          <w:sz w:val="22"/>
          <w:szCs w:val="22"/>
          <w:lang w:val="sr-Latn-ME"/>
        </w:rPr>
        <w:t>u</w:t>
      </w:r>
      <w:r w:rsidRPr="00070F42">
        <w:rPr>
          <w:noProof/>
          <w:sz w:val="22"/>
          <w:szCs w:val="22"/>
          <w:lang w:val="sr-Latn-ME"/>
        </w:rPr>
        <w:t xml:space="preserve"> palmarno-plantarne eritrodizestezije u MedDRA) i os</w:t>
      </w:r>
      <w:r w:rsidR="00681E12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>p.</w:t>
      </w:r>
    </w:p>
    <w:p w14:paraId="5BAF8A24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78537705" w14:textId="086CB349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Neželjen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681E12" w:rsidRPr="00070F42">
        <w:rPr>
          <w:noProof/>
          <w:sz w:val="22"/>
          <w:szCs w:val="22"/>
          <w:lang w:val="sr-Latn-ME"/>
        </w:rPr>
        <w:t>reakcije</w:t>
      </w:r>
      <w:r w:rsidRPr="00070F42">
        <w:rPr>
          <w:noProof/>
          <w:sz w:val="22"/>
          <w:szCs w:val="22"/>
          <w:lang w:val="sr-Latn-ME"/>
        </w:rPr>
        <w:t>, koj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su prijavljen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u više kliničkih ispitivanja ili u postmarketinškom </w:t>
      </w:r>
      <w:r w:rsidR="00681E12" w:rsidRPr="00070F42">
        <w:rPr>
          <w:noProof/>
          <w:sz w:val="22"/>
          <w:szCs w:val="22"/>
          <w:lang w:val="sr-Latn-ME"/>
        </w:rPr>
        <w:t>praćenju</w:t>
      </w:r>
      <w:r w:rsidRPr="00070F42">
        <w:rPr>
          <w:noProof/>
          <w:sz w:val="22"/>
          <w:szCs w:val="22"/>
          <w:lang w:val="sr-Latn-ME"/>
        </w:rPr>
        <w:t xml:space="preserve"> dat</w:t>
      </w:r>
      <w:r w:rsidR="00681E12" w:rsidRPr="00070F42">
        <w:rPr>
          <w:noProof/>
          <w:sz w:val="22"/>
          <w:szCs w:val="22"/>
          <w:lang w:val="sr-Latn-ME"/>
        </w:rPr>
        <w:t>e</w:t>
      </w:r>
      <w:r w:rsidRPr="00070F42">
        <w:rPr>
          <w:noProof/>
          <w:sz w:val="22"/>
          <w:szCs w:val="22"/>
          <w:lang w:val="sr-Latn-ME"/>
        </w:rPr>
        <w:t xml:space="preserve"> su u Tabeli 1</w:t>
      </w:r>
      <w:r w:rsidR="00681E12" w:rsidRPr="00070F42">
        <w:rPr>
          <w:noProof/>
          <w:sz w:val="22"/>
          <w:szCs w:val="22"/>
          <w:lang w:val="sr-Latn-ME"/>
        </w:rPr>
        <w:t xml:space="preserve"> u nastavku</w:t>
      </w:r>
      <w:r w:rsidRPr="00070F42">
        <w:rPr>
          <w:noProof/>
          <w:sz w:val="22"/>
          <w:szCs w:val="22"/>
          <w:lang w:val="sr-Latn-ME"/>
        </w:rPr>
        <w:t>, po klasama sistema organa (MedDRA) i učestalosti. Učestalost je definisana kao: veoma česta (≥1/10), česta (≥1/100 do &lt;1/10), povremena (≥1/1000 do &lt;1/100), rijetka (≥1/10000 do &lt;1/1000), nepoznata</w:t>
      </w:r>
      <w:r w:rsidR="00681E12" w:rsidRPr="00070F42">
        <w:rPr>
          <w:noProof/>
          <w:sz w:val="22"/>
          <w:szCs w:val="22"/>
          <w:lang w:val="sr-Latn-ME"/>
        </w:rPr>
        <w:t xml:space="preserve"> učestalost</w:t>
      </w:r>
      <w:r w:rsidRPr="00070F42">
        <w:rPr>
          <w:noProof/>
          <w:sz w:val="22"/>
          <w:szCs w:val="22"/>
          <w:lang w:val="sr-Latn-ME"/>
        </w:rPr>
        <w:t xml:space="preserve"> (ne može se procijeniti na osnovu dostupnih podataka).</w:t>
      </w:r>
    </w:p>
    <w:p w14:paraId="3509E2E5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57522A34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Unutar svake grupe učestalosti, neželjena dejstva su data po opadajućem stepenu ozbiljnosti.</w:t>
      </w:r>
    </w:p>
    <w:p w14:paraId="062A03E1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14E3934D" w14:textId="28511FDF" w:rsidR="003951A3" w:rsidRPr="00070F42" w:rsidRDefault="003951A3" w:rsidP="003951A3">
      <w:pPr>
        <w:jc w:val="both"/>
        <w:rPr>
          <w:b/>
          <w:bCs/>
          <w:noProof/>
          <w:sz w:val="22"/>
          <w:szCs w:val="22"/>
          <w:lang w:val="sr-Latn-ME"/>
        </w:rPr>
      </w:pPr>
      <w:r w:rsidRPr="00070F42">
        <w:rPr>
          <w:b/>
          <w:bCs/>
          <w:noProof/>
          <w:sz w:val="22"/>
          <w:szCs w:val="22"/>
          <w:lang w:val="sr-Latn-ME"/>
        </w:rPr>
        <w:t>Tabela 1: Sv</w:t>
      </w:r>
      <w:r w:rsidR="00681E12" w:rsidRPr="00070F42">
        <w:rPr>
          <w:b/>
          <w:bCs/>
          <w:noProof/>
          <w:sz w:val="22"/>
          <w:szCs w:val="22"/>
          <w:lang w:val="sr-Latn-ME"/>
        </w:rPr>
        <w:t>e</w:t>
      </w:r>
      <w:r w:rsidRPr="00070F42">
        <w:rPr>
          <w:b/>
          <w:bCs/>
          <w:noProof/>
          <w:sz w:val="22"/>
          <w:szCs w:val="22"/>
          <w:lang w:val="sr-Latn-ME"/>
        </w:rPr>
        <w:t xml:space="preserve"> neželjen</w:t>
      </w:r>
      <w:r w:rsidR="00681E12" w:rsidRPr="00070F42">
        <w:rPr>
          <w:b/>
          <w:bCs/>
          <w:noProof/>
          <w:sz w:val="22"/>
          <w:szCs w:val="22"/>
          <w:lang w:val="sr-Latn-ME"/>
        </w:rPr>
        <w:t>e</w:t>
      </w:r>
      <w:r w:rsidRPr="00070F42">
        <w:rPr>
          <w:b/>
          <w:bCs/>
          <w:noProof/>
          <w:sz w:val="22"/>
          <w:szCs w:val="22"/>
          <w:lang w:val="sr-Latn-ME"/>
        </w:rPr>
        <w:t xml:space="preserve"> </w:t>
      </w:r>
      <w:r w:rsidR="00681E12" w:rsidRPr="00070F42">
        <w:rPr>
          <w:b/>
          <w:bCs/>
          <w:noProof/>
          <w:sz w:val="22"/>
          <w:szCs w:val="22"/>
          <w:lang w:val="sr-Latn-ME"/>
        </w:rPr>
        <w:t>reakcije</w:t>
      </w:r>
      <w:r w:rsidRPr="00070F42">
        <w:rPr>
          <w:b/>
          <w:bCs/>
          <w:noProof/>
          <w:sz w:val="22"/>
          <w:szCs w:val="22"/>
          <w:lang w:val="sr-Latn-ME"/>
        </w:rPr>
        <w:t xml:space="preserve"> prijavljen</w:t>
      </w:r>
      <w:r w:rsidR="00681E12" w:rsidRPr="00070F42">
        <w:rPr>
          <w:b/>
          <w:bCs/>
          <w:noProof/>
          <w:sz w:val="22"/>
          <w:szCs w:val="22"/>
          <w:lang w:val="sr-Latn-ME"/>
        </w:rPr>
        <w:t>e</w:t>
      </w:r>
      <w:r w:rsidRPr="00070F42">
        <w:rPr>
          <w:b/>
          <w:bCs/>
          <w:noProof/>
          <w:sz w:val="22"/>
          <w:szCs w:val="22"/>
          <w:lang w:val="sr-Latn-ME"/>
        </w:rPr>
        <w:t xml:space="preserve"> kod pacijenata u višestrukim kliničkim ispitivanjima ili u postmarketinškom periodu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06"/>
        <w:gridCol w:w="1570"/>
        <w:gridCol w:w="1843"/>
        <w:gridCol w:w="1418"/>
        <w:gridCol w:w="1417"/>
      </w:tblGrid>
      <w:tr w:rsidR="003951A3" w:rsidRPr="00070F42" w14:paraId="70D67C4E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7996AC2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406" w:type="dxa"/>
          </w:tcPr>
          <w:p w14:paraId="53A62CFB" w14:textId="4B4067A2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Veoma česta</w:t>
            </w:r>
          </w:p>
        </w:tc>
        <w:tc>
          <w:tcPr>
            <w:tcW w:w="1570" w:type="dxa"/>
          </w:tcPr>
          <w:p w14:paraId="2957E67C" w14:textId="00D47F7B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843" w:type="dxa"/>
          </w:tcPr>
          <w:p w14:paraId="10DFAEC2" w14:textId="732B4C0D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418" w:type="dxa"/>
          </w:tcPr>
          <w:p w14:paraId="61F96E14" w14:textId="3CC2388C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Rijetka</w:t>
            </w:r>
          </w:p>
        </w:tc>
        <w:tc>
          <w:tcPr>
            <w:tcW w:w="1417" w:type="dxa"/>
          </w:tcPr>
          <w:p w14:paraId="3900DAC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Nepoznata učestalost</w:t>
            </w:r>
          </w:p>
        </w:tc>
      </w:tr>
      <w:tr w:rsidR="003951A3" w:rsidRPr="00070F42" w14:paraId="6579D675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6F6B9F0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1406" w:type="dxa"/>
          </w:tcPr>
          <w:p w14:paraId="0EC03ED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Infekcija</w:t>
            </w:r>
          </w:p>
        </w:tc>
        <w:tc>
          <w:tcPr>
            <w:tcW w:w="1570" w:type="dxa"/>
          </w:tcPr>
          <w:p w14:paraId="00375E4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Folikulitis</w:t>
            </w:r>
          </w:p>
        </w:tc>
        <w:tc>
          <w:tcPr>
            <w:tcW w:w="1843" w:type="dxa"/>
          </w:tcPr>
          <w:p w14:paraId="6727942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746C041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6EE5159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3A3927A5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0E2544E9" w14:textId="02001C25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406" w:type="dxa"/>
          </w:tcPr>
          <w:p w14:paraId="46D1628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Limfopenija</w:t>
            </w:r>
          </w:p>
        </w:tc>
        <w:tc>
          <w:tcPr>
            <w:tcW w:w="1570" w:type="dxa"/>
          </w:tcPr>
          <w:p w14:paraId="69BDC49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Leukopenija</w:t>
            </w:r>
          </w:p>
          <w:p w14:paraId="302C804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Neutropenija</w:t>
            </w:r>
          </w:p>
          <w:p w14:paraId="3641AA9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Anemija</w:t>
            </w:r>
          </w:p>
          <w:p w14:paraId="103B10D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Trombocitopenija</w:t>
            </w:r>
          </w:p>
        </w:tc>
        <w:tc>
          <w:tcPr>
            <w:tcW w:w="1843" w:type="dxa"/>
          </w:tcPr>
          <w:p w14:paraId="4500FC3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51D89F19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7E5C691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47ECFF4F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3DB2C21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Imunološki poremećaji </w:t>
            </w:r>
          </w:p>
        </w:tc>
        <w:tc>
          <w:tcPr>
            <w:tcW w:w="1406" w:type="dxa"/>
          </w:tcPr>
          <w:p w14:paraId="0DCC4AA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7158331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</w:tcPr>
          <w:p w14:paraId="5FACFE6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Reakcije preosjetljivosti (uključujući kožne reakcije i urtikariju)</w:t>
            </w:r>
          </w:p>
          <w:p w14:paraId="0AA98C3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Anafilaktičke reakcije</w:t>
            </w:r>
          </w:p>
        </w:tc>
        <w:tc>
          <w:tcPr>
            <w:tcW w:w="1418" w:type="dxa"/>
          </w:tcPr>
          <w:p w14:paraId="12C33093" w14:textId="59445D47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Angioedem</w:t>
            </w:r>
          </w:p>
        </w:tc>
        <w:tc>
          <w:tcPr>
            <w:tcW w:w="1417" w:type="dxa"/>
          </w:tcPr>
          <w:p w14:paraId="652B446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155B6CBB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6A0B613F" w14:textId="2EBB6295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Endokrini poremećaji </w:t>
            </w:r>
          </w:p>
        </w:tc>
        <w:tc>
          <w:tcPr>
            <w:tcW w:w="1406" w:type="dxa"/>
          </w:tcPr>
          <w:p w14:paraId="519EAF2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4FB1B83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Hipotireoidizam</w:t>
            </w:r>
          </w:p>
        </w:tc>
        <w:tc>
          <w:tcPr>
            <w:tcW w:w="1843" w:type="dxa"/>
          </w:tcPr>
          <w:p w14:paraId="6FF5026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Hipertireoidizam</w:t>
            </w:r>
          </w:p>
        </w:tc>
        <w:tc>
          <w:tcPr>
            <w:tcW w:w="1418" w:type="dxa"/>
          </w:tcPr>
          <w:p w14:paraId="2569FCE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6E1777C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68F3E85B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6F670E9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406" w:type="dxa"/>
          </w:tcPr>
          <w:p w14:paraId="5FA7635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Anoreksija</w:t>
            </w:r>
          </w:p>
          <w:p w14:paraId="339BBCB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Hipofosfatemija</w:t>
            </w:r>
          </w:p>
        </w:tc>
        <w:tc>
          <w:tcPr>
            <w:tcW w:w="1570" w:type="dxa"/>
          </w:tcPr>
          <w:p w14:paraId="78A41285" w14:textId="65C1CD49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Hipokalcemija</w:t>
            </w:r>
          </w:p>
          <w:p w14:paraId="4967682F" w14:textId="56ED5D95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Hipokalemija</w:t>
            </w:r>
          </w:p>
          <w:p w14:paraId="1F14B442" w14:textId="6B2C04D4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Hiponatremija</w:t>
            </w:r>
          </w:p>
          <w:p w14:paraId="7854120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Hipoglikemija</w:t>
            </w:r>
          </w:p>
        </w:tc>
        <w:tc>
          <w:tcPr>
            <w:tcW w:w="1843" w:type="dxa"/>
          </w:tcPr>
          <w:p w14:paraId="4C439BE3" w14:textId="4D26A5C0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Dehidracija</w:t>
            </w:r>
          </w:p>
        </w:tc>
        <w:tc>
          <w:tcPr>
            <w:tcW w:w="1418" w:type="dxa"/>
          </w:tcPr>
          <w:p w14:paraId="58C0201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5D9CF1C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3ACBC18D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7025EA6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406" w:type="dxa"/>
          </w:tcPr>
          <w:p w14:paraId="799F9C6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7B412EC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Depresija</w:t>
            </w:r>
          </w:p>
        </w:tc>
        <w:tc>
          <w:tcPr>
            <w:tcW w:w="1843" w:type="dxa"/>
          </w:tcPr>
          <w:p w14:paraId="0EAB99A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68315E2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48F6B00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599C0C76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35CD233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406" w:type="dxa"/>
          </w:tcPr>
          <w:p w14:paraId="19CD3C3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718BE32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Periferna senzorna neuropatija</w:t>
            </w:r>
          </w:p>
          <w:p w14:paraId="1E95E22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Disgeuzija</w:t>
            </w:r>
          </w:p>
        </w:tc>
        <w:tc>
          <w:tcPr>
            <w:tcW w:w="1843" w:type="dxa"/>
          </w:tcPr>
          <w:p w14:paraId="7710BDD0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Posteriorna reverzibilna leukoencefalopatija*</w:t>
            </w:r>
          </w:p>
        </w:tc>
        <w:tc>
          <w:tcPr>
            <w:tcW w:w="1418" w:type="dxa"/>
          </w:tcPr>
          <w:p w14:paraId="584ECCB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6211A2B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Encefalopatija°</w:t>
            </w:r>
          </w:p>
        </w:tc>
      </w:tr>
      <w:tr w:rsidR="003951A3" w:rsidRPr="00070F42" w14:paraId="797E2182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5296FDBB" w14:textId="12C221D8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lastRenderedPageBreak/>
              <w:t>Poremećaji uha i centra za ravnotežu</w:t>
            </w:r>
          </w:p>
        </w:tc>
        <w:tc>
          <w:tcPr>
            <w:tcW w:w="1406" w:type="dxa"/>
          </w:tcPr>
          <w:p w14:paraId="0590DA3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2110E779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Tinitus</w:t>
            </w:r>
          </w:p>
        </w:tc>
        <w:tc>
          <w:tcPr>
            <w:tcW w:w="1843" w:type="dxa"/>
          </w:tcPr>
          <w:p w14:paraId="208CBED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5282D6B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0073E75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15F6DF6E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76D8679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406" w:type="dxa"/>
          </w:tcPr>
          <w:p w14:paraId="670A2E4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0C9DEC0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Kongestivna srčana insuficijencija*</w:t>
            </w:r>
          </w:p>
          <w:p w14:paraId="21739B29" w14:textId="3C991371" w:rsidR="003951A3" w:rsidRPr="00070F42" w:rsidRDefault="00DB710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I</w:t>
            </w:r>
            <w:r w:rsidR="003951A3" w:rsidRPr="00070F42">
              <w:rPr>
                <w:noProof/>
                <w:sz w:val="22"/>
                <w:szCs w:val="22"/>
                <w:lang w:val="sr-Latn-ME"/>
              </w:rPr>
              <w:t>shemija i infarkt</w:t>
            </w:r>
            <w:r w:rsidRPr="00070F42">
              <w:rPr>
                <w:noProof/>
                <w:sz w:val="22"/>
                <w:szCs w:val="22"/>
                <w:lang w:val="sr-Latn-ME"/>
              </w:rPr>
              <w:t xml:space="preserve"> miokarda</w:t>
            </w:r>
            <w:r w:rsidR="003951A3" w:rsidRPr="00070F42">
              <w:rPr>
                <w:noProof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1843" w:type="dxa"/>
          </w:tcPr>
          <w:p w14:paraId="6B14419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03254BE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Produženje QT intervala</w:t>
            </w:r>
          </w:p>
        </w:tc>
        <w:tc>
          <w:tcPr>
            <w:tcW w:w="1417" w:type="dxa"/>
          </w:tcPr>
          <w:p w14:paraId="48DE5F3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6AA1AD84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3AE63669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406" w:type="dxa"/>
          </w:tcPr>
          <w:p w14:paraId="2CC21D8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Krvarenje (koje uključuje i krvarenje u gastrointestinalnom* i respiratornom traktu* i cerebralno krvarenje*)</w:t>
            </w:r>
          </w:p>
          <w:p w14:paraId="2DF2C30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Hipertenzija</w:t>
            </w:r>
          </w:p>
        </w:tc>
        <w:tc>
          <w:tcPr>
            <w:tcW w:w="1570" w:type="dxa"/>
          </w:tcPr>
          <w:p w14:paraId="55305289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Crvenilo</w:t>
            </w:r>
          </w:p>
        </w:tc>
        <w:tc>
          <w:tcPr>
            <w:tcW w:w="1843" w:type="dxa"/>
          </w:tcPr>
          <w:p w14:paraId="39DB22B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Hipertenzivna kriza*</w:t>
            </w:r>
          </w:p>
        </w:tc>
        <w:tc>
          <w:tcPr>
            <w:tcW w:w="1418" w:type="dxa"/>
          </w:tcPr>
          <w:p w14:paraId="26CEC0B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64C4BD5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Aneurizme i disekcije arterija</w:t>
            </w:r>
          </w:p>
        </w:tc>
      </w:tr>
      <w:tr w:rsidR="003951A3" w:rsidRPr="00070F42" w14:paraId="4A68F6C0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578A902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1406" w:type="dxa"/>
          </w:tcPr>
          <w:p w14:paraId="79C8CA8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270FB81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Rinoreja</w:t>
            </w:r>
          </w:p>
          <w:p w14:paraId="2116838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Promuklost</w:t>
            </w:r>
          </w:p>
        </w:tc>
        <w:tc>
          <w:tcPr>
            <w:tcW w:w="1843" w:type="dxa"/>
          </w:tcPr>
          <w:p w14:paraId="77BFBF5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Oboljenja poput intersticijalne bolesti pluća* (pneumonitis, radijacioni pneumonitis, akutni respiratorni distres, itd.)</w:t>
            </w:r>
          </w:p>
        </w:tc>
        <w:tc>
          <w:tcPr>
            <w:tcW w:w="1418" w:type="dxa"/>
          </w:tcPr>
          <w:p w14:paraId="121C070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5847829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5B9CEBD7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37CF0A2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406" w:type="dxa"/>
          </w:tcPr>
          <w:p w14:paraId="1CC645C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Dijareja</w:t>
            </w:r>
          </w:p>
          <w:p w14:paraId="7D70A10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Mučnina</w:t>
            </w:r>
          </w:p>
          <w:p w14:paraId="64DFC99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Povraćanje</w:t>
            </w:r>
          </w:p>
          <w:p w14:paraId="78466DF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Opstipacija</w:t>
            </w:r>
          </w:p>
        </w:tc>
        <w:tc>
          <w:tcPr>
            <w:tcW w:w="1570" w:type="dxa"/>
          </w:tcPr>
          <w:p w14:paraId="40F5861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Stomatitis (uključujući suvoću usta i glosodiniju)</w:t>
            </w:r>
          </w:p>
          <w:p w14:paraId="2625961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Dispepsija</w:t>
            </w:r>
          </w:p>
          <w:p w14:paraId="0AFBCE9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Disfagija</w:t>
            </w:r>
          </w:p>
          <w:p w14:paraId="79324A3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Gastroezofagealna refluksna bolest</w:t>
            </w:r>
          </w:p>
        </w:tc>
        <w:tc>
          <w:tcPr>
            <w:tcW w:w="1843" w:type="dxa"/>
          </w:tcPr>
          <w:p w14:paraId="19559FA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Pankreatitis</w:t>
            </w:r>
          </w:p>
          <w:p w14:paraId="04DBBA8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Gastritis</w:t>
            </w:r>
          </w:p>
          <w:p w14:paraId="7C902249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Gastrointestinalna perforacija*</w:t>
            </w:r>
          </w:p>
        </w:tc>
        <w:tc>
          <w:tcPr>
            <w:tcW w:w="1418" w:type="dxa"/>
          </w:tcPr>
          <w:p w14:paraId="408048C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1474B05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363D41B8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2E107DD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406" w:type="dxa"/>
          </w:tcPr>
          <w:p w14:paraId="49B82F5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39FD0A1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</w:tcPr>
          <w:p w14:paraId="3B78633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Povećanje bilirubina i žutica</w:t>
            </w:r>
          </w:p>
          <w:p w14:paraId="148295B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Holecistitis</w:t>
            </w:r>
          </w:p>
          <w:p w14:paraId="70B730F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Holangitis</w:t>
            </w:r>
          </w:p>
        </w:tc>
        <w:tc>
          <w:tcPr>
            <w:tcW w:w="1418" w:type="dxa"/>
          </w:tcPr>
          <w:p w14:paraId="3EDDCA7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Hepatitis izazvan ljekovima*</w:t>
            </w:r>
          </w:p>
        </w:tc>
        <w:tc>
          <w:tcPr>
            <w:tcW w:w="1417" w:type="dxa"/>
          </w:tcPr>
          <w:p w14:paraId="5DAC4E1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241127A7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670EF680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na nivou kože i potkožnog tkiva</w:t>
            </w:r>
          </w:p>
        </w:tc>
        <w:tc>
          <w:tcPr>
            <w:tcW w:w="1406" w:type="dxa"/>
          </w:tcPr>
          <w:p w14:paraId="4413715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Suva koža</w:t>
            </w:r>
          </w:p>
          <w:p w14:paraId="38F07644" w14:textId="578BA3D3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Os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>i</w:t>
            </w:r>
            <w:r w:rsidRPr="00070F42">
              <w:rPr>
                <w:noProof/>
                <w:sz w:val="22"/>
                <w:szCs w:val="22"/>
                <w:lang w:val="sr-Latn-ME"/>
              </w:rPr>
              <w:t>p</w:t>
            </w:r>
          </w:p>
          <w:p w14:paraId="7BF5F01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Alopecija</w:t>
            </w:r>
          </w:p>
          <w:p w14:paraId="2509411C" w14:textId="0830627F" w:rsidR="003951A3" w:rsidRPr="00070F42" w:rsidRDefault="00DB710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Kožna reakcija na</w:t>
            </w:r>
            <w:r w:rsidR="003951A3" w:rsidRPr="00070F42">
              <w:rPr>
                <w:noProof/>
                <w:sz w:val="22"/>
                <w:szCs w:val="22"/>
                <w:lang w:val="sr-Latn-ME"/>
              </w:rPr>
              <w:t xml:space="preserve"> šak</w:t>
            </w:r>
            <w:r w:rsidRPr="00070F42">
              <w:rPr>
                <w:noProof/>
                <w:sz w:val="22"/>
                <w:szCs w:val="22"/>
                <w:lang w:val="sr-Latn-ME"/>
              </w:rPr>
              <w:t>ama</w:t>
            </w:r>
            <w:r w:rsidR="003951A3" w:rsidRPr="00070F42">
              <w:rPr>
                <w:noProof/>
                <w:sz w:val="22"/>
                <w:szCs w:val="22"/>
                <w:lang w:val="sr-Latn-ME"/>
              </w:rPr>
              <w:t xml:space="preserve"> i stopal</w:t>
            </w:r>
            <w:r w:rsidRPr="00070F42">
              <w:rPr>
                <w:noProof/>
                <w:sz w:val="22"/>
                <w:szCs w:val="22"/>
                <w:lang w:val="sr-Latn-ME"/>
              </w:rPr>
              <w:t>im</w:t>
            </w:r>
            <w:r w:rsidR="003951A3" w:rsidRPr="00070F42">
              <w:rPr>
                <w:noProof/>
                <w:sz w:val="22"/>
                <w:szCs w:val="22"/>
                <w:lang w:val="sr-Latn-ME"/>
              </w:rPr>
              <w:t>a**</w:t>
            </w:r>
          </w:p>
          <w:p w14:paraId="6F13880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Eritem</w:t>
            </w:r>
          </w:p>
          <w:p w14:paraId="5B56E2A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Svrab</w:t>
            </w:r>
          </w:p>
        </w:tc>
        <w:tc>
          <w:tcPr>
            <w:tcW w:w="1570" w:type="dxa"/>
          </w:tcPr>
          <w:p w14:paraId="2F42777D" w14:textId="77777777" w:rsidR="003951A3" w:rsidRPr="00070F42" w:rsidRDefault="003951A3" w:rsidP="00CE5256">
            <w:pPr>
              <w:rPr>
                <w:iCs/>
                <w:noProof/>
                <w:sz w:val="22"/>
                <w:szCs w:val="22"/>
                <w:lang w:val="sr-Latn-ME"/>
              </w:rPr>
            </w:pPr>
            <w:r w:rsidRPr="00070F42">
              <w:rPr>
                <w:iCs/>
                <w:noProof/>
                <w:sz w:val="22"/>
                <w:szCs w:val="22"/>
                <w:lang w:val="sr-Latn-ME"/>
              </w:rPr>
              <w:t>Keratoakantom/</w:t>
            </w:r>
          </w:p>
          <w:p w14:paraId="23EEC72F" w14:textId="77777777" w:rsidR="003951A3" w:rsidRPr="00070F42" w:rsidRDefault="003951A3" w:rsidP="00CE5256">
            <w:pPr>
              <w:rPr>
                <w:iCs/>
                <w:noProof/>
                <w:sz w:val="22"/>
                <w:szCs w:val="22"/>
                <w:lang w:val="sr-Latn-ME"/>
              </w:rPr>
            </w:pPr>
            <w:r w:rsidRPr="00070F42">
              <w:rPr>
                <w:iCs/>
                <w:noProof/>
                <w:sz w:val="22"/>
                <w:szCs w:val="22"/>
                <w:lang w:val="sr-Latn-ME"/>
              </w:rPr>
              <w:t>karcinom skvamoznih ćelija kože</w:t>
            </w:r>
          </w:p>
          <w:p w14:paraId="1A5C289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Eksfolijativni dermatitis</w:t>
            </w:r>
          </w:p>
          <w:p w14:paraId="5C8D425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Akne</w:t>
            </w:r>
          </w:p>
          <w:p w14:paraId="3237645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Ljuštenje kože</w:t>
            </w:r>
          </w:p>
          <w:p w14:paraId="1210474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Hiperkeratoza</w:t>
            </w:r>
          </w:p>
        </w:tc>
        <w:tc>
          <w:tcPr>
            <w:tcW w:w="1843" w:type="dxa"/>
          </w:tcPr>
          <w:p w14:paraId="158C209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Ekcem</w:t>
            </w:r>
          </w:p>
          <w:p w14:paraId="3BCA8BCF" w14:textId="77777777" w:rsidR="003951A3" w:rsidRPr="00070F42" w:rsidRDefault="003951A3" w:rsidP="00CE5256">
            <w:pPr>
              <w:rPr>
                <w:iCs/>
                <w:noProof/>
                <w:sz w:val="22"/>
                <w:szCs w:val="22"/>
                <w:lang w:val="sr-Latn-ME"/>
              </w:rPr>
            </w:pPr>
            <w:r w:rsidRPr="00070F42">
              <w:rPr>
                <w:iCs/>
                <w:noProof/>
                <w:sz w:val="22"/>
                <w:szCs w:val="22"/>
                <w:lang w:val="sr-Latn-ME"/>
              </w:rPr>
              <w:t xml:space="preserve">Erythema multiforme </w:t>
            </w:r>
          </w:p>
          <w:p w14:paraId="646246F5" w14:textId="77777777" w:rsidR="003951A3" w:rsidRPr="00070F42" w:rsidRDefault="003951A3" w:rsidP="00CE5256">
            <w:pPr>
              <w:rPr>
                <w:i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29491F2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Dermatitis izazvan prethodnom radijacijom</w:t>
            </w:r>
          </w:p>
          <w:p w14:paraId="753C5E66" w14:textId="77777777" w:rsidR="003951A3" w:rsidRPr="00070F42" w:rsidRDefault="003951A3" w:rsidP="00CE5256">
            <w:pPr>
              <w:rPr>
                <w:iCs/>
                <w:noProof/>
                <w:sz w:val="22"/>
                <w:szCs w:val="22"/>
                <w:lang w:val="sr-Latn-ME"/>
              </w:rPr>
            </w:pPr>
            <w:r w:rsidRPr="00070F42">
              <w:rPr>
                <w:i/>
                <w:iCs/>
                <w:noProof/>
                <w:sz w:val="22"/>
                <w:szCs w:val="22"/>
                <w:lang w:val="sr-Latn-ME"/>
              </w:rPr>
              <w:t>Stevens-Johnson</w:t>
            </w:r>
            <w:r w:rsidRPr="00070F42">
              <w:rPr>
                <w:iCs/>
                <w:noProof/>
                <w:sz w:val="22"/>
                <w:szCs w:val="22"/>
                <w:lang w:val="sr-Latn-ME"/>
              </w:rPr>
              <w:t>-ov sindrom</w:t>
            </w:r>
          </w:p>
          <w:p w14:paraId="27FE6358" w14:textId="5EB1935C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bookmarkStart w:id="0" w:name="OLE_LINK5"/>
            <w:bookmarkStart w:id="1" w:name="OLE_LINK6"/>
            <w:r w:rsidRPr="00070F42">
              <w:rPr>
                <w:noProof/>
                <w:sz w:val="22"/>
                <w:szCs w:val="22"/>
                <w:lang w:val="sr-Latn-ME"/>
              </w:rPr>
              <w:t>Leu</w:t>
            </w:r>
            <w:r w:rsidR="00D50D85" w:rsidRPr="00070F42">
              <w:rPr>
                <w:noProof/>
                <w:sz w:val="22"/>
                <w:szCs w:val="22"/>
                <w:lang w:val="sr-Latn-ME"/>
              </w:rPr>
              <w:t>k</w:t>
            </w:r>
            <w:r w:rsidRPr="00070F42">
              <w:rPr>
                <w:noProof/>
                <w:sz w:val="22"/>
                <w:szCs w:val="22"/>
                <w:lang w:val="sr-Latn-ME"/>
              </w:rPr>
              <w:t>ocitoklastični vaskulitis</w:t>
            </w:r>
            <w:bookmarkEnd w:id="0"/>
            <w:bookmarkEnd w:id="1"/>
          </w:p>
          <w:p w14:paraId="6535FD3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Toksična epidermalna nekroliza*</w:t>
            </w:r>
          </w:p>
        </w:tc>
        <w:tc>
          <w:tcPr>
            <w:tcW w:w="1417" w:type="dxa"/>
          </w:tcPr>
          <w:p w14:paraId="633FDD1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62B3DEC8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412AEDE9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mišićno-</w:t>
            </w:r>
            <w:r w:rsidRPr="00070F42">
              <w:rPr>
                <w:noProof/>
                <w:sz w:val="22"/>
                <w:szCs w:val="22"/>
                <w:lang w:val="sr-Latn-ME"/>
              </w:rPr>
              <w:lastRenderedPageBreak/>
              <w:t>skeletnog, vezivnog i koštanog tkiva</w:t>
            </w:r>
          </w:p>
        </w:tc>
        <w:tc>
          <w:tcPr>
            <w:tcW w:w="1406" w:type="dxa"/>
          </w:tcPr>
          <w:p w14:paraId="41782D22" w14:textId="433F5A68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lastRenderedPageBreak/>
              <w:t>Artralgija</w:t>
            </w:r>
          </w:p>
        </w:tc>
        <w:tc>
          <w:tcPr>
            <w:tcW w:w="1570" w:type="dxa"/>
          </w:tcPr>
          <w:p w14:paraId="3A68450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Mijalgija</w:t>
            </w:r>
          </w:p>
          <w:p w14:paraId="4D2DB31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Spazam mišića</w:t>
            </w:r>
          </w:p>
        </w:tc>
        <w:tc>
          <w:tcPr>
            <w:tcW w:w="1843" w:type="dxa"/>
          </w:tcPr>
          <w:p w14:paraId="6D3BD84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2BE64AE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Rabdomioliza</w:t>
            </w:r>
          </w:p>
        </w:tc>
        <w:tc>
          <w:tcPr>
            <w:tcW w:w="1417" w:type="dxa"/>
          </w:tcPr>
          <w:p w14:paraId="3CD56C9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13183AAD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2976772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na nivou bubrega i urinarnog sistema</w:t>
            </w:r>
          </w:p>
        </w:tc>
        <w:tc>
          <w:tcPr>
            <w:tcW w:w="1406" w:type="dxa"/>
          </w:tcPr>
          <w:p w14:paraId="40C5B42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7B9C798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Bubrežna insuficijencija</w:t>
            </w:r>
          </w:p>
          <w:p w14:paraId="3CF02A6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Proteinurija</w:t>
            </w:r>
          </w:p>
        </w:tc>
        <w:tc>
          <w:tcPr>
            <w:tcW w:w="1843" w:type="dxa"/>
          </w:tcPr>
          <w:p w14:paraId="6498A2E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7D5E4DA5" w14:textId="707C316D" w:rsidR="003951A3" w:rsidRPr="00070F42" w:rsidRDefault="003951A3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Nefrotski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070F42">
              <w:rPr>
                <w:noProof/>
                <w:sz w:val="22"/>
                <w:szCs w:val="22"/>
                <w:lang w:val="sr-Latn-ME"/>
              </w:rPr>
              <w:t>sindrom</w:t>
            </w:r>
          </w:p>
        </w:tc>
        <w:tc>
          <w:tcPr>
            <w:tcW w:w="1417" w:type="dxa"/>
          </w:tcPr>
          <w:p w14:paraId="25D5B89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3DF22DF0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238FB7F2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Poremećaji reproduktivnog sistema i na nivou dojki</w:t>
            </w:r>
          </w:p>
        </w:tc>
        <w:tc>
          <w:tcPr>
            <w:tcW w:w="1406" w:type="dxa"/>
          </w:tcPr>
          <w:p w14:paraId="5B908220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570" w:type="dxa"/>
          </w:tcPr>
          <w:p w14:paraId="51DCDCD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Erektilna disfunkcija</w:t>
            </w:r>
          </w:p>
        </w:tc>
        <w:tc>
          <w:tcPr>
            <w:tcW w:w="1843" w:type="dxa"/>
          </w:tcPr>
          <w:p w14:paraId="21110E6E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Ginekomastija</w:t>
            </w:r>
          </w:p>
        </w:tc>
        <w:tc>
          <w:tcPr>
            <w:tcW w:w="1418" w:type="dxa"/>
          </w:tcPr>
          <w:p w14:paraId="2663622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4DB899D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754A5B23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0ED9147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1406" w:type="dxa"/>
          </w:tcPr>
          <w:p w14:paraId="38F2457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Zamor</w:t>
            </w:r>
          </w:p>
          <w:p w14:paraId="415F96D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Bol (uključujući i onaj u ustima, trbuhu, kostima, bol u tumoru i glavobolju)</w:t>
            </w:r>
          </w:p>
          <w:p w14:paraId="0B2B4B5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Groznica</w:t>
            </w:r>
          </w:p>
        </w:tc>
        <w:tc>
          <w:tcPr>
            <w:tcW w:w="1570" w:type="dxa"/>
          </w:tcPr>
          <w:p w14:paraId="16F6252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Astenija</w:t>
            </w:r>
          </w:p>
          <w:p w14:paraId="7BFBBC6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Bolest slična influenci</w:t>
            </w:r>
          </w:p>
          <w:p w14:paraId="0378A67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Zapaljenje sluzokože</w:t>
            </w:r>
          </w:p>
        </w:tc>
        <w:tc>
          <w:tcPr>
            <w:tcW w:w="1843" w:type="dxa"/>
          </w:tcPr>
          <w:p w14:paraId="46963F33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0D0374ED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58A9631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  <w:tr w:rsidR="003951A3" w:rsidRPr="00070F42" w14:paraId="0B6CD4AC" w14:textId="77777777" w:rsidTr="00CE5256">
        <w:trPr>
          <w:jc w:val="center"/>
        </w:trPr>
        <w:tc>
          <w:tcPr>
            <w:tcW w:w="1555" w:type="dxa"/>
            <w:shd w:val="clear" w:color="auto" w:fill="C0C0C0"/>
          </w:tcPr>
          <w:p w14:paraId="4097575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Laboratorijska ispitivanja</w:t>
            </w:r>
          </w:p>
        </w:tc>
        <w:tc>
          <w:tcPr>
            <w:tcW w:w="1406" w:type="dxa"/>
          </w:tcPr>
          <w:p w14:paraId="08FF31D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Smanjenje tjelesne mase</w:t>
            </w:r>
          </w:p>
          <w:p w14:paraId="4127377B" w14:textId="67812725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Povišena 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 xml:space="preserve">vrijednost </w:t>
            </w:r>
            <w:r w:rsidRPr="00070F42">
              <w:rPr>
                <w:noProof/>
                <w:sz w:val="22"/>
                <w:szCs w:val="22"/>
                <w:lang w:val="sr-Latn-ME"/>
              </w:rPr>
              <w:t>amilaz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>e</w:t>
            </w:r>
          </w:p>
          <w:p w14:paraId="18883CA2" w14:textId="60C79CB8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Povišena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 xml:space="preserve"> vrijednost</w:t>
            </w:r>
            <w:r w:rsidRPr="00070F42">
              <w:rPr>
                <w:noProof/>
                <w:sz w:val="22"/>
                <w:szCs w:val="22"/>
                <w:lang w:val="sr-Latn-ME"/>
              </w:rPr>
              <w:t xml:space="preserve"> lipaz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570" w:type="dxa"/>
          </w:tcPr>
          <w:p w14:paraId="3D8AC940" w14:textId="0BBD36F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Prolazno povećanje 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 xml:space="preserve">vrijednosti </w:t>
            </w:r>
            <w:r w:rsidRPr="00070F42">
              <w:rPr>
                <w:noProof/>
                <w:sz w:val="22"/>
                <w:szCs w:val="22"/>
                <w:lang w:val="sr-Latn-ME"/>
              </w:rPr>
              <w:t xml:space="preserve">transaminaza </w:t>
            </w:r>
          </w:p>
        </w:tc>
        <w:tc>
          <w:tcPr>
            <w:tcW w:w="1843" w:type="dxa"/>
          </w:tcPr>
          <w:p w14:paraId="10577126" w14:textId="376AA742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Prolazno povećanje 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 xml:space="preserve">vrijednosti </w:t>
            </w:r>
            <w:r w:rsidRPr="00070F42">
              <w:rPr>
                <w:noProof/>
                <w:sz w:val="22"/>
                <w:szCs w:val="22"/>
                <w:lang w:val="sr-Latn-ME"/>
              </w:rPr>
              <w:t>alkalne fosfataze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 xml:space="preserve"> u krvi</w:t>
            </w:r>
            <w:r w:rsidRPr="00070F42">
              <w:rPr>
                <w:noProof/>
                <w:sz w:val="22"/>
                <w:szCs w:val="22"/>
                <w:lang w:val="sr-Latn-ME"/>
              </w:rPr>
              <w:t xml:space="preserve">, 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>A</w:t>
            </w:r>
            <w:r w:rsidRPr="00070F42">
              <w:rPr>
                <w:noProof/>
                <w:sz w:val="22"/>
                <w:szCs w:val="22"/>
                <w:lang w:val="sr-Latn-ME"/>
              </w:rPr>
              <w:t xml:space="preserve">bnormalan INR, </w:t>
            </w:r>
            <w:r w:rsidR="00DB7103" w:rsidRPr="00070F42">
              <w:rPr>
                <w:noProof/>
                <w:sz w:val="22"/>
                <w:szCs w:val="22"/>
                <w:lang w:val="sr-Latn-ME"/>
              </w:rPr>
              <w:t>A</w:t>
            </w:r>
            <w:r w:rsidRPr="00070F42">
              <w:rPr>
                <w:noProof/>
                <w:sz w:val="22"/>
                <w:szCs w:val="22"/>
                <w:lang w:val="sr-Latn-ME"/>
              </w:rPr>
              <w:t>bnormalan nivo protrombina</w:t>
            </w:r>
          </w:p>
        </w:tc>
        <w:tc>
          <w:tcPr>
            <w:tcW w:w="1418" w:type="dxa"/>
          </w:tcPr>
          <w:p w14:paraId="059C6A9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5CB0F32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</w:tr>
    </w:tbl>
    <w:p w14:paraId="6927721F" w14:textId="0257605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* </w:t>
      </w:r>
      <w:r w:rsidR="00DB7103" w:rsidRPr="00070F42">
        <w:rPr>
          <w:noProof/>
          <w:sz w:val="22"/>
          <w:szCs w:val="22"/>
          <w:lang w:val="sr-Latn-ME"/>
        </w:rPr>
        <w:t>Neželjene reakcije</w:t>
      </w:r>
      <w:r w:rsidRPr="00070F42">
        <w:rPr>
          <w:noProof/>
          <w:sz w:val="22"/>
          <w:szCs w:val="22"/>
          <w:lang w:val="sr-Latn-ME"/>
        </w:rPr>
        <w:t xml:space="preserve"> mogu da ugroze život ili da imaju smrtni ishod. </w:t>
      </w:r>
      <w:r w:rsidR="00DB7103" w:rsidRPr="00070F42">
        <w:rPr>
          <w:noProof/>
          <w:sz w:val="22"/>
          <w:szCs w:val="22"/>
          <w:lang w:val="sr-Latn-ME"/>
        </w:rPr>
        <w:t>Ovakvi događaji</w:t>
      </w:r>
      <w:r w:rsidRPr="00070F42">
        <w:rPr>
          <w:noProof/>
          <w:sz w:val="22"/>
          <w:szCs w:val="22"/>
          <w:lang w:val="sr-Latn-ME"/>
        </w:rPr>
        <w:t xml:space="preserve"> se javljaju povremeno ili r</w:t>
      </w:r>
      <w:r w:rsidR="002B6EC2" w:rsidRPr="00070F42">
        <w:rPr>
          <w:noProof/>
          <w:sz w:val="22"/>
          <w:szCs w:val="22"/>
          <w:lang w:val="sr-Latn-ME"/>
        </w:rPr>
        <w:t>j</w:t>
      </w:r>
      <w:r w:rsidRPr="00070F42">
        <w:rPr>
          <w:noProof/>
          <w:sz w:val="22"/>
          <w:szCs w:val="22"/>
          <w:lang w:val="sr-Latn-ME"/>
        </w:rPr>
        <w:t xml:space="preserve">eđe nego povremeno. </w:t>
      </w:r>
    </w:p>
    <w:p w14:paraId="2951EC79" w14:textId="4365263C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** </w:t>
      </w:r>
      <w:r w:rsidR="00DB7103" w:rsidRPr="00070F42">
        <w:rPr>
          <w:noProof/>
          <w:sz w:val="22"/>
          <w:szCs w:val="22"/>
          <w:lang w:val="sr-Latn-ME"/>
        </w:rPr>
        <w:t xml:space="preserve">Kožna reakcija na </w:t>
      </w:r>
      <w:r w:rsidRPr="00070F42">
        <w:rPr>
          <w:noProof/>
          <w:sz w:val="22"/>
          <w:szCs w:val="22"/>
          <w:lang w:val="sr-Latn-ME"/>
        </w:rPr>
        <w:t>šak</w:t>
      </w:r>
      <w:r w:rsidR="00DB7103" w:rsidRPr="00070F42">
        <w:rPr>
          <w:noProof/>
          <w:sz w:val="22"/>
          <w:szCs w:val="22"/>
          <w:lang w:val="sr-Latn-ME"/>
        </w:rPr>
        <w:t>ama</w:t>
      </w:r>
      <w:r w:rsidRPr="00070F42">
        <w:rPr>
          <w:noProof/>
          <w:sz w:val="22"/>
          <w:szCs w:val="22"/>
          <w:lang w:val="sr-Latn-ME"/>
        </w:rPr>
        <w:t xml:space="preserve"> i stopal</w:t>
      </w:r>
      <w:r w:rsidR="00DB7103" w:rsidRPr="00070F42">
        <w:rPr>
          <w:noProof/>
          <w:sz w:val="22"/>
          <w:szCs w:val="22"/>
          <w:lang w:val="sr-Latn-ME"/>
        </w:rPr>
        <w:t>im</w:t>
      </w:r>
      <w:r w:rsidRPr="00070F42">
        <w:rPr>
          <w:noProof/>
          <w:sz w:val="22"/>
          <w:szCs w:val="22"/>
          <w:lang w:val="sr-Latn-ME"/>
        </w:rPr>
        <w:t xml:space="preserve">a odgovara sindromu palmarno-plantarne eritrodizestezije </w:t>
      </w:r>
      <w:r w:rsidR="00DB7103" w:rsidRPr="00070F42">
        <w:rPr>
          <w:noProof/>
          <w:sz w:val="22"/>
          <w:szCs w:val="22"/>
          <w:lang w:val="sr-Latn-ME"/>
        </w:rPr>
        <w:t xml:space="preserve">po </w:t>
      </w:r>
      <w:r w:rsidRPr="00070F42">
        <w:rPr>
          <w:noProof/>
          <w:sz w:val="22"/>
          <w:szCs w:val="22"/>
          <w:lang w:val="sr-Latn-ME"/>
        </w:rPr>
        <w:t>MedDRA</w:t>
      </w:r>
      <w:r w:rsidR="002B6EC2" w:rsidRPr="00070F42">
        <w:rPr>
          <w:noProof/>
          <w:sz w:val="22"/>
          <w:szCs w:val="22"/>
          <w:lang w:val="sr-Latn-ME"/>
        </w:rPr>
        <w:t>.</w:t>
      </w:r>
    </w:p>
    <w:p w14:paraId="46E9B64C" w14:textId="469B8C64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° Slučajevi su prijavljeni tokom postmarketinškog p</w:t>
      </w:r>
      <w:r w:rsidR="00DB7103" w:rsidRPr="00070F42">
        <w:rPr>
          <w:noProof/>
          <w:sz w:val="22"/>
          <w:szCs w:val="22"/>
          <w:lang w:val="sr-Latn-ME"/>
        </w:rPr>
        <w:t>raćenja</w:t>
      </w:r>
      <w:r w:rsidR="0085732C" w:rsidRPr="00070F42">
        <w:rPr>
          <w:noProof/>
          <w:sz w:val="22"/>
          <w:szCs w:val="22"/>
          <w:lang w:val="sr-Latn-ME"/>
        </w:rPr>
        <w:t>.</w:t>
      </w:r>
    </w:p>
    <w:p w14:paraId="0F03615F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0FBB323C" w14:textId="0CBFC06D" w:rsidR="003951A3" w:rsidRPr="00070F42" w:rsidRDefault="003951A3" w:rsidP="003951A3">
      <w:pPr>
        <w:jc w:val="both"/>
        <w:rPr>
          <w:noProof/>
          <w:sz w:val="22"/>
          <w:szCs w:val="22"/>
          <w:u w:val="single"/>
          <w:lang w:val="sr-Latn-ME"/>
        </w:rPr>
      </w:pPr>
      <w:r w:rsidRPr="00070F42">
        <w:rPr>
          <w:noProof/>
          <w:sz w:val="22"/>
          <w:szCs w:val="22"/>
          <w:u w:val="single"/>
          <w:lang w:val="sr-Latn-ME"/>
        </w:rPr>
        <w:t>Druge informacije vezane za o</w:t>
      </w:r>
      <w:r w:rsidR="00DB7103" w:rsidRPr="00070F42">
        <w:rPr>
          <w:noProof/>
          <w:sz w:val="22"/>
          <w:szCs w:val="22"/>
          <w:u w:val="single"/>
          <w:lang w:val="sr-Latn-ME"/>
        </w:rPr>
        <w:t>dabrane neželjene reakcije</w:t>
      </w:r>
    </w:p>
    <w:p w14:paraId="1B82EE88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09059CDE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i/>
          <w:iCs/>
          <w:noProof/>
          <w:sz w:val="22"/>
          <w:szCs w:val="22"/>
          <w:lang w:val="sr-Latn-ME"/>
        </w:rPr>
        <w:t>Kongestivna srčana insuficijencija</w:t>
      </w:r>
    </w:p>
    <w:p w14:paraId="375FB2BC" w14:textId="6D179CB4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U kliničkim studijama sponzorisanim od strane kompanije</w:t>
      </w:r>
      <w:r w:rsidR="001F007E" w:rsidRPr="00070F42">
        <w:rPr>
          <w:noProof/>
          <w:sz w:val="22"/>
          <w:szCs w:val="22"/>
          <w:lang w:val="sr-Latn-ME"/>
        </w:rPr>
        <w:t>,</w:t>
      </w:r>
      <w:r w:rsidRPr="00070F42">
        <w:rPr>
          <w:noProof/>
          <w:sz w:val="22"/>
          <w:szCs w:val="22"/>
          <w:lang w:val="sr-Latn-ME"/>
        </w:rPr>
        <w:t xml:space="preserve"> kongestivna srčana insuficijencija je prijavljena kao neželjen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d</w:t>
      </w:r>
      <w:r w:rsidR="001F007E" w:rsidRPr="00070F42">
        <w:rPr>
          <w:noProof/>
          <w:sz w:val="22"/>
          <w:szCs w:val="22"/>
          <w:lang w:val="sr-Latn-ME"/>
        </w:rPr>
        <w:t>ogađaj</w:t>
      </w:r>
      <w:r w:rsidRPr="00070F42">
        <w:rPr>
          <w:noProof/>
          <w:sz w:val="22"/>
          <w:szCs w:val="22"/>
          <w:lang w:val="sr-Latn-ME"/>
        </w:rPr>
        <w:t xml:space="preserve"> koj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se javljao kod 1,9% pacijenata koji su bili na terapiji sorafenibom (N=2276). U studiji 11213 (RCC) neželjen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d</w:t>
      </w:r>
      <w:r w:rsidR="001F007E" w:rsidRPr="00070F42">
        <w:rPr>
          <w:noProof/>
          <w:sz w:val="22"/>
          <w:szCs w:val="22"/>
          <w:lang w:val="sr-Latn-ME"/>
        </w:rPr>
        <w:t>ogađaji</w:t>
      </w:r>
      <w:r w:rsidRPr="00070F42">
        <w:rPr>
          <w:noProof/>
          <w:sz w:val="22"/>
          <w:szCs w:val="22"/>
          <w:lang w:val="sr-Latn-ME"/>
        </w:rPr>
        <w:t xml:space="preserve"> koj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su podrazum</w:t>
      </w:r>
      <w:r w:rsidR="0085732C" w:rsidRPr="00070F42">
        <w:rPr>
          <w:noProof/>
          <w:sz w:val="22"/>
          <w:szCs w:val="22"/>
          <w:lang w:val="sr-Latn-ME"/>
        </w:rPr>
        <w:t>ij</w:t>
      </w:r>
      <w:r w:rsidRPr="00070F42">
        <w:rPr>
          <w:noProof/>
          <w:sz w:val="22"/>
          <w:szCs w:val="22"/>
          <w:lang w:val="sr-Latn-ME"/>
        </w:rPr>
        <w:t>eval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kongestivnu srčanu insuficijenciju prijavljen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85732C" w:rsidRPr="00070F42">
        <w:rPr>
          <w:noProof/>
          <w:sz w:val="22"/>
          <w:szCs w:val="22"/>
          <w:lang w:val="sr-Latn-ME"/>
        </w:rPr>
        <w:t xml:space="preserve">su </w:t>
      </w:r>
      <w:r w:rsidRPr="00070F42">
        <w:rPr>
          <w:noProof/>
          <w:sz w:val="22"/>
          <w:szCs w:val="22"/>
          <w:lang w:val="sr-Latn-ME"/>
        </w:rPr>
        <w:t>kod 1,7% pacijenata koji su bili na terapiji sorafenibom i kod 0,7% pacijenata koji su primali placebo. U studiji 100554 (HCC) ov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neželjen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d</w:t>
      </w:r>
      <w:r w:rsidR="001F007E" w:rsidRPr="00070F42">
        <w:rPr>
          <w:noProof/>
          <w:sz w:val="22"/>
          <w:szCs w:val="22"/>
          <w:lang w:val="sr-Latn-ME"/>
        </w:rPr>
        <w:t>ogađaji</w:t>
      </w:r>
      <w:r w:rsidRPr="00070F42">
        <w:rPr>
          <w:noProof/>
          <w:sz w:val="22"/>
          <w:szCs w:val="22"/>
          <w:lang w:val="sr-Latn-ME"/>
        </w:rPr>
        <w:t xml:space="preserve"> su prijavljen</w:t>
      </w:r>
      <w:r w:rsidR="001F007E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kod 0,99% pacijenata koji su bili na terapiji sorafenibom i kod 1,1% pacijenata koji su primali placebo.</w:t>
      </w:r>
    </w:p>
    <w:p w14:paraId="6D58B813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7F9AB2AD" w14:textId="0167FCCB" w:rsidR="003951A3" w:rsidRPr="00070F42" w:rsidRDefault="003951A3" w:rsidP="003951A3">
      <w:pPr>
        <w:jc w:val="both"/>
        <w:rPr>
          <w:i/>
          <w:iCs/>
          <w:noProof/>
          <w:sz w:val="22"/>
          <w:szCs w:val="22"/>
          <w:lang w:val="sr-Latn-ME"/>
        </w:rPr>
      </w:pPr>
      <w:r w:rsidRPr="00070F42">
        <w:rPr>
          <w:i/>
          <w:iCs/>
          <w:noProof/>
          <w:sz w:val="22"/>
          <w:szCs w:val="22"/>
          <w:lang w:val="sr-Latn-ME"/>
        </w:rPr>
        <w:t xml:space="preserve">Dodatne informacije za posebne </w:t>
      </w:r>
      <w:r w:rsidR="001F007E" w:rsidRPr="00070F42">
        <w:rPr>
          <w:i/>
          <w:iCs/>
          <w:noProof/>
          <w:sz w:val="22"/>
          <w:szCs w:val="22"/>
          <w:lang w:val="sr-Latn-ME"/>
        </w:rPr>
        <w:t>populacije</w:t>
      </w:r>
    </w:p>
    <w:p w14:paraId="6CC587C3" w14:textId="75715528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U kliničkim ispitivanjima, određene neželjene reakcije kao što su </w:t>
      </w:r>
      <w:r w:rsidR="001F007E" w:rsidRPr="00070F42">
        <w:rPr>
          <w:noProof/>
          <w:sz w:val="22"/>
          <w:szCs w:val="22"/>
          <w:lang w:val="sr-Latn-ME"/>
        </w:rPr>
        <w:t xml:space="preserve">kožna reakcija na </w:t>
      </w:r>
      <w:r w:rsidRPr="00070F42">
        <w:rPr>
          <w:noProof/>
          <w:sz w:val="22"/>
          <w:szCs w:val="22"/>
          <w:lang w:val="sr-Latn-ME"/>
        </w:rPr>
        <w:t>šaka</w:t>
      </w:r>
      <w:r w:rsidR="001F007E" w:rsidRPr="00070F42">
        <w:rPr>
          <w:noProof/>
          <w:sz w:val="22"/>
          <w:szCs w:val="22"/>
          <w:lang w:val="sr-Latn-ME"/>
        </w:rPr>
        <w:t>ma</w:t>
      </w:r>
      <w:r w:rsidRPr="00070F42">
        <w:rPr>
          <w:noProof/>
          <w:sz w:val="22"/>
          <w:szCs w:val="22"/>
          <w:lang w:val="sr-Latn-ME"/>
        </w:rPr>
        <w:t xml:space="preserve"> i stopal</w:t>
      </w:r>
      <w:r w:rsidR="001F007E" w:rsidRPr="00070F42">
        <w:rPr>
          <w:noProof/>
          <w:sz w:val="22"/>
          <w:szCs w:val="22"/>
          <w:lang w:val="sr-Latn-ME"/>
        </w:rPr>
        <w:t>im</w:t>
      </w:r>
      <w:r w:rsidRPr="00070F42">
        <w:rPr>
          <w:noProof/>
          <w:sz w:val="22"/>
          <w:szCs w:val="22"/>
          <w:lang w:val="sr-Latn-ME"/>
        </w:rPr>
        <w:t>a, dijareja, alopecija, smanjenje tjelesne mase, hipertenzija, hipokalcemija i keratoakantom/karcinom skvamoznih ćelija kože, javljale</w:t>
      </w:r>
      <w:r w:rsidR="001F007E" w:rsidRPr="00070F42">
        <w:rPr>
          <w:noProof/>
          <w:sz w:val="22"/>
          <w:szCs w:val="22"/>
          <w:lang w:val="sr-Latn-ME"/>
        </w:rPr>
        <w:t xml:space="preserve"> su se sa značajno većom učestalošću</w:t>
      </w:r>
      <w:r w:rsidRPr="00070F42">
        <w:rPr>
          <w:noProof/>
          <w:sz w:val="22"/>
          <w:szCs w:val="22"/>
          <w:lang w:val="sr-Latn-ME"/>
        </w:rPr>
        <w:t xml:space="preserve"> kod pacijenata sa diferenciranim karcinomom tireoideje </w:t>
      </w:r>
      <w:r w:rsidR="001F007E" w:rsidRPr="00070F42">
        <w:rPr>
          <w:noProof/>
          <w:sz w:val="22"/>
          <w:szCs w:val="22"/>
          <w:lang w:val="sr-Latn-ME"/>
        </w:rPr>
        <w:t>nego kod</w:t>
      </w:r>
      <w:r w:rsidRPr="00070F42">
        <w:rPr>
          <w:noProof/>
          <w:sz w:val="22"/>
          <w:szCs w:val="22"/>
          <w:lang w:val="sr-Latn-ME"/>
        </w:rPr>
        <w:t xml:space="preserve"> pacijen</w:t>
      </w:r>
      <w:r w:rsidR="001F007E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>t</w:t>
      </w:r>
      <w:r w:rsidR="001F007E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sa karcinomom bubre</w:t>
      </w:r>
      <w:r w:rsidR="001F007E" w:rsidRPr="00070F42">
        <w:rPr>
          <w:noProof/>
          <w:sz w:val="22"/>
          <w:szCs w:val="22"/>
          <w:lang w:val="sr-Latn-ME"/>
        </w:rPr>
        <w:t>žnih ćelija</w:t>
      </w:r>
      <w:r w:rsidRPr="00070F42">
        <w:rPr>
          <w:noProof/>
          <w:sz w:val="22"/>
          <w:szCs w:val="22"/>
          <w:lang w:val="sr-Latn-ME"/>
        </w:rPr>
        <w:t xml:space="preserve"> ili hepatocelularnim karcinomom.</w:t>
      </w:r>
    </w:p>
    <w:p w14:paraId="70F639D9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31163D55" w14:textId="0F5D8299" w:rsidR="003951A3" w:rsidRPr="00070F42" w:rsidRDefault="001F007E" w:rsidP="003951A3">
      <w:pPr>
        <w:jc w:val="both"/>
        <w:rPr>
          <w:noProof/>
          <w:sz w:val="22"/>
          <w:szCs w:val="22"/>
          <w:u w:val="single"/>
          <w:lang w:val="sr-Latn-ME"/>
        </w:rPr>
      </w:pPr>
      <w:r w:rsidRPr="00070F42">
        <w:rPr>
          <w:noProof/>
          <w:sz w:val="22"/>
          <w:szCs w:val="22"/>
          <w:u w:val="single"/>
          <w:lang w:val="sr-Latn-ME"/>
        </w:rPr>
        <w:t xml:space="preserve">Odstupanja u vrijednostima </w:t>
      </w:r>
      <w:r w:rsidR="003951A3" w:rsidRPr="00070F42">
        <w:rPr>
          <w:noProof/>
          <w:sz w:val="22"/>
          <w:szCs w:val="22"/>
          <w:u w:val="single"/>
          <w:lang w:val="sr-Latn-ME"/>
        </w:rPr>
        <w:t xml:space="preserve">laboratorijskih testova kod pacijenata sa hepatocelularnim karcinomom (studija 3) i karcinomom </w:t>
      </w:r>
      <w:r w:rsidRPr="00070F42">
        <w:rPr>
          <w:noProof/>
          <w:sz w:val="22"/>
          <w:szCs w:val="22"/>
          <w:u w:val="single"/>
          <w:lang w:val="sr-Latn-ME"/>
        </w:rPr>
        <w:t xml:space="preserve">bubrežnih ćelija </w:t>
      </w:r>
      <w:r w:rsidR="003951A3" w:rsidRPr="00070F42">
        <w:rPr>
          <w:noProof/>
          <w:sz w:val="22"/>
          <w:szCs w:val="22"/>
          <w:u w:val="single"/>
          <w:lang w:val="sr-Latn-ME"/>
        </w:rPr>
        <w:t>(studija 1)</w:t>
      </w:r>
    </w:p>
    <w:p w14:paraId="3D3BB754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36F4D600" w14:textId="72E6C94C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Veoma često je prijavljivan</w:t>
      </w:r>
      <w:r w:rsidR="001F007E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povišen</w:t>
      </w:r>
      <w:r w:rsidR="001F007E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1F007E" w:rsidRPr="00070F42">
        <w:rPr>
          <w:noProof/>
          <w:sz w:val="22"/>
          <w:szCs w:val="22"/>
          <w:lang w:val="sr-Latn-ME"/>
        </w:rPr>
        <w:t xml:space="preserve">vrijednost </w:t>
      </w:r>
      <w:r w:rsidRPr="00070F42">
        <w:rPr>
          <w:noProof/>
          <w:sz w:val="22"/>
          <w:szCs w:val="22"/>
          <w:lang w:val="sr-Latn-ME"/>
        </w:rPr>
        <w:t>lipaze i amilaze. Povišene</w:t>
      </w:r>
      <w:r w:rsidR="001F007E" w:rsidRPr="00070F42">
        <w:rPr>
          <w:noProof/>
          <w:sz w:val="22"/>
          <w:szCs w:val="22"/>
          <w:lang w:val="sr-Latn-ME"/>
        </w:rPr>
        <w:t xml:space="preserve"> vrijednosti</w:t>
      </w:r>
      <w:r w:rsidRPr="00070F42">
        <w:rPr>
          <w:noProof/>
          <w:sz w:val="22"/>
          <w:szCs w:val="22"/>
          <w:lang w:val="sr-Latn-ME"/>
        </w:rPr>
        <w:t xml:space="preserve"> lipaze stepena 3 ili 4 po CTCAE </w:t>
      </w:r>
      <w:r w:rsidR="001F007E" w:rsidRPr="00070F42">
        <w:rPr>
          <w:sz w:val="22"/>
          <w:szCs w:val="22"/>
          <w:lang w:val="sr-Latn-ME"/>
        </w:rPr>
        <w:t xml:space="preserve">(engl. </w:t>
      </w:r>
      <w:r w:rsidR="001F007E" w:rsidRPr="00070F42">
        <w:rPr>
          <w:i/>
          <w:iCs/>
          <w:sz w:val="22"/>
          <w:szCs w:val="22"/>
          <w:lang w:val="sr-Latn-ME"/>
        </w:rPr>
        <w:t>Common Terminology Criteria for Adverse Events</w:t>
      </w:r>
      <w:r w:rsidR="001F007E" w:rsidRPr="00070F42">
        <w:rPr>
          <w:sz w:val="22"/>
          <w:szCs w:val="22"/>
          <w:lang w:val="sr-Latn-ME"/>
        </w:rPr>
        <w:t xml:space="preserve">) </w:t>
      </w:r>
      <w:r w:rsidRPr="00070F42">
        <w:rPr>
          <w:noProof/>
          <w:sz w:val="22"/>
          <w:szCs w:val="22"/>
          <w:lang w:val="sr-Latn-ME"/>
        </w:rPr>
        <w:t xml:space="preserve">javile su se kod 11% </w:t>
      </w:r>
      <w:r w:rsidRPr="00070F42">
        <w:rPr>
          <w:noProof/>
          <w:sz w:val="22"/>
          <w:szCs w:val="22"/>
          <w:lang w:val="sr-Latn-ME"/>
        </w:rPr>
        <w:lastRenderedPageBreak/>
        <w:t>pacijenata u studiji 1 (karcinom bubre</w:t>
      </w:r>
      <w:r w:rsidR="001F007E" w:rsidRPr="00070F42">
        <w:rPr>
          <w:noProof/>
          <w:sz w:val="22"/>
          <w:szCs w:val="22"/>
          <w:lang w:val="sr-Latn-ME"/>
        </w:rPr>
        <w:t>žnih ćelija</w:t>
      </w:r>
      <w:r w:rsidRPr="00070F42">
        <w:rPr>
          <w:noProof/>
          <w:sz w:val="22"/>
          <w:szCs w:val="22"/>
          <w:lang w:val="sr-Latn-ME"/>
        </w:rPr>
        <w:t xml:space="preserve">) i 9% ispitanika u studiji 3 (hepatocelularni karcinom) u </w:t>
      </w:r>
      <w:r w:rsidR="001F007E" w:rsidRPr="00070F42">
        <w:rPr>
          <w:noProof/>
          <w:sz w:val="22"/>
          <w:szCs w:val="22"/>
          <w:lang w:val="sr-Latn-ME"/>
        </w:rPr>
        <w:t xml:space="preserve">sorafenib </w:t>
      </w:r>
      <w:r w:rsidRPr="00070F42">
        <w:rPr>
          <w:noProof/>
          <w:sz w:val="22"/>
          <w:szCs w:val="22"/>
          <w:lang w:val="sr-Latn-ME"/>
        </w:rPr>
        <w:t xml:space="preserve">grupi, u poređenju sa 7% i 9% pacijenata u placebo grupi. Povišenje </w:t>
      </w:r>
      <w:r w:rsidR="001F007E" w:rsidRPr="00070F42">
        <w:rPr>
          <w:noProof/>
          <w:sz w:val="22"/>
          <w:szCs w:val="22"/>
          <w:lang w:val="sr-Latn-ME"/>
        </w:rPr>
        <w:t xml:space="preserve">vrijednosti </w:t>
      </w:r>
      <w:r w:rsidRPr="00070F42">
        <w:rPr>
          <w:noProof/>
          <w:sz w:val="22"/>
          <w:szCs w:val="22"/>
          <w:lang w:val="sr-Latn-ME"/>
        </w:rPr>
        <w:t xml:space="preserve">amilaze CTCAE stepena 3 ili 4 </w:t>
      </w:r>
      <w:r w:rsidR="001F007E" w:rsidRPr="00070F42">
        <w:rPr>
          <w:noProof/>
          <w:sz w:val="22"/>
          <w:szCs w:val="22"/>
          <w:lang w:val="sr-Latn-ME"/>
        </w:rPr>
        <w:t xml:space="preserve">prijavljeno </w:t>
      </w:r>
      <w:r w:rsidRPr="00070F42">
        <w:rPr>
          <w:noProof/>
          <w:sz w:val="22"/>
          <w:szCs w:val="22"/>
          <w:lang w:val="sr-Latn-ME"/>
        </w:rPr>
        <w:t xml:space="preserve">je kod 1% pacijenata u studiji 1 i 2% pacijenata u </w:t>
      </w:r>
      <w:r w:rsidR="001F007E" w:rsidRPr="00070F42">
        <w:rPr>
          <w:noProof/>
          <w:sz w:val="22"/>
          <w:szCs w:val="22"/>
          <w:lang w:val="sr-Latn-ME"/>
        </w:rPr>
        <w:t xml:space="preserve">sorafenib grupi u </w:t>
      </w:r>
      <w:r w:rsidRPr="00070F42">
        <w:rPr>
          <w:noProof/>
          <w:sz w:val="22"/>
          <w:szCs w:val="22"/>
          <w:lang w:val="sr-Latn-ME"/>
        </w:rPr>
        <w:t xml:space="preserve">studiji 3, u poređenju sa 3% pacijenata u svakoj placebo grupi. Klinički pankreatitis prijavljen je kod 2 od 451 pacijenta koji su bili na terapiji </w:t>
      </w:r>
      <w:r w:rsidR="001F007E" w:rsidRPr="00070F42">
        <w:rPr>
          <w:noProof/>
          <w:sz w:val="22"/>
          <w:szCs w:val="22"/>
          <w:lang w:val="sr-Latn-ME"/>
        </w:rPr>
        <w:t>sorafenibom</w:t>
      </w:r>
      <w:r w:rsidRPr="00070F42">
        <w:rPr>
          <w:noProof/>
          <w:sz w:val="22"/>
          <w:szCs w:val="22"/>
          <w:lang w:val="sr-Latn-ME"/>
        </w:rPr>
        <w:t xml:space="preserve"> (CTCAE stepen 4) u studiji 1, kod 1 od 297 pacijen</w:t>
      </w:r>
      <w:r w:rsidR="00783850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ta koji su bili na terapiji </w:t>
      </w:r>
      <w:r w:rsidR="002F0067" w:rsidRPr="00070F42">
        <w:rPr>
          <w:noProof/>
          <w:sz w:val="22"/>
          <w:szCs w:val="22"/>
          <w:lang w:val="sr-Latn-ME"/>
        </w:rPr>
        <w:t>sorafenibom</w:t>
      </w:r>
      <w:r w:rsidRPr="00070F42">
        <w:rPr>
          <w:noProof/>
          <w:sz w:val="22"/>
          <w:szCs w:val="22"/>
          <w:lang w:val="sr-Latn-ME"/>
        </w:rPr>
        <w:t xml:space="preserve"> u studiji 3 (CTCAE stepen 2) i kod 1 od 451 pacijenta (CTCAE stepen 2) u placebo grupi u studiji 1.</w:t>
      </w:r>
    </w:p>
    <w:p w14:paraId="69C29896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6964A37B" w14:textId="575EAD29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Hipofosfatemija je bila v</w:t>
      </w:r>
      <w:r w:rsidR="002F0067" w:rsidRPr="00070F42">
        <w:rPr>
          <w:noProof/>
          <w:sz w:val="22"/>
          <w:szCs w:val="22"/>
          <w:lang w:val="sr-Latn-ME"/>
        </w:rPr>
        <w:t>eoma</w:t>
      </w:r>
      <w:r w:rsidRPr="00070F42">
        <w:rPr>
          <w:noProof/>
          <w:sz w:val="22"/>
          <w:szCs w:val="22"/>
          <w:lang w:val="sr-Latn-ME"/>
        </w:rPr>
        <w:t xml:space="preserve"> čest laboratorijski nalaz, prim</w:t>
      </w:r>
      <w:r w:rsidR="003200C9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jećen kod 45% i 35% pacijenata koji su bili na terapiji </w:t>
      </w:r>
      <w:r w:rsidR="002F0067" w:rsidRPr="00070F42">
        <w:rPr>
          <w:noProof/>
          <w:sz w:val="22"/>
          <w:szCs w:val="22"/>
          <w:lang w:val="sr-Latn-ME"/>
        </w:rPr>
        <w:t>sorafenibom</w:t>
      </w:r>
      <w:r w:rsidRPr="00070F42">
        <w:rPr>
          <w:noProof/>
          <w:sz w:val="22"/>
          <w:szCs w:val="22"/>
          <w:lang w:val="sr-Latn-ME"/>
        </w:rPr>
        <w:t xml:space="preserve">, u poređenju sa 12% i 11% pacijenata koji su dobili placebo u studiji 1 i studiji 3. Hipofosfatemija stepena 3 po CTCAE (1-2 mg/dL) u studiji 1 javila se kod 13% pacijenata koji su bili na terapiji </w:t>
      </w:r>
      <w:r w:rsidR="002F0067" w:rsidRPr="00070F42">
        <w:rPr>
          <w:noProof/>
          <w:sz w:val="22"/>
          <w:szCs w:val="22"/>
          <w:lang w:val="sr-Latn-ME"/>
        </w:rPr>
        <w:t>sorafenibom</w:t>
      </w:r>
      <w:r w:rsidRPr="00070F42">
        <w:rPr>
          <w:noProof/>
          <w:sz w:val="22"/>
          <w:szCs w:val="22"/>
          <w:lang w:val="sr-Latn-ME"/>
        </w:rPr>
        <w:t xml:space="preserve"> i 3% pacijenata iz placebo grupe, a u studiji 3 kod 11% pacijenata koji su bili na terapiji </w:t>
      </w:r>
      <w:r w:rsidR="002F0067" w:rsidRPr="00070F42">
        <w:rPr>
          <w:noProof/>
          <w:sz w:val="22"/>
          <w:szCs w:val="22"/>
          <w:lang w:val="sr-Latn-ME"/>
        </w:rPr>
        <w:t>sorafenibom</w:t>
      </w:r>
      <w:r w:rsidRPr="00070F42">
        <w:rPr>
          <w:noProof/>
          <w:sz w:val="22"/>
          <w:szCs w:val="22"/>
          <w:lang w:val="sr-Latn-ME"/>
        </w:rPr>
        <w:t xml:space="preserve"> i 2% pacijenata iz placebo grupe. Nije bilo slučajeva hipofosfatemije stepena 4 po CTCAE (&lt;1 mg/dL) kod bilo kog pacijenta iz </w:t>
      </w:r>
      <w:r w:rsidR="002F0067" w:rsidRPr="00070F42">
        <w:rPr>
          <w:noProof/>
          <w:sz w:val="22"/>
          <w:szCs w:val="22"/>
          <w:lang w:val="sr-Latn-ME"/>
        </w:rPr>
        <w:t>sorafenib</w:t>
      </w:r>
      <w:r w:rsidRPr="00070F42">
        <w:rPr>
          <w:noProof/>
          <w:sz w:val="22"/>
          <w:szCs w:val="22"/>
          <w:lang w:val="sr-Latn-ME"/>
        </w:rPr>
        <w:t xml:space="preserve"> ili placebo grupe u studiji 1</w:t>
      </w:r>
      <w:r w:rsidR="002F0067" w:rsidRPr="00070F42">
        <w:rPr>
          <w:noProof/>
          <w:sz w:val="22"/>
          <w:szCs w:val="22"/>
          <w:lang w:val="sr-Latn-ME"/>
        </w:rPr>
        <w:t>, a</w:t>
      </w:r>
      <w:r w:rsidRPr="00070F42">
        <w:rPr>
          <w:noProof/>
          <w:sz w:val="22"/>
          <w:szCs w:val="22"/>
          <w:lang w:val="sr-Latn-ME"/>
        </w:rPr>
        <w:t xml:space="preserve"> 1 slučaj je prijavljen u placebo grupi studije 3. Etiologija hipofosfatemije udružene sa primjenom </w:t>
      </w:r>
      <w:r w:rsidR="002F0067" w:rsidRPr="00070F42">
        <w:rPr>
          <w:noProof/>
          <w:sz w:val="22"/>
          <w:szCs w:val="22"/>
          <w:lang w:val="sr-Latn-ME"/>
        </w:rPr>
        <w:t>sorafeniba</w:t>
      </w:r>
      <w:r w:rsidRPr="00070F42">
        <w:rPr>
          <w:noProof/>
          <w:sz w:val="22"/>
          <w:szCs w:val="22"/>
          <w:lang w:val="sr-Latn-ME"/>
        </w:rPr>
        <w:t xml:space="preserve"> nije poznata.</w:t>
      </w:r>
    </w:p>
    <w:p w14:paraId="54E0A297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48CA4CD4" w14:textId="5B9B59EC" w:rsidR="003951A3" w:rsidRPr="00070F42" w:rsidRDefault="002F0067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Odstupanja u vrijednostima laboratorijskih testova </w:t>
      </w:r>
      <w:r w:rsidR="003951A3" w:rsidRPr="00070F42">
        <w:rPr>
          <w:noProof/>
          <w:sz w:val="22"/>
          <w:szCs w:val="22"/>
          <w:lang w:val="sr-Latn-ME"/>
        </w:rPr>
        <w:t>CTCAE stepen</w:t>
      </w:r>
      <w:r w:rsidRPr="00070F42">
        <w:rPr>
          <w:noProof/>
          <w:sz w:val="22"/>
          <w:szCs w:val="22"/>
          <w:lang w:val="sr-Latn-ME"/>
        </w:rPr>
        <w:t>a</w:t>
      </w:r>
      <w:r w:rsidR="003951A3" w:rsidRPr="00070F42">
        <w:rPr>
          <w:noProof/>
          <w:sz w:val="22"/>
          <w:szCs w:val="22"/>
          <w:lang w:val="sr-Latn-ME"/>
        </w:rPr>
        <w:t xml:space="preserve"> 3 ili 4 javil</w:t>
      </w:r>
      <w:r w:rsidRPr="00070F42">
        <w:rPr>
          <w:noProof/>
          <w:sz w:val="22"/>
          <w:szCs w:val="22"/>
          <w:lang w:val="sr-Latn-ME"/>
        </w:rPr>
        <w:t>a</w:t>
      </w:r>
      <w:r w:rsidR="003951A3" w:rsidRPr="00070F42">
        <w:rPr>
          <w:noProof/>
          <w:sz w:val="22"/>
          <w:szCs w:val="22"/>
          <w:lang w:val="sr-Latn-ME"/>
        </w:rPr>
        <w:t xml:space="preserve"> su se kod ≥5% pacijenata koji su bili na terapiji </w:t>
      </w:r>
      <w:r w:rsidRPr="00070F42">
        <w:rPr>
          <w:noProof/>
          <w:sz w:val="22"/>
          <w:szCs w:val="22"/>
          <w:lang w:val="sr-Latn-ME"/>
        </w:rPr>
        <w:t>sorafenibom,</w:t>
      </w:r>
      <w:r w:rsidR="003951A3" w:rsidRPr="00070F42">
        <w:rPr>
          <w:noProof/>
          <w:sz w:val="22"/>
          <w:szCs w:val="22"/>
          <w:lang w:val="sr-Latn-ME"/>
        </w:rPr>
        <w:t xml:space="preserve"> uključujući i limfopeniju i neutropeniju.</w:t>
      </w:r>
    </w:p>
    <w:p w14:paraId="13F22FEB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4D25081D" w14:textId="1861B388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Hipokalcemija je prijavljena </w:t>
      </w:r>
      <w:r w:rsidR="002F0067" w:rsidRPr="00070F42">
        <w:rPr>
          <w:noProof/>
          <w:sz w:val="22"/>
          <w:szCs w:val="22"/>
          <w:lang w:val="sr-Latn-ME"/>
        </w:rPr>
        <w:t xml:space="preserve">kod </w:t>
      </w:r>
      <w:r w:rsidRPr="00070F42">
        <w:rPr>
          <w:noProof/>
          <w:sz w:val="22"/>
          <w:szCs w:val="22"/>
          <w:lang w:val="sr-Latn-ME"/>
        </w:rPr>
        <w:t xml:space="preserve">12% </w:t>
      </w:r>
      <w:r w:rsidR="002F0067" w:rsidRPr="00070F42">
        <w:rPr>
          <w:noProof/>
          <w:sz w:val="22"/>
          <w:szCs w:val="22"/>
          <w:lang w:val="sr-Latn-ME"/>
        </w:rPr>
        <w:t>, odnosno</w:t>
      </w:r>
      <w:r w:rsidRPr="00070F42">
        <w:rPr>
          <w:noProof/>
          <w:sz w:val="22"/>
          <w:szCs w:val="22"/>
          <w:lang w:val="sr-Latn-ME"/>
        </w:rPr>
        <w:t xml:space="preserve"> 26,5% pacijenata koji su bili na terapiji sorafenibom</w:t>
      </w:r>
      <w:r w:rsidR="00E76F38" w:rsidRPr="00070F42">
        <w:rPr>
          <w:noProof/>
          <w:sz w:val="22"/>
          <w:szCs w:val="22"/>
          <w:lang w:val="sr-Latn-ME"/>
        </w:rPr>
        <w:t>,</w:t>
      </w:r>
      <w:r w:rsidRPr="00070F42">
        <w:rPr>
          <w:noProof/>
          <w:sz w:val="22"/>
          <w:szCs w:val="22"/>
          <w:lang w:val="sr-Latn-ME"/>
        </w:rPr>
        <w:t xml:space="preserve"> u poređenju sa 7,5%</w:t>
      </w:r>
      <w:r w:rsidR="002F0067" w:rsidRPr="00070F42">
        <w:rPr>
          <w:noProof/>
          <w:sz w:val="22"/>
          <w:szCs w:val="22"/>
          <w:lang w:val="sr-Latn-ME"/>
        </w:rPr>
        <w:t>, odnosno</w:t>
      </w:r>
      <w:r w:rsidRPr="00070F42">
        <w:rPr>
          <w:noProof/>
          <w:sz w:val="22"/>
          <w:szCs w:val="22"/>
          <w:lang w:val="sr-Latn-ME"/>
        </w:rPr>
        <w:t xml:space="preserve"> 14,8% pacijenata koji su primali placebo u studiji 1</w:t>
      </w:r>
      <w:r w:rsidR="002F0067" w:rsidRPr="00070F42">
        <w:rPr>
          <w:noProof/>
          <w:sz w:val="22"/>
          <w:szCs w:val="22"/>
          <w:lang w:val="sr-Latn-ME"/>
        </w:rPr>
        <w:t>, odnosno</w:t>
      </w:r>
      <w:r w:rsidRPr="00070F42">
        <w:rPr>
          <w:noProof/>
          <w:sz w:val="22"/>
          <w:szCs w:val="22"/>
          <w:lang w:val="sr-Latn-ME"/>
        </w:rPr>
        <w:t xml:space="preserve"> studiji 3. U najvećem broju prijava hipokalcemije su bile niskog stepena (CTCAE stepen 1 i 2). </w:t>
      </w:r>
      <w:r w:rsidR="002F0067" w:rsidRPr="00070F42">
        <w:rPr>
          <w:noProof/>
          <w:sz w:val="22"/>
          <w:szCs w:val="22"/>
          <w:lang w:val="sr-Latn-ME"/>
        </w:rPr>
        <w:t xml:space="preserve">Hipokalcemija </w:t>
      </w:r>
      <w:r w:rsidRPr="00070F42">
        <w:rPr>
          <w:noProof/>
          <w:sz w:val="22"/>
          <w:szCs w:val="22"/>
          <w:lang w:val="sr-Latn-ME"/>
        </w:rPr>
        <w:t>CTCAE stepen</w:t>
      </w:r>
      <w:r w:rsidR="002F0067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3 (6,0-7,0</w:t>
      </w:r>
      <w:r w:rsidR="002F0067" w:rsidRPr="00070F42">
        <w:rPr>
          <w:noProof/>
          <w:sz w:val="22"/>
          <w:szCs w:val="22"/>
          <w:lang w:val="sr-Latn-ME"/>
        </w:rPr>
        <w:t xml:space="preserve"> </w:t>
      </w:r>
      <w:r w:rsidRPr="00070F42">
        <w:rPr>
          <w:noProof/>
          <w:sz w:val="22"/>
          <w:szCs w:val="22"/>
          <w:lang w:val="sr-Latn-ME"/>
        </w:rPr>
        <w:t>mg/dL) javi</w:t>
      </w:r>
      <w:r w:rsidR="002F0067" w:rsidRPr="00070F42">
        <w:rPr>
          <w:noProof/>
          <w:sz w:val="22"/>
          <w:szCs w:val="22"/>
          <w:lang w:val="sr-Latn-ME"/>
        </w:rPr>
        <w:t>la</w:t>
      </w:r>
      <w:r w:rsidRPr="00070F42">
        <w:rPr>
          <w:noProof/>
          <w:sz w:val="22"/>
          <w:szCs w:val="22"/>
          <w:lang w:val="sr-Latn-ME"/>
        </w:rPr>
        <w:t xml:space="preserve"> se kod 1,1% i 1,8% pacijenata koji su bili na terapiji sorafenibom i 0,2% i 1,1% pacijenata u placebo grupi, a </w:t>
      </w:r>
      <w:r w:rsidR="002F0067" w:rsidRPr="00070F42">
        <w:rPr>
          <w:noProof/>
          <w:sz w:val="22"/>
          <w:szCs w:val="22"/>
          <w:lang w:val="sr-Latn-ME"/>
        </w:rPr>
        <w:t xml:space="preserve">hipokalcemija </w:t>
      </w:r>
      <w:r w:rsidRPr="00070F42">
        <w:rPr>
          <w:noProof/>
          <w:sz w:val="22"/>
          <w:szCs w:val="22"/>
          <w:lang w:val="sr-Latn-ME"/>
        </w:rPr>
        <w:t>CTCAE stepen</w:t>
      </w:r>
      <w:r w:rsidR="002F0067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4 (&lt;6,0 mg/dL) javi</w:t>
      </w:r>
      <w:r w:rsidR="002F0067" w:rsidRPr="00070F42">
        <w:rPr>
          <w:noProof/>
          <w:sz w:val="22"/>
          <w:szCs w:val="22"/>
          <w:lang w:val="sr-Latn-ME"/>
        </w:rPr>
        <w:t>la</w:t>
      </w:r>
      <w:r w:rsidRPr="00070F42">
        <w:rPr>
          <w:noProof/>
          <w:sz w:val="22"/>
          <w:szCs w:val="22"/>
          <w:lang w:val="sr-Latn-ME"/>
        </w:rPr>
        <w:t xml:space="preserve"> se kod 1,1% i 0,4% pacijenata koji su bili na terapiji sorafenibom i </w:t>
      </w:r>
      <w:r w:rsidR="002F0067" w:rsidRPr="00070F42">
        <w:rPr>
          <w:noProof/>
          <w:sz w:val="22"/>
          <w:szCs w:val="22"/>
          <w:lang w:val="sr-Latn-ME"/>
        </w:rPr>
        <w:t xml:space="preserve">kod </w:t>
      </w:r>
      <w:r w:rsidRPr="00070F42">
        <w:rPr>
          <w:noProof/>
          <w:sz w:val="22"/>
          <w:szCs w:val="22"/>
          <w:lang w:val="sr-Latn-ME"/>
        </w:rPr>
        <w:t>0,5% i 0% pacijenata u placebo grupi u studij</w:t>
      </w:r>
      <w:r w:rsidR="002F0067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 xml:space="preserve"> 1</w:t>
      </w:r>
      <w:r w:rsidR="002F0067" w:rsidRPr="00070F42">
        <w:rPr>
          <w:noProof/>
          <w:sz w:val="22"/>
          <w:szCs w:val="22"/>
          <w:lang w:val="sr-Latn-ME"/>
        </w:rPr>
        <w:t>, odnosno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2F0067" w:rsidRPr="00070F42">
        <w:rPr>
          <w:noProof/>
          <w:sz w:val="22"/>
          <w:szCs w:val="22"/>
          <w:lang w:val="sr-Latn-ME"/>
        </w:rPr>
        <w:t>studij</w:t>
      </w:r>
      <w:r w:rsidRPr="00070F42">
        <w:rPr>
          <w:noProof/>
          <w:sz w:val="22"/>
          <w:szCs w:val="22"/>
          <w:lang w:val="sr-Latn-ME"/>
        </w:rPr>
        <w:t xml:space="preserve">i 3. Etiologija hipokalcemije povezane sa sorafenibom nije poznata. </w:t>
      </w:r>
    </w:p>
    <w:p w14:paraId="20B50DCA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5CDEBC46" w14:textId="3AA93B14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Smanjena koncentracija kalijuma je prijavljena </w:t>
      </w:r>
      <w:r w:rsidR="002F0067" w:rsidRPr="00070F42">
        <w:rPr>
          <w:noProof/>
          <w:sz w:val="22"/>
          <w:szCs w:val="22"/>
          <w:lang w:val="sr-Latn-ME"/>
        </w:rPr>
        <w:t>kod</w:t>
      </w:r>
      <w:r w:rsidRPr="00070F42">
        <w:rPr>
          <w:noProof/>
          <w:sz w:val="22"/>
          <w:szCs w:val="22"/>
          <w:lang w:val="sr-Latn-ME"/>
        </w:rPr>
        <w:t xml:space="preserve"> 5,4% i 9,5% pacijenata koji su bili na terapiji sorafenibom u poređenju sa 0,7% i 5,9% pacijenata koji su primali placebo u studiji 1</w:t>
      </w:r>
      <w:r w:rsidR="002F0067" w:rsidRPr="00070F42">
        <w:rPr>
          <w:noProof/>
          <w:sz w:val="22"/>
          <w:szCs w:val="22"/>
          <w:lang w:val="sr-Latn-ME"/>
        </w:rPr>
        <w:t>, odnosno</w:t>
      </w:r>
      <w:r w:rsidRPr="00070F42">
        <w:rPr>
          <w:noProof/>
          <w:sz w:val="22"/>
          <w:szCs w:val="22"/>
          <w:lang w:val="sr-Latn-ME"/>
        </w:rPr>
        <w:t xml:space="preserve"> studiji 3. Većina prijava hipokalemije je bila niskog stepena (CTCAE stepen 1). U ovim studijama hipokalemija CTCAE stepena 3 se javila kod 1,1% i 0,4% pacijenata koji su bili na terapiji sorafenibom</w:t>
      </w:r>
      <w:r w:rsidR="00C76A44" w:rsidRPr="00070F42">
        <w:rPr>
          <w:noProof/>
          <w:sz w:val="22"/>
          <w:szCs w:val="22"/>
          <w:lang w:val="sr-Latn-ME"/>
        </w:rPr>
        <w:t>,</w:t>
      </w:r>
      <w:r w:rsidRPr="00070F42">
        <w:rPr>
          <w:noProof/>
          <w:sz w:val="22"/>
          <w:szCs w:val="22"/>
          <w:lang w:val="sr-Latn-ME"/>
        </w:rPr>
        <w:t xml:space="preserve"> u poređenju sa 0,2% i 0,7% pacijenata koji su primali placebo. Ni</w:t>
      </w:r>
      <w:r w:rsidR="00BE3C0C" w:rsidRPr="00070F42">
        <w:rPr>
          <w:noProof/>
          <w:sz w:val="22"/>
          <w:szCs w:val="22"/>
          <w:lang w:val="sr-Latn-ME"/>
        </w:rPr>
        <w:t>je</w:t>
      </w:r>
      <w:r w:rsidRPr="00070F42">
        <w:rPr>
          <w:noProof/>
          <w:sz w:val="22"/>
          <w:szCs w:val="22"/>
          <w:lang w:val="sr-Latn-ME"/>
        </w:rPr>
        <w:t>su prijavljeni slučajevi hipokalemije CTCAE stepena 4.</w:t>
      </w:r>
    </w:p>
    <w:p w14:paraId="67E9A49E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095D1D6A" w14:textId="4476C0EB" w:rsidR="003951A3" w:rsidRPr="00070F42" w:rsidRDefault="002F0067" w:rsidP="003951A3">
      <w:pPr>
        <w:jc w:val="both"/>
        <w:rPr>
          <w:noProof/>
          <w:sz w:val="22"/>
          <w:szCs w:val="22"/>
          <w:u w:val="single"/>
          <w:lang w:val="sr-Latn-ME"/>
        </w:rPr>
      </w:pPr>
      <w:r w:rsidRPr="00070F42">
        <w:rPr>
          <w:noProof/>
          <w:sz w:val="22"/>
          <w:szCs w:val="22"/>
          <w:u w:val="single"/>
          <w:lang w:val="sr-Latn-ME"/>
        </w:rPr>
        <w:t>Odstupanja u vrijednostima</w:t>
      </w:r>
      <w:r w:rsidR="003951A3" w:rsidRPr="00070F42">
        <w:rPr>
          <w:noProof/>
          <w:sz w:val="22"/>
          <w:szCs w:val="22"/>
          <w:u w:val="single"/>
          <w:lang w:val="sr-Latn-ME"/>
        </w:rPr>
        <w:t xml:space="preserve"> laboratorijskih testova kod pacijenata sa diferenciranim karcinomom tireoideje (studija 5)</w:t>
      </w:r>
    </w:p>
    <w:p w14:paraId="5F4D8C72" w14:textId="77777777" w:rsidR="002F0067" w:rsidRPr="00070F42" w:rsidRDefault="002F0067" w:rsidP="003951A3">
      <w:pPr>
        <w:jc w:val="both"/>
        <w:rPr>
          <w:noProof/>
          <w:sz w:val="22"/>
          <w:szCs w:val="22"/>
          <w:lang w:val="sr-Latn-ME"/>
        </w:rPr>
      </w:pPr>
    </w:p>
    <w:p w14:paraId="543E2115" w14:textId="5E62F4F3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Hipokalcemija je prijavljena </w:t>
      </w:r>
      <w:r w:rsidR="002F0067" w:rsidRPr="00070F42">
        <w:rPr>
          <w:noProof/>
          <w:sz w:val="22"/>
          <w:szCs w:val="22"/>
          <w:lang w:val="sr-Latn-ME"/>
        </w:rPr>
        <w:t>kod</w:t>
      </w:r>
      <w:r w:rsidRPr="00070F42">
        <w:rPr>
          <w:noProof/>
          <w:sz w:val="22"/>
          <w:szCs w:val="22"/>
          <w:lang w:val="sr-Latn-ME"/>
        </w:rPr>
        <w:t xml:space="preserve"> 35,7% pacijenata koji su bili na terapiji sorafenibom</w:t>
      </w:r>
      <w:r w:rsidR="00C76A44" w:rsidRPr="00070F42">
        <w:rPr>
          <w:noProof/>
          <w:sz w:val="22"/>
          <w:szCs w:val="22"/>
          <w:lang w:val="sr-Latn-ME"/>
        </w:rPr>
        <w:t>,</w:t>
      </w:r>
      <w:r w:rsidRPr="00070F42">
        <w:rPr>
          <w:noProof/>
          <w:sz w:val="22"/>
          <w:szCs w:val="22"/>
          <w:lang w:val="sr-Latn-ME"/>
        </w:rPr>
        <w:t xml:space="preserve"> u poređenju sa 11% pacijenata koji su primali placebo. Većina </w:t>
      </w:r>
      <w:r w:rsidR="002F0067" w:rsidRPr="00070F42">
        <w:rPr>
          <w:noProof/>
          <w:sz w:val="22"/>
          <w:szCs w:val="22"/>
          <w:lang w:val="sr-Latn-ME"/>
        </w:rPr>
        <w:t>slučajeva</w:t>
      </w:r>
      <w:r w:rsidRPr="00070F42">
        <w:rPr>
          <w:noProof/>
          <w:sz w:val="22"/>
          <w:szCs w:val="22"/>
          <w:lang w:val="sr-Latn-ME"/>
        </w:rPr>
        <w:t xml:space="preserve"> hipokalcemije je bila niskog stepena. </w:t>
      </w:r>
      <w:r w:rsidR="002F0067" w:rsidRPr="00070F42">
        <w:rPr>
          <w:noProof/>
          <w:sz w:val="22"/>
          <w:szCs w:val="22"/>
          <w:lang w:val="sr-Latn-ME"/>
        </w:rPr>
        <w:t xml:space="preserve">Hipokalcemija </w:t>
      </w:r>
      <w:r w:rsidRPr="00070F42">
        <w:rPr>
          <w:noProof/>
          <w:sz w:val="22"/>
          <w:szCs w:val="22"/>
          <w:lang w:val="sr-Latn-ME"/>
        </w:rPr>
        <w:t>CTCAE stepen</w:t>
      </w:r>
      <w:r w:rsidR="002F0067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3 javi</w:t>
      </w:r>
      <w:r w:rsidR="002F0067" w:rsidRPr="00070F42">
        <w:rPr>
          <w:noProof/>
          <w:sz w:val="22"/>
          <w:szCs w:val="22"/>
          <w:lang w:val="sr-Latn-ME"/>
        </w:rPr>
        <w:t>la se</w:t>
      </w:r>
      <w:r w:rsidRPr="00070F42">
        <w:rPr>
          <w:noProof/>
          <w:sz w:val="22"/>
          <w:szCs w:val="22"/>
          <w:lang w:val="sr-Latn-ME"/>
        </w:rPr>
        <w:t xml:space="preserve"> kod 6,8% pacijenata koji su bili na terapiji sorafenibom</w:t>
      </w:r>
      <w:r w:rsidR="005B125E" w:rsidRPr="00070F42">
        <w:rPr>
          <w:noProof/>
          <w:sz w:val="22"/>
          <w:szCs w:val="22"/>
          <w:lang w:val="sr-Latn-ME"/>
        </w:rPr>
        <w:t>,</w:t>
      </w:r>
      <w:r w:rsidRPr="00070F42">
        <w:rPr>
          <w:noProof/>
          <w:sz w:val="22"/>
          <w:szCs w:val="22"/>
          <w:lang w:val="sr-Latn-ME"/>
        </w:rPr>
        <w:t xml:space="preserve"> u poređenju sa 1,9% pacijenata koji su primali placebo, a</w:t>
      </w:r>
      <w:r w:rsidR="002F0067" w:rsidRPr="00070F42">
        <w:rPr>
          <w:noProof/>
          <w:sz w:val="22"/>
          <w:szCs w:val="22"/>
          <w:lang w:val="sr-Latn-ME"/>
        </w:rPr>
        <w:t xml:space="preserve"> hipokalcemija</w:t>
      </w:r>
      <w:r w:rsidRPr="00070F42">
        <w:rPr>
          <w:noProof/>
          <w:sz w:val="22"/>
          <w:szCs w:val="22"/>
          <w:lang w:val="sr-Latn-ME"/>
        </w:rPr>
        <w:t xml:space="preserve"> CTCAE stepen</w:t>
      </w:r>
      <w:r w:rsidR="002F0067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4 se javi</w:t>
      </w:r>
      <w:r w:rsidR="001A09BC" w:rsidRPr="00070F42">
        <w:rPr>
          <w:noProof/>
          <w:sz w:val="22"/>
          <w:szCs w:val="22"/>
          <w:lang w:val="sr-Latn-ME"/>
        </w:rPr>
        <w:t>la</w:t>
      </w:r>
      <w:r w:rsidRPr="00070F42">
        <w:rPr>
          <w:noProof/>
          <w:sz w:val="22"/>
          <w:szCs w:val="22"/>
          <w:lang w:val="sr-Latn-ME"/>
        </w:rPr>
        <w:t xml:space="preserve"> kod 3,4% pacijenata koji su bili na terapiji sorafenibom</w:t>
      </w:r>
      <w:r w:rsidR="005B125E" w:rsidRPr="00070F42">
        <w:rPr>
          <w:noProof/>
          <w:sz w:val="22"/>
          <w:szCs w:val="22"/>
          <w:lang w:val="sr-Latn-ME"/>
        </w:rPr>
        <w:t>,</w:t>
      </w:r>
      <w:r w:rsidRPr="00070F42">
        <w:rPr>
          <w:noProof/>
          <w:sz w:val="22"/>
          <w:szCs w:val="22"/>
          <w:lang w:val="sr-Latn-ME"/>
        </w:rPr>
        <w:t xml:space="preserve"> u poređenju sa 1% pacijenata koji su primali placebo.</w:t>
      </w:r>
    </w:p>
    <w:p w14:paraId="6E87F798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713281AB" w14:textId="1AFEFBC5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Drug</w:t>
      </w:r>
      <w:r w:rsidR="001A09BC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klinički značajn</w:t>
      </w:r>
      <w:r w:rsidR="001A09BC" w:rsidRPr="00070F42">
        <w:rPr>
          <w:noProof/>
          <w:sz w:val="22"/>
          <w:szCs w:val="22"/>
          <w:lang w:val="sr-Latn-ME"/>
        </w:rPr>
        <w:t>a odstupanja</w:t>
      </w:r>
      <w:r w:rsidRPr="00070F42">
        <w:rPr>
          <w:noProof/>
          <w:sz w:val="22"/>
          <w:szCs w:val="22"/>
          <w:lang w:val="sr-Latn-ME"/>
        </w:rPr>
        <w:t xml:space="preserve"> </w:t>
      </w:r>
      <w:r w:rsidR="001A09BC" w:rsidRPr="00070F42">
        <w:rPr>
          <w:noProof/>
          <w:sz w:val="22"/>
          <w:szCs w:val="22"/>
          <w:lang w:val="sr-Latn-ME"/>
        </w:rPr>
        <w:t xml:space="preserve">vrijednosti </w:t>
      </w:r>
      <w:r w:rsidRPr="00070F42">
        <w:rPr>
          <w:noProof/>
          <w:sz w:val="22"/>
          <w:szCs w:val="22"/>
          <w:lang w:val="sr-Latn-ME"/>
        </w:rPr>
        <w:t>laboratorijsk</w:t>
      </w:r>
      <w:r w:rsidR="001A09BC" w:rsidRPr="00070F42">
        <w:rPr>
          <w:noProof/>
          <w:sz w:val="22"/>
          <w:szCs w:val="22"/>
          <w:lang w:val="sr-Latn-ME"/>
        </w:rPr>
        <w:t>ih testova</w:t>
      </w:r>
      <w:r w:rsidRPr="00070F42">
        <w:rPr>
          <w:noProof/>
          <w:sz w:val="22"/>
          <w:szCs w:val="22"/>
          <w:lang w:val="sr-Latn-ME"/>
        </w:rPr>
        <w:t xml:space="preserve"> prijavljen</w:t>
      </w:r>
      <w:r w:rsidR="001A09BC" w:rsidRPr="00070F42">
        <w:rPr>
          <w:noProof/>
          <w:sz w:val="22"/>
          <w:szCs w:val="22"/>
          <w:lang w:val="sr-Latn-ME"/>
        </w:rPr>
        <w:t>a</w:t>
      </w:r>
      <w:r w:rsidRPr="00070F42">
        <w:rPr>
          <w:noProof/>
          <w:sz w:val="22"/>
          <w:szCs w:val="22"/>
          <w:lang w:val="sr-Latn-ME"/>
        </w:rPr>
        <w:t xml:space="preserve"> u studiji 5 prikazan</w:t>
      </w:r>
      <w:r w:rsidR="001A09BC" w:rsidRPr="00070F42">
        <w:rPr>
          <w:noProof/>
          <w:sz w:val="22"/>
          <w:szCs w:val="22"/>
          <w:lang w:val="sr-Latn-ME"/>
        </w:rPr>
        <w:t>a su</w:t>
      </w:r>
      <w:r w:rsidRPr="00070F42">
        <w:rPr>
          <w:noProof/>
          <w:sz w:val="22"/>
          <w:szCs w:val="22"/>
          <w:lang w:val="sr-Latn-ME"/>
        </w:rPr>
        <w:t xml:space="preserve"> u tabeli 2.</w:t>
      </w:r>
    </w:p>
    <w:p w14:paraId="39A57C46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</w:p>
    <w:p w14:paraId="1C9D6CB6" w14:textId="740CC349" w:rsidR="003951A3" w:rsidRPr="00070F42" w:rsidRDefault="003951A3" w:rsidP="003951A3">
      <w:pPr>
        <w:jc w:val="both"/>
        <w:rPr>
          <w:b/>
          <w:bCs/>
          <w:noProof/>
          <w:sz w:val="22"/>
          <w:szCs w:val="22"/>
          <w:lang w:val="sr-Latn-ME"/>
        </w:rPr>
      </w:pPr>
      <w:r w:rsidRPr="00070F42">
        <w:rPr>
          <w:b/>
          <w:bCs/>
          <w:noProof/>
          <w:sz w:val="22"/>
          <w:szCs w:val="22"/>
          <w:lang w:val="sr-Latn-ME"/>
        </w:rPr>
        <w:t xml:space="preserve">Tabela 2: </w:t>
      </w:r>
      <w:r w:rsidR="001A09BC" w:rsidRPr="00070F42">
        <w:rPr>
          <w:b/>
          <w:bCs/>
          <w:noProof/>
          <w:sz w:val="22"/>
          <w:szCs w:val="22"/>
          <w:lang w:val="sr-Latn-ME"/>
        </w:rPr>
        <w:t xml:space="preserve">Odstupanja vrijednosti </w:t>
      </w:r>
      <w:r w:rsidRPr="00070F42">
        <w:rPr>
          <w:b/>
          <w:bCs/>
          <w:noProof/>
          <w:sz w:val="22"/>
          <w:szCs w:val="22"/>
          <w:lang w:val="sr-Latn-ME"/>
        </w:rPr>
        <w:t>laboratorijskih testova prijavljen</w:t>
      </w:r>
      <w:r w:rsidR="001A09BC" w:rsidRPr="00070F42">
        <w:rPr>
          <w:b/>
          <w:bCs/>
          <w:noProof/>
          <w:sz w:val="22"/>
          <w:szCs w:val="22"/>
          <w:lang w:val="sr-Latn-ME"/>
        </w:rPr>
        <w:t>a</w:t>
      </w:r>
      <w:r w:rsidRPr="00070F42">
        <w:rPr>
          <w:b/>
          <w:bCs/>
          <w:noProof/>
          <w:sz w:val="22"/>
          <w:szCs w:val="22"/>
          <w:lang w:val="sr-Latn-ME"/>
        </w:rPr>
        <w:t xml:space="preserve"> kod pacijenata sa diferenciranim karcinomom tireoideje (studija 5) tokom dvostruko slijepog perioda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20"/>
        <w:gridCol w:w="1160"/>
        <w:gridCol w:w="1025"/>
        <w:gridCol w:w="1215"/>
        <w:gridCol w:w="1125"/>
        <w:gridCol w:w="1080"/>
        <w:gridCol w:w="1195"/>
      </w:tblGrid>
      <w:tr w:rsidR="003951A3" w:rsidRPr="00070F42" w14:paraId="160D1D87" w14:textId="77777777" w:rsidTr="00CE5256">
        <w:trPr>
          <w:trHeight w:val="48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4F71" w14:textId="4EBE73B3" w:rsidR="003951A3" w:rsidRPr="00070F42" w:rsidRDefault="003951A3" w:rsidP="00CE5256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Laboratorijski paramet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>ar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 (u % 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ispitanih 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uzoraka)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D46" w14:textId="77777777" w:rsidR="003951A3" w:rsidRPr="00070F42" w:rsidRDefault="003951A3" w:rsidP="00CE5256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Sorafenib N=207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8D80" w14:textId="77777777" w:rsidR="003951A3" w:rsidRPr="00070F42" w:rsidRDefault="003951A3" w:rsidP="00CE5256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Placebo N=209</w:t>
            </w:r>
          </w:p>
        </w:tc>
      </w:tr>
      <w:tr w:rsidR="003951A3" w:rsidRPr="00070F42" w14:paraId="4B8DDF84" w14:textId="77777777" w:rsidTr="009B7936">
        <w:trPr>
          <w:trHeight w:val="4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7619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5D71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Svi stepeni*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960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Stepen 3*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8580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Stepen 4*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90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Svi stepeni*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23B1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Stepen 3*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1B5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Stepen 4*</w:t>
            </w:r>
          </w:p>
        </w:tc>
      </w:tr>
      <w:tr w:rsidR="003951A3" w:rsidRPr="00070F42" w14:paraId="3E09FBE5" w14:textId="77777777" w:rsidTr="00CE5256">
        <w:trPr>
          <w:trHeight w:val="285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EBA" w14:textId="7B696D32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Poremećaji krvi i limfnog sistema</w:t>
            </w:r>
          </w:p>
        </w:tc>
      </w:tr>
      <w:tr w:rsidR="003951A3" w:rsidRPr="00070F42" w14:paraId="0368A14B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E1E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Anemija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AB24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30.9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08B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6D85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38F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04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FA79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38F71DD0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6999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lastRenderedPageBreak/>
              <w:t>Trombocitopenija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AFF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18.4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8824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D0F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C71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56C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C6D1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4A987E92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EE3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Neutropenija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D1DC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19.8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C774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818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464D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50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F79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3FB6BF59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B68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Limfopenija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2D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A885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9.7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A93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A373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D23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5.3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A306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4838E780" w14:textId="77777777" w:rsidTr="00CE5256">
        <w:trPr>
          <w:trHeight w:val="285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C94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3951A3" w:rsidRPr="00070F42" w14:paraId="329E5E65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C41" w14:textId="168F08D5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Hipokalemija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2E3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17.9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02C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1.9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3C6E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6A3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3A6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CE20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48DCAA0E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816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Hipofosfatemija**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DAB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19.3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E40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12.6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C24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AB1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449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1.4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BFE5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1AB2AC44" w14:textId="77777777" w:rsidTr="00CE5256">
        <w:trPr>
          <w:trHeight w:val="285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A36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Hepatobilijarni poremećaji</w:t>
            </w:r>
          </w:p>
        </w:tc>
      </w:tr>
      <w:tr w:rsidR="003951A3" w:rsidRPr="00070F42" w14:paraId="483C0032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6D97" w14:textId="08529BFD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Povišen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e vrijdnosti 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bilirubina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F3D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8.7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16C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20C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D4D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FFE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82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44369CB9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5F93" w14:textId="4422DF9E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Povišena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 vrijednost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 ALT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E6F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58.9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F5D5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3.4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972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5AE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0D4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CD5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5385CFAE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3AC6" w14:textId="5B75BD15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Povišena 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>vrij</w:t>
            </w:r>
            <w:r w:rsidR="009E4FE2" w:rsidRPr="00070F42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dnost 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AST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A867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53.6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59B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B26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15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DA6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EFB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  <w:tr w:rsidR="003951A3" w:rsidRPr="00070F42" w14:paraId="0E5A635D" w14:textId="77777777" w:rsidTr="00CE5256">
        <w:trPr>
          <w:trHeight w:val="285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20A6" w14:textId="77777777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Laboratorijska ispitivanja</w:t>
            </w:r>
          </w:p>
        </w:tc>
      </w:tr>
      <w:tr w:rsidR="003951A3" w:rsidRPr="00070F42" w14:paraId="376C16E7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F35" w14:textId="6436ECC2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Povišena 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vrijednost 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amilaz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57A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12.6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F43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2.4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44B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BABF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8DB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2FB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1,0</w:t>
            </w:r>
          </w:p>
        </w:tc>
      </w:tr>
      <w:tr w:rsidR="003951A3" w:rsidRPr="00070F42" w14:paraId="13F04317" w14:textId="77777777" w:rsidTr="009B7936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F2A" w14:textId="2A25C2FE" w:rsidR="003951A3" w:rsidRPr="00070F42" w:rsidRDefault="003951A3" w:rsidP="00CE5256">
            <w:pPr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Povišena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 vrijednost</w:t>
            </w: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 xml:space="preserve"> lipaz</w:t>
            </w:r>
            <w:r w:rsidR="001A09BC" w:rsidRPr="00070F42">
              <w:rPr>
                <w:noProof/>
                <w:color w:val="00000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7088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11.1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D5D1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2.4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868C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79C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71D7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0.5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A99" w14:textId="77777777" w:rsidR="003951A3" w:rsidRPr="00070F42" w:rsidRDefault="003951A3" w:rsidP="00B64E63">
            <w:pPr>
              <w:jc w:val="center"/>
              <w:rPr>
                <w:noProof/>
                <w:color w:val="000000"/>
                <w:sz w:val="22"/>
                <w:szCs w:val="22"/>
                <w:lang w:val="sr-Latn-ME"/>
              </w:rPr>
            </w:pPr>
            <w:r w:rsidRPr="00070F42">
              <w:rPr>
                <w:noProof/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</w:tbl>
    <w:p w14:paraId="034A853A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* Uobičajeni terminološki kriterijumi za neželjene događaje (Common Terminology Criteria for Adverse Events (CTCAE)), verzija 3.0</w:t>
      </w:r>
    </w:p>
    <w:p w14:paraId="5CE5BA91" w14:textId="77777777" w:rsidR="003951A3" w:rsidRPr="00070F42" w:rsidRDefault="003951A3" w:rsidP="003951A3">
      <w:pPr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** Etiologija hipofosfatemije pri primjeni sorafeniba je nepoznata.</w:t>
      </w:r>
    </w:p>
    <w:p w14:paraId="57B0C39A" w14:textId="77777777" w:rsidR="004E70AD" w:rsidRPr="00070F42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4CD5DF" w14:textId="77777777" w:rsidR="005A23D2" w:rsidRPr="00070F42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070F4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5B592AC" w14:textId="77777777" w:rsidR="005A23D2" w:rsidRPr="00070F42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070F42">
        <w:rPr>
          <w:rFonts w:eastAsia="Calibri"/>
          <w:sz w:val="22"/>
          <w:szCs w:val="22"/>
          <w:lang w:val="sr-Latn-ME"/>
        </w:rPr>
        <w:t>inuirano praćenje odnosa korist</w:t>
      </w:r>
      <w:r w:rsidRPr="00070F4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070F42">
        <w:rPr>
          <w:rFonts w:eastAsia="Calibri"/>
          <w:sz w:val="22"/>
          <w:szCs w:val="22"/>
          <w:lang w:val="sr-Latn-ME"/>
        </w:rPr>
        <w:t xml:space="preserve"> </w:t>
      </w:r>
      <w:r w:rsidRPr="00070F4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070F42">
        <w:rPr>
          <w:rFonts w:eastAsia="Calibri"/>
          <w:sz w:val="22"/>
          <w:szCs w:val="22"/>
          <w:lang w:val="sr-Latn-ME"/>
        </w:rPr>
        <w:t>Institutu</w:t>
      </w:r>
      <w:r w:rsidRPr="00070F4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070F42">
        <w:rPr>
          <w:rFonts w:eastAsia="Calibri"/>
          <w:sz w:val="22"/>
          <w:szCs w:val="22"/>
          <w:lang w:val="sr-Latn-ME"/>
        </w:rPr>
        <w:t xml:space="preserve"> </w:t>
      </w:r>
      <w:r w:rsidRPr="00070F42">
        <w:rPr>
          <w:rFonts w:eastAsia="Calibri"/>
          <w:sz w:val="22"/>
          <w:szCs w:val="22"/>
          <w:lang w:val="sr-Latn-ME"/>
        </w:rPr>
        <w:t>(</w:t>
      </w:r>
      <w:r w:rsidR="004E70AD" w:rsidRPr="00070F42">
        <w:rPr>
          <w:rFonts w:eastAsia="Calibri"/>
          <w:sz w:val="22"/>
          <w:szCs w:val="22"/>
          <w:lang w:val="sr-Latn-ME"/>
        </w:rPr>
        <w:t>CInMED</w:t>
      </w:r>
      <w:r w:rsidRPr="00070F42">
        <w:rPr>
          <w:rFonts w:eastAsia="Calibri"/>
          <w:sz w:val="22"/>
          <w:szCs w:val="22"/>
          <w:lang w:val="sr-Latn-ME"/>
        </w:rPr>
        <w:t>):</w:t>
      </w:r>
    </w:p>
    <w:p w14:paraId="41C88EFA" w14:textId="77777777" w:rsidR="005A23D2" w:rsidRPr="00070F42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70F4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621D307" w14:textId="77777777" w:rsidR="005A23D2" w:rsidRPr="00070F4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Odjeljenje za farmakovigilancu</w:t>
      </w:r>
    </w:p>
    <w:p w14:paraId="1AA994F4" w14:textId="77777777" w:rsidR="00EA5765" w:rsidRPr="00070F4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6C40D35" w14:textId="77777777" w:rsidR="00EA5765" w:rsidRPr="00070F42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5A3BAFC6" w14:textId="77777777" w:rsidR="005A23D2" w:rsidRPr="00070F4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tel: +382 (0) 20 310 280</w:t>
      </w:r>
    </w:p>
    <w:p w14:paraId="3ED33325" w14:textId="77777777" w:rsidR="00EA5765" w:rsidRPr="00070F4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fax:</w:t>
      </w:r>
      <w:r w:rsidR="00EA5765" w:rsidRPr="00070F42">
        <w:rPr>
          <w:rFonts w:eastAsia="Calibri"/>
          <w:sz w:val="22"/>
          <w:szCs w:val="22"/>
          <w:lang w:val="sr-Latn-ME"/>
        </w:rPr>
        <w:t xml:space="preserve"> </w:t>
      </w:r>
      <w:r w:rsidRPr="00070F42">
        <w:rPr>
          <w:rFonts w:eastAsia="Calibri"/>
          <w:sz w:val="22"/>
          <w:szCs w:val="22"/>
          <w:lang w:val="sr-Latn-ME"/>
        </w:rPr>
        <w:t>+382 (0) 20 310 581</w:t>
      </w:r>
    </w:p>
    <w:p w14:paraId="475DE1B7" w14:textId="77777777" w:rsidR="005A23D2" w:rsidRPr="00070F42" w:rsidRDefault="00E3097C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70F4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7A90A0F" w14:textId="77777777" w:rsidR="00EA5765" w:rsidRPr="00070F42" w:rsidRDefault="00E3097C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070F4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AF3E6D3" w14:textId="6E2684EA" w:rsidR="005A23D2" w:rsidRPr="00070F4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putem IS zdravstvene zaštite</w:t>
      </w:r>
    </w:p>
    <w:p w14:paraId="57DCC120" w14:textId="4C10BFBF" w:rsidR="00855573" w:rsidRPr="00070F42" w:rsidRDefault="00855573" w:rsidP="0085557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3998D6D5" w14:textId="77777777" w:rsidR="00855573" w:rsidRPr="00070F42" w:rsidRDefault="00855573" w:rsidP="0085557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6C5ED3B" w14:textId="1B6ECB71" w:rsidR="00855573" w:rsidRPr="00070F42" w:rsidRDefault="00855573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70F42">
        <w:rPr>
          <w:noProof/>
        </w:rPr>
        <w:drawing>
          <wp:inline distT="0" distB="0" distL="0" distR="0" wp14:anchorId="047F7C5B" wp14:editId="29D2726C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EC6A" w14:textId="77777777" w:rsidR="00836B35" w:rsidRPr="00070F42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47C8E73" w14:textId="77777777" w:rsidR="00CD6F02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4.9.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Predoziranje</w:t>
      </w:r>
      <w:r w:rsidR="002846DB" w:rsidRPr="00070F42">
        <w:rPr>
          <w:b/>
          <w:bCs/>
          <w:sz w:val="22"/>
          <w:szCs w:val="22"/>
          <w:lang w:val="sr-Latn-ME"/>
        </w:rPr>
        <w:t xml:space="preserve"> </w:t>
      </w:r>
    </w:p>
    <w:p w14:paraId="2CD7090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082DB50" w14:textId="592D66C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 xml:space="preserve">Nema specifične terapije u slučaju predoziranja </w:t>
      </w:r>
      <w:r w:rsidR="001A09BC" w:rsidRPr="00070F42">
        <w:rPr>
          <w:noProof/>
          <w:sz w:val="22"/>
          <w:szCs w:val="22"/>
          <w:lang w:val="sr-Latn-ME"/>
        </w:rPr>
        <w:t>sorafenibom</w:t>
      </w:r>
      <w:r w:rsidRPr="00070F42">
        <w:rPr>
          <w:noProof/>
          <w:sz w:val="22"/>
          <w:szCs w:val="22"/>
          <w:lang w:val="sr-Latn-ME"/>
        </w:rPr>
        <w:t>. Najviša klinički ispitana doza sorafeniba je 800 mg dva puta dnevno. Neželjen</w:t>
      </w:r>
      <w:r w:rsidR="001A09BC" w:rsidRPr="00070F42">
        <w:rPr>
          <w:noProof/>
          <w:sz w:val="22"/>
          <w:szCs w:val="22"/>
          <w:lang w:val="sr-Latn-ME"/>
        </w:rPr>
        <w:t>i događaji uočeni</w:t>
      </w:r>
      <w:r w:rsidRPr="00070F42">
        <w:rPr>
          <w:noProof/>
          <w:sz w:val="22"/>
          <w:szCs w:val="22"/>
          <w:lang w:val="sr-Latn-ME"/>
        </w:rPr>
        <w:t xml:space="preserve"> pri </w:t>
      </w:r>
      <w:r w:rsidR="001A09BC" w:rsidRPr="00070F42">
        <w:rPr>
          <w:noProof/>
          <w:sz w:val="22"/>
          <w:szCs w:val="22"/>
          <w:lang w:val="sr-Latn-ME"/>
        </w:rPr>
        <w:t>ovoj dozi bili su</w:t>
      </w:r>
      <w:r w:rsidRPr="00070F42">
        <w:rPr>
          <w:noProof/>
          <w:sz w:val="22"/>
          <w:szCs w:val="22"/>
          <w:lang w:val="sr-Latn-ME"/>
        </w:rPr>
        <w:t xml:space="preserve"> uglavnom dijareja i dermatološki događaji. U slučaju sumnje na predoziranje, primjenu </w:t>
      </w:r>
      <w:r w:rsidR="001A09BC" w:rsidRPr="00070F42">
        <w:rPr>
          <w:noProof/>
          <w:sz w:val="22"/>
          <w:szCs w:val="22"/>
          <w:lang w:val="sr-Latn-ME"/>
        </w:rPr>
        <w:t>sorafeniba</w:t>
      </w:r>
      <w:r w:rsidRPr="00070F42">
        <w:rPr>
          <w:noProof/>
          <w:sz w:val="22"/>
          <w:szCs w:val="22"/>
          <w:lang w:val="sr-Latn-ME"/>
        </w:rPr>
        <w:t xml:space="preserve"> treba obustaviti i </w:t>
      </w:r>
      <w:r w:rsidR="001A09BC" w:rsidRPr="00070F42">
        <w:rPr>
          <w:noProof/>
          <w:sz w:val="22"/>
          <w:szCs w:val="22"/>
          <w:lang w:val="sr-Latn-ME"/>
        </w:rPr>
        <w:t xml:space="preserve">po potrebi </w:t>
      </w:r>
      <w:r w:rsidRPr="00070F42">
        <w:rPr>
          <w:noProof/>
          <w:sz w:val="22"/>
          <w:szCs w:val="22"/>
          <w:lang w:val="sr-Latn-ME"/>
        </w:rPr>
        <w:t>prim</w:t>
      </w:r>
      <w:r w:rsidR="00EC003D" w:rsidRPr="00070F42">
        <w:rPr>
          <w:noProof/>
          <w:sz w:val="22"/>
          <w:szCs w:val="22"/>
          <w:lang w:val="sr-Latn-ME"/>
        </w:rPr>
        <w:t>i</w:t>
      </w:r>
      <w:r w:rsidRPr="00070F42">
        <w:rPr>
          <w:noProof/>
          <w:sz w:val="22"/>
          <w:szCs w:val="22"/>
          <w:lang w:val="sr-Latn-ME"/>
        </w:rPr>
        <w:t>jeniti mjere suportivne terapije.</w:t>
      </w:r>
    </w:p>
    <w:p w14:paraId="6971B9DA" w14:textId="53756EB1" w:rsidR="00CD6F02" w:rsidRPr="00070F42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244F52" w14:textId="2F35945A" w:rsidR="00855573" w:rsidRPr="00070F42" w:rsidRDefault="0085557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891930" w14:textId="77777777" w:rsidR="00855573" w:rsidRPr="00070F42" w:rsidRDefault="0085557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F3C593" w14:textId="77777777" w:rsidR="00227BDB" w:rsidRPr="00070F42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EF6907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FARMAKOLOŠK</w:t>
      </w:r>
      <w:r w:rsidR="000D425A" w:rsidRPr="00070F42">
        <w:rPr>
          <w:b/>
          <w:bCs/>
          <w:sz w:val="22"/>
          <w:szCs w:val="22"/>
          <w:lang w:val="sr-Latn-ME"/>
        </w:rPr>
        <w:t>I</w:t>
      </w:r>
      <w:r w:rsidRPr="00070F42">
        <w:rPr>
          <w:b/>
          <w:bCs/>
          <w:sz w:val="22"/>
          <w:szCs w:val="22"/>
          <w:lang w:val="sr-Latn-ME"/>
        </w:rPr>
        <w:t xml:space="preserve"> PODACI</w:t>
      </w:r>
    </w:p>
    <w:p w14:paraId="6F9CF61A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39A2500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5.1.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Farmakodinamski podaci</w:t>
      </w:r>
      <w:r w:rsidR="003A7059" w:rsidRPr="00070F42">
        <w:rPr>
          <w:b/>
          <w:bCs/>
          <w:sz w:val="22"/>
          <w:szCs w:val="22"/>
          <w:lang w:val="sr-Latn-ME"/>
        </w:rPr>
        <w:t xml:space="preserve"> </w:t>
      </w:r>
    </w:p>
    <w:p w14:paraId="7B8A5E04" w14:textId="77777777" w:rsidR="00F45F77" w:rsidRPr="00070F42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645CAC0" w14:textId="644C072F" w:rsidR="0072020E" w:rsidRPr="00070F42" w:rsidRDefault="0072020E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sz w:val="22"/>
          <w:szCs w:val="22"/>
          <w:lang w:val="sr-Latn-ME"/>
        </w:rPr>
        <w:t>Farmakoterapijska grupa:</w:t>
      </w:r>
      <w:r w:rsidR="003951A3" w:rsidRPr="00070F42">
        <w:rPr>
          <w:bCs/>
          <w:sz w:val="22"/>
          <w:szCs w:val="22"/>
          <w:lang w:val="sr-Latn-ME"/>
        </w:rPr>
        <w:t xml:space="preserve"> </w:t>
      </w:r>
      <w:r w:rsidR="003951A3" w:rsidRPr="00070F42">
        <w:rPr>
          <w:bCs/>
          <w:noProof/>
          <w:sz w:val="22"/>
          <w:szCs w:val="22"/>
          <w:lang w:val="sr-Latn-ME"/>
        </w:rPr>
        <w:t>Antineoplastici, inhibitori protein kinaze</w:t>
      </w:r>
    </w:p>
    <w:p w14:paraId="3E7FCEA3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272778" w14:textId="0512E0F3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70F42">
        <w:rPr>
          <w:bCs/>
          <w:sz w:val="22"/>
          <w:szCs w:val="22"/>
          <w:lang w:val="sr-Latn-ME"/>
        </w:rPr>
        <w:t>ATC kod:</w:t>
      </w:r>
      <w:r w:rsidR="003951A3" w:rsidRPr="00070F42">
        <w:rPr>
          <w:bCs/>
          <w:sz w:val="22"/>
          <w:szCs w:val="22"/>
          <w:lang w:val="sr-Latn-ME"/>
        </w:rPr>
        <w:t xml:space="preserve"> </w:t>
      </w:r>
      <w:r w:rsidR="00C90E30" w:rsidRPr="00070F42">
        <w:rPr>
          <w:bCs/>
          <w:noProof/>
          <w:sz w:val="22"/>
          <w:szCs w:val="22"/>
          <w:lang w:val="sr-Latn-ME"/>
        </w:rPr>
        <w:t>L01EX02</w:t>
      </w:r>
    </w:p>
    <w:p w14:paraId="12F01EF0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20DF8A3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Sorafenib je multikinazni inhibitor, koji je pokazao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 xml:space="preserve"> i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vivo</w:t>
      </w:r>
      <w:r w:rsidRPr="00070F42">
        <w:rPr>
          <w:bCs/>
          <w:noProof/>
          <w:sz w:val="22"/>
          <w:szCs w:val="22"/>
          <w:lang w:val="sr-Latn-ME"/>
        </w:rPr>
        <w:t xml:space="preserve"> antiproliferativno i antiangiogeno djelovanje. </w:t>
      </w:r>
    </w:p>
    <w:p w14:paraId="3AC6668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85911C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Mehanizam djelovanja i farmakodinamski efekti</w:t>
      </w:r>
    </w:p>
    <w:p w14:paraId="3C0AED7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A4575C2" w14:textId="5066BD0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Sorafenib je multikinazni inhibitor koji smanjuje proliferaciju tumorskih ćelija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>. Sorafenib inhibi</w:t>
      </w:r>
      <w:r w:rsidR="001A09BC" w:rsidRPr="00070F42">
        <w:rPr>
          <w:bCs/>
          <w:noProof/>
          <w:sz w:val="22"/>
          <w:szCs w:val="22"/>
          <w:lang w:val="sr-Latn-ME"/>
        </w:rPr>
        <w:t>ra</w:t>
      </w:r>
      <w:r w:rsidRPr="00070F42">
        <w:rPr>
          <w:bCs/>
          <w:noProof/>
          <w:sz w:val="22"/>
          <w:szCs w:val="22"/>
          <w:lang w:val="sr-Latn-ME"/>
        </w:rPr>
        <w:t xml:space="preserve"> tumorski rast u širokom spektru ksenografta ljudskih tumora kod miševa</w:t>
      </w:r>
      <w:r w:rsidR="001A09BC" w:rsidRPr="00070F42">
        <w:rPr>
          <w:bCs/>
          <w:noProof/>
          <w:sz w:val="22"/>
          <w:szCs w:val="22"/>
          <w:lang w:val="sr-Latn-ME"/>
        </w:rPr>
        <w:t xml:space="preserve"> kojima je odstranjen timus</w:t>
      </w:r>
      <w:r w:rsidRPr="00070F42">
        <w:rPr>
          <w:bCs/>
          <w:noProof/>
          <w:sz w:val="22"/>
          <w:szCs w:val="22"/>
          <w:lang w:val="sr-Latn-ME"/>
        </w:rPr>
        <w:t xml:space="preserve">, udruženo sa </w:t>
      </w:r>
      <w:r w:rsidR="001A09BC" w:rsidRPr="00070F42">
        <w:rPr>
          <w:bCs/>
          <w:noProof/>
          <w:sz w:val="22"/>
          <w:szCs w:val="22"/>
          <w:lang w:val="sr-Latn-ME"/>
        </w:rPr>
        <w:t>smanjenjem</w:t>
      </w:r>
      <w:r w:rsidRPr="00070F42">
        <w:rPr>
          <w:bCs/>
          <w:noProof/>
          <w:sz w:val="22"/>
          <w:szCs w:val="22"/>
          <w:lang w:val="sr-Latn-ME"/>
        </w:rPr>
        <w:t xml:space="preserve"> tumorske angiogeneze. Sorafenib inhibira aktivnost</w:t>
      </w:r>
      <w:r w:rsidR="001A09BC" w:rsidRPr="00070F42">
        <w:rPr>
          <w:bCs/>
          <w:noProof/>
          <w:sz w:val="22"/>
          <w:szCs w:val="22"/>
          <w:lang w:val="sr-Latn-ME"/>
        </w:rPr>
        <w:t xml:space="preserve"> ciljnih m</w:t>
      </w:r>
      <w:r w:rsidR="00EC003D" w:rsidRPr="00070F42">
        <w:rPr>
          <w:bCs/>
          <w:noProof/>
          <w:sz w:val="22"/>
          <w:szCs w:val="22"/>
          <w:lang w:val="sr-Latn-ME"/>
        </w:rPr>
        <w:t>j</w:t>
      </w:r>
      <w:r w:rsidR="001A09BC" w:rsidRPr="00070F42">
        <w:rPr>
          <w:bCs/>
          <w:noProof/>
          <w:sz w:val="22"/>
          <w:szCs w:val="22"/>
          <w:lang w:val="sr-Latn-ME"/>
        </w:rPr>
        <w:t>esta</w:t>
      </w:r>
      <w:r w:rsidRPr="00070F42">
        <w:rPr>
          <w:bCs/>
          <w:noProof/>
          <w:sz w:val="22"/>
          <w:szCs w:val="22"/>
          <w:lang w:val="sr-Latn-ME"/>
        </w:rPr>
        <w:t xml:space="preserve"> u tumorskim ćelijama (CRAF, BRAF, V600E BRAF, c-KIT i FLT-3) i u </w:t>
      </w:r>
      <w:r w:rsidR="00C72CFB" w:rsidRPr="00070F42">
        <w:rPr>
          <w:bCs/>
          <w:noProof/>
          <w:sz w:val="22"/>
          <w:szCs w:val="22"/>
          <w:lang w:val="sr-Latn-ME"/>
        </w:rPr>
        <w:t>krvnim sudovima tumora</w:t>
      </w:r>
      <w:r w:rsidRPr="00070F42">
        <w:rPr>
          <w:bCs/>
          <w:noProof/>
          <w:sz w:val="22"/>
          <w:szCs w:val="22"/>
          <w:lang w:val="sr-Latn-ME"/>
        </w:rPr>
        <w:t xml:space="preserve"> (CRAF, VEGFR-2, VEGFR-3 i PDGFR-β). RAF kinaze su serin/treonin kinaze, dok su c-KIT, FLT-3, VEGFR-2, VEGFR-3 i PDGFR-β receptorske tirozin kinaze. </w:t>
      </w:r>
    </w:p>
    <w:p w14:paraId="25C3406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E8BBB9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Klinička efikasnost</w:t>
      </w:r>
    </w:p>
    <w:p w14:paraId="61A769F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E98FCB9" w14:textId="6144001C" w:rsidR="003951A3" w:rsidRPr="00070F42" w:rsidRDefault="00C72CFB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Klinička b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ezbjednost i efikasnost </w:t>
      </w:r>
      <w:r w:rsidRPr="00070F42">
        <w:rPr>
          <w:bCs/>
          <w:noProof/>
          <w:sz w:val="22"/>
          <w:szCs w:val="22"/>
          <w:lang w:val="sr-Latn-ME"/>
        </w:rPr>
        <w:t>sorafeniba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ispitani su kod pacijenata sa hepatocelularnim karcinomom (HCC)</w:t>
      </w:r>
      <w:r w:rsidRPr="00070F42">
        <w:rPr>
          <w:bCs/>
          <w:noProof/>
          <w:sz w:val="22"/>
          <w:szCs w:val="22"/>
          <w:lang w:val="sr-Latn-ME"/>
        </w:rPr>
        <w:t>, kod pacijenata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sa uznapredovalim karcinomom bubrežnih ćelija (RCC) i </w:t>
      </w:r>
      <w:r w:rsidRPr="00070F42">
        <w:rPr>
          <w:bCs/>
          <w:noProof/>
          <w:sz w:val="22"/>
          <w:szCs w:val="22"/>
          <w:lang w:val="sr-Latn-ME"/>
        </w:rPr>
        <w:t xml:space="preserve">pacijenata </w:t>
      </w:r>
      <w:r w:rsidR="003951A3" w:rsidRPr="00070F42">
        <w:rPr>
          <w:bCs/>
          <w:noProof/>
          <w:sz w:val="22"/>
          <w:szCs w:val="22"/>
          <w:lang w:val="sr-Latn-ME"/>
        </w:rPr>
        <w:t>sa diferenciranim karcinomom tireoideje (DTC).</w:t>
      </w:r>
    </w:p>
    <w:p w14:paraId="7E2436C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E57180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Hepatocelularni karcinom</w:t>
      </w:r>
    </w:p>
    <w:p w14:paraId="7E41E8B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18966FB" w14:textId="404C7E5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Studija 3 (studija 100554) bila je studija faze III – internacionalna, multicentrična, randomiz</w:t>
      </w:r>
      <w:r w:rsidR="0035789F" w:rsidRPr="00070F42">
        <w:rPr>
          <w:bCs/>
          <w:noProof/>
          <w:sz w:val="22"/>
          <w:szCs w:val="22"/>
          <w:lang w:val="sr-Latn-ME"/>
        </w:rPr>
        <w:t>ov</w:t>
      </w:r>
      <w:r w:rsidRPr="00070F42">
        <w:rPr>
          <w:bCs/>
          <w:noProof/>
          <w:sz w:val="22"/>
          <w:szCs w:val="22"/>
          <w:lang w:val="sr-Latn-ME"/>
        </w:rPr>
        <w:t>ana, dvostruko sl</w:t>
      </w:r>
      <w:r w:rsidR="00C72CFB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epa, placebo kontrolisana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 studija</w:t>
      </w:r>
      <w:r w:rsidRPr="00070F42">
        <w:rPr>
          <w:bCs/>
          <w:noProof/>
          <w:sz w:val="22"/>
          <w:szCs w:val="22"/>
          <w:lang w:val="sr-Latn-ME"/>
        </w:rPr>
        <w:t>, sprovedena na 602 ispitanika sa hepatocelularnim karcinomom.</w:t>
      </w:r>
    </w:p>
    <w:p w14:paraId="4F409582" w14:textId="519825C0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Demografske i karakteristike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 osnovne</w:t>
      </w:r>
      <w:r w:rsidRPr="00070F42">
        <w:rPr>
          <w:bCs/>
          <w:noProof/>
          <w:sz w:val="22"/>
          <w:szCs w:val="22"/>
          <w:lang w:val="sr-Latn-ME"/>
        </w:rPr>
        <w:t xml:space="preserve"> bolesti bile su upored</w:t>
      </w:r>
      <w:r w:rsidR="008A13FB" w:rsidRPr="00070F42">
        <w:rPr>
          <w:bCs/>
          <w:noProof/>
          <w:sz w:val="22"/>
          <w:szCs w:val="22"/>
          <w:lang w:val="sr-Latn-ME"/>
        </w:rPr>
        <w:t>iv</w:t>
      </w:r>
      <w:r w:rsidRPr="00070F42">
        <w:rPr>
          <w:bCs/>
          <w:noProof/>
          <w:sz w:val="22"/>
          <w:szCs w:val="22"/>
          <w:lang w:val="sr-Latn-ME"/>
        </w:rPr>
        <w:t xml:space="preserve">e između </w:t>
      </w:r>
      <w:r w:rsidR="00C72CFB" w:rsidRPr="00070F42">
        <w:rPr>
          <w:bCs/>
          <w:noProof/>
          <w:sz w:val="22"/>
          <w:szCs w:val="22"/>
          <w:lang w:val="sr-Latn-ME"/>
        </w:rPr>
        <w:t>sorafenib</w:t>
      </w:r>
      <w:r w:rsidRPr="00070F42">
        <w:rPr>
          <w:bCs/>
          <w:noProof/>
          <w:sz w:val="22"/>
          <w:szCs w:val="22"/>
          <w:lang w:val="sr-Latn-ME"/>
        </w:rPr>
        <w:t xml:space="preserve"> i placebo grupe u odnosu na ECOG 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(engl. </w:t>
      </w:r>
      <w:r w:rsidR="00C72CFB" w:rsidRPr="00070F42">
        <w:rPr>
          <w:bCs/>
          <w:i/>
          <w:iCs/>
          <w:noProof/>
          <w:sz w:val="22"/>
          <w:szCs w:val="22"/>
          <w:lang w:val="sr-Latn-ME"/>
        </w:rPr>
        <w:t>Eastern Cooperative Oncology Group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) </w:t>
      </w:r>
      <w:r w:rsidRPr="00070F42">
        <w:rPr>
          <w:bCs/>
          <w:noProof/>
          <w:sz w:val="22"/>
          <w:szCs w:val="22"/>
          <w:lang w:val="sr-Latn-ME"/>
        </w:rPr>
        <w:t xml:space="preserve">status (status 0: 54% 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naspram </w:t>
      </w:r>
      <w:r w:rsidRPr="00070F42">
        <w:rPr>
          <w:bCs/>
          <w:noProof/>
          <w:sz w:val="22"/>
          <w:szCs w:val="22"/>
          <w:lang w:val="sr-Latn-ME"/>
        </w:rPr>
        <w:t xml:space="preserve">54%; status 1: 38%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39%; status 2: 8%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7%), TNM 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stadijum </w:t>
      </w:r>
      <w:r w:rsidRPr="00070F42">
        <w:rPr>
          <w:bCs/>
          <w:noProof/>
          <w:sz w:val="22"/>
          <w:szCs w:val="22"/>
          <w:lang w:val="sr-Latn-ME"/>
        </w:rPr>
        <w:t>(st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I: &lt;1% 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naspram </w:t>
      </w:r>
      <w:r w:rsidRPr="00070F42">
        <w:rPr>
          <w:bCs/>
          <w:noProof/>
          <w:sz w:val="22"/>
          <w:szCs w:val="22"/>
          <w:lang w:val="sr-Latn-ME"/>
        </w:rPr>
        <w:t>&lt;1%; 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II: 10,4%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8,3%; 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III: 37,8%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43,6%; 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IV: 50,8%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46,9%) i BCLC 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(st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B: 18,1%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16,8%; 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C: 81,6%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 naspram,</w:t>
      </w:r>
      <w:r w:rsidRPr="00070F42">
        <w:rPr>
          <w:bCs/>
          <w:noProof/>
          <w:sz w:val="22"/>
          <w:szCs w:val="22"/>
          <w:lang w:val="sr-Latn-ME"/>
        </w:rPr>
        <w:t xml:space="preserve"> 83,2%; st</w:t>
      </w:r>
      <w:r w:rsidR="00C72CFB" w:rsidRPr="00070F42">
        <w:rPr>
          <w:bCs/>
          <w:noProof/>
          <w:sz w:val="22"/>
          <w:szCs w:val="22"/>
          <w:lang w:val="sr-Latn-ME"/>
        </w:rPr>
        <w:t>adijum</w:t>
      </w:r>
      <w:r w:rsidRPr="00070F42">
        <w:rPr>
          <w:bCs/>
          <w:noProof/>
          <w:sz w:val="22"/>
          <w:szCs w:val="22"/>
          <w:lang w:val="sr-Latn-ME"/>
        </w:rPr>
        <w:t xml:space="preserve"> D: &lt;1% </w:t>
      </w:r>
      <w:r w:rsidR="00C72CFB" w:rsidRPr="00070F42">
        <w:rPr>
          <w:bCs/>
          <w:noProof/>
          <w:sz w:val="22"/>
          <w:szCs w:val="22"/>
          <w:lang w:val="sr-Latn-ME"/>
        </w:rPr>
        <w:t>naspram</w:t>
      </w:r>
      <w:r w:rsidRPr="00070F42">
        <w:rPr>
          <w:bCs/>
          <w:noProof/>
          <w:sz w:val="22"/>
          <w:szCs w:val="22"/>
          <w:lang w:val="sr-Latn-ME"/>
        </w:rPr>
        <w:t xml:space="preserve"> 0%). </w:t>
      </w:r>
    </w:p>
    <w:p w14:paraId="7BB46C6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3AF6C88" w14:textId="54ED158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Studija je prekinuta kada je planirana preliminarna analiza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 ukupnog preživljavanja </w:t>
      </w:r>
      <w:r w:rsidR="00CC08A3" w:rsidRPr="00070F42">
        <w:rPr>
          <w:bCs/>
          <w:noProof/>
          <w:sz w:val="22"/>
          <w:szCs w:val="22"/>
          <w:lang w:val="sr-Latn-ME"/>
        </w:rPr>
        <w:t>–</w:t>
      </w:r>
      <w:r w:rsidRPr="00070F42">
        <w:rPr>
          <w:bCs/>
          <w:noProof/>
          <w:sz w:val="22"/>
          <w:szCs w:val="22"/>
          <w:lang w:val="sr-Latn-ME"/>
        </w:rPr>
        <w:t xml:space="preserve"> OS (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engl. </w:t>
      </w:r>
      <w:r w:rsidRPr="00070F42">
        <w:rPr>
          <w:bCs/>
          <w:i/>
          <w:iCs/>
          <w:noProof/>
          <w:sz w:val="22"/>
          <w:szCs w:val="22"/>
          <w:lang w:val="sr-Latn-ME"/>
        </w:rPr>
        <w:t>overall survival</w:t>
      </w:r>
      <w:r w:rsidRPr="00070F42">
        <w:rPr>
          <w:bCs/>
          <w:noProof/>
          <w:sz w:val="22"/>
          <w:szCs w:val="22"/>
          <w:lang w:val="sr-Latn-ME"/>
        </w:rPr>
        <w:t xml:space="preserve">) prešla prethodno određenu granicu efikasnosti. Ova OS analiza je pokazala statistički značajnu prednost 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sorafeniba </w:t>
      </w:r>
      <w:r w:rsidRPr="00070F42">
        <w:rPr>
          <w:bCs/>
          <w:noProof/>
          <w:sz w:val="22"/>
          <w:szCs w:val="22"/>
          <w:lang w:val="sr-Latn-ME"/>
        </w:rPr>
        <w:t xml:space="preserve">u odnosu na placebo za OS (HR: 0,69; p=0,00058, vidjeti Tabelu 3). </w:t>
      </w:r>
    </w:p>
    <w:p w14:paraId="0BE3716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F8247A6" w14:textId="1363215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Postoje ograničeni podaci iz ove studije za pacijente sa oštećenjem</w:t>
      </w:r>
      <w:r w:rsidR="00C72CFB" w:rsidRPr="00070F42">
        <w:rPr>
          <w:bCs/>
          <w:noProof/>
          <w:sz w:val="22"/>
          <w:szCs w:val="22"/>
          <w:lang w:val="sr-Latn-ME"/>
        </w:rPr>
        <w:t xml:space="preserve"> funkcije</w:t>
      </w:r>
      <w:r w:rsidRPr="00070F42">
        <w:rPr>
          <w:bCs/>
          <w:noProof/>
          <w:sz w:val="22"/>
          <w:szCs w:val="22"/>
          <w:lang w:val="sr-Latn-ME"/>
        </w:rPr>
        <w:t xml:space="preserve"> jetre</w:t>
      </w:r>
      <w:r w:rsidR="00067F5A" w:rsidRPr="00070F42">
        <w:rPr>
          <w:bCs/>
          <w:i/>
          <w:iCs/>
          <w:noProof/>
          <w:sz w:val="22"/>
          <w:szCs w:val="22"/>
          <w:lang w:val="sr-Latn-ME"/>
        </w:rPr>
        <w:t xml:space="preserve"> Child Pugh</w:t>
      </w:r>
      <w:r w:rsidR="00067F5A" w:rsidRPr="00070F42">
        <w:rPr>
          <w:bCs/>
          <w:noProof/>
          <w:sz w:val="22"/>
          <w:szCs w:val="22"/>
          <w:lang w:val="sr-Latn-ME"/>
        </w:rPr>
        <w:t xml:space="preserve"> stadijuma B</w:t>
      </w:r>
      <w:r w:rsidRPr="00070F42">
        <w:rPr>
          <w:bCs/>
          <w:noProof/>
          <w:sz w:val="22"/>
          <w:szCs w:val="22"/>
          <w:lang w:val="sr-Latn-ME"/>
        </w:rPr>
        <w:t>, a samo jedan pacijent sa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 oštećenjem jetre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 Pugh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stadijuma </w:t>
      </w:r>
      <w:r w:rsidRPr="00070F42">
        <w:rPr>
          <w:bCs/>
          <w:noProof/>
          <w:sz w:val="22"/>
          <w:szCs w:val="22"/>
          <w:lang w:val="sr-Latn-ME"/>
        </w:rPr>
        <w:t>C je bio uključen u studiju.</w:t>
      </w:r>
    </w:p>
    <w:p w14:paraId="34036CD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274580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ME"/>
        </w:rPr>
      </w:pPr>
      <w:r w:rsidRPr="00070F42">
        <w:rPr>
          <w:b/>
          <w:noProof/>
          <w:sz w:val="22"/>
          <w:szCs w:val="22"/>
          <w:lang w:val="sr-Latn-ME"/>
        </w:rPr>
        <w:t>Tabela 3: Rezultati efikasnosti studije 3 (studija 100554) hepatocelularnog karcinoma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701"/>
        <w:gridCol w:w="1418"/>
        <w:gridCol w:w="1842"/>
      </w:tblGrid>
      <w:tr w:rsidR="003951A3" w:rsidRPr="00070F42" w14:paraId="0754CF85" w14:textId="77777777" w:rsidTr="00CE5256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635A" w14:textId="77777777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Parametar efikasnosti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BA0" w14:textId="3456E155" w:rsidR="003951A3" w:rsidRPr="00070F42" w:rsidRDefault="0080254C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Sorafenib</w:t>
            </w:r>
          </w:p>
          <w:p w14:paraId="4D55685A" w14:textId="77777777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(N=299)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2EDE" w14:textId="77777777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Placebo</w:t>
            </w:r>
          </w:p>
          <w:p w14:paraId="3CBFE340" w14:textId="77777777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(N=303)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D79B" w14:textId="057B847F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p-vr</w:t>
            </w:r>
            <w:r w:rsidR="00174AA9"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287A" w14:textId="77777777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HR</w:t>
            </w:r>
          </w:p>
          <w:p w14:paraId="6CAEC1FC" w14:textId="77777777" w:rsidR="003951A3" w:rsidRPr="00070F42" w:rsidRDefault="003951A3" w:rsidP="00CE5256">
            <w:pPr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070F42">
              <w:rPr>
                <w:b/>
                <w:bCs/>
                <w:noProof/>
                <w:sz w:val="22"/>
                <w:szCs w:val="22"/>
                <w:lang w:val="sr-Latn-ME"/>
              </w:rPr>
              <w:t>(95% CI)</w:t>
            </w:r>
          </w:p>
        </w:tc>
      </w:tr>
      <w:tr w:rsidR="003951A3" w:rsidRPr="00070F42" w14:paraId="06251580" w14:textId="77777777" w:rsidTr="00CE5256">
        <w:trPr>
          <w:trHeight w:val="12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D53E" w14:textId="4B170614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Opšte preživljavanje [srednja vrijednost, ned</w:t>
            </w:r>
            <w:r w:rsidR="00BE3C0C" w:rsidRPr="00070F42">
              <w:rPr>
                <w:noProof/>
                <w:sz w:val="22"/>
                <w:szCs w:val="22"/>
                <w:lang w:val="sr-Latn-ME"/>
              </w:rPr>
              <w:t>j</w:t>
            </w:r>
            <w:r w:rsidRPr="00070F42">
              <w:rPr>
                <w:noProof/>
                <w:sz w:val="22"/>
                <w:szCs w:val="22"/>
                <w:lang w:val="sr-Latn-ME"/>
              </w:rPr>
              <w:t>elje (95% CI)]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80A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46,3 </w:t>
            </w:r>
          </w:p>
          <w:p w14:paraId="0061FA9C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(40,9; 57,9)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DCC8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 xml:space="preserve">34,4 </w:t>
            </w:r>
          </w:p>
          <w:p w14:paraId="793DC1A4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(29,4; 39,4)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A8C3" w14:textId="77777777" w:rsidR="003951A3" w:rsidRPr="00070F42" w:rsidRDefault="003951A3" w:rsidP="00CE5256">
            <w:pPr>
              <w:autoSpaceDE w:val="0"/>
              <w:autoSpaceDN w:val="0"/>
              <w:adjustRightInd w:val="0"/>
              <w:rPr>
                <w:rFonts w:eastAsia="MS Mincho"/>
                <w:noProof/>
                <w:sz w:val="22"/>
                <w:szCs w:val="22"/>
                <w:lang w:val="sr-Latn-ME" w:eastAsia="ja-JP"/>
              </w:rPr>
            </w:pPr>
            <w:r w:rsidRPr="00070F42">
              <w:rPr>
                <w:rFonts w:eastAsia="MS Mincho"/>
                <w:noProof/>
                <w:sz w:val="22"/>
                <w:szCs w:val="22"/>
                <w:lang w:val="sr-Latn-ME" w:eastAsia="ja-JP"/>
              </w:rPr>
              <w:t>0,00058*</w:t>
            </w:r>
          </w:p>
          <w:p w14:paraId="5269282A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BF9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0,69</w:t>
            </w:r>
          </w:p>
          <w:p w14:paraId="7A6169C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(0,55; 0,87)</w:t>
            </w:r>
          </w:p>
        </w:tc>
      </w:tr>
      <w:tr w:rsidR="003951A3" w:rsidRPr="00070F42" w14:paraId="39953833" w14:textId="77777777" w:rsidTr="00CE5256">
        <w:trPr>
          <w:trHeight w:val="10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872C" w14:textId="4D5103F5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Vrijeme do progresije (TTP) [srednja vrijednost, ned</w:t>
            </w:r>
            <w:r w:rsidR="00BE3C0C" w:rsidRPr="00070F42">
              <w:rPr>
                <w:noProof/>
                <w:sz w:val="22"/>
                <w:szCs w:val="22"/>
                <w:lang w:val="sr-Latn-ME"/>
              </w:rPr>
              <w:t>j</w:t>
            </w:r>
            <w:r w:rsidRPr="00070F42">
              <w:rPr>
                <w:noProof/>
                <w:sz w:val="22"/>
                <w:szCs w:val="22"/>
                <w:lang w:val="sr-Latn-ME"/>
              </w:rPr>
              <w:t>elje (95% CI)]**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7B41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24,0</w:t>
            </w:r>
          </w:p>
          <w:p w14:paraId="2CC11F0B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(18,0; 30,0)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A5D7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12,3</w:t>
            </w:r>
          </w:p>
          <w:p w14:paraId="6A76EF76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(11,7; 17,1)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7135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0,000007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FB4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0,58</w:t>
            </w:r>
          </w:p>
          <w:p w14:paraId="50C1E5AF" w14:textId="77777777" w:rsidR="003951A3" w:rsidRPr="00070F42" w:rsidRDefault="003951A3" w:rsidP="00CE5256">
            <w:pPr>
              <w:rPr>
                <w:noProof/>
                <w:sz w:val="22"/>
                <w:szCs w:val="22"/>
                <w:lang w:val="sr-Latn-ME"/>
              </w:rPr>
            </w:pPr>
            <w:r w:rsidRPr="00070F42">
              <w:rPr>
                <w:noProof/>
                <w:sz w:val="22"/>
                <w:szCs w:val="22"/>
                <w:lang w:val="sr-Latn-ME"/>
              </w:rPr>
              <w:t>(0,45; 0,74)</w:t>
            </w:r>
          </w:p>
        </w:tc>
      </w:tr>
    </w:tbl>
    <w:p w14:paraId="2C99DD43" w14:textId="6BA985E1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lastRenderedPageBreak/>
        <w:t>CI=Interval pouzdanosti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 (engl. </w:t>
      </w:r>
      <w:r w:rsidR="0080254C" w:rsidRPr="00070F42">
        <w:rPr>
          <w:bCs/>
          <w:i/>
          <w:iCs/>
          <w:noProof/>
          <w:sz w:val="22"/>
          <w:szCs w:val="22"/>
          <w:lang w:val="sr-Latn-ME"/>
        </w:rPr>
        <w:t>Confidence Interval</w:t>
      </w:r>
      <w:r w:rsidR="0080254C" w:rsidRPr="00070F42">
        <w:rPr>
          <w:bCs/>
          <w:noProof/>
          <w:sz w:val="22"/>
          <w:szCs w:val="22"/>
          <w:lang w:val="sr-Latn-ME"/>
        </w:rPr>
        <w:t>)</w:t>
      </w:r>
      <w:r w:rsidRPr="00070F42">
        <w:rPr>
          <w:bCs/>
          <w:noProof/>
          <w:sz w:val="22"/>
          <w:szCs w:val="22"/>
          <w:lang w:val="sr-Latn-ME"/>
        </w:rPr>
        <w:t>, HR=Indeks rizika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 (engl. </w:t>
      </w:r>
      <w:r w:rsidR="0080254C" w:rsidRPr="00070F42">
        <w:rPr>
          <w:bCs/>
          <w:i/>
          <w:iCs/>
          <w:noProof/>
          <w:sz w:val="22"/>
          <w:szCs w:val="22"/>
          <w:lang w:val="sr-Latn-ME"/>
        </w:rPr>
        <w:t>Hazard Ratio</w:t>
      </w:r>
      <w:r w:rsidR="0080254C" w:rsidRPr="00070F42">
        <w:rPr>
          <w:bCs/>
          <w:noProof/>
          <w:sz w:val="22"/>
          <w:szCs w:val="22"/>
          <w:lang w:val="sr-Latn-ME"/>
        </w:rPr>
        <w:t>)</w:t>
      </w:r>
      <w:r w:rsidRPr="00070F42">
        <w:rPr>
          <w:bCs/>
          <w:noProof/>
          <w:sz w:val="22"/>
          <w:szCs w:val="22"/>
          <w:lang w:val="sr-Latn-ME"/>
        </w:rPr>
        <w:t xml:space="preserve"> (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sorafenib </w:t>
      </w:r>
      <w:r w:rsidRPr="00070F42">
        <w:rPr>
          <w:bCs/>
          <w:noProof/>
          <w:sz w:val="22"/>
          <w:szCs w:val="22"/>
          <w:lang w:val="sr-Latn-ME"/>
        </w:rPr>
        <w:t>u odnosu na placebo)</w:t>
      </w:r>
    </w:p>
    <w:p w14:paraId="25CA19E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*statistički značajno jer je p-vrijednost bila ispod određene vrijednosti za </w:t>
      </w:r>
      <w:r w:rsidRPr="00070F42">
        <w:rPr>
          <w:bCs/>
          <w:i/>
          <w:iCs/>
          <w:noProof/>
          <w:sz w:val="22"/>
          <w:szCs w:val="22"/>
          <w:lang w:val="sr-Latn-ME"/>
        </w:rPr>
        <w:t>O’Brien Fleming</w:t>
      </w:r>
      <w:r w:rsidRPr="00070F42">
        <w:rPr>
          <w:bCs/>
          <w:noProof/>
          <w:sz w:val="22"/>
          <w:szCs w:val="22"/>
          <w:lang w:val="sr-Latn-ME"/>
        </w:rPr>
        <w:t xml:space="preserve"> granicu zaustavljanja od 0,0077</w:t>
      </w:r>
    </w:p>
    <w:p w14:paraId="5551509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**nezavisni radiološki izvještaj</w:t>
      </w:r>
    </w:p>
    <w:p w14:paraId="2B8EAE1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BB98964" w14:textId="4240E130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 drugoj internacionaln</w:t>
      </w:r>
      <w:r w:rsidR="0080254C" w:rsidRPr="00070F42">
        <w:rPr>
          <w:bCs/>
          <w:noProof/>
          <w:sz w:val="22"/>
          <w:szCs w:val="22"/>
          <w:lang w:val="sr-Latn-ME"/>
        </w:rPr>
        <w:t>oj</w:t>
      </w:r>
      <w:r w:rsidRPr="00070F42">
        <w:rPr>
          <w:bCs/>
          <w:noProof/>
          <w:sz w:val="22"/>
          <w:szCs w:val="22"/>
          <w:lang w:val="sr-Latn-ME"/>
        </w:rPr>
        <w:t>, multicentričn</w:t>
      </w:r>
      <w:r w:rsidR="0080254C" w:rsidRPr="00070F42">
        <w:rPr>
          <w:bCs/>
          <w:noProof/>
          <w:sz w:val="22"/>
          <w:szCs w:val="22"/>
          <w:lang w:val="sr-Latn-ME"/>
        </w:rPr>
        <w:t>oj</w:t>
      </w:r>
      <w:r w:rsidRPr="00070F42">
        <w:rPr>
          <w:bCs/>
          <w:noProof/>
          <w:sz w:val="22"/>
          <w:szCs w:val="22"/>
          <w:lang w:val="sr-Latn-ME"/>
        </w:rPr>
        <w:t>, randomiziran</w:t>
      </w:r>
      <w:r w:rsidR="0080254C" w:rsidRPr="00070F42">
        <w:rPr>
          <w:bCs/>
          <w:noProof/>
          <w:sz w:val="22"/>
          <w:szCs w:val="22"/>
          <w:lang w:val="sr-Latn-ME"/>
        </w:rPr>
        <w:t>oj</w:t>
      </w:r>
      <w:r w:rsidRPr="00070F42">
        <w:rPr>
          <w:bCs/>
          <w:noProof/>
          <w:sz w:val="22"/>
          <w:szCs w:val="22"/>
          <w:lang w:val="sr-Latn-ME"/>
        </w:rPr>
        <w:t>, dvostruko slijep</w:t>
      </w:r>
      <w:r w:rsidR="0080254C" w:rsidRPr="00070F42">
        <w:rPr>
          <w:bCs/>
          <w:noProof/>
          <w:sz w:val="22"/>
          <w:szCs w:val="22"/>
          <w:lang w:val="sr-Latn-ME"/>
        </w:rPr>
        <w:t>oj</w:t>
      </w:r>
      <w:r w:rsidRPr="00070F42">
        <w:rPr>
          <w:bCs/>
          <w:noProof/>
          <w:sz w:val="22"/>
          <w:szCs w:val="22"/>
          <w:lang w:val="sr-Latn-ME"/>
        </w:rPr>
        <w:t>, placebo kontrolisan</w:t>
      </w:r>
      <w:r w:rsidR="0080254C" w:rsidRPr="00070F42">
        <w:rPr>
          <w:bCs/>
          <w:noProof/>
          <w:sz w:val="22"/>
          <w:szCs w:val="22"/>
          <w:lang w:val="sr-Latn-ME"/>
        </w:rPr>
        <w:t>oj</w:t>
      </w:r>
      <w:r w:rsidRPr="00070F42">
        <w:rPr>
          <w:bCs/>
          <w:noProof/>
          <w:sz w:val="22"/>
          <w:szCs w:val="22"/>
          <w:lang w:val="sr-Latn-ME"/>
        </w:rPr>
        <w:t xml:space="preserve"> studij</w:t>
      </w:r>
      <w:r w:rsidR="0080254C" w:rsidRPr="00070F42">
        <w:rPr>
          <w:bCs/>
          <w:noProof/>
          <w:sz w:val="22"/>
          <w:szCs w:val="22"/>
          <w:lang w:val="sr-Latn-ME"/>
        </w:rPr>
        <w:t>i faze III</w:t>
      </w:r>
      <w:r w:rsidRPr="00070F42">
        <w:rPr>
          <w:bCs/>
          <w:noProof/>
          <w:sz w:val="22"/>
          <w:szCs w:val="22"/>
          <w:lang w:val="sr-Latn-ME"/>
        </w:rPr>
        <w:t xml:space="preserve"> (Studija 4, 11849) procijenjen</w:t>
      </w:r>
      <w:r w:rsidR="0080254C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je kliničk</w:t>
      </w:r>
      <w:r w:rsidR="0080254C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80254C" w:rsidRPr="00070F42">
        <w:rPr>
          <w:bCs/>
          <w:noProof/>
          <w:sz w:val="22"/>
          <w:szCs w:val="22"/>
          <w:lang w:val="sr-Latn-ME"/>
        </w:rPr>
        <w:t>korist sorafeniba</w:t>
      </w:r>
      <w:r w:rsidRPr="00070F42">
        <w:rPr>
          <w:bCs/>
          <w:noProof/>
          <w:sz w:val="22"/>
          <w:szCs w:val="22"/>
          <w:lang w:val="sr-Latn-ME"/>
        </w:rPr>
        <w:t xml:space="preserve"> kod 226 pacijenata sa uznapredovalim hepatocelularnim karcinomom. Ova studija, koja je sprovedena u Kini, Koreji i Tajvanu, potvrdila je rezultate Studije 3 po pitanju pozitivnog odnosa korist</w:t>
      </w:r>
      <w:r w:rsidR="0080254C" w:rsidRPr="00070F42">
        <w:rPr>
          <w:bCs/>
          <w:noProof/>
          <w:sz w:val="22"/>
          <w:szCs w:val="22"/>
          <w:lang w:val="sr-Latn-ME"/>
        </w:rPr>
        <w:t>-</w:t>
      </w:r>
      <w:r w:rsidRPr="00070F42">
        <w:rPr>
          <w:bCs/>
          <w:noProof/>
          <w:sz w:val="22"/>
          <w:szCs w:val="22"/>
          <w:lang w:val="sr-Latn-ME"/>
        </w:rPr>
        <w:t xml:space="preserve">rizik </w:t>
      </w:r>
      <w:r w:rsidR="0080254C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 xml:space="preserve"> (HR (OS): 0,68; p = 0,01414).</w:t>
      </w:r>
    </w:p>
    <w:p w14:paraId="37D87D6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75065A4" w14:textId="3293DA0C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Kod unapr</w:t>
      </w:r>
      <w:r w:rsidR="0080254C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 xml:space="preserve">ed </w:t>
      </w:r>
      <w:r w:rsidR="0080254C" w:rsidRPr="00070F42">
        <w:rPr>
          <w:bCs/>
          <w:noProof/>
          <w:sz w:val="22"/>
          <w:szCs w:val="22"/>
          <w:lang w:val="sr-Latn-ME"/>
        </w:rPr>
        <w:t>određenih</w:t>
      </w:r>
      <w:r w:rsidRPr="00070F42">
        <w:rPr>
          <w:bCs/>
          <w:noProof/>
          <w:sz w:val="22"/>
          <w:szCs w:val="22"/>
          <w:lang w:val="sr-Latn-ME"/>
        </w:rPr>
        <w:t xml:space="preserve"> stratifikacionih faktora (ECOG status, prisustvo i odsustvo makroskopskih vaskularnih invazija i/ili ekstrahepatičkog širenja tumora) i u Studiji 3 i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 u</w:t>
      </w:r>
      <w:r w:rsidRPr="00070F42">
        <w:rPr>
          <w:bCs/>
          <w:noProof/>
          <w:sz w:val="22"/>
          <w:szCs w:val="22"/>
          <w:lang w:val="sr-Latn-ME"/>
        </w:rPr>
        <w:t xml:space="preserve"> Studiji 4</w:t>
      </w:r>
      <w:r w:rsidR="0080254C" w:rsidRPr="00070F42">
        <w:rPr>
          <w:bCs/>
          <w:noProof/>
          <w:sz w:val="22"/>
          <w:szCs w:val="22"/>
          <w:lang w:val="sr-Latn-ME"/>
        </w:rPr>
        <w:t>, HR je dosl</w:t>
      </w:r>
      <w:r w:rsidR="00B62463" w:rsidRPr="00070F42">
        <w:rPr>
          <w:bCs/>
          <w:noProof/>
          <w:sz w:val="22"/>
          <w:szCs w:val="22"/>
          <w:lang w:val="sr-Latn-ME"/>
        </w:rPr>
        <w:t>j</w:t>
      </w:r>
      <w:r w:rsidR="0080254C" w:rsidRPr="00070F42">
        <w:rPr>
          <w:bCs/>
          <w:noProof/>
          <w:sz w:val="22"/>
          <w:szCs w:val="22"/>
          <w:lang w:val="sr-Latn-ME"/>
        </w:rPr>
        <w:t>edno</w:t>
      </w:r>
      <w:r w:rsidRPr="00070F42">
        <w:rPr>
          <w:bCs/>
          <w:noProof/>
          <w:sz w:val="22"/>
          <w:szCs w:val="22"/>
          <w:lang w:val="sr-Latn-ME"/>
        </w:rPr>
        <w:t xml:space="preserve"> bio </w:t>
      </w:r>
      <w:r w:rsidR="00B62463" w:rsidRPr="00070F42">
        <w:rPr>
          <w:bCs/>
          <w:noProof/>
          <w:sz w:val="22"/>
          <w:szCs w:val="22"/>
          <w:lang w:val="sr-Latn-ME"/>
        </w:rPr>
        <w:t>povoljniji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B62463" w:rsidRPr="00070F42">
        <w:rPr>
          <w:bCs/>
          <w:noProof/>
          <w:sz w:val="22"/>
          <w:szCs w:val="22"/>
          <w:lang w:val="sr-Latn-ME"/>
        </w:rPr>
        <w:t xml:space="preserve">za </w:t>
      </w:r>
      <w:r w:rsidR="0080254C" w:rsidRPr="00070F42">
        <w:rPr>
          <w:bCs/>
          <w:noProof/>
          <w:sz w:val="22"/>
          <w:szCs w:val="22"/>
          <w:lang w:val="sr-Latn-ME"/>
        </w:rPr>
        <w:t>sorafenib</w:t>
      </w:r>
      <w:r w:rsidRPr="00070F42">
        <w:rPr>
          <w:bCs/>
          <w:noProof/>
          <w:sz w:val="22"/>
          <w:szCs w:val="22"/>
          <w:lang w:val="sr-Latn-ME"/>
        </w:rPr>
        <w:t xml:space="preserve"> u odnosu na placebo. Analiza ispitivane podgrupe ukazuje na to da su pac</w:t>
      </w:r>
      <w:r w:rsidR="00CF0F2E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jenti sa udaljenijim metastazama na početku terapije imali manje </w:t>
      </w:r>
      <w:r w:rsidR="0080254C" w:rsidRPr="00070F42">
        <w:rPr>
          <w:bCs/>
          <w:noProof/>
          <w:sz w:val="22"/>
          <w:szCs w:val="22"/>
          <w:lang w:val="sr-Latn-ME"/>
        </w:rPr>
        <w:t xml:space="preserve">izražen </w:t>
      </w:r>
      <w:r w:rsidRPr="00070F42">
        <w:rPr>
          <w:bCs/>
          <w:noProof/>
          <w:sz w:val="22"/>
          <w:szCs w:val="22"/>
          <w:lang w:val="sr-Latn-ME"/>
        </w:rPr>
        <w:t>odgovor na terapiju.</w:t>
      </w:r>
    </w:p>
    <w:p w14:paraId="3257EA0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1BA7AF0" w14:textId="4020FFB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Karcinom bubre</w:t>
      </w:r>
      <w:r w:rsidR="0080254C" w:rsidRPr="00070F42">
        <w:rPr>
          <w:bCs/>
          <w:noProof/>
          <w:sz w:val="22"/>
          <w:szCs w:val="22"/>
          <w:u w:val="single"/>
          <w:lang w:val="sr-Latn-ME"/>
        </w:rPr>
        <w:t>žnih ćelija</w:t>
      </w:r>
    </w:p>
    <w:p w14:paraId="1A0B4C5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E7B6E1B" w14:textId="7A2769B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Bezbjednost i efikasnost </w:t>
      </w:r>
      <w:r w:rsidR="00562A86" w:rsidRPr="00070F42">
        <w:rPr>
          <w:bCs/>
          <w:noProof/>
          <w:sz w:val="22"/>
          <w:szCs w:val="22"/>
          <w:lang w:val="sr-Latn-ME"/>
        </w:rPr>
        <w:t>sorafeniba</w:t>
      </w:r>
      <w:r w:rsidRPr="00070F42">
        <w:rPr>
          <w:bCs/>
          <w:noProof/>
          <w:sz w:val="22"/>
          <w:szCs w:val="22"/>
          <w:lang w:val="sr-Latn-ME"/>
        </w:rPr>
        <w:t xml:space="preserve"> u terapiji uznapredovalog karcinoma bubrežnih ćelija (RCC) ispitane su u dvije kliničke studije:</w:t>
      </w:r>
    </w:p>
    <w:p w14:paraId="203BE1D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454D63E" w14:textId="310D7531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Studija 1 (studija 11213) bila je studija faze III – multicentrična, randomiz</w:t>
      </w:r>
      <w:r w:rsidR="00CF0F2E" w:rsidRPr="00070F42">
        <w:rPr>
          <w:bCs/>
          <w:noProof/>
          <w:sz w:val="22"/>
          <w:szCs w:val="22"/>
          <w:lang w:val="sr-Latn-ME"/>
        </w:rPr>
        <w:t>ov</w:t>
      </w:r>
      <w:r w:rsidRPr="00070F42">
        <w:rPr>
          <w:bCs/>
          <w:noProof/>
          <w:sz w:val="22"/>
          <w:szCs w:val="22"/>
          <w:lang w:val="sr-Latn-ME"/>
        </w:rPr>
        <w:t>ana, dvostruko slijepa, placebo kontrolisana, sprovedena na 903 pacijenta. Uključeni su samo pacijenti sa jasnim karcinomom bubrežnih ćelija</w:t>
      </w:r>
      <w:r w:rsidR="00562A86" w:rsidRPr="00070F42">
        <w:rPr>
          <w:bCs/>
          <w:noProof/>
          <w:sz w:val="22"/>
          <w:szCs w:val="22"/>
          <w:lang w:val="sr-Latn-ME"/>
        </w:rPr>
        <w:t>, podtip svjetloćelijski karcinom,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562A86" w:rsidRPr="00070F42">
        <w:rPr>
          <w:bCs/>
          <w:noProof/>
          <w:sz w:val="22"/>
          <w:szCs w:val="22"/>
          <w:lang w:val="sr-Latn-ME"/>
        </w:rPr>
        <w:t>sa</w:t>
      </w:r>
      <w:r w:rsidRPr="00070F42">
        <w:rPr>
          <w:bCs/>
          <w:noProof/>
          <w:sz w:val="22"/>
          <w:szCs w:val="22"/>
          <w:lang w:val="sr-Latn-ME"/>
        </w:rPr>
        <w:t xml:space="preserve"> malim do umjerenim rizikom po MSKCC klasifikaciji (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engl. </w:t>
      </w:r>
      <w:r w:rsidRPr="00070F42">
        <w:rPr>
          <w:bCs/>
          <w:i/>
          <w:iCs/>
          <w:noProof/>
          <w:sz w:val="22"/>
          <w:szCs w:val="22"/>
          <w:lang w:val="sr-Latn-ME"/>
        </w:rPr>
        <w:t>Memorial Sloan Kettering Cancer Center</w:t>
      </w:r>
      <w:r w:rsidRPr="00070F42">
        <w:rPr>
          <w:bCs/>
          <w:noProof/>
          <w:sz w:val="22"/>
          <w:szCs w:val="22"/>
          <w:lang w:val="sr-Latn-ME"/>
        </w:rPr>
        <w:t xml:space="preserve">). Primarni ishodi ispitivanja bili su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ukupno </w:t>
      </w:r>
      <w:r w:rsidRPr="00070F42">
        <w:rPr>
          <w:bCs/>
          <w:noProof/>
          <w:sz w:val="22"/>
          <w:szCs w:val="22"/>
          <w:lang w:val="sr-Latn-ME"/>
        </w:rPr>
        <w:t>preživljavanje (OS) i preživljavanje bez napredovanja bolesti (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engl. </w:t>
      </w:r>
      <w:r w:rsidRPr="00070F42">
        <w:rPr>
          <w:bCs/>
          <w:i/>
          <w:iCs/>
          <w:noProof/>
          <w:sz w:val="22"/>
          <w:szCs w:val="22"/>
          <w:lang w:val="sr-Latn-ME"/>
        </w:rPr>
        <w:t>Progression-Free Survival</w:t>
      </w:r>
      <w:r w:rsidR="009728BD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PFS).</w:t>
      </w:r>
    </w:p>
    <w:p w14:paraId="35ABE523" w14:textId="396A4C80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Približno polovina pacijenata je imala status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 0 prema</w:t>
      </w:r>
      <w:r w:rsidRPr="00070F42">
        <w:rPr>
          <w:bCs/>
          <w:noProof/>
          <w:sz w:val="22"/>
          <w:szCs w:val="22"/>
          <w:lang w:val="sr-Latn-ME"/>
        </w:rPr>
        <w:t xml:space="preserve"> ECOG, a polovina pacijenata bila je </w:t>
      </w:r>
      <w:r w:rsidR="00562A86" w:rsidRPr="00070F42">
        <w:rPr>
          <w:bCs/>
          <w:noProof/>
          <w:sz w:val="22"/>
          <w:szCs w:val="22"/>
          <w:lang w:val="sr-Latn-ME"/>
        </w:rPr>
        <w:t>prema kriterijumima</w:t>
      </w:r>
      <w:r w:rsidRPr="00070F42">
        <w:rPr>
          <w:bCs/>
          <w:noProof/>
          <w:sz w:val="22"/>
          <w:szCs w:val="22"/>
          <w:lang w:val="sr-Latn-ME"/>
        </w:rPr>
        <w:t xml:space="preserve"> MSKCC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 u</w:t>
      </w:r>
      <w:r w:rsidRPr="00070F42">
        <w:rPr>
          <w:bCs/>
          <w:noProof/>
          <w:sz w:val="22"/>
          <w:szCs w:val="22"/>
          <w:lang w:val="sr-Latn-ME"/>
        </w:rPr>
        <w:t xml:space="preserve"> prognostičkoj grupi sa niskim rizikom.</w:t>
      </w:r>
    </w:p>
    <w:p w14:paraId="1E8236AD" w14:textId="6C55A04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PFS je procjenjivan pomoću „sl</w:t>
      </w:r>
      <w:r w:rsidR="00562A86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epog“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 (nezavisnog)</w:t>
      </w:r>
      <w:r w:rsidRPr="00070F42">
        <w:rPr>
          <w:bCs/>
          <w:noProof/>
          <w:sz w:val="22"/>
          <w:szCs w:val="22"/>
          <w:lang w:val="sr-Latn-ME"/>
        </w:rPr>
        <w:t xml:space="preserve"> radiološkog pregleda,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i vrednovan </w:t>
      </w:r>
      <w:r w:rsidRPr="00070F42">
        <w:rPr>
          <w:bCs/>
          <w:noProof/>
          <w:sz w:val="22"/>
          <w:szCs w:val="22"/>
          <w:lang w:val="sr-Latn-ME"/>
        </w:rPr>
        <w:t xml:space="preserve">uz primjenu RECIST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(engl. </w:t>
      </w:r>
      <w:r w:rsidR="00562A86" w:rsidRPr="00070F42">
        <w:rPr>
          <w:bCs/>
          <w:i/>
          <w:iCs/>
          <w:noProof/>
          <w:sz w:val="22"/>
          <w:szCs w:val="22"/>
          <w:lang w:val="sr-Latn-ME"/>
        </w:rPr>
        <w:t>Response Evaluation Criteria in Solid Tumors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) </w:t>
      </w:r>
      <w:r w:rsidRPr="00070F42">
        <w:rPr>
          <w:bCs/>
          <w:noProof/>
          <w:sz w:val="22"/>
          <w:szCs w:val="22"/>
          <w:lang w:val="sr-Latn-ME"/>
        </w:rPr>
        <w:t xml:space="preserve">kriterijuma. Analiza PFS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obuhvatila </w:t>
      </w:r>
      <w:r w:rsidRPr="00070F42">
        <w:rPr>
          <w:bCs/>
          <w:noProof/>
          <w:sz w:val="22"/>
          <w:szCs w:val="22"/>
          <w:lang w:val="sr-Latn-ME"/>
        </w:rPr>
        <w:t xml:space="preserve">je 342 događaja kod 769 pacijenata.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Medijana </w:t>
      </w:r>
      <w:r w:rsidRPr="00070F42">
        <w:rPr>
          <w:bCs/>
          <w:noProof/>
          <w:sz w:val="22"/>
          <w:szCs w:val="22"/>
          <w:lang w:val="sr-Latn-ME"/>
        </w:rPr>
        <w:t xml:space="preserve">PFS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iznosila </w:t>
      </w:r>
      <w:r w:rsidRPr="00070F42">
        <w:rPr>
          <w:bCs/>
          <w:noProof/>
          <w:sz w:val="22"/>
          <w:szCs w:val="22"/>
          <w:lang w:val="sr-Latn-ME"/>
        </w:rPr>
        <w:t xml:space="preserve">je 167 dana kod pacijenata randomizovanih u </w:t>
      </w:r>
      <w:r w:rsidR="00562A86" w:rsidRPr="00070F42">
        <w:rPr>
          <w:bCs/>
          <w:noProof/>
          <w:sz w:val="22"/>
          <w:szCs w:val="22"/>
          <w:lang w:val="sr-Latn-ME"/>
        </w:rPr>
        <w:t>sorafenib</w:t>
      </w:r>
      <w:r w:rsidRPr="00070F42">
        <w:rPr>
          <w:bCs/>
          <w:noProof/>
          <w:sz w:val="22"/>
          <w:szCs w:val="22"/>
          <w:lang w:val="sr-Latn-ME"/>
        </w:rPr>
        <w:t xml:space="preserve"> grupu, u poređenju sa 84 dana kod grupe </w:t>
      </w:r>
      <w:r w:rsidR="00562A86" w:rsidRPr="00070F42">
        <w:rPr>
          <w:bCs/>
          <w:noProof/>
          <w:sz w:val="22"/>
          <w:szCs w:val="22"/>
          <w:lang w:val="sr-Latn-ME"/>
        </w:rPr>
        <w:t>liječene</w:t>
      </w:r>
      <w:r w:rsidRPr="00070F42">
        <w:rPr>
          <w:bCs/>
          <w:noProof/>
          <w:sz w:val="22"/>
          <w:szCs w:val="22"/>
          <w:lang w:val="sr-Latn-ME"/>
        </w:rPr>
        <w:t xml:space="preserve"> placebom (HR</w:t>
      </w:r>
      <w:r w:rsidR="00095B3A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=</w:t>
      </w:r>
      <w:r w:rsidR="00095B3A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 xml:space="preserve">0,44; 95% CI: 0,35-0,55; p &lt; 0,000001). Starost,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prognostička grupa prema </w:t>
      </w:r>
      <w:r w:rsidRPr="00070F42">
        <w:rPr>
          <w:bCs/>
          <w:noProof/>
          <w:sz w:val="22"/>
          <w:szCs w:val="22"/>
          <w:lang w:val="sr-Latn-ME"/>
        </w:rPr>
        <w:t>MSKCC, ECOG PS i prethodna terapija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 xml:space="preserve">su uticali na </w:t>
      </w:r>
      <w:r w:rsidR="00562A86" w:rsidRPr="00070F42">
        <w:rPr>
          <w:bCs/>
          <w:noProof/>
          <w:sz w:val="22"/>
          <w:szCs w:val="22"/>
          <w:lang w:val="sr-Latn-ME"/>
        </w:rPr>
        <w:t xml:space="preserve">postignuti </w:t>
      </w:r>
      <w:r w:rsidRPr="00070F42">
        <w:rPr>
          <w:bCs/>
          <w:noProof/>
          <w:sz w:val="22"/>
          <w:szCs w:val="22"/>
          <w:lang w:val="sr-Latn-ME"/>
        </w:rPr>
        <w:t>efekat terapije.</w:t>
      </w:r>
    </w:p>
    <w:p w14:paraId="04783ED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40FE6EC" w14:textId="1CF98C81" w:rsidR="003951A3" w:rsidRPr="00070F42" w:rsidRDefault="00562A86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Preriodična </w:t>
      </w:r>
      <w:r w:rsidR="003951A3" w:rsidRPr="00070F42">
        <w:rPr>
          <w:bCs/>
          <w:noProof/>
          <w:sz w:val="22"/>
          <w:szCs w:val="22"/>
          <w:lang w:val="sr-Latn-ME"/>
        </w:rPr>
        <w:t>analiza (</w:t>
      </w:r>
      <w:r w:rsidRPr="00070F42">
        <w:rPr>
          <w:bCs/>
          <w:noProof/>
          <w:sz w:val="22"/>
          <w:szCs w:val="22"/>
          <w:lang w:val="sr-Latn-ME"/>
        </w:rPr>
        <w:t>druga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periodična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analiza) za ukupno preživljavanje sprovedena je </w:t>
      </w:r>
      <w:r w:rsidRPr="00070F42">
        <w:rPr>
          <w:bCs/>
          <w:noProof/>
          <w:sz w:val="22"/>
          <w:szCs w:val="22"/>
          <w:lang w:val="sr-Latn-ME"/>
        </w:rPr>
        <w:t>kod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367 smrtnih slučajeva </w:t>
      </w:r>
      <w:r w:rsidR="004D707D" w:rsidRPr="00070F42">
        <w:rPr>
          <w:bCs/>
          <w:noProof/>
          <w:sz w:val="22"/>
          <w:szCs w:val="22"/>
          <w:lang w:val="sr-Latn-ME"/>
        </w:rPr>
        <w:t xml:space="preserve">zabilježenih </w:t>
      </w:r>
      <w:r w:rsidR="003951A3" w:rsidRPr="00070F42">
        <w:rPr>
          <w:bCs/>
          <w:noProof/>
          <w:sz w:val="22"/>
          <w:szCs w:val="22"/>
          <w:lang w:val="sr-Latn-ME"/>
        </w:rPr>
        <w:t>kod 903 pacijenta. Nominalna alfa</w:t>
      </w:r>
      <w:r w:rsidR="00095B3A" w:rsidRPr="00070F42">
        <w:rPr>
          <w:bCs/>
          <w:noProof/>
          <w:sz w:val="22"/>
          <w:szCs w:val="22"/>
          <w:lang w:val="sr-Latn-ME"/>
        </w:rPr>
        <w:t xml:space="preserve"> 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vrijednost za ovu analizu iznosila je 0,0094. </w:t>
      </w:r>
      <w:r w:rsidR="004D707D" w:rsidRPr="00070F42">
        <w:rPr>
          <w:bCs/>
          <w:noProof/>
          <w:sz w:val="22"/>
          <w:szCs w:val="22"/>
          <w:lang w:val="sr-Latn-ME"/>
        </w:rPr>
        <w:t>Medijana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preživljavanj</w:t>
      </w:r>
      <w:r w:rsidR="004D707D"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iznosil</w:t>
      </w:r>
      <w:r w:rsidR="004D707D" w:rsidRPr="00070F42">
        <w:rPr>
          <w:bCs/>
          <w:noProof/>
          <w:sz w:val="22"/>
          <w:szCs w:val="22"/>
          <w:lang w:val="sr-Latn-ME"/>
        </w:rPr>
        <w:t>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je 19,3 mjeseca kod pacijenata randomizovanih u </w:t>
      </w:r>
      <w:r w:rsidR="004D707D" w:rsidRPr="00070F42">
        <w:rPr>
          <w:bCs/>
          <w:noProof/>
          <w:sz w:val="22"/>
          <w:szCs w:val="22"/>
          <w:lang w:val="sr-Latn-ME"/>
        </w:rPr>
        <w:t>sorafenib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grupu, u poređenju sa 15,9 mjeseci kod </w:t>
      </w:r>
      <w:r w:rsidR="004D707D" w:rsidRPr="00070F42">
        <w:rPr>
          <w:bCs/>
          <w:noProof/>
          <w:sz w:val="22"/>
          <w:szCs w:val="22"/>
          <w:lang w:val="sr-Latn-ME"/>
        </w:rPr>
        <w:t>pacijenata koji su dobijali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placebo (HR</w:t>
      </w:r>
      <w:r w:rsidR="00095B3A" w:rsidRPr="00070F42">
        <w:rPr>
          <w:bCs/>
          <w:noProof/>
          <w:sz w:val="22"/>
          <w:szCs w:val="22"/>
          <w:lang w:val="sr-Latn-ME"/>
        </w:rPr>
        <w:t xml:space="preserve"> </w:t>
      </w:r>
      <w:r w:rsidR="003951A3" w:rsidRPr="00070F42">
        <w:rPr>
          <w:bCs/>
          <w:noProof/>
          <w:sz w:val="22"/>
          <w:szCs w:val="22"/>
          <w:lang w:val="sr-Latn-ME"/>
        </w:rPr>
        <w:t>=</w:t>
      </w:r>
      <w:r w:rsidR="00095B3A" w:rsidRPr="00070F42">
        <w:rPr>
          <w:bCs/>
          <w:noProof/>
          <w:sz w:val="22"/>
          <w:szCs w:val="22"/>
          <w:lang w:val="sr-Latn-ME"/>
        </w:rPr>
        <w:t xml:space="preserve"> </w:t>
      </w:r>
      <w:r w:rsidR="003951A3" w:rsidRPr="00070F42">
        <w:rPr>
          <w:bCs/>
          <w:noProof/>
          <w:sz w:val="22"/>
          <w:szCs w:val="22"/>
          <w:lang w:val="sr-Latn-ME"/>
        </w:rPr>
        <w:t>0,77; 95% CI: 0,63-0,95; p = 0,015). U vrijeme ove analize, oko 200 pacijenata prebačeno je iz placebo grupe u sorafenib grupu.</w:t>
      </w:r>
    </w:p>
    <w:p w14:paraId="411AA84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6B67CA4" w14:textId="2C8FF6FF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Studija 2 bila je studija faze II – studija prekida kod pacijenata sa metastatskim malignitetima, uključujući karcinom bubrežnih ćelija. Pacijenti sa stabilnom bolešću na terapiji </w:t>
      </w:r>
      <w:r w:rsidR="004D707D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 xml:space="preserve"> randomizovani </w:t>
      </w:r>
      <w:r w:rsidR="004D707D" w:rsidRPr="00070F42">
        <w:rPr>
          <w:bCs/>
          <w:noProof/>
          <w:sz w:val="22"/>
          <w:szCs w:val="22"/>
          <w:lang w:val="sr-Latn-ME"/>
        </w:rPr>
        <w:t xml:space="preserve">su </w:t>
      </w:r>
      <w:r w:rsidRPr="00070F42">
        <w:rPr>
          <w:bCs/>
          <w:noProof/>
          <w:sz w:val="22"/>
          <w:szCs w:val="22"/>
          <w:lang w:val="sr-Latn-ME"/>
        </w:rPr>
        <w:t xml:space="preserve">u placebo grupu i onu koja nastavlja terapiju </w:t>
      </w:r>
      <w:r w:rsidR="004D707D" w:rsidRPr="00070F42">
        <w:rPr>
          <w:bCs/>
          <w:noProof/>
          <w:sz w:val="22"/>
          <w:szCs w:val="22"/>
          <w:lang w:val="sr-Latn-ME"/>
        </w:rPr>
        <w:t>sorafenibom</w:t>
      </w:r>
      <w:r w:rsidRPr="00070F42">
        <w:rPr>
          <w:bCs/>
          <w:noProof/>
          <w:sz w:val="22"/>
          <w:szCs w:val="22"/>
          <w:lang w:val="sr-Latn-ME"/>
        </w:rPr>
        <w:t xml:space="preserve">. Preživljavanje bez progresije bolesti kod pacijenata sa karcinomom bubrežnih ćelija bilo je znatno duže u </w:t>
      </w:r>
      <w:r w:rsidR="004D707D" w:rsidRPr="00070F42">
        <w:rPr>
          <w:bCs/>
          <w:noProof/>
          <w:sz w:val="22"/>
          <w:szCs w:val="22"/>
          <w:lang w:val="sr-Latn-ME"/>
        </w:rPr>
        <w:t>sorafenib</w:t>
      </w:r>
      <w:r w:rsidRPr="00070F42">
        <w:rPr>
          <w:bCs/>
          <w:noProof/>
          <w:sz w:val="22"/>
          <w:szCs w:val="22"/>
          <w:lang w:val="sr-Latn-ME"/>
        </w:rPr>
        <w:t xml:space="preserve"> grupi (163 dana) nego u placebo grupi (41 dan) (p = 0,0001; HR = 0,29). </w:t>
      </w:r>
    </w:p>
    <w:p w14:paraId="11D8790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A8703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Diferencirani karcinom tireoideje (DTC)</w:t>
      </w:r>
    </w:p>
    <w:p w14:paraId="30E4CF6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0FD03B2" w14:textId="7FDB513F" w:rsidR="004D707D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Studija 5 (studija 14295) bila je studija faze III – internacionalna, multicentrična, randomizovana, dvostruko slijepa, placebo kontrolisana, sprovedena na 417 pacijenata sa lokalno uznapredovalim ili metastaziranim diferenciranim karcinomom tireoidne žlijezde (DTC) koji ne reaguju na terapiju radioaktivnim jodom. Preživljavanje bez </w:t>
      </w:r>
      <w:r w:rsidR="00D66A8F" w:rsidRPr="00070F42">
        <w:rPr>
          <w:bCs/>
          <w:noProof/>
          <w:sz w:val="22"/>
          <w:szCs w:val="22"/>
          <w:lang w:val="sr-Latn-ME"/>
        </w:rPr>
        <w:t xml:space="preserve">progresije </w:t>
      </w:r>
      <w:r w:rsidRPr="00070F42">
        <w:rPr>
          <w:bCs/>
          <w:noProof/>
          <w:sz w:val="22"/>
          <w:szCs w:val="22"/>
          <w:lang w:val="sr-Latn-ME"/>
        </w:rPr>
        <w:t>bolesti (PFS) procijenjen</w:t>
      </w:r>
      <w:r w:rsidR="004D707D" w:rsidRPr="00070F42">
        <w:rPr>
          <w:bCs/>
          <w:noProof/>
          <w:sz w:val="22"/>
          <w:szCs w:val="22"/>
          <w:lang w:val="sr-Latn-ME"/>
        </w:rPr>
        <w:t>o</w:t>
      </w:r>
      <w:r w:rsidRPr="00070F42">
        <w:rPr>
          <w:bCs/>
          <w:noProof/>
          <w:sz w:val="22"/>
          <w:szCs w:val="22"/>
          <w:lang w:val="sr-Latn-ME"/>
        </w:rPr>
        <w:t xml:space="preserve"> pomoću „slijepog“ </w:t>
      </w:r>
      <w:r w:rsidR="004D707D" w:rsidRPr="00070F42">
        <w:rPr>
          <w:bCs/>
          <w:noProof/>
          <w:sz w:val="22"/>
          <w:szCs w:val="22"/>
          <w:lang w:val="sr-Latn-ME"/>
        </w:rPr>
        <w:t xml:space="preserve">(nezavisnog) </w:t>
      </w:r>
      <w:r w:rsidRPr="00070F42">
        <w:rPr>
          <w:bCs/>
          <w:noProof/>
          <w:sz w:val="22"/>
          <w:szCs w:val="22"/>
          <w:lang w:val="sr-Latn-ME"/>
        </w:rPr>
        <w:t>radiološkog pregleda koristeći RECIST kriterijum bi</w:t>
      </w:r>
      <w:r w:rsidR="004D707D" w:rsidRPr="00070F42">
        <w:rPr>
          <w:bCs/>
          <w:noProof/>
          <w:sz w:val="22"/>
          <w:szCs w:val="22"/>
          <w:lang w:val="sr-Latn-ME"/>
        </w:rPr>
        <w:t>l</w:t>
      </w:r>
      <w:r w:rsidRPr="00070F42">
        <w:rPr>
          <w:bCs/>
          <w:noProof/>
          <w:sz w:val="22"/>
          <w:szCs w:val="22"/>
          <w:lang w:val="sr-Latn-ME"/>
        </w:rPr>
        <w:t>o je primarni ishod studije. Sekundarni ishod</w:t>
      </w:r>
      <w:r w:rsidR="004D707D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 studije </w:t>
      </w:r>
      <w:r w:rsidR="004D707D" w:rsidRPr="00070F42">
        <w:rPr>
          <w:bCs/>
          <w:noProof/>
          <w:sz w:val="22"/>
          <w:szCs w:val="22"/>
          <w:lang w:val="sr-Latn-ME"/>
        </w:rPr>
        <w:t>su uključivali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4D707D" w:rsidRPr="00070F42">
        <w:rPr>
          <w:bCs/>
          <w:noProof/>
          <w:sz w:val="22"/>
          <w:szCs w:val="22"/>
          <w:lang w:val="sr-Latn-ME"/>
        </w:rPr>
        <w:t xml:space="preserve">ulupno </w:t>
      </w:r>
      <w:r w:rsidRPr="00070F42">
        <w:rPr>
          <w:bCs/>
          <w:noProof/>
          <w:sz w:val="22"/>
          <w:szCs w:val="22"/>
          <w:lang w:val="sr-Latn-ME"/>
        </w:rPr>
        <w:t>preživljavanje (OS), stop</w:t>
      </w:r>
      <w:r w:rsidR="004D707D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odgovora tumora i </w:t>
      </w:r>
      <w:r w:rsidR="004D707D" w:rsidRPr="00070F42">
        <w:rPr>
          <w:bCs/>
          <w:noProof/>
          <w:sz w:val="22"/>
          <w:szCs w:val="22"/>
          <w:lang w:val="sr-Latn-ME"/>
        </w:rPr>
        <w:t>trajanje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lastRenderedPageBreak/>
        <w:t xml:space="preserve">odgovora. </w:t>
      </w:r>
      <w:r w:rsidR="004D707D" w:rsidRPr="00070F42">
        <w:rPr>
          <w:bCs/>
          <w:noProof/>
          <w:sz w:val="22"/>
          <w:szCs w:val="22"/>
          <w:lang w:val="sr-Latn-ME"/>
        </w:rPr>
        <w:t>Nakon progresije</w:t>
      </w:r>
      <w:r w:rsidRPr="00070F42">
        <w:rPr>
          <w:bCs/>
          <w:noProof/>
          <w:sz w:val="22"/>
          <w:szCs w:val="22"/>
          <w:lang w:val="sr-Latn-ME"/>
        </w:rPr>
        <w:t xml:space="preserve">, pacijentima je dozvoljno da primaju lijek sorafenib u otvorenoj grani studije. </w:t>
      </w:r>
    </w:p>
    <w:p w14:paraId="14A54736" w14:textId="7AD30A8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Pacijenti su bili uključeni u studiju ukoliko se kod njih javilo napredovanje bolesti u okviru 14 mjeseci od </w:t>
      </w:r>
      <w:r w:rsidR="004D707D" w:rsidRPr="00070F42">
        <w:rPr>
          <w:bCs/>
          <w:noProof/>
          <w:sz w:val="22"/>
          <w:szCs w:val="22"/>
          <w:lang w:val="sr-Latn-ME"/>
        </w:rPr>
        <w:t>uključenja u studiju</w:t>
      </w:r>
      <w:r w:rsidRPr="00070F42">
        <w:rPr>
          <w:bCs/>
          <w:noProof/>
          <w:sz w:val="22"/>
          <w:szCs w:val="22"/>
          <w:lang w:val="sr-Latn-ME"/>
        </w:rPr>
        <w:t xml:space="preserve"> i</w:t>
      </w:r>
      <w:r w:rsidR="004D707D" w:rsidRPr="00070F42">
        <w:rPr>
          <w:bCs/>
          <w:noProof/>
          <w:sz w:val="22"/>
          <w:szCs w:val="22"/>
          <w:lang w:val="sr-Latn-ME"/>
        </w:rPr>
        <w:t xml:space="preserve"> ukoliko </w:t>
      </w:r>
      <w:r w:rsidR="00C45365" w:rsidRPr="00070F42">
        <w:rPr>
          <w:bCs/>
          <w:noProof/>
          <w:sz w:val="22"/>
          <w:szCs w:val="22"/>
          <w:lang w:val="sr-Latn-ME"/>
        </w:rPr>
        <w:t xml:space="preserve">su </w:t>
      </w:r>
      <w:r w:rsidR="004D707D" w:rsidRPr="00070F42">
        <w:rPr>
          <w:bCs/>
          <w:noProof/>
          <w:sz w:val="22"/>
          <w:szCs w:val="22"/>
          <w:lang w:val="sr-Latn-ME"/>
        </w:rPr>
        <w:t>ima</w:t>
      </w:r>
      <w:r w:rsidR="00C45365" w:rsidRPr="00070F42">
        <w:rPr>
          <w:bCs/>
          <w:noProof/>
          <w:sz w:val="22"/>
          <w:szCs w:val="22"/>
          <w:lang w:val="sr-Latn-ME"/>
        </w:rPr>
        <w:t>li</w:t>
      </w:r>
      <w:r w:rsidRPr="00070F42">
        <w:rPr>
          <w:bCs/>
          <w:noProof/>
          <w:sz w:val="22"/>
          <w:szCs w:val="22"/>
          <w:lang w:val="sr-Latn-ME"/>
        </w:rPr>
        <w:t xml:space="preserve"> DTC koji ne reaguje na terapiju radioaktivnim jodom (RAI). Diferencirani karcinom tiroideje refraktoran na terapiju radioaktivnim jodom (RAI) </w:t>
      </w:r>
      <w:r w:rsidR="00C45365" w:rsidRPr="00070F42">
        <w:rPr>
          <w:bCs/>
          <w:noProof/>
          <w:sz w:val="22"/>
          <w:szCs w:val="22"/>
          <w:lang w:val="sr-Latn-ME"/>
        </w:rPr>
        <w:t>j</w:t>
      </w:r>
      <w:r w:rsidRPr="00070F42">
        <w:rPr>
          <w:bCs/>
          <w:noProof/>
          <w:sz w:val="22"/>
          <w:szCs w:val="22"/>
          <w:lang w:val="sr-Latn-ME"/>
        </w:rPr>
        <w:t>e defini</w:t>
      </w:r>
      <w:r w:rsidR="00C45365" w:rsidRPr="00070F42">
        <w:rPr>
          <w:bCs/>
          <w:noProof/>
          <w:sz w:val="22"/>
          <w:szCs w:val="22"/>
          <w:lang w:val="sr-Latn-ME"/>
        </w:rPr>
        <w:t>san</w:t>
      </w:r>
      <w:r w:rsidRPr="00070F42">
        <w:rPr>
          <w:bCs/>
          <w:noProof/>
          <w:sz w:val="22"/>
          <w:szCs w:val="22"/>
          <w:lang w:val="sr-Latn-ME"/>
        </w:rPr>
        <w:t xml:space="preserve"> kao lezija vidljiva na RAI </w:t>
      </w:r>
      <w:r w:rsidR="004D707D" w:rsidRPr="00070F42">
        <w:rPr>
          <w:bCs/>
          <w:noProof/>
          <w:sz w:val="22"/>
          <w:szCs w:val="22"/>
          <w:lang w:val="sr-Latn-ME"/>
        </w:rPr>
        <w:t xml:space="preserve">snimanju u kojoj </w:t>
      </w:r>
      <w:r w:rsidRPr="00070F42">
        <w:rPr>
          <w:bCs/>
          <w:noProof/>
          <w:sz w:val="22"/>
          <w:szCs w:val="22"/>
          <w:lang w:val="sr-Latn-ME"/>
        </w:rPr>
        <w:t>ne dolazi do preuzimanja joda, ili primanje kumulativnog RAI ≥</w:t>
      </w:r>
      <w:r w:rsidR="00C4536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22,2 GBq, ili napredovanje bolesti nakon RAI terapije u okviru 16 mjeseci od otpočinjanja ili nakon 2 RAI terapije u razmaku od 16 mjeseci.</w:t>
      </w:r>
    </w:p>
    <w:p w14:paraId="23A9A28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DCD12EC" w14:textId="0D483151" w:rsidR="003951A3" w:rsidRPr="00070F42" w:rsidRDefault="004D707D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Početni demografski podaci i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karakteristike pacijenata su ravnomjerno raspoređene u ob</w:t>
      </w:r>
      <w:r w:rsidRPr="00070F42">
        <w:rPr>
          <w:bCs/>
          <w:noProof/>
          <w:sz w:val="22"/>
          <w:szCs w:val="22"/>
          <w:lang w:val="sr-Latn-ME"/>
        </w:rPr>
        <w:t>j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e grupe. Metastaze su bile prisutne na plućima 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kod 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86%, na limfnim čvorovima </w:t>
      </w:r>
      <w:r w:rsidR="005C1F76" w:rsidRPr="00070F42">
        <w:rPr>
          <w:bCs/>
          <w:noProof/>
          <w:sz w:val="22"/>
          <w:szCs w:val="22"/>
          <w:lang w:val="sr-Latn-ME"/>
        </w:rPr>
        <w:t>kod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51% </w:t>
      </w:r>
      <w:r w:rsidR="005C1F76" w:rsidRPr="00070F42">
        <w:rPr>
          <w:bCs/>
          <w:noProof/>
          <w:sz w:val="22"/>
          <w:szCs w:val="22"/>
          <w:lang w:val="sr-Latn-ME"/>
        </w:rPr>
        <w:t>i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na kostima </w:t>
      </w:r>
      <w:r w:rsidR="005C1F76" w:rsidRPr="00070F42">
        <w:rPr>
          <w:bCs/>
          <w:noProof/>
          <w:sz w:val="22"/>
          <w:szCs w:val="22"/>
          <w:lang w:val="sr-Latn-ME"/>
        </w:rPr>
        <w:t>kod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27% pacijenata. </w:t>
      </w:r>
      <w:r w:rsidR="005C1F76" w:rsidRPr="00070F42">
        <w:rPr>
          <w:bCs/>
          <w:noProof/>
          <w:sz w:val="22"/>
          <w:szCs w:val="22"/>
          <w:lang w:val="sr-Latn-ME"/>
        </w:rPr>
        <w:t>Medijana kumulativne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aktivnost</w:t>
      </w:r>
      <w:r w:rsidR="005C1F76" w:rsidRPr="00070F42">
        <w:rPr>
          <w:bCs/>
          <w:noProof/>
          <w:sz w:val="22"/>
          <w:szCs w:val="22"/>
          <w:lang w:val="sr-Latn-ME"/>
        </w:rPr>
        <w:t>i prim</w:t>
      </w:r>
      <w:r w:rsidR="00CB4940" w:rsidRPr="00070F42">
        <w:rPr>
          <w:bCs/>
          <w:noProof/>
          <w:sz w:val="22"/>
          <w:szCs w:val="22"/>
          <w:lang w:val="sr-Latn-ME"/>
        </w:rPr>
        <w:t>i</w:t>
      </w:r>
      <w:r w:rsidR="005C1F76" w:rsidRPr="00070F42">
        <w:rPr>
          <w:bCs/>
          <w:noProof/>
          <w:sz w:val="22"/>
          <w:szCs w:val="22"/>
          <w:lang w:val="sr-Latn-ME"/>
        </w:rPr>
        <w:t>jenjenog radioaktivnog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joda prije </w:t>
      </w:r>
      <w:r w:rsidR="005C1F76" w:rsidRPr="00070F42">
        <w:rPr>
          <w:bCs/>
          <w:noProof/>
          <w:sz w:val="22"/>
          <w:szCs w:val="22"/>
          <w:lang w:val="sr-Latn-ME"/>
        </w:rPr>
        <w:t>uključivanja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je bila približno 14,8 GBq. Većina pacijenata je imala papilarni karcinom (56,8%), zatim folikularni (25,4%) i slabo diferencirani karcinom (9,6%).</w:t>
      </w:r>
    </w:p>
    <w:p w14:paraId="7F5BC79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F03EBB9" w14:textId="31AC5FD5" w:rsidR="003951A3" w:rsidRPr="00070F42" w:rsidRDefault="005C1F76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Medijana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preživljavanja bez napredovanja bolesti (PFS) je bila 10,8 m</w:t>
      </w:r>
      <w:r w:rsidRPr="00070F42">
        <w:rPr>
          <w:bCs/>
          <w:noProof/>
          <w:sz w:val="22"/>
          <w:szCs w:val="22"/>
          <w:lang w:val="sr-Latn-ME"/>
        </w:rPr>
        <w:t>j</w:t>
      </w:r>
      <w:r w:rsidR="003951A3" w:rsidRPr="00070F42">
        <w:rPr>
          <w:bCs/>
          <w:noProof/>
          <w:sz w:val="22"/>
          <w:szCs w:val="22"/>
          <w:lang w:val="sr-Latn-ME"/>
        </w:rPr>
        <w:t>eseci kod pacijenata koji su bili na terapiji sofarenibom</w:t>
      </w:r>
      <w:r w:rsidR="00B20A30" w:rsidRPr="00070F42">
        <w:rPr>
          <w:bCs/>
          <w:noProof/>
          <w:sz w:val="22"/>
          <w:szCs w:val="22"/>
          <w:lang w:val="sr-Latn-ME"/>
        </w:rPr>
        <w:t>,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u odnosu na 5,8 mjeseci kod pacijenata koji su primali placebo (HR</w:t>
      </w:r>
      <w:r w:rsidR="00B20A30" w:rsidRPr="00070F42">
        <w:rPr>
          <w:bCs/>
          <w:noProof/>
          <w:sz w:val="22"/>
          <w:szCs w:val="22"/>
          <w:lang w:val="sr-Latn-ME"/>
        </w:rPr>
        <w:t xml:space="preserve"> </w:t>
      </w:r>
      <w:r w:rsidR="003951A3" w:rsidRPr="00070F42">
        <w:rPr>
          <w:bCs/>
          <w:noProof/>
          <w:sz w:val="22"/>
          <w:szCs w:val="22"/>
          <w:lang w:val="sr-Latn-ME"/>
        </w:rPr>
        <w:t>=</w:t>
      </w:r>
      <w:r w:rsidR="00B20A30" w:rsidRPr="00070F42">
        <w:rPr>
          <w:bCs/>
          <w:noProof/>
          <w:sz w:val="22"/>
          <w:szCs w:val="22"/>
          <w:lang w:val="sr-Latn-ME"/>
        </w:rPr>
        <w:t xml:space="preserve"> </w:t>
      </w:r>
      <w:r w:rsidR="003951A3" w:rsidRPr="00070F42">
        <w:rPr>
          <w:bCs/>
          <w:noProof/>
          <w:sz w:val="22"/>
          <w:szCs w:val="22"/>
          <w:lang w:val="sr-Latn-ME"/>
        </w:rPr>
        <w:t>0.587; 95% interval pouzdanosti (CI): 0,454, 0,758; jednostrana p-vrijednost &lt; 0.0001).</w:t>
      </w:r>
    </w:p>
    <w:p w14:paraId="547727B2" w14:textId="563CF3C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Efekat sorafeniba na preživljavanje bez napredovanja bolesti (PFS) je </w:t>
      </w:r>
      <w:r w:rsidR="00B20A30" w:rsidRPr="00070F42">
        <w:rPr>
          <w:bCs/>
          <w:noProof/>
          <w:sz w:val="22"/>
          <w:szCs w:val="22"/>
          <w:lang w:val="sr-Latn-ME"/>
        </w:rPr>
        <w:t xml:space="preserve">bio </w:t>
      </w:r>
      <w:r w:rsidRPr="00070F42">
        <w:rPr>
          <w:bCs/>
          <w:noProof/>
          <w:sz w:val="22"/>
          <w:szCs w:val="22"/>
          <w:lang w:val="sr-Latn-ME"/>
        </w:rPr>
        <w:t>dosljedan, nezavisno od geografskog regiona, starosti preko/ispod 60 godina, pola, histološkog podtipa i prisustva ili odsustva metastaza na kostima.</w:t>
      </w:r>
    </w:p>
    <w:p w14:paraId="7A3AAB8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7D27DE2" w14:textId="6F18B339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 analizi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 ukupnog</w:t>
      </w:r>
      <w:r w:rsidRPr="00070F42">
        <w:rPr>
          <w:bCs/>
          <w:noProof/>
          <w:sz w:val="22"/>
          <w:szCs w:val="22"/>
          <w:lang w:val="sr-Latn-ME"/>
        </w:rPr>
        <w:t xml:space="preserve"> preživljavanja koja je sprovedena 9 mjeseci nakon presjeka podataka za </w:t>
      </w:r>
      <w:r w:rsidR="005C1F76" w:rsidRPr="00070F42">
        <w:rPr>
          <w:bCs/>
          <w:noProof/>
          <w:sz w:val="22"/>
          <w:szCs w:val="22"/>
          <w:lang w:val="sr-Latn-ME"/>
        </w:rPr>
        <w:t>završnu</w:t>
      </w:r>
      <w:r w:rsidRPr="00070F42">
        <w:rPr>
          <w:bCs/>
          <w:noProof/>
          <w:sz w:val="22"/>
          <w:szCs w:val="22"/>
          <w:lang w:val="sr-Latn-ME"/>
        </w:rPr>
        <w:t xml:space="preserve"> analiz</w:t>
      </w:r>
      <w:r w:rsidR="005C1F76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preživljavanja bez napredovanja bolesti (PFS) nije bilo statistički značajne razlike u ukupnom preživljavanju između ispitivanih grupa (HR=0,884; 95% CI: 0,633, 1,236, jednostrana p-vr</w:t>
      </w:r>
      <w:r w:rsidR="00174AA9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 xml:space="preserve">ednost 0,236). </w:t>
      </w:r>
      <w:r w:rsidR="005C1F76" w:rsidRPr="00070F42">
        <w:rPr>
          <w:bCs/>
          <w:noProof/>
          <w:sz w:val="22"/>
          <w:szCs w:val="22"/>
          <w:lang w:val="sr-Latn-ME"/>
        </w:rPr>
        <w:t>Medijana ukupnog</w:t>
      </w:r>
      <w:r w:rsidRPr="00070F42">
        <w:rPr>
          <w:bCs/>
          <w:noProof/>
          <w:sz w:val="22"/>
          <w:szCs w:val="22"/>
          <w:lang w:val="sr-Latn-ME"/>
        </w:rPr>
        <w:t xml:space="preserve"> preživljavanja (OS) nije dostignuta u grupi koja je primala sorafenib, a bila je 36,5 mjeseci za placebo grupu. Sto pedeset sedam (75%) pacijenata randomizovanih u grup</w:t>
      </w:r>
      <w:r w:rsidR="00424E23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koja je primala placebo i 61 (30%) pacijent randomizovan u grup</w:t>
      </w:r>
      <w:r w:rsidR="00424E23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koja je primala sorafenib primali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 su</w:t>
      </w:r>
      <w:r w:rsidRPr="00070F42">
        <w:rPr>
          <w:bCs/>
          <w:noProof/>
          <w:sz w:val="22"/>
          <w:szCs w:val="22"/>
          <w:lang w:val="sr-Latn-ME"/>
        </w:rPr>
        <w:t xml:space="preserve"> sorafenib u otvorenoj grani studije.</w:t>
      </w:r>
    </w:p>
    <w:p w14:paraId="2134110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57F2AA3" w14:textId="0C84961B" w:rsidR="003951A3" w:rsidRPr="00070F42" w:rsidRDefault="005C1F76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Medijana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dužine </w:t>
      </w:r>
      <w:r w:rsidRPr="00070F42">
        <w:rPr>
          <w:bCs/>
          <w:noProof/>
          <w:sz w:val="22"/>
          <w:szCs w:val="22"/>
          <w:lang w:val="sr-Latn-ME"/>
        </w:rPr>
        <w:t xml:space="preserve">trajanja </w:t>
      </w:r>
      <w:r w:rsidR="003951A3" w:rsidRPr="00070F42">
        <w:rPr>
          <w:bCs/>
          <w:noProof/>
          <w:sz w:val="22"/>
          <w:szCs w:val="22"/>
          <w:lang w:val="sr-Latn-ME"/>
        </w:rPr>
        <w:t>terapije u dvostruko slijepom periodu je bila 46 nedjelja (opseg 0,3-135) za pacijente koji su bili na terapiji sorafenibom i 28 nedjelja (opseg 1,7-132) za pacijente koji su primali placebo.</w:t>
      </w:r>
    </w:p>
    <w:p w14:paraId="5A93A64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D5EBD51" w14:textId="28F78D5E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Prema RECIST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 kriterijumima</w:t>
      </w:r>
      <w:r w:rsidRPr="00070F42">
        <w:rPr>
          <w:bCs/>
          <w:noProof/>
          <w:sz w:val="22"/>
          <w:szCs w:val="22"/>
          <w:lang w:val="sr-Latn-ME"/>
        </w:rPr>
        <w:t xml:space="preserve"> nije bio zabilježen potpun odgovor (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engl. </w:t>
      </w:r>
      <w:r w:rsidRPr="00070F42">
        <w:rPr>
          <w:bCs/>
          <w:i/>
          <w:iCs/>
          <w:noProof/>
          <w:sz w:val="22"/>
          <w:szCs w:val="22"/>
          <w:lang w:val="sr-Latn-ME"/>
        </w:rPr>
        <w:t>complete response</w:t>
      </w:r>
      <w:r w:rsidR="00424E23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CR). </w:t>
      </w:r>
      <w:r w:rsidR="005C1F76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>kupna stopa odgovora (potpun odgovor (CR) + parcijalni odgovor (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engl. </w:t>
      </w:r>
      <w:r w:rsidR="00424E23" w:rsidRPr="00070F42">
        <w:rPr>
          <w:bCs/>
          <w:i/>
          <w:iCs/>
          <w:noProof/>
          <w:sz w:val="22"/>
          <w:szCs w:val="22"/>
          <w:lang w:val="sr-Latn-ME"/>
        </w:rPr>
        <w:t>p</w:t>
      </w:r>
      <w:r w:rsidR="005C1F76" w:rsidRPr="00070F42">
        <w:rPr>
          <w:bCs/>
          <w:i/>
          <w:iCs/>
          <w:noProof/>
          <w:sz w:val="22"/>
          <w:szCs w:val="22"/>
          <w:lang w:val="sr-Latn-ME"/>
        </w:rPr>
        <w:t>artial response</w:t>
      </w:r>
      <w:r w:rsidR="005C1F76" w:rsidRPr="00070F42">
        <w:rPr>
          <w:bCs/>
          <w:noProof/>
          <w:sz w:val="22"/>
          <w:szCs w:val="22"/>
          <w:lang w:val="sr-Latn-ME"/>
        </w:rPr>
        <w:t xml:space="preserve">, </w:t>
      </w:r>
      <w:r w:rsidRPr="00070F42">
        <w:rPr>
          <w:bCs/>
          <w:noProof/>
          <w:sz w:val="22"/>
          <w:szCs w:val="22"/>
          <w:lang w:val="sr-Latn-ME"/>
        </w:rPr>
        <w:t xml:space="preserve">PR)) na osnovu nezavisne radiološke procjene bila </w:t>
      </w:r>
      <w:r w:rsidR="000F1815" w:rsidRPr="00070F42">
        <w:rPr>
          <w:bCs/>
          <w:noProof/>
          <w:sz w:val="22"/>
          <w:szCs w:val="22"/>
          <w:lang w:val="sr-Latn-ME"/>
        </w:rPr>
        <w:t xml:space="preserve">je </w:t>
      </w:r>
      <w:r w:rsidRPr="00070F42">
        <w:rPr>
          <w:bCs/>
          <w:noProof/>
          <w:sz w:val="22"/>
          <w:szCs w:val="22"/>
          <w:lang w:val="sr-Latn-ME"/>
        </w:rPr>
        <w:t xml:space="preserve">viša kod pacijenata koji su bili na terapiji sorafenibom (24 pacijenta, 12,2%) nego kod pacijenata koji su primali placebo (1 pacijent, 0,5%), jednostrana p-vrijednost &lt; 0.0001. </w:t>
      </w:r>
      <w:r w:rsidR="005C1F76" w:rsidRPr="00070F42">
        <w:rPr>
          <w:bCs/>
          <w:noProof/>
          <w:sz w:val="22"/>
          <w:szCs w:val="22"/>
          <w:lang w:val="sr-Latn-ME"/>
        </w:rPr>
        <w:t>Medijana</w:t>
      </w:r>
      <w:r w:rsidRPr="00070F42">
        <w:rPr>
          <w:bCs/>
          <w:noProof/>
          <w:sz w:val="22"/>
          <w:szCs w:val="22"/>
          <w:lang w:val="sr-Latn-ME"/>
        </w:rPr>
        <w:t xml:space="preserve"> dužine odgovora je bila 309 dana (95% CI: 226,505 dana) kod pacijenata koji su bili na terapiji sorafenibom</w:t>
      </w:r>
      <w:r w:rsidR="005C1F76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a koji su i</w:t>
      </w:r>
      <w:r w:rsidR="005C1F76" w:rsidRPr="00070F42">
        <w:rPr>
          <w:bCs/>
          <w:noProof/>
          <w:sz w:val="22"/>
          <w:szCs w:val="22"/>
          <w:lang w:val="sr-Latn-ME"/>
        </w:rPr>
        <w:t>mali</w:t>
      </w:r>
      <w:r w:rsidRPr="00070F42">
        <w:rPr>
          <w:bCs/>
          <w:noProof/>
          <w:sz w:val="22"/>
          <w:szCs w:val="22"/>
          <w:lang w:val="sr-Latn-ME"/>
        </w:rPr>
        <w:t xml:space="preserve"> parcijalni odgovor.</w:t>
      </w:r>
    </w:p>
    <w:p w14:paraId="6691D03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2EE0808" w14:textId="5E41F1E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Post-hoc</w:t>
      </w:r>
      <w:r w:rsidRPr="00070F42">
        <w:rPr>
          <w:bCs/>
          <w:noProof/>
          <w:sz w:val="22"/>
          <w:szCs w:val="22"/>
          <w:lang w:val="sr-Latn-ME"/>
        </w:rPr>
        <w:t xml:space="preserve"> analiza podgrup</w:t>
      </w:r>
      <w:r w:rsidR="005C1F76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na osnovu maksimale veličine tumora pokazuje da terapijski efekti na preživljvanje bez </w:t>
      </w:r>
      <w:r w:rsidR="000F1815" w:rsidRPr="00070F42">
        <w:rPr>
          <w:bCs/>
          <w:noProof/>
          <w:sz w:val="22"/>
          <w:szCs w:val="22"/>
          <w:lang w:val="sr-Latn-ME"/>
        </w:rPr>
        <w:t xml:space="preserve">progresije </w:t>
      </w:r>
      <w:r w:rsidRPr="00070F42">
        <w:rPr>
          <w:bCs/>
          <w:noProof/>
          <w:sz w:val="22"/>
          <w:szCs w:val="22"/>
          <w:lang w:val="sr-Latn-ME"/>
        </w:rPr>
        <w:t>bolesti (PFS) idu u korist sorafeniba u odnosu na placebo, za pacijente sa maksimalnom veličinom tumora od 1,5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cm i veće (HR 0,54 (95% CI: 0,41 – 0,71), dok je kod pacijenata sa maksimalnom veličinom tumora manj</w:t>
      </w:r>
      <w:r w:rsidR="004F59AE" w:rsidRPr="00070F42">
        <w:rPr>
          <w:bCs/>
          <w:noProof/>
          <w:sz w:val="22"/>
          <w:szCs w:val="22"/>
          <w:lang w:val="sr-Latn-ME"/>
        </w:rPr>
        <w:t>om</w:t>
      </w:r>
      <w:r w:rsidRPr="00070F42">
        <w:rPr>
          <w:bCs/>
          <w:noProof/>
          <w:sz w:val="22"/>
          <w:szCs w:val="22"/>
          <w:lang w:val="sr-Latn-ME"/>
        </w:rPr>
        <w:t xml:space="preserve"> od 1,5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cm došlo do brojčano manjeg efekta (HR 0,87 (95% CI: 0,40</w:t>
      </w:r>
      <w:r w:rsidR="00E50E3A" w:rsidRPr="00070F42">
        <w:rPr>
          <w:bCs/>
          <w:noProof/>
          <w:sz w:val="22"/>
          <w:szCs w:val="22"/>
          <w:lang w:val="sr-Latn-ME"/>
        </w:rPr>
        <w:t>-</w:t>
      </w:r>
      <w:r w:rsidRPr="00070F42">
        <w:rPr>
          <w:bCs/>
          <w:noProof/>
          <w:sz w:val="22"/>
          <w:szCs w:val="22"/>
          <w:lang w:val="sr-Latn-ME"/>
        </w:rPr>
        <w:t>1.89).</w:t>
      </w:r>
    </w:p>
    <w:p w14:paraId="00B6CEE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02C7660" w14:textId="29E2394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i/>
          <w:iCs/>
          <w:noProof/>
          <w:sz w:val="22"/>
          <w:szCs w:val="22"/>
          <w:lang w:val="sr-Latn-ME"/>
        </w:rPr>
        <w:t>Post-hoc</w:t>
      </w:r>
      <w:r w:rsidRPr="00070F42">
        <w:rPr>
          <w:bCs/>
          <w:noProof/>
          <w:sz w:val="22"/>
          <w:szCs w:val="22"/>
          <w:lang w:val="sr-Latn-ME"/>
        </w:rPr>
        <w:t xml:space="preserve"> analiza podgrup</w:t>
      </w:r>
      <w:r w:rsidR="004F59AE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na osnovu simptoma karcinoma tireoidne žlijezde </w:t>
      </w:r>
      <w:r w:rsidR="004F59AE" w:rsidRPr="00070F42">
        <w:rPr>
          <w:bCs/>
          <w:noProof/>
          <w:sz w:val="22"/>
          <w:szCs w:val="22"/>
          <w:lang w:val="sr-Latn-ME"/>
        </w:rPr>
        <w:t>na početku liječenja</w:t>
      </w:r>
      <w:r w:rsidRPr="00070F42">
        <w:rPr>
          <w:bCs/>
          <w:noProof/>
          <w:sz w:val="22"/>
          <w:szCs w:val="22"/>
          <w:lang w:val="sr-Latn-ME"/>
        </w:rPr>
        <w:t xml:space="preserve"> pokazuje da preživljavanje bez </w:t>
      </w:r>
      <w:r w:rsidR="00E50E3A" w:rsidRPr="00070F42">
        <w:rPr>
          <w:bCs/>
          <w:noProof/>
          <w:sz w:val="22"/>
          <w:szCs w:val="22"/>
          <w:lang w:val="sr-Latn-ME"/>
        </w:rPr>
        <w:t xml:space="preserve">progresije </w:t>
      </w:r>
      <w:r w:rsidRPr="00070F42">
        <w:rPr>
          <w:bCs/>
          <w:noProof/>
          <w:sz w:val="22"/>
          <w:szCs w:val="22"/>
          <w:lang w:val="sr-Latn-ME"/>
        </w:rPr>
        <w:t xml:space="preserve">bolesti (PFS) ide u korist sorafeniba u odnosu na placebo, i za simptomatske i asimptomatske pacijente. HR preživljavanja bez </w:t>
      </w:r>
      <w:r w:rsidR="00E50E3A" w:rsidRPr="00070F42">
        <w:rPr>
          <w:bCs/>
          <w:noProof/>
          <w:sz w:val="22"/>
          <w:szCs w:val="22"/>
          <w:lang w:val="sr-Latn-ME"/>
        </w:rPr>
        <w:t xml:space="preserve">progresije bolesti </w:t>
      </w:r>
      <w:r w:rsidRPr="00070F42">
        <w:rPr>
          <w:bCs/>
          <w:noProof/>
          <w:sz w:val="22"/>
          <w:szCs w:val="22"/>
          <w:lang w:val="sr-Latn-ME"/>
        </w:rPr>
        <w:t>je bio 0,39 (95% CI: 0,21-0,72) za pacijente sa simptomima prije uvođenja terapije i 0,60 (95% CI: 0,45-0,81) za pacijente bez simptoma prije uvođenja terapije.</w:t>
      </w:r>
    </w:p>
    <w:p w14:paraId="44C5EE0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84A43B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Produženje QT intervala</w:t>
      </w:r>
    </w:p>
    <w:p w14:paraId="5415A8D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DFA16D7" w14:textId="17999802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U kliničkoj farmakološkoj studiji, QT/QTc vrijednosti su mjerene kod 31 pacijenta prije terapije i nakon terapije. Posle 28-dnevnog terapijskog ciklusa, u vrijeme kada je koncentracija sorafeniba bila </w:t>
      </w:r>
      <w:r w:rsidRPr="00070F42">
        <w:rPr>
          <w:bCs/>
          <w:noProof/>
          <w:sz w:val="22"/>
          <w:szCs w:val="22"/>
          <w:lang w:val="sr-Latn-ME"/>
        </w:rPr>
        <w:lastRenderedPageBreak/>
        <w:t>maksimalna, QTcB je produžen za 4 ± 19 m</w:t>
      </w:r>
      <w:r w:rsidR="004F59AE" w:rsidRPr="00070F42">
        <w:rPr>
          <w:bCs/>
          <w:noProof/>
          <w:sz w:val="22"/>
          <w:szCs w:val="22"/>
          <w:lang w:val="sr-Latn-ME"/>
        </w:rPr>
        <w:t>ilisekundi</w:t>
      </w:r>
      <w:r w:rsidRPr="00070F42">
        <w:rPr>
          <w:bCs/>
          <w:noProof/>
          <w:sz w:val="22"/>
          <w:szCs w:val="22"/>
          <w:lang w:val="sr-Latn-ME"/>
        </w:rPr>
        <w:t xml:space="preserve"> i QTcF za 9 ± 18 m</w:t>
      </w:r>
      <w:r w:rsidR="004F59AE" w:rsidRPr="00070F42">
        <w:rPr>
          <w:bCs/>
          <w:noProof/>
          <w:sz w:val="22"/>
          <w:szCs w:val="22"/>
          <w:lang w:val="sr-Latn-ME"/>
        </w:rPr>
        <w:t>ilisekundi</w:t>
      </w:r>
      <w:r w:rsidR="0082733C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u poređenju sa placebo terapijom kao </w:t>
      </w:r>
      <w:r w:rsidR="004F59AE" w:rsidRPr="00070F42">
        <w:rPr>
          <w:bCs/>
          <w:noProof/>
          <w:sz w:val="22"/>
          <w:szCs w:val="22"/>
          <w:lang w:val="sr-Latn-ME"/>
        </w:rPr>
        <w:t>os</w:t>
      </w:r>
      <w:r w:rsidR="0082733C" w:rsidRPr="00070F42">
        <w:rPr>
          <w:bCs/>
          <w:noProof/>
          <w:sz w:val="22"/>
          <w:szCs w:val="22"/>
          <w:lang w:val="sr-Latn-ME"/>
        </w:rPr>
        <w:t>n</w:t>
      </w:r>
      <w:r w:rsidR="004F59AE" w:rsidRPr="00070F42">
        <w:rPr>
          <w:bCs/>
          <w:noProof/>
          <w:sz w:val="22"/>
          <w:szCs w:val="22"/>
          <w:lang w:val="sr-Latn-ME"/>
        </w:rPr>
        <w:t>ovom</w:t>
      </w:r>
      <w:r w:rsidRPr="00070F42">
        <w:rPr>
          <w:bCs/>
          <w:noProof/>
          <w:sz w:val="22"/>
          <w:szCs w:val="22"/>
          <w:lang w:val="sr-Latn-ME"/>
        </w:rPr>
        <w:t xml:space="preserve">.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Nijedan pacijent nije </w:t>
      </w:r>
      <w:r w:rsidRPr="00070F42">
        <w:rPr>
          <w:bCs/>
          <w:noProof/>
          <w:sz w:val="22"/>
          <w:szCs w:val="22"/>
          <w:lang w:val="sr-Latn-ME"/>
        </w:rPr>
        <w:t>pokazao produženje QTcB ili QTcF &gt; 500 m</w:t>
      </w:r>
      <w:r w:rsidR="004F59AE" w:rsidRPr="00070F42">
        <w:rPr>
          <w:bCs/>
          <w:noProof/>
          <w:sz w:val="22"/>
          <w:szCs w:val="22"/>
          <w:lang w:val="sr-Latn-ME"/>
        </w:rPr>
        <w:t>ilisekundi</w:t>
      </w:r>
      <w:r w:rsidRPr="00070F42">
        <w:rPr>
          <w:bCs/>
          <w:noProof/>
          <w:sz w:val="22"/>
          <w:szCs w:val="22"/>
          <w:lang w:val="sr-Latn-ME"/>
        </w:rPr>
        <w:t xml:space="preserve"> tokom EKG monitoringa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nakon terapije </w:t>
      </w:r>
      <w:r w:rsidRPr="00070F42">
        <w:rPr>
          <w:bCs/>
          <w:noProof/>
          <w:sz w:val="22"/>
          <w:szCs w:val="22"/>
          <w:lang w:val="sr-Latn-ME"/>
        </w:rPr>
        <w:t>(vidjeti dio 4.4).</w:t>
      </w:r>
    </w:p>
    <w:p w14:paraId="5E4B29CB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48F3BF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Pedijatrijska populacija</w:t>
      </w:r>
    </w:p>
    <w:p w14:paraId="05FC702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067B148" w14:textId="571885C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Evropska agencija za ljekove je ukinula obavezu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podnošenja </w:t>
      </w:r>
      <w:r w:rsidRPr="00070F42">
        <w:rPr>
          <w:bCs/>
          <w:noProof/>
          <w:sz w:val="22"/>
          <w:szCs w:val="22"/>
          <w:lang w:val="sr-Latn-ME"/>
        </w:rPr>
        <w:t>rezultata ispitivanja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 lijeka za sve</w:t>
      </w:r>
      <w:r w:rsidRPr="00070F42">
        <w:rPr>
          <w:bCs/>
          <w:noProof/>
          <w:sz w:val="22"/>
          <w:szCs w:val="22"/>
          <w:lang w:val="sr-Latn-ME"/>
        </w:rPr>
        <w:t xml:space="preserve"> podgrup</w:t>
      </w:r>
      <w:r w:rsidR="004F59AE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pedijatrijske populacije, za karcinom bubrega i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bubrežni </w:t>
      </w:r>
      <w:r w:rsidRPr="00070F42">
        <w:rPr>
          <w:bCs/>
          <w:noProof/>
          <w:sz w:val="22"/>
          <w:szCs w:val="22"/>
          <w:lang w:val="sr-Latn-ME"/>
        </w:rPr>
        <w:t xml:space="preserve">pelvični karcinom (izuzev nefroblastoma, nefroblastomatoze, ”clear cell” sarkoma, mezoblastičnog nefroma,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bubrežnog </w:t>
      </w:r>
      <w:r w:rsidRPr="00070F42">
        <w:rPr>
          <w:bCs/>
          <w:noProof/>
          <w:sz w:val="22"/>
          <w:szCs w:val="22"/>
          <w:lang w:val="sr-Latn-ME"/>
        </w:rPr>
        <w:t>medularnog karcinoma i rabdoidnog tumora bubrega) i karcinom jetre i intrahepatički karcinom žučnog kanala (izuzev hepatoblastoma) i diferenciran</w:t>
      </w:r>
      <w:r w:rsidR="0082733C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 karcinom tireoideje (vidjeti dio 4.2</w:t>
      </w:r>
      <w:r w:rsidR="0082733C" w:rsidRPr="00070F42">
        <w:rPr>
          <w:bCs/>
          <w:noProof/>
          <w:sz w:val="22"/>
          <w:szCs w:val="22"/>
          <w:lang w:val="sr-Latn-ME"/>
        </w:rPr>
        <w:t>.</w:t>
      </w:r>
      <w:r w:rsidRPr="00070F42">
        <w:rPr>
          <w:bCs/>
          <w:noProof/>
          <w:sz w:val="22"/>
          <w:szCs w:val="22"/>
          <w:lang w:val="sr-Latn-ME"/>
        </w:rPr>
        <w:t xml:space="preserve"> za informacije o primjeni u pedijatrijskoj populaciji).</w:t>
      </w:r>
    </w:p>
    <w:p w14:paraId="212201C9" w14:textId="77777777" w:rsidR="002E37A5" w:rsidRPr="00070F42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AB31AB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5.2.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Farmakokinetički podaci</w:t>
      </w:r>
      <w:r w:rsidR="003A7059" w:rsidRPr="00070F42">
        <w:rPr>
          <w:b/>
          <w:bCs/>
          <w:sz w:val="22"/>
          <w:szCs w:val="22"/>
          <w:lang w:val="sr-Latn-ME"/>
        </w:rPr>
        <w:t xml:space="preserve"> </w:t>
      </w:r>
    </w:p>
    <w:p w14:paraId="5A0794F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FE9AF8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Resorpcija i distribucija</w:t>
      </w:r>
    </w:p>
    <w:p w14:paraId="7300916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7D827A9" w14:textId="16E35B1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Posl</w:t>
      </w:r>
      <w:r w:rsidR="004F59AE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 xml:space="preserve">e primjene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sorafenib </w:t>
      </w:r>
      <w:r w:rsidRPr="00070F42">
        <w:rPr>
          <w:bCs/>
          <w:noProof/>
          <w:sz w:val="22"/>
          <w:szCs w:val="22"/>
          <w:lang w:val="sr-Latn-ME"/>
        </w:rPr>
        <w:t>tableta prosječna relativna bioraspoloživost iznosi 38-49%, u poređenju sa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 primjenom</w:t>
      </w:r>
      <w:r w:rsidRPr="00070F42">
        <w:rPr>
          <w:bCs/>
          <w:noProof/>
          <w:sz w:val="22"/>
          <w:szCs w:val="22"/>
          <w:lang w:val="sr-Latn-ME"/>
        </w:rPr>
        <w:t xml:space="preserve"> oraln</w:t>
      </w:r>
      <w:r w:rsidR="004F59AE" w:rsidRPr="00070F42">
        <w:rPr>
          <w:bCs/>
          <w:noProof/>
          <w:sz w:val="22"/>
          <w:szCs w:val="22"/>
          <w:lang w:val="sr-Latn-ME"/>
        </w:rPr>
        <w:t>og</w:t>
      </w:r>
      <w:r w:rsidRPr="00070F42">
        <w:rPr>
          <w:bCs/>
          <w:noProof/>
          <w:sz w:val="22"/>
          <w:szCs w:val="22"/>
          <w:lang w:val="sr-Latn-ME"/>
        </w:rPr>
        <w:t xml:space="preserve"> rastvor</w:t>
      </w:r>
      <w:r w:rsidR="004F59AE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. Apsolutna bioraspoloživost nije poznata. </w:t>
      </w:r>
      <w:r w:rsidR="004F59AE" w:rsidRPr="00070F42">
        <w:rPr>
          <w:bCs/>
          <w:noProof/>
          <w:sz w:val="22"/>
          <w:szCs w:val="22"/>
          <w:lang w:val="sr-Latn-ME"/>
        </w:rPr>
        <w:t xml:space="preserve">Nakon </w:t>
      </w:r>
      <w:r w:rsidRPr="00070F42">
        <w:rPr>
          <w:bCs/>
          <w:noProof/>
          <w:sz w:val="22"/>
          <w:szCs w:val="22"/>
          <w:lang w:val="sr-Latn-ME"/>
        </w:rPr>
        <w:t xml:space="preserve">oralne primjene, sorafenib </w:t>
      </w:r>
      <w:r w:rsidR="004F59AE" w:rsidRPr="00070F42">
        <w:rPr>
          <w:bCs/>
          <w:noProof/>
          <w:sz w:val="22"/>
          <w:szCs w:val="22"/>
          <w:lang w:val="sr-Latn-ME"/>
        </w:rPr>
        <w:t>d</w:t>
      </w:r>
      <w:r w:rsidRPr="00070F42">
        <w:rPr>
          <w:bCs/>
          <w:noProof/>
          <w:sz w:val="22"/>
          <w:szCs w:val="22"/>
          <w:lang w:val="sr-Latn-ME"/>
        </w:rPr>
        <w:t xml:space="preserve">ostiže maksimalnu koncentraciju u plazmi za oko 3 </w:t>
      </w:r>
      <w:r w:rsidR="004F59AE" w:rsidRPr="00070F42">
        <w:rPr>
          <w:bCs/>
          <w:noProof/>
          <w:sz w:val="22"/>
          <w:szCs w:val="22"/>
          <w:lang w:val="sr-Latn-ME"/>
        </w:rPr>
        <w:t>sata</w:t>
      </w:r>
      <w:r w:rsidRPr="00070F42">
        <w:rPr>
          <w:bCs/>
          <w:noProof/>
          <w:sz w:val="22"/>
          <w:szCs w:val="22"/>
          <w:lang w:val="sr-Latn-ME"/>
        </w:rPr>
        <w:t xml:space="preserve">. Kada </w:t>
      </w:r>
      <w:r w:rsidR="00D10084" w:rsidRPr="00070F42">
        <w:rPr>
          <w:bCs/>
          <w:noProof/>
          <w:sz w:val="22"/>
          <w:szCs w:val="22"/>
          <w:lang w:val="sr-Latn-ME"/>
        </w:rPr>
        <w:t>se lijek daje</w:t>
      </w:r>
      <w:r w:rsidRPr="00070F42">
        <w:rPr>
          <w:bCs/>
          <w:noProof/>
          <w:sz w:val="22"/>
          <w:szCs w:val="22"/>
          <w:lang w:val="sr-Latn-ME"/>
        </w:rPr>
        <w:t xml:space="preserve"> sa veoma masnim obrokom, </w:t>
      </w:r>
      <w:r w:rsidR="00D10084" w:rsidRPr="00070F42">
        <w:rPr>
          <w:bCs/>
          <w:noProof/>
          <w:sz w:val="22"/>
          <w:szCs w:val="22"/>
          <w:lang w:val="sr-Latn-ME"/>
        </w:rPr>
        <w:t xml:space="preserve">resorpcija </w:t>
      </w:r>
      <w:r w:rsidRPr="00070F42">
        <w:rPr>
          <w:bCs/>
          <w:noProof/>
          <w:sz w:val="22"/>
          <w:szCs w:val="22"/>
          <w:lang w:val="sr-Latn-ME"/>
        </w:rPr>
        <w:t>sorafeniba je smanjena za 30%, u poređenju sa primjenom natašte.</w:t>
      </w:r>
    </w:p>
    <w:p w14:paraId="3A768497" w14:textId="2B29E5B5" w:rsidR="003951A3" w:rsidRPr="00070F42" w:rsidRDefault="00D10084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Nakon primjene doza većih od 400 mg dva puta dnevno p</w:t>
      </w:r>
      <w:r w:rsidR="003951A3" w:rsidRPr="00070F42">
        <w:rPr>
          <w:bCs/>
          <w:noProof/>
          <w:sz w:val="22"/>
          <w:szCs w:val="22"/>
          <w:lang w:val="sr-Latn-ME"/>
        </w:rPr>
        <w:t>rosječni C</w:t>
      </w:r>
      <w:r w:rsidR="003951A3" w:rsidRPr="00070F42">
        <w:rPr>
          <w:bCs/>
          <w:noProof/>
          <w:sz w:val="22"/>
          <w:szCs w:val="22"/>
          <w:vertAlign w:val="subscript"/>
          <w:lang w:val="sr-Latn-ME"/>
        </w:rPr>
        <w:t>max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i PIK povećavaju se manje nego proporcionalno. Vezivanje sorafeniba </w:t>
      </w:r>
      <w:r w:rsidR="003951A3"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za proteine humane plazme iznosi 99,5%.</w:t>
      </w:r>
    </w:p>
    <w:p w14:paraId="6FC97AFB" w14:textId="7BA551BE" w:rsidR="003951A3" w:rsidRPr="00070F42" w:rsidRDefault="00D10084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Ponovljeno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doziranje lijeka Nexavar tokom 7 dana rezultovalo je 2,5 do 7 puta većom akumulacijom, u poređenju sa primjenom pojedinačne doze. Ravnotežne koncentracije sorafeniba u plazmi postižu se unutar 7 dana, sa </w:t>
      </w:r>
      <w:r w:rsidRPr="00070F42">
        <w:rPr>
          <w:bCs/>
          <w:noProof/>
          <w:sz w:val="22"/>
          <w:szCs w:val="22"/>
          <w:lang w:val="sr-Latn-ME"/>
        </w:rPr>
        <w:t>odnosom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najviših i najnižih koncentracija manjim od 2.</w:t>
      </w:r>
    </w:p>
    <w:p w14:paraId="1F7FDF2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79FB6DB" w14:textId="49B44060" w:rsidR="003951A3" w:rsidRPr="00070F42" w:rsidRDefault="00D10084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oncentracije </w:t>
      </w:r>
      <w:r w:rsidRPr="00070F42">
        <w:rPr>
          <w:bCs/>
          <w:noProof/>
          <w:sz w:val="22"/>
          <w:szCs w:val="22"/>
          <w:lang w:val="sr-Latn-ME"/>
        </w:rPr>
        <w:t>sorafeniba,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prim</w:t>
      </w:r>
      <w:r w:rsidR="00BA5D38" w:rsidRPr="00070F42">
        <w:rPr>
          <w:bCs/>
          <w:noProof/>
          <w:sz w:val="22"/>
          <w:szCs w:val="22"/>
          <w:lang w:val="sr-Latn-ME"/>
        </w:rPr>
        <w:t>i</w:t>
      </w:r>
      <w:r w:rsidR="003951A3" w:rsidRPr="00070F42">
        <w:rPr>
          <w:bCs/>
          <w:noProof/>
          <w:sz w:val="22"/>
          <w:szCs w:val="22"/>
          <w:lang w:val="sr-Latn-ME"/>
        </w:rPr>
        <w:t>jenjen</w:t>
      </w:r>
      <w:r w:rsidRPr="00070F42">
        <w:rPr>
          <w:bCs/>
          <w:noProof/>
          <w:sz w:val="22"/>
          <w:szCs w:val="22"/>
          <w:lang w:val="sr-Latn-ME"/>
        </w:rPr>
        <w:t>og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 xml:space="preserve">u dozi od 400 mg </w:t>
      </w:r>
      <w:r w:rsidR="003951A3" w:rsidRPr="00070F42">
        <w:rPr>
          <w:bCs/>
          <w:noProof/>
          <w:sz w:val="22"/>
          <w:szCs w:val="22"/>
          <w:lang w:val="sr-Latn-ME"/>
        </w:rPr>
        <w:t>dva puta dnevno</w:t>
      </w:r>
      <w:r w:rsidRPr="00070F42">
        <w:rPr>
          <w:bCs/>
          <w:noProof/>
          <w:sz w:val="22"/>
          <w:szCs w:val="22"/>
          <w:lang w:val="sr-Latn-ME"/>
        </w:rPr>
        <w:t>, u stanju dinamičke ravoteže, bile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su procijenjene kod pacijenata sa DTC, RCC i HCC. Najviša srednja</w:t>
      </w:r>
      <w:r w:rsidRPr="00070F42">
        <w:rPr>
          <w:bCs/>
          <w:noProof/>
          <w:sz w:val="22"/>
          <w:szCs w:val="22"/>
          <w:lang w:val="sr-Latn-ME"/>
        </w:rPr>
        <w:t xml:space="preserve"> vrijednost</w:t>
      </w:r>
      <w:r w:rsidR="003951A3" w:rsidRPr="00070F42">
        <w:rPr>
          <w:bCs/>
          <w:noProof/>
          <w:sz w:val="22"/>
          <w:szCs w:val="22"/>
          <w:lang w:val="sr-Latn-ME"/>
        </w:rPr>
        <w:t xml:space="preserve"> koncentracija je prim</w:t>
      </w:r>
      <w:r w:rsidR="00436436" w:rsidRPr="00070F42">
        <w:rPr>
          <w:bCs/>
          <w:noProof/>
          <w:sz w:val="22"/>
          <w:szCs w:val="22"/>
          <w:lang w:val="sr-Latn-ME"/>
        </w:rPr>
        <w:t>i</w:t>
      </w:r>
      <w:r w:rsidR="003951A3" w:rsidRPr="00070F42">
        <w:rPr>
          <w:bCs/>
          <w:noProof/>
          <w:sz w:val="22"/>
          <w:szCs w:val="22"/>
          <w:lang w:val="sr-Latn-ME"/>
        </w:rPr>
        <w:t>jećena kod pacijenata sa DTC (približno dva puta veća nego kod pacijenata sa RCC i HCC), mada je bila pristuna velika varijabilnost kod svih tipova tumora. Razlog za povećane koncentracije kod pacijenata sa DTC je nepoznat.</w:t>
      </w:r>
    </w:p>
    <w:p w14:paraId="1536961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A28185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Biotransformacija i eliminacija</w:t>
      </w:r>
    </w:p>
    <w:p w14:paraId="1F39A4D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1763FB4" w14:textId="140AD5A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Poluvrijeme eliminacije sorafeniba je oko 25-48 </w:t>
      </w:r>
      <w:r w:rsidR="00D10084" w:rsidRPr="00070F42">
        <w:rPr>
          <w:bCs/>
          <w:noProof/>
          <w:sz w:val="22"/>
          <w:szCs w:val="22"/>
          <w:lang w:val="sr-Latn-ME"/>
        </w:rPr>
        <w:t>sati</w:t>
      </w:r>
      <w:r w:rsidRPr="00070F42">
        <w:rPr>
          <w:bCs/>
          <w:noProof/>
          <w:sz w:val="22"/>
          <w:szCs w:val="22"/>
          <w:lang w:val="sr-Latn-ME"/>
        </w:rPr>
        <w:t>. Sorafenib se primarno metaboliše u jetri i podl</w:t>
      </w:r>
      <w:r w:rsidR="00D10084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eže oksidativnom metabolizmu, posredovanom CYP3A4, kao i glukuronidaciji, posredovanoj UGT1A9. U gastrointestinalnom traktu</w:t>
      </w:r>
      <w:r w:rsidR="00D10084" w:rsidRPr="00070F42">
        <w:rPr>
          <w:bCs/>
          <w:noProof/>
          <w:sz w:val="22"/>
          <w:szCs w:val="22"/>
          <w:lang w:val="sr-Latn-ME"/>
        </w:rPr>
        <w:t>, djelovanjem bakterijske glukuronidaze,</w:t>
      </w:r>
      <w:r w:rsidRPr="00070F42">
        <w:rPr>
          <w:bCs/>
          <w:noProof/>
          <w:sz w:val="22"/>
          <w:szCs w:val="22"/>
          <w:lang w:val="sr-Latn-ME"/>
        </w:rPr>
        <w:t xml:space="preserve"> može doći do cijepanja sorafenib konjugata,</w:t>
      </w:r>
      <w:r w:rsidR="00D10084" w:rsidRPr="00070F42">
        <w:rPr>
          <w:bCs/>
          <w:noProof/>
          <w:sz w:val="22"/>
          <w:szCs w:val="22"/>
          <w:lang w:val="sr-Latn-ME"/>
        </w:rPr>
        <w:t xml:space="preserve"> čime se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</w:t>
      </w:r>
      <w:r w:rsidR="00D10084" w:rsidRPr="00070F42">
        <w:rPr>
          <w:bCs/>
          <w:noProof/>
          <w:sz w:val="22"/>
          <w:szCs w:val="22"/>
          <w:lang w:val="sr-Latn-ME"/>
        </w:rPr>
        <w:t>omogućava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da se nekonjugovana supstan</w:t>
      </w:r>
      <w:r w:rsidR="00E10F79" w:rsidRPr="00070F42">
        <w:rPr>
          <w:bCs/>
          <w:noProof/>
          <w:sz w:val="22"/>
          <w:szCs w:val="22"/>
          <w:lang w:val="sr-Latn-ME"/>
        </w:rPr>
        <w:t>c</w:t>
      </w:r>
      <w:r w:rsidR="00532051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ponovo resorbuje. Pokazano je da istovremena primjena neomicina inter</w:t>
      </w:r>
      <w:r w:rsidR="00532051" w:rsidRPr="00070F42">
        <w:rPr>
          <w:bCs/>
          <w:noProof/>
          <w:sz w:val="22"/>
          <w:szCs w:val="22"/>
          <w:lang w:val="sr-Latn-ME"/>
        </w:rPr>
        <w:t>ferira</w:t>
      </w:r>
      <w:r w:rsidRPr="00070F42">
        <w:rPr>
          <w:bCs/>
          <w:noProof/>
          <w:sz w:val="22"/>
          <w:szCs w:val="22"/>
          <w:lang w:val="sr-Latn-ME"/>
        </w:rPr>
        <w:t xml:space="preserve"> sa ovim procesom, što smanjuje prosječnu bioraspoloživost sorafeniba za 54%.</w:t>
      </w:r>
    </w:p>
    <w:p w14:paraId="30767D36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CAE4986" w14:textId="2BE6892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Sorafenib </w:t>
      </w:r>
      <w:r w:rsidR="00532051" w:rsidRPr="00070F42">
        <w:rPr>
          <w:bCs/>
          <w:noProof/>
          <w:sz w:val="22"/>
          <w:szCs w:val="22"/>
          <w:lang w:val="sr-Latn-ME"/>
        </w:rPr>
        <w:t>čini oko</w:t>
      </w:r>
      <w:r w:rsidRPr="00070F42">
        <w:rPr>
          <w:bCs/>
          <w:noProof/>
          <w:sz w:val="22"/>
          <w:szCs w:val="22"/>
          <w:lang w:val="sr-Latn-ME"/>
        </w:rPr>
        <w:t xml:space="preserve"> 70-85% cirkulišućeg analizata plazme u stanju ravnoteže. Do sada je identifikovano osam metabolita sorafeniba, od kojih je pet detektovano u plazmi. Glavni cirkulišući metabolit sorafeniba u plazmi, piridin-N-oksid, pokazuje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532051" w:rsidRPr="00070F42">
        <w:rPr>
          <w:bCs/>
          <w:noProof/>
          <w:sz w:val="22"/>
          <w:szCs w:val="22"/>
          <w:lang w:val="sr-Latn-ME"/>
        </w:rPr>
        <w:t>aktivnost sličnu</w:t>
      </w:r>
      <w:r w:rsidRPr="00070F42">
        <w:rPr>
          <w:bCs/>
          <w:noProof/>
          <w:sz w:val="22"/>
          <w:szCs w:val="22"/>
          <w:lang w:val="sr-Latn-ME"/>
        </w:rPr>
        <w:t xml:space="preserve"> sorafenibu. Ovaj metabolit čini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oko</w:t>
      </w:r>
      <w:r w:rsidRPr="00070F42">
        <w:rPr>
          <w:bCs/>
          <w:noProof/>
          <w:sz w:val="22"/>
          <w:szCs w:val="22"/>
          <w:lang w:val="sr-Latn-ME"/>
        </w:rPr>
        <w:t xml:space="preserve"> 9-16% cirkulišućeg analizata u stanju ravnoteže.</w:t>
      </w:r>
    </w:p>
    <w:p w14:paraId="554774E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15CB48F" w14:textId="634B68E2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Posl</w:t>
      </w:r>
      <w:r w:rsidR="00532051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 oralne primjene doze od 100 mg sorafeniba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u obliku rastvora</w:t>
      </w:r>
      <w:r w:rsidRPr="00070F42">
        <w:rPr>
          <w:bCs/>
          <w:noProof/>
          <w:sz w:val="22"/>
          <w:szCs w:val="22"/>
          <w:lang w:val="sr-Latn-ME"/>
        </w:rPr>
        <w:t xml:space="preserve">, 96% doze se </w:t>
      </w:r>
      <w:r w:rsidR="00532051" w:rsidRPr="00070F42">
        <w:rPr>
          <w:bCs/>
          <w:noProof/>
          <w:sz w:val="22"/>
          <w:szCs w:val="22"/>
          <w:lang w:val="sr-Latn-ME"/>
        </w:rPr>
        <w:t>eliminiše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532051" w:rsidRPr="00070F42">
        <w:rPr>
          <w:bCs/>
          <w:noProof/>
          <w:sz w:val="22"/>
          <w:szCs w:val="22"/>
          <w:lang w:val="sr-Latn-ME"/>
        </w:rPr>
        <w:t>nakon</w:t>
      </w:r>
      <w:r w:rsidRPr="00070F42">
        <w:rPr>
          <w:bCs/>
          <w:noProof/>
          <w:sz w:val="22"/>
          <w:szCs w:val="22"/>
          <w:lang w:val="sr-Latn-ME"/>
        </w:rPr>
        <w:t xml:space="preserve"> 14 dana, pri čemu se 77% doze izluči fecesom, a 19% doze urinom u vidu glukuronizovanih metabolita. Nepromijenjeni sorafenib, koji čini 51% unijete doze, nađen je u fecesu, ali ne i u urinu, što ukazuje na to da bilijarna ekskrecija nepromijenjenog lijeka može doprin</w:t>
      </w:r>
      <w:r w:rsidR="00AC72A1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eti eliminaciji sorafeniba.</w:t>
      </w:r>
    </w:p>
    <w:p w14:paraId="4C87A857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B51FC02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Farmakokinetika u posebnim populacijama</w:t>
      </w:r>
    </w:p>
    <w:p w14:paraId="633D898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AD0FD38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Analiza demografskih podataka sugeriše da nema povezanosti između farmakokinetike i starosti (do 65 godina), pola ili tjelesne mase.</w:t>
      </w:r>
    </w:p>
    <w:p w14:paraId="4E8F21A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40A515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lastRenderedPageBreak/>
        <w:t>Pedijatrijska populacija</w:t>
      </w:r>
    </w:p>
    <w:p w14:paraId="7ADE67D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1438883" w14:textId="25C4401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sprovedena ispitivanja farmakokinetike sorafeniba kod pedijatrijskih pacijenata.</w:t>
      </w:r>
    </w:p>
    <w:p w14:paraId="56D8F3E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C12282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Rasa</w:t>
      </w:r>
    </w:p>
    <w:p w14:paraId="3F9C543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B56895B" w14:textId="6479E3A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Nema klinički značajnih razlika u farmakokinetičkim parametrima između azijskih i pacijenata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kavkaske (bijele) rase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71E052A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5D0C955" w14:textId="331FD71C" w:rsidR="003951A3" w:rsidRPr="00070F42" w:rsidRDefault="00532051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Oštećenje funkcije bubrega</w:t>
      </w:r>
    </w:p>
    <w:p w14:paraId="75C89FE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2CABAC46" w14:textId="296ED740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 četiri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kliničk</w:t>
      </w:r>
      <w:r w:rsidR="00532051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studij</w:t>
      </w:r>
      <w:r w:rsidR="00532051" w:rsidRPr="00070F42">
        <w:rPr>
          <w:bCs/>
          <w:noProof/>
          <w:sz w:val="22"/>
          <w:szCs w:val="22"/>
          <w:lang w:val="sr-Latn-ME"/>
        </w:rPr>
        <w:t>e faze I</w:t>
      </w:r>
      <w:r w:rsidRPr="00070F42">
        <w:rPr>
          <w:bCs/>
          <w:noProof/>
          <w:sz w:val="22"/>
          <w:szCs w:val="22"/>
          <w:lang w:val="sr-Latn-ME"/>
        </w:rPr>
        <w:t xml:space="preserve">, </w:t>
      </w:r>
      <w:r w:rsidR="00532051" w:rsidRPr="00070F42">
        <w:rPr>
          <w:bCs/>
          <w:noProof/>
          <w:sz w:val="22"/>
          <w:szCs w:val="22"/>
          <w:lang w:val="sr-Latn-ME"/>
        </w:rPr>
        <w:t>izloženost</w:t>
      </w:r>
      <w:r w:rsidRPr="00070F42">
        <w:rPr>
          <w:bCs/>
          <w:noProof/>
          <w:sz w:val="22"/>
          <w:szCs w:val="22"/>
          <w:lang w:val="sr-Latn-ME"/>
        </w:rPr>
        <w:t xml:space="preserve"> sorafenibu u stanju ravnoteže bila je slična kod pacijenata sa blagim do umjerenim bubrežnim poremećajem, u poređenju sa </w:t>
      </w:r>
      <w:r w:rsidR="00532051" w:rsidRPr="00070F42">
        <w:rPr>
          <w:bCs/>
          <w:noProof/>
          <w:sz w:val="22"/>
          <w:szCs w:val="22"/>
          <w:lang w:val="sr-Latn-ME"/>
        </w:rPr>
        <w:t>izloženošću</w:t>
      </w:r>
      <w:r w:rsidRPr="00070F42">
        <w:rPr>
          <w:bCs/>
          <w:noProof/>
          <w:sz w:val="22"/>
          <w:szCs w:val="22"/>
          <w:lang w:val="sr-Latn-ME"/>
        </w:rPr>
        <w:t xml:space="preserve"> kod pacijenata sa normalnom funkcijom bubrega. U kliničkoj farmakološkoj studiji (pojedinačna doza od 400 mg sorafeniba) nije prim</w:t>
      </w:r>
      <w:r w:rsidR="00AC72A1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jećena veza između izloženosti sorafenibu i 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bubrežne </w:t>
      </w:r>
      <w:r w:rsidRPr="00070F42">
        <w:rPr>
          <w:bCs/>
          <w:noProof/>
          <w:sz w:val="22"/>
          <w:szCs w:val="22"/>
          <w:lang w:val="sr-Latn-ME"/>
        </w:rPr>
        <w:t>funkcije kod pacijenata sa normalnom funkcijom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bubrega</w:t>
      </w:r>
      <w:r w:rsidRPr="00070F42">
        <w:rPr>
          <w:bCs/>
          <w:noProof/>
          <w:sz w:val="22"/>
          <w:szCs w:val="22"/>
          <w:lang w:val="sr-Latn-ME"/>
        </w:rPr>
        <w:t xml:space="preserve">, blagim, umjerenim ili teškim </w:t>
      </w:r>
      <w:r w:rsidR="00532051" w:rsidRPr="00070F42">
        <w:rPr>
          <w:bCs/>
          <w:noProof/>
          <w:sz w:val="22"/>
          <w:szCs w:val="22"/>
          <w:lang w:val="sr-Latn-ME"/>
        </w:rPr>
        <w:t>oštećenjenm funkcije bubrega</w:t>
      </w:r>
      <w:r w:rsidRPr="00070F42">
        <w:rPr>
          <w:bCs/>
          <w:noProof/>
          <w:sz w:val="22"/>
          <w:szCs w:val="22"/>
          <w:lang w:val="sr-Latn-ME"/>
        </w:rPr>
        <w:t>. Nema podataka o pacijentima koji</w:t>
      </w:r>
      <w:r w:rsidR="003F08D9" w:rsidRPr="00070F42">
        <w:rPr>
          <w:bCs/>
          <w:noProof/>
          <w:sz w:val="22"/>
          <w:szCs w:val="22"/>
          <w:lang w:val="sr-Latn-ME"/>
        </w:rPr>
        <w:t>ma je potrebna</w:t>
      </w:r>
      <w:r w:rsidRPr="00070F42">
        <w:rPr>
          <w:bCs/>
          <w:noProof/>
          <w:sz w:val="22"/>
          <w:szCs w:val="22"/>
          <w:lang w:val="sr-Latn-ME"/>
        </w:rPr>
        <w:t xml:space="preserve"> dijaliz</w:t>
      </w:r>
      <w:r w:rsidR="003F08D9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>.</w:t>
      </w:r>
    </w:p>
    <w:p w14:paraId="50FCD25E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E1F514B" w14:textId="1C448C3E" w:rsidR="003951A3" w:rsidRPr="00070F42" w:rsidRDefault="003F08D9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Oštećenje funkcije jetre</w:t>
      </w:r>
    </w:p>
    <w:p w14:paraId="2734374A" w14:textId="77777777" w:rsidR="00532051" w:rsidRPr="00070F42" w:rsidRDefault="00532051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27E685C" w14:textId="028CD4E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Kod pacijenata sa hepatocelularnim karcinomom (HCC) sa 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oštećenjem funkcije jetre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Child-Pugh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stadijuma </w:t>
      </w:r>
      <w:r w:rsidRPr="00070F42">
        <w:rPr>
          <w:bCs/>
          <w:noProof/>
          <w:sz w:val="22"/>
          <w:szCs w:val="22"/>
          <w:lang w:val="sr-Latn-ME"/>
        </w:rPr>
        <w:t xml:space="preserve">A ili B (blagim do umjerenim), vrijednosti 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za izloženost lijeku </w:t>
      </w:r>
      <w:r w:rsidRPr="00070F42">
        <w:rPr>
          <w:bCs/>
          <w:noProof/>
          <w:sz w:val="22"/>
          <w:szCs w:val="22"/>
          <w:lang w:val="sr-Latn-ME"/>
        </w:rPr>
        <w:t>su bile uporedive i unutar granica prim</w:t>
      </w:r>
      <w:r w:rsidR="003F08D9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jećenih kod pacijenata bez </w:t>
      </w:r>
      <w:r w:rsidR="00532051" w:rsidRPr="00070F42">
        <w:rPr>
          <w:bCs/>
          <w:noProof/>
          <w:sz w:val="22"/>
          <w:szCs w:val="22"/>
          <w:lang w:val="sr-Latn-ME"/>
        </w:rPr>
        <w:t>oštećenja funkcije</w:t>
      </w:r>
      <w:r w:rsidRPr="00070F42">
        <w:rPr>
          <w:bCs/>
          <w:noProof/>
          <w:sz w:val="22"/>
          <w:szCs w:val="22"/>
          <w:lang w:val="sr-Latn-ME"/>
        </w:rPr>
        <w:t xml:space="preserve"> jetre. Farmakokinetika sorafeniba kod 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pacijenata bez hepatocelularnog karcinoma sa oštećenjem funkcije jetre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Child-Pugh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stadijuma </w:t>
      </w:r>
      <w:r w:rsidRPr="00070F42">
        <w:rPr>
          <w:bCs/>
          <w:noProof/>
          <w:sz w:val="22"/>
          <w:szCs w:val="22"/>
          <w:lang w:val="sr-Latn-ME"/>
        </w:rPr>
        <w:t>A i B bila je slična farmakokinetici</w:t>
      </w:r>
      <w:r w:rsidR="00532051" w:rsidRPr="00070F42">
        <w:rPr>
          <w:bCs/>
          <w:noProof/>
          <w:sz w:val="22"/>
          <w:szCs w:val="22"/>
          <w:lang w:val="sr-Latn-ME"/>
        </w:rPr>
        <w:t xml:space="preserve"> sorafeniba</w:t>
      </w:r>
      <w:r w:rsidRPr="00070F42">
        <w:rPr>
          <w:bCs/>
          <w:noProof/>
          <w:sz w:val="22"/>
          <w:szCs w:val="22"/>
          <w:lang w:val="sr-Latn-ME"/>
        </w:rPr>
        <w:t xml:space="preserve"> kod zdravih dobrovoljaca. Nema podataka o pacijentima sa </w:t>
      </w:r>
      <w:r w:rsidRPr="00070F42">
        <w:rPr>
          <w:bCs/>
          <w:i/>
          <w:iCs/>
          <w:noProof/>
          <w:sz w:val="22"/>
          <w:szCs w:val="22"/>
          <w:lang w:val="sr-Latn-ME"/>
        </w:rPr>
        <w:t>Child Pugh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stadijum</w:t>
      </w:r>
      <w:r w:rsidRPr="00070F42">
        <w:rPr>
          <w:bCs/>
          <w:noProof/>
          <w:sz w:val="22"/>
          <w:szCs w:val="22"/>
          <w:lang w:val="sr-Latn-ME"/>
        </w:rPr>
        <w:t xml:space="preserve"> C (teškim) 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oštećenjem funkcije </w:t>
      </w:r>
      <w:r w:rsidRPr="00070F42">
        <w:rPr>
          <w:bCs/>
          <w:noProof/>
          <w:sz w:val="22"/>
          <w:szCs w:val="22"/>
          <w:lang w:val="sr-Latn-ME"/>
        </w:rPr>
        <w:t>jetre. Sorafenib se uglavnom eliminiše putem jetre i u ovoj populaciji izloženost bi mogla da bude povećana.</w:t>
      </w:r>
    </w:p>
    <w:p w14:paraId="329D490F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08996B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5.3.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D9D4E7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6D756F0" w14:textId="0171C5FF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Pretklinički profil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bezbjednosti</w:t>
      </w:r>
      <w:r w:rsidRPr="00070F42">
        <w:rPr>
          <w:bCs/>
          <w:noProof/>
          <w:sz w:val="22"/>
          <w:szCs w:val="22"/>
          <w:lang w:val="sr-Latn-ME"/>
        </w:rPr>
        <w:t xml:space="preserve"> sorafeniba procjenjivan je na miševima, pacovima, psima i kunićima.</w:t>
      </w:r>
    </w:p>
    <w:p w14:paraId="7E2F01C3" w14:textId="1F8359CC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 xml:space="preserve">Studije toksičnosti pri ponovljenim dozama otkrile su promjene (degeneracione i regeneracione) na raznim organima pri 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izloženosti </w:t>
      </w:r>
      <w:r w:rsidRPr="00070F42">
        <w:rPr>
          <w:bCs/>
          <w:noProof/>
          <w:sz w:val="22"/>
          <w:szCs w:val="22"/>
          <w:lang w:val="sr-Latn-ME"/>
        </w:rPr>
        <w:t>ispod predviđen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ih za </w:t>
      </w:r>
      <w:r w:rsidRPr="00070F42">
        <w:rPr>
          <w:bCs/>
          <w:noProof/>
          <w:sz w:val="22"/>
          <w:szCs w:val="22"/>
          <w:lang w:val="sr-Latn-ME"/>
        </w:rPr>
        <w:t>kliničk</w:t>
      </w:r>
      <w:r w:rsidR="003B09AA" w:rsidRPr="00070F42">
        <w:rPr>
          <w:bCs/>
          <w:noProof/>
          <w:sz w:val="22"/>
          <w:szCs w:val="22"/>
          <w:lang w:val="sr-Latn-ME"/>
        </w:rPr>
        <w:t>u primjenu</w:t>
      </w:r>
      <w:r w:rsidRPr="00070F42">
        <w:rPr>
          <w:bCs/>
          <w:noProof/>
          <w:sz w:val="22"/>
          <w:szCs w:val="22"/>
          <w:lang w:val="sr-Latn-ME"/>
        </w:rPr>
        <w:t xml:space="preserve"> (zasnovano na poređenju PIK vrijednosti).</w:t>
      </w:r>
    </w:p>
    <w:p w14:paraId="0D18BD35" w14:textId="77777777" w:rsidR="00E548FF" w:rsidRPr="00070F42" w:rsidRDefault="00E548FF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C63881A" w14:textId="4B98A8DC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Posl</w:t>
      </w:r>
      <w:r w:rsidR="003B09AA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 ponavljanog doziranja kod mladih pasa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i</w:t>
      </w:r>
      <w:r w:rsidRPr="00070F42">
        <w:rPr>
          <w:bCs/>
          <w:noProof/>
          <w:sz w:val="22"/>
          <w:szCs w:val="22"/>
          <w:lang w:val="sr-Latn-ME"/>
        </w:rPr>
        <w:t xml:space="preserve"> pasa u razvoju, prim</w:t>
      </w:r>
      <w:r w:rsidR="00E548FF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jećeni su efekti na kosti i zube, pri </w:t>
      </w:r>
      <w:r w:rsidR="003B09AA" w:rsidRPr="00070F42">
        <w:rPr>
          <w:bCs/>
          <w:noProof/>
          <w:sz w:val="22"/>
          <w:szCs w:val="22"/>
          <w:lang w:val="sr-Latn-ME"/>
        </w:rPr>
        <w:t>izloženostima</w:t>
      </w:r>
      <w:r w:rsidRPr="00070F42">
        <w:rPr>
          <w:bCs/>
          <w:noProof/>
          <w:sz w:val="22"/>
          <w:szCs w:val="22"/>
          <w:lang w:val="sr-Latn-ME"/>
        </w:rPr>
        <w:t xml:space="preserve"> nižim od kliničkih. Promjene su se sastojale u nepravilnim zadebljanjima 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na epifizealnim </w:t>
      </w:r>
      <w:r w:rsidRPr="00070F42">
        <w:rPr>
          <w:bCs/>
          <w:noProof/>
          <w:sz w:val="22"/>
          <w:szCs w:val="22"/>
          <w:lang w:val="sr-Latn-ME"/>
        </w:rPr>
        <w:t>ploč</w:t>
      </w:r>
      <w:r w:rsidR="003B09AA" w:rsidRPr="00070F42">
        <w:rPr>
          <w:bCs/>
          <w:noProof/>
          <w:sz w:val="22"/>
          <w:szCs w:val="22"/>
          <w:lang w:val="sr-Latn-ME"/>
        </w:rPr>
        <w:t>ama</w:t>
      </w:r>
      <w:r w:rsidRPr="00070F42">
        <w:rPr>
          <w:bCs/>
          <w:noProof/>
          <w:sz w:val="22"/>
          <w:szCs w:val="22"/>
          <w:lang w:val="sr-Latn-ME"/>
        </w:rPr>
        <w:t xml:space="preserve"> femura, hipocelularnosti koštane srži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u području uz</w:t>
      </w:r>
      <w:r w:rsidRPr="00070F42">
        <w:rPr>
          <w:bCs/>
          <w:noProof/>
          <w:sz w:val="22"/>
          <w:szCs w:val="22"/>
          <w:lang w:val="sr-Latn-ME"/>
        </w:rPr>
        <w:t xml:space="preserve"> izmijenjen</w:t>
      </w:r>
      <w:r w:rsidR="003B09AA" w:rsidRPr="00070F42">
        <w:rPr>
          <w:bCs/>
          <w:noProof/>
          <w:sz w:val="22"/>
          <w:szCs w:val="22"/>
          <w:lang w:val="sr-Latn-ME"/>
        </w:rPr>
        <w:t>u epifizealnu</w:t>
      </w:r>
      <w:r w:rsidRPr="00070F42">
        <w:rPr>
          <w:bCs/>
          <w:noProof/>
          <w:sz w:val="22"/>
          <w:szCs w:val="22"/>
          <w:lang w:val="sr-Latn-ME"/>
        </w:rPr>
        <w:t xml:space="preserve"> ploč</w:t>
      </w:r>
      <w:r w:rsidR="003B09AA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i promjenama sastava dentina. Slični efekti 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izazvani kod odraslih pasa.</w:t>
      </w:r>
    </w:p>
    <w:p w14:paraId="41694DCC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7FDA6ACA" w14:textId="0CC4DFC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</w:t>
      </w:r>
      <w:r w:rsidR="003B09AA" w:rsidRPr="00070F42">
        <w:rPr>
          <w:bCs/>
          <w:noProof/>
          <w:sz w:val="22"/>
          <w:szCs w:val="22"/>
          <w:lang w:val="sr-Latn-ME"/>
        </w:rPr>
        <w:t>proveden je i s</w:t>
      </w:r>
      <w:r w:rsidRPr="00070F42">
        <w:rPr>
          <w:bCs/>
          <w:noProof/>
          <w:sz w:val="22"/>
          <w:szCs w:val="22"/>
          <w:lang w:val="sr-Latn-ME"/>
        </w:rPr>
        <w:t>tandardni program studija genotoskičnosti</w:t>
      </w:r>
      <w:r w:rsidR="003B09AA" w:rsidRPr="00070F42">
        <w:rPr>
          <w:bCs/>
          <w:noProof/>
          <w:sz w:val="22"/>
          <w:szCs w:val="22"/>
          <w:lang w:val="sr-Latn-ME"/>
        </w:rPr>
        <w:t>, a</w:t>
      </w:r>
      <w:r w:rsidRPr="00070F42">
        <w:rPr>
          <w:bCs/>
          <w:noProof/>
          <w:sz w:val="22"/>
          <w:szCs w:val="22"/>
          <w:lang w:val="sr-Latn-ME"/>
        </w:rPr>
        <w:t xml:space="preserve"> pozitivni rezultati dobijeni su kao povećanje strukturnih hromozomskih aberacija u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 xml:space="preserve"> uzorku ćelija sisara (ovarijum kineskog hrčka) za klastogenost u prisustvu metaboličke aktivacije. Sorafenib nije bio genotoksičan u Am</w:t>
      </w:r>
      <w:r w:rsidR="00F4025A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sovom testu ili u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vivo</w:t>
      </w:r>
      <w:r w:rsidRPr="00070F42">
        <w:rPr>
          <w:bCs/>
          <w:noProof/>
          <w:sz w:val="22"/>
          <w:szCs w:val="22"/>
          <w:lang w:val="sr-Latn-ME"/>
        </w:rPr>
        <w:t xml:space="preserve"> mikronukleusnom testu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na miševima</w:t>
      </w:r>
      <w:r w:rsidRPr="00070F42">
        <w:rPr>
          <w:bCs/>
          <w:noProof/>
          <w:sz w:val="22"/>
          <w:szCs w:val="22"/>
          <w:lang w:val="sr-Latn-ME"/>
        </w:rPr>
        <w:t xml:space="preserve">. Jedan intermedijer </w:t>
      </w:r>
      <w:r w:rsidR="003B09AA" w:rsidRPr="00070F42">
        <w:rPr>
          <w:bCs/>
          <w:noProof/>
          <w:sz w:val="22"/>
          <w:szCs w:val="22"/>
          <w:lang w:val="sr-Latn-ME"/>
        </w:rPr>
        <w:t>iz</w:t>
      </w:r>
      <w:r w:rsidRPr="00070F42">
        <w:rPr>
          <w:bCs/>
          <w:noProof/>
          <w:sz w:val="22"/>
          <w:szCs w:val="22"/>
          <w:lang w:val="sr-Latn-ME"/>
        </w:rPr>
        <w:t xml:space="preserve"> proizvodno</w:t>
      </w:r>
      <w:r w:rsidR="003B09AA" w:rsidRPr="00070F42">
        <w:rPr>
          <w:bCs/>
          <w:noProof/>
          <w:sz w:val="22"/>
          <w:szCs w:val="22"/>
          <w:lang w:val="sr-Latn-ME"/>
        </w:rPr>
        <w:t>g</w:t>
      </w:r>
      <w:r w:rsidRPr="00070F42">
        <w:rPr>
          <w:bCs/>
          <w:noProof/>
          <w:sz w:val="22"/>
          <w:szCs w:val="22"/>
          <w:lang w:val="sr-Latn-ME"/>
        </w:rPr>
        <w:t xml:space="preserve"> p</w:t>
      </w:r>
      <w:r w:rsidR="003B09AA" w:rsidRPr="00070F42">
        <w:rPr>
          <w:bCs/>
          <w:noProof/>
          <w:sz w:val="22"/>
          <w:szCs w:val="22"/>
          <w:lang w:val="sr-Latn-ME"/>
        </w:rPr>
        <w:t>rocesa</w:t>
      </w:r>
      <w:r w:rsidRPr="00070F42">
        <w:rPr>
          <w:bCs/>
          <w:noProof/>
          <w:sz w:val="22"/>
          <w:szCs w:val="22"/>
          <w:lang w:val="sr-Latn-ME"/>
        </w:rPr>
        <w:t xml:space="preserve">, koji je takođe prisutan i u </w:t>
      </w:r>
      <w:r w:rsidR="003B09AA" w:rsidRPr="00070F42">
        <w:rPr>
          <w:bCs/>
          <w:noProof/>
          <w:sz w:val="22"/>
          <w:szCs w:val="22"/>
          <w:lang w:val="sr-Latn-ME"/>
        </w:rPr>
        <w:t>finalnoj</w:t>
      </w:r>
      <w:r w:rsidRPr="00070F42">
        <w:rPr>
          <w:bCs/>
          <w:noProof/>
          <w:sz w:val="22"/>
          <w:szCs w:val="22"/>
          <w:lang w:val="sr-Latn-ME"/>
        </w:rPr>
        <w:t xml:space="preserve"> aktivnoj supstanci (&lt; 0,15%), bio je pozitivan na mutagen</w:t>
      </w:r>
      <w:r w:rsidR="003B09AA" w:rsidRPr="00070F42">
        <w:rPr>
          <w:bCs/>
          <w:noProof/>
          <w:sz w:val="22"/>
          <w:szCs w:val="22"/>
          <w:lang w:val="sr-Latn-ME"/>
        </w:rPr>
        <w:t>ost</w:t>
      </w:r>
      <w:r w:rsidRPr="00070F42">
        <w:rPr>
          <w:bCs/>
          <w:noProof/>
          <w:sz w:val="22"/>
          <w:szCs w:val="22"/>
          <w:lang w:val="sr-Latn-ME"/>
        </w:rPr>
        <w:t xml:space="preserve"> u </w:t>
      </w:r>
      <w:r w:rsidRPr="00070F42">
        <w:rPr>
          <w:bCs/>
          <w:i/>
          <w:iCs/>
          <w:noProof/>
          <w:sz w:val="22"/>
          <w:szCs w:val="22"/>
          <w:lang w:val="sr-Latn-ME"/>
        </w:rPr>
        <w:t>in vitro</w:t>
      </w:r>
      <w:r w:rsidRPr="00070F42">
        <w:rPr>
          <w:bCs/>
          <w:noProof/>
          <w:sz w:val="22"/>
          <w:szCs w:val="22"/>
          <w:lang w:val="sr-Latn-ME"/>
        </w:rPr>
        <w:t xml:space="preserve"> bakterijskom ćelijskom uzorku (Ames</w:t>
      </w:r>
      <w:r w:rsidR="00F4025A" w:rsidRPr="00070F42">
        <w:rPr>
          <w:bCs/>
          <w:noProof/>
          <w:sz w:val="22"/>
          <w:szCs w:val="22"/>
          <w:lang w:val="sr-Latn-ME"/>
        </w:rPr>
        <w:t>ov</w:t>
      </w:r>
      <w:r w:rsidRPr="00070F42">
        <w:rPr>
          <w:bCs/>
          <w:noProof/>
          <w:sz w:val="22"/>
          <w:szCs w:val="22"/>
          <w:lang w:val="sr-Latn-ME"/>
        </w:rPr>
        <w:t xml:space="preserve"> test). Štaviše, </w:t>
      </w:r>
      <w:r w:rsidR="003B09AA" w:rsidRPr="00070F42">
        <w:rPr>
          <w:bCs/>
          <w:noProof/>
          <w:sz w:val="22"/>
          <w:szCs w:val="22"/>
          <w:lang w:val="sr-Latn-ME"/>
        </w:rPr>
        <w:t>proizvodna serija</w:t>
      </w:r>
      <w:r w:rsidRPr="00070F42">
        <w:rPr>
          <w:bCs/>
          <w:noProof/>
          <w:sz w:val="22"/>
          <w:szCs w:val="22"/>
          <w:lang w:val="sr-Latn-ME"/>
        </w:rPr>
        <w:t xml:space="preserve"> sorafeniba</w:t>
      </w:r>
      <w:r w:rsidR="003B09AA" w:rsidRPr="00070F42">
        <w:rPr>
          <w:bCs/>
          <w:noProof/>
          <w:sz w:val="22"/>
          <w:szCs w:val="22"/>
          <w:lang w:val="sr-Latn-ME"/>
        </w:rPr>
        <w:t>,</w:t>
      </w:r>
      <w:r w:rsidRPr="00070F42">
        <w:rPr>
          <w:bCs/>
          <w:noProof/>
          <w:sz w:val="22"/>
          <w:szCs w:val="22"/>
          <w:lang w:val="sr-Latn-ME"/>
        </w:rPr>
        <w:t xml:space="preserve"> testiran</w:t>
      </w:r>
      <w:r w:rsidR="003B09AA" w:rsidRPr="00070F42">
        <w:rPr>
          <w:bCs/>
          <w:noProof/>
          <w:sz w:val="22"/>
          <w:szCs w:val="22"/>
          <w:lang w:val="sr-Latn-ME"/>
        </w:rPr>
        <w:t>a</w:t>
      </w:r>
      <w:r w:rsidRPr="00070F42">
        <w:rPr>
          <w:bCs/>
          <w:noProof/>
          <w:sz w:val="22"/>
          <w:szCs w:val="22"/>
          <w:lang w:val="sr-Latn-ME"/>
        </w:rPr>
        <w:t xml:space="preserve"> standardn</w:t>
      </w:r>
      <w:r w:rsidR="003B09AA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m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nizom testova</w:t>
      </w:r>
      <w:r w:rsidRPr="00070F42">
        <w:rPr>
          <w:bCs/>
          <w:noProof/>
          <w:sz w:val="22"/>
          <w:szCs w:val="22"/>
          <w:lang w:val="sr-Latn-ME"/>
        </w:rPr>
        <w:t xml:space="preserve"> genotoksično</w:t>
      </w:r>
      <w:r w:rsidR="003B09AA" w:rsidRPr="00070F42">
        <w:rPr>
          <w:bCs/>
          <w:noProof/>
          <w:sz w:val="22"/>
          <w:szCs w:val="22"/>
          <w:lang w:val="sr-Latn-ME"/>
        </w:rPr>
        <w:t>sti</w:t>
      </w:r>
      <w:r w:rsidRPr="00070F42">
        <w:rPr>
          <w:bCs/>
          <w:noProof/>
          <w:sz w:val="22"/>
          <w:szCs w:val="22"/>
          <w:lang w:val="sr-Latn-ME"/>
        </w:rPr>
        <w:t>, ima</w:t>
      </w:r>
      <w:r w:rsidR="003B09AA" w:rsidRPr="00070F42">
        <w:rPr>
          <w:bCs/>
          <w:noProof/>
          <w:sz w:val="22"/>
          <w:szCs w:val="22"/>
          <w:lang w:val="sr-Latn-ME"/>
        </w:rPr>
        <w:t>la</w:t>
      </w:r>
      <w:r w:rsidRPr="00070F42">
        <w:rPr>
          <w:bCs/>
          <w:noProof/>
          <w:sz w:val="22"/>
          <w:szCs w:val="22"/>
          <w:lang w:val="sr-Latn-ME"/>
        </w:rPr>
        <w:t xml:space="preserve"> je 0,34 % PAPE.</w:t>
      </w:r>
    </w:p>
    <w:p w14:paraId="793FC5DC" w14:textId="6664E992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sprovedena ispitivanja karcinogenosti sa sorafenibom.</w:t>
      </w:r>
    </w:p>
    <w:p w14:paraId="1E967A24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DD87C3E" w14:textId="77C959B6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Ni</w:t>
      </w:r>
      <w:r w:rsidR="00BE3C0C" w:rsidRPr="00070F42">
        <w:rPr>
          <w:bCs/>
          <w:noProof/>
          <w:sz w:val="22"/>
          <w:szCs w:val="22"/>
          <w:lang w:val="sr-Latn-ME"/>
        </w:rPr>
        <w:t>je</w:t>
      </w:r>
      <w:r w:rsidRPr="00070F42">
        <w:rPr>
          <w:bCs/>
          <w:noProof/>
          <w:sz w:val="22"/>
          <w:szCs w:val="22"/>
          <w:lang w:val="sr-Latn-ME"/>
        </w:rPr>
        <w:t>su sprovedena nikakva posebna ispitivanja sorafeniba na životinjama kako bi se procijenio uticaj na plodnost. Međutim, može se očekivati neželjeno djelovanje na plodnost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kod muškaraca i žena</w:t>
      </w:r>
      <w:r w:rsidRPr="00070F42">
        <w:rPr>
          <w:bCs/>
          <w:noProof/>
          <w:sz w:val="22"/>
          <w:szCs w:val="22"/>
          <w:lang w:val="sr-Latn-ME"/>
        </w:rPr>
        <w:t>, jer su studije ponovljenog doziranja na životinjama pokazale promjene na muškim i ženskim reproduktivnim organima pri ekspozicijama ispod</w:t>
      </w:r>
      <w:r w:rsidR="003B09AA" w:rsidRPr="00070F42">
        <w:rPr>
          <w:bCs/>
          <w:noProof/>
          <w:sz w:val="22"/>
          <w:szCs w:val="22"/>
          <w:lang w:val="sr-Latn-ME"/>
        </w:rPr>
        <w:t xml:space="preserve"> onih</w:t>
      </w:r>
      <w:r w:rsidRPr="00070F42">
        <w:rPr>
          <w:bCs/>
          <w:noProof/>
          <w:sz w:val="22"/>
          <w:szCs w:val="22"/>
          <w:lang w:val="sr-Latn-ME"/>
        </w:rPr>
        <w:t xml:space="preserve"> predviđen</w:t>
      </w:r>
      <w:r w:rsidR="003B09AA" w:rsidRPr="00070F42">
        <w:rPr>
          <w:bCs/>
          <w:noProof/>
          <w:sz w:val="22"/>
          <w:szCs w:val="22"/>
          <w:lang w:val="sr-Latn-ME"/>
        </w:rPr>
        <w:t>ih za</w:t>
      </w:r>
      <w:r w:rsidRPr="00070F42">
        <w:rPr>
          <w:bCs/>
          <w:noProof/>
          <w:sz w:val="22"/>
          <w:szCs w:val="22"/>
          <w:lang w:val="sr-Latn-ME"/>
        </w:rPr>
        <w:t xml:space="preserve"> kliničk</w:t>
      </w:r>
      <w:r w:rsidR="003B09AA" w:rsidRPr="00070F42">
        <w:rPr>
          <w:bCs/>
          <w:noProof/>
          <w:sz w:val="22"/>
          <w:szCs w:val="22"/>
          <w:lang w:val="sr-Latn-ME"/>
        </w:rPr>
        <w:t>u</w:t>
      </w:r>
      <w:r w:rsidRPr="00070F42">
        <w:rPr>
          <w:bCs/>
          <w:noProof/>
          <w:sz w:val="22"/>
          <w:szCs w:val="22"/>
          <w:lang w:val="sr-Latn-ME"/>
        </w:rPr>
        <w:t xml:space="preserve"> </w:t>
      </w:r>
      <w:r w:rsidR="003B09AA" w:rsidRPr="00070F42">
        <w:rPr>
          <w:bCs/>
          <w:noProof/>
          <w:sz w:val="22"/>
          <w:szCs w:val="22"/>
          <w:lang w:val="sr-Latn-ME"/>
        </w:rPr>
        <w:t>primjenu</w:t>
      </w:r>
      <w:r w:rsidRPr="00070F42">
        <w:rPr>
          <w:bCs/>
          <w:noProof/>
          <w:sz w:val="22"/>
          <w:szCs w:val="22"/>
          <w:lang w:val="sr-Latn-ME"/>
        </w:rPr>
        <w:t xml:space="preserve"> (zasnovano na PIK vrijednostima). Tipične promjene </w:t>
      </w:r>
      <w:r w:rsidR="003B09AA" w:rsidRPr="00070F42">
        <w:rPr>
          <w:bCs/>
          <w:noProof/>
          <w:sz w:val="22"/>
          <w:szCs w:val="22"/>
          <w:lang w:val="sr-Latn-ME"/>
        </w:rPr>
        <w:t>sastojale su se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 od znakova</w:t>
      </w:r>
      <w:r w:rsidRPr="00070F42">
        <w:rPr>
          <w:bCs/>
          <w:noProof/>
          <w:sz w:val="22"/>
          <w:szCs w:val="22"/>
          <w:lang w:val="sr-Latn-ME"/>
        </w:rPr>
        <w:t xml:space="preserve"> degeneracij</w:t>
      </w:r>
      <w:r w:rsidR="00C824D3" w:rsidRPr="00070F42">
        <w:rPr>
          <w:bCs/>
          <w:noProof/>
          <w:sz w:val="22"/>
          <w:szCs w:val="22"/>
          <w:lang w:val="sr-Latn-ME"/>
        </w:rPr>
        <w:t>e</w:t>
      </w:r>
      <w:r w:rsidRPr="00070F42">
        <w:rPr>
          <w:bCs/>
          <w:noProof/>
          <w:sz w:val="22"/>
          <w:szCs w:val="22"/>
          <w:lang w:val="sr-Latn-ME"/>
        </w:rPr>
        <w:t xml:space="preserve"> i </w:t>
      </w:r>
      <w:r w:rsidR="00C824D3" w:rsidRPr="00070F42">
        <w:rPr>
          <w:bCs/>
          <w:noProof/>
          <w:sz w:val="22"/>
          <w:szCs w:val="22"/>
          <w:lang w:val="sr-Latn-ME"/>
        </w:rPr>
        <w:t>zastoja rasta</w:t>
      </w:r>
      <w:r w:rsidRPr="00070F42">
        <w:rPr>
          <w:bCs/>
          <w:noProof/>
          <w:sz w:val="22"/>
          <w:szCs w:val="22"/>
          <w:lang w:val="sr-Latn-ME"/>
        </w:rPr>
        <w:t xml:space="preserve"> u testisima, epididimisu, prostati i seminalnim vezikulama pacova. Ženke pacova pokazivale su centralnu nekrozu žutih tijela i zastoj 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u razvoju </w:t>
      </w:r>
      <w:r w:rsidRPr="00070F42">
        <w:rPr>
          <w:bCs/>
          <w:noProof/>
          <w:sz w:val="22"/>
          <w:szCs w:val="22"/>
          <w:lang w:val="sr-Latn-ME"/>
        </w:rPr>
        <w:t>folikula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 u</w:t>
      </w:r>
      <w:r w:rsidRPr="00070F42">
        <w:rPr>
          <w:bCs/>
          <w:noProof/>
          <w:sz w:val="22"/>
          <w:szCs w:val="22"/>
          <w:lang w:val="sr-Latn-ME"/>
        </w:rPr>
        <w:t xml:space="preserve"> jajni</w:t>
      </w:r>
      <w:r w:rsidR="00C824D3" w:rsidRPr="00070F42">
        <w:rPr>
          <w:bCs/>
          <w:noProof/>
          <w:sz w:val="22"/>
          <w:szCs w:val="22"/>
          <w:lang w:val="sr-Latn-ME"/>
        </w:rPr>
        <w:t>cima</w:t>
      </w:r>
      <w:r w:rsidRPr="00070F42">
        <w:rPr>
          <w:bCs/>
          <w:noProof/>
          <w:sz w:val="22"/>
          <w:szCs w:val="22"/>
          <w:lang w:val="sr-Latn-ME"/>
        </w:rPr>
        <w:t>. Kod pasa je nađena tubularna degeneracija u testisima i oligospermija.</w:t>
      </w:r>
    </w:p>
    <w:p w14:paraId="6A46AA8F" w14:textId="02839075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lastRenderedPageBreak/>
        <w:t xml:space="preserve">Za sorafenib je pokazano da je embriotoksičan i teratogen prilikom primjene kod pacova i kunića pri </w:t>
      </w:r>
      <w:r w:rsidR="00C824D3" w:rsidRPr="00070F42">
        <w:rPr>
          <w:bCs/>
          <w:noProof/>
          <w:sz w:val="22"/>
          <w:szCs w:val="22"/>
          <w:lang w:val="sr-Latn-ME"/>
        </w:rPr>
        <w:t>izloženosti nižoj od</w:t>
      </w:r>
      <w:r w:rsidRPr="00070F42">
        <w:rPr>
          <w:bCs/>
          <w:noProof/>
          <w:sz w:val="22"/>
          <w:szCs w:val="22"/>
          <w:lang w:val="sr-Latn-ME"/>
        </w:rPr>
        <w:t xml:space="preserve"> kliničkih. Prim</w:t>
      </w:r>
      <w:r w:rsidR="00216252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jećeni efekti uključivali su smanjenje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 tjelesne mase majke i ploda</w:t>
      </w:r>
      <w:r w:rsidRPr="00070F42">
        <w:rPr>
          <w:bCs/>
          <w:noProof/>
          <w:sz w:val="22"/>
          <w:szCs w:val="22"/>
          <w:lang w:val="sr-Latn-ME"/>
        </w:rPr>
        <w:t>, povećani broj resorpcija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 fetusa</w:t>
      </w:r>
      <w:r w:rsidRPr="00070F42">
        <w:rPr>
          <w:bCs/>
          <w:noProof/>
          <w:sz w:val="22"/>
          <w:szCs w:val="22"/>
          <w:lang w:val="sr-Latn-ME"/>
        </w:rPr>
        <w:t xml:space="preserve"> i povećani broj spoljašnjih i visceralnih malformacija.</w:t>
      </w:r>
    </w:p>
    <w:p w14:paraId="340A303A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05E8F9B7" w14:textId="0C499D5E" w:rsidR="003951A3" w:rsidRPr="00070F42" w:rsidRDefault="003951A3" w:rsidP="00C824D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Studije procjene rizika za okolinu su pokazale da sora</w:t>
      </w:r>
      <w:r w:rsidR="007B1DC1" w:rsidRPr="00070F42">
        <w:rPr>
          <w:bCs/>
          <w:noProof/>
          <w:sz w:val="22"/>
          <w:szCs w:val="22"/>
          <w:lang w:val="sr-Latn-ME"/>
        </w:rPr>
        <w:t>f</w:t>
      </w:r>
      <w:r w:rsidRPr="00070F42">
        <w:rPr>
          <w:bCs/>
          <w:noProof/>
          <w:sz w:val="22"/>
          <w:szCs w:val="22"/>
          <w:lang w:val="sr-Latn-ME"/>
        </w:rPr>
        <w:t>enib</w:t>
      </w:r>
      <w:r w:rsidR="007B1DC1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 xml:space="preserve">tosilat ima 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potencijal </w:t>
      </w:r>
      <w:r w:rsidRPr="00070F42">
        <w:rPr>
          <w:bCs/>
          <w:noProof/>
          <w:sz w:val="22"/>
          <w:szCs w:val="22"/>
          <w:lang w:val="sr-Latn-ME"/>
        </w:rPr>
        <w:t>perzisten</w:t>
      </w:r>
      <w:r w:rsidR="00C824D3" w:rsidRPr="00070F42">
        <w:rPr>
          <w:bCs/>
          <w:noProof/>
          <w:sz w:val="22"/>
          <w:szCs w:val="22"/>
          <w:lang w:val="sr-Latn-ME"/>
        </w:rPr>
        <w:t>cije</w:t>
      </w:r>
      <w:r w:rsidRPr="00070F42">
        <w:rPr>
          <w:bCs/>
          <w:noProof/>
          <w:sz w:val="22"/>
          <w:szCs w:val="22"/>
          <w:lang w:val="sr-Latn-ME"/>
        </w:rPr>
        <w:t>, bioakumula</w:t>
      </w:r>
      <w:r w:rsidR="00C824D3" w:rsidRPr="00070F42">
        <w:rPr>
          <w:bCs/>
          <w:noProof/>
          <w:sz w:val="22"/>
          <w:szCs w:val="22"/>
          <w:lang w:val="sr-Latn-ME"/>
        </w:rPr>
        <w:t>cije</w:t>
      </w:r>
      <w:r w:rsidRPr="00070F42">
        <w:rPr>
          <w:bCs/>
          <w:noProof/>
          <w:sz w:val="22"/>
          <w:szCs w:val="22"/>
          <w:lang w:val="sr-Latn-ME"/>
        </w:rPr>
        <w:t xml:space="preserve"> i toksičn</w:t>
      </w:r>
      <w:r w:rsidR="00C824D3" w:rsidRPr="00070F42">
        <w:rPr>
          <w:bCs/>
          <w:noProof/>
          <w:sz w:val="22"/>
          <w:szCs w:val="22"/>
          <w:lang w:val="sr-Latn-ME"/>
        </w:rPr>
        <w:t>ost</w:t>
      </w:r>
      <w:r w:rsidRPr="00070F42">
        <w:rPr>
          <w:bCs/>
          <w:noProof/>
          <w:sz w:val="22"/>
          <w:szCs w:val="22"/>
          <w:lang w:val="sr-Latn-ME"/>
        </w:rPr>
        <w:t xml:space="preserve">i po okolinu. </w:t>
      </w:r>
      <w:r w:rsidR="00C824D3" w:rsidRPr="00070F42">
        <w:rPr>
          <w:bCs/>
          <w:noProof/>
          <w:sz w:val="22"/>
          <w:szCs w:val="22"/>
          <w:lang w:val="sr-Latn-ME"/>
        </w:rPr>
        <w:t>Informacije o p</w:t>
      </w:r>
      <w:r w:rsidRPr="00070F42">
        <w:rPr>
          <w:bCs/>
          <w:noProof/>
          <w:sz w:val="22"/>
          <w:szCs w:val="22"/>
          <w:lang w:val="sr-Latn-ME"/>
        </w:rPr>
        <w:t>rocjen</w:t>
      </w:r>
      <w:r w:rsidR="00C824D3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 xml:space="preserve"> rizika po okolinu (</w:t>
      </w:r>
      <w:r w:rsidR="00C824D3" w:rsidRPr="00070F42">
        <w:rPr>
          <w:bCs/>
          <w:noProof/>
          <w:sz w:val="22"/>
          <w:szCs w:val="22"/>
          <w:lang w:val="sr-Latn-ME"/>
        </w:rPr>
        <w:t xml:space="preserve">engl. </w:t>
      </w:r>
      <w:r w:rsidRPr="00070F42">
        <w:rPr>
          <w:bCs/>
          <w:i/>
          <w:iCs/>
          <w:noProof/>
          <w:sz w:val="22"/>
          <w:szCs w:val="22"/>
          <w:lang w:val="sr-Latn-ME"/>
        </w:rPr>
        <w:t>Envrionmental Risk Assessment</w:t>
      </w:r>
      <w:r w:rsidRPr="00070F42">
        <w:rPr>
          <w:bCs/>
          <w:noProof/>
          <w:sz w:val="22"/>
          <w:szCs w:val="22"/>
          <w:lang w:val="sr-Latn-ME"/>
        </w:rPr>
        <w:t>) dostupn</w:t>
      </w:r>
      <w:r w:rsidR="00C824D3" w:rsidRPr="00070F42">
        <w:rPr>
          <w:bCs/>
          <w:noProof/>
          <w:sz w:val="22"/>
          <w:szCs w:val="22"/>
          <w:lang w:val="sr-Latn-ME"/>
        </w:rPr>
        <w:t>e su n</w:t>
      </w:r>
      <w:r w:rsidRPr="00070F42">
        <w:rPr>
          <w:bCs/>
          <w:noProof/>
          <w:sz w:val="22"/>
          <w:szCs w:val="22"/>
          <w:lang w:val="sr-Latn-ME"/>
        </w:rPr>
        <w:t xml:space="preserve">a </w:t>
      </w:r>
      <w:r w:rsidR="00C824D3" w:rsidRPr="00070F42">
        <w:rPr>
          <w:bCs/>
          <w:noProof/>
          <w:sz w:val="22"/>
          <w:szCs w:val="22"/>
          <w:lang w:val="sr-Latn-ME"/>
        </w:rPr>
        <w:t>sajtu Evropske agencije za ljekove u okviru EPAR dokumenta za ovaj lijek</w:t>
      </w:r>
      <w:r w:rsidRPr="00070F42">
        <w:rPr>
          <w:bCs/>
          <w:noProof/>
          <w:sz w:val="22"/>
          <w:szCs w:val="22"/>
          <w:lang w:val="sr-Latn-ME"/>
        </w:rPr>
        <w:t xml:space="preserve"> (vidjeti dio 6.6).</w:t>
      </w:r>
    </w:p>
    <w:p w14:paraId="7FF276F5" w14:textId="77777777" w:rsidR="00836B35" w:rsidRPr="00070F4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CA9416" w14:textId="77777777" w:rsidR="00396DFD" w:rsidRPr="00070F42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9FC5DD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6.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FARMACEUTSKI PODACI</w:t>
      </w:r>
    </w:p>
    <w:p w14:paraId="5576A020" w14:textId="77777777" w:rsidR="00836B35" w:rsidRPr="00070F4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E9DA98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6.1.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Lista pomoćnih supstanci</w:t>
      </w:r>
      <w:r w:rsidR="002E0135" w:rsidRPr="00070F42">
        <w:rPr>
          <w:b/>
          <w:bCs/>
          <w:sz w:val="22"/>
          <w:szCs w:val="22"/>
          <w:lang w:val="sr-Latn-ME"/>
        </w:rPr>
        <w:t xml:space="preserve"> (ekscipijenasa)</w:t>
      </w:r>
    </w:p>
    <w:p w14:paraId="067503BF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21D6FB5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Tabletno jezgro</w:t>
      </w:r>
      <w:r w:rsidRPr="00070F42">
        <w:rPr>
          <w:bCs/>
          <w:noProof/>
          <w:sz w:val="22"/>
          <w:szCs w:val="22"/>
          <w:lang w:val="sr-Latn-ME"/>
        </w:rPr>
        <w:t>:</w:t>
      </w:r>
    </w:p>
    <w:p w14:paraId="4E534ADE" w14:textId="7F26CFD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Kroskarmeloza</w:t>
      </w:r>
      <w:r w:rsidR="00D52AA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natrijum</w:t>
      </w:r>
    </w:p>
    <w:p w14:paraId="6C6C17DD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Celuloza, mikrokristalna</w:t>
      </w:r>
    </w:p>
    <w:p w14:paraId="09DC64BC" w14:textId="2129370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Hipromeloza</w:t>
      </w:r>
      <w:r w:rsidR="00D1014F" w:rsidRPr="00070F42">
        <w:rPr>
          <w:bCs/>
          <w:noProof/>
          <w:sz w:val="22"/>
          <w:szCs w:val="22"/>
          <w:lang w:val="sr-Latn-ME"/>
        </w:rPr>
        <w:t xml:space="preserve"> 5 cP</w:t>
      </w:r>
    </w:p>
    <w:p w14:paraId="6711460E" w14:textId="0F00D194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Natrijum</w:t>
      </w:r>
      <w:r w:rsidR="00D52AA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laurilsulfat</w:t>
      </w:r>
    </w:p>
    <w:p w14:paraId="1CB9650C" w14:textId="2D74DAFB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Magnezijum</w:t>
      </w:r>
      <w:r w:rsidR="00D52AA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stearat</w:t>
      </w:r>
    </w:p>
    <w:p w14:paraId="0F664EA9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2E45FF1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u w:val="single"/>
          <w:lang w:val="sr-Latn-ME"/>
        </w:rPr>
        <w:t>Film omotač</w:t>
      </w:r>
      <w:r w:rsidRPr="00070F42">
        <w:rPr>
          <w:bCs/>
          <w:noProof/>
          <w:sz w:val="22"/>
          <w:szCs w:val="22"/>
          <w:lang w:val="sr-Latn-ME"/>
        </w:rPr>
        <w:t>:</w:t>
      </w:r>
    </w:p>
    <w:p w14:paraId="6E418361" w14:textId="46B90B0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Hipromeloza</w:t>
      </w:r>
      <w:r w:rsidR="00D1014F" w:rsidRPr="00070F42">
        <w:rPr>
          <w:bCs/>
          <w:noProof/>
          <w:sz w:val="22"/>
          <w:szCs w:val="22"/>
          <w:lang w:val="sr-Latn-ME"/>
        </w:rPr>
        <w:t xml:space="preserve"> 15 cP</w:t>
      </w:r>
    </w:p>
    <w:p w14:paraId="625A107B" w14:textId="13D292F8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Makrogol 3350</w:t>
      </w:r>
    </w:p>
    <w:p w14:paraId="34371C6C" w14:textId="105CF55C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Titan</w:t>
      </w:r>
      <w:r w:rsidR="00D52AA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dioksid (E 171)</w:t>
      </w:r>
    </w:p>
    <w:p w14:paraId="414A17A0" w14:textId="593D85EA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Gvožđe</w:t>
      </w:r>
      <w:r w:rsidR="00D52AA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(III)</w:t>
      </w:r>
      <w:r w:rsidR="00D52AA5" w:rsidRPr="00070F42">
        <w:rPr>
          <w:bCs/>
          <w:noProof/>
          <w:sz w:val="22"/>
          <w:szCs w:val="22"/>
          <w:lang w:val="sr-Latn-ME"/>
        </w:rPr>
        <w:t xml:space="preserve"> </w:t>
      </w:r>
      <w:r w:rsidRPr="00070F42">
        <w:rPr>
          <w:bCs/>
          <w:noProof/>
          <w:sz w:val="22"/>
          <w:szCs w:val="22"/>
          <w:lang w:val="sr-Latn-ME"/>
        </w:rPr>
        <w:t>oksid, crveni (E 172)</w:t>
      </w:r>
    </w:p>
    <w:p w14:paraId="2073D36F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83177A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6.2.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Inkompatibilnost</w:t>
      </w:r>
      <w:r w:rsidR="002846DB" w:rsidRPr="00070F42">
        <w:rPr>
          <w:b/>
          <w:bCs/>
          <w:sz w:val="22"/>
          <w:szCs w:val="22"/>
          <w:lang w:val="sr-Latn-ME"/>
        </w:rPr>
        <w:t>i</w:t>
      </w:r>
    </w:p>
    <w:p w14:paraId="7EEE3507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13755611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Nije primjenljivo.</w:t>
      </w:r>
    </w:p>
    <w:p w14:paraId="3E28681B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2EA3E9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>6.3.</w:t>
      </w:r>
      <w:r w:rsidR="00C05DF8" w:rsidRPr="00070F42">
        <w:rPr>
          <w:b/>
          <w:bCs/>
          <w:sz w:val="22"/>
          <w:szCs w:val="22"/>
          <w:lang w:val="sr-Latn-ME"/>
        </w:rPr>
        <w:t xml:space="preserve">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Rok upotrebe</w:t>
      </w:r>
    </w:p>
    <w:p w14:paraId="29EFABE3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6AA1E10E" w14:textId="2FF39230" w:rsidR="003951A3" w:rsidRPr="00070F42" w:rsidRDefault="000D287C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>4</w:t>
      </w:r>
      <w:bookmarkStart w:id="2" w:name="_GoBack"/>
      <w:bookmarkEnd w:id="2"/>
      <w:r w:rsidR="003951A3" w:rsidRPr="00070F42">
        <w:rPr>
          <w:bCs/>
          <w:noProof/>
          <w:sz w:val="22"/>
          <w:szCs w:val="22"/>
          <w:lang w:val="sr-Latn-ME"/>
        </w:rPr>
        <w:t xml:space="preserve"> godine.</w:t>
      </w:r>
    </w:p>
    <w:p w14:paraId="2B52DBCA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C6AC6D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6.4.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70F42">
        <w:rPr>
          <w:b/>
          <w:bCs/>
          <w:sz w:val="22"/>
          <w:szCs w:val="22"/>
          <w:lang w:val="sr-Latn-ME"/>
        </w:rPr>
        <w:t xml:space="preserve"> lijeka</w:t>
      </w:r>
    </w:p>
    <w:p w14:paraId="4A372683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40CD5904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Lijek čuvati na temperaturi do 25°C.</w:t>
      </w:r>
    </w:p>
    <w:p w14:paraId="74D1957B" w14:textId="77777777" w:rsidR="00EC2532" w:rsidRPr="00070F42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607F41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6.5.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="002846DB" w:rsidRPr="00070F4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70F42">
        <w:rPr>
          <w:b/>
          <w:bCs/>
          <w:sz w:val="22"/>
          <w:szCs w:val="22"/>
          <w:lang w:val="sr-Latn-ME"/>
        </w:rPr>
        <w:t>pakovanja</w:t>
      </w:r>
      <w:r w:rsidR="00C06864" w:rsidRPr="00070F42">
        <w:rPr>
          <w:b/>
          <w:bCs/>
          <w:sz w:val="22"/>
          <w:szCs w:val="22"/>
          <w:lang w:val="sr-Latn-ME"/>
        </w:rPr>
        <w:t xml:space="preserve"> </w:t>
      </w:r>
    </w:p>
    <w:p w14:paraId="6292243B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25D8CD4C" w14:textId="0F29AEE1" w:rsidR="00D52AA5" w:rsidRPr="00070F42" w:rsidRDefault="00D52AA5" w:rsidP="00D52AA5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Unutrašnje pakovanje lijeka je PP/Alu blister sa 28 film tableta. Blister je pod</w:t>
      </w:r>
      <w:r w:rsidR="00CF4E00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eljen perforacijom na po 2 film tablete i svaki takav d</w:t>
      </w:r>
      <w:r w:rsidR="00CF4E00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o je ob</w:t>
      </w:r>
      <w:r w:rsidR="00CF4E00" w:rsidRPr="00070F42">
        <w:rPr>
          <w:bCs/>
          <w:noProof/>
          <w:sz w:val="22"/>
          <w:szCs w:val="22"/>
          <w:lang w:val="sr-Latn-ME"/>
        </w:rPr>
        <w:t>i</w:t>
      </w:r>
      <w:r w:rsidRPr="00070F42">
        <w:rPr>
          <w:bCs/>
          <w:noProof/>
          <w:sz w:val="22"/>
          <w:szCs w:val="22"/>
          <w:lang w:val="sr-Latn-ME"/>
        </w:rPr>
        <w:t>l</w:t>
      </w:r>
      <w:r w:rsidR="00CF4E00" w:rsidRPr="00070F42">
        <w:rPr>
          <w:bCs/>
          <w:noProof/>
          <w:sz w:val="22"/>
          <w:szCs w:val="22"/>
          <w:lang w:val="sr-Latn-ME"/>
        </w:rPr>
        <w:t>j</w:t>
      </w:r>
      <w:r w:rsidRPr="00070F42">
        <w:rPr>
          <w:bCs/>
          <w:noProof/>
          <w:sz w:val="22"/>
          <w:szCs w:val="22"/>
          <w:lang w:val="sr-Latn-ME"/>
        </w:rPr>
        <w:t>ežen svim podacima i podatkom o danu u ned</w:t>
      </w:r>
      <w:r w:rsidR="00611AC4" w:rsidRPr="00070F42">
        <w:rPr>
          <w:bCs/>
          <w:noProof/>
          <w:sz w:val="22"/>
          <w:szCs w:val="22"/>
          <w:lang w:val="sr-Latn-ME"/>
        </w:rPr>
        <w:t>j</w:t>
      </w:r>
      <w:r w:rsidRPr="00070F42">
        <w:rPr>
          <w:bCs/>
          <w:noProof/>
          <w:sz w:val="22"/>
          <w:szCs w:val="22"/>
          <w:lang w:val="sr-Latn-ME"/>
        </w:rPr>
        <w:t>elji (kalendarsko pakovanje).</w:t>
      </w:r>
    </w:p>
    <w:p w14:paraId="0948A72B" w14:textId="309441B7" w:rsidR="00D52AA5" w:rsidRPr="00070F42" w:rsidRDefault="00D52AA5" w:rsidP="00D52AA5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Spoljašnje pakovanje l</w:t>
      </w:r>
      <w:r w:rsidR="00CF4E00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eka je složiva kartonska kutija u kojoj se nalaze 4 blistera sa po 28 film tableta</w:t>
      </w:r>
    </w:p>
    <w:p w14:paraId="37584C96" w14:textId="7B7225F0" w:rsidR="00D52AA5" w:rsidRPr="00070F42" w:rsidRDefault="00D52AA5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(ukupno 112 film tableta) i Uputstvo za l</w:t>
      </w:r>
      <w:r w:rsidR="00CF4E00" w:rsidRPr="00070F42">
        <w:rPr>
          <w:bCs/>
          <w:noProof/>
          <w:sz w:val="22"/>
          <w:szCs w:val="22"/>
          <w:lang w:val="sr-Latn-ME"/>
        </w:rPr>
        <w:t>ij</w:t>
      </w:r>
      <w:r w:rsidRPr="00070F42">
        <w:rPr>
          <w:bCs/>
          <w:noProof/>
          <w:sz w:val="22"/>
          <w:szCs w:val="22"/>
          <w:lang w:val="sr-Latn-ME"/>
        </w:rPr>
        <w:t>ek.</w:t>
      </w:r>
      <w:r w:rsidRPr="00070F42" w:rsidDel="00D52AA5">
        <w:rPr>
          <w:bCs/>
          <w:noProof/>
          <w:sz w:val="22"/>
          <w:szCs w:val="22"/>
          <w:lang w:val="sr-Latn-ME"/>
        </w:rPr>
        <w:t xml:space="preserve"> </w:t>
      </w:r>
    </w:p>
    <w:p w14:paraId="3BFEA5EC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302940" w14:textId="77777777" w:rsidR="002846DB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6.6.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70F42">
        <w:rPr>
          <w:b/>
          <w:bCs/>
          <w:sz w:val="22"/>
          <w:szCs w:val="22"/>
          <w:lang w:val="sr-Latn-ME"/>
        </w:rPr>
        <w:t xml:space="preserve"> </w:t>
      </w:r>
      <w:r w:rsidR="00310F03" w:rsidRPr="00070F42">
        <w:rPr>
          <w:b/>
          <w:bCs/>
          <w:sz w:val="22"/>
          <w:szCs w:val="22"/>
          <w:lang w:val="sr-Latn-ME"/>
        </w:rPr>
        <w:t>(i druga uputs</w:t>
      </w:r>
      <w:r w:rsidR="004109FA" w:rsidRPr="00070F42">
        <w:rPr>
          <w:b/>
          <w:bCs/>
          <w:sz w:val="22"/>
          <w:szCs w:val="22"/>
          <w:lang w:val="sr-Latn-ME"/>
        </w:rPr>
        <w:t>t</w:t>
      </w:r>
      <w:r w:rsidR="00310F03" w:rsidRPr="00070F4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EA64563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4BC0E200" w14:textId="77777777" w:rsidR="003951A3" w:rsidRPr="00070F42" w:rsidRDefault="003951A3" w:rsidP="003951A3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070F42">
        <w:rPr>
          <w:noProof/>
          <w:sz w:val="22"/>
          <w:szCs w:val="22"/>
          <w:lang w:val="sr-Latn-ME"/>
        </w:rPr>
        <w:t>Ovaj lijek ima potencijalni rizik po okolinu. Svu neiskorišćenu količinu lijeka ili otpadnog materijala nakon njegove upotrebe treba ukloniti u skladu sa važećim propisima.</w:t>
      </w:r>
    </w:p>
    <w:p w14:paraId="59AB3FE9" w14:textId="77777777" w:rsidR="00B66A70" w:rsidRPr="00070F42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9BFA84F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8A8B04B" w14:textId="77777777" w:rsidR="00F8570A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7.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NOSILAC DOZVOLE</w:t>
      </w:r>
      <w:r w:rsidR="00483928" w:rsidRPr="00070F42">
        <w:rPr>
          <w:b/>
          <w:bCs/>
          <w:sz w:val="22"/>
          <w:szCs w:val="22"/>
          <w:lang w:val="sr-Latn-ME"/>
        </w:rPr>
        <w:t xml:space="preserve"> </w:t>
      </w:r>
    </w:p>
    <w:p w14:paraId="5B69AC8D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3217F90E" w14:textId="70C99F5B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noProof/>
          <w:sz w:val="22"/>
          <w:szCs w:val="22"/>
          <w:lang w:val="sr-Latn-ME"/>
        </w:rPr>
        <w:t>Evropa Lek Pharma d.o.o.</w:t>
      </w:r>
      <w:r w:rsidR="00611AC4" w:rsidRPr="00070F42">
        <w:rPr>
          <w:bCs/>
          <w:noProof/>
          <w:sz w:val="22"/>
          <w:szCs w:val="22"/>
          <w:lang w:val="sr-Latn-ME"/>
        </w:rPr>
        <w:t xml:space="preserve"> Podgorica</w:t>
      </w:r>
      <w:r w:rsidRPr="00070F42">
        <w:rPr>
          <w:bCs/>
          <w:noProof/>
          <w:sz w:val="22"/>
          <w:szCs w:val="22"/>
          <w:lang w:val="sr-Latn-ME"/>
        </w:rPr>
        <w:t>, Kritskog odreda 4/1, 81000 Podgorica, Crna Gora</w:t>
      </w:r>
    </w:p>
    <w:p w14:paraId="58982FFD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>BROJ DOZVOLE</w:t>
      </w:r>
      <w:r w:rsidR="008A6D43" w:rsidRPr="00070F4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371B331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04EF650F" w14:textId="4B44DC14" w:rsidR="00F45F77" w:rsidRPr="00070F42" w:rsidRDefault="008555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70F42">
        <w:rPr>
          <w:bCs/>
          <w:sz w:val="22"/>
          <w:szCs w:val="22"/>
          <w:lang w:val="sr-Latn-ME"/>
        </w:rPr>
        <w:t>2030/24/546 - 7864</w:t>
      </w:r>
    </w:p>
    <w:p w14:paraId="44CBD8B9" w14:textId="77777777" w:rsidR="00CF4E00" w:rsidRPr="00070F42" w:rsidRDefault="00CF4E0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049CBB" w14:textId="77777777" w:rsidR="0072020E" w:rsidRPr="00070F4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9.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Pr="00070F42">
        <w:rPr>
          <w:b/>
          <w:bCs/>
          <w:sz w:val="22"/>
          <w:szCs w:val="22"/>
          <w:lang w:val="sr-Latn-ME"/>
        </w:rPr>
        <w:t xml:space="preserve">DATUM </w:t>
      </w:r>
      <w:r w:rsidR="00C05DF8" w:rsidRPr="00070F42">
        <w:rPr>
          <w:b/>
          <w:bCs/>
          <w:sz w:val="22"/>
          <w:szCs w:val="22"/>
          <w:lang w:val="sr-Latn-ME"/>
        </w:rPr>
        <w:t xml:space="preserve">PRVE </w:t>
      </w:r>
      <w:r w:rsidR="008A6D43" w:rsidRPr="00070F42">
        <w:rPr>
          <w:b/>
          <w:bCs/>
          <w:sz w:val="22"/>
          <w:szCs w:val="22"/>
          <w:lang w:val="sr-Latn-ME"/>
        </w:rPr>
        <w:t>DOZVOLE</w:t>
      </w:r>
      <w:r w:rsidR="00C05DF8" w:rsidRPr="00070F42">
        <w:rPr>
          <w:b/>
          <w:bCs/>
          <w:sz w:val="22"/>
          <w:szCs w:val="22"/>
          <w:lang w:val="sr-Latn-ME"/>
        </w:rPr>
        <w:t>/OBNOVE DOZVOLE</w:t>
      </w:r>
      <w:r w:rsidR="008A6D43" w:rsidRPr="00070F4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3DF54A0" w14:textId="77777777" w:rsidR="003951A3" w:rsidRPr="00070F42" w:rsidRDefault="003951A3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29BE26F6" w14:textId="39F4D071" w:rsidR="003951A3" w:rsidRPr="00070F42" w:rsidRDefault="00CF4E00" w:rsidP="003951A3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  <w:r w:rsidRPr="00070F42">
        <w:rPr>
          <w:bCs/>
          <w:sz w:val="22"/>
          <w:szCs w:val="22"/>
          <w:lang w:val="sr-Latn-ME"/>
        </w:rPr>
        <w:t xml:space="preserve">Datum prve dozvole: </w:t>
      </w:r>
      <w:r w:rsidR="003951A3" w:rsidRPr="00070F42">
        <w:rPr>
          <w:bCs/>
          <w:noProof/>
          <w:sz w:val="22"/>
          <w:szCs w:val="22"/>
          <w:lang w:val="sr-Latn-ME"/>
        </w:rPr>
        <w:t>26.02.2010.</w:t>
      </w:r>
      <w:r w:rsidRPr="00070F42">
        <w:rPr>
          <w:bCs/>
          <w:noProof/>
          <w:sz w:val="22"/>
          <w:szCs w:val="22"/>
          <w:lang w:val="sr-Latn-ME"/>
        </w:rPr>
        <w:t xml:space="preserve"> godine</w:t>
      </w:r>
    </w:p>
    <w:p w14:paraId="5F381477" w14:textId="3A53E232" w:rsidR="00CF4E00" w:rsidRPr="00070F42" w:rsidRDefault="00CF4E00" w:rsidP="00CF4E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70F42">
        <w:rPr>
          <w:bCs/>
          <w:sz w:val="22"/>
          <w:szCs w:val="22"/>
          <w:lang w:val="sr-Latn-ME"/>
        </w:rPr>
        <w:t xml:space="preserve">Datum posljednje obnove dozvole: </w:t>
      </w:r>
      <w:r w:rsidR="00855573" w:rsidRPr="00070F42">
        <w:rPr>
          <w:bCs/>
          <w:sz w:val="22"/>
          <w:szCs w:val="22"/>
          <w:lang w:val="sr-Latn-ME"/>
        </w:rPr>
        <w:t>07.02.2024. godine</w:t>
      </w:r>
    </w:p>
    <w:p w14:paraId="1EFD9930" w14:textId="77777777" w:rsidR="0072020E" w:rsidRPr="00070F4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EA859B" w14:textId="77777777" w:rsidR="00836B35" w:rsidRPr="00070F4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144382" w14:textId="77777777" w:rsidR="003F6A59" w:rsidRPr="00070F42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070F42">
        <w:rPr>
          <w:b/>
          <w:bCs/>
          <w:sz w:val="22"/>
          <w:szCs w:val="22"/>
          <w:lang w:val="sr-Latn-ME"/>
        </w:rPr>
        <w:t xml:space="preserve">10. </w:t>
      </w:r>
      <w:r w:rsidR="00480FB1" w:rsidRPr="00070F42">
        <w:rPr>
          <w:b/>
          <w:bCs/>
          <w:sz w:val="22"/>
          <w:szCs w:val="22"/>
          <w:lang w:val="sr-Latn-ME"/>
        </w:rPr>
        <w:tab/>
      </w:r>
      <w:r w:rsidR="002846DB" w:rsidRPr="00070F42">
        <w:rPr>
          <w:b/>
          <w:bCs/>
          <w:sz w:val="22"/>
          <w:szCs w:val="22"/>
          <w:lang w:val="sr-Latn-ME"/>
        </w:rPr>
        <w:t>D</w:t>
      </w:r>
      <w:r w:rsidR="00EC2532" w:rsidRPr="00070F42">
        <w:rPr>
          <w:b/>
          <w:bCs/>
          <w:sz w:val="22"/>
          <w:szCs w:val="22"/>
          <w:lang w:val="sr-Latn-ME"/>
        </w:rPr>
        <w:t xml:space="preserve">ATUM REVIZIJE TEKSTA </w:t>
      </w:r>
    </w:p>
    <w:p w14:paraId="2D6E8E8C" w14:textId="77777777" w:rsidR="003F6A59" w:rsidRPr="00070F42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5F63CF" w14:textId="3C3E5A15" w:rsidR="008A6D43" w:rsidRPr="00070F42" w:rsidRDefault="000D287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r w:rsidR="00855573" w:rsidRPr="00070F42">
        <w:rPr>
          <w:bCs/>
          <w:sz w:val="22"/>
          <w:szCs w:val="22"/>
          <w:lang w:val="sr-Latn-ME"/>
        </w:rPr>
        <w:t>, 2024. godine</w:t>
      </w:r>
    </w:p>
    <w:sectPr w:rsidR="008A6D43" w:rsidRPr="00070F42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85DC" w14:textId="77777777" w:rsidR="00E3097C" w:rsidRDefault="00E3097C">
      <w:r>
        <w:separator/>
      </w:r>
    </w:p>
  </w:endnote>
  <w:endnote w:type="continuationSeparator" w:id="0">
    <w:p w14:paraId="6E70DEC3" w14:textId="77777777" w:rsidR="00E3097C" w:rsidRDefault="00E3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D8C0" w14:textId="47254110" w:rsidR="00D52AA5" w:rsidRPr="00B23F69" w:rsidRDefault="00D52AA5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D287C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D287C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2881F" w14:textId="77777777" w:rsidR="00E3097C" w:rsidRDefault="00E3097C">
      <w:r>
        <w:separator/>
      </w:r>
    </w:p>
  </w:footnote>
  <w:footnote w:type="continuationSeparator" w:id="0">
    <w:p w14:paraId="266878F1" w14:textId="77777777" w:rsidR="00E3097C" w:rsidRDefault="00E3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3.9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CA027FE"/>
    <w:multiLevelType w:val="hybridMultilevel"/>
    <w:tmpl w:val="ED9CF794"/>
    <w:lvl w:ilvl="0" w:tplc="0409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04B2"/>
    <w:multiLevelType w:val="hybridMultilevel"/>
    <w:tmpl w:val="AE36CA12"/>
    <w:lvl w:ilvl="0" w:tplc="04090003">
      <w:start w:val="1"/>
      <w:numFmt w:val="bullet"/>
      <w:lvlText w:val="o"/>
      <w:lvlJc w:val="left"/>
      <w:pPr>
        <w:ind w:left="900" w:hanging="54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6DB0"/>
    <w:rsid w:val="00036FA0"/>
    <w:rsid w:val="0003793F"/>
    <w:rsid w:val="0004536F"/>
    <w:rsid w:val="00057E35"/>
    <w:rsid w:val="00067F5A"/>
    <w:rsid w:val="00070F42"/>
    <w:rsid w:val="00076726"/>
    <w:rsid w:val="00080303"/>
    <w:rsid w:val="00095B3A"/>
    <w:rsid w:val="000A3F58"/>
    <w:rsid w:val="000D2343"/>
    <w:rsid w:val="000D287C"/>
    <w:rsid w:val="000D3449"/>
    <w:rsid w:val="000D425A"/>
    <w:rsid w:val="000D60CC"/>
    <w:rsid w:val="000E2084"/>
    <w:rsid w:val="000E6F55"/>
    <w:rsid w:val="000F1815"/>
    <w:rsid w:val="000F77FA"/>
    <w:rsid w:val="00107BF7"/>
    <w:rsid w:val="00113CF7"/>
    <w:rsid w:val="00126F53"/>
    <w:rsid w:val="0014766D"/>
    <w:rsid w:val="001536CC"/>
    <w:rsid w:val="00174AA9"/>
    <w:rsid w:val="001A09BC"/>
    <w:rsid w:val="001A3FBA"/>
    <w:rsid w:val="001A5518"/>
    <w:rsid w:val="001B1C6A"/>
    <w:rsid w:val="001B4565"/>
    <w:rsid w:val="001C1263"/>
    <w:rsid w:val="001C1417"/>
    <w:rsid w:val="001C6733"/>
    <w:rsid w:val="001D2548"/>
    <w:rsid w:val="001D5A9A"/>
    <w:rsid w:val="001E390B"/>
    <w:rsid w:val="001F007E"/>
    <w:rsid w:val="001F42FB"/>
    <w:rsid w:val="001F719A"/>
    <w:rsid w:val="002031B3"/>
    <w:rsid w:val="0021515E"/>
    <w:rsid w:val="00215931"/>
    <w:rsid w:val="00216252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93AE2"/>
    <w:rsid w:val="002A32AD"/>
    <w:rsid w:val="002B6EC2"/>
    <w:rsid w:val="002C6637"/>
    <w:rsid w:val="002E0135"/>
    <w:rsid w:val="002E31BA"/>
    <w:rsid w:val="002E37A5"/>
    <w:rsid w:val="002F0067"/>
    <w:rsid w:val="003011DE"/>
    <w:rsid w:val="00310F03"/>
    <w:rsid w:val="003200C9"/>
    <w:rsid w:val="003247D2"/>
    <w:rsid w:val="003445C1"/>
    <w:rsid w:val="00345888"/>
    <w:rsid w:val="0035474D"/>
    <w:rsid w:val="00355B61"/>
    <w:rsid w:val="0035789F"/>
    <w:rsid w:val="00362686"/>
    <w:rsid w:val="00371510"/>
    <w:rsid w:val="003951A3"/>
    <w:rsid w:val="00396DFD"/>
    <w:rsid w:val="003A7059"/>
    <w:rsid w:val="003B09AA"/>
    <w:rsid w:val="003B7A36"/>
    <w:rsid w:val="003C17AB"/>
    <w:rsid w:val="003C7823"/>
    <w:rsid w:val="003D1432"/>
    <w:rsid w:val="003E1DCC"/>
    <w:rsid w:val="003F08D9"/>
    <w:rsid w:val="003F11A1"/>
    <w:rsid w:val="003F6A59"/>
    <w:rsid w:val="004065C8"/>
    <w:rsid w:val="004109FA"/>
    <w:rsid w:val="00411B4B"/>
    <w:rsid w:val="00415BEE"/>
    <w:rsid w:val="00424E23"/>
    <w:rsid w:val="00427F85"/>
    <w:rsid w:val="00436436"/>
    <w:rsid w:val="00436F42"/>
    <w:rsid w:val="004378B4"/>
    <w:rsid w:val="00451314"/>
    <w:rsid w:val="00452E9D"/>
    <w:rsid w:val="004534C7"/>
    <w:rsid w:val="00457448"/>
    <w:rsid w:val="004671AA"/>
    <w:rsid w:val="00480FB1"/>
    <w:rsid w:val="00483928"/>
    <w:rsid w:val="004B434F"/>
    <w:rsid w:val="004C331F"/>
    <w:rsid w:val="004D3571"/>
    <w:rsid w:val="004D6103"/>
    <w:rsid w:val="004D707D"/>
    <w:rsid w:val="004E1976"/>
    <w:rsid w:val="004E3BCE"/>
    <w:rsid w:val="004E70AD"/>
    <w:rsid w:val="004F0E97"/>
    <w:rsid w:val="004F59AE"/>
    <w:rsid w:val="00501DD1"/>
    <w:rsid w:val="00503DA0"/>
    <w:rsid w:val="005149E5"/>
    <w:rsid w:val="00515C21"/>
    <w:rsid w:val="00530BD7"/>
    <w:rsid w:val="00532051"/>
    <w:rsid w:val="005332B0"/>
    <w:rsid w:val="00545CD2"/>
    <w:rsid w:val="005476F3"/>
    <w:rsid w:val="00562A86"/>
    <w:rsid w:val="00572527"/>
    <w:rsid w:val="00573E40"/>
    <w:rsid w:val="00576348"/>
    <w:rsid w:val="00582877"/>
    <w:rsid w:val="005A0B2E"/>
    <w:rsid w:val="005A23D2"/>
    <w:rsid w:val="005A36CB"/>
    <w:rsid w:val="005A5385"/>
    <w:rsid w:val="005B125E"/>
    <w:rsid w:val="005B49B8"/>
    <w:rsid w:val="005B663F"/>
    <w:rsid w:val="005C0741"/>
    <w:rsid w:val="005C1864"/>
    <w:rsid w:val="005C1F76"/>
    <w:rsid w:val="005C5EF4"/>
    <w:rsid w:val="005C6FEB"/>
    <w:rsid w:val="005D6459"/>
    <w:rsid w:val="005E2E0B"/>
    <w:rsid w:val="005E365A"/>
    <w:rsid w:val="005E7A7D"/>
    <w:rsid w:val="00602457"/>
    <w:rsid w:val="00604829"/>
    <w:rsid w:val="00611AC4"/>
    <w:rsid w:val="00644FC3"/>
    <w:rsid w:val="00646BD1"/>
    <w:rsid w:val="006561C2"/>
    <w:rsid w:val="0065699D"/>
    <w:rsid w:val="00656EE5"/>
    <w:rsid w:val="00671CB3"/>
    <w:rsid w:val="00674BAF"/>
    <w:rsid w:val="00681E12"/>
    <w:rsid w:val="00682200"/>
    <w:rsid w:val="00690254"/>
    <w:rsid w:val="00692BF6"/>
    <w:rsid w:val="00696A32"/>
    <w:rsid w:val="006A1497"/>
    <w:rsid w:val="006B0BD1"/>
    <w:rsid w:val="006B5404"/>
    <w:rsid w:val="006D20A5"/>
    <w:rsid w:val="006D37BF"/>
    <w:rsid w:val="00702E22"/>
    <w:rsid w:val="007178A5"/>
    <w:rsid w:val="0072020E"/>
    <w:rsid w:val="007746B9"/>
    <w:rsid w:val="00783850"/>
    <w:rsid w:val="00786071"/>
    <w:rsid w:val="007A3ECB"/>
    <w:rsid w:val="007B1DC1"/>
    <w:rsid w:val="007C4EE5"/>
    <w:rsid w:val="007D7BB3"/>
    <w:rsid w:val="00800786"/>
    <w:rsid w:val="0080254C"/>
    <w:rsid w:val="00824AB9"/>
    <w:rsid w:val="0082733C"/>
    <w:rsid w:val="00831AF8"/>
    <w:rsid w:val="008347EB"/>
    <w:rsid w:val="00836B35"/>
    <w:rsid w:val="00843BDE"/>
    <w:rsid w:val="00855573"/>
    <w:rsid w:val="0085732C"/>
    <w:rsid w:val="00866BA1"/>
    <w:rsid w:val="0087588C"/>
    <w:rsid w:val="0089705C"/>
    <w:rsid w:val="008A13FB"/>
    <w:rsid w:val="008A6D43"/>
    <w:rsid w:val="008B491E"/>
    <w:rsid w:val="008C1A28"/>
    <w:rsid w:val="008C2E98"/>
    <w:rsid w:val="008C7263"/>
    <w:rsid w:val="008E49BD"/>
    <w:rsid w:val="008E53E9"/>
    <w:rsid w:val="008E5771"/>
    <w:rsid w:val="008F4ACF"/>
    <w:rsid w:val="00907A1B"/>
    <w:rsid w:val="00911835"/>
    <w:rsid w:val="00924166"/>
    <w:rsid w:val="00925EEB"/>
    <w:rsid w:val="00940B9B"/>
    <w:rsid w:val="0095676E"/>
    <w:rsid w:val="00956983"/>
    <w:rsid w:val="00963CF0"/>
    <w:rsid w:val="00964BB1"/>
    <w:rsid w:val="009728BD"/>
    <w:rsid w:val="009775D9"/>
    <w:rsid w:val="0099456E"/>
    <w:rsid w:val="00997175"/>
    <w:rsid w:val="009A1847"/>
    <w:rsid w:val="009B062A"/>
    <w:rsid w:val="009B7936"/>
    <w:rsid w:val="009D216A"/>
    <w:rsid w:val="009E4FE2"/>
    <w:rsid w:val="009E799B"/>
    <w:rsid w:val="009E7C6F"/>
    <w:rsid w:val="009F1793"/>
    <w:rsid w:val="009F2D23"/>
    <w:rsid w:val="00A01D69"/>
    <w:rsid w:val="00A02335"/>
    <w:rsid w:val="00A03747"/>
    <w:rsid w:val="00A1565A"/>
    <w:rsid w:val="00A46C9A"/>
    <w:rsid w:val="00A619F3"/>
    <w:rsid w:val="00A62A73"/>
    <w:rsid w:val="00A82EF4"/>
    <w:rsid w:val="00A87FF6"/>
    <w:rsid w:val="00AA0A3B"/>
    <w:rsid w:val="00AA2763"/>
    <w:rsid w:val="00AA33B6"/>
    <w:rsid w:val="00AB1D71"/>
    <w:rsid w:val="00AB50CA"/>
    <w:rsid w:val="00AB6D64"/>
    <w:rsid w:val="00AC53CE"/>
    <w:rsid w:val="00AC72A1"/>
    <w:rsid w:val="00AD2193"/>
    <w:rsid w:val="00AD6A58"/>
    <w:rsid w:val="00AD7D89"/>
    <w:rsid w:val="00AF2AC7"/>
    <w:rsid w:val="00AF74CE"/>
    <w:rsid w:val="00B20351"/>
    <w:rsid w:val="00B208DB"/>
    <w:rsid w:val="00B20A30"/>
    <w:rsid w:val="00B23F69"/>
    <w:rsid w:val="00B27AA7"/>
    <w:rsid w:val="00B377A4"/>
    <w:rsid w:val="00B57566"/>
    <w:rsid w:val="00B57DED"/>
    <w:rsid w:val="00B60619"/>
    <w:rsid w:val="00B62463"/>
    <w:rsid w:val="00B64E63"/>
    <w:rsid w:val="00B66A70"/>
    <w:rsid w:val="00B67366"/>
    <w:rsid w:val="00B71F70"/>
    <w:rsid w:val="00B80EE1"/>
    <w:rsid w:val="00B84135"/>
    <w:rsid w:val="00BA5D38"/>
    <w:rsid w:val="00BC7FB1"/>
    <w:rsid w:val="00BD1402"/>
    <w:rsid w:val="00BE3C0C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45365"/>
    <w:rsid w:val="00C61BE0"/>
    <w:rsid w:val="00C6707E"/>
    <w:rsid w:val="00C70B0E"/>
    <w:rsid w:val="00C72CFB"/>
    <w:rsid w:val="00C76A44"/>
    <w:rsid w:val="00C773CA"/>
    <w:rsid w:val="00C824D3"/>
    <w:rsid w:val="00C83785"/>
    <w:rsid w:val="00C90E30"/>
    <w:rsid w:val="00C94C0D"/>
    <w:rsid w:val="00CA1FEB"/>
    <w:rsid w:val="00CB2974"/>
    <w:rsid w:val="00CB4940"/>
    <w:rsid w:val="00CC08A3"/>
    <w:rsid w:val="00CD15F0"/>
    <w:rsid w:val="00CD4F85"/>
    <w:rsid w:val="00CD5004"/>
    <w:rsid w:val="00CD6F02"/>
    <w:rsid w:val="00CD73D9"/>
    <w:rsid w:val="00CE246D"/>
    <w:rsid w:val="00CE5256"/>
    <w:rsid w:val="00CF07A0"/>
    <w:rsid w:val="00CF0F2E"/>
    <w:rsid w:val="00CF3E03"/>
    <w:rsid w:val="00CF4E00"/>
    <w:rsid w:val="00D0082A"/>
    <w:rsid w:val="00D10084"/>
    <w:rsid w:val="00D1014F"/>
    <w:rsid w:val="00D21455"/>
    <w:rsid w:val="00D47634"/>
    <w:rsid w:val="00D50D85"/>
    <w:rsid w:val="00D52AA5"/>
    <w:rsid w:val="00D66A8F"/>
    <w:rsid w:val="00D709B3"/>
    <w:rsid w:val="00D961D8"/>
    <w:rsid w:val="00DA2ED6"/>
    <w:rsid w:val="00DB4A7D"/>
    <w:rsid w:val="00DB7103"/>
    <w:rsid w:val="00DB76B8"/>
    <w:rsid w:val="00DC2EA1"/>
    <w:rsid w:val="00DD6AAF"/>
    <w:rsid w:val="00DE3F5C"/>
    <w:rsid w:val="00DF1D20"/>
    <w:rsid w:val="00E10F79"/>
    <w:rsid w:val="00E21324"/>
    <w:rsid w:val="00E246B9"/>
    <w:rsid w:val="00E26CE4"/>
    <w:rsid w:val="00E3097C"/>
    <w:rsid w:val="00E31FEA"/>
    <w:rsid w:val="00E45169"/>
    <w:rsid w:val="00E47787"/>
    <w:rsid w:val="00E50E3A"/>
    <w:rsid w:val="00E51C30"/>
    <w:rsid w:val="00E548FF"/>
    <w:rsid w:val="00E64180"/>
    <w:rsid w:val="00E74AEE"/>
    <w:rsid w:val="00E76F38"/>
    <w:rsid w:val="00E868E5"/>
    <w:rsid w:val="00E9237A"/>
    <w:rsid w:val="00E939FA"/>
    <w:rsid w:val="00EA5765"/>
    <w:rsid w:val="00EB5EBF"/>
    <w:rsid w:val="00EC003D"/>
    <w:rsid w:val="00EC2532"/>
    <w:rsid w:val="00ED5C87"/>
    <w:rsid w:val="00ED7812"/>
    <w:rsid w:val="00EF32AF"/>
    <w:rsid w:val="00EF3B86"/>
    <w:rsid w:val="00F317E9"/>
    <w:rsid w:val="00F34554"/>
    <w:rsid w:val="00F4025A"/>
    <w:rsid w:val="00F45F77"/>
    <w:rsid w:val="00F5167F"/>
    <w:rsid w:val="00F52258"/>
    <w:rsid w:val="00F63D60"/>
    <w:rsid w:val="00F8570A"/>
    <w:rsid w:val="00F914E6"/>
    <w:rsid w:val="00F91C7B"/>
    <w:rsid w:val="00FB602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BE80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1A3"/>
    <w:pPr>
      <w:ind w:left="720"/>
      <w:contextualSpacing/>
    </w:pPr>
  </w:style>
  <w:style w:type="paragraph" w:styleId="Revision">
    <w:name w:val="Revision"/>
    <w:hidden/>
    <w:uiPriority w:val="99"/>
    <w:semiHidden/>
    <w:rsid w:val="004D35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922D-4720-4073-A499-E357F41C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7932</Words>
  <Characters>45213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53039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4</cp:revision>
  <dcterms:created xsi:type="dcterms:W3CDTF">2024-03-14T08:38:00Z</dcterms:created>
  <dcterms:modified xsi:type="dcterms:W3CDTF">2024-10-28T10:43:00Z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marija.marjanovic@bayer.com</vt:lpwstr>
  </property>
  <property fmtid="{D5CDD505-2E9C-101B-9397-08002B2CF9AE}" pid="6" name="MSIP_Label_7f850223-87a8-40c3-9eb2-432606efca2a_SetDate">
    <vt:lpwstr>2021-07-09T13:55:30.8102102Z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ActionId">
    <vt:lpwstr>42411e49-96a1-4088-8c2c-51ac3ff4c6ca</vt:lpwstr>
  </property>
  <property fmtid="{D5CDD505-2E9C-101B-9397-08002B2CF9AE}" pid="10" name="MSIP_Label_7f850223-87a8-40c3-9eb2-432606efca2a_Extended_MSFT_Method">
    <vt:lpwstr>Automatic</vt:lpwstr>
  </property>
  <property fmtid="{D5CDD505-2E9C-101B-9397-08002B2CF9AE}" pid="11" name="Sensitivity">
    <vt:lpwstr>NO CLASSIFICATION</vt:lpwstr>
  </property>
</Properties>
</file>