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4A30C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077FDD94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F641E8D" w14:textId="77777777" w:rsidR="002510A5" w:rsidRPr="00D018AD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D018AD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14:paraId="4EF4F25F" w14:textId="77777777" w:rsidR="002510A5" w:rsidRPr="00D018AD" w:rsidRDefault="002510A5" w:rsidP="002510A5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2602F69D" w14:textId="77777777" w:rsidR="003C17AB" w:rsidRPr="00D018AD" w:rsidRDefault="003C17AB" w:rsidP="00CA1FEB">
      <w:pPr>
        <w:rPr>
          <w:sz w:val="22"/>
          <w:szCs w:val="22"/>
          <w:lang w:val="sr-Latn-RS"/>
        </w:rPr>
      </w:pPr>
    </w:p>
    <w:p w14:paraId="41EFD300" w14:textId="77777777" w:rsidR="00C37FD7" w:rsidRPr="00D018AD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87E705B" w14:textId="77777777" w:rsidR="00411B4B" w:rsidRPr="00D018A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>1.</w:t>
      </w:r>
      <w:r w:rsidR="00F5167F" w:rsidRPr="00D018AD">
        <w:rPr>
          <w:b/>
          <w:bCs/>
          <w:sz w:val="22"/>
          <w:szCs w:val="22"/>
          <w:lang w:val="sr-Latn-RS"/>
        </w:rPr>
        <w:tab/>
      </w:r>
      <w:r w:rsidR="002846DB" w:rsidRPr="00D018AD">
        <w:rPr>
          <w:b/>
          <w:bCs/>
          <w:sz w:val="22"/>
          <w:szCs w:val="22"/>
          <w:lang w:val="sr-Latn-RS"/>
        </w:rPr>
        <w:t xml:space="preserve">NAZIV </w:t>
      </w:r>
      <w:r w:rsidRPr="00D018AD">
        <w:rPr>
          <w:b/>
          <w:bCs/>
          <w:sz w:val="22"/>
          <w:szCs w:val="22"/>
          <w:lang w:val="sr-Latn-RS"/>
        </w:rPr>
        <w:t>LIJEKA</w:t>
      </w:r>
    </w:p>
    <w:p w14:paraId="15A9263B" w14:textId="77777777" w:rsidR="00EC2532" w:rsidRPr="00D018AD" w:rsidRDefault="00EC2532">
      <w:pPr>
        <w:rPr>
          <w:sz w:val="22"/>
          <w:szCs w:val="22"/>
          <w:lang w:val="sr-Latn-RS"/>
        </w:rPr>
      </w:pPr>
    </w:p>
    <w:p w14:paraId="292BDEAC" w14:textId="1A1DFC53" w:rsidR="004F0E1B" w:rsidRPr="00D018AD" w:rsidRDefault="004F0E1B" w:rsidP="004F0E1B">
      <w:pPr>
        <w:rPr>
          <w:i/>
          <w:iCs/>
          <w:color w:val="80808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Casenlax, 500</w:t>
      </w:r>
      <w:r w:rsidR="00017D28">
        <w:rPr>
          <w:noProof/>
          <w:color w:val="000000"/>
          <w:sz w:val="22"/>
          <w:szCs w:val="22"/>
          <w:lang w:val="sr-Latn-RS"/>
        </w:rPr>
        <w:t xml:space="preserve"> </w:t>
      </w:r>
      <w:r w:rsidRPr="00D018AD">
        <w:rPr>
          <w:noProof/>
          <w:color w:val="000000"/>
          <w:sz w:val="22"/>
          <w:szCs w:val="22"/>
          <w:lang w:val="sr-Latn-RS"/>
        </w:rPr>
        <w:t xml:space="preserve">mg/ml oralni rastvor </w:t>
      </w:r>
    </w:p>
    <w:p w14:paraId="130A45A7" w14:textId="77777777" w:rsidR="004F0E1B" w:rsidRPr="00D018AD" w:rsidRDefault="004F0E1B" w:rsidP="004F0E1B">
      <w:pPr>
        <w:rPr>
          <w:bCs/>
          <w:sz w:val="22"/>
          <w:szCs w:val="22"/>
          <w:lang w:val="sr-Latn-RS"/>
        </w:rPr>
      </w:pPr>
    </w:p>
    <w:p w14:paraId="0C1ED0FE" w14:textId="76E9BEC9" w:rsidR="004F0E1B" w:rsidRPr="00D018AD" w:rsidRDefault="004F0E1B" w:rsidP="004F0E1B">
      <w:pPr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 xml:space="preserve">INN: makrogol </w:t>
      </w:r>
    </w:p>
    <w:p w14:paraId="3257A0A2" w14:textId="77777777" w:rsidR="006D20A5" w:rsidRPr="00D018AD" w:rsidRDefault="006D20A5">
      <w:pPr>
        <w:rPr>
          <w:bCs/>
          <w:sz w:val="22"/>
          <w:szCs w:val="22"/>
          <w:lang w:val="sr-Latn-RS"/>
        </w:rPr>
      </w:pPr>
    </w:p>
    <w:p w14:paraId="0F1A7CF7" w14:textId="77777777" w:rsidR="00411B4B" w:rsidRPr="00D018A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2. </w:t>
      </w:r>
      <w:r w:rsidR="00F5167F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KVALITATIVNI I KVANTITATIVNI SASTAV</w:t>
      </w:r>
    </w:p>
    <w:p w14:paraId="0638B81F" w14:textId="77777777" w:rsidR="005A0B2E" w:rsidRPr="00D018AD" w:rsidRDefault="005A0B2E">
      <w:pPr>
        <w:rPr>
          <w:sz w:val="22"/>
          <w:szCs w:val="22"/>
          <w:lang w:val="sr-Latn-RS"/>
        </w:rPr>
      </w:pPr>
    </w:p>
    <w:p w14:paraId="44397A7D" w14:textId="30DFE01A" w:rsidR="004F0E1B" w:rsidRPr="00D018AD" w:rsidRDefault="004F0E1B" w:rsidP="004F0E1B">
      <w:pPr>
        <w:widowControl w:val="0"/>
        <w:autoSpaceDE w:val="0"/>
        <w:autoSpaceDN w:val="0"/>
        <w:spacing w:before="193" w:line="251" w:lineRule="exact"/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Jedan</w:t>
      </w:r>
      <w:r w:rsidRPr="00D018AD">
        <w:rPr>
          <w:spacing w:val="-6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ml</w:t>
      </w:r>
      <w:r w:rsidRPr="00D018AD">
        <w:rPr>
          <w:spacing w:val="-5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oralnog</w:t>
      </w:r>
      <w:r w:rsidRPr="00D018AD">
        <w:rPr>
          <w:spacing w:val="-5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rastvora</w:t>
      </w:r>
      <w:r w:rsidRPr="00D018AD">
        <w:rPr>
          <w:spacing w:val="-5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sadrži</w:t>
      </w:r>
      <w:r w:rsidRPr="00D018AD">
        <w:rPr>
          <w:spacing w:val="-6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500</w:t>
      </w:r>
      <w:r w:rsidRPr="00D018AD">
        <w:rPr>
          <w:spacing w:val="-5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mg</w:t>
      </w:r>
      <w:r w:rsidRPr="00D018AD">
        <w:rPr>
          <w:spacing w:val="-5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makrogola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pacing w:val="-4"/>
          <w:sz w:val="22"/>
          <w:szCs w:val="22"/>
          <w:lang w:val="sr-Latn-RS"/>
        </w:rPr>
        <w:t>4000</w:t>
      </w:r>
      <w:r w:rsidR="002274A7">
        <w:rPr>
          <w:spacing w:val="-4"/>
          <w:sz w:val="22"/>
          <w:szCs w:val="22"/>
          <w:lang w:val="sr-Latn-RS"/>
        </w:rPr>
        <w:t>.</w:t>
      </w:r>
      <w:bookmarkStart w:id="0" w:name="_GoBack"/>
      <w:bookmarkEnd w:id="0"/>
    </w:p>
    <w:p w14:paraId="309EC62A" w14:textId="77777777" w:rsidR="004F0E1B" w:rsidRPr="00D018AD" w:rsidRDefault="004F0E1B" w:rsidP="004F0E1B">
      <w:pPr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Pomoćne</w:t>
      </w:r>
      <w:r w:rsidRPr="00D018AD">
        <w:rPr>
          <w:spacing w:val="27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supstance</w:t>
      </w:r>
      <w:r w:rsidRPr="00D018AD">
        <w:rPr>
          <w:spacing w:val="27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sa</w:t>
      </w:r>
      <w:r w:rsidRPr="00D018AD">
        <w:rPr>
          <w:spacing w:val="30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potvrđenim</w:t>
      </w:r>
      <w:r w:rsidRPr="00D018AD">
        <w:rPr>
          <w:spacing w:val="31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dejstvom:</w:t>
      </w:r>
      <w:r w:rsidRPr="00D018AD">
        <w:rPr>
          <w:spacing w:val="32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jedan</w:t>
      </w:r>
      <w:r w:rsidRPr="00D018AD">
        <w:rPr>
          <w:spacing w:val="32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ml</w:t>
      </w:r>
      <w:r w:rsidRPr="00D018AD">
        <w:rPr>
          <w:spacing w:val="26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oralnog</w:t>
      </w:r>
      <w:r w:rsidRPr="00D018AD">
        <w:rPr>
          <w:spacing w:val="27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rastvora</w:t>
      </w:r>
      <w:r w:rsidRPr="00D018AD">
        <w:rPr>
          <w:spacing w:val="28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sadrži</w:t>
      </w:r>
      <w:r w:rsidRPr="00D018AD">
        <w:rPr>
          <w:spacing w:val="27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0,2</w:t>
      </w:r>
      <w:r w:rsidRPr="00D018AD">
        <w:rPr>
          <w:spacing w:val="28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mg</w:t>
      </w:r>
      <w:r w:rsidRPr="00D018AD">
        <w:rPr>
          <w:spacing w:val="28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natrijum</w:t>
      </w:r>
      <w:r w:rsidRPr="00D018AD">
        <w:rPr>
          <w:spacing w:val="27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 xml:space="preserve">benzoata (E211) i manje od 1 mmol (23 mg) natrijuma </w:t>
      </w:r>
    </w:p>
    <w:p w14:paraId="64BCB5E3" w14:textId="77777777" w:rsidR="004F0E1B" w:rsidRPr="00D018AD" w:rsidRDefault="004F0E1B" w:rsidP="004F0E1B">
      <w:pPr>
        <w:jc w:val="both"/>
        <w:rPr>
          <w:sz w:val="22"/>
          <w:szCs w:val="22"/>
          <w:lang w:val="sr-Latn-RS"/>
        </w:rPr>
      </w:pPr>
    </w:p>
    <w:p w14:paraId="48FC2D11" w14:textId="334D1EAE" w:rsidR="0003793F" w:rsidRPr="00D018AD" w:rsidRDefault="00B00443" w:rsidP="004F0E1B">
      <w:pPr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Za spisak svih ekscipijenasa, pogledati dio 6.1.</w:t>
      </w:r>
    </w:p>
    <w:p w14:paraId="0D59BAAC" w14:textId="77777777" w:rsidR="0003793F" w:rsidRPr="00D018AD" w:rsidRDefault="0003793F">
      <w:pPr>
        <w:rPr>
          <w:sz w:val="22"/>
          <w:szCs w:val="22"/>
          <w:lang w:val="sr-Latn-RS"/>
        </w:rPr>
      </w:pPr>
    </w:p>
    <w:p w14:paraId="465B15A0" w14:textId="77777777" w:rsidR="00C37FD7" w:rsidRPr="00D018AD" w:rsidRDefault="00C37FD7">
      <w:pPr>
        <w:rPr>
          <w:sz w:val="22"/>
          <w:szCs w:val="22"/>
          <w:lang w:val="sr-Latn-RS"/>
        </w:rPr>
      </w:pPr>
    </w:p>
    <w:p w14:paraId="2F597D5B" w14:textId="77777777" w:rsidR="00411B4B" w:rsidRPr="00D018A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3. </w:t>
      </w:r>
      <w:r w:rsidR="00F5167F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FARMACEUTSKI OBLIK</w:t>
      </w:r>
      <w:r w:rsidR="009F2D23" w:rsidRPr="00D018AD">
        <w:rPr>
          <w:b/>
          <w:bCs/>
          <w:sz w:val="22"/>
          <w:szCs w:val="22"/>
          <w:lang w:val="sr-Latn-RS"/>
        </w:rPr>
        <w:t xml:space="preserve"> </w:t>
      </w:r>
    </w:p>
    <w:p w14:paraId="172AEAEC" w14:textId="77777777" w:rsidR="00411B4B" w:rsidRPr="00D018AD" w:rsidRDefault="00411B4B">
      <w:pPr>
        <w:rPr>
          <w:bCs/>
          <w:sz w:val="22"/>
          <w:szCs w:val="22"/>
          <w:lang w:val="sr-Latn-RS"/>
        </w:rPr>
      </w:pPr>
    </w:p>
    <w:p w14:paraId="5419E576" w14:textId="77777777" w:rsidR="004F0E1B" w:rsidRPr="00D018AD" w:rsidRDefault="004F0E1B" w:rsidP="004F0E1B">
      <w:pPr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Oralni rastvor.</w:t>
      </w:r>
    </w:p>
    <w:p w14:paraId="6E80F7AC" w14:textId="7B7EA0C4" w:rsidR="00B00443" w:rsidRPr="00D018AD" w:rsidRDefault="004F0E1B" w:rsidP="004F0E1B">
      <w:pPr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Bistar, bezbojni rastvor, bez mirisa i ukusa</w:t>
      </w:r>
      <w:r w:rsidR="00105384" w:rsidRPr="00D018AD">
        <w:rPr>
          <w:noProof/>
          <w:color w:val="000000"/>
          <w:sz w:val="22"/>
          <w:szCs w:val="22"/>
          <w:lang w:val="sr-Latn-RS"/>
        </w:rPr>
        <w:t>.</w:t>
      </w:r>
    </w:p>
    <w:p w14:paraId="02B28045" w14:textId="360CFFA2" w:rsidR="004F0E1B" w:rsidRDefault="004F0E1B" w:rsidP="004F0E1B">
      <w:pPr>
        <w:rPr>
          <w:bCs/>
          <w:sz w:val="22"/>
          <w:szCs w:val="22"/>
          <w:lang w:val="sr-Latn-RS"/>
        </w:rPr>
      </w:pPr>
    </w:p>
    <w:p w14:paraId="2BB7B71B" w14:textId="77777777" w:rsidR="002C441F" w:rsidRPr="00D018AD" w:rsidRDefault="002C441F" w:rsidP="004F0E1B">
      <w:pPr>
        <w:rPr>
          <w:bCs/>
          <w:sz w:val="22"/>
          <w:szCs w:val="22"/>
          <w:lang w:val="sr-Latn-RS"/>
        </w:rPr>
      </w:pPr>
    </w:p>
    <w:p w14:paraId="13459323" w14:textId="77777777" w:rsidR="00411B4B" w:rsidRPr="00D018A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KLINIČKI PODACI</w:t>
      </w:r>
    </w:p>
    <w:p w14:paraId="6F2A66AD" w14:textId="77777777" w:rsidR="00CD6F02" w:rsidRPr="00D018AD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8B1E732" w14:textId="77777777" w:rsidR="00411B4B" w:rsidRPr="00D018AD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4.1.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Terapijske indikacije</w:t>
      </w:r>
    </w:p>
    <w:p w14:paraId="07D8F2AB" w14:textId="77777777" w:rsidR="00B00443" w:rsidRPr="00D018AD" w:rsidRDefault="00B004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5EE3771" w14:textId="77777777" w:rsidR="004F0E1B" w:rsidRPr="00D018AD" w:rsidRDefault="004F0E1B" w:rsidP="004F0E1B">
      <w:pPr>
        <w:spacing w:after="120"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Simptomatska terapija opstipacije kod djece uzrasta od 6 mjeseci do 8 godina.</w:t>
      </w:r>
    </w:p>
    <w:p w14:paraId="0CBD8D19" w14:textId="31E3FA52" w:rsidR="00B00443" w:rsidRPr="00D018AD" w:rsidRDefault="004F0E1B" w:rsidP="004F0E1B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Prije početka terapije je potrebno isključiti mogućnost organskog poremećaja, posebno kod djece mlađe od 2 godine. Liječenje lijekom Casenlax treba da bude privremeno, ne duž</w:t>
      </w:r>
      <w:r w:rsidR="00EA5B75" w:rsidRPr="00D018AD">
        <w:rPr>
          <w:sz w:val="22"/>
          <w:szCs w:val="22"/>
          <w:lang w:val="sr-Latn-RS"/>
        </w:rPr>
        <w:t>e</w:t>
      </w:r>
      <w:r w:rsidRPr="00D018AD">
        <w:rPr>
          <w:sz w:val="22"/>
          <w:szCs w:val="22"/>
          <w:lang w:val="sr-Latn-RS"/>
        </w:rPr>
        <w:t xml:space="preserve"> od 3 m</w:t>
      </w:r>
      <w:r w:rsidR="00EA5B75" w:rsidRPr="00D018AD">
        <w:rPr>
          <w:sz w:val="22"/>
          <w:szCs w:val="22"/>
          <w:lang w:val="sr-Latn-RS"/>
        </w:rPr>
        <w:t>j</w:t>
      </w:r>
      <w:r w:rsidRPr="00D018AD">
        <w:rPr>
          <w:sz w:val="22"/>
          <w:szCs w:val="22"/>
          <w:lang w:val="sr-Latn-RS"/>
        </w:rPr>
        <w:t>eseca</w:t>
      </w:r>
      <w:r w:rsidR="00EA5B75" w:rsidRPr="00D018AD">
        <w:rPr>
          <w:sz w:val="22"/>
          <w:szCs w:val="22"/>
          <w:lang w:val="sr-Latn-RS"/>
        </w:rPr>
        <w:t>,</w:t>
      </w:r>
      <w:r w:rsidRPr="00D018AD">
        <w:rPr>
          <w:sz w:val="22"/>
          <w:szCs w:val="22"/>
          <w:lang w:val="sr-Latn-RS"/>
        </w:rPr>
        <w:t xml:space="preserve"> i u kombinaciji sa odgovarajućim</w:t>
      </w:r>
      <w:r w:rsidRPr="00D018AD">
        <w:rPr>
          <w:spacing w:val="40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načinom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života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i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dijetetskim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režimom. Ukoliko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se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simptomi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nastave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i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pored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="00EA5B75" w:rsidRPr="00D018AD">
        <w:rPr>
          <w:spacing w:val="-3"/>
          <w:sz w:val="22"/>
          <w:szCs w:val="22"/>
          <w:lang w:val="sr-Latn-RS"/>
        </w:rPr>
        <w:t xml:space="preserve">zdravog načina života i </w:t>
      </w:r>
      <w:r w:rsidRPr="00D018AD">
        <w:rPr>
          <w:sz w:val="22"/>
          <w:szCs w:val="22"/>
          <w:lang w:val="sr-Latn-RS"/>
        </w:rPr>
        <w:t>propisanih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mjera dijete, potrebno je ustanoviti i tretirati osnovni uzrok nastanka simptoma</w:t>
      </w:r>
      <w:r w:rsidR="00B00443" w:rsidRPr="00D018AD">
        <w:rPr>
          <w:noProof/>
          <w:color w:val="000000"/>
          <w:sz w:val="22"/>
          <w:szCs w:val="22"/>
          <w:lang w:val="sr-Latn-RS"/>
        </w:rPr>
        <w:t>.</w:t>
      </w:r>
    </w:p>
    <w:p w14:paraId="6BFF35D0" w14:textId="77777777" w:rsidR="00411B4B" w:rsidRPr="00D018AD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8C065CC" w14:textId="77777777" w:rsidR="00411B4B" w:rsidRPr="00D018AD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4.2.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Doziranje i način primjene</w:t>
      </w:r>
    </w:p>
    <w:p w14:paraId="63A42E30" w14:textId="77777777" w:rsidR="00B00443" w:rsidRPr="00D018AD" w:rsidRDefault="00B004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FE3EEAC" w14:textId="77777777" w:rsidR="00452E9D" w:rsidRPr="00D018AD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D018AD">
        <w:rPr>
          <w:bCs/>
          <w:sz w:val="22"/>
          <w:szCs w:val="22"/>
          <w:u w:val="single"/>
          <w:lang w:val="sr-Latn-RS"/>
        </w:rPr>
        <w:t>Doziranje</w:t>
      </w:r>
    </w:p>
    <w:p w14:paraId="12FF595D" w14:textId="77777777" w:rsidR="00B00443" w:rsidRPr="00D018AD" w:rsidRDefault="00B00443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30AD3A53" w14:textId="77777777" w:rsidR="004F0E1B" w:rsidRPr="00D018AD" w:rsidRDefault="004F0E1B" w:rsidP="004F0E1B">
      <w:pPr>
        <w:spacing w:after="120" w:line="256" w:lineRule="auto"/>
        <w:ind w:left="-5" w:hanging="10"/>
        <w:jc w:val="both"/>
        <w:rPr>
          <w:i/>
          <w:iCs/>
          <w:noProof/>
          <w:color w:val="000000"/>
          <w:sz w:val="22"/>
          <w:szCs w:val="22"/>
          <w:lang w:val="sr-Latn-RS"/>
        </w:rPr>
      </w:pPr>
      <w:r w:rsidRPr="00D018AD">
        <w:rPr>
          <w:i/>
          <w:iCs/>
          <w:noProof/>
          <w:color w:val="000000"/>
          <w:sz w:val="22"/>
          <w:szCs w:val="22"/>
          <w:lang w:val="sr-Latn-RS"/>
        </w:rPr>
        <w:t>Pedijatrijska populacija</w:t>
      </w:r>
    </w:p>
    <w:p w14:paraId="00A3540E" w14:textId="090D2805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Za djecu uzrasta od 6 m</w:t>
      </w:r>
      <w:r w:rsidR="00EA5B75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eseci do 1 godine: 8 ml dnevno.</w:t>
      </w:r>
    </w:p>
    <w:p w14:paraId="14DC3EA8" w14:textId="77777777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Za djecu uzrasta od 1 godine do 4 godine: 8 ml do 16 ml dnevno. </w:t>
      </w:r>
    </w:p>
    <w:p w14:paraId="605C74E5" w14:textId="2FD71629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Za d</w:t>
      </w:r>
      <w:r w:rsidR="00EA5B75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ecu uzrasta od 4 godine do 8 godina: 16 ml do 32 ml dnevno.</w:t>
      </w:r>
    </w:p>
    <w:p w14:paraId="55FD4D91" w14:textId="77777777" w:rsidR="004F0E1B" w:rsidRPr="00D018AD" w:rsidRDefault="004F0E1B" w:rsidP="004F0E1B">
      <w:pPr>
        <w:spacing w:line="259" w:lineRule="auto"/>
        <w:jc w:val="both"/>
        <w:rPr>
          <w:b/>
          <w:bCs/>
          <w:i/>
          <w:noProof/>
          <w:color w:val="000000"/>
          <w:sz w:val="22"/>
          <w:szCs w:val="22"/>
          <w:lang w:val="sr-Latn-RS"/>
        </w:rPr>
      </w:pPr>
    </w:p>
    <w:p w14:paraId="7195AA0F" w14:textId="49137352" w:rsidR="004F0E1B" w:rsidRPr="00D018AD" w:rsidRDefault="004F0E1B" w:rsidP="004F0E1B">
      <w:pPr>
        <w:spacing w:after="120"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iCs/>
          <w:noProof/>
          <w:color w:val="000000"/>
          <w:sz w:val="22"/>
          <w:szCs w:val="22"/>
          <w:lang w:val="sr-Latn-RS"/>
        </w:rPr>
        <w:t>Kod d</w:t>
      </w:r>
      <w:r w:rsidR="00EA5B75" w:rsidRPr="00D018AD">
        <w:rPr>
          <w:iCs/>
          <w:noProof/>
          <w:color w:val="000000"/>
          <w:sz w:val="22"/>
          <w:szCs w:val="22"/>
          <w:lang w:val="sr-Latn-RS"/>
        </w:rPr>
        <w:t>j</w:t>
      </w:r>
      <w:r w:rsidRPr="00D018AD">
        <w:rPr>
          <w:iCs/>
          <w:noProof/>
          <w:color w:val="000000"/>
          <w:sz w:val="22"/>
          <w:szCs w:val="22"/>
          <w:lang w:val="sr-Latn-RS"/>
        </w:rPr>
        <w:t>ece, liječenje lijekom Casenlax ne bi trebalo da traje duže od 3 m</w:t>
      </w:r>
      <w:r w:rsidR="00EA5B75" w:rsidRPr="00D018AD">
        <w:rPr>
          <w:iCs/>
          <w:noProof/>
          <w:color w:val="000000"/>
          <w:sz w:val="22"/>
          <w:szCs w:val="22"/>
          <w:lang w:val="sr-Latn-RS"/>
        </w:rPr>
        <w:t>j</w:t>
      </w:r>
      <w:r w:rsidRPr="00D018AD">
        <w:rPr>
          <w:iCs/>
          <w:noProof/>
          <w:color w:val="000000"/>
          <w:sz w:val="22"/>
          <w:szCs w:val="22"/>
          <w:lang w:val="sr-Latn-RS"/>
        </w:rPr>
        <w:t>eseca, usl</w:t>
      </w:r>
      <w:r w:rsidR="00EA5B75" w:rsidRPr="00D018AD">
        <w:rPr>
          <w:iCs/>
          <w:noProof/>
          <w:color w:val="000000"/>
          <w:sz w:val="22"/>
          <w:szCs w:val="22"/>
          <w:lang w:val="sr-Latn-RS"/>
        </w:rPr>
        <w:t>j</w:t>
      </w:r>
      <w:r w:rsidRPr="00D018AD">
        <w:rPr>
          <w:iCs/>
          <w:noProof/>
          <w:color w:val="000000"/>
          <w:sz w:val="22"/>
          <w:szCs w:val="22"/>
          <w:lang w:val="sr-Latn-RS"/>
        </w:rPr>
        <w:t>ed nedostatka kliničkih podataka o liječenju koje traje duže od 3 mjeseca. Liječenjem indukovano ponovno uspostavljanje motiliteta cr</w:t>
      </w:r>
      <w:r w:rsidR="00997D9F" w:rsidRPr="00D018AD">
        <w:rPr>
          <w:iCs/>
          <w:noProof/>
          <w:color w:val="000000"/>
          <w:sz w:val="22"/>
          <w:szCs w:val="22"/>
          <w:lang w:val="sr-Latn-RS"/>
        </w:rPr>
        <w:t>ij</w:t>
      </w:r>
      <w:r w:rsidRPr="00D018AD">
        <w:rPr>
          <w:iCs/>
          <w:noProof/>
          <w:color w:val="000000"/>
          <w:sz w:val="22"/>
          <w:szCs w:val="22"/>
          <w:lang w:val="sr-Latn-RS"/>
        </w:rPr>
        <w:t>eva se održava pravilnim načinom života i ishrane</w:t>
      </w:r>
      <w:r w:rsidRPr="00D018AD">
        <w:rPr>
          <w:noProof/>
          <w:color w:val="000000"/>
          <w:sz w:val="22"/>
          <w:szCs w:val="22"/>
          <w:lang w:val="sr-Latn-RS"/>
        </w:rPr>
        <w:t>.</w:t>
      </w:r>
    </w:p>
    <w:p w14:paraId="3EF40AD4" w14:textId="389126F1" w:rsidR="00B00443" w:rsidRPr="00D018AD" w:rsidRDefault="004F0E1B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Liječenje </w:t>
      </w:r>
      <w:r w:rsidR="00997D9F" w:rsidRPr="00D018AD">
        <w:rPr>
          <w:noProof/>
          <w:color w:val="000000"/>
          <w:sz w:val="22"/>
          <w:szCs w:val="22"/>
          <w:lang w:val="sr-Latn-RS"/>
        </w:rPr>
        <w:t>bi trebalo</w:t>
      </w:r>
      <w:r w:rsidRPr="00D018AD">
        <w:rPr>
          <w:noProof/>
          <w:color w:val="000000"/>
          <w:sz w:val="22"/>
          <w:szCs w:val="22"/>
          <w:lang w:val="sr-Latn-RS"/>
        </w:rPr>
        <w:t xml:space="preserve"> postepeno obustavljati i nastaviti  ukoliko dođe do ponovne pojave opstipacije</w:t>
      </w:r>
      <w:r w:rsidR="00B00443" w:rsidRPr="00D018AD">
        <w:rPr>
          <w:noProof/>
          <w:color w:val="000000"/>
          <w:sz w:val="22"/>
          <w:szCs w:val="22"/>
          <w:lang w:val="sr-Latn-RS"/>
        </w:rPr>
        <w:t>.</w:t>
      </w:r>
    </w:p>
    <w:p w14:paraId="19237284" w14:textId="77777777" w:rsidR="00B00443" w:rsidRPr="00D018AD" w:rsidRDefault="00B00443" w:rsidP="00B00443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</w:p>
    <w:p w14:paraId="4A231F9C" w14:textId="77777777" w:rsid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6EA2912B" w14:textId="77777777" w:rsid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438D3159" w14:textId="77777777" w:rsid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59DA59CD" w14:textId="4084D932" w:rsidR="00452E9D" w:rsidRPr="00D018AD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D018AD">
        <w:rPr>
          <w:bCs/>
          <w:sz w:val="22"/>
          <w:szCs w:val="22"/>
          <w:u w:val="single"/>
          <w:lang w:val="sr-Latn-RS"/>
        </w:rPr>
        <w:t>Način primjene</w:t>
      </w:r>
    </w:p>
    <w:p w14:paraId="37B5B10F" w14:textId="151529F7" w:rsidR="00997D9F" w:rsidRPr="00D018AD" w:rsidRDefault="00997D9F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67F79A1B" w14:textId="16C021DE" w:rsidR="00997D9F" w:rsidRPr="00D018AD" w:rsidRDefault="00997D9F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D018AD">
        <w:rPr>
          <w:bCs/>
          <w:sz w:val="22"/>
          <w:szCs w:val="22"/>
          <w:u w:val="single"/>
          <w:lang w:val="sr-Latn-RS"/>
        </w:rPr>
        <w:t>Oralna primjena.</w:t>
      </w:r>
    </w:p>
    <w:p w14:paraId="16357A78" w14:textId="77777777" w:rsidR="00B00443" w:rsidRPr="00D018AD" w:rsidRDefault="00B00443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53E8F2B0" w14:textId="77777777" w:rsidR="00997D9F" w:rsidRPr="00D018AD" w:rsidRDefault="004F0E1B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Preporučuje se doziranje oralnog rastvora pomoću šprica koji se nalazi u pakovanju. </w:t>
      </w:r>
    </w:p>
    <w:p w14:paraId="6E483A67" w14:textId="77777777" w:rsidR="00997D9F" w:rsidRPr="00D018AD" w:rsidRDefault="00997D9F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</w:p>
    <w:p w14:paraId="75A9428C" w14:textId="48CDD17F" w:rsidR="004F0E1B" w:rsidRPr="00D018AD" w:rsidRDefault="004F0E1B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Dnevna doza od 8 ml treba da se daje ujutru, a veće dnevne doze treba pod</w:t>
      </w:r>
      <w:r w:rsidR="00997D9F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eliti između jutra i večeri.</w:t>
      </w:r>
    </w:p>
    <w:p w14:paraId="796AFD9A" w14:textId="77777777" w:rsidR="004F0E1B" w:rsidRPr="00D018AD" w:rsidRDefault="004F0E1B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Nakon svake doze, preporučuje se unošenje 125 ml tečnosti (npr. vode).</w:t>
      </w:r>
    </w:p>
    <w:p w14:paraId="188FE9D2" w14:textId="77777777" w:rsidR="004F0E1B" w:rsidRPr="00D018AD" w:rsidRDefault="004F0E1B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</w:p>
    <w:p w14:paraId="6409CDEA" w14:textId="6A8E6B0F" w:rsidR="004F0E1B" w:rsidRPr="00D018AD" w:rsidRDefault="004F0E1B" w:rsidP="004F0E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Efekat lijeka Casenlax se javlja u roku od 24 do 48 sati nakon primjene.</w:t>
      </w:r>
    </w:p>
    <w:p w14:paraId="74AE0805" w14:textId="77777777" w:rsidR="00997D9F" w:rsidRPr="00D018AD" w:rsidRDefault="00997D9F" w:rsidP="004F0E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8B3F6E6" w14:textId="5B94D950" w:rsidR="00452E9D" w:rsidRPr="00D018AD" w:rsidRDefault="004F0E1B" w:rsidP="004F0E1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Dnevnu dozu treba prilagoditi u skladu sa dobijenim kliničkim odgovorom.</w:t>
      </w:r>
    </w:p>
    <w:p w14:paraId="58C42F4B" w14:textId="77777777" w:rsidR="004F0E1B" w:rsidRPr="00D018AD" w:rsidRDefault="004F0E1B" w:rsidP="004F0E1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B139ED6" w14:textId="77777777" w:rsidR="00411B4B" w:rsidRPr="00D018AD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4.3.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Kontraindikacije</w:t>
      </w:r>
    </w:p>
    <w:p w14:paraId="1F7F2454" w14:textId="77777777" w:rsidR="00B00443" w:rsidRPr="00D018AD" w:rsidRDefault="00B004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6ADE4BE" w14:textId="320A8EC8" w:rsidR="00B00443" w:rsidRPr="00D018AD" w:rsidRDefault="00B00443" w:rsidP="00B00443">
      <w:pPr>
        <w:pStyle w:val="ListParagraph"/>
        <w:numPr>
          <w:ilvl w:val="0"/>
          <w:numId w:val="12"/>
        </w:numPr>
        <w:spacing w:after="9" w:line="256" w:lineRule="auto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Preosjetljivost na aktivnu supstancu ili na bilo koju od pomoćnih supstanci navedenih u dijelu 6.1.</w:t>
      </w:r>
      <w:r w:rsidR="00851D6B" w:rsidRPr="00D018AD">
        <w:rPr>
          <w:noProof/>
          <w:color w:val="000000"/>
          <w:sz w:val="22"/>
          <w:szCs w:val="22"/>
          <w:lang w:val="sr-Latn-RS"/>
        </w:rPr>
        <w:t>;</w:t>
      </w:r>
    </w:p>
    <w:p w14:paraId="582CF52F" w14:textId="338FB787" w:rsidR="00B00443" w:rsidRPr="00D018AD" w:rsidRDefault="00B00443" w:rsidP="00B00443">
      <w:pPr>
        <w:pStyle w:val="ListParagraph"/>
        <w:numPr>
          <w:ilvl w:val="0"/>
          <w:numId w:val="12"/>
        </w:numPr>
        <w:spacing w:after="14" w:line="256" w:lineRule="auto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Teška zapaljenska bolest crijeva (kao što su ulcerozni kolitis, Kronova bolest) i/ili toksični megakolon, udruženi sa simptomatskom stenozom</w:t>
      </w:r>
      <w:r w:rsidR="00851D6B" w:rsidRPr="00D018AD">
        <w:rPr>
          <w:noProof/>
          <w:color w:val="000000"/>
          <w:sz w:val="22"/>
          <w:szCs w:val="22"/>
          <w:lang w:val="sr-Latn-RS"/>
        </w:rPr>
        <w:t>;</w:t>
      </w:r>
    </w:p>
    <w:p w14:paraId="4FC6F3B3" w14:textId="2B8096ED" w:rsidR="00B00443" w:rsidRPr="00D018AD" w:rsidRDefault="00B00443" w:rsidP="00B00443">
      <w:pPr>
        <w:pStyle w:val="ListParagraph"/>
        <w:numPr>
          <w:ilvl w:val="0"/>
          <w:numId w:val="12"/>
        </w:numPr>
        <w:spacing w:after="14" w:line="256" w:lineRule="auto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Perforacija digestivnog trakta ili rizik od perforacije</w:t>
      </w:r>
      <w:r w:rsidR="00851D6B" w:rsidRPr="00D018AD">
        <w:rPr>
          <w:noProof/>
          <w:color w:val="000000"/>
          <w:sz w:val="22"/>
          <w:szCs w:val="22"/>
          <w:lang w:val="sr-Latn-RS"/>
        </w:rPr>
        <w:t>;</w:t>
      </w:r>
    </w:p>
    <w:p w14:paraId="1E7FFBE3" w14:textId="2978410B" w:rsidR="00B00443" w:rsidRPr="00D018AD" w:rsidRDefault="00B00443" w:rsidP="00B00443">
      <w:pPr>
        <w:pStyle w:val="ListParagraph"/>
        <w:numPr>
          <w:ilvl w:val="0"/>
          <w:numId w:val="12"/>
        </w:numPr>
        <w:spacing w:after="9" w:line="256" w:lineRule="auto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Ileus ili sumnja na intestinalnu opstrukciju</w:t>
      </w:r>
      <w:r w:rsidR="00851D6B" w:rsidRPr="00D018AD">
        <w:rPr>
          <w:noProof/>
          <w:color w:val="000000"/>
          <w:sz w:val="22"/>
          <w:szCs w:val="22"/>
          <w:lang w:val="sr-Latn-RS"/>
        </w:rPr>
        <w:t>;</w:t>
      </w:r>
    </w:p>
    <w:p w14:paraId="2EEEEF7C" w14:textId="3573160E" w:rsidR="00B00443" w:rsidRPr="00D018AD" w:rsidRDefault="00B00443" w:rsidP="00B00443">
      <w:pPr>
        <w:pStyle w:val="ListParagraph"/>
        <w:numPr>
          <w:ilvl w:val="0"/>
          <w:numId w:val="12"/>
        </w:numPr>
        <w:spacing w:after="9" w:line="256" w:lineRule="auto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Bolni abdominalni sindrom nepoznatog porijekla</w:t>
      </w:r>
      <w:r w:rsidR="00997D9F" w:rsidRPr="00D018AD">
        <w:rPr>
          <w:noProof/>
          <w:color w:val="000000"/>
          <w:sz w:val="22"/>
          <w:szCs w:val="22"/>
          <w:lang w:val="sr-Latn-RS"/>
        </w:rPr>
        <w:t>.</w:t>
      </w:r>
    </w:p>
    <w:p w14:paraId="5AC143F1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3586A57" w14:textId="77777777" w:rsidR="00411B4B" w:rsidRPr="00D018AD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4.4.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31F453C3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F9AF7AB" w14:textId="05640E27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Dostupni su ograničeni podaci o efikasnosti </w:t>
      </w:r>
      <w:r w:rsidR="00997D9F" w:rsidRPr="00D018AD">
        <w:rPr>
          <w:noProof/>
          <w:color w:val="000000"/>
          <w:sz w:val="22"/>
          <w:szCs w:val="22"/>
          <w:lang w:val="sr-Latn-RS"/>
        </w:rPr>
        <w:t>kod</w:t>
      </w:r>
      <w:r w:rsidRPr="00D018AD">
        <w:rPr>
          <w:noProof/>
          <w:color w:val="000000"/>
          <w:sz w:val="22"/>
          <w:szCs w:val="22"/>
          <w:lang w:val="sr-Latn-RS"/>
        </w:rPr>
        <w:t xml:space="preserve"> djece mlađe od 2 godine.</w:t>
      </w:r>
    </w:p>
    <w:p w14:paraId="071C430D" w14:textId="77777777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6244FAB9" w14:textId="3DDB0829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L</w:t>
      </w:r>
      <w:r w:rsidR="00997D9F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ečenje konstipacije laksativom treba da bude dodatak zdravom načinu života i ishrane.</w:t>
      </w:r>
    </w:p>
    <w:p w14:paraId="0B538378" w14:textId="77777777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1DE75A87" w14:textId="08346845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Pr</w:t>
      </w:r>
      <w:r w:rsidR="00997D9F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 početka l</w:t>
      </w:r>
      <w:r w:rsidR="00997D9F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ečenja treba isključiti organski poremećaj.</w:t>
      </w:r>
    </w:p>
    <w:p w14:paraId="4F88AEE8" w14:textId="77777777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49AAC728" w14:textId="158FCFB6" w:rsidR="004F0E1B" w:rsidRPr="00D018AD" w:rsidRDefault="004F0E1B" w:rsidP="004F0E1B">
      <w:pPr>
        <w:spacing w:line="256" w:lineRule="auto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Nakon 3 m</w:t>
      </w:r>
      <w:r w:rsidR="000E7612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eseca l</w:t>
      </w:r>
      <w:r w:rsidR="000E7612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ečenja</w:t>
      </w:r>
      <w:r w:rsidR="000E7612" w:rsidRPr="00D018AD">
        <w:rPr>
          <w:noProof/>
          <w:color w:val="000000"/>
          <w:sz w:val="22"/>
          <w:szCs w:val="22"/>
          <w:lang w:val="sr-Latn-RS"/>
        </w:rPr>
        <w:t>,</w:t>
      </w:r>
      <w:r w:rsidRPr="00D018AD">
        <w:rPr>
          <w:noProof/>
          <w:color w:val="000000"/>
          <w:sz w:val="22"/>
          <w:szCs w:val="22"/>
          <w:lang w:val="sr-Latn-RS"/>
        </w:rPr>
        <w:t xml:space="preserve"> potrebno je obaviti l</w:t>
      </w:r>
      <w:r w:rsidR="000E7612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ekarski pregled u vezi sa konstipacijom</w:t>
      </w:r>
      <w:r w:rsidR="00675355" w:rsidRPr="00D018AD">
        <w:rPr>
          <w:noProof/>
          <w:color w:val="000000"/>
          <w:sz w:val="22"/>
          <w:szCs w:val="22"/>
          <w:lang w:val="sr-Latn-RS"/>
        </w:rPr>
        <w:t>.</w:t>
      </w:r>
    </w:p>
    <w:p w14:paraId="37A7314F" w14:textId="77777777" w:rsidR="004F0E1B" w:rsidRPr="00D018AD" w:rsidRDefault="004F0E1B" w:rsidP="004F0E1B">
      <w:pPr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241B6D22" w14:textId="6A7FA8C2" w:rsidR="004F0E1B" w:rsidRPr="00D018AD" w:rsidRDefault="004F0E1B" w:rsidP="004F0E1B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U slučaju pojave dijareje, potrebno je obratiti posebnu pažnju kod pacijenata koji su skloni poremećaju balansa vode i/ili elektrolita (npr. starija populacija, pacijenti sa izm</w:t>
      </w:r>
      <w:r w:rsidR="000E7612" w:rsidRPr="00D018AD">
        <w:rPr>
          <w:noProof/>
          <w:color w:val="000000"/>
          <w:sz w:val="22"/>
          <w:szCs w:val="22"/>
          <w:lang w:val="sr-Latn-RS"/>
        </w:rPr>
        <w:t>i</w:t>
      </w:r>
      <w:r w:rsidRPr="00D018AD">
        <w:rPr>
          <w:noProof/>
          <w:color w:val="000000"/>
          <w:sz w:val="22"/>
          <w:szCs w:val="22"/>
          <w:lang w:val="sr-Latn-RS"/>
        </w:rPr>
        <w:t>jenjenom funkcijom jetre i bubrega ili pacijenti koji istovremeno primaju diuretike) i razmotriti praćenje koncentracije elektrolita.</w:t>
      </w:r>
    </w:p>
    <w:p w14:paraId="4B366520" w14:textId="77777777" w:rsidR="004F0E1B" w:rsidRPr="00D018AD" w:rsidRDefault="004F0E1B" w:rsidP="004F0E1B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Tokom primjene ljekova koji sadrže makrogol (polietilen glikol) prijavljene su reakcije preosjetljivosti (osip, urtikarija i edem). Izuzetno rijetko su prijavljeni i slučajevi anafilaktičkog šoka.</w:t>
      </w:r>
    </w:p>
    <w:p w14:paraId="00D26A2D" w14:textId="77777777" w:rsidR="004F0E1B" w:rsidRPr="00D018AD" w:rsidRDefault="004F0E1B" w:rsidP="004F0E1B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Lijek Casenlax sadrži neznatno malu količinu šećera ili poliola zbog čega je pogodan za primjenu kod dijabetičara ili pacijenata koji su na dijeti koja isključuje unos galaktoze.</w:t>
      </w:r>
    </w:p>
    <w:p w14:paraId="233FE2E4" w14:textId="5CAD4933" w:rsidR="004F0E1B" w:rsidRPr="00D018AD" w:rsidRDefault="004F0E1B" w:rsidP="004F0E1B">
      <w:pPr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Ovaj l</w:t>
      </w:r>
      <w:r w:rsidR="000E7612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ek sadrži 0,2 mg natrijum benzoata (E 211) u 1 ml.</w:t>
      </w:r>
    </w:p>
    <w:p w14:paraId="7EDE17AB" w14:textId="77777777" w:rsidR="000E7612" w:rsidRPr="00D018AD" w:rsidRDefault="000E7612" w:rsidP="004F0E1B">
      <w:pPr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64F0148D" w14:textId="3720483D" w:rsidR="004F0E1B" w:rsidRPr="00D018AD" w:rsidRDefault="004F0E1B" w:rsidP="004F0E1B">
      <w:pPr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Ovaj lijek sadrži manje od 1</w:t>
      </w:r>
      <w:r w:rsidR="00675355" w:rsidRPr="00D018AD">
        <w:rPr>
          <w:noProof/>
          <w:color w:val="000000"/>
          <w:sz w:val="22"/>
          <w:szCs w:val="22"/>
          <w:lang w:val="sr-Latn-RS"/>
        </w:rPr>
        <w:t xml:space="preserve"> </w:t>
      </w:r>
      <w:r w:rsidRPr="00D018AD">
        <w:rPr>
          <w:noProof/>
          <w:color w:val="000000"/>
          <w:sz w:val="22"/>
          <w:szCs w:val="22"/>
          <w:lang w:val="sr-Latn-RS"/>
        </w:rPr>
        <w:t xml:space="preserve">mmol natrijuma (23 mg) po kesici, odnosno suštinski je „bez natrijuma”. </w:t>
      </w:r>
    </w:p>
    <w:p w14:paraId="695154C0" w14:textId="77777777" w:rsidR="004F0E1B" w:rsidRPr="00D018AD" w:rsidRDefault="004F0E1B" w:rsidP="004F0E1B">
      <w:pPr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702D4514" w14:textId="3E7A1C54" w:rsidR="004F0E1B" w:rsidRPr="00D018AD" w:rsidRDefault="004F0E1B" w:rsidP="004F0E1B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U skladu sa mehanizmom djelovanja makrogola, preporučuje se dodatni unos tečnosti tokom trajanja liječenja lijekom Casenlax (pogledati dio 5.1)</w:t>
      </w:r>
    </w:p>
    <w:p w14:paraId="053E369C" w14:textId="17CE36B8" w:rsidR="00057E35" w:rsidRPr="00D018AD" w:rsidRDefault="004F0E1B" w:rsidP="004F0E1B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Usl</w:t>
      </w:r>
      <w:r w:rsidR="000E7612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ed povećanja stope gastroinitestinalnog tranzita izazvanog makrogolom, resorpcija drugih ljekova može biti smanjena (pogledati dio 4.5</w:t>
      </w:r>
      <w:r w:rsidR="00B00443" w:rsidRPr="00D018AD">
        <w:rPr>
          <w:noProof/>
          <w:color w:val="000000"/>
          <w:sz w:val="22"/>
          <w:szCs w:val="22"/>
          <w:lang w:val="sr-Latn-RS"/>
        </w:rPr>
        <w:t>).</w:t>
      </w:r>
    </w:p>
    <w:p w14:paraId="3EC1BF2F" w14:textId="77777777" w:rsidR="00057E35" w:rsidRPr="00D018AD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9D056FA" w14:textId="77777777" w:rsidR="00411B4B" w:rsidRPr="00D018AD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>4.5.</w:t>
      </w:r>
      <w:r w:rsidR="000D60CC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179F3E68" w14:textId="77777777" w:rsidR="00B00443" w:rsidRPr="00D018AD" w:rsidRDefault="00B004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60F4801" w14:textId="323E466D" w:rsidR="00B00443" w:rsidRPr="00D018AD" w:rsidRDefault="00B00443" w:rsidP="00B004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Tokom primjene lijeka Casenlax resorpcija drugih ljekova može biti privremeno smanjena. Terapijsko dejstvo ljekova sa uskim terapijskim indeksom može biti posebno ugroženo (npr. antiepileptici, digoksin i imunosupresivi).</w:t>
      </w:r>
    </w:p>
    <w:p w14:paraId="38A573B0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E53E9A0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4.6.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="006D20A5" w:rsidRPr="00D018AD">
        <w:rPr>
          <w:b/>
          <w:sz w:val="22"/>
          <w:szCs w:val="22"/>
          <w:lang w:val="sr-Latn-RS"/>
        </w:rPr>
        <w:t>Plodnost, trudnoća i dojenje</w:t>
      </w:r>
    </w:p>
    <w:p w14:paraId="34366BED" w14:textId="77777777" w:rsidR="002031B3" w:rsidRPr="00D018AD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2308959F" w14:textId="32DBF709" w:rsidR="003A4839" w:rsidRPr="00D018AD" w:rsidRDefault="003A4839" w:rsidP="003A4839">
      <w:pPr>
        <w:spacing w:after="120"/>
        <w:ind w:left="-5" w:right="224" w:hanging="10"/>
        <w:jc w:val="both"/>
        <w:rPr>
          <w:noProof/>
          <w:color w:val="000000"/>
          <w:sz w:val="22"/>
          <w:szCs w:val="22"/>
          <w:u w:val="single" w:color="000000"/>
          <w:lang w:val="sr-Latn-RS"/>
        </w:rPr>
      </w:pPr>
      <w:r w:rsidRPr="00D018AD">
        <w:rPr>
          <w:noProof/>
          <w:color w:val="000000"/>
          <w:sz w:val="22"/>
          <w:szCs w:val="22"/>
          <w:u w:val="single" w:color="000000"/>
          <w:lang w:val="sr-Latn-RS"/>
        </w:rPr>
        <w:t xml:space="preserve">Plodnost </w:t>
      </w:r>
    </w:p>
    <w:p w14:paraId="6DFFDC06" w14:textId="57054F43" w:rsidR="0072020E" w:rsidRPr="00D018AD" w:rsidRDefault="003A4839" w:rsidP="003A483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Ispitivanja plodnosti nisu sprovođena. Međutim, s obzirom</w:t>
      </w:r>
      <w:r w:rsidR="000E7612" w:rsidRPr="00D018AD">
        <w:rPr>
          <w:noProof/>
          <w:color w:val="000000"/>
          <w:sz w:val="22"/>
          <w:szCs w:val="22"/>
          <w:lang w:val="sr-Latn-RS"/>
        </w:rPr>
        <w:t xml:space="preserve"> na to</w:t>
      </w:r>
      <w:r w:rsidRPr="00D018AD">
        <w:rPr>
          <w:noProof/>
          <w:color w:val="000000"/>
          <w:sz w:val="22"/>
          <w:szCs w:val="22"/>
          <w:lang w:val="sr-Latn-RS"/>
        </w:rPr>
        <w:t xml:space="preserve"> da se makrogol 4000 resorbuje u zanemarljivoj količini, nastanak neželjenih dejstava se ne očekuje.</w:t>
      </w:r>
      <w:r w:rsidR="007A3ECB" w:rsidRPr="00D018AD">
        <w:rPr>
          <w:sz w:val="22"/>
          <w:szCs w:val="22"/>
          <w:u w:val="single"/>
          <w:lang w:val="sr-Latn-RS"/>
        </w:rPr>
        <w:t xml:space="preserve"> </w:t>
      </w:r>
    </w:p>
    <w:p w14:paraId="01BEAE56" w14:textId="7CB9CE28" w:rsidR="000E7612" w:rsidRPr="00D018AD" w:rsidRDefault="000E7612" w:rsidP="003A483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2D8E5823" w14:textId="77777777" w:rsidR="000E7612" w:rsidRPr="00D018AD" w:rsidRDefault="000E7612" w:rsidP="000E7612">
      <w:pPr>
        <w:keepNext/>
        <w:keepLines/>
        <w:spacing w:after="3"/>
        <w:ind w:left="-5" w:hanging="10"/>
        <w:jc w:val="both"/>
        <w:outlineLvl w:val="1"/>
        <w:rPr>
          <w:noProof/>
          <w:color w:val="000000"/>
          <w:sz w:val="22"/>
          <w:szCs w:val="22"/>
          <w:u w:val="single" w:color="000000"/>
          <w:lang w:val="sr-Latn-RS"/>
        </w:rPr>
      </w:pPr>
      <w:r w:rsidRPr="00D018AD">
        <w:rPr>
          <w:noProof/>
          <w:color w:val="000000"/>
          <w:sz w:val="22"/>
          <w:szCs w:val="22"/>
          <w:u w:val="single" w:color="000000"/>
          <w:lang w:val="sr-Latn-RS"/>
        </w:rPr>
        <w:t>Trudnoća</w:t>
      </w:r>
    </w:p>
    <w:p w14:paraId="48D805EA" w14:textId="77777777" w:rsidR="000E7612" w:rsidRPr="00D018AD" w:rsidRDefault="000E7612" w:rsidP="000E7612">
      <w:pPr>
        <w:keepNext/>
        <w:keepLines/>
        <w:spacing w:after="3"/>
        <w:ind w:left="-5" w:hanging="10"/>
        <w:jc w:val="both"/>
        <w:outlineLvl w:val="1"/>
        <w:rPr>
          <w:b/>
          <w:noProof/>
          <w:color w:val="000000"/>
          <w:sz w:val="22"/>
          <w:szCs w:val="22"/>
          <w:lang w:val="sr-Latn-RS"/>
        </w:rPr>
      </w:pPr>
    </w:p>
    <w:p w14:paraId="2267BBA0" w14:textId="77777777" w:rsidR="000E7612" w:rsidRPr="00D018AD" w:rsidRDefault="000E7612" w:rsidP="000E7612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Ispitivanja na životinjama ne ukazuju na direktna ili indirektna štetna dejstva u pogledu reproduktivne toksičnosti (pogledati dio 5.3). </w:t>
      </w:r>
    </w:p>
    <w:p w14:paraId="0095A5E5" w14:textId="041BD706" w:rsidR="000E7612" w:rsidRPr="00D018AD" w:rsidRDefault="000E7612" w:rsidP="000E7612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Obzirom da je sistemsko izlaganje </w:t>
      </w:r>
      <w:r w:rsidR="007A7AAD" w:rsidRPr="00D018AD">
        <w:rPr>
          <w:noProof/>
          <w:color w:val="000000"/>
          <w:sz w:val="22"/>
          <w:szCs w:val="22"/>
          <w:lang w:val="sr-Latn-RS"/>
        </w:rPr>
        <w:t xml:space="preserve">makrogolu 4000 </w:t>
      </w:r>
      <w:r w:rsidRPr="00D018AD">
        <w:rPr>
          <w:noProof/>
          <w:color w:val="000000"/>
          <w:sz w:val="22"/>
          <w:szCs w:val="22"/>
          <w:lang w:val="sr-Latn-RS"/>
        </w:rPr>
        <w:t>zanemarljivo, nastanak neželjenih dejstava se ne očekuje. Lijek Casenlax se može koristiti tokom trudnoće.</w:t>
      </w:r>
    </w:p>
    <w:p w14:paraId="080A0196" w14:textId="77777777" w:rsidR="000E7612" w:rsidRPr="00D018AD" w:rsidRDefault="000E7612" w:rsidP="000E7612">
      <w:pPr>
        <w:keepNext/>
        <w:keepLines/>
        <w:spacing w:after="3"/>
        <w:ind w:left="-5" w:hanging="10"/>
        <w:jc w:val="both"/>
        <w:outlineLvl w:val="1"/>
        <w:rPr>
          <w:noProof/>
          <w:color w:val="000000"/>
          <w:sz w:val="22"/>
          <w:szCs w:val="22"/>
          <w:u w:val="single" w:color="000000"/>
          <w:lang w:val="sr-Latn-RS"/>
        </w:rPr>
      </w:pPr>
      <w:r w:rsidRPr="00D018AD">
        <w:rPr>
          <w:noProof/>
          <w:color w:val="000000"/>
          <w:sz w:val="22"/>
          <w:szCs w:val="22"/>
          <w:u w:val="single" w:color="000000"/>
          <w:lang w:val="sr-Latn-RS"/>
        </w:rPr>
        <w:t>Dojenje</w:t>
      </w:r>
    </w:p>
    <w:p w14:paraId="02EB7E3C" w14:textId="77777777" w:rsidR="000E7612" w:rsidRPr="00D018AD" w:rsidRDefault="000E7612" w:rsidP="000E7612">
      <w:pPr>
        <w:keepNext/>
        <w:keepLines/>
        <w:spacing w:after="3"/>
        <w:ind w:left="-5" w:hanging="10"/>
        <w:jc w:val="both"/>
        <w:outlineLvl w:val="1"/>
        <w:rPr>
          <w:b/>
          <w:noProof/>
          <w:color w:val="000000"/>
          <w:sz w:val="22"/>
          <w:szCs w:val="22"/>
          <w:lang w:val="sr-Latn-RS"/>
        </w:rPr>
      </w:pPr>
    </w:p>
    <w:p w14:paraId="1F567F41" w14:textId="4E0FA4AF" w:rsidR="000E7612" w:rsidRPr="00D018AD" w:rsidRDefault="000E7612" w:rsidP="000E7612">
      <w:pPr>
        <w:spacing w:after="120"/>
        <w:ind w:left="-5" w:right="224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Nema podataka o izlučivanju </w:t>
      </w:r>
      <w:r w:rsidR="007A7AAD" w:rsidRPr="00D018AD">
        <w:rPr>
          <w:noProof/>
          <w:color w:val="000000"/>
          <w:sz w:val="22"/>
          <w:szCs w:val="22"/>
          <w:lang w:val="sr-Latn-RS"/>
        </w:rPr>
        <w:t xml:space="preserve">makrogola 4000 </w:t>
      </w:r>
      <w:r w:rsidRPr="00D018AD">
        <w:rPr>
          <w:noProof/>
          <w:color w:val="000000"/>
          <w:sz w:val="22"/>
          <w:szCs w:val="22"/>
          <w:lang w:val="sr-Latn-RS"/>
        </w:rPr>
        <w:t xml:space="preserve">u majčino mlijeko. </w:t>
      </w:r>
      <w:r w:rsidR="007A7AAD" w:rsidRPr="00D018AD">
        <w:rPr>
          <w:noProof/>
          <w:color w:val="000000"/>
          <w:sz w:val="22"/>
          <w:szCs w:val="22"/>
          <w:lang w:val="sr-Latn-RS"/>
        </w:rPr>
        <w:t xml:space="preserve">Obzirom </w:t>
      </w:r>
      <w:r w:rsidRPr="00D018AD">
        <w:rPr>
          <w:noProof/>
          <w:color w:val="000000"/>
          <w:sz w:val="22"/>
          <w:szCs w:val="22"/>
          <w:lang w:val="sr-Latn-RS"/>
        </w:rPr>
        <w:t xml:space="preserve">da je sistemsko izlaganje majki koje doje makrogolu 4000 zanemarljivo, nastanak neželjenih dejstava kod dojenih beba se ne očekuje. Lijek Casenlax se može koristiti tokom dojenja. </w:t>
      </w:r>
    </w:p>
    <w:p w14:paraId="7F26D81A" w14:textId="77777777" w:rsidR="000E7612" w:rsidRPr="00D018AD" w:rsidRDefault="000E7612" w:rsidP="003A483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5DE13E2" w14:textId="77777777" w:rsidR="0072020E" w:rsidRPr="00D018AD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4.7.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 xml:space="preserve">Uticaj na </w:t>
      </w:r>
      <w:r w:rsidR="002031B3" w:rsidRPr="00D018AD">
        <w:rPr>
          <w:b/>
          <w:bCs/>
          <w:sz w:val="22"/>
          <w:szCs w:val="22"/>
          <w:lang w:val="sr-Latn-RS"/>
        </w:rPr>
        <w:t xml:space="preserve">sposobnost </w:t>
      </w:r>
      <w:r w:rsidR="00F34554" w:rsidRPr="00D018AD">
        <w:rPr>
          <w:b/>
          <w:bCs/>
          <w:sz w:val="22"/>
          <w:szCs w:val="22"/>
          <w:lang w:val="sr-Latn-RS"/>
        </w:rPr>
        <w:t>upravljanja vozili</w:t>
      </w:r>
      <w:r w:rsidRPr="00D018AD">
        <w:rPr>
          <w:b/>
          <w:bCs/>
          <w:sz w:val="22"/>
          <w:szCs w:val="22"/>
          <w:lang w:val="sr-Latn-RS"/>
        </w:rPr>
        <w:t>m</w:t>
      </w:r>
      <w:r w:rsidR="00F34554" w:rsidRPr="00D018AD">
        <w:rPr>
          <w:b/>
          <w:bCs/>
          <w:sz w:val="22"/>
          <w:szCs w:val="22"/>
          <w:lang w:val="sr-Latn-RS"/>
        </w:rPr>
        <w:t>a</w:t>
      </w:r>
      <w:r w:rsidRPr="00D018AD">
        <w:rPr>
          <w:b/>
          <w:bCs/>
          <w:sz w:val="22"/>
          <w:szCs w:val="22"/>
          <w:lang w:val="sr-Latn-RS"/>
        </w:rPr>
        <w:t xml:space="preserve"> i </w:t>
      </w:r>
      <w:r w:rsidR="000D3449" w:rsidRPr="00D018AD">
        <w:rPr>
          <w:b/>
          <w:bCs/>
          <w:sz w:val="22"/>
          <w:szCs w:val="22"/>
          <w:lang w:val="sr-Latn-RS"/>
        </w:rPr>
        <w:t xml:space="preserve">rukovanje </w:t>
      </w:r>
      <w:r w:rsidRPr="00D018AD">
        <w:rPr>
          <w:b/>
          <w:bCs/>
          <w:sz w:val="22"/>
          <w:szCs w:val="22"/>
          <w:lang w:val="sr-Latn-RS"/>
        </w:rPr>
        <w:t>mašinama</w:t>
      </w:r>
    </w:p>
    <w:p w14:paraId="0710B5E6" w14:textId="77777777" w:rsidR="003A4839" w:rsidRPr="00D018AD" w:rsidRDefault="003A4839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</w:p>
    <w:p w14:paraId="65E1FCA4" w14:textId="6B2948D8" w:rsidR="003A4839" w:rsidRPr="00D018AD" w:rsidRDefault="003A4839" w:rsidP="003A4839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Lijek Casenlax ne utiče na sposobnost upravljanja vozilima i rukovanja mašinama.</w:t>
      </w:r>
    </w:p>
    <w:p w14:paraId="13ADA8E9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835A407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4.8.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Neželjena dejstva</w:t>
      </w:r>
    </w:p>
    <w:p w14:paraId="08D2FC9E" w14:textId="77777777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19F3C67" w14:textId="0BCF76F8" w:rsidR="003A4839" w:rsidRPr="00D018AD" w:rsidRDefault="003A4839" w:rsidP="003A4839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Neželjena dejstva vezana za primjenu lijeka Casenlax navedena su u daljem tekstu prema klasi sistema organa i učestalosti. Učestalosti su definisane kao: </w:t>
      </w:r>
      <w:r w:rsidR="007A7AAD" w:rsidRPr="00D018AD">
        <w:rPr>
          <w:noProof/>
          <w:color w:val="000000"/>
          <w:sz w:val="22"/>
          <w:szCs w:val="22"/>
          <w:lang w:val="sr-Latn-RS"/>
        </w:rPr>
        <w:t>V</w:t>
      </w:r>
      <w:r w:rsidRPr="00D018AD">
        <w:rPr>
          <w:noProof/>
          <w:color w:val="000000"/>
          <w:sz w:val="22"/>
          <w:szCs w:val="22"/>
          <w:lang w:val="sr-Latn-RS"/>
        </w:rPr>
        <w:t>eoma često (≥1/10); često (≥1/100 do &lt;1/10); povremeno (≥1/1000 do &lt; 1/100); rijetko (≥1/10000 do &lt;1/1000); veoma rijetko (&lt;1/10000); nepoznato (ne može se proc</w:t>
      </w:r>
      <w:r w:rsidR="007A7AAD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eniti na osnovu dostupnih podataka).</w:t>
      </w:r>
    </w:p>
    <w:p w14:paraId="61F25338" w14:textId="77777777" w:rsidR="004F0E1B" w:rsidRPr="00D018AD" w:rsidRDefault="004F0E1B" w:rsidP="004F0E1B">
      <w:pPr>
        <w:keepNext/>
        <w:keepLines/>
        <w:spacing w:line="259" w:lineRule="auto"/>
        <w:ind w:left="-5" w:hanging="10"/>
        <w:jc w:val="both"/>
        <w:outlineLvl w:val="2"/>
        <w:rPr>
          <w:i/>
          <w:noProof/>
          <w:color w:val="000000"/>
          <w:sz w:val="22"/>
          <w:szCs w:val="22"/>
          <w:u w:val="single" w:color="000000"/>
          <w:lang w:val="sr-Latn-RS"/>
        </w:rPr>
      </w:pPr>
      <w:r w:rsidRPr="00D018AD">
        <w:rPr>
          <w:i/>
          <w:noProof/>
          <w:color w:val="000000"/>
          <w:sz w:val="22"/>
          <w:szCs w:val="22"/>
          <w:u w:val="single" w:color="000000"/>
          <w:lang w:val="sr-Latn-RS"/>
        </w:rPr>
        <w:t>Pedijatrijska populacija</w:t>
      </w:r>
    </w:p>
    <w:p w14:paraId="286F7D76" w14:textId="77777777" w:rsidR="004F0E1B" w:rsidRPr="00D018AD" w:rsidRDefault="004F0E1B" w:rsidP="004F0E1B">
      <w:pPr>
        <w:keepNext/>
        <w:keepLines/>
        <w:spacing w:line="259" w:lineRule="auto"/>
        <w:ind w:left="-5" w:hanging="10"/>
        <w:jc w:val="both"/>
        <w:outlineLvl w:val="2"/>
        <w:rPr>
          <w:b/>
          <w:noProof/>
          <w:color w:val="000000"/>
          <w:sz w:val="22"/>
          <w:szCs w:val="22"/>
          <w:lang w:val="sr-Latn-RS"/>
        </w:rPr>
      </w:pPr>
    </w:p>
    <w:p w14:paraId="13FCF7AE" w14:textId="4A45673D" w:rsidR="003A4839" w:rsidRPr="00D018AD" w:rsidRDefault="004F0E1B" w:rsidP="004F0E1B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Neželjena dejstva navedena u tabeli prijavljena su tokom kliničkih ispitivanja</w:t>
      </w:r>
      <w:r w:rsidR="00675355" w:rsidRPr="00D018AD">
        <w:rPr>
          <w:noProof/>
          <w:color w:val="000000"/>
          <w:sz w:val="22"/>
          <w:szCs w:val="22"/>
          <w:lang w:val="sr-Latn-RS"/>
        </w:rPr>
        <w:t>,</w:t>
      </w:r>
      <w:r w:rsidRPr="00D018AD">
        <w:rPr>
          <w:noProof/>
          <w:color w:val="000000"/>
          <w:sz w:val="22"/>
          <w:szCs w:val="22"/>
          <w:lang w:val="sr-Latn-RS"/>
        </w:rPr>
        <w:t xml:space="preserve"> koja su uključila 147 djece uzrasta od 6 mjeseci do 15 godina</w:t>
      </w:r>
      <w:r w:rsidR="000228AF" w:rsidRPr="00D018AD">
        <w:rPr>
          <w:noProof/>
          <w:color w:val="000000"/>
          <w:sz w:val="22"/>
          <w:szCs w:val="22"/>
          <w:lang w:val="sr-Latn-RS"/>
        </w:rPr>
        <w:t>,</w:t>
      </w:r>
      <w:r w:rsidRPr="00D018AD">
        <w:rPr>
          <w:noProof/>
          <w:color w:val="000000"/>
          <w:sz w:val="22"/>
          <w:szCs w:val="22"/>
          <w:lang w:val="sr-Latn-RS"/>
        </w:rPr>
        <w:t xml:space="preserve"> i postmarketinške upotrebe. Kao i kod odraslih, neželjena dejstva su bila blaga i prolazna i uglavnom su se odnosila na gastrointestinalni trakt:</w:t>
      </w:r>
    </w:p>
    <w:p w14:paraId="7C376E47" w14:textId="77777777" w:rsidR="003A4839" w:rsidRPr="00D018AD" w:rsidRDefault="003A4839" w:rsidP="003A4839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</w:p>
    <w:tbl>
      <w:tblPr>
        <w:tblStyle w:val="TableGrid1"/>
        <w:tblW w:w="9521" w:type="dxa"/>
        <w:tblInd w:w="-31" w:type="dxa"/>
        <w:tblCellMar>
          <w:top w:w="80" w:type="dxa"/>
          <w:left w:w="31" w:type="dxa"/>
          <w:right w:w="422" w:type="dxa"/>
        </w:tblCellMar>
        <w:tblLook w:val="04A0" w:firstRow="1" w:lastRow="0" w:firstColumn="1" w:lastColumn="0" w:noHBand="0" w:noVBand="1"/>
      </w:tblPr>
      <w:tblGrid>
        <w:gridCol w:w="4147"/>
        <w:gridCol w:w="5374"/>
      </w:tblGrid>
      <w:tr w:rsidR="004F0E1B" w:rsidRPr="00D018AD" w14:paraId="737E1F08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8753B" w14:textId="7777777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Klasa sistema organa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53EA" w14:textId="7777777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Neželjena dejstva</w:t>
            </w:r>
          </w:p>
        </w:tc>
      </w:tr>
      <w:tr w:rsidR="004F0E1B" w:rsidRPr="00D018AD" w14:paraId="754D9228" w14:textId="77777777" w:rsidTr="00953631">
        <w:trPr>
          <w:trHeight w:val="326"/>
        </w:trPr>
        <w:tc>
          <w:tcPr>
            <w:tcW w:w="9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6CBE" w14:textId="3113C769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Poremećaji imunskog sistema</w:t>
            </w:r>
          </w:p>
        </w:tc>
      </w:tr>
      <w:tr w:rsidR="004F0E1B" w:rsidRPr="00D018AD" w14:paraId="65983694" w14:textId="77777777" w:rsidTr="00953631">
        <w:trPr>
          <w:trHeight w:val="581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D0044" w14:textId="77777777" w:rsidR="004F0E1B" w:rsidRPr="00D018AD" w:rsidRDefault="004F0E1B" w:rsidP="00953631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Nepoznato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014BC" w14:textId="77777777" w:rsidR="004F0E1B" w:rsidRPr="00D018AD" w:rsidRDefault="004F0E1B" w:rsidP="00953631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Reakcije preosjetljivosti (anafilaktički šok, angioedem, urtikarija, osip, pruritus)</w:t>
            </w:r>
          </w:p>
        </w:tc>
      </w:tr>
      <w:tr w:rsidR="004F0E1B" w:rsidRPr="00D018AD" w14:paraId="1A75A3E5" w14:textId="77777777" w:rsidTr="00953631">
        <w:trPr>
          <w:trHeight w:val="331"/>
        </w:trPr>
        <w:tc>
          <w:tcPr>
            <w:tcW w:w="9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2B425" w14:textId="5ED5CD4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Gastrointestinalni poremećaji</w:t>
            </w:r>
          </w:p>
        </w:tc>
      </w:tr>
      <w:tr w:rsidR="004F0E1B" w:rsidRPr="00D018AD" w14:paraId="385214D4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D415D" w14:textId="7777777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Često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156F7" w14:textId="7777777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Abdominalni bol, dijareja*</w:t>
            </w:r>
          </w:p>
        </w:tc>
      </w:tr>
      <w:tr w:rsidR="004F0E1B" w:rsidRPr="00D018AD" w14:paraId="7DD3A333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5CD5A" w14:textId="7777777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Povremeno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3C259" w14:textId="77777777" w:rsidR="004F0E1B" w:rsidRPr="00D018AD" w:rsidRDefault="004F0E1B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Povraćanje, nadutost, mučnina</w:t>
            </w:r>
          </w:p>
        </w:tc>
      </w:tr>
    </w:tbl>
    <w:p w14:paraId="78639813" w14:textId="7A058231" w:rsidR="003A4839" w:rsidRPr="00D018AD" w:rsidRDefault="004F0E1B" w:rsidP="003A4839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*Dijareja može izazvati perianalnu os</w:t>
      </w:r>
      <w:r w:rsidR="00675355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etljivost</w:t>
      </w:r>
    </w:p>
    <w:p w14:paraId="512312A3" w14:textId="77777777" w:rsidR="005A7758" w:rsidRPr="00D018AD" w:rsidRDefault="005A7758" w:rsidP="005A7758">
      <w:pPr>
        <w:keepNext/>
        <w:keepLines/>
        <w:spacing w:line="259" w:lineRule="auto"/>
        <w:ind w:left="-5" w:hanging="10"/>
        <w:jc w:val="both"/>
        <w:outlineLvl w:val="2"/>
        <w:rPr>
          <w:i/>
          <w:noProof/>
          <w:color w:val="000000"/>
          <w:sz w:val="22"/>
          <w:szCs w:val="22"/>
          <w:u w:val="single" w:color="000000"/>
          <w:lang w:val="sr-Latn-RS"/>
        </w:rPr>
      </w:pPr>
    </w:p>
    <w:p w14:paraId="78DEDBE4" w14:textId="6250CF06" w:rsidR="005A7758" w:rsidRPr="00D018AD" w:rsidRDefault="005A7758" w:rsidP="005A7758">
      <w:pPr>
        <w:keepNext/>
        <w:keepLines/>
        <w:spacing w:line="259" w:lineRule="auto"/>
        <w:ind w:left="-5" w:hanging="10"/>
        <w:jc w:val="both"/>
        <w:outlineLvl w:val="2"/>
        <w:rPr>
          <w:i/>
          <w:noProof/>
          <w:color w:val="000000"/>
          <w:sz w:val="22"/>
          <w:szCs w:val="22"/>
          <w:u w:val="single" w:color="000000"/>
          <w:lang w:val="sr-Latn-RS"/>
        </w:rPr>
      </w:pPr>
      <w:r w:rsidRPr="00D018AD">
        <w:rPr>
          <w:i/>
          <w:noProof/>
          <w:color w:val="000000"/>
          <w:sz w:val="22"/>
          <w:szCs w:val="22"/>
          <w:u w:val="single" w:color="000000"/>
          <w:lang w:val="sr-Latn-RS"/>
        </w:rPr>
        <w:t>Odrasli</w:t>
      </w:r>
    </w:p>
    <w:p w14:paraId="18A6B204" w14:textId="77777777" w:rsidR="005A7758" w:rsidRPr="00D018AD" w:rsidRDefault="005A7758" w:rsidP="005A7758">
      <w:pPr>
        <w:keepNext/>
        <w:keepLines/>
        <w:spacing w:line="259" w:lineRule="auto"/>
        <w:ind w:left="-5" w:hanging="10"/>
        <w:jc w:val="both"/>
        <w:outlineLvl w:val="2"/>
        <w:rPr>
          <w:b/>
          <w:noProof/>
          <w:color w:val="000000"/>
          <w:sz w:val="22"/>
          <w:szCs w:val="22"/>
          <w:lang w:val="sr-Latn-RS"/>
        </w:rPr>
      </w:pPr>
    </w:p>
    <w:p w14:paraId="256D71E8" w14:textId="246D1B32" w:rsidR="003A4839" w:rsidRPr="00D018AD" w:rsidRDefault="000228AF" w:rsidP="005A7758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Kod odraslih, n</w:t>
      </w:r>
      <w:r w:rsidR="005A7758" w:rsidRPr="00D018AD">
        <w:rPr>
          <w:noProof/>
          <w:color w:val="000000"/>
          <w:sz w:val="22"/>
          <w:szCs w:val="22"/>
          <w:lang w:val="sr-Latn-RS"/>
        </w:rPr>
        <w:t>eželjena dejstva navedena u tabeli prijavljena su tokom kliničkih ispitivanja i postmarketinške upotrebe.</w:t>
      </w:r>
    </w:p>
    <w:p w14:paraId="6E2F9788" w14:textId="30E85D8D" w:rsidR="003A4839" w:rsidRPr="00D018AD" w:rsidRDefault="003A4839" w:rsidP="003A4839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tbl>
      <w:tblPr>
        <w:tblStyle w:val="TableGrid"/>
        <w:tblW w:w="9521" w:type="dxa"/>
        <w:tblInd w:w="-31" w:type="dxa"/>
        <w:tblCellMar>
          <w:top w:w="80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5374"/>
      </w:tblGrid>
      <w:tr w:rsidR="005A7758" w:rsidRPr="00D018AD" w14:paraId="29D02388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404310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lastRenderedPageBreak/>
              <w:t>Klasa sistema organa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598F01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Neželjena dejstva</w:t>
            </w:r>
          </w:p>
        </w:tc>
      </w:tr>
      <w:tr w:rsidR="005A7758" w:rsidRPr="00D018AD" w14:paraId="7FDCB02D" w14:textId="77777777" w:rsidTr="00953631">
        <w:trPr>
          <w:trHeight w:val="244"/>
        </w:trPr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026" w14:textId="08B91E64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Poremećaji imunskog sistema</w:t>
            </w:r>
          </w:p>
        </w:tc>
      </w:tr>
      <w:tr w:rsidR="005A7758" w:rsidRPr="00D018AD" w14:paraId="347BBEAC" w14:textId="77777777" w:rsidTr="00953631">
        <w:trPr>
          <w:trHeight w:val="581"/>
        </w:trPr>
        <w:tc>
          <w:tcPr>
            <w:tcW w:w="41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FAE66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Veoma rijetko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693B" w14:textId="77777777" w:rsidR="005A7758" w:rsidRPr="00D018AD" w:rsidRDefault="005A7758" w:rsidP="00953631">
            <w:pPr>
              <w:spacing w:line="259" w:lineRule="auto"/>
              <w:jc w:val="both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Reakcije preosjetljivosti (pruritus, osip, edem lica, Kvinkeov edem, urtikarija, anafilaktički šok)</w:t>
            </w:r>
          </w:p>
        </w:tc>
      </w:tr>
      <w:tr w:rsidR="005A7758" w:rsidRPr="00D018AD" w14:paraId="743CE364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E95D8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Nepoznato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74348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Eritem</w:t>
            </w:r>
          </w:p>
        </w:tc>
      </w:tr>
      <w:tr w:rsidR="005A7758" w:rsidRPr="00D018AD" w14:paraId="2DA0969B" w14:textId="77777777" w:rsidTr="00953631">
        <w:trPr>
          <w:trHeight w:val="326"/>
        </w:trPr>
        <w:tc>
          <w:tcPr>
            <w:tcW w:w="9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C630B" w14:textId="40CF91E8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Poremećaji metabolizma i ishrane</w:t>
            </w:r>
          </w:p>
        </w:tc>
      </w:tr>
      <w:tr w:rsidR="005A7758" w:rsidRPr="00D018AD" w14:paraId="07ED93C2" w14:textId="77777777" w:rsidTr="00953631">
        <w:trPr>
          <w:trHeight w:val="581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E8A95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Nepoznato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73A8A" w14:textId="77777777" w:rsidR="005A7758" w:rsidRPr="00D018AD" w:rsidRDefault="005A7758" w:rsidP="00953631">
            <w:pPr>
              <w:spacing w:line="259" w:lineRule="auto"/>
              <w:jc w:val="both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Poremećaj balansa elektrolita (hiponatremija, hipokalemija) i/ili dehidratacija, naročito kod starijih pacijenata</w:t>
            </w:r>
          </w:p>
        </w:tc>
      </w:tr>
      <w:tr w:rsidR="005A7758" w:rsidRPr="00D018AD" w14:paraId="7701F173" w14:textId="77777777" w:rsidTr="00953631">
        <w:trPr>
          <w:trHeight w:val="331"/>
        </w:trPr>
        <w:tc>
          <w:tcPr>
            <w:tcW w:w="9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A21DD" w14:textId="761D583B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  <w:lang w:val="sr-Latn-RS"/>
              </w:rPr>
              <w:t>Gastrointestinalni poremećaji</w:t>
            </w:r>
          </w:p>
        </w:tc>
      </w:tr>
      <w:tr w:rsidR="005A7758" w:rsidRPr="00D018AD" w14:paraId="187F8B2A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8C4A3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Često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5E6F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Abdominalni bol i/ili distenzija, dijareja, mučnina</w:t>
            </w:r>
          </w:p>
        </w:tc>
      </w:tr>
      <w:tr w:rsidR="005A7758" w:rsidRPr="00D018AD" w14:paraId="33760852" w14:textId="77777777" w:rsidTr="00953631">
        <w:trPr>
          <w:trHeight w:val="326"/>
        </w:trPr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A7EA1" w14:textId="77777777" w:rsidR="005A7758" w:rsidRPr="00D018AD" w:rsidRDefault="005A7758" w:rsidP="00953631">
            <w:pPr>
              <w:spacing w:line="259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 xml:space="preserve">Povremeno 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E56A" w14:textId="77777777" w:rsidR="005A7758" w:rsidRPr="00D018AD" w:rsidRDefault="005A7758" w:rsidP="00953631">
            <w:pPr>
              <w:spacing w:line="259" w:lineRule="auto"/>
              <w:jc w:val="both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D018AD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Povraćanje, hitna potreba za defekacijom, fekalna inkontinencija</w:t>
            </w:r>
          </w:p>
        </w:tc>
      </w:tr>
    </w:tbl>
    <w:p w14:paraId="53487F16" w14:textId="77777777" w:rsidR="005A7758" w:rsidRPr="00D018AD" w:rsidRDefault="005A7758" w:rsidP="003A4839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60064946" w14:textId="77777777" w:rsidR="005A23D2" w:rsidRPr="00D018AD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D018AD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6BBAD591" w14:textId="77777777" w:rsidR="000228AF" w:rsidRPr="00D018AD" w:rsidRDefault="000228AF" w:rsidP="000228AF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9A01894" w14:textId="77777777" w:rsidR="000228AF" w:rsidRPr="00D018AD" w:rsidRDefault="000228A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0DDBDE2E" w14:textId="77777777" w:rsidR="000228AF" w:rsidRPr="00D018AD" w:rsidRDefault="000228A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Odjeljenje za farmakovigilancu</w:t>
      </w:r>
    </w:p>
    <w:p w14:paraId="46E73A4A" w14:textId="77777777" w:rsidR="000228AF" w:rsidRPr="00D018AD" w:rsidRDefault="000228A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FB40FD6" w14:textId="77777777" w:rsidR="000228AF" w:rsidRPr="00D018AD" w:rsidRDefault="000228AF" w:rsidP="000228AF">
      <w:pPr>
        <w:pStyle w:val="NoSpacing"/>
        <w:rPr>
          <w:rFonts w:eastAsia="Calibri"/>
          <w:sz w:val="22"/>
          <w:szCs w:val="22"/>
          <w:lang w:val="sr-Latn-RS"/>
        </w:rPr>
      </w:pPr>
    </w:p>
    <w:p w14:paraId="29D04E40" w14:textId="77777777" w:rsidR="000228AF" w:rsidRPr="00D018AD" w:rsidRDefault="000228A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tel: +382 (0) 20 310 280</w:t>
      </w:r>
    </w:p>
    <w:p w14:paraId="3756A7FF" w14:textId="77777777" w:rsidR="000228AF" w:rsidRPr="00D018AD" w:rsidRDefault="000228AF" w:rsidP="000228A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fax: +382 (0) 20 310 581</w:t>
      </w:r>
      <w:r w:rsidRPr="00D018AD">
        <w:rPr>
          <w:rFonts w:eastAsia="Calibri"/>
          <w:sz w:val="22"/>
          <w:szCs w:val="22"/>
          <w:lang w:val="sr-Latn-RS"/>
        </w:rPr>
        <w:tab/>
      </w:r>
    </w:p>
    <w:p w14:paraId="1277A4B3" w14:textId="77777777" w:rsidR="000228AF" w:rsidRPr="00D018AD" w:rsidRDefault="000652C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0228AF" w:rsidRPr="00D018AD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2F6304F" w14:textId="77777777" w:rsidR="000228AF" w:rsidRPr="00D018AD" w:rsidRDefault="000652CF" w:rsidP="000228A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0228AF" w:rsidRPr="00D018AD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09A812E8" w14:textId="77777777" w:rsidR="000228AF" w:rsidRPr="00D018AD" w:rsidRDefault="000228A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putem IS zdravstvene zaštite</w:t>
      </w:r>
    </w:p>
    <w:p w14:paraId="0FE9F758" w14:textId="77777777" w:rsidR="000228AF" w:rsidRPr="00D018AD" w:rsidRDefault="000228AF" w:rsidP="000228A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018AD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DC2B321" w14:textId="77777777" w:rsidR="000228AF" w:rsidRPr="00D018AD" w:rsidRDefault="000228AF" w:rsidP="000228AF">
      <w:pPr>
        <w:pStyle w:val="NoSpacing"/>
        <w:rPr>
          <w:rFonts w:eastAsia="Calibri"/>
          <w:sz w:val="22"/>
          <w:szCs w:val="22"/>
          <w:lang w:val="sr-Latn-RS"/>
        </w:rPr>
      </w:pPr>
    </w:p>
    <w:p w14:paraId="515EA964" w14:textId="77777777" w:rsidR="000228AF" w:rsidRPr="00D018AD" w:rsidRDefault="000228AF" w:rsidP="000228A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noProof/>
          <w:sz w:val="22"/>
          <w:szCs w:val="22"/>
        </w:rPr>
        <w:drawing>
          <wp:inline distT="0" distB="0" distL="0" distR="0" wp14:anchorId="37954835" wp14:editId="59B0751C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BE281" w14:textId="77777777" w:rsidR="007F661E" w:rsidRPr="00D018AD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41D2542" w14:textId="77777777" w:rsidR="00CD6F02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4.9.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Predoziranje</w:t>
      </w:r>
      <w:r w:rsidR="002846DB" w:rsidRPr="00D018AD">
        <w:rPr>
          <w:b/>
          <w:bCs/>
          <w:sz w:val="22"/>
          <w:szCs w:val="22"/>
          <w:lang w:val="sr-Latn-RS"/>
        </w:rPr>
        <w:t xml:space="preserve"> </w:t>
      </w:r>
    </w:p>
    <w:p w14:paraId="1D2B503C" w14:textId="77777777" w:rsidR="00CD6F02" w:rsidRPr="00D018AD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2F48120" w14:textId="57631AD5" w:rsidR="005A7758" w:rsidRPr="00D018AD" w:rsidRDefault="005A7758" w:rsidP="005A7758">
      <w:pPr>
        <w:spacing w:after="8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Predoziranje lijekom Casenlax može dovesti do dijareje, abdominalnog bola i povraćanja koji se povlače nakon privremenog prekida liječenja ili smanjenja doze.</w:t>
      </w:r>
    </w:p>
    <w:p w14:paraId="1009398B" w14:textId="77777777" w:rsidR="000228AF" w:rsidRPr="00D018AD" w:rsidRDefault="000228AF" w:rsidP="005A7758">
      <w:pPr>
        <w:spacing w:after="8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690A70A1" w14:textId="65B6EEE3" w:rsidR="005A7758" w:rsidRPr="00D018AD" w:rsidRDefault="005A7758" w:rsidP="005A7758">
      <w:pPr>
        <w:spacing w:after="11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Pret</w:t>
      </w:r>
      <w:r w:rsidR="000228AF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erani gubitak tečnosti usl</w:t>
      </w:r>
      <w:r w:rsidR="000228AF" w:rsidRPr="00D018AD">
        <w:rPr>
          <w:noProof/>
          <w:color w:val="000000"/>
          <w:sz w:val="22"/>
          <w:szCs w:val="22"/>
          <w:lang w:val="sr-Latn-RS"/>
        </w:rPr>
        <w:t>j</w:t>
      </w:r>
      <w:r w:rsidRPr="00D018AD">
        <w:rPr>
          <w:noProof/>
          <w:color w:val="000000"/>
          <w:sz w:val="22"/>
          <w:szCs w:val="22"/>
          <w:lang w:val="sr-Latn-RS"/>
        </w:rPr>
        <w:t>ed dijareje ili povraćanja može zaht</w:t>
      </w:r>
      <w:r w:rsidR="000228AF" w:rsidRPr="00D018AD">
        <w:rPr>
          <w:noProof/>
          <w:color w:val="000000"/>
          <w:sz w:val="22"/>
          <w:szCs w:val="22"/>
          <w:lang w:val="sr-Latn-RS"/>
        </w:rPr>
        <w:t>i</w:t>
      </w:r>
      <w:r w:rsidRPr="00D018AD">
        <w:rPr>
          <w:noProof/>
          <w:color w:val="000000"/>
          <w:sz w:val="22"/>
          <w:szCs w:val="22"/>
          <w:lang w:val="sr-Latn-RS"/>
        </w:rPr>
        <w:t>jevati korekciju nastalog poremećaja elektrolita.</w:t>
      </w:r>
    </w:p>
    <w:p w14:paraId="508FBFAE" w14:textId="77777777" w:rsidR="005A7758" w:rsidRPr="00D018AD" w:rsidRDefault="005A7758" w:rsidP="005A7758">
      <w:pPr>
        <w:spacing w:after="11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35B96555" w14:textId="77777777" w:rsidR="005A7758" w:rsidRPr="00D018AD" w:rsidRDefault="005A7758" w:rsidP="005A7758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Nakon primjene velikih količina makrogola (polietilen glikol) i elektrolita putem nazogastrične sonde, prijavljivani su slučajevi aspiracije. Djeca sa neurološkim poremećajima koja imaju oromotornu disfunkciju su naročito podložna riziku od aspiracije.</w:t>
      </w:r>
    </w:p>
    <w:p w14:paraId="24712FAB" w14:textId="77777777" w:rsidR="005A7758" w:rsidRPr="00D018AD" w:rsidRDefault="005A7758" w:rsidP="005A7758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</w:p>
    <w:p w14:paraId="343D9D06" w14:textId="73B3F314" w:rsidR="003A4839" w:rsidRPr="00D018AD" w:rsidRDefault="005A7758" w:rsidP="005A7758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lastRenderedPageBreak/>
        <w:t>Prijavljeni su slučajevi zapaljenja i perianalnog bola kada su prim</w:t>
      </w:r>
      <w:r w:rsidR="000228AF" w:rsidRPr="00D018AD">
        <w:rPr>
          <w:sz w:val="22"/>
          <w:szCs w:val="22"/>
          <w:lang w:val="sr-Latn-RS"/>
        </w:rPr>
        <w:t>i</w:t>
      </w:r>
      <w:r w:rsidRPr="00D018AD">
        <w:rPr>
          <w:sz w:val="22"/>
          <w:szCs w:val="22"/>
          <w:lang w:val="sr-Latn-RS"/>
        </w:rPr>
        <w:t>jenjene velike količine rastvora makrogola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(polietilen glikol)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(4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do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11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litara),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tokom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ispiranja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debelog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crijeva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pr</w:t>
      </w:r>
      <w:r w:rsidR="000228AF" w:rsidRPr="00D018AD">
        <w:rPr>
          <w:sz w:val="22"/>
          <w:szCs w:val="22"/>
          <w:lang w:val="sr-Latn-RS"/>
        </w:rPr>
        <w:t>ij</w:t>
      </w:r>
      <w:r w:rsidRPr="00D018AD">
        <w:rPr>
          <w:sz w:val="22"/>
          <w:szCs w:val="22"/>
          <w:lang w:val="sr-Latn-RS"/>
        </w:rPr>
        <w:t>e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kolonoskopije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ili</w:t>
      </w:r>
      <w:r w:rsidRPr="00D018AD">
        <w:rPr>
          <w:spacing w:val="-3"/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za čišćenje debelog crijeva u slučajevima enkopreze.</w:t>
      </w:r>
    </w:p>
    <w:p w14:paraId="21B1DFFF" w14:textId="77777777" w:rsidR="00227BDB" w:rsidRPr="00D018AD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FEAF714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5.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FARMAKOLOŠK</w:t>
      </w:r>
      <w:r w:rsidR="000D425A" w:rsidRPr="00D018AD">
        <w:rPr>
          <w:b/>
          <w:bCs/>
          <w:sz w:val="22"/>
          <w:szCs w:val="22"/>
          <w:lang w:val="sr-Latn-RS"/>
        </w:rPr>
        <w:t>I</w:t>
      </w:r>
      <w:r w:rsidRPr="00D018AD">
        <w:rPr>
          <w:b/>
          <w:bCs/>
          <w:sz w:val="22"/>
          <w:szCs w:val="22"/>
          <w:lang w:val="sr-Latn-RS"/>
        </w:rPr>
        <w:t xml:space="preserve"> PODACI</w:t>
      </w:r>
    </w:p>
    <w:p w14:paraId="34159202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A8F251A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5.1.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Farmakodinamski podaci</w:t>
      </w:r>
      <w:r w:rsidR="003A7059" w:rsidRPr="00D018AD">
        <w:rPr>
          <w:b/>
          <w:bCs/>
          <w:sz w:val="22"/>
          <w:szCs w:val="22"/>
          <w:lang w:val="sr-Latn-RS"/>
        </w:rPr>
        <w:t xml:space="preserve"> </w:t>
      </w:r>
    </w:p>
    <w:p w14:paraId="208F3023" w14:textId="77777777" w:rsidR="00F45F77" w:rsidRPr="00D018AD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6D3A544" w14:textId="77777777" w:rsidR="003A4839" w:rsidRPr="00D018AD" w:rsidRDefault="003A4839" w:rsidP="003A4839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Farmakoterapijska grupa: laksativ, osmotski laksativ</w:t>
      </w:r>
    </w:p>
    <w:p w14:paraId="2077F8EC" w14:textId="77777777" w:rsidR="003A4839" w:rsidRPr="00D018AD" w:rsidRDefault="003A4839" w:rsidP="003A4839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59539B2" w14:textId="77777777" w:rsidR="003A4839" w:rsidRPr="00D018AD" w:rsidRDefault="003A4839" w:rsidP="003A4839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ATC kod: A06AD15</w:t>
      </w:r>
    </w:p>
    <w:p w14:paraId="38D331D7" w14:textId="77777777" w:rsidR="003A4839" w:rsidRPr="00D018AD" w:rsidRDefault="003A4839" w:rsidP="003A4839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92BC639" w14:textId="35F761F1" w:rsidR="003A4839" w:rsidRPr="00D018AD" w:rsidRDefault="003A4839" w:rsidP="003A4839">
      <w:pPr>
        <w:spacing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Makrogoli velike molekulske mase (4000) su dugački linearni polimeri koji zadržavaju molekule vode vodoničnim vezama. Kada se prim</w:t>
      </w:r>
      <w:r w:rsidR="000228AF" w:rsidRPr="00D018AD">
        <w:rPr>
          <w:noProof/>
          <w:color w:val="000000"/>
          <w:sz w:val="22"/>
          <w:szCs w:val="22"/>
          <w:lang w:val="sr-Latn-RS"/>
        </w:rPr>
        <w:t>ij</w:t>
      </w:r>
      <w:r w:rsidRPr="00D018AD">
        <w:rPr>
          <w:noProof/>
          <w:color w:val="000000"/>
          <w:sz w:val="22"/>
          <w:szCs w:val="22"/>
          <w:lang w:val="sr-Latn-RS"/>
        </w:rPr>
        <w:t>ene oralno, dovode do povećanja zapremine intestinalnih tečnosti. To je razlog zbog kojeg je adekvatna hidratacija tokom liječanja važna.</w:t>
      </w:r>
    </w:p>
    <w:p w14:paraId="084494A0" w14:textId="46DD5EC4" w:rsidR="0072020E" w:rsidRPr="00D018AD" w:rsidRDefault="003A4839" w:rsidP="003A48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Volumen neresorbovane intestinalne tečnosti je odgovoran za laksativni efekat ovog rastvora.</w:t>
      </w:r>
    </w:p>
    <w:p w14:paraId="4A066A8F" w14:textId="77777777" w:rsidR="002E37A5" w:rsidRPr="00D018AD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332BEC5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5.2.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Farmakokinetički podaci</w:t>
      </w:r>
      <w:r w:rsidR="003A7059" w:rsidRPr="00D018AD">
        <w:rPr>
          <w:b/>
          <w:bCs/>
          <w:sz w:val="22"/>
          <w:szCs w:val="22"/>
          <w:lang w:val="sr-Latn-RS"/>
        </w:rPr>
        <w:t xml:space="preserve"> </w:t>
      </w:r>
    </w:p>
    <w:p w14:paraId="1F4B77D0" w14:textId="77777777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3A8EFF7" w14:textId="0662FC5B" w:rsidR="003A4839" w:rsidRPr="00D018AD" w:rsidRDefault="003A4839" w:rsidP="003A4839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Farmakokinetički podaci potvrđuju da ne dolazi ni do gastrointestinalne resorpcije ni do metabolizma makrogola 4000 nakon oralne primjene.</w:t>
      </w:r>
    </w:p>
    <w:p w14:paraId="7CCD8F10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4F6509F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5.3.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4511621E" w14:textId="77777777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A305E5E" w14:textId="77777777" w:rsidR="003A4839" w:rsidRPr="00D018AD" w:rsidRDefault="003A4839" w:rsidP="003A4839">
      <w:pPr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Toksikološke studije izvedene na različitim vrstama životinja nijesu pokazale znake sistemske ili lokalne gastrointestinalne toksičnosti. Makrogol 4000 nema teratogeno i mutageno dejstvo.</w:t>
      </w:r>
    </w:p>
    <w:p w14:paraId="3CA11D2E" w14:textId="77777777" w:rsidR="003A4839" w:rsidRPr="00D018AD" w:rsidRDefault="003A4839" w:rsidP="003A4839">
      <w:pPr>
        <w:spacing w:before="120" w:after="120"/>
        <w:ind w:left="-5" w:hanging="10"/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Ne postoje studije o karcinogenosti.</w:t>
      </w:r>
    </w:p>
    <w:p w14:paraId="287FCEB0" w14:textId="0F0EAA19" w:rsidR="00836B35" w:rsidRPr="00D018AD" w:rsidRDefault="003A4839" w:rsidP="003A48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Makrogol 4000 nije teratogen kod pacova i zečeva. </w:t>
      </w:r>
    </w:p>
    <w:p w14:paraId="4A28F135" w14:textId="790C7E3D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F53E69D" w14:textId="77777777" w:rsidR="00D018AD" w:rsidRPr="00D018AD" w:rsidRDefault="00D018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FBA4BBB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6.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FARMACEUTSKI PODACI</w:t>
      </w:r>
    </w:p>
    <w:p w14:paraId="48F817BB" w14:textId="77777777" w:rsidR="00836B35" w:rsidRPr="00D018A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0B32FC1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6.1.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Lista pomoćnih supstanci</w:t>
      </w:r>
      <w:r w:rsidR="002E0135" w:rsidRPr="00D018AD">
        <w:rPr>
          <w:b/>
          <w:bCs/>
          <w:sz w:val="22"/>
          <w:szCs w:val="22"/>
          <w:lang w:val="sr-Latn-RS"/>
        </w:rPr>
        <w:t xml:space="preserve"> (ekscipijenasa)</w:t>
      </w:r>
    </w:p>
    <w:p w14:paraId="5ED06F51" w14:textId="77777777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A607758" w14:textId="6E752E78" w:rsidR="00DE75A2" w:rsidRPr="00D018AD" w:rsidRDefault="00251FF0" w:rsidP="003A4839">
      <w:pPr>
        <w:numPr>
          <w:ilvl w:val="0"/>
          <w:numId w:val="14"/>
        </w:numPr>
        <w:spacing w:after="14" w:line="256" w:lineRule="auto"/>
        <w:ind w:right="91" w:hanging="130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N</w:t>
      </w:r>
      <w:r w:rsidR="005A7758" w:rsidRPr="00D018AD">
        <w:rPr>
          <w:noProof/>
          <w:color w:val="000000"/>
          <w:sz w:val="22"/>
          <w:szCs w:val="22"/>
          <w:lang w:val="sr-Latn-RS"/>
        </w:rPr>
        <w:t xml:space="preserve">atrijum benzoat (E-211), </w:t>
      </w:r>
    </w:p>
    <w:p w14:paraId="777A0D19" w14:textId="77777777" w:rsidR="00DE75A2" w:rsidRPr="00D018AD" w:rsidRDefault="005A7758" w:rsidP="003A4839">
      <w:pPr>
        <w:numPr>
          <w:ilvl w:val="0"/>
          <w:numId w:val="14"/>
        </w:numPr>
        <w:spacing w:after="14" w:line="256" w:lineRule="auto"/>
        <w:ind w:right="91" w:hanging="130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kalijum sorbat, </w:t>
      </w:r>
    </w:p>
    <w:p w14:paraId="5794B826" w14:textId="77777777" w:rsidR="00DE75A2" w:rsidRPr="00D018AD" w:rsidRDefault="005A7758" w:rsidP="003A4839">
      <w:pPr>
        <w:numPr>
          <w:ilvl w:val="0"/>
          <w:numId w:val="14"/>
        </w:numPr>
        <w:spacing w:after="14" w:line="256" w:lineRule="auto"/>
        <w:ind w:right="91" w:hanging="130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limunska kiselina,</w:t>
      </w:r>
    </w:p>
    <w:p w14:paraId="3D5D31B8" w14:textId="20849C38" w:rsidR="00DE75A2" w:rsidRPr="00D018AD" w:rsidRDefault="005A7758" w:rsidP="003A4839">
      <w:pPr>
        <w:numPr>
          <w:ilvl w:val="0"/>
          <w:numId w:val="14"/>
        </w:numPr>
        <w:spacing w:after="14" w:line="256" w:lineRule="auto"/>
        <w:ind w:right="91" w:hanging="130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 xml:space="preserve">natrijum citrat, </w:t>
      </w:r>
    </w:p>
    <w:p w14:paraId="2216BB13" w14:textId="1A69D61B" w:rsidR="00DE75A2" w:rsidRPr="00D018AD" w:rsidRDefault="00DE75A2" w:rsidP="003A4839">
      <w:pPr>
        <w:numPr>
          <w:ilvl w:val="0"/>
          <w:numId w:val="14"/>
        </w:numPr>
        <w:spacing w:after="14" w:line="256" w:lineRule="auto"/>
        <w:ind w:right="91" w:hanging="130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S</w:t>
      </w:r>
      <w:r w:rsidR="005A7758" w:rsidRPr="00D018AD">
        <w:rPr>
          <w:noProof/>
          <w:color w:val="000000"/>
          <w:sz w:val="22"/>
          <w:szCs w:val="22"/>
          <w:lang w:val="sr-Latn-RS"/>
        </w:rPr>
        <w:t>ukraloza</w:t>
      </w:r>
      <w:r w:rsidRPr="00D018AD">
        <w:rPr>
          <w:noProof/>
          <w:color w:val="000000"/>
          <w:sz w:val="22"/>
          <w:szCs w:val="22"/>
          <w:lang w:val="sr-Latn-RS"/>
        </w:rPr>
        <w:t>,</w:t>
      </w:r>
      <w:r w:rsidR="005A7758" w:rsidRPr="00D018AD">
        <w:rPr>
          <w:noProof/>
          <w:color w:val="000000"/>
          <w:sz w:val="22"/>
          <w:szCs w:val="22"/>
          <w:lang w:val="sr-Latn-RS"/>
        </w:rPr>
        <w:t xml:space="preserve"> </w:t>
      </w:r>
    </w:p>
    <w:p w14:paraId="7B3E7264" w14:textId="2EFC5A08" w:rsidR="003A4839" w:rsidRPr="00D018AD" w:rsidRDefault="005A7758" w:rsidP="003A4839">
      <w:pPr>
        <w:numPr>
          <w:ilvl w:val="0"/>
          <w:numId w:val="14"/>
        </w:numPr>
        <w:spacing w:after="14" w:line="256" w:lineRule="auto"/>
        <w:ind w:right="91" w:hanging="130"/>
        <w:jc w:val="both"/>
        <w:rPr>
          <w:b/>
          <w:bCs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voda</w:t>
      </w:r>
      <w:r w:rsidR="00943C90" w:rsidRPr="00D018AD">
        <w:rPr>
          <w:noProof/>
          <w:sz w:val="22"/>
          <w:szCs w:val="22"/>
          <w:lang w:val="sr-Latn-RS"/>
        </w:rPr>
        <w:t>, prečišćena</w:t>
      </w:r>
      <w:r w:rsidR="003A4839" w:rsidRPr="00D018AD">
        <w:rPr>
          <w:noProof/>
          <w:sz w:val="22"/>
          <w:szCs w:val="22"/>
          <w:lang w:val="sr-Latn-RS"/>
        </w:rPr>
        <w:t>.</w:t>
      </w:r>
    </w:p>
    <w:p w14:paraId="253C029D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A3D127C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6.2.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Inkompatibilnost</w:t>
      </w:r>
      <w:r w:rsidR="002846DB" w:rsidRPr="00D018AD">
        <w:rPr>
          <w:b/>
          <w:bCs/>
          <w:sz w:val="22"/>
          <w:szCs w:val="22"/>
          <w:lang w:val="sr-Latn-RS"/>
        </w:rPr>
        <w:t>i</w:t>
      </w:r>
    </w:p>
    <w:p w14:paraId="276751D7" w14:textId="77777777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F35F047" w14:textId="3DFC512A" w:rsidR="003A4839" w:rsidRPr="00D018AD" w:rsidRDefault="003A4839" w:rsidP="003A4839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Nije primjenljivo</w:t>
      </w:r>
      <w:r w:rsidR="00675355" w:rsidRPr="00D018AD">
        <w:rPr>
          <w:sz w:val="22"/>
          <w:szCs w:val="22"/>
          <w:lang w:val="sr-Latn-RS"/>
        </w:rPr>
        <w:t>.</w:t>
      </w:r>
    </w:p>
    <w:p w14:paraId="63FAE388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AF7B2FF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>6.3.</w:t>
      </w:r>
      <w:r w:rsidR="00C05DF8" w:rsidRPr="00D018AD">
        <w:rPr>
          <w:b/>
          <w:bCs/>
          <w:sz w:val="22"/>
          <w:szCs w:val="22"/>
          <w:lang w:val="sr-Latn-RS"/>
        </w:rPr>
        <w:t xml:space="preserve">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Rok upotrebe</w:t>
      </w:r>
    </w:p>
    <w:p w14:paraId="7B9AAB43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C1B1EFC" w14:textId="7BE61540" w:rsidR="00943C90" w:rsidRPr="00D018AD" w:rsidRDefault="00943C90" w:rsidP="00943C90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2 godine.</w:t>
      </w:r>
    </w:p>
    <w:p w14:paraId="44CA2FFC" w14:textId="77777777" w:rsidR="000228AF" w:rsidRPr="00D018AD" w:rsidRDefault="000228AF" w:rsidP="00943C90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14390FB7" w14:textId="1322ED72" w:rsidR="003A4839" w:rsidRPr="00D018AD" w:rsidRDefault="0031113B" w:rsidP="00943C90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Rok upotrebe nakon prvog otvaranja lijeka je 2 mjeseca, na temperaturi do 25°C</w:t>
      </w:r>
      <w:r w:rsidRPr="00D018AD" w:rsidDel="0031113B">
        <w:rPr>
          <w:sz w:val="22"/>
          <w:szCs w:val="22"/>
          <w:lang w:val="sr-Latn-RS"/>
        </w:rPr>
        <w:t xml:space="preserve"> </w:t>
      </w:r>
      <w:r w:rsidRPr="00D018AD">
        <w:rPr>
          <w:sz w:val="22"/>
          <w:szCs w:val="22"/>
          <w:lang w:val="sr-Latn-RS"/>
        </w:rPr>
        <w:t>.</w:t>
      </w:r>
    </w:p>
    <w:p w14:paraId="49497D85" w14:textId="77777777" w:rsidR="003A4839" w:rsidRPr="00D018AD" w:rsidRDefault="003A4839" w:rsidP="003A4839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7A9263E" w14:textId="77777777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6.4.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D018AD">
        <w:rPr>
          <w:b/>
          <w:bCs/>
          <w:sz w:val="22"/>
          <w:szCs w:val="22"/>
          <w:lang w:val="sr-Latn-RS"/>
        </w:rPr>
        <w:t xml:space="preserve"> lijeka</w:t>
      </w:r>
    </w:p>
    <w:p w14:paraId="63D28FC0" w14:textId="77777777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0730678" w14:textId="35869C13" w:rsidR="003A4839" w:rsidRPr="00D018AD" w:rsidRDefault="003A48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Lijek ne zaht</w:t>
      </w:r>
      <w:r w:rsidR="00851D6B" w:rsidRPr="00D018AD">
        <w:rPr>
          <w:sz w:val="22"/>
          <w:szCs w:val="22"/>
          <w:lang w:val="sr-Latn-RS"/>
        </w:rPr>
        <w:t>i</w:t>
      </w:r>
      <w:r w:rsidRPr="00D018AD">
        <w:rPr>
          <w:sz w:val="22"/>
          <w:szCs w:val="22"/>
          <w:lang w:val="sr-Latn-RS"/>
        </w:rPr>
        <w:t>jeva posebne uslove čuvanja.</w:t>
      </w:r>
    </w:p>
    <w:p w14:paraId="2F2D10EF" w14:textId="691F42C4" w:rsidR="00EC2532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F5155CE" w14:textId="633FC4C8" w:rsid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06D0B71" w14:textId="5A0217FE" w:rsid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D5F5E37" w14:textId="310A87E5" w:rsid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C0C34FA" w14:textId="77777777" w:rsidR="00D018AD" w:rsidRP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EEF76C4" w14:textId="2E34E729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6.5.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="002846DB" w:rsidRPr="00D018AD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D018AD">
        <w:rPr>
          <w:b/>
          <w:bCs/>
          <w:sz w:val="22"/>
          <w:szCs w:val="22"/>
          <w:lang w:val="sr-Latn-RS"/>
        </w:rPr>
        <w:t>pakovanja</w:t>
      </w:r>
      <w:r w:rsidR="00C06864" w:rsidRPr="00D018AD">
        <w:rPr>
          <w:b/>
          <w:bCs/>
          <w:sz w:val="22"/>
          <w:szCs w:val="22"/>
          <w:lang w:val="sr-Latn-RS"/>
        </w:rPr>
        <w:t xml:space="preserve"> </w:t>
      </w:r>
    </w:p>
    <w:p w14:paraId="76F3B20A" w14:textId="77777777" w:rsidR="0034393E" w:rsidRPr="00D018AD" w:rsidRDefault="0034393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B4606F2" w14:textId="3DFBDCDF" w:rsidR="00943C90" w:rsidRPr="00D018AD" w:rsidRDefault="00943C90" w:rsidP="00943C90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Unutrašnje pakovanje je je tamna boca, zapremine 200 ml</w:t>
      </w:r>
      <w:r w:rsidR="00851D6B" w:rsidRPr="00D018AD">
        <w:rPr>
          <w:noProof/>
          <w:color w:val="000000"/>
          <w:sz w:val="22"/>
          <w:szCs w:val="22"/>
          <w:lang w:val="sr-Latn-RS"/>
        </w:rPr>
        <w:t>,</w:t>
      </w:r>
      <w:r w:rsidRPr="00D018AD">
        <w:rPr>
          <w:noProof/>
          <w:color w:val="000000"/>
          <w:sz w:val="22"/>
          <w:szCs w:val="22"/>
          <w:lang w:val="sr-Latn-RS"/>
        </w:rPr>
        <w:t xml:space="preserve"> od polietilen</w:t>
      </w:r>
      <w:r w:rsidR="00412A6A" w:rsidRPr="00D018AD">
        <w:rPr>
          <w:noProof/>
          <w:color w:val="000000"/>
          <w:sz w:val="22"/>
          <w:szCs w:val="22"/>
          <w:lang w:val="sr-Latn-RS"/>
        </w:rPr>
        <w:t xml:space="preserve"> </w:t>
      </w:r>
      <w:r w:rsidRPr="00D018AD">
        <w:rPr>
          <w:noProof/>
          <w:color w:val="000000"/>
          <w:sz w:val="22"/>
          <w:szCs w:val="22"/>
          <w:lang w:val="sr-Latn-RS"/>
        </w:rPr>
        <w:t>tereftalata (PET)</w:t>
      </w:r>
      <w:r w:rsidR="00851D6B" w:rsidRPr="00D018AD">
        <w:rPr>
          <w:noProof/>
          <w:color w:val="000000"/>
          <w:sz w:val="22"/>
          <w:szCs w:val="22"/>
          <w:lang w:val="sr-Latn-RS"/>
        </w:rPr>
        <w:t>,</w:t>
      </w:r>
      <w:r w:rsidRPr="00D018AD">
        <w:rPr>
          <w:noProof/>
          <w:color w:val="000000"/>
          <w:sz w:val="22"/>
          <w:szCs w:val="22"/>
          <w:lang w:val="sr-Latn-RS"/>
        </w:rPr>
        <w:t xml:space="preserve"> sa sigurnosnim navojnim zatvaračem od polietilena visoke gustine (HDPE) i špricem od polipropilena (10 ml).</w:t>
      </w:r>
    </w:p>
    <w:p w14:paraId="28855439" w14:textId="77777777" w:rsidR="00943C90" w:rsidRPr="00D018AD" w:rsidRDefault="00943C90" w:rsidP="00943C90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RS"/>
        </w:rPr>
      </w:pPr>
    </w:p>
    <w:p w14:paraId="31C162DF" w14:textId="0255222B" w:rsidR="0034393E" w:rsidRPr="00D018AD" w:rsidRDefault="00943C90" w:rsidP="00943C90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 xml:space="preserve">Spoljašnje pakovanje je složiva kartonska kutija kutija u kojoj se nalaze boca, špric i </w:t>
      </w:r>
      <w:r w:rsidR="00574D15" w:rsidRPr="00D018AD">
        <w:rPr>
          <w:sz w:val="22"/>
          <w:szCs w:val="22"/>
          <w:lang w:val="sr-Latn-RS"/>
        </w:rPr>
        <w:t>U</w:t>
      </w:r>
      <w:r w:rsidRPr="00D018AD">
        <w:rPr>
          <w:sz w:val="22"/>
          <w:szCs w:val="22"/>
          <w:lang w:val="sr-Latn-RS"/>
        </w:rPr>
        <w:t>putstvo za lijek</w:t>
      </w:r>
      <w:r w:rsidR="0034393E" w:rsidRPr="00D018AD">
        <w:rPr>
          <w:sz w:val="22"/>
          <w:szCs w:val="22"/>
          <w:lang w:val="sr-Latn-RS"/>
        </w:rPr>
        <w:t>.</w:t>
      </w:r>
    </w:p>
    <w:p w14:paraId="73AC2427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DF3DC30" w14:textId="77777777" w:rsidR="002846DB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6.6.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D018AD">
        <w:rPr>
          <w:b/>
          <w:bCs/>
          <w:sz w:val="22"/>
          <w:szCs w:val="22"/>
          <w:lang w:val="sr-Latn-RS"/>
        </w:rPr>
        <w:t xml:space="preserve"> </w:t>
      </w:r>
      <w:r w:rsidR="00310F03" w:rsidRPr="00D018AD">
        <w:rPr>
          <w:b/>
          <w:bCs/>
          <w:sz w:val="22"/>
          <w:szCs w:val="22"/>
          <w:lang w:val="sr-Latn-RS"/>
        </w:rPr>
        <w:t>(i druga uputs</w:t>
      </w:r>
      <w:r w:rsidR="004109FA" w:rsidRPr="00D018AD">
        <w:rPr>
          <w:b/>
          <w:bCs/>
          <w:sz w:val="22"/>
          <w:szCs w:val="22"/>
          <w:lang w:val="sr-Latn-RS"/>
        </w:rPr>
        <w:t>t</w:t>
      </w:r>
      <w:r w:rsidR="00310F03" w:rsidRPr="00D018AD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2A8CDA4B" w14:textId="77777777" w:rsidR="0034393E" w:rsidRPr="00D018AD" w:rsidRDefault="0034393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F52E630" w14:textId="5DD1D8C4" w:rsidR="00B66A70" w:rsidRPr="00D018AD" w:rsidRDefault="0034393E" w:rsidP="0034393E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018AD">
        <w:rPr>
          <w:sz w:val="22"/>
          <w:szCs w:val="22"/>
          <w:lang w:val="sr-Latn-RS"/>
        </w:rPr>
        <w:t>Svu neiskorišćenu količinu lijeka ili otpadnog materijala nakon njegove upotreba treba ukloniti, u skladu sa važećim propisima.</w:t>
      </w:r>
    </w:p>
    <w:p w14:paraId="2A55CDF4" w14:textId="325C4C11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9DEE698" w14:textId="77777777" w:rsidR="00D018AD" w:rsidRPr="00D018AD" w:rsidRDefault="00D018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8CACFB3" w14:textId="77777777" w:rsidR="00F8570A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7.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NOSILAC DOZVOLE</w:t>
      </w:r>
      <w:r w:rsidR="00483928" w:rsidRPr="00D018AD">
        <w:rPr>
          <w:b/>
          <w:bCs/>
          <w:sz w:val="22"/>
          <w:szCs w:val="22"/>
          <w:lang w:val="sr-Latn-RS"/>
        </w:rPr>
        <w:t xml:space="preserve"> </w:t>
      </w:r>
    </w:p>
    <w:p w14:paraId="2CA856E6" w14:textId="77777777" w:rsidR="0034393E" w:rsidRPr="00D018AD" w:rsidRDefault="0034393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8F671EE" w14:textId="77777777" w:rsidR="0034393E" w:rsidRPr="00D018AD" w:rsidRDefault="0034393E" w:rsidP="0034393E">
      <w:pPr>
        <w:spacing w:after="4" w:line="256" w:lineRule="auto"/>
        <w:ind w:left="-5" w:hanging="10"/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GOODWILL PHARMA D.O.O. PODGORICA,</w:t>
      </w:r>
    </w:p>
    <w:p w14:paraId="617D7E6B" w14:textId="769FD8B2" w:rsidR="0034393E" w:rsidRPr="00D018AD" w:rsidRDefault="0034393E" w:rsidP="0034393E">
      <w:pPr>
        <w:tabs>
          <w:tab w:val="left" w:pos="540"/>
          <w:tab w:val="left" w:pos="569"/>
        </w:tabs>
        <w:rPr>
          <w:noProof/>
          <w:color w:val="000000"/>
          <w:sz w:val="22"/>
          <w:szCs w:val="22"/>
          <w:lang w:val="sr-Latn-RS"/>
        </w:rPr>
      </w:pPr>
      <w:r w:rsidRPr="00D018AD">
        <w:rPr>
          <w:noProof/>
          <w:color w:val="000000"/>
          <w:sz w:val="22"/>
          <w:szCs w:val="22"/>
          <w:lang w:val="sr-Latn-RS"/>
        </w:rPr>
        <w:t>Crnogorskih serdara br.</w:t>
      </w:r>
      <w:r w:rsidR="00251FF0" w:rsidRPr="00D018AD">
        <w:rPr>
          <w:noProof/>
          <w:color w:val="000000"/>
          <w:sz w:val="22"/>
          <w:szCs w:val="22"/>
          <w:lang w:val="sr-Latn-RS"/>
        </w:rPr>
        <w:t xml:space="preserve"> </w:t>
      </w:r>
      <w:r w:rsidRPr="00D018AD">
        <w:rPr>
          <w:noProof/>
          <w:color w:val="000000"/>
          <w:sz w:val="22"/>
          <w:szCs w:val="22"/>
          <w:lang w:val="sr-Latn-RS"/>
        </w:rPr>
        <w:t>23, 81000 Podgorica</w:t>
      </w:r>
      <w:r w:rsidR="00251FF0" w:rsidRPr="00D018AD">
        <w:rPr>
          <w:noProof/>
          <w:color w:val="000000"/>
          <w:sz w:val="22"/>
          <w:szCs w:val="22"/>
          <w:lang w:val="sr-Latn-RS"/>
        </w:rPr>
        <w:t>, Crna Gora</w:t>
      </w:r>
    </w:p>
    <w:p w14:paraId="4F621711" w14:textId="6FDB2B97" w:rsidR="00943C90" w:rsidRDefault="00943C90" w:rsidP="0034393E">
      <w:pPr>
        <w:tabs>
          <w:tab w:val="left" w:pos="540"/>
          <w:tab w:val="left" w:pos="569"/>
        </w:tabs>
        <w:rPr>
          <w:noProof/>
          <w:color w:val="000000"/>
          <w:sz w:val="22"/>
          <w:szCs w:val="22"/>
          <w:lang w:val="sr-Latn-RS"/>
        </w:rPr>
      </w:pPr>
    </w:p>
    <w:p w14:paraId="46244587" w14:textId="77777777" w:rsidR="00D018AD" w:rsidRPr="00D018AD" w:rsidRDefault="00D018AD" w:rsidP="0034393E">
      <w:pPr>
        <w:tabs>
          <w:tab w:val="left" w:pos="540"/>
          <w:tab w:val="left" w:pos="569"/>
        </w:tabs>
        <w:rPr>
          <w:noProof/>
          <w:color w:val="000000"/>
          <w:sz w:val="22"/>
          <w:szCs w:val="22"/>
          <w:lang w:val="sr-Latn-RS"/>
        </w:rPr>
      </w:pPr>
    </w:p>
    <w:p w14:paraId="4F8A0F79" w14:textId="27D6272F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8.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>BROJ DOZVOLE</w:t>
      </w:r>
      <w:r w:rsidR="008A6D43" w:rsidRPr="00D018AD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5DAA0233" w14:textId="7B4E1C5B" w:rsidR="00360184" w:rsidRPr="00D018AD" w:rsidRDefault="0036018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EA2C538" w14:textId="20288E7D" w:rsidR="00360184" w:rsidRPr="00D018AD" w:rsidRDefault="003601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2030/24/5671 - 8004</w:t>
      </w:r>
    </w:p>
    <w:p w14:paraId="0652FF03" w14:textId="77777777" w:rsidR="0034393E" w:rsidRPr="00D018AD" w:rsidRDefault="0034393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F63E294" w14:textId="77777777" w:rsidR="00F45F77" w:rsidRPr="00D018AD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5F806A1" w14:textId="5C2F61D0" w:rsidR="0072020E" w:rsidRPr="00D018A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9.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Pr="00D018AD">
        <w:rPr>
          <w:b/>
          <w:bCs/>
          <w:sz w:val="22"/>
          <w:szCs w:val="22"/>
          <w:lang w:val="sr-Latn-RS"/>
        </w:rPr>
        <w:t xml:space="preserve">DATUM </w:t>
      </w:r>
      <w:r w:rsidR="00C05DF8" w:rsidRPr="00D018AD">
        <w:rPr>
          <w:b/>
          <w:bCs/>
          <w:sz w:val="22"/>
          <w:szCs w:val="22"/>
          <w:lang w:val="sr-Latn-RS"/>
        </w:rPr>
        <w:t xml:space="preserve">PRVE </w:t>
      </w:r>
      <w:r w:rsidR="008A6D43" w:rsidRPr="00D018AD">
        <w:rPr>
          <w:b/>
          <w:bCs/>
          <w:sz w:val="22"/>
          <w:szCs w:val="22"/>
          <w:lang w:val="sr-Latn-RS"/>
        </w:rPr>
        <w:t>DOZVOLE</w:t>
      </w:r>
      <w:r w:rsidR="00C05DF8" w:rsidRPr="00D018AD">
        <w:rPr>
          <w:b/>
          <w:bCs/>
          <w:sz w:val="22"/>
          <w:szCs w:val="22"/>
          <w:lang w:val="sr-Latn-RS"/>
        </w:rPr>
        <w:t>/OBNOVE DOZVOLE</w:t>
      </w:r>
      <w:r w:rsidR="008A6D43" w:rsidRPr="00D018AD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20C84600" w14:textId="6051AA83" w:rsidR="00360184" w:rsidRPr="00D018AD" w:rsidRDefault="0036018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80751BC" w14:textId="0037E85C" w:rsidR="00360184" w:rsidRPr="00D018AD" w:rsidRDefault="003601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28.10.2024. godine</w:t>
      </w:r>
    </w:p>
    <w:p w14:paraId="2723378A" w14:textId="77777777" w:rsidR="0072020E" w:rsidRPr="00D018A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D1675F0" w14:textId="77777777" w:rsidR="00836B35" w:rsidRPr="00D018A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1B732A2" w14:textId="77777777" w:rsidR="003F6A59" w:rsidRPr="00D018AD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D018AD">
        <w:rPr>
          <w:b/>
          <w:bCs/>
          <w:sz w:val="22"/>
          <w:szCs w:val="22"/>
          <w:lang w:val="sr-Latn-RS"/>
        </w:rPr>
        <w:t xml:space="preserve">10. </w:t>
      </w:r>
      <w:r w:rsidR="00480FB1" w:rsidRPr="00D018AD">
        <w:rPr>
          <w:b/>
          <w:bCs/>
          <w:sz w:val="22"/>
          <w:szCs w:val="22"/>
          <w:lang w:val="sr-Latn-RS"/>
        </w:rPr>
        <w:tab/>
      </w:r>
      <w:r w:rsidR="002846DB" w:rsidRPr="00D018AD">
        <w:rPr>
          <w:b/>
          <w:bCs/>
          <w:sz w:val="22"/>
          <w:szCs w:val="22"/>
          <w:lang w:val="sr-Latn-RS"/>
        </w:rPr>
        <w:t>D</w:t>
      </w:r>
      <w:r w:rsidR="00EC2532" w:rsidRPr="00D018AD">
        <w:rPr>
          <w:b/>
          <w:bCs/>
          <w:sz w:val="22"/>
          <w:szCs w:val="22"/>
          <w:lang w:val="sr-Latn-RS"/>
        </w:rPr>
        <w:t xml:space="preserve">ATUM REVIZIJE TEKSTA </w:t>
      </w:r>
    </w:p>
    <w:p w14:paraId="5C1E3E67" w14:textId="77777777" w:rsidR="003F6A59" w:rsidRPr="00D018AD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F4CCF2F" w14:textId="7A6CE201" w:rsidR="008A6D43" w:rsidRPr="00D018AD" w:rsidRDefault="00851D6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D018AD">
        <w:rPr>
          <w:bCs/>
          <w:sz w:val="22"/>
          <w:szCs w:val="22"/>
          <w:lang w:val="sr-Latn-RS"/>
        </w:rPr>
        <w:t>Oktobar, 2024.</w:t>
      </w:r>
      <w:r w:rsidR="00360184" w:rsidRPr="00D018AD">
        <w:rPr>
          <w:bCs/>
          <w:sz w:val="22"/>
          <w:szCs w:val="22"/>
          <w:lang w:val="sr-Latn-RS"/>
        </w:rPr>
        <w:t xml:space="preserve"> godine</w:t>
      </w:r>
    </w:p>
    <w:p w14:paraId="3722DEE6" w14:textId="77777777" w:rsidR="003F6A59" w:rsidRPr="00D018AD" w:rsidRDefault="003F6A59" w:rsidP="00DE3F5C">
      <w:pPr>
        <w:rPr>
          <w:sz w:val="22"/>
          <w:szCs w:val="22"/>
          <w:lang w:val="sr-Latn-RS"/>
        </w:rPr>
      </w:pPr>
    </w:p>
    <w:sectPr w:rsidR="003F6A59" w:rsidRPr="00D018AD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4913" w14:textId="77777777" w:rsidR="000652CF" w:rsidRDefault="000652CF">
      <w:r>
        <w:separator/>
      </w:r>
    </w:p>
  </w:endnote>
  <w:endnote w:type="continuationSeparator" w:id="0">
    <w:p w14:paraId="7C807557" w14:textId="77777777" w:rsidR="000652CF" w:rsidRDefault="0006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7677" w14:textId="43A2FE14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274A7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274A7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0B686" w14:textId="77777777" w:rsidR="000652CF" w:rsidRDefault="000652CF">
      <w:r>
        <w:separator/>
      </w:r>
    </w:p>
  </w:footnote>
  <w:footnote w:type="continuationSeparator" w:id="0">
    <w:p w14:paraId="26F6C1CF" w14:textId="77777777" w:rsidR="000652CF" w:rsidRDefault="0006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1E0426"/>
    <w:multiLevelType w:val="hybridMultilevel"/>
    <w:tmpl w:val="87E04734"/>
    <w:lvl w:ilvl="0" w:tplc="892E0BF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CBE4A15"/>
    <w:multiLevelType w:val="hybridMultilevel"/>
    <w:tmpl w:val="B3B232F2"/>
    <w:lvl w:ilvl="0" w:tplc="E5F8DC7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824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C3E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8C0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4F8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456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3E92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83E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2AD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A32B0"/>
    <w:multiLevelType w:val="hybridMultilevel"/>
    <w:tmpl w:val="9CF6379A"/>
    <w:lvl w:ilvl="0" w:tplc="892E0BF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627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A9C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4D5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8A1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4ED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A2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0E0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833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17D28"/>
    <w:rsid w:val="000228AF"/>
    <w:rsid w:val="00033469"/>
    <w:rsid w:val="00036FA0"/>
    <w:rsid w:val="0003793F"/>
    <w:rsid w:val="00045130"/>
    <w:rsid w:val="00057E35"/>
    <w:rsid w:val="000652CF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E7612"/>
    <w:rsid w:val="000F4587"/>
    <w:rsid w:val="000F77FA"/>
    <w:rsid w:val="00105384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45E3"/>
    <w:rsid w:val="001F719A"/>
    <w:rsid w:val="002031B3"/>
    <w:rsid w:val="00215931"/>
    <w:rsid w:val="00224C91"/>
    <w:rsid w:val="002274A7"/>
    <w:rsid w:val="00227BDB"/>
    <w:rsid w:val="00234CB1"/>
    <w:rsid w:val="002352F8"/>
    <w:rsid w:val="002510A5"/>
    <w:rsid w:val="00251FF0"/>
    <w:rsid w:val="00254A0A"/>
    <w:rsid w:val="00266046"/>
    <w:rsid w:val="002846DB"/>
    <w:rsid w:val="00284CCD"/>
    <w:rsid w:val="002C441F"/>
    <w:rsid w:val="002C6637"/>
    <w:rsid w:val="002E0135"/>
    <w:rsid w:val="002E37A5"/>
    <w:rsid w:val="00303089"/>
    <w:rsid w:val="00310F03"/>
    <w:rsid w:val="0031113B"/>
    <w:rsid w:val="003247D2"/>
    <w:rsid w:val="0034393E"/>
    <w:rsid w:val="003445C1"/>
    <w:rsid w:val="00355B61"/>
    <w:rsid w:val="00360184"/>
    <w:rsid w:val="00362686"/>
    <w:rsid w:val="00371510"/>
    <w:rsid w:val="00396DFD"/>
    <w:rsid w:val="003A4839"/>
    <w:rsid w:val="003A7059"/>
    <w:rsid w:val="003B7A36"/>
    <w:rsid w:val="003C17AB"/>
    <w:rsid w:val="003C7823"/>
    <w:rsid w:val="003E1DCC"/>
    <w:rsid w:val="003F11A1"/>
    <w:rsid w:val="003F4FAB"/>
    <w:rsid w:val="003F6A59"/>
    <w:rsid w:val="004065C8"/>
    <w:rsid w:val="004109FA"/>
    <w:rsid w:val="00411B4B"/>
    <w:rsid w:val="00412A6A"/>
    <w:rsid w:val="00415BEE"/>
    <w:rsid w:val="004254E9"/>
    <w:rsid w:val="00427F85"/>
    <w:rsid w:val="00436D43"/>
    <w:rsid w:val="00436F42"/>
    <w:rsid w:val="004378B4"/>
    <w:rsid w:val="004417B9"/>
    <w:rsid w:val="00451314"/>
    <w:rsid w:val="00452E9D"/>
    <w:rsid w:val="004534C7"/>
    <w:rsid w:val="004671AA"/>
    <w:rsid w:val="00471DF8"/>
    <w:rsid w:val="00480FB1"/>
    <w:rsid w:val="00483928"/>
    <w:rsid w:val="004C331F"/>
    <w:rsid w:val="004C45E5"/>
    <w:rsid w:val="004D6103"/>
    <w:rsid w:val="004E3BCE"/>
    <w:rsid w:val="004E3FAE"/>
    <w:rsid w:val="004E70AD"/>
    <w:rsid w:val="004F0E1B"/>
    <w:rsid w:val="004F0E97"/>
    <w:rsid w:val="004F17E2"/>
    <w:rsid w:val="00501DD1"/>
    <w:rsid w:val="00515C21"/>
    <w:rsid w:val="00530BD7"/>
    <w:rsid w:val="00545CD2"/>
    <w:rsid w:val="005476F3"/>
    <w:rsid w:val="005651C5"/>
    <w:rsid w:val="00572527"/>
    <w:rsid w:val="00573E40"/>
    <w:rsid w:val="00574D15"/>
    <w:rsid w:val="00576348"/>
    <w:rsid w:val="005A0B2E"/>
    <w:rsid w:val="005A23D2"/>
    <w:rsid w:val="005A36CB"/>
    <w:rsid w:val="005A7758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61C2"/>
    <w:rsid w:val="00671CB3"/>
    <w:rsid w:val="00674BAF"/>
    <w:rsid w:val="00675355"/>
    <w:rsid w:val="00682200"/>
    <w:rsid w:val="00692BF6"/>
    <w:rsid w:val="006A1351"/>
    <w:rsid w:val="006A1497"/>
    <w:rsid w:val="006B01F2"/>
    <w:rsid w:val="006B0BD1"/>
    <w:rsid w:val="006B5404"/>
    <w:rsid w:val="006B6503"/>
    <w:rsid w:val="006D20A5"/>
    <w:rsid w:val="006D37BF"/>
    <w:rsid w:val="006F2B5E"/>
    <w:rsid w:val="00702E22"/>
    <w:rsid w:val="0072020E"/>
    <w:rsid w:val="00754902"/>
    <w:rsid w:val="00786071"/>
    <w:rsid w:val="007A3ECB"/>
    <w:rsid w:val="007A7AAD"/>
    <w:rsid w:val="007D7BB3"/>
    <w:rsid w:val="007E31E9"/>
    <w:rsid w:val="007F05E3"/>
    <w:rsid w:val="007F661E"/>
    <w:rsid w:val="00824AB9"/>
    <w:rsid w:val="00836B35"/>
    <w:rsid w:val="00843BDE"/>
    <w:rsid w:val="00851D6B"/>
    <w:rsid w:val="00873A20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37F62"/>
    <w:rsid w:val="00940B9B"/>
    <w:rsid w:val="00941DC3"/>
    <w:rsid w:val="00943C90"/>
    <w:rsid w:val="00950F03"/>
    <w:rsid w:val="00953573"/>
    <w:rsid w:val="0095676E"/>
    <w:rsid w:val="00956983"/>
    <w:rsid w:val="00963CF0"/>
    <w:rsid w:val="00964BB1"/>
    <w:rsid w:val="009674B6"/>
    <w:rsid w:val="009775D9"/>
    <w:rsid w:val="00997175"/>
    <w:rsid w:val="00997D9F"/>
    <w:rsid w:val="009A1847"/>
    <w:rsid w:val="009B062A"/>
    <w:rsid w:val="009E7C6F"/>
    <w:rsid w:val="009F1793"/>
    <w:rsid w:val="009F2D23"/>
    <w:rsid w:val="00A01D69"/>
    <w:rsid w:val="00A02335"/>
    <w:rsid w:val="00A21656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00443"/>
    <w:rsid w:val="00B208DB"/>
    <w:rsid w:val="00B23F69"/>
    <w:rsid w:val="00B60619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3E9E"/>
    <w:rsid w:val="00C61BE0"/>
    <w:rsid w:val="00C6707E"/>
    <w:rsid w:val="00C70B0E"/>
    <w:rsid w:val="00C773CA"/>
    <w:rsid w:val="00C83785"/>
    <w:rsid w:val="00C87FA8"/>
    <w:rsid w:val="00C90852"/>
    <w:rsid w:val="00C94C0D"/>
    <w:rsid w:val="00CA0E18"/>
    <w:rsid w:val="00CA1FEB"/>
    <w:rsid w:val="00CC117E"/>
    <w:rsid w:val="00CD4F85"/>
    <w:rsid w:val="00CD6F02"/>
    <w:rsid w:val="00CE246D"/>
    <w:rsid w:val="00CF07A0"/>
    <w:rsid w:val="00CF3E03"/>
    <w:rsid w:val="00D0082A"/>
    <w:rsid w:val="00D018AD"/>
    <w:rsid w:val="00D21455"/>
    <w:rsid w:val="00D47634"/>
    <w:rsid w:val="00D709B3"/>
    <w:rsid w:val="00D74CD2"/>
    <w:rsid w:val="00D8179A"/>
    <w:rsid w:val="00DA2ED6"/>
    <w:rsid w:val="00DB1D55"/>
    <w:rsid w:val="00DB76B8"/>
    <w:rsid w:val="00DC2EA1"/>
    <w:rsid w:val="00DD6AAF"/>
    <w:rsid w:val="00DE3F5C"/>
    <w:rsid w:val="00DE75A2"/>
    <w:rsid w:val="00DF1D20"/>
    <w:rsid w:val="00E21324"/>
    <w:rsid w:val="00E246B9"/>
    <w:rsid w:val="00E30D20"/>
    <w:rsid w:val="00E31FEA"/>
    <w:rsid w:val="00E45169"/>
    <w:rsid w:val="00E47787"/>
    <w:rsid w:val="00E51C30"/>
    <w:rsid w:val="00E60910"/>
    <w:rsid w:val="00E64180"/>
    <w:rsid w:val="00E7235D"/>
    <w:rsid w:val="00E74AEE"/>
    <w:rsid w:val="00E868E5"/>
    <w:rsid w:val="00E91805"/>
    <w:rsid w:val="00E9237A"/>
    <w:rsid w:val="00E939FA"/>
    <w:rsid w:val="00EA5765"/>
    <w:rsid w:val="00EA5B75"/>
    <w:rsid w:val="00EC2532"/>
    <w:rsid w:val="00ED7812"/>
    <w:rsid w:val="00EE6435"/>
    <w:rsid w:val="00EF3B86"/>
    <w:rsid w:val="00F23BFC"/>
    <w:rsid w:val="00F317E9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859FD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443"/>
    <w:pPr>
      <w:ind w:left="720"/>
      <w:contextualSpacing/>
    </w:pPr>
  </w:style>
  <w:style w:type="table" w:customStyle="1" w:styleId="TableGrid">
    <w:name w:val="TableGrid"/>
    <w:rsid w:val="003A4839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4839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E64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E07F-4679-4B12-BAFA-59134D74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10818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13</cp:revision>
  <cp:lastPrinted>2023-02-09T08:16:00Z</cp:lastPrinted>
  <dcterms:created xsi:type="dcterms:W3CDTF">2024-10-22T13:31:00Z</dcterms:created>
  <dcterms:modified xsi:type="dcterms:W3CDTF">2024-10-28T13:35:00Z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