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29B53" w14:textId="77777777" w:rsidR="00DD2A82" w:rsidRPr="00890981" w:rsidRDefault="00DD2A82" w:rsidP="00923865">
      <w:pPr>
        <w:rPr>
          <w:lang w:val="sr-Latn-ME"/>
        </w:rPr>
      </w:pPr>
    </w:p>
    <w:p w14:paraId="165D9E17" w14:textId="77777777" w:rsidR="00CE09F3" w:rsidRPr="00890981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890981">
        <w:rPr>
          <w:b/>
          <w:bCs/>
          <w:iCs/>
          <w:szCs w:val="22"/>
          <w:u w:val="single"/>
          <w:lang w:val="sr-Latn-ME"/>
        </w:rPr>
        <w:t>SAŽETAK KARAKTERISTIKA L</w:t>
      </w:r>
      <w:r w:rsidR="00B8469B" w:rsidRPr="00890981">
        <w:rPr>
          <w:b/>
          <w:bCs/>
          <w:iCs/>
          <w:szCs w:val="22"/>
          <w:u w:val="single"/>
          <w:lang w:val="sr-Latn-ME"/>
        </w:rPr>
        <w:t>IJ</w:t>
      </w:r>
      <w:r w:rsidRPr="00890981">
        <w:rPr>
          <w:b/>
          <w:bCs/>
          <w:iCs/>
          <w:szCs w:val="22"/>
          <w:u w:val="single"/>
          <w:lang w:val="sr-Latn-ME"/>
        </w:rPr>
        <w:t>EKA</w:t>
      </w:r>
    </w:p>
    <w:p w14:paraId="20869127" w14:textId="77777777" w:rsidR="00383195" w:rsidRPr="00890981" w:rsidRDefault="00383195" w:rsidP="00923865">
      <w:pPr>
        <w:rPr>
          <w:szCs w:val="22"/>
          <w:lang w:val="sr-Latn-ME"/>
        </w:rPr>
      </w:pPr>
    </w:p>
    <w:p w14:paraId="7CBE638D" w14:textId="277F75E2" w:rsidR="00A550E8" w:rsidRPr="00890981" w:rsidRDefault="00CE09F3" w:rsidP="009F610E">
      <w:pPr>
        <w:pStyle w:val="NASLOV123"/>
        <w:jc w:val="both"/>
        <w:rPr>
          <w:lang w:val="sr-Latn-ME"/>
        </w:rPr>
      </w:pPr>
      <w:r w:rsidRPr="00890981">
        <w:rPr>
          <w:lang w:val="sr-Latn-ME"/>
        </w:rPr>
        <w:t xml:space="preserve">1. </w:t>
      </w:r>
      <w:r w:rsidR="00B8469B" w:rsidRPr="00890981">
        <w:rPr>
          <w:bCs/>
          <w:lang w:val="sr-Latn-ME"/>
        </w:rPr>
        <w:t xml:space="preserve">NAZIV </w:t>
      </w:r>
      <w:r w:rsidRPr="00890981">
        <w:rPr>
          <w:lang w:val="sr-Latn-ME"/>
        </w:rPr>
        <w:t>L</w:t>
      </w:r>
      <w:r w:rsidR="00B8469B" w:rsidRPr="00890981">
        <w:rPr>
          <w:lang w:val="sr-Latn-ME"/>
        </w:rPr>
        <w:t>IJ</w:t>
      </w:r>
      <w:r w:rsidRPr="00890981">
        <w:rPr>
          <w:lang w:val="sr-Latn-ME"/>
        </w:rPr>
        <w:t>EKA</w:t>
      </w:r>
    </w:p>
    <w:p w14:paraId="2EFE0B04" w14:textId="5FDA2EAC" w:rsidR="00CE09F3" w:rsidRPr="00890981" w:rsidRDefault="000E48C2">
      <w:pPr>
        <w:rPr>
          <w:szCs w:val="22"/>
          <w:lang w:val="sr-Latn-ME"/>
        </w:rPr>
      </w:pPr>
      <w:r w:rsidRPr="00890981">
        <w:rPr>
          <w:szCs w:val="22"/>
          <w:lang w:val="sr-Latn-ME"/>
        </w:rPr>
        <w:t>Spiriva, 18 mikrograma, prašak za inhalaciju, tvrda kapsula</w:t>
      </w:r>
    </w:p>
    <w:p w14:paraId="62F9566B" w14:textId="77777777" w:rsidR="00CE09F3" w:rsidRPr="00890981" w:rsidRDefault="00CE09F3">
      <w:pPr>
        <w:rPr>
          <w:bCs/>
          <w:szCs w:val="22"/>
          <w:lang w:val="sr-Latn-ME"/>
        </w:rPr>
      </w:pPr>
    </w:p>
    <w:p w14:paraId="12752908" w14:textId="503D78F1" w:rsidR="00CE09F3" w:rsidRPr="00890981" w:rsidRDefault="00CE09F3">
      <w:pPr>
        <w:rPr>
          <w:szCs w:val="22"/>
          <w:lang w:val="sr-Latn-ME"/>
        </w:rPr>
      </w:pPr>
      <w:r w:rsidRPr="00890981">
        <w:rPr>
          <w:szCs w:val="22"/>
          <w:lang w:val="sr-Latn-ME"/>
        </w:rPr>
        <w:t>INN:</w:t>
      </w:r>
      <w:r w:rsidR="000E48C2" w:rsidRPr="00890981">
        <w:rPr>
          <w:szCs w:val="22"/>
          <w:lang w:val="sr-Latn-ME"/>
        </w:rPr>
        <w:t xml:space="preserve"> tiotropijum</w:t>
      </w:r>
      <w:r w:rsidR="009625F2" w:rsidRPr="00890981">
        <w:rPr>
          <w:szCs w:val="22"/>
          <w:lang w:val="sr-Latn-ME"/>
        </w:rPr>
        <w:t xml:space="preserve"> </w:t>
      </w:r>
      <w:r w:rsidR="000E48C2" w:rsidRPr="00890981">
        <w:rPr>
          <w:szCs w:val="22"/>
          <w:lang w:val="sr-Latn-ME"/>
        </w:rPr>
        <w:t>bromid</w:t>
      </w:r>
    </w:p>
    <w:p w14:paraId="33B3C96F" w14:textId="77777777" w:rsidR="009F132F" w:rsidRPr="00890981" w:rsidRDefault="009F132F">
      <w:pPr>
        <w:rPr>
          <w:szCs w:val="22"/>
          <w:lang w:val="sr-Latn-ME"/>
        </w:rPr>
      </w:pPr>
    </w:p>
    <w:p w14:paraId="134383A4" w14:textId="77777777" w:rsidR="00CE09F3" w:rsidRPr="00890981" w:rsidRDefault="00CE09F3" w:rsidP="009F610E">
      <w:pPr>
        <w:pStyle w:val="NASLOV123"/>
        <w:jc w:val="both"/>
        <w:rPr>
          <w:lang w:val="sr-Latn-ME"/>
        </w:rPr>
      </w:pPr>
      <w:r w:rsidRPr="00890981">
        <w:rPr>
          <w:lang w:val="sr-Latn-ME"/>
        </w:rPr>
        <w:t>2. KVALITATIVNI I KVANTITATIVNI SASTAV</w:t>
      </w:r>
    </w:p>
    <w:p w14:paraId="201DD5AA" w14:textId="24197026" w:rsidR="000E48C2" w:rsidRPr="00890981" w:rsidRDefault="00B708A4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Jedna </w:t>
      </w:r>
      <w:r w:rsidR="001F6752" w:rsidRPr="00890981">
        <w:rPr>
          <w:color w:val="auto"/>
          <w:sz w:val="22"/>
          <w:szCs w:val="22"/>
          <w:lang w:val="sr-Latn-ME"/>
        </w:rPr>
        <w:t xml:space="preserve">tvrda </w:t>
      </w:r>
      <w:r w:rsidR="000E48C2" w:rsidRPr="00890981">
        <w:rPr>
          <w:color w:val="auto"/>
          <w:sz w:val="22"/>
          <w:szCs w:val="22"/>
          <w:lang w:val="sr-Latn-ME"/>
        </w:rPr>
        <w:t>kapsula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0E48C2" w:rsidRPr="00890981">
        <w:rPr>
          <w:color w:val="auto"/>
          <w:sz w:val="22"/>
          <w:szCs w:val="22"/>
          <w:lang w:val="sr-Latn-ME"/>
        </w:rPr>
        <w:t>sadrži 22</w:t>
      </w:r>
      <w:r w:rsidR="00412A23" w:rsidRPr="00890981">
        <w:rPr>
          <w:color w:val="auto"/>
          <w:sz w:val="22"/>
          <w:szCs w:val="22"/>
          <w:lang w:val="sr-Latn-ME"/>
        </w:rPr>
        <w:t>,</w:t>
      </w:r>
      <w:r w:rsidR="000E48C2" w:rsidRPr="00890981">
        <w:rPr>
          <w:color w:val="auto"/>
          <w:sz w:val="22"/>
          <w:szCs w:val="22"/>
          <w:lang w:val="sr-Latn-ME"/>
        </w:rPr>
        <w:t>5 mikrograma tiotropijum</w:t>
      </w:r>
      <w:r w:rsidR="00F32262" w:rsidRPr="00890981">
        <w:rPr>
          <w:color w:val="auto"/>
          <w:sz w:val="22"/>
          <w:szCs w:val="22"/>
          <w:lang w:val="sr-Latn-ME"/>
        </w:rPr>
        <w:t xml:space="preserve"> </w:t>
      </w:r>
      <w:r w:rsidR="000E48C2" w:rsidRPr="00890981">
        <w:rPr>
          <w:color w:val="auto"/>
          <w:sz w:val="22"/>
          <w:szCs w:val="22"/>
          <w:lang w:val="sr-Latn-ME"/>
        </w:rPr>
        <w:t xml:space="preserve">bromid, monohidrata što </w:t>
      </w:r>
      <w:r w:rsidR="009C4470" w:rsidRPr="00890981">
        <w:rPr>
          <w:color w:val="auto"/>
          <w:sz w:val="22"/>
          <w:szCs w:val="22"/>
          <w:lang w:val="sr-Latn-ME"/>
        </w:rPr>
        <w:t>odgov</w:t>
      </w:r>
      <w:r w:rsidR="009C4470">
        <w:rPr>
          <w:color w:val="auto"/>
          <w:sz w:val="22"/>
          <w:szCs w:val="22"/>
          <w:lang w:val="sr-Latn-ME"/>
        </w:rPr>
        <w:t>a</w:t>
      </w:r>
      <w:r w:rsidR="009C4470" w:rsidRPr="00890981">
        <w:rPr>
          <w:color w:val="auto"/>
          <w:sz w:val="22"/>
          <w:szCs w:val="22"/>
          <w:lang w:val="sr-Latn-ME"/>
        </w:rPr>
        <w:t xml:space="preserve">ra </w:t>
      </w:r>
      <w:r w:rsidR="000E48C2" w:rsidRPr="00890981">
        <w:rPr>
          <w:color w:val="auto"/>
          <w:sz w:val="22"/>
          <w:szCs w:val="22"/>
          <w:lang w:val="sr-Latn-ME"/>
        </w:rPr>
        <w:t>18 mikrograma tiotropijuma.</w:t>
      </w:r>
    </w:p>
    <w:p w14:paraId="339A9F3E" w14:textId="77777777" w:rsidR="000E48C2" w:rsidRPr="00890981" w:rsidRDefault="00B708A4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Oslobođena </w:t>
      </w:r>
      <w:r w:rsidR="000E48C2" w:rsidRPr="00890981">
        <w:rPr>
          <w:color w:val="auto"/>
          <w:sz w:val="22"/>
          <w:szCs w:val="22"/>
          <w:lang w:val="sr-Latn-ME"/>
        </w:rPr>
        <w:t xml:space="preserve">doza (doza </w:t>
      </w:r>
      <w:r w:rsidRPr="00890981">
        <w:rPr>
          <w:color w:val="auto"/>
          <w:sz w:val="22"/>
          <w:szCs w:val="22"/>
          <w:lang w:val="sr-Latn-ME"/>
        </w:rPr>
        <w:t xml:space="preserve">oslobođena iz nastavka za usta </w:t>
      </w:r>
      <w:r w:rsidR="00786874" w:rsidRPr="00890981">
        <w:rPr>
          <w:color w:val="auto"/>
          <w:sz w:val="22"/>
          <w:szCs w:val="22"/>
          <w:lang w:val="sr-Latn-ME"/>
        </w:rPr>
        <w:t xml:space="preserve">uređaja za inhalaciju </w:t>
      </w:r>
      <w:r w:rsidRPr="00890981">
        <w:rPr>
          <w:color w:val="auto"/>
          <w:sz w:val="22"/>
          <w:szCs w:val="22"/>
          <w:lang w:val="sr-Latn-ME"/>
        </w:rPr>
        <w:t>HandiHaler</w:t>
      </w:r>
      <w:r w:rsidR="000E48C2" w:rsidRPr="00890981">
        <w:rPr>
          <w:color w:val="auto"/>
          <w:sz w:val="22"/>
          <w:szCs w:val="22"/>
          <w:lang w:val="sr-Latn-ME"/>
        </w:rPr>
        <w:t>) je 10 mikrograma tiotropijuma.</w:t>
      </w:r>
    </w:p>
    <w:p w14:paraId="4DDBE81C" w14:textId="77777777" w:rsidR="002918FD" w:rsidRPr="00890981" w:rsidRDefault="002918FD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08646B2B" w14:textId="7EF02A2F" w:rsidR="008D5042" w:rsidRPr="00890981" w:rsidRDefault="002918FD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5E39F0">
        <w:rPr>
          <w:color w:val="auto"/>
          <w:sz w:val="22"/>
          <w:szCs w:val="22"/>
          <w:u w:val="single"/>
          <w:lang w:val="sr-Latn-ME"/>
        </w:rPr>
        <w:t xml:space="preserve">Pomoćna supstanca sa </w:t>
      </w:r>
      <w:r w:rsidR="00412A23" w:rsidRPr="005E39F0">
        <w:rPr>
          <w:sz w:val="22"/>
          <w:szCs w:val="22"/>
          <w:u w:val="single"/>
          <w:lang w:val="sr-Latn-ME"/>
        </w:rPr>
        <w:t xml:space="preserve">potvrđenim </w:t>
      </w:r>
      <w:r w:rsidRPr="005E39F0">
        <w:rPr>
          <w:color w:val="auto"/>
          <w:sz w:val="22"/>
          <w:szCs w:val="22"/>
          <w:u w:val="single"/>
          <w:lang w:val="sr-Latn-ME"/>
        </w:rPr>
        <w:t>dejstvom</w:t>
      </w:r>
      <w:r w:rsidRPr="00890981">
        <w:rPr>
          <w:color w:val="auto"/>
          <w:sz w:val="22"/>
          <w:szCs w:val="22"/>
          <w:lang w:val="sr-Latn-ME"/>
        </w:rPr>
        <w:t>:</w:t>
      </w:r>
      <w:r w:rsidR="00F32262" w:rsidRPr="00890981">
        <w:rPr>
          <w:color w:val="auto"/>
          <w:sz w:val="22"/>
          <w:szCs w:val="22"/>
          <w:lang w:val="sr-Latn-ME"/>
        </w:rPr>
        <w:t xml:space="preserve"> </w:t>
      </w:r>
      <w:r w:rsidR="006360A3">
        <w:rPr>
          <w:color w:val="auto"/>
          <w:sz w:val="22"/>
          <w:szCs w:val="22"/>
          <w:lang w:val="sr-Latn-ME"/>
        </w:rPr>
        <w:t xml:space="preserve">jedna kapsula sadrži 5,5 mg </w:t>
      </w:r>
      <w:r w:rsidR="00F32262" w:rsidRPr="00890981">
        <w:rPr>
          <w:color w:val="auto"/>
          <w:sz w:val="22"/>
          <w:szCs w:val="22"/>
          <w:lang w:val="sr-Latn-ME"/>
        </w:rPr>
        <w:t>laktoz</w:t>
      </w:r>
      <w:r w:rsidR="006360A3">
        <w:rPr>
          <w:color w:val="auto"/>
          <w:sz w:val="22"/>
          <w:szCs w:val="22"/>
          <w:lang w:val="sr-Latn-ME"/>
        </w:rPr>
        <w:t>e</w:t>
      </w:r>
      <w:r w:rsidR="00F32262" w:rsidRPr="00890981">
        <w:rPr>
          <w:color w:val="auto"/>
          <w:sz w:val="22"/>
          <w:szCs w:val="22"/>
          <w:lang w:val="sr-Latn-ME"/>
        </w:rPr>
        <w:t xml:space="preserve"> monohidrat</w:t>
      </w:r>
      <w:r w:rsidR="006360A3">
        <w:rPr>
          <w:color w:val="auto"/>
          <w:sz w:val="22"/>
          <w:szCs w:val="22"/>
          <w:lang w:val="sr-Latn-ME"/>
        </w:rPr>
        <w:t>a</w:t>
      </w:r>
      <w:r w:rsidR="00F32262" w:rsidRPr="00890981">
        <w:rPr>
          <w:color w:val="auto"/>
          <w:sz w:val="22"/>
          <w:szCs w:val="22"/>
          <w:lang w:val="sr-Latn-ME"/>
        </w:rPr>
        <w:t>.</w:t>
      </w:r>
    </w:p>
    <w:p w14:paraId="56DB8A71" w14:textId="77777777" w:rsidR="000E48C2" w:rsidRPr="00890981" w:rsidRDefault="000E48C2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3F5B0650" w14:textId="77777777" w:rsidR="002C28F0" w:rsidRPr="00890981" w:rsidRDefault="002C28F0" w:rsidP="002C28F0">
      <w:pPr>
        <w:rPr>
          <w:szCs w:val="22"/>
          <w:lang w:val="sr-Latn-CS"/>
        </w:rPr>
      </w:pPr>
      <w:r w:rsidRPr="00890981">
        <w:rPr>
          <w:szCs w:val="22"/>
          <w:lang w:val="sr-Latn-CS"/>
        </w:rPr>
        <w:t>Za spisak svih ekscipijenasa, pogledati dio 6.1.</w:t>
      </w:r>
    </w:p>
    <w:p w14:paraId="220E0F2B" w14:textId="476608B1" w:rsidR="009F132F" w:rsidRPr="00890981" w:rsidRDefault="009F132F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1068B1E0" w14:textId="77777777" w:rsidR="00CE09F3" w:rsidRPr="00890981" w:rsidRDefault="00CE09F3" w:rsidP="009F610E">
      <w:pPr>
        <w:pStyle w:val="NASLOV123"/>
        <w:jc w:val="both"/>
        <w:rPr>
          <w:lang w:val="sr-Latn-ME"/>
        </w:rPr>
      </w:pPr>
      <w:r w:rsidRPr="00890981">
        <w:rPr>
          <w:lang w:val="sr-Latn-ME"/>
        </w:rPr>
        <w:t>3. FARMACEUTSKI OBLIK</w:t>
      </w:r>
    </w:p>
    <w:p w14:paraId="1B7C9C45" w14:textId="77777777" w:rsidR="000E48C2" w:rsidRDefault="000E48C2">
      <w:pPr>
        <w:rPr>
          <w:szCs w:val="22"/>
          <w:lang w:val="sr-Latn-ME"/>
        </w:rPr>
      </w:pPr>
      <w:r w:rsidRPr="00890981">
        <w:rPr>
          <w:szCs w:val="22"/>
          <w:lang w:val="sr-Latn-ME"/>
        </w:rPr>
        <w:t xml:space="preserve">Prašak za inhalaciju, tvrda kapsula. </w:t>
      </w:r>
    </w:p>
    <w:p w14:paraId="08B4105B" w14:textId="77777777" w:rsidR="006360A3" w:rsidRPr="00890981" w:rsidRDefault="006360A3">
      <w:pPr>
        <w:rPr>
          <w:szCs w:val="22"/>
          <w:lang w:val="sr-Latn-ME"/>
        </w:rPr>
      </w:pPr>
    </w:p>
    <w:p w14:paraId="563281D7" w14:textId="77777777" w:rsidR="000E48C2" w:rsidRPr="00890981" w:rsidRDefault="000E48C2">
      <w:pPr>
        <w:rPr>
          <w:szCs w:val="22"/>
          <w:lang w:val="sr-Latn-ME"/>
        </w:rPr>
      </w:pPr>
      <w:r w:rsidRPr="00890981">
        <w:rPr>
          <w:szCs w:val="22"/>
          <w:lang w:val="sr-Latn-ME"/>
        </w:rPr>
        <w:t>Tvrde želatinske kapsule, sv</w:t>
      </w:r>
      <w:r w:rsidR="00271CA8" w:rsidRPr="00890981">
        <w:rPr>
          <w:szCs w:val="22"/>
          <w:lang w:val="sr-Latn-ME"/>
        </w:rPr>
        <w:t>ij</w:t>
      </w:r>
      <w:r w:rsidRPr="00890981">
        <w:rPr>
          <w:szCs w:val="22"/>
          <w:lang w:val="sr-Latn-ME"/>
        </w:rPr>
        <w:t>etlozelene boje punjene b</w:t>
      </w:r>
      <w:r w:rsidR="00271CA8" w:rsidRPr="00890981">
        <w:rPr>
          <w:szCs w:val="22"/>
          <w:lang w:val="sr-Latn-ME"/>
        </w:rPr>
        <w:t>ij</w:t>
      </w:r>
      <w:r w:rsidRPr="00890981">
        <w:rPr>
          <w:szCs w:val="22"/>
          <w:lang w:val="sr-Latn-ME"/>
        </w:rPr>
        <w:t>elim</w:t>
      </w:r>
      <w:r w:rsidR="008B302F" w:rsidRPr="00890981">
        <w:rPr>
          <w:szCs w:val="22"/>
          <w:lang w:val="sr-Latn-ME"/>
        </w:rPr>
        <w:t xml:space="preserve"> </w:t>
      </w:r>
      <w:r w:rsidRPr="00890981">
        <w:rPr>
          <w:szCs w:val="22"/>
          <w:lang w:val="sr-Latn-ME"/>
        </w:rPr>
        <w:t>praškom, sa utisnutim zaštićenim znakom proizvođača i oznakom "TI 01"</w:t>
      </w:r>
      <w:r w:rsidR="007567EB" w:rsidRPr="00890981">
        <w:rPr>
          <w:szCs w:val="22"/>
          <w:lang w:val="sr-Latn-ME"/>
        </w:rPr>
        <w:t>.</w:t>
      </w:r>
    </w:p>
    <w:p w14:paraId="6AABF10A" w14:textId="77777777" w:rsidR="00271CA8" w:rsidRPr="00890981" w:rsidRDefault="00271CA8">
      <w:pPr>
        <w:rPr>
          <w:szCs w:val="22"/>
          <w:lang w:val="sr-Latn-ME"/>
        </w:rPr>
      </w:pPr>
    </w:p>
    <w:p w14:paraId="614B07F7" w14:textId="77777777" w:rsidR="00CE09F3" w:rsidRPr="00890981" w:rsidRDefault="00CE09F3" w:rsidP="009F610E">
      <w:pPr>
        <w:pStyle w:val="NASLOV123"/>
        <w:jc w:val="both"/>
        <w:rPr>
          <w:lang w:val="sr-Latn-ME"/>
        </w:rPr>
      </w:pPr>
      <w:r w:rsidRPr="00890981">
        <w:rPr>
          <w:lang w:val="sr-Latn-ME"/>
        </w:rPr>
        <w:t>4. KLINIČKI PODACI</w:t>
      </w:r>
    </w:p>
    <w:p w14:paraId="167D67D3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4.1. Terapijske indikacije</w:t>
      </w:r>
    </w:p>
    <w:p w14:paraId="6404BC01" w14:textId="77777777" w:rsidR="000E48C2" w:rsidRPr="00890981" w:rsidRDefault="000E48C2">
      <w:pPr>
        <w:rPr>
          <w:b/>
          <w:bCs/>
          <w:szCs w:val="22"/>
          <w:lang w:val="sr-Latn-ME"/>
        </w:rPr>
      </w:pPr>
    </w:p>
    <w:p w14:paraId="24AD4E9A" w14:textId="7DAEFE64" w:rsidR="000E48C2" w:rsidRPr="00890981" w:rsidRDefault="007567EB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L</w:t>
      </w:r>
      <w:r w:rsidR="00AF44CD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ek </w:t>
      </w:r>
      <w:r w:rsidR="000E48C2" w:rsidRPr="00890981">
        <w:rPr>
          <w:color w:val="auto"/>
          <w:sz w:val="22"/>
          <w:szCs w:val="22"/>
          <w:lang w:val="sr-Latn-ME"/>
        </w:rPr>
        <w:t xml:space="preserve">Spiriva je indikovan kao bronhodilatatorna terapija održavanja za ublažavanje simptoma kod pacijenata koji boluju od hronične opstruktivne bolesti pluća (HOBP). </w:t>
      </w:r>
    </w:p>
    <w:p w14:paraId="27AD346D" w14:textId="77777777" w:rsidR="00CE09F3" w:rsidRPr="00890981" w:rsidRDefault="00CE09F3">
      <w:pPr>
        <w:rPr>
          <w:szCs w:val="22"/>
          <w:lang w:val="sr-Latn-ME"/>
        </w:rPr>
      </w:pPr>
    </w:p>
    <w:p w14:paraId="3AC10234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4.2. Doziranje i način prim</w:t>
      </w:r>
      <w:r w:rsidR="00AF44CD" w:rsidRPr="00890981">
        <w:rPr>
          <w:b/>
          <w:bCs/>
          <w:szCs w:val="22"/>
          <w:lang w:val="sr-Latn-ME"/>
        </w:rPr>
        <w:t>j</w:t>
      </w:r>
      <w:r w:rsidRPr="00890981">
        <w:rPr>
          <w:b/>
          <w:bCs/>
          <w:szCs w:val="22"/>
          <w:lang w:val="sr-Latn-ME"/>
        </w:rPr>
        <w:t>ene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92406A" w:rsidRPr="00890981" w14:paraId="76020D4A" w14:textId="77777777" w:rsidTr="00376C45">
        <w:trPr>
          <w:trHeight w:val="1145"/>
        </w:trPr>
        <w:tc>
          <w:tcPr>
            <w:tcW w:w="9747" w:type="dxa"/>
            <w:vAlign w:val="center"/>
          </w:tcPr>
          <w:p w14:paraId="197E5F1B" w14:textId="7777777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20135CF6" w14:textId="77777777" w:rsidR="0092406A" w:rsidRPr="00890981" w:rsidRDefault="0092406A">
            <w:pPr>
              <w:rPr>
                <w:noProof/>
                <w:szCs w:val="22"/>
                <w:u w:val="single"/>
                <w:lang w:val="sr-Latn-ME"/>
              </w:rPr>
            </w:pPr>
            <w:r w:rsidRPr="00890981">
              <w:rPr>
                <w:noProof/>
                <w:szCs w:val="22"/>
                <w:u w:val="single"/>
                <w:lang w:val="sr-Latn-ME"/>
              </w:rPr>
              <w:t>Doziranje:</w:t>
            </w:r>
          </w:p>
          <w:p w14:paraId="21E20E27" w14:textId="77777777" w:rsidR="0092406A" w:rsidRPr="00890981" w:rsidRDefault="0092406A">
            <w:pPr>
              <w:rPr>
                <w:noProof/>
                <w:szCs w:val="22"/>
                <w:u w:val="single"/>
                <w:lang w:val="sr-Latn-ME"/>
              </w:rPr>
            </w:pPr>
            <w:r w:rsidRPr="00890981">
              <w:rPr>
                <w:szCs w:val="22"/>
                <w:lang w:val="sr-Latn-ME"/>
              </w:rPr>
              <w:t>L</w:t>
            </w:r>
            <w:r w:rsidR="00AF44CD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ek je nam</w:t>
            </w:r>
            <w:r w:rsidR="00AF44CD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enjen samo za inhalacionu upotrebu.</w:t>
            </w:r>
          </w:p>
          <w:p w14:paraId="7845BE43" w14:textId="7C145756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>Preporučena doza</w:t>
            </w:r>
            <w:r w:rsidR="006360A3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tiotropijum-bromida</w:t>
            </w:r>
            <w:r w:rsidRPr="00890981">
              <w:rPr>
                <w:b/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je inhalacija sadržaja jedne kapsule jedanput na dan putem HandiHaler uređaja</w:t>
            </w:r>
            <w:r w:rsidR="00786874" w:rsidRPr="00890981">
              <w:rPr>
                <w:color w:val="auto"/>
                <w:sz w:val="22"/>
                <w:szCs w:val="22"/>
                <w:lang w:val="sr-Latn-ME"/>
              </w:rPr>
              <w:t xml:space="preserve"> za inhalaciju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u isto vr</w:t>
            </w:r>
            <w:r w:rsidR="00AF44CD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eme svakog dana. </w:t>
            </w:r>
          </w:p>
          <w:p w14:paraId="26A11736" w14:textId="7777777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>Preporučen</w:t>
            </w:r>
            <w:r w:rsidR="007567EB" w:rsidRPr="00890981">
              <w:rPr>
                <w:color w:val="auto"/>
                <w:sz w:val="22"/>
                <w:szCs w:val="22"/>
                <w:lang w:val="sr-Latn-ME"/>
              </w:rPr>
              <w:t xml:space="preserve">a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doz</w:t>
            </w:r>
            <w:r w:rsidR="007567EB" w:rsidRPr="00890981">
              <w:rPr>
                <w:color w:val="auto"/>
                <w:sz w:val="22"/>
                <w:szCs w:val="22"/>
                <w:lang w:val="sr-Latn-ME"/>
              </w:rPr>
              <w:t>a se ne sm</w:t>
            </w:r>
            <w:r w:rsidR="00AF44CD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="007567EB" w:rsidRPr="00890981">
              <w:rPr>
                <w:color w:val="auto"/>
                <w:sz w:val="22"/>
                <w:szCs w:val="22"/>
                <w:lang w:val="sr-Latn-ME"/>
              </w:rPr>
              <w:t>e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prekoračiti. </w:t>
            </w:r>
          </w:p>
          <w:p w14:paraId="0D044AA9" w14:textId="3367765A" w:rsidR="0080072C" w:rsidRPr="00890981" w:rsidRDefault="005F3A16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>
              <w:rPr>
                <w:color w:val="auto"/>
                <w:sz w:val="22"/>
                <w:szCs w:val="22"/>
                <w:lang w:val="sr-Latn-ME"/>
              </w:rPr>
              <w:t>Spiriva</w:t>
            </w:r>
            <w:r w:rsidR="0080072C" w:rsidRPr="00890981">
              <w:rPr>
                <w:color w:val="auto"/>
                <w:sz w:val="22"/>
                <w:szCs w:val="22"/>
                <w:lang w:val="sr-Latn-ME"/>
              </w:rPr>
              <w:t xml:space="preserve"> kapsule su samo za inhalacionu prim</w:t>
            </w:r>
            <w:r w:rsidR="00AF44CD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="0080072C" w:rsidRPr="00890981">
              <w:rPr>
                <w:color w:val="auto"/>
                <w:sz w:val="22"/>
                <w:szCs w:val="22"/>
                <w:lang w:val="sr-Latn-ME"/>
              </w:rPr>
              <w:t>enu i ni</w:t>
            </w:r>
            <w:r w:rsidR="00AF44CD" w:rsidRPr="00890981">
              <w:rPr>
                <w:color w:val="auto"/>
                <w:sz w:val="22"/>
                <w:szCs w:val="22"/>
                <w:lang w:val="sr-Latn-ME"/>
              </w:rPr>
              <w:t>je</w:t>
            </w:r>
            <w:r w:rsidR="0080072C" w:rsidRPr="00890981">
              <w:rPr>
                <w:color w:val="auto"/>
                <w:sz w:val="22"/>
                <w:szCs w:val="22"/>
                <w:lang w:val="sr-Latn-ME"/>
              </w:rPr>
              <w:t>su za oralnu upotrebu.</w:t>
            </w:r>
          </w:p>
          <w:p w14:paraId="78B0F947" w14:textId="23343B21" w:rsidR="0092406A" w:rsidRPr="00890981" w:rsidRDefault="005F3A16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>
              <w:rPr>
                <w:color w:val="auto"/>
                <w:sz w:val="22"/>
                <w:szCs w:val="22"/>
                <w:lang w:val="sr-Latn-ME"/>
              </w:rPr>
              <w:t>Spiriva</w:t>
            </w:r>
            <w:r w:rsidR="0092406A" w:rsidRPr="00890981">
              <w:rPr>
                <w:b/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  <w:r w:rsidR="0092406A" w:rsidRPr="00890981">
              <w:rPr>
                <w:color w:val="auto"/>
                <w:sz w:val="22"/>
                <w:szCs w:val="22"/>
                <w:lang w:val="sr-Latn-ME"/>
              </w:rPr>
              <w:t>kapsule se ne sm</w:t>
            </w:r>
            <w:r w:rsidR="00B7771B" w:rsidRPr="00890981">
              <w:rPr>
                <w:color w:val="auto"/>
                <w:sz w:val="22"/>
                <w:szCs w:val="22"/>
                <w:lang w:val="sr-Latn-ME"/>
              </w:rPr>
              <w:t>i</w:t>
            </w:r>
            <w:r w:rsidR="0092406A" w:rsidRPr="00890981">
              <w:rPr>
                <w:color w:val="auto"/>
                <w:sz w:val="22"/>
                <w:szCs w:val="22"/>
                <w:lang w:val="sr-Latn-ME"/>
              </w:rPr>
              <w:t xml:space="preserve">ju gutati. </w:t>
            </w:r>
          </w:p>
          <w:p w14:paraId="3858085D" w14:textId="25CD3210" w:rsidR="0092406A" w:rsidRPr="00890981" w:rsidRDefault="005F3A16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>
              <w:rPr>
                <w:color w:val="auto"/>
                <w:sz w:val="22"/>
                <w:szCs w:val="22"/>
                <w:lang w:val="sr-Latn-ME"/>
              </w:rPr>
              <w:t>Spiriva kapsule</w:t>
            </w:r>
            <w:r w:rsidR="0092406A" w:rsidRPr="00890981">
              <w:rPr>
                <w:color w:val="auto"/>
                <w:sz w:val="22"/>
                <w:szCs w:val="22"/>
                <w:lang w:val="sr-Latn-ME"/>
              </w:rPr>
              <w:t xml:space="preserve"> treba inhalirati samo preko HandiHaler</w:t>
            </w:r>
            <w:r w:rsidR="00786874" w:rsidRPr="00890981">
              <w:rPr>
                <w:color w:val="auto"/>
                <w:sz w:val="22"/>
                <w:szCs w:val="22"/>
                <w:lang w:val="sr-Latn-ME"/>
              </w:rPr>
              <w:t xml:space="preserve"> uređaja za inhalaciju.</w:t>
            </w:r>
          </w:p>
          <w:p w14:paraId="24459D19" w14:textId="7777777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1DA87C3C" w14:textId="7777777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u w:val="single"/>
                <w:lang w:val="sr-Latn-ME"/>
              </w:rPr>
              <w:t xml:space="preserve">Posebne populacije: </w:t>
            </w:r>
          </w:p>
          <w:p w14:paraId="63B2CD75" w14:textId="7777777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Stariji pacijenti mogu da koriste tiotropijum-bromid u preporučenoj dozi. </w:t>
            </w:r>
          </w:p>
          <w:p w14:paraId="5D80DC2A" w14:textId="7777777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338B2F38" w14:textId="4CEA873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Pacijenti sa </w:t>
            </w:r>
            <w:r w:rsidR="00744778" w:rsidRPr="00890981">
              <w:rPr>
                <w:color w:val="auto"/>
                <w:sz w:val="22"/>
                <w:szCs w:val="22"/>
                <w:lang w:val="sr-Latn-ME"/>
              </w:rPr>
              <w:t xml:space="preserve">oštećenom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funkcijom bubrega mogu da koriste tiotropijum-bromid u preporučenoj dozi. Za pacijente sa </w:t>
            </w:r>
            <w:r w:rsidR="006360A3">
              <w:rPr>
                <w:color w:val="auto"/>
                <w:sz w:val="22"/>
                <w:szCs w:val="22"/>
                <w:lang w:val="sr-Latn-ME"/>
              </w:rPr>
              <w:t>umjerenim</w:t>
            </w:r>
            <w:r w:rsidR="006360A3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do </w:t>
            </w:r>
            <w:r w:rsidR="006360A3" w:rsidRPr="00890981">
              <w:rPr>
                <w:color w:val="auto"/>
                <w:sz w:val="22"/>
                <w:szCs w:val="22"/>
                <w:lang w:val="sr-Latn-ME"/>
              </w:rPr>
              <w:t>tešk</w:t>
            </w:r>
            <w:r w:rsidR="006360A3">
              <w:rPr>
                <w:color w:val="auto"/>
                <w:sz w:val="22"/>
                <w:szCs w:val="22"/>
                <w:lang w:val="sr-Latn-ME"/>
              </w:rPr>
              <w:t>im</w:t>
            </w:r>
            <w:r w:rsidR="006360A3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="006360A3">
              <w:rPr>
                <w:color w:val="auto"/>
                <w:sz w:val="22"/>
                <w:szCs w:val="22"/>
                <w:lang w:val="sr-Latn-ME"/>
              </w:rPr>
              <w:t>oštećenjem bubrega</w:t>
            </w:r>
            <w:r w:rsidR="006360A3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(klirens kreatinina ≤</w:t>
            </w:r>
            <w:r w:rsidR="00AF44CD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50 m</w:t>
            </w:r>
            <w:r w:rsidR="00AF44CD" w:rsidRPr="00890981">
              <w:rPr>
                <w:color w:val="auto"/>
                <w:sz w:val="22"/>
                <w:szCs w:val="22"/>
                <w:lang w:val="sr-Latn-ME"/>
              </w:rPr>
              <w:t>l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/ min) vid</w:t>
            </w:r>
            <w:r w:rsidR="00AF44CD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eti </w:t>
            </w:r>
            <w:r w:rsidR="009F132F" w:rsidRPr="00890981">
              <w:rPr>
                <w:color w:val="auto"/>
                <w:sz w:val="22"/>
                <w:szCs w:val="22"/>
                <w:lang w:val="sr-Latn-ME"/>
              </w:rPr>
              <w:t xml:space="preserve">djelove </w:t>
            </w:r>
            <w:r w:rsidR="000B15B2" w:rsidRPr="00890981">
              <w:rPr>
                <w:color w:val="auto"/>
                <w:sz w:val="22"/>
                <w:szCs w:val="22"/>
                <w:lang w:val="sr-Latn-ME"/>
              </w:rPr>
              <w:t xml:space="preserve">4.4 i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5.2.</w:t>
            </w:r>
          </w:p>
          <w:p w14:paraId="7D9F49C3" w14:textId="7777777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62DDB68C" w14:textId="471DE831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Pacijenti sa </w:t>
            </w:r>
            <w:r w:rsidR="00744778" w:rsidRPr="00890981">
              <w:rPr>
                <w:color w:val="auto"/>
                <w:sz w:val="22"/>
                <w:szCs w:val="22"/>
                <w:lang w:val="sr-Latn-ME"/>
              </w:rPr>
              <w:t>oštećenom</w:t>
            </w:r>
            <w:r w:rsidR="00744778" w:rsidRPr="00890981" w:rsidDel="00744778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funkcijom jetre mogu da koriste tiotropijum-bromid u preporučenoj dozi (vid</w:t>
            </w:r>
            <w:r w:rsidR="00AF44CD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="00134119" w:rsidRPr="00890981">
              <w:rPr>
                <w:color w:val="auto"/>
                <w:sz w:val="22"/>
                <w:szCs w:val="22"/>
                <w:lang w:val="sr-Latn-ME"/>
              </w:rPr>
              <w:t>et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i </w:t>
            </w:r>
            <w:r w:rsidR="009F132F" w:rsidRPr="00890981">
              <w:rPr>
                <w:color w:val="auto"/>
                <w:sz w:val="22"/>
                <w:szCs w:val="22"/>
                <w:lang w:val="sr-Latn-ME"/>
              </w:rPr>
              <w:t xml:space="preserve">dio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lastRenderedPageBreak/>
              <w:t xml:space="preserve">5.2). </w:t>
            </w:r>
          </w:p>
          <w:p w14:paraId="18F36551" w14:textId="7777777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u w:val="single"/>
                <w:lang w:val="sr-Latn-ME"/>
              </w:rPr>
              <w:t>Pedijatrijska populacija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: </w:t>
            </w:r>
          </w:p>
          <w:p w14:paraId="4C829F94" w14:textId="77777777" w:rsidR="004C6CBF" w:rsidRPr="00890981" w:rsidRDefault="004C6CBF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4A30D1B9" w14:textId="77777777" w:rsidR="004C6CBF" w:rsidRPr="00890981" w:rsidRDefault="004C6CBF">
            <w:pPr>
              <w:pStyle w:val="Default"/>
              <w:jc w:val="both"/>
              <w:rPr>
                <w:i/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i/>
                <w:color w:val="auto"/>
                <w:sz w:val="22"/>
                <w:szCs w:val="22"/>
                <w:lang w:val="sr-Latn-ME"/>
              </w:rPr>
              <w:t>HOBP</w:t>
            </w:r>
          </w:p>
          <w:p w14:paraId="4DEA81B2" w14:textId="5C5234E0" w:rsidR="0092406A" w:rsidRPr="00890981" w:rsidRDefault="0092406A">
            <w:pPr>
              <w:rPr>
                <w:szCs w:val="22"/>
                <w:lang w:val="sr-Latn-ME"/>
              </w:rPr>
            </w:pPr>
            <w:r w:rsidRPr="00890981">
              <w:rPr>
                <w:szCs w:val="22"/>
                <w:lang w:val="sr-Latn-ME"/>
              </w:rPr>
              <w:t>Ne postoji relevantna upotreba u pedijatrijskoj populaciji (</w:t>
            </w:r>
            <w:r w:rsidR="00134119" w:rsidRPr="00890981">
              <w:rPr>
                <w:szCs w:val="22"/>
                <w:lang w:val="sr-Latn-ME"/>
              </w:rPr>
              <w:t xml:space="preserve">mlađi od </w:t>
            </w:r>
            <w:r w:rsidRPr="00890981">
              <w:rPr>
                <w:szCs w:val="22"/>
                <w:lang w:val="sr-Latn-ME"/>
              </w:rPr>
              <w:t xml:space="preserve">18 godina) u </w:t>
            </w:r>
            <w:r w:rsidR="006360A3">
              <w:rPr>
                <w:szCs w:val="22"/>
                <w:lang w:val="sr-Latn-ME"/>
              </w:rPr>
              <w:t>indikaciji navedenoj</w:t>
            </w:r>
            <w:r w:rsidRPr="00890981">
              <w:rPr>
                <w:szCs w:val="22"/>
                <w:lang w:val="sr-Latn-ME"/>
              </w:rPr>
              <w:t xml:space="preserve"> u </w:t>
            </w:r>
            <w:r w:rsidR="009F132F" w:rsidRPr="00890981">
              <w:rPr>
                <w:szCs w:val="22"/>
                <w:lang w:val="sr-Latn-ME"/>
              </w:rPr>
              <w:t xml:space="preserve">dijelu </w:t>
            </w:r>
            <w:r w:rsidRPr="00890981">
              <w:rPr>
                <w:szCs w:val="22"/>
                <w:lang w:val="sr-Latn-ME"/>
              </w:rPr>
              <w:t xml:space="preserve">4.1. </w:t>
            </w:r>
          </w:p>
          <w:p w14:paraId="387E5B30" w14:textId="77777777" w:rsidR="008D5042" w:rsidRPr="00890981" w:rsidRDefault="008D5042">
            <w:pPr>
              <w:rPr>
                <w:szCs w:val="22"/>
                <w:lang w:val="sr-Latn-ME"/>
              </w:rPr>
            </w:pPr>
          </w:p>
          <w:p w14:paraId="627D0BE3" w14:textId="77777777" w:rsidR="0092406A" w:rsidRPr="00890981" w:rsidRDefault="00376C45">
            <w:pPr>
              <w:rPr>
                <w:i/>
                <w:szCs w:val="22"/>
                <w:lang w:val="sr-Latn-ME"/>
              </w:rPr>
            </w:pPr>
            <w:r w:rsidRPr="00890981">
              <w:rPr>
                <w:i/>
                <w:szCs w:val="22"/>
                <w:lang w:val="sr-Latn-ME"/>
              </w:rPr>
              <w:t>Cistična fibroza</w:t>
            </w:r>
          </w:p>
          <w:p w14:paraId="723E004B" w14:textId="5AFE9D68" w:rsidR="00376C45" w:rsidRPr="00890981" w:rsidRDefault="00376C45">
            <w:pPr>
              <w:rPr>
                <w:szCs w:val="22"/>
                <w:lang w:val="sr-Latn-ME"/>
              </w:rPr>
            </w:pPr>
            <w:r w:rsidRPr="00890981">
              <w:rPr>
                <w:szCs w:val="22"/>
                <w:lang w:val="sr-Latn-ME"/>
              </w:rPr>
              <w:t>Bezb</w:t>
            </w:r>
            <w:r w:rsidR="00AF44CD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>ednost i efikasnost l</w:t>
            </w:r>
            <w:r w:rsidR="00AF44CD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eka Spiriva, 18 mikrograma</w:t>
            </w:r>
            <w:r w:rsidR="00134119" w:rsidRPr="00890981">
              <w:rPr>
                <w:szCs w:val="22"/>
                <w:lang w:val="sr-Latn-ME"/>
              </w:rPr>
              <w:t>,</w:t>
            </w:r>
            <w:r w:rsidRPr="00890981">
              <w:rPr>
                <w:szCs w:val="22"/>
                <w:lang w:val="sr-Latn-ME"/>
              </w:rPr>
              <w:t xml:space="preserve"> kod d</w:t>
            </w:r>
            <w:r w:rsidR="00AF44CD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 xml:space="preserve">ece i adolescenata </w:t>
            </w:r>
            <w:r w:rsidR="006360A3">
              <w:rPr>
                <w:szCs w:val="22"/>
                <w:lang w:val="sr-Latn-ME"/>
              </w:rPr>
              <w:t>nisu utvrđene</w:t>
            </w:r>
            <w:r w:rsidRPr="00890981">
              <w:rPr>
                <w:szCs w:val="22"/>
                <w:lang w:val="sr-Latn-ME"/>
              </w:rPr>
              <w:t>. N</w:t>
            </w:r>
            <w:r w:rsidR="006451AC" w:rsidRPr="00890981">
              <w:rPr>
                <w:szCs w:val="22"/>
                <w:lang w:val="sr-Latn-ME"/>
              </w:rPr>
              <w:t>ema</w:t>
            </w:r>
            <w:r w:rsidR="006360A3">
              <w:rPr>
                <w:szCs w:val="22"/>
                <w:lang w:val="sr-Latn-ME"/>
              </w:rPr>
              <w:t xml:space="preserve"> </w:t>
            </w:r>
            <w:r w:rsidR="006451AC" w:rsidRPr="00890981">
              <w:rPr>
                <w:szCs w:val="22"/>
                <w:lang w:val="sr-Latn-ME"/>
              </w:rPr>
              <w:t>dostupnih podataka.</w:t>
            </w:r>
          </w:p>
          <w:p w14:paraId="4F9E2E9D" w14:textId="77777777" w:rsidR="00376C45" w:rsidRPr="00890981" w:rsidRDefault="00376C45">
            <w:pPr>
              <w:rPr>
                <w:szCs w:val="22"/>
                <w:lang w:val="sr-Latn-ME"/>
              </w:rPr>
            </w:pPr>
          </w:p>
          <w:p w14:paraId="026F1022" w14:textId="77777777" w:rsidR="0092406A" w:rsidRDefault="0092406A">
            <w:pPr>
              <w:rPr>
                <w:noProof/>
                <w:szCs w:val="22"/>
                <w:u w:val="single"/>
                <w:lang w:val="sr-Latn-ME"/>
              </w:rPr>
            </w:pPr>
            <w:r w:rsidRPr="00890981">
              <w:rPr>
                <w:noProof/>
                <w:szCs w:val="22"/>
                <w:u w:val="single"/>
                <w:lang w:val="sr-Latn-ME"/>
              </w:rPr>
              <w:t>Način prim</w:t>
            </w:r>
            <w:r w:rsidR="00AF44CD" w:rsidRPr="00890981">
              <w:rPr>
                <w:noProof/>
                <w:szCs w:val="22"/>
                <w:u w:val="single"/>
                <w:lang w:val="sr-Latn-ME"/>
              </w:rPr>
              <w:t>j</w:t>
            </w:r>
            <w:r w:rsidRPr="00890981">
              <w:rPr>
                <w:noProof/>
                <w:szCs w:val="22"/>
                <w:u w:val="single"/>
                <w:lang w:val="sr-Latn-ME"/>
              </w:rPr>
              <w:t xml:space="preserve">ene: </w:t>
            </w:r>
          </w:p>
          <w:p w14:paraId="38BB742F" w14:textId="00179B8F" w:rsidR="005F3A16" w:rsidRPr="005E39F0" w:rsidRDefault="005F3A16">
            <w:pPr>
              <w:rPr>
                <w:noProof/>
                <w:szCs w:val="22"/>
                <w:lang w:val="sr-Latn-ME"/>
              </w:rPr>
            </w:pPr>
            <w:r w:rsidRPr="005E39F0">
              <w:rPr>
                <w:noProof/>
                <w:szCs w:val="22"/>
                <w:lang w:val="sr-Latn-ME"/>
              </w:rPr>
              <w:t>HandiHaler uređaj za inhalaciju je specijalno dizajniran za upotrebu l</w:t>
            </w:r>
            <w:r>
              <w:rPr>
                <w:noProof/>
                <w:szCs w:val="22"/>
                <w:lang w:val="sr-Latn-ME"/>
              </w:rPr>
              <w:t>ij</w:t>
            </w:r>
            <w:r w:rsidRPr="005E39F0">
              <w:rPr>
                <w:noProof/>
                <w:szCs w:val="22"/>
                <w:lang w:val="sr-Latn-ME"/>
              </w:rPr>
              <w:t>eka koji se nalazi u Spiriva kapsulama. Ne sm</w:t>
            </w:r>
            <w:r>
              <w:rPr>
                <w:noProof/>
                <w:szCs w:val="22"/>
                <w:lang w:val="sr-Latn-ME"/>
              </w:rPr>
              <w:t>ij</w:t>
            </w:r>
            <w:r w:rsidRPr="005E39F0">
              <w:rPr>
                <w:noProof/>
                <w:szCs w:val="22"/>
                <w:lang w:val="sr-Latn-ME"/>
              </w:rPr>
              <w:t>e se koristiti za prim</w:t>
            </w:r>
            <w:r>
              <w:rPr>
                <w:noProof/>
                <w:szCs w:val="22"/>
                <w:lang w:val="sr-Latn-ME"/>
              </w:rPr>
              <w:t>j</w:t>
            </w:r>
            <w:r w:rsidRPr="005E39F0">
              <w:rPr>
                <w:noProof/>
                <w:szCs w:val="22"/>
                <w:lang w:val="sr-Latn-ME"/>
              </w:rPr>
              <w:t>enu nekog drugog l</w:t>
            </w:r>
            <w:r>
              <w:rPr>
                <w:noProof/>
                <w:szCs w:val="22"/>
                <w:lang w:val="sr-Latn-ME"/>
              </w:rPr>
              <w:t>ij</w:t>
            </w:r>
            <w:r w:rsidRPr="005E39F0">
              <w:rPr>
                <w:noProof/>
                <w:szCs w:val="22"/>
                <w:lang w:val="sr-Latn-ME"/>
              </w:rPr>
              <w:t>eka. To je uređaj za jednog pacijenta nam</w:t>
            </w:r>
            <w:r>
              <w:rPr>
                <w:noProof/>
                <w:szCs w:val="22"/>
                <w:lang w:val="sr-Latn-ME"/>
              </w:rPr>
              <w:t>ij</w:t>
            </w:r>
            <w:r w:rsidRPr="005E39F0">
              <w:rPr>
                <w:noProof/>
                <w:szCs w:val="22"/>
                <w:lang w:val="sr-Latn-ME"/>
              </w:rPr>
              <w:t>enjen za višestruku upotrebu.</w:t>
            </w:r>
          </w:p>
          <w:p w14:paraId="79CAACAF" w14:textId="4BF965DF" w:rsidR="0092406A" w:rsidRPr="00890981" w:rsidRDefault="0092406A">
            <w:pPr>
              <w:rPr>
                <w:noProof/>
                <w:szCs w:val="22"/>
                <w:lang w:val="sr-Latn-ME"/>
              </w:rPr>
            </w:pPr>
            <w:r w:rsidRPr="00890981">
              <w:rPr>
                <w:noProof/>
                <w:szCs w:val="22"/>
                <w:lang w:val="sr-Latn-ME"/>
              </w:rPr>
              <w:t xml:space="preserve">Da bi se </w:t>
            </w:r>
            <w:r w:rsidR="006360A3">
              <w:rPr>
                <w:noProof/>
                <w:szCs w:val="22"/>
                <w:lang w:val="sr-Latn-ME"/>
              </w:rPr>
              <w:t>osigurala</w:t>
            </w:r>
            <w:r w:rsidR="006360A3" w:rsidRPr="00890981">
              <w:rPr>
                <w:noProof/>
                <w:szCs w:val="22"/>
                <w:lang w:val="sr-Latn-ME"/>
              </w:rPr>
              <w:t xml:space="preserve"> </w:t>
            </w:r>
            <w:r w:rsidRPr="00890981">
              <w:rPr>
                <w:noProof/>
                <w:szCs w:val="22"/>
                <w:lang w:val="sr-Latn-ME"/>
              </w:rPr>
              <w:t>pravilna prim</w:t>
            </w:r>
            <w:r w:rsidR="00CF171F" w:rsidRPr="00890981">
              <w:rPr>
                <w:noProof/>
                <w:szCs w:val="22"/>
                <w:lang w:val="sr-Latn-ME"/>
              </w:rPr>
              <w:t>j</w:t>
            </w:r>
            <w:r w:rsidRPr="00890981">
              <w:rPr>
                <w:noProof/>
                <w:szCs w:val="22"/>
                <w:lang w:val="sr-Latn-ME"/>
              </w:rPr>
              <w:t>ena l</w:t>
            </w:r>
            <w:r w:rsidR="00CF171F" w:rsidRPr="00890981">
              <w:rPr>
                <w:noProof/>
                <w:szCs w:val="22"/>
                <w:lang w:val="sr-Latn-ME"/>
              </w:rPr>
              <w:t>ij</w:t>
            </w:r>
            <w:r w:rsidRPr="00890981">
              <w:rPr>
                <w:noProof/>
                <w:szCs w:val="22"/>
                <w:lang w:val="sr-Latn-ME"/>
              </w:rPr>
              <w:t>eka pacijent treba da bude obučen od strane l</w:t>
            </w:r>
            <w:r w:rsidR="00CF171F" w:rsidRPr="00890981">
              <w:rPr>
                <w:noProof/>
                <w:szCs w:val="22"/>
                <w:lang w:val="sr-Latn-ME"/>
              </w:rPr>
              <w:t>j</w:t>
            </w:r>
            <w:r w:rsidRPr="00890981">
              <w:rPr>
                <w:noProof/>
                <w:szCs w:val="22"/>
                <w:lang w:val="sr-Latn-ME"/>
              </w:rPr>
              <w:t>ekara ili drugog zdravstvenog radnika kako da koristi inhalator.</w:t>
            </w:r>
          </w:p>
          <w:p w14:paraId="6F4FA897" w14:textId="77777777" w:rsidR="0092406A" w:rsidRPr="00890981" w:rsidRDefault="0092406A">
            <w:pPr>
              <w:rPr>
                <w:noProof/>
                <w:szCs w:val="22"/>
                <w:lang w:val="sr-Latn-ME"/>
              </w:rPr>
            </w:pPr>
            <w:r w:rsidRPr="00890981">
              <w:rPr>
                <w:noProof/>
                <w:szCs w:val="22"/>
                <w:lang w:val="sr-Latn-ME"/>
              </w:rPr>
              <w:t xml:space="preserve"> </w:t>
            </w:r>
          </w:p>
          <w:p w14:paraId="5E0392BA" w14:textId="77777777" w:rsidR="0092406A" w:rsidRDefault="0092406A">
            <w:pPr>
              <w:pStyle w:val="Default"/>
              <w:jc w:val="both"/>
              <w:rPr>
                <w:b/>
                <w:bCs/>
                <w:iCs/>
                <w:color w:val="auto"/>
                <w:sz w:val="22"/>
                <w:szCs w:val="22"/>
                <w:u w:val="single"/>
                <w:lang w:val="sr-Latn-ME"/>
              </w:rPr>
            </w:pPr>
            <w:r w:rsidRPr="00890981">
              <w:rPr>
                <w:b/>
                <w:bCs/>
                <w:color w:val="auto"/>
                <w:sz w:val="22"/>
                <w:szCs w:val="22"/>
                <w:u w:val="single"/>
                <w:lang w:val="sr-Latn-ME"/>
              </w:rPr>
              <w:t>Uputstvo za rukovanje i upotrebu</w:t>
            </w:r>
            <w:r w:rsidR="00757751" w:rsidRPr="00890981">
              <w:rPr>
                <w:b/>
                <w:bCs/>
                <w:iCs/>
                <w:color w:val="auto"/>
                <w:sz w:val="22"/>
                <w:szCs w:val="22"/>
                <w:u w:val="single"/>
                <w:lang w:val="sr-Latn-ME"/>
              </w:rPr>
              <w:t>:</w:t>
            </w:r>
          </w:p>
          <w:p w14:paraId="413F2219" w14:textId="77777777" w:rsidR="005F3A16" w:rsidRDefault="005F3A16">
            <w:pPr>
              <w:pStyle w:val="Default"/>
              <w:jc w:val="both"/>
              <w:rPr>
                <w:b/>
                <w:bCs/>
                <w:iCs/>
                <w:color w:val="auto"/>
                <w:sz w:val="22"/>
                <w:szCs w:val="22"/>
                <w:u w:val="single"/>
                <w:lang w:val="sr-Latn-ME"/>
              </w:rPr>
            </w:pPr>
          </w:p>
          <w:p w14:paraId="61C8EE1A" w14:textId="0CAE8E6F" w:rsidR="005F3A16" w:rsidRPr="005E39F0" w:rsidRDefault="005F3A16" w:rsidP="005E39F0">
            <w:pPr>
              <w:pStyle w:val="Default"/>
              <w:rPr>
                <w:b/>
                <w:bCs/>
                <w:i/>
                <w:iCs/>
                <w:sz w:val="22"/>
                <w:szCs w:val="22"/>
                <w:u w:val="single"/>
                <w:lang w:val="pl-PL"/>
              </w:rPr>
            </w:pPr>
            <w:r w:rsidRPr="005E39F0">
              <w:rPr>
                <w:b/>
                <w:bCs/>
                <w:iCs/>
                <w:sz w:val="22"/>
                <w:szCs w:val="22"/>
                <w:u w:val="single"/>
                <w:lang w:val="pl-PL"/>
              </w:rPr>
              <w:t>Pacijenti treba da prate dol</w:t>
            </w:r>
            <w:r>
              <w:rPr>
                <w:b/>
                <w:bCs/>
                <w:iCs/>
                <w:sz w:val="22"/>
                <w:szCs w:val="22"/>
                <w:u w:val="single"/>
                <w:lang w:val="pl-PL"/>
              </w:rPr>
              <w:t>j</w:t>
            </w:r>
            <w:r w:rsidRPr="005E39F0">
              <w:rPr>
                <w:b/>
                <w:bCs/>
                <w:iCs/>
                <w:sz w:val="22"/>
                <w:szCs w:val="22"/>
                <w:u w:val="single"/>
                <w:lang w:val="pl-PL"/>
              </w:rPr>
              <w:t>e navedene korake za upotrebu HandiHaler uređaja za inhalaciju</w:t>
            </w:r>
          </w:p>
          <w:tbl>
            <w:tblPr>
              <w:tblW w:w="9900" w:type="dxa"/>
              <w:tblLayout w:type="fixed"/>
              <w:tblLook w:val="01E0" w:firstRow="1" w:lastRow="1" w:firstColumn="1" w:lastColumn="1" w:noHBand="0" w:noVBand="0"/>
            </w:tblPr>
            <w:tblGrid>
              <w:gridCol w:w="6915"/>
              <w:gridCol w:w="2985"/>
            </w:tblGrid>
            <w:tr w:rsidR="0092406A" w:rsidRPr="00890981" w14:paraId="2B214E5C" w14:textId="77777777" w:rsidTr="00906BAE">
              <w:tc>
                <w:tcPr>
                  <w:tcW w:w="6915" w:type="dxa"/>
                  <w:vAlign w:val="center"/>
                </w:tcPr>
                <w:p w14:paraId="4A20DCBC" w14:textId="1583240E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Pri</w:t>
                  </w:r>
                  <w:r w:rsidR="00927A02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likom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upotreb</w:t>
                  </w:r>
                  <w:r w:rsidR="00927A02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l</w:t>
                  </w:r>
                  <w:r w:rsidR="00CF171F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ij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eka Spiriva pažljivo sl</w:t>
                  </w:r>
                  <w:r w:rsidR="00CF171F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ij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edite uputstva koja Vam je dao Vaš l</w:t>
                  </w:r>
                  <w:r w:rsidR="00CF171F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j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ekar. </w:t>
                  </w:r>
                  <w:r w:rsidR="005F3A16">
                    <w:rPr>
                      <w:color w:val="auto"/>
                      <w:sz w:val="22"/>
                      <w:szCs w:val="22"/>
                      <w:lang w:val="sr-Latn-ME"/>
                    </w:rPr>
                    <w:t>Nakon prve upotrebe</w:t>
                  </w:r>
                  <w:r w:rsidR="00786874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možete koristiti</w:t>
                  </w:r>
                  <w:r w:rsidR="005F3A16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svoj HandiHaler uređaj za inhalaciju do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godinu dana</w:t>
                  </w:r>
                  <w:r w:rsidR="005F3A16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da biste uzimali terapiju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.</w:t>
                  </w:r>
                </w:p>
              </w:tc>
              <w:tc>
                <w:tcPr>
                  <w:tcW w:w="2985" w:type="dxa"/>
                </w:tcPr>
                <w:p w14:paraId="69C0F91A" w14:textId="77777777" w:rsidR="0092406A" w:rsidRPr="00890981" w:rsidRDefault="00842525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>
                    <w:rPr>
                      <w:noProof/>
                      <w:color w:val="auto"/>
                      <w:sz w:val="22"/>
                      <w:szCs w:val="22"/>
                      <w:lang w:val="sr-Latn-ME" w:eastAsia="zh-CN" w:bidi="ar-SA"/>
                    </w:rPr>
                    <w:object w:dxaOrig="1440" w:dyaOrig="1440" w14:anchorId="2CF3723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left:0;text-align:left;margin-left:-4.5pt;margin-top:12.3pt;width:114pt;height:94.65pt;z-index:-251658240;mso-wrap-edited:f;mso-position-horizontal-relative:text;mso-position-vertical-relative:text" wrapcoords="-225 0 -225 21375 21600 21375 21600 0 -225 0" fillcolor="window">
                        <v:imagedata r:id="rId8" o:title=""/>
                        <w10:wrap type="tight"/>
                      </v:shape>
                      <o:OLEObject Type="Embed" ProgID="Word.Picture.8" ShapeID="_x0000_s1027" DrawAspect="Content" ObjectID="_1791961973" r:id="rId9"/>
                    </w:object>
                  </w:r>
                </w:p>
              </w:tc>
            </w:tr>
            <w:tr w:rsidR="0092406A" w:rsidRPr="00890981" w14:paraId="34B39FFB" w14:textId="77777777" w:rsidTr="00906BAE">
              <w:tc>
                <w:tcPr>
                  <w:tcW w:w="6915" w:type="dxa"/>
                  <w:vAlign w:val="center"/>
                </w:tcPr>
                <w:p w14:paraId="37C7F930" w14:textId="77777777" w:rsidR="0092406A" w:rsidRPr="00890981" w:rsidRDefault="0092406A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rPr>
                      <w:rFonts w:eastAsia="MS Mincho"/>
                      <w:szCs w:val="22"/>
                      <w:lang w:val="sr-Latn-ME" w:eastAsia="ja-JP" w:bidi="ne-NP"/>
                    </w:rPr>
                  </w:pPr>
                  <w:r w:rsidRPr="00890981">
                    <w:rPr>
                      <w:rFonts w:eastAsia="MS Mincho"/>
                      <w:szCs w:val="22"/>
                      <w:lang w:val="sr-Latn-ME" w:eastAsia="ja-JP" w:bidi="ne-NP"/>
                    </w:rPr>
                    <w:t>HandiHaler</w:t>
                  </w:r>
                  <w:r w:rsidR="00D211C2" w:rsidRPr="00890981">
                    <w:rPr>
                      <w:rFonts w:eastAsia="MS Mincho"/>
                      <w:szCs w:val="22"/>
                      <w:lang w:val="sr-Latn-ME" w:eastAsia="ja-JP" w:bidi="ne-NP"/>
                    </w:rPr>
                    <w:t xml:space="preserve"> </w:t>
                  </w:r>
                  <w:r w:rsidRPr="00890981">
                    <w:rPr>
                      <w:rFonts w:eastAsia="MS Mincho"/>
                      <w:szCs w:val="22"/>
                      <w:lang w:val="sr-Latn-ME" w:eastAsia="ja-JP" w:bidi="ne-NP"/>
                    </w:rPr>
                    <w:t>uređaj</w:t>
                  </w:r>
                  <w:r w:rsidR="000A5891" w:rsidRPr="00890981">
                    <w:rPr>
                      <w:szCs w:val="22"/>
                      <w:lang w:val="sr-Latn-ME"/>
                    </w:rPr>
                    <w:t xml:space="preserve"> za inhalaciju</w:t>
                  </w:r>
                  <w:r w:rsidRPr="00890981">
                    <w:rPr>
                      <w:rFonts w:eastAsia="MS Mincho"/>
                      <w:szCs w:val="22"/>
                      <w:lang w:val="sr-Latn-ME" w:eastAsia="ja-JP" w:bidi="ne-NP"/>
                    </w:rPr>
                    <w:t xml:space="preserve">: </w:t>
                  </w:r>
                </w:p>
                <w:p w14:paraId="0DAF7125" w14:textId="630AF457" w:rsidR="0092406A" w:rsidRPr="00890981" w:rsidRDefault="0092406A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rPr>
                      <w:rFonts w:eastAsia="MS Mincho"/>
                      <w:szCs w:val="22"/>
                      <w:lang w:val="sr-Latn-ME" w:eastAsia="ja-JP" w:bidi="ne-NP"/>
                    </w:rPr>
                  </w:pPr>
                  <w:r w:rsidRPr="00890981">
                    <w:rPr>
                      <w:rFonts w:eastAsia="MS Mincho"/>
                      <w:szCs w:val="22"/>
                      <w:lang w:val="sr-Latn-ME" w:eastAsia="ja-JP" w:bidi="ne-NP"/>
                    </w:rPr>
                    <w:t xml:space="preserve">1. </w:t>
                  </w:r>
                  <w:r w:rsidR="006360A3">
                    <w:rPr>
                      <w:rFonts w:eastAsia="MS Mincho"/>
                      <w:szCs w:val="22"/>
                      <w:lang w:val="sr-Latn-ME" w:eastAsia="ja-JP" w:bidi="ne-NP"/>
                    </w:rPr>
                    <w:t xml:space="preserve">zaštitni </w:t>
                  </w:r>
                  <w:r w:rsidRPr="00890981">
                    <w:rPr>
                      <w:rFonts w:eastAsia="MS Mincho"/>
                      <w:szCs w:val="22"/>
                      <w:lang w:val="sr-Latn-ME" w:eastAsia="ja-JP" w:bidi="ne-NP"/>
                    </w:rPr>
                    <w:t xml:space="preserve">poklopac </w:t>
                  </w:r>
                </w:p>
                <w:p w14:paraId="1E944F97" w14:textId="77777777" w:rsidR="0092406A" w:rsidRPr="00890981" w:rsidRDefault="0092406A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rPr>
                      <w:rFonts w:eastAsia="MS Mincho"/>
                      <w:szCs w:val="22"/>
                      <w:lang w:val="sr-Latn-ME" w:eastAsia="ja-JP" w:bidi="ne-NP"/>
                    </w:rPr>
                  </w:pPr>
                  <w:r w:rsidRPr="00890981">
                    <w:rPr>
                      <w:rFonts w:eastAsia="MS Mincho"/>
                      <w:szCs w:val="22"/>
                      <w:lang w:val="sr-Latn-ME" w:eastAsia="ja-JP" w:bidi="ne-NP"/>
                    </w:rPr>
                    <w:t xml:space="preserve">2. nastavak za usta </w:t>
                  </w:r>
                </w:p>
                <w:p w14:paraId="3ABE21B5" w14:textId="77777777" w:rsidR="0092406A" w:rsidRPr="00890981" w:rsidRDefault="0092406A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rPr>
                      <w:rFonts w:eastAsia="MS Mincho"/>
                      <w:szCs w:val="22"/>
                      <w:lang w:val="sr-Latn-ME" w:eastAsia="ja-JP" w:bidi="ne-NP"/>
                    </w:rPr>
                  </w:pPr>
                  <w:r w:rsidRPr="00890981">
                    <w:rPr>
                      <w:rFonts w:eastAsia="MS Mincho"/>
                      <w:szCs w:val="22"/>
                      <w:lang w:val="sr-Latn-ME" w:eastAsia="ja-JP" w:bidi="ne-NP"/>
                    </w:rPr>
                    <w:t xml:space="preserve">3. osnova </w:t>
                  </w:r>
                </w:p>
                <w:p w14:paraId="2B1FEC08" w14:textId="77777777" w:rsidR="0092406A" w:rsidRPr="00890981" w:rsidRDefault="0092406A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rPr>
                      <w:rFonts w:eastAsia="MS Mincho"/>
                      <w:szCs w:val="22"/>
                      <w:lang w:val="sr-Latn-ME" w:eastAsia="ja-JP" w:bidi="ne-NP"/>
                    </w:rPr>
                  </w:pPr>
                  <w:r w:rsidRPr="00890981">
                    <w:rPr>
                      <w:rFonts w:eastAsia="MS Mincho"/>
                      <w:szCs w:val="22"/>
                      <w:lang w:val="sr-Latn-ME" w:eastAsia="ja-JP" w:bidi="ne-NP"/>
                    </w:rPr>
                    <w:t xml:space="preserve">4. taster za probijanje kapsule </w:t>
                  </w:r>
                </w:p>
                <w:p w14:paraId="02AEA921" w14:textId="77777777" w:rsidR="0092406A" w:rsidRPr="00890981" w:rsidRDefault="0092406A">
                  <w:pPr>
                    <w:tabs>
                      <w:tab w:val="clear" w:pos="284"/>
                    </w:tabs>
                    <w:autoSpaceDE w:val="0"/>
                    <w:autoSpaceDN w:val="0"/>
                    <w:adjustRightInd w:val="0"/>
                    <w:rPr>
                      <w:szCs w:val="22"/>
                      <w:lang w:val="sr-Latn-ME"/>
                    </w:rPr>
                  </w:pPr>
                  <w:r w:rsidRPr="00890981">
                    <w:rPr>
                      <w:rFonts w:eastAsia="MS Mincho"/>
                      <w:szCs w:val="22"/>
                      <w:lang w:val="sr-Latn-ME" w:eastAsia="ja-JP" w:bidi="ne-NP"/>
                    </w:rPr>
                    <w:t>5. centralna komora</w:t>
                  </w:r>
                </w:p>
              </w:tc>
              <w:tc>
                <w:tcPr>
                  <w:tcW w:w="2985" w:type="dxa"/>
                </w:tcPr>
                <w:p w14:paraId="019B0FA3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12708730" wp14:editId="01FEF78F">
                        <wp:extent cx="1314450" cy="131445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02AA970B" w14:textId="77777777" w:rsidTr="00906BAE">
              <w:tc>
                <w:tcPr>
                  <w:tcW w:w="6915" w:type="dxa"/>
                  <w:vAlign w:val="center"/>
                </w:tcPr>
                <w:p w14:paraId="6A0D40C2" w14:textId="148FCC9F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1. Da biste oslobodili zaštitni poklopac, pritisnite taster 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za probijanje kapsule (4)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do kraja, a zatim ga pustite.</w:t>
                  </w:r>
                </w:p>
              </w:tc>
              <w:tc>
                <w:tcPr>
                  <w:tcW w:w="2985" w:type="dxa"/>
                </w:tcPr>
                <w:p w14:paraId="197A44B5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2D6BE87D" wp14:editId="1FC2DE74">
                        <wp:extent cx="1304925" cy="1304925"/>
                        <wp:effectExtent l="0" t="0" r="9525" b="9525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70D96E05" w14:textId="77777777" w:rsidTr="00906BAE">
              <w:tc>
                <w:tcPr>
                  <w:tcW w:w="6915" w:type="dxa"/>
                  <w:vAlign w:val="center"/>
                </w:tcPr>
                <w:p w14:paraId="657138D1" w14:textId="5776AA66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2. Otvorite 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zaštitni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poklopac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do kraja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podizanjem prema gore. </w:t>
                  </w:r>
                </w:p>
                <w:p w14:paraId="439D9021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Zatim otvorite </w:t>
                  </w:r>
                  <w:r w:rsidR="00D211C2" w:rsidRPr="00890981">
                    <w:rPr>
                      <w:sz w:val="22"/>
                      <w:szCs w:val="22"/>
                      <w:lang w:val="sr-Latn-ME"/>
                    </w:rPr>
                    <w:t xml:space="preserve">nastavak za usta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podizanjem prema gore.</w:t>
                  </w:r>
                </w:p>
              </w:tc>
              <w:tc>
                <w:tcPr>
                  <w:tcW w:w="2985" w:type="dxa"/>
                </w:tcPr>
                <w:p w14:paraId="0EAF298B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11DCC6DC" wp14:editId="5DC59AAB">
                        <wp:extent cx="1333500" cy="1324109"/>
                        <wp:effectExtent l="0" t="0" r="0" b="9525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769" cy="13243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12F6474E" w14:textId="77777777" w:rsidTr="00906BAE">
              <w:tc>
                <w:tcPr>
                  <w:tcW w:w="6915" w:type="dxa"/>
                  <w:vAlign w:val="center"/>
                </w:tcPr>
                <w:p w14:paraId="605E9C51" w14:textId="35366113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lastRenderedPageBreak/>
                    <w:t>3. Izvadit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Spiriva kapsulu iz blistera (isključivo neposredno pr</w:t>
                  </w:r>
                  <w:r w:rsidR="00CF171F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ij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e upotrebe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, vidite </w:t>
                  </w:r>
                  <w:r w:rsidR="006360A3" w:rsidRPr="005E39F0">
                    <w:rPr>
                      <w:i/>
                      <w:iCs/>
                      <w:color w:val="auto"/>
                      <w:sz w:val="22"/>
                      <w:szCs w:val="22"/>
                      <w:lang w:val="sr-Latn-ME"/>
                    </w:rPr>
                    <w:t>Rukovanje blister-folijom sa kapsulama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) i stavit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je u centralnu komoru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(5)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, kao što pokazuje crtež. Nije važno koja strana kapsule ide u komoru.</w:t>
                  </w:r>
                </w:p>
              </w:tc>
              <w:tc>
                <w:tcPr>
                  <w:tcW w:w="2985" w:type="dxa"/>
                </w:tcPr>
                <w:p w14:paraId="289FBBD9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00CB8D88" wp14:editId="1C01541B">
                        <wp:extent cx="1352550" cy="1343025"/>
                        <wp:effectExtent l="0" t="0" r="0" b="9525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1E187EBA" w14:textId="77777777" w:rsidTr="00906BAE">
              <w:tc>
                <w:tcPr>
                  <w:tcW w:w="6915" w:type="dxa"/>
                  <w:vAlign w:val="center"/>
                </w:tcPr>
                <w:p w14:paraId="0D1A3C27" w14:textId="0236D3F2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4. Čvrsto zatvoriti </w:t>
                  </w:r>
                  <w:r w:rsidR="00D211C2" w:rsidRPr="00890981">
                    <w:rPr>
                      <w:sz w:val="22"/>
                      <w:szCs w:val="22"/>
                      <w:lang w:val="sr-Latn-ME"/>
                    </w:rPr>
                    <w:t xml:space="preserve">nastavak za usta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dok se ne čuje 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„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klik"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pri čemu 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zaštitni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poklopac ostaje otvoren.</w:t>
                  </w:r>
                </w:p>
              </w:tc>
              <w:tc>
                <w:tcPr>
                  <w:tcW w:w="2985" w:type="dxa"/>
                </w:tcPr>
                <w:p w14:paraId="42825C37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7A043E0A" wp14:editId="0FCCEDC0">
                        <wp:extent cx="1352550" cy="135255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5FE8360D" w14:textId="77777777" w:rsidTr="00906BAE">
              <w:tc>
                <w:tcPr>
                  <w:tcW w:w="6915" w:type="dxa"/>
                  <w:vAlign w:val="center"/>
                </w:tcPr>
                <w:p w14:paraId="2CC269C2" w14:textId="068E3615" w:rsidR="00CE76A2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5. </w:t>
                  </w:r>
                  <w:r w:rsidR="006360A3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Drž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ite</w:t>
                  </w:r>
                  <w:r w:rsidR="006360A3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HandiHaler uređaj sa </w:t>
                  </w:r>
                  <w:r w:rsidR="00D211C2" w:rsidRPr="00890981">
                    <w:rPr>
                      <w:sz w:val="22"/>
                      <w:szCs w:val="22"/>
                      <w:lang w:val="sr-Latn-ME"/>
                    </w:rPr>
                    <w:t xml:space="preserve">nastavkom za usta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okrenutim na gore, pa 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pritisnite</w:t>
                  </w:r>
                  <w:r w:rsidR="006360A3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taster 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za probijanje kapsule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u samo jednom potezu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, a zatim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ga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pustite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. </w:t>
                  </w:r>
                </w:p>
                <w:p w14:paraId="395FF631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Na ovaj način se kapsula probuši</w:t>
                  </w:r>
                  <w:r w:rsidR="00CE76A2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, što omogućava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da se l</w:t>
                  </w:r>
                  <w:r w:rsidR="00CF171F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ij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ek oslobađa dok udišete.</w:t>
                  </w:r>
                </w:p>
              </w:tc>
              <w:tc>
                <w:tcPr>
                  <w:tcW w:w="2985" w:type="dxa"/>
                </w:tcPr>
                <w:p w14:paraId="317490EA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43C98E08" wp14:editId="265A93FC">
                        <wp:extent cx="1352550" cy="13525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5403D13E" w14:textId="77777777" w:rsidTr="00906BAE">
              <w:tc>
                <w:tcPr>
                  <w:tcW w:w="6915" w:type="dxa"/>
                  <w:vAlign w:val="center"/>
                </w:tcPr>
                <w:p w14:paraId="6A6E70C7" w14:textId="18BD7935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6. </w:t>
                  </w:r>
                  <w:r w:rsidR="006360A3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Izdahn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ite</w:t>
                  </w:r>
                  <w:r w:rsidR="006360A3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vazduh iz pluća maksimalno koliko je moguće</w:t>
                  </w:r>
                  <w:r w:rsidRPr="00890981">
                    <w:rPr>
                      <w:b/>
                      <w:bCs/>
                      <w:color w:val="auto"/>
                      <w:sz w:val="22"/>
                      <w:szCs w:val="22"/>
                      <w:lang w:val="sr-Latn-ME"/>
                    </w:rPr>
                    <w:t xml:space="preserve">. </w:t>
                  </w:r>
                </w:p>
                <w:p w14:paraId="29E97D41" w14:textId="22876CCF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Važno: </w:t>
                  </w:r>
                  <w:r w:rsidR="006360A3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Vodit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e</w:t>
                  </w:r>
                  <w:r w:rsidR="006360A3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računa da ne 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izdišete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u </w:t>
                  </w:r>
                  <w:r w:rsidR="00D211C2" w:rsidRPr="00890981">
                    <w:rPr>
                      <w:sz w:val="22"/>
                      <w:szCs w:val="22"/>
                      <w:lang w:val="sr-Latn-ME"/>
                    </w:rPr>
                    <w:t xml:space="preserve">nastavak za usta. </w:t>
                  </w:r>
                </w:p>
              </w:tc>
              <w:tc>
                <w:tcPr>
                  <w:tcW w:w="2985" w:type="dxa"/>
                </w:tcPr>
                <w:p w14:paraId="7D76DCDC" w14:textId="77777777" w:rsidR="0092406A" w:rsidRPr="00890981" w:rsidRDefault="000B17C1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BEC0488" wp14:editId="2876DB61">
                            <wp:simplePos x="0" y="0"/>
                            <wp:positionH relativeFrom="column">
                              <wp:posOffset>617220</wp:posOffset>
                            </wp:positionH>
                            <wp:positionV relativeFrom="paragraph">
                              <wp:posOffset>685800</wp:posOffset>
                            </wp:positionV>
                            <wp:extent cx="358140" cy="57785"/>
                            <wp:effectExtent l="24765" t="69850" r="64770" b="167640"/>
                            <wp:wrapNone/>
                            <wp:docPr id="2" name="Freeform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rot="751729">
                                      <a:off x="0" y="0"/>
                                      <a:ext cx="358140" cy="57785"/>
                                    </a:xfrm>
                                    <a:custGeom>
                                      <a:avLst/>
                                      <a:gdLst>
                                        <a:gd name="T0" fmla="*/ 0 w 564"/>
                                        <a:gd name="T1" fmla="*/ 0 h 91"/>
                                        <a:gd name="T2" fmla="*/ 227418900 w 564"/>
                                        <a:gd name="T3" fmla="*/ 36693475 h 91"/>
                                        <a:gd name="T4" fmla="*/ 0 60000 65536"/>
                                        <a:gd name="T5" fmla="*/ 0 60000 65536"/>
                                      </a:gdLst>
                                      <a:ahLst/>
                                      <a:cxnLst>
                                        <a:cxn ang="T4">
                                          <a:pos x="T0" y="T1"/>
                                        </a:cxn>
                                        <a:cxn ang="T5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564" h="91">
                                          <a:moveTo>
                                            <a:pt x="0" y="0"/>
                                          </a:moveTo>
                                          <a:lnTo>
                                            <a:pt x="564" y="91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571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      <w:pict>
                          <v:polyline w14:anchorId="67CBBC71" id="Freeform 15" o:spid="_x0000_s1026" style="position:absolute;rotation:82108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.6pt,54pt,76.8pt,58.55pt" coordsize="56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" filled="f" strokeweight="4.5pt">
                            <v:stroke endarrow="block"/>
                            <v:path arrowok="t" o:connecttype="custom" o:connectlocs="0,0;2147483646,2147483646" o:connectangles="0,0"/>
                          </v:polyline>
                        </w:pict>
                      </mc:Fallback>
                    </mc:AlternateContent>
                  </w:r>
                  <w:r w:rsidR="0092406A"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72CAE962" wp14:editId="6D6849F0">
                        <wp:extent cx="1352550" cy="1343025"/>
                        <wp:effectExtent l="0" t="0" r="0" b="9525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70378172" w14:textId="77777777" w:rsidTr="00906BAE">
              <w:tc>
                <w:tcPr>
                  <w:tcW w:w="6915" w:type="dxa"/>
                  <w:vAlign w:val="center"/>
                </w:tcPr>
                <w:p w14:paraId="317F11F7" w14:textId="291061F5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7. 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>Prinesite</w:t>
                  </w:r>
                  <w:r w:rsidR="00D211C2" w:rsidRPr="00890981">
                    <w:rPr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HandiHaler uređaj za inhalaciju </w:t>
                  </w:r>
                  <w:r w:rsidR="006360A3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ustima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i 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nastavak za usta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čvrsto 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obuhvatite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usnama. Glavu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drž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ite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uspravno i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ud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išite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polako i duboko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, ali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uz brzinu koja dopušta da čujete ili os</w:t>
                  </w:r>
                  <w:r w:rsidR="00117FA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j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etite kako kapsula vibrira.</w:t>
                  </w:r>
                </w:p>
                <w:p w14:paraId="72E0ED6B" w14:textId="06A9A6F6" w:rsidR="0092406A" w:rsidRPr="00890981" w:rsidRDefault="004E27EB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Udahn</w:t>
                  </w:r>
                  <w:r>
                    <w:rPr>
                      <w:color w:val="auto"/>
                      <w:sz w:val="22"/>
                      <w:szCs w:val="22"/>
                      <w:lang w:val="sr-Latn-ME"/>
                    </w:rPr>
                    <w:t>ite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dok ne napunite pluća; zadržati dah onoliko dugo koliko Vam prija i istovremeno </w:t>
                  </w:r>
                  <w:r>
                    <w:rPr>
                      <w:color w:val="auto"/>
                      <w:sz w:val="22"/>
                      <w:szCs w:val="22"/>
                      <w:lang w:val="sr-Latn-ME"/>
                    </w:rPr>
                    <w:t>izvucite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D211C2" w:rsidRPr="00890981">
                    <w:rPr>
                      <w:sz w:val="22"/>
                      <w:szCs w:val="22"/>
                      <w:lang w:val="sr-Latn-ME"/>
                    </w:rPr>
                    <w:t xml:space="preserve">nastavak za usta 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HandiHaler</w:t>
                  </w:r>
                  <w:r w:rsidR="000A5891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uređaj</w:t>
                  </w:r>
                  <w:r w:rsidR="00032CBD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a</w:t>
                  </w:r>
                  <w:r w:rsidR="000A5891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za inhalaciju 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iz usta. Nastaviti sa normalnim disanjem. </w:t>
                  </w:r>
                </w:p>
                <w:p w14:paraId="3A012705" w14:textId="252621AA" w:rsidR="0092406A" w:rsidRPr="00890981" w:rsidRDefault="004E27EB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>
                    <w:rPr>
                      <w:color w:val="auto"/>
                      <w:sz w:val="22"/>
                      <w:szCs w:val="22"/>
                      <w:lang w:val="sr-Latn-ME"/>
                    </w:rPr>
                    <w:t>Ponovite korake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6 i 7</w:t>
                  </w:r>
                  <w:r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još jednom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, </w:t>
                  </w:r>
                  <w:r>
                    <w:rPr>
                      <w:color w:val="auto"/>
                      <w:sz w:val="22"/>
                      <w:szCs w:val="22"/>
                      <w:lang w:val="sr-Latn-ME"/>
                    </w:rPr>
                    <w:t>kako bi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se kapsula u potpunosti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isprazni</w:t>
                  </w:r>
                  <w:r>
                    <w:rPr>
                      <w:color w:val="auto"/>
                      <w:sz w:val="22"/>
                      <w:szCs w:val="22"/>
                      <w:lang w:val="sr-Latn-ME"/>
                    </w:rPr>
                    <w:t>la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.</w:t>
                  </w:r>
                </w:p>
              </w:tc>
              <w:tc>
                <w:tcPr>
                  <w:tcW w:w="2985" w:type="dxa"/>
                </w:tcPr>
                <w:p w14:paraId="5942BC1D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54E96769" wp14:editId="1930FE4A">
                        <wp:extent cx="1352550" cy="1343025"/>
                        <wp:effectExtent l="0" t="0" r="0" b="952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0B840319" w14:textId="77777777" w:rsidTr="00906BAE">
              <w:tc>
                <w:tcPr>
                  <w:tcW w:w="6915" w:type="dxa"/>
                  <w:vAlign w:val="center"/>
                </w:tcPr>
                <w:p w14:paraId="1C6DD53F" w14:textId="11A765E9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8. Ponovo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otvori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te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545556" w:rsidRPr="00890981">
                    <w:rPr>
                      <w:sz w:val="22"/>
                      <w:szCs w:val="22"/>
                      <w:lang w:val="sr-Latn-ME"/>
                    </w:rPr>
                    <w:t>nastavak za usta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.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Istres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ite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iskorišćenu kapsulu i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baci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te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je. </w:t>
                  </w:r>
                </w:p>
                <w:p w14:paraId="3C9A9BD7" w14:textId="59558F7E" w:rsidR="0092406A" w:rsidRPr="00890981" w:rsidRDefault="004E27EB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Zatvori</w:t>
                  </w:r>
                  <w:r>
                    <w:rPr>
                      <w:color w:val="auto"/>
                      <w:sz w:val="22"/>
                      <w:szCs w:val="22"/>
                      <w:lang w:val="sr-Latn-ME"/>
                    </w:rPr>
                    <w:t>te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D211C2" w:rsidRPr="00890981">
                    <w:rPr>
                      <w:sz w:val="22"/>
                      <w:szCs w:val="22"/>
                      <w:lang w:val="sr-Latn-ME"/>
                    </w:rPr>
                    <w:t xml:space="preserve">nastavak za usta 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i </w:t>
                  </w:r>
                  <w:r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zaštitni 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poklopac, pa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skloni</w:t>
                  </w:r>
                  <w:r>
                    <w:rPr>
                      <w:color w:val="auto"/>
                      <w:sz w:val="22"/>
                      <w:szCs w:val="22"/>
                      <w:lang w:val="sr-Latn-ME"/>
                    </w:rPr>
                    <w:t>te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HandiHaler</w:t>
                  </w:r>
                  <w:r w:rsidR="00712467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92406A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uređaj.</w:t>
                  </w:r>
                </w:p>
              </w:tc>
              <w:tc>
                <w:tcPr>
                  <w:tcW w:w="2985" w:type="dxa"/>
                </w:tcPr>
                <w:p w14:paraId="12596BAA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079819E1" wp14:editId="71257AAB">
                        <wp:extent cx="1352550" cy="1352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44E7CCAA" w14:textId="77777777" w:rsidTr="00906BAE">
              <w:tc>
                <w:tcPr>
                  <w:tcW w:w="6915" w:type="dxa"/>
                  <w:vAlign w:val="center"/>
                </w:tcPr>
                <w:p w14:paraId="62777B3F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b/>
                      <w:bCs/>
                      <w:color w:val="auto"/>
                      <w:sz w:val="22"/>
                      <w:szCs w:val="22"/>
                      <w:lang w:val="sr-Latn-ME"/>
                    </w:rPr>
                    <w:lastRenderedPageBreak/>
                    <w:t xml:space="preserve">Način čišćenja HandiHaler uređaja za inhalaciju </w:t>
                  </w:r>
                </w:p>
                <w:p w14:paraId="1CBFFD53" w14:textId="696B385C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HandiHaler </w:t>
                  </w:r>
                  <w:r w:rsidR="00545556" w:rsidRPr="00890981">
                    <w:rPr>
                      <w:bCs/>
                      <w:color w:val="auto"/>
                      <w:sz w:val="22"/>
                      <w:szCs w:val="22"/>
                      <w:lang w:val="sr-Latn-ME"/>
                    </w:rPr>
                    <w:t>uređaj</w:t>
                  </w:r>
                  <w:r w:rsidR="00757751" w:rsidRPr="00890981">
                    <w:rPr>
                      <w:bCs/>
                      <w:color w:val="auto"/>
                      <w:sz w:val="22"/>
                      <w:szCs w:val="22"/>
                      <w:lang w:val="sr-Latn-ME"/>
                    </w:rPr>
                    <w:t xml:space="preserve"> za inhalaciju</w:t>
                  </w:r>
                  <w:r w:rsidR="00545556" w:rsidRPr="00890981">
                    <w:rPr>
                      <w:b/>
                      <w:bCs/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čistit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jednom m</w:t>
                  </w:r>
                  <w:r w:rsidR="00117FA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j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esečno.</w:t>
                  </w:r>
                  <w:r w:rsidRPr="00890981">
                    <w:rPr>
                      <w:b/>
                      <w:bCs/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Otvorit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e zaštitni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poklopac i</w:t>
                  </w:r>
                  <w:r w:rsidR="003A64E4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1B72CA" w:rsidRPr="00890981">
                    <w:rPr>
                      <w:sz w:val="22"/>
                      <w:szCs w:val="22"/>
                      <w:lang w:val="sr-Latn-ME"/>
                    </w:rPr>
                    <w:t>nastavak za usta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. Potom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otvorit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osnovu podižući taster za probijanje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kapsule (4)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.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Očistit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c</w:t>
                  </w:r>
                  <w:r w:rsidR="00117FA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ijeli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inhalator toplom vodom radi uklanjanja preostalog 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praška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.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Osušit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HandiHaler detaljno tapkajući višak vode na papirnu salvetu, a potom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sušit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na vazduhu uz otvoren 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zaštitni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poklopac, </w:t>
                  </w:r>
                  <w:r w:rsidR="001B72CA" w:rsidRPr="00890981">
                    <w:rPr>
                      <w:sz w:val="22"/>
                      <w:szCs w:val="22"/>
                      <w:lang w:val="sr-Latn-ME"/>
                    </w:rPr>
                    <w:t xml:space="preserve">nastavak za usta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i osnovu. Sušenje traje oko 24 sata, pa je potrebno uređaj čistiti odmah nakon upotrebe kako bi bio </w:t>
                  </w:r>
                  <w:r w:rsidR="001C3EB7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spreman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za sl</w:t>
                  </w:r>
                  <w:r w:rsidR="00117FA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j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edeću dozu. 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Ako je potrebno, spoljašnji dio nastavka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za usta izbrisati </w:t>
                  </w:r>
                  <w:r w:rsidR="001C3EB7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na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vlaž</w:t>
                  </w:r>
                  <w:r w:rsidR="001C3EB7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e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nom, ali ne </w:t>
                  </w:r>
                  <w:r w:rsidR="001C3EB7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sasvim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mokrom maramicom.</w:t>
                  </w:r>
                </w:p>
              </w:tc>
              <w:tc>
                <w:tcPr>
                  <w:tcW w:w="2985" w:type="dxa"/>
                </w:tcPr>
                <w:p w14:paraId="0C66200A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45DFD939" wp14:editId="379D3726">
                        <wp:extent cx="1352550" cy="135255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7EFF92D2" w14:textId="77777777" w:rsidTr="00906BAE">
              <w:tc>
                <w:tcPr>
                  <w:tcW w:w="6915" w:type="dxa"/>
                  <w:vAlign w:val="center"/>
                </w:tcPr>
                <w:p w14:paraId="0BA375F8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b/>
                      <w:bCs/>
                      <w:color w:val="auto"/>
                      <w:sz w:val="22"/>
                      <w:szCs w:val="22"/>
                      <w:lang w:val="sr-Latn-ME"/>
                    </w:rPr>
                    <w:t xml:space="preserve">Rukovanje blister-folijom sa kapsulama </w:t>
                  </w:r>
                </w:p>
                <w:p w14:paraId="18F16744" w14:textId="21A77B09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A. 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Razdvojite blister trake lijeka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="005F3A16">
                    <w:rPr>
                      <w:color w:val="auto"/>
                      <w:sz w:val="22"/>
                      <w:szCs w:val="22"/>
                      <w:lang w:val="sr-Latn-ME"/>
                    </w:rPr>
                    <w:t>Spiriva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,</w:t>
                  </w:r>
                  <w:r w:rsidR="005F3A16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c</w:t>
                  </w:r>
                  <w:r w:rsidR="00117FA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ij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epajući duž perforirane linije.</w:t>
                  </w:r>
                </w:p>
              </w:tc>
              <w:tc>
                <w:tcPr>
                  <w:tcW w:w="2985" w:type="dxa"/>
                </w:tcPr>
                <w:p w14:paraId="001349B7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255985AC" wp14:editId="7669DB4B">
                        <wp:extent cx="1352550" cy="1343025"/>
                        <wp:effectExtent l="0" t="0" r="0" b="952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6EDFFDC5" w14:textId="77777777" w:rsidTr="00906BAE">
              <w:tc>
                <w:tcPr>
                  <w:tcW w:w="6915" w:type="dxa"/>
                  <w:vAlign w:val="center"/>
                </w:tcPr>
                <w:p w14:paraId="2DB07BFA" w14:textId="5D20B722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B. 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Povu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cite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jezičak folije na kraju omota naviše (</w:t>
                  </w:r>
                  <w:r w:rsidR="004E27EB">
                    <w:rPr>
                      <w:color w:val="auto"/>
                      <w:sz w:val="22"/>
                      <w:szCs w:val="22"/>
                      <w:lang w:val="sr-Latn-ME"/>
                    </w:rPr>
                    <w:t>isključivo</w:t>
                  </w:r>
                  <w:r w:rsidR="004E27E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 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neposredno pr</w:t>
                  </w:r>
                  <w:r w:rsidR="00117FAB"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ij</w:t>
                  </w: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 xml:space="preserve">e upotrebe) dok se u potpunosti ne vidi jedna kapsula. </w:t>
                  </w:r>
                </w:p>
                <w:p w14:paraId="6690E67B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</w:p>
                <w:p w14:paraId="5FE6F385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Ako se nehotično vazduhu izloži i druga kapsula, treba je odmah baciti.</w:t>
                  </w:r>
                </w:p>
              </w:tc>
              <w:tc>
                <w:tcPr>
                  <w:tcW w:w="2985" w:type="dxa"/>
                </w:tcPr>
                <w:p w14:paraId="3A19124E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560EB4D8" wp14:editId="0D3CB231">
                        <wp:extent cx="1352550" cy="1343025"/>
                        <wp:effectExtent l="0" t="0" r="0" b="952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2406A" w:rsidRPr="00890981" w14:paraId="7348FBB8" w14:textId="77777777" w:rsidTr="00906BAE">
              <w:tc>
                <w:tcPr>
                  <w:tcW w:w="6915" w:type="dxa"/>
                  <w:vAlign w:val="center"/>
                </w:tcPr>
                <w:p w14:paraId="22175AB1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color w:val="auto"/>
                      <w:sz w:val="22"/>
                      <w:szCs w:val="22"/>
                      <w:lang w:val="sr-Latn-ME"/>
                    </w:rPr>
                    <w:t>C. Izvadite kapsulu.</w:t>
                  </w:r>
                </w:p>
              </w:tc>
              <w:tc>
                <w:tcPr>
                  <w:tcW w:w="2985" w:type="dxa"/>
                </w:tcPr>
                <w:p w14:paraId="74FEEFF8" w14:textId="77777777" w:rsidR="0092406A" w:rsidRPr="00890981" w:rsidRDefault="0092406A">
                  <w:pPr>
                    <w:pStyle w:val="Default"/>
                    <w:tabs>
                      <w:tab w:val="left" w:pos="284"/>
                    </w:tabs>
                    <w:jc w:val="both"/>
                    <w:rPr>
                      <w:color w:val="auto"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noProof/>
                      <w:color w:val="auto"/>
                      <w:sz w:val="22"/>
                      <w:szCs w:val="22"/>
                      <w:lang w:eastAsia="en-US" w:bidi="ar-SA"/>
                    </w:rPr>
                    <w:drawing>
                      <wp:inline distT="0" distB="0" distL="0" distR="0" wp14:anchorId="6C8CAE9B" wp14:editId="6C1361F9">
                        <wp:extent cx="1352550" cy="13525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1EDC125" w14:textId="7777777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291799A9" w14:textId="12DFA89C" w:rsidR="0092406A" w:rsidRPr="00890981" w:rsidRDefault="004E27EB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>
              <w:rPr>
                <w:color w:val="auto"/>
                <w:sz w:val="22"/>
                <w:szCs w:val="22"/>
                <w:lang w:val="sr-Latn-ME"/>
              </w:rPr>
              <w:t xml:space="preserve">Lijek </w:t>
            </w:r>
            <w:r w:rsidR="0092406A" w:rsidRPr="00890981">
              <w:rPr>
                <w:color w:val="auto"/>
                <w:sz w:val="22"/>
                <w:szCs w:val="22"/>
                <w:lang w:val="sr-Latn-ME"/>
              </w:rPr>
              <w:t>Spiriva</w:t>
            </w:r>
            <w:r>
              <w:rPr>
                <w:color w:val="auto"/>
                <w:sz w:val="22"/>
                <w:szCs w:val="22"/>
                <w:lang w:val="sr-Latn-ME"/>
              </w:rPr>
              <w:t>,</w:t>
            </w:r>
            <w:r w:rsidR="0092406A" w:rsidRPr="00890981">
              <w:rPr>
                <w:color w:val="auto"/>
                <w:sz w:val="22"/>
                <w:szCs w:val="22"/>
                <w:lang w:val="sr-Latn-ME"/>
              </w:rPr>
              <w:t xml:space="preserve"> kapsule sadrže samo malu količinu praška tako da je kapsula samo d</w:t>
            </w:r>
            <w:r w:rsidR="00117FAB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="0092406A" w:rsidRPr="00890981">
              <w:rPr>
                <w:color w:val="auto"/>
                <w:sz w:val="22"/>
                <w:szCs w:val="22"/>
                <w:lang w:val="sr-Latn-ME"/>
              </w:rPr>
              <w:t xml:space="preserve">elimično napunjena. </w:t>
            </w:r>
          </w:p>
          <w:p w14:paraId="096EAD7B" w14:textId="77777777" w:rsidR="0092406A" w:rsidRPr="00890981" w:rsidRDefault="0092406A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</w:tc>
      </w:tr>
    </w:tbl>
    <w:p w14:paraId="47C4C645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lastRenderedPageBreak/>
        <w:t>4.3. Kontraindikacije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9A1544" w:rsidRPr="00890981" w14:paraId="59AB7177" w14:textId="77777777" w:rsidTr="00376C45">
        <w:trPr>
          <w:trHeight w:val="720"/>
        </w:trPr>
        <w:tc>
          <w:tcPr>
            <w:tcW w:w="9747" w:type="dxa"/>
            <w:vAlign w:val="center"/>
          </w:tcPr>
          <w:p w14:paraId="62F71E9B" w14:textId="77777777" w:rsidR="00B33762" w:rsidRPr="00890981" w:rsidRDefault="00B33762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3D5DFC79" w14:textId="0039584F" w:rsidR="00B33762" w:rsidRPr="00890981" w:rsidRDefault="00E71A51" w:rsidP="00370CA9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>Preos</w:t>
            </w:r>
            <w:r w:rsidR="001F27C4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etljivost na aktivnu supstancu ili na bilo </w:t>
            </w:r>
            <w:r w:rsidR="007C27D7" w:rsidRPr="00890981">
              <w:rPr>
                <w:sz w:val="22"/>
                <w:szCs w:val="22"/>
                <w:lang w:val="sr-Latn-ME"/>
              </w:rPr>
              <w:t xml:space="preserve">koju od pomoćnih supstanci navedenih u </w:t>
            </w:r>
            <w:r w:rsidR="009F132F" w:rsidRPr="00890981">
              <w:rPr>
                <w:sz w:val="22"/>
                <w:szCs w:val="22"/>
                <w:lang w:val="sr-Latn-ME"/>
              </w:rPr>
              <w:t xml:space="preserve">dijelu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6.1 ili na </w:t>
            </w:r>
            <w:r w:rsidR="00B33762" w:rsidRPr="00890981">
              <w:rPr>
                <w:color w:val="auto"/>
                <w:sz w:val="22"/>
                <w:szCs w:val="22"/>
                <w:lang w:val="sr-Latn-ME"/>
              </w:rPr>
              <w:t>atropin ili njegove derivate, npr. ipratropijum ili oksitropijum</w:t>
            </w:r>
            <w:r w:rsidR="009A1544" w:rsidRPr="00890981">
              <w:rPr>
                <w:color w:val="auto"/>
                <w:sz w:val="22"/>
                <w:szCs w:val="22"/>
                <w:lang w:val="sr-Latn-ME"/>
              </w:rPr>
              <w:t>.</w:t>
            </w:r>
          </w:p>
        </w:tc>
      </w:tr>
    </w:tbl>
    <w:p w14:paraId="212CD553" w14:textId="77777777" w:rsidR="00CE09F3" w:rsidRPr="00890981" w:rsidRDefault="00CE09F3">
      <w:pPr>
        <w:rPr>
          <w:szCs w:val="22"/>
          <w:lang w:val="sr-Latn-ME"/>
        </w:rPr>
      </w:pPr>
    </w:p>
    <w:p w14:paraId="500084A1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4.4. Posebna upozorenja i m</w:t>
      </w:r>
      <w:r w:rsidR="001F27C4" w:rsidRPr="00890981">
        <w:rPr>
          <w:b/>
          <w:bCs/>
          <w:szCs w:val="22"/>
          <w:lang w:val="sr-Latn-ME"/>
        </w:rPr>
        <w:t>j</w:t>
      </w:r>
      <w:r w:rsidRPr="00890981">
        <w:rPr>
          <w:b/>
          <w:bCs/>
          <w:szCs w:val="22"/>
          <w:lang w:val="sr-Latn-ME"/>
        </w:rPr>
        <w:t>ere opreza pri upotrebi l</w:t>
      </w:r>
      <w:r w:rsidR="001F27C4" w:rsidRPr="00890981">
        <w:rPr>
          <w:b/>
          <w:bCs/>
          <w:szCs w:val="22"/>
          <w:lang w:val="sr-Latn-ME"/>
        </w:rPr>
        <w:t>ij</w:t>
      </w:r>
      <w:r w:rsidRPr="00890981">
        <w:rPr>
          <w:b/>
          <w:bCs/>
          <w:szCs w:val="22"/>
          <w:lang w:val="sr-Latn-ME"/>
        </w:rPr>
        <w:t>eka</w:t>
      </w:r>
    </w:p>
    <w:p w14:paraId="3EECE629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21468C49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Tiotropijum-bromid, kao bronhodilatator u terapiji održavanja koji se prim</w:t>
      </w:r>
      <w:r w:rsidR="001F27C4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enjuje </w:t>
      </w:r>
      <w:r w:rsidR="00276785" w:rsidRPr="00890981">
        <w:rPr>
          <w:color w:val="auto"/>
          <w:sz w:val="22"/>
          <w:szCs w:val="22"/>
          <w:lang w:val="sr-Latn-ME"/>
        </w:rPr>
        <w:t>jednom dnevno</w:t>
      </w:r>
      <w:r w:rsidRPr="00890981">
        <w:rPr>
          <w:color w:val="auto"/>
          <w:sz w:val="22"/>
          <w:szCs w:val="22"/>
          <w:lang w:val="sr-Latn-ME"/>
        </w:rPr>
        <w:t>, ne treba da se koristi kao inicijalna terapija akutnih epizoda bronhospazma, tj.</w:t>
      </w:r>
      <w:r w:rsidR="001206B6" w:rsidRPr="00890981">
        <w:rPr>
          <w:color w:val="auto"/>
          <w:sz w:val="22"/>
          <w:szCs w:val="22"/>
          <w:lang w:val="sr-Latn-ME"/>
        </w:rPr>
        <w:t xml:space="preserve"> kao l</w:t>
      </w:r>
      <w:r w:rsidR="001F27C4" w:rsidRPr="00890981">
        <w:rPr>
          <w:color w:val="auto"/>
          <w:sz w:val="22"/>
          <w:szCs w:val="22"/>
          <w:lang w:val="sr-Latn-ME"/>
        </w:rPr>
        <w:t>ij</w:t>
      </w:r>
      <w:r w:rsidR="001206B6" w:rsidRPr="00890981">
        <w:rPr>
          <w:color w:val="auto"/>
          <w:sz w:val="22"/>
          <w:szCs w:val="22"/>
          <w:lang w:val="sr-Latn-ME"/>
        </w:rPr>
        <w:t>ek za brzo ublažavanje simptoma</w:t>
      </w:r>
      <w:r w:rsidRPr="00890981">
        <w:rPr>
          <w:color w:val="auto"/>
          <w:sz w:val="22"/>
          <w:szCs w:val="22"/>
          <w:lang w:val="sr-Latn-ME"/>
        </w:rPr>
        <w:t xml:space="preserve">. </w:t>
      </w:r>
    </w:p>
    <w:p w14:paraId="2A809ABF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22BD5D24" w14:textId="4B1E834B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Posl</w:t>
      </w:r>
      <w:r w:rsidR="001F27C4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 prim</w:t>
      </w:r>
      <w:r w:rsidR="001F27C4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ene</w:t>
      </w:r>
      <w:r w:rsidRPr="00890981">
        <w:rPr>
          <w:b/>
          <w:bCs/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tiotropijum-bromid inhalacionog praška mogu nastupiti </w:t>
      </w:r>
      <w:r w:rsidR="004E27EB">
        <w:rPr>
          <w:color w:val="auto"/>
          <w:sz w:val="22"/>
          <w:szCs w:val="22"/>
          <w:lang w:val="sr-Latn-ME"/>
        </w:rPr>
        <w:t>trenutne</w:t>
      </w:r>
      <w:r w:rsidR="004E27EB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reakcije preos</w:t>
      </w:r>
      <w:r w:rsidR="001F27C4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etljivosti. </w:t>
      </w:r>
    </w:p>
    <w:p w14:paraId="55AAFA0E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1B47CBF9" w14:textId="5BB78629" w:rsidR="005E15E5" w:rsidRPr="00890981" w:rsidRDefault="00B94E53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Zbog svoje antiholinergičke aktivnosti tiotropijum-bromid treba da se koristi uz oprez kod pacijenata koji imaju glaukom zatvorenog ugla, hiperplaziju prostate ili opstrukciju vrata mokraćne bešike (vid</w:t>
      </w:r>
      <w:r w:rsidR="001F27C4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eti </w:t>
      </w:r>
      <w:r w:rsidR="009F132F" w:rsidRPr="00890981">
        <w:rPr>
          <w:color w:val="auto"/>
          <w:sz w:val="22"/>
          <w:szCs w:val="22"/>
          <w:lang w:val="sr-Latn-ME"/>
        </w:rPr>
        <w:t xml:space="preserve">dio </w:t>
      </w:r>
      <w:r w:rsidRPr="00890981">
        <w:rPr>
          <w:color w:val="auto"/>
          <w:sz w:val="22"/>
          <w:szCs w:val="22"/>
          <w:lang w:val="sr-Latn-ME"/>
        </w:rPr>
        <w:t>4.8).</w:t>
      </w:r>
      <w:r w:rsidR="005E15E5" w:rsidRPr="00890981">
        <w:rPr>
          <w:color w:val="auto"/>
          <w:sz w:val="22"/>
          <w:szCs w:val="22"/>
          <w:lang w:val="sr-Latn-ME"/>
        </w:rPr>
        <w:t xml:space="preserve"> </w:t>
      </w:r>
    </w:p>
    <w:p w14:paraId="2C68BD9D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493F05AE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Inhalirani l</w:t>
      </w:r>
      <w:r w:rsidR="001F27C4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ekovi mogu izazvati inhalacioni bronhospazam. </w:t>
      </w:r>
    </w:p>
    <w:p w14:paraId="11C9AF4B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015683E0" w14:textId="2AA2B461" w:rsidR="005E15E5" w:rsidRPr="00890981" w:rsidRDefault="005E15E5">
      <w:pPr>
        <w:tabs>
          <w:tab w:val="clear" w:pos="284"/>
          <w:tab w:val="left" w:pos="567"/>
        </w:tabs>
        <w:spacing w:line="260" w:lineRule="exact"/>
        <w:rPr>
          <w:rFonts w:eastAsia="SimSun"/>
          <w:iCs/>
          <w:szCs w:val="22"/>
          <w:lang w:val="sr-Latn-ME"/>
        </w:rPr>
      </w:pPr>
      <w:r w:rsidRPr="00890981">
        <w:rPr>
          <w:rFonts w:eastAsia="SimSun"/>
          <w:iCs/>
          <w:szCs w:val="22"/>
          <w:lang w:val="sr-Latn-ME"/>
        </w:rPr>
        <w:lastRenderedPageBreak/>
        <w:t>Tiotropijum treba oprezno koristiti kod pacijenata koji su nedavno imali infarkt miokarda (pr</w:t>
      </w:r>
      <w:r w:rsidR="006C1AAE" w:rsidRPr="00890981">
        <w:rPr>
          <w:rFonts w:eastAsia="SimSun"/>
          <w:iCs/>
          <w:szCs w:val="22"/>
          <w:lang w:val="sr-Latn-ME"/>
        </w:rPr>
        <w:t>ij</w:t>
      </w:r>
      <w:r w:rsidRPr="00890981">
        <w:rPr>
          <w:rFonts w:eastAsia="SimSun"/>
          <w:iCs/>
          <w:szCs w:val="22"/>
          <w:lang w:val="sr-Latn-ME"/>
        </w:rPr>
        <w:t xml:space="preserve">e manje od 6 </w:t>
      </w:r>
      <w:r w:rsidR="006C1AAE" w:rsidRPr="00890981">
        <w:rPr>
          <w:rFonts w:eastAsia="SimSun"/>
          <w:iCs/>
          <w:szCs w:val="22"/>
          <w:lang w:val="sr-Latn-ME"/>
        </w:rPr>
        <w:t>mjeseci</w:t>
      </w:r>
      <w:r w:rsidRPr="00890981">
        <w:rPr>
          <w:rFonts w:eastAsia="SimSun"/>
          <w:iCs/>
          <w:szCs w:val="22"/>
          <w:lang w:val="sr-Latn-ME"/>
        </w:rPr>
        <w:t xml:space="preserve">); kod svih sa nestabilnim ili </w:t>
      </w:r>
      <w:r w:rsidR="00FA24A5" w:rsidRPr="00890981">
        <w:rPr>
          <w:rFonts w:eastAsia="SimSun"/>
          <w:iCs/>
          <w:szCs w:val="22"/>
          <w:lang w:val="sr-Latn-ME"/>
        </w:rPr>
        <w:t xml:space="preserve">životno ugrožavajućim </w:t>
      </w:r>
      <w:r w:rsidRPr="00890981">
        <w:rPr>
          <w:rFonts w:eastAsia="SimSun"/>
          <w:iCs/>
          <w:szCs w:val="22"/>
          <w:lang w:val="sr-Latn-ME"/>
        </w:rPr>
        <w:t>srčanim aritmijama ili srčanim aritmijama koje su iziskivale intervenciju ili prom</w:t>
      </w:r>
      <w:r w:rsidR="006C1AAE" w:rsidRPr="00890981">
        <w:rPr>
          <w:rFonts w:eastAsia="SimSun"/>
          <w:iCs/>
          <w:szCs w:val="22"/>
          <w:lang w:val="sr-Latn-ME"/>
        </w:rPr>
        <w:t>j</w:t>
      </w:r>
      <w:r w:rsidRPr="00890981">
        <w:rPr>
          <w:rFonts w:eastAsia="SimSun"/>
          <w:iCs/>
          <w:szCs w:val="22"/>
          <w:lang w:val="sr-Latn-ME"/>
        </w:rPr>
        <w:t xml:space="preserve">enu medikamentozne terapije tokom prethodne godine; koji su tokom prethodne godine hospitalizovani zbog srčane insuficijencije (NYHA klasa 3 ili 4). Ovi pacijenti su bili isključeni iz kliničkih studija, a na ova stanja može da utiče antiholinergički mehanizam dejstva. </w:t>
      </w:r>
    </w:p>
    <w:p w14:paraId="6F0DE19E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029561EA" w14:textId="1C38C7D2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Kako se koncentracija l</w:t>
      </w:r>
      <w:r w:rsidR="006C1AAE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eka u plazmi povećava sa smanjenjem renalne funkcije kod pacijenata sa um</w:t>
      </w:r>
      <w:r w:rsidR="006C1AAE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eren</w:t>
      </w:r>
      <w:r w:rsidR="001771DE" w:rsidRPr="00890981">
        <w:rPr>
          <w:color w:val="auto"/>
          <w:sz w:val="22"/>
          <w:szCs w:val="22"/>
          <w:lang w:val="sr-Latn-ME"/>
        </w:rPr>
        <w:t>i</w:t>
      </w:r>
      <w:r w:rsidRPr="00890981">
        <w:rPr>
          <w:color w:val="auto"/>
          <w:sz w:val="22"/>
          <w:szCs w:val="22"/>
          <w:lang w:val="sr-Latn-ME"/>
        </w:rPr>
        <w:t>m do tešk</w:t>
      </w:r>
      <w:r w:rsidR="00D317D2" w:rsidRPr="00890981">
        <w:rPr>
          <w:color w:val="auto"/>
          <w:sz w:val="22"/>
          <w:szCs w:val="22"/>
          <w:lang w:val="sr-Latn-ME"/>
        </w:rPr>
        <w:t>i</w:t>
      </w:r>
      <w:r w:rsidRPr="00890981">
        <w:rPr>
          <w:color w:val="auto"/>
          <w:sz w:val="22"/>
          <w:szCs w:val="22"/>
          <w:lang w:val="sr-Latn-ME"/>
        </w:rPr>
        <w:t xml:space="preserve">m </w:t>
      </w:r>
      <w:r w:rsidR="00D317D2" w:rsidRPr="00890981">
        <w:rPr>
          <w:color w:val="auto"/>
          <w:sz w:val="22"/>
          <w:szCs w:val="22"/>
          <w:lang w:val="sr-Latn-ME"/>
        </w:rPr>
        <w:t>oštećenjem bubrežne funkcije</w:t>
      </w:r>
      <w:r w:rsidRPr="00890981">
        <w:rPr>
          <w:color w:val="auto"/>
          <w:sz w:val="22"/>
          <w:szCs w:val="22"/>
          <w:lang w:val="sr-Latn-ME"/>
        </w:rPr>
        <w:t xml:space="preserve"> (klirens kreatinina ≤</w:t>
      </w:r>
      <w:r w:rsidR="006C1AAE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50 m</w:t>
      </w:r>
      <w:r w:rsidR="006C1AAE" w:rsidRPr="00890981">
        <w:rPr>
          <w:color w:val="auto"/>
          <w:sz w:val="22"/>
          <w:szCs w:val="22"/>
          <w:lang w:val="sr-Latn-ME"/>
        </w:rPr>
        <w:t>l</w:t>
      </w:r>
      <w:r w:rsidRPr="00890981">
        <w:rPr>
          <w:color w:val="auto"/>
          <w:sz w:val="22"/>
          <w:szCs w:val="22"/>
          <w:lang w:val="sr-Latn-ME"/>
        </w:rPr>
        <w:t xml:space="preserve">/ min), tiotropijum-bromid bi trebalo koristiti samo ako je očekivana korist značajnija od potencijalnog rizika. Ne postoji dugoročno iskustvo kod pacijenata sa </w:t>
      </w:r>
      <w:r w:rsidR="00D317D2" w:rsidRPr="00890981">
        <w:rPr>
          <w:color w:val="auto"/>
          <w:sz w:val="22"/>
          <w:szCs w:val="22"/>
          <w:lang w:val="sr-Latn-ME"/>
        </w:rPr>
        <w:t xml:space="preserve">teškim oštećenjem bubrežne funkcije </w:t>
      </w:r>
      <w:r w:rsidRPr="00890981">
        <w:rPr>
          <w:color w:val="auto"/>
          <w:sz w:val="22"/>
          <w:szCs w:val="22"/>
          <w:lang w:val="sr-Latn-ME"/>
        </w:rPr>
        <w:t xml:space="preserve">(videti </w:t>
      </w:r>
      <w:r w:rsidR="009F132F" w:rsidRPr="00890981">
        <w:rPr>
          <w:color w:val="auto"/>
          <w:sz w:val="22"/>
          <w:szCs w:val="22"/>
          <w:lang w:val="sr-Latn-ME"/>
        </w:rPr>
        <w:t xml:space="preserve">dio </w:t>
      </w:r>
      <w:r w:rsidRPr="00890981">
        <w:rPr>
          <w:color w:val="auto"/>
          <w:sz w:val="22"/>
          <w:szCs w:val="22"/>
          <w:lang w:val="sr-Latn-ME"/>
        </w:rPr>
        <w:t>5.2).</w:t>
      </w:r>
    </w:p>
    <w:p w14:paraId="37DA023C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4194826E" w14:textId="2C12588F" w:rsidR="005E15E5" w:rsidRPr="00890981" w:rsidRDefault="00B94E53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Pacijente treba upozoriti da prašak ne </w:t>
      </w:r>
      <w:r w:rsidR="004E27EB">
        <w:rPr>
          <w:color w:val="auto"/>
          <w:sz w:val="22"/>
          <w:szCs w:val="22"/>
          <w:lang w:val="sr-Latn-ME"/>
        </w:rPr>
        <w:t xml:space="preserve">smije doći </w:t>
      </w:r>
      <w:r w:rsidRPr="00890981">
        <w:rPr>
          <w:color w:val="auto"/>
          <w:sz w:val="22"/>
          <w:szCs w:val="22"/>
          <w:lang w:val="sr-Latn-ME"/>
        </w:rPr>
        <w:t xml:space="preserve">u </w:t>
      </w:r>
      <w:r w:rsidR="004E27EB">
        <w:rPr>
          <w:color w:val="auto"/>
          <w:sz w:val="22"/>
          <w:szCs w:val="22"/>
          <w:lang w:val="sr-Latn-ME"/>
        </w:rPr>
        <w:t>dodir sa očima</w:t>
      </w:r>
      <w:r w:rsidRPr="00890981">
        <w:rPr>
          <w:color w:val="auto"/>
          <w:sz w:val="22"/>
          <w:szCs w:val="22"/>
          <w:lang w:val="sr-Latn-ME"/>
        </w:rPr>
        <w:t>. Treba da znaju da ovo može da dovede do pojave ili pogoršanja glaukoma zatvorenog ugla, sa pojavom bola u oku ili neprijatnosti, privremenog zamagljenja vida, pojave krugova ili obojenih prizora povezanih sa crvenilom očiju usl</w:t>
      </w:r>
      <w:r w:rsidR="006C1AAE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ed kongestije konjunktive i edema rožnjače. Ukoliko nastane bilo koja kombinacija ovih očnih simptoma, pacijenti treba da prestanu sa uzimanjem tiotropijum-bromida i da potraže hitan sav</w:t>
      </w:r>
      <w:r w:rsidR="00B7388D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et l</w:t>
      </w:r>
      <w:r w:rsidR="006C1AAE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ekara.</w:t>
      </w:r>
    </w:p>
    <w:p w14:paraId="795C7D24" w14:textId="77777777" w:rsidR="001A34B7" w:rsidRPr="00890981" w:rsidRDefault="00DF5ACA">
      <w:pPr>
        <w:pStyle w:val="Default"/>
        <w:tabs>
          <w:tab w:val="left" w:pos="357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ab/>
      </w:r>
    </w:p>
    <w:p w14:paraId="6C39BD58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Suva usta, koja su opisana pri upotrebi antiholinergika, mogu tokom dužeg perioda prim</w:t>
      </w:r>
      <w:r w:rsidR="006C1AAE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ene biti povezana sa pojavom zubnog karijesa. </w:t>
      </w:r>
    </w:p>
    <w:p w14:paraId="7E21CF21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7214100F" w14:textId="6ED542FB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Tiotropijum-bromid ne treba da se upotrebljava češće od jednom dnevno (</w:t>
      </w:r>
      <w:r w:rsidR="00781C17" w:rsidRPr="00890981">
        <w:rPr>
          <w:color w:val="auto"/>
          <w:sz w:val="22"/>
          <w:szCs w:val="22"/>
          <w:lang w:val="sr-Latn-ME"/>
        </w:rPr>
        <w:t>v</w:t>
      </w:r>
      <w:r w:rsidRPr="00890981">
        <w:rPr>
          <w:color w:val="auto"/>
          <w:sz w:val="22"/>
          <w:szCs w:val="22"/>
          <w:lang w:val="sr-Latn-ME"/>
        </w:rPr>
        <w:t>id</w:t>
      </w:r>
      <w:r w:rsidR="00B7388D" w:rsidRPr="00890981">
        <w:rPr>
          <w:color w:val="auto"/>
          <w:sz w:val="22"/>
          <w:szCs w:val="22"/>
          <w:lang w:val="sr-Latn-ME"/>
        </w:rPr>
        <w:t>j</w:t>
      </w:r>
      <w:r w:rsidR="00781C17" w:rsidRPr="00890981">
        <w:rPr>
          <w:color w:val="auto"/>
          <w:sz w:val="22"/>
          <w:szCs w:val="22"/>
          <w:lang w:val="sr-Latn-ME"/>
        </w:rPr>
        <w:t>eti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9F132F" w:rsidRPr="00890981">
        <w:rPr>
          <w:color w:val="auto"/>
          <w:sz w:val="22"/>
          <w:szCs w:val="22"/>
          <w:lang w:val="sr-Latn-ME"/>
        </w:rPr>
        <w:t xml:space="preserve">dio </w:t>
      </w:r>
      <w:r w:rsidRPr="00890981">
        <w:rPr>
          <w:color w:val="auto"/>
          <w:sz w:val="22"/>
          <w:szCs w:val="22"/>
          <w:lang w:val="sr-Latn-ME"/>
        </w:rPr>
        <w:t xml:space="preserve">4.9). </w:t>
      </w:r>
    </w:p>
    <w:p w14:paraId="06B8FF05" w14:textId="77777777" w:rsidR="005E15E5" w:rsidRPr="00890981" w:rsidRDefault="005E15E5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021C2821" w14:textId="56DC20C4" w:rsidR="005E15E5" w:rsidRPr="00890981" w:rsidRDefault="004E27EB">
      <w:pPr>
        <w:pStyle w:val="Default"/>
        <w:jc w:val="both"/>
        <w:rPr>
          <w:color w:val="auto"/>
          <w:sz w:val="22"/>
          <w:szCs w:val="22"/>
          <w:lang w:val="sr-Latn-ME"/>
        </w:rPr>
      </w:pPr>
      <w:r>
        <w:rPr>
          <w:color w:val="auto"/>
          <w:sz w:val="22"/>
          <w:szCs w:val="22"/>
          <w:lang w:val="sr-Latn-ME"/>
        </w:rPr>
        <w:t>Jedna kapsula sadrži</w:t>
      </w:r>
      <w:r w:rsidR="005E15E5" w:rsidRPr="00890981">
        <w:rPr>
          <w:color w:val="auto"/>
          <w:sz w:val="22"/>
          <w:szCs w:val="22"/>
          <w:lang w:val="sr-Latn-ME"/>
        </w:rPr>
        <w:t xml:space="preserve"> 5</w:t>
      </w:r>
      <w:r w:rsidR="00781C17" w:rsidRPr="00890981">
        <w:rPr>
          <w:color w:val="auto"/>
          <w:sz w:val="22"/>
          <w:szCs w:val="22"/>
          <w:lang w:val="sr-Latn-ME"/>
        </w:rPr>
        <w:t>,</w:t>
      </w:r>
      <w:r w:rsidR="005E15E5" w:rsidRPr="00890981">
        <w:rPr>
          <w:color w:val="auto"/>
          <w:sz w:val="22"/>
          <w:szCs w:val="22"/>
          <w:lang w:val="sr-Latn-ME"/>
        </w:rPr>
        <w:t xml:space="preserve">5 mg laktoze, monohidrata. </w:t>
      </w:r>
      <w:r w:rsidR="00A718A1" w:rsidRPr="00890981">
        <w:rPr>
          <w:color w:val="auto"/>
          <w:sz w:val="22"/>
          <w:szCs w:val="22"/>
          <w:lang w:val="sr-Latn-ME"/>
        </w:rPr>
        <w:t>Ova količina obično ne izaziva probleme kod laktoza intolerantnih pacijenta. Pacijenti sa r</w:t>
      </w:r>
      <w:r w:rsidR="006C1AAE" w:rsidRPr="00890981">
        <w:rPr>
          <w:color w:val="auto"/>
          <w:sz w:val="22"/>
          <w:szCs w:val="22"/>
          <w:lang w:val="sr-Latn-ME"/>
        </w:rPr>
        <w:t>ij</w:t>
      </w:r>
      <w:r w:rsidR="00A718A1" w:rsidRPr="00890981">
        <w:rPr>
          <w:color w:val="auto"/>
          <w:sz w:val="22"/>
          <w:szCs w:val="22"/>
          <w:lang w:val="sr-Latn-ME"/>
        </w:rPr>
        <w:t>etkim nasl</w:t>
      </w:r>
      <w:r w:rsidR="006C1AAE" w:rsidRPr="00890981">
        <w:rPr>
          <w:color w:val="auto"/>
          <w:sz w:val="22"/>
          <w:szCs w:val="22"/>
          <w:lang w:val="sr-Latn-ME"/>
        </w:rPr>
        <w:t>j</w:t>
      </w:r>
      <w:r w:rsidR="00A718A1" w:rsidRPr="00890981">
        <w:rPr>
          <w:color w:val="auto"/>
          <w:sz w:val="22"/>
          <w:szCs w:val="22"/>
          <w:lang w:val="sr-Latn-ME"/>
        </w:rPr>
        <w:t xml:space="preserve">ednim </w:t>
      </w:r>
      <w:r w:rsidR="00740522" w:rsidRPr="00890981">
        <w:rPr>
          <w:color w:val="auto"/>
          <w:sz w:val="22"/>
          <w:szCs w:val="22"/>
          <w:lang w:val="sr-Latn-ME"/>
        </w:rPr>
        <w:t xml:space="preserve">oboljenjima </w:t>
      </w:r>
      <w:r w:rsidR="001121D3" w:rsidRPr="00890981">
        <w:rPr>
          <w:color w:val="auto"/>
          <w:sz w:val="22"/>
          <w:szCs w:val="22"/>
          <w:lang w:val="sr-Latn-ME"/>
        </w:rPr>
        <w:t>intolerancije na galaktozu, deficijencije</w:t>
      </w:r>
      <w:r w:rsidR="00A718A1" w:rsidRPr="00890981">
        <w:rPr>
          <w:color w:val="auto"/>
          <w:sz w:val="22"/>
          <w:szCs w:val="22"/>
          <w:lang w:val="sr-Latn-ME"/>
        </w:rPr>
        <w:t xml:space="preserve"> laktaze ili </w:t>
      </w:r>
      <w:r w:rsidR="001121D3" w:rsidRPr="00890981">
        <w:rPr>
          <w:color w:val="auto"/>
          <w:sz w:val="22"/>
          <w:szCs w:val="22"/>
          <w:lang w:val="sr-Latn-ME"/>
        </w:rPr>
        <w:t>glukozno-</w:t>
      </w:r>
      <w:r w:rsidR="00A718A1" w:rsidRPr="00890981">
        <w:rPr>
          <w:color w:val="auto"/>
          <w:sz w:val="22"/>
          <w:szCs w:val="22"/>
          <w:lang w:val="sr-Latn-ME"/>
        </w:rPr>
        <w:t>galakto</w:t>
      </w:r>
      <w:r w:rsidR="001121D3" w:rsidRPr="00890981">
        <w:rPr>
          <w:color w:val="auto"/>
          <w:sz w:val="22"/>
          <w:szCs w:val="22"/>
          <w:lang w:val="sr-Latn-ME"/>
        </w:rPr>
        <w:t>zne malapsorpcije</w:t>
      </w:r>
      <w:r w:rsidR="00A718A1" w:rsidRPr="00890981">
        <w:rPr>
          <w:color w:val="auto"/>
          <w:sz w:val="22"/>
          <w:szCs w:val="22"/>
          <w:lang w:val="sr-Latn-ME"/>
        </w:rPr>
        <w:t xml:space="preserve"> ne</w:t>
      </w:r>
      <w:r w:rsidR="006451AC" w:rsidRPr="00890981">
        <w:rPr>
          <w:color w:val="auto"/>
          <w:sz w:val="22"/>
          <w:szCs w:val="22"/>
          <w:lang w:val="sr-Latn-ME"/>
        </w:rPr>
        <w:t xml:space="preserve"> </w:t>
      </w:r>
      <w:r w:rsidR="00740522" w:rsidRPr="00890981">
        <w:rPr>
          <w:color w:val="auto"/>
          <w:sz w:val="22"/>
          <w:szCs w:val="22"/>
          <w:lang w:val="sr-Latn-ME"/>
        </w:rPr>
        <w:t>sm</w:t>
      </w:r>
      <w:r w:rsidR="006C1AAE" w:rsidRPr="00890981">
        <w:rPr>
          <w:color w:val="auto"/>
          <w:sz w:val="22"/>
          <w:szCs w:val="22"/>
          <w:lang w:val="sr-Latn-ME"/>
        </w:rPr>
        <w:t>i</w:t>
      </w:r>
      <w:r w:rsidR="00740522" w:rsidRPr="00890981">
        <w:rPr>
          <w:color w:val="auto"/>
          <w:sz w:val="22"/>
          <w:szCs w:val="22"/>
          <w:lang w:val="sr-Latn-ME"/>
        </w:rPr>
        <w:t xml:space="preserve">ju </w:t>
      </w:r>
      <w:r w:rsidR="006451AC" w:rsidRPr="00890981">
        <w:rPr>
          <w:color w:val="auto"/>
          <w:sz w:val="22"/>
          <w:szCs w:val="22"/>
          <w:lang w:val="sr-Latn-ME"/>
        </w:rPr>
        <w:t>da uzimaju ovaj l</w:t>
      </w:r>
      <w:r w:rsidR="006C1AAE" w:rsidRPr="00890981">
        <w:rPr>
          <w:color w:val="auto"/>
          <w:sz w:val="22"/>
          <w:szCs w:val="22"/>
          <w:lang w:val="sr-Latn-ME"/>
        </w:rPr>
        <w:t>ij</w:t>
      </w:r>
      <w:r w:rsidR="006451AC" w:rsidRPr="00890981">
        <w:rPr>
          <w:color w:val="auto"/>
          <w:sz w:val="22"/>
          <w:szCs w:val="22"/>
          <w:lang w:val="sr-Latn-ME"/>
        </w:rPr>
        <w:t>ek</w:t>
      </w:r>
      <w:r w:rsidR="00A718A1" w:rsidRPr="00890981">
        <w:rPr>
          <w:color w:val="auto"/>
          <w:sz w:val="22"/>
          <w:szCs w:val="22"/>
          <w:lang w:val="sr-Latn-ME"/>
        </w:rPr>
        <w:t xml:space="preserve">. </w:t>
      </w:r>
      <w:r w:rsidR="00781C17" w:rsidRPr="00890981">
        <w:rPr>
          <w:color w:val="auto"/>
          <w:sz w:val="22"/>
          <w:szCs w:val="22"/>
          <w:lang w:val="sr-Latn-ME"/>
        </w:rPr>
        <w:t xml:space="preserve">Pomoćna supstanca </w:t>
      </w:r>
      <w:r w:rsidR="00A718A1" w:rsidRPr="00890981">
        <w:rPr>
          <w:color w:val="auto"/>
          <w:sz w:val="22"/>
          <w:szCs w:val="22"/>
          <w:lang w:val="sr-Latn-ME"/>
        </w:rPr>
        <w:t>laktoza monohidrat može sadržati malu količinu ml</w:t>
      </w:r>
      <w:r w:rsidR="00B7388D" w:rsidRPr="00890981">
        <w:rPr>
          <w:color w:val="auto"/>
          <w:sz w:val="22"/>
          <w:szCs w:val="22"/>
          <w:lang w:val="sr-Latn-ME"/>
        </w:rPr>
        <w:t>ij</w:t>
      </w:r>
      <w:r w:rsidR="00A718A1" w:rsidRPr="00890981">
        <w:rPr>
          <w:color w:val="auto"/>
          <w:sz w:val="22"/>
          <w:szCs w:val="22"/>
          <w:lang w:val="sr-Latn-ME"/>
        </w:rPr>
        <w:t xml:space="preserve">ečnih proteina </w:t>
      </w:r>
      <w:r w:rsidR="001121D3" w:rsidRPr="00890981">
        <w:rPr>
          <w:color w:val="auto"/>
          <w:sz w:val="22"/>
          <w:szCs w:val="22"/>
          <w:lang w:val="sr-Latn-ME"/>
        </w:rPr>
        <w:t>koji mogu izazvati alergijske reakcije.</w:t>
      </w:r>
    </w:p>
    <w:p w14:paraId="0D3C2E24" w14:textId="77777777" w:rsidR="00CE09F3" w:rsidRPr="00890981" w:rsidRDefault="00CE09F3">
      <w:pPr>
        <w:rPr>
          <w:szCs w:val="22"/>
          <w:lang w:val="sr-Latn-ME"/>
        </w:rPr>
      </w:pPr>
    </w:p>
    <w:p w14:paraId="58C2DEBD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4.5. Interakcije sa drugim l</w:t>
      </w:r>
      <w:r w:rsidR="002257C2" w:rsidRPr="00890981">
        <w:rPr>
          <w:b/>
          <w:bCs/>
          <w:szCs w:val="22"/>
          <w:lang w:val="sr-Latn-ME"/>
        </w:rPr>
        <w:t>j</w:t>
      </w:r>
      <w:r w:rsidRPr="00890981">
        <w:rPr>
          <w:b/>
          <w:bCs/>
          <w:szCs w:val="22"/>
          <w:lang w:val="sr-Latn-ME"/>
        </w:rPr>
        <w:t>ekovim</w:t>
      </w:r>
      <w:r w:rsidR="00C02437" w:rsidRPr="00890981">
        <w:rPr>
          <w:b/>
          <w:bCs/>
          <w:szCs w:val="22"/>
          <w:lang w:val="sr-Latn-ME"/>
        </w:rPr>
        <w:t>a i druge vrste interakcija</w:t>
      </w:r>
    </w:p>
    <w:p w14:paraId="46E7EA51" w14:textId="77777777" w:rsidR="005741F5" w:rsidRPr="00890981" w:rsidRDefault="005741F5">
      <w:pPr>
        <w:pStyle w:val="Default"/>
        <w:ind w:right="-140"/>
        <w:jc w:val="both"/>
        <w:rPr>
          <w:color w:val="auto"/>
          <w:sz w:val="22"/>
          <w:szCs w:val="22"/>
          <w:lang w:val="sr-Latn-ME"/>
        </w:rPr>
      </w:pPr>
    </w:p>
    <w:p w14:paraId="4A150509" w14:textId="77777777" w:rsidR="005741F5" w:rsidRPr="00890981" w:rsidRDefault="005741F5">
      <w:pPr>
        <w:pStyle w:val="Default"/>
        <w:ind w:right="-140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Iako formalne studije interakcije između l</w:t>
      </w:r>
      <w:r w:rsidR="002257C2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ekova ni</w:t>
      </w:r>
      <w:r w:rsidR="002257C2" w:rsidRPr="00890981">
        <w:rPr>
          <w:color w:val="auto"/>
          <w:sz w:val="22"/>
          <w:szCs w:val="22"/>
          <w:lang w:val="sr-Latn-ME"/>
        </w:rPr>
        <w:t>je</w:t>
      </w:r>
      <w:r w:rsidRPr="00890981">
        <w:rPr>
          <w:color w:val="auto"/>
          <w:sz w:val="22"/>
          <w:szCs w:val="22"/>
          <w:lang w:val="sr-Latn-ME"/>
        </w:rPr>
        <w:t xml:space="preserve">su sprovedene, tiotropijum-bromid prašak za inhalaciju je </w:t>
      </w:r>
      <w:r w:rsidR="004751A7" w:rsidRPr="00890981">
        <w:rPr>
          <w:color w:val="auto"/>
          <w:sz w:val="22"/>
          <w:szCs w:val="22"/>
          <w:lang w:val="sr-Latn-ME"/>
        </w:rPr>
        <w:t>prim</w:t>
      </w:r>
      <w:r w:rsidR="002257C2" w:rsidRPr="00890981">
        <w:rPr>
          <w:color w:val="auto"/>
          <w:sz w:val="22"/>
          <w:szCs w:val="22"/>
          <w:lang w:val="sr-Latn-ME"/>
        </w:rPr>
        <w:t>j</w:t>
      </w:r>
      <w:r w:rsidR="004751A7" w:rsidRPr="00890981">
        <w:rPr>
          <w:color w:val="auto"/>
          <w:sz w:val="22"/>
          <w:szCs w:val="22"/>
          <w:lang w:val="sr-Latn-ME"/>
        </w:rPr>
        <w:t xml:space="preserve">enjivan </w:t>
      </w:r>
      <w:r w:rsidRPr="00890981">
        <w:rPr>
          <w:color w:val="auto"/>
          <w:sz w:val="22"/>
          <w:szCs w:val="22"/>
          <w:lang w:val="sr-Latn-ME"/>
        </w:rPr>
        <w:t>istovremeno sa drugim l</w:t>
      </w:r>
      <w:r w:rsidR="002257C2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ekovima bez ikakvih kliničkih dokaza o postojanju interakcija. U l</w:t>
      </w:r>
      <w:r w:rsidR="002257C2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ekove koji se često zajedno koriste u terapiji HOPB spadaju simpatomimetički bronhodilatatori, metilksantini, oralni i inhalacioni steroidi.</w:t>
      </w:r>
    </w:p>
    <w:p w14:paraId="236EFB6B" w14:textId="77777777" w:rsidR="005741F5" w:rsidRPr="00890981" w:rsidRDefault="005741F5">
      <w:pPr>
        <w:pStyle w:val="Default"/>
        <w:ind w:right="-140"/>
        <w:jc w:val="both"/>
        <w:rPr>
          <w:color w:val="auto"/>
          <w:sz w:val="22"/>
          <w:szCs w:val="22"/>
          <w:lang w:val="sr-Latn-ME"/>
        </w:rPr>
      </w:pPr>
    </w:p>
    <w:p w14:paraId="73B006D8" w14:textId="77777777" w:rsidR="005741F5" w:rsidRPr="00890981" w:rsidRDefault="005741F5">
      <w:pPr>
        <w:tabs>
          <w:tab w:val="clear" w:pos="284"/>
          <w:tab w:val="left" w:pos="567"/>
        </w:tabs>
        <w:spacing w:line="260" w:lineRule="exact"/>
        <w:rPr>
          <w:szCs w:val="22"/>
          <w:lang w:val="sr-Latn-ME"/>
        </w:rPr>
      </w:pPr>
      <w:r w:rsidRPr="00890981">
        <w:rPr>
          <w:szCs w:val="22"/>
          <w:lang w:val="sr-Latn-ME"/>
        </w:rPr>
        <w:t>Nije utvrđeno da upotreba dugod</w:t>
      </w:r>
      <w:r w:rsidR="002257C2" w:rsidRPr="00890981">
        <w:rPr>
          <w:szCs w:val="22"/>
          <w:lang w:val="sr-Latn-ME"/>
        </w:rPr>
        <w:t>j</w:t>
      </w:r>
      <w:r w:rsidRPr="00890981">
        <w:rPr>
          <w:szCs w:val="22"/>
          <w:lang w:val="sr-Latn-ME"/>
        </w:rPr>
        <w:t>elujućih beta-agonista ili inhalacionih kortikosteroida utiču na izloženost tiotropijumu.</w:t>
      </w:r>
    </w:p>
    <w:p w14:paraId="4303778B" w14:textId="77777777" w:rsidR="005741F5" w:rsidRPr="00890981" w:rsidRDefault="005741F5">
      <w:pPr>
        <w:pStyle w:val="Default"/>
        <w:ind w:right="-140"/>
        <w:jc w:val="both"/>
        <w:rPr>
          <w:color w:val="auto"/>
          <w:sz w:val="22"/>
          <w:szCs w:val="22"/>
          <w:lang w:val="sr-Latn-ME"/>
        </w:rPr>
      </w:pPr>
    </w:p>
    <w:p w14:paraId="770DD8B3" w14:textId="77777777" w:rsidR="005741F5" w:rsidRPr="00890981" w:rsidRDefault="00A550E8">
      <w:pPr>
        <w:pStyle w:val="Default"/>
        <w:ind w:right="-140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I</w:t>
      </w:r>
      <w:r w:rsidR="005741F5" w:rsidRPr="00890981">
        <w:rPr>
          <w:color w:val="auto"/>
          <w:sz w:val="22"/>
          <w:szCs w:val="22"/>
          <w:lang w:val="sr-Latn-ME"/>
        </w:rPr>
        <w:t>stovremeno davanje tiotropijum-bromida sa drugim antiholinergičkim l</w:t>
      </w:r>
      <w:r w:rsidR="002257C2" w:rsidRPr="00890981">
        <w:rPr>
          <w:color w:val="auto"/>
          <w:sz w:val="22"/>
          <w:szCs w:val="22"/>
          <w:lang w:val="sr-Latn-ME"/>
        </w:rPr>
        <w:t>j</w:t>
      </w:r>
      <w:r w:rsidR="005741F5" w:rsidRPr="00890981">
        <w:rPr>
          <w:color w:val="auto"/>
          <w:sz w:val="22"/>
          <w:szCs w:val="22"/>
          <w:lang w:val="sr-Latn-ME"/>
        </w:rPr>
        <w:t xml:space="preserve">ekovima nije ispitivano, pa se zato i ne preporučuje. </w:t>
      </w:r>
    </w:p>
    <w:p w14:paraId="693F369F" w14:textId="77777777" w:rsidR="00CE09F3" w:rsidRPr="00890981" w:rsidRDefault="00CE09F3">
      <w:pPr>
        <w:rPr>
          <w:szCs w:val="22"/>
          <w:lang w:val="sr-Latn-ME"/>
        </w:rPr>
      </w:pPr>
    </w:p>
    <w:p w14:paraId="391F6BAC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4.6. Plodnost, trudnoća i dojenje</w:t>
      </w:r>
    </w:p>
    <w:p w14:paraId="05726D45" w14:textId="77777777" w:rsidR="001F0A21" w:rsidRPr="00890981" w:rsidRDefault="001F0A21">
      <w:pPr>
        <w:rPr>
          <w:b/>
          <w:bCs/>
          <w:szCs w:val="22"/>
          <w:lang w:val="sr-Latn-ME"/>
        </w:rPr>
      </w:pPr>
    </w:p>
    <w:p w14:paraId="11D6A3FF" w14:textId="77777777" w:rsidR="001F0A21" w:rsidRPr="005E39F0" w:rsidRDefault="001F0A21">
      <w:pPr>
        <w:rPr>
          <w:bCs/>
          <w:szCs w:val="22"/>
          <w:u w:val="single"/>
          <w:lang w:val="sr-Latn-ME"/>
        </w:rPr>
      </w:pPr>
      <w:r w:rsidRPr="005E39F0">
        <w:rPr>
          <w:bCs/>
          <w:szCs w:val="22"/>
          <w:u w:val="single"/>
          <w:lang w:val="sr-Latn-ME"/>
        </w:rPr>
        <w:t>Trudnoća</w:t>
      </w:r>
    </w:p>
    <w:p w14:paraId="725E1C64" w14:textId="77BCE714" w:rsidR="001F0A21" w:rsidRPr="00890981" w:rsidRDefault="001F0A21">
      <w:pPr>
        <w:pStyle w:val="Default"/>
        <w:jc w:val="both"/>
        <w:rPr>
          <w:strike/>
          <w:color w:val="auto"/>
          <w:sz w:val="22"/>
          <w:szCs w:val="22"/>
          <w:lang w:val="sr-Latn-ME"/>
        </w:rPr>
      </w:pP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Veoma malo podataka je dostupno o upotrebi tiotropijuma kod trudnica. Ispitivanja na životinjama ne ukazuju na direktno ili indirektno štetno dejstvo u smislu reproduktivne toksičnosti pri prim</w:t>
      </w:r>
      <w:r w:rsidR="002257C2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j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eni klinički relevantnih doza (vid</w:t>
      </w:r>
      <w:r w:rsidR="002257C2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j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eti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9F132F" w:rsidRPr="00890981">
        <w:rPr>
          <w:color w:val="auto"/>
          <w:sz w:val="22"/>
          <w:szCs w:val="22"/>
          <w:lang w:val="sr-Latn-ME"/>
        </w:rPr>
        <w:t>dio</w:t>
      </w:r>
      <w:r w:rsidR="009F132F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 xml:space="preserve"> 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5.3). Kao m</w:t>
      </w:r>
      <w:r w:rsidR="002257C2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j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 xml:space="preserve">era predostrožnosti, ipak se preporučuje da se </w:t>
      </w:r>
      <w:r w:rsidR="004751A7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prim</w:t>
      </w:r>
      <w:r w:rsidR="002257C2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j</w:t>
      </w:r>
      <w:r w:rsidR="004751A7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 xml:space="preserve">ena 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l</w:t>
      </w:r>
      <w:r w:rsidR="002257C2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ij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eka Spiriva tokom trudnoće izb</w:t>
      </w:r>
      <w:r w:rsidR="002257C2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j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 xml:space="preserve">egava. </w:t>
      </w:r>
    </w:p>
    <w:p w14:paraId="1F740F5B" w14:textId="77777777" w:rsidR="001F0A21" w:rsidRPr="00890981" w:rsidRDefault="001F0A21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427DE69B" w14:textId="77777777" w:rsidR="001F0A21" w:rsidRPr="005E39F0" w:rsidRDefault="001F0A21">
      <w:pPr>
        <w:rPr>
          <w:bCs/>
          <w:szCs w:val="22"/>
          <w:u w:val="single"/>
          <w:lang w:val="sr-Latn-ME"/>
        </w:rPr>
      </w:pPr>
      <w:r w:rsidRPr="005E39F0">
        <w:rPr>
          <w:bCs/>
          <w:szCs w:val="22"/>
          <w:u w:val="single"/>
          <w:lang w:val="sr-Latn-ME"/>
        </w:rPr>
        <w:t>Dojenje</w:t>
      </w:r>
    </w:p>
    <w:p w14:paraId="7304AC43" w14:textId="24F9F2B7" w:rsidR="001F0A21" w:rsidRPr="00890981" w:rsidRDefault="001F0A21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Nije poznato da li se tiotropijum-bromid izlučuje u majčino ml</w:t>
      </w:r>
      <w:r w:rsidR="002257C2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eko. Uprkos studijama rađenim na glodarima koje su pokazale da se samo mala količina tiotropijum-bromida izlučuje u majčino ml</w:t>
      </w:r>
      <w:r w:rsidR="002257C2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eko, prim</w:t>
      </w:r>
      <w:r w:rsidR="002257C2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ena l</w:t>
      </w:r>
      <w:r w:rsidR="002257C2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eka 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Spiriva</w:t>
      </w:r>
      <w:r w:rsidRPr="00890981">
        <w:rPr>
          <w:color w:val="auto"/>
          <w:sz w:val="22"/>
          <w:szCs w:val="22"/>
          <w:lang w:val="sr-Latn-ME"/>
        </w:rPr>
        <w:t xml:space="preserve"> se ne preporučuje tokom perioda dojenja. Tiotropijum-bromid je </w:t>
      </w:r>
      <w:r w:rsidR="004751A7" w:rsidRPr="00890981">
        <w:rPr>
          <w:color w:val="auto"/>
          <w:sz w:val="22"/>
          <w:szCs w:val="22"/>
          <w:lang w:val="sr-Latn-ME"/>
        </w:rPr>
        <w:t>l</w:t>
      </w:r>
      <w:r w:rsidR="002257C2" w:rsidRPr="00890981">
        <w:rPr>
          <w:color w:val="auto"/>
          <w:sz w:val="22"/>
          <w:szCs w:val="22"/>
          <w:lang w:val="sr-Latn-ME"/>
        </w:rPr>
        <w:t>ij</w:t>
      </w:r>
      <w:r w:rsidR="004751A7" w:rsidRPr="00890981">
        <w:rPr>
          <w:color w:val="auto"/>
          <w:sz w:val="22"/>
          <w:szCs w:val="22"/>
          <w:lang w:val="sr-Latn-ME"/>
        </w:rPr>
        <w:t xml:space="preserve">ek </w:t>
      </w:r>
      <w:r w:rsidRPr="00890981">
        <w:rPr>
          <w:color w:val="auto"/>
          <w:sz w:val="22"/>
          <w:szCs w:val="22"/>
          <w:lang w:val="sr-Latn-ME"/>
        </w:rPr>
        <w:t>dugog dejstva. Odluku da li nastaviti/prekinuti dojenje ili nastaviti/prekinuti terapiju l</w:t>
      </w:r>
      <w:r w:rsidR="002257C2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ekom 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Spiriva</w:t>
      </w:r>
      <w:r w:rsidRPr="00890981">
        <w:rPr>
          <w:color w:val="auto"/>
          <w:sz w:val="22"/>
          <w:szCs w:val="22"/>
          <w:lang w:val="sr-Latn-ME"/>
        </w:rPr>
        <w:t xml:space="preserve"> treba don</w:t>
      </w:r>
      <w:r w:rsidR="002257C2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eti nakon proc</w:t>
      </w:r>
      <w:r w:rsidR="002257C2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ene koristi dojenja za d</w:t>
      </w:r>
      <w:r w:rsidR="002257C2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ete i koristi terapije za majku. </w:t>
      </w:r>
    </w:p>
    <w:p w14:paraId="15516C05" w14:textId="77777777" w:rsidR="001F0A21" w:rsidRPr="00890981" w:rsidRDefault="001F0A21">
      <w:pPr>
        <w:rPr>
          <w:szCs w:val="22"/>
          <w:lang w:val="sr-Latn-ME"/>
        </w:rPr>
      </w:pPr>
    </w:p>
    <w:p w14:paraId="6FA9C206" w14:textId="77777777" w:rsidR="00A550E8" w:rsidRPr="00890981" w:rsidRDefault="00A550E8">
      <w:pPr>
        <w:rPr>
          <w:szCs w:val="22"/>
          <w:lang w:val="sr-Latn-ME"/>
        </w:rPr>
      </w:pPr>
    </w:p>
    <w:p w14:paraId="5E854196" w14:textId="55E1EF98" w:rsidR="001F0A21" w:rsidRPr="005E39F0" w:rsidRDefault="004E27EB">
      <w:pPr>
        <w:rPr>
          <w:bCs/>
          <w:szCs w:val="22"/>
          <w:u w:val="single"/>
          <w:lang w:val="sr-Latn-ME"/>
        </w:rPr>
      </w:pPr>
      <w:r>
        <w:rPr>
          <w:bCs/>
          <w:szCs w:val="22"/>
          <w:u w:val="single"/>
          <w:lang w:val="sr-Latn-ME"/>
        </w:rPr>
        <w:lastRenderedPageBreak/>
        <w:t>Plodnost</w:t>
      </w:r>
    </w:p>
    <w:p w14:paraId="3931F66D" w14:textId="3DF25DD9" w:rsidR="001F0A21" w:rsidRPr="00890981" w:rsidRDefault="001F0A21">
      <w:pPr>
        <w:rPr>
          <w:szCs w:val="22"/>
          <w:lang w:val="sr-Latn-ME"/>
        </w:rPr>
      </w:pPr>
      <w:r w:rsidRPr="00890981">
        <w:rPr>
          <w:szCs w:val="22"/>
          <w:lang w:val="sr-Latn-ME"/>
        </w:rPr>
        <w:t xml:space="preserve">Nema kliničkih podataka o uticaju tiotropijuma na </w:t>
      </w:r>
      <w:r w:rsidR="004E27EB">
        <w:rPr>
          <w:szCs w:val="22"/>
          <w:lang w:val="sr-Latn-ME"/>
        </w:rPr>
        <w:t>plodnost</w:t>
      </w:r>
      <w:r w:rsidRPr="00890981">
        <w:rPr>
          <w:szCs w:val="22"/>
          <w:lang w:val="sr-Latn-ME"/>
        </w:rPr>
        <w:t xml:space="preserve">. </w:t>
      </w:r>
      <w:r w:rsidR="001D6AC7" w:rsidRPr="00890981">
        <w:rPr>
          <w:szCs w:val="22"/>
          <w:lang w:val="sr-Latn-ME"/>
        </w:rPr>
        <w:t>Pret</w:t>
      </w:r>
      <w:r w:rsidRPr="00890981">
        <w:rPr>
          <w:szCs w:val="22"/>
          <w:lang w:val="sr-Latn-ME"/>
        </w:rPr>
        <w:t xml:space="preserve">klinička studija sa tiotropijumom nije pokazala postojanje bilo kakvog negativnog </w:t>
      </w:r>
      <w:r w:rsidR="004E27EB">
        <w:rPr>
          <w:szCs w:val="22"/>
          <w:lang w:val="sr-Latn-ME"/>
        </w:rPr>
        <w:t>uticaja</w:t>
      </w:r>
      <w:r w:rsidR="004E27EB" w:rsidRPr="00890981">
        <w:rPr>
          <w:szCs w:val="22"/>
          <w:lang w:val="sr-Latn-ME"/>
        </w:rPr>
        <w:t xml:space="preserve"> </w:t>
      </w:r>
      <w:r w:rsidRPr="00890981">
        <w:rPr>
          <w:szCs w:val="22"/>
          <w:lang w:val="sr-Latn-ME"/>
        </w:rPr>
        <w:t xml:space="preserve">na </w:t>
      </w:r>
      <w:r w:rsidR="004E27EB">
        <w:rPr>
          <w:szCs w:val="22"/>
          <w:lang w:val="sr-Latn-ME"/>
        </w:rPr>
        <w:t>plodnost</w:t>
      </w:r>
      <w:r w:rsidR="004E27EB" w:rsidRPr="00890981">
        <w:rPr>
          <w:szCs w:val="22"/>
          <w:lang w:val="sr-Latn-ME"/>
        </w:rPr>
        <w:t xml:space="preserve"> </w:t>
      </w:r>
      <w:r w:rsidRPr="00890981">
        <w:rPr>
          <w:szCs w:val="22"/>
          <w:lang w:val="sr-Latn-ME"/>
        </w:rPr>
        <w:t>(</w:t>
      </w:r>
      <w:r w:rsidR="00C7730C" w:rsidRPr="00890981">
        <w:rPr>
          <w:szCs w:val="22"/>
          <w:lang w:val="sr-Latn-ME"/>
        </w:rPr>
        <w:t>v</w:t>
      </w:r>
      <w:r w:rsidRPr="00890981">
        <w:rPr>
          <w:szCs w:val="22"/>
          <w:lang w:val="sr-Latn-ME"/>
        </w:rPr>
        <w:t xml:space="preserve">ideti </w:t>
      </w:r>
      <w:r w:rsidR="009F132F" w:rsidRPr="00890981">
        <w:rPr>
          <w:szCs w:val="22"/>
          <w:lang w:val="sr-Latn-ME"/>
        </w:rPr>
        <w:t xml:space="preserve">dio </w:t>
      </w:r>
      <w:r w:rsidRPr="00890981">
        <w:rPr>
          <w:szCs w:val="22"/>
          <w:lang w:val="sr-Latn-ME"/>
        </w:rPr>
        <w:t>5.3)</w:t>
      </w:r>
    </w:p>
    <w:p w14:paraId="4CC792C2" w14:textId="77777777" w:rsidR="00CE09F3" w:rsidRPr="00890981" w:rsidRDefault="00CE09F3">
      <w:pPr>
        <w:rPr>
          <w:szCs w:val="22"/>
          <w:lang w:val="sr-Latn-ME"/>
        </w:rPr>
      </w:pPr>
    </w:p>
    <w:p w14:paraId="1F55EA2E" w14:textId="77777777" w:rsidR="00CE09F3" w:rsidRPr="00890981" w:rsidRDefault="00CE09F3">
      <w:pPr>
        <w:rPr>
          <w:b/>
          <w:bCs/>
          <w:spacing w:val="-8"/>
          <w:szCs w:val="22"/>
          <w:lang w:val="sr-Latn-ME"/>
        </w:rPr>
      </w:pPr>
      <w:r w:rsidRPr="00890981">
        <w:rPr>
          <w:b/>
          <w:bCs/>
          <w:spacing w:val="-8"/>
          <w:szCs w:val="22"/>
          <w:lang w:val="sr-Latn-ME"/>
        </w:rPr>
        <w:t>4.7. Uticaj l</w:t>
      </w:r>
      <w:r w:rsidR="00D33612" w:rsidRPr="00890981">
        <w:rPr>
          <w:b/>
          <w:bCs/>
          <w:spacing w:val="-8"/>
          <w:szCs w:val="22"/>
          <w:lang w:val="sr-Latn-ME"/>
        </w:rPr>
        <w:t>ij</w:t>
      </w:r>
      <w:r w:rsidRPr="00890981">
        <w:rPr>
          <w:b/>
          <w:bCs/>
          <w:spacing w:val="-8"/>
          <w:szCs w:val="22"/>
          <w:lang w:val="sr-Latn-ME"/>
        </w:rPr>
        <w:t>eka na sposobnost upravljanja vozilima i rukovanja mašinama</w:t>
      </w:r>
    </w:p>
    <w:p w14:paraId="3E05A80D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7A0CBD2E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Ni</w:t>
      </w:r>
      <w:r w:rsidR="00D33612" w:rsidRPr="00890981">
        <w:rPr>
          <w:color w:val="auto"/>
          <w:sz w:val="22"/>
          <w:szCs w:val="22"/>
          <w:lang w:val="sr-Latn-ME"/>
        </w:rPr>
        <w:t>je</w:t>
      </w:r>
      <w:r w:rsidRPr="00890981">
        <w:rPr>
          <w:color w:val="auto"/>
          <w:sz w:val="22"/>
          <w:szCs w:val="22"/>
          <w:lang w:val="sr-Latn-ME"/>
        </w:rPr>
        <w:t>su sprovođene studije o uticaju na sposobnost upravljanja vozilom i rukovanja mašinama. Pojava vrtoglavice, zamagljenog vida ili glavobolje može da utiče na sposobnost upravljanja vozilom i rukovanje mašinama.</w:t>
      </w:r>
    </w:p>
    <w:p w14:paraId="55C29255" w14:textId="77777777" w:rsidR="00CE09F3" w:rsidRPr="00890981" w:rsidRDefault="00CE09F3">
      <w:pPr>
        <w:rPr>
          <w:szCs w:val="22"/>
          <w:lang w:val="sr-Latn-ME"/>
        </w:rPr>
      </w:pPr>
    </w:p>
    <w:p w14:paraId="2474B434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4.8. Neželjena dejstva</w:t>
      </w:r>
    </w:p>
    <w:p w14:paraId="2C31E2E4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10DA20EB" w14:textId="160727C0" w:rsidR="00CD79E8" w:rsidRPr="00890981" w:rsidRDefault="004E27EB">
      <w:pPr>
        <w:pStyle w:val="Default"/>
        <w:jc w:val="both"/>
        <w:rPr>
          <w:b/>
          <w:color w:val="auto"/>
          <w:sz w:val="22"/>
          <w:szCs w:val="22"/>
          <w:u w:val="single"/>
          <w:lang w:val="sr-Latn-ME"/>
        </w:rPr>
      </w:pPr>
      <w:r>
        <w:rPr>
          <w:color w:val="auto"/>
          <w:sz w:val="22"/>
          <w:szCs w:val="22"/>
          <w:u w:val="single"/>
          <w:lang w:val="sr-Latn-ME"/>
        </w:rPr>
        <w:t>Sažetak</w:t>
      </w:r>
      <w:r w:rsidR="00CD79E8" w:rsidRPr="00890981">
        <w:rPr>
          <w:color w:val="auto"/>
          <w:sz w:val="22"/>
          <w:szCs w:val="22"/>
          <w:u w:val="single"/>
          <w:lang w:val="sr-Latn-ME"/>
        </w:rPr>
        <w:t xml:space="preserve"> bezb</w:t>
      </w:r>
      <w:r w:rsidR="003B106E" w:rsidRPr="00890981">
        <w:rPr>
          <w:color w:val="auto"/>
          <w:sz w:val="22"/>
          <w:szCs w:val="22"/>
          <w:u w:val="single"/>
          <w:lang w:val="sr-Latn-ME"/>
        </w:rPr>
        <w:t>j</w:t>
      </w:r>
      <w:r w:rsidR="00CD79E8" w:rsidRPr="00890981">
        <w:rPr>
          <w:color w:val="auto"/>
          <w:sz w:val="22"/>
          <w:szCs w:val="22"/>
          <w:u w:val="single"/>
          <w:lang w:val="sr-Latn-ME"/>
        </w:rPr>
        <w:t>ednosnog profila:</w:t>
      </w:r>
    </w:p>
    <w:p w14:paraId="1B2D93EA" w14:textId="77777777" w:rsidR="00CD79E8" w:rsidRPr="00890981" w:rsidRDefault="007D0064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Veliki broj u nastavku </w:t>
      </w:r>
      <w:r w:rsidR="00CD79E8" w:rsidRPr="00890981">
        <w:rPr>
          <w:color w:val="auto"/>
          <w:sz w:val="22"/>
          <w:szCs w:val="22"/>
          <w:lang w:val="sr-Latn-ME"/>
        </w:rPr>
        <w:t>navedenih neželjenih dejstava mogu se pripisati antiholinergičkim svojstvima l</w:t>
      </w:r>
      <w:r w:rsidR="003B106E" w:rsidRPr="00890981">
        <w:rPr>
          <w:color w:val="auto"/>
          <w:sz w:val="22"/>
          <w:szCs w:val="22"/>
          <w:lang w:val="sr-Latn-ME"/>
        </w:rPr>
        <w:t>ij</w:t>
      </w:r>
      <w:r w:rsidR="00CD79E8" w:rsidRPr="00890981">
        <w:rPr>
          <w:color w:val="auto"/>
          <w:sz w:val="22"/>
          <w:szCs w:val="22"/>
          <w:lang w:val="sr-Latn-ME"/>
        </w:rPr>
        <w:t xml:space="preserve">eka </w:t>
      </w:r>
      <w:r w:rsidR="00CD79E8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Spiriva</w:t>
      </w:r>
      <w:r w:rsidR="00CD79E8" w:rsidRPr="00890981">
        <w:rPr>
          <w:color w:val="auto"/>
          <w:sz w:val="22"/>
          <w:szCs w:val="22"/>
          <w:lang w:val="sr-Latn-ME"/>
        </w:rPr>
        <w:t xml:space="preserve">. </w:t>
      </w:r>
    </w:p>
    <w:p w14:paraId="3E9048DB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4047D306" w14:textId="77777777" w:rsidR="00CD79E8" w:rsidRPr="00890981" w:rsidRDefault="00CD79E8">
      <w:pPr>
        <w:pStyle w:val="Default"/>
        <w:jc w:val="both"/>
        <w:rPr>
          <w:b/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>Tabelarni prikaz neželjenih reakcija:</w:t>
      </w:r>
      <w:r w:rsidRPr="00890981">
        <w:rPr>
          <w:b/>
          <w:color w:val="auto"/>
          <w:sz w:val="22"/>
          <w:szCs w:val="22"/>
          <w:u w:val="single"/>
          <w:lang w:val="sr-Latn-ME"/>
        </w:rPr>
        <w:t xml:space="preserve"> </w:t>
      </w:r>
    </w:p>
    <w:p w14:paraId="1E776260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Učestalost navedenih neželjenih reakcija na l</w:t>
      </w:r>
      <w:r w:rsidR="003B106E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ek ustanovljena je na osnovu incidence neželjenih reakcija na l</w:t>
      </w:r>
      <w:r w:rsidR="003B106E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ek (tj. događaja koji se mogu pripisati tiotropijumu) prim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ećenih u tiotropijum grupi (9647 pacijenata) u 28 zajedničkih placebo-kontrolisanih kliničkih studija u kojima je l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ečenje trajalo od četiri ned</w:t>
      </w:r>
      <w:r w:rsidR="0047078B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elje do četiri godine. </w:t>
      </w:r>
    </w:p>
    <w:p w14:paraId="6505C481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29507B95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Učestalost je definisana korišćenjem sl</w:t>
      </w:r>
      <w:r w:rsidR="0047078B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edeće klasifikacije učestalosti:</w:t>
      </w:r>
    </w:p>
    <w:p w14:paraId="5B4C361B" w14:textId="67E3E5A4" w:rsidR="00CD79E8" w:rsidRPr="00890981" w:rsidRDefault="004E27EB" w:rsidP="005E39F0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>
        <w:rPr>
          <w:color w:val="auto"/>
          <w:sz w:val="22"/>
          <w:szCs w:val="22"/>
          <w:lang w:val="sr-Latn-ME"/>
        </w:rPr>
        <w:t>v</w:t>
      </w:r>
      <w:r w:rsidR="00CD79E8" w:rsidRPr="00890981">
        <w:rPr>
          <w:color w:val="auto"/>
          <w:sz w:val="22"/>
          <w:szCs w:val="22"/>
          <w:lang w:val="sr-Latn-ME"/>
        </w:rPr>
        <w:t>eoma čest</w:t>
      </w:r>
      <w:r w:rsidR="00B27FF0" w:rsidRPr="00890981">
        <w:rPr>
          <w:color w:val="auto"/>
          <w:sz w:val="22"/>
          <w:szCs w:val="22"/>
          <w:lang w:val="sr-Latn-ME"/>
        </w:rPr>
        <w:t>o</w:t>
      </w:r>
      <w:r>
        <w:rPr>
          <w:color w:val="auto"/>
          <w:sz w:val="22"/>
          <w:szCs w:val="22"/>
          <w:lang w:val="sr-Latn-ME"/>
        </w:rPr>
        <w:t xml:space="preserve"> (</w:t>
      </w:r>
      <w:r w:rsidR="00CD79E8" w:rsidRPr="00890981">
        <w:rPr>
          <w:color w:val="auto"/>
          <w:sz w:val="22"/>
          <w:szCs w:val="22"/>
          <w:lang w:val="sr-Latn-ME"/>
        </w:rPr>
        <w:t>≥1/10</w:t>
      </w:r>
      <w:r>
        <w:rPr>
          <w:color w:val="auto"/>
          <w:sz w:val="22"/>
          <w:szCs w:val="22"/>
          <w:lang w:val="sr-Latn-ME"/>
        </w:rPr>
        <w:t>); č</w:t>
      </w:r>
      <w:r w:rsidR="00CD79E8" w:rsidRPr="00890981">
        <w:rPr>
          <w:color w:val="auto"/>
          <w:sz w:val="22"/>
          <w:szCs w:val="22"/>
          <w:lang w:val="sr-Latn-ME"/>
        </w:rPr>
        <w:t>est</w:t>
      </w:r>
      <w:r w:rsidR="00B27FF0" w:rsidRPr="00890981">
        <w:rPr>
          <w:color w:val="auto"/>
          <w:sz w:val="22"/>
          <w:szCs w:val="22"/>
          <w:lang w:val="sr-Latn-ME"/>
        </w:rPr>
        <w:t>o</w:t>
      </w:r>
      <w:r>
        <w:rPr>
          <w:color w:val="auto"/>
          <w:sz w:val="22"/>
          <w:szCs w:val="22"/>
          <w:lang w:val="sr-Latn-ME"/>
        </w:rPr>
        <w:t xml:space="preserve"> (</w:t>
      </w:r>
      <w:r w:rsidR="00CD79E8" w:rsidRPr="00890981">
        <w:rPr>
          <w:color w:val="auto"/>
          <w:sz w:val="22"/>
          <w:szCs w:val="22"/>
          <w:lang w:val="sr-Latn-ME"/>
        </w:rPr>
        <w:t>≥1/100</w:t>
      </w:r>
      <w:r w:rsidR="00B27FF0" w:rsidRPr="00890981">
        <w:rPr>
          <w:color w:val="auto"/>
          <w:sz w:val="22"/>
          <w:szCs w:val="22"/>
          <w:lang w:val="sr-Latn-ME"/>
        </w:rPr>
        <w:t xml:space="preserve"> do</w:t>
      </w:r>
      <w:r w:rsidR="00CD79E8" w:rsidRPr="00890981">
        <w:rPr>
          <w:color w:val="auto"/>
          <w:sz w:val="22"/>
          <w:szCs w:val="22"/>
          <w:lang w:val="sr-Latn-ME"/>
        </w:rPr>
        <w:t xml:space="preserve"> &lt;1/10</w:t>
      </w:r>
      <w:r>
        <w:rPr>
          <w:color w:val="auto"/>
          <w:sz w:val="22"/>
          <w:szCs w:val="22"/>
          <w:lang w:val="sr-Latn-ME"/>
        </w:rPr>
        <w:t>); p</w:t>
      </w:r>
      <w:r w:rsidR="00CD79E8" w:rsidRPr="00890981">
        <w:rPr>
          <w:color w:val="auto"/>
          <w:sz w:val="22"/>
          <w:szCs w:val="22"/>
          <w:lang w:val="sr-Latn-ME"/>
        </w:rPr>
        <w:t>ovremen</w:t>
      </w:r>
      <w:r w:rsidR="00B27FF0" w:rsidRPr="00890981">
        <w:rPr>
          <w:color w:val="auto"/>
          <w:sz w:val="22"/>
          <w:szCs w:val="22"/>
          <w:lang w:val="sr-Latn-ME"/>
        </w:rPr>
        <w:t>o</w:t>
      </w:r>
      <w:r>
        <w:rPr>
          <w:color w:val="auto"/>
          <w:sz w:val="22"/>
          <w:szCs w:val="22"/>
          <w:lang w:val="sr-Latn-ME"/>
        </w:rPr>
        <w:t xml:space="preserve"> (</w:t>
      </w:r>
      <w:r w:rsidR="00CD79E8" w:rsidRPr="00890981">
        <w:rPr>
          <w:color w:val="auto"/>
          <w:sz w:val="22"/>
          <w:szCs w:val="22"/>
          <w:lang w:val="sr-Latn-ME"/>
        </w:rPr>
        <w:t>≥1/1000</w:t>
      </w:r>
      <w:r w:rsidR="00B27FF0" w:rsidRPr="00890981">
        <w:rPr>
          <w:color w:val="auto"/>
          <w:sz w:val="22"/>
          <w:szCs w:val="22"/>
          <w:lang w:val="sr-Latn-ME"/>
        </w:rPr>
        <w:t xml:space="preserve"> do</w:t>
      </w:r>
      <w:r w:rsidR="00CD79E8" w:rsidRPr="00890981">
        <w:rPr>
          <w:color w:val="auto"/>
          <w:sz w:val="22"/>
          <w:szCs w:val="22"/>
          <w:lang w:val="sr-Latn-ME"/>
        </w:rPr>
        <w:t xml:space="preserve"> &lt;1/100</w:t>
      </w:r>
      <w:r>
        <w:rPr>
          <w:color w:val="auto"/>
          <w:sz w:val="22"/>
          <w:szCs w:val="22"/>
          <w:lang w:val="sr-Latn-ME"/>
        </w:rPr>
        <w:t>); 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="00CD79E8" w:rsidRPr="00890981">
        <w:rPr>
          <w:color w:val="auto"/>
          <w:sz w:val="22"/>
          <w:szCs w:val="22"/>
          <w:lang w:val="sr-Latn-ME"/>
        </w:rPr>
        <w:t>etk</w:t>
      </w:r>
      <w:r w:rsidR="00B27FF0" w:rsidRPr="00890981">
        <w:rPr>
          <w:color w:val="auto"/>
          <w:sz w:val="22"/>
          <w:szCs w:val="22"/>
          <w:lang w:val="sr-Latn-ME"/>
        </w:rPr>
        <w:t>o</w:t>
      </w:r>
      <w:r>
        <w:rPr>
          <w:color w:val="auto"/>
          <w:sz w:val="22"/>
          <w:szCs w:val="22"/>
          <w:lang w:val="sr-Latn-ME"/>
        </w:rPr>
        <w:t xml:space="preserve"> (</w:t>
      </w:r>
      <w:r w:rsidR="00CD79E8" w:rsidRPr="00890981">
        <w:rPr>
          <w:color w:val="auto"/>
          <w:sz w:val="22"/>
          <w:szCs w:val="22"/>
          <w:lang w:val="sr-Latn-ME"/>
        </w:rPr>
        <w:t xml:space="preserve">≥1/10000 </w:t>
      </w:r>
      <w:r w:rsidR="00B27FF0" w:rsidRPr="00890981">
        <w:rPr>
          <w:color w:val="auto"/>
          <w:sz w:val="22"/>
          <w:szCs w:val="22"/>
          <w:lang w:val="sr-Latn-ME"/>
        </w:rPr>
        <w:t xml:space="preserve">do </w:t>
      </w:r>
      <w:r w:rsidR="00CD79E8" w:rsidRPr="00890981">
        <w:rPr>
          <w:color w:val="auto"/>
          <w:sz w:val="22"/>
          <w:szCs w:val="22"/>
          <w:lang w:val="sr-Latn-ME"/>
        </w:rPr>
        <w:t>&lt;1/1000</w:t>
      </w:r>
      <w:r>
        <w:rPr>
          <w:color w:val="auto"/>
          <w:sz w:val="22"/>
          <w:szCs w:val="22"/>
          <w:lang w:val="sr-Latn-ME"/>
        </w:rPr>
        <w:t>); v</w:t>
      </w:r>
      <w:r w:rsidR="00CD79E8" w:rsidRPr="00890981">
        <w:rPr>
          <w:color w:val="auto"/>
          <w:sz w:val="22"/>
          <w:szCs w:val="22"/>
          <w:lang w:val="sr-Latn-ME"/>
        </w:rPr>
        <w:t>eoma 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="00CD79E8" w:rsidRPr="00890981">
        <w:rPr>
          <w:color w:val="auto"/>
          <w:sz w:val="22"/>
          <w:szCs w:val="22"/>
          <w:lang w:val="sr-Latn-ME"/>
        </w:rPr>
        <w:t>etk</w:t>
      </w:r>
      <w:r w:rsidR="00B27FF0" w:rsidRPr="00890981">
        <w:rPr>
          <w:color w:val="auto"/>
          <w:sz w:val="22"/>
          <w:szCs w:val="22"/>
          <w:lang w:val="sr-Latn-ME"/>
        </w:rPr>
        <w:t>o</w:t>
      </w:r>
      <w:r w:rsidR="00767499">
        <w:rPr>
          <w:color w:val="auto"/>
          <w:sz w:val="22"/>
          <w:szCs w:val="22"/>
          <w:lang w:val="sr-Latn-ME"/>
        </w:rPr>
        <w:t xml:space="preserve"> (</w:t>
      </w:r>
      <w:r w:rsidR="00CD79E8" w:rsidRPr="00890981">
        <w:rPr>
          <w:color w:val="auto"/>
          <w:sz w:val="22"/>
          <w:szCs w:val="22"/>
          <w:lang w:val="sr-Latn-ME"/>
        </w:rPr>
        <w:t>&lt;1/10000</w:t>
      </w:r>
      <w:r w:rsidR="00767499">
        <w:rPr>
          <w:color w:val="auto"/>
          <w:sz w:val="22"/>
          <w:szCs w:val="22"/>
          <w:lang w:val="sr-Latn-ME"/>
        </w:rPr>
        <w:t>); n</w:t>
      </w:r>
      <w:r w:rsidR="00B27FF0" w:rsidRPr="00890981">
        <w:rPr>
          <w:color w:val="auto"/>
          <w:sz w:val="22"/>
          <w:szCs w:val="22"/>
          <w:lang w:val="sr-Latn-ME"/>
        </w:rPr>
        <w:t>epoznat</w:t>
      </w:r>
      <w:r w:rsidR="00767499">
        <w:rPr>
          <w:color w:val="auto"/>
          <w:sz w:val="22"/>
          <w:szCs w:val="22"/>
          <w:lang w:val="sr-Latn-ME"/>
        </w:rPr>
        <w:t>a</w:t>
      </w:r>
      <w:r w:rsidR="00B27FF0" w:rsidRPr="00890981">
        <w:rPr>
          <w:color w:val="auto"/>
          <w:sz w:val="22"/>
          <w:szCs w:val="22"/>
          <w:lang w:val="sr-Latn-ME"/>
        </w:rPr>
        <w:t xml:space="preserve"> učestalost</w:t>
      </w:r>
      <w:r w:rsidR="00767499">
        <w:rPr>
          <w:color w:val="auto"/>
          <w:sz w:val="22"/>
          <w:szCs w:val="22"/>
          <w:lang w:val="sr-Latn-ME"/>
        </w:rPr>
        <w:t xml:space="preserve"> (</w:t>
      </w:r>
      <w:r w:rsidR="00CD79E8" w:rsidRPr="00890981">
        <w:rPr>
          <w:color w:val="auto"/>
          <w:sz w:val="22"/>
          <w:szCs w:val="22"/>
          <w:lang w:val="sr-Latn-ME"/>
        </w:rPr>
        <w:t>nije moguće ustanoviti na osnovu raspoloživih podataka</w:t>
      </w:r>
      <w:r w:rsidR="00767499">
        <w:rPr>
          <w:color w:val="auto"/>
          <w:sz w:val="22"/>
          <w:szCs w:val="22"/>
          <w:lang w:val="sr-Latn-ME"/>
        </w:rPr>
        <w:t>)</w:t>
      </w:r>
    </w:p>
    <w:p w14:paraId="15C48CF1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305FB8F1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>Poremećaji metabolizma i ishrane</w:t>
      </w:r>
    </w:p>
    <w:p w14:paraId="6346C2A6" w14:textId="346D0ED4" w:rsidR="00CD79E8" w:rsidRPr="00890981" w:rsidRDefault="00767499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Nepoznat</w:t>
      </w:r>
      <w:r>
        <w:rPr>
          <w:color w:val="auto"/>
          <w:sz w:val="22"/>
          <w:szCs w:val="22"/>
          <w:lang w:val="sr-Latn-ME"/>
        </w:rPr>
        <w:t>a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6A538E" w:rsidRPr="00890981">
        <w:rPr>
          <w:color w:val="auto"/>
          <w:sz w:val="22"/>
          <w:szCs w:val="22"/>
          <w:lang w:val="sr-Latn-ME"/>
        </w:rPr>
        <w:t>učestalost</w:t>
      </w:r>
      <w:r w:rsidR="00CD79E8" w:rsidRPr="00890981">
        <w:rPr>
          <w:color w:val="auto"/>
          <w:sz w:val="22"/>
          <w:szCs w:val="22"/>
          <w:lang w:val="sr-Latn-ME"/>
        </w:rPr>
        <w:t xml:space="preserve">: </w:t>
      </w:r>
      <w:r w:rsidR="00CD79E8" w:rsidRPr="00890981">
        <w:rPr>
          <w:color w:val="auto"/>
          <w:sz w:val="22"/>
          <w:szCs w:val="22"/>
          <w:lang w:val="sr-Latn-ME"/>
        </w:rPr>
        <w:tab/>
        <w:t>dehidra</w:t>
      </w:r>
      <w:r w:rsidR="00820263" w:rsidRPr="00890981">
        <w:rPr>
          <w:color w:val="auto"/>
          <w:sz w:val="22"/>
          <w:szCs w:val="22"/>
          <w:lang w:val="sr-Latn-ME"/>
        </w:rPr>
        <w:t>ta</w:t>
      </w:r>
      <w:r w:rsidR="00CD79E8" w:rsidRPr="00890981">
        <w:rPr>
          <w:color w:val="auto"/>
          <w:sz w:val="22"/>
          <w:szCs w:val="22"/>
          <w:lang w:val="sr-Latn-ME"/>
        </w:rPr>
        <w:t xml:space="preserve">cija </w:t>
      </w:r>
    </w:p>
    <w:p w14:paraId="2CA656FD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</w:p>
    <w:p w14:paraId="0463E4FB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>Poremećaji nervnog sistema</w:t>
      </w:r>
    </w:p>
    <w:p w14:paraId="07542616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Povremen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vrtoglavica, glavobolja, poremećaj ukusa</w:t>
      </w:r>
    </w:p>
    <w:p w14:paraId="4245D69C" w14:textId="77777777" w:rsidR="00CD79E8" w:rsidRPr="00890981" w:rsidRDefault="00CD79E8">
      <w:pPr>
        <w:pStyle w:val="Default"/>
        <w:tabs>
          <w:tab w:val="left" w:pos="1440"/>
        </w:tabs>
        <w:ind w:left="2340" w:hanging="2340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etk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insomnija</w:t>
      </w:r>
    </w:p>
    <w:p w14:paraId="0C46F67E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</w:p>
    <w:p w14:paraId="196AEEC2" w14:textId="77777777" w:rsidR="00CD79E8" w:rsidRPr="00890981" w:rsidRDefault="00CD79E8">
      <w:pPr>
        <w:pStyle w:val="Default"/>
        <w:tabs>
          <w:tab w:val="left" w:pos="1440"/>
        </w:tabs>
        <w:ind w:left="3600" w:hanging="3600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>Poremećaji oka</w:t>
      </w:r>
    </w:p>
    <w:p w14:paraId="365637AF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Povremen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</w:r>
      <w:r w:rsidR="00FB0D73" w:rsidRPr="00890981">
        <w:rPr>
          <w:color w:val="auto"/>
          <w:sz w:val="22"/>
          <w:szCs w:val="22"/>
          <w:lang w:val="sr-Latn-ME"/>
        </w:rPr>
        <w:t>zamućen</w:t>
      </w:r>
      <w:r w:rsidRPr="00890981">
        <w:rPr>
          <w:color w:val="auto"/>
          <w:sz w:val="22"/>
          <w:szCs w:val="22"/>
          <w:lang w:val="sr-Latn-ME"/>
        </w:rPr>
        <w:t xml:space="preserve"> vid </w:t>
      </w:r>
    </w:p>
    <w:p w14:paraId="24A2F8B0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etk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 xml:space="preserve">glaukom, povišeni intraokularni pritisak </w:t>
      </w:r>
    </w:p>
    <w:p w14:paraId="1B2B2FB0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</w:p>
    <w:p w14:paraId="62D12BCE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 xml:space="preserve">Kardiološki poremećaji  </w:t>
      </w:r>
    </w:p>
    <w:p w14:paraId="0D8A78DF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Povremen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atrijalna fibrilacija</w:t>
      </w:r>
    </w:p>
    <w:p w14:paraId="144BC03B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etk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supraventrikularna tahikardija, tahikardija, palpitacije</w:t>
      </w:r>
    </w:p>
    <w:p w14:paraId="391A5A45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</w:p>
    <w:p w14:paraId="4305E3CE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 xml:space="preserve">Respiratorni, torakalni i medijastinalni poremećaji </w:t>
      </w:r>
    </w:p>
    <w:p w14:paraId="54012E66" w14:textId="77777777" w:rsidR="00CD79E8" w:rsidRPr="00890981" w:rsidRDefault="00CD79E8">
      <w:pPr>
        <w:pStyle w:val="Default"/>
        <w:tabs>
          <w:tab w:val="left" w:pos="1440"/>
        </w:tabs>
        <w:ind w:left="2340" w:hanging="2340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Povremen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 xml:space="preserve">faringitis, promuklost, kašalj </w:t>
      </w:r>
    </w:p>
    <w:p w14:paraId="4C5DF3B8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etk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bronhospazam, epistaksa, laringitis, sinuzitis</w:t>
      </w:r>
    </w:p>
    <w:p w14:paraId="4B5BAC90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</w:p>
    <w:p w14:paraId="16F7FE89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 xml:space="preserve">Gastrointestinalni poremećaji </w:t>
      </w:r>
    </w:p>
    <w:p w14:paraId="42EC88AA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Čest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suva usta</w:t>
      </w:r>
    </w:p>
    <w:p w14:paraId="0743B2C2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Povremen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gastroezofagealni refluks, konstipacija, orofaringealna kandidijaza</w:t>
      </w:r>
    </w:p>
    <w:p w14:paraId="4B2D7D84" w14:textId="77777777" w:rsidR="00CD79E8" w:rsidRPr="00890981" w:rsidRDefault="00CD79E8">
      <w:pPr>
        <w:pStyle w:val="Default"/>
        <w:tabs>
          <w:tab w:val="left" w:pos="1440"/>
        </w:tabs>
        <w:ind w:left="1440" w:hanging="1440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etk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opstrukcija cr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eva uključujući paralitički ileus (</w:t>
      </w:r>
      <w:r w:rsidRPr="00890981">
        <w:rPr>
          <w:i/>
          <w:iCs/>
          <w:color w:val="auto"/>
          <w:sz w:val="22"/>
          <w:szCs w:val="22"/>
          <w:lang w:val="sr-Latn-ME"/>
        </w:rPr>
        <w:t>ileus paralytic)</w:t>
      </w:r>
      <w:r w:rsidRPr="00890981">
        <w:rPr>
          <w:color w:val="auto"/>
          <w:sz w:val="22"/>
          <w:szCs w:val="22"/>
          <w:lang w:val="sr-Latn-ME"/>
        </w:rPr>
        <w:t>, gingivitis, glositis, disfagija, stomatitis, nauzeja</w:t>
      </w:r>
    </w:p>
    <w:p w14:paraId="2B34FDE8" w14:textId="349CD778" w:rsidR="00CD79E8" w:rsidRPr="00890981" w:rsidRDefault="00767499">
      <w:pPr>
        <w:pStyle w:val="Default"/>
        <w:tabs>
          <w:tab w:val="left" w:pos="1440"/>
        </w:tabs>
        <w:ind w:left="2340" w:hanging="2340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Nepoznat</w:t>
      </w:r>
      <w:r>
        <w:rPr>
          <w:color w:val="auto"/>
          <w:sz w:val="22"/>
          <w:szCs w:val="22"/>
          <w:lang w:val="sr-Latn-ME"/>
        </w:rPr>
        <w:t>a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E441CF" w:rsidRPr="00890981">
        <w:rPr>
          <w:color w:val="auto"/>
          <w:sz w:val="22"/>
          <w:szCs w:val="22"/>
          <w:lang w:val="sr-Latn-ME"/>
        </w:rPr>
        <w:t>učestalost</w:t>
      </w:r>
      <w:r w:rsidR="00E441CF" w:rsidRPr="00890981" w:rsidDel="00E441CF">
        <w:rPr>
          <w:color w:val="auto"/>
          <w:sz w:val="22"/>
          <w:szCs w:val="22"/>
          <w:lang w:val="sr-Latn-ME"/>
        </w:rPr>
        <w:t xml:space="preserve"> </w:t>
      </w:r>
      <w:r w:rsidR="00CD79E8" w:rsidRPr="00890981">
        <w:rPr>
          <w:color w:val="auto"/>
          <w:sz w:val="22"/>
          <w:szCs w:val="22"/>
          <w:lang w:val="sr-Latn-ME"/>
        </w:rPr>
        <w:t xml:space="preserve">: </w:t>
      </w:r>
      <w:r w:rsidR="00CD79E8" w:rsidRPr="00890981">
        <w:rPr>
          <w:color w:val="auto"/>
          <w:sz w:val="22"/>
          <w:szCs w:val="22"/>
          <w:lang w:val="sr-Latn-ME"/>
        </w:rPr>
        <w:tab/>
        <w:t xml:space="preserve">zubni karijes </w:t>
      </w:r>
    </w:p>
    <w:p w14:paraId="2AFD75AA" w14:textId="77777777" w:rsidR="00CD79E8" w:rsidRPr="00890981" w:rsidRDefault="00CD79E8">
      <w:pPr>
        <w:pStyle w:val="Default"/>
        <w:tabs>
          <w:tab w:val="left" w:pos="1440"/>
        </w:tabs>
        <w:ind w:left="2340" w:hanging="2340"/>
        <w:jc w:val="both"/>
        <w:rPr>
          <w:color w:val="auto"/>
          <w:sz w:val="22"/>
          <w:szCs w:val="22"/>
          <w:lang w:val="sr-Latn-ME"/>
        </w:rPr>
      </w:pPr>
    </w:p>
    <w:p w14:paraId="5897C011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u w:val="single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 xml:space="preserve">Poremećaji kože i potkožnog tkiva </w:t>
      </w:r>
      <w:r w:rsidR="00C90401" w:rsidRPr="00890981">
        <w:rPr>
          <w:color w:val="auto"/>
          <w:sz w:val="22"/>
          <w:szCs w:val="22"/>
          <w:u w:val="single"/>
          <w:lang w:val="sr-Latn-ME"/>
        </w:rPr>
        <w:t>/</w:t>
      </w:r>
      <w:r w:rsidR="00757751" w:rsidRPr="00890981">
        <w:rPr>
          <w:noProof/>
          <w:sz w:val="22"/>
          <w:szCs w:val="22"/>
          <w:u w:val="single"/>
          <w:lang w:val="sr-Latn-ME"/>
        </w:rPr>
        <w:t>Poreme</w:t>
      </w:r>
      <w:r w:rsidR="00B94E53" w:rsidRPr="00890981">
        <w:rPr>
          <w:noProof/>
          <w:sz w:val="22"/>
          <w:szCs w:val="22"/>
          <w:u w:val="single"/>
          <w:lang w:val="sr-Latn-ME"/>
        </w:rPr>
        <w:t>ć</w:t>
      </w:r>
      <w:r w:rsidR="00757751" w:rsidRPr="00890981">
        <w:rPr>
          <w:noProof/>
          <w:sz w:val="22"/>
          <w:szCs w:val="22"/>
          <w:u w:val="single"/>
          <w:lang w:val="sr-Latn-ME"/>
        </w:rPr>
        <w:t>aji</w:t>
      </w:r>
      <w:r w:rsidR="00B94E53" w:rsidRPr="00890981">
        <w:rPr>
          <w:noProof/>
          <w:sz w:val="22"/>
          <w:szCs w:val="22"/>
          <w:u w:val="single"/>
          <w:lang w:val="sr-Latn-ME"/>
        </w:rPr>
        <w:t xml:space="preserve"> </w:t>
      </w:r>
      <w:r w:rsidR="00757751" w:rsidRPr="00890981">
        <w:rPr>
          <w:noProof/>
          <w:sz w:val="22"/>
          <w:szCs w:val="22"/>
          <w:u w:val="single"/>
          <w:lang w:val="sr-Latn-ME"/>
        </w:rPr>
        <w:t>imunskog</w:t>
      </w:r>
      <w:r w:rsidR="00B94E53" w:rsidRPr="00890981">
        <w:rPr>
          <w:noProof/>
          <w:sz w:val="22"/>
          <w:szCs w:val="22"/>
          <w:u w:val="single"/>
          <w:lang w:val="sr-Latn-ME"/>
        </w:rPr>
        <w:t xml:space="preserve"> </w:t>
      </w:r>
      <w:r w:rsidR="00757751" w:rsidRPr="00890981">
        <w:rPr>
          <w:noProof/>
          <w:sz w:val="22"/>
          <w:szCs w:val="22"/>
          <w:u w:val="single"/>
          <w:lang w:val="sr-Latn-ME"/>
        </w:rPr>
        <w:t>sistema</w:t>
      </w:r>
      <w:r w:rsidR="00757751" w:rsidRPr="00890981">
        <w:rPr>
          <w:color w:val="auto"/>
          <w:sz w:val="22"/>
          <w:szCs w:val="22"/>
          <w:u w:val="single"/>
          <w:lang w:val="sr-Latn-ME"/>
        </w:rPr>
        <w:t xml:space="preserve"> </w:t>
      </w:r>
    </w:p>
    <w:p w14:paraId="50B026B0" w14:textId="0002F29C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Povremen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</w:r>
      <w:r w:rsidR="00767499">
        <w:rPr>
          <w:color w:val="auto"/>
          <w:sz w:val="22"/>
          <w:szCs w:val="22"/>
          <w:lang w:val="sr-Latn-ME"/>
        </w:rPr>
        <w:t>osip</w:t>
      </w:r>
    </w:p>
    <w:p w14:paraId="10C917F7" w14:textId="0C220040" w:rsidR="00CD79E8" w:rsidRPr="00890981" w:rsidRDefault="00CD79E8">
      <w:pPr>
        <w:pStyle w:val="Default"/>
        <w:tabs>
          <w:tab w:val="left" w:pos="1440"/>
        </w:tabs>
        <w:ind w:left="1418" w:hanging="1418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etk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urtikarija, pruritus, preos</w:t>
      </w:r>
      <w:r w:rsidR="0047078B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etljivosti (uključujući i </w:t>
      </w:r>
      <w:r w:rsidR="00767499">
        <w:rPr>
          <w:color w:val="auto"/>
          <w:sz w:val="22"/>
          <w:szCs w:val="22"/>
          <w:lang w:val="sr-Latn-ME"/>
        </w:rPr>
        <w:t>trenutne</w:t>
      </w:r>
      <w:r w:rsidR="00767499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reakcije), angioedem</w:t>
      </w:r>
    </w:p>
    <w:p w14:paraId="0DA91309" w14:textId="6134C97B" w:rsidR="00CD79E8" w:rsidRPr="00890981" w:rsidRDefault="00767499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lastRenderedPageBreak/>
        <w:t>Nepoznat</w:t>
      </w:r>
      <w:r>
        <w:rPr>
          <w:color w:val="auto"/>
          <w:sz w:val="22"/>
          <w:szCs w:val="22"/>
          <w:lang w:val="sr-Latn-ME"/>
        </w:rPr>
        <w:t>a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E441CF" w:rsidRPr="00890981">
        <w:rPr>
          <w:color w:val="auto"/>
          <w:sz w:val="22"/>
          <w:szCs w:val="22"/>
          <w:lang w:val="sr-Latn-ME"/>
        </w:rPr>
        <w:t>učestalost</w:t>
      </w:r>
      <w:r w:rsidR="00CD79E8" w:rsidRPr="00890981">
        <w:rPr>
          <w:color w:val="auto"/>
          <w:sz w:val="22"/>
          <w:szCs w:val="22"/>
          <w:lang w:val="sr-Latn-ME"/>
        </w:rPr>
        <w:t>:</w:t>
      </w:r>
      <w:r w:rsidR="00CD79E8" w:rsidRPr="00890981">
        <w:rPr>
          <w:sz w:val="22"/>
          <w:szCs w:val="22"/>
          <w:lang w:val="sr-Latn-ME"/>
        </w:rPr>
        <w:t xml:space="preserve"> </w:t>
      </w:r>
      <w:r w:rsidR="00CD79E8" w:rsidRPr="00890981">
        <w:rPr>
          <w:color w:val="auto"/>
          <w:sz w:val="22"/>
          <w:szCs w:val="22"/>
          <w:lang w:val="sr-Latn-ME"/>
        </w:rPr>
        <w:tab/>
      </w:r>
      <w:r w:rsidR="00923DB5" w:rsidRPr="00890981">
        <w:rPr>
          <w:color w:val="auto"/>
          <w:sz w:val="22"/>
          <w:szCs w:val="22"/>
          <w:lang w:val="sr-Latn-ME"/>
        </w:rPr>
        <w:t xml:space="preserve">anafilaktička reakcija, </w:t>
      </w:r>
      <w:r w:rsidR="00CD79E8" w:rsidRPr="00890981">
        <w:rPr>
          <w:color w:val="auto"/>
          <w:sz w:val="22"/>
          <w:szCs w:val="22"/>
          <w:lang w:val="sr-Latn-ME"/>
        </w:rPr>
        <w:t>infekcije kože, kožni ulkusi, suva koža</w:t>
      </w:r>
    </w:p>
    <w:p w14:paraId="2A4BEB81" w14:textId="77777777" w:rsidR="00CD79E8" w:rsidRPr="00890981" w:rsidRDefault="00CD79E8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</w:p>
    <w:p w14:paraId="3D968649" w14:textId="77777777" w:rsidR="00C90401" w:rsidRPr="00890981" w:rsidRDefault="00757751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u w:val="single"/>
          <w:lang w:val="sr-Latn-ME"/>
        </w:rPr>
      </w:pPr>
      <w:r w:rsidRPr="00890981">
        <w:rPr>
          <w:noProof/>
          <w:sz w:val="22"/>
          <w:szCs w:val="22"/>
          <w:u w:val="single"/>
          <w:lang w:val="sr-Latn-ME"/>
        </w:rPr>
        <w:t>Poreme</w:t>
      </w:r>
      <w:r w:rsidR="00B94E53" w:rsidRPr="00890981">
        <w:rPr>
          <w:noProof/>
          <w:sz w:val="22"/>
          <w:szCs w:val="22"/>
          <w:u w:val="single"/>
          <w:lang w:val="sr-Latn-ME"/>
        </w:rPr>
        <w:t>ć</w:t>
      </w:r>
      <w:r w:rsidRPr="00890981">
        <w:rPr>
          <w:noProof/>
          <w:sz w:val="22"/>
          <w:szCs w:val="22"/>
          <w:u w:val="single"/>
          <w:lang w:val="sr-Latn-ME"/>
        </w:rPr>
        <w:t>aji</w:t>
      </w:r>
      <w:r w:rsidR="00B94E53" w:rsidRPr="00890981">
        <w:rPr>
          <w:noProof/>
          <w:sz w:val="22"/>
          <w:szCs w:val="22"/>
          <w:u w:val="single"/>
          <w:lang w:val="sr-Latn-ME"/>
        </w:rPr>
        <w:t xml:space="preserve"> </w:t>
      </w:r>
      <w:r w:rsidRPr="00890981">
        <w:rPr>
          <w:noProof/>
          <w:sz w:val="22"/>
          <w:szCs w:val="22"/>
          <w:u w:val="single"/>
          <w:lang w:val="sr-Latn-ME"/>
        </w:rPr>
        <w:t>mi</w:t>
      </w:r>
      <w:r w:rsidR="00B94E53" w:rsidRPr="00890981">
        <w:rPr>
          <w:noProof/>
          <w:sz w:val="22"/>
          <w:szCs w:val="22"/>
          <w:u w:val="single"/>
          <w:lang w:val="sr-Latn-ME"/>
        </w:rPr>
        <w:t>š</w:t>
      </w:r>
      <w:r w:rsidRPr="00890981">
        <w:rPr>
          <w:noProof/>
          <w:sz w:val="22"/>
          <w:szCs w:val="22"/>
          <w:u w:val="single"/>
          <w:lang w:val="sr-Latn-ME"/>
        </w:rPr>
        <w:t>i</w:t>
      </w:r>
      <w:r w:rsidR="00B94E53" w:rsidRPr="00890981">
        <w:rPr>
          <w:noProof/>
          <w:sz w:val="22"/>
          <w:szCs w:val="22"/>
          <w:u w:val="single"/>
          <w:lang w:val="sr-Latn-ME"/>
        </w:rPr>
        <w:t>ć</w:t>
      </w:r>
      <w:r w:rsidRPr="00890981">
        <w:rPr>
          <w:noProof/>
          <w:sz w:val="22"/>
          <w:szCs w:val="22"/>
          <w:u w:val="single"/>
          <w:lang w:val="sr-Latn-ME"/>
        </w:rPr>
        <w:t>no</w:t>
      </w:r>
      <w:r w:rsidR="00B94E53" w:rsidRPr="00890981">
        <w:rPr>
          <w:noProof/>
          <w:sz w:val="22"/>
          <w:szCs w:val="22"/>
          <w:u w:val="single"/>
          <w:lang w:val="sr-Latn-ME"/>
        </w:rPr>
        <w:t>-</w:t>
      </w:r>
      <w:r w:rsidRPr="00890981">
        <w:rPr>
          <w:noProof/>
          <w:sz w:val="22"/>
          <w:szCs w:val="22"/>
          <w:u w:val="single"/>
          <w:lang w:val="sr-Latn-ME"/>
        </w:rPr>
        <w:t>ko</w:t>
      </w:r>
      <w:r w:rsidR="00B94E53" w:rsidRPr="00890981">
        <w:rPr>
          <w:noProof/>
          <w:sz w:val="22"/>
          <w:szCs w:val="22"/>
          <w:u w:val="single"/>
          <w:lang w:val="sr-Latn-ME"/>
        </w:rPr>
        <w:t>š</w:t>
      </w:r>
      <w:r w:rsidRPr="00890981">
        <w:rPr>
          <w:noProof/>
          <w:sz w:val="22"/>
          <w:szCs w:val="22"/>
          <w:u w:val="single"/>
          <w:lang w:val="sr-Latn-ME"/>
        </w:rPr>
        <w:t>tanog</w:t>
      </w:r>
      <w:r w:rsidR="00B94E53" w:rsidRPr="00890981">
        <w:rPr>
          <w:noProof/>
          <w:sz w:val="22"/>
          <w:szCs w:val="22"/>
          <w:u w:val="single"/>
          <w:lang w:val="sr-Latn-ME"/>
        </w:rPr>
        <w:t xml:space="preserve"> </w:t>
      </w:r>
      <w:r w:rsidRPr="00890981">
        <w:rPr>
          <w:noProof/>
          <w:sz w:val="22"/>
          <w:szCs w:val="22"/>
          <w:u w:val="single"/>
          <w:lang w:val="sr-Latn-ME"/>
        </w:rPr>
        <w:t>sistema</w:t>
      </w:r>
      <w:r w:rsidR="00B94E53" w:rsidRPr="00890981">
        <w:rPr>
          <w:noProof/>
          <w:sz w:val="22"/>
          <w:szCs w:val="22"/>
          <w:u w:val="single"/>
          <w:lang w:val="sr-Latn-ME"/>
        </w:rPr>
        <w:t xml:space="preserve"> </w:t>
      </w:r>
      <w:r w:rsidRPr="00890981">
        <w:rPr>
          <w:noProof/>
          <w:sz w:val="22"/>
          <w:szCs w:val="22"/>
          <w:u w:val="single"/>
          <w:lang w:val="sr-Latn-ME"/>
        </w:rPr>
        <w:t>i</w:t>
      </w:r>
      <w:r w:rsidR="00B94E53" w:rsidRPr="00890981">
        <w:rPr>
          <w:noProof/>
          <w:sz w:val="22"/>
          <w:szCs w:val="22"/>
          <w:u w:val="single"/>
          <w:lang w:val="sr-Latn-ME"/>
        </w:rPr>
        <w:t xml:space="preserve"> </w:t>
      </w:r>
      <w:r w:rsidRPr="00890981">
        <w:rPr>
          <w:noProof/>
          <w:sz w:val="22"/>
          <w:szCs w:val="22"/>
          <w:u w:val="single"/>
          <w:lang w:val="sr-Latn-ME"/>
        </w:rPr>
        <w:t>vezivnog</w:t>
      </w:r>
      <w:r w:rsidR="00B94E53" w:rsidRPr="00890981">
        <w:rPr>
          <w:noProof/>
          <w:sz w:val="22"/>
          <w:szCs w:val="22"/>
          <w:u w:val="single"/>
          <w:lang w:val="sr-Latn-ME"/>
        </w:rPr>
        <w:t xml:space="preserve"> </w:t>
      </w:r>
      <w:r w:rsidRPr="00890981">
        <w:rPr>
          <w:noProof/>
          <w:sz w:val="22"/>
          <w:szCs w:val="22"/>
          <w:u w:val="single"/>
          <w:lang w:val="sr-Latn-ME"/>
        </w:rPr>
        <w:t>tkiva</w:t>
      </w:r>
      <w:r w:rsidR="00C90401" w:rsidRPr="00890981" w:rsidDel="00C90401">
        <w:rPr>
          <w:color w:val="auto"/>
          <w:sz w:val="22"/>
          <w:szCs w:val="22"/>
          <w:u w:val="single"/>
          <w:lang w:val="sr-Latn-ME"/>
        </w:rPr>
        <w:t xml:space="preserve"> </w:t>
      </w:r>
    </w:p>
    <w:p w14:paraId="52AA70DD" w14:textId="5E356622" w:rsidR="00CD79E8" w:rsidRPr="00890981" w:rsidRDefault="00767499">
      <w:pPr>
        <w:pStyle w:val="Default"/>
        <w:tabs>
          <w:tab w:val="left" w:pos="144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Nepoznat</w:t>
      </w:r>
      <w:r>
        <w:rPr>
          <w:color w:val="auto"/>
          <w:sz w:val="22"/>
          <w:szCs w:val="22"/>
          <w:lang w:val="sr-Latn-ME"/>
        </w:rPr>
        <w:t>a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E441CF" w:rsidRPr="00890981">
        <w:rPr>
          <w:color w:val="auto"/>
          <w:sz w:val="22"/>
          <w:szCs w:val="22"/>
          <w:lang w:val="sr-Latn-ME"/>
        </w:rPr>
        <w:t>učestalost</w:t>
      </w:r>
      <w:r w:rsidR="00CD79E8" w:rsidRPr="00890981">
        <w:rPr>
          <w:color w:val="auto"/>
          <w:sz w:val="22"/>
          <w:szCs w:val="22"/>
          <w:lang w:val="sr-Latn-ME"/>
        </w:rPr>
        <w:t>:</w:t>
      </w:r>
      <w:r w:rsidR="003338E5" w:rsidRPr="00890981">
        <w:rPr>
          <w:color w:val="auto"/>
          <w:sz w:val="22"/>
          <w:szCs w:val="22"/>
          <w:lang w:val="sr-Latn-ME"/>
        </w:rPr>
        <w:t xml:space="preserve"> </w:t>
      </w:r>
      <w:r w:rsidR="00CD79E8" w:rsidRPr="00890981">
        <w:rPr>
          <w:color w:val="auto"/>
          <w:sz w:val="22"/>
          <w:szCs w:val="22"/>
          <w:lang w:val="sr-Latn-ME"/>
        </w:rPr>
        <w:tab/>
        <w:t xml:space="preserve">otok zglobova </w:t>
      </w:r>
    </w:p>
    <w:p w14:paraId="6FB8C006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u w:val="single"/>
          <w:lang w:val="sr-Latn-ME"/>
        </w:rPr>
      </w:pPr>
    </w:p>
    <w:p w14:paraId="1DAB9C0B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u w:val="single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>Poremećaji bubrega i urinarnog sistema</w:t>
      </w:r>
    </w:p>
    <w:p w14:paraId="5B8E2132" w14:textId="77777777" w:rsidR="00CD79E8" w:rsidRPr="00890981" w:rsidRDefault="00CD79E8">
      <w:pPr>
        <w:pStyle w:val="Default"/>
        <w:ind w:left="1440" w:hanging="1440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Povremen</w:t>
      </w:r>
      <w:r w:rsidR="00E441CF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dizurija, retencija urina</w:t>
      </w:r>
    </w:p>
    <w:p w14:paraId="769C54C6" w14:textId="77777777" w:rsidR="00CD79E8" w:rsidRPr="00890981" w:rsidRDefault="00CD79E8">
      <w:pPr>
        <w:pStyle w:val="Default"/>
        <w:ind w:left="1440" w:hanging="1440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etk</w:t>
      </w:r>
      <w:r w:rsidR="00C90401" w:rsidRPr="00890981">
        <w:rPr>
          <w:color w:val="auto"/>
          <w:sz w:val="22"/>
          <w:szCs w:val="22"/>
          <w:lang w:val="sr-Latn-ME"/>
        </w:rPr>
        <w:t>o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Pr="00890981">
        <w:rPr>
          <w:color w:val="auto"/>
          <w:sz w:val="22"/>
          <w:szCs w:val="22"/>
          <w:lang w:val="sr-Latn-ME"/>
        </w:rPr>
        <w:tab/>
        <w:t>infekcije urinarnog trakta</w:t>
      </w:r>
    </w:p>
    <w:p w14:paraId="666D396C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u w:val="single"/>
          <w:lang w:val="sr-Latn-ME"/>
        </w:rPr>
      </w:pPr>
    </w:p>
    <w:p w14:paraId="0740CA11" w14:textId="419C01C4" w:rsidR="00CD79E8" w:rsidRPr="00890981" w:rsidRDefault="00CD79E8">
      <w:pPr>
        <w:pStyle w:val="Default"/>
        <w:jc w:val="both"/>
        <w:rPr>
          <w:i/>
          <w:color w:val="auto"/>
          <w:sz w:val="22"/>
          <w:szCs w:val="22"/>
          <w:u w:val="single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 xml:space="preserve">Opis </w:t>
      </w:r>
      <w:r w:rsidR="00767499">
        <w:rPr>
          <w:color w:val="auto"/>
          <w:sz w:val="22"/>
          <w:szCs w:val="22"/>
          <w:u w:val="single"/>
          <w:lang w:val="sr-Latn-ME"/>
        </w:rPr>
        <w:t>odabranih</w:t>
      </w:r>
      <w:r w:rsidR="00767499" w:rsidRPr="00890981">
        <w:rPr>
          <w:color w:val="auto"/>
          <w:sz w:val="22"/>
          <w:szCs w:val="22"/>
          <w:u w:val="single"/>
          <w:lang w:val="sr-Latn-ME"/>
        </w:rPr>
        <w:t xml:space="preserve"> </w:t>
      </w:r>
      <w:r w:rsidRPr="00890981">
        <w:rPr>
          <w:color w:val="auto"/>
          <w:sz w:val="22"/>
          <w:szCs w:val="22"/>
          <w:u w:val="single"/>
          <w:lang w:val="sr-Latn-ME"/>
        </w:rPr>
        <w:t xml:space="preserve">neželjenih reakcija: </w:t>
      </w:r>
    </w:p>
    <w:p w14:paraId="5B949BE1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U kontrolisanim kliničkim studijama često su prijavljivana antiholinergička neželjena dejstva kao što su suva usta, koja su se javljala kod približno 4% pacijenata. </w:t>
      </w:r>
    </w:p>
    <w:p w14:paraId="6F2CFF4C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U 28 kliničkih ispitivanja, suva usta su dovela do prestanka učešća u kliničkoj studiji kod 18 od 9647</w:t>
      </w:r>
      <w:r w:rsidRPr="00890981">
        <w:rPr>
          <w:b/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tiotropijumom l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ečenih pacijenata (0</w:t>
      </w:r>
      <w:r w:rsidR="00FB0D73" w:rsidRPr="00890981">
        <w:rPr>
          <w:color w:val="auto"/>
          <w:sz w:val="22"/>
          <w:szCs w:val="22"/>
          <w:lang w:val="sr-Latn-ME"/>
        </w:rPr>
        <w:t>,</w:t>
      </w:r>
      <w:r w:rsidRPr="00890981">
        <w:rPr>
          <w:color w:val="auto"/>
          <w:sz w:val="22"/>
          <w:szCs w:val="22"/>
          <w:lang w:val="sr-Latn-ME"/>
        </w:rPr>
        <w:t xml:space="preserve">2%). </w:t>
      </w:r>
    </w:p>
    <w:p w14:paraId="2C4AEA6A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510FBC40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U teška neželjena dejstva koja odgovaraju antiholinergičkim dejstvima spadaju glaukom, konstipacija, opstrukcija cr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eva uključujući i paralitički ileus i retenciju urina. </w:t>
      </w:r>
    </w:p>
    <w:p w14:paraId="63B5B1A0" w14:textId="77777777" w:rsidR="00CD79E8" w:rsidRPr="00890981" w:rsidRDefault="00CD79E8">
      <w:pPr>
        <w:rPr>
          <w:szCs w:val="22"/>
          <w:u w:val="single"/>
          <w:lang w:val="sr-Latn-ME"/>
        </w:rPr>
      </w:pPr>
    </w:p>
    <w:p w14:paraId="4C6C20D0" w14:textId="18FC86C2" w:rsidR="00CD79E8" w:rsidRPr="00890981" w:rsidRDefault="00767499">
      <w:pPr>
        <w:rPr>
          <w:szCs w:val="22"/>
          <w:u w:val="single"/>
          <w:lang w:val="sr-Latn-ME"/>
        </w:rPr>
      </w:pPr>
      <w:r>
        <w:rPr>
          <w:szCs w:val="22"/>
          <w:u w:val="single"/>
          <w:lang w:val="sr-Latn-ME"/>
        </w:rPr>
        <w:t>Ostale</w:t>
      </w:r>
      <w:r w:rsidRPr="00890981">
        <w:rPr>
          <w:szCs w:val="22"/>
          <w:u w:val="single"/>
          <w:lang w:val="sr-Latn-ME"/>
        </w:rPr>
        <w:t xml:space="preserve"> </w:t>
      </w:r>
      <w:r w:rsidR="00CD79E8" w:rsidRPr="00890981">
        <w:rPr>
          <w:szCs w:val="22"/>
          <w:u w:val="single"/>
          <w:lang w:val="sr-Latn-ME"/>
        </w:rPr>
        <w:t xml:space="preserve">posebne populacije </w:t>
      </w:r>
    </w:p>
    <w:p w14:paraId="6B33B5A9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Antiholinergička dejstva mogu biti više izražena sa starošću. </w:t>
      </w:r>
    </w:p>
    <w:p w14:paraId="39CCF607" w14:textId="77777777" w:rsidR="00CE09F3" w:rsidRPr="00890981" w:rsidRDefault="00CE09F3">
      <w:pPr>
        <w:rPr>
          <w:noProof/>
          <w:szCs w:val="22"/>
          <w:u w:val="single"/>
          <w:lang w:val="sr-Latn-ME"/>
        </w:rPr>
      </w:pPr>
    </w:p>
    <w:p w14:paraId="07073819" w14:textId="77777777" w:rsidR="00CE09F3" w:rsidRPr="00890981" w:rsidRDefault="00CE09F3">
      <w:pPr>
        <w:rPr>
          <w:noProof/>
          <w:szCs w:val="22"/>
          <w:u w:val="single"/>
          <w:lang w:val="sr-Latn-ME"/>
        </w:rPr>
      </w:pPr>
      <w:r w:rsidRPr="00890981">
        <w:rPr>
          <w:noProof/>
          <w:szCs w:val="22"/>
          <w:u w:val="single"/>
          <w:lang w:val="sr-Latn-ME"/>
        </w:rPr>
        <w:t>Prijavljivanje neželjenih reakcija</w:t>
      </w:r>
    </w:p>
    <w:p w14:paraId="3AFFCA7C" w14:textId="77777777" w:rsidR="00CE09F3" w:rsidRPr="00890981" w:rsidRDefault="00CE09F3">
      <w:pPr>
        <w:rPr>
          <w:noProof/>
          <w:szCs w:val="22"/>
          <w:u w:val="single"/>
          <w:lang w:val="sr-Latn-ME"/>
        </w:rPr>
      </w:pPr>
    </w:p>
    <w:p w14:paraId="0207C1C1" w14:textId="77777777" w:rsidR="0047078B" w:rsidRPr="00890981" w:rsidRDefault="0047078B" w:rsidP="0047078B">
      <w:pPr>
        <w:spacing w:after="200"/>
        <w:rPr>
          <w:rFonts w:eastAsia="Calibri"/>
          <w:szCs w:val="22"/>
          <w:lang w:val="sr-Latn-ME"/>
        </w:rPr>
      </w:pPr>
      <w:r w:rsidRPr="00890981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EA0C042" w14:textId="77777777" w:rsidR="0047078B" w:rsidRPr="00890981" w:rsidRDefault="0047078B" w:rsidP="0047078B">
      <w:pPr>
        <w:pStyle w:val="NoSpacing"/>
        <w:jc w:val="both"/>
        <w:rPr>
          <w:rFonts w:ascii="Times New Roman" w:eastAsia="Calibri" w:hAnsi="Times New Roman"/>
          <w:lang w:val="sr-Latn-ME"/>
        </w:rPr>
      </w:pPr>
      <w:r w:rsidRPr="00890981">
        <w:rPr>
          <w:rFonts w:ascii="Times New Roman" w:eastAsia="Calibri" w:hAnsi="Times New Roman"/>
          <w:lang w:val="sr-Latn-ME"/>
        </w:rPr>
        <w:t xml:space="preserve">Institut za ljekove i medicinska sredstva </w:t>
      </w:r>
    </w:p>
    <w:p w14:paraId="77FC9831" w14:textId="77777777" w:rsidR="0047078B" w:rsidRPr="00890981" w:rsidRDefault="0047078B" w:rsidP="0047078B">
      <w:pPr>
        <w:pStyle w:val="NoSpacing"/>
        <w:jc w:val="both"/>
        <w:rPr>
          <w:rFonts w:ascii="Times New Roman" w:eastAsia="Calibri" w:hAnsi="Times New Roman"/>
          <w:lang w:val="sr-Latn-ME"/>
        </w:rPr>
      </w:pPr>
      <w:r w:rsidRPr="00890981">
        <w:rPr>
          <w:rFonts w:ascii="Times New Roman" w:eastAsia="Calibri" w:hAnsi="Times New Roman"/>
          <w:lang w:val="sr-Latn-ME"/>
        </w:rPr>
        <w:t>Odjeljenje za farmakovigilancu</w:t>
      </w:r>
    </w:p>
    <w:p w14:paraId="30677614" w14:textId="77777777" w:rsidR="0047078B" w:rsidRPr="00890981" w:rsidRDefault="0047078B" w:rsidP="0047078B">
      <w:pPr>
        <w:pStyle w:val="NoSpacing"/>
        <w:jc w:val="both"/>
        <w:rPr>
          <w:rFonts w:ascii="Times New Roman" w:eastAsia="Calibri" w:hAnsi="Times New Roman"/>
          <w:lang w:val="sr-Latn-ME"/>
        </w:rPr>
      </w:pPr>
      <w:r w:rsidRPr="00890981">
        <w:rPr>
          <w:rFonts w:ascii="Times New Roman" w:eastAsia="Calibri" w:hAnsi="Times New Roman"/>
          <w:lang w:val="sr-Latn-ME"/>
        </w:rPr>
        <w:t>Bulevar Ivana Crnojevića 64a, 81000 Podgorica</w:t>
      </w:r>
    </w:p>
    <w:p w14:paraId="0C29B4DC" w14:textId="77777777" w:rsidR="0047078B" w:rsidRPr="00890981" w:rsidRDefault="0047078B" w:rsidP="0047078B">
      <w:pPr>
        <w:pStyle w:val="NoSpacing"/>
        <w:rPr>
          <w:rFonts w:ascii="Times New Roman" w:eastAsia="Calibri" w:hAnsi="Times New Roman"/>
          <w:lang w:val="sr-Latn-ME"/>
        </w:rPr>
      </w:pPr>
    </w:p>
    <w:p w14:paraId="370C1C5C" w14:textId="77777777" w:rsidR="0047078B" w:rsidRPr="00890981" w:rsidRDefault="0047078B" w:rsidP="0047078B">
      <w:pPr>
        <w:pStyle w:val="NoSpacing"/>
        <w:jc w:val="both"/>
        <w:rPr>
          <w:rFonts w:ascii="Times New Roman" w:eastAsia="Calibri" w:hAnsi="Times New Roman"/>
          <w:lang w:val="sr-Latn-ME"/>
        </w:rPr>
      </w:pPr>
      <w:r w:rsidRPr="00890981">
        <w:rPr>
          <w:rFonts w:ascii="Times New Roman" w:eastAsia="Calibri" w:hAnsi="Times New Roman"/>
          <w:lang w:val="sr-Latn-ME"/>
        </w:rPr>
        <w:t>tel: +382 (0) 20 310 280</w:t>
      </w:r>
    </w:p>
    <w:p w14:paraId="66A8D75A" w14:textId="77777777" w:rsidR="0047078B" w:rsidRPr="00890981" w:rsidRDefault="0047078B" w:rsidP="0047078B">
      <w:pPr>
        <w:pStyle w:val="NoSpacing"/>
        <w:tabs>
          <w:tab w:val="left" w:pos="6720"/>
        </w:tabs>
        <w:jc w:val="both"/>
        <w:rPr>
          <w:rFonts w:ascii="Times New Roman" w:eastAsia="Calibri" w:hAnsi="Times New Roman"/>
          <w:lang w:val="sr-Latn-ME"/>
        </w:rPr>
      </w:pPr>
      <w:r w:rsidRPr="00890981">
        <w:rPr>
          <w:rFonts w:ascii="Times New Roman" w:eastAsia="Calibri" w:hAnsi="Times New Roman"/>
          <w:lang w:val="sr-Latn-ME"/>
        </w:rPr>
        <w:t>fax: +382 (0) 20 310 581</w:t>
      </w:r>
      <w:r w:rsidRPr="00890981">
        <w:rPr>
          <w:rFonts w:ascii="Times New Roman" w:eastAsia="Calibri" w:hAnsi="Times New Roman"/>
          <w:lang w:val="sr-Latn-ME"/>
        </w:rPr>
        <w:tab/>
      </w:r>
    </w:p>
    <w:p w14:paraId="765A810B" w14:textId="77777777" w:rsidR="0047078B" w:rsidRPr="00890981" w:rsidRDefault="00842525" w:rsidP="0047078B">
      <w:pPr>
        <w:pStyle w:val="NoSpacing"/>
        <w:jc w:val="both"/>
        <w:rPr>
          <w:rFonts w:ascii="Times New Roman" w:eastAsia="Calibri" w:hAnsi="Times New Roman"/>
          <w:lang w:val="sr-Latn-ME"/>
        </w:rPr>
      </w:pPr>
      <w:hyperlink r:id="rId23" w:history="1">
        <w:r w:rsidR="0047078B" w:rsidRPr="00890981">
          <w:rPr>
            <w:rStyle w:val="Hyperlink"/>
            <w:rFonts w:ascii="Times New Roman" w:eastAsia="Calibri" w:hAnsi="Times New Roman"/>
            <w:lang w:val="sr-Latn-ME"/>
          </w:rPr>
          <w:t>www.cinmed.me</w:t>
        </w:r>
      </w:hyperlink>
    </w:p>
    <w:p w14:paraId="09156BAD" w14:textId="77777777" w:rsidR="0047078B" w:rsidRPr="00890981" w:rsidRDefault="00842525" w:rsidP="0047078B">
      <w:pPr>
        <w:pStyle w:val="NoSpacing"/>
        <w:jc w:val="both"/>
        <w:rPr>
          <w:rFonts w:ascii="Times New Roman" w:eastAsia="Calibri" w:hAnsi="Times New Roman"/>
          <w:color w:val="0000FF"/>
          <w:u w:val="single"/>
          <w:lang w:val="sr-Latn-ME"/>
        </w:rPr>
      </w:pPr>
      <w:hyperlink r:id="rId24" w:history="1">
        <w:r w:rsidR="0047078B" w:rsidRPr="00890981">
          <w:rPr>
            <w:rStyle w:val="Hyperlink"/>
            <w:rFonts w:ascii="Times New Roman" w:eastAsia="Calibri" w:hAnsi="Times New Roman"/>
            <w:lang w:val="sr-Latn-ME"/>
          </w:rPr>
          <w:t>nezeljenadejstva@cinmed.me</w:t>
        </w:r>
      </w:hyperlink>
    </w:p>
    <w:p w14:paraId="15D075E3" w14:textId="77777777" w:rsidR="0047078B" w:rsidRPr="00890981" w:rsidRDefault="0047078B" w:rsidP="0047078B">
      <w:pPr>
        <w:pStyle w:val="NoSpacing"/>
        <w:jc w:val="both"/>
        <w:rPr>
          <w:rFonts w:ascii="Times New Roman" w:eastAsia="Calibri" w:hAnsi="Times New Roman"/>
          <w:lang w:val="sr-Latn-ME"/>
        </w:rPr>
      </w:pPr>
      <w:r w:rsidRPr="00890981">
        <w:rPr>
          <w:rFonts w:ascii="Times New Roman" w:eastAsia="Calibri" w:hAnsi="Times New Roman"/>
          <w:lang w:val="sr-Latn-ME"/>
        </w:rPr>
        <w:t>putem IS zdravstvene zaštite</w:t>
      </w:r>
    </w:p>
    <w:p w14:paraId="7947351E" w14:textId="77777777" w:rsidR="0047078B" w:rsidRPr="00890981" w:rsidRDefault="0047078B" w:rsidP="0047078B">
      <w:pPr>
        <w:pStyle w:val="NoSpacing"/>
        <w:jc w:val="both"/>
        <w:rPr>
          <w:rFonts w:ascii="Times New Roman" w:eastAsia="Calibri" w:hAnsi="Times New Roman"/>
          <w:lang w:val="sr-Latn-ME"/>
        </w:rPr>
      </w:pPr>
      <w:r w:rsidRPr="00890981">
        <w:rPr>
          <w:rFonts w:ascii="Times New Roman" w:eastAsia="Calibri" w:hAnsi="Times New Roman"/>
          <w:lang w:val="sr-Latn-ME"/>
        </w:rPr>
        <w:t>QR kod za online prijavu sumnje na neželjeno dejstvo lijeka:</w:t>
      </w:r>
    </w:p>
    <w:p w14:paraId="3BCDADD2" w14:textId="77777777" w:rsidR="0047078B" w:rsidRPr="00890981" w:rsidRDefault="0047078B" w:rsidP="0047078B">
      <w:pPr>
        <w:pStyle w:val="NoSpacing"/>
        <w:jc w:val="both"/>
        <w:rPr>
          <w:rFonts w:ascii="Times New Roman" w:eastAsia="Calibri" w:hAnsi="Times New Roman"/>
          <w:lang w:val="sr-Latn-ME"/>
        </w:rPr>
      </w:pPr>
    </w:p>
    <w:p w14:paraId="5C9216BF" w14:textId="77777777" w:rsidR="0047078B" w:rsidRPr="00890981" w:rsidRDefault="0047078B" w:rsidP="0047078B">
      <w:pPr>
        <w:pStyle w:val="NoSpacing"/>
        <w:rPr>
          <w:rFonts w:ascii="Times New Roman" w:eastAsia="Calibri" w:hAnsi="Times New Roman"/>
          <w:lang w:val="sr-Latn-ME"/>
        </w:rPr>
      </w:pPr>
      <w:r w:rsidRPr="00890981">
        <w:rPr>
          <w:rFonts w:ascii="Times New Roman" w:hAnsi="Times New Roman"/>
          <w:noProof/>
        </w:rPr>
        <w:drawing>
          <wp:inline distT="0" distB="0" distL="0" distR="0" wp14:anchorId="3EA27C6D" wp14:editId="7A8C3BE2">
            <wp:extent cx="971550" cy="971550"/>
            <wp:effectExtent l="0" t="0" r="0" b="0"/>
            <wp:docPr id="15" name="Picture 15" descr="https://cinmed.me/wp-content/uploads/2022/11/Online-prijava-NDL-QR-code-300x300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699F" w14:textId="77777777" w:rsidR="00CE09F3" w:rsidRPr="00890981" w:rsidRDefault="00CE09F3">
      <w:pPr>
        <w:rPr>
          <w:szCs w:val="22"/>
          <w:lang w:val="sr-Latn-ME"/>
        </w:rPr>
      </w:pPr>
    </w:p>
    <w:p w14:paraId="2700F19F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4.9. Predoziranje</w:t>
      </w:r>
    </w:p>
    <w:p w14:paraId="6A423A13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09BAD887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Visoke doze tiotropijum-bromida mogu dovesti do antiholinergičkih znakova i simptoma. </w:t>
      </w:r>
    </w:p>
    <w:p w14:paraId="60115C8D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15187F31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Međutim, nije bilo sistemskih antiholinergičkih neželjenih dejstava posl</w:t>
      </w:r>
      <w:r w:rsidR="0047078B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 jedne inhalirane doze od maksimalno 340 mikrograma tiotropijum bromida kod zdravih dobrovoljaca. Dodatno nije bilo relevantnih neželjenih dejstava osim suvih usta koja su prim</w:t>
      </w:r>
      <w:r w:rsidR="000D64BA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ećena nakon 7 dana prim</w:t>
      </w:r>
      <w:r w:rsidR="000D64BA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ene tiotropijum bromida u dozi do 170 mikrograma kod zdravih dobrovoljaca. U studiji koja se odnosi na prim</w:t>
      </w:r>
      <w:r w:rsidR="000D64BA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enu višekratnih doza kod HOBP pacijenata uz maksimalnu dnevnu dozu od 43 mikrograma tiotropijum bromida tokom četiri ned</w:t>
      </w:r>
      <w:r w:rsidR="000D64BA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elje, ni</w:t>
      </w:r>
      <w:r w:rsidR="000D64BA" w:rsidRPr="00890981">
        <w:rPr>
          <w:color w:val="auto"/>
          <w:sz w:val="22"/>
          <w:szCs w:val="22"/>
          <w:lang w:val="sr-Latn-ME"/>
        </w:rPr>
        <w:t>je</w:t>
      </w:r>
      <w:r w:rsidRPr="00890981">
        <w:rPr>
          <w:color w:val="auto"/>
          <w:sz w:val="22"/>
          <w:szCs w:val="22"/>
          <w:lang w:val="sr-Latn-ME"/>
        </w:rPr>
        <w:t>su prim</w:t>
      </w:r>
      <w:r w:rsidR="000D64BA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ećena značajna neželjena dejstva. </w:t>
      </w:r>
    </w:p>
    <w:p w14:paraId="67D438D7" w14:textId="77777777" w:rsidR="00CD79E8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2858A035" w14:textId="278B3E4C" w:rsidR="000D64BA" w:rsidRPr="00890981" w:rsidRDefault="00CD79E8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lastRenderedPageBreak/>
        <w:t>Akutna intoksikacija usl</w:t>
      </w:r>
      <w:r w:rsidR="000D64BA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ed oralne ingestije tiotropijum bromid kapsula nije v</w:t>
      </w:r>
      <w:r w:rsidR="000D64BA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erovatna zbog niske oralne bioraspoloživosti. </w:t>
      </w:r>
    </w:p>
    <w:p w14:paraId="7E2346B0" w14:textId="77777777" w:rsidR="00A550E8" w:rsidRPr="00890981" w:rsidRDefault="00A550E8" w:rsidP="009F610E">
      <w:pPr>
        <w:pStyle w:val="Default"/>
        <w:jc w:val="both"/>
        <w:rPr>
          <w:lang w:val="sr-Latn-ME"/>
        </w:rPr>
      </w:pPr>
    </w:p>
    <w:p w14:paraId="2A5BCA8B" w14:textId="77777777" w:rsidR="00CE09F3" w:rsidRPr="00890981" w:rsidRDefault="00CE09F3" w:rsidP="009F610E">
      <w:pPr>
        <w:pStyle w:val="NASLOV123"/>
        <w:jc w:val="both"/>
        <w:rPr>
          <w:lang w:val="sr-Latn-ME"/>
        </w:rPr>
      </w:pPr>
      <w:r w:rsidRPr="00890981">
        <w:rPr>
          <w:lang w:val="sr-Latn-ME"/>
        </w:rPr>
        <w:t>5. FARMAKOLOŠKI PODACI</w:t>
      </w:r>
    </w:p>
    <w:p w14:paraId="1E761309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5.1. Farmakodinamski podaci</w:t>
      </w:r>
    </w:p>
    <w:p w14:paraId="32C50042" w14:textId="77777777" w:rsidR="00DA57DE" w:rsidRPr="00890981" w:rsidRDefault="00DA57DE">
      <w:pPr>
        <w:rPr>
          <w:b/>
          <w:bCs/>
          <w:szCs w:val="22"/>
          <w:lang w:val="sr-Latn-ME"/>
        </w:rPr>
      </w:pPr>
    </w:p>
    <w:p w14:paraId="4AA7C276" w14:textId="6AC2E34F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Farmakoterapijska grupa:</w:t>
      </w:r>
      <w:r w:rsidR="00F0564C" w:rsidRPr="00890981">
        <w:rPr>
          <w:szCs w:val="22"/>
          <w:lang w:val="sr-Latn-ME"/>
        </w:rPr>
        <w:t xml:space="preserve"> </w:t>
      </w:r>
      <w:r w:rsidR="00767499">
        <w:rPr>
          <w:szCs w:val="22"/>
          <w:lang w:val="sr-Latn-ME"/>
        </w:rPr>
        <w:t xml:space="preserve">ljekovi koji se primjenjuju u opstruktivnim bolestima disajnih puteva, </w:t>
      </w:r>
      <w:r w:rsidR="00F4356A" w:rsidRPr="00890981">
        <w:rPr>
          <w:szCs w:val="22"/>
          <w:lang w:val="sr-Latn-ME"/>
        </w:rPr>
        <w:t>ostali l</w:t>
      </w:r>
      <w:r w:rsidR="000D64BA" w:rsidRPr="00890981">
        <w:rPr>
          <w:szCs w:val="22"/>
          <w:lang w:val="sr-Latn-ME"/>
        </w:rPr>
        <w:t>j</w:t>
      </w:r>
      <w:r w:rsidR="00F4356A" w:rsidRPr="00890981">
        <w:rPr>
          <w:szCs w:val="22"/>
          <w:lang w:val="sr-Latn-ME"/>
        </w:rPr>
        <w:t>ekovi koji se prim</w:t>
      </w:r>
      <w:r w:rsidR="000D64BA" w:rsidRPr="00890981">
        <w:rPr>
          <w:szCs w:val="22"/>
          <w:lang w:val="sr-Latn-ME"/>
        </w:rPr>
        <w:t>j</w:t>
      </w:r>
      <w:r w:rsidR="00F4356A" w:rsidRPr="00890981">
        <w:rPr>
          <w:szCs w:val="22"/>
          <w:lang w:val="sr-Latn-ME"/>
        </w:rPr>
        <w:t xml:space="preserve">enjuju u opstruktivnim bolestima disajnih puteva, inhalacioni; </w:t>
      </w:r>
      <w:r w:rsidR="00F0564C" w:rsidRPr="00890981">
        <w:rPr>
          <w:szCs w:val="22"/>
          <w:lang w:val="sr-Latn-ME"/>
        </w:rPr>
        <w:t>antiholinergici</w:t>
      </w:r>
    </w:p>
    <w:p w14:paraId="20DC0495" w14:textId="77777777" w:rsidR="00B8469B" w:rsidRPr="00890981" w:rsidRDefault="00B8469B">
      <w:pPr>
        <w:rPr>
          <w:b/>
          <w:bCs/>
          <w:szCs w:val="22"/>
          <w:lang w:val="sr-Latn-ME"/>
        </w:rPr>
      </w:pPr>
    </w:p>
    <w:p w14:paraId="33A88832" w14:textId="23E1B284" w:rsidR="00CE09F3" w:rsidRPr="00890981" w:rsidRDefault="00CE09F3">
      <w:pPr>
        <w:rPr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 xml:space="preserve">ATC </w:t>
      </w:r>
      <w:r w:rsidR="00B8469B" w:rsidRPr="00890981">
        <w:rPr>
          <w:b/>
          <w:bCs/>
          <w:szCs w:val="22"/>
          <w:lang w:val="sr-Latn-ME"/>
        </w:rPr>
        <w:t>kod</w:t>
      </w:r>
      <w:r w:rsidRPr="00890981">
        <w:rPr>
          <w:b/>
          <w:bCs/>
          <w:szCs w:val="22"/>
          <w:lang w:val="sr-Latn-ME"/>
        </w:rPr>
        <w:t>:</w:t>
      </w:r>
      <w:r w:rsidR="00F0564C" w:rsidRPr="00890981">
        <w:rPr>
          <w:szCs w:val="22"/>
          <w:lang w:val="sr-Latn-ME"/>
        </w:rPr>
        <w:t xml:space="preserve"> R03BB04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F0564C" w:rsidRPr="00890981" w14:paraId="04186212" w14:textId="77777777" w:rsidTr="00376C45">
        <w:trPr>
          <w:trHeight w:val="1145"/>
        </w:trPr>
        <w:tc>
          <w:tcPr>
            <w:tcW w:w="9747" w:type="dxa"/>
            <w:vAlign w:val="center"/>
          </w:tcPr>
          <w:p w14:paraId="637DA540" w14:textId="77777777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66398634" w14:textId="77777777" w:rsidR="00F0564C" w:rsidRPr="00890981" w:rsidRDefault="00F0564C" w:rsidP="009F610E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  <w:u w:val="single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u w:val="single"/>
                <w:lang w:val="sr-Latn-ME"/>
              </w:rPr>
              <w:t>Mehanizam dejstva</w:t>
            </w:r>
          </w:p>
          <w:p w14:paraId="47DE5FB1" w14:textId="3695D874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>Tiotropijum-bromid je dugod</w:t>
            </w:r>
            <w:r w:rsidR="000D64BA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elujući, specifičan antagonista muskarinskih receptora, koji se u kliničkoj medicini često naziva antiholinergik. Vezivanjem za muskarinske receptore u bronhijalnoj glatkoj muskulaturi tiotropijum-bromid inhibira holinergičko (bronhokonstriktivno) dejstvo acetilholina koji se oslobađa iz parasimpatičkih nervnih završetaka. Ima sličan afinitet za podtipove muskarinskih receptora M</w:t>
            </w:r>
            <w:r w:rsidRPr="00890981">
              <w:rPr>
                <w:color w:val="auto"/>
                <w:sz w:val="22"/>
                <w:szCs w:val="22"/>
                <w:vertAlign w:val="subscript"/>
                <w:lang w:val="sr-Latn-ME"/>
              </w:rPr>
              <w:t>1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do M</w:t>
            </w:r>
            <w:r w:rsidRPr="00890981">
              <w:rPr>
                <w:color w:val="auto"/>
                <w:sz w:val="22"/>
                <w:szCs w:val="22"/>
                <w:vertAlign w:val="subscript"/>
                <w:lang w:val="sr-Latn-ME"/>
              </w:rPr>
              <w:t>5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. U disajnim putevima, tiotropijum-bromid kompetitivno i reverzibilno antagonizuje M</w:t>
            </w:r>
            <w:r w:rsidRPr="00890981">
              <w:rPr>
                <w:color w:val="auto"/>
                <w:sz w:val="22"/>
                <w:szCs w:val="22"/>
                <w:vertAlign w:val="subscript"/>
                <w:lang w:val="sr-Latn-ME"/>
              </w:rPr>
              <w:t>3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receptor</w:t>
            </w:r>
            <w:r w:rsidR="00CF27B0" w:rsidRPr="00890981">
              <w:rPr>
                <w:color w:val="auto"/>
                <w:sz w:val="22"/>
                <w:szCs w:val="22"/>
                <w:lang w:val="sr-Latn-ME"/>
              </w:rPr>
              <w:t>e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što rezult</w:t>
            </w:r>
            <w:r w:rsidR="000D64BA" w:rsidRPr="00890981">
              <w:rPr>
                <w:color w:val="auto"/>
                <w:sz w:val="22"/>
                <w:szCs w:val="22"/>
                <w:lang w:val="sr-Latn-ME"/>
              </w:rPr>
              <w:t>ira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relaksacijom. Dejstvo je dozno zavisno i traje duže od 24 sata. Dugo trajanje dejstva nastaje v</w:t>
            </w:r>
            <w:r w:rsidR="000D64BA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erovatno usl</w:t>
            </w:r>
            <w:r w:rsidR="000D64BA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ed v</w:t>
            </w:r>
            <w:r w:rsidR="00CF27B0" w:rsidRPr="00890981">
              <w:rPr>
                <w:color w:val="auto"/>
                <w:sz w:val="22"/>
                <w:szCs w:val="22"/>
                <w:lang w:val="sr-Latn-ME"/>
              </w:rPr>
              <w:t>eoma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spore disocijacije sa M</w:t>
            </w:r>
            <w:r w:rsidRPr="00890981">
              <w:rPr>
                <w:color w:val="auto"/>
                <w:sz w:val="22"/>
                <w:szCs w:val="22"/>
                <w:vertAlign w:val="subscript"/>
                <w:lang w:val="sr-Latn-ME"/>
              </w:rPr>
              <w:t>3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receptora, pokazujući značajno duže poluvr</w:t>
            </w:r>
            <w:r w:rsidR="000D64BA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eme disocijacije nego ipratropijum. Kao N-kvaternerni antiholinergik, tiotropijum-bromid je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lokalno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(bronho-) selektivan kada se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primjenjuje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putem inhalacije i pokazuje prihvatljiv terapijski opseg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,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pr</w:t>
            </w:r>
            <w:r w:rsidR="000D64BA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 nego što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se mogu javiti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sistemska antiholinergička dejstva. </w:t>
            </w:r>
          </w:p>
          <w:p w14:paraId="3909EB3C" w14:textId="77777777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4C921FC8" w14:textId="125FA047" w:rsidR="00F0564C" w:rsidRPr="00890981" w:rsidRDefault="00767499" w:rsidP="009F610E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  <w:u w:val="single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u w:val="single"/>
                <w:lang w:val="sr-Latn-ME"/>
              </w:rPr>
              <w:t>Farmakodina</w:t>
            </w:r>
            <w:r>
              <w:rPr>
                <w:color w:val="auto"/>
                <w:sz w:val="22"/>
                <w:szCs w:val="22"/>
                <w:u w:val="single"/>
                <w:lang w:val="sr-Latn-ME"/>
              </w:rPr>
              <w:t>mska</w:t>
            </w:r>
            <w:r w:rsidRPr="00890981">
              <w:rPr>
                <w:color w:val="auto"/>
                <w:sz w:val="22"/>
                <w:szCs w:val="22"/>
                <w:u w:val="single"/>
                <w:lang w:val="sr-Latn-ME"/>
              </w:rPr>
              <w:t xml:space="preserve"> </w:t>
            </w:r>
            <w:r>
              <w:rPr>
                <w:color w:val="auto"/>
                <w:sz w:val="22"/>
                <w:szCs w:val="22"/>
                <w:u w:val="single"/>
                <w:lang w:val="sr-Latn-ME"/>
              </w:rPr>
              <w:t>dejstva</w:t>
            </w:r>
          </w:p>
          <w:p w14:paraId="1CDA2455" w14:textId="77777777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>Bronhodilatacija ima pr</w:t>
            </w:r>
            <w:r w:rsidR="000D64BA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 svega lokalni efekat (na disajne puteve), a ne sistemski.</w:t>
            </w:r>
          </w:p>
          <w:p w14:paraId="77B0A133" w14:textId="15465919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>Disocijacija sa M</w:t>
            </w:r>
            <w:r w:rsidRPr="00890981">
              <w:rPr>
                <w:color w:val="auto"/>
                <w:sz w:val="22"/>
                <w:szCs w:val="22"/>
                <w:vertAlign w:val="subscript"/>
                <w:lang w:val="sr-Latn-ME"/>
              </w:rPr>
              <w:t>2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receptora je brža nego sa M</w:t>
            </w:r>
            <w:r w:rsidRPr="00890981">
              <w:rPr>
                <w:color w:val="auto"/>
                <w:sz w:val="22"/>
                <w:szCs w:val="22"/>
                <w:vertAlign w:val="subscript"/>
                <w:lang w:val="sr-Latn-ME"/>
              </w:rPr>
              <w:t>3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, što je u funkcionalnim </w:t>
            </w:r>
            <w:r w:rsidRPr="00890981">
              <w:rPr>
                <w:i/>
                <w:iCs/>
                <w:color w:val="auto"/>
                <w:sz w:val="22"/>
                <w:szCs w:val="22"/>
                <w:lang w:val="sr-Latn-ME"/>
              </w:rPr>
              <w:t>in vitro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studijama dovodilo do pojave (kinetički kontrolisane) selektivnosti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za receptorski podtip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M</w:t>
            </w:r>
            <w:r w:rsidRPr="00890981">
              <w:rPr>
                <w:color w:val="auto"/>
                <w:sz w:val="22"/>
                <w:szCs w:val="22"/>
                <w:vertAlign w:val="subscript"/>
                <w:lang w:val="sr-Latn-ME"/>
              </w:rPr>
              <w:t>3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nad M</w:t>
            </w:r>
            <w:r w:rsidRPr="00890981">
              <w:rPr>
                <w:color w:val="auto"/>
                <w:sz w:val="22"/>
                <w:szCs w:val="22"/>
                <w:vertAlign w:val="subscript"/>
                <w:lang w:val="sr-Latn-ME"/>
              </w:rPr>
              <w:t>2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. Velika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potentnost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i spora disocijacija receptora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klinički se manifestuje značajnom i dugodjelujućom bronhodilatacijom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kod pacijenata sa HOBP. </w:t>
            </w:r>
          </w:p>
          <w:p w14:paraId="4E2516F0" w14:textId="77777777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7FEDE74D" w14:textId="77777777" w:rsidR="00F0564C" w:rsidRPr="00890981" w:rsidRDefault="00F0564C" w:rsidP="009F610E">
            <w:pPr>
              <w:pStyle w:val="Default"/>
              <w:spacing w:line="360" w:lineRule="auto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  <w:u w:val="single"/>
                <w:lang w:val="sr-Latn-ME"/>
              </w:rPr>
            </w:pPr>
            <w:r w:rsidRPr="00890981">
              <w:rPr>
                <w:i/>
                <w:iCs/>
                <w:color w:val="auto"/>
                <w:sz w:val="22"/>
                <w:szCs w:val="22"/>
                <w:u w:val="single"/>
                <w:lang w:val="sr-Latn-ME"/>
              </w:rPr>
              <w:t>Elektrofiziologija srca</w:t>
            </w:r>
          </w:p>
          <w:p w14:paraId="64CF6750" w14:textId="46D4D738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>Elektrofiziologija</w:t>
            </w:r>
            <w:r w:rsidR="00757751" w:rsidRPr="00890981">
              <w:rPr>
                <w:bCs/>
                <w:color w:val="auto"/>
                <w:sz w:val="22"/>
                <w:szCs w:val="22"/>
                <w:lang w:val="sr-Latn-ME"/>
              </w:rPr>
              <w:t>:</w:t>
            </w:r>
            <w:r w:rsidR="0069571F" w:rsidRPr="00890981">
              <w:rPr>
                <w:color w:val="auto"/>
                <w:sz w:val="22"/>
                <w:szCs w:val="22"/>
                <w:lang w:val="sr-Latn-ME"/>
              </w:rPr>
              <w:t xml:space="preserve"> u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studiji koja je namenski izučavala QT na 53 zdrava dobrovoljca,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 xml:space="preserve">lijek </w:t>
            </w:r>
            <w:r w:rsidRPr="00890981">
              <w:rPr>
                <w:rFonts w:eastAsia="Times New Roman"/>
                <w:color w:val="auto"/>
                <w:sz w:val="22"/>
                <w:szCs w:val="22"/>
                <w:lang w:val="sr-Latn-ME" w:eastAsia="en-US" w:bidi="ar-SA"/>
              </w:rPr>
              <w:t>Spiriva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18 mikrograma i 54 mikrograma (tj. tri puta veća doza od terapijske) tokom 12 dana nije značajno produžila QT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interval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na EKG-u.</w:t>
            </w:r>
          </w:p>
          <w:p w14:paraId="03BB4919" w14:textId="77777777" w:rsidR="00F0564C" w:rsidRPr="00890981" w:rsidRDefault="00F0564C">
            <w:pPr>
              <w:tabs>
                <w:tab w:val="clear" w:pos="284"/>
                <w:tab w:val="left" w:pos="567"/>
              </w:tabs>
              <w:spacing w:line="260" w:lineRule="exact"/>
              <w:rPr>
                <w:szCs w:val="22"/>
                <w:u w:val="single"/>
                <w:lang w:val="sr-Latn-ME"/>
              </w:rPr>
            </w:pPr>
          </w:p>
          <w:p w14:paraId="42F0002D" w14:textId="77777777" w:rsidR="00F0564C" w:rsidRPr="00890981" w:rsidRDefault="00F0564C" w:rsidP="009F610E">
            <w:pPr>
              <w:tabs>
                <w:tab w:val="clear" w:pos="284"/>
                <w:tab w:val="left" w:pos="567"/>
              </w:tabs>
              <w:spacing w:line="360" w:lineRule="auto"/>
              <w:rPr>
                <w:szCs w:val="22"/>
                <w:u w:val="single"/>
                <w:lang w:val="sr-Latn-ME"/>
              </w:rPr>
            </w:pPr>
            <w:r w:rsidRPr="00890981">
              <w:rPr>
                <w:szCs w:val="22"/>
                <w:u w:val="single"/>
                <w:lang w:val="sr-Latn-ME"/>
              </w:rPr>
              <w:t>Klinička efikasnost i bezb</w:t>
            </w:r>
            <w:r w:rsidR="0025091E" w:rsidRPr="00890981">
              <w:rPr>
                <w:szCs w:val="22"/>
                <w:u w:val="single"/>
                <w:lang w:val="sr-Latn-ME"/>
              </w:rPr>
              <w:t>j</w:t>
            </w:r>
            <w:r w:rsidRPr="00890981">
              <w:rPr>
                <w:szCs w:val="22"/>
                <w:u w:val="single"/>
                <w:lang w:val="sr-Latn-ME"/>
              </w:rPr>
              <w:t xml:space="preserve">ednost </w:t>
            </w:r>
          </w:p>
          <w:p w14:paraId="0C438BC1" w14:textId="3048E59F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>Klinički program razvoja je uključivao četiri jednogodišnje i dv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 šestom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esečne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randomizovane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, </w:t>
            </w:r>
            <w:r w:rsidR="00CF27B0" w:rsidRPr="00890981">
              <w:rPr>
                <w:color w:val="auto"/>
                <w:sz w:val="22"/>
                <w:szCs w:val="22"/>
                <w:lang w:val="sr-Latn-ME"/>
              </w:rPr>
              <w:t>dvostruko</w:t>
            </w:r>
            <w:r w:rsidR="008818B6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sl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epe studije kod 2663 pacijenta (1308 je primalo tiotropijum-bromid). Jednogodišnji program se sastojao od dv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 placebo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m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kontrolisane i dv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studije sa aktivnom kontrolom (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ipratropijum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)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. 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>Dv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ije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 xml:space="preserve"> šestomjesečn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e studije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su 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>bil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e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i salmeterol i placebo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 xml:space="preserve">m </w:t>
            </w:r>
            <w:r w:rsidR="00767499" w:rsidRPr="00890981">
              <w:rPr>
                <w:color w:val="auto"/>
                <w:sz w:val="22"/>
                <w:szCs w:val="22"/>
                <w:lang w:val="sr-Latn-ME"/>
              </w:rPr>
              <w:t>kontrolisan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e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.</w:t>
            </w:r>
            <w:r w:rsidR="00591BEA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Ove studije su uključivale m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erenje funkcije pluća, m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erenje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 xml:space="preserve">zdravstvenog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ishoda</w:t>
            </w:r>
            <w:r w:rsidR="008818B6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dispne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e, egzacerbacija i kvaliteta života </w:t>
            </w:r>
            <w:r w:rsidR="00767499">
              <w:rPr>
                <w:color w:val="auto"/>
                <w:sz w:val="22"/>
                <w:szCs w:val="22"/>
                <w:lang w:val="sr-Latn-ME"/>
              </w:rPr>
              <w:t>povezanog sa zdravljem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.</w:t>
            </w:r>
          </w:p>
          <w:p w14:paraId="16551095" w14:textId="77777777" w:rsidR="00F0564C" w:rsidRPr="00890981" w:rsidRDefault="00F0564C">
            <w:pPr>
              <w:pStyle w:val="Default"/>
              <w:jc w:val="both"/>
              <w:rPr>
                <w:i/>
                <w:iCs/>
                <w:color w:val="auto"/>
                <w:sz w:val="22"/>
                <w:szCs w:val="22"/>
                <w:lang w:val="sr-Latn-ME"/>
              </w:rPr>
            </w:pPr>
          </w:p>
          <w:p w14:paraId="5869D0B6" w14:textId="779DC6EC" w:rsidR="00F0564C" w:rsidRPr="00890981" w:rsidRDefault="00767499" w:rsidP="009F610E">
            <w:pPr>
              <w:pStyle w:val="Default"/>
              <w:spacing w:line="276" w:lineRule="auto"/>
              <w:jc w:val="both"/>
              <w:rPr>
                <w:i/>
                <w:iCs/>
                <w:color w:val="auto"/>
                <w:sz w:val="22"/>
                <w:szCs w:val="22"/>
                <w:lang w:val="sr-Latn-ME"/>
              </w:rPr>
            </w:pPr>
            <w:r w:rsidRPr="009C4470">
              <w:rPr>
                <w:i/>
                <w:iCs/>
                <w:color w:val="auto"/>
                <w:sz w:val="22"/>
                <w:szCs w:val="22"/>
                <w:lang w:val="sr-Latn-ME"/>
              </w:rPr>
              <w:t>Funkcija pluća</w:t>
            </w:r>
          </w:p>
          <w:p w14:paraId="6E78B2E0" w14:textId="1096A5CC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Tiotropijum-bromid 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>, primjenjivan</w:t>
            </w:r>
            <w:r w:rsidR="008818B6" w:rsidRPr="00890981">
              <w:rPr>
                <w:color w:val="auto"/>
                <w:sz w:val="22"/>
                <w:szCs w:val="22"/>
                <w:lang w:val="sr-Latn-ME"/>
              </w:rPr>
              <w:t xml:space="preserve"> jednom dnevno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, obezb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edio je značajno poboljšanje funkcije 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 xml:space="preserve">pluća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(forsirani ekspiratorni volumen u</w:t>
            </w:r>
            <w:r w:rsidR="008818B6" w:rsidRPr="00890981">
              <w:rPr>
                <w:color w:val="auto"/>
                <w:sz w:val="22"/>
                <w:szCs w:val="22"/>
                <w:lang w:val="sr-Latn-ME"/>
              </w:rPr>
              <w:t xml:space="preserve"> prvoj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sekundi, FEV</w:t>
            </w:r>
            <w:r w:rsidRPr="00890981">
              <w:rPr>
                <w:color w:val="auto"/>
                <w:sz w:val="22"/>
                <w:szCs w:val="22"/>
                <w:vertAlign w:val="subscript"/>
                <w:lang w:val="sr-Latn-ME"/>
              </w:rPr>
              <w:t>1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i forsirani vitalni kapacitet, FVC) u roku od 30 minuta</w:t>
            </w:r>
            <w:r w:rsidRPr="00890981">
              <w:rPr>
                <w:b/>
                <w:bCs/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posl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 prve doze, koje se održavalo tokom 24 sata. Farmakodinamsko </w:t>
            </w:r>
            <w:r w:rsidRPr="00890981">
              <w:rPr>
                <w:sz w:val="22"/>
                <w:szCs w:val="22"/>
                <w:lang w:val="sr-Latn-ME"/>
              </w:rPr>
              <w:t>stanje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 xml:space="preserve">ravnoteže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se postiglo tokom jedne ned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elje dok je većina bronhodilatacija prim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ećena 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>do</w:t>
            </w:r>
            <w:r w:rsidR="009C4470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trećeg dana. Tiotropijum-bromid je značajno poboljšao jutarnju i večernju 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>brzinu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protoka vazduha prilikom izdaha (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 xml:space="preserve">eng. </w:t>
            </w:r>
            <w:r w:rsidRPr="00890981">
              <w:rPr>
                <w:i/>
                <w:color w:val="auto"/>
                <w:sz w:val="22"/>
                <w:szCs w:val="22"/>
                <w:lang w:val="sr-Latn-ME"/>
              </w:rPr>
              <w:t>peak expiratory flow rate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>, PEFR), koja je svakodnevno mjerena kod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pacijenata. Bronhodilatatorna dejstva tiotropijum-bromida su se održavala tokom jednogodišnjeg perioda 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>primjene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, bez dokaza o pojavi tolerancije.</w:t>
            </w:r>
          </w:p>
          <w:p w14:paraId="277336A2" w14:textId="77777777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0A03B70D" w14:textId="7E633B61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Randomizovana, placebo-kontrolisana klinička studija kod 105 pacijenata sa HOBP je pokazala da se bronhodilatacija održava tokom 24-satnog intervala 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 xml:space="preserve">doziranja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u poređenju sa placebom, bez obzira da li je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lastRenderedPageBreak/>
              <w:t>l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ek prim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enjivan ujutro ili uveče.</w:t>
            </w:r>
          </w:p>
          <w:p w14:paraId="4B922B2A" w14:textId="77777777" w:rsidR="00F0564C" w:rsidRPr="00890981" w:rsidRDefault="00F0564C">
            <w:pPr>
              <w:pStyle w:val="Default"/>
              <w:jc w:val="both"/>
              <w:rPr>
                <w:strike/>
                <w:color w:val="auto"/>
                <w:sz w:val="22"/>
                <w:szCs w:val="22"/>
                <w:lang w:val="sr-Latn-ME"/>
              </w:rPr>
            </w:pPr>
          </w:p>
          <w:p w14:paraId="71A66490" w14:textId="563CF584" w:rsidR="00F0564C" w:rsidRPr="00890981" w:rsidRDefault="005524E0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u w:val="single"/>
                <w:lang w:val="sr-Latn-ME"/>
              </w:rPr>
              <w:t>Kliničke studije (u trajanju do 12 m</w:t>
            </w:r>
            <w:r w:rsidR="0025091E" w:rsidRPr="00890981">
              <w:rPr>
                <w:color w:val="auto"/>
                <w:sz w:val="22"/>
                <w:szCs w:val="22"/>
                <w:u w:val="single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u w:val="single"/>
                <w:lang w:val="sr-Latn-ME"/>
              </w:rPr>
              <w:t>eseci)</w:t>
            </w:r>
            <w:r w:rsidR="009C4470">
              <w:rPr>
                <w:i/>
                <w:iCs/>
                <w:color w:val="auto"/>
                <w:sz w:val="22"/>
                <w:szCs w:val="22"/>
                <w:lang w:val="sr-Latn-ME"/>
              </w:rPr>
              <w:t>Dispneja, podnošenje fizičkog napora</w:t>
            </w:r>
            <w:r w:rsidR="00F0564C" w:rsidRPr="00890981">
              <w:rPr>
                <w:color w:val="auto"/>
                <w:sz w:val="22"/>
                <w:szCs w:val="22"/>
                <w:lang w:val="sr-Latn-ME"/>
              </w:rPr>
              <w:t>Tiotropijum-bromid je značajno poboljšao dispne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>j</w:t>
            </w:r>
            <w:r w:rsidR="00F0564C" w:rsidRPr="00890981">
              <w:rPr>
                <w:color w:val="auto"/>
                <w:sz w:val="22"/>
                <w:szCs w:val="22"/>
                <w:lang w:val="sr-Latn-ME"/>
              </w:rPr>
              <w:t>u (što je proc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="00F0564C" w:rsidRPr="00890981">
              <w:rPr>
                <w:color w:val="auto"/>
                <w:sz w:val="22"/>
                <w:szCs w:val="22"/>
                <w:lang w:val="sr-Latn-ME"/>
              </w:rPr>
              <w:t xml:space="preserve">enjeno </w:t>
            </w:r>
            <w:r w:rsidR="009C4470">
              <w:rPr>
                <w:color w:val="auto"/>
                <w:sz w:val="22"/>
                <w:szCs w:val="22"/>
                <w:lang w:val="sr-Latn-ME"/>
              </w:rPr>
              <w:t xml:space="preserve">korišćenjem </w:t>
            </w:r>
            <w:r w:rsidR="00F0564C" w:rsidRPr="00890981">
              <w:rPr>
                <w:i/>
                <w:iCs/>
                <w:color w:val="auto"/>
                <w:sz w:val="22"/>
                <w:szCs w:val="22"/>
                <w:lang w:val="sr-Latn-ME"/>
              </w:rPr>
              <w:t>Transition Dyspnea Index</w:t>
            </w:r>
            <w:r w:rsidR="00F0564C" w:rsidRPr="00890981">
              <w:rPr>
                <w:color w:val="auto"/>
                <w:sz w:val="22"/>
                <w:szCs w:val="22"/>
                <w:lang w:val="sr-Latn-ME"/>
              </w:rPr>
              <w:t>). Ovo poboljšanje održavano je tokom c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="00F0564C" w:rsidRPr="00890981">
              <w:rPr>
                <w:color w:val="auto"/>
                <w:sz w:val="22"/>
                <w:szCs w:val="22"/>
                <w:lang w:val="sr-Latn-ME"/>
              </w:rPr>
              <w:t xml:space="preserve">elog terapijskog perioda. </w:t>
            </w:r>
          </w:p>
          <w:p w14:paraId="176CD26A" w14:textId="77777777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44D0E7C7" w14:textId="1323D02E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>Uticaj poboljšanja dispne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 na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podnošenje fizičkog napora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ispitivan je u dv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 randomizovane, dvostruko sl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epe, placebo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m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kontrolisane studije kod 433 pacijenta sa um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erenom do teškom HOBP. U ovim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studijama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,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 xml:space="preserve">nakon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šest ned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elja terapije l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ekom Spiriva došlo je do značajnog poboljšanja vremena simptomima ograničene fizičke izdržljivosti tokom v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ežbi na bicikl-ergometru pri 75% maksimalnog radnog kapaciteta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 xml:space="preserve"> za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19,7% (Studija A) i 28,3% (Studija B) u poređenju sa placebom.</w:t>
            </w:r>
          </w:p>
          <w:p w14:paraId="1D588AC5" w14:textId="77777777" w:rsidR="00F0564C" w:rsidRPr="00890981" w:rsidRDefault="00F0564C">
            <w:pPr>
              <w:tabs>
                <w:tab w:val="clear" w:pos="284"/>
                <w:tab w:val="left" w:pos="567"/>
              </w:tabs>
              <w:spacing w:line="260" w:lineRule="exact"/>
              <w:rPr>
                <w:i/>
                <w:iCs/>
                <w:szCs w:val="22"/>
                <w:lang w:val="sr-Latn-ME"/>
              </w:rPr>
            </w:pPr>
          </w:p>
          <w:p w14:paraId="68D07A5C" w14:textId="5FF63466" w:rsidR="00F0564C" w:rsidRPr="00890981" w:rsidRDefault="0069571F">
            <w:pPr>
              <w:tabs>
                <w:tab w:val="clear" w:pos="284"/>
                <w:tab w:val="left" w:pos="567"/>
              </w:tabs>
              <w:spacing w:line="260" w:lineRule="exact"/>
              <w:rPr>
                <w:i/>
                <w:iCs/>
                <w:szCs w:val="22"/>
                <w:lang w:val="sr-Latn-ME"/>
              </w:rPr>
            </w:pPr>
            <w:r w:rsidRPr="00890981">
              <w:rPr>
                <w:i/>
                <w:iCs/>
                <w:szCs w:val="22"/>
                <w:lang w:val="sr-Latn-ME"/>
              </w:rPr>
              <w:t>Kvalitet</w:t>
            </w:r>
            <w:r w:rsidR="00F0564C" w:rsidRPr="00890981">
              <w:rPr>
                <w:i/>
                <w:iCs/>
                <w:szCs w:val="22"/>
                <w:lang w:val="sr-Latn-ME"/>
              </w:rPr>
              <w:t xml:space="preserve"> života </w:t>
            </w:r>
            <w:r w:rsidR="00AA24CE">
              <w:rPr>
                <w:i/>
                <w:iCs/>
                <w:szCs w:val="22"/>
                <w:lang w:val="sr-Latn-ME"/>
              </w:rPr>
              <w:t>povezan sa zdravljem</w:t>
            </w:r>
            <w:r w:rsidR="00F0564C" w:rsidRPr="00890981">
              <w:rPr>
                <w:i/>
                <w:iCs/>
                <w:szCs w:val="22"/>
                <w:lang w:val="sr-Latn-ME"/>
              </w:rPr>
              <w:t xml:space="preserve"> </w:t>
            </w:r>
          </w:p>
          <w:p w14:paraId="20F3109D" w14:textId="694CFFD1" w:rsidR="00A47380" w:rsidRPr="00890981" w:rsidRDefault="00F0564C">
            <w:pPr>
              <w:pStyle w:val="Default"/>
              <w:tabs>
                <w:tab w:val="left" w:pos="284"/>
              </w:tabs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>U 9-m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esečnoj, randomizovanoj, dvostruko-sl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epoj, placebo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m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kontrolisanoj studiji na 492 pacijenta, 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>l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 xml:space="preserve">ek </w:t>
            </w:r>
            <w:r w:rsidRPr="00890981">
              <w:rPr>
                <w:rFonts w:eastAsia="Times New Roman"/>
                <w:color w:val="auto"/>
                <w:sz w:val="22"/>
                <w:szCs w:val="22"/>
                <w:lang w:val="sr-Latn-ME" w:eastAsia="en-US" w:bidi="ar-SA"/>
              </w:rPr>
              <w:t>Spiriva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je do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>veo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do poboljšanja kvaliteta života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povezanog sa zdravljem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, što je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utvrđeno ukupnim skorom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na </w:t>
            </w:r>
            <w:r w:rsidRPr="00890981">
              <w:rPr>
                <w:i/>
                <w:color w:val="auto"/>
                <w:sz w:val="22"/>
                <w:szCs w:val="22"/>
                <w:lang w:val="sr-Latn-ME"/>
              </w:rPr>
              <w:t>St. George’s Respiratory Questionnaire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(SGRQ).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Udio</w:t>
            </w:r>
            <w:r w:rsidR="00AA24CE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pacijenata l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ečenih l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ij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ekom </w:t>
            </w:r>
            <w:r w:rsidRPr="00890981">
              <w:rPr>
                <w:rFonts w:eastAsia="Times New Roman"/>
                <w:color w:val="auto"/>
                <w:sz w:val="22"/>
                <w:szCs w:val="22"/>
                <w:lang w:val="sr-Latn-ME" w:eastAsia="en-US" w:bidi="ar-SA"/>
              </w:rPr>
              <w:t>Spiriva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, koji su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 xml:space="preserve">postigli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značajno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poboljšanje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SGRQ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 xml:space="preserve">ukupnog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skor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(&gt;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4 jedinice) bio je 10,9% viši u poređenju sa placebo grupom (59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>,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1% u </w:t>
            </w:r>
            <w:r w:rsidRPr="00890981">
              <w:rPr>
                <w:rFonts w:eastAsia="Times New Roman"/>
                <w:color w:val="auto"/>
                <w:sz w:val="22"/>
                <w:szCs w:val="22"/>
                <w:lang w:val="sr-Latn-ME" w:eastAsia="en-US" w:bidi="ar-SA"/>
              </w:rPr>
              <w:t>Spiriva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grupi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u odnosu na</w:t>
            </w:r>
            <w:r w:rsidR="00AA24CE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48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>,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2% u placebo grupi (p=0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>,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029)). Srednja razlika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između</w:t>
            </w:r>
            <w:r w:rsidR="00AA24CE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grupa je bila 4,19 jedinica (p=0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>,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001; interval pouzdanosti: 1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>,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>69 – 6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>,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68). </w:t>
            </w:r>
            <w:r w:rsidR="00AA24CE" w:rsidRPr="00890981">
              <w:rPr>
                <w:color w:val="auto"/>
                <w:sz w:val="22"/>
                <w:szCs w:val="22"/>
                <w:lang w:val="sr-Latn-ME"/>
              </w:rPr>
              <w:t>Poboljšanj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a</w:t>
            </w:r>
            <w:r w:rsidR="00AA24CE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>u d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 xml:space="preserve">elovima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SGRQ </w:t>
            </w:r>
            <w:r w:rsidR="00A47380" w:rsidRPr="00890981">
              <w:rPr>
                <w:color w:val="auto"/>
                <w:sz w:val="22"/>
                <w:szCs w:val="22"/>
                <w:lang w:val="sr-Latn-ME"/>
              </w:rPr>
              <w:t xml:space="preserve">skora </w:t>
            </w:r>
            <w:r w:rsidR="00C003B9" w:rsidRPr="00890981">
              <w:rPr>
                <w:color w:val="auto"/>
                <w:sz w:val="22"/>
                <w:szCs w:val="22"/>
                <w:lang w:val="sr-Latn-ME"/>
              </w:rPr>
              <w:t>iznosila su 8,19 jedinica za „simptome</w:t>
            </w:r>
            <w:r w:rsidR="00C003B9" w:rsidRPr="00890981">
              <w:rPr>
                <w:sz w:val="22"/>
                <w:szCs w:val="22"/>
                <w:lang w:val="sr-Latn-ME"/>
              </w:rPr>
              <w:t>”</w:t>
            </w:r>
            <w:r w:rsidR="00C003B9" w:rsidRPr="00890981">
              <w:rPr>
                <w:color w:val="auto"/>
                <w:sz w:val="22"/>
                <w:szCs w:val="22"/>
                <w:lang w:val="sr-Latn-ME"/>
              </w:rPr>
              <w:t>, 3,91 jedinicu za „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aktivnost</w:t>
            </w:r>
            <w:r w:rsidR="00C003B9" w:rsidRPr="00890981">
              <w:rPr>
                <w:sz w:val="22"/>
                <w:szCs w:val="22"/>
                <w:lang w:val="sr-Latn-ME"/>
              </w:rPr>
              <w:t>”</w:t>
            </w:r>
            <w:r w:rsidR="00C003B9" w:rsidRPr="00890981">
              <w:rPr>
                <w:color w:val="auto"/>
                <w:sz w:val="22"/>
                <w:szCs w:val="22"/>
                <w:lang w:val="sr-Latn-ME"/>
              </w:rPr>
              <w:t>, a 3,61 jedinica za „uticaj na svakodnevni život</w:t>
            </w:r>
            <w:r w:rsidR="00C003B9" w:rsidRPr="00890981">
              <w:rPr>
                <w:sz w:val="22"/>
                <w:szCs w:val="22"/>
                <w:lang w:val="sr-Latn-ME"/>
              </w:rPr>
              <w:t>”</w:t>
            </w:r>
            <w:r w:rsidR="00C003B9" w:rsidRPr="00890981">
              <w:rPr>
                <w:color w:val="auto"/>
                <w:sz w:val="22"/>
                <w:szCs w:val="22"/>
                <w:lang w:val="sr-Latn-ME"/>
              </w:rPr>
              <w:t>.</w:t>
            </w:r>
            <w:r w:rsidR="00A77743" w:rsidRPr="00890981">
              <w:rPr>
                <w:color w:val="auto"/>
                <w:sz w:val="22"/>
                <w:szCs w:val="22"/>
                <w:lang w:val="sr-Latn-ME"/>
              </w:rPr>
              <w:t xml:space="preserve"> Poboljšanja svih ovih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 xml:space="preserve">odvojenih </w:t>
            </w:r>
            <w:r w:rsidR="00A77743" w:rsidRPr="00890981">
              <w:rPr>
                <w:color w:val="auto"/>
                <w:sz w:val="22"/>
                <w:szCs w:val="22"/>
                <w:lang w:val="sr-Latn-ME"/>
              </w:rPr>
              <w:t>d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="00A77743" w:rsidRPr="00890981">
              <w:rPr>
                <w:color w:val="auto"/>
                <w:sz w:val="22"/>
                <w:szCs w:val="22"/>
                <w:lang w:val="sr-Latn-ME"/>
              </w:rPr>
              <w:t xml:space="preserve">elova </w:t>
            </w:r>
            <w:r w:rsidR="003A64E4" w:rsidRPr="00890981">
              <w:rPr>
                <w:color w:val="auto"/>
                <w:sz w:val="22"/>
                <w:szCs w:val="22"/>
                <w:lang w:val="sr-Latn-ME"/>
              </w:rPr>
              <w:t>SGRQ</w:t>
            </w:r>
            <w:r w:rsidR="00A77743" w:rsidRPr="00890981">
              <w:rPr>
                <w:color w:val="auto"/>
                <w:sz w:val="22"/>
                <w:szCs w:val="22"/>
                <w:lang w:val="sr-Latn-ME"/>
              </w:rPr>
              <w:t xml:space="preserve"> skora bila su statistički značajna.</w:t>
            </w:r>
          </w:p>
          <w:p w14:paraId="27D10DCF" w14:textId="77777777" w:rsidR="00A47380" w:rsidRPr="00890981" w:rsidRDefault="00A47380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1A0B8F93" w14:textId="77777777" w:rsidR="00F0564C" w:rsidRPr="00890981" w:rsidRDefault="00F0564C">
            <w:pPr>
              <w:pStyle w:val="Default"/>
              <w:jc w:val="both"/>
              <w:rPr>
                <w:i/>
                <w:iCs/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i/>
                <w:iCs/>
                <w:color w:val="auto"/>
                <w:sz w:val="22"/>
                <w:szCs w:val="22"/>
                <w:lang w:val="sr-Latn-ME"/>
              </w:rPr>
              <w:t>HOBP egzacerbacije</w:t>
            </w:r>
          </w:p>
          <w:p w14:paraId="488FB7EB" w14:textId="3F93553E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U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randomizovanoj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dvostruko </w:t>
            </w:r>
            <w:r w:rsidR="00AA24CE" w:rsidRPr="00890981">
              <w:rPr>
                <w:color w:val="auto"/>
                <w:sz w:val="22"/>
                <w:szCs w:val="22"/>
                <w:lang w:val="sr-Latn-ME"/>
              </w:rPr>
              <w:t>slijep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oj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, placebom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kontrolisanoj studiji kod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1829 pacijenata sa um</w:t>
            </w:r>
            <w:r w:rsidR="0025091E" w:rsidRPr="00890981">
              <w:rPr>
                <w:color w:val="auto"/>
                <w:sz w:val="22"/>
                <w:szCs w:val="22"/>
                <w:lang w:val="sr-Latn-ME"/>
              </w:rPr>
              <w:t>j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erenom do veoma teškom HOBP, tiotropijum bromid je statistički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značajno</w:t>
            </w:r>
            <w:r w:rsidR="00AA24CE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smanjio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udio</w:t>
            </w:r>
            <w:r w:rsidR="00AA24CE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pacijenata kod kojih su se </w:t>
            </w:r>
            <w:r w:rsidR="00AA24CE">
              <w:rPr>
                <w:color w:val="auto"/>
                <w:sz w:val="22"/>
                <w:szCs w:val="22"/>
                <w:lang w:val="sr-Latn-ME"/>
              </w:rPr>
              <w:t>javile</w:t>
            </w:r>
            <w:r w:rsidR="00AA24CE" w:rsidRPr="00890981">
              <w:rPr>
                <w:color w:val="auto"/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egzacerbacije HOBP (sa 32,2% na 27,8%) i statistički </w:t>
            </w:r>
            <w:r w:rsidR="002F6B31" w:rsidRPr="00890981">
              <w:rPr>
                <w:color w:val="auto"/>
                <w:sz w:val="22"/>
                <w:szCs w:val="22"/>
                <w:lang w:val="sr-Latn-ME"/>
              </w:rPr>
              <w:t xml:space="preserve">značajno </w:t>
            </w:r>
            <w:r w:rsidRPr="00890981">
              <w:rPr>
                <w:color w:val="auto"/>
                <w:sz w:val="22"/>
                <w:szCs w:val="22"/>
                <w:lang w:val="sr-Latn-ME"/>
              </w:rPr>
              <w:t xml:space="preserve"> smanjio broj egzacerbacija za 19% (sa 1,05 na 0,85 događaja po pacijent- godini izloženosti). Uz to, 7,0% pacijenata u grupi koja je primala tiotropijum bromid i 9,5% pacijenata u grupi koja je primala placebo bilo je hospitalizovano zbog egzacerbacije HOBP (p=0,056). Broj hospitalizacija zbog HOBP bio je smanjen za 30% (sa 0,25 na 0,18 događaja po pacijent -godini izloženosti).</w:t>
            </w:r>
          </w:p>
          <w:p w14:paraId="4C8F9114" w14:textId="77777777" w:rsidR="00F0564C" w:rsidRPr="00890981" w:rsidRDefault="00F0564C">
            <w:pPr>
              <w:pStyle w:val="Default"/>
              <w:jc w:val="both"/>
              <w:rPr>
                <w:color w:val="auto"/>
                <w:sz w:val="22"/>
                <w:szCs w:val="22"/>
                <w:lang w:val="sr-Latn-ME"/>
              </w:rPr>
            </w:pPr>
          </w:p>
          <w:p w14:paraId="3ABD9CE2" w14:textId="400A3F7F" w:rsidR="00F0564C" w:rsidRPr="00890981" w:rsidRDefault="00F0564C">
            <w:pPr>
              <w:numPr>
                <w:ilvl w:val="12"/>
                <w:numId w:val="0"/>
              </w:numPr>
              <w:ind w:right="-2"/>
              <w:rPr>
                <w:iCs/>
                <w:szCs w:val="22"/>
                <w:lang w:val="sr-Latn-ME"/>
              </w:rPr>
            </w:pPr>
            <w:r w:rsidRPr="00890981">
              <w:rPr>
                <w:iCs/>
                <w:szCs w:val="22"/>
                <w:lang w:val="sr-Latn-ME"/>
              </w:rPr>
              <w:t xml:space="preserve">U </w:t>
            </w:r>
            <w:r w:rsidR="00AA24CE">
              <w:rPr>
                <w:iCs/>
                <w:szCs w:val="22"/>
                <w:lang w:val="sr-Latn-ME"/>
              </w:rPr>
              <w:t>jednogodišnjoj, randomizovanoj</w:t>
            </w:r>
            <w:r w:rsidRPr="00890981">
              <w:rPr>
                <w:iCs/>
                <w:szCs w:val="22"/>
                <w:lang w:val="sr-Latn-ME"/>
              </w:rPr>
              <w:t xml:space="preserve">, dvostruko </w:t>
            </w:r>
            <w:r w:rsidR="00AA24CE" w:rsidRPr="00890981">
              <w:rPr>
                <w:iCs/>
                <w:szCs w:val="22"/>
                <w:lang w:val="sr-Latn-ME"/>
              </w:rPr>
              <w:t>slijep</w:t>
            </w:r>
            <w:r w:rsidR="00AA24CE">
              <w:rPr>
                <w:iCs/>
                <w:szCs w:val="22"/>
                <w:lang w:val="sr-Latn-ME"/>
              </w:rPr>
              <w:t>oj</w:t>
            </w:r>
            <w:r w:rsidRPr="00890981">
              <w:rPr>
                <w:iCs/>
                <w:szCs w:val="22"/>
                <w:lang w:val="sr-Latn-ME"/>
              </w:rPr>
              <w:t xml:space="preserve">, </w:t>
            </w:r>
            <w:r w:rsidRPr="00890981">
              <w:rPr>
                <w:i/>
                <w:szCs w:val="22"/>
                <w:lang w:val="sr-Latn-ME"/>
              </w:rPr>
              <w:t>double-dummy</w:t>
            </w:r>
            <w:r w:rsidR="00AA24CE">
              <w:rPr>
                <w:iCs/>
                <w:szCs w:val="22"/>
                <w:lang w:val="sr-Latn-ME"/>
              </w:rPr>
              <w:t xml:space="preserve"> studiji</w:t>
            </w:r>
            <w:r w:rsidRPr="00890981">
              <w:rPr>
                <w:iCs/>
                <w:szCs w:val="22"/>
                <w:lang w:val="sr-Latn-ME"/>
              </w:rPr>
              <w:t xml:space="preserve"> sa paralelnim grupama poređeni su efekti terapije sa 18 mikrograma l</w:t>
            </w:r>
            <w:r w:rsidR="0025091E" w:rsidRPr="00890981">
              <w:rPr>
                <w:iCs/>
                <w:szCs w:val="22"/>
                <w:lang w:val="sr-Latn-ME"/>
              </w:rPr>
              <w:t>ij</w:t>
            </w:r>
            <w:r w:rsidRPr="00890981">
              <w:rPr>
                <w:iCs/>
                <w:szCs w:val="22"/>
                <w:lang w:val="sr-Latn-ME"/>
              </w:rPr>
              <w:t>eka Spiriva jednom dnevno u odnosu na terapiju sa 50 mikrograma salmeterola HFA pMDI, dva puta dnevno, na incidencu um</w:t>
            </w:r>
            <w:r w:rsidR="0025091E" w:rsidRPr="00890981">
              <w:rPr>
                <w:iCs/>
                <w:szCs w:val="22"/>
                <w:lang w:val="sr-Latn-ME"/>
              </w:rPr>
              <w:t>j</w:t>
            </w:r>
            <w:r w:rsidRPr="00890981">
              <w:rPr>
                <w:iCs/>
                <w:szCs w:val="22"/>
                <w:lang w:val="sr-Latn-ME"/>
              </w:rPr>
              <w:t xml:space="preserve">erenih do teških egzacerbacija </w:t>
            </w:r>
            <w:r w:rsidR="00AA24CE">
              <w:rPr>
                <w:iCs/>
                <w:szCs w:val="22"/>
                <w:lang w:val="sr-Latn-ME"/>
              </w:rPr>
              <w:t>kod</w:t>
            </w:r>
            <w:r w:rsidR="00AA24CE" w:rsidRPr="00890981">
              <w:rPr>
                <w:iCs/>
                <w:szCs w:val="22"/>
                <w:lang w:val="sr-Latn-ME"/>
              </w:rPr>
              <w:t xml:space="preserve"> </w:t>
            </w:r>
            <w:r w:rsidRPr="00890981">
              <w:rPr>
                <w:iCs/>
                <w:szCs w:val="22"/>
                <w:lang w:val="sr-Latn-ME"/>
              </w:rPr>
              <w:t xml:space="preserve">7376 pacijenata sa HOBP </w:t>
            </w:r>
            <w:r w:rsidR="00AA24CE">
              <w:rPr>
                <w:iCs/>
                <w:szCs w:val="22"/>
                <w:lang w:val="sr-Latn-ME"/>
              </w:rPr>
              <w:t>i anamnezom</w:t>
            </w:r>
            <w:r w:rsidRPr="00890981">
              <w:rPr>
                <w:iCs/>
                <w:szCs w:val="22"/>
                <w:lang w:val="sr-Latn-ME"/>
              </w:rPr>
              <w:t xml:space="preserve"> egzacerbacija u </w:t>
            </w:r>
            <w:r w:rsidR="00AA24CE">
              <w:rPr>
                <w:iCs/>
                <w:szCs w:val="22"/>
                <w:lang w:val="sr-Latn-ME"/>
              </w:rPr>
              <w:t>prethodnoj godini</w:t>
            </w:r>
            <w:r w:rsidRPr="00890981">
              <w:rPr>
                <w:iCs/>
                <w:szCs w:val="22"/>
                <w:lang w:val="sr-Latn-ME"/>
              </w:rPr>
              <w:t xml:space="preserve">. </w:t>
            </w:r>
          </w:p>
          <w:p w14:paraId="1738642B" w14:textId="77777777" w:rsidR="00F0564C" w:rsidRPr="00890981" w:rsidRDefault="00F0564C">
            <w:pPr>
              <w:numPr>
                <w:ilvl w:val="12"/>
                <w:numId w:val="0"/>
              </w:numPr>
              <w:ind w:right="-2"/>
              <w:rPr>
                <w:szCs w:val="22"/>
                <w:lang w:val="sr-Latn-ME"/>
              </w:rPr>
            </w:pPr>
          </w:p>
          <w:p w14:paraId="696785D5" w14:textId="6432D323" w:rsidR="00F0564C" w:rsidRPr="00890981" w:rsidRDefault="00F0564C">
            <w:pPr>
              <w:numPr>
                <w:ilvl w:val="12"/>
                <w:numId w:val="0"/>
              </w:numPr>
              <w:ind w:right="-2"/>
              <w:rPr>
                <w:szCs w:val="22"/>
                <w:lang w:val="sr-Latn-ME"/>
              </w:rPr>
            </w:pPr>
            <w:r w:rsidRPr="00890981">
              <w:rPr>
                <w:szCs w:val="22"/>
                <w:lang w:val="sr-Latn-ME"/>
              </w:rPr>
              <w:t xml:space="preserve">Tabela 1: </w:t>
            </w:r>
            <w:r w:rsidR="00AA24CE">
              <w:rPr>
                <w:szCs w:val="22"/>
                <w:lang w:val="sr-Latn-ME"/>
              </w:rPr>
              <w:t>Sažetak parametara praćenja egzacerbacija</w:t>
            </w:r>
            <w:r w:rsidRPr="00890981">
              <w:rPr>
                <w:szCs w:val="22"/>
                <w:lang w:val="sr-Latn-ME"/>
              </w:rPr>
              <w:t xml:space="preserve"> </w:t>
            </w:r>
          </w:p>
          <w:tbl>
            <w:tblPr>
              <w:tblW w:w="85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843"/>
              <w:gridCol w:w="1672"/>
              <w:gridCol w:w="1664"/>
              <w:gridCol w:w="1625"/>
            </w:tblGrid>
            <w:tr w:rsidR="00F0564C" w:rsidRPr="00890981" w14:paraId="54AC9EC7" w14:textId="77777777" w:rsidTr="00097840">
              <w:trPr>
                <w:jc w:val="center"/>
              </w:trPr>
              <w:tc>
                <w:tcPr>
                  <w:tcW w:w="1730" w:type="dxa"/>
                </w:tcPr>
                <w:p w14:paraId="43862FC5" w14:textId="0CDAC40E" w:rsidR="00F0564C" w:rsidRPr="00890981" w:rsidRDefault="00AA24CE" w:rsidP="009F610E">
                  <w:pPr>
                    <w:pStyle w:val="CS-TextinTable10pt"/>
                    <w:spacing w:before="40" w:after="40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>
                    <w:rPr>
                      <w:b/>
                      <w:sz w:val="22"/>
                      <w:szCs w:val="22"/>
                      <w:lang w:val="sr-Latn-ME"/>
                    </w:rPr>
                    <w:t>Parametri praćenja</w:t>
                  </w:r>
                </w:p>
              </w:tc>
              <w:tc>
                <w:tcPr>
                  <w:tcW w:w="1843" w:type="dxa"/>
                </w:tcPr>
                <w:p w14:paraId="0DE367EB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b/>
                      <w:bCs/>
                      <w:sz w:val="22"/>
                      <w:szCs w:val="22"/>
                      <w:lang w:val="sr-Latn-ME" w:eastAsia="en-US"/>
                    </w:rPr>
                    <w:t>Spiriva</w:t>
                  </w:r>
                  <w:r w:rsidRPr="00890981">
                    <w:rPr>
                      <w:b/>
                      <w:sz w:val="22"/>
                      <w:szCs w:val="22"/>
                      <w:lang w:val="sr-Latn-ME"/>
                    </w:rPr>
                    <w:br/>
                    <w:t>18 mikrograma (HandiHaler)</w:t>
                  </w:r>
                </w:p>
                <w:p w14:paraId="6816638E" w14:textId="3F9FF480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b/>
                      <w:sz w:val="22"/>
                      <w:szCs w:val="22"/>
                      <w:lang w:val="sr-Latn-ME"/>
                    </w:rPr>
                    <w:t>N = 3707</w:t>
                  </w:r>
                </w:p>
              </w:tc>
              <w:tc>
                <w:tcPr>
                  <w:tcW w:w="1672" w:type="dxa"/>
                </w:tcPr>
                <w:p w14:paraId="3DF63FD6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b/>
                      <w:sz w:val="22"/>
                      <w:szCs w:val="22"/>
                      <w:lang w:val="sr-Latn-ME"/>
                    </w:rPr>
                    <w:t>Salmeterol</w:t>
                  </w:r>
                  <w:r w:rsidRPr="00890981">
                    <w:rPr>
                      <w:b/>
                      <w:sz w:val="22"/>
                      <w:szCs w:val="22"/>
                      <w:lang w:val="sr-Latn-ME"/>
                    </w:rPr>
                    <w:br/>
                    <w:t>50 mikrograma (HFA pMDI)</w:t>
                  </w:r>
                </w:p>
                <w:p w14:paraId="2AFBDB3F" w14:textId="76739ACE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b/>
                      <w:sz w:val="22"/>
                      <w:szCs w:val="22"/>
                      <w:lang w:val="sr-Latn-ME"/>
                    </w:rPr>
                    <w:t>N = 3669</w:t>
                  </w:r>
                </w:p>
              </w:tc>
              <w:tc>
                <w:tcPr>
                  <w:tcW w:w="1664" w:type="dxa"/>
                </w:tcPr>
                <w:p w14:paraId="1B16C5F2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b/>
                      <w:sz w:val="22"/>
                      <w:szCs w:val="22"/>
                      <w:lang w:val="sr-Latn-ME"/>
                    </w:rPr>
                    <w:t xml:space="preserve">Odnos </w:t>
                  </w:r>
                  <w:r w:rsidRPr="00890981">
                    <w:rPr>
                      <w:b/>
                      <w:sz w:val="22"/>
                      <w:szCs w:val="22"/>
                      <w:lang w:val="sr-Latn-ME"/>
                    </w:rPr>
                    <w:br/>
                    <w:t>(95% CI)</w:t>
                  </w:r>
                </w:p>
              </w:tc>
              <w:tc>
                <w:tcPr>
                  <w:tcW w:w="1625" w:type="dxa"/>
                </w:tcPr>
                <w:p w14:paraId="53B4A862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b/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b/>
                      <w:sz w:val="22"/>
                      <w:szCs w:val="22"/>
                      <w:lang w:val="sr-Latn-ME"/>
                    </w:rPr>
                    <w:t>p-vr</w:t>
                  </w:r>
                  <w:r w:rsidR="0025091E" w:rsidRPr="00890981">
                    <w:rPr>
                      <w:b/>
                      <w:sz w:val="22"/>
                      <w:szCs w:val="22"/>
                      <w:lang w:val="sr-Latn-ME"/>
                    </w:rPr>
                    <w:t>ij</w:t>
                  </w:r>
                  <w:r w:rsidRPr="00890981">
                    <w:rPr>
                      <w:b/>
                      <w:sz w:val="22"/>
                      <w:szCs w:val="22"/>
                      <w:lang w:val="sr-Latn-ME"/>
                    </w:rPr>
                    <w:t>ednost</w:t>
                  </w:r>
                </w:p>
              </w:tc>
            </w:tr>
            <w:tr w:rsidR="00F0564C" w:rsidRPr="00890981" w14:paraId="16010E5C" w14:textId="77777777" w:rsidTr="00097840">
              <w:trPr>
                <w:jc w:val="center"/>
              </w:trPr>
              <w:tc>
                <w:tcPr>
                  <w:tcW w:w="1730" w:type="dxa"/>
                </w:tcPr>
                <w:p w14:paraId="7D5416B3" w14:textId="77777777" w:rsidR="00F0564C" w:rsidRPr="00890981" w:rsidRDefault="00F0564C">
                  <w:pPr>
                    <w:pStyle w:val="CS-TextinTable10pt"/>
                    <w:spacing w:before="40" w:after="40"/>
                    <w:jc w:val="both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Vr</w:t>
                  </w:r>
                  <w:r w:rsidR="0025091E" w:rsidRPr="00890981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eme [dani] do prve egzacerbacije</w:t>
                  </w:r>
                  <w:r w:rsidRPr="00890981">
                    <w:rPr>
                      <w:sz w:val="22"/>
                      <w:szCs w:val="22"/>
                      <w:vertAlign w:val="superscript"/>
                      <w:lang w:val="sr-Latn-ME"/>
                    </w:rPr>
                    <w:t>†</w:t>
                  </w:r>
                </w:p>
              </w:tc>
              <w:tc>
                <w:tcPr>
                  <w:tcW w:w="1843" w:type="dxa"/>
                </w:tcPr>
                <w:p w14:paraId="1DF7CC23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187</w:t>
                  </w:r>
                </w:p>
              </w:tc>
              <w:tc>
                <w:tcPr>
                  <w:tcW w:w="1672" w:type="dxa"/>
                </w:tcPr>
                <w:p w14:paraId="465F1EF9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145</w:t>
                  </w:r>
                </w:p>
              </w:tc>
              <w:tc>
                <w:tcPr>
                  <w:tcW w:w="1664" w:type="dxa"/>
                </w:tcPr>
                <w:p w14:paraId="4A342281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83</w:t>
                  </w:r>
                </w:p>
                <w:p w14:paraId="4D1C85DB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(0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77 - 0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90)</w:t>
                  </w:r>
                </w:p>
              </w:tc>
              <w:tc>
                <w:tcPr>
                  <w:tcW w:w="1625" w:type="dxa"/>
                </w:tcPr>
                <w:p w14:paraId="5A47F7FA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&lt;0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001</w:t>
                  </w:r>
                </w:p>
              </w:tc>
            </w:tr>
            <w:tr w:rsidR="00F0564C" w:rsidRPr="00890981" w14:paraId="6E539A80" w14:textId="77777777" w:rsidTr="00097840">
              <w:trPr>
                <w:jc w:val="center"/>
              </w:trPr>
              <w:tc>
                <w:tcPr>
                  <w:tcW w:w="1730" w:type="dxa"/>
                </w:tcPr>
                <w:p w14:paraId="41909F69" w14:textId="77777777" w:rsidR="00F0564C" w:rsidRPr="00890981" w:rsidRDefault="00F0564C">
                  <w:pPr>
                    <w:pStyle w:val="CS-TextinTable10pt"/>
                    <w:spacing w:before="40" w:after="40"/>
                    <w:jc w:val="both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Vr</w:t>
                  </w:r>
                  <w:r w:rsidR="0025091E" w:rsidRPr="00890981">
                    <w:rPr>
                      <w:sz w:val="22"/>
                      <w:szCs w:val="22"/>
                      <w:lang w:val="sr-Latn-ME"/>
                    </w:rPr>
                    <w:t>ij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 xml:space="preserve">eme do prve teške egzacerbacije (koja vodi do hospitalizacije) </w:t>
                  </w:r>
                  <w:r w:rsidRPr="00890981">
                    <w:rPr>
                      <w:sz w:val="22"/>
                      <w:szCs w:val="22"/>
                      <w:vertAlign w:val="superscript"/>
                      <w:lang w:val="sr-Latn-ME"/>
                    </w:rPr>
                    <w:t>§</w:t>
                  </w:r>
                </w:p>
              </w:tc>
              <w:tc>
                <w:tcPr>
                  <w:tcW w:w="1843" w:type="dxa"/>
                  <w:vAlign w:val="center"/>
                </w:tcPr>
                <w:p w14:paraId="64405DA1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1672" w:type="dxa"/>
                  <w:vAlign w:val="center"/>
                </w:tcPr>
                <w:p w14:paraId="1454C534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-</w:t>
                  </w:r>
                </w:p>
              </w:tc>
              <w:tc>
                <w:tcPr>
                  <w:tcW w:w="1664" w:type="dxa"/>
                </w:tcPr>
                <w:p w14:paraId="131E1BF5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72</w:t>
                  </w:r>
                </w:p>
                <w:p w14:paraId="05234519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(0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61 - 0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85)</w:t>
                  </w:r>
                </w:p>
              </w:tc>
              <w:tc>
                <w:tcPr>
                  <w:tcW w:w="1625" w:type="dxa"/>
                </w:tcPr>
                <w:p w14:paraId="351E8150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&lt;0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001</w:t>
                  </w:r>
                </w:p>
              </w:tc>
            </w:tr>
            <w:tr w:rsidR="00F0564C" w:rsidRPr="00890981" w14:paraId="65E18097" w14:textId="77777777" w:rsidTr="00097840">
              <w:trPr>
                <w:jc w:val="center"/>
              </w:trPr>
              <w:tc>
                <w:tcPr>
                  <w:tcW w:w="1730" w:type="dxa"/>
                </w:tcPr>
                <w:p w14:paraId="185B026F" w14:textId="77777777" w:rsidR="00F0564C" w:rsidRPr="00890981" w:rsidRDefault="00F0564C">
                  <w:pPr>
                    <w:pStyle w:val="CS-TextinTable10pt"/>
                    <w:spacing w:before="40" w:after="40"/>
                    <w:jc w:val="both"/>
                    <w:rPr>
                      <w:sz w:val="22"/>
                      <w:szCs w:val="22"/>
                      <w:highlight w:val="yellow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Pacijenti sa ≥1 egzacerbacija, n (%)*</w:t>
                  </w:r>
                </w:p>
              </w:tc>
              <w:tc>
                <w:tcPr>
                  <w:tcW w:w="1843" w:type="dxa"/>
                </w:tcPr>
                <w:p w14:paraId="76791F62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1</w:t>
                  </w:r>
                  <w:r w:rsidR="00125DA1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277 (34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4)</w:t>
                  </w:r>
                </w:p>
              </w:tc>
              <w:tc>
                <w:tcPr>
                  <w:tcW w:w="1672" w:type="dxa"/>
                </w:tcPr>
                <w:p w14:paraId="1FB5E23F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1</w:t>
                  </w:r>
                  <w:r w:rsidR="00125DA1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414 (38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5)</w:t>
                  </w:r>
                </w:p>
              </w:tc>
              <w:tc>
                <w:tcPr>
                  <w:tcW w:w="1664" w:type="dxa"/>
                </w:tcPr>
                <w:p w14:paraId="1FB5573E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90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br/>
                    <w:t>(0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85 - 0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95)</w:t>
                  </w:r>
                </w:p>
              </w:tc>
              <w:tc>
                <w:tcPr>
                  <w:tcW w:w="1625" w:type="dxa"/>
                </w:tcPr>
                <w:p w14:paraId="0AE09C86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&lt;0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001</w:t>
                  </w:r>
                </w:p>
              </w:tc>
            </w:tr>
            <w:tr w:rsidR="00F0564C" w:rsidRPr="00890981" w14:paraId="70712DEB" w14:textId="77777777" w:rsidTr="00097840">
              <w:trPr>
                <w:jc w:val="center"/>
              </w:trPr>
              <w:tc>
                <w:tcPr>
                  <w:tcW w:w="1730" w:type="dxa"/>
                </w:tcPr>
                <w:p w14:paraId="170F1EBD" w14:textId="77777777" w:rsidR="00F0564C" w:rsidRPr="00890981" w:rsidRDefault="00F0564C">
                  <w:pPr>
                    <w:pStyle w:val="CS-TextinTable10pt"/>
                    <w:spacing w:before="40" w:after="40"/>
                    <w:jc w:val="both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lastRenderedPageBreak/>
                    <w:t>Pacijenti sa ≥1 teškom egzacerbacijom, n (%) (koja vodi do hospitalizacije) *</w:t>
                  </w:r>
                </w:p>
              </w:tc>
              <w:tc>
                <w:tcPr>
                  <w:tcW w:w="1843" w:type="dxa"/>
                </w:tcPr>
                <w:p w14:paraId="3A1AF221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262 (7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1)</w:t>
                  </w:r>
                </w:p>
              </w:tc>
              <w:tc>
                <w:tcPr>
                  <w:tcW w:w="1672" w:type="dxa"/>
                </w:tcPr>
                <w:p w14:paraId="36C7C20B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336 (9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2)</w:t>
                  </w:r>
                </w:p>
              </w:tc>
              <w:tc>
                <w:tcPr>
                  <w:tcW w:w="1664" w:type="dxa"/>
                </w:tcPr>
                <w:p w14:paraId="286BE29C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77</w:t>
                  </w:r>
                </w:p>
                <w:p w14:paraId="4DE14081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(0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 xml:space="preserve">66 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–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 xml:space="preserve"> 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89)</w:t>
                  </w:r>
                </w:p>
              </w:tc>
              <w:tc>
                <w:tcPr>
                  <w:tcW w:w="1625" w:type="dxa"/>
                </w:tcPr>
                <w:p w14:paraId="557479CA" w14:textId="77777777" w:rsidR="00F0564C" w:rsidRPr="00890981" w:rsidRDefault="00F0564C" w:rsidP="009F610E">
                  <w:pPr>
                    <w:pStyle w:val="CS-TextinTable10pt"/>
                    <w:spacing w:before="40" w:after="40"/>
                    <w:jc w:val="center"/>
                    <w:rPr>
                      <w:sz w:val="22"/>
                      <w:szCs w:val="22"/>
                      <w:lang w:val="sr-Latn-ME"/>
                    </w:rPr>
                  </w:pPr>
                  <w:r w:rsidRPr="00890981">
                    <w:rPr>
                      <w:sz w:val="22"/>
                      <w:szCs w:val="22"/>
                      <w:lang w:val="sr-Latn-ME"/>
                    </w:rPr>
                    <w:t>&lt;0</w:t>
                  </w:r>
                  <w:r w:rsidR="00097840" w:rsidRPr="00890981">
                    <w:rPr>
                      <w:sz w:val="22"/>
                      <w:szCs w:val="22"/>
                      <w:lang w:val="sr-Latn-ME"/>
                    </w:rPr>
                    <w:t>,</w:t>
                  </w:r>
                  <w:r w:rsidRPr="00890981">
                    <w:rPr>
                      <w:sz w:val="22"/>
                      <w:szCs w:val="22"/>
                      <w:lang w:val="sr-Latn-ME"/>
                    </w:rPr>
                    <w:t>001</w:t>
                  </w:r>
                </w:p>
              </w:tc>
            </w:tr>
          </w:tbl>
          <w:p w14:paraId="0E6A6334" w14:textId="4C06B58A" w:rsidR="00F0564C" w:rsidRPr="00890981" w:rsidRDefault="00F0564C">
            <w:pPr>
              <w:pStyle w:val="CTRFootNote"/>
              <w:jc w:val="both"/>
              <w:rPr>
                <w:sz w:val="22"/>
                <w:szCs w:val="22"/>
                <w:lang w:val="sr-Latn-ME"/>
              </w:rPr>
            </w:pPr>
            <w:r w:rsidRPr="00890981">
              <w:rPr>
                <w:sz w:val="22"/>
                <w:szCs w:val="22"/>
                <w:lang w:val="sr-Latn-ME"/>
              </w:rPr>
              <w:t>†</w:t>
            </w:r>
            <w:r w:rsidRPr="00890981">
              <w:rPr>
                <w:sz w:val="22"/>
                <w:szCs w:val="22"/>
                <w:vertAlign w:val="superscript"/>
                <w:lang w:val="sr-Latn-ME"/>
              </w:rPr>
              <w:tab/>
            </w:r>
            <w:r w:rsidRPr="00890981">
              <w:rPr>
                <w:sz w:val="22"/>
                <w:szCs w:val="22"/>
                <w:lang w:val="sr-Latn-ME"/>
              </w:rPr>
              <w:t>Vr</w:t>
            </w:r>
            <w:r w:rsidR="0025091E" w:rsidRPr="00890981">
              <w:rPr>
                <w:sz w:val="22"/>
                <w:szCs w:val="22"/>
                <w:lang w:val="sr-Latn-ME"/>
              </w:rPr>
              <w:t>ij</w:t>
            </w:r>
            <w:r w:rsidRPr="00890981">
              <w:rPr>
                <w:sz w:val="22"/>
                <w:szCs w:val="22"/>
                <w:lang w:val="sr-Latn-ME"/>
              </w:rPr>
              <w:t xml:space="preserve">eme [dani] koji se odnose na prvi kvartil pacijenata. Rađena je analiza vremena do događaja korišćenjem </w:t>
            </w:r>
            <w:r w:rsidR="00757751" w:rsidRPr="00890981">
              <w:rPr>
                <w:i/>
                <w:sz w:val="22"/>
                <w:szCs w:val="22"/>
                <w:lang w:val="sr-Latn-ME"/>
              </w:rPr>
              <w:t>Cox</w:t>
            </w:r>
            <w:r w:rsidRPr="00890981">
              <w:rPr>
                <w:sz w:val="22"/>
                <w:szCs w:val="22"/>
                <w:lang w:val="sr-Latn-ME"/>
              </w:rPr>
              <w:t xml:space="preserve">–ovog </w:t>
            </w:r>
            <w:r w:rsidR="00D93C43">
              <w:rPr>
                <w:sz w:val="22"/>
                <w:szCs w:val="22"/>
                <w:lang w:val="sr-Latn-ME"/>
              </w:rPr>
              <w:t xml:space="preserve">regresionog </w:t>
            </w:r>
            <w:r w:rsidRPr="00890981">
              <w:rPr>
                <w:sz w:val="22"/>
                <w:szCs w:val="22"/>
                <w:lang w:val="sr-Latn-ME"/>
              </w:rPr>
              <w:t xml:space="preserve">modela </w:t>
            </w:r>
            <w:r w:rsidR="00D93C43" w:rsidRPr="00890981">
              <w:rPr>
                <w:sz w:val="22"/>
                <w:szCs w:val="22"/>
                <w:lang w:val="sr-Latn-ME"/>
              </w:rPr>
              <w:t>proporcionaln</w:t>
            </w:r>
            <w:r w:rsidR="00D93C43">
              <w:rPr>
                <w:sz w:val="22"/>
                <w:szCs w:val="22"/>
                <w:lang w:val="sr-Latn-ME"/>
              </w:rPr>
              <w:t>ih</w:t>
            </w:r>
            <w:r w:rsidR="00D93C43" w:rsidRPr="00890981">
              <w:rPr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sz w:val="22"/>
                <w:szCs w:val="22"/>
                <w:lang w:val="sr-Latn-ME"/>
              </w:rPr>
              <w:t>rizika sa (objedinjenim) centrom i</w:t>
            </w:r>
            <w:r w:rsidR="00D34516" w:rsidRPr="00890981">
              <w:rPr>
                <w:sz w:val="22"/>
                <w:szCs w:val="22"/>
                <w:lang w:val="sr-Latn-ME"/>
              </w:rPr>
              <w:t xml:space="preserve"> l</w:t>
            </w:r>
            <w:r w:rsidR="001D6530" w:rsidRPr="00890981">
              <w:rPr>
                <w:sz w:val="22"/>
                <w:szCs w:val="22"/>
                <w:lang w:val="sr-Latn-ME"/>
              </w:rPr>
              <w:t>ij</w:t>
            </w:r>
            <w:r w:rsidR="00D34516" w:rsidRPr="00890981">
              <w:rPr>
                <w:sz w:val="22"/>
                <w:szCs w:val="22"/>
                <w:lang w:val="sr-Latn-ME"/>
              </w:rPr>
              <w:t>ečenjem</w:t>
            </w:r>
            <w:r w:rsidRPr="00890981">
              <w:rPr>
                <w:sz w:val="22"/>
                <w:szCs w:val="22"/>
                <w:lang w:val="sr-Latn-ME"/>
              </w:rPr>
              <w:t xml:space="preserve"> kao kovarijansama; odnos se odnosi na odnos rizika</w:t>
            </w:r>
            <w:r w:rsidR="00D93C43">
              <w:rPr>
                <w:sz w:val="22"/>
                <w:szCs w:val="22"/>
                <w:lang w:val="sr-Latn-ME"/>
              </w:rPr>
              <w:t xml:space="preserve"> (</w:t>
            </w:r>
            <w:r w:rsidR="00D93C43" w:rsidRPr="005E39F0">
              <w:rPr>
                <w:i/>
                <w:iCs/>
                <w:sz w:val="22"/>
                <w:szCs w:val="22"/>
                <w:lang w:val="sr-Latn-ME"/>
              </w:rPr>
              <w:t>hazard ratio</w:t>
            </w:r>
            <w:r w:rsidR="00D93C43">
              <w:rPr>
                <w:sz w:val="22"/>
                <w:szCs w:val="22"/>
                <w:lang w:val="sr-Latn-ME"/>
              </w:rPr>
              <w:t>)</w:t>
            </w:r>
            <w:r w:rsidRPr="00890981">
              <w:rPr>
                <w:sz w:val="22"/>
                <w:szCs w:val="22"/>
                <w:lang w:val="sr-Latn-ME"/>
              </w:rPr>
              <w:t xml:space="preserve">. </w:t>
            </w:r>
          </w:p>
          <w:p w14:paraId="226C7E23" w14:textId="386F4DC5" w:rsidR="00F0564C" w:rsidRPr="00890981" w:rsidRDefault="00F0564C">
            <w:pPr>
              <w:pStyle w:val="CTRFootNote"/>
              <w:jc w:val="both"/>
              <w:rPr>
                <w:sz w:val="22"/>
                <w:szCs w:val="22"/>
                <w:lang w:val="sr-Latn-ME"/>
              </w:rPr>
            </w:pPr>
            <w:r w:rsidRPr="00890981">
              <w:rPr>
                <w:sz w:val="22"/>
                <w:szCs w:val="22"/>
                <w:lang w:val="sr-Latn-ME"/>
              </w:rPr>
              <w:t>§</w:t>
            </w:r>
            <w:r w:rsidRPr="00890981">
              <w:rPr>
                <w:sz w:val="22"/>
                <w:szCs w:val="22"/>
                <w:lang w:val="sr-Latn-ME"/>
              </w:rPr>
              <w:tab/>
              <w:t xml:space="preserve">Rađena je analiza vremena do događaja korišćenjem modela </w:t>
            </w:r>
            <w:r w:rsidR="00757751" w:rsidRPr="00890981">
              <w:rPr>
                <w:i/>
                <w:sz w:val="22"/>
                <w:szCs w:val="22"/>
                <w:lang w:val="sr-Latn-ME"/>
              </w:rPr>
              <w:t>Cox</w:t>
            </w:r>
            <w:r w:rsidRPr="00890981">
              <w:rPr>
                <w:sz w:val="22"/>
                <w:szCs w:val="22"/>
                <w:lang w:val="sr-Latn-ME"/>
              </w:rPr>
              <w:t xml:space="preserve">–ovog </w:t>
            </w:r>
            <w:r w:rsidR="00D93C43">
              <w:rPr>
                <w:sz w:val="22"/>
                <w:szCs w:val="22"/>
                <w:lang w:val="sr-Latn-ME"/>
              </w:rPr>
              <w:t xml:space="preserve">regresionog </w:t>
            </w:r>
            <w:r w:rsidRPr="00890981">
              <w:rPr>
                <w:sz w:val="22"/>
                <w:szCs w:val="22"/>
                <w:lang w:val="sr-Latn-ME"/>
              </w:rPr>
              <w:t xml:space="preserve">modela </w:t>
            </w:r>
            <w:r w:rsidR="00D93C43" w:rsidRPr="00890981">
              <w:rPr>
                <w:sz w:val="22"/>
                <w:szCs w:val="22"/>
                <w:lang w:val="sr-Latn-ME"/>
              </w:rPr>
              <w:t>proporcionaln</w:t>
            </w:r>
            <w:r w:rsidR="00D93C43">
              <w:rPr>
                <w:sz w:val="22"/>
                <w:szCs w:val="22"/>
                <w:lang w:val="sr-Latn-ME"/>
              </w:rPr>
              <w:t>ih</w:t>
            </w:r>
            <w:r w:rsidR="00D93C43" w:rsidRPr="00890981">
              <w:rPr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sz w:val="22"/>
                <w:szCs w:val="22"/>
                <w:lang w:val="sr-Latn-ME"/>
              </w:rPr>
              <w:t xml:space="preserve">rizika sa (objedinjenim) centrom i </w:t>
            </w:r>
            <w:r w:rsidR="00D34516" w:rsidRPr="00890981">
              <w:rPr>
                <w:sz w:val="22"/>
                <w:szCs w:val="22"/>
                <w:lang w:val="sr-Latn-ME"/>
              </w:rPr>
              <w:t>l</w:t>
            </w:r>
            <w:r w:rsidR="001D6530" w:rsidRPr="00890981">
              <w:rPr>
                <w:sz w:val="22"/>
                <w:szCs w:val="22"/>
                <w:lang w:val="sr-Latn-ME"/>
              </w:rPr>
              <w:t>ij</w:t>
            </w:r>
            <w:r w:rsidR="00D34516" w:rsidRPr="00890981">
              <w:rPr>
                <w:sz w:val="22"/>
                <w:szCs w:val="22"/>
                <w:lang w:val="sr-Latn-ME"/>
              </w:rPr>
              <w:t>ečenjem</w:t>
            </w:r>
            <w:r w:rsidR="00D34516" w:rsidRPr="00890981" w:rsidDel="00D34516">
              <w:rPr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sz w:val="22"/>
                <w:szCs w:val="22"/>
                <w:lang w:val="sr-Latn-ME"/>
              </w:rPr>
              <w:t xml:space="preserve">kao kovarijansama; odnos se odnosi na odnos rizika. </w:t>
            </w:r>
          </w:p>
          <w:p w14:paraId="372FB9B1" w14:textId="05AB3D72" w:rsidR="00F0564C" w:rsidRPr="00890981" w:rsidRDefault="00F0564C">
            <w:pPr>
              <w:pStyle w:val="CTRFootNote"/>
              <w:ind w:left="426" w:firstLine="0"/>
              <w:jc w:val="both"/>
              <w:rPr>
                <w:sz w:val="22"/>
                <w:szCs w:val="22"/>
                <w:lang w:val="sr-Latn-ME"/>
              </w:rPr>
            </w:pPr>
            <w:r w:rsidRPr="00890981">
              <w:rPr>
                <w:sz w:val="22"/>
                <w:szCs w:val="22"/>
                <w:lang w:val="sr-Latn-ME"/>
              </w:rPr>
              <w:t>Vr</w:t>
            </w:r>
            <w:r w:rsidR="001D6530" w:rsidRPr="00890981">
              <w:rPr>
                <w:sz w:val="22"/>
                <w:szCs w:val="22"/>
                <w:lang w:val="sr-Latn-ME"/>
              </w:rPr>
              <w:t>ij</w:t>
            </w:r>
            <w:r w:rsidRPr="00890981">
              <w:rPr>
                <w:sz w:val="22"/>
                <w:szCs w:val="22"/>
                <w:lang w:val="sr-Latn-ME"/>
              </w:rPr>
              <w:t xml:space="preserve">eme [dani] koji se odnose na prvi kvartil pacijenata ne mogu se izračunati zato što je </w:t>
            </w:r>
            <w:r w:rsidR="00D93C43">
              <w:rPr>
                <w:sz w:val="22"/>
                <w:szCs w:val="22"/>
                <w:lang w:val="sr-Latn-ME"/>
              </w:rPr>
              <w:t>udio</w:t>
            </w:r>
            <w:r w:rsidR="00D93C43" w:rsidRPr="00890981">
              <w:rPr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sz w:val="22"/>
                <w:szCs w:val="22"/>
                <w:lang w:val="sr-Latn-ME"/>
              </w:rPr>
              <w:t xml:space="preserve">pacijenata sa </w:t>
            </w:r>
            <w:r w:rsidR="00D93C43">
              <w:rPr>
                <w:sz w:val="22"/>
                <w:szCs w:val="22"/>
                <w:lang w:val="sr-Latn-ME"/>
              </w:rPr>
              <w:t>teškim</w:t>
            </w:r>
            <w:r w:rsidR="00D93C43" w:rsidRPr="00890981">
              <w:rPr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sz w:val="22"/>
                <w:szCs w:val="22"/>
                <w:lang w:val="sr-Latn-ME"/>
              </w:rPr>
              <w:t>egzacerbacijama suviše mali.</w:t>
            </w:r>
          </w:p>
          <w:p w14:paraId="3CF37EE3" w14:textId="41C81989" w:rsidR="00F0564C" w:rsidRPr="00890981" w:rsidRDefault="00F0564C">
            <w:pPr>
              <w:pStyle w:val="CTRFootNote"/>
              <w:jc w:val="both"/>
              <w:rPr>
                <w:sz w:val="22"/>
                <w:szCs w:val="22"/>
                <w:lang w:val="sr-Latn-ME"/>
              </w:rPr>
            </w:pPr>
            <w:r w:rsidRPr="00890981">
              <w:rPr>
                <w:sz w:val="22"/>
                <w:szCs w:val="22"/>
                <w:lang w:val="sr-Latn-ME"/>
              </w:rPr>
              <w:t>*</w:t>
            </w:r>
            <w:r w:rsidRPr="00890981">
              <w:rPr>
                <w:sz w:val="22"/>
                <w:szCs w:val="22"/>
                <w:lang w:val="sr-Latn-ME"/>
              </w:rPr>
              <w:tab/>
              <w:t xml:space="preserve">Broj pacijenata sa </w:t>
            </w:r>
            <w:r w:rsidR="00D93C43">
              <w:rPr>
                <w:sz w:val="22"/>
                <w:szCs w:val="22"/>
                <w:lang w:val="sr-Latn-ME"/>
              </w:rPr>
              <w:t>događajem</w:t>
            </w:r>
            <w:r w:rsidR="00D93C43" w:rsidRPr="00890981">
              <w:rPr>
                <w:sz w:val="22"/>
                <w:szCs w:val="22"/>
                <w:lang w:val="sr-Latn-ME"/>
              </w:rPr>
              <w:t xml:space="preserve"> </w:t>
            </w:r>
            <w:r w:rsidRPr="00890981">
              <w:rPr>
                <w:sz w:val="22"/>
                <w:szCs w:val="22"/>
                <w:lang w:val="sr-Latn-ME"/>
              </w:rPr>
              <w:t xml:space="preserve">je analiziran korišćenjem </w:t>
            </w:r>
            <w:r w:rsidR="00757751" w:rsidRPr="00890981">
              <w:rPr>
                <w:i/>
                <w:sz w:val="22"/>
                <w:szCs w:val="22"/>
                <w:lang w:val="sr-Latn-ME"/>
              </w:rPr>
              <w:t>Cochran-Mantel-Haenszel</w:t>
            </w:r>
            <w:r w:rsidRPr="00890981">
              <w:rPr>
                <w:sz w:val="22"/>
                <w:szCs w:val="22"/>
                <w:lang w:val="sr-Latn-ME"/>
              </w:rPr>
              <w:t xml:space="preserve"> testa </w:t>
            </w:r>
            <w:r w:rsidR="00D93C43">
              <w:rPr>
                <w:sz w:val="22"/>
                <w:szCs w:val="22"/>
                <w:lang w:val="sr-Latn-ME"/>
              </w:rPr>
              <w:t xml:space="preserve">stratifikovanog prema objedinjenom centru; odnos </w:t>
            </w:r>
            <w:r w:rsidRPr="00890981">
              <w:rPr>
                <w:sz w:val="22"/>
                <w:szCs w:val="22"/>
                <w:lang w:val="sr-Latn-ME"/>
              </w:rPr>
              <w:t xml:space="preserve"> se odnosi na odnos rizika.</w:t>
            </w:r>
          </w:p>
          <w:p w14:paraId="64579E28" w14:textId="77777777" w:rsidR="00F0564C" w:rsidRPr="00890981" w:rsidRDefault="00F0564C">
            <w:pPr>
              <w:pStyle w:val="CTRFootNote"/>
              <w:jc w:val="both"/>
              <w:rPr>
                <w:sz w:val="22"/>
                <w:szCs w:val="22"/>
                <w:lang w:val="sr-Latn-ME"/>
              </w:rPr>
            </w:pPr>
          </w:p>
          <w:p w14:paraId="105B609E" w14:textId="6E643415" w:rsidR="00F0564C" w:rsidRPr="00890981" w:rsidRDefault="00F0564C">
            <w:pPr>
              <w:numPr>
                <w:ilvl w:val="12"/>
                <w:numId w:val="0"/>
              </w:numPr>
              <w:ind w:right="-2"/>
              <w:rPr>
                <w:szCs w:val="22"/>
                <w:lang w:val="sr-Latn-ME"/>
              </w:rPr>
            </w:pPr>
            <w:r w:rsidRPr="00890981">
              <w:rPr>
                <w:szCs w:val="22"/>
                <w:lang w:val="sr-Latn-ME"/>
              </w:rPr>
              <w:t xml:space="preserve">U poređenju sa salmeterolom, </w:t>
            </w:r>
            <w:r w:rsidR="003011FE" w:rsidRPr="00890981">
              <w:rPr>
                <w:szCs w:val="22"/>
                <w:lang w:val="sr-Latn-ME"/>
              </w:rPr>
              <w:t>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="003011FE" w:rsidRPr="00890981">
              <w:rPr>
                <w:szCs w:val="22"/>
                <w:lang w:val="sr-Latn-ME"/>
              </w:rPr>
              <w:t xml:space="preserve">ek </w:t>
            </w:r>
            <w:r w:rsidRPr="00890981">
              <w:rPr>
                <w:szCs w:val="22"/>
                <w:lang w:val="sr-Latn-ME"/>
              </w:rPr>
              <w:t xml:space="preserve">Spiriva je </w:t>
            </w:r>
            <w:r w:rsidR="00D93C43" w:rsidRPr="00890981">
              <w:rPr>
                <w:szCs w:val="22"/>
                <w:lang w:val="sr-Latn-ME"/>
              </w:rPr>
              <w:t>produžil</w:t>
            </w:r>
            <w:r w:rsidR="00D93C43">
              <w:rPr>
                <w:szCs w:val="22"/>
                <w:lang w:val="sr-Latn-ME"/>
              </w:rPr>
              <w:t>o</w:t>
            </w:r>
            <w:r w:rsidR="00D93C43" w:rsidRPr="00890981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vr</w:t>
            </w:r>
            <w:r w:rsidR="00D93C43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 xml:space="preserve">eme do prve egzacerbacije (187 dana u odnosu na 145 dana), sa 17% smanjenja rizika (odnos </w:t>
            </w:r>
            <w:r w:rsidR="00D93C43">
              <w:rPr>
                <w:szCs w:val="22"/>
                <w:lang w:val="sr-Latn-ME"/>
              </w:rPr>
              <w:t>rizika</w:t>
            </w:r>
            <w:r w:rsidRPr="00890981">
              <w:rPr>
                <w:szCs w:val="22"/>
                <w:lang w:val="sr-Latn-ME"/>
              </w:rPr>
              <w:t>, 0</w:t>
            </w:r>
            <w:r w:rsidR="003011FE" w:rsidRPr="00890981">
              <w:rPr>
                <w:szCs w:val="22"/>
                <w:lang w:val="sr-Latn-ME"/>
              </w:rPr>
              <w:t>,</w:t>
            </w:r>
            <w:r w:rsidRPr="00890981">
              <w:rPr>
                <w:szCs w:val="22"/>
                <w:lang w:val="sr-Latn-ME"/>
              </w:rPr>
              <w:t>83; 95% interval pouzdanosti [</w:t>
            </w:r>
            <w:r w:rsidR="00D93C43">
              <w:rPr>
                <w:szCs w:val="22"/>
                <w:lang w:val="sr-Latn-ME"/>
              </w:rPr>
              <w:t xml:space="preserve">eng. </w:t>
            </w:r>
            <w:r w:rsidR="00D93C43" w:rsidRPr="005E39F0">
              <w:rPr>
                <w:i/>
                <w:iCs/>
                <w:szCs w:val="22"/>
                <w:lang w:val="sr-Latn-ME"/>
              </w:rPr>
              <w:t>confidence interval</w:t>
            </w:r>
            <w:r w:rsidR="00D93C43">
              <w:rPr>
                <w:szCs w:val="22"/>
                <w:lang w:val="sr-Latn-ME"/>
              </w:rPr>
              <w:t xml:space="preserve">, </w:t>
            </w:r>
            <w:r w:rsidRPr="00890981">
              <w:rPr>
                <w:szCs w:val="22"/>
                <w:lang w:val="sr-Latn-ME"/>
              </w:rPr>
              <w:t>CI], 0</w:t>
            </w:r>
            <w:r w:rsidR="003011FE" w:rsidRPr="00890981">
              <w:rPr>
                <w:szCs w:val="22"/>
                <w:lang w:val="sr-Latn-ME"/>
              </w:rPr>
              <w:t>,</w:t>
            </w:r>
            <w:r w:rsidRPr="00890981">
              <w:rPr>
                <w:szCs w:val="22"/>
                <w:lang w:val="sr-Latn-ME"/>
              </w:rPr>
              <w:t>77 do 0</w:t>
            </w:r>
            <w:r w:rsidR="003011FE" w:rsidRPr="00890981">
              <w:rPr>
                <w:szCs w:val="22"/>
                <w:lang w:val="sr-Latn-ME"/>
              </w:rPr>
              <w:t>,</w:t>
            </w:r>
            <w:r w:rsidRPr="00890981">
              <w:rPr>
                <w:szCs w:val="22"/>
                <w:lang w:val="sr-Latn-ME"/>
              </w:rPr>
              <w:t>90; P</w:t>
            </w:r>
            <w:r w:rsidR="00D93C43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&lt;</w:t>
            </w:r>
            <w:r w:rsidR="00D93C43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0</w:t>
            </w:r>
            <w:r w:rsidR="003011FE" w:rsidRPr="00890981">
              <w:rPr>
                <w:szCs w:val="22"/>
                <w:lang w:val="sr-Latn-ME"/>
              </w:rPr>
              <w:t>,</w:t>
            </w:r>
            <w:r w:rsidRPr="00890981">
              <w:rPr>
                <w:szCs w:val="22"/>
                <w:lang w:val="sr-Latn-ME"/>
              </w:rPr>
              <w:t xml:space="preserve">001). </w:t>
            </w:r>
            <w:r w:rsidR="003011FE" w:rsidRPr="00890981">
              <w:rPr>
                <w:szCs w:val="22"/>
                <w:lang w:val="sr-Latn-ME"/>
              </w:rPr>
              <w:t>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="003011FE" w:rsidRPr="00890981">
              <w:rPr>
                <w:szCs w:val="22"/>
                <w:lang w:val="sr-Latn-ME"/>
              </w:rPr>
              <w:t xml:space="preserve">ek </w:t>
            </w:r>
            <w:r w:rsidRPr="00890981">
              <w:rPr>
                <w:szCs w:val="22"/>
                <w:lang w:val="sr-Latn-ME"/>
              </w:rPr>
              <w:t xml:space="preserve">Spiriva je takođe </w:t>
            </w:r>
            <w:r w:rsidR="00D93C43" w:rsidRPr="00890981">
              <w:rPr>
                <w:szCs w:val="22"/>
                <w:lang w:val="sr-Latn-ME"/>
              </w:rPr>
              <w:t>produži</w:t>
            </w:r>
            <w:r w:rsidR="00D93C43">
              <w:rPr>
                <w:szCs w:val="22"/>
                <w:lang w:val="sr-Latn-ME"/>
              </w:rPr>
              <w:t>o</w:t>
            </w:r>
            <w:r w:rsidR="00D93C43" w:rsidRPr="00890981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vr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eme do prve teške egzacerbacije (koja vodi do hospitalizacije) (odnos rizika, 0</w:t>
            </w:r>
            <w:r w:rsidR="003011FE" w:rsidRPr="00890981">
              <w:rPr>
                <w:szCs w:val="22"/>
                <w:lang w:val="sr-Latn-ME"/>
              </w:rPr>
              <w:t>,</w:t>
            </w:r>
            <w:r w:rsidRPr="00890981">
              <w:rPr>
                <w:szCs w:val="22"/>
                <w:lang w:val="sr-Latn-ME"/>
              </w:rPr>
              <w:t>72; 95% CI, 0</w:t>
            </w:r>
            <w:r w:rsidR="003011FE" w:rsidRPr="00890981">
              <w:rPr>
                <w:szCs w:val="22"/>
                <w:lang w:val="sr-Latn-ME"/>
              </w:rPr>
              <w:t>,</w:t>
            </w:r>
            <w:r w:rsidRPr="00890981">
              <w:rPr>
                <w:szCs w:val="22"/>
                <w:lang w:val="sr-Latn-ME"/>
              </w:rPr>
              <w:t>61 do 0</w:t>
            </w:r>
            <w:r w:rsidR="003011FE" w:rsidRPr="00890981">
              <w:rPr>
                <w:szCs w:val="22"/>
                <w:lang w:val="sr-Latn-ME"/>
              </w:rPr>
              <w:t>,</w:t>
            </w:r>
            <w:r w:rsidRPr="00890981">
              <w:rPr>
                <w:szCs w:val="22"/>
                <w:lang w:val="sr-Latn-ME"/>
              </w:rPr>
              <w:t>85; P</w:t>
            </w:r>
            <w:r w:rsidR="00D93C43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&lt;</w:t>
            </w:r>
            <w:r w:rsidR="00D93C43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0</w:t>
            </w:r>
            <w:r w:rsidR="003011FE" w:rsidRPr="00890981">
              <w:rPr>
                <w:szCs w:val="22"/>
                <w:lang w:val="sr-Latn-ME"/>
              </w:rPr>
              <w:t>,</w:t>
            </w:r>
            <w:r w:rsidRPr="00890981">
              <w:rPr>
                <w:szCs w:val="22"/>
                <w:lang w:val="sr-Latn-ME"/>
              </w:rPr>
              <w:t>001).</w:t>
            </w:r>
          </w:p>
          <w:p w14:paraId="1C963916" w14:textId="77777777" w:rsidR="00F0564C" w:rsidRPr="00890981" w:rsidRDefault="00F0564C">
            <w:pPr>
              <w:numPr>
                <w:ilvl w:val="12"/>
                <w:numId w:val="0"/>
              </w:numPr>
              <w:ind w:right="-2"/>
              <w:rPr>
                <w:szCs w:val="22"/>
                <w:u w:val="single"/>
                <w:lang w:val="sr-Latn-ME"/>
              </w:rPr>
            </w:pPr>
          </w:p>
          <w:p w14:paraId="4A18B07F" w14:textId="04F2AFFB" w:rsidR="00F0564C" w:rsidRPr="00890981" w:rsidRDefault="00D93C43">
            <w:pPr>
              <w:numPr>
                <w:ilvl w:val="12"/>
                <w:numId w:val="0"/>
              </w:numPr>
              <w:tabs>
                <w:tab w:val="clear" w:pos="284"/>
                <w:tab w:val="left" w:pos="567"/>
              </w:tabs>
              <w:spacing w:line="260" w:lineRule="exact"/>
              <w:ind w:right="-2"/>
              <w:rPr>
                <w:szCs w:val="22"/>
                <w:u w:val="single"/>
                <w:lang w:val="sr-Latn-ME"/>
              </w:rPr>
            </w:pPr>
            <w:r w:rsidRPr="00890981">
              <w:rPr>
                <w:szCs w:val="22"/>
                <w:u w:val="single"/>
                <w:lang w:val="sr-Latn-ME"/>
              </w:rPr>
              <w:t>Dugorotrajn</w:t>
            </w:r>
            <w:r>
              <w:rPr>
                <w:szCs w:val="22"/>
                <w:u w:val="single"/>
                <w:lang w:val="sr-Latn-ME"/>
              </w:rPr>
              <w:t>e</w:t>
            </w:r>
            <w:r w:rsidRPr="00890981">
              <w:rPr>
                <w:szCs w:val="22"/>
                <w:u w:val="single"/>
                <w:lang w:val="sr-Latn-ME"/>
              </w:rPr>
              <w:t xml:space="preserve"> kliničk</w:t>
            </w:r>
            <w:r>
              <w:rPr>
                <w:szCs w:val="22"/>
                <w:u w:val="single"/>
                <w:lang w:val="sr-Latn-ME"/>
              </w:rPr>
              <w:t>e</w:t>
            </w:r>
            <w:r w:rsidRPr="00890981">
              <w:rPr>
                <w:szCs w:val="22"/>
                <w:u w:val="single"/>
                <w:lang w:val="sr-Latn-ME"/>
              </w:rPr>
              <w:t xml:space="preserve"> </w:t>
            </w:r>
            <w:r>
              <w:rPr>
                <w:szCs w:val="22"/>
                <w:u w:val="single"/>
                <w:lang w:val="sr-Latn-ME"/>
              </w:rPr>
              <w:t>studije</w:t>
            </w:r>
            <w:r w:rsidRPr="00890981">
              <w:rPr>
                <w:szCs w:val="22"/>
                <w:u w:val="single"/>
                <w:lang w:val="sr-Latn-ME"/>
              </w:rPr>
              <w:t xml:space="preserve"> </w:t>
            </w:r>
            <w:r w:rsidR="00F0564C" w:rsidRPr="00890981">
              <w:rPr>
                <w:szCs w:val="22"/>
                <w:u w:val="single"/>
                <w:lang w:val="sr-Latn-ME"/>
              </w:rPr>
              <w:t>(duže od jedne</w:t>
            </w:r>
            <w:r>
              <w:rPr>
                <w:szCs w:val="22"/>
                <w:u w:val="single"/>
                <w:lang w:val="sr-Latn-ME"/>
              </w:rPr>
              <w:t xml:space="preserve"> godine</w:t>
            </w:r>
            <w:r w:rsidR="00F0564C" w:rsidRPr="00890981">
              <w:rPr>
                <w:szCs w:val="22"/>
                <w:u w:val="single"/>
                <w:lang w:val="sr-Latn-ME"/>
              </w:rPr>
              <w:t>, najduže do 4 godine)</w:t>
            </w:r>
          </w:p>
          <w:p w14:paraId="3037D81F" w14:textId="4965AEF8" w:rsidR="00F0564C" w:rsidRPr="00890981" w:rsidRDefault="00F0564C">
            <w:pPr>
              <w:numPr>
                <w:ilvl w:val="12"/>
                <w:numId w:val="0"/>
              </w:numPr>
              <w:tabs>
                <w:tab w:val="clear" w:pos="284"/>
                <w:tab w:val="left" w:pos="567"/>
              </w:tabs>
              <w:spacing w:line="260" w:lineRule="exact"/>
              <w:ind w:right="-2"/>
              <w:rPr>
                <w:szCs w:val="22"/>
                <w:lang w:val="sr-Latn-ME"/>
              </w:rPr>
            </w:pPr>
            <w:r w:rsidRPr="00890981">
              <w:rPr>
                <w:szCs w:val="22"/>
                <w:lang w:val="sr-Latn-ME"/>
              </w:rPr>
              <w:t>U randomizovanoj, dvostruko sl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epoj, placebo</w:t>
            </w:r>
            <w:r w:rsidR="001D6530" w:rsidRPr="00890981">
              <w:rPr>
                <w:szCs w:val="22"/>
                <w:lang w:val="sr-Latn-ME"/>
              </w:rPr>
              <w:t>m</w:t>
            </w:r>
            <w:r w:rsidRPr="00890981">
              <w:rPr>
                <w:szCs w:val="22"/>
                <w:lang w:val="sr-Latn-ME"/>
              </w:rPr>
              <w:t xml:space="preserve"> kontrolisanoj studiji koja je trajala 4 godine i uključila 5993 randomizovana pacijenta (3006 su primali placebo, a 2987 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 xml:space="preserve">ek Spiriva), poboljšanje FEV1 </w:t>
            </w:r>
            <w:r w:rsidR="00D93C43">
              <w:rPr>
                <w:szCs w:val="22"/>
                <w:lang w:val="sr-Latn-ME"/>
              </w:rPr>
              <w:t>kao rezultat</w:t>
            </w:r>
            <w:r w:rsidRPr="00890981">
              <w:rPr>
                <w:szCs w:val="22"/>
                <w:lang w:val="sr-Latn-ME"/>
              </w:rPr>
              <w:t xml:space="preserve"> prim</w:t>
            </w:r>
            <w:r w:rsidR="001D6530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>ene 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 xml:space="preserve">eka Spiriva, u poređenju sa placebom, ostalo je konstantno tokom sve četiri godine. Veći </w:t>
            </w:r>
            <w:r w:rsidR="00D93C43">
              <w:rPr>
                <w:szCs w:val="22"/>
                <w:lang w:val="sr-Latn-ME"/>
              </w:rPr>
              <w:t>udio</w:t>
            </w:r>
            <w:r w:rsidR="00D93C43" w:rsidRPr="00890981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pacijenata završio je ≥ 45 m</w:t>
            </w:r>
            <w:r w:rsidR="001D6530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>eseci terapije u grupi koja je primala 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 xml:space="preserve">ek Spiriva, nego u grupi koja je primala placebo (63,8%  </w:t>
            </w:r>
            <w:r w:rsidR="00D93C43">
              <w:rPr>
                <w:szCs w:val="22"/>
                <w:lang w:val="sr-Latn-ME"/>
              </w:rPr>
              <w:t>u odnosu na</w:t>
            </w:r>
            <w:r w:rsidR="00D93C43" w:rsidRPr="00890981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55,4%, p</w:t>
            </w:r>
            <w:r w:rsidR="00D93C43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&lt;</w:t>
            </w:r>
            <w:r w:rsidR="00D93C43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 xml:space="preserve">0,001). </w:t>
            </w:r>
            <w:r w:rsidR="00D93C43">
              <w:rPr>
                <w:szCs w:val="22"/>
                <w:lang w:val="sr-Latn-ME"/>
              </w:rPr>
              <w:t xml:space="preserve">Godišnja stopa </w:t>
            </w:r>
            <w:r w:rsidR="00505DE2">
              <w:rPr>
                <w:szCs w:val="22"/>
                <w:lang w:val="sr-Latn-ME"/>
              </w:rPr>
              <w:t>p</w:t>
            </w:r>
            <w:r w:rsidR="00D93C43">
              <w:rPr>
                <w:szCs w:val="22"/>
                <w:lang w:val="sr-Latn-ME"/>
              </w:rPr>
              <w:t>ada</w:t>
            </w:r>
            <w:r w:rsidRPr="00890981">
              <w:rPr>
                <w:szCs w:val="22"/>
                <w:lang w:val="sr-Latn-ME"/>
              </w:rPr>
              <w:t xml:space="preserve"> vr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ednosti FEV</w:t>
            </w:r>
            <w:r w:rsidRPr="00890981">
              <w:rPr>
                <w:szCs w:val="22"/>
                <w:vertAlign w:val="subscript"/>
                <w:lang w:val="sr-Latn-ME"/>
              </w:rPr>
              <w:t>1</w:t>
            </w:r>
            <w:r w:rsidRPr="00890981">
              <w:rPr>
                <w:szCs w:val="22"/>
                <w:lang w:val="sr-Latn-ME"/>
              </w:rPr>
              <w:t xml:space="preserve"> bila je slična za 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ek Spiriva i placebo. Tokom terapije zab</w:t>
            </w:r>
            <w:r w:rsidR="001D6530" w:rsidRPr="00890981">
              <w:rPr>
                <w:szCs w:val="22"/>
                <w:lang w:val="sr-Latn-ME"/>
              </w:rPr>
              <w:t>i</w:t>
            </w:r>
            <w:r w:rsidRPr="00890981">
              <w:rPr>
                <w:szCs w:val="22"/>
                <w:lang w:val="sr-Latn-ME"/>
              </w:rPr>
              <w:t>l</w:t>
            </w:r>
            <w:r w:rsidR="001D6530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 xml:space="preserve">eženo je smanjenje rizika od smrti za 16%. </w:t>
            </w:r>
            <w:r w:rsidR="00D93C43">
              <w:rPr>
                <w:szCs w:val="22"/>
                <w:lang w:val="sr-Latn-ME"/>
              </w:rPr>
              <w:t>Stopa incidence</w:t>
            </w:r>
            <w:r w:rsidR="00D93C43" w:rsidRPr="00890981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smrti iznosila je 4,79 na 100 pacijent-godina  u grupi koja je primala placebo, u odnosu na 4,10 na 100 pacijent -godina u grupi koja je primala tiotropijum (</w:t>
            </w:r>
            <w:r w:rsidR="00D93C43" w:rsidRPr="005E39F0">
              <w:rPr>
                <w:iCs/>
                <w:szCs w:val="22"/>
                <w:lang w:val="sr-Latn-ME"/>
              </w:rPr>
              <w:t>odnos rizika</w:t>
            </w:r>
            <w:r w:rsidRPr="00890981">
              <w:rPr>
                <w:szCs w:val="22"/>
                <w:lang w:val="sr-Latn-ME"/>
              </w:rPr>
              <w:t xml:space="preserve"> (tiotropijum/placebo) = 0,84; 95% CI = 0,73; 0,97). Terapija tiotropijumom smanjila je rizik od respiratorne insuficijencije (što se b</w:t>
            </w:r>
            <w:r w:rsidR="001D6530" w:rsidRPr="00890981">
              <w:rPr>
                <w:szCs w:val="22"/>
                <w:lang w:val="sr-Latn-ME"/>
              </w:rPr>
              <w:t>i</w:t>
            </w:r>
            <w:r w:rsidRPr="00890981">
              <w:rPr>
                <w:szCs w:val="22"/>
                <w:lang w:val="sr-Latn-ME"/>
              </w:rPr>
              <w:t>l</w:t>
            </w:r>
            <w:r w:rsidR="001D6530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 xml:space="preserve">ežilo preko prijave neželjenih događaja) za 19% (2,09 </w:t>
            </w:r>
            <w:r w:rsidR="00D93C43">
              <w:rPr>
                <w:szCs w:val="22"/>
                <w:lang w:val="sr-Latn-ME"/>
              </w:rPr>
              <w:t>u odnosu na</w:t>
            </w:r>
            <w:r w:rsidR="00D93C43" w:rsidRPr="00890981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1,68 slučajeva na 100 pacijent -godina, relativni rizik (tiotropijum/placebo) = 0,81; 95% CI = 0,65; 0,999).</w:t>
            </w:r>
          </w:p>
          <w:p w14:paraId="696AEAE3" w14:textId="77777777" w:rsidR="00F0564C" w:rsidRPr="00890981" w:rsidRDefault="00F0564C">
            <w:pPr>
              <w:numPr>
                <w:ilvl w:val="12"/>
                <w:numId w:val="0"/>
              </w:numPr>
              <w:tabs>
                <w:tab w:val="clear" w:pos="284"/>
                <w:tab w:val="left" w:pos="567"/>
              </w:tabs>
              <w:spacing w:line="260" w:lineRule="exact"/>
              <w:ind w:right="-2"/>
              <w:rPr>
                <w:szCs w:val="22"/>
                <w:lang w:val="sr-Latn-ME"/>
              </w:rPr>
            </w:pPr>
          </w:p>
          <w:p w14:paraId="45C1E732" w14:textId="30A5985C" w:rsidR="00F0564C" w:rsidRPr="00890981" w:rsidRDefault="00D93C43">
            <w:pPr>
              <w:numPr>
                <w:ilvl w:val="12"/>
                <w:numId w:val="0"/>
              </w:numPr>
              <w:tabs>
                <w:tab w:val="clear" w:pos="284"/>
                <w:tab w:val="left" w:pos="567"/>
              </w:tabs>
              <w:spacing w:line="260" w:lineRule="exact"/>
              <w:ind w:right="-2"/>
              <w:rPr>
                <w:i/>
                <w:iCs/>
                <w:szCs w:val="22"/>
                <w:u w:val="single"/>
                <w:lang w:val="sr-Latn-ME"/>
              </w:rPr>
            </w:pPr>
            <w:r>
              <w:rPr>
                <w:i/>
                <w:iCs/>
                <w:szCs w:val="22"/>
                <w:u w:val="single"/>
                <w:lang w:val="sr-Latn-ME"/>
              </w:rPr>
              <w:t>Studija</w:t>
            </w:r>
            <w:r w:rsidRPr="00890981">
              <w:rPr>
                <w:i/>
                <w:iCs/>
                <w:szCs w:val="22"/>
                <w:u w:val="single"/>
                <w:lang w:val="sr-Latn-ME"/>
              </w:rPr>
              <w:t xml:space="preserve"> </w:t>
            </w:r>
            <w:r w:rsidR="00F0564C" w:rsidRPr="00890981">
              <w:rPr>
                <w:i/>
                <w:iCs/>
                <w:szCs w:val="22"/>
                <w:u w:val="single"/>
                <w:lang w:val="sr-Latn-ME"/>
              </w:rPr>
              <w:t>tiotropijuma sa aktivnom kontrolom</w:t>
            </w:r>
          </w:p>
          <w:p w14:paraId="3ACF561C" w14:textId="34219B47" w:rsidR="00F0564C" w:rsidRPr="00890981" w:rsidRDefault="00F0564C">
            <w:pPr>
              <w:numPr>
                <w:ilvl w:val="12"/>
                <w:numId w:val="0"/>
              </w:numPr>
              <w:tabs>
                <w:tab w:val="clear" w:pos="284"/>
                <w:tab w:val="left" w:pos="567"/>
              </w:tabs>
              <w:spacing w:line="260" w:lineRule="exact"/>
              <w:ind w:right="-2"/>
              <w:rPr>
                <w:szCs w:val="22"/>
                <w:lang w:val="sr-Latn-ME"/>
              </w:rPr>
            </w:pPr>
            <w:r w:rsidRPr="00890981">
              <w:rPr>
                <w:szCs w:val="22"/>
                <w:lang w:val="sr-Latn-ME"/>
              </w:rPr>
              <w:t>Sprovedena je dugorotrajna, obimna, randomizovana, dvostruko sl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epa, aktivno kontrolisana studija  sa periodom opservacije u trajanju do tri godine za poređenje efikasnosti i bezb</w:t>
            </w:r>
            <w:r w:rsidR="001D6530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>ednosti 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ekova Spiriva HandiHalera i Spiriva Respimat (5694 pacijenta je primalo 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ek Spiriva HandiHaler; 5711 pacijenata je primalo 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ek Spiriva Respimat). Primarni parametri praćenja bil</w:t>
            </w:r>
            <w:r w:rsidR="00D7241A" w:rsidRPr="00890981">
              <w:rPr>
                <w:szCs w:val="22"/>
                <w:lang w:val="sr-Latn-ME"/>
              </w:rPr>
              <w:t>i</w:t>
            </w:r>
            <w:r w:rsidRPr="00890981">
              <w:rPr>
                <w:szCs w:val="22"/>
                <w:lang w:val="sr-Latn-ME"/>
              </w:rPr>
              <w:t xml:space="preserve"> su vr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eme do prve egzacerbacije HOBP, vr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 xml:space="preserve">eme do smrti </w:t>
            </w:r>
            <w:r w:rsidR="00D93C43">
              <w:rPr>
                <w:szCs w:val="22"/>
                <w:lang w:val="sr-Latn-ME"/>
              </w:rPr>
              <w:t>usljed svih</w:t>
            </w:r>
            <w:r w:rsidRPr="00890981">
              <w:rPr>
                <w:szCs w:val="22"/>
                <w:lang w:val="sr-Latn-ME"/>
              </w:rPr>
              <w:t xml:space="preserve"> uzroka, i u jednoj podstudiji (906 pacijenata) minimalne vr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ednosti FEV</w:t>
            </w:r>
            <w:r w:rsidRPr="00890981">
              <w:rPr>
                <w:szCs w:val="22"/>
                <w:vertAlign w:val="subscript"/>
                <w:lang w:val="sr-Latn-ME"/>
              </w:rPr>
              <w:t>1</w:t>
            </w:r>
            <w:r w:rsidRPr="00890981">
              <w:rPr>
                <w:szCs w:val="22"/>
                <w:lang w:val="sr-Latn-ME"/>
              </w:rPr>
              <w:t xml:space="preserve"> (</w:t>
            </w:r>
            <w:r w:rsidR="00D93C43">
              <w:rPr>
                <w:szCs w:val="22"/>
                <w:lang w:val="sr-Latn-ME"/>
              </w:rPr>
              <w:t>neposredno prije primjene doze</w:t>
            </w:r>
            <w:r w:rsidRPr="00890981">
              <w:rPr>
                <w:szCs w:val="22"/>
                <w:lang w:val="sr-Latn-ME"/>
              </w:rPr>
              <w:t xml:space="preserve">). </w:t>
            </w:r>
          </w:p>
          <w:p w14:paraId="3F274E0F" w14:textId="77777777" w:rsidR="00F0564C" w:rsidRPr="00890981" w:rsidRDefault="00F0564C">
            <w:pPr>
              <w:numPr>
                <w:ilvl w:val="12"/>
                <w:numId w:val="0"/>
              </w:numPr>
              <w:tabs>
                <w:tab w:val="clear" w:pos="284"/>
                <w:tab w:val="left" w:pos="567"/>
              </w:tabs>
              <w:spacing w:line="260" w:lineRule="exact"/>
              <w:ind w:right="-2"/>
              <w:rPr>
                <w:szCs w:val="22"/>
                <w:lang w:val="sr-Latn-ME"/>
              </w:rPr>
            </w:pPr>
          </w:p>
          <w:p w14:paraId="61EA5FC7" w14:textId="41DEA991" w:rsidR="00F0564C" w:rsidRPr="00890981" w:rsidRDefault="00F0564C">
            <w:pPr>
              <w:numPr>
                <w:ilvl w:val="12"/>
                <w:numId w:val="0"/>
              </w:numPr>
              <w:tabs>
                <w:tab w:val="clear" w:pos="284"/>
                <w:tab w:val="left" w:pos="567"/>
              </w:tabs>
              <w:spacing w:line="260" w:lineRule="exact"/>
              <w:ind w:right="-2"/>
              <w:rPr>
                <w:szCs w:val="22"/>
                <w:lang w:val="sr-Latn-ME"/>
              </w:rPr>
            </w:pPr>
            <w:r w:rsidRPr="00890981">
              <w:rPr>
                <w:szCs w:val="22"/>
                <w:lang w:val="sr-Latn-ME"/>
              </w:rPr>
              <w:t>Vr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 xml:space="preserve">eme do prve egzacerbacije HOBP numerički je bilo slično </w:t>
            </w:r>
            <w:r w:rsidR="00D93C43">
              <w:rPr>
                <w:szCs w:val="22"/>
                <w:lang w:val="sr-Latn-ME"/>
              </w:rPr>
              <w:t xml:space="preserve"> za lijek</w:t>
            </w:r>
            <w:r w:rsidRPr="00890981">
              <w:rPr>
                <w:szCs w:val="22"/>
                <w:lang w:val="sr-Latn-ME"/>
              </w:rPr>
              <w:t xml:space="preserve"> Spiriva HandiHaler i </w:t>
            </w:r>
            <w:r w:rsidR="00D93C43">
              <w:rPr>
                <w:szCs w:val="22"/>
                <w:lang w:val="sr-Latn-ME"/>
              </w:rPr>
              <w:t xml:space="preserve">lijek </w:t>
            </w:r>
            <w:r w:rsidRPr="00890981">
              <w:rPr>
                <w:szCs w:val="22"/>
                <w:lang w:val="sr-Latn-ME"/>
              </w:rPr>
              <w:t xml:space="preserve">Spiriva Repimat </w:t>
            </w:r>
            <w:r w:rsidR="00D93C43">
              <w:rPr>
                <w:szCs w:val="22"/>
                <w:lang w:val="sr-Latn-ME"/>
              </w:rPr>
              <w:t xml:space="preserve">tokom studije </w:t>
            </w:r>
            <w:r w:rsidRPr="00890981">
              <w:rPr>
                <w:szCs w:val="22"/>
                <w:lang w:val="sr-Latn-ME"/>
              </w:rPr>
              <w:t>(</w:t>
            </w:r>
            <w:r w:rsidR="00856815">
              <w:rPr>
                <w:iCs/>
                <w:szCs w:val="22"/>
                <w:lang w:val="sr-Latn-ME"/>
              </w:rPr>
              <w:t>odnos rizika</w:t>
            </w:r>
            <w:r w:rsidRPr="00890981">
              <w:rPr>
                <w:szCs w:val="22"/>
                <w:lang w:val="sr-Latn-ME"/>
              </w:rPr>
              <w:t xml:space="preserve"> (Spiriva HandiHaler /Spiriva Respimat)</w:t>
            </w:r>
            <w:r w:rsidR="00070027" w:rsidRPr="00890981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= 1,02 sa 95% CI: 0,97 do 1,08). Medijana broja dana do prve egzacerbacije HOBP iznosila je 719 dana za 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ek Spiriva HandiHaler, a 756 dana za 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 xml:space="preserve">ek Spiriva Respimat. </w:t>
            </w:r>
          </w:p>
          <w:p w14:paraId="77693652" w14:textId="77777777" w:rsidR="00F0564C" w:rsidRPr="00890981" w:rsidRDefault="00F0564C">
            <w:pPr>
              <w:numPr>
                <w:ilvl w:val="12"/>
                <w:numId w:val="0"/>
              </w:numPr>
              <w:tabs>
                <w:tab w:val="clear" w:pos="284"/>
                <w:tab w:val="left" w:pos="567"/>
              </w:tabs>
              <w:spacing w:line="260" w:lineRule="exact"/>
              <w:ind w:right="-2"/>
              <w:rPr>
                <w:szCs w:val="22"/>
                <w:lang w:val="sr-Latn-ME"/>
              </w:rPr>
            </w:pPr>
          </w:p>
          <w:p w14:paraId="1A55F09C" w14:textId="1FBDD82C" w:rsidR="00F0564C" w:rsidRPr="00890981" w:rsidRDefault="00F0564C">
            <w:pPr>
              <w:numPr>
                <w:ilvl w:val="12"/>
                <w:numId w:val="0"/>
              </w:numPr>
              <w:tabs>
                <w:tab w:val="clear" w:pos="284"/>
                <w:tab w:val="left" w:pos="567"/>
              </w:tabs>
              <w:spacing w:line="260" w:lineRule="exact"/>
              <w:ind w:right="-2"/>
              <w:rPr>
                <w:szCs w:val="22"/>
                <w:lang w:val="sr-Latn-ME"/>
              </w:rPr>
            </w:pPr>
            <w:r w:rsidRPr="00890981">
              <w:rPr>
                <w:szCs w:val="22"/>
                <w:lang w:val="sr-Latn-ME"/>
              </w:rPr>
              <w:t xml:space="preserve">Bronhodilatatorno dejstvo </w:t>
            </w:r>
            <w:r w:rsidR="00856815">
              <w:rPr>
                <w:szCs w:val="22"/>
                <w:lang w:val="sr-Latn-ME"/>
              </w:rPr>
              <w:t>lijeka</w:t>
            </w:r>
            <w:r w:rsidRPr="00890981">
              <w:rPr>
                <w:szCs w:val="22"/>
                <w:lang w:val="sr-Latn-ME"/>
              </w:rPr>
              <w:t xml:space="preserve"> Spiriva HandiHaler održano je tokom 120 ned</w:t>
            </w:r>
            <w:r w:rsidR="001D6530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 xml:space="preserve">elja, i bilo je slično </w:t>
            </w:r>
            <w:r w:rsidR="00856815">
              <w:rPr>
                <w:szCs w:val="22"/>
                <w:lang w:val="sr-Latn-ME"/>
              </w:rPr>
              <w:t>onom</w:t>
            </w:r>
            <w:r w:rsidRPr="00890981">
              <w:rPr>
                <w:szCs w:val="22"/>
                <w:lang w:val="sr-Latn-ME"/>
              </w:rPr>
              <w:t xml:space="preserve"> sa l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ekom</w:t>
            </w:r>
            <w:r w:rsidR="00070027" w:rsidRPr="00890981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>Spiriva Respimat. Srednja razlika u minimalnim vr</w:t>
            </w:r>
            <w:r w:rsidR="001D6530" w:rsidRPr="00890981">
              <w:rPr>
                <w:szCs w:val="22"/>
                <w:lang w:val="sr-Latn-ME"/>
              </w:rPr>
              <w:t>ij</w:t>
            </w:r>
            <w:r w:rsidRPr="00890981">
              <w:rPr>
                <w:szCs w:val="22"/>
                <w:lang w:val="sr-Latn-ME"/>
              </w:rPr>
              <w:t>ednostima FEV</w:t>
            </w:r>
            <w:r w:rsidRPr="00890981">
              <w:rPr>
                <w:szCs w:val="22"/>
                <w:vertAlign w:val="subscript"/>
                <w:lang w:val="sr-Latn-ME"/>
              </w:rPr>
              <w:t xml:space="preserve">1 </w:t>
            </w:r>
            <w:r w:rsidR="00856815">
              <w:rPr>
                <w:szCs w:val="22"/>
                <w:lang w:val="sr-Latn-ME"/>
              </w:rPr>
              <w:t>za lijek</w:t>
            </w:r>
            <w:r w:rsidRPr="00890981">
              <w:rPr>
                <w:szCs w:val="22"/>
                <w:lang w:val="sr-Latn-ME"/>
              </w:rPr>
              <w:t xml:space="preserve"> Spiriva HandiHaler </w:t>
            </w:r>
            <w:r w:rsidR="00856815">
              <w:rPr>
                <w:szCs w:val="22"/>
                <w:lang w:val="sr-Latn-ME"/>
              </w:rPr>
              <w:t>u odnosu na lijek</w:t>
            </w:r>
            <w:r w:rsidR="00856815" w:rsidRPr="00890981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t xml:space="preserve">Spiriva Respimat iznosila je 0,010 L (95% CI od -0,018 do 0,038 L). </w:t>
            </w:r>
          </w:p>
          <w:p w14:paraId="6DFC5E38" w14:textId="77777777" w:rsidR="00F0564C" w:rsidRPr="00890981" w:rsidRDefault="00F0564C">
            <w:pPr>
              <w:numPr>
                <w:ilvl w:val="12"/>
                <w:numId w:val="0"/>
              </w:numPr>
              <w:tabs>
                <w:tab w:val="clear" w:pos="284"/>
                <w:tab w:val="left" w:pos="567"/>
              </w:tabs>
              <w:spacing w:line="260" w:lineRule="exact"/>
              <w:ind w:right="-2"/>
              <w:rPr>
                <w:szCs w:val="22"/>
                <w:lang w:val="sr-Latn-ME"/>
              </w:rPr>
            </w:pPr>
          </w:p>
          <w:p w14:paraId="05B78A7A" w14:textId="65E99A95" w:rsidR="00F0564C" w:rsidRPr="00890981" w:rsidRDefault="00F0564C">
            <w:pPr>
              <w:numPr>
                <w:ilvl w:val="12"/>
                <w:numId w:val="0"/>
              </w:numPr>
              <w:ind w:right="-2"/>
              <w:rPr>
                <w:szCs w:val="22"/>
                <w:lang w:val="sr-Latn-ME"/>
              </w:rPr>
            </w:pPr>
            <w:r w:rsidRPr="00890981">
              <w:rPr>
                <w:szCs w:val="22"/>
                <w:lang w:val="sr-Latn-ME"/>
              </w:rPr>
              <w:t>U postmarketinškoj studiji TioSpir u kojoj su poređeni l</w:t>
            </w:r>
            <w:r w:rsidR="001D6530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 xml:space="preserve">ekovi Spiriva Respimat i Spiriva HandiHaler, ukupni mortalitet od svih uzroka, uključujući praćenje vitalnog statusa, bio je sličan tokom </w:t>
            </w:r>
            <w:r w:rsidR="00856815">
              <w:rPr>
                <w:szCs w:val="22"/>
                <w:lang w:val="sr-Latn-ME"/>
              </w:rPr>
              <w:t>studije sa ljekovima</w:t>
            </w:r>
            <w:r w:rsidRPr="00890981">
              <w:rPr>
                <w:szCs w:val="22"/>
                <w:lang w:val="sr-Latn-ME"/>
              </w:rPr>
              <w:t xml:space="preserve"> </w:t>
            </w:r>
            <w:r w:rsidRPr="00890981">
              <w:rPr>
                <w:szCs w:val="22"/>
                <w:lang w:val="sr-Latn-ME"/>
              </w:rPr>
              <w:lastRenderedPageBreak/>
              <w:t>Spiriva HandiHaler i Spiriva Respimat (</w:t>
            </w:r>
            <w:r w:rsidR="00856815">
              <w:rPr>
                <w:iCs/>
                <w:szCs w:val="22"/>
                <w:lang w:val="sr-Latn-ME"/>
              </w:rPr>
              <w:t>odnos rizika</w:t>
            </w:r>
            <w:r w:rsidRPr="00890981">
              <w:rPr>
                <w:szCs w:val="22"/>
                <w:lang w:val="sr-Latn-ME"/>
              </w:rPr>
              <w:t xml:space="preserve"> (Spiriva Respimat/Spiriva HandiHaler) 1,04 sa 95% CI: od 0,91 do 1,19). </w:t>
            </w:r>
          </w:p>
          <w:p w14:paraId="6D480ECF" w14:textId="77777777" w:rsidR="00F0564C" w:rsidRPr="00890981" w:rsidRDefault="00F0564C">
            <w:pPr>
              <w:numPr>
                <w:ilvl w:val="12"/>
                <w:numId w:val="0"/>
              </w:numPr>
              <w:ind w:right="-2"/>
              <w:rPr>
                <w:szCs w:val="22"/>
                <w:u w:val="single"/>
                <w:lang w:val="sr-Latn-ME"/>
              </w:rPr>
            </w:pPr>
          </w:p>
          <w:p w14:paraId="006D06A7" w14:textId="77777777" w:rsidR="00F0564C" w:rsidRPr="00890981" w:rsidRDefault="00F0564C">
            <w:pPr>
              <w:numPr>
                <w:ilvl w:val="12"/>
                <w:numId w:val="0"/>
              </w:numPr>
              <w:ind w:right="-2"/>
              <w:rPr>
                <w:szCs w:val="22"/>
                <w:u w:val="single"/>
                <w:lang w:val="sr-Latn-ME"/>
              </w:rPr>
            </w:pPr>
            <w:r w:rsidRPr="00890981">
              <w:rPr>
                <w:szCs w:val="22"/>
                <w:u w:val="single"/>
                <w:lang w:val="sr-Latn-ME"/>
              </w:rPr>
              <w:t>Pedijatrijska populacija:</w:t>
            </w:r>
          </w:p>
          <w:p w14:paraId="5B6847C6" w14:textId="16DF7F27" w:rsidR="00F0564C" w:rsidRPr="00890981" w:rsidRDefault="00F0564C" w:rsidP="009F610E">
            <w:pPr>
              <w:autoSpaceDE w:val="0"/>
              <w:autoSpaceDN w:val="0"/>
              <w:rPr>
                <w:lang w:val="sr-Latn-ME"/>
              </w:rPr>
            </w:pPr>
            <w:r w:rsidRPr="00890981">
              <w:rPr>
                <w:szCs w:val="22"/>
                <w:lang w:val="sr-Latn-ME"/>
              </w:rPr>
              <w:t>Evropska agencija za l</w:t>
            </w:r>
            <w:r w:rsidR="001D6530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 xml:space="preserve">ekove </w:t>
            </w:r>
            <w:r w:rsidR="00856815">
              <w:rPr>
                <w:rFonts w:eastAsia="SimSun"/>
                <w:szCs w:val="22"/>
                <w:lang w:val="sr-Latn-ME" w:eastAsia="zh-TW" w:bidi="th-TH"/>
              </w:rPr>
              <w:t>izuzela</w:t>
            </w:r>
            <w:r w:rsidR="00856815" w:rsidRPr="00890981">
              <w:rPr>
                <w:rFonts w:eastAsia="SimSun"/>
                <w:szCs w:val="22"/>
                <w:lang w:val="sr-Latn-ME" w:eastAsia="zh-TW" w:bidi="th-TH"/>
              </w:rPr>
              <w:t xml:space="preserve"> </w:t>
            </w:r>
            <w:r w:rsidRPr="00890981">
              <w:rPr>
                <w:rFonts w:eastAsia="SimSun"/>
                <w:szCs w:val="22"/>
                <w:lang w:val="sr-Latn-ME" w:eastAsia="zh-TW" w:bidi="th-TH"/>
              </w:rPr>
              <w:t xml:space="preserve">je </w:t>
            </w:r>
            <w:r w:rsidR="00856815">
              <w:rPr>
                <w:rFonts w:eastAsia="SimSun"/>
                <w:szCs w:val="22"/>
                <w:lang w:val="sr-Latn-ME" w:eastAsia="zh-TW" w:bidi="th-TH"/>
              </w:rPr>
              <w:t>od obaveze podnošenje</w:t>
            </w:r>
            <w:r w:rsidRPr="00890981">
              <w:rPr>
                <w:rFonts w:eastAsia="SimSun"/>
                <w:szCs w:val="22"/>
                <w:lang w:val="sr-Latn-ME" w:eastAsia="zh-TW" w:bidi="th-TH"/>
              </w:rPr>
              <w:t xml:space="preserve"> rezultata ispitivanja l</w:t>
            </w:r>
            <w:r w:rsidR="001D6530" w:rsidRPr="00890981">
              <w:rPr>
                <w:rFonts w:eastAsia="SimSun"/>
                <w:szCs w:val="22"/>
                <w:lang w:val="sr-Latn-ME" w:eastAsia="zh-TW" w:bidi="th-TH"/>
              </w:rPr>
              <w:t>ij</w:t>
            </w:r>
            <w:r w:rsidRPr="00890981">
              <w:rPr>
                <w:rFonts w:eastAsia="SimSun"/>
                <w:szCs w:val="22"/>
                <w:lang w:val="sr-Latn-ME" w:eastAsia="zh-TW" w:bidi="th-TH"/>
              </w:rPr>
              <w:t xml:space="preserve">eka </w:t>
            </w:r>
            <w:r w:rsidRPr="00890981">
              <w:rPr>
                <w:szCs w:val="22"/>
                <w:lang w:val="sr-Latn-ME"/>
              </w:rPr>
              <w:t xml:space="preserve">Spiriva u svim </w:t>
            </w:r>
            <w:r w:rsidR="001D6530" w:rsidRPr="00890981">
              <w:rPr>
                <w:szCs w:val="22"/>
                <w:lang w:val="sr-Latn-ME"/>
              </w:rPr>
              <w:t xml:space="preserve">podgrupama </w:t>
            </w:r>
            <w:r w:rsidRPr="00890981">
              <w:rPr>
                <w:szCs w:val="22"/>
                <w:lang w:val="sr-Latn-ME"/>
              </w:rPr>
              <w:t>pedijatrijske populacije u HOBP i cističnoj fibrozi (vid</w:t>
            </w:r>
            <w:r w:rsidR="001D6530" w:rsidRPr="00890981">
              <w:rPr>
                <w:szCs w:val="22"/>
                <w:lang w:val="sr-Latn-ME"/>
              </w:rPr>
              <w:t>j</w:t>
            </w:r>
            <w:r w:rsidRPr="00890981">
              <w:rPr>
                <w:szCs w:val="22"/>
                <w:lang w:val="sr-Latn-ME"/>
              </w:rPr>
              <w:t xml:space="preserve">eti </w:t>
            </w:r>
            <w:r w:rsidR="001D6530" w:rsidRPr="00890981">
              <w:rPr>
                <w:szCs w:val="22"/>
                <w:lang w:val="sr-Latn-ME"/>
              </w:rPr>
              <w:t xml:space="preserve">dio </w:t>
            </w:r>
            <w:r w:rsidRPr="00890981">
              <w:rPr>
                <w:szCs w:val="22"/>
                <w:lang w:val="sr-Latn-ME"/>
              </w:rPr>
              <w:t>4.2</w:t>
            </w:r>
            <w:r w:rsidR="00856815">
              <w:rPr>
                <w:szCs w:val="22"/>
                <w:lang w:val="sr-Latn-ME"/>
              </w:rPr>
              <w:t xml:space="preserve"> za</w:t>
            </w:r>
            <w:r w:rsidRPr="00890981">
              <w:rPr>
                <w:szCs w:val="22"/>
                <w:lang w:val="sr-Latn-ME"/>
              </w:rPr>
              <w:t xml:space="preserve"> informacije o </w:t>
            </w:r>
            <w:r w:rsidR="00856815">
              <w:rPr>
                <w:szCs w:val="22"/>
                <w:lang w:val="sr-Latn-ME"/>
              </w:rPr>
              <w:t>upotrebi u</w:t>
            </w:r>
            <w:r w:rsidRPr="00890981">
              <w:rPr>
                <w:szCs w:val="22"/>
                <w:lang w:val="sr-Latn-ME"/>
              </w:rPr>
              <w:t xml:space="preserve"> pedijatrijiskoj populaciji).</w:t>
            </w:r>
          </w:p>
          <w:p w14:paraId="4A9653C4" w14:textId="77777777" w:rsidR="008D5042" w:rsidRPr="00890981" w:rsidRDefault="008D5042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rPr>
                <w:szCs w:val="22"/>
                <w:lang w:val="sr-Latn-ME"/>
              </w:rPr>
            </w:pPr>
          </w:p>
        </w:tc>
      </w:tr>
    </w:tbl>
    <w:p w14:paraId="3676F42D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lastRenderedPageBreak/>
        <w:t>5.2. Farmakokinetički podaci</w:t>
      </w:r>
    </w:p>
    <w:p w14:paraId="0C823F90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7BCD2949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u w:val="single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 xml:space="preserve">a) Opšti uvod </w:t>
      </w:r>
    </w:p>
    <w:p w14:paraId="08B5DBA5" w14:textId="6A0C52BD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Tiotropijum-bromid je nehiralno kvaternerno amonijumsko jedinjenje i slabo se rastvara u vodi. Tiotropijum</w:t>
      </w:r>
      <w:r w:rsidR="00125DA1" w:rsidRPr="00890981">
        <w:rPr>
          <w:color w:val="auto"/>
          <w:sz w:val="22"/>
          <w:szCs w:val="22"/>
          <w:lang w:val="sr-Latn-ME"/>
        </w:rPr>
        <w:t>-</w:t>
      </w:r>
      <w:r w:rsidRPr="00890981">
        <w:rPr>
          <w:color w:val="auto"/>
          <w:sz w:val="22"/>
          <w:szCs w:val="22"/>
          <w:lang w:val="sr-Latn-ME"/>
        </w:rPr>
        <w:t>bromid se prim</w:t>
      </w:r>
      <w:r w:rsidR="001D6530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enjuje putem inhalacije </w:t>
      </w:r>
      <w:r w:rsidR="00856815">
        <w:rPr>
          <w:color w:val="auto"/>
          <w:sz w:val="22"/>
          <w:szCs w:val="22"/>
          <w:lang w:val="sr-Latn-ME"/>
        </w:rPr>
        <w:t>suvog praška</w:t>
      </w:r>
      <w:r w:rsidRPr="00890981">
        <w:rPr>
          <w:color w:val="auto"/>
          <w:sz w:val="22"/>
          <w:szCs w:val="22"/>
          <w:lang w:val="sr-Latn-ME"/>
        </w:rPr>
        <w:t>. Inače se kod prim</w:t>
      </w:r>
      <w:r w:rsidR="001D6530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ene putem inhalacije veći d</w:t>
      </w:r>
      <w:r w:rsidR="001D6530" w:rsidRPr="00890981">
        <w:rPr>
          <w:color w:val="auto"/>
          <w:sz w:val="22"/>
          <w:szCs w:val="22"/>
          <w:lang w:val="sr-Latn-ME"/>
        </w:rPr>
        <w:t>i</w:t>
      </w:r>
      <w:r w:rsidRPr="00890981">
        <w:rPr>
          <w:color w:val="auto"/>
          <w:sz w:val="22"/>
          <w:szCs w:val="22"/>
          <w:lang w:val="sr-Latn-ME"/>
        </w:rPr>
        <w:t xml:space="preserve">o </w:t>
      </w:r>
      <w:r w:rsidR="00856815">
        <w:rPr>
          <w:color w:val="auto"/>
          <w:sz w:val="22"/>
          <w:szCs w:val="22"/>
          <w:lang w:val="sr-Latn-ME"/>
        </w:rPr>
        <w:t xml:space="preserve">isporučene </w:t>
      </w:r>
      <w:r w:rsidRPr="00890981">
        <w:rPr>
          <w:color w:val="auto"/>
          <w:sz w:val="22"/>
          <w:szCs w:val="22"/>
          <w:lang w:val="sr-Latn-ME"/>
        </w:rPr>
        <w:t>doze taloži u gastrointestinalnom traktu, a u manjoj m</w:t>
      </w:r>
      <w:r w:rsidR="001D6530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eri u plućima, koja su cil</w:t>
      </w:r>
      <w:r w:rsidR="00125DA1" w:rsidRPr="00890981">
        <w:rPr>
          <w:color w:val="auto"/>
          <w:sz w:val="22"/>
          <w:szCs w:val="22"/>
          <w:lang w:val="sr-Latn-ME"/>
        </w:rPr>
        <w:t>jni organ. Mnogi farmakokinetički</w:t>
      </w:r>
      <w:r w:rsidRPr="00890981">
        <w:rPr>
          <w:color w:val="auto"/>
          <w:sz w:val="22"/>
          <w:szCs w:val="22"/>
          <w:lang w:val="sr-Latn-ME"/>
        </w:rPr>
        <w:t xml:space="preserve"> podaci</w:t>
      </w:r>
      <w:r w:rsidR="00125DA1" w:rsidRPr="00890981">
        <w:rPr>
          <w:color w:val="auto"/>
          <w:sz w:val="22"/>
          <w:szCs w:val="22"/>
          <w:lang w:val="sr-Latn-ME"/>
        </w:rPr>
        <w:t>,</w:t>
      </w:r>
      <w:r w:rsidRPr="00890981">
        <w:rPr>
          <w:color w:val="auto"/>
          <w:sz w:val="22"/>
          <w:szCs w:val="22"/>
          <w:lang w:val="sr-Latn-ME"/>
        </w:rPr>
        <w:t xml:space="preserve"> opisani </w:t>
      </w:r>
      <w:r w:rsidR="009971F8" w:rsidRPr="00890981">
        <w:rPr>
          <w:color w:val="auto"/>
          <w:sz w:val="22"/>
          <w:szCs w:val="22"/>
          <w:lang w:val="sr-Latn-ME"/>
        </w:rPr>
        <w:t xml:space="preserve">u nastavku teksta </w:t>
      </w:r>
      <w:r w:rsidRPr="00890981">
        <w:rPr>
          <w:color w:val="auto"/>
          <w:sz w:val="22"/>
          <w:szCs w:val="22"/>
          <w:lang w:val="sr-Latn-ME"/>
        </w:rPr>
        <w:t>su dobijeni uz veće doze</w:t>
      </w:r>
      <w:r w:rsidR="00856815">
        <w:rPr>
          <w:color w:val="auto"/>
          <w:sz w:val="22"/>
          <w:szCs w:val="22"/>
          <w:lang w:val="sr-Latn-ME"/>
        </w:rPr>
        <w:t xml:space="preserve"> od onih</w:t>
      </w:r>
      <w:r w:rsidRPr="00890981">
        <w:rPr>
          <w:color w:val="auto"/>
          <w:sz w:val="22"/>
          <w:szCs w:val="22"/>
          <w:lang w:val="sr-Latn-ME"/>
        </w:rPr>
        <w:t xml:space="preserve"> koje su preporučene za terapiju.</w:t>
      </w:r>
    </w:p>
    <w:p w14:paraId="43B801D0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052A5D3C" w14:textId="0A3505EB" w:rsidR="000375A0" w:rsidRPr="00890981" w:rsidRDefault="000375A0">
      <w:pPr>
        <w:pStyle w:val="Default"/>
        <w:jc w:val="both"/>
        <w:rPr>
          <w:color w:val="auto"/>
          <w:sz w:val="22"/>
          <w:szCs w:val="22"/>
          <w:u w:val="single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 xml:space="preserve">b) Opšte osobine aktivne supstance </w:t>
      </w:r>
      <w:r w:rsidR="00856815">
        <w:rPr>
          <w:color w:val="auto"/>
          <w:sz w:val="22"/>
          <w:szCs w:val="22"/>
          <w:u w:val="single"/>
          <w:lang w:val="sr-Latn-ME"/>
        </w:rPr>
        <w:t>nakon primjene</w:t>
      </w:r>
      <w:r w:rsidRPr="00890981">
        <w:rPr>
          <w:color w:val="auto"/>
          <w:sz w:val="22"/>
          <w:szCs w:val="22"/>
          <w:u w:val="single"/>
          <w:lang w:val="sr-Latn-ME"/>
        </w:rPr>
        <w:t xml:space="preserve"> l</w:t>
      </w:r>
      <w:r w:rsidR="001D6530" w:rsidRPr="00890981">
        <w:rPr>
          <w:color w:val="auto"/>
          <w:sz w:val="22"/>
          <w:szCs w:val="22"/>
          <w:u w:val="single"/>
          <w:lang w:val="sr-Latn-ME"/>
        </w:rPr>
        <w:t>ij</w:t>
      </w:r>
      <w:r w:rsidRPr="00890981">
        <w:rPr>
          <w:color w:val="auto"/>
          <w:sz w:val="22"/>
          <w:szCs w:val="22"/>
          <w:u w:val="single"/>
          <w:lang w:val="sr-Latn-ME"/>
        </w:rPr>
        <w:t>eka</w:t>
      </w:r>
    </w:p>
    <w:p w14:paraId="45478403" w14:textId="5F22F49B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i/>
          <w:color w:val="auto"/>
          <w:sz w:val="22"/>
          <w:szCs w:val="22"/>
          <w:lang w:val="sr-Latn-ME"/>
        </w:rPr>
        <w:t>Resorpcija: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856815">
        <w:rPr>
          <w:color w:val="auto"/>
          <w:sz w:val="22"/>
          <w:szCs w:val="22"/>
          <w:lang w:val="sr-Latn-ME"/>
        </w:rPr>
        <w:t>N</w:t>
      </w:r>
      <w:r w:rsidR="00856815" w:rsidRPr="00890981">
        <w:rPr>
          <w:color w:val="auto"/>
          <w:sz w:val="22"/>
          <w:szCs w:val="22"/>
          <w:lang w:val="sr-Latn-ME"/>
        </w:rPr>
        <w:t xml:space="preserve">akon </w:t>
      </w:r>
      <w:r w:rsidRPr="00890981">
        <w:rPr>
          <w:color w:val="auto"/>
          <w:sz w:val="22"/>
          <w:szCs w:val="22"/>
          <w:lang w:val="sr-Latn-ME"/>
        </w:rPr>
        <w:t xml:space="preserve">inhalacije </w:t>
      </w:r>
      <w:r w:rsidR="00856815">
        <w:rPr>
          <w:color w:val="auto"/>
          <w:sz w:val="22"/>
          <w:szCs w:val="22"/>
          <w:lang w:val="sr-Latn-ME"/>
        </w:rPr>
        <w:t>suvog praška</w:t>
      </w:r>
      <w:r w:rsidRPr="00890981">
        <w:rPr>
          <w:color w:val="auto"/>
          <w:sz w:val="22"/>
          <w:szCs w:val="22"/>
          <w:lang w:val="sr-Latn-ME"/>
        </w:rPr>
        <w:t xml:space="preserve"> kod mlađih zdravih dobrovoljaca apsolutna bioraspoloživost od 19,5% ukazuje da </w:t>
      </w:r>
      <w:r w:rsidR="00856815">
        <w:rPr>
          <w:color w:val="auto"/>
          <w:sz w:val="22"/>
          <w:szCs w:val="22"/>
          <w:lang w:val="sr-Latn-ME"/>
        </w:rPr>
        <w:t>frakcija koja dospijeva u pluća ima visoku</w:t>
      </w:r>
      <w:r w:rsidR="0085681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bioraspoloživost. Oralni rastvori tiotropijuma imaju apsolutnu bioraspoloživost od 2-3%. </w:t>
      </w:r>
    </w:p>
    <w:p w14:paraId="63A0504A" w14:textId="41F9D848" w:rsidR="00025AE4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Maksimalne koncentracije tiotropijuma u plazmi su prim</w:t>
      </w:r>
      <w:r w:rsidR="001D6530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ećene 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 xml:space="preserve">5-7 </w:t>
      </w:r>
      <w:r w:rsidRPr="00890981">
        <w:rPr>
          <w:color w:val="auto"/>
          <w:sz w:val="22"/>
          <w:szCs w:val="22"/>
          <w:lang w:val="sr-Latn-ME"/>
        </w:rPr>
        <w:t>minuta posl</w:t>
      </w:r>
      <w:r w:rsidR="001D6530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 inhalacije.</w:t>
      </w:r>
      <w:r w:rsidR="00025AE4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U stanju ravnoteže, </w:t>
      </w:r>
      <w:r w:rsidR="009971F8" w:rsidRPr="00890981">
        <w:rPr>
          <w:color w:val="auto"/>
          <w:sz w:val="22"/>
          <w:szCs w:val="22"/>
          <w:lang w:val="sr-Latn-ME"/>
        </w:rPr>
        <w:t xml:space="preserve">maksimalne koncentracije </w:t>
      </w:r>
      <w:r w:rsidRPr="00890981">
        <w:rPr>
          <w:color w:val="auto"/>
          <w:sz w:val="22"/>
          <w:szCs w:val="22"/>
          <w:lang w:val="sr-Latn-ME"/>
        </w:rPr>
        <w:t xml:space="preserve">tiotropijuma u plazmi kod pacijenata koji boluju od HOBP su </w:t>
      </w:r>
      <w:r w:rsidR="00856815" w:rsidRPr="00890981">
        <w:rPr>
          <w:color w:val="auto"/>
          <w:sz w:val="22"/>
          <w:szCs w:val="22"/>
          <w:lang w:val="sr-Latn-ME"/>
        </w:rPr>
        <w:t>bil</w:t>
      </w:r>
      <w:r w:rsidR="00856815">
        <w:rPr>
          <w:color w:val="auto"/>
          <w:sz w:val="22"/>
          <w:szCs w:val="22"/>
          <w:lang w:val="sr-Latn-ME"/>
        </w:rPr>
        <w:t>e</w:t>
      </w:r>
      <w:r w:rsidR="0085681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12,9 </w:t>
      </w:r>
      <w:r w:rsidR="009971F8" w:rsidRPr="00890981">
        <w:rPr>
          <w:color w:val="auto"/>
          <w:sz w:val="22"/>
          <w:szCs w:val="22"/>
          <w:lang w:val="sr-Latn-ME"/>
        </w:rPr>
        <w:t>pikograma</w:t>
      </w:r>
      <w:r w:rsidRPr="00890981">
        <w:rPr>
          <w:color w:val="auto"/>
          <w:sz w:val="22"/>
          <w:szCs w:val="22"/>
          <w:lang w:val="sr-Latn-ME"/>
        </w:rPr>
        <w:t>/m</w:t>
      </w:r>
      <w:r w:rsidR="001D6530" w:rsidRPr="00890981">
        <w:rPr>
          <w:color w:val="auto"/>
          <w:sz w:val="22"/>
          <w:szCs w:val="22"/>
          <w:lang w:val="sr-Latn-ME"/>
        </w:rPr>
        <w:t>l</w:t>
      </w:r>
      <w:r w:rsidRPr="00890981">
        <w:rPr>
          <w:color w:val="auto"/>
          <w:sz w:val="22"/>
          <w:szCs w:val="22"/>
          <w:lang w:val="sr-Latn-ME"/>
        </w:rPr>
        <w:t xml:space="preserve"> i </w:t>
      </w:r>
      <w:r w:rsidR="00856815">
        <w:rPr>
          <w:color w:val="auto"/>
          <w:sz w:val="22"/>
          <w:szCs w:val="22"/>
          <w:lang w:val="sr-Latn-ME"/>
        </w:rPr>
        <w:t>brzo</w:t>
      </w:r>
      <w:r w:rsidRPr="00890981">
        <w:rPr>
          <w:color w:val="auto"/>
          <w:sz w:val="22"/>
          <w:szCs w:val="22"/>
          <w:lang w:val="sr-Latn-ME"/>
        </w:rPr>
        <w:t xml:space="preserve"> su </w:t>
      </w:r>
      <w:r w:rsidR="00856815">
        <w:rPr>
          <w:color w:val="auto"/>
          <w:sz w:val="22"/>
          <w:szCs w:val="22"/>
          <w:lang w:val="sr-Latn-ME"/>
        </w:rPr>
        <w:t>opadale u skladu sa višeprostornim farmakokinetičkim modelom. Najmanje</w:t>
      </w:r>
      <w:r w:rsidRPr="00890981">
        <w:rPr>
          <w:color w:val="auto"/>
          <w:sz w:val="22"/>
          <w:szCs w:val="22"/>
          <w:lang w:val="sr-Latn-ME"/>
        </w:rPr>
        <w:t xml:space="preserve"> koncentracije u plazmi u stanju ravnoteže bile su 1,71 </w:t>
      </w:r>
      <w:r w:rsidR="009971F8" w:rsidRPr="00890981">
        <w:rPr>
          <w:color w:val="auto"/>
          <w:sz w:val="22"/>
          <w:szCs w:val="22"/>
          <w:lang w:val="sr-Latn-ME"/>
        </w:rPr>
        <w:t>pikograma</w:t>
      </w:r>
      <w:r w:rsidRPr="00890981">
        <w:rPr>
          <w:color w:val="auto"/>
          <w:sz w:val="22"/>
          <w:szCs w:val="22"/>
          <w:lang w:val="sr-Latn-ME"/>
        </w:rPr>
        <w:t>/m</w:t>
      </w:r>
      <w:r w:rsidR="001D6530" w:rsidRPr="00890981">
        <w:rPr>
          <w:color w:val="auto"/>
          <w:sz w:val="22"/>
          <w:szCs w:val="22"/>
          <w:lang w:val="sr-Latn-ME"/>
        </w:rPr>
        <w:t>l</w:t>
      </w:r>
      <w:r w:rsidRPr="00890981">
        <w:rPr>
          <w:color w:val="auto"/>
          <w:sz w:val="22"/>
          <w:szCs w:val="22"/>
          <w:lang w:val="sr-Latn-ME"/>
        </w:rPr>
        <w:t xml:space="preserve">. </w:t>
      </w:r>
    </w:p>
    <w:p w14:paraId="183501A0" w14:textId="64AB2011" w:rsidR="000375A0" w:rsidRPr="00890981" w:rsidRDefault="000375A0">
      <w:pPr>
        <w:pStyle w:val="Default"/>
        <w:jc w:val="both"/>
        <w:rPr>
          <w:rFonts w:eastAsia="Times New Roman"/>
          <w:color w:val="auto"/>
          <w:sz w:val="22"/>
          <w:szCs w:val="22"/>
          <w:lang w:val="sr-Latn-ME" w:eastAsia="en-US" w:bidi="ar-SA"/>
        </w:rPr>
      </w:pP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 xml:space="preserve">Sistemska izloženost </w:t>
      </w:r>
      <w:r w:rsidR="00856815">
        <w:rPr>
          <w:rFonts w:eastAsia="Times New Roman"/>
          <w:color w:val="auto"/>
          <w:sz w:val="22"/>
          <w:szCs w:val="22"/>
          <w:lang w:val="sr-Latn-ME" w:eastAsia="en-US" w:bidi="ar-SA"/>
        </w:rPr>
        <w:t>nakon inhalacije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 xml:space="preserve"> tiotropijuma preko HandiHaler</w:t>
      </w:r>
      <w:r w:rsidR="00856815">
        <w:rPr>
          <w:rFonts w:eastAsia="Times New Roman"/>
          <w:color w:val="auto"/>
          <w:sz w:val="22"/>
          <w:szCs w:val="22"/>
          <w:lang w:val="sr-Latn-ME" w:eastAsia="en-US" w:bidi="ar-SA"/>
        </w:rPr>
        <w:t xml:space="preserve"> uređaja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 xml:space="preserve"> bila je slična kao kada se tiotropijum inhalirao preko Respimat </w:t>
      </w:r>
      <w:r w:rsidR="00856815"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inhal</w:t>
      </w:r>
      <w:r w:rsidR="00856815">
        <w:rPr>
          <w:rFonts w:eastAsia="Times New Roman"/>
          <w:color w:val="auto"/>
          <w:sz w:val="22"/>
          <w:szCs w:val="22"/>
          <w:lang w:val="sr-Latn-ME" w:eastAsia="en-US" w:bidi="ar-SA"/>
        </w:rPr>
        <w:t>atora</w:t>
      </w:r>
      <w:r w:rsidRPr="00890981">
        <w:rPr>
          <w:rFonts w:eastAsia="Times New Roman"/>
          <w:color w:val="auto"/>
          <w:sz w:val="22"/>
          <w:szCs w:val="22"/>
          <w:lang w:val="sr-Latn-ME" w:eastAsia="en-US" w:bidi="ar-SA"/>
        </w:rPr>
        <w:t>.</w:t>
      </w:r>
    </w:p>
    <w:p w14:paraId="448C0954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highlight w:val="yellow"/>
          <w:lang w:val="sr-Latn-ME"/>
        </w:rPr>
      </w:pPr>
    </w:p>
    <w:p w14:paraId="4B4EA9D1" w14:textId="487F5928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rFonts w:eastAsia="Times New Roman"/>
          <w:i/>
          <w:color w:val="auto"/>
          <w:sz w:val="22"/>
          <w:szCs w:val="22"/>
          <w:lang w:val="sr-Latn-ME" w:eastAsia="en-US" w:bidi="ar-SA"/>
        </w:rPr>
        <w:t>Distribucija:</w:t>
      </w:r>
      <w:r w:rsidR="001D6530" w:rsidRPr="00890981">
        <w:rPr>
          <w:rFonts w:eastAsia="Times New Roman"/>
          <w:i/>
          <w:color w:val="auto"/>
          <w:sz w:val="22"/>
          <w:szCs w:val="22"/>
          <w:lang w:val="sr-Latn-ME" w:eastAsia="en-US" w:bidi="ar-SA"/>
        </w:rPr>
        <w:t xml:space="preserve"> </w:t>
      </w:r>
      <w:r w:rsidR="00856815">
        <w:rPr>
          <w:rFonts w:eastAsia="Times New Roman"/>
          <w:iCs/>
          <w:color w:val="auto"/>
          <w:sz w:val="22"/>
          <w:szCs w:val="22"/>
          <w:lang w:val="sr-Latn-ME" w:eastAsia="en-US" w:bidi="ar-SA"/>
        </w:rPr>
        <w:t>Vezivanje</w:t>
      </w:r>
      <w:r w:rsidR="00856815" w:rsidRPr="00890981">
        <w:rPr>
          <w:rFonts w:eastAsia="Times New Roman"/>
          <w:iCs/>
          <w:color w:val="auto"/>
          <w:sz w:val="22"/>
          <w:szCs w:val="22"/>
          <w:lang w:val="sr-Latn-ME" w:eastAsia="en-US" w:bidi="ar-SA"/>
        </w:rPr>
        <w:t xml:space="preserve"> </w:t>
      </w:r>
      <w:r w:rsidRPr="00890981">
        <w:rPr>
          <w:rFonts w:eastAsia="Times New Roman"/>
          <w:iCs/>
          <w:color w:val="auto"/>
          <w:sz w:val="22"/>
          <w:szCs w:val="22"/>
          <w:lang w:val="sr-Latn-ME" w:eastAsia="en-US" w:bidi="ar-SA"/>
        </w:rPr>
        <w:t xml:space="preserve">tiotropijuma za proteine plazme iznosi 72%, </w:t>
      </w:r>
      <w:r w:rsidR="00856815">
        <w:rPr>
          <w:rFonts w:eastAsia="Times New Roman"/>
          <w:iCs/>
          <w:color w:val="auto"/>
          <w:sz w:val="22"/>
          <w:szCs w:val="22"/>
          <w:lang w:val="sr-Latn-ME" w:eastAsia="en-US" w:bidi="ar-SA"/>
        </w:rPr>
        <w:t>a</w:t>
      </w:r>
      <w:r w:rsidR="00856815" w:rsidRPr="00890981">
        <w:rPr>
          <w:rFonts w:eastAsia="Times New Roman"/>
          <w:iCs/>
          <w:color w:val="auto"/>
          <w:sz w:val="22"/>
          <w:szCs w:val="22"/>
          <w:lang w:val="sr-Latn-ME" w:eastAsia="en-US" w:bidi="ar-SA"/>
        </w:rPr>
        <w:t xml:space="preserve"> </w:t>
      </w:r>
      <w:r w:rsidRPr="00890981">
        <w:rPr>
          <w:rFonts w:eastAsia="Times New Roman"/>
          <w:iCs/>
          <w:color w:val="auto"/>
          <w:sz w:val="22"/>
          <w:szCs w:val="22"/>
          <w:lang w:val="sr-Latn-ME" w:eastAsia="en-US" w:bidi="ar-SA"/>
        </w:rPr>
        <w:t xml:space="preserve">volumen distribucije tiotropijuma iznosi 32 </w:t>
      </w:r>
      <w:r w:rsidR="001D6530" w:rsidRPr="00890981">
        <w:rPr>
          <w:rFonts w:eastAsia="Times New Roman"/>
          <w:iCs/>
          <w:color w:val="auto"/>
          <w:sz w:val="22"/>
          <w:szCs w:val="22"/>
          <w:lang w:val="sr-Latn-ME" w:eastAsia="en-US" w:bidi="ar-SA"/>
        </w:rPr>
        <w:t>l</w:t>
      </w:r>
      <w:r w:rsidRPr="00890981">
        <w:rPr>
          <w:rFonts w:eastAsia="Times New Roman"/>
          <w:iCs/>
          <w:color w:val="auto"/>
          <w:sz w:val="22"/>
          <w:szCs w:val="22"/>
          <w:lang w:val="sr-Latn-ME" w:eastAsia="en-US" w:bidi="ar-SA"/>
        </w:rPr>
        <w:t>/kg.</w:t>
      </w:r>
      <w:r w:rsidR="00025AE4" w:rsidRPr="00890981">
        <w:rPr>
          <w:rFonts w:eastAsia="Times New Roman"/>
          <w:iCs/>
          <w:color w:val="auto"/>
          <w:sz w:val="22"/>
          <w:szCs w:val="22"/>
          <w:lang w:val="sr-Latn-ME" w:eastAsia="en-US" w:bidi="ar-SA"/>
        </w:rPr>
        <w:t xml:space="preserve"> </w:t>
      </w:r>
      <w:r w:rsidR="00856815">
        <w:rPr>
          <w:color w:val="auto"/>
          <w:sz w:val="22"/>
          <w:szCs w:val="22"/>
          <w:lang w:val="sr-Latn-ME"/>
        </w:rPr>
        <w:t>Nisu poznate lokalne koncentracije</w:t>
      </w:r>
      <w:r w:rsidRPr="00890981">
        <w:rPr>
          <w:color w:val="auto"/>
          <w:sz w:val="22"/>
          <w:szCs w:val="22"/>
          <w:lang w:val="sr-Latn-ME"/>
        </w:rPr>
        <w:t xml:space="preserve"> l</w:t>
      </w:r>
      <w:r w:rsidR="001D6530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eka u plućima, ali način prim</w:t>
      </w:r>
      <w:r w:rsidR="001D6530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ene </w:t>
      </w:r>
      <w:r w:rsidR="00856815">
        <w:rPr>
          <w:color w:val="auto"/>
          <w:sz w:val="22"/>
          <w:szCs w:val="22"/>
          <w:lang w:val="sr-Latn-ME"/>
        </w:rPr>
        <w:t>ukazuje</w:t>
      </w:r>
      <w:r w:rsidR="0085681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na znatno veće koncentracije u plućima. Studije sprovedene na pacovima su pokazale da tiotropijum-bromid ne prolazi krvno–moždanu barijeru u značajnoj m</w:t>
      </w:r>
      <w:r w:rsidR="001D6530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eri.</w:t>
      </w:r>
    </w:p>
    <w:p w14:paraId="23D589A6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520E6D29" w14:textId="22016C79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i/>
          <w:iCs/>
          <w:color w:val="auto"/>
          <w:sz w:val="22"/>
          <w:szCs w:val="22"/>
          <w:lang w:val="sr-Latn-ME"/>
        </w:rPr>
        <w:t>Biotransformacija: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856815">
        <w:rPr>
          <w:color w:val="auto"/>
          <w:sz w:val="22"/>
          <w:szCs w:val="22"/>
          <w:lang w:val="sr-Latn-ME"/>
        </w:rPr>
        <w:t>S</w:t>
      </w:r>
      <w:r w:rsidR="00856815" w:rsidRPr="00890981">
        <w:rPr>
          <w:color w:val="auto"/>
          <w:sz w:val="22"/>
          <w:szCs w:val="22"/>
          <w:lang w:val="sr-Latn-ME"/>
        </w:rPr>
        <w:t xml:space="preserve">tepen </w:t>
      </w:r>
      <w:r w:rsidRPr="00890981">
        <w:rPr>
          <w:color w:val="auto"/>
          <w:sz w:val="22"/>
          <w:szCs w:val="22"/>
          <w:lang w:val="sr-Latn-ME"/>
        </w:rPr>
        <w:t xml:space="preserve">biotransformacije je nizak. To se vidi na osnovu izlučivanja 74% </w:t>
      </w:r>
      <w:r w:rsidR="00856815">
        <w:rPr>
          <w:color w:val="auto"/>
          <w:sz w:val="22"/>
          <w:szCs w:val="22"/>
          <w:lang w:val="sr-Latn-ME"/>
        </w:rPr>
        <w:t>nepromijenjenog lijeka</w:t>
      </w:r>
      <w:r w:rsidRPr="00890981">
        <w:rPr>
          <w:color w:val="auto"/>
          <w:sz w:val="22"/>
          <w:szCs w:val="22"/>
          <w:lang w:val="sr-Latn-ME"/>
        </w:rPr>
        <w:t xml:space="preserve"> putem urina posl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 </w:t>
      </w:r>
      <w:r w:rsidR="00856815" w:rsidRPr="00890981">
        <w:rPr>
          <w:color w:val="auto"/>
          <w:sz w:val="22"/>
          <w:szCs w:val="22"/>
          <w:lang w:val="sr-Latn-ME"/>
        </w:rPr>
        <w:t>intravensk</w:t>
      </w:r>
      <w:r w:rsidR="00856815">
        <w:rPr>
          <w:color w:val="auto"/>
          <w:sz w:val="22"/>
          <w:szCs w:val="22"/>
          <w:lang w:val="sr-Latn-ME"/>
        </w:rPr>
        <w:t>i primijenjene</w:t>
      </w:r>
      <w:r w:rsidR="0085681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doze kod </w:t>
      </w:r>
      <w:r w:rsidR="00856815" w:rsidRPr="00890981">
        <w:rPr>
          <w:color w:val="auto"/>
          <w:sz w:val="22"/>
          <w:szCs w:val="22"/>
          <w:lang w:val="sr-Latn-ME"/>
        </w:rPr>
        <w:t>mla</w:t>
      </w:r>
      <w:r w:rsidR="00856815">
        <w:rPr>
          <w:color w:val="auto"/>
          <w:sz w:val="22"/>
          <w:szCs w:val="22"/>
          <w:lang w:val="sr-Latn-ME"/>
        </w:rPr>
        <w:t>dih</w:t>
      </w:r>
      <w:r w:rsidR="0085681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zdravih dobrovoljaca. </w:t>
      </w:r>
      <w:r w:rsidR="00856815">
        <w:rPr>
          <w:color w:val="auto"/>
          <w:sz w:val="22"/>
          <w:szCs w:val="22"/>
          <w:lang w:val="sr-Latn-ME"/>
        </w:rPr>
        <w:t>Estar t</w:t>
      </w:r>
      <w:r w:rsidRPr="00890981">
        <w:rPr>
          <w:color w:val="auto"/>
          <w:sz w:val="22"/>
          <w:szCs w:val="22"/>
          <w:lang w:val="sr-Latn-ME"/>
        </w:rPr>
        <w:t>iotropijum-bromid</w:t>
      </w:r>
      <w:r w:rsidR="00856815">
        <w:rPr>
          <w:color w:val="auto"/>
          <w:sz w:val="22"/>
          <w:szCs w:val="22"/>
          <w:lang w:val="sr-Latn-ME"/>
        </w:rPr>
        <w:t xml:space="preserve"> </w:t>
      </w:r>
      <w:r w:rsidR="00025AE4" w:rsidRPr="00890981">
        <w:rPr>
          <w:color w:val="auto"/>
          <w:sz w:val="22"/>
          <w:szCs w:val="22"/>
          <w:lang w:val="sr-Latn-ME"/>
        </w:rPr>
        <w:t xml:space="preserve">se </w:t>
      </w:r>
      <w:r w:rsidR="00856815">
        <w:rPr>
          <w:color w:val="auto"/>
          <w:sz w:val="22"/>
          <w:szCs w:val="22"/>
          <w:lang w:val="sr-Latn-ME"/>
        </w:rPr>
        <w:t xml:space="preserve">neenzimski </w:t>
      </w:r>
      <w:r w:rsidRPr="00890981">
        <w:rPr>
          <w:color w:val="auto"/>
          <w:sz w:val="22"/>
          <w:szCs w:val="22"/>
          <w:lang w:val="sr-Latn-ME"/>
        </w:rPr>
        <w:t>c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epa na alkohol </w:t>
      </w:r>
      <w:r w:rsidR="00856815">
        <w:rPr>
          <w:color w:val="auto"/>
          <w:sz w:val="22"/>
          <w:szCs w:val="22"/>
          <w:lang w:val="sr-Latn-ME"/>
        </w:rPr>
        <w:t>(</w:t>
      </w:r>
      <w:r w:rsidRPr="00890981">
        <w:rPr>
          <w:color w:val="auto"/>
          <w:sz w:val="22"/>
          <w:szCs w:val="22"/>
          <w:lang w:val="sr-Latn-ME"/>
        </w:rPr>
        <w:t>N-metilskopin</w:t>
      </w:r>
      <w:r w:rsidR="00856815">
        <w:rPr>
          <w:color w:val="auto"/>
          <w:sz w:val="22"/>
          <w:szCs w:val="22"/>
          <w:lang w:val="sr-Latn-ME"/>
        </w:rPr>
        <w:t>)</w:t>
      </w:r>
      <w:r w:rsidRPr="00890981">
        <w:rPr>
          <w:color w:val="auto"/>
          <w:sz w:val="22"/>
          <w:szCs w:val="22"/>
          <w:lang w:val="sr-Latn-ME"/>
        </w:rPr>
        <w:t xml:space="preserve"> i </w:t>
      </w:r>
      <w:r w:rsidR="00856815">
        <w:rPr>
          <w:color w:val="auto"/>
          <w:sz w:val="22"/>
          <w:szCs w:val="22"/>
          <w:lang w:val="sr-Latn-ME"/>
        </w:rPr>
        <w:t>kiselinu (</w:t>
      </w:r>
      <w:r w:rsidR="00F90485" w:rsidRPr="00890981">
        <w:rPr>
          <w:color w:val="auto"/>
          <w:sz w:val="22"/>
          <w:szCs w:val="22"/>
          <w:lang w:val="sr-Latn-ME"/>
        </w:rPr>
        <w:t>ditienilglikoln</w:t>
      </w:r>
      <w:r w:rsidR="00F90485">
        <w:rPr>
          <w:color w:val="auto"/>
          <w:sz w:val="22"/>
          <w:szCs w:val="22"/>
          <w:lang w:val="sr-Latn-ME"/>
        </w:rPr>
        <w:t>a</w:t>
      </w:r>
      <w:r w:rsidR="00F90485" w:rsidRPr="00890981">
        <w:rPr>
          <w:color w:val="auto"/>
          <w:sz w:val="22"/>
          <w:szCs w:val="22"/>
          <w:lang w:val="sr-Latn-ME"/>
        </w:rPr>
        <w:t xml:space="preserve"> kiselin</w:t>
      </w:r>
      <w:r w:rsidR="00F90485">
        <w:rPr>
          <w:color w:val="auto"/>
          <w:sz w:val="22"/>
          <w:szCs w:val="22"/>
          <w:lang w:val="sr-Latn-ME"/>
        </w:rPr>
        <w:t>a)</w:t>
      </w:r>
      <w:r w:rsidRPr="00890981">
        <w:rPr>
          <w:color w:val="auto"/>
          <w:sz w:val="22"/>
          <w:szCs w:val="22"/>
          <w:lang w:val="sr-Latn-ME"/>
        </w:rPr>
        <w:t xml:space="preserve">, koji su neaktivni na muskarinskim receptorima. </w:t>
      </w:r>
      <w:r w:rsidRPr="00890981">
        <w:rPr>
          <w:i/>
          <w:iCs/>
          <w:sz w:val="22"/>
          <w:szCs w:val="22"/>
          <w:lang w:val="sr-Latn-ME"/>
        </w:rPr>
        <w:t>In-vitro</w:t>
      </w:r>
      <w:r w:rsidRPr="00890981">
        <w:rPr>
          <w:sz w:val="22"/>
          <w:szCs w:val="22"/>
          <w:lang w:val="sr-Latn-ME"/>
        </w:rPr>
        <w:t xml:space="preserve"> eksperimenti na humanim mikrozomima jetre i humanim hepatocitima ukazuju da će se d</w:t>
      </w:r>
      <w:r w:rsidR="00895BE1" w:rsidRPr="00890981">
        <w:rPr>
          <w:sz w:val="22"/>
          <w:szCs w:val="22"/>
          <w:lang w:val="sr-Latn-ME"/>
        </w:rPr>
        <w:t>i</w:t>
      </w:r>
      <w:r w:rsidRPr="00890981">
        <w:rPr>
          <w:sz w:val="22"/>
          <w:szCs w:val="22"/>
          <w:lang w:val="sr-Latn-ME"/>
        </w:rPr>
        <w:t>o l</w:t>
      </w:r>
      <w:r w:rsidR="00895BE1" w:rsidRPr="00890981">
        <w:rPr>
          <w:sz w:val="22"/>
          <w:szCs w:val="22"/>
          <w:lang w:val="sr-Latn-ME"/>
        </w:rPr>
        <w:t>ij</w:t>
      </w:r>
      <w:r w:rsidRPr="00890981">
        <w:rPr>
          <w:sz w:val="22"/>
          <w:szCs w:val="22"/>
          <w:lang w:val="sr-Latn-ME"/>
        </w:rPr>
        <w:t>eka (&lt;</w:t>
      </w:r>
      <w:r w:rsidR="009C51D5" w:rsidRPr="00890981">
        <w:rPr>
          <w:sz w:val="22"/>
          <w:szCs w:val="22"/>
          <w:lang w:val="sr-Latn-ME"/>
        </w:rPr>
        <w:t> </w:t>
      </w:r>
      <w:r w:rsidRPr="00890981">
        <w:rPr>
          <w:sz w:val="22"/>
          <w:szCs w:val="22"/>
          <w:lang w:val="sr-Latn-ME"/>
        </w:rPr>
        <w:t>20% doze nakon intravenske prim</w:t>
      </w:r>
      <w:r w:rsidR="00895BE1" w:rsidRPr="00890981">
        <w:rPr>
          <w:sz w:val="22"/>
          <w:szCs w:val="22"/>
          <w:lang w:val="sr-Latn-ME"/>
        </w:rPr>
        <w:t>j</w:t>
      </w:r>
      <w:r w:rsidRPr="00890981">
        <w:rPr>
          <w:sz w:val="22"/>
          <w:szCs w:val="22"/>
          <w:lang w:val="sr-Latn-ME"/>
        </w:rPr>
        <w:t xml:space="preserve">ene) dalje metabolisati putem citohroma P450 (CYP) </w:t>
      </w:r>
      <w:r w:rsidR="00F90485">
        <w:rPr>
          <w:sz w:val="22"/>
          <w:szCs w:val="22"/>
          <w:lang w:val="sr-Latn-ME"/>
        </w:rPr>
        <w:t>zavisne oksidacije</w:t>
      </w:r>
      <w:r w:rsidR="00F90485" w:rsidRPr="00890981">
        <w:rPr>
          <w:sz w:val="22"/>
          <w:szCs w:val="22"/>
          <w:lang w:val="sr-Latn-ME"/>
        </w:rPr>
        <w:t xml:space="preserve"> </w:t>
      </w:r>
      <w:r w:rsidRPr="00890981">
        <w:rPr>
          <w:sz w:val="22"/>
          <w:szCs w:val="22"/>
          <w:lang w:val="sr-Latn-ME"/>
        </w:rPr>
        <w:t xml:space="preserve">i pratećom konjugacijom </w:t>
      </w:r>
      <w:r w:rsidR="00F90485">
        <w:rPr>
          <w:sz w:val="22"/>
          <w:szCs w:val="22"/>
          <w:lang w:val="sr-Latn-ME"/>
        </w:rPr>
        <w:t xml:space="preserve">sa glutationom </w:t>
      </w:r>
      <w:r w:rsidRPr="00890981">
        <w:rPr>
          <w:sz w:val="22"/>
          <w:szCs w:val="22"/>
          <w:lang w:val="sr-Latn-ME"/>
        </w:rPr>
        <w:t xml:space="preserve">do različitih metabolita </w:t>
      </w:r>
      <w:r w:rsidR="00F90485">
        <w:rPr>
          <w:sz w:val="22"/>
          <w:szCs w:val="22"/>
          <w:lang w:val="sr-Latn-ME"/>
        </w:rPr>
        <w:t>f</w:t>
      </w:r>
      <w:r w:rsidR="00F90485" w:rsidRPr="00890981">
        <w:rPr>
          <w:sz w:val="22"/>
          <w:szCs w:val="22"/>
          <w:lang w:val="sr-Latn-ME"/>
        </w:rPr>
        <w:t xml:space="preserve">aze </w:t>
      </w:r>
      <w:r w:rsidRPr="00890981">
        <w:rPr>
          <w:sz w:val="22"/>
          <w:szCs w:val="22"/>
          <w:lang w:val="sr-Latn-ME"/>
        </w:rPr>
        <w:t>II.</w:t>
      </w:r>
    </w:p>
    <w:p w14:paraId="0E7E9F28" w14:textId="77777777" w:rsidR="000375A0" w:rsidRPr="00890981" w:rsidRDefault="00436417">
      <w:pPr>
        <w:pStyle w:val="Default"/>
        <w:tabs>
          <w:tab w:val="left" w:pos="7760"/>
        </w:tabs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ab/>
      </w:r>
    </w:p>
    <w:p w14:paraId="2AAC6C2B" w14:textId="715D25C0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i/>
          <w:iCs/>
          <w:color w:val="auto"/>
          <w:sz w:val="22"/>
          <w:szCs w:val="22"/>
          <w:lang w:val="sr-Latn-ME"/>
        </w:rPr>
        <w:t xml:space="preserve">In-vitro </w:t>
      </w:r>
      <w:r w:rsidR="00F90485">
        <w:rPr>
          <w:color w:val="auto"/>
          <w:sz w:val="22"/>
          <w:szCs w:val="22"/>
          <w:lang w:val="sr-Latn-ME"/>
        </w:rPr>
        <w:t>studije</w:t>
      </w:r>
      <w:r w:rsidR="00F9048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na mikrozomima jetre </w:t>
      </w:r>
      <w:r w:rsidR="00F90485">
        <w:rPr>
          <w:color w:val="auto"/>
          <w:sz w:val="22"/>
          <w:szCs w:val="22"/>
          <w:lang w:val="sr-Latn-ME"/>
        </w:rPr>
        <w:t>pokazuju</w:t>
      </w:r>
      <w:r w:rsidRPr="00890981">
        <w:rPr>
          <w:color w:val="auto"/>
          <w:sz w:val="22"/>
          <w:szCs w:val="22"/>
          <w:lang w:val="sr-Latn-ME"/>
        </w:rPr>
        <w:t xml:space="preserve"> da enzimski </w:t>
      </w:r>
      <w:r w:rsidR="00F90485">
        <w:rPr>
          <w:color w:val="auto"/>
          <w:sz w:val="22"/>
          <w:szCs w:val="22"/>
          <w:lang w:val="sr-Latn-ME"/>
        </w:rPr>
        <w:t>put</w:t>
      </w:r>
      <w:r w:rsidR="00F9048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može </w:t>
      </w:r>
      <w:r w:rsidR="00F90485">
        <w:rPr>
          <w:color w:val="auto"/>
          <w:sz w:val="22"/>
          <w:szCs w:val="22"/>
          <w:lang w:val="sr-Latn-ME"/>
        </w:rPr>
        <w:t>biti inhibiran</w:t>
      </w:r>
      <w:r w:rsidRPr="00890981">
        <w:rPr>
          <w:color w:val="auto"/>
          <w:sz w:val="22"/>
          <w:szCs w:val="22"/>
          <w:lang w:val="sr-Latn-ME"/>
        </w:rPr>
        <w:t xml:space="preserve"> CYP 2D6 (i 3A4) </w:t>
      </w:r>
      <w:r w:rsidR="00F90485">
        <w:rPr>
          <w:color w:val="auto"/>
          <w:sz w:val="22"/>
          <w:szCs w:val="22"/>
          <w:lang w:val="sr-Latn-ME"/>
        </w:rPr>
        <w:t>inhibitorima, hinidinom, ketokonazolom</w:t>
      </w:r>
      <w:r w:rsidRPr="00890981">
        <w:rPr>
          <w:color w:val="auto"/>
          <w:sz w:val="22"/>
          <w:szCs w:val="22"/>
          <w:lang w:val="sr-Latn-ME"/>
        </w:rPr>
        <w:t xml:space="preserve"> i </w:t>
      </w:r>
      <w:r w:rsidR="00F90485" w:rsidRPr="00890981">
        <w:rPr>
          <w:color w:val="auto"/>
          <w:sz w:val="22"/>
          <w:szCs w:val="22"/>
          <w:lang w:val="sr-Latn-ME"/>
        </w:rPr>
        <w:t>gestoden</w:t>
      </w:r>
      <w:r w:rsidR="00F90485">
        <w:rPr>
          <w:color w:val="auto"/>
          <w:sz w:val="22"/>
          <w:szCs w:val="22"/>
          <w:lang w:val="sr-Latn-ME"/>
        </w:rPr>
        <w:t>om</w:t>
      </w:r>
      <w:r w:rsidRPr="00890981">
        <w:rPr>
          <w:color w:val="auto"/>
          <w:sz w:val="22"/>
          <w:szCs w:val="22"/>
          <w:lang w:val="sr-Latn-ME"/>
        </w:rPr>
        <w:t xml:space="preserve">. </w:t>
      </w:r>
      <w:r w:rsidR="00F90485">
        <w:rPr>
          <w:color w:val="auto"/>
          <w:sz w:val="22"/>
          <w:szCs w:val="22"/>
          <w:lang w:val="sr-Latn-ME"/>
        </w:rPr>
        <w:t>Stoga,</w:t>
      </w:r>
      <w:r w:rsidRPr="00890981">
        <w:rPr>
          <w:color w:val="auto"/>
          <w:sz w:val="22"/>
          <w:szCs w:val="22"/>
          <w:lang w:val="sr-Latn-ME"/>
        </w:rPr>
        <w:t xml:space="preserve"> CYP 2D6 i 3A4 </w:t>
      </w:r>
      <w:r w:rsidR="00F90485">
        <w:rPr>
          <w:color w:val="auto"/>
          <w:sz w:val="22"/>
          <w:szCs w:val="22"/>
          <w:lang w:val="sr-Latn-ME"/>
        </w:rPr>
        <w:t xml:space="preserve">su </w:t>
      </w:r>
      <w:r w:rsidRPr="00890981">
        <w:rPr>
          <w:color w:val="auto"/>
          <w:sz w:val="22"/>
          <w:szCs w:val="22"/>
          <w:lang w:val="sr-Latn-ME"/>
        </w:rPr>
        <w:t>uključeni u metabolički put koji je odgovoran za eliminaciju manjeg d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ela doze. Tiotropijum-bromid čak ni u supraterapijskim koncentracijama ne inhibira citohrome CYP 1A1, 1A2, 2B6, 2C9, 2C19, 2D6, 2E1 ili 3A u humanim mikrozomima jetre. </w:t>
      </w:r>
    </w:p>
    <w:p w14:paraId="33BE6EA9" w14:textId="77777777" w:rsidR="000375A0" w:rsidRPr="00890981" w:rsidRDefault="000375A0">
      <w:pPr>
        <w:pStyle w:val="Default"/>
        <w:ind w:right="-140"/>
        <w:jc w:val="both"/>
        <w:rPr>
          <w:color w:val="auto"/>
          <w:sz w:val="22"/>
          <w:szCs w:val="22"/>
          <w:lang w:val="sr-Latn-ME"/>
        </w:rPr>
      </w:pPr>
    </w:p>
    <w:p w14:paraId="2BA81659" w14:textId="37FE06E7" w:rsidR="000375A0" w:rsidRPr="00890981" w:rsidRDefault="000375A0">
      <w:pPr>
        <w:pStyle w:val="Default"/>
        <w:ind w:right="-140"/>
        <w:jc w:val="both"/>
        <w:rPr>
          <w:color w:val="auto"/>
          <w:sz w:val="22"/>
          <w:szCs w:val="22"/>
          <w:lang w:val="sr-Latn-ME"/>
        </w:rPr>
      </w:pPr>
      <w:r w:rsidRPr="00890981">
        <w:rPr>
          <w:i/>
          <w:iCs/>
          <w:color w:val="auto"/>
          <w:sz w:val="22"/>
          <w:szCs w:val="22"/>
          <w:lang w:val="sr-Latn-ME"/>
        </w:rPr>
        <w:t>Eliminacija: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F90485">
        <w:rPr>
          <w:color w:val="auto"/>
          <w:sz w:val="22"/>
          <w:szCs w:val="22"/>
          <w:lang w:val="sr-Latn-ME"/>
        </w:rPr>
        <w:t>E</w:t>
      </w:r>
      <w:r w:rsidR="00F90485" w:rsidRPr="00890981">
        <w:rPr>
          <w:color w:val="auto"/>
          <w:sz w:val="22"/>
          <w:szCs w:val="22"/>
          <w:lang w:val="sr-Latn-ME"/>
        </w:rPr>
        <w:t xml:space="preserve">fektivno </w:t>
      </w:r>
      <w:r w:rsidRPr="00890981">
        <w:rPr>
          <w:color w:val="auto"/>
          <w:sz w:val="22"/>
          <w:szCs w:val="22"/>
          <w:lang w:val="sr-Latn-ME"/>
        </w:rPr>
        <w:t>poluvr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eme eliminacije tiotropijuma </w:t>
      </w:r>
      <w:r w:rsidR="00F90485">
        <w:rPr>
          <w:color w:val="auto"/>
          <w:sz w:val="22"/>
          <w:szCs w:val="22"/>
          <w:lang w:val="sr-Latn-ME"/>
        </w:rPr>
        <w:t>se kreće</w:t>
      </w:r>
      <w:r w:rsidR="00F9048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između 27 i 45 sati kod HOBP pacijenata. Ukupan klirens je bio 880 m</w:t>
      </w:r>
      <w:r w:rsidR="00895BE1" w:rsidRPr="00890981">
        <w:rPr>
          <w:color w:val="auto"/>
          <w:sz w:val="22"/>
          <w:szCs w:val="22"/>
          <w:lang w:val="sr-Latn-ME"/>
        </w:rPr>
        <w:t>l</w:t>
      </w:r>
      <w:r w:rsidRPr="00890981">
        <w:rPr>
          <w:color w:val="auto"/>
          <w:sz w:val="22"/>
          <w:szCs w:val="22"/>
          <w:lang w:val="sr-Latn-ME"/>
        </w:rPr>
        <w:t>/min posl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 intravenske doze kod mladih zdravih dobrovoljaca. Intravenski prim</w:t>
      </w:r>
      <w:r w:rsidR="00895BE1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enjeni tiotropijum se uglavnom izlučuje neprom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enjen </w:t>
      </w:r>
      <w:r w:rsidR="00F90485">
        <w:rPr>
          <w:color w:val="auto"/>
          <w:sz w:val="22"/>
          <w:szCs w:val="22"/>
          <w:lang w:val="sr-Latn-ME"/>
        </w:rPr>
        <w:t>putem urina</w:t>
      </w:r>
      <w:r w:rsidRPr="00890981">
        <w:rPr>
          <w:color w:val="auto"/>
          <w:sz w:val="22"/>
          <w:szCs w:val="22"/>
          <w:lang w:val="sr-Latn-ME"/>
        </w:rPr>
        <w:t xml:space="preserve"> (74%). Posl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 inhalacije </w:t>
      </w:r>
      <w:r w:rsidR="00F90485">
        <w:rPr>
          <w:color w:val="auto"/>
          <w:sz w:val="22"/>
          <w:szCs w:val="22"/>
          <w:lang w:val="sr-Latn-ME"/>
        </w:rPr>
        <w:t>suvog praška</w:t>
      </w:r>
      <w:r w:rsidRPr="00890981">
        <w:rPr>
          <w:color w:val="auto"/>
          <w:sz w:val="22"/>
          <w:szCs w:val="22"/>
          <w:lang w:val="sr-Latn-ME"/>
        </w:rPr>
        <w:t xml:space="preserve"> kod HOBP pacijenata do postizanja stanja ravnoteže, </w:t>
      </w:r>
      <w:r w:rsidR="00F90485">
        <w:rPr>
          <w:color w:val="auto"/>
          <w:sz w:val="22"/>
          <w:szCs w:val="22"/>
          <w:lang w:val="sr-Latn-ME"/>
        </w:rPr>
        <w:t>urinom se izluči</w:t>
      </w:r>
      <w:r w:rsidRPr="00890981">
        <w:rPr>
          <w:color w:val="auto"/>
          <w:sz w:val="22"/>
          <w:szCs w:val="22"/>
          <w:lang w:val="sr-Latn-ME"/>
        </w:rPr>
        <w:t xml:space="preserve"> 7% (1</w:t>
      </w:r>
      <w:r w:rsidR="00B9427B" w:rsidRPr="00890981">
        <w:rPr>
          <w:color w:val="auto"/>
          <w:sz w:val="22"/>
          <w:szCs w:val="22"/>
          <w:lang w:val="sr-Latn-ME"/>
        </w:rPr>
        <w:t>,</w:t>
      </w:r>
      <w:r w:rsidRPr="00890981">
        <w:rPr>
          <w:color w:val="auto"/>
          <w:sz w:val="22"/>
          <w:szCs w:val="22"/>
          <w:lang w:val="sr-Latn-ME"/>
        </w:rPr>
        <w:t xml:space="preserve">3 </w:t>
      </w:r>
      <w:r w:rsidR="00B9427B" w:rsidRPr="00890981">
        <w:rPr>
          <w:color w:val="auto"/>
          <w:sz w:val="22"/>
          <w:szCs w:val="22"/>
          <w:lang w:val="sr-Latn-ME"/>
        </w:rPr>
        <w:t>mikrograma</w:t>
      </w:r>
      <w:r w:rsidRPr="00890981">
        <w:rPr>
          <w:color w:val="auto"/>
          <w:sz w:val="22"/>
          <w:szCs w:val="22"/>
          <w:lang w:val="sr-Latn-ME"/>
        </w:rPr>
        <w:t xml:space="preserve">) </w:t>
      </w:r>
      <w:r w:rsidR="00F90485">
        <w:rPr>
          <w:color w:val="auto"/>
          <w:sz w:val="22"/>
          <w:szCs w:val="22"/>
          <w:lang w:val="sr-Latn-ME"/>
        </w:rPr>
        <w:t>nepromijenjenog</w:t>
      </w:r>
      <w:r w:rsidRPr="00890981">
        <w:rPr>
          <w:color w:val="auto"/>
          <w:sz w:val="22"/>
          <w:szCs w:val="22"/>
          <w:lang w:val="sr-Latn-ME"/>
        </w:rPr>
        <w:t xml:space="preserve"> l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eka tokom 24 sata, a ostatak je uglavnom ne</w:t>
      </w:r>
      <w:r w:rsidR="00ED0AA2" w:rsidRPr="00890981">
        <w:rPr>
          <w:color w:val="auto"/>
          <w:sz w:val="22"/>
          <w:szCs w:val="22"/>
          <w:lang w:val="sr-Latn-ME"/>
        </w:rPr>
        <w:t>re</w:t>
      </w:r>
      <w:r w:rsidRPr="00890981">
        <w:rPr>
          <w:color w:val="auto"/>
          <w:sz w:val="22"/>
          <w:szCs w:val="22"/>
          <w:lang w:val="sr-Latn-ME"/>
        </w:rPr>
        <w:t>sorbovani l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ek u cr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evima koji se eliminiše putem stolice. Renalni klirens tiotropijuma nadmašuje klirens kreatinina, ukazujući na </w:t>
      </w:r>
      <w:r w:rsidR="00F90485">
        <w:rPr>
          <w:color w:val="auto"/>
          <w:sz w:val="22"/>
          <w:szCs w:val="22"/>
          <w:lang w:val="sr-Latn-ME"/>
        </w:rPr>
        <w:t>sekreciju u urin</w:t>
      </w:r>
      <w:r w:rsidRPr="00890981">
        <w:rPr>
          <w:color w:val="auto"/>
          <w:sz w:val="22"/>
          <w:szCs w:val="22"/>
          <w:lang w:val="sr-Latn-ME"/>
        </w:rPr>
        <w:t>. Posl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 hronične inhalacije </w:t>
      </w:r>
      <w:r w:rsidR="00F90485">
        <w:rPr>
          <w:color w:val="auto"/>
          <w:sz w:val="22"/>
          <w:szCs w:val="22"/>
          <w:lang w:val="sr-Latn-ME"/>
        </w:rPr>
        <w:t>primjenjivane</w:t>
      </w:r>
      <w:r w:rsidR="00F9048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jednom dnevno kod pacijenata koji</w:t>
      </w:r>
      <w:r w:rsidR="009C51D5" w:rsidRPr="00890981">
        <w:rPr>
          <w:color w:val="auto"/>
          <w:sz w:val="22"/>
          <w:szCs w:val="22"/>
          <w:lang w:val="sr-Latn-ME"/>
        </w:rPr>
        <w:t xml:space="preserve"> boluju od HOBP, farmakokinetičko</w:t>
      </w:r>
      <w:r w:rsidRPr="00890981">
        <w:rPr>
          <w:color w:val="auto"/>
          <w:sz w:val="22"/>
          <w:szCs w:val="22"/>
          <w:lang w:val="sr-Latn-ME"/>
        </w:rPr>
        <w:t xml:space="preserve"> stanje ravnoteže se postiže do 7. dana bez kasnije kumulacije. </w:t>
      </w:r>
    </w:p>
    <w:p w14:paraId="6A6E1CB6" w14:textId="77777777" w:rsidR="000375A0" w:rsidRPr="00890981" w:rsidRDefault="000375A0">
      <w:pPr>
        <w:pStyle w:val="Default"/>
        <w:ind w:right="-140"/>
        <w:jc w:val="both"/>
        <w:rPr>
          <w:color w:val="auto"/>
          <w:sz w:val="22"/>
          <w:szCs w:val="22"/>
          <w:lang w:val="sr-Latn-ME"/>
        </w:rPr>
      </w:pPr>
    </w:p>
    <w:p w14:paraId="1D505DCB" w14:textId="7DF6630E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i/>
          <w:iCs/>
          <w:color w:val="auto"/>
          <w:sz w:val="22"/>
          <w:szCs w:val="22"/>
          <w:lang w:val="sr-Latn-ME"/>
        </w:rPr>
        <w:t>Linearnost/nelinearnost: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F90485">
        <w:rPr>
          <w:color w:val="auto"/>
          <w:sz w:val="22"/>
          <w:szCs w:val="22"/>
          <w:lang w:val="sr-Latn-ME"/>
        </w:rPr>
        <w:t>T</w:t>
      </w:r>
      <w:r w:rsidR="00F90485" w:rsidRPr="00890981">
        <w:rPr>
          <w:color w:val="auto"/>
          <w:sz w:val="22"/>
          <w:szCs w:val="22"/>
          <w:lang w:val="sr-Latn-ME"/>
        </w:rPr>
        <w:t xml:space="preserve">iotropijum </w:t>
      </w:r>
      <w:r w:rsidRPr="00890981">
        <w:rPr>
          <w:color w:val="auto"/>
          <w:sz w:val="22"/>
          <w:szCs w:val="22"/>
          <w:lang w:val="sr-Latn-ME"/>
        </w:rPr>
        <w:t xml:space="preserve">pokazuje linearnu farmakokinetiku u terapijskom opsegu nezavisno od </w:t>
      </w:r>
      <w:r w:rsidRPr="00890981">
        <w:rPr>
          <w:color w:val="auto"/>
          <w:sz w:val="22"/>
          <w:szCs w:val="22"/>
          <w:lang w:val="sr-Latn-ME"/>
        </w:rPr>
        <w:lastRenderedPageBreak/>
        <w:t>formulacije.</w:t>
      </w:r>
    </w:p>
    <w:p w14:paraId="2F2AE8E6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1C358338" w14:textId="70431502" w:rsidR="000375A0" w:rsidRPr="00890981" w:rsidRDefault="000375A0" w:rsidP="009F610E">
      <w:pPr>
        <w:pStyle w:val="Default"/>
        <w:spacing w:line="360" w:lineRule="auto"/>
        <w:jc w:val="both"/>
        <w:rPr>
          <w:color w:val="auto"/>
          <w:sz w:val="22"/>
          <w:szCs w:val="22"/>
          <w:u w:val="single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 xml:space="preserve">c) Osobine kod posebnih </w:t>
      </w:r>
      <w:r w:rsidR="00F90485">
        <w:rPr>
          <w:color w:val="auto"/>
          <w:sz w:val="22"/>
          <w:szCs w:val="22"/>
          <w:u w:val="single"/>
          <w:lang w:val="sr-Latn-ME"/>
        </w:rPr>
        <w:t>populacija</w:t>
      </w:r>
      <w:r w:rsidR="00F90485" w:rsidRPr="00890981">
        <w:rPr>
          <w:color w:val="auto"/>
          <w:sz w:val="22"/>
          <w:szCs w:val="22"/>
          <w:u w:val="single"/>
          <w:lang w:val="sr-Latn-ME"/>
        </w:rPr>
        <w:t xml:space="preserve"> </w:t>
      </w:r>
      <w:r w:rsidRPr="00890981">
        <w:rPr>
          <w:color w:val="auto"/>
          <w:sz w:val="22"/>
          <w:szCs w:val="22"/>
          <w:u w:val="single"/>
          <w:lang w:val="sr-Latn-ME"/>
        </w:rPr>
        <w:t>pacijenata</w:t>
      </w:r>
    </w:p>
    <w:p w14:paraId="4BF7AFA5" w14:textId="6F994654" w:rsidR="000375A0" w:rsidRPr="00890981" w:rsidRDefault="00F90485">
      <w:pPr>
        <w:pStyle w:val="Default"/>
        <w:jc w:val="both"/>
        <w:rPr>
          <w:color w:val="auto"/>
          <w:sz w:val="22"/>
          <w:szCs w:val="22"/>
          <w:lang w:val="sr-Latn-ME"/>
        </w:rPr>
      </w:pPr>
      <w:r>
        <w:rPr>
          <w:i/>
          <w:iCs/>
          <w:color w:val="auto"/>
          <w:sz w:val="22"/>
          <w:szCs w:val="22"/>
          <w:lang w:val="sr-Latn-ME"/>
        </w:rPr>
        <w:t>Stariji</w:t>
      </w:r>
      <w:r w:rsidRPr="00890981">
        <w:rPr>
          <w:i/>
          <w:iCs/>
          <w:color w:val="auto"/>
          <w:sz w:val="22"/>
          <w:szCs w:val="22"/>
          <w:lang w:val="sr-Latn-ME"/>
        </w:rPr>
        <w:t xml:space="preserve"> </w:t>
      </w:r>
      <w:r w:rsidR="000375A0" w:rsidRPr="00890981">
        <w:rPr>
          <w:i/>
          <w:iCs/>
          <w:color w:val="auto"/>
          <w:sz w:val="22"/>
          <w:szCs w:val="22"/>
          <w:lang w:val="sr-Latn-ME"/>
        </w:rPr>
        <w:t>pacijenti:</w:t>
      </w:r>
      <w:r w:rsidR="000375A0" w:rsidRPr="00890981">
        <w:rPr>
          <w:color w:val="auto"/>
          <w:sz w:val="22"/>
          <w:szCs w:val="22"/>
          <w:lang w:val="sr-Latn-ME"/>
        </w:rPr>
        <w:t xml:space="preserve"> </w:t>
      </w:r>
      <w:r>
        <w:rPr>
          <w:color w:val="auto"/>
          <w:sz w:val="22"/>
          <w:szCs w:val="22"/>
          <w:lang w:val="sr-Latn-ME"/>
        </w:rPr>
        <w:t>K</w:t>
      </w:r>
      <w:r w:rsidRPr="00890981">
        <w:rPr>
          <w:color w:val="auto"/>
          <w:sz w:val="22"/>
          <w:szCs w:val="22"/>
          <w:lang w:val="sr-Latn-ME"/>
        </w:rPr>
        <w:t xml:space="preserve">ao </w:t>
      </w:r>
      <w:r w:rsidR="000375A0" w:rsidRPr="00890981">
        <w:rPr>
          <w:color w:val="auto"/>
          <w:sz w:val="22"/>
          <w:szCs w:val="22"/>
          <w:lang w:val="sr-Latn-ME"/>
        </w:rPr>
        <w:t>što se očekuje od svih l</w:t>
      </w:r>
      <w:r w:rsidR="00895BE1" w:rsidRPr="00890981">
        <w:rPr>
          <w:color w:val="auto"/>
          <w:sz w:val="22"/>
          <w:szCs w:val="22"/>
          <w:lang w:val="sr-Latn-ME"/>
        </w:rPr>
        <w:t>j</w:t>
      </w:r>
      <w:r w:rsidR="000375A0" w:rsidRPr="00890981">
        <w:rPr>
          <w:color w:val="auto"/>
          <w:sz w:val="22"/>
          <w:szCs w:val="22"/>
          <w:lang w:val="sr-Latn-ME"/>
        </w:rPr>
        <w:t xml:space="preserve">ekova koji se </w:t>
      </w:r>
      <w:r>
        <w:rPr>
          <w:color w:val="auto"/>
          <w:sz w:val="22"/>
          <w:szCs w:val="22"/>
          <w:lang w:val="sr-Latn-ME"/>
        </w:rPr>
        <w:t>uglavnom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0375A0" w:rsidRPr="00890981">
        <w:rPr>
          <w:color w:val="auto"/>
          <w:sz w:val="22"/>
          <w:szCs w:val="22"/>
          <w:lang w:val="sr-Latn-ME"/>
        </w:rPr>
        <w:t xml:space="preserve">izlučuju preko bubrega, </w:t>
      </w:r>
      <w:r>
        <w:rPr>
          <w:color w:val="auto"/>
          <w:sz w:val="22"/>
          <w:szCs w:val="22"/>
          <w:lang w:val="sr-Latn-ME"/>
        </w:rPr>
        <w:t>postoji veza između starenja i smanjenja renalnog klirensa</w:t>
      </w:r>
      <w:r w:rsidR="000375A0" w:rsidRPr="00890981">
        <w:rPr>
          <w:color w:val="auto"/>
          <w:sz w:val="22"/>
          <w:szCs w:val="22"/>
          <w:lang w:val="sr-Latn-ME"/>
        </w:rPr>
        <w:t xml:space="preserve"> tiotropijuma (365 m</w:t>
      </w:r>
      <w:r w:rsidR="00895BE1" w:rsidRPr="00890981">
        <w:rPr>
          <w:color w:val="auto"/>
          <w:sz w:val="22"/>
          <w:szCs w:val="22"/>
          <w:lang w:val="sr-Latn-ME"/>
        </w:rPr>
        <w:t>l</w:t>
      </w:r>
      <w:r w:rsidR="000375A0" w:rsidRPr="00890981">
        <w:rPr>
          <w:color w:val="auto"/>
          <w:sz w:val="22"/>
          <w:szCs w:val="22"/>
          <w:lang w:val="sr-Latn-ME"/>
        </w:rPr>
        <w:t>/min kod HOBP pacijenata &lt; 65 godina do 271 m</w:t>
      </w:r>
      <w:r w:rsidR="00895BE1" w:rsidRPr="00890981">
        <w:rPr>
          <w:color w:val="auto"/>
          <w:sz w:val="22"/>
          <w:szCs w:val="22"/>
          <w:lang w:val="sr-Latn-ME"/>
        </w:rPr>
        <w:t>l</w:t>
      </w:r>
      <w:r w:rsidR="000375A0" w:rsidRPr="00890981">
        <w:rPr>
          <w:color w:val="auto"/>
          <w:sz w:val="22"/>
          <w:szCs w:val="22"/>
          <w:lang w:val="sr-Latn-ME"/>
        </w:rPr>
        <w:t>/min kod HOBP pacijenata ≥ 65 godina). Ovo nije rezultiralo odgovarajuć</w:t>
      </w:r>
      <w:r w:rsidR="00395812" w:rsidRPr="00890981">
        <w:rPr>
          <w:color w:val="auto"/>
          <w:sz w:val="22"/>
          <w:szCs w:val="22"/>
          <w:lang w:val="sr-Latn-ME"/>
        </w:rPr>
        <w:t>im</w:t>
      </w:r>
      <w:r w:rsidR="000375A0" w:rsidRPr="00890981">
        <w:rPr>
          <w:color w:val="auto"/>
          <w:sz w:val="22"/>
          <w:szCs w:val="22"/>
          <w:lang w:val="sr-Latn-ME"/>
        </w:rPr>
        <w:t xml:space="preserve"> povećanje</w:t>
      </w:r>
      <w:r w:rsidR="00395812" w:rsidRPr="00890981">
        <w:rPr>
          <w:color w:val="auto"/>
          <w:sz w:val="22"/>
          <w:szCs w:val="22"/>
          <w:lang w:val="sr-Latn-ME"/>
        </w:rPr>
        <w:t>m</w:t>
      </w:r>
      <w:r w:rsidR="000375A0" w:rsidRPr="00890981">
        <w:rPr>
          <w:color w:val="auto"/>
          <w:sz w:val="22"/>
          <w:szCs w:val="22"/>
          <w:lang w:val="sr-Latn-ME"/>
        </w:rPr>
        <w:t xml:space="preserve"> </w:t>
      </w:r>
      <w:r w:rsidR="00395812" w:rsidRPr="00890981">
        <w:rPr>
          <w:color w:val="auto"/>
          <w:sz w:val="22"/>
          <w:szCs w:val="22"/>
          <w:lang w:val="sr-Latn-ME"/>
        </w:rPr>
        <w:t>vr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="00395812" w:rsidRPr="00890981">
        <w:rPr>
          <w:color w:val="auto"/>
          <w:sz w:val="22"/>
          <w:szCs w:val="22"/>
          <w:lang w:val="sr-Latn-ME"/>
        </w:rPr>
        <w:t>ednosti PIK</w:t>
      </w:r>
      <w:r w:rsidR="000375A0" w:rsidRPr="00890981">
        <w:rPr>
          <w:color w:val="auto"/>
          <w:sz w:val="22"/>
          <w:szCs w:val="22"/>
          <w:vertAlign w:val="subscript"/>
          <w:lang w:val="sr-Latn-ME"/>
        </w:rPr>
        <w:t>0</w:t>
      </w:r>
      <w:r w:rsidR="000375A0" w:rsidRPr="00890981">
        <w:rPr>
          <w:strike/>
          <w:color w:val="auto"/>
          <w:sz w:val="22"/>
          <w:szCs w:val="22"/>
          <w:vertAlign w:val="subscript"/>
          <w:lang w:val="sr-Latn-ME"/>
        </w:rPr>
        <w:t>-</w:t>
      </w:r>
      <w:r w:rsidR="000375A0" w:rsidRPr="00890981">
        <w:rPr>
          <w:color w:val="auto"/>
          <w:sz w:val="22"/>
          <w:szCs w:val="22"/>
          <w:vertAlign w:val="subscript"/>
          <w:lang w:val="sr-Latn-ME"/>
        </w:rPr>
        <w:t>6,ss</w:t>
      </w:r>
      <w:r w:rsidR="000375A0" w:rsidRPr="00890981">
        <w:rPr>
          <w:color w:val="auto"/>
          <w:sz w:val="22"/>
          <w:szCs w:val="22"/>
          <w:lang w:val="sr-Latn-ME"/>
        </w:rPr>
        <w:t xml:space="preserve"> ili C</w:t>
      </w:r>
      <w:r w:rsidR="000375A0" w:rsidRPr="00890981">
        <w:rPr>
          <w:color w:val="auto"/>
          <w:sz w:val="22"/>
          <w:szCs w:val="22"/>
          <w:vertAlign w:val="subscript"/>
          <w:lang w:val="sr-Latn-ME"/>
        </w:rPr>
        <w:t xml:space="preserve">max,ss </w:t>
      </w:r>
      <w:r w:rsidR="009C51D5" w:rsidRPr="00890981">
        <w:rPr>
          <w:color w:val="auto"/>
          <w:sz w:val="22"/>
          <w:szCs w:val="22"/>
          <w:lang w:val="sr-Latn-ME"/>
        </w:rPr>
        <w:t>.</w:t>
      </w:r>
    </w:p>
    <w:p w14:paraId="1D12668E" w14:textId="77777777" w:rsidR="00A550E8" w:rsidRPr="00890981" w:rsidRDefault="00A550E8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65F527EE" w14:textId="62155095" w:rsidR="000375A0" w:rsidRPr="00890981" w:rsidRDefault="000375A0">
      <w:pPr>
        <w:pStyle w:val="Default"/>
        <w:jc w:val="both"/>
        <w:rPr>
          <w:color w:val="auto"/>
          <w:sz w:val="22"/>
          <w:szCs w:val="22"/>
          <w:highlight w:val="green"/>
          <w:lang w:val="sr-Latn-ME"/>
        </w:rPr>
      </w:pPr>
      <w:r w:rsidRPr="00890981">
        <w:rPr>
          <w:i/>
          <w:iCs/>
          <w:color w:val="auto"/>
          <w:sz w:val="22"/>
          <w:szCs w:val="22"/>
          <w:lang w:val="sr-Latn-ME"/>
        </w:rPr>
        <w:t xml:space="preserve">Pacijenti sa </w:t>
      </w:r>
      <w:r w:rsidR="00F90485" w:rsidRPr="00890981">
        <w:rPr>
          <w:i/>
          <w:iCs/>
          <w:color w:val="auto"/>
          <w:sz w:val="22"/>
          <w:szCs w:val="22"/>
          <w:lang w:val="sr-Latn-ME"/>
        </w:rPr>
        <w:t>oštećen</w:t>
      </w:r>
      <w:r w:rsidR="00F90485">
        <w:rPr>
          <w:i/>
          <w:iCs/>
          <w:color w:val="auto"/>
          <w:sz w:val="22"/>
          <w:szCs w:val="22"/>
          <w:lang w:val="sr-Latn-ME"/>
        </w:rPr>
        <w:t>jem</w:t>
      </w:r>
      <w:r w:rsidR="00F90485" w:rsidRPr="00890981">
        <w:rPr>
          <w:i/>
          <w:iCs/>
          <w:color w:val="auto"/>
          <w:sz w:val="22"/>
          <w:szCs w:val="22"/>
          <w:lang w:val="sr-Latn-ME"/>
        </w:rPr>
        <w:t xml:space="preserve"> funkcij</w:t>
      </w:r>
      <w:r w:rsidR="00F90485">
        <w:rPr>
          <w:i/>
          <w:iCs/>
          <w:color w:val="auto"/>
          <w:sz w:val="22"/>
          <w:szCs w:val="22"/>
          <w:lang w:val="sr-Latn-ME"/>
        </w:rPr>
        <w:t>e</w:t>
      </w:r>
      <w:r w:rsidR="00F90485" w:rsidRPr="00890981">
        <w:rPr>
          <w:i/>
          <w:iCs/>
          <w:color w:val="auto"/>
          <w:sz w:val="22"/>
          <w:szCs w:val="22"/>
          <w:lang w:val="sr-Latn-ME"/>
        </w:rPr>
        <w:t xml:space="preserve"> </w:t>
      </w:r>
      <w:r w:rsidRPr="00890981">
        <w:rPr>
          <w:i/>
          <w:iCs/>
          <w:color w:val="auto"/>
          <w:sz w:val="22"/>
          <w:szCs w:val="22"/>
          <w:lang w:val="sr-Latn-ME"/>
        </w:rPr>
        <w:t>bubrega: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F90485">
        <w:rPr>
          <w:color w:val="auto"/>
          <w:sz w:val="22"/>
          <w:szCs w:val="22"/>
          <w:lang w:val="sr-Latn-ME"/>
        </w:rPr>
        <w:t>N</w:t>
      </w:r>
      <w:r w:rsidR="00F90485" w:rsidRPr="00890981">
        <w:rPr>
          <w:color w:val="auto"/>
          <w:sz w:val="22"/>
          <w:szCs w:val="22"/>
          <w:lang w:val="sr-Latn-ME"/>
        </w:rPr>
        <w:t xml:space="preserve">akon </w:t>
      </w:r>
      <w:r w:rsidRPr="00890981">
        <w:rPr>
          <w:color w:val="auto"/>
          <w:sz w:val="22"/>
          <w:szCs w:val="22"/>
          <w:lang w:val="sr-Latn-ME"/>
        </w:rPr>
        <w:t>inhalancione prim</w:t>
      </w:r>
      <w:r w:rsidR="00895BE1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ene tiotropijuma jednom dnevno do postizanja stanja ravnoteže kod HOBP pacijenata, blago </w:t>
      </w:r>
      <w:r w:rsidR="00EB13EC" w:rsidRPr="00890981">
        <w:rPr>
          <w:color w:val="auto"/>
          <w:sz w:val="22"/>
          <w:szCs w:val="22"/>
          <w:lang w:val="sr-Latn-ME"/>
        </w:rPr>
        <w:t xml:space="preserve">oštećenje </w:t>
      </w:r>
      <w:r w:rsidRPr="00890981">
        <w:rPr>
          <w:color w:val="auto"/>
          <w:sz w:val="22"/>
          <w:szCs w:val="22"/>
          <w:lang w:val="sr-Latn-ME"/>
        </w:rPr>
        <w:t>funkcije bubrega (CL</w:t>
      </w:r>
      <w:r w:rsidRPr="00890981">
        <w:rPr>
          <w:color w:val="auto"/>
          <w:sz w:val="22"/>
          <w:szCs w:val="22"/>
          <w:vertAlign w:val="subscript"/>
          <w:lang w:val="sr-Latn-ME"/>
        </w:rPr>
        <w:t>CR</w:t>
      </w:r>
      <w:r w:rsidRPr="00890981">
        <w:rPr>
          <w:color w:val="auto"/>
          <w:sz w:val="22"/>
          <w:szCs w:val="22"/>
          <w:lang w:val="sr-Latn-ME"/>
        </w:rPr>
        <w:t xml:space="preserve"> 50-80 m</w:t>
      </w:r>
      <w:r w:rsidR="00895BE1" w:rsidRPr="00890981">
        <w:rPr>
          <w:color w:val="auto"/>
          <w:sz w:val="22"/>
          <w:szCs w:val="22"/>
          <w:lang w:val="sr-Latn-ME"/>
        </w:rPr>
        <w:t>l</w:t>
      </w:r>
      <w:r w:rsidRPr="00890981">
        <w:rPr>
          <w:color w:val="auto"/>
          <w:sz w:val="22"/>
          <w:szCs w:val="22"/>
          <w:lang w:val="sr-Latn-ME"/>
        </w:rPr>
        <w:t xml:space="preserve">/min), </w:t>
      </w:r>
      <w:r w:rsidR="00F90485" w:rsidRPr="00890981">
        <w:rPr>
          <w:color w:val="auto"/>
          <w:sz w:val="22"/>
          <w:szCs w:val="22"/>
          <w:lang w:val="sr-Latn-ME"/>
        </w:rPr>
        <w:t>rezultiral</w:t>
      </w:r>
      <w:r w:rsidR="00F90485">
        <w:rPr>
          <w:color w:val="auto"/>
          <w:sz w:val="22"/>
          <w:szCs w:val="22"/>
          <w:lang w:val="sr-Latn-ME"/>
        </w:rPr>
        <w:t>o</w:t>
      </w:r>
      <w:r w:rsidR="00F9048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je neznatno višim </w:t>
      </w:r>
      <w:r w:rsidR="00395812" w:rsidRPr="00890981">
        <w:rPr>
          <w:color w:val="auto"/>
          <w:sz w:val="22"/>
          <w:szCs w:val="22"/>
          <w:lang w:val="sr-Latn-ME"/>
        </w:rPr>
        <w:t>vr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="00395812" w:rsidRPr="00890981">
        <w:rPr>
          <w:color w:val="auto"/>
          <w:sz w:val="22"/>
          <w:szCs w:val="22"/>
          <w:lang w:val="sr-Latn-ME"/>
        </w:rPr>
        <w:t>ednostima PIK</w:t>
      </w:r>
      <w:r w:rsidRPr="00890981">
        <w:rPr>
          <w:color w:val="auto"/>
          <w:sz w:val="22"/>
          <w:szCs w:val="22"/>
          <w:vertAlign w:val="subscript"/>
          <w:lang w:val="sr-Latn-ME"/>
        </w:rPr>
        <w:t>0-6,ss</w:t>
      </w:r>
      <w:r w:rsidRPr="00890981">
        <w:rPr>
          <w:color w:val="auto"/>
          <w:sz w:val="22"/>
          <w:szCs w:val="22"/>
          <w:lang w:val="sr-Latn-ME"/>
        </w:rPr>
        <w:t xml:space="preserve"> (između 1,8- i 30% više) i sličnim </w:t>
      </w:r>
      <w:r w:rsidR="00395812" w:rsidRPr="00890981">
        <w:rPr>
          <w:color w:val="auto"/>
          <w:sz w:val="22"/>
          <w:szCs w:val="22"/>
          <w:lang w:val="sr-Latn-ME"/>
        </w:rPr>
        <w:t xml:space="preserve">vrednostima </w:t>
      </w:r>
      <w:r w:rsidRPr="00890981">
        <w:rPr>
          <w:color w:val="auto"/>
          <w:sz w:val="22"/>
          <w:szCs w:val="22"/>
          <w:lang w:val="sr-Latn-ME"/>
        </w:rPr>
        <w:t>C</w:t>
      </w:r>
      <w:r w:rsidRPr="00890981">
        <w:rPr>
          <w:color w:val="auto"/>
          <w:sz w:val="22"/>
          <w:szCs w:val="22"/>
          <w:vertAlign w:val="subscript"/>
          <w:lang w:val="sr-Latn-ME"/>
        </w:rPr>
        <w:t>max, ss</w:t>
      </w:r>
      <w:r w:rsidRPr="00890981">
        <w:rPr>
          <w:color w:val="auto"/>
          <w:sz w:val="22"/>
          <w:szCs w:val="22"/>
          <w:lang w:val="sr-Latn-ME"/>
        </w:rPr>
        <w:t xml:space="preserve"> u poređenju sa pacijentima sa normalnom funkcijom bubrega (CL</w:t>
      </w:r>
      <w:r w:rsidRPr="00890981">
        <w:rPr>
          <w:color w:val="auto"/>
          <w:sz w:val="22"/>
          <w:szCs w:val="22"/>
          <w:vertAlign w:val="subscript"/>
          <w:lang w:val="sr-Latn-ME"/>
        </w:rPr>
        <w:t>CR</w:t>
      </w:r>
      <w:r w:rsidRPr="00890981">
        <w:rPr>
          <w:color w:val="auto"/>
          <w:sz w:val="22"/>
          <w:szCs w:val="22"/>
          <w:lang w:val="sr-Latn-ME"/>
        </w:rPr>
        <w:t xml:space="preserve"> &gt;80 m</w:t>
      </w:r>
      <w:r w:rsidR="00895BE1" w:rsidRPr="00890981">
        <w:rPr>
          <w:color w:val="auto"/>
          <w:sz w:val="22"/>
          <w:szCs w:val="22"/>
          <w:lang w:val="sr-Latn-ME"/>
        </w:rPr>
        <w:t>l</w:t>
      </w:r>
      <w:r w:rsidRPr="00890981">
        <w:rPr>
          <w:color w:val="auto"/>
          <w:sz w:val="22"/>
          <w:szCs w:val="22"/>
          <w:lang w:val="sr-Latn-ME"/>
        </w:rPr>
        <w:t>/min)</w:t>
      </w:r>
      <w:r w:rsidR="00164A34" w:rsidRPr="00890981">
        <w:rPr>
          <w:color w:val="auto"/>
          <w:sz w:val="22"/>
          <w:szCs w:val="22"/>
          <w:lang w:val="sr-Latn-ME"/>
        </w:rPr>
        <w:t>.</w:t>
      </w:r>
      <w:r w:rsidRPr="00890981">
        <w:rPr>
          <w:color w:val="auto"/>
          <w:sz w:val="22"/>
          <w:szCs w:val="22"/>
          <w:lang w:val="sr-Latn-ME"/>
        </w:rPr>
        <w:t xml:space="preserve"> </w:t>
      </w:r>
    </w:p>
    <w:p w14:paraId="0909C735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highlight w:val="green"/>
          <w:lang w:val="sr-Latn-ME"/>
        </w:rPr>
      </w:pPr>
    </w:p>
    <w:p w14:paraId="572BE563" w14:textId="49A7FD9C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Kod HOBP pacijenta sa um</w:t>
      </w:r>
      <w:r w:rsidR="00895BE1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erenom do teškom bubrežnom insuficijencijom (CL</w:t>
      </w:r>
      <w:r w:rsidRPr="00890981">
        <w:rPr>
          <w:color w:val="auto"/>
          <w:sz w:val="22"/>
          <w:szCs w:val="22"/>
          <w:vertAlign w:val="subscript"/>
          <w:lang w:val="sr-Latn-ME"/>
        </w:rPr>
        <w:t>CR</w:t>
      </w:r>
      <w:r w:rsidRPr="00890981">
        <w:rPr>
          <w:color w:val="auto"/>
          <w:sz w:val="22"/>
          <w:szCs w:val="22"/>
          <w:lang w:val="sr-Latn-ME"/>
        </w:rPr>
        <w:t>&lt; 50 m</w:t>
      </w:r>
      <w:r w:rsidR="00895BE1" w:rsidRPr="00890981">
        <w:rPr>
          <w:color w:val="auto"/>
          <w:sz w:val="22"/>
          <w:szCs w:val="22"/>
          <w:lang w:val="sr-Latn-ME"/>
        </w:rPr>
        <w:t>l</w:t>
      </w:r>
      <w:r w:rsidRPr="00890981">
        <w:rPr>
          <w:color w:val="auto"/>
          <w:sz w:val="22"/>
          <w:szCs w:val="22"/>
          <w:lang w:val="sr-Latn-ME"/>
        </w:rPr>
        <w:t xml:space="preserve">/ min), intravenska </w:t>
      </w:r>
      <w:r w:rsidR="00F90485">
        <w:rPr>
          <w:color w:val="auto"/>
          <w:sz w:val="22"/>
          <w:szCs w:val="22"/>
          <w:lang w:val="sr-Latn-ME"/>
        </w:rPr>
        <w:t>primjena</w:t>
      </w:r>
      <w:r w:rsidR="00F9048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tiotropijuma rezultirala je </w:t>
      </w:r>
      <w:r w:rsidR="00F90485">
        <w:rPr>
          <w:color w:val="auto"/>
          <w:sz w:val="22"/>
          <w:szCs w:val="22"/>
          <w:lang w:val="sr-Latn-ME"/>
        </w:rPr>
        <w:t>dupliranjem</w:t>
      </w:r>
      <w:r w:rsidRPr="00890981">
        <w:rPr>
          <w:color w:val="auto"/>
          <w:sz w:val="22"/>
          <w:szCs w:val="22"/>
          <w:lang w:val="sr-Latn-ME"/>
        </w:rPr>
        <w:t xml:space="preserve"> ukupne izloženosti (82% viš</w:t>
      </w:r>
      <w:r w:rsidR="00916785" w:rsidRPr="00890981">
        <w:rPr>
          <w:color w:val="auto"/>
          <w:sz w:val="22"/>
          <w:szCs w:val="22"/>
          <w:lang w:val="sr-Latn-ME"/>
        </w:rPr>
        <w:t>a vr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="00916785" w:rsidRPr="00890981">
        <w:rPr>
          <w:color w:val="auto"/>
          <w:sz w:val="22"/>
          <w:szCs w:val="22"/>
          <w:lang w:val="sr-Latn-ME"/>
        </w:rPr>
        <w:t>ednost PIK</w:t>
      </w:r>
      <w:r w:rsidRPr="00890981">
        <w:rPr>
          <w:color w:val="auto"/>
          <w:sz w:val="22"/>
          <w:szCs w:val="22"/>
          <w:vertAlign w:val="subscript"/>
          <w:lang w:val="sr-Latn-ME"/>
        </w:rPr>
        <w:t>0-4h</w:t>
      </w:r>
      <w:r w:rsidRPr="00890981">
        <w:rPr>
          <w:color w:val="auto"/>
          <w:sz w:val="22"/>
          <w:szCs w:val="22"/>
          <w:lang w:val="sr-Latn-ME"/>
        </w:rPr>
        <w:t xml:space="preserve"> i 52% viš</w:t>
      </w:r>
      <w:r w:rsidR="00916785" w:rsidRPr="00890981">
        <w:rPr>
          <w:color w:val="auto"/>
          <w:sz w:val="22"/>
          <w:szCs w:val="22"/>
          <w:lang w:val="sr-Latn-ME"/>
        </w:rPr>
        <w:t>a vr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="00916785" w:rsidRPr="00890981">
        <w:rPr>
          <w:color w:val="auto"/>
          <w:sz w:val="22"/>
          <w:szCs w:val="22"/>
          <w:lang w:val="sr-Latn-ME"/>
        </w:rPr>
        <w:t>ednost</w:t>
      </w:r>
      <w:r w:rsidRPr="00890981">
        <w:rPr>
          <w:color w:val="auto"/>
          <w:sz w:val="22"/>
          <w:szCs w:val="22"/>
          <w:lang w:val="sr-Latn-ME"/>
        </w:rPr>
        <w:t xml:space="preserve"> C</w:t>
      </w:r>
      <w:r w:rsidRPr="00890981">
        <w:rPr>
          <w:color w:val="auto"/>
          <w:sz w:val="22"/>
          <w:szCs w:val="22"/>
          <w:vertAlign w:val="subscript"/>
          <w:lang w:val="sr-Latn-ME"/>
        </w:rPr>
        <w:t>max</w:t>
      </w:r>
      <w:r w:rsidRPr="00890981">
        <w:rPr>
          <w:color w:val="auto"/>
          <w:sz w:val="22"/>
          <w:szCs w:val="22"/>
          <w:lang w:val="sr-Latn-ME"/>
        </w:rPr>
        <w:t xml:space="preserve">) u poređenju sa HOBP pacijentima sa </w:t>
      </w:r>
      <w:r w:rsidR="00F90485">
        <w:rPr>
          <w:color w:val="auto"/>
          <w:sz w:val="22"/>
          <w:szCs w:val="22"/>
          <w:lang w:val="sr-Latn-ME"/>
        </w:rPr>
        <w:t>očuvanom</w:t>
      </w:r>
      <w:r w:rsidR="00F9048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funkcijom bubrega, što je bilo potvrđeno koncentracijom u plazmi nakon inhalacije </w:t>
      </w:r>
      <w:r w:rsidR="00F90485">
        <w:rPr>
          <w:color w:val="auto"/>
          <w:sz w:val="22"/>
          <w:szCs w:val="22"/>
          <w:lang w:val="sr-Latn-ME"/>
        </w:rPr>
        <w:t>suvog praška</w:t>
      </w:r>
      <w:r w:rsidRPr="00890981">
        <w:rPr>
          <w:color w:val="auto"/>
          <w:sz w:val="22"/>
          <w:szCs w:val="22"/>
          <w:lang w:val="sr-Latn-ME"/>
        </w:rPr>
        <w:t xml:space="preserve">. </w:t>
      </w:r>
    </w:p>
    <w:p w14:paraId="4A0BFC74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48E0C0C9" w14:textId="62DCB922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i/>
          <w:iCs/>
          <w:color w:val="auto"/>
          <w:sz w:val="22"/>
          <w:szCs w:val="22"/>
          <w:lang w:val="sr-Latn-ME"/>
        </w:rPr>
        <w:t xml:space="preserve">Pacijenti sa </w:t>
      </w:r>
      <w:r w:rsidR="00F90485" w:rsidRPr="00890981">
        <w:rPr>
          <w:i/>
          <w:iCs/>
          <w:color w:val="auto"/>
          <w:sz w:val="22"/>
          <w:szCs w:val="22"/>
          <w:lang w:val="sr-Latn-ME"/>
        </w:rPr>
        <w:t>oštećen</w:t>
      </w:r>
      <w:r w:rsidR="00F90485">
        <w:rPr>
          <w:i/>
          <w:iCs/>
          <w:color w:val="auto"/>
          <w:sz w:val="22"/>
          <w:szCs w:val="22"/>
          <w:lang w:val="sr-Latn-ME"/>
        </w:rPr>
        <w:t>jem</w:t>
      </w:r>
      <w:r w:rsidR="00F90485" w:rsidRPr="00890981" w:rsidDel="00EB13EC">
        <w:rPr>
          <w:i/>
          <w:iCs/>
          <w:color w:val="auto"/>
          <w:sz w:val="22"/>
          <w:szCs w:val="22"/>
          <w:lang w:val="sr-Latn-ME"/>
        </w:rPr>
        <w:t xml:space="preserve"> </w:t>
      </w:r>
      <w:r w:rsidR="00F90485" w:rsidRPr="00890981">
        <w:rPr>
          <w:i/>
          <w:iCs/>
          <w:color w:val="auto"/>
          <w:sz w:val="22"/>
          <w:szCs w:val="22"/>
          <w:lang w:val="sr-Latn-ME"/>
        </w:rPr>
        <w:t>funkcij</w:t>
      </w:r>
      <w:r w:rsidR="00F90485">
        <w:rPr>
          <w:i/>
          <w:iCs/>
          <w:color w:val="auto"/>
          <w:sz w:val="22"/>
          <w:szCs w:val="22"/>
          <w:lang w:val="sr-Latn-ME"/>
        </w:rPr>
        <w:t>e</w:t>
      </w:r>
      <w:r w:rsidR="00F90485" w:rsidRPr="00890981">
        <w:rPr>
          <w:i/>
          <w:iCs/>
          <w:color w:val="auto"/>
          <w:sz w:val="22"/>
          <w:szCs w:val="22"/>
          <w:lang w:val="sr-Latn-ME"/>
        </w:rPr>
        <w:t xml:space="preserve"> </w:t>
      </w:r>
      <w:r w:rsidRPr="00890981">
        <w:rPr>
          <w:i/>
          <w:iCs/>
          <w:color w:val="auto"/>
          <w:sz w:val="22"/>
          <w:szCs w:val="22"/>
          <w:lang w:val="sr-Latn-ME"/>
        </w:rPr>
        <w:t>jetre: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F90485">
        <w:rPr>
          <w:color w:val="auto"/>
          <w:sz w:val="22"/>
          <w:szCs w:val="22"/>
          <w:lang w:val="sr-Latn-ME"/>
        </w:rPr>
        <w:t>N</w:t>
      </w:r>
      <w:r w:rsidR="00F90485" w:rsidRPr="00890981">
        <w:rPr>
          <w:color w:val="auto"/>
          <w:sz w:val="22"/>
          <w:szCs w:val="22"/>
          <w:lang w:val="sr-Latn-ME"/>
        </w:rPr>
        <w:t xml:space="preserve">e </w:t>
      </w:r>
      <w:r w:rsidRPr="00890981">
        <w:rPr>
          <w:color w:val="auto"/>
          <w:sz w:val="22"/>
          <w:szCs w:val="22"/>
          <w:lang w:val="sr-Latn-ME"/>
        </w:rPr>
        <w:t>očekuje se da insuficijencija jetre</w:t>
      </w:r>
      <w:r w:rsidR="000A45CE" w:rsidRPr="00890981">
        <w:rPr>
          <w:color w:val="auto"/>
          <w:sz w:val="22"/>
          <w:szCs w:val="22"/>
          <w:lang w:val="sr-Latn-ME"/>
        </w:rPr>
        <w:t xml:space="preserve"> ima relevantan uticaj na </w:t>
      </w:r>
      <w:r w:rsidRPr="00890981">
        <w:rPr>
          <w:color w:val="auto"/>
          <w:sz w:val="22"/>
          <w:szCs w:val="22"/>
          <w:lang w:val="sr-Latn-ME"/>
        </w:rPr>
        <w:t xml:space="preserve">farmakokinetiku tiotropijuma. Tiotropijum se uglavnom </w:t>
      </w:r>
      <w:r w:rsidR="00F90485">
        <w:rPr>
          <w:color w:val="auto"/>
          <w:sz w:val="22"/>
          <w:szCs w:val="22"/>
          <w:lang w:val="sr-Latn-ME"/>
        </w:rPr>
        <w:t>uklanja</w:t>
      </w:r>
      <w:r w:rsidR="00F9048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eliminacijom preko bubrega (74% kod mladih zdravih dobrovoljaca) i jednostavnim neenzimskim c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epanjem estra na farmakološki neaktivne produkte.</w:t>
      </w:r>
    </w:p>
    <w:p w14:paraId="7150C645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42D32A72" w14:textId="5CF63E4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i/>
          <w:iCs/>
          <w:color w:val="auto"/>
          <w:sz w:val="22"/>
          <w:szCs w:val="22"/>
          <w:lang w:val="sr-Latn-ME"/>
        </w:rPr>
        <w:t>Japanski pacijenti sa HOBP: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F90485">
        <w:rPr>
          <w:color w:val="auto"/>
          <w:sz w:val="22"/>
          <w:szCs w:val="22"/>
          <w:lang w:val="sr-Latn-ME"/>
        </w:rPr>
        <w:t>U</w:t>
      </w:r>
      <w:r w:rsidR="00F90485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unakrsnom poređenju</w:t>
      </w:r>
      <w:r w:rsidR="00F90485">
        <w:rPr>
          <w:color w:val="auto"/>
          <w:sz w:val="22"/>
          <w:szCs w:val="22"/>
          <w:lang w:val="sr-Latn-ME"/>
        </w:rPr>
        <w:t xml:space="preserve"> studija</w:t>
      </w:r>
      <w:r w:rsidRPr="00890981">
        <w:rPr>
          <w:color w:val="auto"/>
          <w:sz w:val="22"/>
          <w:szCs w:val="22"/>
          <w:lang w:val="sr-Latn-ME"/>
        </w:rPr>
        <w:t xml:space="preserve">, srednje </w:t>
      </w:r>
      <w:r w:rsidR="009C51D5" w:rsidRPr="00890981">
        <w:rPr>
          <w:color w:val="auto"/>
          <w:sz w:val="22"/>
          <w:szCs w:val="22"/>
          <w:lang w:val="sr-Latn-ME"/>
        </w:rPr>
        <w:t xml:space="preserve">maksimalne </w:t>
      </w:r>
      <w:r w:rsidRPr="00890981">
        <w:rPr>
          <w:color w:val="auto"/>
          <w:sz w:val="22"/>
          <w:szCs w:val="22"/>
          <w:lang w:val="sr-Latn-ME"/>
        </w:rPr>
        <w:t xml:space="preserve">koncentracije tiotropijuma u plazmi 10 minuta po uzimanju doze u stanju ravnoteže kod japanskih pacijenata sa HOBP </w:t>
      </w:r>
      <w:r w:rsidR="00F90485">
        <w:rPr>
          <w:color w:val="auto"/>
          <w:sz w:val="22"/>
          <w:szCs w:val="22"/>
          <w:lang w:val="sr-Latn-ME"/>
        </w:rPr>
        <w:t xml:space="preserve">su bile 20% do 70% više nakon inhalacije tiotropijuma </w:t>
      </w:r>
      <w:r w:rsidRPr="00890981">
        <w:rPr>
          <w:color w:val="auto"/>
          <w:sz w:val="22"/>
          <w:szCs w:val="22"/>
          <w:lang w:val="sr-Latn-ME"/>
        </w:rPr>
        <w:t>nego kod pacijenata b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ele rase, ali nije bilo nikakvih znakova koji bi ukazivali na veći mortalitet ili kardiološki rizik kod japanskih pacijenata u poređenju sa pacijentima b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ele rase. Za druge etničke grupe ili rase </w:t>
      </w:r>
      <w:r w:rsidR="00526228">
        <w:rPr>
          <w:color w:val="auto"/>
          <w:sz w:val="22"/>
          <w:szCs w:val="22"/>
          <w:lang w:val="sr-Latn-ME"/>
        </w:rPr>
        <w:t>nije dostupno</w:t>
      </w:r>
      <w:r w:rsidR="00526228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dovoljno farmakokinetičkih podataka.</w:t>
      </w:r>
    </w:p>
    <w:p w14:paraId="3A10281D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18DFAC11" w14:textId="61A8E258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Pedijatrijski pacijenti: </w:t>
      </w:r>
      <w:r w:rsidR="00526228">
        <w:rPr>
          <w:color w:val="auto"/>
          <w:sz w:val="22"/>
          <w:szCs w:val="22"/>
          <w:lang w:val="sr-Latn-ME"/>
        </w:rPr>
        <w:t>V</w:t>
      </w:r>
      <w:r w:rsidR="00526228" w:rsidRPr="00890981">
        <w:rPr>
          <w:color w:val="auto"/>
          <w:sz w:val="22"/>
          <w:szCs w:val="22"/>
          <w:lang w:val="sr-Latn-ME"/>
        </w:rPr>
        <w:t xml:space="preserve">idjeti </w:t>
      </w:r>
      <w:r w:rsidR="00895BE1" w:rsidRPr="00890981">
        <w:rPr>
          <w:color w:val="auto"/>
          <w:sz w:val="22"/>
          <w:szCs w:val="22"/>
          <w:lang w:val="sr-Latn-ME"/>
        </w:rPr>
        <w:t xml:space="preserve">dio </w:t>
      </w:r>
      <w:r w:rsidRPr="00890981">
        <w:rPr>
          <w:color w:val="auto"/>
          <w:sz w:val="22"/>
          <w:szCs w:val="22"/>
          <w:lang w:val="sr-Latn-ME"/>
        </w:rPr>
        <w:t>4.2.</w:t>
      </w:r>
    </w:p>
    <w:p w14:paraId="57D8BF3F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312DC122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u w:val="single"/>
          <w:lang w:val="sr-Latn-ME"/>
        </w:rPr>
      </w:pPr>
      <w:r w:rsidRPr="00890981">
        <w:rPr>
          <w:color w:val="auto"/>
          <w:sz w:val="22"/>
          <w:szCs w:val="22"/>
          <w:u w:val="single"/>
          <w:lang w:val="sr-Latn-ME"/>
        </w:rPr>
        <w:t>d) Odnos farmakokinetike i farmakodinamike</w:t>
      </w:r>
    </w:p>
    <w:p w14:paraId="435708BF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Ne postoji direktna veza između farmakokinetike i farmakodinamike. </w:t>
      </w:r>
    </w:p>
    <w:p w14:paraId="7CF76797" w14:textId="77777777" w:rsidR="00CE09F3" w:rsidRPr="00890981" w:rsidRDefault="00CE09F3">
      <w:pPr>
        <w:rPr>
          <w:szCs w:val="22"/>
          <w:lang w:val="sr-Latn-ME"/>
        </w:rPr>
      </w:pPr>
    </w:p>
    <w:p w14:paraId="3A4E14C0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5.3. Pretklinički podaci o bezb</w:t>
      </w:r>
      <w:r w:rsidR="00895BE1" w:rsidRPr="00890981">
        <w:rPr>
          <w:b/>
          <w:bCs/>
          <w:szCs w:val="22"/>
          <w:lang w:val="sr-Latn-ME"/>
        </w:rPr>
        <w:t>j</w:t>
      </w:r>
      <w:r w:rsidRPr="00890981">
        <w:rPr>
          <w:b/>
          <w:bCs/>
          <w:szCs w:val="22"/>
          <w:lang w:val="sr-Latn-ME"/>
        </w:rPr>
        <w:t>ednosti l</w:t>
      </w:r>
      <w:r w:rsidR="00895BE1" w:rsidRPr="00890981">
        <w:rPr>
          <w:b/>
          <w:bCs/>
          <w:szCs w:val="22"/>
          <w:lang w:val="sr-Latn-ME"/>
        </w:rPr>
        <w:t>ij</w:t>
      </w:r>
      <w:r w:rsidRPr="00890981">
        <w:rPr>
          <w:b/>
          <w:bCs/>
          <w:szCs w:val="22"/>
          <w:lang w:val="sr-Latn-ME"/>
        </w:rPr>
        <w:t>eka</w:t>
      </w:r>
    </w:p>
    <w:p w14:paraId="607EDE31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7E1EF2D6" w14:textId="6DC01E61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Mnoga dejstva zab</w:t>
      </w:r>
      <w:r w:rsidR="00895BE1" w:rsidRPr="00890981">
        <w:rPr>
          <w:color w:val="auto"/>
          <w:sz w:val="22"/>
          <w:szCs w:val="22"/>
          <w:lang w:val="sr-Latn-ME"/>
        </w:rPr>
        <w:t>i</w:t>
      </w:r>
      <w:r w:rsidRPr="00890981">
        <w:rPr>
          <w:color w:val="auto"/>
          <w:sz w:val="22"/>
          <w:szCs w:val="22"/>
          <w:lang w:val="sr-Latn-ME"/>
        </w:rPr>
        <w:t>l</w:t>
      </w:r>
      <w:r w:rsidR="00895BE1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ežena u konvencionalnim studijama </w:t>
      </w:r>
      <w:r w:rsidR="00526228">
        <w:rPr>
          <w:color w:val="auto"/>
          <w:sz w:val="22"/>
          <w:szCs w:val="22"/>
          <w:lang w:val="sr-Latn-ME"/>
        </w:rPr>
        <w:t>bezbjednosne farmakologije</w:t>
      </w:r>
      <w:r w:rsidRPr="00890981">
        <w:rPr>
          <w:color w:val="auto"/>
          <w:sz w:val="22"/>
          <w:szCs w:val="22"/>
          <w:lang w:val="sr-Latn-ME"/>
        </w:rPr>
        <w:t xml:space="preserve">, toksičnosti ponavljanih doza i reproduktivne toksičnosti mogu se objasniti antiholinergičkim </w:t>
      </w:r>
      <w:r w:rsidR="004E7876" w:rsidRPr="00890981">
        <w:rPr>
          <w:color w:val="auto"/>
          <w:sz w:val="22"/>
          <w:szCs w:val="22"/>
          <w:lang w:val="sr-Latn-ME"/>
        </w:rPr>
        <w:t xml:space="preserve">osobinama </w:t>
      </w:r>
      <w:r w:rsidRPr="00890981">
        <w:rPr>
          <w:color w:val="auto"/>
          <w:sz w:val="22"/>
          <w:szCs w:val="22"/>
          <w:lang w:val="sr-Latn-ME"/>
        </w:rPr>
        <w:t>tiotropijum-bromida. U ispitivanjima na životinjama tipično su prim</w:t>
      </w:r>
      <w:r w:rsidR="00895BE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ećeni smanjeno unošenje hrane, </w:t>
      </w:r>
      <w:r w:rsidR="00526228">
        <w:rPr>
          <w:color w:val="auto"/>
          <w:sz w:val="22"/>
          <w:szCs w:val="22"/>
          <w:lang w:val="sr-Latn-ME"/>
        </w:rPr>
        <w:t>smanjeno</w:t>
      </w:r>
      <w:r w:rsidR="00526228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povećanje t</w:t>
      </w:r>
      <w:r w:rsidR="00895BE1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elesne</w:t>
      </w:r>
      <w:r w:rsidR="004E7876" w:rsidRPr="00890981">
        <w:rPr>
          <w:color w:val="auto"/>
          <w:sz w:val="22"/>
          <w:szCs w:val="22"/>
          <w:lang w:val="sr-Latn-ME"/>
        </w:rPr>
        <w:t xml:space="preserve"> mase</w:t>
      </w:r>
      <w:r w:rsidRPr="00890981">
        <w:rPr>
          <w:color w:val="auto"/>
          <w:sz w:val="22"/>
          <w:szCs w:val="22"/>
          <w:lang w:val="sr-Latn-ME"/>
        </w:rPr>
        <w:t>, suva usta i nos, smanjeno suzenje i salivacija, midrijaza i ubrzani puls. Ispitivanja toksičnosti ponavljanih doza ukazala su i na sl</w:t>
      </w:r>
      <w:r w:rsidR="00895BE1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edeće relevantne efekte: blaga iritiranost respiratornog trakta kod pacova i miševa </w:t>
      </w:r>
      <w:r w:rsidR="000A45CE" w:rsidRPr="00890981">
        <w:rPr>
          <w:color w:val="auto"/>
          <w:sz w:val="22"/>
          <w:szCs w:val="22"/>
          <w:lang w:val="sr-Latn-ME"/>
        </w:rPr>
        <w:t xml:space="preserve">koju </w:t>
      </w:r>
      <w:r w:rsidR="00526228">
        <w:rPr>
          <w:color w:val="auto"/>
          <w:sz w:val="22"/>
          <w:szCs w:val="22"/>
          <w:lang w:val="sr-Latn-ME"/>
        </w:rPr>
        <w:t>karakteriše</w:t>
      </w:r>
      <w:r w:rsidR="00526228" w:rsidRPr="00890981">
        <w:rPr>
          <w:color w:val="auto"/>
          <w:sz w:val="22"/>
          <w:szCs w:val="22"/>
          <w:lang w:val="sr-Latn-ME"/>
        </w:rPr>
        <w:t xml:space="preserve"> </w:t>
      </w:r>
      <w:r w:rsidR="000A45CE" w:rsidRPr="00890981">
        <w:rPr>
          <w:color w:val="auto"/>
          <w:sz w:val="22"/>
          <w:szCs w:val="22"/>
          <w:lang w:val="sr-Latn-ME"/>
        </w:rPr>
        <w:t>pojava</w:t>
      </w:r>
      <w:r w:rsidRPr="00890981">
        <w:rPr>
          <w:color w:val="auto"/>
          <w:sz w:val="22"/>
          <w:szCs w:val="22"/>
          <w:lang w:val="sr-Latn-ME"/>
        </w:rPr>
        <w:t xml:space="preserve"> rinitis</w:t>
      </w:r>
      <w:r w:rsidR="000A45CE" w:rsidRPr="00890981">
        <w:rPr>
          <w:color w:val="auto"/>
          <w:sz w:val="22"/>
          <w:szCs w:val="22"/>
          <w:lang w:val="sr-Latn-ME"/>
        </w:rPr>
        <w:t>a</w:t>
      </w:r>
      <w:r w:rsidRPr="00890981">
        <w:rPr>
          <w:color w:val="auto"/>
          <w:sz w:val="22"/>
          <w:szCs w:val="22"/>
          <w:lang w:val="sr-Latn-ME"/>
        </w:rPr>
        <w:t xml:space="preserve"> i epitelijalni</w:t>
      </w:r>
      <w:r w:rsidR="000A45CE" w:rsidRPr="00890981">
        <w:rPr>
          <w:color w:val="auto"/>
          <w:sz w:val="22"/>
          <w:szCs w:val="22"/>
          <w:lang w:val="sr-Latn-ME"/>
        </w:rPr>
        <w:t>h</w:t>
      </w:r>
      <w:r w:rsidRPr="00890981">
        <w:rPr>
          <w:color w:val="auto"/>
          <w:sz w:val="22"/>
          <w:szCs w:val="22"/>
          <w:lang w:val="sr-Latn-ME"/>
        </w:rPr>
        <w:t xml:space="preserve"> prom</w:t>
      </w:r>
      <w:r w:rsidR="00895BE1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enama nosne šupljine i larin</w:t>
      </w:r>
      <w:r w:rsidR="000A45CE" w:rsidRPr="00890981">
        <w:rPr>
          <w:color w:val="auto"/>
          <w:sz w:val="22"/>
          <w:szCs w:val="22"/>
          <w:lang w:val="sr-Latn-ME"/>
        </w:rPr>
        <w:t>k</w:t>
      </w:r>
      <w:r w:rsidRPr="00890981">
        <w:rPr>
          <w:color w:val="auto"/>
          <w:sz w:val="22"/>
          <w:szCs w:val="22"/>
          <w:lang w:val="sr-Latn-ME"/>
        </w:rPr>
        <w:t>sa</w:t>
      </w:r>
      <w:r w:rsidR="000A45CE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i prostatitis uz proteinske </w:t>
      </w:r>
      <w:r w:rsidR="00526228">
        <w:rPr>
          <w:color w:val="auto"/>
          <w:sz w:val="22"/>
          <w:szCs w:val="22"/>
          <w:lang w:val="sr-Latn-ME"/>
        </w:rPr>
        <w:t>depozite</w:t>
      </w:r>
      <w:r w:rsidR="00526228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i </w:t>
      </w:r>
      <w:r w:rsidR="00526228" w:rsidRPr="00890981">
        <w:rPr>
          <w:color w:val="auto"/>
          <w:sz w:val="22"/>
          <w:szCs w:val="22"/>
          <w:lang w:val="sr-Latn-ME"/>
        </w:rPr>
        <w:t>litijaz</w:t>
      </w:r>
      <w:r w:rsidR="00505DE2">
        <w:rPr>
          <w:color w:val="auto"/>
          <w:sz w:val="22"/>
          <w:szCs w:val="22"/>
          <w:lang w:val="sr-Latn-ME"/>
        </w:rPr>
        <w:t>u</w:t>
      </w:r>
      <w:r w:rsidR="00526228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u bešici pacova.</w:t>
      </w:r>
    </w:p>
    <w:p w14:paraId="0456F14F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16741707" w14:textId="79180644" w:rsidR="000375A0" w:rsidRPr="00890981" w:rsidRDefault="000375A0">
      <w:pPr>
        <w:rPr>
          <w:i/>
          <w:szCs w:val="22"/>
          <w:lang w:val="sr-Latn-ME"/>
        </w:rPr>
      </w:pPr>
      <w:r w:rsidRPr="00890981">
        <w:rPr>
          <w:szCs w:val="22"/>
          <w:lang w:val="sr-Latn-ME"/>
        </w:rPr>
        <w:t xml:space="preserve">Štetna dejstva vezana za trudnoću, embriofetalni razvoj, porođaj ili postnatalni razvoj </w:t>
      </w:r>
      <w:r w:rsidR="00526228">
        <w:rPr>
          <w:szCs w:val="22"/>
          <w:lang w:val="sr-Latn-ME"/>
        </w:rPr>
        <w:t>su</w:t>
      </w:r>
      <w:r w:rsidR="00526228" w:rsidRPr="00890981">
        <w:rPr>
          <w:szCs w:val="22"/>
          <w:lang w:val="sr-Latn-ME"/>
        </w:rPr>
        <w:t xml:space="preserve"> </w:t>
      </w:r>
      <w:r w:rsidRPr="00890981">
        <w:rPr>
          <w:szCs w:val="22"/>
          <w:lang w:val="sr-Latn-ME"/>
        </w:rPr>
        <w:t xml:space="preserve">se </w:t>
      </w:r>
      <w:r w:rsidR="00526228">
        <w:rPr>
          <w:szCs w:val="22"/>
          <w:lang w:val="sr-Latn-ME"/>
        </w:rPr>
        <w:t xml:space="preserve">mogla </w:t>
      </w:r>
      <w:r w:rsidRPr="00890981">
        <w:rPr>
          <w:szCs w:val="22"/>
          <w:lang w:val="sr-Latn-ME"/>
        </w:rPr>
        <w:t>dokazati sa</w:t>
      </w:r>
      <w:r w:rsidR="000A45CE" w:rsidRPr="00890981">
        <w:rPr>
          <w:szCs w:val="22"/>
          <w:lang w:val="sr-Latn-ME"/>
        </w:rPr>
        <w:t>mo pri prim</w:t>
      </w:r>
      <w:r w:rsidR="00895BE1" w:rsidRPr="00890981">
        <w:rPr>
          <w:szCs w:val="22"/>
          <w:lang w:val="sr-Latn-ME"/>
        </w:rPr>
        <w:t>j</w:t>
      </w:r>
      <w:r w:rsidR="000A45CE" w:rsidRPr="00890981">
        <w:rPr>
          <w:szCs w:val="22"/>
          <w:lang w:val="sr-Latn-ME"/>
        </w:rPr>
        <w:t xml:space="preserve">eni </w:t>
      </w:r>
      <w:r w:rsidRPr="00890981">
        <w:rPr>
          <w:szCs w:val="22"/>
          <w:lang w:val="sr-Latn-ME"/>
        </w:rPr>
        <w:t xml:space="preserve">doza koje su toksične po majku. Tiotropijum-bromid nije pokazao teratogena svojstva kod pacova ili kunića. U </w:t>
      </w:r>
      <w:r w:rsidR="00784CF8" w:rsidRPr="00890981">
        <w:rPr>
          <w:szCs w:val="22"/>
          <w:lang w:val="sr-Latn-ME"/>
        </w:rPr>
        <w:t xml:space="preserve">opštoj </w:t>
      </w:r>
      <w:r w:rsidRPr="00890981">
        <w:rPr>
          <w:szCs w:val="22"/>
          <w:lang w:val="sr-Latn-ME"/>
        </w:rPr>
        <w:t xml:space="preserve">studiji reproduktivnosti i </w:t>
      </w:r>
      <w:r w:rsidR="00526228">
        <w:rPr>
          <w:szCs w:val="22"/>
          <w:lang w:val="sr-Latn-ME"/>
        </w:rPr>
        <w:t>plodnosti na pacovima nije bilo naznaka o bilo kakvom neželjenom uticaju na plodnost</w:t>
      </w:r>
      <w:r w:rsidRPr="00890981">
        <w:rPr>
          <w:szCs w:val="22"/>
          <w:lang w:val="sr-Latn-ME"/>
        </w:rPr>
        <w:t xml:space="preserve"> ili parenje niti kod </w:t>
      </w:r>
      <w:r w:rsidR="00784CF8" w:rsidRPr="00890981">
        <w:rPr>
          <w:szCs w:val="22"/>
          <w:lang w:val="sr-Latn-ME"/>
        </w:rPr>
        <w:t>l</w:t>
      </w:r>
      <w:r w:rsidR="00895BE1" w:rsidRPr="00890981">
        <w:rPr>
          <w:szCs w:val="22"/>
          <w:lang w:val="sr-Latn-ME"/>
        </w:rPr>
        <w:t>ij</w:t>
      </w:r>
      <w:r w:rsidR="00784CF8" w:rsidRPr="00890981">
        <w:rPr>
          <w:szCs w:val="22"/>
          <w:lang w:val="sr-Latn-ME"/>
        </w:rPr>
        <w:t>ečenih</w:t>
      </w:r>
      <w:r w:rsidRPr="00890981">
        <w:rPr>
          <w:szCs w:val="22"/>
          <w:lang w:val="sr-Latn-ME"/>
        </w:rPr>
        <w:t xml:space="preserve"> roditelja, niti kod njihovih potomaka, u bilo kojoj dozi l</w:t>
      </w:r>
      <w:r w:rsidR="00895BE1" w:rsidRPr="00890981">
        <w:rPr>
          <w:szCs w:val="22"/>
          <w:lang w:val="sr-Latn-ME"/>
        </w:rPr>
        <w:t>ij</w:t>
      </w:r>
      <w:r w:rsidRPr="00890981">
        <w:rPr>
          <w:szCs w:val="22"/>
          <w:lang w:val="sr-Latn-ME"/>
        </w:rPr>
        <w:t>eka.</w:t>
      </w:r>
    </w:p>
    <w:p w14:paraId="7EA42B46" w14:textId="77777777" w:rsidR="000375A0" w:rsidRPr="00890981" w:rsidRDefault="000375A0">
      <w:pPr>
        <w:rPr>
          <w:b/>
          <w:i/>
          <w:snapToGrid w:val="0"/>
          <w:szCs w:val="22"/>
          <w:lang w:val="sr-Latn-ME"/>
        </w:rPr>
      </w:pPr>
      <w:r w:rsidRPr="00890981">
        <w:rPr>
          <w:szCs w:val="22"/>
          <w:lang w:val="sr-Latn-ME"/>
        </w:rPr>
        <w:t xml:space="preserve"> </w:t>
      </w:r>
    </w:p>
    <w:p w14:paraId="7B1D246C" w14:textId="4894EC72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Respiratorne (iritacija) i urogenitalne (prostatitis) prom</w:t>
      </w:r>
      <w:r w:rsidR="00895BE1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ene i reproduktivna toksičnost zab</w:t>
      </w:r>
      <w:r w:rsidR="00895BE1" w:rsidRPr="00890981">
        <w:rPr>
          <w:color w:val="auto"/>
          <w:sz w:val="22"/>
          <w:szCs w:val="22"/>
          <w:lang w:val="sr-Latn-ME"/>
        </w:rPr>
        <w:t>i</w:t>
      </w:r>
      <w:r w:rsidRPr="00890981">
        <w:rPr>
          <w:color w:val="auto"/>
          <w:sz w:val="22"/>
          <w:szCs w:val="22"/>
          <w:lang w:val="sr-Latn-ME"/>
        </w:rPr>
        <w:t>l</w:t>
      </w:r>
      <w:r w:rsidR="00895BE1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 xml:space="preserve">eženi su pri </w:t>
      </w:r>
      <w:r w:rsidR="00526228" w:rsidRPr="00890981">
        <w:rPr>
          <w:color w:val="auto"/>
          <w:sz w:val="22"/>
          <w:szCs w:val="22"/>
          <w:lang w:val="sr-Latn-ME"/>
        </w:rPr>
        <w:t>lokaln</w:t>
      </w:r>
      <w:r w:rsidR="00526228">
        <w:rPr>
          <w:color w:val="auto"/>
          <w:sz w:val="22"/>
          <w:szCs w:val="22"/>
          <w:lang w:val="sr-Latn-ME"/>
        </w:rPr>
        <w:t>im</w:t>
      </w:r>
      <w:r w:rsidR="00526228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ili </w:t>
      </w:r>
      <w:r w:rsidR="00526228">
        <w:rPr>
          <w:color w:val="auto"/>
          <w:sz w:val="22"/>
          <w:szCs w:val="22"/>
          <w:lang w:val="sr-Latn-ME"/>
        </w:rPr>
        <w:t>sistemskim izloženostima</w:t>
      </w:r>
      <w:r w:rsidRPr="00890981">
        <w:rPr>
          <w:color w:val="auto"/>
          <w:sz w:val="22"/>
          <w:szCs w:val="22"/>
          <w:lang w:val="sr-Latn-ME"/>
        </w:rPr>
        <w:t xml:space="preserve"> koje </w:t>
      </w:r>
      <w:r w:rsidR="00526228">
        <w:rPr>
          <w:color w:val="auto"/>
          <w:sz w:val="22"/>
          <w:szCs w:val="22"/>
          <w:lang w:val="sr-Latn-ME"/>
        </w:rPr>
        <w:t>su bile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EC4B49" w:rsidRPr="00890981">
        <w:rPr>
          <w:color w:val="auto"/>
          <w:sz w:val="22"/>
          <w:szCs w:val="22"/>
          <w:lang w:val="sr-Latn-ME"/>
        </w:rPr>
        <w:t xml:space="preserve">više nego </w:t>
      </w:r>
      <w:r w:rsidRPr="00890981">
        <w:rPr>
          <w:color w:val="auto"/>
          <w:sz w:val="22"/>
          <w:szCs w:val="22"/>
          <w:lang w:val="sr-Latn-ME"/>
        </w:rPr>
        <w:t xml:space="preserve">petostruko veće od </w:t>
      </w:r>
      <w:r w:rsidR="00526228">
        <w:rPr>
          <w:color w:val="auto"/>
          <w:sz w:val="22"/>
          <w:szCs w:val="22"/>
          <w:lang w:val="sr-Latn-ME"/>
        </w:rPr>
        <w:t>terapijske izloženosti</w:t>
      </w:r>
      <w:r w:rsidRPr="00890981">
        <w:rPr>
          <w:color w:val="auto"/>
          <w:sz w:val="22"/>
          <w:szCs w:val="22"/>
          <w:lang w:val="sr-Latn-ME"/>
        </w:rPr>
        <w:t>. Ispitivanja genotoksičnosti i karcinogenog potencijala ni</w:t>
      </w:r>
      <w:r w:rsidR="00895BE1" w:rsidRPr="00890981">
        <w:rPr>
          <w:color w:val="auto"/>
          <w:sz w:val="22"/>
          <w:szCs w:val="22"/>
          <w:lang w:val="sr-Latn-ME"/>
        </w:rPr>
        <w:t>je</w:t>
      </w:r>
      <w:r w:rsidRPr="00890981">
        <w:rPr>
          <w:color w:val="auto"/>
          <w:sz w:val="22"/>
          <w:szCs w:val="22"/>
          <w:lang w:val="sr-Latn-ME"/>
        </w:rPr>
        <w:t xml:space="preserve">su pokazala posebne </w:t>
      </w:r>
      <w:r w:rsidR="00526228">
        <w:rPr>
          <w:color w:val="auto"/>
          <w:sz w:val="22"/>
          <w:szCs w:val="22"/>
          <w:lang w:val="sr-Latn-ME"/>
        </w:rPr>
        <w:t>rizike</w:t>
      </w:r>
      <w:r w:rsidR="00526228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 xml:space="preserve">po ljude. </w:t>
      </w:r>
    </w:p>
    <w:p w14:paraId="280B3726" w14:textId="77777777" w:rsidR="00CE09F3" w:rsidRPr="00890981" w:rsidRDefault="00CE09F3">
      <w:pPr>
        <w:rPr>
          <w:szCs w:val="22"/>
          <w:lang w:val="sr-Latn-ME"/>
        </w:rPr>
      </w:pPr>
    </w:p>
    <w:p w14:paraId="514F86A5" w14:textId="77777777" w:rsidR="00CE09F3" w:rsidRPr="00890981" w:rsidRDefault="00CE09F3" w:rsidP="009F610E">
      <w:pPr>
        <w:pStyle w:val="NASLOV123"/>
        <w:jc w:val="both"/>
        <w:rPr>
          <w:lang w:val="sr-Latn-ME"/>
        </w:rPr>
      </w:pPr>
      <w:r w:rsidRPr="00890981">
        <w:rPr>
          <w:lang w:val="sr-Latn-ME"/>
        </w:rPr>
        <w:t>6. FARMACEUTSKI PODACI</w:t>
      </w:r>
    </w:p>
    <w:p w14:paraId="72ED399C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lastRenderedPageBreak/>
        <w:t>6.1. Lista pomoćnih supstanci</w:t>
      </w:r>
      <w:r w:rsidR="00C66681" w:rsidRPr="00890981">
        <w:rPr>
          <w:b/>
          <w:bCs/>
          <w:szCs w:val="22"/>
          <w:lang w:val="sr-Latn-ME"/>
        </w:rPr>
        <w:t xml:space="preserve"> (ekscipijenasa)</w:t>
      </w:r>
    </w:p>
    <w:p w14:paraId="11C8156E" w14:textId="77777777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43EAC4E6" w14:textId="143FB78B" w:rsidR="000375A0" w:rsidRPr="00890981" w:rsidRDefault="000375A0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Laktoza, monohidrat </w:t>
      </w:r>
      <w:r w:rsidR="00EB47DA" w:rsidRPr="00890981">
        <w:rPr>
          <w:color w:val="auto"/>
          <w:sz w:val="22"/>
          <w:szCs w:val="22"/>
          <w:lang w:val="sr-Latn-ME"/>
        </w:rPr>
        <w:t>(</w:t>
      </w:r>
      <w:r w:rsidR="00B006DA" w:rsidRPr="00890981">
        <w:rPr>
          <w:color w:val="auto"/>
          <w:sz w:val="22"/>
          <w:szCs w:val="22"/>
          <w:lang w:val="sr-Latn-ME"/>
        </w:rPr>
        <w:t xml:space="preserve">može </w:t>
      </w:r>
      <w:r w:rsidRPr="00890981">
        <w:rPr>
          <w:color w:val="auto"/>
          <w:sz w:val="22"/>
          <w:szCs w:val="22"/>
          <w:lang w:val="sr-Latn-ME"/>
        </w:rPr>
        <w:t>sadrž</w:t>
      </w:r>
      <w:r w:rsidR="00B006DA" w:rsidRPr="00890981">
        <w:rPr>
          <w:color w:val="auto"/>
          <w:sz w:val="22"/>
          <w:szCs w:val="22"/>
          <w:lang w:val="sr-Latn-ME"/>
        </w:rPr>
        <w:t>ati</w:t>
      </w:r>
      <w:r w:rsidRPr="00890981">
        <w:rPr>
          <w:color w:val="auto"/>
          <w:sz w:val="22"/>
          <w:szCs w:val="22"/>
          <w:lang w:val="sr-Latn-ME"/>
        </w:rPr>
        <w:t xml:space="preserve"> </w:t>
      </w:r>
      <w:r w:rsidR="00526228">
        <w:rPr>
          <w:color w:val="auto"/>
          <w:sz w:val="22"/>
          <w:szCs w:val="22"/>
          <w:lang w:val="sr-Latn-ME"/>
        </w:rPr>
        <w:t>male količine proteina</w:t>
      </w:r>
      <w:r w:rsidR="00526228" w:rsidRPr="00890981">
        <w:rPr>
          <w:color w:val="auto"/>
          <w:sz w:val="22"/>
          <w:szCs w:val="22"/>
          <w:lang w:val="sr-Latn-ME"/>
        </w:rPr>
        <w:t xml:space="preserve"> </w:t>
      </w:r>
      <w:r w:rsidRPr="00890981">
        <w:rPr>
          <w:color w:val="auto"/>
          <w:sz w:val="22"/>
          <w:szCs w:val="22"/>
          <w:lang w:val="sr-Latn-ME"/>
        </w:rPr>
        <w:t>ml</w:t>
      </w:r>
      <w:r w:rsidR="00C66681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>eka</w:t>
      </w:r>
      <w:r w:rsidR="00EB47DA" w:rsidRPr="00890981">
        <w:rPr>
          <w:color w:val="auto"/>
          <w:sz w:val="22"/>
          <w:szCs w:val="22"/>
          <w:lang w:val="sr-Latn-ME"/>
        </w:rPr>
        <w:t>)</w:t>
      </w:r>
      <w:r w:rsidRPr="00890981">
        <w:rPr>
          <w:color w:val="auto"/>
          <w:sz w:val="22"/>
          <w:szCs w:val="22"/>
          <w:lang w:val="sr-Latn-ME"/>
        </w:rPr>
        <w:t>.</w:t>
      </w:r>
    </w:p>
    <w:p w14:paraId="20907E47" w14:textId="77777777" w:rsidR="00CE09F3" w:rsidRPr="00890981" w:rsidRDefault="00CE09F3">
      <w:pPr>
        <w:rPr>
          <w:szCs w:val="22"/>
          <w:lang w:val="sr-Latn-ME"/>
        </w:rPr>
      </w:pPr>
    </w:p>
    <w:p w14:paraId="624931A6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6.2. Inkompatibilnost</w:t>
      </w:r>
      <w:r w:rsidR="00C66681" w:rsidRPr="00890981">
        <w:rPr>
          <w:b/>
          <w:bCs/>
          <w:szCs w:val="22"/>
          <w:lang w:val="sr-Latn-ME"/>
        </w:rPr>
        <w:t>i</w:t>
      </w:r>
    </w:p>
    <w:p w14:paraId="2D028E90" w14:textId="77777777" w:rsidR="00EF1D24" w:rsidRPr="00890981" w:rsidRDefault="00EF1D24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5623FB4F" w14:textId="6B711913" w:rsidR="00EF1D24" w:rsidRPr="00890981" w:rsidRDefault="00526228">
      <w:pPr>
        <w:pStyle w:val="Default"/>
        <w:jc w:val="both"/>
        <w:rPr>
          <w:color w:val="auto"/>
          <w:sz w:val="22"/>
          <w:szCs w:val="22"/>
          <w:lang w:val="sr-Latn-ME"/>
        </w:rPr>
      </w:pPr>
      <w:r>
        <w:rPr>
          <w:color w:val="auto"/>
          <w:sz w:val="22"/>
          <w:szCs w:val="22"/>
          <w:lang w:val="sr-Latn-ME"/>
        </w:rPr>
        <w:t>Nije primjenljivo</w:t>
      </w:r>
      <w:r w:rsidR="00EF1D24" w:rsidRPr="00890981">
        <w:rPr>
          <w:color w:val="auto"/>
          <w:sz w:val="22"/>
          <w:szCs w:val="22"/>
          <w:lang w:val="sr-Latn-ME"/>
        </w:rPr>
        <w:t xml:space="preserve">. </w:t>
      </w:r>
    </w:p>
    <w:p w14:paraId="3D6CED1A" w14:textId="77777777" w:rsidR="00CE09F3" w:rsidRPr="00890981" w:rsidRDefault="00CE09F3">
      <w:pPr>
        <w:rPr>
          <w:szCs w:val="22"/>
          <w:lang w:val="sr-Latn-ME"/>
        </w:rPr>
      </w:pPr>
    </w:p>
    <w:p w14:paraId="16D0CB66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6.3. Rok upotrebe</w:t>
      </w:r>
    </w:p>
    <w:p w14:paraId="6317D06F" w14:textId="77777777" w:rsidR="00EF1D24" w:rsidRPr="00890981" w:rsidRDefault="00EF1D24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23A41E00" w14:textId="77777777" w:rsidR="00EF1D24" w:rsidRPr="00890981" w:rsidRDefault="00EF1D24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2 godine.</w:t>
      </w:r>
    </w:p>
    <w:p w14:paraId="6A1F9A26" w14:textId="77777777" w:rsidR="00EF1D24" w:rsidRPr="00890981" w:rsidRDefault="003E4BD2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Rok upotrebe nakon prvog </w:t>
      </w:r>
      <w:r w:rsidR="00EF1D24" w:rsidRPr="00890981">
        <w:rPr>
          <w:color w:val="auto"/>
          <w:sz w:val="22"/>
          <w:szCs w:val="22"/>
          <w:lang w:val="sr-Latn-ME"/>
        </w:rPr>
        <w:t>otvaranja blistera</w:t>
      </w:r>
      <w:r w:rsidRPr="00890981">
        <w:rPr>
          <w:color w:val="auto"/>
          <w:sz w:val="22"/>
          <w:szCs w:val="22"/>
          <w:lang w:val="sr-Latn-ME"/>
        </w:rPr>
        <w:t xml:space="preserve">: </w:t>
      </w:r>
      <w:r w:rsidR="00EF1D24" w:rsidRPr="00890981">
        <w:rPr>
          <w:color w:val="auto"/>
          <w:sz w:val="22"/>
          <w:szCs w:val="22"/>
          <w:lang w:val="sr-Latn-ME"/>
        </w:rPr>
        <w:t xml:space="preserve">9 dana. </w:t>
      </w:r>
    </w:p>
    <w:p w14:paraId="59698DD4" w14:textId="77777777" w:rsidR="00EF1D24" w:rsidRPr="00890981" w:rsidRDefault="00EF1D24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>HandiHaler uređaj za inhalaciju se može koristiti 12 m</w:t>
      </w:r>
      <w:r w:rsidR="002357DF" w:rsidRPr="00890981">
        <w:rPr>
          <w:color w:val="auto"/>
          <w:sz w:val="22"/>
          <w:szCs w:val="22"/>
          <w:lang w:val="sr-Latn-ME"/>
        </w:rPr>
        <w:t>j</w:t>
      </w:r>
      <w:r w:rsidRPr="00890981">
        <w:rPr>
          <w:color w:val="auto"/>
          <w:sz w:val="22"/>
          <w:szCs w:val="22"/>
          <w:lang w:val="sr-Latn-ME"/>
        </w:rPr>
        <w:t>eseci posl</w:t>
      </w:r>
      <w:r w:rsidR="00540668" w:rsidRPr="00890981">
        <w:rPr>
          <w:color w:val="auto"/>
          <w:sz w:val="22"/>
          <w:szCs w:val="22"/>
          <w:lang w:val="sr-Latn-ME"/>
        </w:rPr>
        <w:t>ij</w:t>
      </w:r>
      <w:r w:rsidRPr="00890981">
        <w:rPr>
          <w:color w:val="auto"/>
          <w:sz w:val="22"/>
          <w:szCs w:val="22"/>
          <w:lang w:val="sr-Latn-ME"/>
        </w:rPr>
        <w:t xml:space="preserve">e prve upotrebe. </w:t>
      </w:r>
    </w:p>
    <w:p w14:paraId="4172D8AE" w14:textId="77777777" w:rsidR="00CE09F3" w:rsidRPr="00890981" w:rsidRDefault="00CE09F3">
      <w:pPr>
        <w:rPr>
          <w:szCs w:val="22"/>
          <w:lang w:val="sr-Latn-ME"/>
        </w:rPr>
      </w:pPr>
    </w:p>
    <w:p w14:paraId="6DEF5CCE" w14:textId="3E3F8419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6.4. Posebne m</w:t>
      </w:r>
      <w:r w:rsidR="00540668" w:rsidRPr="00890981">
        <w:rPr>
          <w:b/>
          <w:bCs/>
          <w:szCs w:val="22"/>
          <w:lang w:val="sr-Latn-ME"/>
        </w:rPr>
        <w:t>j</w:t>
      </w:r>
      <w:r w:rsidRPr="00890981">
        <w:rPr>
          <w:b/>
          <w:bCs/>
          <w:szCs w:val="22"/>
          <w:lang w:val="sr-Latn-ME"/>
        </w:rPr>
        <w:t xml:space="preserve">ere </w:t>
      </w:r>
      <w:r w:rsidR="00C66681" w:rsidRPr="00890981">
        <w:rPr>
          <w:b/>
          <w:bCs/>
          <w:szCs w:val="22"/>
          <w:lang w:val="sr-Latn-ME"/>
        </w:rPr>
        <w:t>upozorenja</w:t>
      </w:r>
      <w:r w:rsidRPr="00890981">
        <w:rPr>
          <w:b/>
          <w:bCs/>
          <w:szCs w:val="22"/>
          <w:lang w:val="sr-Latn-ME"/>
        </w:rPr>
        <w:t xml:space="preserve"> pri čuvanju</w:t>
      </w:r>
      <w:r w:rsidR="00C66681" w:rsidRPr="00890981">
        <w:rPr>
          <w:b/>
          <w:bCs/>
          <w:szCs w:val="22"/>
          <w:lang w:val="sr-Latn-ME"/>
        </w:rPr>
        <w:t xml:space="preserve"> lijeka</w:t>
      </w:r>
    </w:p>
    <w:p w14:paraId="12C843A0" w14:textId="77777777" w:rsidR="00EF1D24" w:rsidRPr="00890981" w:rsidRDefault="00EF1D24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27D6FD1C" w14:textId="77777777" w:rsidR="00EF1D24" w:rsidRPr="00890981" w:rsidRDefault="00EF1D24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color w:val="auto"/>
          <w:sz w:val="22"/>
          <w:szCs w:val="22"/>
          <w:lang w:val="sr-Latn-ME"/>
        </w:rPr>
        <w:t xml:space="preserve">Čuvati na temperaturi do 25°C. </w:t>
      </w:r>
    </w:p>
    <w:p w14:paraId="52174E68" w14:textId="60BE4C2F" w:rsidR="00CE09F3" w:rsidRPr="00890981" w:rsidRDefault="00EF1D24">
      <w:pPr>
        <w:rPr>
          <w:szCs w:val="22"/>
          <w:lang w:val="sr-Latn-ME"/>
        </w:rPr>
      </w:pPr>
      <w:r w:rsidRPr="00890981">
        <w:rPr>
          <w:szCs w:val="22"/>
          <w:lang w:val="sr-Latn-ME"/>
        </w:rPr>
        <w:t xml:space="preserve">Ne zamrzavati. </w:t>
      </w:r>
    </w:p>
    <w:p w14:paraId="6327C565" w14:textId="1D80D93C" w:rsidR="00CE09F3" w:rsidRPr="00890981" w:rsidRDefault="0022223A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 xml:space="preserve">6.5. </w:t>
      </w:r>
      <w:r w:rsidR="00C66681" w:rsidRPr="00890981">
        <w:rPr>
          <w:b/>
          <w:bCs/>
          <w:szCs w:val="22"/>
          <w:lang w:val="sr-Latn-ME"/>
        </w:rPr>
        <w:t xml:space="preserve">Vrsta </w:t>
      </w:r>
      <w:r w:rsidR="00CE09F3" w:rsidRPr="00890981">
        <w:rPr>
          <w:b/>
          <w:bCs/>
          <w:szCs w:val="22"/>
          <w:lang w:val="sr-Latn-ME"/>
        </w:rPr>
        <w:t>i sadržaj pakovanja</w:t>
      </w:r>
    </w:p>
    <w:p w14:paraId="07CC96D3" w14:textId="77777777" w:rsidR="00924DF1" w:rsidRPr="00890981" w:rsidRDefault="00924DF1">
      <w:pPr>
        <w:rPr>
          <w:b/>
          <w:bCs/>
          <w:szCs w:val="22"/>
          <w:lang w:val="sr-Latn-ME"/>
        </w:rPr>
      </w:pPr>
    </w:p>
    <w:p w14:paraId="4EC2DC0B" w14:textId="77777777" w:rsidR="00E63D99" w:rsidRPr="00890981" w:rsidRDefault="00924DF1">
      <w:pPr>
        <w:rPr>
          <w:szCs w:val="22"/>
          <w:lang w:val="sr-Latn-ME"/>
        </w:rPr>
      </w:pPr>
      <w:r w:rsidRPr="00890981">
        <w:rPr>
          <w:bCs/>
          <w:szCs w:val="22"/>
          <w:lang w:val="sr-Latn-ME"/>
        </w:rPr>
        <w:t>U</w:t>
      </w:r>
      <w:r w:rsidR="00B94E53" w:rsidRPr="00890981">
        <w:rPr>
          <w:bCs/>
          <w:szCs w:val="22"/>
          <w:lang w:val="sr-Latn-ME"/>
        </w:rPr>
        <w:t>nutrašnje pakovanje</w:t>
      </w:r>
      <w:r w:rsidRPr="00890981">
        <w:rPr>
          <w:szCs w:val="22"/>
          <w:lang w:val="sr-Latn-ME"/>
        </w:rPr>
        <w:t xml:space="preserve"> je blister Al/PVC/</w:t>
      </w:r>
      <w:r w:rsidR="001F6752" w:rsidRPr="00890981">
        <w:rPr>
          <w:szCs w:val="22"/>
          <w:lang w:val="sr-Latn-ME"/>
        </w:rPr>
        <w:t>Al</w:t>
      </w:r>
      <w:r w:rsidRPr="00890981">
        <w:rPr>
          <w:szCs w:val="22"/>
          <w:lang w:val="sr-Latn-ME"/>
        </w:rPr>
        <w:t>.</w:t>
      </w:r>
      <w:r w:rsidR="001F6752" w:rsidRPr="00890981">
        <w:rPr>
          <w:szCs w:val="22"/>
          <w:lang w:val="sr-Latn-ME"/>
        </w:rPr>
        <w:t xml:space="preserve"> </w:t>
      </w:r>
      <w:r w:rsidR="00E63D99" w:rsidRPr="00890981">
        <w:rPr>
          <w:szCs w:val="22"/>
          <w:lang w:val="sr-Latn-ME"/>
        </w:rPr>
        <w:t>HandiHaler je uređaj za inhalaciju jedne doze izrađen od plastičnih materijala akrilonitril butadien stirena (ABS) i nerđajućeg čelika. Komora za kapsulu je izrađena od plastičnih materijala metil-metakrilat-akrilonitril-butadien-stirena (MABS) ili polikarbonata (PC).</w:t>
      </w:r>
    </w:p>
    <w:p w14:paraId="24805F19" w14:textId="77777777" w:rsidR="00EF1D24" w:rsidRPr="00890981" w:rsidRDefault="00EF1D24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6BCD1866" w14:textId="77777777" w:rsidR="001F6752" w:rsidRPr="00890981" w:rsidRDefault="00924DF1">
      <w:pPr>
        <w:rPr>
          <w:szCs w:val="22"/>
          <w:lang w:val="sr-Latn-ME"/>
        </w:rPr>
      </w:pPr>
      <w:bookmarkStart w:id="0" w:name="OLE_LINK3"/>
      <w:bookmarkStart w:id="1" w:name="OLE_LINK4"/>
      <w:r w:rsidRPr="00890981">
        <w:rPr>
          <w:szCs w:val="22"/>
          <w:lang w:val="sr-Latn-ME"/>
        </w:rPr>
        <w:t xml:space="preserve">Spoljašnje pakovanje je složiva kartonska kutija u kojoj se nalaze 3 blistera sa po 10 tvrdih kapsula, </w:t>
      </w:r>
      <w:r w:rsidR="00786874" w:rsidRPr="00890981">
        <w:rPr>
          <w:szCs w:val="22"/>
          <w:lang w:val="sr-Latn-ME"/>
        </w:rPr>
        <w:t xml:space="preserve">uređaj za inhalaciju </w:t>
      </w:r>
      <w:r w:rsidRPr="00890981">
        <w:rPr>
          <w:szCs w:val="22"/>
          <w:lang w:val="sr-Latn-ME"/>
        </w:rPr>
        <w:t>HandiHaler</w:t>
      </w:r>
      <w:r w:rsidR="009962F8" w:rsidRPr="00890981">
        <w:rPr>
          <w:szCs w:val="22"/>
          <w:lang w:val="sr-Latn-ME"/>
        </w:rPr>
        <w:t xml:space="preserve"> i Uputstvo za l</w:t>
      </w:r>
      <w:r w:rsidR="00C66681" w:rsidRPr="00890981">
        <w:rPr>
          <w:szCs w:val="22"/>
          <w:lang w:val="sr-Latn-ME"/>
        </w:rPr>
        <w:t>ij</w:t>
      </w:r>
      <w:r w:rsidR="009962F8" w:rsidRPr="00890981">
        <w:rPr>
          <w:szCs w:val="22"/>
          <w:lang w:val="sr-Latn-ME"/>
        </w:rPr>
        <w:t>ek.</w:t>
      </w:r>
    </w:p>
    <w:bookmarkEnd w:id="0"/>
    <w:bookmarkEnd w:id="1"/>
    <w:p w14:paraId="362DE47C" w14:textId="77777777" w:rsidR="00CE09F3" w:rsidRPr="00890981" w:rsidRDefault="00CE09F3">
      <w:pPr>
        <w:rPr>
          <w:szCs w:val="22"/>
          <w:lang w:val="sr-Latn-ME"/>
        </w:rPr>
      </w:pPr>
    </w:p>
    <w:p w14:paraId="19A34463" w14:textId="77777777" w:rsidR="00CE09F3" w:rsidRPr="00890981" w:rsidRDefault="00CE09F3">
      <w:pPr>
        <w:rPr>
          <w:b/>
          <w:bCs/>
          <w:szCs w:val="22"/>
          <w:lang w:val="sr-Latn-ME"/>
        </w:rPr>
      </w:pPr>
      <w:r w:rsidRPr="00890981">
        <w:rPr>
          <w:b/>
          <w:bCs/>
          <w:szCs w:val="22"/>
          <w:lang w:val="sr-Latn-ME"/>
        </w:rPr>
        <w:t>6.6. Posebne m</w:t>
      </w:r>
      <w:r w:rsidR="00540668" w:rsidRPr="00890981">
        <w:rPr>
          <w:b/>
          <w:bCs/>
          <w:szCs w:val="22"/>
          <w:lang w:val="sr-Latn-ME"/>
        </w:rPr>
        <w:t>j</w:t>
      </w:r>
      <w:r w:rsidRPr="00890981">
        <w:rPr>
          <w:b/>
          <w:bCs/>
          <w:szCs w:val="22"/>
          <w:lang w:val="sr-Latn-ME"/>
        </w:rPr>
        <w:t>ere opreza pri odlaganju materijala koji treba odbaciti nakon prim</w:t>
      </w:r>
      <w:r w:rsidR="00895BE1" w:rsidRPr="00890981">
        <w:rPr>
          <w:b/>
          <w:bCs/>
          <w:szCs w:val="22"/>
          <w:lang w:val="sr-Latn-ME"/>
        </w:rPr>
        <w:t>j</w:t>
      </w:r>
      <w:r w:rsidRPr="00890981">
        <w:rPr>
          <w:b/>
          <w:bCs/>
          <w:szCs w:val="22"/>
          <w:lang w:val="sr-Latn-ME"/>
        </w:rPr>
        <w:t>ene l</w:t>
      </w:r>
      <w:r w:rsidR="00895BE1" w:rsidRPr="00890981">
        <w:rPr>
          <w:b/>
          <w:bCs/>
          <w:szCs w:val="22"/>
          <w:lang w:val="sr-Latn-ME"/>
        </w:rPr>
        <w:t>ij</w:t>
      </w:r>
      <w:r w:rsidRPr="00890981">
        <w:rPr>
          <w:b/>
          <w:bCs/>
          <w:szCs w:val="22"/>
          <w:lang w:val="sr-Latn-ME"/>
        </w:rPr>
        <w:t>eka (i druga uputstva za rukovanje l</w:t>
      </w:r>
      <w:r w:rsidR="00895BE1" w:rsidRPr="00890981">
        <w:rPr>
          <w:b/>
          <w:bCs/>
          <w:szCs w:val="22"/>
          <w:lang w:val="sr-Latn-ME"/>
        </w:rPr>
        <w:t>ij</w:t>
      </w:r>
      <w:r w:rsidRPr="00890981">
        <w:rPr>
          <w:b/>
          <w:bCs/>
          <w:szCs w:val="22"/>
          <w:lang w:val="sr-Latn-ME"/>
        </w:rPr>
        <w:t>ekom)</w:t>
      </w:r>
    </w:p>
    <w:p w14:paraId="27834D8D" w14:textId="77777777" w:rsidR="00EF1D24" w:rsidRPr="00890981" w:rsidRDefault="00EF1D24">
      <w:pPr>
        <w:pStyle w:val="Default"/>
        <w:jc w:val="both"/>
        <w:rPr>
          <w:color w:val="auto"/>
          <w:sz w:val="22"/>
          <w:szCs w:val="22"/>
          <w:lang w:val="sr-Latn-ME"/>
        </w:rPr>
      </w:pPr>
    </w:p>
    <w:p w14:paraId="7342EDEA" w14:textId="77777777" w:rsidR="00EF1D24" w:rsidRPr="00890981" w:rsidRDefault="0086388D">
      <w:pPr>
        <w:pStyle w:val="Default"/>
        <w:jc w:val="both"/>
        <w:rPr>
          <w:color w:val="auto"/>
          <w:sz w:val="22"/>
          <w:szCs w:val="22"/>
          <w:lang w:val="sr-Latn-ME"/>
        </w:rPr>
      </w:pPr>
      <w:r w:rsidRPr="00890981">
        <w:rPr>
          <w:spacing w:val="-2"/>
          <w:sz w:val="22"/>
          <w:szCs w:val="22"/>
          <w:lang w:val="sr-Latn-ME"/>
        </w:rPr>
        <w:t>Svu</w:t>
      </w:r>
      <w:r w:rsidRPr="00890981">
        <w:rPr>
          <w:sz w:val="22"/>
          <w:szCs w:val="22"/>
          <w:lang w:val="sr-Latn-ME"/>
        </w:rPr>
        <w:t xml:space="preserve"> neiskorišćenu količinu l</w:t>
      </w:r>
      <w:r w:rsidR="00895BE1" w:rsidRPr="00890981">
        <w:rPr>
          <w:sz w:val="22"/>
          <w:szCs w:val="22"/>
          <w:lang w:val="sr-Latn-ME"/>
        </w:rPr>
        <w:t>ij</w:t>
      </w:r>
      <w:r w:rsidRPr="00890981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14AB0381" w14:textId="77777777" w:rsidR="00CE09F3" w:rsidRPr="00890981" w:rsidRDefault="00CE09F3" w:rsidP="009F610E">
      <w:pPr>
        <w:pStyle w:val="NASLOV123"/>
        <w:jc w:val="both"/>
        <w:rPr>
          <w:lang w:val="sr-Latn-ME"/>
        </w:rPr>
      </w:pPr>
      <w:r w:rsidRPr="00890981">
        <w:rPr>
          <w:lang w:val="sr-Latn-ME"/>
        </w:rPr>
        <w:t xml:space="preserve">7. NOSILAC DOZVOLE </w:t>
      </w:r>
    </w:p>
    <w:p w14:paraId="7FB2397C" w14:textId="77777777" w:rsidR="00BB098C" w:rsidRPr="00890981" w:rsidRDefault="00BB098C">
      <w:pPr>
        <w:rPr>
          <w:szCs w:val="22"/>
          <w:lang w:val="sr-Latn-ME"/>
        </w:rPr>
      </w:pPr>
      <w:r w:rsidRPr="00890981">
        <w:rPr>
          <w:szCs w:val="22"/>
          <w:lang w:val="sr-Latn-ME"/>
        </w:rPr>
        <w:t>Glosarij d.o.o.</w:t>
      </w:r>
    </w:p>
    <w:p w14:paraId="73545124" w14:textId="77777777" w:rsidR="00BB098C" w:rsidRPr="00890981" w:rsidRDefault="00BB098C">
      <w:pPr>
        <w:rPr>
          <w:szCs w:val="22"/>
          <w:lang w:val="sr-Latn-ME"/>
        </w:rPr>
      </w:pPr>
      <w:r w:rsidRPr="00890981">
        <w:rPr>
          <w:szCs w:val="22"/>
          <w:lang w:val="sr-Latn-ME"/>
        </w:rPr>
        <w:t xml:space="preserve">Vojislavljevića 76, </w:t>
      </w:r>
      <w:r w:rsidR="00B95EC5" w:rsidRPr="00890981">
        <w:rPr>
          <w:szCs w:val="22"/>
          <w:lang w:val="sr-Latn-ME"/>
        </w:rPr>
        <w:t xml:space="preserve">81000 </w:t>
      </w:r>
      <w:r w:rsidRPr="00890981">
        <w:rPr>
          <w:szCs w:val="22"/>
          <w:lang w:val="sr-Latn-ME"/>
        </w:rPr>
        <w:t>Podgorica, Crna Gora</w:t>
      </w:r>
    </w:p>
    <w:p w14:paraId="64E50702" w14:textId="566C27AD" w:rsidR="00CE09F3" w:rsidRPr="00890981" w:rsidRDefault="001C6AB2">
      <w:pPr>
        <w:rPr>
          <w:szCs w:val="22"/>
          <w:lang w:val="sr-Latn-ME"/>
        </w:rPr>
      </w:pPr>
      <w:r w:rsidRPr="00890981">
        <w:rPr>
          <w:szCs w:val="22"/>
          <w:lang w:val="sr-Latn-ME"/>
        </w:rPr>
        <w:t xml:space="preserve"> </w:t>
      </w:r>
    </w:p>
    <w:p w14:paraId="414ACB44" w14:textId="09A6B876" w:rsidR="00CE09F3" w:rsidRPr="00890981" w:rsidRDefault="00CE09F3" w:rsidP="009F610E">
      <w:pPr>
        <w:pStyle w:val="NASLOV123"/>
        <w:jc w:val="both"/>
        <w:rPr>
          <w:lang w:val="sr-Latn-ME"/>
        </w:rPr>
      </w:pPr>
      <w:r w:rsidRPr="00890981">
        <w:rPr>
          <w:lang w:val="sr-Latn-ME"/>
        </w:rPr>
        <w:t>8. BROJ DOZVOLE ZA STAVLJANJE L</w:t>
      </w:r>
      <w:r w:rsidR="00C66681" w:rsidRPr="00890981">
        <w:rPr>
          <w:lang w:val="sr-Latn-ME"/>
        </w:rPr>
        <w:t>IJ</w:t>
      </w:r>
      <w:r w:rsidRPr="00890981">
        <w:rPr>
          <w:lang w:val="sr-Latn-ME"/>
        </w:rPr>
        <w:t>EKA U PROMET</w:t>
      </w:r>
    </w:p>
    <w:p w14:paraId="2D9FA69B" w14:textId="502EFA2E" w:rsidR="00C34385" w:rsidRPr="00890981" w:rsidRDefault="00C34385" w:rsidP="009F610E">
      <w:pPr>
        <w:pStyle w:val="NASLOV123"/>
        <w:jc w:val="both"/>
        <w:rPr>
          <w:b w:val="0"/>
          <w:lang w:val="sr-Latn-ME"/>
        </w:rPr>
      </w:pPr>
      <w:r w:rsidRPr="00890981">
        <w:rPr>
          <w:b w:val="0"/>
          <w:lang w:val="sr-Latn-ME"/>
        </w:rPr>
        <w:t>2030/24/2801 – 5891</w:t>
      </w:r>
    </w:p>
    <w:p w14:paraId="091E70FC" w14:textId="6B25DFDA" w:rsidR="00CE09F3" w:rsidRPr="00890981" w:rsidRDefault="00CE09F3" w:rsidP="00CC774A">
      <w:pPr>
        <w:pStyle w:val="NASLOV123"/>
        <w:spacing w:before="0" w:after="0"/>
        <w:jc w:val="both"/>
        <w:rPr>
          <w:lang w:val="sr-Latn-ME"/>
        </w:rPr>
      </w:pPr>
      <w:r w:rsidRPr="00890981">
        <w:rPr>
          <w:lang w:val="sr-Latn-ME"/>
        </w:rPr>
        <w:t>9. DATUM PRVE DOZVOLE</w:t>
      </w:r>
      <w:r w:rsidR="00C66681" w:rsidRPr="00890981">
        <w:rPr>
          <w:bCs/>
          <w:lang w:val="sr-Latn-ME"/>
        </w:rPr>
        <w:t>/</w:t>
      </w:r>
      <w:r w:rsidRPr="00890981">
        <w:rPr>
          <w:lang w:val="sr-Latn-ME"/>
        </w:rPr>
        <w:t>OBNOVE DOZVOLE ZA STAVLJANJE L</w:t>
      </w:r>
      <w:r w:rsidR="00C66681" w:rsidRPr="00890981">
        <w:rPr>
          <w:lang w:val="sr-Latn-ME"/>
        </w:rPr>
        <w:t>IJ</w:t>
      </w:r>
      <w:r w:rsidRPr="00890981">
        <w:rPr>
          <w:lang w:val="sr-Latn-ME"/>
        </w:rPr>
        <w:t>EKA U PROMET</w:t>
      </w:r>
    </w:p>
    <w:p w14:paraId="6FE12CA4" w14:textId="77777777" w:rsidR="00CC774A" w:rsidRPr="00890981" w:rsidRDefault="00CC774A" w:rsidP="00CC774A">
      <w:pPr>
        <w:autoSpaceDE w:val="0"/>
        <w:autoSpaceDN w:val="0"/>
        <w:adjustRightInd w:val="0"/>
        <w:rPr>
          <w:szCs w:val="22"/>
          <w:lang w:val="sr-Latn-ME"/>
        </w:rPr>
      </w:pPr>
    </w:p>
    <w:p w14:paraId="2C7A7927" w14:textId="27099D3E" w:rsidR="0005798D" w:rsidRPr="00890981" w:rsidRDefault="0005798D" w:rsidP="00CC774A">
      <w:pPr>
        <w:autoSpaceDE w:val="0"/>
        <w:autoSpaceDN w:val="0"/>
        <w:adjustRightInd w:val="0"/>
        <w:rPr>
          <w:szCs w:val="22"/>
          <w:lang w:val="sr-Latn-ME"/>
        </w:rPr>
      </w:pPr>
      <w:r w:rsidRPr="00890981">
        <w:rPr>
          <w:szCs w:val="22"/>
          <w:lang w:val="sr-Latn-ME"/>
        </w:rPr>
        <w:t xml:space="preserve">Datum prve dozvole: </w:t>
      </w:r>
      <w:r w:rsidR="00BB098C" w:rsidRPr="00890981">
        <w:rPr>
          <w:szCs w:val="22"/>
          <w:lang w:val="sr-Latn-ME"/>
        </w:rPr>
        <w:t>30.08.2013. godine</w:t>
      </w:r>
    </w:p>
    <w:p w14:paraId="7186A475" w14:textId="6BA2F634" w:rsidR="00CE09F3" w:rsidRPr="00890981" w:rsidRDefault="0005798D" w:rsidP="00CC774A">
      <w:pPr>
        <w:autoSpaceDE w:val="0"/>
        <w:autoSpaceDN w:val="0"/>
        <w:adjustRightInd w:val="0"/>
        <w:rPr>
          <w:b/>
          <w:szCs w:val="22"/>
          <w:lang w:val="sr-Latn-ME"/>
        </w:rPr>
      </w:pPr>
      <w:r w:rsidRPr="00890981">
        <w:rPr>
          <w:szCs w:val="22"/>
          <w:lang w:val="sr-Latn-ME"/>
        </w:rPr>
        <w:t>Datum posl</w:t>
      </w:r>
      <w:r w:rsidR="00C66681" w:rsidRPr="00890981">
        <w:rPr>
          <w:szCs w:val="22"/>
          <w:lang w:val="sr-Latn-ME"/>
        </w:rPr>
        <w:t>j</w:t>
      </w:r>
      <w:r w:rsidRPr="00890981">
        <w:rPr>
          <w:szCs w:val="22"/>
          <w:lang w:val="sr-Latn-ME"/>
        </w:rPr>
        <w:t xml:space="preserve">ednje obnove dozvole: </w:t>
      </w:r>
      <w:r w:rsidR="00C34385" w:rsidRPr="00890981">
        <w:rPr>
          <w:szCs w:val="22"/>
          <w:lang w:val="sr-Latn-ME"/>
        </w:rPr>
        <w:t>28.05.2024. godine</w:t>
      </w:r>
    </w:p>
    <w:p w14:paraId="55600DCB" w14:textId="77777777" w:rsidR="00CC774A" w:rsidRPr="00890981" w:rsidRDefault="00CC774A" w:rsidP="00CC774A">
      <w:pPr>
        <w:pStyle w:val="NASLOV123"/>
        <w:spacing w:before="0" w:after="0"/>
        <w:jc w:val="both"/>
        <w:rPr>
          <w:lang w:val="sr-Latn-ME"/>
        </w:rPr>
      </w:pPr>
    </w:p>
    <w:p w14:paraId="60FE1729" w14:textId="77777777" w:rsidR="00CC774A" w:rsidRPr="00890981" w:rsidRDefault="00CC774A" w:rsidP="009F610E">
      <w:pPr>
        <w:pStyle w:val="NASLOV123"/>
        <w:spacing w:before="0" w:after="0"/>
        <w:jc w:val="both"/>
        <w:rPr>
          <w:lang w:val="sr-Latn-ME"/>
        </w:rPr>
      </w:pPr>
    </w:p>
    <w:p w14:paraId="0ECB67C0" w14:textId="77777777" w:rsidR="00CE09F3" w:rsidRPr="00890981" w:rsidRDefault="00CE09F3" w:rsidP="009F610E">
      <w:pPr>
        <w:pStyle w:val="NASLOV123"/>
        <w:spacing w:before="0" w:after="0"/>
        <w:jc w:val="both"/>
        <w:rPr>
          <w:lang w:val="sr-Latn-ME"/>
        </w:rPr>
      </w:pPr>
      <w:r w:rsidRPr="00890981">
        <w:rPr>
          <w:lang w:val="sr-Latn-ME"/>
        </w:rPr>
        <w:t>10. DATUM REVIZIJE TEKSTA</w:t>
      </w:r>
    </w:p>
    <w:p w14:paraId="2C57DAC9" w14:textId="77777777" w:rsidR="004D230F" w:rsidRPr="00890981" w:rsidRDefault="004D230F" w:rsidP="00CC774A">
      <w:pPr>
        <w:widowControl w:val="0"/>
        <w:tabs>
          <w:tab w:val="left" w:pos="567"/>
        </w:tabs>
        <w:autoSpaceDE w:val="0"/>
        <w:autoSpaceDN w:val="0"/>
        <w:rPr>
          <w:szCs w:val="22"/>
          <w:lang w:val="sr-Latn-ME"/>
        </w:rPr>
      </w:pPr>
    </w:p>
    <w:p w14:paraId="4171270A" w14:textId="57018586" w:rsidR="00923865" w:rsidRPr="00890981" w:rsidRDefault="002A04E4" w:rsidP="00CC774A">
      <w:pPr>
        <w:rPr>
          <w:bCs/>
          <w:szCs w:val="22"/>
          <w:lang w:val="sr-Latn-ME"/>
        </w:rPr>
      </w:pPr>
      <w:r>
        <w:rPr>
          <w:bCs/>
          <w:szCs w:val="22"/>
          <w:lang w:val="sr-Latn-ME"/>
        </w:rPr>
        <w:t>Novembar, 2024. godine</w:t>
      </w:r>
      <w:bookmarkStart w:id="2" w:name="_GoBack"/>
      <w:bookmarkEnd w:id="2"/>
    </w:p>
    <w:sectPr w:rsidR="00923865" w:rsidRPr="00890981" w:rsidSect="00DD2A82">
      <w:footerReference w:type="even" r:id="rId27"/>
      <w:footerReference w:type="default" r:id="rId28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037C9" w14:textId="77777777" w:rsidR="00842525" w:rsidRDefault="00842525">
      <w:r>
        <w:separator/>
      </w:r>
    </w:p>
  </w:endnote>
  <w:endnote w:type="continuationSeparator" w:id="0">
    <w:p w14:paraId="73CAA7DF" w14:textId="77777777" w:rsidR="00842525" w:rsidRDefault="0084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04D3A" w14:textId="77777777" w:rsidR="009625F2" w:rsidRDefault="009625F2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EF9B70" w14:textId="77777777" w:rsidR="009625F2" w:rsidRDefault="009625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DE55C" w14:textId="0650920C" w:rsidR="009625F2" w:rsidRPr="00370CA9" w:rsidRDefault="00842525" w:rsidP="00CE09F3">
    <w:pPr>
      <w:pStyle w:val="Footer"/>
      <w:tabs>
        <w:tab w:val="left" w:pos="5448"/>
      </w:tabs>
      <w:spacing w:before="360"/>
      <w:jc w:val="center"/>
      <w:rPr>
        <w:sz w:val="28"/>
      </w:rPr>
    </w:pPr>
    <w:sdt>
      <w:sdtPr>
        <w:id w:val="565299203"/>
        <w:docPartObj>
          <w:docPartGallery w:val="Page Numbers (Bottom of Page)"/>
          <w:docPartUnique/>
        </w:docPartObj>
      </w:sdtPr>
      <w:sdtEndPr>
        <w:rPr>
          <w:sz w:val="28"/>
        </w:rPr>
      </w:sdtEndPr>
      <w:sdtContent>
        <w:sdt>
          <w:sdtPr>
            <w:id w:val="1982270593"/>
            <w:docPartObj>
              <w:docPartGallery w:val="Page Numbers (Top of Page)"/>
              <w:docPartUnique/>
            </w:docPartObj>
          </w:sdtPr>
          <w:sdtEndPr>
            <w:rPr>
              <w:sz w:val="28"/>
            </w:rPr>
          </w:sdtEndPr>
          <w:sdtContent>
            <w:r w:rsidR="009625F2" w:rsidRPr="00370CA9">
              <w:rPr>
                <w:szCs w:val="18"/>
              </w:rPr>
              <w:fldChar w:fldCharType="begin"/>
            </w:r>
            <w:r w:rsidR="009625F2" w:rsidRPr="00370CA9">
              <w:rPr>
                <w:szCs w:val="18"/>
              </w:rPr>
              <w:instrText xml:space="preserve"> PAGE </w:instrText>
            </w:r>
            <w:r w:rsidR="009625F2" w:rsidRPr="00370CA9">
              <w:rPr>
                <w:szCs w:val="18"/>
              </w:rPr>
              <w:fldChar w:fldCharType="separate"/>
            </w:r>
            <w:r w:rsidR="002A04E4">
              <w:rPr>
                <w:noProof/>
                <w:szCs w:val="18"/>
              </w:rPr>
              <w:t>13</w:t>
            </w:r>
            <w:r w:rsidR="009625F2" w:rsidRPr="00370CA9">
              <w:rPr>
                <w:szCs w:val="18"/>
              </w:rPr>
              <w:fldChar w:fldCharType="end"/>
            </w:r>
            <w:r w:rsidR="009625F2" w:rsidRPr="00370CA9">
              <w:rPr>
                <w:szCs w:val="18"/>
              </w:rPr>
              <w:t xml:space="preserve"> </w:t>
            </w:r>
            <w:r w:rsidR="00370CA9" w:rsidRPr="00370CA9">
              <w:rPr>
                <w:szCs w:val="18"/>
              </w:rPr>
              <w:t>/</w:t>
            </w:r>
            <w:r w:rsidR="009625F2" w:rsidRPr="00370CA9">
              <w:rPr>
                <w:szCs w:val="18"/>
              </w:rPr>
              <w:t xml:space="preserve"> </w:t>
            </w:r>
            <w:r w:rsidR="009625F2" w:rsidRPr="00370CA9">
              <w:rPr>
                <w:szCs w:val="18"/>
              </w:rPr>
              <w:fldChar w:fldCharType="begin"/>
            </w:r>
            <w:r w:rsidR="009625F2" w:rsidRPr="00370CA9">
              <w:rPr>
                <w:szCs w:val="18"/>
              </w:rPr>
              <w:instrText xml:space="preserve"> NUMPAGES  </w:instrText>
            </w:r>
            <w:r w:rsidR="009625F2" w:rsidRPr="00370CA9">
              <w:rPr>
                <w:szCs w:val="18"/>
              </w:rPr>
              <w:fldChar w:fldCharType="separate"/>
            </w:r>
            <w:r w:rsidR="002A04E4">
              <w:rPr>
                <w:noProof/>
                <w:szCs w:val="18"/>
              </w:rPr>
              <w:t>13</w:t>
            </w:r>
            <w:r w:rsidR="009625F2" w:rsidRPr="00370CA9">
              <w:rPr>
                <w:szCs w:val="18"/>
              </w:rPr>
              <w:fldChar w:fldCharType="end"/>
            </w:r>
          </w:sdtContent>
        </w:sdt>
      </w:sdtContent>
    </w:sdt>
  </w:p>
  <w:p w14:paraId="03D4A0B7" w14:textId="77777777" w:rsidR="009625F2" w:rsidRPr="00C536C2" w:rsidRDefault="009625F2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C1B81" w14:textId="77777777" w:rsidR="00842525" w:rsidRDefault="00842525">
      <w:r>
        <w:separator/>
      </w:r>
    </w:p>
  </w:footnote>
  <w:footnote w:type="continuationSeparator" w:id="0">
    <w:p w14:paraId="6793C394" w14:textId="77777777" w:rsidR="00842525" w:rsidRDefault="00842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9FA10A4"/>
    <w:multiLevelType w:val="hybridMultilevel"/>
    <w:tmpl w:val="74241638"/>
    <w:lvl w:ilvl="0" w:tplc="2402A63A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7801"/>
    <w:rsid w:val="00025AE4"/>
    <w:rsid w:val="0003111C"/>
    <w:rsid w:val="00032CBD"/>
    <w:rsid w:val="00036C33"/>
    <w:rsid w:val="000375A0"/>
    <w:rsid w:val="00042B7C"/>
    <w:rsid w:val="0004355F"/>
    <w:rsid w:val="0005798D"/>
    <w:rsid w:val="00064273"/>
    <w:rsid w:val="00067784"/>
    <w:rsid w:val="00070027"/>
    <w:rsid w:val="000732ED"/>
    <w:rsid w:val="00083BE0"/>
    <w:rsid w:val="00095FB6"/>
    <w:rsid w:val="0009758B"/>
    <w:rsid w:val="00097840"/>
    <w:rsid w:val="000A0F4A"/>
    <w:rsid w:val="000A45CE"/>
    <w:rsid w:val="000A5891"/>
    <w:rsid w:val="000B15B2"/>
    <w:rsid w:val="000B17C1"/>
    <w:rsid w:val="000B5366"/>
    <w:rsid w:val="000D1E69"/>
    <w:rsid w:val="000D5536"/>
    <w:rsid w:val="000D5631"/>
    <w:rsid w:val="000D64BA"/>
    <w:rsid w:val="000E48C2"/>
    <w:rsid w:val="000E75C0"/>
    <w:rsid w:val="000F7950"/>
    <w:rsid w:val="001121D3"/>
    <w:rsid w:val="00117A70"/>
    <w:rsid w:val="00117FAB"/>
    <w:rsid w:val="001206B6"/>
    <w:rsid w:val="00125DA1"/>
    <w:rsid w:val="00134119"/>
    <w:rsid w:val="00141639"/>
    <w:rsid w:val="0014180A"/>
    <w:rsid w:val="00141BB2"/>
    <w:rsid w:val="00164A34"/>
    <w:rsid w:val="00173D18"/>
    <w:rsid w:val="00175772"/>
    <w:rsid w:val="00175A7E"/>
    <w:rsid w:val="001771DE"/>
    <w:rsid w:val="0018601D"/>
    <w:rsid w:val="00194EF7"/>
    <w:rsid w:val="00196D78"/>
    <w:rsid w:val="001A2DD8"/>
    <w:rsid w:val="001A34B7"/>
    <w:rsid w:val="001B706A"/>
    <w:rsid w:val="001B72CA"/>
    <w:rsid w:val="001C3EB7"/>
    <w:rsid w:val="001C425B"/>
    <w:rsid w:val="001C6AB2"/>
    <w:rsid w:val="001D10C9"/>
    <w:rsid w:val="001D6530"/>
    <w:rsid w:val="001D6AC7"/>
    <w:rsid w:val="001E0A07"/>
    <w:rsid w:val="001E0BA1"/>
    <w:rsid w:val="001E442D"/>
    <w:rsid w:val="001E56E0"/>
    <w:rsid w:val="001E6145"/>
    <w:rsid w:val="001F0A21"/>
    <w:rsid w:val="001F27C4"/>
    <w:rsid w:val="001F2D4E"/>
    <w:rsid w:val="001F39B6"/>
    <w:rsid w:val="001F6752"/>
    <w:rsid w:val="0020428B"/>
    <w:rsid w:val="0022218E"/>
    <w:rsid w:val="0022223A"/>
    <w:rsid w:val="002257C2"/>
    <w:rsid w:val="0023461F"/>
    <w:rsid w:val="002357DF"/>
    <w:rsid w:val="0024132F"/>
    <w:rsid w:val="00241888"/>
    <w:rsid w:val="00242DCD"/>
    <w:rsid w:val="00245494"/>
    <w:rsid w:val="00247C5C"/>
    <w:rsid w:val="0025091E"/>
    <w:rsid w:val="0026445F"/>
    <w:rsid w:val="00271CA8"/>
    <w:rsid w:val="00273BE0"/>
    <w:rsid w:val="00276785"/>
    <w:rsid w:val="00290854"/>
    <w:rsid w:val="002910D9"/>
    <w:rsid w:val="002918FD"/>
    <w:rsid w:val="002935E1"/>
    <w:rsid w:val="002A04E4"/>
    <w:rsid w:val="002A5034"/>
    <w:rsid w:val="002B150A"/>
    <w:rsid w:val="002B62AB"/>
    <w:rsid w:val="002B6F6A"/>
    <w:rsid w:val="002C0FBF"/>
    <w:rsid w:val="002C28F0"/>
    <w:rsid w:val="002E70E7"/>
    <w:rsid w:val="002F5E2F"/>
    <w:rsid w:val="002F6B31"/>
    <w:rsid w:val="003011FE"/>
    <w:rsid w:val="00316FC0"/>
    <w:rsid w:val="003338E5"/>
    <w:rsid w:val="00340A2D"/>
    <w:rsid w:val="003452C0"/>
    <w:rsid w:val="00370CA9"/>
    <w:rsid w:val="003732B8"/>
    <w:rsid w:val="00376C45"/>
    <w:rsid w:val="00383195"/>
    <w:rsid w:val="003835A5"/>
    <w:rsid w:val="003929CF"/>
    <w:rsid w:val="00393815"/>
    <w:rsid w:val="00395812"/>
    <w:rsid w:val="0039781D"/>
    <w:rsid w:val="003A2DF8"/>
    <w:rsid w:val="003A32C6"/>
    <w:rsid w:val="003A64E4"/>
    <w:rsid w:val="003A7B6B"/>
    <w:rsid w:val="003B106E"/>
    <w:rsid w:val="003B2082"/>
    <w:rsid w:val="003C18A4"/>
    <w:rsid w:val="003D5F62"/>
    <w:rsid w:val="003E3EC7"/>
    <w:rsid w:val="003E4BD2"/>
    <w:rsid w:val="003E784D"/>
    <w:rsid w:val="003F17F8"/>
    <w:rsid w:val="00410234"/>
    <w:rsid w:val="004123CD"/>
    <w:rsid w:val="00412A23"/>
    <w:rsid w:val="00415B86"/>
    <w:rsid w:val="004234ED"/>
    <w:rsid w:val="00427D41"/>
    <w:rsid w:val="00436417"/>
    <w:rsid w:val="0043771D"/>
    <w:rsid w:val="00460471"/>
    <w:rsid w:val="00462C33"/>
    <w:rsid w:val="0047078B"/>
    <w:rsid w:val="004751A7"/>
    <w:rsid w:val="00492248"/>
    <w:rsid w:val="00497648"/>
    <w:rsid w:val="004A63F1"/>
    <w:rsid w:val="004B5A11"/>
    <w:rsid w:val="004B7A50"/>
    <w:rsid w:val="004C6CBF"/>
    <w:rsid w:val="004D230F"/>
    <w:rsid w:val="004E27EB"/>
    <w:rsid w:val="004E7876"/>
    <w:rsid w:val="00503974"/>
    <w:rsid w:val="00505DE2"/>
    <w:rsid w:val="0052230B"/>
    <w:rsid w:val="00522F22"/>
    <w:rsid w:val="00525A8A"/>
    <w:rsid w:val="00526228"/>
    <w:rsid w:val="005276F0"/>
    <w:rsid w:val="00530909"/>
    <w:rsid w:val="00540668"/>
    <w:rsid w:val="00544B45"/>
    <w:rsid w:val="00545556"/>
    <w:rsid w:val="005524E0"/>
    <w:rsid w:val="00562D5B"/>
    <w:rsid w:val="005741F5"/>
    <w:rsid w:val="00591BEA"/>
    <w:rsid w:val="005A5A72"/>
    <w:rsid w:val="005B3388"/>
    <w:rsid w:val="005C308E"/>
    <w:rsid w:val="005C3F73"/>
    <w:rsid w:val="005C7891"/>
    <w:rsid w:val="005D66E5"/>
    <w:rsid w:val="005E15E5"/>
    <w:rsid w:val="005E39F0"/>
    <w:rsid w:val="005F235F"/>
    <w:rsid w:val="005F2EF2"/>
    <w:rsid w:val="005F3A16"/>
    <w:rsid w:val="00603302"/>
    <w:rsid w:val="00604E4F"/>
    <w:rsid w:val="006054EE"/>
    <w:rsid w:val="006118B6"/>
    <w:rsid w:val="006176C2"/>
    <w:rsid w:val="006270C0"/>
    <w:rsid w:val="00630195"/>
    <w:rsid w:val="00632225"/>
    <w:rsid w:val="006360A3"/>
    <w:rsid w:val="006451AC"/>
    <w:rsid w:val="006559AF"/>
    <w:rsid w:val="00660ED5"/>
    <w:rsid w:val="00683B9B"/>
    <w:rsid w:val="00693874"/>
    <w:rsid w:val="00693F46"/>
    <w:rsid w:val="0069571F"/>
    <w:rsid w:val="006A22BB"/>
    <w:rsid w:val="006A3750"/>
    <w:rsid w:val="006A538E"/>
    <w:rsid w:val="006B1ACB"/>
    <w:rsid w:val="006B61B9"/>
    <w:rsid w:val="006C1AAE"/>
    <w:rsid w:val="006C7748"/>
    <w:rsid w:val="006F158F"/>
    <w:rsid w:val="00702942"/>
    <w:rsid w:val="00712467"/>
    <w:rsid w:val="0073332A"/>
    <w:rsid w:val="00740522"/>
    <w:rsid w:val="00744778"/>
    <w:rsid w:val="007567EB"/>
    <w:rsid w:val="00757751"/>
    <w:rsid w:val="00764648"/>
    <w:rsid w:val="00764F5E"/>
    <w:rsid w:val="007672F3"/>
    <w:rsid w:val="00767499"/>
    <w:rsid w:val="00770437"/>
    <w:rsid w:val="00781C17"/>
    <w:rsid w:val="00784CF8"/>
    <w:rsid w:val="00786874"/>
    <w:rsid w:val="007926E6"/>
    <w:rsid w:val="0079535D"/>
    <w:rsid w:val="007B16C4"/>
    <w:rsid w:val="007C27D7"/>
    <w:rsid w:val="007C2D7E"/>
    <w:rsid w:val="007D0064"/>
    <w:rsid w:val="007D17FD"/>
    <w:rsid w:val="007D48C5"/>
    <w:rsid w:val="007E06F0"/>
    <w:rsid w:val="0080072C"/>
    <w:rsid w:val="00802DFC"/>
    <w:rsid w:val="00806903"/>
    <w:rsid w:val="00814781"/>
    <w:rsid w:val="00820263"/>
    <w:rsid w:val="00832B5E"/>
    <w:rsid w:val="00834DBB"/>
    <w:rsid w:val="00842525"/>
    <w:rsid w:val="00842FFB"/>
    <w:rsid w:val="00856815"/>
    <w:rsid w:val="0086351A"/>
    <w:rsid w:val="0086388D"/>
    <w:rsid w:val="00867D4A"/>
    <w:rsid w:val="00874B61"/>
    <w:rsid w:val="008818B6"/>
    <w:rsid w:val="0088272B"/>
    <w:rsid w:val="00886C3B"/>
    <w:rsid w:val="00890981"/>
    <w:rsid w:val="00895BE1"/>
    <w:rsid w:val="008A48B7"/>
    <w:rsid w:val="008B302F"/>
    <w:rsid w:val="008B3EB5"/>
    <w:rsid w:val="008B7C8A"/>
    <w:rsid w:val="008C5809"/>
    <w:rsid w:val="008D5042"/>
    <w:rsid w:val="008D78C9"/>
    <w:rsid w:val="008E0FC9"/>
    <w:rsid w:val="008F3791"/>
    <w:rsid w:val="00906BAE"/>
    <w:rsid w:val="00913684"/>
    <w:rsid w:val="00916785"/>
    <w:rsid w:val="00923865"/>
    <w:rsid w:val="00923DB5"/>
    <w:rsid w:val="0092406A"/>
    <w:rsid w:val="00924DF1"/>
    <w:rsid w:val="009254D2"/>
    <w:rsid w:val="00927A02"/>
    <w:rsid w:val="0093016E"/>
    <w:rsid w:val="00934B4D"/>
    <w:rsid w:val="0093757D"/>
    <w:rsid w:val="009475F2"/>
    <w:rsid w:val="00955C75"/>
    <w:rsid w:val="009625F2"/>
    <w:rsid w:val="009677DF"/>
    <w:rsid w:val="009778E6"/>
    <w:rsid w:val="00977E95"/>
    <w:rsid w:val="009872E0"/>
    <w:rsid w:val="00987413"/>
    <w:rsid w:val="009946F8"/>
    <w:rsid w:val="009962F8"/>
    <w:rsid w:val="00996E6B"/>
    <w:rsid w:val="009971F8"/>
    <w:rsid w:val="009A1544"/>
    <w:rsid w:val="009A1A70"/>
    <w:rsid w:val="009A1D64"/>
    <w:rsid w:val="009B1292"/>
    <w:rsid w:val="009B2430"/>
    <w:rsid w:val="009B338B"/>
    <w:rsid w:val="009B58AD"/>
    <w:rsid w:val="009B6332"/>
    <w:rsid w:val="009B7935"/>
    <w:rsid w:val="009C4470"/>
    <w:rsid w:val="009C51D5"/>
    <w:rsid w:val="009C7BA2"/>
    <w:rsid w:val="009D1161"/>
    <w:rsid w:val="009D667B"/>
    <w:rsid w:val="009E43A3"/>
    <w:rsid w:val="009F132F"/>
    <w:rsid w:val="009F4449"/>
    <w:rsid w:val="009F4BC5"/>
    <w:rsid w:val="009F610E"/>
    <w:rsid w:val="00A02252"/>
    <w:rsid w:val="00A127F1"/>
    <w:rsid w:val="00A22BD6"/>
    <w:rsid w:val="00A27130"/>
    <w:rsid w:val="00A47380"/>
    <w:rsid w:val="00A550E8"/>
    <w:rsid w:val="00A55D91"/>
    <w:rsid w:val="00A57A97"/>
    <w:rsid w:val="00A7147C"/>
    <w:rsid w:val="00A718A1"/>
    <w:rsid w:val="00A7660B"/>
    <w:rsid w:val="00A77743"/>
    <w:rsid w:val="00A86897"/>
    <w:rsid w:val="00A95733"/>
    <w:rsid w:val="00AA24CE"/>
    <w:rsid w:val="00AA7C4E"/>
    <w:rsid w:val="00AB5465"/>
    <w:rsid w:val="00AC7704"/>
    <w:rsid w:val="00AF0633"/>
    <w:rsid w:val="00AF44CD"/>
    <w:rsid w:val="00B006DA"/>
    <w:rsid w:val="00B11C38"/>
    <w:rsid w:val="00B26FAC"/>
    <w:rsid w:val="00B27FF0"/>
    <w:rsid w:val="00B31AA2"/>
    <w:rsid w:val="00B33762"/>
    <w:rsid w:val="00B35403"/>
    <w:rsid w:val="00B45C36"/>
    <w:rsid w:val="00B604F6"/>
    <w:rsid w:val="00B708A4"/>
    <w:rsid w:val="00B7388D"/>
    <w:rsid w:val="00B74C0B"/>
    <w:rsid w:val="00B7771B"/>
    <w:rsid w:val="00B8400D"/>
    <w:rsid w:val="00B8469B"/>
    <w:rsid w:val="00B93A37"/>
    <w:rsid w:val="00B9427B"/>
    <w:rsid w:val="00B94E53"/>
    <w:rsid w:val="00B95EC5"/>
    <w:rsid w:val="00BA1819"/>
    <w:rsid w:val="00BA5A22"/>
    <w:rsid w:val="00BB098C"/>
    <w:rsid w:val="00BB31F3"/>
    <w:rsid w:val="00BB3604"/>
    <w:rsid w:val="00BB55E5"/>
    <w:rsid w:val="00BB6FC9"/>
    <w:rsid w:val="00BD725A"/>
    <w:rsid w:val="00BF3750"/>
    <w:rsid w:val="00C003B9"/>
    <w:rsid w:val="00C02437"/>
    <w:rsid w:val="00C06244"/>
    <w:rsid w:val="00C22400"/>
    <w:rsid w:val="00C34385"/>
    <w:rsid w:val="00C34EF6"/>
    <w:rsid w:val="00C536C2"/>
    <w:rsid w:val="00C55F47"/>
    <w:rsid w:val="00C56E2E"/>
    <w:rsid w:val="00C64A31"/>
    <w:rsid w:val="00C66681"/>
    <w:rsid w:val="00C67AD8"/>
    <w:rsid w:val="00C73BF4"/>
    <w:rsid w:val="00C7730C"/>
    <w:rsid w:val="00C82E8B"/>
    <w:rsid w:val="00C862B0"/>
    <w:rsid w:val="00C90401"/>
    <w:rsid w:val="00CC4C88"/>
    <w:rsid w:val="00CC774A"/>
    <w:rsid w:val="00CD0B1F"/>
    <w:rsid w:val="00CD3F96"/>
    <w:rsid w:val="00CD79E8"/>
    <w:rsid w:val="00CE09F3"/>
    <w:rsid w:val="00CE76A2"/>
    <w:rsid w:val="00CE76DA"/>
    <w:rsid w:val="00CF171F"/>
    <w:rsid w:val="00CF27B0"/>
    <w:rsid w:val="00D074A7"/>
    <w:rsid w:val="00D11E94"/>
    <w:rsid w:val="00D211C2"/>
    <w:rsid w:val="00D30389"/>
    <w:rsid w:val="00D317D2"/>
    <w:rsid w:val="00D33612"/>
    <w:rsid w:val="00D337F6"/>
    <w:rsid w:val="00D34516"/>
    <w:rsid w:val="00D46254"/>
    <w:rsid w:val="00D52CDB"/>
    <w:rsid w:val="00D61710"/>
    <w:rsid w:val="00D63DEC"/>
    <w:rsid w:val="00D6611E"/>
    <w:rsid w:val="00D703CC"/>
    <w:rsid w:val="00D7241A"/>
    <w:rsid w:val="00D76E10"/>
    <w:rsid w:val="00D819C9"/>
    <w:rsid w:val="00D85F37"/>
    <w:rsid w:val="00D93C43"/>
    <w:rsid w:val="00DA57DE"/>
    <w:rsid w:val="00DB25DB"/>
    <w:rsid w:val="00DB4534"/>
    <w:rsid w:val="00DC7A30"/>
    <w:rsid w:val="00DD2A82"/>
    <w:rsid w:val="00DF46E4"/>
    <w:rsid w:val="00DF5ACA"/>
    <w:rsid w:val="00E04856"/>
    <w:rsid w:val="00E17D6D"/>
    <w:rsid w:val="00E4176B"/>
    <w:rsid w:val="00E441CF"/>
    <w:rsid w:val="00E50CD3"/>
    <w:rsid w:val="00E56089"/>
    <w:rsid w:val="00E63D99"/>
    <w:rsid w:val="00E71A51"/>
    <w:rsid w:val="00E75D99"/>
    <w:rsid w:val="00E7748D"/>
    <w:rsid w:val="00E87BE1"/>
    <w:rsid w:val="00EA020F"/>
    <w:rsid w:val="00EA1F85"/>
    <w:rsid w:val="00EA28DB"/>
    <w:rsid w:val="00EA4F54"/>
    <w:rsid w:val="00EB13EC"/>
    <w:rsid w:val="00EB47DA"/>
    <w:rsid w:val="00EB7E79"/>
    <w:rsid w:val="00EC4B49"/>
    <w:rsid w:val="00ED0AA2"/>
    <w:rsid w:val="00ED4585"/>
    <w:rsid w:val="00ED735F"/>
    <w:rsid w:val="00EF1D24"/>
    <w:rsid w:val="00F0564C"/>
    <w:rsid w:val="00F271CE"/>
    <w:rsid w:val="00F32262"/>
    <w:rsid w:val="00F42610"/>
    <w:rsid w:val="00F42EA0"/>
    <w:rsid w:val="00F4356A"/>
    <w:rsid w:val="00F501AD"/>
    <w:rsid w:val="00F5775F"/>
    <w:rsid w:val="00F63F24"/>
    <w:rsid w:val="00F90485"/>
    <w:rsid w:val="00FA24A5"/>
    <w:rsid w:val="00FA444F"/>
    <w:rsid w:val="00FB0D73"/>
    <w:rsid w:val="00FC4EC6"/>
    <w:rsid w:val="00FC6311"/>
    <w:rsid w:val="00FD48D2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C3A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customStyle="1" w:styleId="HeaderChar">
    <w:name w:val="Header Char"/>
    <w:basedOn w:val="DefaultParagraphFont"/>
    <w:link w:val="Header"/>
    <w:rsid w:val="000E48C2"/>
    <w:rPr>
      <w:sz w:val="22"/>
      <w:szCs w:val="24"/>
    </w:rPr>
  </w:style>
  <w:style w:type="paragraph" w:customStyle="1" w:styleId="Default">
    <w:name w:val="Default"/>
    <w:rsid w:val="000E48C2"/>
    <w:pPr>
      <w:widowControl w:val="0"/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 w:bidi="ne-NP"/>
    </w:rPr>
  </w:style>
  <w:style w:type="character" w:styleId="Hyperlink">
    <w:name w:val="Hyperlink"/>
    <w:uiPriority w:val="99"/>
    <w:unhideWhenUsed/>
    <w:rsid w:val="00CD79E8"/>
    <w:rPr>
      <w:color w:val="0000FF"/>
      <w:u w:val="single"/>
    </w:rPr>
  </w:style>
  <w:style w:type="paragraph" w:customStyle="1" w:styleId="CTRFootNote">
    <w:name w:val="CTR:FootNote"/>
    <w:basedOn w:val="Normal"/>
    <w:rsid w:val="00F0564C"/>
    <w:pPr>
      <w:tabs>
        <w:tab w:val="clear" w:pos="284"/>
      </w:tabs>
      <w:spacing w:line="240" w:lineRule="atLeast"/>
      <w:ind w:left="432" w:hanging="432"/>
      <w:jc w:val="left"/>
    </w:pPr>
    <w:rPr>
      <w:sz w:val="18"/>
      <w:szCs w:val="20"/>
    </w:rPr>
  </w:style>
  <w:style w:type="paragraph" w:customStyle="1" w:styleId="CS-TextinTable10pt">
    <w:name w:val="CS-Text_in_Table:10pt"/>
    <w:basedOn w:val="Normal"/>
    <w:uiPriority w:val="99"/>
    <w:rsid w:val="00F0564C"/>
    <w:pPr>
      <w:keepNext/>
      <w:keepLines/>
      <w:tabs>
        <w:tab w:val="clear" w:pos="284"/>
        <w:tab w:val="left" w:pos="144"/>
      </w:tabs>
      <w:spacing w:before="120" w:after="120"/>
      <w:jc w:val="left"/>
    </w:pPr>
    <w:rPr>
      <w:sz w:val="20"/>
      <w:szCs w:val="20"/>
      <w:lang w:val="en-GB" w:eastAsia="de-DE"/>
    </w:rPr>
  </w:style>
  <w:style w:type="paragraph" w:styleId="Revision">
    <w:name w:val="Revision"/>
    <w:hidden/>
    <w:uiPriority w:val="99"/>
    <w:semiHidden/>
    <w:rsid w:val="00886C3B"/>
    <w:rPr>
      <w:sz w:val="22"/>
      <w:szCs w:val="24"/>
    </w:rPr>
  </w:style>
  <w:style w:type="paragraph" w:styleId="NoSpacing">
    <w:name w:val="No Spacing"/>
    <w:uiPriority w:val="1"/>
    <w:qFormat/>
    <w:rsid w:val="0047078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hyperlink" Target="https://primaryreporting.who-umc.org/M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hyperlink" Target="http://www.cinmed.me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233D-5419-48F2-904D-FC064CA3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5197</Words>
  <Characters>29628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2024-11-01T09:26:00Z</dcterms:created>
  <dcterms:modified xsi:type="dcterms:W3CDTF">2024-11-01T09:26:00Z</dcterms:modified>
</cp:coreProperties>
</file>