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1E55F" w14:textId="77777777" w:rsidR="00F91C7B" w:rsidRPr="00F85CA6" w:rsidRDefault="00F91C7B" w:rsidP="001A5518">
      <w:pPr>
        <w:rPr>
          <w:b/>
          <w:bCs/>
          <w:i/>
          <w:iCs/>
          <w:sz w:val="22"/>
          <w:szCs w:val="22"/>
          <w:u w:val="single"/>
          <w:lang w:val="sr-Latn-ME"/>
        </w:rPr>
      </w:pPr>
    </w:p>
    <w:p w14:paraId="44E92A34" w14:textId="77777777" w:rsidR="002510A5" w:rsidRPr="00F85CA6" w:rsidRDefault="002510A5" w:rsidP="002510A5">
      <w:pPr>
        <w:jc w:val="center"/>
        <w:rPr>
          <w:b/>
          <w:bCs/>
          <w:iCs/>
          <w:sz w:val="22"/>
          <w:szCs w:val="22"/>
          <w:u w:val="single"/>
          <w:lang w:val="sr-Latn-ME"/>
        </w:rPr>
      </w:pPr>
      <w:r w:rsidRPr="00F85CA6">
        <w:rPr>
          <w:b/>
          <w:bCs/>
          <w:iCs/>
          <w:sz w:val="22"/>
          <w:szCs w:val="22"/>
          <w:u w:val="single"/>
          <w:lang w:val="sr-Latn-ME"/>
        </w:rPr>
        <w:t>SAŽETAK KARAKTERISTIKA LIJEKA</w:t>
      </w:r>
    </w:p>
    <w:p w14:paraId="4004EBAD" w14:textId="77777777" w:rsidR="002510A5" w:rsidRPr="00F85CA6" w:rsidRDefault="002510A5" w:rsidP="002510A5">
      <w:pPr>
        <w:rPr>
          <w:b/>
          <w:bCs/>
          <w:i/>
          <w:iCs/>
          <w:sz w:val="22"/>
          <w:szCs w:val="22"/>
          <w:u w:val="single"/>
          <w:lang w:val="sr-Latn-ME"/>
        </w:rPr>
      </w:pPr>
    </w:p>
    <w:p w14:paraId="345582A3" w14:textId="77777777" w:rsidR="003C17AB" w:rsidRPr="00F85CA6" w:rsidRDefault="003C17AB" w:rsidP="00F5167F">
      <w:pPr>
        <w:tabs>
          <w:tab w:val="left" w:pos="540"/>
          <w:tab w:val="left" w:pos="569"/>
        </w:tabs>
        <w:rPr>
          <w:noProof/>
          <w:sz w:val="22"/>
          <w:szCs w:val="22"/>
          <w:lang w:val="sr-Latn-ME"/>
        </w:rPr>
      </w:pPr>
    </w:p>
    <w:p w14:paraId="4F8170DE" w14:textId="77777777" w:rsidR="00C37FD7" w:rsidRPr="00F85CA6" w:rsidRDefault="00C37FD7" w:rsidP="00F5167F">
      <w:pPr>
        <w:tabs>
          <w:tab w:val="left" w:pos="540"/>
          <w:tab w:val="left" w:pos="569"/>
        </w:tabs>
        <w:rPr>
          <w:bCs/>
          <w:sz w:val="22"/>
          <w:szCs w:val="22"/>
          <w:lang w:val="sr-Latn-ME"/>
        </w:rPr>
      </w:pPr>
    </w:p>
    <w:p w14:paraId="33D3E3B1" w14:textId="77777777" w:rsidR="00411B4B" w:rsidRPr="00F85CA6" w:rsidRDefault="00411B4B" w:rsidP="00F5167F">
      <w:pPr>
        <w:tabs>
          <w:tab w:val="left" w:pos="540"/>
          <w:tab w:val="left" w:pos="569"/>
        </w:tabs>
        <w:rPr>
          <w:b/>
          <w:bCs/>
          <w:sz w:val="22"/>
          <w:szCs w:val="22"/>
          <w:lang w:val="sr-Latn-ME"/>
        </w:rPr>
      </w:pPr>
      <w:r w:rsidRPr="00F85CA6">
        <w:rPr>
          <w:b/>
          <w:bCs/>
          <w:sz w:val="22"/>
          <w:szCs w:val="22"/>
          <w:lang w:val="sr-Latn-ME"/>
        </w:rPr>
        <w:t>1.</w:t>
      </w:r>
      <w:r w:rsidR="00F5167F" w:rsidRPr="00F85CA6">
        <w:rPr>
          <w:b/>
          <w:bCs/>
          <w:sz w:val="22"/>
          <w:szCs w:val="22"/>
          <w:lang w:val="sr-Latn-ME"/>
        </w:rPr>
        <w:tab/>
      </w:r>
      <w:bookmarkStart w:id="0" w:name="_Hlk158395545"/>
      <w:r w:rsidR="002846DB" w:rsidRPr="00F85CA6">
        <w:rPr>
          <w:b/>
          <w:bCs/>
          <w:sz w:val="22"/>
          <w:szCs w:val="22"/>
          <w:lang w:val="sr-Latn-ME"/>
        </w:rPr>
        <w:t xml:space="preserve">NAZIV </w:t>
      </w:r>
      <w:r w:rsidRPr="00F85CA6">
        <w:rPr>
          <w:b/>
          <w:bCs/>
          <w:sz w:val="22"/>
          <w:szCs w:val="22"/>
          <w:lang w:val="sr-Latn-ME"/>
        </w:rPr>
        <w:t>LIJEKA</w:t>
      </w:r>
      <w:bookmarkEnd w:id="0"/>
    </w:p>
    <w:p w14:paraId="62D2DE7B" w14:textId="77777777" w:rsidR="00EC2532" w:rsidRPr="00F85CA6" w:rsidRDefault="00EC2532">
      <w:pPr>
        <w:rPr>
          <w:sz w:val="22"/>
          <w:szCs w:val="22"/>
          <w:lang w:val="sr-Latn-ME"/>
        </w:rPr>
      </w:pPr>
    </w:p>
    <w:p w14:paraId="403A871A" w14:textId="30D7F751" w:rsidR="00143607" w:rsidRPr="00F85CA6" w:rsidRDefault="00143607" w:rsidP="00143607">
      <w:pPr>
        <w:jc w:val="both"/>
        <w:rPr>
          <w:rFonts w:eastAsia="Calibri"/>
          <w:bCs/>
          <w:sz w:val="22"/>
          <w:szCs w:val="22"/>
          <w:lang w:val="sr-Latn-ME" w:bidi="en-US"/>
        </w:rPr>
      </w:pPr>
      <w:r w:rsidRPr="00F85CA6">
        <w:rPr>
          <w:rFonts w:eastAsia="Calibri"/>
          <w:bCs/>
          <w:sz w:val="22"/>
          <w:szCs w:val="22"/>
          <w:lang w:val="sr-Latn-ME" w:bidi="en-US"/>
        </w:rPr>
        <w:t xml:space="preserve">BEREVIN, 110 mg, </w:t>
      </w:r>
      <w:r w:rsidR="00615398" w:rsidRPr="00F85CA6">
        <w:rPr>
          <w:rFonts w:eastAsia="Calibri"/>
          <w:bCs/>
          <w:sz w:val="22"/>
          <w:szCs w:val="22"/>
          <w:lang w:val="sr-Latn-ME" w:bidi="en-US"/>
        </w:rPr>
        <w:t>kapsula</w:t>
      </w:r>
      <w:r w:rsidRPr="00F85CA6">
        <w:rPr>
          <w:rFonts w:eastAsia="Calibri"/>
          <w:bCs/>
          <w:sz w:val="22"/>
          <w:szCs w:val="22"/>
          <w:lang w:val="sr-Latn-ME" w:bidi="en-US"/>
        </w:rPr>
        <w:t xml:space="preserve">, </w:t>
      </w:r>
      <w:r w:rsidR="00615398" w:rsidRPr="00F85CA6">
        <w:rPr>
          <w:rFonts w:eastAsia="Calibri"/>
          <w:bCs/>
          <w:sz w:val="22"/>
          <w:szCs w:val="22"/>
          <w:lang w:val="sr-Latn-ME" w:bidi="en-US"/>
        </w:rPr>
        <w:t>tvrda</w:t>
      </w:r>
    </w:p>
    <w:p w14:paraId="205DD587" w14:textId="77777777" w:rsidR="00143607" w:rsidRPr="00F85CA6" w:rsidRDefault="00143607" w:rsidP="00143607">
      <w:pPr>
        <w:jc w:val="both"/>
        <w:rPr>
          <w:rFonts w:eastAsia="Calibri"/>
          <w:bCs/>
          <w:i/>
          <w:iCs/>
          <w:sz w:val="22"/>
          <w:szCs w:val="22"/>
          <w:lang w:val="sr-Latn-ME" w:bidi="en-US"/>
        </w:rPr>
      </w:pPr>
    </w:p>
    <w:p w14:paraId="4AD550CB" w14:textId="77777777" w:rsidR="00143607" w:rsidRPr="00F85CA6" w:rsidRDefault="00143607" w:rsidP="00143607">
      <w:pPr>
        <w:jc w:val="both"/>
        <w:rPr>
          <w:rFonts w:eastAsia="Calibri"/>
          <w:bCs/>
          <w:sz w:val="22"/>
          <w:szCs w:val="22"/>
          <w:lang w:val="sr-Latn-ME" w:bidi="en-US"/>
        </w:rPr>
      </w:pPr>
      <w:r w:rsidRPr="00F85CA6">
        <w:rPr>
          <w:rFonts w:eastAsia="Calibri"/>
          <w:sz w:val="22"/>
          <w:szCs w:val="22"/>
          <w:lang w:val="sr-Latn-ME" w:bidi="en-US"/>
        </w:rPr>
        <w:t xml:space="preserve">INN: </w:t>
      </w:r>
      <w:r w:rsidRPr="00F85CA6">
        <w:rPr>
          <w:rFonts w:eastAsia="Calibri"/>
          <w:bCs/>
          <w:sz w:val="22"/>
          <w:szCs w:val="22"/>
          <w:lang w:val="sr-Latn-ME" w:bidi="en-US"/>
        </w:rPr>
        <w:t>dabigatraneteksilat</w:t>
      </w:r>
    </w:p>
    <w:p w14:paraId="0317E141" w14:textId="77777777" w:rsidR="006D20A5" w:rsidRPr="00F85CA6" w:rsidRDefault="006D20A5">
      <w:pPr>
        <w:rPr>
          <w:bCs/>
          <w:sz w:val="22"/>
          <w:szCs w:val="22"/>
          <w:lang w:val="sr-Latn-ME"/>
        </w:rPr>
      </w:pPr>
    </w:p>
    <w:p w14:paraId="46292E2A" w14:textId="77777777" w:rsidR="00530BD7" w:rsidRPr="00F85CA6" w:rsidRDefault="00530BD7">
      <w:pPr>
        <w:rPr>
          <w:bCs/>
          <w:sz w:val="22"/>
          <w:szCs w:val="22"/>
          <w:lang w:val="sr-Latn-ME"/>
        </w:rPr>
      </w:pPr>
    </w:p>
    <w:p w14:paraId="34DCD9E7" w14:textId="77777777" w:rsidR="00411B4B" w:rsidRPr="00F85CA6" w:rsidRDefault="00411B4B" w:rsidP="00F5167F">
      <w:pPr>
        <w:tabs>
          <w:tab w:val="left" w:pos="540"/>
          <w:tab w:val="left" w:pos="569"/>
        </w:tabs>
        <w:rPr>
          <w:b/>
          <w:bCs/>
          <w:sz w:val="22"/>
          <w:szCs w:val="22"/>
          <w:lang w:val="sr-Latn-ME"/>
        </w:rPr>
      </w:pPr>
      <w:r w:rsidRPr="00F85CA6">
        <w:rPr>
          <w:b/>
          <w:bCs/>
          <w:sz w:val="22"/>
          <w:szCs w:val="22"/>
          <w:lang w:val="sr-Latn-ME"/>
        </w:rPr>
        <w:t xml:space="preserve">2. </w:t>
      </w:r>
      <w:r w:rsidR="00F5167F" w:rsidRPr="00F85CA6">
        <w:rPr>
          <w:b/>
          <w:bCs/>
          <w:sz w:val="22"/>
          <w:szCs w:val="22"/>
          <w:lang w:val="sr-Latn-ME"/>
        </w:rPr>
        <w:tab/>
      </w:r>
      <w:r w:rsidRPr="00F85CA6">
        <w:rPr>
          <w:b/>
          <w:bCs/>
          <w:sz w:val="22"/>
          <w:szCs w:val="22"/>
          <w:lang w:val="sr-Latn-ME"/>
        </w:rPr>
        <w:t>KVALITATIVNI I KVANTITATIVNI SASTAV</w:t>
      </w:r>
    </w:p>
    <w:p w14:paraId="17A038D4" w14:textId="77777777" w:rsidR="005A0B2E" w:rsidRPr="00F85CA6" w:rsidRDefault="005A0B2E">
      <w:pPr>
        <w:rPr>
          <w:sz w:val="22"/>
          <w:szCs w:val="22"/>
          <w:lang w:val="sr-Latn-ME"/>
        </w:rPr>
      </w:pPr>
    </w:p>
    <w:p w14:paraId="73743466" w14:textId="6837A2AF" w:rsidR="00143607" w:rsidRPr="00F85CA6" w:rsidRDefault="00143607" w:rsidP="00143607">
      <w:pPr>
        <w:jc w:val="both"/>
        <w:rPr>
          <w:rFonts w:eastAsia="Calibri"/>
          <w:sz w:val="22"/>
          <w:szCs w:val="22"/>
          <w:lang w:val="sr-Latn-ME" w:bidi="en-US"/>
        </w:rPr>
      </w:pPr>
      <w:r w:rsidRPr="00F85CA6">
        <w:rPr>
          <w:rFonts w:eastAsia="Calibri"/>
          <w:sz w:val="22"/>
          <w:szCs w:val="22"/>
          <w:lang w:val="sr-Latn-ME" w:bidi="en-US"/>
        </w:rPr>
        <w:t>Jedna kapsula, tvrda sadrži 110 mg dabigatraneteksilata (u obliku dabigatraneteksilat</w:t>
      </w:r>
      <w:r w:rsidR="00615398" w:rsidRPr="00F85CA6">
        <w:rPr>
          <w:rFonts w:eastAsia="Calibri"/>
          <w:sz w:val="22"/>
          <w:szCs w:val="22"/>
          <w:lang w:val="sr-Latn-ME" w:bidi="en-US"/>
        </w:rPr>
        <w:t xml:space="preserve"> </w:t>
      </w:r>
      <w:r w:rsidRPr="00F85CA6">
        <w:rPr>
          <w:rFonts w:eastAsia="Calibri"/>
          <w:sz w:val="22"/>
          <w:szCs w:val="22"/>
          <w:lang w:val="sr-Latn-ME" w:bidi="en-US"/>
        </w:rPr>
        <w:t>mesilata).</w:t>
      </w:r>
    </w:p>
    <w:p w14:paraId="4C0B26D0" w14:textId="77777777" w:rsidR="00143607" w:rsidRPr="00F85CA6" w:rsidRDefault="00143607" w:rsidP="00143607">
      <w:pPr>
        <w:jc w:val="both"/>
        <w:rPr>
          <w:rFonts w:eastAsia="Calibri"/>
          <w:sz w:val="22"/>
          <w:szCs w:val="22"/>
          <w:lang w:val="sr-Latn-ME" w:bidi="en-US"/>
        </w:rPr>
      </w:pPr>
    </w:p>
    <w:p w14:paraId="78B0E28C" w14:textId="0C234DC2" w:rsidR="0003793F" w:rsidRPr="00F85CA6" w:rsidRDefault="0003793F">
      <w:pPr>
        <w:rPr>
          <w:sz w:val="22"/>
          <w:szCs w:val="22"/>
          <w:lang w:val="sr-Latn-ME"/>
        </w:rPr>
      </w:pPr>
      <w:bookmarkStart w:id="1" w:name="_Hlk158395609"/>
      <w:r w:rsidRPr="00F85CA6">
        <w:rPr>
          <w:sz w:val="22"/>
          <w:szCs w:val="22"/>
          <w:lang w:val="sr-Latn-ME"/>
        </w:rPr>
        <w:t xml:space="preserve">Za spisak svih ekscipijenasa, </w:t>
      </w:r>
      <w:r w:rsidR="00615398" w:rsidRPr="00F85CA6">
        <w:rPr>
          <w:sz w:val="22"/>
          <w:szCs w:val="22"/>
          <w:lang w:val="sr-Latn-ME"/>
        </w:rPr>
        <w:t xml:space="preserve">pogledati </w:t>
      </w:r>
      <w:r w:rsidR="00FC0ECE" w:rsidRPr="00F85CA6">
        <w:rPr>
          <w:sz w:val="22"/>
          <w:szCs w:val="22"/>
          <w:lang w:val="sr-Latn-ME"/>
        </w:rPr>
        <w:t>dio</w:t>
      </w:r>
      <w:r w:rsidRPr="00F85CA6">
        <w:rPr>
          <w:sz w:val="22"/>
          <w:szCs w:val="22"/>
          <w:lang w:val="sr-Latn-ME"/>
        </w:rPr>
        <w:t xml:space="preserve"> 6.1.</w:t>
      </w:r>
    </w:p>
    <w:bookmarkEnd w:id="1"/>
    <w:p w14:paraId="34F00447" w14:textId="77777777" w:rsidR="0003793F" w:rsidRPr="00F85CA6" w:rsidRDefault="0003793F">
      <w:pPr>
        <w:rPr>
          <w:sz w:val="22"/>
          <w:szCs w:val="22"/>
          <w:lang w:val="sr-Latn-ME"/>
        </w:rPr>
      </w:pPr>
    </w:p>
    <w:p w14:paraId="76E0F586" w14:textId="77777777" w:rsidR="00C37FD7" w:rsidRPr="00F85CA6" w:rsidRDefault="00C37FD7">
      <w:pPr>
        <w:rPr>
          <w:sz w:val="22"/>
          <w:szCs w:val="22"/>
          <w:lang w:val="sr-Latn-ME"/>
        </w:rPr>
      </w:pPr>
    </w:p>
    <w:p w14:paraId="2F381ECD" w14:textId="77777777" w:rsidR="00411B4B" w:rsidRPr="00F85CA6" w:rsidRDefault="00411B4B" w:rsidP="00F5167F">
      <w:pPr>
        <w:tabs>
          <w:tab w:val="left" w:pos="540"/>
          <w:tab w:val="left" w:pos="569"/>
        </w:tabs>
        <w:rPr>
          <w:b/>
          <w:bCs/>
          <w:sz w:val="22"/>
          <w:szCs w:val="22"/>
          <w:lang w:val="sr-Latn-ME"/>
        </w:rPr>
      </w:pPr>
      <w:r w:rsidRPr="00F85CA6">
        <w:rPr>
          <w:b/>
          <w:bCs/>
          <w:sz w:val="22"/>
          <w:szCs w:val="22"/>
          <w:lang w:val="sr-Latn-ME"/>
        </w:rPr>
        <w:t xml:space="preserve">3. </w:t>
      </w:r>
      <w:r w:rsidR="00F5167F" w:rsidRPr="00F85CA6">
        <w:rPr>
          <w:b/>
          <w:bCs/>
          <w:sz w:val="22"/>
          <w:szCs w:val="22"/>
          <w:lang w:val="sr-Latn-ME"/>
        </w:rPr>
        <w:tab/>
      </w:r>
      <w:r w:rsidRPr="00F85CA6">
        <w:rPr>
          <w:b/>
          <w:bCs/>
          <w:sz w:val="22"/>
          <w:szCs w:val="22"/>
          <w:lang w:val="sr-Latn-ME"/>
        </w:rPr>
        <w:t>FARMACEUTSKI OBLIK</w:t>
      </w:r>
      <w:r w:rsidR="009F2D23" w:rsidRPr="00F85CA6">
        <w:rPr>
          <w:b/>
          <w:bCs/>
          <w:sz w:val="22"/>
          <w:szCs w:val="22"/>
          <w:lang w:val="sr-Latn-ME"/>
        </w:rPr>
        <w:t xml:space="preserve"> </w:t>
      </w:r>
    </w:p>
    <w:p w14:paraId="17026189" w14:textId="77777777" w:rsidR="00411B4B" w:rsidRPr="00F85CA6" w:rsidRDefault="00411B4B">
      <w:pPr>
        <w:rPr>
          <w:bCs/>
          <w:sz w:val="22"/>
          <w:szCs w:val="22"/>
          <w:lang w:val="sr-Latn-ME"/>
        </w:rPr>
      </w:pPr>
    </w:p>
    <w:p w14:paraId="6283CA2C" w14:textId="77777777" w:rsidR="00143607" w:rsidRPr="00F85CA6" w:rsidRDefault="00143607" w:rsidP="00143607">
      <w:pPr>
        <w:jc w:val="both"/>
        <w:rPr>
          <w:rFonts w:eastAsia="Calibri"/>
          <w:sz w:val="22"/>
          <w:szCs w:val="22"/>
          <w:lang w:val="sr-Latn-ME"/>
        </w:rPr>
      </w:pPr>
      <w:r w:rsidRPr="00F85CA6">
        <w:rPr>
          <w:rFonts w:eastAsia="Calibri"/>
          <w:sz w:val="22"/>
          <w:szCs w:val="22"/>
          <w:lang w:val="sr-Latn-ME"/>
        </w:rPr>
        <w:t>Kapsula, tvrda.</w:t>
      </w:r>
    </w:p>
    <w:p w14:paraId="74EFF670" w14:textId="77777777" w:rsidR="00143607" w:rsidRPr="00F85CA6" w:rsidRDefault="00143607" w:rsidP="00143607">
      <w:pPr>
        <w:jc w:val="both"/>
        <w:rPr>
          <w:rFonts w:eastAsia="Calibri"/>
          <w:sz w:val="22"/>
          <w:szCs w:val="22"/>
          <w:lang w:val="sr-Latn-ME"/>
        </w:rPr>
      </w:pPr>
    </w:p>
    <w:p w14:paraId="34CE1B94" w14:textId="7C7251C4" w:rsidR="00143607" w:rsidRPr="00F85CA6" w:rsidRDefault="00143607" w:rsidP="00143607">
      <w:pPr>
        <w:jc w:val="both"/>
        <w:rPr>
          <w:rFonts w:eastAsia="Calibri"/>
          <w:sz w:val="22"/>
          <w:szCs w:val="22"/>
          <w:lang w:val="sr-Latn-ME"/>
        </w:rPr>
      </w:pPr>
      <w:r w:rsidRPr="00F85CA6">
        <w:rPr>
          <w:rFonts w:eastAsia="Calibri"/>
          <w:sz w:val="22"/>
          <w:szCs w:val="22"/>
          <w:lang w:val="sr-Latn-ME"/>
        </w:rPr>
        <w:t>Kapsule sa plavom kapom i plavim tijelom veličine 1 (dužin</w:t>
      </w:r>
      <w:r w:rsidR="00615398" w:rsidRPr="00F85CA6">
        <w:rPr>
          <w:rFonts w:eastAsia="Calibri"/>
          <w:sz w:val="22"/>
          <w:szCs w:val="22"/>
          <w:lang w:val="sr-Latn-ME"/>
        </w:rPr>
        <w:t>e</w:t>
      </w:r>
      <w:r w:rsidRPr="00F85CA6">
        <w:rPr>
          <w:rFonts w:eastAsia="Calibri"/>
          <w:sz w:val="22"/>
          <w:szCs w:val="22"/>
          <w:lang w:val="sr-Latn-ME"/>
        </w:rPr>
        <w:t xml:space="preserve"> približno 19,4 mm), napunjene žućkastim peletama. </w:t>
      </w:r>
      <w:r w:rsidR="00615398" w:rsidRPr="00F85CA6">
        <w:rPr>
          <w:rFonts w:eastAsia="Calibri"/>
          <w:sz w:val="22"/>
          <w:szCs w:val="22"/>
          <w:lang w:val="sr-Latn-ME"/>
        </w:rPr>
        <w:t>Na k</w:t>
      </w:r>
      <w:r w:rsidRPr="00F85CA6">
        <w:rPr>
          <w:rFonts w:eastAsia="Calibri"/>
          <w:sz w:val="22"/>
          <w:szCs w:val="22"/>
          <w:lang w:val="sr-Latn-ME"/>
        </w:rPr>
        <w:t>ap</w:t>
      </w:r>
      <w:r w:rsidR="00615398" w:rsidRPr="00F85CA6">
        <w:rPr>
          <w:rFonts w:eastAsia="Calibri"/>
          <w:sz w:val="22"/>
          <w:szCs w:val="22"/>
          <w:lang w:val="sr-Latn-ME"/>
        </w:rPr>
        <w:t xml:space="preserve">i je </w:t>
      </w:r>
      <w:r w:rsidRPr="00F85CA6">
        <w:rPr>
          <w:rFonts w:eastAsia="Calibri"/>
          <w:sz w:val="22"/>
          <w:szCs w:val="22"/>
          <w:lang w:val="sr-Latn-ME"/>
        </w:rPr>
        <w:t xml:space="preserve">utisnut simbol kompanije </w:t>
      </w:r>
      <w:r w:rsidRPr="00F85CA6">
        <w:rPr>
          <w:rFonts w:eastAsia="Calibri"/>
          <w:sz w:val="22"/>
          <w:szCs w:val="22"/>
          <w:lang w:val="sr-Latn-ME" w:bidi="en-US"/>
        </w:rPr>
        <w:t>Gedeon Richter</w:t>
      </w:r>
      <w:r w:rsidRPr="00F85CA6">
        <w:rPr>
          <w:rFonts w:eastAsia="Calibri"/>
          <w:sz w:val="22"/>
          <w:szCs w:val="22"/>
          <w:lang w:val="sr-Latn-ME"/>
        </w:rPr>
        <w:t xml:space="preserve">, </w:t>
      </w:r>
      <w:r w:rsidR="00615398" w:rsidRPr="00F85CA6">
        <w:rPr>
          <w:rFonts w:eastAsia="Calibri"/>
          <w:sz w:val="22"/>
          <w:szCs w:val="22"/>
          <w:lang w:val="sr-Latn-ME"/>
        </w:rPr>
        <w:t xml:space="preserve">a na </w:t>
      </w:r>
      <w:r w:rsidRPr="00F85CA6">
        <w:rPr>
          <w:rFonts w:eastAsia="Calibri"/>
          <w:sz w:val="22"/>
          <w:szCs w:val="22"/>
          <w:lang w:val="sr-Latn-ME"/>
        </w:rPr>
        <w:t>tijel</w:t>
      </w:r>
      <w:r w:rsidR="00615398" w:rsidRPr="00F85CA6">
        <w:rPr>
          <w:rFonts w:eastAsia="Calibri"/>
          <w:sz w:val="22"/>
          <w:szCs w:val="22"/>
          <w:lang w:val="sr-Latn-ME"/>
        </w:rPr>
        <w:t>u</w:t>
      </w:r>
      <w:r w:rsidRPr="00F85CA6">
        <w:rPr>
          <w:rFonts w:eastAsia="Calibri"/>
          <w:sz w:val="22"/>
          <w:szCs w:val="22"/>
          <w:lang w:val="sr-Latn-ME"/>
        </w:rPr>
        <w:t xml:space="preserve"> </w:t>
      </w:r>
      <w:r w:rsidR="00615398" w:rsidRPr="00F85CA6">
        <w:rPr>
          <w:rFonts w:eastAsia="Calibri"/>
          <w:sz w:val="22"/>
          <w:szCs w:val="22"/>
          <w:lang w:val="sr-Latn-ME"/>
        </w:rPr>
        <w:t xml:space="preserve">oznaka </w:t>
      </w:r>
      <w:r w:rsidRPr="00F85CA6">
        <w:rPr>
          <w:rFonts w:eastAsia="Calibri"/>
          <w:sz w:val="22"/>
          <w:szCs w:val="22"/>
          <w:lang w:val="sr-Latn-ME"/>
        </w:rPr>
        <w:t>„110”.</w:t>
      </w:r>
    </w:p>
    <w:p w14:paraId="6204BE07" w14:textId="77777777" w:rsidR="00143607" w:rsidRPr="00F85CA6" w:rsidRDefault="00143607" w:rsidP="00143607">
      <w:pPr>
        <w:jc w:val="both"/>
        <w:rPr>
          <w:rFonts w:eastAsia="Calibri"/>
          <w:sz w:val="22"/>
          <w:szCs w:val="22"/>
          <w:lang w:val="sr-Latn-ME"/>
        </w:rPr>
      </w:pPr>
    </w:p>
    <w:p w14:paraId="51648E0C" w14:textId="77777777" w:rsidR="00EC2532" w:rsidRPr="00F85CA6" w:rsidRDefault="00EC2532">
      <w:pPr>
        <w:rPr>
          <w:bCs/>
          <w:sz w:val="22"/>
          <w:szCs w:val="22"/>
          <w:lang w:val="sr-Latn-ME"/>
        </w:rPr>
      </w:pPr>
    </w:p>
    <w:p w14:paraId="19AA54ED" w14:textId="77777777" w:rsidR="00411B4B" w:rsidRPr="00F85CA6" w:rsidRDefault="00411B4B" w:rsidP="00685312">
      <w:pPr>
        <w:tabs>
          <w:tab w:val="left" w:pos="540"/>
          <w:tab w:val="left" w:pos="569"/>
        </w:tabs>
        <w:jc w:val="both"/>
        <w:rPr>
          <w:b/>
          <w:bCs/>
          <w:sz w:val="22"/>
          <w:szCs w:val="22"/>
          <w:lang w:val="sr-Latn-ME"/>
        </w:rPr>
      </w:pPr>
      <w:r w:rsidRPr="00F85CA6">
        <w:rPr>
          <w:b/>
          <w:bCs/>
          <w:sz w:val="22"/>
          <w:szCs w:val="22"/>
          <w:lang w:val="sr-Latn-ME"/>
        </w:rPr>
        <w:t xml:space="preserve">4. </w:t>
      </w:r>
      <w:r w:rsidR="00480FB1" w:rsidRPr="00F85CA6">
        <w:rPr>
          <w:b/>
          <w:bCs/>
          <w:sz w:val="22"/>
          <w:szCs w:val="22"/>
          <w:lang w:val="sr-Latn-ME"/>
        </w:rPr>
        <w:tab/>
      </w:r>
      <w:r w:rsidRPr="00F85CA6">
        <w:rPr>
          <w:b/>
          <w:bCs/>
          <w:sz w:val="22"/>
          <w:szCs w:val="22"/>
          <w:lang w:val="sr-Latn-ME"/>
        </w:rPr>
        <w:t>KLINIČKI PODACI</w:t>
      </w:r>
    </w:p>
    <w:p w14:paraId="3688D786" w14:textId="77777777" w:rsidR="00CD6F02" w:rsidRPr="00F85CA6" w:rsidRDefault="00CD6F02" w:rsidP="00685312">
      <w:pPr>
        <w:tabs>
          <w:tab w:val="left" w:pos="540"/>
          <w:tab w:val="left" w:pos="569"/>
        </w:tabs>
        <w:jc w:val="both"/>
        <w:rPr>
          <w:bCs/>
          <w:sz w:val="22"/>
          <w:szCs w:val="22"/>
          <w:lang w:val="sr-Latn-ME"/>
        </w:rPr>
      </w:pPr>
    </w:p>
    <w:p w14:paraId="3AC0F7D6" w14:textId="77777777" w:rsidR="00411B4B" w:rsidRPr="00F85CA6" w:rsidRDefault="00411B4B" w:rsidP="00685312">
      <w:pPr>
        <w:tabs>
          <w:tab w:val="left" w:pos="540"/>
          <w:tab w:val="left" w:pos="569"/>
        </w:tabs>
        <w:jc w:val="both"/>
        <w:rPr>
          <w:b/>
          <w:bCs/>
          <w:sz w:val="22"/>
          <w:szCs w:val="22"/>
          <w:lang w:val="sr-Latn-ME"/>
        </w:rPr>
      </w:pPr>
      <w:r w:rsidRPr="00F85CA6">
        <w:rPr>
          <w:b/>
          <w:bCs/>
          <w:sz w:val="22"/>
          <w:szCs w:val="22"/>
          <w:lang w:val="sr-Latn-ME"/>
        </w:rPr>
        <w:t xml:space="preserve">4.1. </w:t>
      </w:r>
      <w:r w:rsidR="00480FB1" w:rsidRPr="00F85CA6">
        <w:rPr>
          <w:b/>
          <w:bCs/>
          <w:sz w:val="22"/>
          <w:szCs w:val="22"/>
          <w:lang w:val="sr-Latn-ME"/>
        </w:rPr>
        <w:tab/>
      </w:r>
      <w:r w:rsidRPr="00F85CA6">
        <w:rPr>
          <w:b/>
          <w:bCs/>
          <w:sz w:val="22"/>
          <w:szCs w:val="22"/>
          <w:lang w:val="sr-Latn-ME"/>
        </w:rPr>
        <w:t>Terapijske indikacije</w:t>
      </w:r>
    </w:p>
    <w:p w14:paraId="17F0A383" w14:textId="77777777" w:rsidR="00411B4B" w:rsidRPr="00F85CA6" w:rsidRDefault="00411B4B" w:rsidP="00685312">
      <w:pPr>
        <w:tabs>
          <w:tab w:val="left" w:pos="540"/>
          <w:tab w:val="left" w:pos="569"/>
        </w:tabs>
        <w:jc w:val="both"/>
        <w:rPr>
          <w:bCs/>
          <w:sz w:val="22"/>
          <w:szCs w:val="22"/>
          <w:lang w:val="sr-Latn-ME"/>
        </w:rPr>
      </w:pPr>
    </w:p>
    <w:p w14:paraId="3EAA14B9" w14:textId="3609F3A4" w:rsidR="00143607" w:rsidRPr="00F85CA6" w:rsidRDefault="00143607" w:rsidP="001239C3">
      <w:pPr>
        <w:jc w:val="both"/>
        <w:rPr>
          <w:rFonts w:eastAsia="Calibri"/>
          <w:sz w:val="22"/>
          <w:szCs w:val="22"/>
          <w:lang w:val="sr-Latn-ME"/>
        </w:rPr>
      </w:pPr>
      <w:r w:rsidRPr="00F85CA6">
        <w:rPr>
          <w:rFonts w:eastAsia="Calibri"/>
          <w:sz w:val="22"/>
          <w:szCs w:val="22"/>
          <w:lang w:val="sr-Latn-ME"/>
        </w:rPr>
        <w:t xml:space="preserve">Primarna </w:t>
      </w:r>
      <w:r w:rsidR="003E5AF3" w:rsidRPr="00F85CA6">
        <w:rPr>
          <w:rFonts w:eastAsia="Calibri"/>
          <w:sz w:val="22"/>
          <w:szCs w:val="22"/>
          <w:lang w:val="sr-Latn-ME"/>
        </w:rPr>
        <w:t>pre</w:t>
      </w:r>
      <w:r w:rsidRPr="00F85CA6">
        <w:rPr>
          <w:rFonts w:eastAsia="Calibri"/>
          <w:sz w:val="22"/>
          <w:szCs w:val="22"/>
          <w:lang w:val="sr-Latn-ME"/>
        </w:rPr>
        <w:t>vencija venske tromboembolije (VTE) kod odraslih pacijenata koji se podvrgavaju e</w:t>
      </w:r>
      <w:r w:rsidR="003E5AF3" w:rsidRPr="00F85CA6">
        <w:rPr>
          <w:rFonts w:eastAsia="Calibri"/>
          <w:sz w:val="22"/>
          <w:szCs w:val="22"/>
          <w:lang w:val="sr-Latn-ME"/>
        </w:rPr>
        <w:t>lek</w:t>
      </w:r>
      <w:r w:rsidRPr="00F85CA6">
        <w:rPr>
          <w:rFonts w:eastAsia="Calibri"/>
          <w:sz w:val="22"/>
          <w:szCs w:val="22"/>
          <w:lang w:val="sr-Latn-ME"/>
        </w:rPr>
        <w:t>tivnom hirurškom zahvatu totalne zamjene kuka ili koljena.</w:t>
      </w:r>
    </w:p>
    <w:p w14:paraId="1DE9C690" w14:textId="77777777" w:rsidR="00143607" w:rsidRPr="00F85CA6" w:rsidRDefault="00143607" w:rsidP="00972FA9">
      <w:pPr>
        <w:jc w:val="both"/>
        <w:rPr>
          <w:rFonts w:eastAsia="Calibri"/>
          <w:sz w:val="22"/>
          <w:szCs w:val="22"/>
          <w:lang w:val="sr-Latn-ME"/>
        </w:rPr>
      </w:pPr>
    </w:p>
    <w:p w14:paraId="2C73557C" w14:textId="36D4A5E2" w:rsidR="00143607" w:rsidRPr="00F85CA6" w:rsidRDefault="003E5AF3" w:rsidP="002E54BA">
      <w:pPr>
        <w:jc w:val="both"/>
        <w:rPr>
          <w:rFonts w:eastAsia="Calibri"/>
          <w:sz w:val="22"/>
          <w:szCs w:val="22"/>
          <w:lang w:val="sr-Latn-ME" w:bidi="en-US"/>
        </w:rPr>
      </w:pPr>
      <w:r w:rsidRPr="00F85CA6">
        <w:rPr>
          <w:rFonts w:eastAsia="Calibri"/>
          <w:sz w:val="22"/>
          <w:szCs w:val="22"/>
          <w:lang w:val="sr-Latn-ME"/>
        </w:rPr>
        <w:t>Pre</w:t>
      </w:r>
      <w:r w:rsidR="00143607" w:rsidRPr="00F85CA6">
        <w:rPr>
          <w:rFonts w:eastAsia="Calibri"/>
          <w:sz w:val="22"/>
          <w:szCs w:val="22"/>
          <w:lang w:val="sr-Latn-ME"/>
        </w:rPr>
        <w:t>vencija moždanog udara i sistemske embolije kod odraslih pacijenata sa nevalvularnom atrijalnom fibrilacijom (</w:t>
      </w:r>
      <w:r w:rsidR="001239C3" w:rsidRPr="00F85CA6">
        <w:rPr>
          <w:rFonts w:eastAsia="Calibri"/>
          <w:sz w:val="22"/>
          <w:szCs w:val="22"/>
          <w:lang w:val="sr-Latn-ME"/>
        </w:rPr>
        <w:t xml:space="preserve">engl. </w:t>
      </w:r>
      <w:r w:rsidR="001239C3" w:rsidRPr="00F85CA6">
        <w:rPr>
          <w:rFonts w:eastAsia="Calibri"/>
          <w:i/>
          <w:sz w:val="22"/>
          <w:szCs w:val="22"/>
          <w:lang w:val="sr-Latn-ME"/>
        </w:rPr>
        <w:t>non valvular atrial fibrillation,</w:t>
      </w:r>
      <w:r w:rsidR="001239C3" w:rsidRPr="00F85CA6">
        <w:rPr>
          <w:rFonts w:eastAsia="Calibri"/>
          <w:sz w:val="22"/>
          <w:szCs w:val="22"/>
          <w:lang w:val="sr-Latn-ME"/>
        </w:rPr>
        <w:t xml:space="preserve"> </w:t>
      </w:r>
      <w:r w:rsidR="00143607" w:rsidRPr="00F85CA6">
        <w:rPr>
          <w:rFonts w:eastAsia="Calibri"/>
          <w:sz w:val="22"/>
          <w:szCs w:val="22"/>
          <w:lang w:val="sr-Latn-ME"/>
        </w:rPr>
        <w:t xml:space="preserve">NVAF), sa jednim ili više faktora rizika, kao što </w:t>
      </w:r>
      <w:r w:rsidR="001239C3" w:rsidRPr="00F85CA6">
        <w:rPr>
          <w:rFonts w:eastAsia="Calibri"/>
          <w:sz w:val="22"/>
          <w:szCs w:val="22"/>
          <w:lang w:val="sr-Latn-ME"/>
        </w:rPr>
        <w:t>je</w:t>
      </w:r>
      <w:r w:rsidR="00143607" w:rsidRPr="00F85CA6">
        <w:rPr>
          <w:rFonts w:eastAsia="Calibri"/>
          <w:sz w:val="22"/>
          <w:szCs w:val="22"/>
          <w:lang w:val="sr-Latn-ME"/>
        </w:rPr>
        <w:t xml:space="preserve"> </w:t>
      </w:r>
      <w:r w:rsidRPr="00F85CA6">
        <w:rPr>
          <w:rFonts w:eastAsia="Calibri"/>
          <w:sz w:val="22"/>
          <w:szCs w:val="22"/>
          <w:lang w:val="sr-Latn-ME"/>
        </w:rPr>
        <w:t>pr</w:t>
      </w:r>
      <w:r w:rsidR="00465864" w:rsidRPr="00F85CA6">
        <w:rPr>
          <w:rFonts w:eastAsia="Calibri"/>
          <w:sz w:val="22"/>
          <w:szCs w:val="22"/>
          <w:lang w:val="sr-Latn-ME"/>
        </w:rPr>
        <w:t>e</w:t>
      </w:r>
      <w:r w:rsidR="00143607" w:rsidRPr="00F85CA6">
        <w:rPr>
          <w:rFonts w:eastAsia="Calibri"/>
          <w:sz w:val="22"/>
          <w:szCs w:val="22"/>
          <w:lang w:val="sr-Latn-ME"/>
        </w:rPr>
        <w:t xml:space="preserve">thodni moždani udar ili tranzitorni ishemijski atak (TIA); starost </w:t>
      </w:r>
      <w:r w:rsidR="00143607" w:rsidRPr="00F85CA6">
        <w:rPr>
          <w:rFonts w:eastAsia="Calibri"/>
          <w:sz w:val="22"/>
          <w:szCs w:val="22"/>
          <w:lang w:val="sr-Latn-ME" w:bidi="en-US"/>
        </w:rPr>
        <w:t>≥75 godina; srčana insuficijencija (NYHA klasa ≥</w:t>
      </w:r>
      <w:r w:rsidR="001239C3" w:rsidRPr="00F85CA6">
        <w:rPr>
          <w:rFonts w:eastAsia="Calibri"/>
          <w:sz w:val="22"/>
          <w:szCs w:val="22"/>
          <w:lang w:val="sr-Latn-ME" w:bidi="en-US"/>
        </w:rPr>
        <w:t xml:space="preserve"> </w:t>
      </w:r>
      <w:r w:rsidR="00143607" w:rsidRPr="00F85CA6">
        <w:rPr>
          <w:rFonts w:eastAsia="Calibri"/>
          <w:sz w:val="22"/>
          <w:szCs w:val="22"/>
          <w:lang w:val="sr-Latn-ME" w:bidi="en-US"/>
        </w:rPr>
        <w:t>II); dijabetes melitus; hipertenzija.</w:t>
      </w:r>
    </w:p>
    <w:p w14:paraId="5FA34159" w14:textId="77777777" w:rsidR="00143607" w:rsidRPr="00F85CA6" w:rsidRDefault="00143607" w:rsidP="000A69CA">
      <w:pPr>
        <w:jc w:val="both"/>
        <w:rPr>
          <w:rFonts w:eastAsia="Calibri"/>
          <w:sz w:val="22"/>
          <w:szCs w:val="22"/>
          <w:lang w:val="sr-Latn-ME" w:bidi="en-US"/>
        </w:rPr>
      </w:pPr>
    </w:p>
    <w:p w14:paraId="150EE23B" w14:textId="7E4CFB5A" w:rsidR="00143607" w:rsidRPr="00F85CA6" w:rsidRDefault="00143607" w:rsidP="000A69CA">
      <w:pPr>
        <w:jc w:val="both"/>
        <w:rPr>
          <w:rFonts w:eastAsia="Calibri"/>
          <w:sz w:val="22"/>
          <w:szCs w:val="22"/>
          <w:lang w:val="sr-Latn-ME"/>
        </w:rPr>
      </w:pPr>
      <w:r w:rsidRPr="00F85CA6">
        <w:rPr>
          <w:rFonts w:eastAsia="Calibri"/>
          <w:sz w:val="22"/>
          <w:szCs w:val="22"/>
          <w:lang w:val="sr-Latn-ME"/>
        </w:rPr>
        <w:t xml:space="preserve">Liječenje duboke venske tromboze (DVT) i plućne embolije (PE) i </w:t>
      </w:r>
      <w:r w:rsidR="003E5AF3" w:rsidRPr="00F85CA6">
        <w:rPr>
          <w:rFonts w:eastAsia="Calibri"/>
          <w:sz w:val="22"/>
          <w:szCs w:val="22"/>
          <w:lang w:val="sr-Latn-ME"/>
        </w:rPr>
        <w:t>pre</w:t>
      </w:r>
      <w:r w:rsidRPr="00F85CA6">
        <w:rPr>
          <w:rFonts w:eastAsia="Calibri"/>
          <w:sz w:val="22"/>
          <w:szCs w:val="22"/>
          <w:lang w:val="sr-Latn-ME"/>
        </w:rPr>
        <w:t>vencija rekurentne DVT i PE kod odraslih osoba.</w:t>
      </w:r>
    </w:p>
    <w:p w14:paraId="77099E50" w14:textId="77777777" w:rsidR="00143607" w:rsidRPr="00F85CA6" w:rsidRDefault="00143607" w:rsidP="00FC0882">
      <w:pPr>
        <w:jc w:val="both"/>
        <w:rPr>
          <w:rFonts w:eastAsia="Calibri"/>
          <w:sz w:val="22"/>
          <w:szCs w:val="22"/>
          <w:lang w:val="sr-Latn-ME"/>
        </w:rPr>
      </w:pPr>
    </w:p>
    <w:p w14:paraId="0BB434BC" w14:textId="0D81F51A" w:rsidR="001239C3" w:rsidRPr="00F85CA6" w:rsidRDefault="00143607">
      <w:pPr>
        <w:jc w:val="both"/>
        <w:rPr>
          <w:rFonts w:eastAsia="Calibri"/>
          <w:sz w:val="22"/>
          <w:szCs w:val="22"/>
          <w:lang w:val="sr-Latn-ME"/>
        </w:rPr>
      </w:pPr>
      <w:r w:rsidRPr="00F85CA6">
        <w:rPr>
          <w:rFonts w:eastAsia="Calibri"/>
          <w:sz w:val="22"/>
          <w:szCs w:val="22"/>
          <w:lang w:val="sr-Latn-ME"/>
        </w:rPr>
        <w:t xml:space="preserve">Terapija VTE i </w:t>
      </w:r>
      <w:r w:rsidR="003E5AF3" w:rsidRPr="00F85CA6">
        <w:rPr>
          <w:rFonts w:eastAsia="Calibri"/>
          <w:sz w:val="22"/>
          <w:szCs w:val="22"/>
          <w:lang w:val="sr-Latn-ME"/>
        </w:rPr>
        <w:t>pre</w:t>
      </w:r>
      <w:r w:rsidRPr="00F85CA6">
        <w:rPr>
          <w:rFonts w:eastAsia="Calibri"/>
          <w:sz w:val="22"/>
          <w:szCs w:val="22"/>
          <w:lang w:val="sr-Latn-ME"/>
        </w:rPr>
        <w:t xml:space="preserve">vencija rekurentne VTE kod pedijatrijskih pacijenata </w:t>
      </w:r>
      <w:r w:rsidR="00D313B4" w:rsidRPr="00F85CA6">
        <w:rPr>
          <w:sz w:val="22"/>
          <w:szCs w:val="22"/>
          <w:lang w:val="sr-Latn-ME"/>
        </w:rPr>
        <w:t>od trenutka kada dijete može progutati kašastu hranu do manje od 18 godina starosti.</w:t>
      </w:r>
    </w:p>
    <w:p w14:paraId="75970BBC" w14:textId="77777777" w:rsidR="00143607" w:rsidRPr="00F85CA6" w:rsidRDefault="00143607" w:rsidP="00685312">
      <w:pPr>
        <w:tabs>
          <w:tab w:val="left" w:pos="540"/>
          <w:tab w:val="left" w:pos="569"/>
        </w:tabs>
        <w:jc w:val="both"/>
        <w:rPr>
          <w:bCs/>
          <w:sz w:val="22"/>
          <w:szCs w:val="22"/>
          <w:lang w:val="sr-Latn-ME"/>
        </w:rPr>
      </w:pPr>
    </w:p>
    <w:p w14:paraId="05BD991B" w14:textId="77777777" w:rsidR="00411B4B" w:rsidRPr="00F85CA6" w:rsidRDefault="00411B4B" w:rsidP="00685312">
      <w:pPr>
        <w:tabs>
          <w:tab w:val="left" w:pos="540"/>
          <w:tab w:val="left" w:pos="569"/>
        </w:tabs>
        <w:jc w:val="both"/>
        <w:rPr>
          <w:b/>
          <w:bCs/>
          <w:sz w:val="22"/>
          <w:szCs w:val="22"/>
          <w:lang w:val="sr-Latn-ME"/>
        </w:rPr>
      </w:pPr>
      <w:r w:rsidRPr="00F85CA6">
        <w:rPr>
          <w:b/>
          <w:bCs/>
          <w:sz w:val="22"/>
          <w:szCs w:val="22"/>
          <w:lang w:val="sr-Latn-ME"/>
        </w:rPr>
        <w:t xml:space="preserve">4.2. </w:t>
      </w:r>
      <w:r w:rsidR="00480FB1" w:rsidRPr="00F85CA6">
        <w:rPr>
          <w:b/>
          <w:bCs/>
          <w:sz w:val="22"/>
          <w:szCs w:val="22"/>
          <w:lang w:val="sr-Latn-ME"/>
        </w:rPr>
        <w:tab/>
      </w:r>
      <w:r w:rsidRPr="00F85CA6">
        <w:rPr>
          <w:b/>
          <w:bCs/>
          <w:sz w:val="22"/>
          <w:szCs w:val="22"/>
          <w:lang w:val="sr-Latn-ME"/>
        </w:rPr>
        <w:t>Doziranje i način primjene</w:t>
      </w:r>
    </w:p>
    <w:p w14:paraId="55A76358" w14:textId="77777777" w:rsidR="0072020E" w:rsidRPr="00F85CA6" w:rsidRDefault="0072020E" w:rsidP="00685312">
      <w:pPr>
        <w:tabs>
          <w:tab w:val="left" w:pos="540"/>
          <w:tab w:val="left" w:pos="569"/>
        </w:tabs>
        <w:jc w:val="both"/>
        <w:rPr>
          <w:bCs/>
          <w:sz w:val="22"/>
          <w:szCs w:val="22"/>
          <w:lang w:val="sr-Latn-ME"/>
        </w:rPr>
      </w:pPr>
    </w:p>
    <w:p w14:paraId="119B0C33" w14:textId="77777777" w:rsidR="00452E9D" w:rsidRPr="00F85CA6" w:rsidRDefault="00452E9D" w:rsidP="00685312">
      <w:pPr>
        <w:tabs>
          <w:tab w:val="left" w:pos="540"/>
          <w:tab w:val="left" w:pos="569"/>
        </w:tabs>
        <w:jc w:val="both"/>
        <w:rPr>
          <w:bCs/>
          <w:sz w:val="22"/>
          <w:szCs w:val="22"/>
          <w:u w:val="single"/>
          <w:lang w:val="sr-Latn-ME"/>
        </w:rPr>
      </w:pPr>
      <w:r w:rsidRPr="00F85CA6">
        <w:rPr>
          <w:bCs/>
          <w:sz w:val="22"/>
          <w:szCs w:val="22"/>
          <w:u w:val="single"/>
          <w:lang w:val="sr-Latn-ME"/>
        </w:rPr>
        <w:t>Doziranje</w:t>
      </w:r>
    </w:p>
    <w:p w14:paraId="32CED32B" w14:textId="77777777" w:rsidR="00143607" w:rsidRPr="00F85CA6" w:rsidRDefault="00143607" w:rsidP="00685312">
      <w:pPr>
        <w:tabs>
          <w:tab w:val="left" w:pos="540"/>
          <w:tab w:val="left" w:pos="569"/>
        </w:tabs>
        <w:jc w:val="both"/>
        <w:rPr>
          <w:bCs/>
          <w:sz w:val="22"/>
          <w:szCs w:val="22"/>
          <w:u w:val="single"/>
          <w:lang w:val="sr-Latn-ME"/>
        </w:rPr>
      </w:pPr>
    </w:p>
    <w:p w14:paraId="07891199" w14:textId="434700F9" w:rsidR="00143607" w:rsidRPr="00F85CA6" w:rsidRDefault="00143607" w:rsidP="001239C3">
      <w:pPr>
        <w:jc w:val="both"/>
        <w:rPr>
          <w:rFonts w:eastAsia="Calibri"/>
          <w:sz w:val="22"/>
          <w:szCs w:val="22"/>
          <w:lang w:val="sr-Latn-ME" w:bidi="en-US"/>
        </w:rPr>
      </w:pPr>
      <w:r w:rsidRPr="00F85CA6">
        <w:rPr>
          <w:rFonts w:eastAsia="Calibri"/>
          <w:sz w:val="22"/>
          <w:szCs w:val="22"/>
          <w:lang w:val="sr-Latn-ME"/>
        </w:rPr>
        <w:t>Lijek BEREVIN, kapsule mogu da se koriste kod odraslih i pedijatrijskih pacijenata uzrasta 8 godina ili starijih, koji mogu da progutaju cijele kapsule.</w:t>
      </w:r>
    </w:p>
    <w:p w14:paraId="3074BCAD" w14:textId="77777777" w:rsidR="00143607" w:rsidRPr="00F85CA6" w:rsidRDefault="00143607" w:rsidP="00972FA9">
      <w:pPr>
        <w:jc w:val="both"/>
        <w:rPr>
          <w:rFonts w:eastAsia="Calibri"/>
          <w:sz w:val="22"/>
          <w:szCs w:val="22"/>
          <w:lang w:val="sr-Latn-ME" w:bidi="en-US"/>
        </w:rPr>
      </w:pPr>
    </w:p>
    <w:p w14:paraId="09770521" w14:textId="2DC7E636" w:rsidR="00143607" w:rsidRPr="00F85CA6" w:rsidRDefault="00143607" w:rsidP="002E54BA">
      <w:pPr>
        <w:jc w:val="both"/>
        <w:rPr>
          <w:rFonts w:eastAsia="Calibri"/>
          <w:sz w:val="22"/>
          <w:szCs w:val="22"/>
          <w:lang w:val="sr-Latn-ME" w:bidi="en-US"/>
        </w:rPr>
      </w:pPr>
      <w:r w:rsidRPr="00F85CA6">
        <w:rPr>
          <w:rFonts w:eastAsia="Calibri"/>
          <w:sz w:val="22"/>
          <w:szCs w:val="22"/>
          <w:lang w:val="sr-Latn-ME" w:bidi="en-US"/>
        </w:rPr>
        <w:t>Dozu navedenu u odgovarajućoj tabeli za doziranje potrebno je propisati na osnovu tjelesne mase i uzrasta djeteta.</w:t>
      </w:r>
    </w:p>
    <w:p w14:paraId="042FC338" w14:textId="77777777" w:rsidR="00452E9D" w:rsidRPr="00F85CA6" w:rsidRDefault="00452E9D" w:rsidP="00685312">
      <w:pPr>
        <w:tabs>
          <w:tab w:val="left" w:pos="540"/>
          <w:tab w:val="left" w:pos="569"/>
        </w:tabs>
        <w:jc w:val="both"/>
        <w:rPr>
          <w:bCs/>
          <w:sz w:val="22"/>
          <w:szCs w:val="22"/>
          <w:u w:val="single"/>
          <w:lang w:val="sr-Latn-ME"/>
        </w:rPr>
      </w:pPr>
    </w:p>
    <w:p w14:paraId="11703917" w14:textId="77777777" w:rsidR="00F85CA6" w:rsidRDefault="00F85CA6" w:rsidP="001239C3">
      <w:pPr>
        <w:jc w:val="both"/>
        <w:rPr>
          <w:rFonts w:eastAsia="Calibri"/>
          <w:b/>
          <w:bCs/>
          <w:i/>
          <w:iCs/>
          <w:sz w:val="22"/>
          <w:szCs w:val="22"/>
          <w:u w:val="single"/>
          <w:lang w:val="sr-Latn-ME" w:bidi="en-US"/>
        </w:rPr>
      </w:pPr>
    </w:p>
    <w:p w14:paraId="6259BDFB" w14:textId="77777777" w:rsidR="00F85CA6" w:rsidRDefault="00F85CA6" w:rsidP="001239C3">
      <w:pPr>
        <w:jc w:val="both"/>
        <w:rPr>
          <w:rFonts w:eastAsia="Calibri"/>
          <w:b/>
          <w:bCs/>
          <w:i/>
          <w:iCs/>
          <w:sz w:val="22"/>
          <w:szCs w:val="22"/>
          <w:u w:val="single"/>
          <w:lang w:val="sr-Latn-ME" w:bidi="en-US"/>
        </w:rPr>
      </w:pPr>
    </w:p>
    <w:p w14:paraId="45F4AE07" w14:textId="526AB2CA" w:rsidR="00143607" w:rsidRPr="00F85CA6" w:rsidRDefault="00143607" w:rsidP="001239C3">
      <w:pPr>
        <w:jc w:val="both"/>
        <w:rPr>
          <w:rFonts w:eastAsia="Calibri"/>
          <w:b/>
          <w:bCs/>
          <w:i/>
          <w:iCs/>
          <w:sz w:val="22"/>
          <w:szCs w:val="22"/>
          <w:u w:val="single"/>
          <w:lang w:val="sr-Latn-ME" w:bidi="en-US"/>
        </w:rPr>
      </w:pPr>
      <w:r w:rsidRPr="00F85CA6">
        <w:rPr>
          <w:rFonts w:eastAsia="Calibri"/>
          <w:b/>
          <w:bCs/>
          <w:i/>
          <w:iCs/>
          <w:sz w:val="22"/>
          <w:szCs w:val="22"/>
          <w:u w:val="single"/>
          <w:lang w:val="sr-Latn-ME" w:bidi="en-US"/>
        </w:rPr>
        <w:lastRenderedPageBreak/>
        <w:t xml:space="preserve">Primarna </w:t>
      </w:r>
      <w:r w:rsidR="003E5AF3" w:rsidRPr="00F85CA6">
        <w:rPr>
          <w:rFonts w:eastAsia="Calibri"/>
          <w:b/>
          <w:bCs/>
          <w:i/>
          <w:iCs/>
          <w:sz w:val="22"/>
          <w:szCs w:val="22"/>
          <w:u w:val="single"/>
          <w:lang w:val="sr-Latn-ME" w:bidi="en-US"/>
        </w:rPr>
        <w:t>pre</w:t>
      </w:r>
      <w:r w:rsidRPr="00F85CA6">
        <w:rPr>
          <w:rFonts w:eastAsia="Calibri"/>
          <w:b/>
          <w:bCs/>
          <w:i/>
          <w:iCs/>
          <w:sz w:val="22"/>
          <w:szCs w:val="22"/>
          <w:u w:val="single"/>
          <w:lang w:val="sr-Latn-ME" w:bidi="en-US"/>
        </w:rPr>
        <w:t>vencija VTE u ortopedskoj hirurgiji</w:t>
      </w:r>
    </w:p>
    <w:p w14:paraId="56C51424" w14:textId="77777777" w:rsidR="00143607" w:rsidRPr="00F85CA6" w:rsidRDefault="00143607" w:rsidP="001239C3">
      <w:pPr>
        <w:jc w:val="both"/>
        <w:rPr>
          <w:rFonts w:eastAsia="Calibri"/>
          <w:sz w:val="22"/>
          <w:szCs w:val="22"/>
          <w:lang w:val="sr-Latn-ME" w:bidi="en-US"/>
        </w:rPr>
      </w:pPr>
    </w:p>
    <w:p w14:paraId="61A27B7F" w14:textId="055A17DB" w:rsidR="00143607" w:rsidRPr="00F85CA6" w:rsidRDefault="003E5AF3" w:rsidP="001239C3">
      <w:pPr>
        <w:jc w:val="both"/>
        <w:rPr>
          <w:rFonts w:eastAsia="Calibri"/>
          <w:sz w:val="22"/>
          <w:szCs w:val="22"/>
          <w:lang w:val="sr-Latn-ME" w:bidi="en-US"/>
        </w:rPr>
      </w:pPr>
      <w:r w:rsidRPr="00F85CA6">
        <w:rPr>
          <w:rFonts w:eastAsia="Calibri"/>
          <w:sz w:val="22"/>
          <w:szCs w:val="22"/>
          <w:lang w:val="sr-Latn-ME" w:bidi="en-US"/>
        </w:rPr>
        <w:t>Pre</w:t>
      </w:r>
      <w:r w:rsidR="00143607" w:rsidRPr="00F85CA6">
        <w:rPr>
          <w:rFonts w:eastAsia="Calibri"/>
          <w:sz w:val="22"/>
          <w:szCs w:val="22"/>
          <w:lang w:val="sr-Latn-ME" w:bidi="en-US"/>
        </w:rPr>
        <w:t xml:space="preserve">poručene doze dabigatraneteksilata i trajanje terapije kod primarne </w:t>
      </w:r>
      <w:r w:rsidRPr="00F85CA6">
        <w:rPr>
          <w:rFonts w:eastAsia="Calibri"/>
          <w:sz w:val="22"/>
          <w:szCs w:val="22"/>
          <w:lang w:val="sr-Latn-ME" w:bidi="en-US"/>
        </w:rPr>
        <w:t>pre</w:t>
      </w:r>
      <w:r w:rsidR="00143607" w:rsidRPr="00F85CA6">
        <w:rPr>
          <w:rFonts w:eastAsia="Calibri"/>
          <w:sz w:val="22"/>
          <w:szCs w:val="22"/>
          <w:lang w:val="sr-Latn-ME" w:bidi="en-US"/>
        </w:rPr>
        <w:t>vencije VTE u ortopedskoj hirurgiji su prikazani u tabeli 1.</w:t>
      </w:r>
    </w:p>
    <w:p w14:paraId="3168AFD9" w14:textId="77777777" w:rsidR="00143607" w:rsidRPr="00F85CA6" w:rsidRDefault="00143607" w:rsidP="001239C3">
      <w:pPr>
        <w:jc w:val="both"/>
        <w:rPr>
          <w:rFonts w:eastAsia="Calibri"/>
          <w:sz w:val="22"/>
          <w:szCs w:val="22"/>
          <w:lang w:val="sr-Latn-ME" w:bidi="en-US"/>
        </w:rPr>
      </w:pPr>
    </w:p>
    <w:p w14:paraId="182EE336" w14:textId="7CD2BB09" w:rsidR="00143607" w:rsidRPr="00F85CA6" w:rsidRDefault="00143607" w:rsidP="00685312">
      <w:pPr>
        <w:jc w:val="center"/>
        <w:rPr>
          <w:rFonts w:eastAsia="Calibri"/>
          <w:b/>
          <w:bCs/>
          <w:sz w:val="22"/>
          <w:szCs w:val="22"/>
          <w:lang w:val="sr-Latn-ME" w:bidi="en-US"/>
        </w:rPr>
      </w:pPr>
      <w:r w:rsidRPr="00F85CA6">
        <w:rPr>
          <w:rFonts w:eastAsia="Calibri"/>
          <w:b/>
          <w:bCs/>
          <w:sz w:val="22"/>
          <w:szCs w:val="22"/>
          <w:lang w:val="sr-Latn-ME" w:bidi="en-US"/>
        </w:rPr>
        <w:t xml:space="preserve">Tabela 1. </w:t>
      </w:r>
      <w:r w:rsidR="003E5AF3" w:rsidRPr="00F85CA6">
        <w:rPr>
          <w:rFonts w:eastAsia="Calibri"/>
          <w:b/>
          <w:bCs/>
          <w:sz w:val="22"/>
          <w:szCs w:val="22"/>
          <w:lang w:val="sr-Latn-ME" w:bidi="en-US"/>
        </w:rPr>
        <w:t>Pre</w:t>
      </w:r>
      <w:r w:rsidRPr="00F85CA6">
        <w:rPr>
          <w:rFonts w:eastAsia="Calibri"/>
          <w:b/>
          <w:bCs/>
          <w:sz w:val="22"/>
          <w:szCs w:val="22"/>
          <w:lang w:val="sr-Latn-ME" w:bidi="en-US"/>
        </w:rPr>
        <w:t xml:space="preserve">poručene doze i trajanje terapije kod primarne </w:t>
      </w:r>
      <w:r w:rsidR="003E5AF3" w:rsidRPr="00F85CA6">
        <w:rPr>
          <w:rFonts w:eastAsia="Calibri"/>
          <w:b/>
          <w:bCs/>
          <w:sz w:val="22"/>
          <w:szCs w:val="22"/>
          <w:lang w:val="sr-Latn-ME" w:bidi="en-US"/>
        </w:rPr>
        <w:t>pre</w:t>
      </w:r>
      <w:r w:rsidRPr="00F85CA6">
        <w:rPr>
          <w:rFonts w:eastAsia="Calibri"/>
          <w:b/>
          <w:bCs/>
          <w:sz w:val="22"/>
          <w:szCs w:val="22"/>
          <w:lang w:val="sr-Latn-ME" w:bidi="en-US"/>
        </w:rPr>
        <w:t>vencije VTE u ortopedskoj hirurgiji</w:t>
      </w:r>
    </w:p>
    <w:p w14:paraId="59CF5E1D" w14:textId="77777777" w:rsidR="00143607" w:rsidRPr="00F85CA6" w:rsidRDefault="00143607" w:rsidP="00143607">
      <w:pPr>
        <w:jc w:val="both"/>
        <w:rPr>
          <w:rFonts w:eastAsia="Calibri"/>
          <w:sz w:val="22"/>
          <w:szCs w:val="22"/>
          <w:lang w:val="sr-Latn-ME" w:bidi="en-US"/>
        </w:rPr>
      </w:pPr>
    </w:p>
    <w:tbl>
      <w:tblPr>
        <w:tblOverlap w:val="never"/>
        <w:tblW w:w="5000" w:type="pct"/>
        <w:jc w:val="center"/>
        <w:tblLayout w:type="fixed"/>
        <w:tblCellMar>
          <w:left w:w="85" w:type="dxa"/>
          <w:right w:w="85" w:type="dxa"/>
        </w:tblCellMar>
        <w:tblLook w:val="04A0" w:firstRow="1" w:lastRow="0" w:firstColumn="1" w:lastColumn="0" w:noHBand="0" w:noVBand="1"/>
      </w:tblPr>
      <w:tblGrid>
        <w:gridCol w:w="3325"/>
        <w:gridCol w:w="1981"/>
        <w:gridCol w:w="1979"/>
        <w:gridCol w:w="1778"/>
      </w:tblGrid>
      <w:tr w:rsidR="00143607" w:rsidRPr="00F85CA6" w14:paraId="1D8F963B" w14:textId="77777777" w:rsidTr="00465864">
        <w:trPr>
          <w:trHeight w:val="20"/>
          <w:jc w:val="center"/>
        </w:trPr>
        <w:tc>
          <w:tcPr>
            <w:tcW w:w="1834" w:type="pct"/>
            <w:tcBorders>
              <w:top w:val="single" w:sz="4" w:space="0" w:color="auto"/>
              <w:left w:val="single" w:sz="4" w:space="0" w:color="auto"/>
              <w:bottom w:val="single" w:sz="4" w:space="0" w:color="auto"/>
            </w:tcBorders>
            <w:shd w:val="clear" w:color="auto" w:fill="auto"/>
          </w:tcPr>
          <w:p w14:paraId="035A7407" w14:textId="77777777" w:rsidR="00143607" w:rsidRPr="00F85CA6" w:rsidRDefault="00143607" w:rsidP="00143607">
            <w:pPr>
              <w:jc w:val="both"/>
              <w:rPr>
                <w:rFonts w:eastAsia="Calibri"/>
                <w:sz w:val="22"/>
                <w:szCs w:val="22"/>
                <w:lang w:val="sr-Latn-ME" w:bidi="en-US"/>
              </w:rPr>
            </w:pPr>
          </w:p>
        </w:tc>
        <w:tc>
          <w:tcPr>
            <w:tcW w:w="1093" w:type="pct"/>
            <w:tcBorders>
              <w:top w:val="single" w:sz="4" w:space="0" w:color="auto"/>
              <w:left w:val="single" w:sz="4" w:space="0" w:color="auto"/>
              <w:bottom w:val="single" w:sz="4" w:space="0" w:color="auto"/>
            </w:tcBorders>
            <w:shd w:val="clear" w:color="auto" w:fill="auto"/>
          </w:tcPr>
          <w:p w14:paraId="4021DCD3" w14:textId="7EECD335" w:rsidR="00143607" w:rsidRPr="00F85CA6" w:rsidRDefault="00143607" w:rsidP="00685312">
            <w:pPr>
              <w:jc w:val="center"/>
              <w:rPr>
                <w:rFonts w:eastAsia="Calibri"/>
                <w:b/>
                <w:bCs/>
                <w:sz w:val="22"/>
                <w:szCs w:val="22"/>
                <w:lang w:val="sr-Latn-ME" w:bidi="en-US"/>
              </w:rPr>
            </w:pPr>
            <w:r w:rsidRPr="00F85CA6">
              <w:rPr>
                <w:rFonts w:eastAsia="Calibri"/>
                <w:b/>
                <w:bCs/>
                <w:sz w:val="22"/>
                <w:szCs w:val="22"/>
                <w:lang w:val="sr-Latn-ME" w:bidi="en-US"/>
              </w:rPr>
              <w:t>Početak terapije na dan hirurškog zahvata</w:t>
            </w:r>
          </w:p>
          <w:p w14:paraId="6E2171E7" w14:textId="77777777" w:rsidR="00143607" w:rsidRPr="00F85CA6" w:rsidRDefault="00143607" w:rsidP="00685312">
            <w:pPr>
              <w:jc w:val="center"/>
              <w:rPr>
                <w:rFonts w:eastAsia="Calibri"/>
                <w:sz w:val="22"/>
                <w:szCs w:val="22"/>
                <w:lang w:val="sr-Latn-ME" w:bidi="en-US"/>
              </w:rPr>
            </w:pPr>
            <w:r w:rsidRPr="00F85CA6">
              <w:rPr>
                <w:rFonts w:eastAsia="Calibri"/>
                <w:b/>
                <w:bCs/>
                <w:sz w:val="22"/>
                <w:szCs w:val="22"/>
                <w:lang w:val="sr-Latn-ME" w:bidi="en-US"/>
              </w:rPr>
              <w:t>1-4 sata nakon završetka hirurškog zahvata</w:t>
            </w:r>
          </w:p>
        </w:tc>
        <w:tc>
          <w:tcPr>
            <w:tcW w:w="1092" w:type="pct"/>
            <w:tcBorders>
              <w:top w:val="single" w:sz="4" w:space="0" w:color="auto"/>
              <w:left w:val="single" w:sz="4" w:space="0" w:color="auto"/>
              <w:bottom w:val="single" w:sz="4" w:space="0" w:color="auto"/>
            </w:tcBorders>
            <w:shd w:val="clear" w:color="auto" w:fill="auto"/>
          </w:tcPr>
          <w:p w14:paraId="141B904D" w14:textId="77777777" w:rsidR="00143607" w:rsidRPr="00F85CA6" w:rsidRDefault="00143607" w:rsidP="00685312">
            <w:pPr>
              <w:jc w:val="center"/>
              <w:rPr>
                <w:rFonts w:eastAsia="Calibri"/>
                <w:sz w:val="22"/>
                <w:szCs w:val="22"/>
                <w:lang w:val="sr-Latn-ME" w:bidi="en-US"/>
              </w:rPr>
            </w:pPr>
            <w:r w:rsidRPr="00F85CA6">
              <w:rPr>
                <w:rFonts w:eastAsia="Calibri"/>
                <w:b/>
                <w:bCs/>
                <w:sz w:val="22"/>
                <w:szCs w:val="22"/>
                <w:lang w:val="sr-Latn-ME" w:bidi="en-US"/>
              </w:rPr>
              <w:t>Doza održavanja počevši od prvog dana nakon hirurškog zahvata</w:t>
            </w:r>
          </w:p>
        </w:tc>
        <w:tc>
          <w:tcPr>
            <w:tcW w:w="981" w:type="pct"/>
            <w:tcBorders>
              <w:top w:val="single" w:sz="4" w:space="0" w:color="auto"/>
              <w:left w:val="single" w:sz="4" w:space="0" w:color="auto"/>
              <w:right w:val="single" w:sz="4" w:space="0" w:color="auto"/>
            </w:tcBorders>
            <w:shd w:val="clear" w:color="auto" w:fill="auto"/>
          </w:tcPr>
          <w:p w14:paraId="007B8450" w14:textId="7CE94CC1" w:rsidR="00143607" w:rsidRPr="00F85CA6" w:rsidRDefault="00143607" w:rsidP="00685312">
            <w:pPr>
              <w:jc w:val="center"/>
              <w:rPr>
                <w:rFonts w:eastAsia="Calibri"/>
                <w:sz w:val="22"/>
                <w:szCs w:val="22"/>
                <w:lang w:val="sr-Latn-ME" w:bidi="en-US"/>
              </w:rPr>
            </w:pPr>
            <w:r w:rsidRPr="00F85CA6">
              <w:rPr>
                <w:rFonts w:eastAsia="Calibri"/>
                <w:b/>
                <w:bCs/>
                <w:sz w:val="22"/>
                <w:szCs w:val="22"/>
                <w:lang w:val="sr-Latn-ME" w:bidi="en-US"/>
              </w:rPr>
              <w:t>Trajanje prim</w:t>
            </w:r>
            <w:r w:rsidR="003E5AF3" w:rsidRPr="00F85CA6">
              <w:rPr>
                <w:rFonts w:eastAsia="Calibri"/>
                <w:b/>
                <w:bCs/>
                <w:sz w:val="22"/>
                <w:szCs w:val="22"/>
                <w:lang w:val="sr-Latn-ME" w:bidi="en-US"/>
              </w:rPr>
              <w:t>j</w:t>
            </w:r>
            <w:r w:rsidRPr="00F85CA6">
              <w:rPr>
                <w:rFonts w:eastAsia="Calibri"/>
                <w:b/>
                <w:bCs/>
                <w:sz w:val="22"/>
                <w:szCs w:val="22"/>
                <w:lang w:val="sr-Latn-ME" w:bidi="en-US"/>
              </w:rPr>
              <w:t>ene doze održavanja</w:t>
            </w:r>
          </w:p>
        </w:tc>
      </w:tr>
      <w:tr w:rsidR="00143607" w:rsidRPr="00F85CA6" w14:paraId="4DF03CB1" w14:textId="77777777" w:rsidTr="00465864">
        <w:trPr>
          <w:trHeight w:val="20"/>
          <w:jc w:val="center"/>
        </w:trPr>
        <w:tc>
          <w:tcPr>
            <w:tcW w:w="1834" w:type="pct"/>
            <w:tcBorders>
              <w:top w:val="single" w:sz="4" w:space="0" w:color="auto"/>
              <w:left w:val="single" w:sz="4" w:space="0" w:color="auto"/>
              <w:bottom w:val="single" w:sz="4" w:space="0" w:color="auto"/>
            </w:tcBorders>
            <w:shd w:val="clear" w:color="auto" w:fill="auto"/>
          </w:tcPr>
          <w:p w14:paraId="28830C82" w14:textId="29BBEAF7" w:rsidR="00143607" w:rsidRPr="00F85CA6" w:rsidRDefault="00143607" w:rsidP="00143607">
            <w:pPr>
              <w:rPr>
                <w:rFonts w:eastAsia="Calibri"/>
                <w:sz w:val="22"/>
                <w:szCs w:val="22"/>
                <w:lang w:val="sr-Latn-ME" w:bidi="en-US"/>
              </w:rPr>
            </w:pPr>
            <w:r w:rsidRPr="00F85CA6">
              <w:rPr>
                <w:rFonts w:eastAsia="Calibri"/>
                <w:sz w:val="22"/>
                <w:szCs w:val="22"/>
                <w:lang w:val="sr-Latn-ME" w:bidi="en-US"/>
              </w:rPr>
              <w:t>Pacijenti nakon e</w:t>
            </w:r>
            <w:r w:rsidR="003E5AF3" w:rsidRPr="00F85CA6">
              <w:rPr>
                <w:rFonts w:eastAsia="Calibri"/>
                <w:sz w:val="22"/>
                <w:szCs w:val="22"/>
                <w:lang w:val="sr-Latn-ME" w:bidi="en-US"/>
              </w:rPr>
              <w:t>lek</w:t>
            </w:r>
            <w:r w:rsidRPr="00F85CA6">
              <w:rPr>
                <w:rFonts w:eastAsia="Calibri"/>
                <w:sz w:val="22"/>
                <w:szCs w:val="22"/>
                <w:lang w:val="sr-Latn-ME" w:bidi="en-US"/>
              </w:rPr>
              <w:t>tivnog hirurškog zahvata totalne zam</w:t>
            </w:r>
            <w:r w:rsidR="003E5AF3" w:rsidRPr="00F85CA6">
              <w:rPr>
                <w:rFonts w:eastAsia="Calibri"/>
                <w:sz w:val="22"/>
                <w:szCs w:val="22"/>
                <w:lang w:val="sr-Latn-ME" w:bidi="en-US"/>
              </w:rPr>
              <w:t>j</w:t>
            </w:r>
            <w:r w:rsidRPr="00F85CA6">
              <w:rPr>
                <w:rFonts w:eastAsia="Calibri"/>
                <w:sz w:val="22"/>
                <w:szCs w:val="22"/>
                <w:lang w:val="sr-Latn-ME" w:bidi="en-US"/>
              </w:rPr>
              <w:t>ene kol</w:t>
            </w:r>
            <w:r w:rsidR="003E5AF3" w:rsidRPr="00F85CA6">
              <w:rPr>
                <w:rFonts w:eastAsia="Calibri"/>
                <w:sz w:val="22"/>
                <w:szCs w:val="22"/>
                <w:lang w:val="sr-Latn-ME" w:bidi="en-US"/>
              </w:rPr>
              <w:t>j</w:t>
            </w:r>
            <w:r w:rsidRPr="00F85CA6">
              <w:rPr>
                <w:rFonts w:eastAsia="Calibri"/>
                <w:sz w:val="22"/>
                <w:szCs w:val="22"/>
                <w:lang w:val="sr-Latn-ME" w:bidi="en-US"/>
              </w:rPr>
              <w:t xml:space="preserve">ena </w:t>
            </w:r>
          </w:p>
        </w:tc>
        <w:tc>
          <w:tcPr>
            <w:tcW w:w="1093" w:type="pct"/>
            <w:vMerge w:val="restart"/>
            <w:tcBorders>
              <w:top w:val="single" w:sz="4" w:space="0" w:color="auto"/>
              <w:left w:val="single" w:sz="4" w:space="0" w:color="auto"/>
              <w:bottom w:val="single" w:sz="4" w:space="0" w:color="auto"/>
            </w:tcBorders>
            <w:shd w:val="clear" w:color="auto" w:fill="auto"/>
            <w:vAlign w:val="center"/>
          </w:tcPr>
          <w:p w14:paraId="4683A99C" w14:textId="77777777" w:rsidR="00143607" w:rsidRPr="00F85CA6" w:rsidRDefault="00143607" w:rsidP="00143607">
            <w:pPr>
              <w:jc w:val="center"/>
              <w:rPr>
                <w:rFonts w:eastAsia="Calibri"/>
                <w:sz w:val="22"/>
                <w:szCs w:val="22"/>
                <w:lang w:val="sr-Latn-ME" w:bidi="en-US"/>
              </w:rPr>
            </w:pPr>
            <w:r w:rsidRPr="00F85CA6">
              <w:rPr>
                <w:rFonts w:eastAsia="Calibri"/>
                <w:sz w:val="22"/>
                <w:szCs w:val="22"/>
                <w:lang w:val="sr-Latn-ME" w:bidi="en-US"/>
              </w:rPr>
              <w:t>jedna kapsula dabigatraneteksilata od 110 mg</w:t>
            </w:r>
          </w:p>
        </w:tc>
        <w:tc>
          <w:tcPr>
            <w:tcW w:w="1092" w:type="pct"/>
            <w:vMerge w:val="restart"/>
            <w:tcBorders>
              <w:top w:val="single" w:sz="4" w:space="0" w:color="auto"/>
              <w:left w:val="single" w:sz="4" w:space="0" w:color="auto"/>
              <w:bottom w:val="single" w:sz="4" w:space="0" w:color="auto"/>
            </w:tcBorders>
            <w:shd w:val="clear" w:color="auto" w:fill="auto"/>
            <w:vAlign w:val="center"/>
          </w:tcPr>
          <w:p w14:paraId="440EA7B7" w14:textId="77777777" w:rsidR="00143607" w:rsidRPr="00F85CA6" w:rsidRDefault="00143607" w:rsidP="00143607">
            <w:pPr>
              <w:jc w:val="center"/>
              <w:rPr>
                <w:rFonts w:eastAsia="Calibri"/>
                <w:sz w:val="22"/>
                <w:szCs w:val="22"/>
                <w:lang w:val="sr-Latn-ME" w:bidi="en-US"/>
              </w:rPr>
            </w:pPr>
            <w:r w:rsidRPr="00F85CA6">
              <w:rPr>
                <w:rFonts w:eastAsia="Calibri"/>
                <w:sz w:val="22"/>
                <w:szCs w:val="22"/>
                <w:lang w:val="sr-Latn-ME" w:bidi="en-US"/>
              </w:rPr>
              <w:t>220 mg dabigatraneteksilata uzetog jednom dnevno u obliku 2 kapsule od 110 mg</w:t>
            </w:r>
          </w:p>
        </w:tc>
        <w:tc>
          <w:tcPr>
            <w:tcW w:w="981" w:type="pct"/>
            <w:tcBorders>
              <w:top w:val="single" w:sz="4" w:space="0" w:color="auto"/>
              <w:left w:val="single" w:sz="4" w:space="0" w:color="auto"/>
              <w:bottom w:val="single" w:sz="4" w:space="0" w:color="auto"/>
              <w:right w:val="single" w:sz="4" w:space="0" w:color="auto"/>
            </w:tcBorders>
            <w:shd w:val="clear" w:color="auto" w:fill="auto"/>
            <w:vAlign w:val="center"/>
          </w:tcPr>
          <w:p w14:paraId="0144F824" w14:textId="77777777" w:rsidR="00143607" w:rsidRPr="00F85CA6" w:rsidRDefault="00143607" w:rsidP="00143607">
            <w:pPr>
              <w:jc w:val="center"/>
              <w:rPr>
                <w:rFonts w:eastAsia="Calibri"/>
                <w:sz w:val="22"/>
                <w:szCs w:val="22"/>
                <w:lang w:val="sr-Latn-ME" w:bidi="en-US"/>
              </w:rPr>
            </w:pPr>
            <w:r w:rsidRPr="00F85CA6">
              <w:rPr>
                <w:rFonts w:eastAsia="Calibri"/>
                <w:sz w:val="22"/>
                <w:szCs w:val="22"/>
                <w:lang w:val="sr-Latn-ME" w:bidi="en-US"/>
              </w:rPr>
              <w:t>10 dana</w:t>
            </w:r>
          </w:p>
        </w:tc>
      </w:tr>
      <w:tr w:rsidR="00143607" w:rsidRPr="00F85CA6" w14:paraId="40377655" w14:textId="77777777" w:rsidTr="00465864">
        <w:trPr>
          <w:trHeight w:val="20"/>
          <w:jc w:val="center"/>
        </w:trPr>
        <w:tc>
          <w:tcPr>
            <w:tcW w:w="1834" w:type="pct"/>
            <w:tcBorders>
              <w:top w:val="single" w:sz="4" w:space="0" w:color="auto"/>
              <w:left w:val="single" w:sz="4" w:space="0" w:color="auto"/>
            </w:tcBorders>
            <w:shd w:val="clear" w:color="auto" w:fill="auto"/>
          </w:tcPr>
          <w:p w14:paraId="14553450" w14:textId="78779FED" w:rsidR="00143607" w:rsidRPr="00F85CA6" w:rsidRDefault="00143607" w:rsidP="00143607">
            <w:pPr>
              <w:rPr>
                <w:rFonts w:eastAsia="Calibri"/>
                <w:sz w:val="22"/>
                <w:szCs w:val="22"/>
                <w:lang w:val="sr-Latn-ME" w:bidi="en-US"/>
              </w:rPr>
            </w:pPr>
            <w:r w:rsidRPr="00F85CA6">
              <w:rPr>
                <w:rFonts w:eastAsia="Calibri"/>
                <w:sz w:val="22"/>
                <w:szCs w:val="22"/>
                <w:lang w:val="sr-Latn-ME" w:bidi="en-US"/>
              </w:rPr>
              <w:t>Pacijenti nakon e</w:t>
            </w:r>
            <w:r w:rsidR="003E5AF3" w:rsidRPr="00F85CA6">
              <w:rPr>
                <w:rFonts w:eastAsia="Calibri"/>
                <w:sz w:val="22"/>
                <w:szCs w:val="22"/>
                <w:lang w:val="sr-Latn-ME" w:bidi="en-US"/>
              </w:rPr>
              <w:t>lek</w:t>
            </w:r>
            <w:r w:rsidRPr="00F85CA6">
              <w:rPr>
                <w:rFonts w:eastAsia="Calibri"/>
                <w:sz w:val="22"/>
                <w:szCs w:val="22"/>
                <w:lang w:val="sr-Latn-ME" w:bidi="en-US"/>
              </w:rPr>
              <w:t>tivnog hirurškog zahvata totalne zam</w:t>
            </w:r>
            <w:r w:rsidR="003E5AF3" w:rsidRPr="00F85CA6">
              <w:rPr>
                <w:rFonts w:eastAsia="Calibri"/>
                <w:sz w:val="22"/>
                <w:szCs w:val="22"/>
                <w:lang w:val="sr-Latn-ME" w:bidi="en-US"/>
              </w:rPr>
              <w:t>j</w:t>
            </w:r>
            <w:r w:rsidRPr="00F85CA6">
              <w:rPr>
                <w:rFonts w:eastAsia="Calibri"/>
                <w:sz w:val="22"/>
                <w:szCs w:val="22"/>
                <w:lang w:val="sr-Latn-ME" w:bidi="en-US"/>
              </w:rPr>
              <w:t>ene kuka</w:t>
            </w:r>
          </w:p>
        </w:tc>
        <w:tc>
          <w:tcPr>
            <w:tcW w:w="1093" w:type="pct"/>
            <w:vMerge/>
            <w:tcBorders>
              <w:top w:val="single" w:sz="4" w:space="0" w:color="auto"/>
              <w:left w:val="single" w:sz="4" w:space="0" w:color="auto"/>
            </w:tcBorders>
            <w:shd w:val="clear" w:color="auto" w:fill="auto"/>
            <w:vAlign w:val="center"/>
          </w:tcPr>
          <w:p w14:paraId="23C4901F" w14:textId="77777777" w:rsidR="00143607" w:rsidRPr="00F85CA6" w:rsidRDefault="00143607" w:rsidP="00143607">
            <w:pPr>
              <w:jc w:val="center"/>
              <w:rPr>
                <w:rFonts w:eastAsia="Calibri"/>
                <w:sz w:val="22"/>
                <w:szCs w:val="22"/>
                <w:lang w:val="sr-Latn-ME" w:bidi="en-US"/>
              </w:rPr>
            </w:pPr>
          </w:p>
        </w:tc>
        <w:tc>
          <w:tcPr>
            <w:tcW w:w="1092" w:type="pct"/>
            <w:vMerge/>
            <w:tcBorders>
              <w:top w:val="single" w:sz="4" w:space="0" w:color="auto"/>
              <w:left w:val="single" w:sz="4" w:space="0" w:color="auto"/>
            </w:tcBorders>
            <w:shd w:val="clear" w:color="auto" w:fill="auto"/>
            <w:vAlign w:val="center"/>
          </w:tcPr>
          <w:p w14:paraId="46D9AB6F" w14:textId="77777777" w:rsidR="00143607" w:rsidRPr="00F85CA6" w:rsidRDefault="00143607" w:rsidP="00143607">
            <w:pPr>
              <w:jc w:val="center"/>
              <w:rPr>
                <w:rFonts w:eastAsia="Calibri"/>
                <w:sz w:val="22"/>
                <w:szCs w:val="22"/>
                <w:lang w:val="sr-Latn-ME" w:bidi="en-US"/>
              </w:rPr>
            </w:pPr>
          </w:p>
        </w:tc>
        <w:tc>
          <w:tcPr>
            <w:tcW w:w="981" w:type="pct"/>
            <w:tcBorders>
              <w:top w:val="single" w:sz="4" w:space="0" w:color="auto"/>
              <w:left w:val="single" w:sz="4" w:space="0" w:color="auto"/>
              <w:bottom w:val="single" w:sz="4" w:space="0" w:color="auto"/>
              <w:right w:val="single" w:sz="4" w:space="0" w:color="auto"/>
            </w:tcBorders>
            <w:shd w:val="clear" w:color="auto" w:fill="auto"/>
            <w:vAlign w:val="center"/>
          </w:tcPr>
          <w:p w14:paraId="2792A7AE" w14:textId="365443E9" w:rsidR="00143607" w:rsidRPr="00F85CA6" w:rsidRDefault="00143607" w:rsidP="00143607">
            <w:pPr>
              <w:jc w:val="center"/>
              <w:rPr>
                <w:rFonts w:eastAsia="Calibri"/>
                <w:sz w:val="22"/>
                <w:szCs w:val="22"/>
                <w:lang w:val="sr-Latn-ME" w:bidi="en-US"/>
              </w:rPr>
            </w:pPr>
            <w:r w:rsidRPr="00F85CA6">
              <w:rPr>
                <w:rFonts w:eastAsia="Calibri"/>
                <w:sz w:val="22"/>
                <w:szCs w:val="22"/>
                <w:lang w:val="sr-Latn-ME" w:bidi="en-US"/>
              </w:rPr>
              <w:t>28</w:t>
            </w:r>
            <w:r w:rsidR="00972FA9" w:rsidRPr="00F85CA6">
              <w:rPr>
                <w:rFonts w:eastAsia="Calibri"/>
                <w:sz w:val="22"/>
                <w:szCs w:val="22"/>
                <w:lang w:val="sr-Latn-ME" w:bidi="en-US"/>
              </w:rPr>
              <w:t xml:space="preserve"> </w:t>
            </w:r>
            <w:r w:rsidRPr="00F85CA6">
              <w:rPr>
                <w:rFonts w:eastAsia="Calibri"/>
                <w:sz w:val="22"/>
                <w:szCs w:val="22"/>
                <w:lang w:val="sr-Latn-ME" w:bidi="en-US"/>
              </w:rPr>
              <w:t>-</w:t>
            </w:r>
            <w:r w:rsidR="00972FA9" w:rsidRPr="00F85CA6">
              <w:rPr>
                <w:rFonts w:eastAsia="Calibri"/>
                <w:sz w:val="22"/>
                <w:szCs w:val="22"/>
                <w:lang w:val="sr-Latn-ME" w:bidi="en-US"/>
              </w:rPr>
              <w:t xml:space="preserve"> </w:t>
            </w:r>
            <w:r w:rsidRPr="00F85CA6">
              <w:rPr>
                <w:rFonts w:eastAsia="Calibri"/>
                <w:sz w:val="22"/>
                <w:szCs w:val="22"/>
                <w:lang w:val="sr-Latn-ME" w:bidi="en-US"/>
              </w:rPr>
              <w:t>35 dana</w:t>
            </w:r>
          </w:p>
        </w:tc>
      </w:tr>
      <w:tr w:rsidR="00143607" w:rsidRPr="00F85CA6" w14:paraId="0691A925" w14:textId="77777777" w:rsidTr="00465864">
        <w:trPr>
          <w:trHeight w:val="20"/>
          <w:jc w:val="center"/>
        </w:trPr>
        <w:tc>
          <w:tcPr>
            <w:tcW w:w="1834" w:type="pct"/>
            <w:tcBorders>
              <w:top w:val="single" w:sz="4" w:space="0" w:color="auto"/>
              <w:left w:val="single" w:sz="4" w:space="0" w:color="auto"/>
              <w:bottom w:val="single" w:sz="4" w:space="0" w:color="auto"/>
            </w:tcBorders>
            <w:shd w:val="clear" w:color="auto" w:fill="auto"/>
            <w:vAlign w:val="center"/>
          </w:tcPr>
          <w:p w14:paraId="2AC37698" w14:textId="4DA4925A" w:rsidR="00143607" w:rsidRPr="00F85CA6" w:rsidRDefault="003E5AF3" w:rsidP="00143607">
            <w:pPr>
              <w:rPr>
                <w:rFonts w:eastAsia="Calibri"/>
                <w:sz w:val="22"/>
                <w:szCs w:val="22"/>
                <w:lang w:val="sr-Latn-ME" w:bidi="en-US"/>
              </w:rPr>
            </w:pPr>
            <w:r w:rsidRPr="00F85CA6">
              <w:rPr>
                <w:rFonts w:eastAsia="Calibri"/>
                <w:b/>
                <w:bCs/>
                <w:i/>
                <w:iCs/>
                <w:sz w:val="22"/>
                <w:szCs w:val="22"/>
                <w:u w:val="single"/>
                <w:lang w:val="sr-Latn-ME" w:bidi="en-US"/>
              </w:rPr>
              <w:t>Pre</w:t>
            </w:r>
            <w:r w:rsidR="00143607" w:rsidRPr="00F85CA6">
              <w:rPr>
                <w:rFonts w:eastAsia="Calibri"/>
                <w:b/>
                <w:bCs/>
                <w:i/>
                <w:iCs/>
                <w:sz w:val="22"/>
                <w:szCs w:val="22"/>
                <w:u w:val="single"/>
                <w:lang w:val="sr-Latn-ME" w:bidi="en-US"/>
              </w:rPr>
              <w:t>poručeno smanjenje doze</w:t>
            </w:r>
          </w:p>
        </w:tc>
        <w:tc>
          <w:tcPr>
            <w:tcW w:w="1093" w:type="pct"/>
            <w:tcBorders>
              <w:top w:val="single" w:sz="4" w:space="0" w:color="auto"/>
              <w:left w:val="single" w:sz="4" w:space="0" w:color="auto"/>
              <w:bottom w:val="single" w:sz="4" w:space="0" w:color="auto"/>
            </w:tcBorders>
            <w:shd w:val="clear" w:color="auto" w:fill="auto"/>
            <w:vAlign w:val="center"/>
          </w:tcPr>
          <w:p w14:paraId="27A96549" w14:textId="77777777" w:rsidR="00143607" w:rsidRPr="00F85CA6" w:rsidRDefault="00143607" w:rsidP="00143607">
            <w:pPr>
              <w:jc w:val="center"/>
              <w:rPr>
                <w:rFonts w:eastAsia="Calibri"/>
                <w:sz w:val="22"/>
                <w:szCs w:val="22"/>
                <w:lang w:val="sr-Latn-ME" w:bidi="en-US"/>
              </w:rPr>
            </w:pPr>
          </w:p>
        </w:tc>
        <w:tc>
          <w:tcPr>
            <w:tcW w:w="1092" w:type="pct"/>
            <w:tcBorders>
              <w:top w:val="single" w:sz="4" w:space="0" w:color="auto"/>
              <w:left w:val="single" w:sz="4" w:space="0" w:color="auto"/>
              <w:bottom w:val="single" w:sz="4" w:space="0" w:color="auto"/>
            </w:tcBorders>
            <w:shd w:val="clear" w:color="auto" w:fill="auto"/>
            <w:vAlign w:val="center"/>
          </w:tcPr>
          <w:p w14:paraId="289F609C" w14:textId="77777777" w:rsidR="00143607" w:rsidRPr="00F85CA6" w:rsidRDefault="00143607" w:rsidP="00143607">
            <w:pPr>
              <w:jc w:val="center"/>
              <w:rPr>
                <w:rFonts w:eastAsia="Calibri"/>
                <w:sz w:val="22"/>
                <w:szCs w:val="22"/>
                <w:lang w:val="sr-Latn-ME" w:bidi="en-US"/>
              </w:rPr>
            </w:pPr>
          </w:p>
        </w:tc>
        <w:tc>
          <w:tcPr>
            <w:tcW w:w="981" w:type="pct"/>
            <w:tcBorders>
              <w:top w:val="single" w:sz="4" w:space="0" w:color="auto"/>
              <w:left w:val="single" w:sz="4" w:space="0" w:color="auto"/>
              <w:bottom w:val="single" w:sz="4" w:space="0" w:color="auto"/>
              <w:right w:val="single" w:sz="4" w:space="0" w:color="auto"/>
            </w:tcBorders>
            <w:shd w:val="clear" w:color="auto" w:fill="auto"/>
            <w:vAlign w:val="center"/>
          </w:tcPr>
          <w:p w14:paraId="054A1844" w14:textId="77777777" w:rsidR="00143607" w:rsidRPr="00F85CA6" w:rsidRDefault="00143607" w:rsidP="00143607">
            <w:pPr>
              <w:jc w:val="center"/>
              <w:rPr>
                <w:rFonts w:eastAsia="Calibri"/>
                <w:sz w:val="22"/>
                <w:szCs w:val="22"/>
                <w:lang w:val="sr-Latn-ME" w:bidi="en-US"/>
              </w:rPr>
            </w:pPr>
          </w:p>
        </w:tc>
      </w:tr>
      <w:tr w:rsidR="00143607" w:rsidRPr="00F85CA6" w14:paraId="233D6A47" w14:textId="77777777" w:rsidTr="00465864">
        <w:trPr>
          <w:trHeight w:val="20"/>
          <w:jc w:val="center"/>
        </w:trPr>
        <w:tc>
          <w:tcPr>
            <w:tcW w:w="1834" w:type="pct"/>
            <w:tcBorders>
              <w:top w:val="single" w:sz="4" w:space="0" w:color="auto"/>
              <w:left w:val="single" w:sz="4" w:space="0" w:color="auto"/>
            </w:tcBorders>
            <w:shd w:val="clear" w:color="auto" w:fill="auto"/>
          </w:tcPr>
          <w:p w14:paraId="1D12AC03" w14:textId="3D8F7178" w:rsidR="00143607" w:rsidRPr="00F85CA6" w:rsidRDefault="00143607" w:rsidP="00143607">
            <w:pPr>
              <w:rPr>
                <w:rFonts w:eastAsia="Calibri"/>
                <w:sz w:val="22"/>
                <w:szCs w:val="22"/>
                <w:lang w:val="sr-Latn-ME" w:bidi="en-US"/>
              </w:rPr>
            </w:pPr>
            <w:r w:rsidRPr="00F85CA6">
              <w:rPr>
                <w:rFonts w:eastAsia="Calibri"/>
                <w:sz w:val="22"/>
                <w:szCs w:val="22"/>
                <w:lang w:val="sr-Latn-ME" w:bidi="en-US"/>
              </w:rPr>
              <w:t>Pacijenti sa um</w:t>
            </w:r>
            <w:r w:rsidR="00465864" w:rsidRPr="00F85CA6">
              <w:rPr>
                <w:rFonts w:eastAsia="Calibri"/>
                <w:sz w:val="22"/>
                <w:szCs w:val="22"/>
                <w:lang w:val="sr-Latn-ME" w:bidi="en-US"/>
              </w:rPr>
              <w:t>j</w:t>
            </w:r>
            <w:r w:rsidRPr="00F85CA6">
              <w:rPr>
                <w:rFonts w:eastAsia="Calibri"/>
                <w:sz w:val="22"/>
                <w:szCs w:val="22"/>
                <w:lang w:val="sr-Latn-ME" w:bidi="en-US"/>
              </w:rPr>
              <w:t>erenim oštećenjem funkcije bubrega (klirens kreatinina (CrCL) 30-50 m</w:t>
            </w:r>
            <w:r w:rsidR="00972FA9" w:rsidRPr="00F85CA6">
              <w:rPr>
                <w:rFonts w:eastAsia="Calibri"/>
                <w:sz w:val="22"/>
                <w:szCs w:val="22"/>
                <w:lang w:val="sr-Latn-ME" w:bidi="en-US"/>
              </w:rPr>
              <w:t>l</w:t>
            </w:r>
            <w:r w:rsidRPr="00F85CA6">
              <w:rPr>
                <w:rFonts w:eastAsia="Calibri"/>
                <w:sz w:val="22"/>
                <w:szCs w:val="22"/>
                <w:lang w:val="sr-Latn-ME" w:bidi="en-US"/>
              </w:rPr>
              <w:t>/min)</w:t>
            </w:r>
          </w:p>
        </w:tc>
        <w:tc>
          <w:tcPr>
            <w:tcW w:w="1093" w:type="pct"/>
            <w:vMerge w:val="restart"/>
            <w:tcBorders>
              <w:top w:val="single" w:sz="4" w:space="0" w:color="auto"/>
              <w:left w:val="single" w:sz="4" w:space="0" w:color="auto"/>
            </w:tcBorders>
            <w:shd w:val="clear" w:color="auto" w:fill="auto"/>
            <w:vAlign w:val="center"/>
          </w:tcPr>
          <w:p w14:paraId="705DB213" w14:textId="77777777" w:rsidR="00143607" w:rsidRPr="00F85CA6" w:rsidRDefault="00143607" w:rsidP="00143607">
            <w:pPr>
              <w:jc w:val="center"/>
              <w:rPr>
                <w:rFonts w:eastAsia="Calibri"/>
                <w:sz w:val="22"/>
                <w:szCs w:val="22"/>
                <w:lang w:val="sr-Latn-ME" w:bidi="en-US"/>
              </w:rPr>
            </w:pPr>
            <w:r w:rsidRPr="00F85CA6">
              <w:rPr>
                <w:rFonts w:eastAsia="Calibri"/>
                <w:sz w:val="22"/>
                <w:szCs w:val="22"/>
                <w:lang w:val="sr-Latn-ME" w:bidi="en-US"/>
              </w:rPr>
              <w:t>jedna kapsula dabigatraneteksilata od 75 mg**</w:t>
            </w:r>
          </w:p>
        </w:tc>
        <w:tc>
          <w:tcPr>
            <w:tcW w:w="1092" w:type="pct"/>
            <w:vMerge w:val="restart"/>
            <w:tcBorders>
              <w:top w:val="single" w:sz="4" w:space="0" w:color="auto"/>
              <w:left w:val="single" w:sz="4" w:space="0" w:color="auto"/>
            </w:tcBorders>
            <w:shd w:val="clear" w:color="auto" w:fill="auto"/>
            <w:vAlign w:val="center"/>
          </w:tcPr>
          <w:p w14:paraId="55856B94" w14:textId="77777777" w:rsidR="00143607" w:rsidRPr="00F85CA6" w:rsidRDefault="00143607" w:rsidP="00143607">
            <w:pPr>
              <w:jc w:val="center"/>
              <w:rPr>
                <w:rFonts w:eastAsia="Calibri"/>
                <w:sz w:val="22"/>
                <w:szCs w:val="22"/>
                <w:lang w:val="sr-Latn-ME" w:bidi="en-US"/>
              </w:rPr>
            </w:pPr>
            <w:r w:rsidRPr="00F85CA6">
              <w:rPr>
                <w:rFonts w:eastAsia="Calibri"/>
                <w:sz w:val="22"/>
                <w:szCs w:val="22"/>
                <w:lang w:val="sr-Latn-ME" w:bidi="en-US"/>
              </w:rPr>
              <w:t>150 mg dabigatraneteksilata uzetog jednom dnevno u obliku 2 kapsule od 75 mg**</w:t>
            </w:r>
          </w:p>
        </w:tc>
        <w:tc>
          <w:tcPr>
            <w:tcW w:w="981" w:type="pct"/>
            <w:vMerge w:val="restart"/>
            <w:tcBorders>
              <w:top w:val="single" w:sz="4" w:space="0" w:color="auto"/>
              <w:left w:val="single" w:sz="4" w:space="0" w:color="auto"/>
              <w:right w:val="single" w:sz="4" w:space="0" w:color="auto"/>
            </w:tcBorders>
            <w:shd w:val="clear" w:color="auto" w:fill="auto"/>
            <w:vAlign w:val="center"/>
          </w:tcPr>
          <w:p w14:paraId="7A7CDD29" w14:textId="7F02C9CA" w:rsidR="00143607" w:rsidRPr="00F85CA6" w:rsidRDefault="00143607" w:rsidP="00143607">
            <w:pPr>
              <w:jc w:val="center"/>
              <w:rPr>
                <w:rFonts w:eastAsia="Calibri"/>
                <w:sz w:val="22"/>
                <w:szCs w:val="22"/>
                <w:lang w:val="sr-Latn-ME" w:bidi="en-US"/>
              </w:rPr>
            </w:pPr>
            <w:r w:rsidRPr="00F85CA6">
              <w:rPr>
                <w:rFonts w:eastAsia="Calibri"/>
                <w:sz w:val="22"/>
                <w:szCs w:val="22"/>
                <w:lang w:val="sr-Latn-ME" w:bidi="en-US"/>
              </w:rPr>
              <w:t>10 dana (hirurški zahvat totalne zam</w:t>
            </w:r>
            <w:r w:rsidR="003E5AF3" w:rsidRPr="00F85CA6">
              <w:rPr>
                <w:rFonts w:eastAsia="Calibri"/>
                <w:sz w:val="22"/>
                <w:szCs w:val="22"/>
                <w:lang w:val="sr-Latn-ME" w:bidi="en-US"/>
              </w:rPr>
              <w:t>j</w:t>
            </w:r>
            <w:r w:rsidRPr="00F85CA6">
              <w:rPr>
                <w:rFonts w:eastAsia="Calibri"/>
                <w:sz w:val="22"/>
                <w:szCs w:val="22"/>
                <w:lang w:val="sr-Latn-ME" w:bidi="en-US"/>
              </w:rPr>
              <w:t>ene kol</w:t>
            </w:r>
            <w:r w:rsidR="003E5AF3" w:rsidRPr="00F85CA6">
              <w:rPr>
                <w:rFonts w:eastAsia="Calibri"/>
                <w:sz w:val="22"/>
                <w:szCs w:val="22"/>
                <w:lang w:val="sr-Latn-ME" w:bidi="en-US"/>
              </w:rPr>
              <w:t>j</w:t>
            </w:r>
            <w:r w:rsidRPr="00F85CA6">
              <w:rPr>
                <w:rFonts w:eastAsia="Calibri"/>
                <w:sz w:val="22"/>
                <w:szCs w:val="22"/>
                <w:lang w:val="sr-Latn-ME" w:bidi="en-US"/>
              </w:rPr>
              <w:t>ena) ili 28</w:t>
            </w:r>
            <w:r w:rsidR="00972FA9" w:rsidRPr="00F85CA6">
              <w:rPr>
                <w:rFonts w:eastAsia="Calibri"/>
                <w:sz w:val="22"/>
                <w:szCs w:val="22"/>
                <w:lang w:val="sr-Latn-ME" w:bidi="en-US"/>
              </w:rPr>
              <w:t xml:space="preserve"> </w:t>
            </w:r>
            <w:r w:rsidRPr="00F85CA6">
              <w:rPr>
                <w:rFonts w:eastAsia="Calibri"/>
                <w:sz w:val="22"/>
                <w:szCs w:val="22"/>
                <w:lang w:val="sr-Latn-ME" w:bidi="en-US"/>
              </w:rPr>
              <w:t>-</w:t>
            </w:r>
            <w:r w:rsidR="00972FA9" w:rsidRPr="00F85CA6">
              <w:rPr>
                <w:rFonts w:eastAsia="Calibri"/>
                <w:sz w:val="22"/>
                <w:szCs w:val="22"/>
                <w:lang w:val="sr-Latn-ME" w:bidi="en-US"/>
              </w:rPr>
              <w:t xml:space="preserve"> </w:t>
            </w:r>
            <w:r w:rsidRPr="00F85CA6">
              <w:rPr>
                <w:rFonts w:eastAsia="Calibri"/>
                <w:sz w:val="22"/>
                <w:szCs w:val="22"/>
                <w:lang w:val="sr-Latn-ME" w:bidi="en-US"/>
              </w:rPr>
              <w:t>35 dana (hirurški zahvat totalne zam</w:t>
            </w:r>
            <w:r w:rsidR="003E5AF3" w:rsidRPr="00F85CA6">
              <w:rPr>
                <w:rFonts w:eastAsia="Calibri"/>
                <w:sz w:val="22"/>
                <w:szCs w:val="22"/>
                <w:lang w:val="sr-Latn-ME" w:bidi="en-US"/>
              </w:rPr>
              <w:t>j</w:t>
            </w:r>
            <w:r w:rsidRPr="00F85CA6">
              <w:rPr>
                <w:rFonts w:eastAsia="Calibri"/>
                <w:sz w:val="22"/>
                <w:szCs w:val="22"/>
                <w:lang w:val="sr-Latn-ME" w:bidi="en-US"/>
              </w:rPr>
              <w:t>ene kuka)</w:t>
            </w:r>
          </w:p>
        </w:tc>
      </w:tr>
      <w:tr w:rsidR="00143607" w:rsidRPr="00F85CA6" w14:paraId="5BB3E9EB" w14:textId="77777777" w:rsidTr="00465864">
        <w:trPr>
          <w:trHeight w:val="20"/>
          <w:jc w:val="center"/>
        </w:trPr>
        <w:tc>
          <w:tcPr>
            <w:tcW w:w="1834" w:type="pct"/>
            <w:tcBorders>
              <w:top w:val="single" w:sz="4" w:space="0" w:color="auto"/>
              <w:left w:val="single" w:sz="4" w:space="0" w:color="auto"/>
            </w:tcBorders>
            <w:shd w:val="clear" w:color="auto" w:fill="auto"/>
          </w:tcPr>
          <w:p w14:paraId="0622ED5A" w14:textId="53DF275D" w:rsidR="00143607" w:rsidRPr="00F85CA6" w:rsidRDefault="00143607" w:rsidP="00143607">
            <w:pPr>
              <w:jc w:val="both"/>
              <w:rPr>
                <w:rFonts w:eastAsia="Calibri"/>
                <w:sz w:val="22"/>
                <w:szCs w:val="22"/>
                <w:lang w:val="sr-Latn-ME" w:bidi="en-US"/>
              </w:rPr>
            </w:pPr>
            <w:r w:rsidRPr="00F85CA6">
              <w:rPr>
                <w:rFonts w:eastAsia="Calibri"/>
                <w:sz w:val="22"/>
                <w:szCs w:val="22"/>
                <w:lang w:val="sr-Latn-ME" w:bidi="en-US"/>
              </w:rPr>
              <w:t xml:space="preserve">Pacijenti koji </w:t>
            </w:r>
            <w:r w:rsidR="007F0204" w:rsidRPr="00F85CA6">
              <w:rPr>
                <w:rFonts w:eastAsia="Calibri"/>
                <w:sz w:val="22"/>
                <w:szCs w:val="22"/>
                <w:lang w:val="sr-Latn-ME" w:bidi="en-US"/>
              </w:rPr>
              <w:t>istovremeno</w:t>
            </w:r>
            <w:r w:rsidRPr="00F85CA6">
              <w:rPr>
                <w:rFonts w:eastAsia="Calibri"/>
                <w:sz w:val="22"/>
                <w:szCs w:val="22"/>
                <w:lang w:val="sr-Latn-ME" w:bidi="en-US"/>
              </w:rPr>
              <w:t xml:space="preserve"> primaju verapamil*, amjodaron, hinidin</w:t>
            </w:r>
          </w:p>
        </w:tc>
        <w:tc>
          <w:tcPr>
            <w:tcW w:w="1093" w:type="pct"/>
            <w:vMerge/>
            <w:tcBorders>
              <w:left w:val="single" w:sz="4" w:space="0" w:color="auto"/>
            </w:tcBorders>
            <w:shd w:val="clear" w:color="auto" w:fill="auto"/>
            <w:vAlign w:val="center"/>
          </w:tcPr>
          <w:p w14:paraId="04F85B15" w14:textId="77777777" w:rsidR="00143607" w:rsidRPr="00F85CA6" w:rsidRDefault="00143607" w:rsidP="00143607">
            <w:pPr>
              <w:jc w:val="both"/>
              <w:rPr>
                <w:rFonts w:eastAsia="Calibri"/>
                <w:sz w:val="22"/>
                <w:szCs w:val="22"/>
                <w:lang w:val="sr-Latn-ME" w:bidi="en-US"/>
              </w:rPr>
            </w:pPr>
          </w:p>
        </w:tc>
        <w:tc>
          <w:tcPr>
            <w:tcW w:w="1092" w:type="pct"/>
            <w:vMerge/>
            <w:tcBorders>
              <w:left w:val="single" w:sz="4" w:space="0" w:color="auto"/>
            </w:tcBorders>
            <w:shd w:val="clear" w:color="auto" w:fill="auto"/>
            <w:vAlign w:val="center"/>
          </w:tcPr>
          <w:p w14:paraId="46CAEFBF" w14:textId="77777777" w:rsidR="00143607" w:rsidRPr="00F85CA6" w:rsidRDefault="00143607" w:rsidP="00143607">
            <w:pPr>
              <w:jc w:val="both"/>
              <w:rPr>
                <w:rFonts w:eastAsia="Calibri"/>
                <w:sz w:val="22"/>
                <w:szCs w:val="22"/>
                <w:lang w:val="sr-Latn-ME" w:bidi="en-US"/>
              </w:rPr>
            </w:pPr>
          </w:p>
        </w:tc>
        <w:tc>
          <w:tcPr>
            <w:tcW w:w="981" w:type="pct"/>
            <w:vMerge/>
            <w:tcBorders>
              <w:left w:val="single" w:sz="4" w:space="0" w:color="auto"/>
              <w:right w:val="single" w:sz="4" w:space="0" w:color="auto"/>
            </w:tcBorders>
            <w:shd w:val="clear" w:color="auto" w:fill="auto"/>
            <w:vAlign w:val="center"/>
          </w:tcPr>
          <w:p w14:paraId="725C5849" w14:textId="77777777" w:rsidR="00143607" w:rsidRPr="00F85CA6" w:rsidRDefault="00143607" w:rsidP="00143607">
            <w:pPr>
              <w:jc w:val="both"/>
              <w:rPr>
                <w:rFonts w:eastAsia="Calibri"/>
                <w:sz w:val="22"/>
                <w:szCs w:val="22"/>
                <w:lang w:val="sr-Latn-ME" w:bidi="en-US"/>
              </w:rPr>
            </w:pPr>
          </w:p>
        </w:tc>
      </w:tr>
      <w:tr w:rsidR="00143607" w:rsidRPr="00F85CA6" w14:paraId="15954A26" w14:textId="77777777" w:rsidTr="00465864">
        <w:trPr>
          <w:trHeight w:val="20"/>
          <w:jc w:val="center"/>
        </w:trPr>
        <w:tc>
          <w:tcPr>
            <w:tcW w:w="1834" w:type="pct"/>
            <w:tcBorders>
              <w:top w:val="single" w:sz="4" w:space="0" w:color="auto"/>
              <w:left w:val="single" w:sz="4" w:space="0" w:color="auto"/>
              <w:bottom w:val="single" w:sz="4" w:space="0" w:color="auto"/>
            </w:tcBorders>
            <w:shd w:val="clear" w:color="auto" w:fill="auto"/>
          </w:tcPr>
          <w:p w14:paraId="2021D0E3" w14:textId="77777777" w:rsidR="00143607" w:rsidRPr="00F85CA6" w:rsidRDefault="00143607" w:rsidP="00143607">
            <w:pPr>
              <w:jc w:val="both"/>
              <w:rPr>
                <w:rFonts w:eastAsia="Calibri"/>
                <w:sz w:val="22"/>
                <w:szCs w:val="22"/>
                <w:lang w:val="sr-Latn-ME" w:bidi="en-US"/>
              </w:rPr>
            </w:pPr>
            <w:r w:rsidRPr="00F85CA6">
              <w:rPr>
                <w:rFonts w:eastAsia="Calibri"/>
                <w:sz w:val="22"/>
                <w:szCs w:val="22"/>
                <w:lang w:val="sr-Latn-ME" w:bidi="en-US"/>
              </w:rPr>
              <w:t>Pacijenti stari 75 godina ili više</w:t>
            </w:r>
          </w:p>
        </w:tc>
        <w:tc>
          <w:tcPr>
            <w:tcW w:w="1093" w:type="pct"/>
            <w:vMerge/>
            <w:tcBorders>
              <w:left w:val="single" w:sz="4" w:space="0" w:color="auto"/>
              <w:bottom w:val="single" w:sz="4" w:space="0" w:color="auto"/>
            </w:tcBorders>
            <w:shd w:val="clear" w:color="auto" w:fill="auto"/>
            <w:vAlign w:val="center"/>
          </w:tcPr>
          <w:p w14:paraId="4C575940" w14:textId="77777777" w:rsidR="00143607" w:rsidRPr="00F85CA6" w:rsidRDefault="00143607" w:rsidP="00143607">
            <w:pPr>
              <w:jc w:val="both"/>
              <w:rPr>
                <w:rFonts w:eastAsia="Calibri"/>
                <w:sz w:val="22"/>
                <w:szCs w:val="22"/>
                <w:lang w:val="sr-Latn-ME" w:bidi="en-US"/>
              </w:rPr>
            </w:pPr>
          </w:p>
        </w:tc>
        <w:tc>
          <w:tcPr>
            <w:tcW w:w="1092" w:type="pct"/>
            <w:vMerge/>
            <w:tcBorders>
              <w:left w:val="single" w:sz="4" w:space="0" w:color="auto"/>
              <w:bottom w:val="single" w:sz="4" w:space="0" w:color="auto"/>
            </w:tcBorders>
            <w:shd w:val="clear" w:color="auto" w:fill="auto"/>
            <w:vAlign w:val="center"/>
          </w:tcPr>
          <w:p w14:paraId="4E07BC59" w14:textId="77777777" w:rsidR="00143607" w:rsidRPr="00F85CA6" w:rsidRDefault="00143607" w:rsidP="00143607">
            <w:pPr>
              <w:jc w:val="both"/>
              <w:rPr>
                <w:rFonts w:eastAsia="Calibri"/>
                <w:sz w:val="22"/>
                <w:szCs w:val="22"/>
                <w:lang w:val="sr-Latn-ME" w:bidi="en-US"/>
              </w:rPr>
            </w:pPr>
          </w:p>
        </w:tc>
        <w:tc>
          <w:tcPr>
            <w:tcW w:w="981" w:type="pct"/>
            <w:vMerge/>
            <w:tcBorders>
              <w:left w:val="single" w:sz="4" w:space="0" w:color="auto"/>
              <w:bottom w:val="single" w:sz="4" w:space="0" w:color="auto"/>
              <w:right w:val="single" w:sz="4" w:space="0" w:color="auto"/>
            </w:tcBorders>
            <w:shd w:val="clear" w:color="auto" w:fill="auto"/>
            <w:vAlign w:val="center"/>
          </w:tcPr>
          <w:p w14:paraId="19D182D8" w14:textId="77777777" w:rsidR="00143607" w:rsidRPr="00F85CA6" w:rsidRDefault="00143607" w:rsidP="00143607">
            <w:pPr>
              <w:jc w:val="both"/>
              <w:rPr>
                <w:rFonts w:eastAsia="Calibri"/>
                <w:sz w:val="22"/>
                <w:szCs w:val="22"/>
                <w:lang w:val="sr-Latn-ME" w:bidi="en-US"/>
              </w:rPr>
            </w:pPr>
          </w:p>
        </w:tc>
      </w:tr>
    </w:tbl>
    <w:p w14:paraId="1B4A57B1" w14:textId="29B7F643" w:rsidR="00143607" w:rsidRPr="00F85CA6" w:rsidRDefault="00143607" w:rsidP="001239C3">
      <w:pPr>
        <w:jc w:val="both"/>
        <w:rPr>
          <w:rFonts w:eastAsia="Calibri"/>
          <w:bCs/>
          <w:iCs/>
          <w:sz w:val="22"/>
          <w:szCs w:val="22"/>
          <w:lang w:val="sr-Latn-ME"/>
        </w:rPr>
      </w:pPr>
      <w:r w:rsidRPr="00F85CA6">
        <w:rPr>
          <w:rFonts w:eastAsia="Calibri"/>
          <w:bCs/>
          <w:iCs/>
          <w:sz w:val="22"/>
          <w:szCs w:val="22"/>
          <w:lang w:val="sr-Latn-ME"/>
        </w:rPr>
        <w:t>*Za pacijente sa um</w:t>
      </w:r>
      <w:r w:rsidR="00465864" w:rsidRPr="00F85CA6">
        <w:rPr>
          <w:rFonts w:eastAsia="Calibri"/>
          <w:bCs/>
          <w:iCs/>
          <w:sz w:val="22"/>
          <w:szCs w:val="22"/>
          <w:lang w:val="sr-Latn-ME"/>
        </w:rPr>
        <w:t>j</w:t>
      </w:r>
      <w:r w:rsidRPr="00F85CA6">
        <w:rPr>
          <w:rFonts w:eastAsia="Calibri"/>
          <w:bCs/>
          <w:iCs/>
          <w:sz w:val="22"/>
          <w:szCs w:val="22"/>
          <w:lang w:val="sr-Latn-ME"/>
        </w:rPr>
        <w:t xml:space="preserve">erenim oštećenjem funkcije bubrega koji se </w:t>
      </w:r>
      <w:r w:rsidR="007F0204" w:rsidRPr="00F85CA6">
        <w:rPr>
          <w:rFonts w:eastAsia="Calibri"/>
          <w:bCs/>
          <w:iCs/>
          <w:sz w:val="22"/>
          <w:szCs w:val="22"/>
          <w:lang w:val="sr-Latn-ME"/>
        </w:rPr>
        <w:t>istovremeno</w:t>
      </w:r>
      <w:r w:rsidRPr="00F85CA6">
        <w:rPr>
          <w:rFonts w:eastAsia="Calibri"/>
          <w:bCs/>
          <w:iCs/>
          <w:sz w:val="22"/>
          <w:szCs w:val="22"/>
          <w:lang w:val="sr-Latn-ME"/>
        </w:rPr>
        <w:t xml:space="preserve"> l</w:t>
      </w:r>
      <w:r w:rsidR="003E5AF3" w:rsidRPr="00F85CA6">
        <w:rPr>
          <w:rFonts w:eastAsia="Calibri"/>
          <w:bCs/>
          <w:iCs/>
          <w:sz w:val="22"/>
          <w:szCs w:val="22"/>
          <w:lang w:val="sr-Latn-ME"/>
        </w:rPr>
        <w:t>ij</w:t>
      </w:r>
      <w:r w:rsidRPr="00F85CA6">
        <w:rPr>
          <w:rFonts w:eastAsia="Calibri"/>
          <w:bCs/>
          <w:iCs/>
          <w:sz w:val="22"/>
          <w:szCs w:val="22"/>
          <w:lang w:val="sr-Latn-ME"/>
        </w:rPr>
        <w:t>eče verapamilom, vid</w:t>
      </w:r>
      <w:r w:rsidR="003E5AF3" w:rsidRPr="00F85CA6">
        <w:rPr>
          <w:rFonts w:eastAsia="Calibri"/>
          <w:bCs/>
          <w:iCs/>
          <w:sz w:val="22"/>
          <w:szCs w:val="22"/>
          <w:lang w:val="sr-Latn-ME"/>
        </w:rPr>
        <w:t>j</w:t>
      </w:r>
      <w:r w:rsidRPr="00F85CA6">
        <w:rPr>
          <w:rFonts w:eastAsia="Calibri"/>
          <w:bCs/>
          <w:iCs/>
          <w:sz w:val="22"/>
          <w:szCs w:val="22"/>
          <w:lang w:val="sr-Latn-ME"/>
        </w:rPr>
        <w:t>eti Posebne populacije.</w:t>
      </w:r>
    </w:p>
    <w:p w14:paraId="0E12EA82" w14:textId="4300DC37" w:rsidR="00143607" w:rsidRPr="00F85CA6" w:rsidRDefault="00143607" w:rsidP="00972FA9">
      <w:pPr>
        <w:jc w:val="both"/>
        <w:rPr>
          <w:rFonts w:eastAsia="Calibri"/>
          <w:sz w:val="22"/>
          <w:szCs w:val="22"/>
          <w:lang w:val="sr-Latn-ME"/>
        </w:rPr>
      </w:pPr>
      <w:r w:rsidRPr="00F85CA6">
        <w:rPr>
          <w:rFonts w:eastAsia="Calibri"/>
          <w:bCs/>
          <w:iCs/>
          <w:sz w:val="22"/>
          <w:szCs w:val="22"/>
          <w:lang w:val="sr-Latn-ME"/>
        </w:rPr>
        <w:t>*</w:t>
      </w:r>
      <w:bookmarkStart w:id="2" w:name="_Hlk65678424"/>
      <w:r w:rsidRPr="00F85CA6">
        <w:rPr>
          <w:rFonts w:eastAsia="Calibri"/>
          <w:bCs/>
          <w:iCs/>
          <w:sz w:val="22"/>
          <w:szCs w:val="22"/>
          <w:lang w:val="sr-Latn-ME"/>
        </w:rPr>
        <w:t>*Doza l</w:t>
      </w:r>
      <w:r w:rsidR="003E5AF3" w:rsidRPr="00F85CA6">
        <w:rPr>
          <w:rFonts w:eastAsia="Calibri"/>
          <w:bCs/>
          <w:iCs/>
          <w:sz w:val="22"/>
          <w:szCs w:val="22"/>
          <w:lang w:val="sr-Latn-ME"/>
        </w:rPr>
        <w:t>ij</w:t>
      </w:r>
      <w:r w:rsidRPr="00F85CA6">
        <w:rPr>
          <w:rFonts w:eastAsia="Calibri"/>
          <w:bCs/>
          <w:iCs/>
          <w:sz w:val="22"/>
          <w:szCs w:val="22"/>
          <w:lang w:val="sr-Latn-ME"/>
        </w:rPr>
        <w:t xml:space="preserve">eka </w:t>
      </w:r>
      <w:r w:rsidRPr="00F85CA6">
        <w:rPr>
          <w:rFonts w:eastAsia="Calibri"/>
          <w:sz w:val="22"/>
          <w:szCs w:val="22"/>
          <w:lang w:val="sr-Latn-ME"/>
        </w:rPr>
        <w:t>BEREVIN od 75 mg nije dostupna i stoga to nije pogodno za gore</w:t>
      </w:r>
      <w:r w:rsidR="00972FA9" w:rsidRPr="00F85CA6">
        <w:rPr>
          <w:rFonts w:eastAsia="Calibri"/>
          <w:sz w:val="22"/>
          <w:szCs w:val="22"/>
          <w:lang w:val="sr-Latn-ME"/>
        </w:rPr>
        <w:t xml:space="preserve"> </w:t>
      </w:r>
      <w:r w:rsidRPr="00F85CA6">
        <w:rPr>
          <w:rFonts w:eastAsia="Calibri"/>
          <w:sz w:val="22"/>
          <w:szCs w:val="22"/>
          <w:lang w:val="sr-Latn-ME"/>
        </w:rPr>
        <w:t>navedene grupe pacijenata</w:t>
      </w:r>
      <w:r w:rsidRPr="00F85CA6">
        <w:rPr>
          <w:rFonts w:eastAsia="Calibri"/>
          <w:bCs/>
          <w:iCs/>
          <w:sz w:val="22"/>
          <w:szCs w:val="22"/>
          <w:lang w:val="sr-Latn-ME"/>
        </w:rPr>
        <w:t>. Kod tih pacijenata treba koristiti druge l</w:t>
      </w:r>
      <w:r w:rsidR="003E5AF3" w:rsidRPr="00F85CA6">
        <w:rPr>
          <w:rFonts w:eastAsia="Calibri"/>
          <w:bCs/>
          <w:iCs/>
          <w:sz w:val="22"/>
          <w:szCs w:val="22"/>
          <w:lang w:val="sr-Latn-ME"/>
        </w:rPr>
        <w:t>j</w:t>
      </w:r>
      <w:r w:rsidRPr="00F85CA6">
        <w:rPr>
          <w:rFonts w:eastAsia="Calibri"/>
          <w:bCs/>
          <w:iCs/>
          <w:sz w:val="22"/>
          <w:szCs w:val="22"/>
          <w:lang w:val="sr-Latn-ME"/>
        </w:rPr>
        <w:t>ekove koji sadrže 75 mg dabigatraneteksilata.</w:t>
      </w:r>
      <w:bookmarkEnd w:id="2"/>
    </w:p>
    <w:p w14:paraId="06BB4277" w14:textId="77777777" w:rsidR="00143607" w:rsidRPr="00F85CA6" w:rsidRDefault="00143607" w:rsidP="002E54BA">
      <w:pPr>
        <w:jc w:val="both"/>
        <w:rPr>
          <w:rFonts w:eastAsia="Calibri"/>
          <w:sz w:val="22"/>
          <w:szCs w:val="22"/>
          <w:lang w:val="sr-Latn-ME" w:bidi="en-US"/>
        </w:rPr>
      </w:pPr>
    </w:p>
    <w:p w14:paraId="58F17C69" w14:textId="77777777" w:rsidR="00143607" w:rsidRPr="00F85CA6" w:rsidRDefault="00143607" w:rsidP="000A69CA">
      <w:pPr>
        <w:jc w:val="both"/>
        <w:rPr>
          <w:rFonts w:eastAsia="Calibri"/>
          <w:sz w:val="22"/>
          <w:szCs w:val="22"/>
          <w:lang w:val="sr-Latn-ME"/>
        </w:rPr>
      </w:pPr>
      <w:r w:rsidRPr="00F85CA6">
        <w:rPr>
          <w:rFonts w:eastAsia="Calibri"/>
          <w:sz w:val="22"/>
          <w:szCs w:val="22"/>
          <w:lang w:val="sr-Latn-ME"/>
        </w:rPr>
        <w:t>Ukoliko hemostaza nije postignuta, kod oba hirurška zahvata potrebno je odložiti početak terapije. Ukoliko terapija ne počne na dan hirurškog zahvata tada terapija treba da se započne sa 2 kapsule jednom dnevno.</w:t>
      </w:r>
    </w:p>
    <w:p w14:paraId="0A82D9C4" w14:textId="77777777" w:rsidR="00143607" w:rsidRPr="00F85CA6" w:rsidRDefault="00143607" w:rsidP="00685312">
      <w:pPr>
        <w:tabs>
          <w:tab w:val="left" w:pos="540"/>
          <w:tab w:val="left" w:pos="569"/>
        </w:tabs>
        <w:jc w:val="both"/>
        <w:rPr>
          <w:bCs/>
          <w:sz w:val="22"/>
          <w:szCs w:val="22"/>
          <w:u w:val="single"/>
          <w:lang w:val="sr-Latn-ME"/>
        </w:rPr>
      </w:pPr>
    </w:p>
    <w:p w14:paraId="74BD1760" w14:textId="1A1F1837" w:rsidR="00143607" w:rsidRPr="00F85CA6" w:rsidRDefault="00143607" w:rsidP="001239C3">
      <w:pPr>
        <w:jc w:val="both"/>
        <w:rPr>
          <w:rFonts w:eastAsia="Calibri"/>
          <w:i/>
          <w:sz w:val="22"/>
          <w:szCs w:val="22"/>
          <w:u w:val="single"/>
          <w:lang w:val="sr-Latn-ME"/>
        </w:rPr>
      </w:pPr>
      <w:r w:rsidRPr="00F85CA6">
        <w:rPr>
          <w:rFonts w:eastAsia="Calibri"/>
          <w:i/>
          <w:sz w:val="22"/>
          <w:szCs w:val="22"/>
          <w:u w:val="single"/>
          <w:lang w:val="sr-Latn-ME"/>
        </w:rPr>
        <w:t>Proc</w:t>
      </w:r>
      <w:r w:rsidR="003E5AF3" w:rsidRPr="00F85CA6">
        <w:rPr>
          <w:rFonts w:eastAsia="Calibri"/>
          <w:i/>
          <w:sz w:val="22"/>
          <w:szCs w:val="22"/>
          <w:u w:val="single"/>
          <w:lang w:val="sr-Latn-ME"/>
        </w:rPr>
        <w:t>j</w:t>
      </w:r>
      <w:r w:rsidRPr="00F85CA6">
        <w:rPr>
          <w:rFonts w:eastAsia="Calibri"/>
          <w:i/>
          <w:sz w:val="22"/>
          <w:szCs w:val="22"/>
          <w:u w:val="single"/>
          <w:lang w:val="sr-Latn-ME"/>
        </w:rPr>
        <w:t xml:space="preserve">ena bubrežne funkcije </w:t>
      </w:r>
      <w:r w:rsidR="003E5AF3" w:rsidRPr="00F85CA6">
        <w:rPr>
          <w:rFonts w:eastAsia="Calibri"/>
          <w:i/>
          <w:sz w:val="22"/>
          <w:szCs w:val="22"/>
          <w:u w:val="single"/>
          <w:lang w:val="sr-Latn-ME"/>
        </w:rPr>
        <w:t>prije</w:t>
      </w:r>
      <w:r w:rsidRPr="00F85CA6">
        <w:rPr>
          <w:rFonts w:eastAsia="Calibri"/>
          <w:i/>
          <w:sz w:val="22"/>
          <w:szCs w:val="22"/>
          <w:u w:val="single"/>
          <w:lang w:val="sr-Latn-ME"/>
        </w:rPr>
        <w:t xml:space="preserve"> i tokom terapije dabigatraneteksilatom</w:t>
      </w:r>
    </w:p>
    <w:p w14:paraId="1536C426" w14:textId="77777777" w:rsidR="00143607" w:rsidRPr="00F85CA6" w:rsidRDefault="00143607" w:rsidP="00972FA9">
      <w:pPr>
        <w:jc w:val="both"/>
        <w:rPr>
          <w:rFonts w:eastAsia="Calibri"/>
          <w:i/>
          <w:sz w:val="22"/>
          <w:szCs w:val="22"/>
          <w:u w:val="single"/>
          <w:lang w:val="sr-Latn-ME"/>
        </w:rPr>
      </w:pPr>
    </w:p>
    <w:p w14:paraId="710FAC76" w14:textId="77777777" w:rsidR="00143607" w:rsidRPr="00F85CA6" w:rsidRDefault="00143607" w:rsidP="002E54BA">
      <w:pPr>
        <w:jc w:val="both"/>
        <w:rPr>
          <w:rFonts w:eastAsia="Calibri"/>
          <w:sz w:val="22"/>
          <w:szCs w:val="22"/>
          <w:lang w:val="sr-Latn-ME"/>
        </w:rPr>
      </w:pPr>
      <w:r w:rsidRPr="00F85CA6">
        <w:rPr>
          <w:rFonts w:eastAsia="Calibri"/>
          <w:sz w:val="22"/>
          <w:szCs w:val="22"/>
          <w:lang w:val="sr-Latn-ME"/>
        </w:rPr>
        <w:t>Kod svih pacijenata, a posebno kod starijih osoba (&gt; 75 godina), jer oštećenje funkcije bubrega može biti često u ovoj starosnoj grupi:</w:t>
      </w:r>
    </w:p>
    <w:p w14:paraId="01580FBA" w14:textId="766200C4" w:rsidR="00143607" w:rsidRPr="00F85CA6" w:rsidRDefault="00143607" w:rsidP="000A69CA">
      <w:pPr>
        <w:widowControl w:val="0"/>
        <w:numPr>
          <w:ilvl w:val="0"/>
          <w:numId w:val="12"/>
        </w:numPr>
        <w:tabs>
          <w:tab w:val="left" w:pos="562"/>
        </w:tabs>
        <w:spacing w:after="160" w:line="259" w:lineRule="auto"/>
        <w:ind w:left="567" w:hanging="567"/>
        <w:contextualSpacing/>
        <w:jc w:val="both"/>
        <w:rPr>
          <w:color w:val="000000"/>
          <w:sz w:val="22"/>
          <w:szCs w:val="22"/>
          <w:lang w:val="sr-Latn-ME" w:bidi="en-US"/>
        </w:rPr>
      </w:pPr>
      <w:r w:rsidRPr="00F85CA6">
        <w:rPr>
          <w:color w:val="000000"/>
          <w:sz w:val="22"/>
          <w:szCs w:val="22"/>
          <w:lang w:val="sr-Latn-ME" w:bidi="en-US"/>
        </w:rPr>
        <w:t>Bubrežnu funkciju treba proc</w:t>
      </w:r>
      <w:r w:rsidR="003E5AF3" w:rsidRPr="00F85CA6">
        <w:rPr>
          <w:color w:val="000000"/>
          <w:sz w:val="22"/>
          <w:szCs w:val="22"/>
          <w:lang w:val="sr-Latn-ME" w:bidi="en-US"/>
        </w:rPr>
        <w:t>j</w:t>
      </w:r>
      <w:r w:rsidRPr="00F85CA6">
        <w:rPr>
          <w:color w:val="000000"/>
          <w:sz w:val="22"/>
          <w:szCs w:val="22"/>
          <w:lang w:val="sr-Latn-ME" w:bidi="en-US"/>
        </w:rPr>
        <w:t>enjivati izračunavanjem klirensa kreatinina (CrCL) pr</w:t>
      </w:r>
      <w:r w:rsidR="003E5AF3" w:rsidRPr="00F85CA6">
        <w:rPr>
          <w:color w:val="000000"/>
          <w:sz w:val="22"/>
          <w:szCs w:val="22"/>
          <w:lang w:val="sr-Latn-ME" w:bidi="en-US"/>
        </w:rPr>
        <w:t>ij</w:t>
      </w:r>
      <w:r w:rsidRPr="00F85CA6">
        <w:rPr>
          <w:color w:val="000000"/>
          <w:sz w:val="22"/>
          <w:szCs w:val="22"/>
          <w:lang w:val="sr-Latn-ME" w:bidi="en-US"/>
        </w:rPr>
        <w:t xml:space="preserve">e započinjanja terapije dabigatraneteksilatom </w:t>
      </w:r>
      <w:bookmarkStart w:id="3" w:name="_Hlk82688631"/>
      <w:r w:rsidRPr="00F85CA6">
        <w:rPr>
          <w:color w:val="000000"/>
          <w:sz w:val="22"/>
          <w:szCs w:val="22"/>
          <w:lang w:val="sr-Latn-ME" w:bidi="en-US"/>
        </w:rPr>
        <w:t>kako bi se isključili pacijenti sa teškim oštećenjem funkcije bubrega (tj. CrCL &lt; 30 m</w:t>
      </w:r>
      <w:r w:rsidR="00972FA9" w:rsidRPr="00F85CA6">
        <w:rPr>
          <w:color w:val="000000"/>
          <w:sz w:val="22"/>
          <w:szCs w:val="22"/>
          <w:lang w:val="sr-Latn-ME" w:bidi="en-US"/>
        </w:rPr>
        <w:t>l</w:t>
      </w:r>
      <w:r w:rsidRPr="00F85CA6">
        <w:rPr>
          <w:color w:val="000000"/>
          <w:sz w:val="22"/>
          <w:szCs w:val="22"/>
          <w:lang w:val="sr-Latn-ME" w:bidi="en-US"/>
        </w:rPr>
        <w:t xml:space="preserve">/min) </w:t>
      </w:r>
      <w:bookmarkEnd w:id="3"/>
      <w:r w:rsidRPr="00F85CA6">
        <w:rPr>
          <w:color w:val="000000"/>
          <w:sz w:val="22"/>
          <w:szCs w:val="22"/>
          <w:lang w:val="sr-Latn-ME" w:bidi="en-US"/>
        </w:rPr>
        <w:t>(vid</w:t>
      </w:r>
      <w:r w:rsidR="003E5AF3" w:rsidRPr="00F85CA6">
        <w:rPr>
          <w:color w:val="000000"/>
          <w:sz w:val="22"/>
          <w:szCs w:val="22"/>
          <w:lang w:val="sr-Latn-ME" w:bidi="en-US"/>
        </w:rPr>
        <w:t>j</w:t>
      </w:r>
      <w:r w:rsidRPr="00F85CA6">
        <w:rPr>
          <w:color w:val="000000"/>
          <w:sz w:val="22"/>
          <w:szCs w:val="22"/>
          <w:lang w:val="sr-Latn-ME" w:bidi="en-US"/>
        </w:rPr>
        <w:t xml:space="preserve">eti </w:t>
      </w:r>
      <w:r w:rsidR="00FC0ECE" w:rsidRPr="00F85CA6">
        <w:rPr>
          <w:color w:val="000000"/>
          <w:sz w:val="22"/>
          <w:szCs w:val="22"/>
          <w:lang w:val="sr-Latn-ME" w:bidi="en-US"/>
        </w:rPr>
        <w:t>djelove</w:t>
      </w:r>
      <w:r w:rsidRPr="00F85CA6">
        <w:rPr>
          <w:color w:val="000000"/>
          <w:sz w:val="22"/>
          <w:szCs w:val="22"/>
          <w:lang w:val="sr-Latn-ME" w:bidi="en-US"/>
        </w:rPr>
        <w:t xml:space="preserve"> 4.3, 4.4 i 5.2).</w:t>
      </w:r>
    </w:p>
    <w:p w14:paraId="2A5FF291" w14:textId="5A3DFEC8" w:rsidR="00143607" w:rsidRPr="00F85CA6" w:rsidRDefault="00143607" w:rsidP="000A69CA">
      <w:pPr>
        <w:widowControl w:val="0"/>
        <w:numPr>
          <w:ilvl w:val="0"/>
          <w:numId w:val="12"/>
        </w:numPr>
        <w:tabs>
          <w:tab w:val="left" w:pos="562"/>
        </w:tabs>
        <w:spacing w:after="160" w:line="259" w:lineRule="auto"/>
        <w:ind w:left="567" w:hanging="567"/>
        <w:contextualSpacing/>
        <w:jc w:val="both"/>
        <w:rPr>
          <w:color w:val="000000"/>
          <w:sz w:val="22"/>
          <w:szCs w:val="22"/>
          <w:lang w:val="sr-Latn-ME" w:bidi="en-US"/>
        </w:rPr>
      </w:pPr>
      <w:r w:rsidRPr="00F85CA6">
        <w:rPr>
          <w:color w:val="000000"/>
          <w:sz w:val="22"/>
          <w:szCs w:val="22"/>
          <w:lang w:val="sr-Latn-ME" w:bidi="en-US"/>
        </w:rPr>
        <w:t>Bubrežnu funkciju takođe treba proc</w:t>
      </w:r>
      <w:r w:rsidR="00EC0807" w:rsidRPr="00F85CA6">
        <w:rPr>
          <w:color w:val="000000"/>
          <w:sz w:val="22"/>
          <w:szCs w:val="22"/>
          <w:lang w:val="sr-Latn-ME" w:bidi="en-US"/>
        </w:rPr>
        <w:t>j</w:t>
      </w:r>
      <w:r w:rsidRPr="00F85CA6">
        <w:rPr>
          <w:color w:val="000000"/>
          <w:sz w:val="22"/>
          <w:szCs w:val="22"/>
          <w:lang w:val="sr-Latn-ME" w:bidi="en-US"/>
        </w:rPr>
        <w:t>enjivati kada se sumnja na slabljenje funkcije bubrega tokom terapije (npr. hipovolemija, dehidratacija i u slučaju isto</w:t>
      </w:r>
      <w:r w:rsidR="003E5AF3" w:rsidRPr="00F85CA6">
        <w:rPr>
          <w:color w:val="000000"/>
          <w:sz w:val="22"/>
          <w:szCs w:val="22"/>
          <w:lang w:val="sr-Latn-ME" w:bidi="en-US"/>
        </w:rPr>
        <w:t>vreme</w:t>
      </w:r>
      <w:r w:rsidRPr="00F85CA6">
        <w:rPr>
          <w:color w:val="000000"/>
          <w:sz w:val="22"/>
          <w:szCs w:val="22"/>
          <w:lang w:val="sr-Latn-ME" w:bidi="en-US"/>
        </w:rPr>
        <w:t>ne prim</w:t>
      </w:r>
      <w:r w:rsidR="003E5AF3" w:rsidRPr="00F85CA6">
        <w:rPr>
          <w:color w:val="000000"/>
          <w:sz w:val="22"/>
          <w:szCs w:val="22"/>
          <w:lang w:val="sr-Latn-ME" w:bidi="en-US"/>
        </w:rPr>
        <w:t>j</w:t>
      </w:r>
      <w:r w:rsidRPr="00F85CA6">
        <w:rPr>
          <w:color w:val="000000"/>
          <w:sz w:val="22"/>
          <w:szCs w:val="22"/>
          <w:lang w:val="sr-Latn-ME" w:bidi="en-US"/>
        </w:rPr>
        <w:t>ene određenih l</w:t>
      </w:r>
      <w:r w:rsidR="003E5AF3" w:rsidRPr="00F85CA6">
        <w:rPr>
          <w:color w:val="000000"/>
          <w:sz w:val="22"/>
          <w:szCs w:val="22"/>
          <w:lang w:val="sr-Latn-ME" w:bidi="en-US"/>
        </w:rPr>
        <w:t>j</w:t>
      </w:r>
      <w:r w:rsidRPr="00F85CA6">
        <w:rPr>
          <w:color w:val="000000"/>
          <w:sz w:val="22"/>
          <w:szCs w:val="22"/>
          <w:lang w:val="sr-Latn-ME" w:bidi="en-US"/>
        </w:rPr>
        <w:t>ekova).</w:t>
      </w:r>
    </w:p>
    <w:p w14:paraId="3DE96DA8" w14:textId="77777777" w:rsidR="00143607" w:rsidRPr="00F85CA6" w:rsidRDefault="00143607" w:rsidP="00FC0882">
      <w:pPr>
        <w:jc w:val="both"/>
        <w:rPr>
          <w:rFonts w:eastAsia="Calibri"/>
          <w:sz w:val="22"/>
          <w:szCs w:val="22"/>
          <w:lang w:val="sr-Latn-ME"/>
        </w:rPr>
      </w:pPr>
    </w:p>
    <w:p w14:paraId="3F20A83A" w14:textId="1AC02A62" w:rsidR="00143607" w:rsidRPr="00F85CA6" w:rsidRDefault="00143607" w:rsidP="003A2ACB">
      <w:pPr>
        <w:jc w:val="both"/>
        <w:rPr>
          <w:rFonts w:eastAsia="Calibri"/>
          <w:sz w:val="22"/>
          <w:szCs w:val="22"/>
          <w:lang w:val="sr-Latn-ME"/>
        </w:rPr>
      </w:pPr>
      <w:r w:rsidRPr="00F85CA6">
        <w:rPr>
          <w:rFonts w:eastAsia="Calibri"/>
          <w:sz w:val="22"/>
          <w:szCs w:val="22"/>
          <w:lang w:val="sr-Latn-ME"/>
        </w:rPr>
        <w:t>Za proc</w:t>
      </w:r>
      <w:r w:rsidR="003E5AF3" w:rsidRPr="00F85CA6">
        <w:rPr>
          <w:rFonts w:eastAsia="Calibri"/>
          <w:sz w:val="22"/>
          <w:szCs w:val="22"/>
          <w:lang w:val="sr-Latn-ME"/>
        </w:rPr>
        <w:t>j</w:t>
      </w:r>
      <w:r w:rsidRPr="00F85CA6">
        <w:rPr>
          <w:rFonts w:eastAsia="Calibri"/>
          <w:sz w:val="22"/>
          <w:szCs w:val="22"/>
          <w:lang w:val="sr-Latn-ME"/>
        </w:rPr>
        <w:t>enu funkcije bubrega (CrCL u m</w:t>
      </w:r>
      <w:r w:rsidR="00972FA9" w:rsidRPr="00F85CA6">
        <w:rPr>
          <w:rFonts w:eastAsia="Calibri"/>
          <w:sz w:val="22"/>
          <w:szCs w:val="22"/>
          <w:lang w:val="sr-Latn-ME"/>
        </w:rPr>
        <w:t>l</w:t>
      </w:r>
      <w:r w:rsidRPr="00F85CA6">
        <w:rPr>
          <w:rFonts w:eastAsia="Calibri"/>
          <w:sz w:val="22"/>
          <w:szCs w:val="22"/>
          <w:lang w:val="sr-Latn-ME"/>
        </w:rPr>
        <w:t xml:space="preserve">/min) koristi se metoda </w:t>
      </w:r>
      <w:r w:rsidRPr="00F85CA6">
        <w:rPr>
          <w:rFonts w:eastAsia="Calibri"/>
          <w:i/>
          <w:iCs/>
          <w:sz w:val="22"/>
          <w:szCs w:val="22"/>
          <w:lang w:val="sr-Latn-ME"/>
        </w:rPr>
        <w:t>Cockcroft-Gault</w:t>
      </w:r>
      <w:r w:rsidRPr="00F85CA6">
        <w:rPr>
          <w:rFonts w:eastAsia="Calibri"/>
          <w:sz w:val="22"/>
          <w:szCs w:val="22"/>
          <w:lang w:val="sr-Latn-ME"/>
        </w:rPr>
        <w:t xml:space="preserve">. </w:t>
      </w:r>
    </w:p>
    <w:p w14:paraId="62E2814D" w14:textId="77777777" w:rsidR="00143607" w:rsidRPr="00F85CA6" w:rsidRDefault="00143607">
      <w:pPr>
        <w:jc w:val="both"/>
        <w:rPr>
          <w:rFonts w:eastAsia="Calibri"/>
          <w:sz w:val="22"/>
          <w:szCs w:val="22"/>
          <w:lang w:val="sr-Latn-ME"/>
        </w:rPr>
      </w:pPr>
    </w:p>
    <w:p w14:paraId="268744B6" w14:textId="77777777" w:rsidR="00143607" w:rsidRPr="00F85CA6" w:rsidRDefault="00143607">
      <w:pPr>
        <w:jc w:val="both"/>
        <w:rPr>
          <w:rFonts w:eastAsia="Calibri"/>
          <w:sz w:val="22"/>
          <w:szCs w:val="22"/>
          <w:lang w:val="sr-Latn-ME" w:bidi="en-US"/>
        </w:rPr>
      </w:pPr>
      <w:r w:rsidRPr="00F85CA6">
        <w:rPr>
          <w:rFonts w:eastAsia="Calibri"/>
          <w:i/>
          <w:iCs/>
          <w:sz w:val="22"/>
          <w:szCs w:val="22"/>
          <w:u w:val="single"/>
          <w:lang w:val="sr-Latn-ME" w:bidi="en-US"/>
        </w:rPr>
        <w:t>Propuštena doza</w:t>
      </w:r>
    </w:p>
    <w:p w14:paraId="2E63B683" w14:textId="77777777" w:rsidR="00143607" w:rsidRPr="00F85CA6" w:rsidRDefault="00143607" w:rsidP="00143607">
      <w:pPr>
        <w:jc w:val="both"/>
        <w:rPr>
          <w:rFonts w:eastAsia="Calibri"/>
          <w:sz w:val="22"/>
          <w:szCs w:val="22"/>
          <w:lang w:val="sr-Latn-ME" w:bidi="en-US"/>
        </w:rPr>
      </w:pPr>
    </w:p>
    <w:p w14:paraId="425D8280" w14:textId="555B8E62" w:rsidR="00143607" w:rsidRPr="00F85CA6" w:rsidRDefault="003E5AF3" w:rsidP="00143607">
      <w:pPr>
        <w:jc w:val="both"/>
        <w:rPr>
          <w:rFonts w:eastAsia="Calibri"/>
          <w:sz w:val="22"/>
          <w:szCs w:val="22"/>
          <w:lang w:val="sr-Latn-ME" w:bidi="en-US"/>
        </w:rPr>
      </w:pPr>
      <w:r w:rsidRPr="00F85CA6">
        <w:rPr>
          <w:rFonts w:eastAsia="Calibri"/>
          <w:sz w:val="22"/>
          <w:szCs w:val="22"/>
          <w:lang w:val="sr-Latn-ME" w:bidi="en-US"/>
        </w:rPr>
        <w:t>Pre</w:t>
      </w:r>
      <w:r w:rsidR="00143607" w:rsidRPr="00F85CA6">
        <w:rPr>
          <w:rFonts w:eastAsia="Calibri"/>
          <w:sz w:val="22"/>
          <w:szCs w:val="22"/>
          <w:lang w:val="sr-Latn-ME" w:bidi="en-US"/>
        </w:rPr>
        <w:t xml:space="preserve">poručuje se da se nastavi sa </w:t>
      </w:r>
      <w:r w:rsidRPr="00F85CA6">
        <w:rPr>
          <w:rFonts w:eastAsia="Calibri"/>
          <w:sz w:val="22"/>
          <w:szCs w:val="22"/>
          <w:lang w:val="sr-Latn-ME" w:bidi="en-US"/>
        </w:rPr>
        <w:t>pre</w:t>
      </w:r>
      <w:r w:rsidR="00143607" w:rsidRPr="00F85CA6">
        <w:rPr>
          <w:rFonts w:eastAsia="Calibri"/>
          <w:sz w:val="22"/>
          <w:szCs w:val="22"/>
          <w:lang w:val="sr-Latn-ME" w:bidi="en-US"/>
        </w:rPr>
        <w:t>ostalim dnevnim dozama dabigatraneteksilata u isto vr</w:t>
      </w:r>
      <w:r w:rsidRPr="00F85CA6">
        <w:rPr>
          <w:rFonts w:eastAsia="Calibri"/>
          <w:sz w:val="22"/>
          <w:szCs w:val="22"/>
          <w:lang w:val="sr-Latn-ME" w:bidi="en-US"/>
        </w:rPr>
        <w:t>ij</w:t>
      </w:r>
      <w:r w:rsidR="00143607" w:rsidRPr="00F85CA6">
        <w:rPr>
          <w:rFonts w:eastAsia="Calibri"/>
          <w:sz w:val="22"/>
          <w:szCs w:val="22"/>
          <w:lang w:val="sr-Latn-ME" w:bidi="en-US"/>
        </w:rPr>
        <w:t>eme sl</w:t>
      </w:r>
      <w:r w:rsidRPr="00F85CA6">
        <w:rPr>
          <w:rFonts w:eastAsia="Calibri"/>
          <w:sz w:val="22"/>
          <w:szCs w:val="22"/>
          <w:lang w:val="sr-Latn-ME" w:bidi="en-US"/>
        </w:rPr>
        <w:t>j</w:t>
      </w:r>
      <w:r w:rsidR="00143607" w:rsidRPr="00F85CA6">
        <w:rPr>
          <w:rFonts w:eastAsia="Calibri"/>
          <w:sz w:val="22"/>
          <w:szCs w:val="22"/>
          <w:lang w:val="sr-Latn-ME" w:bidi="en-US"/>
        </w:rPr>
        <w:t>edećeg dana.</w:t>
      </w:r>
    </w:p>
    <w:p w14:paraId="18644A36" w14:textId="77777777" w:rsidR="00143607" w:rsidRPr="00F85CA6" w:rsidRDefault="00143607" w:rsidP="00143607">
      <w:pPr>
        <w:jc w:val="both"/>
        <w:rPr>
          <w:rFonts w:eastAsia="Calibri"/>
          <w:sz w:val="22"/>
          <w:szCs w:val="22"/>
          <w:lang w:val="sr-Latn-ME" w:bidi="en-US"/>
        </w:rPr>
      </w:pPr>
    </w:p>
    <w:p w14:paraId="5A7FA7B2" w14:textId="5926C452" w:rsidR="00143607" w:rsidRPr="00F85CA6" w:rsidRDefault="00143607" w:rsidP="00143607">
      <w:pPr>
        <w:jc w:val="both"/>
        <w:rPr>
          <w:rFonts w:eastAsia="Calibri"/>
          <w:sz w:val="22"/>
          <w:szCs w:val="22"/>
          <w:lang w:val="sr-Latn-ME" w:bidi="en-US"/>
        </w:rPr>
      </w:pPr>
      <w:r w:rsidRPr="00F85CA6">
        <w:rPr>
          <w:rFonts w:eastAsia="Calibri"/>
          <w:sz w:val="22"/>
          <w:szCs w:val="22"/>
          <w:lang w:val="sr-Latn-ME" w:bidi="en-US"/>
        </w:rPr>
        <w:t xml:space="preserve">Ne </w:t>
      </w:r>
      <w:r w:rsidR="00972FA9" w:rsidRPr="00F85CA6">
        <w:rPr>
          <w:rFonts w:eastAsia="Calibri"/>
          <w:sz w:val="22"/>
          <w:szCs w:val="22"/>
          <w:lang w:val="sr-Latn-ME" w:bidi="en-US"/>
        </w:rPr>
        <w:t xml:space="preserve">smije se </w:t>
      </w:r>
      <w:r w:rsidRPr="00F85CA6">
        <w:rPr>
          <w:rFonts w:eastAsia="Calibri"/>
          <w:sz w:val="22"/>
          <w:szCs w:val="22"/>
          <w:lang w:val="sr-Latn-ME" w:bidi="en-US"/>
        </w:rPr>
        <w:t>uzimati dvostruku dozu kako bi se nadoknadile propuštene pojedinačne doze.</w:t>
      </w:r>
    </w:p>
    <w:p w14:paraId="6E514CB3" w14:textId="77777777" w:rsidR="00143607" w:rsidRPr="00F85CA6" w:rsidRDefault="00143607" w:rsidP="00143607">
      <w:pPr>
        <w:jc w:val="both"/>
        <w:rPr>
          <w:rFonts w:eastAsia="Calibri"/>
          <w:sz w:val="22"/>
          <w:szCs w:val="22"/>
          <w:lang w:val="sr-Latn-ME" w:bidi="en-US"/>
        </w:rPr>
      </w:pPr>
    </w:p>
    <w:p w14:paraId="3FF86497" w14:textId="14E011F1" w:rsidR="00143607" w:rsidRPr="00F85CA6" w:rsidRDefault="003E5AF3" w:rsidP="00143607">
      <w:pPr>
        <w:jc w:val="both"/>
        <w:rPr>
          <w:rFonts w:eastAsia="Calibri"/>
          <w:i/>
          <w:iCs/>
          <w:sz w:val="22"/>
          <w:szCs w:val="22"/>
          <w:u w:val="single"/>
          <w:lang w:val="sr-Latn-ME" w:bidi="en-US"/>
        </w:rPr>
      </w:pPr>
      <w:r w:rsidRPr="00F85CA6">
        <w:rPr>
          <w:rFonts w:eastAsia="Calibri"/>
          <w:i/>
          <w:iCs/>
          <w:sz w:val="22"/>
          <w:szCs w:val="22"/>
          <w:u w:val="single"/>
          <w:lang w:val="sr-Latn-ME" w:bidi="en-US"/>
        </w:rPr>
        <w:lastRenderedPageBreak/>
        <w:t>Pre</w:t>
      </w:r>
      <w:r w:rsidR="00143607" w:rsidRPr="00F85CA6">
        <w:rPr>
          <w:rFonts w:eastAsia="Calibri"/>
          <w:i/>
          <w:iCs/>
          <w:sz w:val="22"/>
          <w:szCs w:val="22"/>
          <w:u w:val="single"/>
          <w:lang w:val="sr-Latn-ME" w:bidi="en-US"/>
        </w:rPr>
        <w:t>kid prim</w:t>
      </w:r>
      <w:r w:rsidRPr="00F85CA6">
        <w:rPr>
          <w:rFonts w:eastAsia="Calibri"/>
          <w:i/>
          <w:iCs/>
          <w:sz w:val="22"/>
          <w:szCs w:val="22"/>
          <w:u w:val="single"/>
          <w:lang w:val="sr-Latn-ME" w:bidi="en-US"/>
        </w:rPr>
        <w:t>j</w:t>
      </w:r>
      <w:r w:rsidR="00143607" w:rsidRPr="00F85CA6">
        <w:rPr>
          <w:rFonts w:eastAsia="Calibri"/>
          <w:i/>
          <w:iCs/>
          <w:sz w:val="22"/>
          <w:szCs w:val="22"/>
          <w:u w:val="single"/>
          <w:lang w:val="sr-Latn-ME" w:bidi="en-US"/>
        </w:rPr>
        <w:t>ene dabigatraneteksilata</w:t>
      </w:r>
    </w:p>
    <w:p w14:paraId="3737CE8C" w14:textId="77777777" w:rsidR="00143607" w:rsidRPr="00F85CA6" w:rsidRDefault="00143607" w:rsidP="00143607">
      <w:pPr>
        <w:jc w:val="both"/>
        <w:rPr>
          <w:rFonts w:eastAsia="Calibri"/>
          <w:i/>
          <w:iCs/>
          <w:sz w:val="22"/>
          <w:szCs w:val="22"/>
          <w:u w:val="single"/>
          <w:lang w:val="sr-Latn-ME" w:bidi="en-US"/>
        </w:rPr>
      </w:pPr>
    </w:p>
    <w:p w14:paraId="72FB9497" w14:textId="4605D052" w:rsidR="00143607" w:rsidRPr="00F85CA6" w:rsidRDefault="00143607" w:rsidP="00143607">
      <w:pPr>
        <w:jc w:val="both"/>
        <w:rPr>
          <w:rFonts w:eastAsia="Calibri"/>
          <w:sz w:val="22"/>
          <w:szCs w:val="22"/>
          <w:lang w:val="sr-Latn-ME"/>
        </w:rPr>
      </w:pPr>
      <w:r w:rsidRPr="00F85CA6">
        <w:rPr>
          <w:rFonts w:eastAsia="Calibri"/>
          <w:sz w:val="22"/>
          <w:szCs w:val="22"/>
          <w:lang w:val="sr-Latn-ME"/>
        </w:rPr>
        <w:t>Terapiju dabigatrane</w:t>
      </w:r>
      <w:r w:rsidR="00972FA9" w:rsidRPr="00F85CA6">
        <w:rPr>
          <w:rFonts w:eastAsia="Calibri"/>
          <w:sz w:val="22"/>
          <w:szCs w:val="22"/>
          <w:lang w:val="sr-Latn-ME"/>
        </w:rPr>
        <w:t xml:space="preserve"> </w:t>
      </w:r>
      <w:r w:rsidRPr="00F85CA6">
        <w:rPr>
          <w:rFonts w:eastAsia="Calibri"/>
          <w:sz w:val="22"/>
          <w:szCs w:val="22"/>
          <w:lang w:val="sr-Latn-ME"/>
        </w:rPr>
        <w:t xml:space="preserve">teksilatom ne treba </w:t>
      </w:r>
      <w:r w:rsidR="003E5AF3" w:rsidRPr="00F85CA6">
        <w:rPr>
          <w:rFonts w:eastAsia="Calibri"/>
          <w:sz w:val="22"/>
          <w:szCs w:val="22"/>
          <w:lang w:val="sr-Latn-ME"/>
        </w:rPr>
        <w:t>pre</w:t>
      </w:r>
      <w:r w:rsidRPr="00F85CA6">
        <w:rPr>
          <w:rFonts w:eastAsia="Calibri"/>
          <w:sz w:val="22"/>
          <w:szCs w:val="22"/>
          <w:lang w:val="sr-Latn-ME"/>
        </w:rPr>
        <w:t xml:space="preserve">kidati bez </w:t>
      </w:r>
      <w:r w:rsidR="003E5AF3" w:rsidRPr="00F85CA6">
        <w:rPr>
          <w:rFonts w:eastAsia="Calibri"/>
          <w:sz w:val="22"/>
          <w:szCs w:val="22"/>
          <w:lang w:val="sr-Latn-ME"/>
        </w:rPr>
        <w:t>ljek</w:t>
      </w:r>
      <w:r w:rsidRPr="00F85CA6">
        <w:rPr>
          <w:rFonts w:eastAsia="Calibri"/>
          <w:sz w:val="22"/>
          <w:szCs w:val="22"/>
          <w:lang w:val="sr-Latn-ME"/>
        </w:rPr>
        <w:t>arskog sav</w:t>
      </w:r>
      <w:r w:rsidR="008C44FD" w:rsidRPr="00F85CA6">
        <w:rPr>
          <w:rFonts w:eastAsia="Calibri"/>
          <w:sz w:val="22"/>
          <w:szCs w:val="22"/>
          <w:lang w:val="sr-Latn-ME"/>
        </w:rPr>
        <w:t>j</w:t>
      </w:r>
      <w:r w:rsidRPr="00F85CA6">
        <w:rPr>
          <w:rFonts w:eastAsia="Calibri"/>
          <w:sz w:val="22"/>
          <w:szCs w:val="22"/>
          <w:lang w:val="sr-Latn-ME"/>
        </w:rPr>
        <w:t>eta. Pacijente je potrebno uputiti da se obrate ordinirajućem l</w:t>
      </w:r>
      <w:r w:rsidR="003E5AF3" w:rsidRPr="00F85CA6">
        <w:rPr>
          <w:rFonts w:eastAsia="Calibri"/>
          <w:sz w:val="22"/>
          <w:szCs w:val="22"/>
          <w:lang w:val="sr-Latn-ME"/>
        </w:rPr>
        <w:t>j</w:t>
      </w:r>
      <w:r w:rsidRPr="00F85CA6">
        <w:rPr>
          <w:rFonts w:eastAsia="Calibri"/>
          <w:sz w:val="22"/>
          <w:szCs w:val="22"/>
          <w:lang w:val="sr-Latn-ME"/>
        </w:rPr>
        <w:t>ekaru ako razviju gastrointestinalne simptome, kao što je dispepsija (vid</w:t>
      </w:r>
      <w:r w:rsidR="003E5AF3" w:rsidRPr="00F85CA6">
        <w:rPr>
          <w:rFonts w:eastAsia="Calibri"/>
          <w:sz w:val="22"/>
          <w:szCs w:val="22"/>
          <w:lang w:val="sr-Latn-ME"/>
        </w:rPr>
        <w:t>j</w:t>
      </w:r>
      <w:r w:rsidRPr="00F85CA6">
        <w:rPr>
          <w:rFonts w:eastAsia="Calibri"/>
          <w:sz w:val="22"/>
          <w:szCs w:val="22"/>
          <w:lang w:val="sr-Latn-ME"/>
        </w:rPr>
        <w:t xml:space="preserve">eti </w:t>
      </w:r>
      <w:r w:rsidR="00EC0807" w:rsidRPr="00F85CA6">
        <w:rPr>
          <w:rFonts w:eastAsia="Calibri"/>
          <w:sz w:val="22"/>
          <w:szCs w:val="22"/>
          <w:lang w:val="sr-Latn-ME"/>
        </w:rPr>
        <w:t>dio</w:t>
      </w:r>
      <w:r w:rsidRPr="00F85CA6">
        <w:rPr>
          <w:rFonts w:eastAsia="Calibri"/>
          <w:sz w:val="22"/>
          <w:szCs w:val="22"/>
          <w:lang w:val="sr-Latn-ME"/>
        </w:rPr>
        <w:t xml:space="preserve"> 4.8).</w:t>
      </w:r>
    </w:p>
    <w:p w14:paraId="38806CDA" w14:textId="77777777" w:rsidR="00143607" w:rsidRPr="00F85CA6" w:rsidRDefault="00143607" w:rsidP="00143607">
      <w:pPr>
        <w:jc w:val="both"/>
        <w:rPr>
          <w:rFonts w:eastAsia="Calibri"/>
          <w:sz w:val="22"/>
          <w:szCs w:val="22"/>
          <w:lang w:val="sr-Latn-ME"/>
        </w:rPr>
      </w:pPr>
    </w:p>
    <w:p w14:paraId="31DCB4BF" w14:textId="376E27E0" w:rsidR="00143607" w:rsidRPr="00F85CA6" w:rsidRDefault="00143607" w:rsidP="00143607">
      <w:pPr>
        <w:jc w:val="both"/>
        <w:rPr>
          <w:rFonts w:eastAsia="Calibri"/>
          <w:sz w:val="22"/>
          <w:szCs w:val="22"/>
          <w:lang w:val="sr-Latn-ME" w:bidi="en-US"/>
        </w:rPr>
      </w:pPr>
      <w:r w:rsidRPr="00F85CA6">
        <w:rPr>
          <w:rFonts w:eastAsia="Calibri"/>
          <w:i/>
          <w:iCs/>
          <w:sz w:val="22"/>
          <w:szCs w:val="22"/>
          <w:u w:val="single"/>
          <w:lang w:val="sr-Latn-ME" w:bidi="en-US"/>
        </w:rPr>
        <w:t>Prom</w:t>
      </w:r>
      <w:r w:rsidR="00B12F0B" w:rsidRPr="00F85CA6">
        <w:rPr>
          <w:rFonts w:eastAsia="Calibri"/>
          <w:i/>
          <w:iCs/>
          <w:sz w:val="22"/>
          <w:szCs w:val="22"/>
          <w:u w:val="single"/>
          <w:lang w:val="sr-Latn-ME" w:bidi="en-US"/>
        </w:rPr>
        <w:t>j</w:t>
      </w:r>
      <w:r w:rsidRPr="00F85CA6">
        <w:rPr>
          <w:rFonts w:eastAsia="Calibri"/>
          <w:i/>
          <w:iCs/>
          <w:sz w:val="22"/>
          <w:szCs w:val="22"/>
          <w:u w:val="single"/>
          <w:lang w:val="sr-Latn-ME" w:bidi="en-US"/>
        </w:rPr>
        <w:t>ena terapije</w:t>
      </w:r>
    </w:p>
    <w:p w14:paraId="7B0EDD26" w14:textId="77777777" w:rsidR="00143607" w:rsidRPr="00F85CA6" w:rsidRDefault="00143607" w:rsidP="00143607">
      <w:pPr>
        <w:jc w:val="both"/>
        <w:rPr>
          <w:rFonts w:eastAsia="Calibri"/>
          <w:sz w:val="22"/>
          <w:szCs w:val="22"/>
          <w:lang w:val="sr-Latn-ME" w:bidi="en-US"/>
        </w:rPr>
      </w:pPr>
    </w:p>
    <w:p w14:paraId="0446EBE0" w14:textId="7065A442" w:rsidR="00143607" w:rsidRPr="00F85CA6" w:rsidRDefault="003E5AF3" w:rsidP="00143607">
      <w:pPr>
        <w:jc w:val="both"/>
        <w:rPr>
          <w:rFonts w:eastAsia="Calibri"/>
          <w:sz w:val="22"/>
          <w:szCs w:val="22"/>
          <w:lang w:val="sr-Latn-ME" w:bidi="en-US"/>
        </w:rPr>
      </w:pPr>
      <w:r w:rsidRPr="00F85CA6">
        <w:rPr>
          <w:rFonts w:eastAsia="Calibri"/>
          <w:sz w:val="22"/>
          <w:szCs w:val="22"/>
          <w:lang w:val="sr-Latn-ME" w:bidi="en-US"/>
        </w:rPr>
        <w:t>Pre</w:t>
      </w:r>
      <w:r w:rsidR="00143607" w:rsidRPr="00F85CA6">
        <w:rPr>
          <w:rFonts w:eastAsia="Calibri"/>
          <w:sz w:val="22"/>
          <w:szCs w:val="22"/>
          <w:lang w:val="sr-Latn-ME" w:bidi="en-US"/>
        </w:rPr>
        <w:t>lazak sa terapije dabigatrane</w:t>
      </w:r>
      <w:r w:rsidR="00972FA9" w:rsidRPr="00F85CA6">
        <w:rPr>
          <w:rFonts w:eastAsia="Calibri"/>
          <w:sz w:val="22"/>
          <w:szCs w:val="22"/>
          <w:lang w:val="sr-Latn-ME" w:bidi="en-US"/>
        </w:rPr>
        <w:t xml:space="preserve"> </w:t>
      </w:r>
      <w:r w:rsidR="00143607" w:rsidRPr="00F85CA6">
        <w:rPr>
          <w:rFonts w:eastAsia="Calibri"/>
          <w:sz w:val="22"/>
          <w:szCs w:val="22"/>
          <w:lang w:val="sr-Latn-ME" w:bidi="en-US"/>
        </w:rPr>
        <w:t>teksilatom na parenteralni antikoagulans:</w:t>
      </w:r>
    </w:p>
    <w:p w14:paraId="2FD3A799" w14:textId="1ACD3F2B" w:rsidR="00143607" w:rsidRPr="00F85CA6" w:rsidRDefault="003E5AF3" w:rsidP="00143607">
      <w:pPr>
        <w:jc w:val="both"/>
        <w:rPr>
          <w:rFonts w:eastAsia="Calibri"/>
          <w:sz w:val="22"/>
          <w:szCs w:val="22"/>
          <w:lang w:val="sr-Latn-ME"/>
        </w:rPr>
      </w:pPr>
      <w:r w:rsidRPr="00F85CA6">
        <w:rPr>
          <w:rFonts w:eastAsia="Calibri"/>
          <w:sz w:val="22"/>
          <w:szCs w:val="22"/>
          <w:lang w:val="sr-Latn-ME"/>
        </w:rPr>
        <w:t>Pre</w:t>
      </w:r>
      <w:r w:rsidR="00143607" w:rsidRPr="00F85CA6">
        <w:rPr>
          <w:rFonts w:eastAsia="Calibri"/>
          <w:sz w:val="22"/>
          <w:szCs w:val="22"/>
          <w:lang w:val="sr-Latn-ME"/>
        </w:rPr>
        <w:t>poručuje se da se sačeka 24 sata nakon posl</w:t>
      </w:r>
      <w:r w:rsidR="008C44FD" w:rsidRPr="00F85CA6">
        <w:rPr>
          <w:rFonts w:eastAsia="Calibri"/>
          <w:sz w:val="22"/>
          <w:szCs w:val="22"/>
          <w:lang w:val="sr-Latn-ME"/>
        </w:rPr>
        <w:t>j</w:t>
      </w:r>
      <w:r w:rsidR="00143607" w:rsidRPr="00F85CA6">
        <w:rPr>
          <w:rFonts w:eastAsia="Calibri"/>
          <w:sz w:val="22"/>
          <w:szCs w:val="22"/>
          <w:lang w:val="sr-Latn-ME"/>
        </w:rPr>
        <w:t>ednje doze, pr</w:t>
      </w:r>
      <w:r w:rsidRPr="00F85CA6">
        <w:rPr>
          <w:rFonts w:eastAsia="Calibri"/>
          <w:sz w:val="22"/>
          <w:szCs w:val="22"/>
          <w:lang w:val="sr-Latn-ME"/>
        </w:rPr>
        <w:t>ij</w:t>
      </w:r>
      <w:r w:rsidR="00143607" w:rsidRPr="00F85CA6">
        <w:rPr>
          <w:rFonts w:eastAsia="Calibri"/>
          <w:sz w:val="22"/>
          <w:szCs w:val="22"/>
          <w:lang w:val="sr-Latn-ME"/>
        </w:rPr>
        <w:t xml:space="preserve">e nego što se </w:t>
      </w:r>
      <w:r w:rsidRPr="00F85CA6">
        <w:rPr>
          <w:rFonts w:eastAsia="Calibri"/>
          <w:sz w:val="22"/>
          <w:szCs w:val="22"/>
          <w:lang w:val="sr-Latn-ME"/>
        </w:rPr>
        <w:t>pr</w:t>
      </w:r>
      <w:r w:rsidR="005C6F25" w:rsidRPr="00F85CA6">
        <w:rPr>
          <w:rFonts w:eastAsia="Calibri"/>
          <w:sz w:val="22"/>
          <w:szCs w:val="22"/>
          <w:lang w:val="sr-Latn-ME"/>
        </w:rPr>
        <w:t>e</w:t>
      </w:r>
      <w:r w:rsidR="00143607" w:rsidRPr="00F85CA6">
        <w:rPr>
          <w:rFonts w:eastAsia="Calibri"/>
          <w:sz w:val="22"/>
          <w:szCs w:val="22"/>
          <w:lang w:val="sr-Latn-ME"/>
        </w:rPr>
        <w:t>đe sa dabigatraneteksilata na parenteralni antikoagulans (vid</w:t>
      </w:r>
      <w:r w:rsidRPr="00F85CA6">
        <w:rPr>
          <w:rFonts w:eastAsia="Calibri"/>
          <w:sz w:val="22"/>
          <w:szCs w:val="22"/>
          <w:lang w:val="sr-Latn-ME"/>
        </w:rPr>
        <w:t>j</w:t>
      </w:r>
      <w:r w:rsidR="00143607" w:rsidRPr="00F85CA6">
        <w:rPr>
          <w:rFonts w:eastAsia="Calibri"/>
          <w:sz w:val="22"/>
          <w:szCs w:val="22"/>
          <w:lang w:val="sr-Latn-ME"/>
        </w:rPr>
        <w:t xml:space="preserve">eti </w:t>
      </w:r>
      <w:r w:rsidR="00FC0ECE" w:rsidRPr="00F85CA6">
        <w:rPr>
          <w:rFonts w:eastAsia="Calibri"/>
          <w:sz w:val="22"/>
          <w:szCs w:val="22"/>
          <w:lang w:val="sr-Latn-ME"/>
        </w:rPr>
        <w:t>dio</w:t>
      </w:r>
      <w:r w:rsidR="00143607" w:rsidRPr="00F85CA6">
        <w:rPr>
          <w:rFonts w:eastAsia="Calibri"/>
          <w:sz w:val="22"/>
          <w:szCs w:val="22"/>
          <w:lang w:val="sr-Latn-ME"/>
        </w:rPr>
        <w:t xml:space="preserve"> 4.5).</w:t>
      </w:r>
    </w:p>
    <w:p w14:paraId="65D16D66" w14:textId="77777777" w:rsidR="00143607" w:rsidRPr="00F85CA6" w:rsidRDefault="00143607" w:rsidP="00143607">
      <w:pPr>
        <w:jc w:val="both"/>
        <w:rPr>
          <w:rFonts w:eastAsia="Calibri"/>
          <w:sz w:val="22"/>
          <w:szCs w:val="22"/>
          <w:lang w:val="sr-Latn-ME"/>
        </w:rPr>
      </w:pPr>
    </w:p>
    <w:p w14:paraId="2E5ED393" w14:textId="49CC2B3A" w:rsidR="00143607" w:rsidRPr="00F85CA6" w:rsidRDefault="003E5AF3" w:rsidP="00143607">
      <w:pPr>
        <w:jc w:val="both"/>
        <w:rPr>
          <w:rFonts w:eastAsia="Calibri"/>
          <w:sz w:val="22"/>
          <w:szCs w:val="22"/>
          <w:lang w:val="sr-Latn-ME" w:bidi="en-US"/>
        </w:rPr>
      </w:pPr>
      <w:r w:rsidRPr="00F85CA6">
        <w:rPr>
          <w:rFonts w:eastAsia="Calibri"/>
          <w:sz w:val="22"/>
          <w:szCs w:val="22"/>
          <w:lang w:val="sr-Latn-ME" w:bidi="en-US"/>
        </w:rPr>
        <w:t>Pre</w:t>
      </w:r>
      <w:r w:rsidR="00143607" w:rsidRPr="00F85CA6">
        <w:rPr>
          <w:rFonts w:eastAsia="Calibri"/>
          <w:sz w:val="22"/>
          <w:szCs w:val="22"/>
          <w:lang w:val="sr-Latn-ME" w:bidi="en-US"/>
        </w:rPr>
        <w:t>lazak sa terapije parenteralnim antikoagulansom na dabigatrane</w:t>
      </w:r>
      <w:r w:rsidR="00972FA9" w:rsidRPr="00F85CA6">
        <w:rPr>
          <w:rFonts w:eastAsia="Calibri"/>
          <w:sz w:val="22"/>
          <w:szCs w:val="22"/>
          <w:lang w:val="sr-Latn-ME" w:bidi="en-US"/>
        </w:rPr>
        <w:t xml:space="preserve"> </w:t>
      </w:r>
      <w:r w:rsidR="00143607" w:rsidRPr="00F85CA6">
        <w:rPr>
          <w:rFonts w:eastAsia="Calibri"/>
          <w:sz w:val="22"/>
          <w:szCs w:val="22"/>
          <w:lang w:val="sr-Latn-ME" w:bidi="en-US"/>
        </w:rPr>
        <w:t>teksilat:</w:t>
      </w:r>
    </w:p>
    <w:p w14:paraId="06E76900" w14:textId="3F466C02" w:rsidR="00143607" w:rsidRPr="00F85CA6" w:rsidRDefault="00143607" w:rsidP="00143607">
      <w:pPr>
        <w:jc w:val="both"/>
        <w:rPr>
          <w:rFonts w:eastAsia="Calibri"/>
          <w:sz w:val="22"/>
          <w:szCs w:val="22"/>
          <w:lang w:val="sr-Latn-ME"/>
        </w:rPr>
      </w:pPr>
      <w:r w:rsidRPr="00F85CA6">
        <w:rPr>
          <w:rFonts w:eastAsia="Calibri"/>
          <w:sz w:val="22"/>
          <w:szCs w:val="22"/>
          <w:lang w:val="sr-Latn-ME"/>
        </w:rPr>
        <w:t xml:space="preserve">Potrebno je </w:t>
      </w:r>
      <w:r w:rsidR="003E5AF3" w:rsidRPr="00F85CA6">
        <w:rPr>
          <w:rFonts w:eastAsia="Calibri"/>
          <w:sz w:val="22"/>
          <w:szCs w:val="22"/>
          <w:lang w:val="sr-Latn-ME"/>
        </w:rPr>
        <w:t>pre</w:t>
      </w:r>
      <w:r w:rsidRPr="00F85CA6">
        <w:rPr>
          <w:rFonts w:eastAsia="Calibri"/>
          <w:sz w:val="22"/>
          <w:szCs w:val="22"/>
          <w:lang w:val="sr-Latn-ME"/>
        </w:rPr>
        <w:t>kinuti prim</w:t>
      </w:r>
      <w:r w:rsidR="008C44FD" w:rsidRPr="00F85CA6">
        <w:rPr>
          <w:rFonts w:eastAsia="Calibri"/>
          <w:sz w:val="22"/>
          <w:szCs w:val="22"/>
          <w:lang w:val="sr-Latn-ME"/>
        </w:rPr>
        <w:t>j</w:t>
      </w:r>
      <w:r w:rsidRPr="00F85CA6">
        <w:rPr>
          <w:rFonts w:eastAsia="Calibri"/>
          <w:sz w:val="22"/>
          <w:szCs w:val="22"/>
          <w:lang w:val="sr-Latn-ME"/>
        </w:rPr>
        <w:t>enu parenteralnog antikoagulansa i započeti sa dabigatrane</w:t>
      </w:r>
      <w:r w:rsidR="00972FA9" w:rsidRPr="00F85CA6">
        <w:rPr>
          <w:rFonts w:eastAsia="Calibri"/>
          <w:sz w:val="22"/>
          <w:szCs w:val="22"/>
          <w:lang w:val="sr-Latn-ME"/>
        </w:rPr>
        <w:t xml:space="preserve"> </w:t>
      </w:r>
      <w:r w:rsidRPr="00F85CA6">
        <w:rPr>
          <w:rFonts w:eastAsia="Calibri"/>
          <w:sz w:val="22"/>
          <w:szCs w:val="22"/>
          <w:lang w:val="sr-Latn-ME"/>
        </w:rPr>
        <w:t>teksilatom 0</w:t>
      </w:r>
      <w:r w:rsidR="00972FA9" w:rsidRPr="00F85CA6">
        <w:rPr>
          <w:rFonts w:eastAsia="Calibri"/>
          <w:sz w:val="22"/>
          <w:szCs w:val="22"/>
          <w:lang w:val="sr-Latn-ME"/>
        </w:rPr>
        <w:t xml:space="preserve"> </w:t>
      </w:r>
      <w:r w:rsidRPr="00F85CA6">
        <w:rPr>
          <w:rFonts w:eastAsia="Calibri"/>
          <w:sz w:val="22"/>
          <w:szCs w:val="22"/>
          <w:lang w:val="sr-Latn-ME"/>
        </w:rPr>
        <w:t>-</w:t>
      </w:r>
      <w:r w:rsidR="00972FA9" w:rsidRPr="00F85CA6">
        <w:rPr>
          <w:rFonts w:eastAsia="Calibri"/>
          <w:sz w:val="22"/>
          <w:szCs w:val="22"/>
          <w:lang w:val="sr-Latn-ME"/>
        </w:rPr>
        <w:t xml:space="preserve"> </w:t>
      </w:r>
      <w:r w:rsidRPr="00F85CA6">
        <w:rPr>
          <w:rFonts w:eastAsia="Calibri"/>
          <w:sz w:val="22"/>
          <w:szCs w:val="22"/>
          <w:lang w:val="sr-Latn-ME"/>
        </w:rPr>
        <w:t>2 sata pr</w:t>
      </w:r>
      <w:r w:rsidR="003E5AF3" w:rsidRPr="00F85CA6">
        <w:rPr>
          <w:rFonts w:eastAsia="Calibri"/>
          <w:sz w:val="22"/>
          <w:szCs w:val="22"/>
          <w:lang w:val="sr-Latn-ME"/>
        </w:rPr>
        <w:t>ij</w:t>
      </w:r>
      <w:r w:rsidRPr="00F85CA6">
        <w:rPr>
          <w:rFonts w:eastAsia="Calibri"/>
          <w:sz w:val="22"/>
          <w:szCs w:val="22"/>
          <w:lang w:val="sr-Latn-ME"/>
        </w:rPr>
        <w:t xml:space="preserve">e </w:t>
      </w:r>
      <w:r w:rsidR="003E5AF3" w:rsidRPr="00F85CA6">
        <w:rPr>
          <w:rFonts w:eastAsia="Calibri"/>
          <w:sz w:val="22"/>
          <w:szCs w:val="22"/>
          <w:lang w:val="sr-Latn-ME"/>
        </w:rPr>
        <w:t>vreme</w:t>
      </w:r>
      <w:r w:rsidRPr="00F85CA6">
        <w:rPr>
          <w:rFonts w:eastAsia="Calibri"/>
          <w:sz w:val="22"/>
          <w:szCs w:val="22"/>
          <w:lang w:val="sr-Latn-ME"/>
        </w:rPr>
        <w:t xml:space="preserve">na </w:t>
      </w:r>
      <w:r w:rsidR="004B1CA0" w:rsidRPr="00F85CA6">
        <w:rPr>
          <w:rFonts w:eastAsia="Calibri"/>
          <w:sz w:val="22"/>
          <w:szCs w:val="22"/>
          <w:lang w:val="sr-Latn-ME"/>
        </w:rPr>
        <w:t>predviđenog za</w:t>
      </w:r>
      <w:r w:rsidRPr="00F85CA6">
        <w:rPr>
          <w:rFonts w:eastAsia="Calibri"/>
          <w:sz w:val="22"/>
          <w:szCs w:val="22"/>
          <w:lang w:val="sr-Latn-ME"/>
        </w:rPr>
        <w:t xml:space="preserve"> sl</w:t>
      </w:r>
      <w:r w:rsidR="005C6F25" w:rsidRPr="00F85CA6">
        <w:rPr>
          <w:rFonts w:eastAsia="Calibri"/>
          <w:sz w:val="22"/>
          <w:szCs w:val="22"/>
          <w:lang w:val="sr-Latn-ME"/>
        </w:rPr>
        <w:t>j</w:t>
      </w:r>
      <w:r w:rsidRPr="00F85CA6">
        <w:rPr>
          <w:rFonts w:eastAsia="Calibri"/>
          <w:sz w:val="22"/>
          <w:szCs w:val="22"/>
          <w:lang w:val="sr-Latn-ME"/>
        </w:rPr>
        <w:t xml:space="preserve">edeću dozu dosadašnje terapije ili u trenutku </w:t>
      </w:r>
      <w:r w:rsidR="003E5AF3" w:rsidRPr="00F85CA6">
        <w:rPr>
          <w:rFonts w:eastAsia="Calibri"/>
          <w:sz w:val="22"/>
          <w:szCs w:val="22"/>
          <w:lang w:val="sr-Latn-ME"/>
        </w:rPr>
        <w:t>pre</w:t>
      </w:r>
      <w:r w:rsidRPr="00F85CA6">
        <w:rPr>
          <w:rFonts w:eastAsia="Calibri"/>
          <w:sz w:val="22"/>
          <w:szCs w:val="22"/>
          <w:lang w:val="sr-Latn-ME"/>
        </w:rPr>
        <w:t xml:space="preserve">kida u slučaju kontinuirane terapije (npr. intravenski nefrakcionisani heparin, NHF (engl. </w:t>
      </w:r>
      <w:r w:rsidRPr="00F85CA6">
        <w:rPr>
          <w:rFonts w:eastAsia="Calibri"/>
          <w:i/>
          <w:sz w:val="22"/>
          <w:szCs w:val="22"/>
          <w:lang w:val="sr-Latn-ME"/>
        </w:rPr>
        <w:t>Unfractionated Heparin</w:t>
      </w:r>
      <w:r w:rsidRPr="00F85CA6">
        <w:rPr>
          <w:rFonts w:eastAsia="Calibri"/>
          <w:sz w:val="22"/>
          <w:szCs w:val="22"/>
          <w:lang w:val="sr-Latn-ME"/>
        </w:rPr>
        <w:t>, UFH)) (vid</w:t>
      </w:r>
      <w:r w:rsidR="003E5AF3" w:rsidRPr="00F85CA6">
        <w:rPr>
          <w:rFonts w:eastAsia="Calibri"/>
          <w:sz w:val="22"/>
          <w:szCs w:val="22"/>
          <w:lang w:val="sr-Latn-ME"/>
        </w:rPr>
        <w:t>j</w:t>
      </w:r>
      <w:r w:rsidRPr="00F85CA6">
        <w:rPr>
          <w:rFonts w:eastAsia="Calibri"/>
          <w:sz w:val="22"/>
          <w:szCs w:val="22"/>
          <w:lang w:val="sr-Latn-ME"/>
        </w:rPr>
        <w:t xml:space="preserve">eti </w:t>
      </w:r>
      <w:r w:rsidR="00FC0ECE" w:rsidRPr="00F85CA6">
        <w:rPr>
          <w:rFonts w:eastAsia="Calibri"/>
          <w:sz w:val="22"/>
          <w:szCs w:val="22"/>
          <w:lang w:val="sr-Latn-ME"/>
        </w:rPr>
        <w:t>dio</w:t>
      </w:r>
      <w:r w:rsidRPr="00F85CA6">
        <w:rPr>
          <w:rFonts w:eastAsia="Calibri"/>
          <w:sz w:val="22"/>
          <w:szCs w:val="22"/>
          <w:lang w:val="sr-Latn-ME"/>
        </w:rPr>
        <w:t xml:space="preserve"> 4.5).</w:t>
      </w:r>
    </w:p>
    <w:p w14:paraId="76B3DA1F" w14:textId="77777777" w:rsidR="00143607" w:rsidRPr="00F85CA6" w:rsidRDefault="00143607" w:rsidP="00143607">
      <w:pPr>
        <w:jc w:val="both"/>
        <w:rPr>
          <w:rFonts w:eastAsia="Calibri"/>
          <w:sz w:val="22"/>
          <w:szCs w:val="22"/>
          <w:lang w:val="sr-Latn-ME"/>
        </w:rPr>
      </w:pPr>
    </w:p>
    <w:p w14:paraId="6CC3CF25" w14:textId="77777777" w:rsidR="00143607" w:rsidRPr="00F85CA6" w:rsidRDefault="00143607" w:rsidP="00143607">
      <w:pPr>
        <w:jc w:val="both"/>
        <w:rPr>
          <w:rFonts w:eastAsia="Calibri"/>
          <w:sz w:val="22"/>
          <w:szCs w:val="22"/>
          <w:lang w:val="sr-Latn-ME" w:bidi="en-US"/>
        </w:rPr>
      </w:pPr>
      <w:r w:rsidRPr="00F85CA6">
        <w:rPr>
          <w:rFonts w:eastAsia="Calibri"/>
          <w:i/>
          <w:iCs/>
          <w:sz w:val="22"/>
          <w:szCs w:val="22"/>
          <w:u w:val="single"/>
          <w:lang w:val="sr-Latn-ME" w:bidi="en-US"/>
        </w:rPr>
        <w:t>Posebne populacije</w:t>
      </w:r>
    </w:p>
    <w:p w14:paraId="2EEEB042" w14:textId="77777777" w:rsidR="00143607" w:rsidRPr="00F85CA6" w:rsidRDefault="00143607" w:rsidP="00143607">
      <w:pPr>
        <w:jc w:val="both"/>
        <w:rPr>
          <w:rFonts w:eastAsia="Calibri"/>
          <w:sz w:val="22"/>
          <w:szCs w:val="22"/>
          <w:lang w:val="sr-Latn-ME" w:bidi="en-US"/>
        </w:rPr>
      </w:pPr>
    </w:p>
    <w:p w14:paraId="3356824A" w14:textId="0BAA69FD" w:rsidR="00143607" w:rsidRPr="00F85CA6" w:rsidRDefault="00143607" w:rsidP="00143607">
      <w:pPr>
        <w:jc w:val="both"/>
        <w:rPr>
          <w:rFonts w:eastAsia="Calibri"/>
          <w:sz w:val="22"/>
          <w:szCs w:val="22"/>
          <w:lang w:val="sr-Latn-ME"/>
        </w:rPr>
      </w:pPr>
      <w:r w:rsidRPr="00F85CA6">
        <w:rPr>
          <w:rFonts w:eastAsia="Calibri"/>
          <w:i/>
          <w:iCs/>
          <w:sz w:val="22"/>
          <w:szCs w:val="22"/>
          <w:lang w:val="sr-Latn-ME" w:bidi="en-US"/>
        </w:rPr>
        <w:t>Oštećenje funkcije bubrega</w:t>
      </w:r>
      <w:r w:rsidRPr="00F85CA6">
        <w:rPr>
          <w:rFonts w:eastAsia="Calibri"/>
          <w:sz w:val="22"/>
          <w:szCs w:val="22"/>
          <w:lang w:val="sr-Latn-ME"/>
        </w:rPr>
        <w:t xml:space="preserve"> </w:t>
      </w:r>
    </w:p>
    <w:p w14:paraId="18D11FC9" w14:textId="23B0B98C" w:rsidR="00143607" w:rsidRPr="00F85CA6" w:rsidRDefault="00143607" w:rsidP="00143607">
      <w:pPr>
        <w:jc w:val="both"/>
        <w:rPr>
          <w:rFonts w:eastAsia="Calibri"/>
          <w:sz w:val="22"/>
          <w:szCs w:val="22"/>
          <w:lang w:val="sr-Latn-ME"/>
        </w:rPr>
      </w:pPr>
      <w:r w:rsidRPr="00F85CA6">
        <w:rPr>
          <w:rFonts w:eastAsia="Calibri"/>
          <w:sz w:val="22"/>
          <w:szCs w:val="22"/>
          <w:lang w:val="sr-Latn-ME"/>
        </w:rPr>
        <w:t>Terapija dabigatrane</w:t>
      </w:r>
      <w:r w:rsidR="00972FA9" w:rsidRPr="00F85CA6">
        <w:rPr>
          <w:rFonts w:eastAsia="Calibri"/>
          <w:sz w:val="22"/>
          <w:szCs w:val="22"/>
          <w:lang w:val="sr-Latn-ME"/>
        </w:rPr>
        <w:t xml:space="preserve"> </w:t>
      </w:r>
      <w:r w:rsidRPr="00F85CA6">
        <w:rPr>
          <w:rFonts w:eastAsia="Calibri"/>
          <w:sz w:val="22"/>
          <w:szCs w:val="22"/>
          <w:lang w:val="sr-Latn-ME"/>
        </w:rPr>
        <w:t>teksilatom kod pacijenata sa teškim oštećenjem funkcije bubrega (CrCL &lt; 30 m</w:t>
      </w:r>
      <w:r w:rsidR="00972FA9" w:rsidRPr="00F85CA6">
        <w:rPr>
          <w:rFonts w:eastAsia="Calibri"/>
          <w:sz w:val="22"/>
          <w:szCs w:val="22"/>
          <w:lang w:val="sr-Latn-ME"/>
        </w:rPr>
        <w:t>l</w:t>
      </w:r>
      <w:r w:rsidRPr="00F85CA6">
        <w:rPr>
          <w:rFonts w:eastAsia="Calibri"/>
          <w:sz w:val="22"/>
          <w:szCs w:val="22"/>
          <w:lang w:val="sr-Latn-ME"/>
        </w:rPr>
        <w:t>/min) je kontraindikovana (vid</w:t>
      </w:r>
      <w:r w:rsidR="003E5AF3" w:rsidRPr="00F85CA6">
        <w:rPr>
          <w:rFonts w:eastAsia="Calibri"/>
          <w:sz w:val="22"/>
          <w:szCs w:val="22"/>
          <w:lang w:val="sr-Latn-ME"/>
        </w:rPr>
        <w:t>j</w:t>
      </w:r>
      <w:r w:rsidRPr="00F85CA6">
        <w:rPr>
          <w:rFonts w:eastAsia="Calibri"/>
          <w:sz w:val="22"/>
          <w:szCs w:val="22"/>
          <w:lang w:val="sr-Latn-ME"/>
        </w:rPr>
        <w:t xml:space="preserve">eti </w:t>
      </w:r>
      <w:r w:rsidR="00FC0ECE" w:rsidRPr="00F85CA6">
        <w:rPr>
          <w:rFonts w:eastAsia="Calibri"/>
          <w:sz w:val="22"/>
          <w:szCs w:val="22"/>
          <w:lang w:val="sr-Latn-ME"/>
        </w:rPr>
        <w:t>dio</w:t>
      </w:r>
      <w:r w:rsidRPr="00F85CA6">
        <w:rPr>
          <w:rFonts w:eastAsia="Calibri"/>
          <w:sz w:val="22"/>
          <w:szCs w:val="22"/>
          <w:lang w:val="sr-Latn-ME"/>
        </w:rPr>
        <w:t xml:space="preserve"> 4.3).</w:t>
      </w:r>
    </w:p>
    <w:p w14:paraId="29BD1FC3" w14:textId="77777777" w:rsidR="00143607" w:rsidRPr="00F85CA6" w:rsidRDefault="00143607" w:rsidP="00143607">
      <w:pPr>
        <w:jc w:val="both"/>
        <w:rPr>
          <w:rFonts w:eastAsia="Calibri"/>
          <w:sz w:val="22"/>
          <w:szCs w:val="22"/>
          <w:lang w:val="sr-Latn-ME"/>
        </w:rPr>
      </w:pPr>
    </w:p>
    <w:p w14:paraId="57784917" w14:textId="4DCAF0E6" w:rsidR="00143607" w:rsidRPr="00F85CA6" w:rsidRDefault="00143607" w:rsidP="00143607">
      <w:pPr>
        <w:jc w:val="both"/>
        <w:rPr>
          <w:rFonts w:eastAsia="Calibri"/>
          <w:sz w:val="22"/>
          <w:szCs w:val="22"/>
          <w:lang w:val="sr-Latn-ME"/>
        </w:rPr>
      </w:pPr>
      <w:r w:rsidRPr="00F85CA6">
        <w:rPr>
          <w:rFonts w:eastAsia="Calibri"/>
          <w:sz w:val="22"/>
          <w:szCs w:val="22"/>
          <w:lang w:val="sr-Latn-ME"/>
        </w:rPr>
        <w:t>Kod pacijenata sa um</w:t>
      </w:r>
      <w:r w:rsidR="00194E92" w:rsidRPr="00F85CA6">
        <w:rPr>
          <w:rFonts w:eastAsia="Calibri"/>
          <w:sz w:val="22"/>
          <w:szCs w:val="22"/>
          <w:lang w:val="sr-Latn-ME"/>
        </w:rPr>
        <w:t>j</w:t>
      </w:r>
      <w:r w:rsidRPr="00F85CA6">
        <w:rPr>
          <w:rFonts w:eastAsia="Calibri"/>
          <w:sz w:val="22"/>
          <w:szCs w:val="22"/>
          <w:lang w:val="sr-Latn-ME"/>
        </w:rPr>
        <w:t>erenim oštećenjem funkcije bubrega (CrCL 30-50 m</w:t>
      </w:r>
      <w:r w:rsidR="00972FA9" w:rsidRPr="00F85CA6">
        <w:rPr>
          <w:rFonts w:eastAsia="Calibri"/>
          <w:sz w:val="22"/>
          <w:szCs w:val="22"/>
          <w:lang w:val="sr-Latn-ME"/>
        </w:rPr>
        <w:t>l</w:t>
      </w:r>
      <w:r w:rsidRPr="00F85CA6">
        <w:rPr>
          <w:rFonts w:eastAsia="Calibri"/>
          <w:sz w:val="22"/>
          <w:szCs w:val="22"/>
          <w:lang w:val="sr-Latn-ME"/>
        </w:rPr>
        <w:t xml:space="preserve">/min) </w:t>
      </w:r>
      <w:r w:rsidR="003E5AF3" w:rsidRPr="00F85CA6">
        <w:rPr>
          <w:rFonts w:eastAsia="Calibri"/>
          <w:sz w:val="22"/>
          <w:szCs w:val="22"/>
          <w:lang w:val="sr-Latn-ME"/>
        </w:rPr>
        <w:t>pre</w:t>
      </w:r>
      <w:r w:rsidRPr="00F85CA6">
        <w:rPr>
          <w:rFonts w:eastAsia="Calibri"/>
          <w:sz w:val="22"/>
          <w:szCs w:val="22"/>
          <w:lang w:val="sr-Latn-ME"/>
        </w:rPr>
        <w:t>poručuje se smanjenje doze (vid</w:t>
      </w:r>
      <w:r w:rsidR="003E5AF3" w:rsidRPr="00F85CA6">
        <w:rPr>
          <w:rFonts w:eastAsia="Calibri"/>
          <w:sz w:val="22"/>
          <w:szCs w:val="22"/>
          <w:lang w:val="sr-Latn-ME"/>
        </w:rPr>
        <w:t>j</w:t>
      </w:r>
      <w:r w:rsidRPr="00F85CA6">
        <w:rPr>
          <w:rFonts w:eastAsia="Calibri"/>
          <w:sz w:val="22"/>
          <w:szCs w:val="22"/>
          <w:lang w:val="sr-Latn-ME"/>
        </w:rPr>
        <w:t xml:space="preserve">eti tabelu 1 iznad i </w:t>
      </w:r>
      <w:r w:rsidR="00FC0ECE" w:rsidRPr="00F85CA6">
        <w:rPr>
          <w:rFonts w:eastAsia="Calibri"/>
          <w:sz w:val="22"/>
          <w:szCs w:val="22"/>
          <w:lang w:val="sr-Latn-ME"/>
        </w:rPr>
        <w:t>djelove</w:t>
      </w:r>
      <w:r w:rsidRPr="00F85CA6">
        <w:rPr>
          <w:rFonts w:eastAsia="Calibri"/>
          <w:sz w:val="22"/>
          <w:szCs w:val="22"/>
          <w:lang w:val="sr-Latn-ME"/>
        </w:rPr>
        <w:t xml:space="preserve"> 4.4 i 5.1).</w:t>
      </w:r>
    </w:p>
    <w:p w14:paraId="3C98DB9C" w14:textId="77777777" w:rsidR="00143607" w:rsidRPr="00F85CA6" w:rsidRDefault="00143607" w:rsidP="00143607">
      <w:pPr>
        <w:jc w:val="both"/>
        <w:rPr>
          <w:rFonts w:eastAsia="Calibri"/>
          <w:sz w:val="22"/>
          <w:szCs w:val="22"/>
          <w:lang w:val="sr-Latn-ME"/>
        </w:rPr>
      </w:pPr>
    </w:p>
    <w:p w14:paraId="4F2DCADC" w14:textId="7B7330F4" w:rsidR="00143607" w:rsidRPr="00F85CA6" w:rsidRDefault="00143607" w:rsidP="00143607">
      <w:pPr>
        <w:jc w:val="both"/>
        <w:rPr>
          <w:rFonts w:eastAsia="Calibri"/>
          <w:i/>
          <w:sz w:val="22"/>
          <w:szCs w:val="22"/>
          <w:lang w:val="sr-Latn-ME"/>
        </w:rPr>
      </w:pPr>
      <w:r w:rsidRPr="00F85CA6">
        <w:rPr>
          <w:rFonts w:eastAsia="Calibri"/>
          <w:i/>
          <w:sz w:val="22"/>
          <w:szCs w:val="22"/>
          <w:lang w:val="sr-Latn-ME"/>
        </w:rPr>
        <w:t>Isto</w:t>
      </w:r>
      <w:r w:rsidR="003E5AF3" w:rsidRPr="00F85CA6">
        <w:rPr>
          <w:rFonts w:eastAsia="Calibri"/>
          <w:i/>
          <w:sz w:val="22"/>
          <w:szCs w:val="22"/>
          <w:lang w:val="sr-Latn-ME"/>
        </w:rPr>
        <w:t>vreme</w:t>
      </w:r>
      <w:r w:rsidRPr="00F85CA6">
        <w:rPr>
          <w:rFonts w:eastAsia="Calibri"/>
          <w:i/>
          <w:sz w:val="22"/>
          <w:szCs w:val="22"/>
          <w:lang w:val="sr-Latn-ME"/>
        </w:rPr>
        <w:t>na prim</w:t>
      </w:r>
      <w:r w:rsidR="003E5AF3" w:rsidRPr="00F85CA6">
        <w:rPr>
          <w:rFonts w:eastAsia="Calibri"/>
          <w:i/>
          <w:sz w:val="22"/>
          <w:szCs w:val="22"/>
          <w:lang w:val="sr-Latn-ME"/>
        </w:rPr>
        <w:t>j</w:t>
      </w:r>
      <w:r w:rsidRPr="00F85CA6">
        <w:rPr>
          <w:rFonts w:eastAsia="Calibri"/>
          <w:i/>
          <w:sz w:val="22"/>
          <w:szCs w:val="22"/>
          <w:lang w:val="sr-Latn-ME"/>
        </w:rPr>
        <w:t>ena dabigatraneteksilata sa blagim do um</w:t>
      </w:r>
      <w:r w:rsidR="008C44FD" w:rsidRPr="00F85CA6">
        <w:rPr>
          <w:rFonts w:eastAsia="Calibri"/>
          <w:i/>
          <w:sz w:val="22"/>
          <w:szCs w:val="22"/>
          <w:lang w:val="sr-Latn-ME"/>
        </w:rPr>
        <w:t>j</w:t>
      </w:r>
      <w:r w:rsidRPr="00F85CA6">
        <w:rPr>
          <w:rFonts w:eastAsia="Calibri"/>
          <w:i/>
          <w:sz w:val="22"/>
          <w:szCs w:val="22"/>
          <w:lang w:val="sr-Latn-ME"/>
        </w:rPr>
        <w:t>erenim inhibitorima P-glikoproteina (P-gp), tj. amjodaronom, hinidinom ili verapamilom</w:t>
      </w:r>
    </w:p>
    <w:p w14:paraId="2ACC35EF" w14:textId="77777777" w:rsidR="00143607" w:rsidRPr="00F85CA6" w:rsidRDefault="00143607" w:rsidP="00143607">
      <w:pPr>
        <w:jc w:val="both"/>
        <w:rPr>
          <w:rFonts w:eastAsia="Calibri"/>
          <w:i/>
          <w:sz w:val="22"/>
          <w:szCs w:val="22"/>
          <w:lang w:val="sr-Latn-ME"/>
        </w:rPr>
      </w:pPr>
    </w:p>
    <w:p w14:paraId="773DEDC2" w14:textId="7D887481" w:rsidR="00143607" w:rsidRPr="00F85CA6" w:rsidRDefault="00143607" w:rsidP="00143607">
      <w:pPr>
        <w:jc w:val="both"/>
        <w:rPr>
          <w:rFonts w:eastAsia="Calibri"/>
          <w:sz w:val="22"/>
          <w:szCs w:val="22"/>
          <w:lang w:val="sr-Latn-ME"/>
        </w:rPr>
      </w:pPr>
      <w:r w:rsidRPr="00F85CA6">
        <w:rPr>
          <w:rFonts w:eastAsia="Calibri"/>
          <w:sz w:val="22"/>
          <w:szCs w:val="22"/>
          <w:lang w:val="sr-Latn-ME"/>
        </w:rPr>
        <w:t>Doz</w:t>
      </w:r>
      <w:r w:rsidR="00972FA9" w:rsidRPr="00F85CA6">
        <w:rPr>
          <w:rFonts w:eastAsia="Calibri"/>
          <w:sz w:val="22"/>
          <w:szCs w:val="22"/>
          <w:lang w:val="sr-Latn-ME"/>
        </w:rPr>
        <w:t>u</w:t>
      </w:r>
      <w:r w:rsidRPr="00F85CA6">
        <w:rPr>
          <w:rFonts w:eastAsia="Calibri"/>
          <w:sz w:val="22"/>
          <w:szCs w:val="22"/>
          <w:lang w:val="sr-Latn-ME"/>
        </w:rPr>
        <w:t xml:space="preserve"> treba smanjiti kako je naznačeno u tabeli 1 (vid</w:t>
      </w:r>
      <w:r w:rsidR="003E5AF3" w:rsidRPr="00F85CA6">
        <w:rPr>
          <w:rFonts w:eastAsia="Calibri"/>
          <w:sz w:val="22"/>
          <w:szCs w:val="22"/>
          <w:lang w:val="sr-Latn-ME"/>
        </w:rPr>
        <w:t>j</w:t>
      </w:r>
      <w:r w:rsidRPr="00F85CA6">
        <w:rPr>
          <w:rFonts w:eastAsia="Calibri"/>
          <w:sz w:val="22"/>
          <w:szCs w:val="22"/>
          <w:lang w:val="sr-Latn-ME"/>
        </w:rPr>
        <w:t xml:space="preserve">eti takođe </w:t>
      </w:r>
      <w:r w:rsidR="00FC0ECE" w:rsidRPr="00F85CA6">
        <w:rPr>
          <w:rFonts w:eastAsia="Calibri"/>
          <w:sz w:val="22"/>
          <w:szCs w:val="22"/>
          <w:lang w:val="sr-Latn-ME"/>
        </w:rPr>
        <w:t>djelove</w:t>
      </w:r>
      <w:r w:rsidRPr="00F85CA6">
        <w:rPr>
          <w:rFonts w:eastAsia="Calibri"/>
          <w:sz w:val="22"/>
          <w:szCs w:val="22"/>
          <w:lang w:val="sr-Latn-ME"/>
        </w:rPr>
        <w:t xml:space="preserve"> 4.4 i 4.5). U ovoj situaciji, dabigatrane</w:t>
      </w:r>
      <w:r w:rsidR="00972FA9" w:rsidRPr="00F85CA6">
        <w:rPr>
          <w:rFonts w:eastAsia="Calibri"/>
          <w:sz w:val="22"/>
          <w:szCs w:val="22"/>
          <w:lang w:val="sr-Latn-ME"/>
        </w:rPr>
        <w:t xml:space="preserve"> </w:t>
      </w:r>
      <w:r w:rsidRPr="00F85CA6">
        <w:rPr>
          <w:rFonts w:eastAsia="Calibri"/>
          <w:sz w:val="22"/>
          <w:szCs w:val="22"/>
          <w:lang w:val="sr-Latn-ME"/>
        </w:rPr>
        <w:t>teksilat i spomenuti l</w:t>
      </w:r>
      <w:r w:rsidR="003E5AF3" w:rsidRPr="00F85CA6">
        <w:rPr>
          <w:rFonts w:eastAsia="Calibri"/>
          <w:sz w:val="22"/>
          <w:szCs w:val="22"/>
          <w:lang w:val="sr-Latn-ME"/>
        </w:rPr>
        <w:t>j</w:t>
      </w:r>
      <w:r w:rsidRPr="00F85CA6">
        <w:rPr>
          <w:rFonts w:eastAsia="Calibri"/>
          <w:sz w:val="22"/>
          <w:szCs w:val="22"/>
          <w:lang w:val="sr-Latn-ME"/>
        </w:rPr>
        <w:t>ekovi treba da se uzimaju u isto vr</w:t>
      </w:r>
      <w:r w:rsidR="003E5AF3" w:rsidRPr="00F85CA6">
        <w:rPr>
          <w:rFonts w:eastAsia="Calibri"/>
          <w:sz w:val="22"/>
          <w:szCs w:val="22"/>
          <w:lang w:val="sr-Latn-ME"/>
        </w:rPr>
        <w:t>ij</w:t>
      </w:r>
      <w:r w:rsidRPr="00F85CA6">
        <w:rPr>
          <w:rFonts w:eastAsia="Calibri"/>
          <w:sz w:val="22"/>
          <w:szCs w:val="22"/>
          <w:lang w:val="sr-Latn-ME"/>
        </w:rPr>
        <w:t>eme.</w:t>
      </w:r>
    </w:p>
    <w:p w14:paraId="1DD726D0" w14:textId="77777777" w:rsidR="00143607" w:rsidRPr="00F85CA6" w:rsidRDefault="00143607" w:rsidP="00143607">
      <w:pPr>
        <w:jc w:val="both"/>
        <w:rPr>
          <w:rFonts w:eastAsia="Calibri"/>
          <w:sz w:val="22"/>
          <w:szCs w:val="22"/>
          <w:lang w:val="sr-Latn-ME"/>
        </w:rPr>
      </w:pPr>
    </w:p>
    <w:p w14:paraId="61F8AC70" w14:textId="5863C659" w:rsidR="00143607" w:rsidRPr="00F85CA6" w:rsidRDefault="00143607" w:rsidP="00143607">
      <w:pPr>
        <w:jc w:val="both"/>
        <w:rPr>
          <w:rFonts w:eastAsia="Calibri"/>
          <w:sz w:val="22"/>
          <w:szCs w:val="22"/>
          <w:lang w:val="sr-Latn-ME"/>
        </w:rPr>
      </w:pPr>
      <w:r w:rsidRPr="00F85CA6">
        <w:rPr>
          <w:rFonts w:eastAsia="Calibri"/>
          <w:sz w:val="22"/>
          <w:szCs w:val="22"/>
          <w:lang w:val="sr-Latn-ME"/>
        </w:rPr>
        <w:t>Za pacijente sa um</w:t>
      </w:r>
      <w:r w:rsidR="00194E92" w:rsidRPr="00F85CA6">
        <w:rPr>
          <w:rFonts w:eastAsia="Calibri"/>
          <w:sz w:val="22"/>
          <w:szCs w:val="22"/>
          <w:lang w:val="sr-Latn-ME"/>
        </w:rPr>
        <w:t>j</w:t>
      </w:r>
      <w:r w:rsidRPr="00F85CA6">
        <w:rPr>
          <w:rFonts w:eastAsia="Calibri"/>
          <w:sz w:val="22"/>
          <w:szCs w:val="22"/>
          <w:lang w:val="sr-Latn-ME"/>
        </w:rPr>
        <w:t>erenim oštećenjem funkcije bubrega koji se isto</w:t>
      </w:r>
      <w:r w:rsidR="003E5AF3" w:rsidRPr="00F85CA6">
        <w:rPr>
          <w:rFonts w:eastAsia="Calibri"/>
          <w:sz w:val="22"/>
          <w:szCs w:val="22"/>
          <w:lang w:val="sr-Latn-ME"/>
        </w:rPr>
        <w:t>vreme</w:t>
      </w:r>
      <w:r w:rsidRPr="00F85CA6">
        <w:rPr>
          <w:rFonts w:eastAsia="Calibri"/>
          <w:sz w:val="22"/>
          <w:szCs w:val="22"/>
          <w:lang w:val="sr-Latn-ME"/>
        </w:rPr>
        <w:t>no l</w:t>
      </w:r>
      <w:r w:rsidR="008C44FD" w:rsidRPr="00F85CA6">
        <w:rPr>
          <w:rFonts w:eastAsia="Calibri"/>
          <w:sz w:val="22"/>
          <w:szCs w:val="22"/>
          <w:lang w:val="sr-Latn-ME"/>
        </w:rPr>
        <w:t>ij</w:t>
      </w:r>
      <w:r w:rsidRPr="00F85CA6">
        <w:rPr>
          <w:rFonts w:eastAsia="Calibri"/>
          <w:sz w:val="22"/>
          <w:szCs w:val="22"/>
          <w:lang w:val="sr-Latn-ME"/>
        </w:rPr>
        <w:t>eče verapamilom, potrebno je razmotriti smanjenje doze dabigatraneteksilata na 75 mg dnevno (</w:t>
      </w:r>
      <w:r w:rsidR="003E5AF3" w:rsidRPr="00F85CA6">
        <w:rPr>
          <w:rFonts w:eastAsia="Calibri"/>
          <w:sz w:val="22"/>
          <w:szCs w:val="22"/>
          <w:lang w:val="sr-Latn-ME"/>
        </w:rPr>
        <w:t>vidjeti</w:t>
      </w:r>
      <w:r w:rsidRPr="00F85CA6">
        <w:rPr>
          <w:rFonts w:eastAsia="Calibri"/>
          <w:sz w:val="22"/>
          <w:szCs w:val="22"/>
          <w:lang w:val="sr-Latn-ME"/>
        </w:rPr>
        <w:t xml:space="preserve"> </w:t>
      </w:r>
      <w:r w:rsidR="00FC0ECE" w:rsidRPr="00F85CA6">
        <w:rPr>
          <w:rFonts w:eastAsia="Calibri"/>
          <w:sz w:val="22"/>
          <w:szCs w:val="22"/>
          <w:lang w:val="sr-Latn-ME"/>
        </w:rPr>
        <w:t>djelove</w:t>
      </w:r>
      <w:r w:rsidRPr="00F85CA6">
        <w:rPr>
          <w:rFonts w:eastAsia="Calibri"/>
          <w:sz w:val="22"/>
          <w:szCs w:val="22"/>
          <w:lang w:val="sr-Latn-ME"/>
        </w:rPr>
        <w:t xml:space="preserve"> 4.4 i 4.5).</w:t>
      </w:r>
    </w:p>
    <w:p w14:paraId="1BFC2B57" w14:textId="77777777" w:rsidR="00143607" w:rsidRPr="00F85CA6" w:rsidRDefault="00143607" w:rsidP="00143607">
      <w:pPr>
        <w:jc w:val="both"/>
        <w:rPr>
          <w:rFonts w:eastAsia="Calibri"/>
          <w:sz w:val="22"/>
          <w:szCs w:val="22"/>
          <w:lang w:val="sr-Latn-ME"/>
        </w:rPr>
      </w:pPr>
    </w:p>
    <w:p w14:paraId="0413EB2D" w14:textId="76EA679B" w:rsidR="00143607" w:rsidRPr="00F85CA6" w:rsidRDefault="00143607" w:rsidP="00143607">
      <w:pPr>
        <w:jc w:val="both"/>
        <w:rPr>
          <w:rFonts w:eastAsia="Calibri"/>
          <w:i/>
          <w:iCs/>
          <w:sz w:val="22"/>
          <w:szCs w:val="22"/>
          <w:lang w:val="sr-Latn-ME" w:bidi="en-US"/>
        </w:rPr>
      </w:pPr>
      <w:r w:rsidRPr="00F85CA6">
        <w:rPr>
          <w:rFonts w:eastAsia="Calibri"/>
          <w:i/>
          <w:iCs/>
          <w:sz w:val="22"/>
          <w:szCs w:val="22"/>
          <w:lang w:val="sr-Latn-ME" w:bidi="en-US"/>
        </w:rPr>
        <w:t>Stariji pacijenti</w:t>
      </w:r>
    </w:p>
    <w:p w14:paraId="0B31DEEA" w14:textId="46936FC0" w:rsidR="00143607" w:rsidRPr="00F85CA6" w:rsidRDefault="00143607" w:rsidP="00143607">
      <w:pPr>
        <w:jc w:val="both"/>
        <w:rPr>
          <w:rFonts w:eastAsia="Calibri"/>
          <w:sz w:val="22"/>
          <w:szCs w:val="22"/>
          <w:lang w:val="sr-Latn-ME" w:bidi="en-US"/>
        </w:rPr>
      </w:pPr>
      <w:r w:rsidRPr="00F85CA6">
        <w:rPr>
          <w:rFonts w:eastAsia="Calibri"/>
          <w:sz w:val="22"/>
          <w:szCs w:val="22"/>
          <w:lang w:val="sr-Latn-ME" w:bidi="en-US"/>
        </w:rPr>
        <w:t>Kod starijih pacijenata &gt;</w:t>
      </w:r>
      <w:r w:rsidR="00972FA9" w:rsidRPr="00F85CA6">
        <w:rPr>
          <w:rFonts w:eastAsia="Calibri"/>
          <w:sz w:val="22"/>
          <w:szCs w:val="22"/>
          <w:lang w:val="sr-Latn-ME" w:bidi="en-US"/>
        </w:rPr>
        <w:t xml:space="preserve"> </w:t>
      </w:r>
      <w:r w:rsidRPr="00F85CA6">
        <w:rPr>
          <w:rFonts w:eastAsia="Calibri"/>
          <w:sz w:val="22"/>
          <w:szCs w:val="22"/>
          <w:lang w:val="sr-Latn-ME" w:bidi="en-US"/>
        </w:rPr>
        <w:t xml:space="preserve">75 godina, </w:t>
      </w:r>
      <w:r w:rsidR="003E5AF3" w:rsidRPr="00F85CA6">
        <w:rPr>
          <w:rFonts w:eastAsia="Calibri"/>
          <w:sz w:val="22"/>
          <w:szCs w:val="22"/>
          <w:lang w:val="sr-Latn-ME" w:bidi="en-US"/>
        </w:rPr>
        <w:t>preporučuje</w:t>
      </w:r>
      <w:r w:rsidRPr="00F85CA6">
        <w:rPr>
          <w:rFonts w:eastAsia="Calibri"/>
          <w:sz w:val="22"/>
          <w:szCs w:val="22"/>
          <w:lang w:val="sr-Latn-ME" w:bidi="en-US"/>
        </w:rPr>
        <w:t xml:space="preserve"> se smanjenje doze (</w:t>
      </w:r>
      <w:r w:rsidR="003E5AF3" w:rsidRPr="00F85CA6">
        <w:rPr>
          <w:rFonts w:eastAsia="Calibri"/>
          <w:sz w:val="22"/>
          <w:szCs w:val="22"/>
          <w:lang w:val="sr-Latn-ME" w:bidi="en-US"/>
        </w:rPr>
        <w:t>vidjeti</w:t>
      </w:r>
      <w:r w:rsidRPr="00F85CA6">
        <w:rPr>
          <w:rFonts w:eastAsia="Calibri"/>
          <w:sz w:val="22"/>
          <w:szCs w:val="22"/>
          <w:lang w:val="sr-Latn-ME" w:bidi="en-US"/>
        </w:rPr>
        <w:t xml:space="preserve"> tabelu 1 iznad i </w:t>
      </w:r>
      <w:r w:rsidR="00FC0ECE" w:rsidRPr="00F85CA6">
        <w:rPr>
          <w:rFonts w:eastAsia="Calibri"/>
          <w:sz w:val="22"/>
          <w:szCs w:val="22"/>
          <w:lang w:val="sr-Latn-ME" w:bidi="en-US"/>
        </w:rPr>
        <w:t>djelove</w:t>
      </w:r>
      <w:r w:rsidRPr="00F85CA6">
        <w:rPr>
          <w:rFonts w:eastAsia="Calibri"/>
          <w:sz w:val="22"/>
          <w:szCs w:val="22"/>
          <w:lang w:val="sr-Latn-ME" w:bidi="en-US"/>
        </w:rPr>
        <w:t xml:space="preserve"> 4.4 i 5.1).</w:t>
      </w:r>
    </w:p>
    <w:p w14:paraId="13416804" w14:textId="77777777" w:rsidR="00143607" w:rsidRPr="00F85CA6" w:rsidRDefault="00143607" w:rsidP="00143607">
      <w:pPr>
        <w:jc w:val="both"/>
        <w:rPr>
          <w:rFonts w:eastAsia="Calibri"/>
          <w:sz w:val="22"/>
          <w:szCs w:val="22"/>
          <w:lang w:val="sr-Latn-ME" w:bidi="en-US"/>
        </w:rPr>
      </w:pPr>
    </w:p>
    <w:p w14:paraId="673F0DD7" w14:textId="19959122" w:rsidR="00143607" w:rsidRPr="00F85CA6" w:rsidRDefault="00143607" w:rsidP="00143607">
      <w:pPr>
        <w:jc w:val="both"/>
        <w:rPr>
          <w:rFonts w:eastAsia="Calibri"/>
          <w:i/>
          <w:iCs/>
          <w:sz w:val="22"/>
          <w:szCs w:val="22"/>
          <w:lang w:val="sr-Latn-ME" w:bidi="en-US"/>
        </w:rPr>
      </w:pPr>
      <w:r w:rsidRPr="00F85CA6">
        <w:rPr>
          <w:rFonts w:eastAsia="Calibri"/>
          <w:i/>
          <w:iCs/>
          <w:sz w:val="22"/>
          <w:szCs w:val="22"/>
          <w:lang w:val="sr-Latn-ME" w:bidi="en-US"/>
        </w:rPr>
        <w:t>T</w:t>
      </w:r>
      <w:r w:rsidR="00194E92" w:rsidRPr="00F85CA6">
        <w:rPr>
          <w:rFonts w:eastAsia="Calibri"/>
          <w:i/>
          <w:iCs/>
          <w:sz w:val="22"/>
          <w:szCs w:val="22"/>
          <w:lang w:val="sr-Latn-ME" w:bidi="en-US"/>
        </w:rPr>
        <w:t>j</w:t>
      </w:r>
      <w:r w:rsidRPr="00F85CA6">
        <w:rPr>
          <w:rFonts w:eastAsia="Calibri"/>
          <w:i/>
          <w:iCs/>
          <w:sz w:val="22"/>
          <w:szCs w:val="22"/>
          <w:lang w:val="sr-Latn-ME" w:bidi="en-US"/>
        </w:rPr>
        <w:t>elesna masa</w:t>
      </w:r>
    </w:p>
    <w:p w14:paraId="7902D954" w14:textId="48749557" w:rsidR="00143607" w:rsidRPr="00F85CA6" w:rsidRDefault="00143607" w:rsidP="00143607">
      <w:pPr>
        <w:jc w:val="both"/>
        <w:rPr>
          <w:rFonts w:eastAsia="Calibri"/>
          <w:sz w:val="22"/>
          <w:szCs w:val="22"/>
          <w:lang w:val="sr-Latn-ME"/>
        </w:rPr>
      </w:pPr>
      <w:r w:rsidRPr="00F85CA6">
        <w:rPr>
          <w:rFonts w:eastAsia="Calibri"/>
          <w:sz w:val="22"/>
          <w:szCs w:val="22"/>
          <w:lang w:val="sr-Latn-ME"/>
        </w:rPr>
        <w:t>Kliničko iskustvo kod pacijenata sa t</w:t>
      </w:r>
      <w:r w:rsidR="00194E92" w:rsidRPr="00F85CA6">
        <w:rPr>
          <w:rFonts w:eastAsia="Calibri"/>
          <w:sz w:val="22"/>
          <w:szCs w:val="22"/>
          <w:lang w:val="sr-Latn-ME"/>
        </w:rPr>
        <w:t>j</w:t>
      </w:r>
      <w:r w:rsidRPr="00F85CA6">
        <w:rPr>
          <w:rFonts w:eastAsia="Calibri"/>
          <w:sz w:val="22"/>
          <w:szCs w:val="22"/>
          <w:lang w:val="sr-Latn-ME"/>
        </w:rPr>
        <w:t xml:space="preserve">elesnom masom &lt; 50 kg ili &gt; 110 kg pri </w:t>
      </w:r>
      <w:r w:rsidR="003E5AF3" w:rsidRPr="00F85CA6">
        <w:rPr>
          <w:rFonts w:eastAsia="Calibri"/>
          <w:sz w:val="22"/>
          <w:szCs w:val="22"/>
          <w:lang w:val="sr-Latn-ME"/>
        </w:rPr>
        <w:t>pre</w:t>
      </w:r>
      <w:r w:rsidRPr="00F85CA6">
        <w:rPr>
          <w:rFonts w:eastAsia="Calibri"/>
          <w:sz w:val="22"/>
          <w:szCs w:val="22"/>
          <w:lang w:val="sr-Latn-ME"/>
        </w:rPr>
        <w:t>poručenom načinu doziranja je veoma ograničeno. Imajući u vidu raspoložive kliničke i kinetičke podatke, nije potrebno prilagođavanje doze (</w:t>
      </w:r>
      <w:r w:rsidR="003E5AF3" w:rsidRPr="00F85CA6">
        <w:rPr>
          <w:rFonts w:eastAsia="Calibri"/>
          <w:sz w:val="22"/>
          <w:szCs w:val="22"/>
          <w:lang w:val="sr-Latn-ME"/>
        </w:rPr>
        <w:t>vidjeti</w:t>
      </w:r>
      <w:r w:rsidRPr="00F85CA6">
        <w:rPr>
          <w:rFonts w:eastAsia="Calibri"/>
          <w:sz w:val="22"/>
          <w:szCs w:val="22"/>
          <w:lang w:val="sr-Latn-ME"/>
        </w:rPr>
        <w:t xml:space="preserve"> </w:t>
      </w:r>
      <w:r w:rsidR="00FC0ECE" w:rsidRPr="00F85CA6">
        <w:rPr>
          <w:rFonts w:eastAsia="Calibri"/>
          <w:sz w:val="22"/>
          <w:szCs w:val="22"/>
          <w:lang w:val="sr-Latn-ME"/>
        </w:rPr>
        <w:t>dio</w:t>
      </w:r>
      <w:r w:rsidRPr="00F85CA6">
        <w:rPr>
          <w:rFonts w:eastAsia="Calibri"/>
          <w:sz w:val="22"/>
          <w:szCs w:val="22"/>
          <w:lang w:val="sr-Latn-ME"/>
        </w:rPr>
        <w:t xml:space="preserve"> 5.2), ali se </w:t>
      </w:r>
      <w:r w:rsidR="003E5AF3" w:rsidRPr="00F85CA6">
        <w:rPr>
          <w:rFonts w:eastAsia="Calibri"/>
          <w:sz w:val="22"/>
          <w:szCs w:val="22"/>
          <w:lang w:val="sr-Latn-ME"/>
        </w:rPr>
        <w:t>preporučuje</w:t>
      </w:r>
      <w:r w:rsidRPr="00F85CA6">
        <w:rPr>
          <w:rFonts w:eastAsia="Calibri"/>
          <w:sz w:val="22"/>
          <w:szCs w:val="22"/>
          <w:lang w:val="sr-Latn-ME"/>
        </w:rPr>
        <w:t xml:space="preserve"> pažljiv</w:t>
      </w:r>
      <w:r w:rsidR="00972FA9" w:rsidRPr="00F85CA6">
        <w:rPr>
          <w:rFonts w:eastAsia="Calibri"/>
          <w:sz w:val="22"/>
          <w:szCs w:val="22"/>
          <w:lang w:val="sr-Latn-ME"/>
        </w:rPr>
        <w:t>o</w:t>
      </w:r>
      <w:r w:rsidRPr="00F85CA6">
        <w:rPr>
          <w:rFonts w:eastAsia="Calibri"/>
          <w:sz w:val="22"/>
          <w:szCs w:val="22"/>
          <w:lang w:val="sr-Latn-ME"/>
        </w:rPr>
        <w:t xml:space="preserve"> kliničk</w:t>
      </w:r>
      <w:r w:rsidR="00972FA9" w:rsidRPr="00F85CA6">
        <w:rPr>
          <w:rFonts w:eastAsia="Calibri"/>
          <w:sz w:val="22"/>
          <w:szCs w:val="22"/>
          <w:lang w:val="sr-Latn-ME"/>
        </w:rPr>
        <w:t>o</w:t>
      </w:r>
      <w:r w:rsidRPr="00F85CA6">
        <w:rPr>
          <w:rFonts w:eastAsia="Calibri"/>
          <w:sz w:val="22"/>
          <w:szCs w:val="22"/>
          <w:lang w:val="sr-Latn-ME"/>
        </w:rPr>
        <w:t xml:space="preserve"> </w:t>
      </w:r>
      <w:r w:rsidR="00972FA9" w:rsidRPr="00F85CA6">
        <w:rPr>
          <w:rFonts w:eastAsia="Calibri"/>
          <w:sz w:val="22"/>
          <w:szCs w:val="22"/>
          <w:lang w:val="sr-Latn-ME"/>
        </w:rPr>
        <w:t xml:space="preserve">praćenje </w:t>
      </w:r>
      <w:r w:rsidRPr="00F85CA6">
        <w:rPr>
          <w:rFonts w:eastAsia="Calibri"/>
          <w:sz w:val="22"/>
          <w:szCs w:val="22"/>
          <w:lang w:val="sr-Latn-ME"/>
        </w:rPr>
        <w:t>(</w:t>
      </w:r>
      <w:r w:rsidR="003E5AF3" w:rsidRPr="00F85CA6">
        <w:rPr>
          <w:rFonts w:eastAsia="Calibri"/>
          <w:sz w:val="22"/>
          <w:szCs w:val="22"/>
          <w:lang w:val="sr-Latn-ME"/>
        </w:rPr>
        <w:t>vidjeti</w:t>
      </w:r>
      <w:r w:rsidRPr="00F85CA6">
        <w:rPr>
          <w:rFonts w:eastAsia="Calibri"/>
          <w:sz w:val="22"/>
          <w:szCs w:val="22"/>
          <w:lang w:val="sr-Latn-ME"/>
        </w:rPr>
        <w:t xml:space="preserve"> </w:t>
      </w:r>
      <w:r w:rsidR="00EC0807" w:rsidRPr="00F85CA6">
        <w:rPr>
          <w:rFonts w:eastAsia="Calibri"/>
          <w:sz w:val="22"/>
          <w:szCs w:val="22"/>
          <w:lang w:val="sr-Latn-ME"/>
        </w:rPr>
        <w:t>dio</w:t>
      </w:r>
      <w:r w:rsidRPr="00F85CA6">
        <w:rPr>
          <w:rFonts w:eastAsia="Calibri"/>
          <w:sz w:val="22"/>
          <w:szCs w:val="22"/>
          <w:lang w:val="sr-Latn-ME"/>
        </w:rPr>
        <w:t xml:space="preserve"> 4.4).</w:t>
      </w:r>
    </w:p>
    <w:p w14:paraId="7D585EC0" w14:textId="77777777" w:rsidR="00143607" w:rsidRPr="00F85CA6" w:rsidRDefault="00143607" w:rsidP="00143607">
      <w:pPr>
        <w:jc w:val="both"/>
        <w:rPr>
          <w:rFonts w:eastAsia="Calibri"/>
          <w:sz w:val="22"/>
          <w:szCs w:val="22"/>
          <w:lang w:val="sr-Latn-ME"/>
        </w:rPr>
      </w:pPr>
    </w:p>
    <w:p w14:paraId="78802912" w14:textId="3B9201E6" w:rsidR="00143607" w:rsidRPr="00F85CA6" w:rsidRDefault="00143607" w:rsidP="00143607">
      <w:pPr>
        <w:jc w:val="both"/>
        <w:rPr>
          <w:rFonts w:eastAsia="Calibri"/>
          <w:sz w:val="22"/>
          <w:szCs w:val="22"/>
          <w:lang w:val="sr-Latn-ME" w:bidi="en-US"/>
        </w:rPr>
      </w:pPr>
      <w:r w:rsidRPr="00F85CA6">
        <w:rPr>
          <w:rFonts w:eastAsia="Calibri"/>
          <w:i/>
          <w:iCs/>
          <w:sz w:val="22"/>
          <w:szCs w:val="22"/>
          <w:lang w:val="sr-Latn-ME" w:bidi="en-US"/>
        </w:rPr>
        <w:t>Pol</w:t>
      </w:r>
    </w:p>
    <w:p w14:paraId="67B496C4" w14:textId="0652E976" w:rsidR="00143607" w:rsidRPr="00F85CA6" w:rsidRDefault="00143607" w:rsidP="00143607">
      <w:pPr>
        <w:jc w:val="both"/>
        <w:rPr>
          <w:rFonts w:eastAsia="Calibri"/>
          <w:sz w:val="22"/>
          <w:szCs w:val="22"/>
          <w:lang w:val="sr-Latn-ME" w:bidi="en-US"/>
        </w:rPr>
      </w:pPr>
      <w:r w:rsidRPr="00F85CA6">
        <w:rPr>
          <w:rFonts w:eastAsia="Calibri"/>
          <w:sz w:val="22"/>
          <w:szCs w:val="22"/>
          <w:lang w:val="sr-Latn-ME" w:bidi="en-US"/>
        </w:rPr>
        <w:t>Nije potrebno prilagođavanje doze (</w:t>
      </w:r>
      <w:r w:rsidR="003E5AF3" w:rsidRPr="00F85CA6">
        <w:rPr>
          <w:rFonts w:eastAsia="Calibri"/>
          <w:sz w:val="22"/>
          <w:szCs w:val="22"/>
          <w:lang w:val="sr-Latn-ME" w:bidi="en-US"/>
        </w:rPr>
        <w:t>vidjeti</w:t>
      </w:r>
      <w:r w:rsidRPr="00F85CA6">
        <w:rPr>
          <w:rFonts w:eastAsia="Calibri"/>
          <w:sz w:val="22"/>
          <w:szCs w:val="22"/>
          <w:lang w:val="sr-Latn-ME" w:bidi="en-US"/>
        </w:rPr>
        <w:t xml:space="preserve"> </w:t>
      </w:r>
      <w:r w:rsidR="00C96D78" w:rsidRPr="00F85CA6">
        <w:rPr>
          <w:rFonts w:eastAsia="Calibri"/>
          <w:sz w:val="22"/>
          <w:szCs w:val="22"/>
          <w:lang w:val="sr-Latn-ME" w:bidi="en-US"/>
        </w:rPr>
        <w:t>dio</w:t>
      </w:r>
      <w:r w:rsidRPr="00F85CA6">
        <w:rPr>
          <w:rFonts w:eastAsia="Calibri"/>
          <w:sz w:val="22"/>
          <w:szCs w:val="22"/>
          <w:lang w:val="sr-Latn-ME" w:bidi="en-US"/>
        </w:rPr>
        <w:t xml:space="preserve"> 5.2).</w:t>
      </w:r>
    </w:p>
    <w:p w14:paraId="1608C787" w14:textId="77777777" w:rsidR="00143607" w:rsidRPr="00F85CA6" w:rsidRDefault="00143607" w:rsidP="00143607">
      <w:pPr>
        <w:jc w:val="both"/>
        <w:rPr>
          <w:rFonts w:eastAsia="Calibri"/>
          <w:sz w:val="22"/>
          <w:szCs w:val="22"/>
          <w:lang w:val="sr-Latn-ME" w:bidi="en-US"/>
        </w:rPr>
      </w:pPr>
    </w:p>
    <w:p w14:paraId="1E876375" w14:textId="6B5F9F7B" w:rsidR="00143607" w:rsidRPr="00F85CA6" w:rsidRDefault="00143607" w:rsidP="00143607">
      <w:pPr>
        <w:jc w:val="both"/>
        <w:rPr>
          <w:rFonts w:eastAsia="Calibri"/>
          <w:i/>
          <w:iCs/>
          <w:sz w:val="22"/>
          <w:szCs w:val="22"/>
          <w:lang w:val="sr-Latn-ME" w:bidi="en-US"/>
        </w:rPr>
      </w:pPr>
      <w:r w:rsidRPr="00F85CA6">
        <w:rPr>
          <w:rFonts w:eastAsia="Calibri"/>
          <w:i/>
          <w:iCs/>
          <w:sz w:val="22"/>
          <w:szCs w:val="22"/>
          <w:lang w:val="sr-Latn-ME" w:bidi="en-US"/>
        </w:rPr>
        <w:t>Pedijatrijska populacija</w:t>
      </w:r>
    </w:p>
    <w:p w14:paraId="4AFF536C" w14:textId="568CE9C8" w:rsidR="00143607" w:rsidRPr="00F85CA6" w:rsidRDefault="00143607" w:rsidP="00143607">
      <w:pPr>
        <w:jc w:val="both"/>
        <w:rPr>
          <w:rFonts w:eastAsia="Calibri"/>
          <w:sz w:val="22"/>
          <w:szCs w:val="22"/>
          <w:lang w:val="sr-Latn-ME"/>
        </w:rPr>
      </w:pPr>
      <w:r w:rsidRPr="00F85CA6">
        <w:rPr>
          <w:rFonts w:eastAsia="Calibri"/>
          <w:sz w:val="22"/>
          <w:szCs w:val="22"/>
          <w:lang w:val="sr-Latn-ME"/>
        </w:rPr>
        <w:t>Nema relevantne prim</w:t>
      </w:r>
      <w:r w:rsidR="00194E92" w:rsidRPr="00F85CA6">
        <w:rPr>
          <w:rFonts w:eastAsia="Calibri"/>
          <w:sz w:val="22"/>
          <w:szCs w:val="22"/>
          <w:lang w:val="sr-Latn-ME"/>
        </w:rPr>
        <w:t>j</w:t>
      </w:r>
      <w:r w:rsidRPr="00F85CA6">
        <w:rPr>
          <w:rFonts w:eastAsia="Calibri"/>
          <w:sz w:val="22"/>
          <w:szCs w:val="22"/>
          <w:lang w:val="sr-Latn-ME"/>
        </w:rPr>
        <w:t xml:space="preserve">ene dabigatraneteksilata u pedijatrijskoj populaciji za indikaciju primarne </w:t>
      </w:r>
      <w:r w:rsidR="003E5AF3" w:rsidRPr="00F85CA6">
        <w:rPr>
          <w:rFonts w:eastAsia="Calibri"/>
          <w:sz w:val="22"/>
          <w:szCs w:val="22"/>
          <w:lang w:val="sr-Latn-ME"/>
        </w:rPr>
        <w:t>pre</w:t>
      </w:r>
      <w:r w:rsidRPr="00F85CA6">
        <w:rPr>
          <w:rFonts w:eastAsia="Calibri"/>
          <w:sz w:val="22"/>
          <w:szCs w:val="22"/>
          <w:lang w:val="sr-Latn-ME"/>
        </w:rPr>
        <w:t>vencije VTE kod pacijenata koji su bili podvrgnuti e</w:t>
      </w:r>
      <w:r w:rsidR="003E5AF3" w:rsidRPr="00F85CA6">
        <w:rPr>
          <w:rFonts w:eastAsia="Calibri"/>
          <w:sz w:val="22"/>
          <w:szCs w:val="22"/>
          <w:lang w:val="sr-Latn-ME"/>
        </w:rPr>
        <w:t>lek</w:t>
      </w:r>
      <w:r w:rsidRPr="00F85CA6">
        <w:rPr>
          <w:rFonts w:eastAsia="Calibri"/>
          <w:sz w:val="22"/>
          <w:szCs w:val="22"/>
          <w:lang w:val="sr-Latn-ME"/>
        </w:rPr>
        <w:t>tivnom hirurškom zahvatu totalne zam</w:t>
      </w:r>
      <w:r w:rsidR="00194E92" w:rsidRPr="00F85CA6">
        <w:rPr>
          <w:rFonts w:eastAsia="Calibri"/>
          <w:sz w:val="22"/>
          <w:szCs w:val="22"/>
          <w:lang w:val="sr-Latn-ME"/>
        </w:rPr>
        <w:t>j</w:t>
      </w:r>
      <w:r w:rsidRPr="00F85CA6">
        <w:rPr>
          <w:rFonts w:eastAsia="Calibri"/>
          <w:sz w:val="22"/>
          <w:szCs w:val="22"/>
          <w:lang w:val="sr-Latn-ME"/>
        </w:rPr>
        <w:t>ene kuka ili totalne zam</w:t>
      </w:r>
      <w:r w:rsidR="00194E92" w:rsidRPr="00F85CA6">
        <w:rPr>
          <w:rFonts w:eastAsia="Calibri"/>
          <w:sz w:val="22"/>
          <w:szCs w:val="22"/>
          <w:lang w:val="sr-Latn-ME"/>
        </w:rPr>
        <w:t>j</w:t>
      </w:r>
      <w:r w:rsidRPr="00F85CA6">
        <w:rPr>
          <w:rFonts w:eastAsia="Calibri"/>
          <w:sz w:val="22"/>
          <w:szCs w:val="22"/>
          <w:lang w:val="sr-Latn-ME"/>
        </w:rPr>
        <w:t>ene kol</w:t>
      </w:r>
      <w:r w:rsidR="00194E92" w:rsidRPr="00F85CA6">
        <w:rPr>
          <w:rFonts w:eastAsia="Calibri"/>
          <w:sz w:val="22"/>
          <w:szCs w:val="22"/>
          <w:lang w:val="sr-Latn-ME"/>
        </w:rPr>
        <w:t>j</w:t>
      </w:r>
      <w:r w:rsidRPr="00F85CA6">
        <w:rPr>
          <w:rFonts w:eastAsia="Calibri"/>
          <w:sz w:val="22"/>
          <w:szCs w:val="22"/>
          <w:lang w:val="sr-Latn-ME"/>
        </w:rPr>
        <w:t>ena.</w:t>
      </w:r>
    </w:p>
    <w:p w14:paraId="403040DC" w14:textId="77777777" w:rsidR="00143607" w:rsidRPr="00F85CA6" w:rsidRDefault="00143607" w:rsidP="00143607">
      <w:pPr>
        <w:jc w:val="both"/>
        <w:rPr>
          <w:rFonts w:eastAsia="Calibri"/>
          <w:sz w:val="22"/>
          <w:szCs w:val="22"/>
          <w:lang w:val="sr-Latn-ME"/>
        </w:rPr>
      </w:pPr>
    </w:p>
    <w:p w14:paraId="1634FD9C" w14:textId="725EDC61" w:rsidR="00143607" w:rsidRPr="00F85CA6" w:rsidRDefault="003E5AF3" w:rsidP="00143607">
      <w:pPr>
        <w:jc w:val="both"/>
        <w:rPr>
          <w:rFonts w:eastAsia="Calibri"/>
          <w:sz w:val="22"/>
          <w:szCs w:val="22"/>
          <w:lang w:val="sr-Latn-ME" w:bidi="en-US"/>
        </w:rPr>
      </w:pPr>
      <w:r w:rsidRPr="00F85CA6">
        <w:rPr>
          <w:rFonts w:eastAsia="Calibri"/>
          <w:b/>
          <w:bCs/>
          <w:i/>
          <w:iCs/>
          <w:sz w:val="22"/>
          <w:szCs w:val="22"/>
          <w:u w:val="single"/>
          <w:lang w:val="sr-Latn-ME" w:bidi="en-US"/>
        </w:rPr>
        <w:t>Pre</w:t>
      </w:r>
      <w:r w:rsidR="00143607" w:rsidRPr="00F85CA6">
        <w:rPr>
          <w:rFonts w:eastAsia="Calibri"/>
          <w:b/>
          <w:bCs/>
          <w:i/>
          <w:iCs/>
          <w:sz w:val="22"/>
          <w:szCs w:val="22"/>
          <w:u w:val="single"/>
          <w:lang w:val="sr-Latn-ME" w:bidi="en-US"/>
        </w:rPr>
        <w:t>vencija moždanog udara i sistemske embolije kod odraslih pacijenata sa NVAF sa jednim ili više faktora rizika (</w:t>
      </w:r>
      <w:r w:rsidRPr="00F85CA6">
        <w:rPr>
          <w:rFonts w:eastAsia="Calibri"/>
          <w:b/>
          <w:bCs/>
          <w:i/>
          <w:iCs/>
          <w:sz w:val="22"/>
          <w:szCs w:val="22"/>
          <w:u w:val="single"/>
          <w:lang w:val="sr-Latn-ME" w:bidi="en-US"/>
        </w:rPr>
        <w:t>pre</w:t>
      </w:r>
      <w:r w:rsidR="00143607" w:rsidRPr="00F85CA6">
        <w:rPr>
          <w:rFonts w:eastAsia="Calibri"/>
          <w:b/>
          <w:bCs/>
          <w:i/>
          <w:iCs/>
          <w:sz w:val="22"/>
          <w:szCs w:val="22"/>
          <w:u w:val="single"/>
          <w:lang w:val="sr-Latn-ME" w:bidi="en-US"/>
        </w:rPr>
        <w:t>vencija MU i SE kod AF)</w:t>
      </w:r>
    </w:p>
    <w:p w14:paraId="09F1FA4E" w14:textId="51A3A3E0" w:rsidR="00143607" w:rsidRPr="00F85CA6" w:rsidRDefault="00143607" w:rsidP="00143607">
      <w:pPr>
        <w:jc w:val="both"/>
        <w:rPr>
          <w:rFonts w:eastAsia="Calibri"/>
          <w:sz w:val="22"/>
          <w:szCs w:val="22"/>
          <w:lang w:val="sr-Latn-ME" w:bidi="en-US"/>
        </w:rPr>
      </w:pPr>
      <w:r w:rsidRPr="00F85CA6">
        <w:rPr>
          <w:rFonts w:eastAsia="Calibri"/>
          <w:b/>
          <w:bCs/>
          <w:i/>
          <w:iCs/>
          <w:sz w:val="22"/>
          <w:szCs w:val="22"/>
          <w:u w:val="single"/>
          <w:lang w:val="sr-Latn-ME" w:bidi="en-US"/>
        </w:rPr>
        <w:t>L</w:t>
      </w:r>
      <w:r w:rsidR="00194E92" w:rsidRPr="00F85CA6">
        <w:rPr>
          <w:rFonts w:eastAsia="Calibri"/>
          <w:b/>
          <w:bCs/>
          <w:i/>
          <w:iCs/>
          <w:sz w:val="22"/>
          <w:szCs w:val="22"/>
          <w:u w:val="single"/>
          <w:lang w:val="sr-Latn-ME" w:bidi="en-US"/>
        </w:rPr>
        <w:t>ij</w:t>
      </w:r>
      <w:r w:rsidRPr="00F85CA6">
        <w:rPr>
          <w:rFonts w:eastAsia="Calibri"/>
          <w:b/>
          <w:bCs/>
          <w:i/>
          <w:iCs/>
          <w:sz w:val="22"/>
          <w:szCs w:val="22"/>
          <w:u w:val="single"/>
          <w:lang w:val="sr-Latn-ME" w:bidi="en-US"/>
        </w:rPr>
        <w:t xml:space="preserve">ečenje DVT i PE i </w:t>
      </w:r>
      <w:r w:rsidR="003E5AF3" w:rsidRPr="00F85CA6">
        <w:rPr>
          <w:rFonts w:eastAsia="Calibri"/>
          <w:b/>
          <w:bCs/>
          <w:i/>
          <w:iCs/>
          <w:sz w:val="22"/>
          <w:szCs w:val="22"/>
          <w:u w:val="single"/>
          <w:lang w:val="sr-Latn-ME" w:bidi="en-US"/>
        </w:rPr>
        <w:t>pre</w:t>
      </w:r>
      <w:r w:rsidRPr="00F85CA6">
        <w:rPr>
          <w:rFonts w:eastAsia="Calibri"/>
          <w:b/>
          <w:bCs/>
          <w:i/>
          <w:iCs/>
          <w:sz w:val="22"/>
          <w:szCs w:val="22"/>
          <w:u w:val="single"/>
          <w:lang w:val="sr-Latn-ME" w:bidi="en-US"/>
        </w:rPr>
        <w:t>vencija rekurentne DVT i PE kod odraslih osoba (DVT/PE)</w:t>
      </w:r>
    </w:p>
    <w:p w14:paraId="231C3165" w14:textId="77777777" w:rsidR="00143607" w:rsidRPr="00F85CA6" w:rsidRDefault="00143607" w:rsidP="00143607">
      <w:pPr>
        <w:jc w:val="both"/>
        <w:rPr>
          <w:rFonts w:eastAsia="Calibri"/>
          <w:sz w:val="22"/>
          <w:szCs w:val="22"/>
          <w:lang w:val="sr-Latn-ME" w:bidi="en-US"/>
        </w:rPr>
      </w:pPr>
    </w:p>
    <w:p w14:paraId="0B9FA5DE" w14:textId="1DDD34F1" w:rsidR="00143607" w:rsidRPr="00F85CA6" w:rsidRDefault="003E5AF3" w:rsidP="00143607">
      <w:pPr>
        <w:jc w:val="both"/>
        <w:rPr>
          <w:rFonts w:eastAsia="Calibri"/>
          <w:sz w:val="22"/>
          <w:szCs w:val="22"/>
          <w:lang w:val="sr-Latn-ME" w:bidi="en-US"/>
        </w:rPr>
      </w:pPr>
      <w:r w:rsidRPr="00F85CA6">
        <w:rPr>
          <w:rFonts w:eastAsia="Calibri"/>
          <w:sz w:val="22"/>
          <w:szCs w:val="22"/>
          <w:lang w:val="sr-Latn-ME" w:bidi="en-US"/>
        </w:rPr>
        <w:lastRenderedPageBreak/>
        <w:t>Pre</w:t>
      </w:r>
      <w:r w:rsidR="00143607" w:rsidRPr="00F85CA6">
        <w:rPr>
          <w:rFonts w:eastAsia="Calibri"/>
          <w:sz w:val="22"/>
          <w:szCs w:val="22"/>
          <w:lang w:val="sr-Latn-ME" w:bidi="en-US"/>
        </w:rPr>
        <w:t xml:space="preserve">poručene doze dabigatraneteksilata u indikacijama </w:t>
      </w:r>
      <w:r w:rsidRPr="00F85CA6">
        <w:rPr>
          <w:rFonts w:eastAsia="Calibri"/>
          <w:sz w:val="22"/>
          <w:szCs w:val="22"/>
          <w:lang w:val="sr-Latn-ME" w:bidi="en-US"/>
        </w:rPr>
        <w:t>pre</w:t>
      </w:r>
      <w:r w:rsidR="00143607" w:rsidRPr="00F85CA6">
        <w:rPr>
          <w:rFonts w:eastAsia="Calibri"/>
          <w:sz w:val="22"/>
          <w:szCs w:val="22"/>
          <w:lang w:val="sr-Latn-ME" w:bidi="en-US"/>
        </w:rPr>
        <w:t>vencije MU i SE kod AF i indikaciji DVT i PE su prikazane u tabeli 2.</w:t>
      </w:r>
    </w:p>
    <w:p w14:paraId="06AAF5A4" w14:textId="77777777" w:rsidR="00143607" w:rsidRPr="00F85CA6" w:rsidRDefault="00143607" w:rsidP="00143607">
      <w:pPr>
        <w:jc w:val="both"/>
        <w:rPr>
          <w:rFonts w:eastAsia="Calibri"/>
          <w:sz w:val="22"/>
          <w:szCs w:val="22"/>
          <w:lang w:val="sr-Latn-ME" w:bidi="en-US"/>
        </w:rPr>
      </w:pPr>
    </w:p>
    <w:p w14:paraId="679E4CB3" w14:textId="32C756AD" w:rsidR="00143607" w:rsidRPr="00F85CA6" w:rsidRDefault="00143607" w:rsidP="00685312">
      <w:pPr>
        <w:jc w:val="center"/>
        <w:rPr>
          <w:rFonts w:eastAsia="Calibri"/>
          <w:b/>
          <w:bCs/>
          <w:sz w:val="22"/>
          <w:szCs w:val="22"/>
          <w:lang w:val="sr-Latn-ME" w:bidi="en-US"/>
        </w:rPr>
      </w:pPr>
      <w:r w:rsidRPr="00F85CA6">
        <w:rPr>
          <w:rFonts w:eastAsia="Calibri"/>
          <w:b/>
          <w:bCs/>
          <w:sz w:val="22"/>
          <w:szCs w:val="22"/>
          <w:lang w:val="sr-Latn-ME" w:bidi="en-US"/>
        </w:rPr>
        <w:t xml:space="preserve">Tabela 2: </w:t>
      </w:r>
      <w:r w:rsidR="003E5AF3" w:rsidRPr="00F85CA6">
        <w:rPr>
          <w:rFonts w:eastAsia="Calibri"/>
          <w:b/>
          <w:bCs/>
          <w:sz w:val="22"/>
          <w:szCs w:val="22"/>
          <w:lang w:val="sr-Latn-ME" w:bidi="en-US"/>
        </w:rPr>
        <w:t>Pre</w:t>
      </w:r>
      <w:r w:rsidRPr="00F85CA6">
        <w:rPr>
          <w:rFonts w:eastAsia="Calibri"/>
          <w:b/>
          <w:bCs/>
          <w:sz w:val="22"/>
          <w:szCs w:val="22"/>
          <w:lang w:val="sr-Latn-ME" w:bidi="en-US"/>
        </w:rPr>
        <w:t xml:space="preserve">poručene doze za </w:t>
      </w:r>
      <w:r w:rsidR="003E5AF3" w:rsidRPr="00F85CA6">
        <w:rPr>
          <w:rFonts w:eastAsia="Calibri"/>
          <w:b/>
          <w:bCs/>
          <w:sz w:val="22"/>
          <w:szCs w:val="22"/>
          <w:lang w:val="sr-Latn-ME" w:bidi="en-US"/>
        </w:rPr>
        <w:t>pre</w:t>
      </w:r>
      <w:r w:rsidRPr="00F85CA6">
        <w:rPr>
          <w:rFonts w:eastAsia="Calibri"/>
          <w:b/>
          <w:bCs/>
          <w:sz w:val="22"/>
          <w:szCs w:val="22"/>
          <w:lang w:val="sr-Latn-ME" w:bidi="en-US"/>
        </w:rPr>
        <w:t xml:space="preserve">venciju MU i SE kod AF i </w:t>
      </w:r>
      <w:r w:rsidR="003E5AF3" w:rsidRPr="00F85CA6">
        <w:rPr>
          <w:rFonts w:eastAsia="Calibri"/>
          <w:b/>
          <w:bCs/>
          <w:sz w:val="22"/>
          <w:szCs w:val="22"/>
          <w:lang w:val="sr-Latn-ME" w:bidi="en-US"/>
        </w:rPr>
        <w:t>pre</w:t>
      </w:r>
      <w:r w:rsidRPr="00F85CA6">
        <w:rPr>
          <w:rFonts w:eastAsia="Calibri"/>
          <w:b/>
          <w:bCs/>
          <w:sz w:val="22"/>
          <w:szCs w:val="22"/>
          <w:lang w:val="sr-Latn-ME" w:bidi="en-US"/>
        </w:rPr>
        <w:t>poručene doze za  DVT i PE</w:t>
      </w:r>
    </w:p>
    <w:p w14:paraId="3EF14ABD" w14:textId="77777777" w:rsidR="00143607" w:rsidRPr="00F85CA6" w:rsidRDefault="00143607" w:rsidP="00143607">
      <w:pPr>
        <w:jc w:val="both"/>
        <w:rPr>
          <w:rFonts w:eastAsia="Calibri"/>
          <w:b/>
          <w:bCs/>
          <w:sz w:val="22"/>
          <w:szCs w:val="22"/>
          <w:lang w:val="sr-Latn-ME" w:bidi="en-US"/>
        </w:rPr>
      </w:pPr>
    </w:p>
    <w:tbl>
      <w:tblPr>
        <w:tblOverlap w:val="never"/>
        <w:tblW w:w="5000" w:type="pct"/>
        <w:tblCellMar>
          <w:left w:w="85" w:type="dxa"/>
          <w:right w:w="85" w:type="dxa"/>
        </w:tblCellMar>
        <w:tblLook w:val="04A0" w:firstRow="1" w:lastRow="0" w:firstColumn="1" w:lastColumn="0" w:noHBand="0" w:noVBand="1"/>
      </w:tblPr>
      <w:tblGrid>
        <w:gridCol w:w="4100"/>
        <w:gridCol w:w="4963"/>
      </w:tblGrid>
      <w:tr w:rsidR="00143607" w:rsidRPr="00F85CA6" w14:paraId="5B3EED01" w14:textId="77777777" w:rsidTr="001239C3">
        <w:trPr>
          <w:trHeight w:val="20"/>
        </w:trPr>
        <w:tc>
          <w:tcPr>
            <w:tcW w:w="2262" w:type="pct"/>
            <w:tcBorders>
              <w:top w:val="single" w:sz="4" w:space="0" w:color="auto"/>
              <w:left w:val="single" w:sz="4" w:space="0" w:color="auto"/>
              <w:bottom w:val="single" w:sz="4" w:space="0" w:color="auto"/>
            </w:tcBorders>
            <w:shd w:val="clear" w:color="auto" w:fill="auto"/>
          </w:tcPr>
          <w:p w14:paraId="49CD1B16" w14:textId="77777777" w:rsidR="00143607" w:rsidRPr="00F85CA6" w:rsidRDefault="00143607" w:rsidP="00143607">
            <w:pPr>
              <w:jc w:val="both"/>
              <w:rPr>
                <w:rFonts w:eastAsia="Calibri"/>
                <w:sz w:val="22"/>
                <w:szCs w:val="22"/>
                <w:lang w:val="sr-Latn-ME" w:bidi="en-US"/>
              </w:rPr>
            </w:pPr>
          </w:p>
        </w:tc>
        <w:tc>
          <w:tcPr>
            <w:tcW w:w="2738" w:type="pct"/>
            <w:tcBorders>
              <w:top w:val="single" w:sz="4" w:space="0" w:color="auto"/>
              <w:left w:val="single" w:sz="4" w:space="0" w:color="auto"/>
              <w:bottom w:val="single" w:sz="4" w:space="0" w:color="auto"/>
              <w:right w:val="single" w:sz="4" w:space="0" w:color="auto"/>
            </w:tcBorders>
            <w:shd w:val="clear" w:color="auto" w:fill="auto"/>
          </w:tcPr>
          <w:p w14:paraId="5C950072" w14:textId="76FE136D" w:rsidR="00143607" w:rsidRPr="00F85CA6" w:rsidRDefault="003E5AF3" w:rsidP="00685312">
            <w:pPr>
              <w:jc w:val="center"/>
              <w:rPr>
                <w:rFonts w:eastAsia="Calibri"/>
                <w:sz w:val="22"/>
                <w:szCs w:val="22"/>
                <w:lang w:val="sr-Latn-ME" w:bidi="en-US"/>
              </w:rPr>
            </w:pPr>
            <w:r w:rsidRPr="00F85CA6">
              <w:rPr>
                <w:rFonts w:eastAsia="Calibri"/>
                <w:b/>
                <w:bCs/>
                <w:sz w:val="22"/>
                <w:szCs w:val="22"/>
                <w:lang w:val="sr-Latn-ME" w:bidi="en-US"/>
              </w:rPr>
              <w:t>Pre</w:t>
            </w:r>
            <w:r w:rsidR="00143607" w:rsidRPr="00F85CA6">
              <w:rPr>
                <w:rFonts w:eastAsia="Calibri"/>
                <w:b/>
                <w:bCs/>
                <w:sz w:val="22"/>
                <w:szCs w:val="22"/>
                <w:lang w:val="sr-Latn-ME" w:bidi="en-US"/>
              </w:rPr>
              <w:t>poručena doza</w:t>
            </w:r>
          </w:p>
        </w:tc>
      </w:tr>
      <w:tr w:rsidR="00143607" w:rsidRPr="00F85CA6" w14:paraId="24F449CA" w14:textId="77777777" w:rsidTr="001239C3">
        <w:trPr>
          <w:trHeight w:val="20"/>
        </w:trPr>
        <w:tc>
          <w:tcPr>
            <w:tcW w:w="2262" w:type="pct"/>
            <w:tcBorders>
              <w:top w:val="single" w:sz="4" w:space="0" w:color="auto"/>
              <w:left w:val="single" w:sz="4" w:space="0" w:color="auto"/>
              <w:bottom w:val="single" w:sz="4" w:space="0" w:color="auto"/>
            </w:tcBorders>
            <w:shd w:val="clear" w:color="auto" w:fill="auto"/>
          </w:tcPr>
          <w:p w14:paraId="1817262B" w14:textId="17FF128C" w:rsidR="00143607" w:rsidRPr="00F85CA6" w:rsidRDefault="003E5AF3" w:rsidP="00143607">
            <w:pPr>
              <w:rPr>
                <w:rFonts w:eastAsia="Calibri"/>
                <w:sz w:val="22"/>
                <w:szCs w:val="22"/>
                <w:lang w:val="sr-Latn-ME" w:bidi="en-US"/>
              </w:rPr>
            </w:pPr>
            <w:r w:rsidRPr="00F85CA6">
              <w:rPr>
                <w:rFonts w:eastAsia="Calibri"/>
                <w:sz w:val="22"/>
                <w:szCs w:val="22"/>
                <w:lang w:val="sr-Latn-ME" w:bidi="en-US"/>
              </w:rPr>
              <w:t>Pre</w:t>
            </w:r>
            <w:r w:rsidR="00143607" w:rsidRPr="00F85CA6">
              <w:rPr>
                <w:rFonts w:eastAsia="Calibri"/>
                <w:sz w:val="22"/>
                <w:szCs w:val="22"/>
                <w:lang w:val="sr-Latn-ME" w:bidi="en-US"/>
              </w:rPr>
              <w:t>vencija moždanog udara ili sistemske embolije kod odraslih pacijenata sa NVAF sa jednim ili više faktora rizika (</w:t>
            </w:r>
            <w:r w:rsidRPr="00F85CA6">
              <w:rPr>
                <w:rFonts w:eastAsia="Calibri"/>
                <w:sz w:val="22"/>
                <w:szCs w:val="22"/>
                <w:lang w:val="sr-Latn-ME" w:bidi="en-US"/>
              </w:rPr>
              <w:t>pre</w:t>
            </w:r>
            <w:r w:rsidR="00143607" w:rsidRPr="00F85CA6">
              <w:rPr>
                <w:rFonts w:eastAsia="Calibri"/>
                <w:sz w:val="22"/>
                <w:szCs w:val="22"/>
                <w:lang w:val="sr-Latn-ME" w:bidi="en-US"/>
              </w:rPr>
              <w:t>vencija MU i SE kod AF)</w:t>
            </w:r>
          </w:p>
        </w:tc>
        <w:tc>
          <w:tcPr>
            <w:tcW w:w="2738" w:type="pct"/>
            <w:tcBorders>
              <w:top w:val="single" w:sz="4" w:space="0" w:color="auto"/>
              <w:left w:val="single" w:sz="4" w:space="0" w:color="auto"/>
              <w:bottom w:val="single" w:sz="4" w:space="0" w:color="auto"/>
              <w:right w:val="single" w:sz="4" w:space="0" w:color="auto"/>
            </w:tcBorders>
            <w:shd w:val="clear" w:color="auto" w:fill="auto"/>
            <w:vAlign w:val="center"/>
          </w:tcPr>
          <w:p w14:paraId="4B1FFB30" w14:textId="6C8486DD" w:rsidR="00143607" w:rsidRPr="00F85CA6" w:rsidRDefault="00143607" w:rsidP="00143607">
            <w:pPr>
              <w:rPr>
                <w:rFonts w:eastAsia="Calibri"/>
                <w:sz w:val="22"/>
                <w:szCs w:val="22"/>
                <w:lang w:val="sr-Latn-ME" w:bidi="en-US"/>
              </w:rPr>
            </w:pPr>
            <w:r w:rsidRPr="00F85CA6">
              <w:rPr>
                <w:rFonts w:eastAsia="Calibri"/>
                <w:sz w:val="22"/>
                <w:szCs w:val="22"/>
                <w:lang w:val="sr-Latn-ME" w:bidi="en-US"/>
              </w:rPr>
              <w:t>300 mg dabigatraneteksilata uzetog u obliku jedne kapsule od 150 mg</w:t>
            </w:r>
            <w:r w:rsidRPr="00F85CA6">
              <w:rPr>
                <w:rFonts w:eastAsia="Calibri"/>
                <w:bCs/>
                <w:iCs/>
                <w:sz w:val="22"/>
                <w:szCs w:val="22"/>
                <w:lang w:val="sr-Latn-ME"/>
              </w:rPr>
              <w:t xml:space="preserve"> dva puta dnevno</w:t>
            </w:r>
          </w:p>
        </w:tc>
      </w:tr>
      <w:tr w:rsidR="00143607" w:rsidRPr="00F85CA6" w14:paraId="63B3B0F5" w14:textId="77777777" w:rsidTr="001239C3">
        <w:trPr>
          <w:trHeight w:val="20"/>
        </w:trPr>
        <w:tc>
          <w:tcPr>
            <w:tcW w:w="2262" w:type="pct"/>
            <w:tcBorders>
              <w:top w:val="single" w:sz="4" w:space="0" w:color="auto"/>
              <w:left w:val="single" w:sz="4" w:space="0" w:color="auto"/>
              <w:bottom w:val="single" w:sz="4" w:space="0" w:color="auto"/>
            </w:tcBorders>
            <w:shd w:val="clear" w:color="auto" w:fill="auto"/>
          </w:tcPr>
          <w:p w14:paraId="4ABF8CB2" w14:textId="52EAB387" w:rsidR="00143607" w:rsidRPr="00F85CA6" w:rsidRDefault="00143607" w:rsidP="00143607">
            <w:pPr>
              <w:rPr>
                <w:rFonts w:eastAsia="Calibri"/>
                <w:sz w:val="22"/>
                <w:szCs w:val="22"/>
                <w:lang w:val="sr-Latn-ME" w:bidi="en-US"/>
              </w:rPr>
            </w:pPr>
            <w:r w:rsidRPr="00F85CA6">
              <w:rPr>
                <w:rFonts w:eastAsia="Calibri"/>
                <w:sz w:val="22"/>
                <w:szCs w:val="22"/>
                <w:lang w:val="sr-Latn-ME" w:bidi="en-US"/>
              </w:rPr>
              <w:t>L</w:t>
            </w:r>
            <w:r w:rsidR="00194E92" w:rsidRPr="00F85CA6">
              <w:rPr>
                <w:rFonts w:eastAsia="Calibri"/>
                <w:sz w:val="22"/>
                <w:szCs w:val="22"/>
                <w:lang w:val="sr-Latn-ME" w:bidi="en-US"/>
              </w:rPr>
              <w:t>ij</w:t>
            </w:r>
            <w:r w:rsidRPr="00F85CA6">
              <w:rPr>
                <w:rFonts w:eastAsia="Calibri"/>
                <w:sz w:val="22"/>
                <w:szCs w:val="22"/>
                <w:lang w:val="sr-Latn-ME" w:bidi="en-US"/>
              </w:rPr>
              <w:t xml:space="preserve">ečenje DVT i PE i </w:t>
            </w:r>
            <w:r w:rsidR="003E5AF3" w:rsidRPr="00F85CA6">
              <w:rPr>
                <w:rFonts w:eastAsia="Calibri"/>
                <w:sz w:val="22"/>
                <w:szCs w:val="22"/>
                <w:lang w:val="sr-Latn-ME" w:bidi="en-US"/>
              </w:rPr>
              <w:t>pre</w:t>
            </w:r>
            <w:r w:rsidRPr="00F85CA6">
              <w:rPr>
                <w:rFonts w:eastAsia="Calibri"/>
                <w:sz w:val="22"/>
                <w:szCs w:val="22"/>
                <w:lang w:val="sr-Latn-ME" w:bidi="en-US"/>
              </w:rPr>
              <w:t>vencija rekurentne DVT i PE kod odraslih osoba (DVT/PE)</w:t>
            </w:r>
          </w:p>
        </w:tc>
        <w:tc>
          <w:tcPr>
            <w:tcW w:w="2738" w:type="pct"/>
            <w:tcBorders>
              <w:top w:val="single" w:sz="4" w:space="0" w:color="auto"/>
              <w:left w:val="single" w:sz="4" w:space="0" w:color="auto"/>
              <w:bottom w:val="single" w:sz="4" w:space="0" w:color="auto"/>
              <w:right w:val="single" w:sz="4" w:space="0" w:color="auto"/>
            </w:tcBorders>
            <w:shd w:val="clear" w:color="auto" w:fill="auto"/>
          </w:tcPr>
          <w:p w14:paraId="318558FD" w14:textId="5181465D" w:rsidR="00143607" w:rsidRPr="00F85CA6" w:rsidRDefault="00143607" w:rsidP="00143607">
            <w:pPr>
              <w:rPr>
                <w:rFonts w:eastAsia="Calibri"/>
                <w:sz w:val="22"/>
                <w:szCs w:val="22"/>
                <w:lang w:val="sr-Latn-ME" w:bidi="en-US"/>
              </w:rPr>
            </w:pPr>
            <w:r w:rsidRPr="00F85CA6">
              <w:rPr>
                <w:rFonts w:eastAsia="Calibri"/>
                <w:sz w:val="22"/>
                <w:szCs w:val="22"/>
                <w:lang w:val="sr-Latn-ME" w:bidi="en-US"/>
              </w:rPr>
              <w:t>300 mg dabigatraneteksilata uzetog u obliku jedne kapsule od 150 mg dva puta dnevno nakon terapij</w:t>
            </w:r>
            <w:r w:rsidR="00E45904" w:rsidRPr="00F85CA6">
              <w:rPr>
                <w:rFonts w:eastAsia="Calibri"/>
                <w:sz w:val="22"/>
                <w:szCs w:val="22"/>
                <w:lang w:val="sr-Latn-ME" w:bidi="en-US"/>
              </w:rPr>
              <w:t>e</w:t>
            </w:r>
            <w:r w:rsidRPr="00F85CA6">
              <w:rPr>
                <w:rFonts w:eastAsia="Calibri"/>
                <w:sz w:val="22"/>
                <w:szCs w:val="22"/>
                <w:lang w:val="sr-Latn-ME" w:bidi="en-US"/>
              </w:rPr>
              <w:t xml:space="preserve"> parenteralnim antikoagulansom u trajanju od najmanje 5 dana</w:t>
            </w:r>
          </w:p>
        </w:tc>
      </w:tr>
      <w:tr w:rsidR="00143607" w:rsidRPr="00F85CA6" w14:paraId="17B0C93B" w14:textId="77777777" w:rsidTr="001239C3">
        <w:trPr>
          <w:trHeight w:val="20"/>
        </w:trPr>
        <w:tc>
          <w:tcPr>
            <w:tcW w:w="2262" w:type="pct"/>
            <w:tcBorders>
              <w:top w:val="single" w:sz="4" w:space="0" w:color="auto"/>
              <w:left w:val="single" w:sz="4" w:space="0" w:color="auto"/>
            </w:tcBorders>
            <w:shd w:val="clear" w:color="auto" w:fill="auto"/>
            <w:vAlign w:val="center"/>
          </w:tcPr>
          <w:p w14:paraId="7F98990B" w14:textId="4F3080E6" w:rsidR="00143607" w:rsidRPr="00F85CA6" w:rsidRDefault="003E5AF3" w:rsidP="00143607">
            <w:pPr>
              <w:rPr>
                <w:rFonts w:eastAsia="Calibri"/>
                <w:sz w:val="22"/>
                <w:szCs w:val="22"/>
                <w:lang w:val="sr-Latn-ME" w:bidi="en-US"/>
              </w:rPr>
            </w:pPr>
            <w:r w:rsidRPr="00F85CA6">
              <w:rPr>
                <w:rFonts w:eastAsia="Calibri"/>
                <w:b/>
                <w:bCs/>
                <w:i/>
                <w:iCs/>
                <w:sz w:val="22"/>
                <w:szCs w:val="22"/>
                <w:u w:val="single"/>
                <w:lang w:val="sr-Latn-ME" w:bidi="en-US"/>
              </w:rPr>
              <w:t>Pre</w:t>
            </w:r>
            <w:r w:rsidR="00143607" w:rsidRPr="00F85CA6">
              <w:rPr>
                <w:rFonts w:eastAsia="Calibri"/>
                <w:b/>
                <w:bCs/>
                <w:i/>
                <w:iCs/>
                <w:sz w:val="22"/>
                <w:szCs w:val="22"/>
                <w:u w:val="single"/>
                <w:lang w:val="sr-Latn-ME" w:bidi="en-US"/>
              </w:rPr>
              <w:t>poručeno smanjenje doze</w:t>
            </w:r>
          </w:p>
        </w:tc>
        <w:tc>
          <w:tcPr>
            <w:tcW w:w="2738" w:type="pct"/>
            <w:tcBorders>
              <w:top w:val="single" w:sz="4" w:space="0" w:color="auto"/>
              <w:left w:val="single" w:sz="4" w:space="0" w:color="auto"/>
              <w:right w:val="single" w:sz="4" w:space="0" w:color="auto"/>
            </w:tcBorders>
            <w:shd w:val="clear" w:color="auto" w:fill="auto"/>
          </w:tcPr>
          <w:p w14:paraId="1C34265F" w14:textId="77777777" w:rsidR="00143607" w:rsidRPr="00F85CA6" w:rsidRDefault="00143607" w:rsidP="00143607">
            <w:pPr>
              <w:rPr>
                <w:rFonts w:eastAsia="Calibri"/>
                <w:sz w:val="22"/>
                <w:szCs w:val="22"/>
                <w:lang w:val="sr-Latn-ME" w:bidi="en-US"/>
              </w:rPr>
            </w:pPr>
          </w:p>
        </w:tc>
      </w:tr>
      <w:tr w:rsidR="00143607" w:rsidRPr="00F85CA6" w14:paraId="434C9808" w14:textId="77777777" w:rsidTr="001239C3">
        <w:trPr>
          <w:trHeight w:val="20"/>
        </w:trPr>
        <w:tc>
          <w:tcPr>
            <w:tcW w:w="2262" w:type="pct"/>
            <w:tcBorders>
              <w:top w:val="single" w:sz="4" w:space="0" w:color="auto"/>
              <w:left w:val="single" w:sz="4" w:space="0" w:color="auto"/>
            </w:tcBorders>
            <w:shd w:val="clear" w:color="auto" w:fill="auto"/>
          </w:tcPr>
          <w:p w14:paraId="7424912E" w14:textId="77777777" w:rsidR="00143607" w:rsidRPr="00F85CA6" w:rsidRDefault="00143607" w:rsidP="00143607">
            <w:pPr>
              <w:rPr>
                <w:rFonts w:eastAsia="Calibri"/>
                <w:sz w:val="22"/>
                <w:szCs w:val="22"/>
                <w:lang w:val="sr-Latn-ME" w:bidi="en-US"/>
              </w:rPr>
            </w:pPr>
            <w:r w:rsidRPr="00F85CA6">
              <w:rPr>
                <w:rFonts w:eastAsia="Calibri"/>
                <w:sz w:val="22"/>
                <w:szCs w:val="22"/>
                <w:lang w:val="sr-Latn-ME" w:bidi="en-US"/>
              </w:rPr>
              <w:t>Pacijenti starosti ≥80 godina</w:t>
            </w:r>
          </w:p>
        </w:tc>
        <w:tc>
          <w:tcPr>
            <w:tcW w:w="2738" w:type="pct"/>
            <w:vMerge w:val="restart"/>
            <w:tcBorders>
              <w:top w:val="single" w:sz="4" w:space="0" w:color="auto"/>
              <w:left w:val="single" w:sz="4" w:space="0" w:color="auto"/>
              <w:right w:val="single" w:sz="4" w:space="0" w:color="auto"/>
            </w:tcBorders>
            <w:shd w:val="clear" w:color="auto" w:fill="auto"/>
            <w:vAlign w:val="center"/>
          </w:tcPr>
          <w:p w14:paraId="39E28D1E" w14:textId="515DA4D2" w:rsidR="00143607" w:rsidRPr="00F85CA6" w:rsidRDefault="00143607" w:rsidP="00143607">
            <w:pPr>
              <w:rPr>
                <w:rFonts w:eastAsia="Calibri"/>
                <w:sz w:val="22"/>
                <w:szCs w:val="22"/>
                <w:lang w:val="sr-Latn-ME" w:bidi="en-US"/>
              </w:rPr>
            </w:pPr>
            <w:r w:rsidRPr="00F85CA6">
              <w:rPr>
                <w:rFonts w:eastAsia="Calibri"/>
                <w:sz w:val="22"/>
                <w:szCs w:val="22"/>
                <w:lang w:val="sr-Latn-ME" w:bidi="en-US"/>
              </w:rPr>
              <w:t>dnevna doza od 220 mg dabigatraneteksilata uzeta u obliku jedne kapsule od 110 mg dva puta dnevno</w:t>
            </w:r>
          </w:p>
        </w:tc>
      </w:tr>
      <w:tr w:rsidR="00143607" w:rsidRPr="00F85CA6" w14:paraId="08590D67" w14:textId="77777777" w:rsidTr="001239C3">
        <w:trPr>
          <w:trHeight w:val="20"/>
        </w:trPr>
        <w:tc>
          <w:tcPr>
            <w:tcW w:w="2262" w:type="pct"/>
            <w:tcBorders>
              <w:top w:val="single" w:sz="4" w:space="0" w:color="auto"/>
              <w:left w:val="single" w:sz="4" w:space="0" w:color="auto"/>
            </w:tcBorders>
            <w:shd w:val="clear" w:color="auto" w:fill="auto"/>
          </w:tcPr>
          <w:p w14:paraId="6C714677" w14:textId="7DE6B5DA" w:rsidR="00143607" w:rsidRPr="00F85CA6" w:rsidRDefault="00143607" w:rsidP="00143607">
            <w:pPr>
              <w:rPr>
                <w:rFonts w:eastAsia="Calibri"/>
                <w:sz w:val="22"/>
                <w:szCs w:val="22"/>
                <w:lang w:val="sr-Latn-ME" w:bidi="en-US"/>
              </w:rPr>
            </w:pPr>
            <w:r w:rsidRPr="00F85CA6">
              <w:rPr>
                <w:rFonts w:eastAsia="Calibri"/>
                <w:sz w:val="22"/>
                <w:szCs w:val="22"/>
                <w:lang w:val="sr-Latn-ME" w:bidi="en-US"/>
              </w:rPr>
              <w:t>Pacijenti koji isto</w:t>
            </w:r>
            <w:r w:rsidR="003E5AF3" w:rsidRPr="00F85CA6">
              <w:rPr>
                <w:rFonts w:eastAsia="Calibri"/>
                <w:sz w:val="22"/>
                <w:szCs w:val="22"/>
                <w:lang w:val="sr-Latn-ME" w:bidi="en-US"/>
              </w:rPr>
              <w:t>vreme</w:t>
            </w:r>
            <w:r w:rsidRPr="00F85CA6">
              <w:rPr>
                <w:rFonts w:eastAsia="Calibri"/>
                <w:sz w:val="22"/>
                <w:szCs w:val="22"/>
                <w:lang w:val="sr-Latn-ME" w:bidi="en-US"/>
              </w:rPr>
              <w:t>no primaju verapamil</w:t>
            </w:r>
          </w:p>
        </w:tc>
        <w:tc>
          <w:tcPr>
            <w:tcW w:w="2738" w:type="pct"/>
            <w:vMerge/>
            <w:tcBorders>
              <w:left w:val="single" w:sz="4" w:space="0" w:color="auto"/>
              <w:right w:val="single" w:sz="4" w:space="0" w:color="auto"/>
            </w:tcBorders>
            <w:shd w:val="clear" w:color="auto" w:fill="auto"/>
            <w:vAlign w:val="center"/>
          </w:tcPr>
          <w:p w14:paraId="50A94215" w14:textId="77777777" w:rsidR="00143607" w:rsidRPr="00F85CA6" w:rsidRDefault="00143607" w:rsidP="00143607">
            <w:pPr>
              <w:rPr>
                <w:rFonts w:eastAsia="Calibri"/>
                <w:sz w:val="22"/>
                <w:szCs w:val="22"/>
                <w:lang w:val="sr-Latn-ME" w:bidi="en-US"/>
              </w:rPr>
            </w:pPr>
          </w:p>
        </w:tc>
      </w:tr>
      <w:tr w:rsidR="00143607" w:rsidRPr="00F85CA6" w14:paraId="2E0330E2" w14:textId="77777777" w:rsidTr="001239C3">
        <w:trPr>
          <w:trHeight w:val="20"/>
        </w:trPr>
        <w:tc>
          <w:tcPr>
            <w:tcW w:w="2262" w:type="pct"/>
            <w:tcBorders>
              <w:top w:val="single" w:sz="4" w:space="0" w:color="auto"/>
              <w:left w:val="single" w:sz="4" w:space="0" w:color="auto"/>
            </w:tcBorders>
            <w:shd w:val="clear" w:color="auto" w:fill="auto"/>
            <w:vAlign w:val="center"/>
          </w:tcPr>
          <w:p w14:paraId="5B63DFDD" w14:textId="77777777" w:rsidR="00143607" w:rsidRPr="00F85CA6" w:rsidRDefault="00143607" w:rsidP="00143607">
            <w:pPr>
              <w:rPr>
                <w:rFonts w:eastAsia="Calibri"/>
                <w:sz w:val="22"/>
                <w:szCs w:val="22"/>
                <w:lang w:val="sr-Latn-ME" w:bidi="en-US"/>
              </w:rPr>
            </w:pPr>
            <w:r w:rsidRPr="00F85CA6">
              <w:rPr>
                <w:rFonts w:eastAsia="Calibri"/>
                <w:b/>
                <w:bCs/>
                <w:i/>
                <w:iCs/>
                <w:sz w:val="22"/>
                <w:szCs w:val="22"/>
                <w:u w:val="single"/>
                <w:lang w:val="sr-Latn-ME" w:bidi="en-US"/>
              </w:rPr>
              <w:t>Razmotriti smanjenje doze</w:t>
            </w:r>
          </w:p>
        </w:tc>
        <w:tc>
          <w:tcPr>
            <w:tcW w:w="2738" w:type="pct"/>
            <w:tcBorders>
              <w:top w:val="single" w:sz="4" w:space="0" w:color="auto"/>
              <w:left w:val="single" w:sz="4" w:space="0" w:color="auto"/>
              <w:right w:val="single" w:sz="4" w:space="0" w:color="auto"/>
            </w:tcBorders>
            <w:shd w:val="clear" w:color="auto" w:fill="auto"/>
          </w:tcPr>
          <w:p w14:paraId="21900B03" w14:textId="77777777" w:rsidR="00143607" w:rsidRPr="00F85CA6" w:rsidRDefault="00143607" w:rsidP="00143607">
            <w:pPr>
              <w:rPr>
                <w:rFonts w:eastAsia="Calibri"/>
                <w:sz w:val="22"/>
                <w:szCs w:val="22"/>
                <w:lang w:val="sr-Latn-ME" w:bidi="en-US"/>
              </w:rPr>
            </w:pPr>
          </w:p>
        </w:tc>
      </w:tr>
      <w:tr w:rsidR="00143607" w:rsidRPr="00F85CA6" w14:paraId="661C8E0C" w14:textId="77777777" w:rsidTr="001239C3">
        <w:trPr>
          <w:trHeight w:val="20"/>
        </w:trPr>
        <w:tc>
          <w:tcPr>
            <w:tcW w:w="2262" w:type="pct"/>
            <w:tcBorders>
              <w:top w:val="single" w:sz="4" w:space="0" w:color="auto"/>
              <w:left w:val="single" w:sz="4" w:space="0" w:color="auto"/>
            </w:tcBorders>
            <w:shd w:val="clear" w:color="auto" w:fill="auto"/>
          </w:tcPr>
          <w:p w14:paraId="4B7709D2" w14:textId="77777777" w:rsidR="00143607" w:rsidRPr="00F85CA6" w:rsidRDefault="00143607" w:rsidP="00143607">
            <w:pPr>
              <w:rPr>
                <w:rFonts w:eastAsia="Calibri"/>
                <w:sz w:val="22"/>
                <w:szCs w:val="22"/>
                <w:lang w:val="sr-Latn-ME" w:bidi="en-US"/>
              </w:rPr>
            </w:pPr>
            <w:r w:rsidRPr="00F85CA6">
              <w:rPr>
                <w:rFonts w:eastAsia="Calibri"/>
                <w:sz w:val="22"/>
                <w:szCs w:val="22"/>
                <w:lang w:val="sr-Latn-ME" w:bidi="en-US"/>
              </w:rPr>
              <w:t>Pacijenti između 75-80 godina</w:t>
            </w:r>
          </w:p>
        </w:tc>
        <w:tc>
          <w:tcPr>
            <w:tcW w:w="2738" w:type="pct"/>
            <w:vMerge w:val="restart"/>
            <w:tcBorders>
              <w:top w:val="single" w:sz="4" w:space="0" w:color="auto"/>
              <w:left w:val="single" w:sz="4" w:space="0" w:color="auto"/>
              <w:right w:val="single" w:sz="4" w:space="0" w:color="auto"/>
            </w:tcBorders>
            <w:shd w:val="clear" w:color="auto" w:fill="auto"/>
            <w:vAlign w:val="center"/>
          </w:tcPr>
          <w:p w14:paraId="30C08E36" w14:textId="50EA606C" w:rsidR="00143607" w:rsidRPr="00F85CA6" w:rsidRDefault="00143607" w:rsidP="00143607">
            <w:pPr>
              <w:rPr>
                <w:rFonts w:eastAsia="Calibri"/>
                <w:sz w:val="22"/>
                <w:szCs w:val="22"/>
                <w:lang w:val="sr-Latn-ME" w:bidi="en-US"/>
              </w:rPr>
            </w:pPr>
            <w:r w:rsidRPr="00F85CA6">
              <w:rPr>
                <w:rFonts w:eastAsia="Calibri"/>
                <w:sz w:val="22"/>
                <w:szCs w:val="22"/>
                <w:lang w:val="sr-Latn-ME" w:bidi="en-US"/>
              </w:rPr>
              <w:t>dnevna doza dabigatraneteksilata od 300 mg ili 220 mg treba da se odredi na osnovu individualne proc</w:t>
            </w:r>
            <w:r w:rsidR="002A1B6B" w:rsidRPr="00F85CA6">
              <w:rPr>
                <w:rFonts w:eastAsia="Calibri"/>
                <w:sz w:val="22"/>
                <w:szCs w:val="22"/>
                <w:lang w:val="sr-Latn-ME" w:bidi="en-US"/>
              </w:rPr>
              <w:t>j</w:t>
            </w:r>
            <w:r w:rsidRPr="00F85CA6">
              <w:rPr>
                <w:rFonts w:eastAsia="Calibri"/>
                <w:sz w:val="22"/>
                <w:szCs w:val="22"/>
                <w:lang w:val="sr-Latn-ME" w:bidi="en-US"/>
              </w:rPr>
              <w:t>ene rizika od tromboembolije i rizika od krvarenja</w:t>
            </w:r>
          </w:p>
        </w:tc>
      </w:tr>
      <w:tr w:rsidR="00143607" w:rsidRPr="00F85CA6" w14:paraId="6239DACD" w14:textId="77777777" w:rsidTr="001239C3">
        <w:trPr>
          <w:trHeight w:val="20"/>
        </w:trPr>
        <w:tc>
          <w:tcPr>
            <w:tcW w:w="2262" w:type="pct"/>
            <w:tcBorders>
              <w:top w:val="single" w:sz="4" w:space="0" w:color="auto"/>
              <w:left w:val="single" w:sz="4" w:space="0" w:color="auto"/>
            </w:tcBorders>
            <w:shd w:val="clear" w:color="auto" w:fill="auto"/>
          </w:tcPr>
          <w:p w14:paraId="708259CB" w14:textId="4E762419" w:rsidR="00143607" w:rsidRPr="00F85CA6" w:rsidRDefault="00143607" w:rsidP="00143607">
            <w:pPr>
              <w:rPr>
                <w:rFonts w:eastAsia="Calibri"/>
                <w:sz w:val="22"/>
                <w:szCs w:val="22"/>
                <w:lang w:val="sr-Latn-ME" w:bidi="en-US"/>
              </w:rPr>
            </w:pPr>
            <w:r w:rsidRPr="00F85CA6">
              <w:rPr>
                <w:rFonts w:eastAsia="Calibri"/>
                <w:sz w:val="22"/>
                <w:szCs w:val="22"/>
                <w:lang w:val="sr-Latn-ME" w:bidi="en-US"/>
              </w:rPr>
              <w:t>Pacijenti sa um</w:t>
            </w:r>
            <w:r w:rsidR="002A1B6B" w:rsidRPr="00F85CA6">
              <w:rPr>
                <w:rFonts w:eastAsia="Calibri"/>
                <w:sz w:val="22"/>
                <w:szCs w:val="22"/>
                <w:lang w:val="sr-Latn-ME" w:bidi="en-US"/>
              </w:rPr>
              <w:t>j</w:t>
            </w:r>
            <w:r w:rsidRPr="00F85CA6">
              <w:rPr>
                <w:rFonts w:eastAsia="Calibri"/>
                <w:sz w:val="22"/>
                <w:szCs w:val="22"/>
                <w:lang w:val="sr-Latn-ME" w:bidi="en-US"/>
              </w:rPr>
              <w:t>erenim oštećenjem funkcije bubrega (CrCL 30-50 m</w:t>
            </w:r>
            <w:r w:rsidR="00CD26E8" w:rsidRPr="00F85CA6">
              <w:rPr>
                <w:rFonts w:eastAsia="Calibri"/>
                <w:sz w:val="22"/>
                <w:szCs w:val="22"/>
                <w:lang w:val="sr-Latn-ME" w:bidi="en-US"/>
              </w:rPr>
              <w:t>l</w:t>
            </w:r>
            <w:r w:rsidRPr="00F85CA6">
              <w:rPr>
                <w:rFonts w:eastAsia="Calibri"/>
                <w:sz w:val="22"/>
                <w:szCs w:val="22"/>
                <w:lang w:val="sr-Latn-ME" w:bidi="en-US"/>
              </w:rPr>
              <w:t>/min)</w:t>
            </w:r>
          </w:p>
        </w:tc>
        <w:tc>
          <w:tcPr>
            <w:tcW w:w="2738" w:type="pct"/>
            <w:vMerge/>
            <w:tcBorders>
              <w:left w:val="single" w:sz="4" w:space="0" w:color="auto"/>
              <w:right w:val="single" w:sz="4" w:space="0" w:color="auto"/>
            </w:tcBorders>
            <w:shd w:val="clear" w:color="auto" w:fill="auto"/>
            <w:vAlign w:val="center"/>
          </w:tcPr>
          <w:p w14:paraId="53BBAF1D" w14:textId="77777777" w:rsidR="00143607" w:rsidRPr="00F85CA6" w:rsidRDefault="00143607" w:rsidP="00143607">
            <w:pPr>
              <w:jc w:val="both"/>
              <w:rPr>
                <w:rFonts w:eastAsia="Calibri"/>
                <w:sz w:val="22"/>
                <w:szCs w:val="22"/>
                <w:lang w:val="sr-Latn-ME" w:bidi="en-US"/>
              </w:rPr>
            </w:pPr>
          </w:p>
        </w:tc>
      </w:tr>
      <w:tr w:rsidR="00143607" w:rsidRPr="00F85CA6" w14:paraId="40E2B077" w14:textId="77777777" w:rsidTr="001239C3">
        <w:trPr>
          <w:trHeight w:val="20"/>
        </w:trPr>
        <w:tc>
          <w:tcPr>
            <w:tcW w:w="2262" w:type="pct"/>
            <w:tcBorders>
              <w:top w:val="single" w:sz="4" w:space="0" w:color="auto"/>
              <w:left w:val="single" w:sz="4" w:space="0" w:color="auto"/>
            </w:tcBorders>
            <w:shd w:val="clear" w:color="auto" w:fill="auto"/>
          </w:tcPr>
          <w:p w14:paraId="608BE08F" w14:textId="77777777" w:rsidR="00143607" w:rsidRPr="00F85CA6" w:rsidRDefault="00143607" w:rsidP="00143607">
            <w:pPr>
              <w:rPr>
                <w:rFonts w:eastAsia="Calibri"/>
                <w:sz w:val="22"/>
                <w:szCs w:val="22"/>
                <w:lang w:val="sr-Latn-ME" w:bidi="en-US"/>
              </w:rPr>
            </w:pPr>
            <w:r w:rsidRPr="00F85CA6">
              <w:rPr>
                <w:rFonts w:eastAsia="Calibri"/>
                <w:sz w:val="22"/>
                <w:szCs w:val="22"/>
                <w:lang w:val="sr-Latn-ME" w:bidi="en-US"/>
              </w:rPr>
              <w:t>Pacijenti sa gastritisom, ezofagitisom ili gastroezofagealnim refluksom</w:t>
            </w:r>
          </w:p>
        </w:tc>
        <w:tc>
          <w:tcPr>
            <w:tcW w:w="2738" w:type="pct"/>
            <w:vMerge/>
            <w:tcBorders>
              <w:left w:val="single" w:sz="4" w:space="0" w:color="auto"/>
              <w:right w:val="single" w:sz="4" w:space="0" w:color="auto"/>
            </w:tcBorders>
            <w:shd w:val="clear" w:color="auto" w:fill="auto"/>
            <w:vAlign w:val="center"/>
          </w:tcPr>
          <w:p w14:paraId="7132B1FA" w14:textId="77777777" w:rsidR="00143607" w:rsidRPr="00F85CA6" w:rsidRDefault="00143607" w:rsidP="00143607">
            <w:pPr>
              <w:jc w:val="both"/>
              <w:rPr>
                <w:rFonts w:eastAsia="Calibri"/>
                <w:sz w:val="22"/>
                <w:szCs w:val="22"/>
                <w:lang w:val="sr-Latn-ME" w:bidi="en-US"/>
              </w:rPr>
            </w:pPr>
          </w:p>
        </w:tc>
      </w:tr>
      <w:tr w:rsidR="00143607" w:rsidRPr="00F85CA6" w14:paraId="1C70CE94" w14:textId="77777777" w:rsidTr="001239C3">
        <w:trPr>
          <w:trHeight w:val="20"/>
        </w:trPr>
        <w:tc>
          <w:tcPr>
            <w:tcW w:w="2262" w:type="pct"/>
            <w:tcBorders>
              <w:top w:val="single" w:sz="4" w:space="0" w:color="auto"/>
              <w:left w:val="single" w:sz="4" w:space="0" w:color="auto"/>
              <w:bottom w:val="single" w:sz="4" w:space="0" w:color="auto"/>
            </w:tcBorders>
            <w:shd w:val="clear" w:color="auto" w:fill="auto"/>
          </w:tcPr>
          <w:p w14:paraId="5398ADC1" w14:textId="77777777" w:rsidR="00143607" w:rsidRPr="00F85CA6" w:rsidRDefault="00143607" w:rsidP="00143607">
            <w:pPr>
              <w:rPr>
                <w:rFonts w:eastAsia="Calibri"/>
                <w:sz w:val="22"/>
                <w:szCs w:val="22"/>
                <w:lang w:val="sr-Latn-ME" w:bidi="en-US"/>
              </w:rPr>
            </w:pPr>
            <w:r w:rsidRPr="00F85CA6">
              <w:rPr>
                <w:rFonts w:eastAsia="Calibri"/>
                <w:sz w:val="22"/>
                <w:szCs w:val="22"/>
                <w:lang w:val="sr-Latn-ME" w:bidi="en-US"/>
              </w:rPr>
              <w:t>Ostali pacijenti pod povećanim rizikom od krvarenja</w:t>
            </w:r>
          </w:p>
        </w:tc>
        <w:tc>
          <w:tcPr>
            <w:tcW w:w="2738" w:type="pct"/>
            <w:vMerge/>
            <w:tcBorders>
              <w:left w:val="single" w:sz="4" w:space="0" w:color="auto"/>
              <w:bottom w:val="single" w:sz="4" w:space="0" w:color="auto"/>
              <w:right w:val="single" w:sz="4" w:space="0" w:color="auto"/>
            </w:tcBorders>
            <w:shd w:val="clear" w:color="auto" w:fill="auto"/>
            <w:vAlign w:val="center"/>
          </w:tcPr>
          <w:p w14:paraId="234EADDD" w14:textId="77777777" w:rsidR="00143607" w:rsidRPr="00F85CA6" w:rsidRDefault="00143607" w:rsidP="00143607">
            <w:pPr>
              <w:jc w:val="both"/>
              <w:rPr>
                <w:rFonts w:eastAsia="Calibri"/>
                <w:sz w:val="22"/>
                <w:szCs w:val="22"/>
                <w:lang w:val="sr-Latn-ME" w:bidi="en-US"/>
              </w:rPr>
            </w:pPr>
          </w:p>
        </w:tc>
      </w:tr>
    </w:tbl>
    <w:p w14:paraId="2EB1CEB2" w14:textId="0DD6277B" w:rsidR="00143607" w:rsidRPr="00F85CA6" w:rsidRDefault="00143607" w:rsidP="00143607">
      <w:pPr>
        <w:jc w:val="both"/>
        <w:rPr>
          <w:rFonts w:eastAsia="Calibri"/>
          <w:b/>
          <w:bCs/>
          <w:sz w:val="22"/>
          <w:szCs w:val="22"/>
          <w:lang w:val="sr-Latn-ME" w:bidi="en-US"/>
        </w:rPr>
      </w:pPr>
      <w:r w:rsidRPr="00F85CA6">
        <w:rPr>
          <w:rFonts w:eastAsia="Calibri"/>
          <w:sz w:val="22"/>
          <w:szCs w:val="22"/>
          <w:lang w:val="sr-Latn-ME" w:bidi="en-US"/>
        </w:rPr>
        <w:t xml:space="preserve">Kod DVT/PE, </w:t>
      </w:r>
      <w:r w:rsidR="003E5AF3" w:rsidRPr="00F85CA6">
        <w:rPr>
          <w:rFonts w:eastAsia="Calibri"/>
          <w:sz w:val="22"/>
          <w:szCs w:val="22"/>
          <w:lang w:val="sr-Latn-ME" w:bidi="en-US"/>
        </w:rPr>
        <w:t>pre</w:t>
      </w:r>
      <w:r w:rsidRPr="00F85CA6">
        <w:rPr>
          <w:rFonts w:eastAsia="Calibri"/>
          <w:sz w:val="22"/>
          <w:szCs w:val="22"/>
          <w:lang w:val="sr-Latn-ME" w:bidi="en-US"/>
        </w:rPr>
        <w:t>poruka za prim</w:t>
      </w:r>
      <w:r w:rsidR="00194E92" w:rsidRPr="00F85CA6">
        <w:rPr>
          <w:rFonts w:eastAsia="Calibri"/>
          <w:sz w:val="22"/>
          <w:szCs w:val="22"/>
          <w:lang w:val="sr-Latn-ME" w:bidi="en-US"/>
        </w:rPr>
        <w:t>j</w:t>
      </w:r>
      <w:r w:rsidRPr="00F85CA6">
        <w:rPr>
          <w:rFonts w:eastAsia="Calibri"/>
          <w:sz w:val="22"/>
          <w:szCs w:val="22"/>
          <w:lang w:val="sr-Latn-ME" w:bidi="en-US"/>
        </w:rPr>
        <w:t xml:space="preserve">enu 220 mg dabigatraneteksilata u obliku jedne kapsule od 110 mg dva puta dnevno je zasnovana na farmakokinetičkim i farmakodinamskim analizama i nije ispitivana u kliničkim uslovima. </w:t>
      </w:r>
      <w:r w:rsidR="003E5AF3" w:rsidRPr="00F85CA6">
        <w:rPr>
          <w:rFonts w:eastAsia="Calibri"/>
          <w:sz w:val="22"/>
          <w:szCs w:val="22"/>
          <w:lang w:val="sr-Latn-ME" w:bidi="en-US"/>
        </w:rPr>
        <w:t>Vidjeti</w:t>
      </w:r>
      <w:r w:rsidRPr="00F85CA6">
        <w:rPr>
          <w:rFonts w:eastAsia="Calibri"/>
          <w:sz w:val="22"/>
          <w:szCs w:val="22"/>
          <w:lang w:val="sr-Latn-ME" w:bidi="en-US"/>
        </w:rPr>
        <w:t xml:space="preserve"> u nastavku teksta i </w:t>
      </w:r>
      <w:r w:rsidR="00C96D78" w:rsidRPr="00F85CA6">
        <w:rPr>
          <w:rFonts w:eastAsia="Calibri"/>
          <w:sz w:val="22"/>
          <w:szCs w:val="22"/>
          <w:lang w:val="sr-Latn-ME" w:bidi="en-US"/>
        </w:rPr>
        <w:t>djelove</w:t>
      </w:r>
      <w:r w:rsidRPr="00F85CA6">
        <w:rPr>
          <w:rFonts w:eastAsia="Calibri"/>
          <w:sz w:val="22"/>
          <w:szCs w:val="22"/>
          <w:lang w:val="sr-Latn-ME" w:bidi="en-US"/>
        </w:rPr>
        <w:t xml:space="preserve"> 4.4, 4.5, 5.1 i 5.2.</w:t>
      </w:r>
    </w:p>
    <w:p w14:paraId="76534EB7" w14:textId="77777777" w:rsidR="00143607" w:rsidRPr="00F85CA6" w:rsidRDefault="00143607" w:rsidP="00143607">
      <w:pPr>
        <w:jc w:val="both"/>
        <w:rPr>
          <w:rFonts w:eastAsia="Calibri"/>
          <w:sz w:val="22"/>
          <w:szCs w:val="22"/>
          <w:lang w:val="sr-Latn-ME" w:bidi="en-US"/>
        </w:rPr>
      </w:pPr>
    </w:p>
    <w:p w14:paraId="74FFAA54" w14:textId="147D33FF" w:rsidR="00143607" w:rsidRPr="00F85CA6" w:rsidRDefault="00143607" w:rsidP="00143607">
      <w:pPr>
        <w:jc w:val="both"/>
        <w:rPr>
          <w:rFonts w:eastAsia="Calibri"/>
          <w:sz w:val="22"/>
          <w:szCs w:val="22"/>
          <w:lang w:val="sr-Latn-ME" w:bidi="en-US"/>
        </w:rPr>
      </w:pPr>
      <w:r w:rsidRPr="00F85CA6">
        <w:rPr>
          <w:rFonts w:eastAsia="Calibri"/>
          <w:sz w:val="22"/>
          <w:szCs w:val="22"/>
          <w:lang w:val="sr-Latn-ME" w:bidi="en-US"/>
        </w:rPr>
        <w:t xml:space="preserve">U slučaju nepodnošljivosti dabigatraneteksilata, pacijente treba uputiti da se odmah konsultuju sa ordinirajućim </w:t>
      </w:r>
      <w:r w:rsidR="003E5AF3" w:rsidRPr="00F85CA6">
        <w:rPr>
          <w:rFonts w:eastAsia="Calibri"/>
          <w:sz w:val="22"/>
          <w:szCs w:val="22"/>
          <w:lang w:val="sr-Latn-ME" w:bidi="en-US"/>
        </w:rPr>
        <w:t>l</w:t>
      </w:r>
      <w:r w:rsidR="00194E92" w:rsidRPr="00F85CA6">
        <w:rPr>
          <w:rFonts w:eastAsia="Calibri"/>
          <w:sz w:val="22"/>
          <w:szCs w:val="22"/>
          <w:lang w:val="sr-Latn-ME" w:bidi="en-US"/>
        </w:rPr>
        <w:t>j</w:t>
      </w:r>
      <w:r w:rsidR="003E5AF3" w:rsidRPr="00F85CA6">
        <w:rPr>
          <w:rFonts w:eastAsia="Calibri"/>
          <w:sz w:val="22"/>
          <w:szCs w:val="22"/>
          <w:lang w:val="sr-Latn-ME" w:bidi="en-US"/>
        </w:rPr>
        <w:t>ek</w:t>
      </w:r>
      <w:r w:rsidRPr="00F85CA6">
        <w:rPr>
          <w:rFonts w:eastAsia="Calibri"/>
          <w:sz w:val="22"/>
          <w:szCs w:val="22"/>
          <w:lang w:val="sr-Latn-ME" w:bidi="en-US"/>
        </w:rPr>
        <w:t xml:space="preserve">arom sa ciljem da </w:t>
      </w:r>
      <w:r w:rsidR="003E5AF3" w:rsidRPr="00F85CA6">
        <w:rPr>
          <w:rFonts w:eastAsia="Calibri"/>
          <w:sz w:val="22"/>
          <w:szCs w:val="22"/>
          <w:lang w:val="sr-Latn-ME" w:bidi="en-US"/>
        </w:rPr>
        <w:t>pre</w:t>
      </w:r>
      <w:r w:rsidRPr="00F85CA6">
        <w:rPr>
          <w:rFonts w:eastAsia="Calibri"/>
          <w:sz w:val="22"/>
          <w:szCs w:val="22"/>
          <w:lang w:val="sr-Latn-ME" w:bidi="en-US"/>
        </w:rPr>
        <w:t xml:space="preserve">đu na druge prihvatljive terapijske opcije za </w:t>
      </w:r>
      <w:r w:rsidR="003E5AF3" w:rsidRPr="00F85CA6">
        <w:rPr>
          <w:rFonts w:eastAsia="Calibri"/>
          <w:sz w:val="22"/>
          <w:szCs w:val="22"/>
          <w:lang w:val="sr-Latn-ME" w:bidi="en-US"/>
        </w:rPr>
        <w:t>pre</w:t>
      </w:r>
      <w:r w:rsidRPr="00F85CA6">
        <w:rPr>
          <w:rFonts w:eastAsia="Calibri"/>
          <w:sz w:val="22"/>
          <w:szCs w:val="22"/>
          <w:lang w:val="sr-Latn-ME" w:bidi="en-US"/>
        </w:rPr>
        <w:t>venciju moždanog udara i sistemske embolije povezanih sa atrijalnom fibrilacijom ili za DVT/PE.</w:t>
      </w:r>
    </w:p>
    <w:p w14:paraId="0F364F6E" w14:textId="77777777" w:rsidR="00143607" w:rsidRPr="00F85CA6" w:rsidRDefault="00143607" w:rsidP="00143607">
      <w:pPr>
        <w:jc w:val="both"/>
        <w:rPr>
          <w:rFonts w:eastAsia="Calibri"/>
          <w:sz w:val="22"/>
          <w:szCs w:val="22"/>
          <w:lang w:val="sr-Latn-ME" w:bidi="en-US"/>
        </w:rPr>
      </w:pPr>
    </w:p>
    <w:p w14:paraId="3191ECA1" w14:textId="356BEE4B" w:rsidR="00143607" w:rsidRPr="00F85CA6" w:rsidRDefault="00143607" w:rsidP="00143607">
      <w:pPr>
        <w:jc w:val="both"/>
        <w:rPr>
          <w:rFonts w:eastAsia="Calibri"/>
          <w:sz w:val="22"/>
          <w:szCs w:val="22"/>
          <w:lang w:val="sr-Latn-ME" w:bidi="en-US"/>
        </w:rPr>
      </w:pPr>
      <w:r w:rsidRPr="00F85CA6">
        <w:rPr>
          <w:rFonts w:eastAsia="Calibri"/>
          <w:i/>
          <w:iCs/>
          <w:sz w:val="22"/>
          <w:szCs w:val="22"/>
          <w:u w:val="single"/>
          <w:lang w:val="sr-Latn-ME" w:bidi="en-US"/>
        </w:rPr>
        <w:t>Proc</w:t>
      </w:r>
      <w:r w:rsidR="00194E92" w:rsidRPr="00F85CA6">
        <w:rPr>
          <w:rFonts w:eastAsia="Calibri"/>
          <w:i/>
          <w:iCs/>
          <w:sz w:val="22"/>
          <w:szCs w:val="22"/>
          <w:u w:val="single"/>
          <w:lang w:val="sr-Latn-ME" w:bidi="en-US"/>
        </w:rPr>
        <w:t>j</w:t>
      </w:r>
      <w:r w:rsidRPr="00F85CA6">
        <w:rPr>
          <w:rFonts w:eastAsia="Calibri"/>
          <w:i/>
          <w:iCs/>
          <w:sz w:val="22"/>
          <w:szCs w:val="22"/>
          <w:u w:val="single"/>
          <w:lang w:val="sr-Latn-ME" w:bidi="en-US"/>
        </w:rPr>
        <w:t xml:space="preserve">ena funkcije bubrega </w:t>
      </w:r>
      <w:r w:rsidR="003E5AF3" w:rsidRPr="00F85CA6">
        <w:rPr>
          <w:rFonts w:eastAsia="Calibri"/>
          <w:i/>
          <w:iCs/>
          <w:sz w:val="22"/>
          <w:szCs w:val="22"/>
          <w:u w:val="single"/>
          <w:lang w:val="sr-Latn-ME" w:bidi="en-US"/>
        </w:rPr>
        <w:t>prije</w:t>
      </w:r>
      <w:r w:rsidRPr="00F85CA6">
        <w:rPr>
          <w:rFonts w:eastAsia="Calibri"/>
          <w:i/>
          <w:iCs/>
          <w:sz w:val="22"/>
          <w:szCs w:val="22"/>
          <w:u w:val="single"/>
          <w:lang w:val="sr-Latn-ME" w:bidi="en-US"/>
        </w:rPr>
        <w:t xml:space="preserve"> i tokom terapije dabigatrane</w:t>
      </w:r>
      <w:r w:rsidR="00CD26E8" w:rsidRPr="00F85CA6">
        <w:rPr>
          <w:rFonts w:eastAsia="Calibri"/>
          <w:i/>
          <w:iCs/>
          <w:sz w:val="22"/>
          <w:szCs w:val="22"/>
          <w:u w:val="single"/>
          <w:lang w:val="sr-Latn-ME" w:bidi="en-US"/>
        </w:rPr>
        <w:t xml:space="preserve"> </w:t>
      </w:r>
      <w:r w:rsidRPr="00F85CA6">
        <w:rPr>
          <w:rFonts w:eastAsia="Calibri"/>
          <w:i/>
          <w:iCs/>
          <w:sz w:val="22"/>
          <w:szCs w:val="22"/>
          <w:u w:val="single"/>
          <w:lang w:val="sr-Latn-ME" w:bidi="en-US"/>
        </w:rPr>
        <w:t>teksilatom</w:t>
      </w:r>
    </w:p>
    <w:p w14:paraId="462FA2C5" w14:textId="77777777" w:rsidR="00143607" w:rsidRPr="00F85CA6" w:rsidRDefault="00143607" w:rsidP="00143607">
      <w:pPr>
        <w:jc w:val="both"/>
        <w:rPr>
          <w:rFonts w:eastAsia="Calibri"/>
          <w:sz w:val="22"/>
          <w:szCs w:val="22"/>
          <w:lang w:val="sr-Latn-ME" w:bidi="en-US"/>
        </w:rPr>
      </w:pPr>
    </w:p>
    <w:p w14:paraId="2C8447F1" w14:textId="72F159CC" w:rsidR="00143607" w:rsidRPr="00F85CA6" w:rsidRDefault="00143607" w:rsidP="00143607">
      <w:pPr>
        <w:jc w:val="both"/>
        <w:rPr>
          <w:rFonts w:eastAsia="Calibri"/>
          <w:sz w:val="22"/>
          <w:szCs w:val="22"/>
          <w:lang w:val="sr-Latn-ME"/>
        </w:rPr>
      </w:pPr>
      <w:r w:rsidRPr="00F85CA6">
        <w:rPr>
          <w:rFonts w:eastAsia="Calibri"/>
          <w:sz w:val="22"/>
          <w:szCs w:val="22"/>
          <w:lang w:val="sr-Latn-ME" w:bidi="en-US"/>
        </w:rPr>
        <w:t>Kod svih pacijenata, a posebno kod starijih osoba (&gt;</w:t>
      </w:r>
      <w:r w:rsidR="00CD26E8" w:rsidRPr="00F85CA6">
        <w:rPr>
          <w:rFonts w:eastAsia="Calibri"/>
          <w:sz w:val="22"/>
          <w:szCs w:val="22"/>
          <w:lang w:val="sr-Latn-ME" w:bidi="en-US"/>
        </w:rPr>
        <w:t xml:space="preserve"> </w:t>
      </w:r>
      <w:r w:rsidRPr="00F85CA6">
        <w:rPr>
          <w:rFonts w:eastAsia="Calibri"/>
          <w:sz w:val="22"/>
          <w:szCs w:val="22"/>
          <w:lang w:val="sr-Latn-ME" w:bidi="en-US"/>
        </w:rPr>
        <w:t>75 godina), jer oštećenje</w:t>
      </w:r>
      <w:r w:rsidRPr="00F85CA6">
        <w:rPr>
          <w:rFonts w:eastAsia="Calibri"/>
          <w:sz w:val="22"/>
          <w:szCs w:val="22"/>
          <w:lang w:val="sr-Latn-ME"/>
        </w:rPr>
        <w:t xml:space="preserve"> funkcije bubrega može biti često u toj starosnoj grupi</w:t>
      </w:r>
      <w:r w:rsidRPr="00F85CA6">
        <w:rPr>
          <w:rFonts w:eastAsia="Calibri"/>
          <w:sz w:val="22"/>
          <w:szCs w:val="22"/>
          <w:lang w:val="sr-Latn-ME" w:bidi="en-US"/>
        </w:rPr>
        <w:t>:</w:t>
      </w:r>
    </w:p>
    <w:p w14:paraId="69C8C35D" w14:textId="2553BB02" w:rsidR="00143607" w:rsidRPr="00F85CA6" w:rsidRDefault="00143607" w:rsidP="00143607">
      <w:pPr>
        <w:widowControl w:val="0"/>
        <w:numPr>
          <w:ilvl w:val="0"/>
          <w:numId w:val="12"/>
        </w:numPr>
        <w:tabs>
          <w:tab w:val="left" w:pos="562"/>
        </w:tabs>
        <w:spacing w:after="160" w:line="259" w:lineRule="auto"/>
        <w:ind w:left="567" w:hanging="567"/>
        <w:contextualSpacing/>
        <w:jc w:val="both"/>
        <w:rPr>
          <w:color w:val="000000"/>
          <w:sz w:val="22"/>
          <w:szCs w:val="22"/>
          <w:lang w:val="sr-Latn-ME" w:bidi="en-US"/>
        </w:rPr>
      </w:pPr>
      <w:r w:rsidRPr="00F85CA6">
        <w:rPr>
          <w:color w:val="000000"/>
          <w:sz w:val="22"/>
          <w:szCs w:val="22"/>
          <w:lang w:val="sr-Latn-ME" w:bidi="en-US"/>
        </w:rPr>
        <w:t>Bubrežnu funkciju treba proc</w:t>
      </w:r>
      <w:r w:rsidR="00194E92" w:rsidRPr="00F85CA6">
        <w:rPr>
          <w:color w:val="000000"/>
          <w:sz w:val="22"/>
          <w:szCs w:val="22"/>
          <w:lang w:val="sr-Latn-ME" w:bidi="en-US"/>
        </w:rPr>
        <w:t>j</w:t>
      </w:r>
      <w:r w:rsidRPr="00F85CA6">
        <w:rPr>
          <w:color w:val="000000"/>
          <w:sz w:val="22"/>
          <w:szCs w:val="22"/>
          <w:lang w:val="sr-Latn-ME" w:bidi="en-US"/>
        </w:rPr>
        <w:t xml:space="preserve">enjivati izračunavanjem klirensa kreatinina (CrCL) </w:t>
      </w:r>
      <w:r w:rsidR="003E5AF3" w:rsidRPr="00F85CA6">
        <w:rPr>
          <w:color w:val="000000"/>
          <w:sz w:val="22"/>
          <w:szCs w:val="22"/>
          <w:lang w:val="sr-Latn-ME" w:bidi="en-US"/>
        </w:rPr>
        <w:t>prije</w:t>
      </w:r>
      <w:r w:rsidRPr="00F85CA6">
        <w:rPr>
          <w:color w:val="000000"/>
          <w:sz w:val="22"/>
          <w:szCs w:val="22"/>
          <w:lang w:val="sr-Latn-ME" w:bidi="en-US"/>
        </w:rPr>
        <w:t xml:space="preserve"> početka terapije dabigatrane</w:t>
      </w:r>
      <w:r w:rsidR="00CD26E8" w:rsidRPr="00F85CA6">
        <w:rPr>
          <w:color w:val="000000"/>
          <w:sz w:val="22"/>
          <w:szCs w:val="22"/>
          <w:lang w:val="sr-Latn-ME" w:bidi="en-US"/>
        </w:rPr>
        <w:t xml:space="preserve"> </w:t>
      </w:r>
      <w:r w:rsidRPr="00F85CA6">
        <w:rPr>
          <w:color w:val="000000"/>
          <w:sz w:val="22"/>
          <w:szCs w:val="22"/>
          <w:lang w:val="sr-Latn-ME" w:bidi="en-US"/>
        </w:rPr>
        <w:t>teksilatom kako bi se isključili pacijenti sa teškim oštećenjem funkcije bubrega (tj. CrCL &lt;</w:t>
      </w:r>
      <w:r w:rsidR="00CD26E8" w:rsidRPr="00F85CA6">
        <w:rPr>
          <w:color w:val="000000"/>
          <w:sz w:val="22"/>
          <w:szCs w:val="22"/>
          <w:lang w:val="sr-Latn-ME" w:bidi="en-US"/>
        </w:rPr>
        <w:t xml:space="preserve"> </w:t>
      </w:r>
      <w:r w:rsidRPr="00F85CA6">
        <w:rPr>
          <w:color w:val="000000"/>
          <w:sz w:val="22"/>
          <w:szCs w:val="22"/>
          <w:lang w:val="sr-Latn-ME" w:bidi="en-US"/>
        </w:rPr>
        <w:t>30 m</w:t>
      </w:r>
      <w:r w:rsidR="00CD26E8" w:rsidRPr="00F85CA6">
        <w:rPr>
          <w:color w:val="000000"/>
          <w:sz w:val="22"/>
          <w:szCs w:val="22"/>
          <w:lang w:val="sr-Latn-ME" w:bidi="en-US"/>
        </w:rPr>
        <w:t>l</w:t>
      </w:r>
      <w:r w:rsidRPr="00F85CA6">
        <w:rPr>
          <w:color w:val="000000"/>
          <w:sz w:val="22"/>
          <w:szCs w:val="22"/>
          <w:lang w:val="sr-Latn-ME" w:bidi="en-US"/>
        </w:rPr>
        <w:t>/min) (</w:t>
      </w:r>
      <w:r w:rsidR="003E5AF3" w:rsidRPr="00F85CA6">
        <w:rPr>
          <w:color w:val="000000"/>
          <w:sz w:val="22"/>
          <w:szCs w:val="22"/>
          <w:lang w:val="sr-Latn-ME" w:bidi="en-US"/>
        </w:rPr>
        <w:t>vidjeti</w:t>
      </w:r>
      <w:r w:rsidRPr="00F85CA6">
        <w:rPr>
          <w:color w:val="000000"/>
          <w:sz w:val="22"/>
          <w:szCs w:val="22"/>
          <w:lang w:val="sr-Latn-ME" w:bidi="en-US"/>
        </w:rPr>
        <w:t xml:space="preserve"> </w:t>
      </w:r>
      <w:r w:rsidR="00C96D78" w:rsidRPr="00F85CA6">
        <w:rPr>
          <w:color w:val="000000"/>
          <w:sz w:val="22"/>
          <w:szCs w:val="22"/>
          <w:lang w:val="sr-Latn-ME" w:bidi="en-US"/>
        </w:rPr>
        <w:t>djelove</w:t>
      </w:r>
      <w:r w:rsidRPr="00F85CA6">
        <w:rPr>
          <w:color w:val="000000"/>
          <w:sz w:val="22"/>
          <w:szCs w:val="22"/>
          <w:lang w:val="sr-Latn-ME" w:bidi="en-US"/>
        </w:rPr>
        <w:t xml:space="preserve"> 4.3, 4.4 i 5.2).</w:t>
      </w:r>
    </w:p>
    <w:p w14:paraId="55FBA651" w14:textId="15C6C1C5" w:rsidR="00143607" w:rsidRPr="00F85CA6" w:rsidRDefault="00143607" w:rsidP="00143607">
      <w:pPr>
        <w:widowControl w:val="0"/>
        <w:numPr>
          <w:ilvl w:val="0"/>
          <w:numId w:val="12"/>
        </w:numPr>
        <w:tabs>
          <w:tab w:val="left" w:pos="562"/>
        </w:tabs>
        <w:spacing w:after="160" w:line="259" w:lineRule="auto"/>
        <w:ind w:left="567" w:hanging="567"/>
        <w:contextualSpacing/>
        <w:jc w:val="both"/>
        <w:rPr>
          <w:color w:val="000000"/>
          <w:sz w:val="22"/>
          <w:szCs w:val="22"/>
          <w:lang w:val="sr-Latn-ME" w:bidi="en-US"/>
        </w:rPr>
      </w:pPr>
      <w:r w:rsidRPr="00F85CA6">
        <w:rPr>
          <w:color w:val="000000"/>
          <w:sz w:val="22"/>
          <w:szCs w:val="22"/>
          <w:lang w:val="sr-Latn-ME" w:bidi="en-US"/>
        </w:rPr>
        <w:t>Bubrežnu funkciju takođe treba proc</w:t>
      </w:r>
      <w:r w:rsidR="002A1B6B" w:rsidRPr="00F85CA6">
        <w:rPr>
          <w:color w:val="000000"/>
          <w:sz w:val="22"/>
          <w:szCs w:val="22"/>
          <w:lang w:val="sr-Latn-ME" w:bidi="en-US"/>
        </w:rPr>
        <w:t>j</w:t>
      </w:r>
      <w:r w:rsidRPr="00F85CA6">
        <w:rPr>
          <w:color w:val="000000"/>
          <w:sz w:val="22"/>
          <w:szCs w:val="22"/>
          <w:lang w:val="sr-Latn-ME" w:bidi="en-US"/>
        </w:rPr>
        <w:t>enjivati kada se posumnja na slabljenje funkcije bubrega tokom terapije (npr. hipovolemija, dehidratacija i u slučaju isto</w:t>
      </w:r>
      <w:r w:rsidR="003E5AF3" w:rsidRPr="00F85CA6">
        <w:rPr>
          <w:color w:val="000000"/>
          <w:sz w:val="22"/>
          <w:szCs w:val="22"/>
          <w:lang w:val="sr-Latn-ME" w:bidi="en-US"/>
        </w:rPr>
        <w:t>vreme</w:t>
      </w:r>
      <w:r w:rsidRPr="00F85CA6">
        <w:rPr>
          <w:color w:val="000000"/>
          <w:sz w:val="22"/>
          <w:szCs w:val="22"/>
          <w:lang w:val="sr-Latn-ME" w:bidi="en-US"/>
        </w:rPr>
        <w:t>ne prim</w:t>
      </w:r>
      <w:r w:rsidR="00194E92" w:rsidRPr="00F85CA6">
        <w:rPr>
          <w:color w:val="000000"/>
          <w:sz w:val="22"/>
          <w:szCs w:val="22"/>
          <w:lang w:val="sr-Latn-ME" w:bidi="en-US"/>
        </w:rPr>
        <w:t>j</w:t>
      </w:r>
      <w:r w:rsidRPr="00F85CA6">
        <w:rPr>
          <w:color w:val="000000"/>
          <w:sz w:val="22"/>
          <w:szCs w:val="22"/>
          <w:lang w:val="sr-Latn-ME" w:bidi="en-US"/>
        </w:rPr>
        <w:t xml:space="preserve">ene određenih </w:t>
      </w:r>
      <w:r w:rsidR="003E5AF3" w:rsidRPr="00F85CA6">
        <w:rPr>
          <w:color w:val="000000"/>
          <w:sz w:val="22"/>
          <w:szCs w:val="22"/>
          <w:lang w:val="sr-Latn-ME" w:bidi="en-US"/>
        </w:rPr>
        <w:t>ljek</w:t>
      </w:r>
      <w:r w:rsidRPr="00F85CA6">
        <w:rPr>
          <w:color w:val="000000"/>
          <w:sz w:val="22"/>
          <w:szCs w:val="22"/>
          <w:lang w:val="sr-Latn-ME" w:bidi="en-US"/>
        </w:rPr>
        <w:t>ova).</w:t>
      </w:r>
    </w:p>
    <w:p w14:paraId="322861F8" w14:textId="77777777" w:rsidR="00143607" w:rsidRPr="00F85CA6" w:rsidRDefault="00143607" w:rsidP="00143607">
      <w:pPr>
        <w:jc w:val="both"/>
        <w:rPr>
          <w:rFonts w:eastAsia="Calibri"/>
          <w:sz w:val="22"/>
          <w:szCs w:val="22"/>
          <w:lang w:val="sr-Latn-ME" w:bidi="en-US"/>
        </w:rPr>
      </w:pPr>
    </w:p>
    <w:p w14:paraId="52433A30" w14:textId="2785C9BD" w:rsidR="00143607" w:rsidRPr="00F85CA6" w:rsidRDefault="00143607" w:rsidP="00143607">
      <w:pPr>
        <w:jc w:val="both"/>
        <w:rPr>
          <w:rFonts w:eastAsia="Calibri"/>
          <w:sz w:val="22"/>
          <w:szCs w:val="22"/>
          <w:lang w:val="sr-Latn-ME" w:bidi="en-US"/>
        </w:rPr>
      </w:pPr>
      <w:r w:rsidRPr="00F85CA6">
        <w:rPr>
          <w:rFonts w:eastAsia="Calibri"/>
          <w:sz w:val="22"/>
          <w:szCs w:val="22"/>
          <w:lang w:val="sr-Latn-ME" w:bidi="en-US"/>
        </w:rPr>
        <w:t>Dodatni zaht</w:t>
      </w:r>
      <w:r w:rsidR="00B12F0B" w:rsidRPr="00F85CA6">
        <w:rPr>
          <w:rFonts w:eastAsia="Calibri"/>
          <w:sz w:val="22"/>
          <w:szCs w:val="22"/>
          <w:lang w:val="sr-Latn-ME" w:bidi="en-US"/>
        </w:rPr>
        <w:t>j</w:t>
      </w:r>
      <w:r w:rsidRPr="00F85CA6">
        <w:rPr>
          <w:rFonts w:eastAsia="Calibri"/>
          <w:sz w:val="22"/>
          <w:szCs w:val="22"/>
          <w:lang w:val="sr-Latn-ME" w:bidi="en-US"/>
        </w:rPr>
        <w:t>evi kod pacijenata sa blagim do um</w:t>
      </w:r>
      <w:r w:rsidR="002A1B6B" w:rsidRPr="00F85CA6">
        <w:rPr>
          <w:rFonts w:eastAsia="Calibri"/>
          <w:sz w:val="22"/>
          <w:szCs w:val="22"/>
          <w:lang w:val="sr-Latn-ME" w:bidi="en-US"/>
        </w:rPr>
        <w:t>j</w:t>
      </w:r>
      <w:r w:rsidRPr="00F85CA6">
        <w:rPr>
          <w:rFonts w:eastAsia="Calibri"/>
          <w:sz w:val="22"/>
          <w:szCs w:val="22"/>
          <w:lang w:val="sr-Latn-ME" w:bidi="en-US"/>
        </w:rPr>
        <w:t xml:space="preserve">erenim oštećenjem funkcije bubrega kod pacijenata starosti </w:t>
      </w:r>
      <w:r w:rsidR="003E5AF3" w:rsidRPr="00F85CA6">
        <w:rPr>
          <w:rFonts w:eastAsia="Calibri"/>
          <w:sz w:val="22"/>
          <w:szCs w:val="22"/>
          <w:lang w:val="sr-Latn-ME" w:bidi="en-US"/>
        </w:rPr>
        <w:t>pre</w:t>
      </w:r>
      <w:r w:rsidRPr="00F85CA6">
        <w:rPr>
          <w:rFonts w:eastAsia="Calibri"/>
          <w:sz w:val="22"/>
          <w:szCs w:val="22"/>
          <w:lang w:val="sr-Latn-ME" w:bidi="en-US"/>
        </w:rPr>
        <w:t>ko 75 godina:</w:t>
      </w:r>
    </w:p>
    <w:p w14:paraId="781C2E22" w14:textId="482F9743" w:rsidR="00143607" w:rsidRPr="00F85CA6" w:rsidRDefault="00143607" w:rsidP="00143607">
      <w:pPr>
        <w:widowControl w:val="0"/>
        <w:numPr>
          <w:ilvl w:val="0"/>
          <w:numId w:val="12"/>
        </w:numPr>
        <w:tabs>
          <w:tab w:val="left" w:pos="562"/>
        </w:tabs>
        <w:spacing w:after="160" w:line="259" w:lineRule="auto"/>
        <w:ind w:left="567" w:hanging="567"/>
        <w:contextualSpacing/>
        <w:jc w:val="both"/>
        <w:rPr>
          <w:color w:val="000000"/>
          <w:sz w:val="22"/>
          <w:szCs w:val="22"/>
          <w:lang w:val="sr-Latn-ME" w:bidi="en-US"/>
        </w:rPr>
      </w:pPr>
      <w:r w:rsidRPr="00F85CA6">
        <w:rPr>
          <w:color w:val="000000"/>
          <w:sz w:val="22"/>
          <w:szCs w:val="22"/>
          <w:lang w:val="sr-Latn-ME" w:bidi="en-US"/>
        </w:rPr>
        <w:t>Bubrežnu funkciju treba proc</w:t>
      </w:r>
      <w:r w:rsidR="00247560" w:rsidRPr="00F85CA6">
        <w:rPr>
          <w:color w:val="000000"/>
          <w:sz w:val="22"/>
          <w:szCs w:val="22"/>
          <w:lang w:val="sr-Latn-ME" w:bidi="en-US"/>
        </w:rPr>
        <w:t>j</w:t>
      </w:r>
      <w:r w:rsidRPr="00F85CA6">
        <w:rPr>
          <w:color w:val="000000"/>
          <w:sz w:val="22"/>
          <w:szCs w:val="22"/>
          <w:lang w:val="sr-Latn-ME" w:bidi="en-US"/>
        </w:rPr>
        <w:t>enjivati tokom terapije dabigatrane</w:t>
      </w:r>
      <w:r w:rsidR="00CD26E8" w:rsidRPr="00F85CA6">
        <w:rPr>
          <w:color w:val="000000"/>
          <w:sz w:val="22"/>
          <w:szCs w:val="22"/>
          <w:lang w:val="sr-Latn-ME" w:bidi="en-US"/>
        </w:rPr>
        <w:t xml:space="preserve"> </w:t>
      </w:r>
      <w:r w:rsidRPr="00F85CA6">
        <w:rPr>
          <w:color w:val="000000"/>
          <w:sz w:val="22"/>
          <w:szCs w:val="22"/>
          <w:lang w:val="sr-Latn-ME" w:bidi="en-US"/>
        </w:rPr>
        <w:t>teksilatom najmanje jednom godišnje ili češće, po potrebi, u određenim kliničkim situacijama kada se sumnja da funkcija bubrega može da oslabi ili da se pogorša (npr. hipovolemija, dehidratacija i u slučaju isto</w:t>
      </w:r>
      <w:r w:rsidR="003E5AF3" w:rsidRPr="00F85CA6">
        <w:rPr>
          <w:color w:val="000000"/>
          <w:sz w:val="22"/>
          <w:szCs w:val="22"/>
          <w:lang w:val="sr-Latn-ME" w:bidi="en-US"/>
        </w:rPr>
        <w:t>vreme</w:t>
      </w:r>
      <w:r w:rsidRPr="00F85CA6">
        <w:rPr>
          <w:color w:val="000000"/>
          <w:sz w:val="22"/>
          <w:szCs w:val="22"/>
          <w:lang w:val="sr-Latn-ME" w:bidi="en-US"/>
        </w:rPr>
        <w:t>ne prim</w:t>
      </w:r>
      <w:r w:rsidR="00247560" w:rsidRPr="00F85CA6">
        <w:rPr>
          <w:color w:val="000000"/>
          <w:sz w:val="22"/>
          <w:szCs w:val="22"/>
          <w:lang w:val="sr-Latn-ME" w:bidi="en-US"/>
        </w:rPr>
        <w:t>j</w:t>
      </w:r>
      <w:r w:rsidRPr="00F85CA6">
        <w:rPr>
          <w:color w:val="000000"/>
          <w:sz w:val="22"/>
          <w:szCs w:val="22"/>
          <w:lang w:val="sr-Latn-ME" w:bidi="en-US"/>
        </w:rPr>
        <w:t xml:space="preserve">ene određenih </w:t>
      </w:r>
      <w:r w:rsidR="003E5AF3" w:rsidRPr="00F85CA6">
        <w:rPr>
          <w:color w:val="000000"/>
          <w:sz w:val="22"/>
          <w:szCs w:val="22"/>
          <w:lang w:val="sr-Latn-ME" w:bidi="en-US"/>
        </w:rPr>
        <w:t>ljek</w:t>
      </w:r>
      <w:r w:rsidRPr="00F85CA6">
        <w:rPr>
          <w:color w:val="000000"/>
          <w:sz w:val="22"/>
          <w:szCs w:val="22"/>
          <w:lang w:val="sr-Latn-ME" w:bidi="en-US"/>
        </w:rPr>
        <w:t>ova).</w:t>
      </w:r>
    </w:p>
    <w:p w14:paraId="6C22C15D" w14:textId="77777777" w:rsidR="00143607" w:rsidRPr="00F85CA6" w:rsidRDefault="00143607" w:rsidP="00143607">
      <w:pPr>
        <w:jc w:val="both"/>
        <w:rPr>
          <w:rFonts w:eastAsia="Calibri"/>
          <w:sz w:val="22"/>
          <w:szCs w:val="22"/>
          <w:lang w:val="sr-Latn-ME" w:bidi="en-US"/>
        </w:rPr>
      </w:pPr>
    </w:p>
    <w:p w14:paraId="0C610619" w14:textId="183A1319" w:rsidR="00143607" w:rsidRPr="00F85CA6" w:rsidRDefault="00143607" w:rsidP="00143607">
      <w:pPr>
        <w:jc w:val="both"/>
        <w:rPr>
          <w:rFonts w:eastAsia="Calibri"/>
          <w:sz w:val="22"/>
          <w:szCs w:val="22"/>
          <w:lang w:val="sr-Latn-ME" w:bidi="en-US"/>
        </w:rPr>
      </w:pPr>
      <w:r w:rsidRPr="00F85CA6">
        <w:rPr>
          <w:rFonts w:eastAsia="Calibri"/>
          <w:sz w:val="22"/>
          <w:szCs w:val="22"/>
          <w:lang w:val="sr-Latn-ME" w:bidi="en-US"/>
        </w:rPr>
        <w:t>Za proc</w:t>
      </w:r>
      <w:r w:rsidR="00247560" w:rsidRPr="00F85CA6">
        <w:rPr>
          <w:rFonts w:eastAsia="Calibri"/>
          <w:sz w:val="22"/>
          <w:szCs w:val="22"/>
          <w:lang w:val="sr-Latn-ME" w:bidi="en-US"/>
        </w:rPr>
        <w:t>j</w:t>
      </w:r>
      <w:r w:rsidRPr="00F85CA6">
        <w:rPr>
          <w:rFonts w:eastAsia="Calibri"/>
          <w:sz w:val="22"/>
          <w:szCs w:val="22"/>
          <w:lang w:val="sr-Latn-ME" w:bidi="en-US"/>
        </w:rPr>
        <w:t>enu funkcije bubrega (CrCL u m</w:t>
      </w:r>
      <w:r w:rsidR="00CD26E8" w:rsidRPr="00F85CA6">
        <w:rPr>
          <w:rFonts w:eastAsia="Calibri"/>
          <w:sz w:val="22"/>
          <w:szCs w:val="22"/>
          <w:lang w:val="sr-Latn-ME" w:bidi="en-US"/>
        </w:rPr>
        <w:t>l</w:t>
      </w:r>
      <w:r w:rsidRPr="00F85CA6">
        <w:rPr>
          <w:rFonts w:eastAsia="Calibri"/>
          <w:sz w:val="22"/>
          <w:szCs w:val="22"/>
          <w:lang w:val="sr-Latn-ME" w:bidi="en-US"/>
        </w:rPr>
        <w:t xml:space="preserve">/min) se koristi </w:t>
      </w:r>
      <w:r w:rsidRPr="00F85CA6">
        <w:rPr>
          <w:rFonts w:eastAsia="Calibri"/>
          <w:i/>
          <w:iCs/>
          <w:sz w:val="22"/>
          <w:szCs w:val="22"/>
          <w:lang w:val="sr-Latn-ME" w:bidi="en-US"/>
        </w:rPr>
        <w:t>Cockcroft-Gault</w:t>
      </w:r>
      <w:r w:rsidRPr="00F85CA6">
        <w:rPr>
          <w:rFonts w:eastAsia="Calibri"/>
          <w:sz w:val="22"/>
          <w:szCs w:val="22"/>
          <w:lang w:val="sr-Latn-ME" w:bidi="en-US"/>
        </w:rPr>
        <w:t>-ova metoda.</w:t>
      </w:r>
    </w:p>
    <w:p w14:paraId="0133A38F" w14:textId="77777777" w:rsidR="00143607" w:rsidRPr="00F85CA6" w:rsidRDefault="00143607" w:rsidP="00143607">
      <w:pPr>
        <w:jc w:val="both"/>
        <w:rPr>
          <w:rFonts w:eastAsia="Calibri"/>
          <w:i/>
          <w:iCs/>
          <w:sz w:val="22"/>
          <w:szCs w:val="22"/>
          <w:u w:val="single"/>
          <w:lang w:val="sr-Latn-ME" w:bidi="en-US"/>
        </w:rPr>
      </w:pPr>
    </w:p>
    <w:p w14:paraId="35165A73" w14:textId="2D6FFD96" w:rsidR="00143607" w:rsidRPr="00F85CA6" w:rsidRDefault="00143607" w:rsidP="00143607">
      <w:pPr>
        <w:jc w:val="both"/>
        <w:rPr>
          <w:rFonts w:eastAsia="Calibri"/>
          <w:i/>
          <w:iCs/>
          <w:sz w:val="22"/>
          <w:szCs w:val="22"/>
          <w:u w:val="single"/>
          <w:lang w:val="sr-Latn-ME" w:bidi="en-US"/>
        </w:rPr>
      </w:pPr>
      <w:r w:rsidRPr="00F85CA6">
        <w:rPr>
          <w:rFonts w:eastAsia="Calibri"/>
          <w:i/>
          <w:iCs/>
          <w:sz w:val="22"/>
          <w:szCs w:val="22"/>
          <w:u w:val="single"/>
          <w:lang w:val="sr-Latn-ME" w:bidi="en-US"/>
        </w:rPr>
        <w:t>Trajanje prim</w:t>
      </w:r>
      <w:r w:rsidR="00247560" w:rsidRPr="00F85CA6">
        <w:rPr>
          <w:rFonts w:eastAsia="Calibri"/>
          <w:i/>
          <w:iCs/>
          <w:sz w:val="22"/>
          <w:szCs w:val="22"/>
          <w:u w:val="single"/>
          <w:lang w:val="sr-Latn-ME" w:bidi="en-US"/>
        </w:rPr>
        <w:t>j</w:t>
      </w:r>
      <w:r w:rsidRPr="00F85CA6">
        <w:rPr>
          <w:rFonts w:eastAsia="Calibri"/>
          <w:i/>
          <w:iCs/>
          <w:sz w:val="22"/>
          <w:szCs w:val="22"/>
          <w:u w:val="single"/>
          <w:lang w:val="sr-Latn-ME" w:bidi="en-US"/>
        </w:rPr>
        <w:t>ene</w:t>
      </w:r>
    </w:p>
    <w:p w14:paraId="3598BBC8" w14:textId="77777777" w:rsidR="00143607" w:rsidRPr="00F85CA6" w:rsidRDefault="00143607" w:rsidP="00143607">
      <w:pPr>
        <w:jc w:val="both"/>
        <w:rPr>
          <w:rFonts w:eastAsia="Calibri"/>
          <w:sz w:val="22"/>
          <w:szCs w:val="22"/>
          <w:lang w:val="sr-Latn-ME" w:bidi="en-US"/>
        </w:rPr>
      </w:pPr>
    </w:p>
    <w:p w14:paraId="3F68AA01" w14:textId="42CE58F2" w:rsidR="00143607" w:rsidRPr="00F85CA6" w:rsidRDefault="00143607" w:rsidP="00143607">
      <w:pPr>
        <w:jc w:val="both"/>
        <w:rPr>
          <w:rFonts w:eastAsia="Calibri"/>
          <w:sz w:val="22"/>
          <w:szCs w:val="22"/>
          <w:lang w:val="sr-Latn-ME" w:bidi="en-US"/>
        </w:rPr>
      </w:pPr>
      <w:r w:rsidRPr="00F85CA6">
        <w:rPr>
          <w:rFonts w:eastAsia="Calibri"/>
          <w:sz w:val="22"/>
          <w:szCs w:val="22"/>
          <w:lang w:val="sr-Latn-ME" w:bidi="en-US"/>
        </w:rPr>
        <w:lastRenderedPageBreak/>
        <w:t>Trajanja prim</w:t>
      </w:r>
      <w:r w:rsidR="00247560" w:rsidRPr="00F85CA6">
        <w:rPr>
          <w:rFonts w:eastAsia="Calibri"/>
          <w:sz w:val="22"/>
          <w:szCs w:val="22"/>
          <w:lang w:val="sr-Latn-ME" w:bidi="en-US"/>
        </w:rPr>
        <w:t>j</w:t>
      </w:r>
      <w:r w:rsidRPr="00F85CA6">
        <w:rPr>
          <w:rFonts w:eastAsia="Calibri"/>
          <w:sz w:val="22"/>
          <w:szCs w:val="22"/>
          <w:lang w:val="sr-Latn-ME" w:bidi="en-US"/>
        </w:rPr>
        <w:t xml:space="preserve">ene dabigatraneteksilata u indikacijama </w:t>
      </w:r>
      <w:r w:rsidR="003E5AF3" w:rsidRPr="00F85CA6">
        <w:rPr>
          <w:rFonts w:eastAsia="Calibri"/>
          <w:sz w:val="22"/>
          <w:szCs w:val="22"/>
          <w:lang w:val="sr-Latn-ME" w:bidi="en-US"/>
        </w:rPr>
        <w:t>pre</w:t>
      </w:r>
      <w:r w:rsidRPr="00F85CA6">
        <w:rPr>
          <w:rFonts w:eastAsia="Calibri"/>
          <w:sz w:val="22"/>
          <w:szCs w:val="22"/>
          <w:lang w:val="sr-Latn-ME" w:bidi="en-US"/>
        </w:rPr>
        <w:t>vencije MU i SE kod AF i indikaciji DVT i PE prikazano je u tabeli 3.</w:t>
      </w:r>
    </w:p>
    <w:p w14:paraId="2D4ECF51" w14:textId="77777777" w:rsidR="00143607" w:rsidRPr="00F85CA6" w:rsidRDefault="00143607" w:rsidP="00143607">
      <w:pPr>
        <w:jc w:val="both"/>
        <w:rPr>
          <w:rFonts w:eastAsia="Calibri"/>
          <w:sz w:val="22"/>
          <w:szCs w:val="22"/>
          <w:lang w:val="sr-Latn-ME" w:bidi="en-US"/>
        </w:rPr>
      </w:pPr>
    </w:p>
    <w:p w14:paraId="43741FEE" w14:textId="4B2E1AB0" w:rsidR="00143607" w:rsidRPr="00F85CA6" w:rsidRDefault="00143607" w:rsidP="00685312">
      <w:pPr>
        <w:jc w:val="center"/>
        <w:rPr>
          <w:rFonts w:eastAsia="Calibri"/>
          <w:b/>
          <w:bCs/>
          <w:sz w:val="22"/>
          <w:szCs w:val="22"/>
          <w:lang w:val="sr-Latn-ME" w:bidi="en-US"/>
        </w:rPr>
      </w:pPr>
      <w:r w:rsidRPr="00F85CA6">
        <w:rPr>
          <w:rFonts w:eastAsia="Calibri"/>
          <w:b/>
          <w:bCs/>
          <w:sz w:val="22"/>
          <w:szCs w:val="22"/>
          <w:lang w:val="sr-Latn-ME" w:bidi="en-US"/>
        </w:rPr>
        <w:t>Tabela 3: Trajanje prim</w:t>
      </w:r>
      <w:r w:rsidR="00247560" w:rsidRPr="00F85CA6">
        <w:rPr>
          <w:rFonts w:eastAsia="Calibri"/>
          <w:b/>
          <w:bCs/>
          <w:sz w:val="22"/>
          <w:szCs w:val="22"/>
          <w:lang w:val="sr-Latn-ME" w:bidi="en-US"/>
        </w:rPr>
        <w:t>j</w:t>
      </w:r>
      <w:r w:rsidRPr="00F85CA6">
        <w:rPr>
          <w:rFonts w:eastAsia="Calibri"/>
          <w:b/>
          <w:bCs/>
          <w:sz w:val="22"/>
          <w:szCs w:val="22"/>
          <w:lang w:val="sr-Latn-ME" w:bidi="en-US"/>
        </w:rPr>
        <w:t xml:space="preserve">ene u </w:t>
      </w:r>
      <w:r w:rsidR="003E5AF3" w:rsidRPr="00F85CA6">
        <w:rPr>
          <w:rFonts w:eastAsia="Calibri"/>
          <w:b/>
          <w:bCs/>
          <w:sz w:val="22"/>
          <w:szCs w:val="22"/>
          <w:lang w:val="sr-Latn-ME" w:bidi="en-US"/>
        </w:rPr>
        <w:t>pre</w:t>
      </w:r>
      <w:r w:rsidRPr="00F85CA6">
        <w:rPr>
          <w:rFonts w:eastAsia="Calibri"/>
          <w:b/>
          <w:bCs/>
          <w:sz w:val="22"/>
          <w:szCs w:val="22"/>
          <w:lang w:val="sr-Latn-ME" w:bidi="en-US"/>
        </w:rPr>
        <w:t>venciji MU i SE kod AF i kod DVT/PE</w:t>
      </w:r>
    </w:p>
    <w:p w14:paraId="58F9CE91" w14:textId="77777777" w:rsidR="00143607" w:rsidRPr="00F85CA6" w:rsidRDefault="00143607" w:rsidP="00143607">
      <w:pPr>
        <w:jc w:val="both"/>
        <w:rPr>
          <w:rFonts w:eastAsia="Calibri"/>
          <w:b/>
          <w:bCs/>
          <w:sz w:val="22"/>
          <w:szCs w:val="22"/>
          <w:lang w:val="sr-Latn-ME" w:bidi="en-US"/>
        </w:rPr>
      </w:pPr>
    </w:p>
    <w:tbl>
      <w:tblPr>
        <w:tblOverlap w:val="never"/>
        <w:tblW w:w="5000" w:type="pct"/>
        <w:jc w:val="center"/>
        <w:tblCellMar>
          <w:left w:w="85" w:type="dxa"/>
          <w:right w:w="85" w:type="dxa"/>
        </w:tblCellMar>
        <w:tblLook w:val="04A0" w:firstRow="1" w:lastRow="0" w:firstColumn="1" w:lastColumn="0" w:noHBand="0" w:noVBand="1"/>
      </w:tblPr>
      <w:tblGrid>
        <w:gridCol w:w="1356"/>
        <w:gridCol w:w="7707"/>
      </w:tblGrid>
      <w:tr w:rsidR="00143607" w:rsidRPr="00F85CA6" w14:paraId="5723ABC6" w14:textId="77777777" w:rsidTr="001239C3">
        <w:trPr>
          <w:trHeight w:val="20"/>
          <w:jc w:val="center"/>
        </w:trPr>
        <w:tc>
          <w:tcPr>
            <w:tcW w:w="748" w:type="pct"/>
            <w:tcBorders>
              <w:top w:val="single" w:sz="4" w:space="0" w:color="auto"/>
              <w:left w:val="single" w:sz="4" w:space="0" w:color="auto"/>
              <w:bottom w:val="single" w:sz="4" w:space="0" w:color="auto"/>
            </w:tcBorders>
            <w:shd w:val="clear" w:color="auto" w:fill="auto"/>
          </w:tcPr>
          <w:p w14:paraId="02767A1B" w14:textId="77777777" w:rsidR="00143607" w:rsidRPr="00F85CA6" w:rsidRDefault="00143607" w:rsidP="00685312">
            <w:pPr>
              <w:jc w:val="center"/>
              <w:rPr>
                <w:rFonts w:eastAsia="Calibri"/>
                <w:sz w:val="22"/>
                <w:szCs w:val="22"/>
                <w:lang w:val="sr-Latn-ME" w:bidi="en-US"/>
              </w:rPr>
            </w:pPr>
            <w:r w:rsidRPr="00F85CA6">
              <w:rPr>
                <w:rFonts w:eastAsia="Calibri"/>
                <w:b/>
                <w:bCs/>
                <w:sz w:val="22"/>
                <w:szCs w:val="22"/>
                <w:lang w:val="sr-Latn-ME" w:bidi="en-US"/>
              </w:rPr>
              <w:t>Indikacija</w:t>
            </w:r>
          </w:p>
        </w:tc>
        <w:tc>
          <w:tcPr>
            <w:tcW w:w="4252" w:type="pct"/>
            <w:tcBorders>
              <w:top w:val="single" w:sz="4" w:space="0" w:color="auto"/>
              <w:left w:val="single" w:sz="4" w:space="0" w:color="auto"/>
              <w:bottom w:val="single" w:sz="4" w:space="0" w:color="auto"/>
              <w:right w:val="single" w:sz="4" w:space="0" w:color="auto"/>
            </w:tcBorders>
            <w:shd w:val="clear" w:color="auto" w:fill="auto"/>
          </w:tcPr>
          <w:p w14:paraId="163700BA" w14:textId="42C2B631" w:rsidR="00143607" w:rsidRPr="00F85CA6" w:rsidRDefault="00143607" w:rsidP="00685312">
            <w:pPr>
              <w:jc w:val="center"/>
              <w:rPr>
                <w:rFonts w:eastAsia="Calibri"/>
                <w:sz w:val="22"/>
                <w:szCs w:val="22"/>
                <w:lang w:val="sr-Latn-ME" w:bidi="en-US"/>
              </w:rPr>
            </w:pPr>
            <w:r w:rsidRPr="00F85CA6">
              <w:rPr>
                <w:rFonts w:eastAsia="Calibri"/>
                <w:b/>
                <w:bCs/>
                <w:sz w:val="22"/>
                <w:szCs w:val="22"/>
                <w:lang w:val="sr-Latn-ME" w:bidi="en-US"/>
              </w:rPr>
              <w:t>Trajanje prim</w:t>
            </w:r>
            <w:r w:rsidR="00247560" w:rsidRPr="00F85CA6">
              <w:rPr>
                <w:rFonts w:eastAsia="Calibri"/>
                <w:b/>
                <w:bCs/>
                <w:sz w:val="22"/>
                <w:szCs w:val="22"/>
                <w:lang w:val="sr-Latn-ME" w:bidi="en-US"/>
              </w:rPr>
              <w:t>j</w:t>
            </w:r>
            <w:r w:rsidRPr="00F85CA6">
              <w:rPr>
                <w:rFonts w:eastAsia="Calibri"/>
                <w:b/>
                <w:bCs/>
                <w:sz w:val="22"/>
                <w:szCs w:val="22"/>
                <w:lang w:val="sr-Latn-ME" w:bidi="en-US"/>
              </w:rPr>
              <w:t>ene</w:t>
            </w:r>
          </w:p>
        </w:tc>
      </w:tr>
      <w:tr w:rsidR="00143607" w:rsidRPr="00F85CA6" w14:paraId="1674DA2F" w14:textId="77777777" w:rsidTr="001239C3">
        <w:trPr>
          <w:trHeight w:val="20"/>
          <w:jc w:val="center"/>
        </w:trPr>
        <w:tc>
          <w:tcPr>
            <w:tcW w:w="748" w:type="pct"/>
            <w:tcBorders>
              <w:top w:val="single" w:sz="4" w:space="0" w:color="auto"/>
              <w:left w:val="single" w:sz="4" w:space="0" w:color="auto"/>
              <w:bottom w:val="single" w:sz="4" w:space="0" w:color="auto"/>
              <w:right w:val="single" w:sz="4" w:space="0" w:color="auto"/>
            </w:tcBorders>
            <w:shd w:val="clear" w:color="auto" w:fill="auto"/>
          </w:tcPr>
          <w:p w14:paraId="0E81B15C" w14:textId="6633D5EC" w:rsidR="00143607" w:rsidRPr="00F85CA6" w:rsidRDefault="003E5AF3" w:rsidP="00685312">
            <w:pPr>
              <w:rPr>
                <w:rFonts w:eastAsia="Calibri"/>
                <w:sz w:val="22"/>
                <w:szCs w:val="22"/>
                <w:lang w:val="sr-Latn-ME" w:bidi="en-US"/>
              </w:rPr>
            </w:pPr>
            <w:r w:rsidRPr="00F85CA6">
              <w:rPr>
                <w:rFonts w:eastAsia="Calibri"/>
                <w:sz w:val="22"/>
                <w:szCs w:val="22"/>
                <w:lang w:val="sr-Latn-ME" w:bidi="en-US"/>
              </w:rPr>
              <w:t>Pre</w:t>
            </w:r>
            <w:r w:rsidR="00143607" w:rsidRPr="00F85CA6">
              <w:rPr>
                <w:rFonts w:eastAsia="Calibri"/>
                <w:sz w:val="22"/>
                <w:szCs w:val="22"/>
                <w:lang w:val="sr-Latn-ME" w:bidi="en-US"/>
              </w:rPr>
              <w:t>vencija MU i SE kod AF</w:t>
            </w:r>
          </w:p>
        </w:tc>
        <w:tc>
          <w:tcPr>
            <w:tcW w:w="4252" w:type="pct"/>
            <w:tcBorders>
              <w:top w:val="single" w:sz="4" w:space="0" w:color="auto"/>
              <w:left w:val="single" w:sz="4" w:space="0" w:color="auto"/>
              <w:bottom w:val="single" w:sz="4" w:space="0" w:color="auto"/>
              <w:right w:val="single" w:sz="4" w:space="0" w:color="auto"/>
            </w:tcBorders>
            <w:shd w:val="clear" w:color="auto" w:fill="auto"/>
          </w:tcPr>
          <w:p w14:paraId="207DD584" w14:textId="77777777" w:rsidR="00143607" w:rsidRPr="00F85CA6" w:rsidRDefault="00143607" w:rsidP="00143607">
            <w:pPr>
              <w:jc w:val="both"/>
              <w:rPr>
                <w:rFonts w:eastAsia="Calibri"/>
                <w:sz w:val="22"/>
                <w:szCs w:val="22"/>
                <w:lang w:val="sr-Latn-ME" w:bidi="en-US"/>
              </w:rPr>
            </w:pPr>
            <w:r w:rsidRPr="00F85CA6">
              <w:rPr>
                <w:rFonts w:eastAsia="Calibri"/>
                <w:sz w:val="22"/>
                <w:szCs w:val="22"/>
                <w:lang w:val="sr-Latn-ME" w:bidi="en-US"/>
              </w:rPr>
              <w:t>Terapija treba da bude dugotrajna.</w:t>
            </w:r>
          </w:p>
        </w:tc>
      </w:tr>
      <w:tr w:rsidR="00143607" w:rsidRPr="00F85CA6" w14:paraId="3E3AB764" w14:textId="77777777" w:rsidTr="001239C3">
        <w:trPr>
          <w:trHeight w:val="20"/>
          <w:jc w:val="center"/>
        </w:trPr>
        <w:tc>
          <w:tcPr>
            <w:tcW w:w="748" w:type="pct"/>
            <w:tcBorders>
              <w:top w:val="single" w:sz="4" w:space="0" w:color="auto"/>
              <w:left w:val="single" w:sz="4" w:space="0" w:color="auto"/>
              <w:bottom w:val="single" w:sz="4" w:space="0" w:color="auto"/>
            </w:tcBorders>
            <w:shd w:val="clear" w:color="auto" w:fill="auto"/>
          </w:tcPr>
          <w:p w14:paraId="1BE2FD84" w14:textId="77777777" w:rsidR="00143607" w:rsidRPr="00F85CA6" w:rsidRDefault="00143607" w:rsidP="00685312">
            <w:pPr>
              <w:rPr>
                <w:rFonts w:eastAsia="Calibri"/>
                <w:sz w:val="22"/>
                <w:szCs w:val="22"/>
                <w:lang w:val="sr-Latn-ME" w:bidi="en-US"/>
              </w:rPr>
            </w:pPr>
            <w:r w:rsidRPr="00F85CA6">
              <w:rPr>
                <w:rFonts w:eastAsia="Calibri"/>
                <w:sz w:val="22"/>
                <w:szCs w:val="22"/>
                <w:lang w:val="sr-Latn-ME" w:bidi="en-US"/>
              </w:rPr>
              <w:t>DVT/PE</w:t>
            </w:r>
          </w:p>
        </w:tc>
        <w:tc>
          <w:tcPr>
            <w:tcW w:w="4252" w:type="pct"/>
            <w:tcBorders>
              <w:top w:val="single" w:sz="4" w:space="0" w:color="auto"/>
              <w:left w:val="single" w:sz="4" w:space="0" w:color="auto"/>
              <w:bottom w:val="single" w:sz="4" w:space="0" w:color="auto"/>
              <w:right w:val="single" w:sz="4" w:space="0" w:color="auto"/>
            </w:tcBorders>
            <w:shd w:val="clear" w:color="auto" w:fill="auto"/>
          </w:tcPr>
          <w:p w14:paraId="6E246C85" w14:textId="00021691" w:rsidR="00143607" w:rsidRPr="00F85CA6" w:rsidRDefault="00143607" w:rsidP="00143607">
            <w:pPr>
              <w:jc w:val="both"/>
              <w:rPr>
                <w:rFonts w:eastAsia="Calibri"/>
                <w:sz w:val="22"/>
                <w:szCs w:val="22"/>
                <w:lang w:val="sr-Latn-ME" w:bidi="en-US"/>
              </w:rPr>
            </w:pPr>
            <w:r w:rsidRPr="00F85CA6">
              <w:rPr>
                <w:rFonts w:eastAsia="Calibri"/>
                <w:sz w:val="22"/>
                <w:szCs w:val="22"/>
                <w:lang w:val="sr-Latn-ME" w:bidi="en-US"/>
              </w:rPr>
              <w:t>Trajanje terapije mora da se prilagodi individualnim potrebama nakon pažljive proc</w:t>
            </w:r>
            <w:r w:rsidR="00247560" w:rsidRPr="00F85CA6">
              <w:rPr>
                <w:rFonts w:eastAsia="Calibri"/>
                <w:sz w:val="22"/>
                <w:szCs w:val="22"/>
                <w:lang w:val="sr-Latn-ME" w:bidi="en-US"/>
              </w:rPr>
              <w:t>j</w:t>
            </w:r>
            <w:r w:rsidRPr="00F85CA6">
              <w:rPr>
                <w:rFonts w:eastAsia="Calibri"/>
                <w:sz w:val="22"/>
                <w:szCs w:val="22"/>
                <w:lang w:val="sr-Latn-ME" w:bidi="en-US"/>
              </w:rPr>
              <w:t>ene koristi l</w:t>
            </w:r>
            <w:r w:rsidR="00247560" w:rsidRPr="00F85CA6">
              <w:rPr>
                <w:rFonts w:eastAsia="Calibri"/>
                <w:sz w:val="22"/>
                <w:szCs w:val="22"/>
                <w:lang w:val="sr-Latn-ME" w:bidi="en-US"/>
              </w:rPr>
              <w:t>ij</w:t>
            </w:r>
            <w:r w:rsidRPr="00F85CA6">
              <w:rPr>
                <w:rFonts w:eastAsia="Calibri"/>
                <w:sz w:val="22"/>
                <w:szCs w:val="22"/>
                <w:lang w:val="sr-Latn-ME" w:bidi="en-US"/>
              </w:rPr>
              <w:t>ečenja u odnosu na rizik od krvarenja (</w:t>
            </w:r>
            <w:r w:rsidR="003E5AF3" w:rsidRPr="00F85CA6">
              <w:rPr>
                <w:rFonts w:eastAsia="Calibri"/>
                <w:sz w:val="22"/>
                <w:szCs w:val="22"/>
                <w:lang w:val="sr-Latn-ME" w:bidi="en-US"/>
              </w:rPr>
              <w:t>vidjeti</w:t>
            </w:r>
            <w:r w:rsidRPr="00F85CA6">
              <w:rPr>
                <w:rFonts w:eastAsia="Calibri"/>
                <w:sz w:val="22"/>
                <w:szCs w:val="22"/>
                <w:lang w:val="sr-Latn-ME" w:bidi="en-US"/>
              </w:rPr>
              <w:t xml:space="preserve"> </w:t>
            </w:r>
            <w:r w:rsidR="00B12F0B" w:rsidRPr="00F85CA6">
              <w:rPr>
                <w:rFonts w:eastAsia="Calibri"/>
                <w:sz w:val="22"/>
                <w:szCs w:val="22"/>
                <w:lang w:val="sr-Latn-ME" w:bidi="en-US"/>
              </w:rPr>
              <w:t>dio</w:t>
            </w:r>
            <w:r w:rsidRPr="00F85CA6">
              <w:rPr>
                <w:rFonts w:eastAsia="Calibri"/>
                <w:sz w:val="22"/>
                <w:szCs w:val="22"/>
                <w:lang w:val="sr-Latn-ME" w:bidi="en-US"/>
              </w:rPr>
              <w:t xml:space="preserve"> 4.4).</w:t>
            </w:r>
          </w:p>
          <w:p w14:paraId="066413AB" w14:textId="77777777" w:rsidR="00143607" w:rsidRPr="00F85CA6" w:rsidRDefault="00143607" w:rsidP="00143607">
            <w:pPr>
              <w:jc w:val="both"/>
              <w:rPr>
                <w:rFonts w:eastAsia="Calibri"/>
                <w:sz w:val="22"/>
                <w:szCs w:val="22"/>
                <w:lang w:val="sr-Latn-ME" w:bidi="en-US"/>
              </w:rPr>
            </w:pPr>
          </w:p>
          <w:p w14:paraId="48534995" w14:textId="1D69815B" w:rsidR="00143607" w:rsidRPr="00F85CA6" w:rsidRDefault="00143607" w:rsidP="00143607">
            <w:pPr>
              <w:jc w:val="both"/>
              <w:rPr>
                <w:rFonts w:eastAsia="Calibri"/>
                <w:sz w:val="22"/>
                <w:szCs w:val="22"/>
                <w:lang w:val="sr-Latn-ME" w:bidi="en-US"/>
              </w:rPr>
            </w:pPr>
            <w:r w:rsidRPr="00F85CA6">
              <w:rPr>
                <w:rFonts w:eastAsia="Calibri"/>
                <w:sz w:val="22"/>
                <w:szCs w:val="22"/>
                <w:lang w:val="sr-Latn-ME" w:bidi="en-US"/>
              </w:rPr>
              <w:t>Kratkotrajna terapija (najmanje 3 m</w:t>
            </w:r>
            <w:r w:rsidR="00AD5A64" w:rsidRPr="00F85CA6">
              <w:rPr>
                <w:rFonts w:eastAsia="Calibri"/>
                <w:sz w:val="22"/>
                <w:szCs w:val="22"/>
                <w:lang w:val="sr-Latn-ME" w:bidi="en-US"/>
              </w:rPr>
              <w:t>j</w:t>
            </w:r>
            <w:r w:rsidRPr="00F85CA6">
              <w:rPr>
                <w:rFonts w:eastAsia="Calibri"/>
                <w:sz w:val="22"/>
                <w:szCs w:val="22"/>
                <w:lang w:val="sr-Latn-ME" w:bidi="en-US"/>
              </w:rPr>
              <w:t>eseca) treba da se zasniva na prolaznim faktorima rizika (npr. nedavni hirurški zahvat, trauma, imobilizacija), a duže trajanje treba da se zasniva na trajnim faktorima rizika ili na idiopatskoj DVT ili PE.</w:t>
            </w:r>
          </w:p>
        </w:tc>
      </w:tr>
    </w:tbl>
    <w:p w14:paraId="6D9A3E22" w14:textId="77777777" w:rsidR="00143607" w:rsidRPr="00F85CA6" w:rsidRDefault="00143607" w:rsidP="00143607">
      <w:pPr>
        <w:jc w:val="both"/>
        <w:rPr>
          <w:rFonts w:eastAsia="Calibri"/>
          <w:sz w:val="22"/>
          <w:szCs w:val="22"/>
          <w:lang w:val="sr-Latn-ME" w:bidi="en-US"/>
        </w:rPr>
      </w:pPr>
    </w:p>
    <w:p w14:paraId="514E9124" w14:textId="77777777" w:rsidR="00143607" w:rsidRPr="00F85CA6" w:rsidRDefault="00143607" w:rsidP="00143607">
      <w:pPr>
        <w:jc w:val="both"/>
        <w:rPr>
          <w:rFonts w:eastAsia="Calibri"/>
          <w:b/>
          <w:bCs/>
          <w:sz w:val="22"/>
          <w:szCs w:val="22"/>
          <w:lang w:val="sr-Latn-ME" w:bidi="en-US"/>
        </w:rPr>
      </w:pPr>
      <w:r w:rsidRPr="00F85CA6">
        <w:rPr>
          <w:rFonts w:eastAsia="Calibri"/>
          <w:i/>
          <w:iCs/>
          <w:sz w:val="22"/>
          <w:szCs w:val="22"/>
          <w:u w:val="single"/>
          <w:lang w:val="sr-Latn-ME" w:bidi="en-US"/>
        </w:rPr>
        <w:t>Propuštena doza</w:t>
      </w:r>
    </w:p>
    <w:p w14:paraId="4E22F668" w14:textId="77777777" w:rsidR="00143607" w:rsidRPr="00F85CA6" w:rsidRDefault="00143607" w:rsidP="00143607">
      <w:pPr>
        <w:jc w:val="both"/>
        <w:rPr>
          <w:rFonts w:eastAsia="Calibri"/>
          <w:sz w:val="22"/>
          <w:szCs w:val="22"/>
          <w:lang w:val="sr-Latn-ME" w:bidi="en-US"/>
        </w:rPr>
      </w:pPr>
    </w:p>
    <w:p w14:paraId="2E53D5F0" w14:textId="3F964523" w:rsidR="00143607" w:rsidRPr="00F85CA6" w:rsidRDefault="00143607" w:rsidP="00143607">
      <w:pPr>
        <w:jc w:val="both"/>
        <w:rPr>
          <w:rFonts w:eastAsia="Calibri"/>
          <w:sz w:val="22"/>
          <w:szCs w:val="22"/>
          <w:lang w:val="sr-Latn-ME" w:bidi="en-US"/>
        </w:rPr>
      </w:pPr>
      <w:r w:rsidRPr="00F85CA6">
        <w:rPr>
          <w:rFonts w:eastAsia="Calibri"/>
          <w:sz w:val="22"/>
          <w:szCs w:val="22"/>
          <w:lang w:val="sr-Latn-ME" w:bidi="en-US"/>
        </w:rPr>
        <w:t xml:space="preserve">Propuštena doza dabigatraneteksilata se i dalje može uzeti do 6 sati </w:t>
      </w:r>
      <w:r w:rsidR="003E5AF3" w:rsidRPr="00F85CA6">
        <w:rPr>
          <w:rFonts w:eastAsia="Calibri"/>
          <w:sz w:val="22"/>
          <w:szCs w:val="22"/>
          <w:lang w:val="sr-Latn-ME" w:bidi="en-US"/>
        </w:rPr>
        <w:t>prije</w:t>
      </w:r>
      <w:r w:rsidRPr="00F85CA6">
        <w:rPr>
          <w:rFonts w:eastAsia="Calibri"/>
          <w:sz w:val="22"/>
          <w:szCs w:val="22"/>
          <w:lang w:val="sr-Latn-ME" w:bidi="en-US"/>
        </w:rPr>
        <w:t xml:space="preserve"> </w:t>
      </w:r>
      <w:r w:rsidR="003E5AF3" w:rsidRPr="00F85CA6">
        <w:rPr>
          <w:rFonts w:eastAsia="Calibri"/>
          <w:sz w:val="22"/>
          <w:szCs w:val="22"/>
          <w:lang w:val="sr-Latn-ME" w:bidi="en-US"/>
        </w:rPr>
        <w:t>vreme</w:t>
      </w:r>
      <w:r w:rsidRPr="00F85CA6">
        <w:rPr>
          <w:rFonts w:eastAsia="Calibri"/>
          <w:sz w:val="22"/>
          <w:szCs w:val="22"/>
          <w:lang w:val="sr-Latn-ME" w:bidi="en-US"/>
        </w:rPr>
        <w:t>na za narednu redovnu dozu. Ako je do naredne doze ostalo manje od 6 sati, propuštenu dozu treba izostaviti.</w:t>
      </w:r>
    </w:p>
    <w:p w14:paraId="61433014" w14:textId="77777777" w:rsidR="00143607" w:rsidRPr="00F85CA6" w:rsidRDefault="00143607" w:rsidP="00143607">
      <w:pPr>
        <w:jc w:val="both"/>
        <w:rPr>
          <w:rFonts w:eastAsia="Calibri"/>
          <w:sz w:val="22"/>
          <w:szCs w:val="22"/>
          <w:lang w:val="sr-Latn-ME" w:bidi="en-US"/>
        </w:rPr>
      </w:pPr>
    </w:p>
    <w:p w14:paraId="69984B93" w14:textId="77777777" w:rsidR="00143607" w:rsidRPr="00F85CA6" w:rsidRDefault="00143607" w:rsidP="00143607">
      <w:pPr>
        <w:jc w:val="both"/>
        <w:rPr>
          <w:rFonts w:eastAsia="Calibri"/>
          <w:sz w:val="22"/>
          <w:szCs w:val="22"/>
          <w:lang w:val="sr-Latn-ME" w:bidi="en-US"/>
        </w:rPr>
      </w:pPr>
      <w:r w:rsidRPr="00F85CA6">
        <w:rPr>
          <w:rFonts w:eastAsia="Calibri"/>
          <w:sz w:val="22"/>
          <w:szCs w:val="22"/>
          <w:lang w:val="sr-Latn-ME" w:bidi="en-US"/>
        </w:rPr>
        <w:t>Ne treba uzimati dvostruku dozu da bi se nadoknadila propuštena pojedinačna doza.</w:t>
      </w:r>
    </w:p>
    <w:p w14:paraId="12983E37" w14:textId="77777777" w:rsidR="00143607" w:rsidRPr="00F85CA6" w:rsidRDefault="00143607" w:rsidP="00143607">
      <w:pPr>
        <w:jc w:val="both"/>
        <w:rPr>
          <w:rFonts w:eastAsia="Calibri"/>
          <w:sz w:val="22"/>
          <w:szCs w:val="22"/>
          <w:lang w:val="sr-Latn-ME" w:bidi="en-US"/>
        </w:rPr>
      </w:pPr>
    </w:p>
    <w:p w14:paraId="75978876" w14:textId="46B4270B" w:rsidR="00143607" w:rsidRPr="00F85CA6" w:rsidRDefault="003E5AF3" w:rsidP="00143607">
      <w:pPr>
        <w:jc w:val="both"/>
        <w:rPr>
          <w:rFonts w:eastAsia="Calibri"/>
          <w:sz w:val="22"/>
          <w:szCs w:val="22"/>
          <w:lang w:val="sr-Latn-ME" w:bidi="en-US"/>
        </w:rPr>
      </w:pPr>
      <w:r w:rsidRPr="00F85CA6">
        <w:rPr>
          <w:rFonts w:eastAsia="Calibri"/>
          <w:i/>
          <w:iCs/>
          <w:sz w:val="22"/>
          <w:szCs w:val="22"/>
          <w:u w:val="single"/>
          <w:lang w:val="sr-Latn-ME" w:bidi="en-US"/>
        </w:rPr>
        <w:t>P</w:t>
      </w:r>
      <w:r w:rsidR="002A1B6B" w:rsidRPr="00F85CA6">
        <w:rPr>
          <w:rFonts w:eastAsia="Calibri"/>
          <w:i/>
          <w:iCs/>
          <w:sz w:val="22"/>
          <w:szCs w:val="22"/>
          <w:u w:val="single"/>
          <w:lang w:val="sr-Latn-ME" w:bidi="en-US"/>
        </w:rPr>
        <w:t>r</w:t>
      </w:r>
      <w:r w:rsidRPr="00F85CA6">
        <w:rPr>
          <w:rFonts w:eastAsia="Calibri"/>
          <w:i/>
          <w:iCs/>
          <w:sz w:val="22"/>
          <w:szCs w:val="22"/>
          <w:u w:val="single"/>
          <w:lang w:val="sr-Latn-ME" w:bidi="en-US"/>
        </w:rPr>
        <w:t>e</w:t>
      </w:r>
      <w:r w:rsidR="00143607" w:rsidRPr="00F85CA6">
        <w:rPr>
          <w:rFonts w:eastAsia="Calibri"/>
          <w:i/>
          <w:iCs/>
          <w:sz w:val="22"/>
          <w:szCs w:val="22"/>
          <w:u w:val="single"/>
          <w:lang w:val="sr-Latn-ME" w:bidi="en-US"/>
        </w:rPr>
        <w:t>kid prim</w:t>
      </w:r>
      <w:r w:rsidR="00247560" w:rsidRPr="00F85CA6">
        <w:rPr>
          <w:rFonts w:eastAsia="Calibri"/>
          <w:i/>
          <w:iCs/>
          <w:sz w:val="22"/>
          <w:szCs w:val="22"/>
          <w:u w:val="single"/>
          <w:lang w:val="sr-Latn-ME" w:bidi="en-US"/>
        </w:rPr>
        <w:t>j</w:t>
      </w:r>
      <w:r w:rsidR="00143607" w:rsidRPr="00F85CA6">
        <w:rPr>
          <w:rFonts w:eastAsia="Calibri"/>
          <w:i/>
          <w:iCs/>
          <w:sz w:val="22"/>
          <w:szCs w:val="22"/>
          <w:u w:val="single"/>
          <w:lang w:val="sr-Latn-ME" w:bidi="en-US"/>
        </w:rPr>
        <w:t>ene dabigatraneteksilata</w:t>
      </w:r>
    </w:p>
    <w:p w14:paraId="515B17D1" w14:textId="77777777" w:rsidR="00143607" w:rsidRPr="00F85CA6" w:rsidRDefault="00143607" w:rsidP="00143607">
      <w:pPr>
        <w:jc w:val="both"/>
        <w:rPr>
          <w:rFonts w:eastAsia="Calibri"/>
          <w:sz w:val="22"/>
          <w:szCs w:val="22"/>
          <w:lang w:val="sr-Latn-ME" w:bidi="en-US"/>
        </w:rPr>
      </w:pPr>
    </w:p>
    <w:p w14:paraId="2EAD9DFE" w14:textId="78B856E8" w:rsidR="00143607" w:rsidRPr="00F85CA6" w:rsidRDefault="00143607" w:rsidP="00143607">
      <w:pPr>
        <w:jc w:val="both"/>
        <w:rPr>
          <w:rFonts w:eastAsia="Calibri"/>
          <w:sz w:val="22"/>
          <w:szCs w:val="22"/>
          <w:lang w:val="sr-Latn-ME"/>
        </w:rPr>
      </w:pPr>
      <w:r w:rsidRPr="00F85CA6">
        <w:rPr>
          <w:rFonts w:eastAsia="Calibri"/>
          <w:sz w:val="22"/>
          <w:szCs w:val="22"/>
          <w:lang w:val="sr-Latn-ME"/>
        </w:rPr>
        <w:t>Terapiju dabigatrane</w:t>
      </w:r>
      <w:r w:rsidR="00CD26E8" w:rsidRPr="00F85CA6">
        <w:rPr>
          <w:rFonts w:eastAsia="Calibri"/>
          <w:sz w:val="22"/>
          <w:szCs w:val="22"/>
          <w:lang w:val="sr-Latn-ME"/>
        </w:rPr>
        <w:t xml:space="preserve"> </w:t>
      </w:r>
      <w:r w:rsidRPr="00F85CA6">
        <w:rPr>
          <w:rFonts w:eastAsia="Calibri"/>
          <w:sz w:val="22"/>
          <w:szCs w:val="22"/>
          <w:lang w:val="sr-Latn-ME"/>
        </w:rPr>
        <w:t xml:space="preserve">teksilatom ne treba </w:t>
      </w:r>
      <w:r w:rsidR="003E5AF3" w:rsidRPr="00F85CA6">
        <w:rPr>
          <w:rFonts w:eastAsia="Calibri"/>
          <w:sz w:val="22"/>
          <w:szCs w:val="22"/>
          <w:lang w:val="sr-Latn-ME"/>
        </w:rPr>
        <w:t>pre</w:t>
      </w:r>
      <w:r w:rsidRPr="00F85CA6">
        <w:rPr>
          <w:rFonts w:eastAsia="Calibri"/>
          <w:sz w:val="22"/>
          <w:szCs w:val="22"/>
          <w:lang w:val="sr-Latn-ME"/>
        </w:rPr>
        <w:t xml:space="preserve">kidati bez </w:t>
      </w:r>
      <w:r w:rsidR="003E5AF3" w:rsidRPr="00F85CA6">
        <w:rPr>
          <w:rFonts w:eastAsia="Calibri"/>
          <w:sz w:val="22"/>
          <w:szCs w:val="22"/>
          <w:lang w:val="sr-Latn-ME"/>
        </w:rPr>
        <w:t>ljek</w:t>
      </w:r>
      <w:r w:rsidRPr="00F85CA6">
        <w:rPr>
          <w:rFonts w:eastAsia="Calibri"/>
          <w:sz w:val="22"/>
          <w:szCs w:val="22"/>
          <w:lang w:val="sr-Latn-ME"/>
        </w:rPr>
        <w:t>arskog sav</w:t>
      </w:r>
      <w:r w:rsidR="00247560" w:rsidRPr="00F85CA6">
        <w:rPr>
          <w:rFonts w:eastAsia="Calibri"/>
          <w:sz w:val="22"/>
          <w:szCs w:val="22"/>
          <w:lang w:val="sr-Latn-ME"/>
        </w:rPr>
        <w:t>j</w:t>
      </w:r>
      <w:r w:rsidRPr="00F85CA6">
        <w:rPr>
          <w:rFonts w:eastAsia="Calibri"/>
          <w:sz w:val="22"/>
          <w:szCs w:val="22"/>
          <w:lang w:val="sr-Latn-ME"/>
        </w:rPr>
        <w:t xml:space="preserve">eta. Pacijente je potrebno uputiti da se obrate ordinirajućem </w:t>
      </w:r>
      <w:r w:rsidR="003E5AF3" w:rsidRPr="00F85CA6">
        <w:rPr>
          <w:rFonts w:eastAsia="Calibri"/>
          <w:sz w:val="22"/>
          <w:szCs w:val="22"/>
          <w:lang w:val="sr-Latn-ME"/>
        </w:rPr>
        <w:t>ljek</w:t>
      </w:r>
      <w:r w:rsidRPr="00F85CA6">
        <w:rPr>
          <w:rFonts w:eastAsia="Calibri"/>
          <w:sz w:val="22"/>
          <w:szCs w:val="22"/>
          <w:lang w:val="sr-Latn-ME"/>
        </w:rPr>
        <w:t>aru ako razviju gastrointestinalne simptome, kao što je dispepsija (</w:t>
      </w:r>
      <w:r w:rsidR="003E5AF3" w:rsidRPr="00F85CA6">
        <w:rPr>
          <w:rFonts w:eastAsia="Calibri"/>
          <w:sz w:val="22"/>
          <w:szCs w:val="22"/>
          <w:lang w:val="sr-Latn-ME"/>
        </w:rPr>
        <w:t>vidjeti</w:t>
      </w:r>
      <w:r w:rsidRPr="00F85CA6">
        <w:rPr>
          <w:rFonts w:eastAsia="Calibri"/>
          <w:sz w:val="22"/>
          <w:szCs w:val="22"/>
          <w:lang w:val="sr-Latn-ME"/>
        </w:rPr>
        <w:t xml:space="preserve"> </w:t>
      </w:r>
      <w:r w:rsidR="00C96D78" w:rsidRPr="00F85CA6">
        <w:rPr>
          <w:rFonts w:eastAsia="Calibri"/>
          <w:sz w:val="22"/>
          <w:szCs w:val="22"/>
          <w:lang w:val="sr-Latn-ME"/>
        </w:rPr>
        <w:t>dio</w:t>
      </w:r>
      <w:r w:rsidRPr="00F85CA6">
        <w:rPr>
          <w:rFonts w:eastAsia="Calibri"/>
          <w:sz w:val="22"/>
          <w:szCs w:val="22"/>
          <w:lang w:val="sr-Latn-ME"/>
        </w:rPr>
        <w:t xml:space="preserve"> 4.8).</w:t>
      </w:r>
    </w:p>
    <w:p w14:paraId="5592F6C8" w14:textId="77777777" w:rsidR="00143607" w:rsidRPr="00F85CA6" w:rsidRDefault="00143607" w:rsidP="00143607">
      <w:pPr>
        <w:jc w:val="both"/>
        <w:rPr>
          <w:rFonts w:eastAsia="Calibri"/>
          <w:sz w:val="22"/>
          <w:szCs w:val="22"/>
          <w:lang w:val="sr-Latn-ME"/>
        </w:rPr>
      </w:pPr>
    </w:p>
    <w:p w14:paraId="02124AE0" w14:textId="58EFDAE8" w:rsidR="00143607" w:rsidRPr="00F85CA6" w:rsidRDefault="00143607" w:rsidP="00143607">
      <w:pPr>
        <w:jc w:val="both"/>
        <w:rPr>
          <w:rFonts w:eastAsia="Calibri"/>
          <w:sz w:val="22"/>
          <w:szCs w:val="22"/>
          <w:lang w:val="sr-Latn-ME" w:bidi="en-US"/>
        </w:rPr>
      </w:pPr>
      <w:r w:rsidRPr="00F85CA6">
        <w:rPr>
          <w:rFonts w:eastAsia="Calibri"/>
          <w:i/>
          <w:iCs/>
          <w:sz w:val="22"/>
          <w:szCs w:val="22"/>
          <w:u w:val="single"/>
          <w:lang w:val="sr-Latn-ME" w:bidi="en-US"/>
        </w:rPr>
        <w:t>Prom</w:t>
      </w:r>
      <w:r w:rsidR="00247560" w:rsidRPr="00F85CA6">
        <w:rPr>
          <w:rFonts w:eastAsia="Calibri"/>
          <w:i/>
          <w:iCs/>
          <w:sz w:val="22"/>
          <w:szCs w:val="22"/>
          <w:u w:val="single"/>
          <w:lang w:val="sr-Latn-ME" w:bidi="en-US"/>
        </w:rPr>
        <w:t>j</w:t>
      </w:r>
      <w:r w:rsidRPr="00F85CA6">
        <w:rPr>
          <w:rFonts w:eastAsia="Calibri"/>
          <w:i/>
          <w:iCs/>
          <w:sz w:val="22"/>
          <w:szCs w:val="22"/>
          <w:u w:val="single"/>
          <w:lang w:val="sr-Latn-ME" w:bidi="en-US"/>
        </w:rPr>
        <w:t>ena terapije</w:t>
      </w:r>
    </w:p>
    <w:p w14:paraId="12CF1C4A" w14:textId="77777777" w:rsidR="00143607" w:rsidRPr="00F85CA6" w:rsidRDefault="00143607" w:rsidP="00143607">
      <w:pPr>
        <w:jc w:val="both"/>
        <w:rPr>
          <w:rFonts w:eastAsia="Calibri"/>
          <w:sz w:val="22"/>
          <w:szCs w:val="22"/>
          <w:lang w:val="sr-Latn-ME" w:bidi="en-US"/>
        </w:rPr>
      </w:pPr>
    </w:p>
    <w:p w14:paraId="2E7CFD1B" w14:textId="6A0AED29" w:rsidR="00143607" w:rsidRPr="00F85CA6" w:rsidRDefault="003E5AF3" w:rsidP="00143607">
      <w:pPr>
        <w:jc w:val="both"/>
        <w:rPr>
          <w:rFonts w:eastAsia="Calibri"/>
          <w:sz w:val="22"/>
          <w:szCs w:val="22"/>
          <w:lang w:val="sr-Latn-ME" w:bidi="en-US"/>
        </w:rPr>
      </w:pPr>
      <w:r w:rsidRPr="00F85CA6">
        <w:rPr>
          <w:rFonts w:eastAsia="Calibri"/>
          <w:sz w:val="22"/>
          <w:szCs w:val="22"/>
          <w:lang w:val="sr-Latn-ME" w:bidi="en-US"/>
        </w:rPr>
        <w:t>Pre</w:t>
      </w:r>
      <w:r w:rsidR="00143607" w:rsidRPr="00F85CA6">
        <w:rPr>
          <w:rFonts w:eastAsia="Calibri"/>
          <w:sz w:val="22"/>
          <w:szCs w:val="22"/>
          <w:lang w:val="sr-Latn-ME" w:bidi="en-US"/>
        </w:rPr>
        <w:t>lazak sa terapije dabigatrane</w:t>
      </w:r>
      <w:r w:rsidR="00CD26E8" w:rsidRPr="00F85CA6">
        <w:rPr>
          <w:rFonts w:eastAsia="Calibri"/>
          <w:sz w:val="22"/>
          <w:szCs w:val="22"/>
          <w:lang w:val="sr-Latn-ME" w:bidi="en-US"/>
        </w:rPr>
        <w:t xml:space="preserve"> </w:t>
      </w:r>
      <w:r w:rsidR="00143607" w:rsidRPr="00F85CA6">
        <w:rPr>
          <w:rFonts w:eastAsia="Calibri"/>
          <w:sz w:val="22"/>
          <w:szCs w:val="22"/>
          <w:lang w:val="sr-Latn-ME" w:bidi="en-US"/>
        </w:rPr>
        <w:t>teksilatom na parenteralni antikoagulans:</w:t>
      </w:r>
    </w:p>
    <w:p w14:paraId="0C06C476" w14:textId="19CA852D" w:rsidR="00143607" w:rsidRPr="00F85CA6" w:rsidRDefault="003E5AF3" w:rsidP="00143607">
      <w:pPr>
        <w:jc w:val="both"/>
        <w:rPr>
          <w:rFonts w:eastAsia="Calibri"/>
          <w:sz w:val="22"/>
          <w:szCs w:val="22"/>
          <w:lang w:val="sr-Latn-ME"/>
        </w:rPr>
      </w:pPr>
      <w:r w:rsidRPr="00F85CA6">
        <w:rPr>
          <w:rFonts w:eastAsia="Calibri"/>
          <w:sz w:val="22"/>
          <w:szCs w:val="22"/>
          <w:lang w:val="sr-Latn-ME"/>
        </w:rPr>
        <w:t>Preporučuje</w:t>
      </w:r>
      <w:r w:rsidR="00143607" w:rsidRPr="00F85CA6">
        <w:rPr>
          <w:rFonts w:eastAsia="Calibri"/>
          <w:sz w:val="22"/>
          <w:szCs w:val="22"/>
          <w:lang w:val="sr-Latn-ME"/>
        </w:rPr>
        <w:t xml:space="preserve"> se da se sačeka 12 sati nakon posl</w:t>
      </w:r>
      <w:r w:rsidR="00247560" w:rsidRPr="00F85CA6">
        <w:rPr>
          <w:rFonts w:eastAsia="Calibri"/>
          <w:sz w:val="22"/>
          <w:szCs w:val="22"/>
          <w:lang w:val="sr-Latn-ME"/>
        </w:rPr>
        <w:t>j</w:t>
      </w:r>
      <w:r w:rsidR="00143607" w:rsidRPr="00F85CA6">
        <w:rPr>
          <w:rFonts w:eastAsia="Calibri"/>
          <w:sz w:val="22"/>
          <w:szCs w:val="22"/>
          <w:lang w:val="sr-Latn-ME"/>
        </w:rPr>
        <w:t xml:space="preserve">ednje doze, </w:t>
      </w:r>
      <w:r w:rsidRPr="00F85CA6">
        <w:rPr>
          <w:rFonts w:eastAsia="Calibri"/>
          <w:sz w:val="22"/>
          <w:szCs w:val="22"/>
          <w:lang w:val="sr-Latn-ME"/>
        </w:rPr>
        <w:t>prije</w:t>
      </w:r>
      <w:r w:rsidR="00143607" w:rsidRPr="00F85CA6">
        <w:rPr>
          <w:rFonts w:eastAsia="Calibri"/>
          <w:sz w:val="22"/>
          <w:szCs w:val="22"/>
          <w:lang w:val="sr-Latn-ME"/>
        </w:rPr>
        <w:t xml:space="preserve"> nego što se </w:t>
      </w:r>
      <w:r w:rsidRPr="00F85CA6">
        <w:rPr>
          <w:rFonts w:eastAsia="Calibri"/>
          <w:sz w:val="22"/>
          <w:szCs w:val="22"/>
          <w:lang w:val="sr-Latn-ME"/>
        </w:rPr>
        <w:t>pre</w:t>
      </w:r>
      <w:r w:rsidR="00143607" w:rsidRPr="00F85CA6">
        <w:rPr>
          <w:rFonts w:eastAsia="Calibri"/>
          <w:sz w:val="22"/>
          <w:szCs w:val="22"/>
          <w:lang w:val="sr-Latn-ME"/>
        </w:rPr>
        <w:t>đe sa dabigatraneteksilata na parenteralni antikoagulans (</w:t>
      </w:r>
      <w:r w:rsidRPr="00F85CA6">
        <w:rPr>
          <w:rFonts w:eastAsia="Calibri"/>
          <w:sz w:val="22"/>
          <w:szCs w:val="22"/>
          <w:lang w:val="sr-Latn-ME"/>
        </w:rPr>
        <w:t>vidjeti</w:t>
      </w:r>
      <w:r w:rsidR="00143607" w:rsidRPr="00F85CA6">
        <w:rPr>
          <w:rFonts w:eastAsia="Calibri"/>
          <w:sz w:val="22"/>
          <w:szCs w:val="22"/>
          <w:lang w:val="sr-Latn-ME"/>
        </w:rPr>
        <w:t xml:space="preserve"> </w:t>
      </w:r>
      <w:r w:rsidR="00C96D78" w:rsidRPr="00F85CA6">
        <w:rPr>
          <w:rFonts w:eastAsia="Calibri"/>
          <w:sz w:val="22"/>
          <w:szCs w:val="22"/>
          <w:lang w:val="sr-Latn-ME"/>
        </w:rPr>
        <w:t>dio</w:t>
      </w:r>
      <w:r w:rsidR="00143607" w:rsidRPr="00F85CA6">
        <w:rPr>
          <w:rFonts w:eastAsia="Calibri"/>
          <w:sz w:val="22"/>
          <w:szCs w:val="22"/>
          <w:lang w:val="sr-Latn-ME"/>
        </w:rPr>
        <w:t xml:space="preserve"> 4.5).</w:t>
      </w:r>
    </w:p>
    <w:p w14:paraId="7AAB9990" w14:textId="77777777" w:rsidR="00143607" w:rsidRPr="00F85CA6" w:rsidRDefault="00143607" w:rsidP="00143607">
      <w:pPr>
        <w:jc w:val="both"/>
        <w:rPr>
          <w:rFonts w:eastAsia="Calibri"/>
          <w:sz w:val="22"/>
          <w:szCs w:val="22"/>
          <w:lang w:val="sr-Latn-ME" w:bidi="en-US"/>
        </w:rPr>
      </w:pPr>
    </w:p>
    <w:p w14:paraId="242F1A15" w14:textId="5EA80274" w:rsidR="00143607" w:rsidRPr="00F85CA6" w:rsidRDefault="003E5AF3" w:rsidP="00143607">
      <w:pPr>
        <w:jc w:val="both"/>
        <w:rPr>
          <w:rFonts w:eastAsia="Calibri"/>
          <w:sz w:val="22"/>
          <w:szCs w:val="22"/>
          <w:lang w:val="sr-Latn-ME" w:bidi="en-US"/>
        </w:rPr>
      </w:pPr>
      <w:r w:rsidRPr="00F85CA6">
        <w:rPr>
          <w:rFonts w:eastAsia="Calibri"/>
          <w:sz w:val="22"/>
          <w:szCs w:val="22"/>
          <w:lang w:val="sr-Latn-ME" w:bidi="en-US"/>
        </w:rPr>
        <w:t>Pre</w:t>
      </w:r>
      <w:r w:rsidR="00143607" w:rsidRPr="00F85CA6">
        <w:rPr>
          <w:rFonts w:eastAsia="Calibri"/>
          <w:sz w:val="22"/>
          <w:szCs w:val="22"/>
          <w:lang w:val="sr-Latn-ME" w:bidi="en-US"/>
        </w:rPr>
        <w:t>lazak sa parenteralnih antikoagulanasa na dabigatrane</w:t>
      </w:r>
      <w:r w:rsidR="00CD26E8" w:rsidRPr="00F85CA6">
        <w:rPr>
          <w:rFonts w:eastAsia="Calibri"/>
          <w:sz w:val="22"/>
          <w:szCs w:val="22"/>
          <w:lang w:val="sr-Latn-ME" w:bidi="en-US"/>
        </w:rPr>
        <w:t xml:space="preserve"> </w:t>
      </w:r>
      <w:r w:rsidR="00143607" w:rsidRPr="00F85CA6">
        <w:rPr>
          <w:rFonts w:eastAsia="Calibri"/>
          <w:sz w:val="22"/>
          <w:szCs w:val="22"/>
          <w:lang w:val="sr-Latn-ME" w:bidi="en-US"/>
        </w:rPr>
        <w:t>teksilat:</w:t>
      </w:r>
    </w:p>
    <w:p w14:paraId="3E085957" w14:textId="06FB519F" w:rsidR="00143607" w:rsidRPr="00F85CA6" w:rsidRDefault="00143607" w:rsidP="00CD26E8">
      <w:pPr>
        <w:jc w:val="both"/>
        <w:rPr>
          <w:rFonts w:eastAsia="Calibri"/>
          <w:sz w:val="22"/>
          <w:szCs w:val="22"/>
          <w:lang w:val="sr-Latn-ME"/>
        </w:rPr>
      </w:pPr>
      <w:r w:rsidRPr="00F85CA6">
        <w:rPr>
          <w:rFonts w:eastAsia="Calibri"/>
          <w:sz w:val="22"/>
          <w:szCs w:val="22"/>
          <w:lang w:val="sr-Latn-ME"/>
        </w:rPr>
        <w:t xml:space="preserve">Potrebno je </w:t>
      </w:r>
      <w:r w:rsidR="003E5AF3" w:rsidRPr="00F85CA6">
        <w:rPr>
          <w:rFonts w:eastAsia="Calibri"/>
          <w:sz w:val="22"/>
          <w:szCs w:val="22"/>
          <w:lang w:val="sr-Latn-ME"/>
        </w:rPr>
        <w:t>pre</w:t>
      </w:r>
      <w:r w:rsidRPr="00F85CA6">
        <w:rPr>
          <w:rFonts w:eastAsia="Calibri"/>
          <w:sz w:val="22"/>
          <w:szCs w:val="22"/>
          <w:lang w:val="sr-Latn-ME"/>
        </w:rPr>
        <w:t>kinuti prim</w:t>
      </w:r>
      <w:r w:rsidR="00247560" w:rsidRPr="00F85CA6">
        <w:rPr>
          <w:rFonts w:eastAsia="Calibri"/>
          <w:sz w:val="22"/>
          <w:szCs w:val="22"/>
          <w:lang w:val="sr-Latn-ME"/>
        </w:rPr>
        <w:t>j</w:t>
      </w:r>
      <w:r w:rsidRPr="00F85CA6">
        <w:rPr>
          <w:rFonts w:eastAsia="Calibri"/>
          <w:sz w:val="22"/>
          <w:szCs w:val="22"/>
          <w:lang w:val="sr-Latn-ME"/>
        </w:rPr>
        <w:t>enu parenteralnog antikoagulansa i započeti sa dabigatrane</w:t>
      </w:r>
      <w:r w:rsidR="00CD26E8" w:rsidRPr="00F85CA6">
        <w:rPr>
          <w:rFonts w:eastAsia="Calibri"/>
          <w:sz w:val="22"/>
          <w:szCs w:val="22"/>
          <w:lang w:val="sr-Latn-ME"/>
        </w:rPr>
        <w:t xml:space="preserve"> </w:t>
      </w:r>
      <w:r w:rsidRPr="00F85CA6">
        <w:rPr>
          <w:rFonts w:eastAsia="Calibri"/>
          <w:sz w:val="22"/>
          <w:szCs w:val="22"/>
          <w:lang w:val="sr-Latn-ME"/>
        </w:rPr>
        <w:t>teksilatom 0</w:t>
      </w:r>
      <w:r w:rsidR="00CD26E8" w:rsidRPr="00F85CA6">
        <w:rPr>
          <w:rFonts w:eastAsia="Calibri"/>
          <w:sz w:val="22"/>
          <w:szCs w:val="22"/>
          <w:lang w:val="sr-Latn-ME"/>
        </w:rPr>
        <w:t xml:space="preserve"> </w:t>
      </w:r>
      <w:r w:rsidRPr="00F85CA6">
        <w:rPr>
          <w:rFonts w:eastAsia="Calibri"/>
          <w:sz w:val="22"/>
          <w:szCs w:val="22"/>
          <w:lang w:val="sr-Latn-ME"/>
        </w:rPr>
        <w:t>-</w:t>
      </w:r>
      <w:r w:rsidR="00CD26E8" w:rsidRPr="00F85CA6">
        <w:rPr>
          <w:rFonts w:eastAsia="Calibri"/>
          <w:sz w:val="22"/>
          <w:szCs w:val="22"/>
          <w:lang w:val="sr-Latn-ME"/>
        </w:rPr>
        <w:t xml:space="preserve"> </w:t>
      </w:r>
      <w:r w:rsidRPr="00F85CA6">
        <w:rPr>
          <w:rFonts w:eastAsia="Calibri"/>
          <w:sz w:val="22"/>
          <w:szCs w:val="22"/>
          <w:lang w:val="sr-Latn-ME"/>
        </w:rPr>
        <w:t xml:space="preserve">2 sata </w:t>
      </w:r>
      <w:r w:rsidR="003E5AF3" w:rsidRPr="00F85CA6">
        <w:rPr>
          <w:rFonts w:eastAsia="Calibri"/>
          <w:sz w:val="22"/>
          <w:szCs w:val="22"/>
          <w:lang w:val="sr-Latn-ME"/>
        </w:rPr>
        <w:t>prije</w:t>
      </w:r>
      <w:r w:rsidRPr="00F85CA6">
        <w:rPr>
          <w:rFonts w:eastAsia="Calibri"/>
          <w:sz w:val="22"/>
          <w:szCs w:val="22"/>
          <w:lang w:val="sr-Latn-ME"/>
        </w:rPr>
        <w:t xml:space="preserve"> </w:t>
      </w:r>
      <w:r w:rsidR="003E5AF3" w:rsidRPr="00F85CA6">
        <w:rPr>
          <w:rFonts w:eastAsia="Calibri"/>
          <w:sz w:val="22"/>
          <w:szCs w:val="22"/>
          <w:lang w:val="sr-Latn-ME"/>
        </w:rPr>
        <w:t>vreme</w:t>
      </w:r>
      <w:r w:rsidRPr="00F85CA6">
        <w:rPr>
          <w:rFonts w:eastAsia="Calibri"/>
          <w:sz w:val="22"/>
          <w:szCs w:val="22"/>
          <w:lang w:val="sr-Latn-ME"/>
        </w:rPr>
        <w:t>na kada bi trebalo dati sl</w:t>
      </w:r>
      <w:r w:rsidR="00247560" w:rsidRPr="00F85CA6">
        <w:rPr>
          <w:rFonts w:eastAsia="Calibri"/>
          <w:sz w:val="22"/>
          <w:szCs w:val="22"/>
          <w:lang w:val="sr-Latn-ME"/>
        </w:rPr>
        <w:t>j</w:t>
      </w:r>
      <w:r w:rsidRPr="00F85CA6">
        <w:rPr>
          <w:rFonts w:eastAsia="Calibri"/>
          <w:sz w:val="22"/>
          <w:szCs w:val="22"/>
          <w:lang w:val="sr-Latn-ME"/>
        </w:rPr>
        <w:t xml:space="preserve">edeću dozu dosadašnje terapije ili u trenutku </w:t>
      </w:r>
      <w:r w:rsidR="003E5AF3" w:rsidRPr="00F85CA6">
        <w:rPr>
          <w:rFonts w:eastAsia="Calibri"/>
          <w:sz w:val="22"/>
          <w:szCs w:val="22"/>
          <w:lang w:val="sr-Latn-ME"/>
        </w:rPr>
        <w:t>pre</w:t>
      </w:r>
      <w:r w:rsidRPr="00F85CA6">
        <w:rPr>
          <w:rFonts w:eastAsia="Calibri"/>
          <w:sz w:val="22"/>
          <w:szCs w:val="22"/>
          <w:lang w:val="sr-Latn-ME"/>
        </w:rPr>
        <w:t>kida u slučaju kontinuirane terapije (npr. intravenski nefrakcionisani heparin (</w:t>
      </w:r>
      <w:r w:rsidR="00CD26E8" w:rsidRPr="00F85CA6">
        <w:rPr>
          <w:rFonts w:eastAsia="Calibri"/>
          <w:sz w:val="22"/>
          <w:szCs w:val="22"/>
          <w:lang w:val="sr-Latn-ME"/>
        </w:rPr>
        <w:t xml:space="preserve">engl. </w:t>
      </w:r>
      <w:r w:rsidR="00CD26E8" w:rsidRPr="00F85CA6">
        <w:rPr>
          <w:rFonts w:eastAsia="Calibri"/>
          <w:i/>
          <w:sz w:val="22"/>
          <w:szCs w:val="22"/>
          <w:lang w:val="sr-Latn-ME"/>
        </w:rPr>
        <w:t>Unfractionated Heparin</w:t>
      </w:r>
      <w:r w:rsidR="00CD26E8" w:rsidRPr="00F85CA6">
        <w:rPr>
          <w:rFonts w:eastAsia="Calibri"/>
          <w:sz w:val="22"/>
          <w:szCs w:val="22"/>
          <w:lang w:val="sr-Latn-ME"/>
        </w:rPr>
        <w:t>, UFH</w:t>
      </w:r>
      <w:r w:rsidRPr="00F85CA6">
        <w:rPr>
          <w:rFonts w:eastAsia="Calibri"/>
          <w:sz w:val="22"/>
          <w:szCs w:val="22"/>
          <w:lang w:val="sr-Latn-ME"/>
        </w:rPr>
        <w:t>)) (</w:t>
      </w:r>
      <w:r w:rsidR="003E5AF3" w:rsidRPr="00F85CA6">
        <w:rPr>
          <w:rFonts w:eastAsia="Calibri"/>
          <w:sz w:val="22"/>
          <w:szCs w:val="22"/>
          <w:lang w:val="sr-Latn-ME"/>
        </w:rPr>
        <w:t>vidjeti</w:t>
      </w:r>
      <w:r w:rsidRPr="00F85CA6">
        <w:rPr>
          <w:rFonts w:eastAsia="Calibri"/>
          <w:sz w:val="22"/>
          <w:szCs w:val="22"/>
          <w:lang w:val="sr-Latn-ME"/>
        </w:rPr>
        <w:t xml:space="preserve"> </w:t>
      </w:r>
      <w:r w:rsidR="00B12F0B" w:rsidRPr="00F85CA6">
        <w:rPr>
          <w:rFonts w:eastAsia="Calibri"/>
          <w:sz w:val="22"/>
          <w:szCs w:val="22"/>
          <w:lang w:val="sr-Latn-ME"/>
        </w:rPr>
        <w:t>dio</w:t>
      </w:r>
      <w:r w:rsidRPr="00F85CA6">
        <w:rPr>
          <w:rFonts w:eastAsia="Calibri"/>
          <w:sz w:val="22"/>
          <w:szCs w:val="22"/>
          <w:lang w:val="sr-Latn-ME"/>
        </w:rPr>
        <w:t xml:space="preserve"> 4.5).</w:t>
      </w:r>
    </w:p>
    <w:p w14:paraId="615843E8" w14:textId="77777777" w:rsidR="00143607" w:rsidRPr="00F85CA6" w:rsidRDefault="00143607" w:rsidP="00143607">
      <w:pPr>
        <w:jc w:val="both"/>
        <w:rPr>
          <w:rFonts w:eastAsia="Calibri"/>
          <w:sz w:val="22"/>
          <w:szCs w:val="22"/>
          <w:lang w:val="sr-Latn-ME"/>
        </w:rPr>
      </w:pPr>
    </w:p>
    <w:p w14:paraId="12320B4D" w14:textId="24E495B7" w:rsidR="00143607" w:rsidRPr="00F85CA6" w:rsidRDefault="003E5AF3" w:rsidP="00143607">
      <w:pPr>
        <w:jc w:val="both"/>
        <w:rPr>
          <w:rFonts w:eastAsia="Calibri"/>
          <w:sz w:val="22"/>
          <w:szCs w:val="22"/>
          <w:lang w:val="sr-Latn-ME" w:bidi="en-US"/>
        </w:rPr>
      </w:pPr>
      <w:r w:rsidRPr="00F85CA6">
        <w:rPr>
          <w:rFonts w:eastAsia="Calibri"/>
          <w:sz w:val="22"/>
          <w:szCs w:val="22"/>
          <w:lang w:val="sr-Latn-ME" w:bidi="en-US"/>
        </w:rPr>
        <w:t>Pre</w:t>
      </w:r>
      <w:r w:rsidR="00143607" w:rsidRPr="00F85CA6">
        <w:rPr>
          <w:rFonts w:eastAsia="Calibri"/>
          <w:sz w:val="22"/>
          <w:szCs w:val="22"/>
          <w:lang w:val="sr-Latn-ME" w:bidi="en-US"/>
        </w:rPr>
        <w:t xml:space="preserve">lazak sa dabigatraneteksilata na antagoniste vitamina K (engl. </w:t>
      </w:r>
      <w:r w:rsidR="00143607" w:rsidRPr="00F85CA6">
        <w:rPr>
          <w:rFonts w:eastAsia="Calibri"/>
          <w:i/>
          <w:iCs/>
          <w:sz w:val="22"/>
          <w:szCs w:val="22"/>
          <w:lang w:val="sr-Latn-ME" w:bidi="en-US"/>
        </w:rPr>
        <w:t>vitamin K antagonists</w:t>
      </w:r>
      <w:r w:rsidR="00143607" w:rsidRPr="00F85CA6">
        <w:rPr>
          <w:rFonts w:eastAsia="Calibri"/>
          <w:sz w:val="22"/>
          <w:szCs w:val="22"/>
          <w:lang w:val="sr-Latn-ME" w:bidi="en-US"/>
        </w:rPr>
        <w:t>, VKA):</w:t>
      </w:r>
    </w:p>
    <w:p w14:paraId="24E851A8" w14:textId="7276E254" w:rsidR="00143607" w:rsidRPr="00F85CA6" w:rsidRDefault="00143607" w:rsidP="00143607">
      <w:pPr>
        <w:jc w:val="both"/>
        <w:rPr>
          <w:rFonts w:eastAsia="Calibri"/>
          <w:sz w:val="22"/>
          <w:szCs w:val="22"/>
          <w:lang w:val="sr-Latn-ME" w:bidi="en-US"/>
        </w:rPr>
      </w:pPr>
      <w:r w:rsidRPr="00F85CA6">
        <w:rPr>
          <w:rFonts w:eastAsia="Calibri"/>
          <w:sz w:val="22"/>
          <w:szCs w:val="22"/>
          <w:lang w:val="sr-Latn-ME" w:bidi="en-US"/>
        </w:rPr>
        <w:t>Početak prim</w:t>
      </w:r>
      <w:r w:rsidR="00247560" w:rsidRPr="00F85CA6">
        <w:rPr>
          <w:rFonts w:eastAsia="Calibri"/>
          <w:sz w:val="22"/>
          <w:szCs w:val="22"/>
          <w:lang w:val="sr-Latn-ME" w:bidi="en-US"/>
        </w:rPr>
        <w:t>j</w:t>
      </w:r>
      <w:r w:rsidRPr="00F85CA6">
        <w:rPr>
          <w:rFonts w:eastAsia="Calibri"/>
          <w:sz w:val="22"/>
          <w:szCs w:val="22"/>
          <w:lang w:val="sr-Latn-ME" w:bidi="en-US"/>
        </w:rPr>
        <w:t xml:space="preserve">ene VKA </w:t>
      </w:r>
      <w:r w:rsidR="003A3757" w:rsidRPr="00F85CA6">
        <w:rPr>
          <w:rFonts w:eastAsia="Calibri"/>
          <w:sz w:val="22"/>
          <w:szCs w:val="22"/>
          <w:lang w:val="sr-Latn-ME" w:bidi="en-US"/>
        </w:rPr>
        <w:t>potrebno je</w:t>
      </w:r>
      <w:r w:rsidRPr="00F85CA6">
        <w:rPr>
          <w:rFonts w:eastAsia="Calibri"/>
          <w:sz w:val="22"/>
          <w:szCs w:val="22"/>
          <w:lang w:val="sr-Latn-ME" w:bidi="en-US"/>
        </w:rPr>
        <w:t xml:space="preserve"> prilagodi</w:t>
      </w:r>
      <w:r w:rsidR="003A3757" w:rsidRPr="00F85CA6">
        <w:rPr>
          <w:rFonts w:eastAsia="Calibri"/>
          <w:sz w:val="22"/>
          <w:szCs w:val="22"/>
          <w:lang w:val="sr-Latn-ME" w:bidi="en-US"/>
        </w:rPr>
        <w:t>ti</w:t>
      </w:r>
      <w:r w:rsidRPr="00F85CA6">
        <w:rPr>
          <w:rFonts w:eastAsia="Calibri"/>
          <w:sz w:val="22"/>
          <w:szCs w:val="22"/>
          <w:lang w:val="sr-Latn-ME" w:bidi="en-US"/>
        </w:rPr>
        <w:t xml:space="preserve"> na osnovu CrCL na sl</w:t>
      </w:r>
      <w:r w:rsidR="00247560" w:rsidRPr="00F85CA6">
        <w:rPr>
          <w:rFonts w:eastAsia="Calibri"/>
          <w:sz w:val="22"/>
          <w:szCs w:val="22"/>
          <w:lang w:val="sr-Latn-ME" w:bidi="en-US"/>
        </w:rPr>
        <w:t>j</w:t>
      </w:r>
      <w:r w:rsidRPr="00F85CA6">
        <w:rPr>
          <w:rFonts w:eastAsia="Calibri"/>
          <w:sz w:val="22"/>
          <w:szCs w:val="22"/>
          <w:lang w:val="sr-Latn-ME" w:bidi="en-US"/>
        </w:rPr>
        <w:t>edeći način:</w:t>
      </w:r>
    </w:p>
    <w:p w14:paraId="7F9154D9" w14:textId="55D598BD" w:rsidR="00143607" w:rsidRPr="00F85CA6" w:rsidRDefault="00143607" w:rsidP="00143607">
      <w:pPr>
        <w:widowControl w:val="0"/>
        <w:numPr>
          <w:ilvl w:val="0"/>
          <w:numId w:val="12"/>
        </w:numPr>
        <w:tabs>
          <w:tab w:val="left" w:pos="562"/>
        </w:tabs>
        <w:spacing w:after="160" w:line="259" w:lineRule="auto"/>
        <w:ind w:left="567" w:hanging="567"/>
        <w:contextualSpacing/>
        <w:jc w:val="both"/>
        <w:rPr>
          <w:color w:val="000000"/>
          <w:sz w:val="22"/>
          <w:szCs w:val="22"/>
          <w:lang w:val="sr-Latn-ME" w:bidi="en-US"/>
        </w:rPr>
      </w:pPr>
      <w:r w:rsidRPr="00F85CA6">
        <w:rPr>
          <w:color w:val="000000"/>
          <w:sz w:val="22"/>
          <w:szCs w:val="22"/>
          <w:lang w:val="sr-Latn-ME" w:bidi="en-US"/>
        </w:rPr>
        <w:t>CrCL ≥</w:t>
      </w:r>
      <w:r w:rsidR="003A3757" w:rsidRPr="00F85CA6">
        <w:rPr>
          <w:color w:val="000000"/>
          <w:sz w:val="22"/>
          <w:szCs w:val="22"/>
          <w:lang w:val="sr-Latn-ME" w:bidi="en-US"/>
        </w:rPr>
        <w:t xml:space="preserve"> </w:t>
      </w:r>
      <w:r w:rsidRPr="00F85CA6">
        <w:rPr>
          <w:color w:val="000000"/>
          <w:sz w:val="22"/>
          <w:szCs w:val="22"/>
          <w:lang w:val="sr-Latn-ME" w:bidi="en-US"/>
        </w:rPr>
        <w:t>50 m</w:t>
      </w:r>
      <w:r w:rsidR="003A3757" w:rsidRPr="00F85CA6">
        <w:rPr>
          <w:color w:val="000000"/>
          <w:sz w:val="22"/>
          <w:szCs w:val="22"/>
          <w:lang w:val="sr-Latn-ME" w:bidi="en-US"/>
        </w:rPr>
        <w:t>l</w:t>
      </w:r>
      <w:r w:rsidRPr="00F85CA6">
        <w:rPr>
          <w:color w:val="000000"/>
          <w:sz w:val="22"/>
          <w:szCs w:val="22"/>
          <w:lang w:val="sr-Latn-ME" w:bidi="en-US"/>
        </w:rPr>
        <w:t>/min, prim</w:t>
      </w:r>
      <w:r w:rsidR="00247560" w:rsidRPr="00F85CA6">
        <w:rPr>
          <w:color w:val="000000"/>
          <w:sz w:val="22"/>
          <w:szCs w:val="22"/>
          <w:lang w:val="sr-Latn-ME" w:bidi="en-US"/>
        </w:rPr>
        <w:t>j</w:t>
      </w:r>
      <w:r w:rsidRPr="00F85CA6">
        <w:rPr>
          <w:color w:val="000000"/>
          <w:sz w:val="22"/>
          <w:szCs w:val="22"/>
          <w:lang w:val="sr-Latn-ME" w:bidi="en-US"/>
        </w:rPr>
        <w:t xml:space="preserve">enu VKA treba započeti 3 dana </w:t>
      </w:r>
      <w:r w:rsidR="003E5AF3" w:rsidRPr="00F85CA6">
        <w:rPr>
          <w:color w:val="000000"/>
          <w:sz w:val="22"/>
          <w:szCs w:val="22"/>
          <w:lang w:val="sr-Latn-ME" w:bidi="en-US"/>
        </w:rPr>
        <w:t>prije</w:t>
      </w:r>
      <w:r w:rsidRPr="00F85CA6">
        <w:rPr>
          <w:color w:val="000000"/>
          <w:sz w:val="22"/>
          <w:szCs w:val="22"/>
          <w:lang w:val="sr-Latn-ME" w:bidi="en-US"/>
        </w:rPr>
        <w:t xml:space="preserve"> </w:t>
      </w:r>
      <w:r w:rsidR="003E5AF3" w:rsidRPr="00F85CA6">
        <w:rPr>
          <w:color w:val="000000"/>
          <w:sz w:val="22"/>
          <w:szCs w:val="22"/>
          <w:lang w:val="sr-Latn-ME" w:bidi="en-US"/>
        </w:rPr>
        <w:t>pre</w:t>
      </w:r>
      <w:r w:rsidRPr="00F85CA6">
        <w:rPr>
          <w:color w:val="000000"/>
          <w:sz w:val="22"/>
          <w:szCs w:val="22"/>
          <w:lang w:val="sr-Latn-ME" w:bidi="en-US"/>
        </w:rPr>
        <w:t>kida prim</w:t>
      </w:r>
      <w:r w:rsidR="00247560" w:rsidRPr="00F85CA6">
        <w:rPr>
          <w:color w:val="000000"/>
          <w:sz w:val="22"/>
          <w:szCs w:val="22"/>
          <w:lang w:val="sr-Latn-ME" w:bidi="en-US"/>
        </w:rPr>
        <w:t>j</w:t>
      </w:r>
      <w:r w:rsidRPr="00F85CA6">
        <w:rPr>
          <w:color w:val="000000"/>
          <w:sz w:val="22"/>
          <w:szCs w:val="22"/>
          <w:lang w:val="sr-Latn-ME" w:bidi="en-US"/>
        </w:rPr>
        <w:t>ene dabigatraneteksilata,</w:t>
      </w:r>
    </w:p>
    <w:p w14:paraId="0570F93A" w14:textId="175AA834" w:rsidR="00143607" w:rsidRPr="00F85CA6" w:rsidRDefault="00143607" w:rsidP="00143607">
      <w:pPr>
        <w:widowControl w:val="0"/>
        <w:numPr>
          <w:ilvl w:val="0"/>
          <w:numId w:val="12"/>
        </w:numPr>
        <w:tabs>
          <w:tab w:val="left" w:pos="562"/>
        </w:tabs>
        <w:spacing w:after="160" w:line="259" w:lineRule="auto"/>
        <w:ind w:left="567" w:hanging="567"/>
        <w:contextualSpacing/>
        <w:jc w:val="both"/>
        <w:rPr>
          <w:color w:val="000000"/>
          <w:sz w:val="22"/>
          <w:szCs w:val="22"/>
          <w:lang w:val="sr-Latn-ME" w:bidi="en-US"/>
        </w:rPr>
      </w:pPr>
      <w:r w:rsidRPr="00F85CA6">
        <w:rPr>
          <w:color w:val="000000"/>
          <w:sz w:val="22"/>
          <w:szCs w:val="22"/>
          <w:lang w:val="sr-Latn-ME" w:bidi="en-US"/>
        </w:rPr>
        <w:t>CrCL ≥</w:t>
      </w:r>
      <w:r w:rsidR="003A3757" w:rsidRPr="00F85CA6">
        <w:rPr>
          <w:color w:val="000000"/>
          <w:sz w:val="22"/>
          <w:szCs w:val="22"/>
          <w:lang w:val="sr-Latn-ME" w:bidi="en-US"/>
        </w:rPr>
        <w:t xml:space="preserve"> </w:t>
      </w:r>
      <w:r w:rsidRPr="00F85CA6">
        <w:rPr>
          <w:color w:val="000000"/>
          <w:sz w:val="22"/>
          <w:szCs w:val="22"/>
          <w:lang w:val="sr-Latn-ME" w:bidi="en-US"/>
        </w:rPr>
        <w:t>30</w:t>
      </w:r>
      <w:r w:rsidR="003A3757" w:rsidRPr="00F85CA6">
        <w:rPr>
          <w:color w:val="000000"/>
          <w:sz w:val="22"/>
          <w:szCs w:val="22"/>
          <w:lang w:val="sr-Latn-ME" w:bidi="en-US"/>
        </w:rPr>
        <w:t xml:space="preserve"> </w:t>
      </w:r>
      <w:r w:rsidRPr="00F85CA6">
        <w:rPr>
          <w:color w:val="000000"/>
          <w:sz w:val="22"/>
          <w:szCs w:val="22"/>
          <w:lang w:val="sr-Latn-ME" w:bidi="en-US"/>
        </w:rPr>
        <w:t>&lt;50 m</w:t>
      </w:r>
      <w:r w:rsidR="003A3757" w:rsidRPr="00F85CA6">
        <w:rPr>
          <w:color w:val="000000"/>
          <w:sz w:val="22"/>
          <w:szCs w:val="22"/>
          <w:lang w:val="sr-Latn-ME" w:bidi="en-US"/>
        </w:rPr>
        <w:t>l</w:t>
      </w:r>
      <w:r w:rsidRPr="00F85CA6">
        <w:rPr>
          <w:color w:val="000000"/>
          <w:sz w:val="22"/>
          <w:szCs w:val="22"/>
          <w:lang w:val="sr-Latn-ME" w:bidi="en-US"/>
        </w:rPr>
        <w:t>/min, prim</w:t>
      </w:r>
      <w:r w:rsidR="00247560" w:rsidRPr="00F85CA6">
        <w:rPr>
          <w:color w:val="000000"/>
          <w:sz w:val="22"/>
          <w:szCs w:val="22"/>
          <w:lang w:val="sr-Latn-ME" w:bidi="en-US"/>
        </w:rPr>
        <w:t>j</w:t>
      </w:r>
      <w:r w:rsidRPr="00F85CA6">
        <w:rPr>
          <w:color w:val="000000"/>
          <w:sz w:val="22"/>
          <w:szCs w:val="22"/>
          <w:lang w:val="sr-Latn-ME" w:bidi="en-US"/>
        </w:rPr>
        <w:t xml:space="preserve">enu VKA treba započeti 2 dana </w:t>
      </w:r>
      <w:r w:rsidR="003E5AF3" w:rsidRPr="00F85CA6">
        <w:rPr>
          <w:color w:val="000000"/>
          <w:sz w:val="22"/>
          <w:szCs w:val="22"/>
          <w:lang w:val="sr-Latn-ME" w:bidi="en-US"/>
        </w:rPr>
        <w:t>prije</w:t>
      </w:r>
      <w:r w:rsidRPr="00F85CA6">
        <w:rPr>
          <w:color w:val="000000"/>
          <w:sz w:val="22"/>
          <w:szCs w:val="22"/>
          <w:lang w:val="sr-Latn-ME" w:bidi="en-US"/>
        </w:rPr>
        <w:t xml:space="preserve"> </w:t>
      </w:r>
      <w:r w:rsidR="003E5AF3" w:rsidRPr="00F85CA6">
        <w:rPr>
          <w:color w:val="000000"/>
          <w:sz w:val="22"/>
          <w:szCs w:val="22"/>
          <w:lang w:val="sr-Latn-ME" w:bidi="en-US"/>
        </w:rPr>
        <w:t>pre</w:t>
      </w:r>
      <w:r w:rsidRPr="00F85CA6">
        <w:rPr>
          <w:color w:val="000000"/>
          <w:sz w:val="22"/>
          <w:szCs w:val="22"/>
          <w:lang w:val="sr-Latn-ME" w:bidi="en-US"/>
        </w:rPr>
        <w:t>kida prim</w:t>
      </w:r>
      <w:r w:rsidR="00247560" w:rsidRPr="00F85CA6">
        <w:rPr>
          <w:color w:val="000000"/>
          <w:sz w:val="22"/>
          <w:szCs w:val="22"/>
          <w:lang w:val="sr-Latn-ME" w:bidi="en-US"/>
        </w:rPr>
        <w:t>j</w:t>
      </w:r>
      <w:r w:rsidRPr="00F85CA6">
        <w:rPr>
          <w:color w:val="000000"/>
          <w:sz w:val="22"/>
          <w:szCs w:val="22"/>
          <w:lang w:val="sr-Latn-ME" w:bidi="en-US"/>
        </w:rPr>
        <w:t>ene dabigatraneteksilata.</w:t>
      </w:r>
    </w:p>
    <w:p w14:paraId="5A15EB3A" w14:textId="77777777" w:rsidR="00143607" w:rsidRPr="00F85CA6" w:rsidRDefault="00143607" w:rsidP="00143607">
      <w:pPr>
        <w:jc w:val="both"/>
        <w:rPr>
          <w:rFonts w:eastAsia="Calibri"/>
          <w:sz w:val="22"/>
          <w:szCs w:val="22"/>
          <w:lang w:val="sr-Latn-ME" w:bidi="en-US"/>
        </w:rPr>
      </w:pPr>
    </w:p>
    <w:p w14:paraId="15EE0303" w14:textId="4C684067" w:rsidR="00143607" w:rsidRPr="00F85CA6" w:rsidRDefault="00143607" w:rsidP="00143607">
      <w:pPr>
        <w:jc w:val="both"/>
        <w:rPr>
          <w:rFonts w:eastAsia="Calibri"/>
          <w:sz w:val="22"/>
          <w:szCs w:val="22"/>
          <w:lang w:val="sr-Latn-ME" w:bidi="en-US"/>
        </w:rPr>
      </w:pPr>
      <w:r w:rsidRPr="00F85CA6">
        <w:rPr>
          <w:rFonts w:eastAsia="Calibri"/>
          <w:sz w:val="22"/>
          <w:szCs w:val="22"/>
          <w:lang w:val="sr-Latn-ME" w:bidi="en-US"/>
        </w:rPr>
        <w:t>Zbog toga što dabigatrane</w:t>
      </w:r>
      <w:r w:rsidR="003A3757" w:rsidRPr="00F85CA6">
        <w:rPr>
          <w:rFonts w:eastAsia="Calibri"/>
          <w:sz w:val="22"/>
          <w:szCs w:val="22"/>
          <w:lang w:val="sr-Latn-ME" w:bidi="en-US"/>
        </w:rPr>
        <w:t xml:space="preserve"> </w:t>
      </w:r>
      <w:r w:rsidRPr="00F85CA6">
        <w:rPr>
          <w:rFonts w:eastAsia="Calibri"/>
          <w:sz w:val="22"/>
          <w:szCs w:val="22"/>
          <w:lang w:val="sr-Latn-ME" w:bidi="en-US"/>
        </w:rPr>
        <w:t>teksilat može da utiče na vr</w:t>
      </w:r>
      <w:r w:rsidR="00247560" w:rsidRPr="00F85CA6">
        <w:rPr>
          <w:rFonts w:eastAsia="Calibri"/>
          <w:sz w:val="22"/>
          <w:szCs w:val="22"/>
          <w:lang w:val="sr-Latn-ME" w:bidi="en-US"/>
        </w:rPr>
        <w:t>ij</w:t>
      </w:r>
      <w:r w:rsidRPr="00F85CA6">
        <w:rPr>
          <w:rFonts w:eastAsia="Calibri"/>
          <w:sz w:val="22"/>
          <w:szCs w:val="22"/>
          <w:lang w:val="sr-Latn-ME" w:bidi="en-US"/>
        </w:rPr>
        <w:t xml:space="preserve">ednost internacionalnog normalizovanog odnosa (engl. </w:t>
      </w:r>
      <w:r w:rsidRPr="00F85CA6">
        <w:rPr>
          <w:rFonts w:eastAsia="Calibri"/>
          <w:i/>
          <w:iCs/>
          <w:sz w:val="22"/>
          <w:szCs w:val="22"/>
          <w:lang w:val="sr-Latn-ME" w:bidi="en-US"/>
        </w:rPr>
        <w:t>International Normalised Ratio</w:t>
      </w:r>
      <w:r w:rsidRPr="00F85CA6">
        <w:rPr>
          <w:rFonts w:eastAsia="Calibri"/>
          <w:sz w:val="22"/>
          <w:szCs w:val="22"/>
          <w:lang w:val="sr-Latn-ME" w:bidi="en-US"/>
        </w:rPr>
        <w:t xml:space="preserve">, INR), INR će bolje odražavati dejstvo VKA tek nakon što je prošlo najmanje 2 dana od </w:t>
      </w:r>
      <w:r w:rsidR="003E5AF3" w:rsidRPr="00F85CA6">
        <w:rPr>
          <w:rFonts w:eastAsia="Calibri"/>
          <w:sz w:val="22"/>
          <w:szCs w:val="22"/>
          <w:lang w:val="sr-Latn-ME" w:bidi="en-US"/>
        </w:rPr>
        <w:t>pre</w:t>
      </w:r>
      <w:r w:rsidRPr="00F85CA6">
        <w:rPr>
          <w:rFonts w:eastAsia="Calibri"/>
          <w:sz w:val="22"/>
          <w:szCs w:val="22"/>
          <w:lang w:val="sr-Latn-ME" w:bidi="en-US"/>
        </w:rPr>
        <w:t>kida prim</w:t>
      </w:r>
      <w:r w:rsidR="00247560" w:rsidRPr="00F85CA6">
        <w:rPr>
          <w:rFonts w:eastAsia="Calibri"/>
          <w:sz w:val="22"/>
          <w:szCs w:val="22"/>
          <w:lang w:val="sr-Latn-ME" w:bidi="en-US"/>
        </w:rPr>
        <w:t>j</w:t>
      </w:r>
      <w:r w:rsidRPr="00F85CA6">
        <w:rPr>
          <w:rFonts w:eastAsia="Calibri"/>
          <w:sz w:val="22"/>
          <w:szCs w:val="22"/>
          <w:lang w:val="sr-Latn-ME" w:bidi="en-US"/>
        </w:rPr>
        <w:t>ene dabigatraneteksilata. Do tada, INR vr</w:t>
      </w:r>
      <w:r w:rsidR="00247560" w:rsidRPr="00F85CA6">
        <w:rPr>
          <w:rFonts w:eastAsia="Calibri"/>
          <w:sz w:val="22"/>
          <w:szCs w:val="22"/>
          <w:lang w:val="sr-Latn-ME" w:bidi="en-US"/>
        </w:rPr>
        <w:t>ij</w:t>
      </w:r>
      <w:r w:rsidRPr="00F85CA6">
        <w:rPr>
          <w:rFonts w:eastAsia="Calibri"/>
          <w:sz w:val="22"/>
          <w:szCs w:val="22"/>
          <w:lang w:val="sr-Latn-ME" w:bidi="en-US"/>
        </w:rPr>
        <w:t>ednosti treba inter</w:t>
      </w:r>
      <w:r w:rsidR="003E5AF3" w:rsidRPr="00F85CA6">
        <w:rPr>
          <w:rFonts w:eastAsia="Calibri"/>
          <w:sz w:val="22"/>
          <w:szCs w:val="22"/>
          <w:lang w:val="sr-Latn-ME" w:bidi="en-US"/>
        </w:rPr>
        <w:t>pre</w:t>
      </w:r>
      <w:r w:rsidRPr="00F85CA6">
        <w:rPr>
          <w:rFonts w:eastAsia="Calibri"/>
          <w:sz w:val="22"/>
          <w:szCs w:val="22"/>
          <w:lang w:val="sr-Latn-ME" w:bidi="en-US"/>
        </w:rPr>
        <w:t>tirati sa o</w:t>
      </w:r>
      <w:r w:rsidR="003E5AF3" w:rsidRPr="00F85CA6">
        <w:rPr>
          <w:rFonts w:eastAsia="Calibri"/>
          <w:sz w:val="22"/>
          <w:szCs w:val="22"/>
          <w:lang w:val="sr-Latn-ME" w:bidi="en-US"/>
        </w:rPr>
        <w:t>pre</w:t>
      </w:r>
      <w:r w:rsidRPr="00F85CA6">
        <w:rPr>
          <w:rFonts w:eastAsia="Calibri"/>
          <w:sz w:val="22"/>
          <w:szCs w:val="22"/>
          <w:lang w:val="sr-Latn-ME" w:bidi="en-US"/>
        </w:rPr>
        <w:t>zom.</w:t>
      </w:r>
    </w:p>
    <w:p w14:paraId="66F655FD" w14:textId="77777777" w:rsidR="00143607" w:rsidRPr="00F85CA6" w:rsidRDefault="00143607" w:rsidP="00143607">
      <w:pPr>
        <w:jc w:val="both"/>
        <w:rPr>
          <w:rFonts w:eastAsia="Calibri"/>
          <w:sz w:val="22"/>
          <w:szCs w:val="22"/>
          <w:lang w:val="sr-Latn-ME" w:bidi="en-US"/>
        </w:rPr>
      </w:pPr>
    </w:p>
    <w:p w14:paraId="134DCB31" w14:textId="0C2CF4DB" w:rsidR="00143607" w:rsidRPr="00F85CA6" w:rsidRDefault="003E5AF3" w:rsidP="00143607">
      <w:pPr>
        <w:jc w:val="both"/>
        <w:rPr>
          <w:rFonts w:eastAsia="Calibri"/>
          <w:sz w:val="22"/>
          <w:szCs w:val="22"/>
          <w:lang w:val="sr-Latn-ME" w:bidi="en-US"/>
        </w:rPr>
      </w:pPr>
      <w:r w:rsidRPr="00F85CA6">
        <w:rPr>
          <w:rFonts w:eastAsia="Calibri"/>
          <w:sz w:val="22"/>
          <w:szCs w:val="22"/>
          <w:lang w:val="sr-Latn-ME" w:bidi="en-US"/>
        </w:rPr>
        <w:t>Pre</w:t>
      </w:r>
      <w:r w:rsidR="00143607" w:rsidRPr="00F85CA6">
        <w:rPr>
          <w:rFonts w:eastAsia="Calibri"/>
          <w:sz w:val="22"/>
          <w:szCs w:val="22"/>
          <w:lang w:val="sr-Latn-ME" w:bidi="en-US"/>
        </w:rPr>
        <w:t>lazak sa VKA na dabigatrane</w:t>
      </w:r>
      <w:r w:rsidR="003A3757" w:rsidRPr="00F85CA6">
        <w:rPr>
          <w:rFonts w:eastAsia="Calibri"/>
          <w:sz w:val="22"/>
          <w:szCs w:val="22"/>
          <w:lang w:val="sr-Latn-ME" w:bidi="en-US"/>
        </w:rPr>
        <w:t xml:space="preserve"> </w:t>
      </w:r>
      <w:r w:rsidR="00143607" w:rsidRPr="00F85CA6">
        <w:rPr>
          <w:rFonts w:eastAsia="Calibri"/>
          <w:sz w:val="22"/>
          <w:szCs w:val="22"/>
          <w:lang w:val="sr-Latn-ME" w:bidi="en-US"/>
        </w:rPr>
        <w:t>teksilat:</w:t>
      </w:r>
    </w:p>
    <w:p w14:paraId="2A78C914" w14:textId="096452DB" w:rsidR="00143607" w:rsidRPr="00F85CA6" w:rsidRDefault="00143607" w:rsidP="00143607">
      <w:pPr>
        <w:jc w:val="both"/>
        <w:rPr>
          <w:rFonts w:eastAsia="Calibri"/>
          <w:sz w:val="22"/>
          <w:szCs w:val="22"/>
          <w:lang w:val="sr-Latn-ME" w:bidi="en-US"/>
        </w:rPr>
      </w:pPr>
      <w:r w:rsidRPr="00F85CA6">
        <w:rPr>
          <w:rFonts w:eastAsia="Calibri"/>
          <w:sz w:val="22"/>
          <w:szCs w:val="22"/>
          <w:lang w:val="sr-Latn-ME" w:bidi="en-US"/>
        </w:rPr>
        <w:t>Prim</w:t>
      </w:r>
      <w:r w:rsidR="004A2BBA" w:rsidRPr="00F85CA6">
        <w:rPr>
          <w:rFonts w:eastAsia="Calibri"/>
          <w:sz w:val="22"/>
          <w:szCs w:val="22"/>
          <w:lang w:val="sr-Latn-ME" w:bidi="en-US"/>
        </w:rPr>
        <w:t>j</w:t>
      </w:r>
      <w:r w:rsidRPr="00F85CA6">
        <w:rPr>
          <w:rFonts w:eastAsia="Calibri"/>
          <w:sz w:val="22"/>
          <w:szCs w:val="22"/>
          <w:lang w:val="sr-Latn-ME" w:bidi="en-US"/>
        </w:rPr>
        <w:t xml:space="preserve">enu VKA treba </w:t>
      </w:r>
      <w:r w:rsidR="003E5AF3" w:rsidRPr="00F85CA6">
        <w:rPr>
          <w:rFonts w:eastAsia="Calibri"/>
          <w:sz w:val="22"/>
          <w:szCs w:val="22"/>
          <w:lang w:val="sr-Latn-ME" w:bidi="en-US"/>
        </w:rPr>
        <w:t>pre</w:t>
      </w:r>
      <w:r w:rsidRPr="00F85CA6">
        <w:rPr>
          <w:rFonts w:eastAsia="Calibri"/>
          <w:sz w:val="22"/>
          <w:szCs w:val="22"/>
          <w:lang w:val="sr-Latn-ME" w:bidi="en-US"/>
        </w:rPr>
        <w:t>kinuti. Dabigatrane</w:t>
      </w:r>
      <w:r w:rsidR="003A3757" w:rsidRPr="00F85CA6">
        <w:rPr>
          <w:rFonts w:eastAsia="Calibri"/>
          <w:sz w:val="22"/>
          <w:szCs w:val="22"/>
          <w:lang w:val="sr-Latn-ME" w:bidi="en-US"/>
        </w:rPr>
        <w:t xml:space="preserve"> </w:t>
      </w:r>
      <w:r w:rsidRPr="00F85CA6">
        <w:rPr>
          <w:rFonts w:eastAsia="Calibri"/>
          <w:sz w:val="22"/>
          <w:szCs w:val="22"/>
          <w:lang w:val="sr-Latn-ME" w:bidi="en-US"/>
        </w:rPr>
        <w:t>teksilat se može davati čim INR bude &lt;</w:t>
      </w:r>
      <w:r w:rsidR="003A3757" w:rsidRPr="00F85CA6">
        <w:rPr>
          <w:rFonts w:eastAsia="Calibri"/>
          <w:sz w:val="22"/>
          <w:szCs w:val="22"/>
          <w:lang w:val="sr-Latn-ME" w:bidi="en-US"/>
        </w:rPr>
        <w:t xml:space="preserve"> </w:t>
      </w:r>
      <w:r w:rsidRPr="00F85CA6">
        <w:rPr>
          <w:rFonts w:eastAsia="Calibri"/>
          <w:sz w:val="22"/>
          <w:szCs w:val="22"/>
          <w:lang w:val="sr-Latn-ME" w:bidi="en-US"/>
        </w:rPr>
        <w:t>2,0.</w:t>
      </w:r>
    </w:p>
    <w:p w14:paraId="76C6D988" w14:textId="77777777" w:rsidR="00143607" w:rsidRPr="00F85CA6" w:rsidRDefault="00143607" w:rsidP="00143607">
      <w:pPr>
        <w:jc w:val="both"/>
        <w:rPr>
          <w:rFonts w:eastAsia="Calibri"/>
          <w:i/>
          <w:iCs/>
          <w:sz w:val="22"/>
          <w:szCs w:val="22"/>
          <w:lang w:val="sr-Latn-ME" w:bidi="en-US"/>
        </w:rPr>
      </w:pPr>
    </w:p>
    <w:p w14:paraId="45942B5F" w14:textId="493F2252" w:rsidR="00143607" w:rsidRPr="00F85CA6" w:rsidRDefault="00143607" w:rsidP="00143607">
      <w:pPr>
        <w:jc w:val="both"/>
        <w:rPr>
          <w:rFonts w:eastAsia="Calibri"/>
          <w:sz w:val="22"/>
          <w:szCs w:val="22"/>
          <w:lang w:val="sr-Latn-ME" w:bidi="en-US"/>
        </w:rPr>
      </w:pPr>
      <w:r w:rsidRPr="00F85CA6">
        <w:rPr>
          <w:rFonts w:eastAsia="Calibri"/>
          <w:i/>
          <w:iCs/>
          <w:sz w:val="22"/>
          <w:szCs w:val="22"/>
          <w:u w:val="single"/>
          <w:lang w:val="sr-Latn-ME" w:bidi="en-US"/>
        </w:rPr>
        <w:lastRenderedPageBreak/>
        <w:t>Kardioverzija (</w:t>
      </w:r>
      <w:r w:rsidR="003E5AF3" w:rsidRPr="00F85CA6">
        <w:rPr>
          <w:rFonts w:eastAsia="Calibri"/>
          <w:i/>
          <w:iCs/>
          <w:sz w:val="22"/>
          <w:szCs w:val="22"/>
          <w:u w:val="single"/>
          <w:lang w:val="sr-Latn-ME" w:bidi="en-US"/>
        </w:rPr>
        <w:t>pre</w:t>
      </w:r>
      <w:r w:rsidRPr="00F85CA6">
        <w:rPr>
          <w:rFonts w:eastAsia="Calibri"/>
          <w:i/>
          <w:iCs/>
          <w:sz w:val="22"/>
          <w:szCs w:val="22"/>
          <w:u w:val="single"/>
          <w:lang w:val="sr-Latn-ME" w:bidi="en-US"/>
        </w:rPr>
        <w:t>vencija MU i SE kod AF)</w:t>
      </w:r>
    </w:p>
    <w:p w14:paraId="6050A3D1" w14:textId="77777777" w:rsidR="00143607" w:rsidRPr="00F85CA6" w:rsidRDefault="00143607" w:rsidP="00143607">
      <w:pPr>
        <w:jc w:val="both"/>
        <w:rPr>
          <w:rFonts w:eastAsia="Calibri"/>
          <w:sz w:val="22"/>
          <w:szCs w:val="22"/>
          <w:lang w:val="sr-Latn-ME" w:bidi="en-US"/>
        </w:rPr>
      </w:pPr>
    </w:p>
    <w:p w14:paraId="10A96DA2" w14:textId="5B34618C" w:rsidR="00143607" w:rsidRPr="00F85CA6" w:rsidRDefault="00143607" w:rsidP="00143607">
      <w:pPr>
        <w:jc w:val="both"/>
        <w:rPr>
          <w:rFonts w:eastAsia="Calibri"/>
          <w:sz w:val="22"/>
          <w:szCs w:val="22"/>
          <w:lang w:val="sr-Latn-ME" w:bidi="en-US"/>
        </w:rPr>
      </w:pPr>
      <w:r w:rsidRPr="00F85CA6">
        <w:rPr>
          <w:rFonts w:eastAsia="Calibri"/>
          <w:sz w:val="22"/>
          <w:szCs w:val="22"/>
          <w:lang w:val="sr-Latn-ME" w:bidi="en-US"/>
        </w:rPr>
        <w:t>Pacijenti mogu da ostanu na terapiji dabigatrane</w:t>
      </w:r>
      <w:r w:rsidR="003A3757" w:rsidRPr="00F85CA6">
        <w:rPr>
          <w:rFonts w:eastAsia="Calibri"/>
          <w:sz w:val="22"/>
          <w:szCs w:val="22"/>
          <w:lang w:val="sr-Latn-ME" w:bidi="en-US"/>
        </w:rPr>
        <w:t xml:space="preserve"> </w:t>
      </w:r>
      <w:r w:rsidRPr="00F85CA6">
        <w:rPr>
          <w:rFonts w:eastAsia="Calibri"/>
          <w:sz w:val="22"/>
          <w:szCs w:val="22"/>
          <w:lang w:val="sr-Latn-ME" w:bidi="en-US"/>
        </w:rPr>
        <w:t>teksilatom dok su na kardioverziji.</w:t>
      </w:r>
    </w:p>
    <w:p w14:paraId="4EDF981F" w14:textId="77777777" w:rsidR="00143607" w:rsidRPr="00F85CA6" w:rsidRDefault="00143607" w:rsidP="00143607">
      <w:pPr>
        <w:jc w:val="both"/>
        <w:rPr>
          <w:rFonts w:eastAsia="Calibri"/>
          <w:sz w:val="22"/>
          <w:szCs w:val="22"/>
          <w:lang w:val="sr-Latn-ME" w:bidi="en-US"/>
        </w:rPr>
      </w:pPr>
    </w:p>
    <w:p w14:paraId="72DBC6E8" w14:textId="2C3E0E7D" w:rsidR="00143607" w:rsidRPr="00F85CA6" w:rsidRDefault="00143607" w:rsidP="00143607">
      <w:pPr>
        <w:jc w:val="both"/>
        <w:rPr>
          <w:rFonts w:eastAsia="Calibri"/>
          <w:sz w:val="22"/>
          <w:szCs w:val="22"/>
          <w:lang w:val="sr-Latn-ME" w:bidi="en-US"/>
        </w:rPr>
      </w:pPr>
      <w:r w:rsidRPr="00F85CA6">
        <w:rPr>
          <w:rFonts w:eastAsia="Calibri"/>
          <w:i/>
          <w:iCs/>
          <w:sz w:val="22"/>
          <w:szCs w:val="22"/>
          <w:u w:val="single"/>
          <w:lang w:val="sr-Latn-ME" w:bidi="en-US"/>
        </w:rPr>
        <w:t>Kateterska ablacija zbog atrijalne fibrilacije (</w:t>
      </w:r>
      <w:r w:rsidR="003E5AF3" w:rsidRPr="00F85CA6">
        <w:rPr>
          <w:rFonts w:eastAsia="Calibri"/>
          <w:i/>
          <w:iCs/>
          <w:sz w:val="22"/>
          <w:szCs w:val="22"/>
          <w:u w:val="single"/>
          <w:lang w:val="sr-Latn-ME" w:bidi="en-US"/>
        </w:rPr>
        <w:t>pre</w:t>
      </w:r>
      <w:r w:rsidRPr="00F85CA6">
        <w:rPr>
          <w:rFonts w:eastAsia="Calibri"/>
          <w:i/>
          <w:iCs/>
          <w:sz w:val="22"/>
          <w:szCs w:val="22"/>
          <w:u w:val="single"/>
          <w:lang w:val="sr-Latn-ME" w:bidi="en-US"/>
        </w:rPr>
        <w:t>vencija MU i SE kod AF)</w:t>
      </w:r>
    </w:p>
    <w:p w14:paraId="746AB6D4" w14:textId="77777777" w:rsidR="00143607" w:rsidRPr="00F85CA6" w:rsidRDefault="00143607" w:rsidP="00143607">
      <w:pPr>
        <w:jc w:val="both"/>
        <w:rPr>
          <w:rFonts w:eastAsia="Calibri"/>
          <w:sz w:val="22"/>
          <w:szCs w:val="22"/>
          <w:lang w:val="sr-Latn-ME" w:bidi="en-US"/>
        </w:rPr>
      </w:pPr>
    </w:p>
    <w:p w14:paraId="3CF4C94B" w14:textId="275FA3F6" w:rsidR="00143607" w:rsidRPr="00F85CA6" w:rsidRDefault="00143607" w:rsidP="00143607">
      <w:pPr>
        <w:jc w:val="both"/>
        <w:rPr>
          <w:rFonts w:eastAsia="Calibri"/>
          <w:sz w:val="22"/>
          <w:szCs w:val="22"/>
          <w:lang w:val="sr-Latn-ME"/>
        </w:rPr>
      </w:pPr>
      <w:r w:rsidRPr="00F85CA6">
        <w:rPr>
          <w:rFonts w:eastAsia="Calibri"/>
          <w:sz w:val="22"/>
          <w:szCs w:val="22"/>
          <w:lang w:val="sr-Latn-ME"/>
        </w:rPr>
        <w:t>Nema dostupnih podataka za prim</w:t>
      </w:r>
      <w:r w:rsidR="004A2BBA" w:rsidRPr="00F85CA6">
        <w:rPr>
          <w:rFonts w:eastAsia="Calibri"/>
          <w:sz w:val="22"/>
          <w:szCs w:val="22"/>
          <w:lang w:val="sr-Latn-ME"/>
        </w:rPr>
        <w:t>j</w:t>
      </w:r>
      <w:r w:rsidRPr="00F85CA6">
        <w:rPr>
          <w:rFonts w:eastAsia="Calibri"/>
          <w:sz w:val="22"/>
          <w:szCs w:val="22"/>
          <w:lang w:val="sr-Latn-ME"/>
        </w:rPr>
        <w:t>enu 110 mg dabigatraneteksilata dva puta dnevno.</w:t>
      </w:r>
    </w:p>
    <w:p w14:paraId="15DB19D7" w14:textId="77777777" w:rsidR="00143607" w:rsidRPr="00F85CA6" w:rsidRDefault="00143607" w:rsidP="00143607">
      <w:pPr>
        <w:jc w:val="both"/>
        <w:rPr>
          <w:rFonts w:eastAsia="Calibri"/>
          <w:sz w:val="22"/>
          <w:szCs w:val="22"/>
          <w:lang w:val="sr-Latn-ME" w:bidi="en-US"/>
        </w:rPr>
      </w:pPr>
    </w:p>
    <w:p w14:paraId="117B0D8C" w14:textId="0BCD184E" w:rsidR="00143607" w:rsidRPr="00F85CA6" w:rsidRDefault="00143607" w:rsidP="00143607">
      <w:pPr>
        <w:jc w:val="both"/>
        <w:rPr>
          <w:rFonts w:eastAsia="Calibri"/>
          <w:i/>
          <w:iCs/>
          <w:sz w:val="22"/>
          <w:szCs w:val="22"/>
          <w:u w:val="single"/>
          <w:lang w:val="sr-Latn-ME" w:bidi="en-US"/>
        </w:rPr>
      </w:pPr>
      <w:r w:rsidRPr="00F85CA6">
        <w:rPr>
          <w:rFonts w:eastAsia="Calibri"/>
          <w:i/>
          <w:iCs/>
          <w:sz w:val="22"/>
          <w:szCs w:val="22"/>
          <w:u w:val="single"/>
          <w:lang w:val="sr-Latn-ME" w:bidi="en-US"/>
        </w:rPr>
        <w:t>Perkutana koronarna intervencija (</w:t>
      </w:r>
      <w:bookmarkStart w:id="4" w:name="_Hlk83031433"/>
      <w:r w:rsidRPr="00F85CA6">
        <w:rPr>
          <w:rFonts w:eastAsia="Calibri"/>
          <w:i/>
          <w:iCs/>
          <w:sz w:val="22"/>
          <w:szCs w:val="22"/>
          <w:u w:val="single"/>
          <w:lang w:val="sr-Latn-ME" w:bidi="en-US"/>
        </w:rPr>
        <w:t>engl. percutaneous coronary intervention</w:t>
      </w:r>
      <w:bookmarkEnd w:id="4"/>
      <w:r w:rsidRPr="00F85CA6">
        <w:rPr>
          <w:rFonts w:eastAsia="Calibri"/>
          <w:i/>
          <w:iCs/>
          <w:sz w:val="22"/>
          <w:szCs w:val="22"/>
          <w:u w:val="single"/>
          <w:lang w:val="sr-Latn-ME" w:bidi="en-US"/>
        </w:rPr>
        <w:t>, PCI) sa ugradnjom stenta (</w:t>
      </w:r>
      <w:r w:rsidR="003E5AF3" w:rsidRPr="00F85CA6">
        <w:rPr>
          <w:rFonts w:eastAsia="Calibri"/>
          <w:i/>
          <w:iCs/>
          <w:sz w:val="22"/>
          <w:szCs w:val="22"/>
          <w:u w:val="single"/>
          <w:lang w:val="sr-Latn-ME" w:bidi="en-US"/>
        </w:rPr>
        <w:t>pre</w:t>
      </w:r>
      <w:r w:rsidRPr="00F85CA6">
        <w:rPr>
          <w:rFonts w:eastAsia="Calibri"/>
          <w:i/>
          <w:iCs/>
          <w:sz w:val="22"/>
          <w:szCs w:val="22"/>
          <w:u w:val="single"/>
          <w:lang w:val="sr-Latn-ME" w:bidi="en-US"/>
        </w:rPr>
        <w:t>vencija MU i SE kod AF)</w:t>
      </w:r>
    </w:p>
    <w:p w14:paraId="38C36F6E" w14:textId="77777777" w:rsidR="00143607" w:rsidRPr="00F85CA6" w:rsidRDefault="00143607" w:rsidP="00143607">
      <w:pPr>
        <w:jc w:val="both"/>
        <w:rPr>
          <w:rFonts w:eastAsia="Calibri"/>
          <w:sz w:val="22"/>
          <w:szCs w:val="22"/>
          <w:lang w:val="sr-Latn-ME" w:bidi="en-US"/>
        </w:rPr>
      </w:pPr>
    </w:p>
    <w:p w14:paraId="3C9691F3" w14:textId="1B2876C9" w:rsidR="00143607" w:rsidRPr="00F85CA6" w:rsidRDefault="00143607" w:rsidP="00143607">
      <w:pPr>
        <w:jc w:val="both"/>
        <w:rPr>
          <w:rFonts w:eastAsia="Calibri"/>
          <w:sz w:val="22"/>
          <w:szCs w:val="22"/>
          <w:lang w:val="sr-Latn-ME" w:bidi="en-US"/>
        </w:rPr>
      </w:pPr>
      <w:r w:rsidRPr="00F85CA6">
        <w:rPr>
          <w:rFonts w:eastAsia="Calibri"/>
          <w:sz w:val="22"/>
          <w:szCs w:val="22"/>
          <w:lang w:val="sr-Latn-ME" w:bidi="en-US"/>
        </w:rPr>
        <w:t xml:space="preserve">Pacijenti sa nevalvularnom atrijalnom fibrilacijom koji se podvrgavaju PCI postupku sa ugradnjom stenta mogu </w:t>
      </w:r>
      <w:r w:rsidR="003A3757" w:rsidRPr="00F85CA6">
        <w:rPr>
          <w:rFonts w:eastAsia="Calibri"/>
          <w:sz w:val="22"/>
          <w:szCs w:val="22"/>
          <w:lang w:val="sr-Latn-ME" w:bidi="en-US"/>
        </w:rPr>
        <w:t>se</w:t>
      </w:r>
      <w:r w:rsidRPr="00F85CA6">
        <w:rPr>
          <w:rFonts w:eastAsia="Calibri"/>
          <w:sz w:val="22"/>
          <w:szCs w:val="22"/>
          <w:lang w:val="sr-Latn-ME" w:bidi="en-US"/>
        </w:rPr>
        <w:t xml:space="preserve"> l</w:t>
      </w:r>
      <w:r w:rsidR="00FC0ECE" w:rsidRPr="00F85CA6">
        <w:rPr>
          <w:rFonts w:eastAsia="Calibri"/>
          <w:sz w:val="22"/>
          <w:szCs w:val="22"/>
          <w:lang w:val="sr-Latn-ME" w:bidi="en-US"/>
        </w:rPr>
        <w:t>ij</w:t>
      </w:r>
      <w:r w:rsidRPr="00F85CA6">
        <w:rPr>
          <w:rFonts w:eastAsia="Calibri"/>
          <w:sz w:val="22"/>
          <w:szCs w:val="22"/>
          <w:lang w:val="sr-Latn-ME" w:bidi="en-US"/>
        </w:rPr>
        <w:t>eč</w:t>
      </w:r>
      <w:r w:rsidR="003A3757" w:rsidRPr="00F85CA6">
        <w:rPr>
          <w:rFonts w:eastAsia="Calibri"/>
          <w:sz w:val="22"/>
          <w:szCs w:val="22"/>
          <w:lang w:val="sr-Latn-ME" w:bidi="en-US"/>
        </w:rPr>
        <w:t>iti</w:t>
      </w:r>
      <w:r w:rsidRPr="00F85CA6">
        <w:rPr>
          <w:rFonts w:eastAsia="Calibri"/>
          <w:sz w:val="22"/>
          <w:szCs w:val="22"/>
          <w:lang w:val="sr-Latn-ME" w:bidi="en-US"/>
        </w:rPr>
        <w:t xml:space="preserve"> dabigatrane</w:t>
      </w:r>
      <w:r w:rsidR="003A3757" w:rsidRPr="00F85CA6">
        <w:rPr>
          <w:rFonts w:eastAsia="Calibri"/>
          <w:sz w:val="22"/>
          <w:szCs w:val="22"/>
          <w:lang w:val="sr-Latn-ME" w:bidi="en-US"/>
        </w:rPr>
        <w:t xml:space="preserve"> </w:t>
      </w:r>
      <w:r w:rsidRPr="00F85CA6">
        <w:rPr>
          <w:rFonts w:eastAsia="Calibri"/>
          <w:sz w:val="22"/>
          <w:szCs w:val="22"/>
          <w:lang w:val="sr-Latn-ME" w:bidi="en-US"/>
        </w:rPr>
        <w:t xml:space="preserve">teksilatom u kombinaciji sa antitrombocitnim </w:t>
      </w:r>
      <w:r w:rsidR="003E5AF3" w:rsidRPr="00F85CA6">
        <w:rPr>
          <w:rFonts w:eastAsia="Calibri"/>
          <w:sz w:val="22"/>
          <w:szCs w:val="22"/>
          <w:lang w:val="sr-Latn-ME" w:bidi="en-US"/>
        </w:rPr>
        <w:t>l</w:t>
      </w:r>
      <w:r w:rsidR="00765285" w:rsidRPr="00F85CA6">
        <w:rPr>
          <w:rFonts w:eastAsia="Calibri"/>
          <w:sz w:val="22"/>
          <w:szCs w:val="22"/>
          <w:lang w:val="sr-Latn-ME" w:bidi="en-US"/>
        </w:rPr>
        <w:t>j</w:t>
      </w:r>
      <w:r w:rsidR="003E5AF3" w:rsidRPr="00F85CA6">
        <w:rPr>
          <w:rFonts w:eastAsia="Calibri"/>
          <w:sz w:val="22"/>
          <w:szCs w:val="22"/>
          <w:lang w:val="sr-Latn-ME" w:bidi="en-US"/>
        </w:rPr>
        <w:t>ek</w:t>
      </w:r>
      <w:r w:rsidRPr="00F85CA6">
        <w:rPr>
          <w:rFonts w:eastAsia="Calibri"/>
          <w:sz w:val="22"/>
          <w:szCs w:val="22"/>
          <w:lang w:val="sr-Latn-ME" w:bidi="en-US"/>
        </w:rPr>
        <w:t>ovima nakon što se postigne hemostaza (</w:t>
      </w:r>
      <w:r w:rsidR="003E5AF3" w:rsidRPr="00F85CA6">
        <w:rPr>
          <w:rFonts w:eastAsia="Calibri"/>
          <w:sz w:val="22"/>
          <w:szCs w:val="22"/>
          <w:lang w:val="sr-Latn-ME" w:bidi="en-US"/>
        </w:rPr>
        <w:t>vidjeti</w:t>
      </w:r>
      <w:r w:rsidRPr="00F85CA6">
        <w:rPr>
          <w:rFonts w:eastAsia="Calibri"/>
          <w:sz w:val="22"/>
          <w:szCs w:val="22"/>
          <w:lang w:val="sr-Latn-ME" w:bidi="en-US"/>
        </w:rPr>
        <w:t xml:space="preserve"> </w:t>
      </w:r>
      <w:r w:rsidR="00C96D78" w:rsidRPr="00F85CA6">
        <w:rPr>
          <w:rFonts w:eastAsia="Calibri"/>
          <w:sz w:val="22"/>
          <w:szCs w:val="22"/>
          <w:lang w:val="sr-Latn-ME" w:bidi="en-US"/>
        </w:rPr>
        <w:t>dio</w:t>
      </w:r>
      <w:r w:rsidRPr="00F85CA6">
        <w:rPr>
          <w:rFonts w:eastAsia="Calibri"/>
          <w:sz w:val="22"/>
          <w:szCs w:val="22"/>
          <w:lang w:val="sr-Latn-ME" w:bidi="en-US"/>
        </w:rPr>
        <w:t xml:space="preserve"> 5.1).</w:t>
      </w:r>
    </w:p>
    <w:p w14:paraId="7769D996" w14:textId="77777777" w:rsidR="00143607" w:rsidRPr="00F85CA6" w:rsidRDefault="00143607" w:rsidP="00143607">
      <w:pPr>
        <w:jc w:val="both"/>
        <w:rPr>
          <w:rFonts w:eastAsia="Calibri"/>
          <w:sz w:val="22"/>
          <w:szCs w:val="22"/>
          <w:lang w:val="sr-Latn-ME" w:bidi="en-US"/>
        </w:rPr>
      </w:pPr>
    </w:p>
    <w:p w14:paraId="32CD462E" w14:textId="77777777" w:rsidR="00143607" w:rsidRPr="00F85CA6" w:rsidRDefault="00143607" w:rsidP="00143607">
      <w:pPr>
        <w:jc w:val="both"/>
        <w:rPr>
          <w:rFonts w:eastAsia="Calibri"/>
          <w:i/>
          <w:iCs/>
          <w:sz w:val="22"/>
          <w:szCs w:val="22"/>
          <w:u w:val="single"/>
          <w:lang w:val="sr-Latn-ME" w:bidi="en-US"/>
        </w:rPr>
      </w:pPr>
      <w:r w:rsidRPr="00F85CA6">
        <w:rPr>
          <w:rFonts w:eastAsia="Calibri"/>
          <w:i/>
          <w:iCs/>
          <w:sz w:val="22"/>
          <w:szCs w:val="22"/>
          <w:u w:val="single"/>
          <w:lang w:val="sr-Latn-ME" w:bidi="en-US"/>
        </w:rPr>
        <w:t>Posebne populacije</w:t>
      </w:r>
    </w:p>
    <w:p w14:paraId="080A21C4" w14:textId="77777777" w:rsidR="00143607" w:rsidRPr="00F85CA6" w:rsidRDefault="00143607" w:rsidP="00143607">
      <w:pPr>
        <w:jc w:val="both"/>
        <w:rPr>
          <w:rFonts w:eastAsia="Calibri"/>
          <w:sz w:val="22"/>
          <w:szCs w:val="22"/>
          <w:lang w:val="sr-Latn-ME" w:bidi="en-US"/>
        </w:rPr>
      </w:pPr>
    </w:p>
    <w:p w14:paraId="1F4D1054" w14:textId="7A61B86F" w:rsidR="00143607" w:rsidRPr="00F85CA6" w:rsidRDefault="00143607" w:rsidP="00143607">
      <w:pPr>
        <w:jc w:val="both"/>
        <w:rPr>
          <w:rFonts w:eastAsia="Calibri"/>
          <w:sz w:val="22"/>
          <w:szCs w:val="22"/>
          <w:lang w:val="sr-Latn-ME" w:bidi="en-US"/>
        </w:rPr>
      </w:pPr>
      <w:r w:rsidRPr="00F85CA6">
        <w:rPr>
          <w:rFonts w:eastAsia="Calibri"/>
          <w:i/>
          <w:iCs/>
          <w:sz w:val="22"/>
          <w:szCs w:val="22"/>
          <w:lang w:val="sr-Latn-ME" w:bidi="en-US"/>
        </w:rPr>
        <w:t>Stariji pacijenti</w:t>
      </w:r>
    </w:p>
    <w:p w14:paraId="6A782527" w14:textId="600F1842" w:rsidR="00143607" w:rsidRPr="00F85CA6" w:rsidRDefault="00143607" w:rsidP="00143607">
      <w:pPr>
        <w:jc w:val="both"/>
        <w:rPr>
          <w:rFonts w:eastAsia="Calibri"/>
          <w:sz w:val="22"/>
          <w:szCs w:val="22"/>
          <w:lang w:val="sr-Latn-ME" w:bidi="en-US"/>
        </w:rPr>
      </w:pPr>
      <w:r w:rsidRPr="00F85CA6">
        <w:rPr>
          <w:rFonts w:eastAsia="Calibri"/>
          <w:sz w:val="22"/>
          <w:szCs w:val="22"/>
          <w:lang w:val="sr-Latn-ME" w:bidi="en-US"/>
        </w:rPr>
        <w:t xml:space="preserve">Za modifikaciju doze u ovoj populaciji, </w:t>
      </w:r>
      <w:r w:rsidR="003E5AF3" w:rsidRPr="00F85CA6">
        <w:rPr>
          <w:rFonts w:eastAsia="Calibri"/>
          <w:sz w:val="22"/>
          <w:szCs w:val="22"/>
          <w:lang w:val="sr-Latn-ME" w:bidi="en-US"/>
        </w:rPr>
        <w:t>vidjeti</w:t>
      </w:r>
      <w:r w:rsidRPr="00F85CA6">
        <w:rPr>
          <w:rFonts w:eastAsia="Calibri"/>
          <w:sz w:val="22"/>
          <w:szCs w:val="22"/>
          <w:lang w:val="sr-Latn-ME" w:bidi="en-US"/>
        </w:rPr>
        <w:t xml:space="preserve"> tabelu 2 iznad.</w:t>
      </w:r>
    </w:p>
    <w:p w14:paraId="1E3643AE" w14:textId="77777777" w:rsidR="00143607" w:rsidRPr="00F85CA6" w:rsidRDefault="00143607" w:rsidP="00143607">
      <w:pPr>
        <w:jc w:val="both"/>
        <w:rPr>
          <w:rFonts w:eastAsia="Calibri"/>
          <w:sz w:val="22"/>
          <w:szCs w:val="22"/>
          <w:lang w:val="sr-Latn-ME" w:bidi="en-US"/>
        </w:rPr>
      </w:pPr>
    </w:p>
    <w:p w14:paraId="7E98DBC5" w14:textId="11ED7C1A" w:rsidR="00143607" w:rsidRPr="00F85CA6" w:rsidRDefault="00143607" w:rsidP="00143607">
      <w:pPr>
        <w:jc w:val="both"/>
        <w:rPr>
          <w:rFonts w:eastAsia="Calibri"/>
          <w:sz w:val="22"/>
          <w:szCs w:val="22"/>
          <w:lang w:val="sr-Latn-ME" w:bidi="en-US"/>
        </w:rPr>
      </w:pPr>
      <w:r w:rsidRPr="00F85CA6">
        <w:rPr>
          <w:rFonts w:eastAsia="Calibri"/>
          <w:i/>
          <w:iCs/>
          <w:sz w:val="22"/>
          <w:szCs w:val="22"/>
          <w:lang w:val="sr-Latn-ME" w:bidi="en-US"/>
        </w:rPr>
        <w:t>Pacijenti pod rizikom od krvarenja</w:t>
      </w:r>
    </w:p>
    <w:p w14:paraId="4934130C" w14:textId="3C9BAA82" w:rsidR="00143607" w:rsidRPr="00F85CA6" w:rsidRDefault="00143607" w:rsidP="00143607">
      <w:pPr>
        <w:jc w:val="both"/>
        <w:rPr>
          <w:rFonts w:eastAsia="Calibri"/>
          <w:sz w:val="22"/>
          <w:szCs w:val="22"/>
          <w:lang w:val="sr-Latn-ME" w:bidi="en-US"/>
        </w:rPr>
      </w:pPr>
      <w:r w:rsidRPr="00F85CA6">
        <w:rPr>
          <w:rFonts w:eastAsia="Calibri"/>
          <w:sz w:val="22"/>
          <w:szCs w:val="22"/>
          <w:lang w:val="sr-Latn-ME" w:bidi="en-US"/>
        </w:rPr>
        <w:t>Pacijenti sa povećanim rizikom od krvarenja (</w:t>
      </w:r>
      <w:r w:rsidR="003E5AF3" w:rsidRPr="00F85CA6">
        <w:rPr>
          <w:rFonts w:eastAsia="Calibri"/>
          <w:sz w:val="22"/>
          <w:szCs w:val="22"/>
          <w:lang w:val="sr-Latn-ME" w:bidi="en-US"/>
        </w:rPr>
        <w:t>vidjeti</w:t>
      </w:r>
      <w:r w:rsidRPr="00F85CA6">
        <w:rPr>
          <w:rFonts w:eastAsia="Calibri"/>
          <w:sz w:val="22"/>
          <w:szCs w:val="22"/>
          <w:lang w:val="sr-Latn-ME" w:bidi="en-US"/>
        </w:rPr>
        <w:t xml:space="preserve"> </w:t>
      </w:r>
      <w:r w:rsidR="00C96D78" w:rsidRPr="00F85CA6">
        <w:rPr>
          <w:rFonts w:eastAsia="Calibri"/>
          <w:sz w:val="22"/>
          <w:szCs w:val="22"/>
          <w:lang w:val="sr-Latn-ME" w:bidi="en-US"/>
        </w:rPr>
        <w:t>djelove</w:t>
      </w:r>
      <w:r w:rsidRPr="00F85CA6">
        <w:rPr>
          <w:rFonts w:eastAsia="Calibri"/>
          <w:sz w:val="22"/>
          <w:szCs w:val="22"/>
          <w:lang w:val="sr-Latn-ME" w:bidi="en-US"/>
        </w:rPr>
        <w:t xml:space="preserve"> 4.4, 4.5, 5.1 i 5.2) treba da budu klinički pažljivo praćeni (tražeći znakove krvarenja ili anemije). Odluku o prilagođavanju doze donosi </w:t>
      </w:r>
      <w:r w:rsidR="003E5AF3" w:rsidRPr="00F85CA6">
        <w:rPr>
          <w:rFonts w:eastAsia="Calibri"/>
          <w:sz w:val="22"/>
          <w:szCs w:val="22"/>
          <w:lang w:val="sr-Latn-ME" w:bidi="en-US"/>
        </w:rPr>
        <w:t>ljek</w:t>
      </w:r>
      <w:r w:rsidRPr="00F85CA6">
        <w:rPr>
          <w:rFonts w:eastAsia="Calibri"/>
          <w:sz w:val="22"/>
          <w:szCs w:val="22"/>
          <w:lang w:val="sr-Latn-ME" w:bidi="en-US"/>
        </w:rPr>
        <w:t>ar, nakon proc</w:t>
      </w:r>
      <w:r w:rsidR="00765285" w:rsidRPr="00F85CA6">
        <w:rPr>
          <w:rFonts w:eastAsia="Calibri"/>
          <w:sz w:val="22"/>
          <w:szCs w:val="22"/>
          <w:lang w:val="sr-Latn-ME" w:bidi="en-US"/>
        </w:rPr>
        <w:t>j</w:t>
      </w:r>
      <w:r w:rsidRPr="00F85CA6">
        <w:rPr>
          <w:rFonts w:eastAsia="Calibri"/>
          <w:sz w:val="22"/>
          <w:szCs w:val="22"/>
          <w:lang w:val="sr-Latn-ME" w:bidi="en-US"/>
        </w:rPr>
        <w:t>ene potencijalne koristi i rizika za svakog pojedinačnog pacijenta (</w:t>
      </w:r>
      <w:r w:rsidR="003E5AF3" w:rsidRPr="00F85CA6">
        <w:rPr>
          <w:rFonts w:eastAsia="Calibri"/>
          <w:sz w:val="22"/>
          <w:szCs w:val="22"/>
          <w:lang w:val="sr-Latn-ME" w:bidi="en-US"/>
        </w:rPr>
        <w:t>vidjeti</w:t>
      </w:r>
      <w:r w:rsidRPr="00F85CA6">
        <w:rPr>
          <w:rFonts w:eastAsia="Calibri"/>
          <w:sz w:val="22"/>
          <w:szCs w:val="22"/>
          <w:lang w:val="sr-Latn-ME" w:bidi="en-US"/>
        </w:rPr>
        <w:t xml:space="preserve"> tabelu 2 iznad). Test koagulacije (</w:t>
      </w:r>
      <w:r w:rsidR="003E5AF3" w:rsidRPr="00F85CA6">
        <w:rPr>
          <w:rFonts w:eastAsia="Calibri"/>
          <w:sz w:val="22"/>
          <w:szCs w:val="22"/>
          <w:lang w:val="sr-Latn-ME" w:bidi="en-US"/>
        </w:rPr>
        <w:t>vidjeti</w:t>
      </w:r>
      <w:r w:rsidRPr="00F85CA6">
        <w:rPr>
          <w:rFonts w:eastAsia="Calibri"/>
          <w:sz w:val="22"/>
          <w:szCs w:val="22"/>
          <w:lang w:val="sr-Latn-ME" w:bidi="en-US"/>
        </w:rPr>
        <w:t xml:space="preserve"> </w:t>
      </w:r>
      <w:r w:rsidR="00C96D78" w:rsidRPr="00F85CA6">
        <w:rPr>
          <w:rFonts w:eastAsia="Calibri"/>
          <w:sz w:val="22"/>
          <w:szCs w:val="22"/>
          <w:lang w:val="sr-Latn-ME" w:bidi="en-US"/>
        </w:rPr>
        <w:t>dio</w:t>
      </w:r>
      <w:r w:rsidRPr="00F85CA6">
        <w:rPr>
          <w:rFonts w:eastAsia="Calibri"/>
          <w:sz w:val="22"/>
          <w:szCs w:val="22"/>
          <w:lang w:val="sr-Latn-ME" w:bidi="en-US"/>
        </w:rPr>
        <w:t xml:space="preserve"> 4.4) može da pomogne da se </w:t>
      </w:r>
      <w:r w:rsidR="003E5AF3" w:rsidRPr="00F85CA6">
        <w:rPr>
          <w:rFonts w:eastAsia="Calibri"/>
          <w:sz w:val="22"/>
          <w:szCs w:val="22"/>
          <w:lang w:val="sr-Latn-ME" w:bidi="en-US"/>
        </w:rPr>
        <w:t>pre</w:t>
      </w:r>
      <w:r w:rsidRPr="00F85CA6">
        <w:rPr>
          <w:rFonts w:eastAsia="Calibri"/>
          <w:sz w:val="22"/>
          <w:szCs w:val="22"/>
          <w:lang w:val="sr-Latn-ME" w:bidi="en-US"/>
        </w:rPr>
        <w:t xml:space="preserve">poznaju pacijenti sa povećanim rizikom od krvarenja izazvanim </w:t>
      </w:r>
      <w:r w:rsidR="003E5AF3" w:rsidRPr="00F85CA6">
        <w:rPr>
          <w:rFonts w:eastAsia="Calibri"/>
          <w:sz w:val="22"/>
          <w:szCs w:val="22"/>
          <w:lang w:val="sr-Latn-ME" w:bidi="en-US"/>
        </w:rPr>
        <w:t>pre</w:t>
      </w:r>
      <w:r w:rsidRPr="00F85CA6">
        <w:rPr>
          <w:rFonts w:eastAsia="Calibri"/>
          <w:sz w:val="22"/>
          <w:szCs w:val="22"/>
          <w:lang w:val="sr-Latn-ME" w:bidi="en-US"/>
        </w:rPr>
        <w:t xml:space="preserve">velikom izlaganju dabigatranu. Kada se </w:t>
      </w:r>
      <w:r w:rsidR="003E5AF3" w:rsidRPr="00F85CA6">
        <w:rPr>
          <w:rFonts w:eastAsia="Calibri"/>
          <w:sz w:val="22"/>
          <w:szCs w:val="22"/>
          <w:lang w:val="sr-Latn-ME" w:bidi="en-US"/>
        </w:rPr>
        <w:t>pre</w:t>
      </w:r>
      <w:r w:rsidRPr="00F85CA6">
        <w:rPr>
          <w:rFonts w:eastAsia="Calibri"/>
          <w:sz w:val="22"/>
          <w:szCs w:val="22"/>
          <w:lang w:val="sr-Latn-ME" w:bidi="en-US"/>
        </w:rPr>
        <w:t xml:space="preserve">pozna </w:t>
      </w:r>
      <w:r w:rsidR="003E5AF3" w:rsidRPr="00F85CA6">
        <w:rPr>
          <w:rFonts w:eastAsia="Calibri"/>
          <w:sz w:val="22"/>
          <w:szCs w:val="22"/>
          <w:lang w:val="sr-Latn-ME" w:bidi="en-US"/>
        </w:rPr>
        <w:t>pre</w:t>
      </w:r>
      <w:r w:rsidRPr="00F85CA6">
        <w:rPr>
          <w:rFonts w:eastAsia="Calibri"/>
          <w:sz w:val="22"/>
          <w:szCs w:val="22"/>
          <w:lang w:val="sr-Latn-ME" w:bidi="en-US"/>
        </w:rPr>
        <w:t xml:space="preserve">velika izloženost dabigatranu kod pacijenata pod visokim rizikom od krvarenja, </w:t>
      </w:r>
      <w:r w:rsidR="003E5AF3" w:rsidRPr="00F85CA6">
        <w:rPr>
          <w:rFonts w:eastAsia="Calibri"/>
          <w:sz w:val="22"/>
          <w:szCs w:val="22"/>
          <w:lang w:val="sr-Latn-ME" w:bidi="en-US"/>
        </w:rPr>
        <w:t>preporučuje</w:t>
      </w:r>
      <w:r w:rsidRPr="00F85CA6">
        <w:rPr>
          <w:rFonts w:eastAsia="Calibri"/>
          <w:sz w:val="22"/>
          <w:szCs w:val="22"/>
          <w:lang w:val="sr-Latn-ME" w:bidi="en-US"/>
        </w:rPr>
        <w:t xml:space="preserve"> se da se smanjena doza od 220 mg uzima u obliku kapsule od 110 mg dva puta dnevno. Kada se pojavi klinički značajno krvarenje, terapiju treba </w:t>
      </w:r>
      <w:r w:rsidR="003E5AF3" w:rsidRPr="00F85CA6">
        <w:rPr>
          <w:rFonts w:eastAsia="Calibri"/>
          <w:sz w:val="22"/>
          <w:szCs w:val="22"/>
          <w:lang w:val="sr-Latn-ME" w:bidi="en-US"/>
        </w:rPr>
        <w:t>pre</w:t>
      </w:r>
      <w:r w:rsidRPr="00F85CA6">
        <w:rPr>
          <w:rFonts w:eastAsia="Calibri"/>
          <w:sz w:val="22"/>
          <w:szCs w:val="22"/>
          <w:lang w:val="sr-Latn-ME" w:bidi="en-US"/>
        </w:rPr>
        <w:t>kinuti.</w:t>
      </w:r>
    </w:p>
    <w:p w14:paraId="6DCB7E36" w14:textId="77777777" w:rsidR="00143607" w:rsidRPr="00F85CA6" w:rsidRDefault="00143607" w:rsidP="00143607">
      <w:pPr>
        <w:jc w:val="both"/>
        <w:rPr>
          <w:rFonts w:eastAsia="Calibri"/>
          <w:sz w:val="22"/>
          <w:szCs w:val="22"/>
          <w:lang w:val="sr-Latn-ME" w:bidi="en-US"/>
        </w:rPr>
      </w:pPr>
    </w:p>
    <w:p w14:paraId="32B5C911" w14:textId="19BA4998" w:rsidR="00143607" w:rsidRPr="00F85CA6" w:rsidRDefault="00143607" w:rsidP="00143607">
      <w:pPr>
        <w:jc w:val="both"/>
        <w:rPr>
          <w:rFonts w:eastAsia="Calibri"/>
          <w:sz w:val="22"/>
          <w:szCs w:val="22"/>
          <w:lang w:val="sr-Latn-ME" w:bidi="en-US"/>
        </w:rPr>
      </w:pPr>
      <w:r w:rsidRPr="00F85CA6">
        <w:rPr>
          <w:rFonts w:eastAsia="Calibri"/>
          <w:sz w:val="22"/>
          <w:szCs w:val="22"/>
          <w:lang w:val="sr-Latn-ME" w:bidi="en-US"/>
        </w:rPr>
        <w:t>Kod osoba sa gastritisom, ezofagitisom ili gastroezofagealnim refluksom, može se razmotriti smanjenje doze zbog povećanog rizika od obilnog gastrointestinalnog krvarenja (</w:t>
      </w:r>
      <w:r w:rsidR="003E5AF3" w:rsidRPr="00F85CA6">
        <w:rPr>
          <w:rFonts w:eastAsia="Calibri"/>
          <w:sz w:val="22"/>
          <w:szCs w:val="22"/>
          <w:lang w:val="sr-Latn-ME" w:bidi="en-US"/>
        </w:rPr>
        <w:t>vidjeti</w:t>
      </w:r>
      <w:r w:rsidRPr="00F85CA6">
        <w:rPr>
          <w:rFonts w:eastAsia="Calibri"/>
          <w:sz w:val="22"/>
          <w:szCs w:val="22"/>
          <w:lang w:val="sr-Latn-ME" w:bidi="en-US"/>
        </w:rPr>
        <w:t xml:space="preserve"> tabelu 2 iznad i </w:t>
      </w:r>
      <w:r w:rsidR="00C96D78" w:rsidRPr="00F85CA6">
        <w:rPr>
          <w:rFonts w:eastAsia="Calibri"/>
          <w:sz w:val="22"/>
          <w:szCs w:val="22"/>
          <w:lang w:val="sr-Latn-ME" w:bidi="en-US"/>
        </w:rPr>
        <w:t>dio</w:t>
      </w:r>
      <w:r w:rsidRPr="00F85CA6">
        <w:rPr>
          <w:rFonts w:eastAsia="Calibri"/>
          <w:sz w:val="22"/>
          <w:szCs w:val="22"/>
          <w:lang w:val="sr-Latn-ME" w:bidi="en-US"/>
        </w:rPr>
        <w:t xml:space="preserve"> 4.4).</w:t>
      </w:r>
    </w:p>
    <w:p w14:paraId="02EF56F0" w14:textId="77777777" w:rsidR="00143607" w:rsidRPr="00F85CA6" w:rsidRDefault="00143607" w:rsidP="00143607">
      <w:pPr>
        <w:jc w:val="both"/>
        <w:rPr>
          <w:rFonts w:eastAsia="Calibri"/>
          <w:sz w:val="22"/>
          <w:szCs w:val="22"/>
          <w:lang w:val="sr-Latn-ME" w:bidi="en-US"/>
        </w:rPr>
      </w:pPr>
    </w:p>
    <w:p w14:paraId="6016AC51" w14:textId="5EBEBBFF" w:rsidR="00143607" w:rsidRPr="00F85CA6" w:rsidRDefault="00143607" w:rsidP="00143607">
      <w:pPr>
        <w:jc w:val="both"/>
        <w:rPr>
          <w:rFonts w:eastAsia="Calibri"/>
          <w:i/>
          <w:sz w:val="22"/>
          <w:szCs w:val="22"/>
          <w:lang w:val="sr-Latn-ME"/>
        </w:rPr>
      </w:pPr>
      <w:r w:rsidRPr="00F85CA6">
        <w:rPr>
          <w:rFonts w:eastAsia="Calibri"/>
          <w:i/>
          <w:iCs/>
          <w:sz w:val="22"/>
          <w:szCs w:val="22"/>
          <w:lang w:val="sr-Latn-ME"/>
        </w:rPr>
        <w:t xml:space="preserve">Oštećenje funkcije bubrega </w:t>
      </w:r>
    </w:p>
    <w:p w14:paraId="60DD9357" w14:textId="563F1B93" w:rsidR="00143607" w:rsidRPr="00F85CA6" w:rsidRDefault="00143607" w:rsidP="00143607">
      <w:pPr>
        <w:jc w:val="both"/>
        <w:rPr>
          <w:rFonts w:eastAsia="Calibri"/>
          <w:sz w:val="22"/>
          <w:szCs w:val="22"/>
          <w:lang w:val="sr-Latn-ME"/>
        </w:rPr>
      </w:pPr>
      <w:r w:rsidRPr="00F85CA6">
        <w:rPr>
          <w:rFonts w:eastAsia="Calibri"/>
          <w:sz w:val="22"/>
          <w:szCs w:val="22"/>
          <w:lang w:val="sr-Latn-ME"/>
        </w:rPr>
        <w:t>Terapija dabigatrane</w:t>
      </w:r>
      <w:r w:rsidR="003A3757" w:rsidRPr="00F85CA6">
        <w:rPr>
          <w:rFonts w:eastAsia="Calibri"/>
          <w:sz w:val="22"/>
          <w:szCs w:val="22"/>
          <w:lang w:val="sr-Latn-ME"/>
        </w:rPr>
        <w:t xml:space="preserve"> </w:t>
      </w:r>
      <w:r w:rsidRPr="00F85CA6">
        <w:rPr>
          <w:rFonts w:eastAsia="Calibri"/>
          <w:sz w:val="22"/>
          <w:szCs w:val="22"/>
          <w:lang w:val="sr-Latn-ME"/>
        </w:rPr>
        <w:t>teksilatom kod pacijenata sa teškim oštećenjem funkcije bubrega (CrCL &lt;</w:t>
      </w:r>
      <w:r w:rsidR="003A3757" w:rsidRPr="00F85CA6">
        <w:rPr>
          <w:rFonts w:eastAsia="Calibri"/>
          <w:sz w:val="22"/>
          <w:szCs w:val="22"/>
          <w:lang w:val="sr-Latn-ME"/>
        </w:rPr>
        <w:t xml:space="preserve"> </w:t>
      </w:r>
      <w:r w:rsidRPr="00F85CA6">
        <w:rPr>
          <w:rFonts w:eastAsia="Calibri"/>
          <w:sz w:val="22"/>
          <w:szCs w:val="22"/>
          <w:lang w:val="sr-Latn-ME"/>
        </w:rPr>
        <w:t>30 m</w:t>
      </w:r>
      <w:r w:rsidR="003A3757" w:rsidRPr="00F85CA6">
        <w:rPr>
          <w:rFonts w:eastAsia="Calibri"/>
          <w:sz w:val="22"/>
          <w:szCs w:val="22"/>
          <w:lang w:val="sr-Latn-ME"/>
        </w:rPr>
        <w:t>l</w:t>
      </w:r>
      <w:r w:rsidRPr="00F85CA6">
        <w:rPr>
          <w:rFonts w:eastAsia="Calibri"/>
          <w:sz w:val="22"/>
          <w:szCs w:val="22"/>
          <w:lang w:val="sr-Latn-ME"/>
        </w:rPr>
        <w:t>/min) je kontraindikovana (</w:t>
      </w:r>
      <w:r w:rsidR="003E5AF3" w:rsidRPr="00F85CA6">
        <w:rPr>
          <w:rFonts w:eastAsia="Calibri"/>
          <w:sz w:val="22"/>
          <w:szCs w:val="22"/>
          <w:lang w:val="sr-Latn-ME"/>
        </w:rPr>
        <w:t>vidjeti</w:t>
      </w:r>
      <w:r w:rsidRPr="00F85CA6">
        <w:rPr>
          <w:rFonts w:eastAsia="Calibri"/>
          <w:sz w:val="22"/>
          <w:szCs w:val="22"/>
          <w:lang w:val="sr-Latn-ME"/>
        </w:rPr>
        <w:t xml:space="preserve"> </w:t>
      </w:r>
      <w:r w:rsidR="00C96D78" w:rsidRPr="00F85CA6">
        <w:rPr>
          <w:rFonts w:eastAsia="Calibri"/>
          <w:sz w:val="22"/>
          <w:szCs w:val="22"/>
          <w:lang w:val="sr-Latn-ME"/>
        </w:rPr>
        <w:t>dio</w:t>
      </w:r>
      <w:r w:rsidRPr="00F85CA6">
        <w:rPr>
          <w:rFonts w:eastAsia="Calibri"/>
          <w:sz w:val="22"/>
          <w:szCs w:val="22"/>
          <w:lang w:val="sr-Latn-ME"/>
        </w:rPr>
        <w:t xml:space="preserve"> 4.3).</w:t>
      </w:r>
    </w:p>
    <w:p w14:paraId="2F6A4A5F" w14:textId="77777777" w:rsidR="00143607" w:rsidRPr="00F85CA6" w:rsidRDefault="00143607" w:rsidP="00143607">
      <w:pPr>
        <w:jc w:val="both"/>
        <w:rPr>
          <w:rFonts w:eastAsia="Calibri"/>
          <w:sz w:val="22"/>
          <w:szCs w:val="22"/>
          <w:lang w:val="sr-Latn-ME"/>
        </w:rPr>
      </w:pPr>
    </w:p>
    <w:p w14:paraId="1BB3E938" w14:textId="171352AA" w:rsidR="00143607" w:rsidRPr="00F85CA6" w:rsidRDefault="00143607" w:rsidP="00143607">
      <w:pPr>
        <w:jc w:val="both"/>
        <w:rPr>
          <w:rFonts w:eastAsia="Calibri"/>
          <w:sz w:val="22"/>
          <w:szCs w:val="22"/>
          <w:lang w:val="sr-Latn-ME"/>
        </w:rPr>
      </w:pPr>
      <w:r w:rsidRPr="00F85CA6">
        <w:rPr>
          <w:rFonts w:eastAsia="Calibri"/>
          <w:sz w:val="22"/>
          <w:szCs w:val="22"/>
          <w:lang w:val="sr-Latn-ME"/>
        </w:rPr>
        <w:t>Nije potrebno prilagođavanje doze kod pacijenata sa blagim oštećenjem funkcije bubrega (CrCL 50 - ≤</w:t>
      </w:r>
      <w:r w:rsidR="003A3757" w:rsidRPr="00F85CA6">
        <w:rPr>
          <w:rFonts w:eastAsia="Calibri"/>
          <w:sz w:val="22"/>
          <w:szCs w:val="22"/>
          <w:lang w:val="sr-Latn-ME"/>
        </w:rPr>
        <w:t xml:space="preserve"> </w:t>
      </w:r>
      <w:r w:rsidRPr="00F85CA6">
        <w:rPr>
          <w:rFonts w:eastAsia="Calibri"/>
          <w:sz w:val="22"/>
          <w:szCs w:val="22"/>
          <w:lang w:val="sr-Latn-ME"/>
        </w:rPr>
        <w:t>80 m</w:t>
      </w:r>
      <w:r w:rsidR="003A3757" w:rsidRPr="00F85CA6">
        <w:rPr>
          <w:rFonts w:eastAsia="Calibri"/>
          <w:sz w:val="22"/>
          <w:szCs w:val="22"/>
          <w:lang w:val="sr-Latn-ME"/>
        </w:rPr>
        <w:t>l</w:t>
      </w:r>
      <w:r w:rsidRPr="00F85CA6">
        <w:rPr>
          <w:rFonts w:eastAsia="Calibri"/>
          <w:sz w:val="22"/>
          <w:szCs w:val="22"/>
          <w:lang w:val="sr-Latn-ME"/>
        </w:rPr>
        <w:t>/min). Kod pacijenata sa um</w:t>
      </w:r>
      <w:r w:rsidR="00FC0ECE" w:rsidRPr="00F85CA6">
        <w:rPr>
          <w:rFonts w:eastAsia="Calibri"/>
          <w:sz w:val="22"/>
          <w:szCs w:val="22"/>
          <w:lang w:val="sr-Latn-ME"/>
        </w:rPr>
        <w:t>j</w:t>
      </w:r>
      <w:r w:rsidRPr="00F85CA6">
        <w:rPr>
          <w:rFonts w:eastAsia="Calibri"/>
          <w:sz w:val="22"/>
          <w:szCs w:val="22"/>
          <w:lang w:val="sr-Latn-ME"/>
        </w:rPr>
        <w:t>erenim oštećenjem funkcije bubrega (CrCL 30-50 m</w:t>
      </w:r>
      <w:r w:rsidR="003A3757" w:rsidRPr="00F85CA6">
        <w:rPr>
          <w:rFonts w:eastAsia="Calibri"/>
          <w:sz w:val="22"/>
          <w:szCs w:val="22"/>
          <w:lang w:val="sr-Latn-ME"/>
        </w:rPr>
        <w:t>l</w:t>
      </w:r>
      <w:r w:rsidRPr="00F85CA6">
        <w:rPr>
          <w:rFonts w:eastAsia="Calibri"/>
          <w:sz w:val="22"/>
          <w:szCs w:val="22"/>
          <w:lang w:val="sr-Latn-ME"/>
        </w:rPr>
        <w:t xml:space="preserve">/min) </w:t>
      </w:r>
      <w:r w:rsidR="003E5AF3" w:rsidRPr="00F85CA6">
        <w:rPr>
          <w:rFonts w:eastAsia="Calibri"/>
          <w:sz w:val="22"/>
          <w:szCs w:val="22"/>
          <w:lang w:val="sr-Latn-ME"/>
        </w:rPr>
        <w:t>pre</w:t>
      </w:r>
      <w:r w:rsidRPr="00F85CA6">
        <w:rPr>
          <w:rFonts w:eastAsia="Calibri"/>
          <w:sz w:val="22"/>
          <w:szCs w:val="22"/>
          <w:lang w:val="sr-Latn-ME"/>
        </w:rPr>
        <w:t>poručena doza dabigatraneteksilata je takođe 300 mg, u obliku jedne kapsule od 150 mg dva puta dnevno. Međutim, kod pacijenata sa visokim rizikom od krvarenja treba uzeti u obzir mogućnost smanjivanja doze dabigatraneteksilata na 220 mg, u obliku jedne kapsule od 110 mg dva puta dnevno (</w:t>
      </w:r>
      <w:r w:rsidR="003E5AF3" w:rsidRPr="00F85CA6">
        <w:rPr>
          <w:rFonts w:eastAsia="Calibri"/>
          <w:sz w:val="22"/>
          <w:szCs w:val="22"/>
          <w:lang w:val="sr-Latn-ME"/>
        </w:rPr>
        <w:t>vidjeti</w:t>
      </w:r>
      <w:r w:rsidRPr="00F85CA6">
        <w:rPr>
          <w:rFonts w:eastAsia="Calibri"/>
          <w:sz w:val="22"/>
          <w:szCs w:val="22"/>
          <w:lang w:val="sr-Latn-ME"/>
        </w:rPr>
        <w:t xml:space="preserve"> </w:t>
      </w:r>
      <w:r w:rsidR="00C96D78" w:rsidRPr="00F85CA6">
        <w:rPr>
          <w:rFonts w:eastAsia="Calibri"/>
          <w:sz w:val="22"/>
          <w:szCs w:val="22"/>
          <w:lang w:val="sr-Latn-ME"/>
        </w:rPr>
        <w:t>djelove</w:t>
      </w:r>
      <w:r w:rsidRPr="00F85CA6">
        <w:rPr>
          <w:rFonts w:eastAsia="Calibri"/>
          <w:sz w:val="22"/>
          <w:szCs w:val="22"/>
          <w:lang w:val="sr-Latn-ME"/>
        </w:rPr>
        <w:t xml:space="preserve"> 4.4 i 5.2). Kod pacijenata sa oštećenjem funkcije bubrega </w:t>
      </w:r>
      <w:r w:rsidR="003E5AF3" w:rsidRPr="00F85CA6">
        <w:rPr>
          <w:rFonts w:eastAsia="Calibri"/>
          <w:sz w:val="22"/>
          <w:szCs w:val="22"/>
          <w:lang w:val="sr-Latn-ME"/>
        </w:rPr>
        <w:t>preporučuje</w:t>
      </w:r>
      <w:r w:rsidRPr="00F85CA6">
        <w:rPr>
          <w:rFonts w:eastAsia="Calibri"/>
          <w:sz w:val="22"/>
          <w:szCs w:val="22"/>
          <w:lang w:val="sr-Latn-ME"/>
        </w:rPr>
        <w:t xml:space="preserve"> se pažljivo kliničko praćenje.</w:t>
      </w:r>
    </w:p>
    <w:p w14:paraId="6006C07D" w14:textId="77777777" w:rsidR="00143607" w:rsidRPr="00F85CA6" w:rsidRDefault="00143607" w:rsidP="00143607">
      <w:pPr>
        <w:jc w:val="both"/>
        <w:rPr>
          <w:rFonts w:eastAsia="Calibri"/>
          <w:sz w:val="22"/>
          <w:szCs w:val="22"/>
          <w:lang w:val="sr-Latn-ME"/>
        </w:rPr>
      </w:pPr>
    </w:p>
    <w:p w14:paraId="4AAE1C66" w14:textId="5B570505" w:rsidR="00143607" w:rsidRPr="00F85CA6" w:rsidRDefault="00143607" w:rsidP="00143607">
      <w:pPr>
        <w:jc w:val="both"/>
        <w:rPr>
          <w:rFonts w:eastAsia="Calibri"/>
          <w:i/>
          <w:sz w:val="22"/>
          <w:szCs w:val="22"/>
          <w:lang w:val="sr-Latn-ME"/>
        </w:rPr>
      </w:pPr>
      <w:r w:rsidRPr="00F85CA6">
        <w:rPr>
          <w:rFonts w:eastAsia="Calibri"/>
          <w:i/>
          <w:sz w:val="22"/>
          <w:szCs w:val="22"/>
          <w:lang w:val="sr-Latn-ME"/>
        </w:rPr>
        <w:t>Isto</w:t>
      </w:r>
      <w:r w:rsidR="003E5AF3" w:rsidRPr="00F85CA6">
        <w:rPr>
          <w:rFonts w:eastAsia="Calibri"/>
          <w:i/>
          <w:sz w:val="22"/>
          <w:szCs w:val="22"/>
          <w:lang w:val="sr-Latn-ME"/>
        </w:rPr>
        <w:t>vreme</w:t>
      </w:r>
      <w:r w:rsidRPr="00F85CA6">
        <w:rPr>
          <w:rFonts w:eastAsia="Calibri"/>
          <w:i/>
          <w:sz w:val="22"/>
          <w:szCs w:val="22"/>
          <w:lang w:val="sr-Latn-ME"/>
        </w:rPr>
        <w:t xml:space="preserve">na </w:t>
      </w:r>
      <w:r w:rsidR="003E5AF3" w:rsidRPr="00F85CA6">
        <w:rPr>
          <w:rFonts w:eastAsia="Calibri"/>
          <w:i/>
          <w:sz w:val="22"/>
          <w:szCs w:val="22"/>
          <w:lang w:val="sr-Latn-ME"/>
        </w:rPr>
        <w:t>primjena</w:t>
      </w:r>
      <w:r w:rsidRPr="00F85CA6">
        <w:rPr>
          <w:rFonts w:eastAsia="Calibri"/>
          <w:i/>
          <w:sz w:val="22"/>
          <w:szCs w:val="22"/>
          <w:lang w:val="sr-Latn-ME"/>
        </w:rPr>
        <w:t xml:space="preserve"> dabigatraneteksilata sa blagim do um</w:t>
      </w:r>
      <w:r w:rsidR="00FC0ECE" w:rsidRPr="00F85CA6">
        <w:rPr>
          <w:rFonts w:eastAsia="Calibri"/>
          <w:i/>
          <w:sz w:val="22"/>
          <w:szCs w:val="22"/>
          <w:lang w:val="sr-Latn-ME"/>
        </w:rPr>
        <w:t>j</w:t>
      </w:r>
      <w:r w:rsidRPr="00F85CA6">
        <w:rPr>
          <w:rFonts w:eastAsia="Calibri"/>
          <w:i/>
          <w:sz w:val="22"/>
          <w:szCs w:val="22"/>
          <w:lang w:val="sr-Latn-ME"/>
        </w:rPr>
        <w:t xml:space="preserve">erenim inhibitorima P-glikoproteina (P-gp) tj. amjodaronom, hinidinom ili verapamilom </w:t>
      </w:r>
    </w:p>
    <w:p w14:paraId="148455CA" w14:textId="3806651C" w:rsidR="00143607" w:rsidRPr="00F85CA6" w:rsidRDefault="00143607" w:rsidP="00143607">
      <w:pPr>
        <w:jc w:val="both"/>
        <w:rPr>
          <w:rFonts w:eastAsia="Calibri"/>
          <w:sz w:val="22"/>
          <w:szCs w:val="22"/>
          <w:lang w:val="sr-Latn-ME"/>
        </w:rPr>
      </w:pPr>
      <w:r w:rsidRPr="00F85CA6">
        <w:rPr>
          <w:rFonts w:eastAsia="Calibri"/>
          <w:sz w:val="22"/>
          <w:szCs w:val="22"/>
          <w:lang w:val="sr-Latn-ME"/>
        </w:rPr>
        <w:t>Nije potrebno prilagođavanje doze kada se dabigatrane</w:t>
      </w:r>
      <w:r w:rsidR="003A3757" w:rsidRPr="00F85CA6">
        <w:rPr>
          <w:rFonts w:eastAsia="Calibri"/>
          <w:sz w:val="22"/>
          <w:szCs w:val="22"/>
          <w:lang w:val="sr-Latn-ME"/>
        </w:rPr>
        <w:t xml:space="preserve"> </w:t>
      </w:r>
      <w:r w:rsidRPr="00F85CA6">
        <w:rPr>
          <w:rFonts w:eastAsia="Calibri"/>
          <w:sz w:val="22"/>
          <w:szCs w:val="22"/>
          <w:lang w:val="sr-Latn-ME"/>
        </w:rPr>
        <w:t>teksilat uzima isto</w:t>
      </w:r>
      <w:r w:rsidR="003E5AF3" w:rsidRPr="00F85CA6">
        <w:rPr>
          <w:rFonts w:eastAsia="Calibri"/>
          <w:sz w:val="22"/>
          <w:szCs w:val="22"/>
          <w:lang w:val="sr-Latn-ME"/>
        </w:rPr>
        <w:t>vreme</w:t>
      </w:r>
      <w:r w:rsidRPr="00F85CA6">
        <w:rPr>
          <w:rFonts w:eastAsia="Calibri"/>
          <w:sz w:val="22"/>
          <w:szCs w:val="22"/>
          <w:lang w:val="sr-Latn-ME"/>
        </w:rPr>
        <w:t>no sa amjodaronom ili hinidinom (</w:t>
      </w:r>
      <w:r w:rsidR="003E5AF3" w:rsidRPr="00F85CA6">
        <w:rPr>
          <w:rFonts w:eastAsia="Calibri"/>
          <w:sz w:val="22"/>
          <w:szCs w:val="22"/>
          <w:lang w:val="sr-Latn-ME"/>
        </w:rPr>
        <w:t>vidjeti</w:t>
      </w:r>
      <w:r w:rsidRPr="00F85CA6">
        <w:rPr>
          <w:rFonts w:eastAsia="Calibri"/>
          <w:sz w:val="22"/>
          <w:szCs w:val="22"/>
          <w:lang w:val="sr-Latn-ME"/>
        </w:rPr>
        <w:t xml:space="preserve"> </w:t>
      </w:r>
      <w:r w:rsidR="00C96D78" w:rsidRPr="00F85CA6">
        <w:rPr>
          <w:rFonts w:eastAsia="Calibri"/>
          <w:sz w:val="22"/>
          <w:szCs w:val="22"/>
          <w:lang w:val="sr-Latn-ME"/>
        </w:rPr>
        <w:t>djelove</w:t>
      </w:r>
      <w:r w:rsidRPr="00F85CA6">
        <w:rPr>
          <w:rFonts w:eastAsia="Calibri"/>
          <w:sz w:val="22"/>
          <w:szCs w:val="22"/>
          <w:lang w:val="sr-Latn-ME"/>
        </w:rPr>
        <w:t xml:space="preserve"> 4.4, 4.5 i 5.2).</w:t>
      </w:r>
    </w:p>
    <w:p w14:paraId="33DBECF7" w14:textId="77777777" w:rsidR="00143607" w:rsidRPr="00F85CA6" w:rsidRDefault="00143607" w:rsidP="00143607">
      <w:pPr>
        <w:jc w:val="both"/>
        <w:rPr>
          <w:rFonts w:eastAsia="Calibri"/>
          <w:sz w:val="22"/>
          <w:szCs w:val="22"/>
          <w:lang w:val="sr-Latn-ME"/>
        </w:rPr>
      </w:pPr>
    </w:p>
    <w:p w14:paraId="171E9D9E" w14:textId="1C60E25A" w:rsidR="00143607" w:rsidRPr="00F85CA6" w:rsidRDefault="003E5AF3" w:rsidP="00143607">
      <w:pPr>
        <w:jc w:val="both"/>
        <w:rPr>
          <w:rFonts w:eastAsia="Calibri"/>
          <w:sz w:val="22"/>
          <w:szCs w:val="22"/>
          <w:lang w:val="sr-Latn-ME"/>
        </w:rPr>
      </w:pPr>
      <w:r w:rsidRPr="00F85CA6">
        <w:rPr>
          <w:rFonts w:eastAsia="Calibri"/>
          <w:sz w:val="22"/>
          <w:szCs w:val="22"/>
          <w:lang w:val="sr-Latn-ME"/>
        </w:rPr>
        <w:t>Preporučuje</w:t>
      </w:r>
      <w:r w:rsidR="00143607" w:rsidRPr="00F85CA6">
        <w:rPr>
          <w:rFonts w:eastAsia="Calibri"/>
          <w:sz w:val="22"/>
          <w:szCs w:val="22"/>
          <w:lang w:val="sr-Latn-ME"/>
        </w:rPr>
        <w:t xml:space="preserve"> se smanjenje doze kod pacijenata koji isto</w:t>
      </w:r>
      <w:r w:rsidRPr="00F85CA6">
        <w:rPr>
          <w:rFonts w:eastAsia="Calibri"/>
          <w:sz w:val="22"/>
          <w:szCs w:val="22"/>
          <w:lang w:val="sr-Latn-ME"/>
        </w:rPr>
        <w:t>vreme</w:t>
      </w:r>
      <w:r w:rsidR="00143607" w:rsidRPr="00F85CA6">
        <w:rPr>
          <w:rFonts w:eastAsia="Calibri"/>
          <w:sz w:val="22"/>
          <w:szCs w:val="22"/>
          <w:lang w:val="sr-Latn-ME"/>
        </w:rPr>
        <w:t>no primaju i verapamil (</w:t>
      </w:r>
      <w:r w:rsidRPr="00F85CA6">
        <w:rPr>
          <w:rFonts w:eastAsia="Calibri"/>
          <w:sz w:val="22"/>
          <w:szCs w:val="22"/>
          <w:lang w:val="sr-Latn-ME"/>
        </w:rPr>
        <w:t>vidjeti</w:t>
      </w:r>
      <w:r w:rsidR="00143607" w:rsidRPr="00F85CA6">
        <w:rPr>
          <w:rFonts w:eastAsia="Calibri"/>
          <w:sz w:val="22"/>
          <w:szCs w:val="22"/>
          <w:lang w:val="sr-Latn-ME"/>
        </w:rPr>
        <w:t xml:space="preserve"> tabelu 2 iznad i </w:t>
      </w:r>
      <w:r w:rsidR="00C96D78" w:rsidRPr="00F85CA6">
        <w:rPr>
          <w:rFonts w:eastAsia="Calibri"/>
          <w:sz w:val="22"/>
          <w:szCs w:val="22"/>
          <w:lang w:val="sr-Latn-ME"/>
        </w:rPr>
        <w:t>djelove</w:t>
      </w:r>
      <w:r w:rsidR="00143607" w:rsidRPr="00F85CA6">
        <w:rPr>
          <w:rFonts w:eastAsia="Calibri"/>
          <w:sz w:val="22"/>
          <w:szCs w:val="22"/>
          <w:lang w:val="sr-Latn-ME"/>
        </w:rPr>
        <w:t xml:space="preserve"> 4.4 i 4.5). U toj situaciji dabigatrane</w:t>
      </w:r>
      <w:r w:rsidR="003A3757" w:rsidRPr="00F85CA6">
        <w:rPr>
          <w:rFonts w:eastAsia="Calibri"/>
          <w:sz w:val="22"/>
          <w:szCs w:val="22"/>
          <w:lang w:val="sr-Latn-ME"/>
        </w:rPr>
        <w:t xml:space="preserve"> </w:t>
      </w:r>
      <w:r w:rsidR="00143607" w:rsidRPr="00F85CA6">
        <w:rPr>
          <w:rFonts w:eastAsia="Calibri"/>
          <w:sz w:val="22"/>
          <w:szCs w:val="22"/>
          <w:lang w:val="sr-Latn-ME"/>
        </w:rPr>
        <w:t>teksilat i verapamil bi trebalo uzimati isto</w:t>
      </w:r>
      <w:r w:rsidRPr="00F85CA6">
        <w:rPr>
          <w:rFonts w:eastAsia="Calibri"/>
          <w:sz w:val="22"/>
          <w:szCs w:val="22"/>
          <w:lang w:val="sr-Latn-ME"/>
        </w:rPr>
        <w:t>vreme</w:t>
      </w:r>
      <w:r w:rsidR="00143607" w:rsidRPr="00F85CA6">
        <w:rPr>
          <w:rFonts w:eastAsia="Calibri"/>
          <w:sz w:val="22"/>
          <w:szCs w:val="22"/>
          <w:lang w:val="sr-Latn-ME"/>
        </w:rPr>
        <w:t>no.</w:t>
      </w:r>
    </w:p>
    <w:p w14:paraId="0C9180BB" w14:textId="77777777" w:rsidR="00143607" w:rsidRPr="00F85CA6" w:rsidRDefault="00143607" w:rsidP="00143607">
      <w:pPr>
        <w:jc w:val="both"/>
        <w:rPr>
          <w:rFonts w:eastAsia="Calibri"/>
          <w:sz w:val="22"/>
          <w:szCs w:val="22"/>
          <w:lang w:val="sr-Latn-ME"/>
        </w:rPr>
      </w:pPr>
    </w:p>
    <w:p w14:paraId="4F2F3667" w14:textId="346872AC" w:rsidR="00143607" w:rsidRPr="00F85CA6" w:rsidRDefault="00143607" w:rsidP="00143607">
      <w:pPr>
        <w:jc w:val="both"/>
        <w:rPr>
          <w:rFonts w:eastAsia="Calibri"/>
          <w:i/>
          <w:sz w:val="22"/>
          <w:szCs w:val="22"/>
          <w:lang w:val="sr-Latn-ME"/>
        </w:rPr>
      </w:pPr>
      <w:r w:rsidRPr="00F85CA6">
        <w:rPr>
          <w:rFonts w:eastAsia="Calibri"/>
          <w:i/>
          <w:sz w:val="22"/>
          <w:szCs w:val="22"/>
          <w:lang w:val="sr-Latn-ME"/>
        </w:rPr>
        <w:t>T</w:t>
      </w:r>
      <w:r w:rsidR="00C96D78" w:rsidRPr="00F85CA6">
        <w:rPr>
          <w:rFonts w:eastAsia="Calibri"/>
          <w:i/>
          <w:sz w:val="22"/>
          <w:szCs w:val="22"/>
          <w:lang w:val="sr-Latn-ME"/>
        </w:rPr>
        <w:t>j</w:t>
      </w:r>
      <w:r w:rsidRPr="00F85CA6">
        <w:rPr>
          <w:rFonts w:eastAsia="Calibri"/>
          <w:i/>
          <w:sz w:val="22"/>
          <w:szCs w:val="22"/>
          <w:lang w:val="sr-Latn-ME"/>
        </w:rPr>
        <w:t xml:space="preserve">elesna masa </w:t>
      </w:r>
    </w:p>
    <w:p w14:paraId="6146DAD1" w14:textId="0F28117F" w:rsidR="00143607" w:rsidRPr="00F85CA6" w:rsidRDefault="00143607" w:rsidP="00143607">
      <w:pPr>
        <w:jc w:val="both"/>
        <w:rPr>
          <w:rFonts w:eastAsia="Calibri"/>
          <w:sz w:val="22"/>
          <w:szCs w:val="22"/>
          <w:lang w:val="sr-Latn-ME"/>
        </w:rPr>
      </w:pPr>
      <w:r w:rsidRPr="00F85CA6">
        <w:rPr>
          <w:rFonts w:eastAsia="Calibri"/>
          <w:sz w:val="22"/>
          <w:szCs w:val="22"/>
          <w:lang w:val="sr-Latn-ME"/>
        </w:rPr>
        <w:t>Nije potrebno prilagođavanje doze (</w:t>
      </w:r>
      <w:r w:rsidR="003E5AF3" w:rsidRPr="00F85CA6">
        <w:rPr>
          <w:rFonts w:eastAsia="Calibri"/>
          <w:sz w:val="22"/>
          <w:szCs w:val="22"/>
          <w:lang w:val="sr-Latn-ME"/>
        </w:rPr>
        <w:t>vidjeti</w:t>
      </w:r>
      <w:r w:rsidRPr="00F85CA6">
        <w:rPr>
          <w:rFonts w:eastAsia="Calibri"/>
          <w:sz w:val="22"/>
          <w:szCs w:val="22"/>
          <w:lang w:val="sr-Latn-ME"/>
        </w:rPr>
        <w:t xml:space="preserve"> </w:t>
      </w:r>
      <w:r w:rsidR="00C96D78" w:rsidRPr="00F85CA6">
        <w:rPr>
          <w:rFonts w:eastAsia="Calibri"/>
          <w:sz w:val="22"/>
          <w:szCs w:val="22"/>
          <w:lang w:val="sr-Latn-ME"/>
        </w:rPr>
        <w:t>dio</w:t>
      </w:r>
      <w:r w:rsidRPr="00F85CA6">
        <w:rPr>
          <w:rFonts w:eastAsia="Calibri"/>
          <w:sz w:val="22"/>
          <w:szCs w:val="22"/>
          <w:lang w:val="sr-Latn-ME"/>
        </w:rPr>
        <w:t xml:space="preserve"> 5.2), ali se </w:t>
      </w:r>
      <w:r w:rsidR="003E5AF3" w:rsidRPr="00F85CA6">
        <w:rPr>
          <w:rFonts w:eastAsia="Calibri"/>
          <w:sz w:val="22"/>
          <w:szCs w:val="22"/>
          <w:lang w:val="sr-Latn-ME"/>
        </w:rPr>
        <w:t>preporučuje</w:t>
      </w:r>
      <w:r w:rsidRPr="00F85CA6">
        <w:rPr>
          <w:rFonts w:eastAsia="Calibri"/>
          <w:sz w:val="22"/>
          <w:szCs w:val="22"/>
          <w:lang w:val="sr-Latn-ME"/>
        </w:rPr>
        <w:t xml:space="preserve"> pažljivo kliničko praćenje kod pacijenata čija je t</w:t>
      </w:r>
      <w:r w:rsidR="00765285" w:rsidRPr="00F85CA6">
        <w:rPr>
          <w:rFonts w:eastAsia="Calibri"/>
          <w:sz w:val="22"/>
          <w:szCs w:val="22"/>
          <w:lang w:val="sr-Latn-ME"/>
        </w:rPr>
        <w:t>j</w:t>
      </w:r>
      <w:r w:rsidRPr="00F85CA6">
        <w:rPr>
          <w:rFonts w:eastAsia="Calibri"/>
          <w:sz w:val="22"/>
          <w:szCs w:val="22"/>
          <w:lang w:val="sr-Latn-ME"/>
        </w:rPr>
        <w:t>elesna masa &lt;</w:t>
      </w:r>
      <w:r w:rsidR="003A3757" w:rsidRPr="00F85CA6">
        <w:rPr>
          <w:rFonts w:eastAsia="Calibri"/>
          <w:sz w:val="22"/>
          <w:szCs w:val="22"/>
          <w:lang w:val="sr-Latn-ME"/>
        </w:rPr>
        <w:t xml:space="preserve"> </w:t>
      </w:r>
      <w:r w:rsidRPr="00F85CA6">
        <w:rPr>
          <w:rFonts w:eastAsia="Calibri"/>
          <w:sz w:val="22"/>
          <w:szCs w:val="22"/>
          <w:lang w:val="sr-Latn-ME"/>
        </w:rPr>
        <w:t>50 kg (</w:t>
      </w:r>
      <w:r w:rsidR="003E5AF3" w:rsidRPr="00F85CA6">
        <w:rPr>
          <w:rFonts w:eastAsia="Calibri"/>
          <w:sz w:val="22"/>
          <w:szCs w:val="22"/>
          <w:lang w:val="sr-Latn-ME"/>
        </w:rPr>
        <w:t>vidjeti</w:t>
      </w:r>
      <w:r w:rsidRPr="00F85CA6">
        <w:rPr>
          <w:rFonts w:eastAsia="Calibri"/>
          <w:sz w:val="22"/>
          <w:szCs w:val="22"/>
          <w:lang w:val="sr-Latn-ME"/>
        </w:rPr>
        <w:t xml:space="preserve"> </w:t>
      </w:r>
      <w:r w:rsidR="00C96D78" w:rsidRPr="00F85CA6">
        <w:rPr>
          <w:rFonts w:eastAsia="Calibri"/>
          <w:sz w:val="22"/>
          <w:szCs w:val="22"/>
          <w:lang w:val="sr-Latn-ME"/>
        </w:rPr>
        <w:t>dio</w:t>
      </w:r>
      <w:r w:rsidRPr="00F85CA6">
        <w:rPr>
          <w:rFonts w:eastAsia="Calibri"/>
          <w:sz w:val="22"/>
          <w:szCs w:val="22"/>
          <w:lang w:val="sr-Latn-ME"/>
        </w:rPr>
        <w:t xml:space="preserve"> 4.4).</w:t>
      </w:r>
    </w:p>
    <w:p w14:paraId="7645761D" w14:textId="77777777" w:rsidR="00143607" w:rsidRPr="00F85CA6" w:rsidRDefault="00143607" w:rsidP="00143607">
      <w:pPr>
        <w:jc w:val="both"/>
        <w:rPr>
          <w:rFonts w:eastAsia="Calibri"/>
          <w:sz w:val="22"/>
          <w:szCs w:val="22"/>
          <w:lang w:val="sr-Latn-ME"/>
        </w:rPr>
      </w:pPr>
    </w:p>
    <w:p w14:paraId="61D12FD8" w14:textId="77777777" w:rsidR="00143607" w:rsidRPr="00F85CA6" w:rsidRDefault="00143607" w:rsidP="00143607">
      <w:pPr>
        <w:jc w:val="both"/>
        <w:rPr>
          <w:rFonts w:eastAsia="Calibri"/>
          <w:i/>
          <w:sz w:val="22"/>
          <w:szCs w:val="22"/>
          <w:lang w:val="sr-Latn-ME"/>
        </w:rPr>
      </w:pPr>
      <w:r w:rsidRPr="00F85CA6">
        <w:rPr>
          <w:rFonts w:eastAsia="Calibri"/>
          <w:i/>
          <w:sz w:val="22"/>
          <w:szCs w:val="22"/>
          <w:lang w:val="sr-Latn-ME"/>
        </w:rPr>
        <w:lastRenderedPageBreak/>
        <w:t xml:space="preserve">Pol </w:t>
      </w:r>
    </w:p>
    <w:p w14:paraId="7F39E232" w14:textId="2744BF1D" w:rsidR="00143607" w:rsidRPr="00F85CA6" w:rsidRDefault="00143607" w:rsidP="00143607">
      <w:pPr>
        <w:jc w:val="both"/>
        <w:rPr>
          <w:rFonts w:eastAsia="Calibri"/>
          <w:sz w:val="22"/>
          <w:szCs w:val="22"/>
          <w:lang w:val="sr-Latn-ME"/>
        </w:rPr>
      </w:pPr>
      <w:r w:rsidRPr="00F85CA6">
        <w:rPr>
          <w:rFonts w:eastAsia="Calibri"/>
          <w:sz w:val="22"/>
          <w:szCs w:val="22"/>
          <w:lang w:val="sr-Latn-ME"/>
        </w:rPr>
        <w:t>Nije potrebno prilagođavanje doze (</w:t>
      </w:r>
      <w:r w:rsidR="003E5AF3" w:rsidRPr="00F85CA6">
        <w:rPr>
          <w:rFonts w:eastAsia="Calibri"/>
          <w:sz w:val="22"/>
          <w:szCs w:val="22"/>
          <w:lang w:val="sr-Latn-ME"/>
        </w:rPr>
        <w:t>vidjeti</w:t>
      </w:r>
      <w:r w:rsidRPr="00F85CA6">
        <w:rPr>
          <w:rFonts w:eastAsia="Calibri"/>
          <w:sz w:val="22"/>
          <w:szCs w:val="22"/>
          <w:lang w:val="sr-Latn-ME"/>
        </w:rPr>
        <w:t xml:space="preserve"> </w:t>
      </w:r>
      <w:r w:rsidR="00C96D78" w:rsidRPr="00F85CA6">
        <w:rPr>
          <w:rFonts w:eastAsia="Calibri"/>
          <w:sz w:val="22"/>
          <w:szCs w:val="22"/>
          <w:lang w:val="sr-Latn-ME"/>
        </w:rPr>
        <w:t>dio</w:t>
      </w:r>
      <w:r w:rsidRPr="00F85CA6">
        <w:rPr>
          <w:rFonts w:eastAsia="Calibri"/>
          <w:sz w:val="22"/>
          <w:szCs w:val="22"/>
          <w:lang w:val="sr-Latn-ME"/>
        </w:rPr>
        <w:t xml:space="preserve"> 5.2).</w:t>
      </w:r>
    </w:p>
    <w:p w14:paraId="6AA78C87" w14:textId="77777777" w:rsidR="00143607" w:rsidRPr="00F85CA6" w:rsidRDefault="00143607" w:rsidP="00143607">
      <w:pPr>
        <w:jc w:val="both"/>
        <w:rPr>
          <w:rFonts w:eastAsia="Calibri"/>
          <w:sz w:val="22"/>
          <w:szCs w:val="22"/>
          <w:lang w:val="sr-Latn-ME"/>
        </w:rPr>
      </w:pPr>
    </w:p>
    <w:p w14:paraId="439819D3" w14:textId="260412DE" w:rsidR="00143607" w:rsidRPr="00F85CA6" w:rsidRDefault="00143607" w:rsidP="00143607">
      <w:pPr>
        <w:jc w:val="both"/>
        <w:rPr>
          <w:rFonts w:eastAsia="Calibri"/>
          <w:i/>
          <w:iCs/>
          <w:sz w:val="22"/>
          <w:szCs w:val="22"/>
          <w:lang w:val="sr-Latn-ME"/>
        </w:rPr>
      </w:pPr>
      <w:r w:rsidRPr="00F85CA6">
        <w:rPr>
          <w:rFonts w:eastAsia="Calibri"/>
          <w:i/>
          <w:iCs/>
          <w:sz w:val="22"/>
          <w:szCs w:val="22"/>
          <w:lang w:val="sr-Latn-ME"/>
        </w:rPr>
        <w:t xml:space="preserve">Pedijatrijska populacija </w:t>
      </w:r>
    </w:p>
    <w:p w14:paraId="3D238F4A" w14:textId="0EB3EF42" w:rsidR="00143607" w:rsidRPr="00F85CA6" w:rsidRDefault="00143607" w:rsidP="00143607">
      <w:pPr>
        <w:jc w:val="both"/>
        <w:rPr>
          <w:rFonts w:eastAsia="Calibri"/>
          <w:sz w:val="22"/>
          <w:szCs w:val="22"/>
          <w:lang w:val="sr-Latn-ME"/>
        </w:rPr>
      </w:pPr>
      <w:r w:rsidRPr="00F85CA6">
        <w:rPr>
          <w:rFonts w:eastAsia="Calibri"/>
          <w:sz w:val="22"/>
          <w:szCs w:val="22"/>
          <w:lang w:val="sr-Latn-ME"/>
        </w:rPr>
        <w:t>Nema relevantne prim</w:t>
      </w:r>
      <w:r w:rsidR="00765285" w:rsidRPr="00F85CA6">
        <w:rPr>
          <w:rFonts w:eastAsia="Calibri"/>
          <w:sz w:val="22"/>
          <w:szCs w:val="22"/>
          <w:lang w:val="sr-Latn-ME"/>
        </w:rPr>
        <w:t>j</w:t>
      </w:r>
      <w:r w:rsidRPr="00F85CA6">
        <w:rPr>
          <w:rFonts w:eastAsia="Calibri"/>
          <w:sz w:val="22"/>
          <w:szCs w:val="22"/>
          <w:lang w:val="sr-Latn-ME"/>
        </w:rPr>
        <w:t xml:space="preserve">ene dabigatraneteksilata u pedijatrijskoj populaciji u indikaciji </w:t>
      </w:r>
      <w:r w:rsidR="003E5AF3" w:rsidRPr="00F85CA6">
        <w:rPr>
          <w:rFonts w:eastAsia="Calibri"/>
          <w:sz w:val="22"/>
          <w:szCs w:val="22"/>
          <w:lang w:val="sr-Latn-ME"/>
        </w:rPr>
        <w:t>pre</w:t>
      </w:r>
      <w:r w:rsidRPr="00F85CA6">
        <w:rPr>
          <w:rFonts w:eastAsia="Calibri"/>
          <w:sz w:val="22"/>
          <w:szCs w:val="22"/>
          <w:lang w:val="sr-Latn-ME"/>
        </w:rPr>
        <w:t>vencije moždanog udara i sistemske embolije kod pacijenata sa NVAF.</w:t>
      </w:r>
    </w:p>
    <w:p w14:paraId="183CE958" w14:textId="77777777" w:rsidR="00143607" w:rsidRPr="00F85CA6" w:rsidRDefault="00143607" w:rsidP="00143607">
      <w:pPr>
        <w:jc w:val="both"/>
        <w:rPr>
          <w:rFonts w:eastAsia="Calibri"/>
          <w:sz w:val="22"/>
          <w:szCs w:val="22"/>
          <w:lang w:val="sr-Latn-ME"/>
        </w:rPr>
      </w:pPr>
    </w:p>
    <w:p w14:paraId="73D0982D" w14:textId="5836CAFD" w:rsidR="00143607" w:rsidRPr="00F85CA6" w:rsidRDefault="00143607" w:rsidP="00143607">
      <w:pPr>
        <w:jc w:val="both"/>
        <w:rPr>
          <w:rFonts w:eastAsia="Calibri"/>
          <w:b/>
          <w:bCs/>
          <w:i/>
          <w:iCs/>
          <w:sz w:val="22"/>
          <w:szCs w:val="22"/>
          <w:u w:val="single"/>
          <w:lang w:val="sr-Latn-ME" w:bidi="en-US"/>
        </w:rPr>
      </w:pPr>
      <w:r w:rsidRPr="00F85CA6">
        <w:rPr>
          <w:rFonts w:eastAsia="Calibri"/>
          <w:b/>
          <w:bCs/>
          <w:i/>
          <w:iCs/>
          <w:sz w:val="22"/>
          <w:szCs w:val="22"/>
          <w:u w:val="single"/>
          <w:lang w:val="sr-Latn-ME" w:bidi="en-US"/>
        </w:rPr>
        <w:t xml:space="preserve">Terapija VTE i </w:t>
      </w:r>
      <w:r w:rsidR="003E5AF3" w:rsidRPr="00F85CA6">
        <w:rPr>
          <w:rFonts w:eastAsia="Calibri"/>
          <w:b/>
          <w:bCs/>
          <w:i/>
          <w:iCs/>
          <w:sz w:val="22"/>
          <w:szCs w:val="22"/>
          <w:u w:val="single"/>
          <w:lang w:val="sr-Latn-ME" w:bidi="en-US"/>
        </w:rPr>
        <w:t>pre</w:t>
      </w:r>
      <w:r w:rsidRPr="00F85CA6">
        <w:rPr>
          <w:rFonts w:eastAsia="Calibri"/>
          <w:b/>
          <w:bCs/>
          <w:i/>
          <w:iCs/>
          <w:sz w:val="22"/>
          <w:szCs w:val="22"/>
          <w:u w:val="single"/>
          <w:lang w:val="sr-Latn-ME" w:bidi="en-US"/>
        </w:rPr>
        <w:t>vencija rekurentne VTE kod pedijatrijskih pacijenata</w:t>
      </w:r>
    </w:p>
    <w:p w14:paraId="246AF3EE" w14:textId="77777777" w:rsidR="00143607" w:rsidRPr="00F85CA6" w:rsidRDefault="00143607" w:rsidP="00143607">
      <w:pPr>
        <w:jc w:val="both"/>
        <w:rPr>
          <w:rFonts w:eastAsia="Calibri"/>
          <w:b/>
          <w:bCs/>
          <w:i/>
          <w:iCs/>
          <w:sz w:val="22"/>
          <w:szCs w:val="22"/>
          <w:u w:val="single"/>
          <w:lang w:val="sr-Latn-ME" w:bidi="en-US"/>
        </w:rPr>
      </w:pPr>
    </w:p>
    <w:p w14:paraId="361CB56C" w14:textId="0B52F5F0" w:rsidR="00143607" w:rsidRPr="00F85CA6" w:rsidRDefault="00143607" w:rsidP="00143607">
      <w:pPr>
        <w:jc w:val="both"/>
        <w:rPr>
          <w:rFonts w:eastAsia="Calibri"/>
          <w:sz w:val="22"/>
          <w:szCs w:val="22"/>
          <w:lang w:val="sr-Latn-ME"/>
        </w:rPr>
      </w:pPr>
      <w:r w:rsidRPr="00F85CA6">
        <w:rPr>
          <w:rFonts w:eastAsia="Calibri"/>
          <w:sz w:val="22"/>
          <w:szCs w:val="22"/>
          <w:lang w:val="sr-Latn-ME"/>
        </w:rPr>
        <w:t xml:space="preserve">Terapiju VTE kod pedijatrijskih pacijenata potrebno je započeti nakon terapije parenteralnim antikoagulansom u trajanju od najmanje 5 dana. Za </w:t>
      </w:r>
      <w:r w:rsidR="003E5AF3" w:rsidRPr="00F85CA6">
        <w:rPr>
          <w:rFonts w:eastAsia="Calibri"/>
          <w:sz w:val="22"/>
          <w:szCs w:val="22"/>
          <w:lang w:val="sr-Latn-ME"/>
        </w:rPr>
        <w:t>pre</w:t>
      </w:r>
      <w:r w:rsidRPr="00F85CA6">
        <w:rPr>
          <w:rFonts w:eastAsia="Calibri"/>
          <w:sz w:val="22"/>
          <w:szCs w:val="22"/>
          <w:lang w:val="sr-Latn-ME"/>
        </w:rPr>
        <w:t xml:space="preserve">venciju rekurentne VTE, terapiju je potrebno započeti nakon </w:t>
      </w:r>
      <w:r w:rsidR="003E5AF3" w:rsidRPr="00F85CA6">
        <w:rPr>
          <w:rFonts w:eastAsia="Calibri"/>
          <w:sz w:val="22"/>
          <w:szCs w:val="22"/>
          <w:lang w:val="sr-Latn-ME"/>
        </w:rPr>
        <w:t>pre</w:t>
      </w:r>
      <w:r w:rsidRPr="00F85CA6">
        <w:rPr>
          <w:rFonts w:eastAsia="Calibri"/>
          <w:sz w:val="22"/>
          <w:szCs w:val="22"/>
          <w:lang w:val="sr-Latn-ME"/>
        </w:rPr>
        <w:t>thodne terapije.</w:t>
      </w:r>
    </w:p>
    <w:p w14:paraId="0668C069" w14:textId="77777777" w:rsidR="00143607" w:rsidRPr="00F85CA6" w:rsidRDefault="00143607" w:rsidP="00143607">
      <w:pPr>
        <w:jc w:val="both"/>
        <w:rPr>
          <w:rFonts w:eastAsia="Calibri"/>
          <w:sz w:val="22"/>
          <w:szCs w:val="22"/>
          <w:lang w:val="sr-Latn-ME"/>
        </w:rPr>
      </w:pPr>
    </w:p>
    <w:p w14:paraId="7BAA3D41" w14:textId="6C14C442" w:rsidR="00143607" w:rsidRPr="00F85CA6" w:rsidRDefault="00143607" w:rsidP="00143607">
      <w:pPr>
        <w:jc w:val="both"/>
        <w:rPr>
          <w:rFonts w:eastAsia="Calibri"/>
          <w:sz w:val="22"/>
          <w:szCs w:val="22"/>
          <w:lang w:val="sr-Latn-ME"/>
        </w:rPr>
      </w:pPr>
      <w:r w:rsidRPr="00F85CA6">
        <w:rPr>
          <w:rFonts w:eastAsia="Calibri"/>
          <w:b/>
          <w:sz w:val="22"/>
          <w:szCs w:val="22"/>
          <w:lang w:val="sr-Latn-ME"/>
        </w:rPr>
        <w:t>Dabigatrane</w:t>
      </w:r>
      <w:r w:rsidR="003A3757" w:rsidRPr="00F85CA6">
        <w:rPr>
          <w:rFonts w:eastAsia="Calibri"/>
          <w:b/>
          <w:sz w:val="22"/>
          <w:szCs w:val="22"/>
          <w:lang w:val="sr-Latn-ME"/>
        </w:rPr>
        <w:t xml:space="preserve"> </w:t>
      </w:r>
      <w:r w:rsidRPr="00F85CA6">
        <w:rPr>
          <w:rFonts w:eastAsia="Calibri"/>
          <w:b/>
          <w:sz w:val="22"/>
          <w:szCs w:val="22"/>
          <w:lang w:val="sr-Latn-ME"/>
        </w:rPr>
        <w:t>teksilat kapsule potrebno je uzimati dva puta dnevno</w:t>
      </w:r>
      <w:r w:rsidRPr="00F85CA6">
        <w:rPr>
          <w:rFonts w:eastAsia="Calibri"/>
          <w:sz w:val="22"/>
          <w:szCs w:val="22"/>
          <w:lang w:val="sr-Latn-ME"/>
        </w:rPr>
        <w:t xml:space="preserve">, jednu dozu ujutro i jednu dozu uveče, približno u isto </w:t>
      </w:r>
      <w:r w:rsidR="003E5AF3" w:rsidRPr="00F85CA6">
        <w:rPr>
          <w:rFonts w:eastAsia="Calibri"/>
          <w:sz w:val="22"/>
          <w:szCs w:val="22"/>
          <w:lang w:val="sr-Latn-ME"/>
        </w:rPr>
        <w:t>vrijeme</w:t>
      </w:r>
      <w:r w:rsidRPr="00F85CA6">
        <w:rPr>
          <w:rFonts w:eastAsia="Calibri"/>
          <w:sz w:val="22"/>
          <w:szCs w:val="22"/>
          <w:lang w:val="sr-Latn-ME"/>
        </w:rPr>
        <w:t xml:space="preserve"> svakog dana. Potrebno je da interval doziranja iznosi što je moguće bliže periodu od 12 sati.</w:t>
      </w:r>
    </w:p>
    <w:p w14:paraId="4CFCE0E5" w14:textId="77777777" w:rsidR="00143607" w:rsidRPr="00F85CA6" w:rsidRDefault="00143607" w:rsidP="00143607">
      <w:pPr>
        <w:jc w:val="both"/>
        <w:rPr>
          <w:rFonts w:eastAsia="Calibri"/>
          <w:sz w:val="22"/>
          <w:szCs w:val="22"/>
          <w:lang w:val="sr-Latn-ME"/>
        </w:rPr>
      </w:pPr>
    </w:p>
    <w:p w14:paraId="1C4C9BD1" w14:textId="136495C0" w:rsidR="00143607" w:rsidRPr="00F85CA6" w:rsidRDefault="003E5AF3" w:rsidP="00143607">
      <w:pPr>
        <w:jc w:val="both"/>
        <w:rPr>
          <w:rFonts w:eastAsia="Calibri"/>
          <w:sz w:val="22"/>
          <w:szCs w:val="22"/>
          <w:lang w:val="sr-Latn-ME"/>
        </w:rPr>
      </w:pPr>
      <w:r w:rsidRPr="00F85CA6">
        <w:rPr>
          <w:rFonts w:eastAsia="Calibri"/>
          <w:sz w:val="22"/>
          <w:szCs w:val="22"/>
          <w:lang w:val="sr-Latn-ME"/>
        </w:rPr>
        <w:t>Pre</w:t>
      </w:r>
      <w:r w:rsidR="00143607" w:rsidRPr="00F85CA6">
        <w:rPr>
          <w:rFonts w:eastAsia="Calibri"/>
          <w:sz w:val="22"/>
          <w:szCs w:val="22"/>
          <w:lang w:val="sr-Latn-ME"/>
        </w:rPr>
        <w:t>poručena doza dabigatraneteksilat kapsula se zasniva na t</w:t>
      </w:r>
      <w:r w:rsidR="00765285" w:rsidRPr="00F85CA6">
        <w:rPr>
          <w:rFonts w:eastAsia="Calibri"/>
          <w:sz w:val="22"/>
          <w:szCs w:val="22"/>
          <w:lang w:val="sr-Latn-ME"/>
        </w:rPr>
        <w:t>j</w:t>
      </w:r>
      <w:r w:rsidR="00143607" w:rsidRPr="00F85CA6">
        <w:rPr>
          <w:rFonts w:eastAsia="Calibri"/>
          <w:sz w:val="22"/>
          <w:szCs w:val="22"/>
          <w:lang w:val="sr-Latn-ME"/>
        </w:rPr>
        <w:t>elesnoj masi i uzrastu pacijenta, kao što je prikazano u tabeli 4. Sa na</w:t>
      </w:r>
      <w:r w:rsidRPr="00F85CA6">
        <w:rPr>
          <w:rFonts w:eastAsia="Calibri"/>
          <w:sz w:val="22"/>
          <w:szCs w:val="22"/>
          <w:lang w:val="sr-Latn-ME"/>
        </w:rPr>
        <w:t>pre</w:t>
      </w:r>
      <w:r w:rsidR="00143607" w:rsidRPr="00F85CA6">
        <w:rPr>
          <w:rFonts w:eastAsia="Calibri"/>
          <w:sz w:val="22"/>
          <w:szCs w:val="22"/>
          <w:lang w:val="sr-Latn-ME"/>
        </w:rPr>
        <w:t xml:space="preserve">dovanjem terapije potrebno je prilagoditi dozu </w:t>
      </w:r>
      <w:r w:rsidRPr="00F85CA6">
        <w:rPr>
          <w:rFonts w:eastAsia="Calibri"/>
          <w:sz w:val="22"/>
          <w:szCs w:val="22"/>
          <w:lang w:val="sr-Latn-ME"/>
        </w:rPr>
        <w:t>pre</w:t>
      </w:r>
      <w:r w:rsidR="00143607" w:rsidRPr="00F85CA6">
        <w:rPr>
          <w:rFonts w:eastAsia="Calibri"/>
          <w:sz w:val="22"/>
          <w:szCs w:val="22"/>
          <w:lang w:val="sr-Latn-ME"/>
        </w:rPr>
        <w:t>ma t</w:t>
      </w:r>
      <w:r w:rsidR="00C96D78" w:rsidRPr="00F85CA6">
        <w:rPr>
          <w:rFonts w:eastAsia="Calibri"/>
          <w:sz w:val="22"/>
          <w:szCs w:val="22"/>
          <w:lang w:val="sr-Latn-ME"/>
        </w:rPr>
        <w:t>j</w:t>
      </w:r>
      <w:r w:rsidR="00143607" w:rsidRPr="00F85CA6">
        <w:rPr>
          <w:rFonts w:eastAsia="Calibri"/>
          <w:sz w:val="22"/>
          <w:szCs w:val="22"/>
          <w:lang w:val="sr-Latn-ME"/>
        </w:rPr>
        <w:t>elesnoj masi i uzrastu.</w:t>
      </w:r>
    </w:p>
    <w:p w14:paraId="4202669C" w14:textId="77777777" w:rsidR="00143607" w:rsidRPr="00F85CA6" w:rsidRDefault="00143607" w:rsidP="00143607">
      <w:pPr>
        <w:jc w:val="both"/>
        <w:rPr>
          <w:rFonts w:eastAsia="Calibri"/>
          <w:sz w:val="22"/>
          <w:szCs w:val="22"/>
          <w:lang w:val="sr-Latn-ME" w:bidi="en-US"/>
        </w:rPr>
      </w:pPr>
    </w:p>
    <w:p w14:paraId="712745A9" w14:textId="45CA5C0D" w:rsidR="00143607" w:rsidRPr="00F85CA6" w:rsidRDefault="00143607" w:rsidP="00143607">
      <w:pPr>
        <w:jc w:val="both"/>
        <w:rPr>
          <w:rFonts w:eastAsia="Calibri"/>
          <w:sz w:val="22"/>
          <w:szCs w:val="22"/>
          <w:lang w:val="sr-Latn-ME" w:bidi="en-US"/>
        </w:rPr>
      </w:pPr>
      <w:r w:rsidRPr="00F85CA6">
        <w:rPr>
          <w:rFonts w:eastAsia="Calibri"/>
          <w:sz w:val="22"/>
          <w:szCs w:val="22"/>
          <w:lang w:val="sr-Latn-ME" w:bidi="en-US"/>
        </w:rPr>
        <w:t>Za kombinacije t</w:t>
      </w:r>
      <w:r w:rsidR="00C96D78" w:rsidRPr="00F85CA6">
        <w:rPr>
          <w:rFonts w:eastAsia="Calibri"/>
          <w:sz w:val="22"/>
          <w:szCs w:val="22"/>
          <w:lang w:val="sr-Latn-ME" w:bidi="en-US"/>
        </w:rPr>
        <w:t>j</w:t>
      </w:r>
      <w:r w:rsidRPr="00F85CA6">
        <w:rPr>
          <w:rFonts w:eastAsia="Calibri"/>
          <w:sz w:val="22"/>
          <w:szCs w:val="22"/>
          <w:lang w:val="sr-Latn-ME" w:bidi="en-US"/>
        </w:rPr>
        <w:t>elesne mase i uzrasta koje ni</w:t>
      </w:r>
      <w:r w:rsidR="003A3757" w:rsidRPr="00F85CA6">
        <w:rPr>
          <w:rFonts w:eastAsia="Calibri"/>
          <w:sz w:val="22"/>
          <w:szCs w:val="22"/>
          <w:lang w:val="sr-Latn-ME" w:bidi="en-US"/>
        </w:rPr>
        <w:t>je</w:t>
      </w:r>
      <w:r w:rsidRPr="00F85CA6">
        <w:rPr>
          <w:rFonts w:eastAsia="Calibri"/>
          <w:sz w:val="22"/>
          <w:szCs w:val="22"/>
          <w:lang w:val="sr-Latn-ME" w:bidi="en-US"/>
        </w:rPr>
        <w:t xml:space="preserve">su navedene u tabeli doziranja, ne mogu se dati </w:t>
      </w:r>
      <w:r w:rsidR="003E5AF3" w:rsidRPr="00F85CA6">
        <w:rPr>
          <w:rFonts w:eastAsia="Calibri"/>
          <w:sz w:val="22"/>
          <w:szCs w:val="22"/>
          <w:lang w:val="sr-Latn-ME" w:bidi="en-US"/>
        </w:rPr>
        <w:t>pre</w:t>
      </w:r>
      <w:r w:rsidRPr="00F85CA6">
        <w:rPr>
          <w:rFonts w:eastAsia="Calibri"/>
          <w:sz w:val="22"/>
          <w:szCs w:val="22"/>
          <w:lang w:val="sr-Latn-ME" w:bidi="en-US"/>
        </w:rPr>
        <w:t>poruke za doziranje.</w:t>
      </w:r>
    </w:p>
    <w:p w14:paraId="44DC1B94" w14:textId="77777777" w:rsidR="00143607" w:rsidRPr="00F85CA6" w:rsidRDefault="00143607" w:rsidP="00143607">
      <w:pPr>
        <w:jc w:val="both"/>
        <w:rPr>
          <w:rFonts w:eastAsia="Calibri"/>
          <w:b/>
          <w:bCs/>
          <w:sz w:val="22"/>
          <w:szCs w:val="22"/>
          <w:lang w:val="sr-Latn-ME" w:bidi="en-US"/>
        </w:rPr>
      </w:pPr>
      <w:bookmarkStart w:id="5" w:name="_Hlk65853371"/>
    </w:p>
    <w:p w14:paraId="4B1ADB1A" w14:textId="71944494" w:rsidR="00143607" w:rsidRPr="00F85CA6" w:rsidRDefault="00143607" w:rsidP="00685312">
      <w:pPr>
        <w:jc w:val="center"/>
        <w:rPr>
          <w:rFonts w:eastAsia="Calibri"/>
          <w:b/>
          <w:bCs/>
          <w:sz w:val="22"/>
          <w:szCs w:val="22"/>
          <w:lang w:val="sr-Latn-ME" w:bidi="en-US"/>
        </w:rPr>
      </w:pPr>
      <w:r w:rsidRPr="00F85CA6">
        <w:rPr>
          <w:rFonts w:eastAsia="Calibri"/>
          <w:b/>
          <w:bCs/>
          <w:sz w:val="22"/>
          <w:szCs w:val="22"/>
          <w:lang w:val="sr-Latn-ME" w:bidi="en-US"/>
        </w:rPr>
        <w:t>Tabela 4: Pojedinačne i ukupne dnevne doze dabigatraneteksilata u miligramima (mg) po t</w:t>
      </w:r>
      <w:r w:rsidR="00765285" w:rsidRPr="00F85CA6">
        <w:rPr>
          <w:rFonts w:eastAsia="Calibri"/>
          <w:b/>
          <w:bCs/>
          <w:sz w:val="22"/>
          <w:szCs w:val="22"/>
          <w:lang w:val="sr-Latn-ME" w:bidi="en-US"/>
        </w:rPr>
        <w:t>j</w:t>
      </w:r>
      <w:r w:rsidRPr="00F85CA6">
        <w:rPr>
          <w:rFonts w:eastAsia="Calibri"/>
          <w:b/>
          <w:bCs/>
          <w:sz w:val="22"/>
          <w:szCs w:val="22"/>
          <w:lang w:val="sr-Latn-ME" w:bidi="en-US"/>
        </w:rPr>
        <w:t>elesnoj masi pacijenta u kilogramima (kg) i</w:t>
      </w:r>
      <w:r w:rsidR="00C96D78" w:rsidRPr="00F85CA6">
        <w:rPr>
          <w:rFonts w:eastAsia="Calibri"/>
          <w:b/>
          <w:bCs/>
          <w:sz w:val="22"/>
          <w:szCs w:val="22"/>
          <w:lang w:val="sr-Latn-ME" w:bidi="en-US"/>
        </w:rPr>
        <w:t xml:space="preserve"> </w:t>
      </w:r>
      <w:r w:rsidRPr="00F85CA6">
        <w:rPr>
          <w:rFonts w:eastAsia="Calibri"/>
          <w:b/>
          <w:bCs/>
          <w:sz w:val="22"/>
          <w:szCs w:val="22"/>
          <w:lang w:val="sr-Latn-ME" w:bidi="en-US"/>
        </w:rPr>
        <w:t>njegovoj starosnoj dobi u godinama</w:t>
      </w:r>
      <w:bookmarkEnd w:id="5"/>
    </w:p>
    <w:p w14:paraId="60544238" w14:textId="77777777" w:rsidR="00143607" w:rsidRPr="00F85CA6" w:rsidRDefault="00143607" w:rsidP="00143607">
      <w:pPr>
        <w:jc w:val="both"/>
        <w:rPr>
          <w:rFonts w:eastAsia="Calibri"/>
          <w:sz w:val="22"/>
          <w:szCs w:val="22"/>
          <w:lang w:val="sr-Latn-ME"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2254"/>
        <w:gridCol w:w="2257"/>
        <w:gridCol w:w="2253"/>
      </w:tblGrid>
      <w:tr w:rsidR="00143607" w:rsidRPr="00F85CA6" w14:paraId="038FE441" w14:textId="77777777" w:rsidTr="001239C3">
        <w:tc>
          <w:tcPr>
            <w:tcW w:w="4506" w:type="dxa"/>
            <w:gridSpan w:val="2"/>
          </w:tcPr>
          <w:p w14:paraId="1B7D4D04" w14:textId="69BC77E4" w:rsidR="00143607" w:rsidRPr="00F85CA6" w:rsidRDefault="00143607" w:rsidP="00143607">
            <w:pPr>
              <w:spacing w:after="160" w:line="259" w:lineRule="auto"/>
              <w:jc w:val="center"/>
              <w:rPr>
                <w:rFonts w:eastAsia="Calibri"/>
                <w:b/>
                <w:bCs/>
                <w:noProof/>
                <w:sz w:val="22"/>
                <w:szCs w:val="22"/>
                <w:lang w:val="sr-Latn-ME"/>
              </w:rPr>
            </w:pPr>
            <w:r w:rsidRPr="00F85CA6">
              <w:rPr>
                <w:rFonts w:eastAsia="Calibri"/>
                <w:b/>
                <w:bCs/>
                <w:noProof/>
                <w:sz w:val="22"/>
                <w:szCs w:val="22"/>
                <w:lang w:val="sr-Latn-ME"/>
              </w:rPr>
              <w:t>Kombinacija t</w:t>
            </w:r>
            <w:r w:rsidR="00765285" w:rsidRPr="00F85CA6">
              <w:rPr>
                <w:rFonts w:eastAsia="Calibri"/>
                <w:b/>
                <w:bCs/>
                <w:noProof/>
                <w:sz w:val="22"/>
                <w:szCs w:val="22"/>
                <w:lang w:val="sr-Latn-ME"/>
              </w:rPr>
              <w:t>j</w:t>
            </w:r>
            <w:r w:rsidRPr="00F85CA6">
              <w:rPr>
                <w:rFonts w:eastAsia="Calibri"/>
                <w:b/>
                <w:bCs/>
                <w:noProof/>
                <w:sz w:val="22"/>
                <w:szCs w:val="22"/>
                <w:lang w:val="sr-Latn-ME"/>
              </w:rPr>
              <w:t>elesna masa/starosna dob</w:t>
            </w:r>
          </w:p>
        </w:tc>
        <w:tc>
          <w:tcPr>
            <w:tcW w:w="2257" w:type="dxa"/>
            <w:vMerge w:val="restart"/>
          </w:tcPr>
          <w:p w14:paraId="310050CB" w14:textId="77777777" w:rsidR="00143607" w:rsidRPr="00F85CA6" w:rsidRDefault="00143607" w:rsidP="00143607">
            <w:pPr>
              <w:spacing w:after="160" w:line="259" w:lineRule="auto"/>
              <w:jc w:val="center"/>
              <w:rPr>
                <w:rFonts w:eastAsia="Calibri"/>
                <w:b/>
                <w:bCs/>
                <w:noProof/>
                <w:sz w:val="22"/>
                <w:szCs w:val="22"/>
                <w:lang w:val="sr-Latn-ME"/>
              </w:rPr>
            </w:pPr>
            <w:r w:rsidRPr="00F85CA6">
              <w:rPr>
                <w:rFonts w:eastAsia="Calibri"/>
                <w:b/>
                <w:bCs/>
                <w:noProof/>
                <w:sz w:val="22"/>
                <w:szCs w:val="22"/>
                <w:lang w:val="sr-Latn-ME"/>
              </w:rPr>
              <w:t>Pojedinačna doza</w:t>
            </w:r>
          </w:p>
          <w:p w14:paraId="74285A61" w14:textId="77777777" w:rsidR="00143607" w:rsidRPr="00F85CA6" w:rsidRDefault="00143607" w:rsidP="00143607">
            <w:pPr>
              <w:spacing w:after="160" w:line="259" w:lineRule="auto"/>
              <w:jc w:val="center"/>
              <w:rPr>
                <w:rFonts w:eastAsia="Calibri"/>
                <w:b/>
                <w:bCs/>
                <w:noProof/>
                <w:sz w:val="22"/>
                <w:szCs w:val="22"/>
                <w:lang w:val="sr-Latn-ME"/>
              </w:rPr>
            </w:pPr>
            <w:r w:rsidRPr="00F85CA6">
              <w:rPr>
                <w:rFonts w:eastAsia="Calibri"/>
                <w:b/>
                <w:bCs/>
                <w:noProof/>
                <w:sz w:val="22"/>
                <w:szCs w:val="22"/>
                <w:lang w:val="sr-Latn-ME"/>
              </w:rPr>
              <w:t>u mg</w:t>
            </w:r>
          </w:p>
        </w:tc>
        <w:tc>
          <w:tcPr>
            <w:tcW w:w="2253" w:type="dxa"/>
            <w:vMerge w:val="restart"/>
          </w:tcPr>
          <w:p w14:paraId="4B2024E3" w14:textId="77777777" w:rsidR="00143607" w:rsidRPr="00F85CA6" w:rsidRDefault="00143607" w:rsidP="00143607">
            <w:pPr>
              <w:spacing w:after="160" w:line="259" w:lineRule="auto"/>
              <w:jc w:val="center"/>
              <w:rPr>
                <w:rFonts w:eastAsia="Calibri"/>
                <w:b/>
                <w:bCs/>
                <w:noProof/>
                <w:sz w:val="22"/>
                <w:szCs w:val="22"/>
                <w:lang w:val="sr-Latn-ME"/>
              </w:rPr>
            </w:pPr>
            <w:r w:rsidRPr="00F85CA6">
              <w:rPr>
                <w:rFonts w:eastAsia="Calibri"/>
                <w:b/>
                <w:bCs/>
                <w:noProof/>
                <w:sz w:val="22"/>
                <w:szCs w:val="22"/>
                <w:lang w:val="sr-Latn-ME"/>
              </w:rPr>
              <w:t>Ukupna dnevna doza</w:t>
            </w:r>
          </w:p>
          <w:p w14:paraId="2B33F6CD" w14:textId="77777777" w:rsidR="00143607" w:rsidRPr="00F85CA6" w:rsidRDefault="00143607" w:rsidP="00143607">
            <w:pPr>
              <w:spacing w:after="160" w:line="259" w:lineRule="auto"/>
              <w:jc w:val="center"/>
              <w:rPr>
                <w:rFonts w:eastAsia="Calibri"/>
                <w:b/>
                <w:bCs/>
                <w:noProof/>
                <w:sz w:val="22"/>
                <w:szCs w:val="22"/>
                <w:lang w:val="sr-Latn-ME"/>
              </w:rPr>
            </w:pPr>
            <w:r w:rsidRPr="00F85CA6">
              <w:rPr>
                <w:rFonts w:eastAsia="Calibri"/>
                <w:b/>
                <w:bCs/>
                <w:noProof/>
                <w:sz w:val="22"/>
                <w:szCs w:val="22"/>
                <w:lang w:val="sr-Latn-ME"/>
              </w:rPr>
              <w:t>u mg</w:t>
            </w:r>
          </w:p>
        </w:tc>
      </w:tr>
      <w:tr w:rsidR="00143607" w:rsidRPr="00F85CA6" w14:paraId="7C281B20" w14:textId="77777777" w:rsidTr="001239C3">
        <w:tc>
          <w:tcPr>
            <w:tcW w:w="2252" w:type="dxa"/>
          </w:tcPr>
          <w:p w14:paraId="4234338E" w14:textId="7E505697" w:rsidR="00143607" w:rsidRPr="00F85CA6" w:rsidRDefault="00143607" w:rsidP="00143607">
            <w:pPr>
              <w:spacing w:after="160" w:line="259" w:lineRule="auto"/>
              <w:rPr>
                <w:rFonts w:eastAsia="Calibri"/>
                <w:b/>
                <w:bCs/>
                <w:noProof/>
                <w:sz w:val="22"/>
                <w:szCs w:val="22"/>
                <w:lang w:val="sr-Latn-ME"/>
              </w:rPr>
            </w:pPr>
            <w:r w:rsidRPr="00F85CA6">
              <w:rPr>
                <w:rFonts w:eastAsia="Calibri"/>
                <w:b/>
                <w:bCs/>
                <w:noProof/>
                <w:sz w:val="22"/>
                <w:szCs w:val="22"/>
                <w:lang w:val="sr-Latn-ME"/>
              </w:rPr>
              <w:t>T</w:t>
            </w:r>
            <w:r w:rsidR="00765285" w:rsidRPr="00F85CA6">
              <w:rPr>
                <w:rFonts w:eastAsia="Calibri"/>
                <w:b/>
                <w:bCs/>
                <w:noProof/>
                <w:sz w:val="22"/>
                <w:szCs w:val="22"/>
                <w:lang w:val="sr-Latn-ME"/>
              </w:rPr>
              <w:t>j</w:t>
            </w:r>
            <w:r w:rsidRPr="00F85CA6">
              <w:rPr>
                <w:rFonts w:eastAsia="Calibri"/>
                <w:b/>
                <w:bCs/>
                <w:noProof/>
                <w:sz w:val="22"/>
                <w:szCs w:val="22"/>
                <w:lang w:val="sr-Latn-ME"/>
              </w:rPr>
              <w:t>elesna masa u kg</w:t>
            </w:r>
          </w:p>
        </w:tc>
        <w:tc>
          <w:tcPr>
            <w:tcW w:w="2254" w:type="dxa"/>
          </w:tcPr>
          <w:p w14:paraId="67AAB34A" w14:textId="77777777" w:rsidR="00143607" w:rsidRPr="00F85CA6" w:rsidRDefault="00143607" w:rsidP="00143607">
            <w:pPr>
              <w:spacing w:after="160" w:line="259" w:lineRule="auto"/>
              <w:jc w:val="center"/>
              <w:rPr>
                <w:rFonts w:eastAsia="Calibri"/>
                <w:b/>
                <w:bCs/>
                <w:noProof/>
                <w:sz w:val="22"/>
                <w:szCs w:val="22"/>
                <w:lang w:val="sr-Latn-ME"/>
              </w:rPr>
            </w:pPr>
            <w:r w:rsidRPr="00F85CA6">
              <w:rPr>
                <w:rFonts w:eastAsia="Calibri"/>
                <w:b/>
                <w:bCs/>
                <w:noProof/>
                <w:sz w:val="22"/>
                <w:szCs w:val="22"/>
                <w:lang w:val="sr-Latn-ME"/>
              </w:rPr>
              <w:t>Starosna dob u godinama</w:t>
            </w:r>
          </w:p>
        </w:tc>
        <w:tc>
          <w:tcPr>
            <w:tcW w:w="2257" w:type="dxa"/>
            <w:vMerge/>
          </w:tcPr>
          <w:p w14:paraId="1AACFC85" w14:textId="77777777" w:rsidR="00143607" w:rsidRPr="00F85CA6" w:rsidRDefault="00143607" w:rsidP="00143607">
            <w:pPr>
              <w:spacing w:after="160" w:line="259" w:lineRule="auto"/>
              <w:rPr>
                <w:rFonts w:eastAsia="Calibri"/>
                <w:bCs/>
                <w:noProof/>
                <w:sz w:val="22"/>
                <w:szCs w:val="22"/>
                <w:lang w:val="sr-Latn-ME"/>
              </w:rPr>
            </w:pPr>
          </w:p>
        </w:tc>
        <w:tc>
          <w:tcPr>
            <w:tcW w:w="2253" w:type="dxa"/>
            <w:vMerge/>
          </w:tcPr>
          <w:p w14:paraId="79603D99" w14:textId="77777777" w:rsidR="00143607" w:rsidRPr="00F85CA6" w:rsidRDefault="00143607" w:rsidP="00143607">
            <w:pPr>
              <w:spacing w:after="160" w:line="259" w:lineRule="auto"/>
              <w:rPr>
                <w:rFonts w:eastAsia="Calibri"/>
                <w:bCs/>
                <w:noProof/>
                <w:sz w:val="22"/>
                <w:szCs w:val="22"/>
                <w:lang w:val="sr-Latn-ME"/>
              </w:rPr>
            </w:pPr>
          </w:p>
        </w:tc>
      </w:tr>
      <w:tr w:rsidR="00143607" w:rsidRPr="00F85CA6" w14:paraId="35EAF94F" w14:textId="77777777" w:rsidTr="001239C3">
        <w:tc>
          <w:tcPr>
            <w:tcW w:w="2252" w:type="dxa"/>
          </w:tcPr>
          <w:p w14:paraId="29A5A744" w14:textId="77777777" w:rsidR="00143607" w:rsidRPr="00F85CA6" w:rsidRDefault="00143607" w:rsidP="00685312">
            <w:pPr>
              <w:spacing w:after="160" w:line="259" w:lineRule="auto"/>
              <w:jc w:val="center"/>
              <w:rPr>
                <w:rFonts w:eastAsia="Calibri"/>
                <w:noProof/>
                <w:sz w:val="22"/>
                <w:szCs w:val="22"/>
                <w:lang w:val="sr-Latn-ME"/>
              </w:rPr>
            </w:pPr>
            <w:r w:rsidRPr="00F85CA6">
              <w:rPr>
                <w:rFonts w:eastAsia="Calibri"/>
                <w:noProof/>
                <w:sz w:val="22"/>
                <w:szCs w:val="22"/>
                <w:lang w:val="sr-Latn-ME"/>
              </w:rPr>
              <w:t>11 do &lt; 13</w:t>
            </w:r>
          </w:p>
        </w:tc>
        <w:tc>
          <w:tcPr>
            <w:tcW w:w="2254" w:type="dxa"/>
          </w:tcPr>
          <w:p w14:paraId="530EB34B" w14:textId="77777777" w:rsidR="00143607" w:rsidRPr="00F85CA6" w:rsidRDefault="00143607" w:rsidP="00685312">
            <w:pPr>
              <w:spacing w:after="160" w:line="259" w:lineRule="auto"/>
              <w:jc w:val="center"/>
              <w:rPr>
                <w:rFonts w:eastAsia="Calibri"/>
                <w:bCs/>
                <w:noProof/>
                <w:sz w:val="22"/>
                <w:szCs w:val="22"/>
                <w:lang w:val="sr-Latn-ME"/>
              </w:rPr>
            </w:pPr>
            <w:r w:rsidRPr="00F85CA6">
              <w:rPr>
                <w:rFonts w:eastAsia="Calibri"/>
                <w:bCs/>
                <w:noProof/>
                <w:sz w:val="22"/>
                <w:szCs w:val="22"/>
                <w:lang w:val="sr-Latn-ME"/>
              </w:rPr>
              <w:t>8 do &lt; 9</w:t>
            </w:r>
          </w:p>
        </w:tc>
        <w:tc>
          <w:tcPr>
            <w:tcW w:w="2257" w:type="dxa"/>
          </w:tcPr>
          <w:p w14:paraId="76012B0B" w14:textId="77777777" w:rsidR="00143607" w:rsidRPr="00F85CA6" w:rsidRDefault="00143607" w:rsidP="00143607">
            <w:pPr>
              <w:spacing w:after="160" w:line="259" w:lineRule="auto"/>
              <w:jc w:val="center"/>
              <w:rPr>
                <w:rFonts w:eastAsia="Calibri"/>
                <w:bCs/>
                <w:noProof/>
                <w:sz w:val="22"/>
                <w:szCs w:val="22"/>
                <w:lang w:val="sr-Latn-ME"/>
              </w:rPr>
            </w:pPr>
            <w:r w:rsidRPr="00F85CA6">
              <w:rPr>
                <w:rFonts w:eastAsia="Calibri"/>
                <w:bCs/>
                <w:noProof/>
                <w:sz w:val="22"/>
                <w:szCs w:val="22"/>
                <w:lang w:val="sr-Latn-ME"/>
              </w:rPr>
              <w:t>75</w:t>
            </w:r>
            <w:r w:rsidRPr="00F85CA6">
              <w:rPr>
                <w:rFonts w:eastAsia="Calibri"/>
                <w:sz w:val="22"/>
                <w:szCs w:val="22"/>
                <w:lang w:val="sr-Latn-ME" w:bidi="en-US"/>
              </w:rPr>
              <w:t>*</w:t>
            </w:r>
          </w:p>
        </w:tc>
        <w:tc>
          <w:tcPr>
            <w:tcW w:w="2253" w:type="dxa"/>
          </w:tcPr>
          <w:p w14:paraId="25DD4D4B" w14:textId="77777777" w:rsidR="00143607" w:rsidRPr="00F85CA6" w:rsidRDefault="00143607" w:rsidP="00143607">
            <w:pPr>
              <w:spacing w:after="160" w:line="259" w:lineRule="auto"/>
              <w:jc w:val="center"/>
              <w:rPr>
                <w:rFonts w:eastAsia="Calibri"/>
                <w:bCs/>
                <w:noProof/>
                <w:sz w:val="22"/>
                <w:szCs w:val="22"/>
                <w:lang w:val="sr-Latn-ME"/>
              </w:rPr>
            </w:pPr>
            <w:r w:rsidRPr="00F85CA6">
              <w:rPr>
                <w:rFonts w:eastAsia="Calibri"/>
                <w:bCs/>
                <w:noProof/>
                <w:sz w:val="22"/>
                <w:szCs w:val="22"/>
                <w:lang w:val="sr-Latn-ME"/>
              </w:rPr>
              <w:t>150</w:t>
            </w:r>
          </w:p>
        </w:tc>
      </w:tr>
      <w:tr w:rsidR="00143607" w:rsidRPr="00F85CA6" w14:paraId="734E8DD0" w14:textId="77777777" w:rsidTr="001239C3">
        <w:tc>
          <w:tcPr>
            <w:tcW w:w="2252" w:type="dxa"/>
          </w:tcPr>
          <w:p w14:paraId="126B14FB" w14:textId="77777777" w:rsidR="00143607" w:rsidRPr="00F85CA6" w:rsidRDefault="00143607" w:rsidP="00685312">
            <w:pPr>
              <w:spacing w:after="160" w:line="259" w:lineRule="auto"/>
              <w:jc w:val="center"/>
              <w:rPr>
                <w:rFonts w:eastAsia="Calibri"/>
                <w:bCs/>
                <w:noProof/>
                <w:sz w:val="22"/>
                <w:szCs w:val="22"/>
                <w:lang w:val="sr-Latn-ME"/>
              </w:rPr>
            </w:pPr>
            <w:r w:rsidRPr="00F85CA6">
              <w:rPr>
                <w:rFonts w:eastAsia="Calibri"/>
                <w:bCs/>
                <w:noProof/>
                <w:sz w:val="22"/>
                <w:szCs w:val="22"/>
                <w:lang w:val="sr-Latn-ME"/>
              </w:rPr>
              <w:t>13 do &lt; 16</w:t>
            </w:r>
          </w:p>
        </w:tc>
        <w:tc>
          <w:tcPr>
            <w:tcW w:w="2254" w:type="dxa"/>
          </w:tcPr>
          <w:p w14:paraId="3110AD63" w14:textId="77777777" w:rsidR="00143607" w:rsidRPr="00F85CA6" w:rsidRDefault="00143607" w:rsidP="00685312">
            <w:pPr>
              <w:spacing w:after="160" w:line="259" w:lineRule="auto"/>
              <w:jc w:val="center"/>
              <w:rPr>
                <w:rFonts w:eastAsia="Calibri"/>
                <w:bCs/>
                <w:noProof/>
                <w:sz w:val="22"/>
                <w:szCs w:val="22"/>
                <w:lang w:val="sr-Latn-ME"/>
              </w:rPr>
            </w:pPr>
            <w:r w:rsidRPr="00F85CA6">
              <w:rPr>
                <w:rFonts w:eastAsia="Calibri"/>
                <w:bCs/>
                <w:noProof/>
                <w:sz w:val="22"/>
                <w:szCs w:val="22"/>
                <w:lang w:val="sr-Latn-ME"/>
              </w:rPr>
              <w:t>8 do &lt; 11</w:t>
            </w:r>
          </w:p>
        </w:tc>
        <w:tc>
          <w:tcPr>
            <w:tcW w:w="2257" w:type="dxa"/>
          </w:tcPr>
          <w:p w14:paraId="67D87E63" w14:textId="77777777" w:rsidR="00143607" w:rsidRPr="00F85CA6" w:rsidRDefault="00143607" w:rsidP="00143607">
            <w:pPr>
              <w:spacing w:after="160" w:line="259" w:lineRule="auto"/>
              <w:jc w:val="center"/>
              <w:rPr>
                <w:rFonts w:eastAsia="Calibri"/>
                <w:bCs/>
                <w:noProof/>
                <w:sz w:val="22"/>
                <w:szCs w:val="22"/>
                <w:lang w:val="sr-Latn-ME"/>
              </w:rPr>
            </w:pPr>
            <w:r w:rsidRPr="00F85CA6">
              <w:rPr>
                <w:rFonts w:eastAsia="Calibri"/>
                <w:bCs/>
                <w:noProof/>
                <w:sz w:val="22"/>
                <w:szCs w:val="22"/>
                <w:lang w:val="sr-Latn-ME"/>
              </w:rPr>
              <w:t>110</w:t>
            </w:r>
          </w:p>
        </w:tc>
        <w:tc>
          <w:tcPr>
            <w:tcW w:w="2253" w:type="dxa"/>
          </w:tcPr>
          <w:p w14:paraId="77758A7B" w14:textId="77777777" w:rsidR="00143607" w:rsidRPr="00F85CA6" w:rsidRDefault="00143607" w:rsidP="00143607">
            <w:pPr>
              <w:spacing w:after="160" w:line="259" w:lineRule="auto"/>
              <w:jc w:val="center"/>
              <w:rPr>
                <w:rFonts w:eastAsia="Calibri"/>
                <w:bCs/>
                <w:noProof/>
                <w:sz w:val="22"/>
                <w:szCs w:val="22"/>
                <w:lang w:val="sr-Latn-ME"/>
              </w:rPr>
            </w:pPr>
            <w:r w:rsidRPr="00F85CA6">
              <w:rPr>
                <w:rFonts w:eastAsia="Calibri"/>
                <w:bCs/>
                <w:noProof/>
                <w:sz w:val="22"/>
                <w:szCs w:val="22"/>
                <w:lang w:val="sr-Latn-ME"/>
              </w:rPr>
              <w:t>220</w:t>
            </w:r>
          </w:p>
        </w:tc>
      </w:tr>
      <w:tr w:rsidR="00143607" w:rsidRPr="00F85CA6" w14:paraId="64F612EF" w14:textId="77777777" w:rsidTr="001239C3">
        <w:tc>
          <w:tcPr>
            <w:tcW w:w="2252" w:type="dxa"/>
          </w:tcPr>
          <w:p w14:paraId="27A34B97" w14:textId="77777777" w:rsidR="00143607" w:rsidRPr="00F85CA6" w:rsidRDefault="00143607" w:rsidP="00685312">
            <w:pPr>
              <w:spacing w:after="160" w:line="259" w:lineRule="auto"/>
              <w:jc w:val="center"/>
              <w:rPr>
                <w:rFonts w:eastAsia="Calibri"/>
                <w:bCs/>
                <w:noProof/>
                <w:sz w:val="22"/>
                <w:szCs w:val="22"/>
                <w:lang w:val="sr-Latn-ME"/>
              </w:rPr>
            </w:pPr>
            <w:r w:rsidRPr="00F85CA6">
              <w:rPr>
                <w:rFonts w:eastAsia="Calibri"/>
                <w:bCs/>
                <w:noProof/>
                <w:sz w:val="22"/>
                <w:szCs w:val="22"/>
                <w:lang w:val="sr-Latn-ME"/>
              </w:rPr>
              <w:t>16 do &lt; 21</w:t>
            </w:r>
          </w:p>
        </w:tc>
        <w:tc>
          <w:tcPr>
            <w:tcW w:w="2254" w:type="dxa"/>
          </w:tcPr>
          <w:p w14:paraId="3E97B067" w14:textId="77777777" w:rsidR="00143607" w:rsidRPr="00F85CA6" w:rsidRDefault="00143607" w:rsidP="00685312">
            <w:pPr>
              <w:spacing w:after="160" w:line="259" w:lineRule="auto"/>
              <w:jc w:val="center"/>
              <w:rPr>
                <w:rFonts w:eastAsia="Calibri"/>
                <w:bCs/>
                <w:noProof/>
                <w:sz w:val="22"/>
                <w:szCs w:val="22"/>
                <w:lang w:val="sr-Latn-ME"/>
              </w:rPr>
            </w:pPr>
            <w:r w:rsidRPr="00F85CA6">
              <w:rPr>
                <w:rFonts w:eastAsia="Calibri"/>
                <w:bCs/>
                <w:noProof/>
                <w:sz w:val="22"/>
                <w:szCs w:val="22"/>
                <w:lang w:val="sr-Latn-ME"/>
              </w:rPr>
              <w:t>8 do &lt; 14</w:t>
            </w:r>
          </w:p>
        </w:tc>
        <w:tc>
          <w:tcPr>
            <w:tcW w:w="2257" w:type="dxa"/>
          </w:tcPr>
          <w:p w14:paraId="5C57435F" w14:textId="77777777" w:rsidR="00143607" w:rsidRPr="00F85CA6" w:rsidRDefault="00143607" w:rsidP="00143607">
            <w:pPr>
              <w:spacing w:after="160" w:line="259" w:lineRule="auto"/>
              <w:jc w:val="center"/>
              <w:rPr>
                <w:rFonts w:eastAsia="Calibri"/>
                <w:bCs/>
                <w:noProof/>
                <w:sz w:val="22"/>
                <w:szCs w:val="22"/>
                <w:lang w:val="sr-Latn-ME"/>
              </w:rPr>
            </w:pPr>
            <w:r w:rsidRPr="00F85CA6">
              <w:rPr>
                <w:rFonts w:eastAsia="Calibri"/>
                <w:bCs/>
                <w:noProof/>
                <w:sz w:val="22"/>
                <w:szCs w:val="22"/>
                <w:lang w:val="sr-Latn-ME"/>
              </w:rPr>
              <w:t>110</w:t>
            </w:r>
          </w:p>
        </w:tc>
        <w:tc>
          <w:tcPr>
            <w:tcW w:w="2253" w:type="dxa"/>
          </w:tcPr>
          <w:p w14:paraId="1AC07931" w14:textId="77777777" w:rsidR="00143607" w:rsidRPr="00F85CA6" w:rsidRDefault="00143607" w:rsidP="00143607">
            <w:pPr>
              <w:spacing w:after="160" w:line="259" w:lineRule="auto"/>
              <w:jc w:val="center"/>
              <w:rPr>
                <w:rFonts w:eastAsia="Calibri"/>
                <w:bCs/>
                <w:noProof/>
                <w:sz w:val="22"/>
                <w:szCs w:val="22"/>
                <w:lang w:val="sr-Latn-ME"/>
              </w:rPr>
            </w:pPr>
            <w:r w:rsidRPr="00F85CA6">
              <w:rPr>
                <w:rFonts w:eastAsia="Calibri"/>
                <w:bCs/>
                <w:noProof/>
                <w:sz w:val="22"/>
                <w:szCs w:val="22"/>
                <w:lang w:val="sr-Latn-ME"/>
              </w:rPr>
              <w:t>220</w:t>
            </w:r>
          </w:p>
        </w:tc>
      </w:tr>
      <w:tr w:rsidR="00143607" w:rsidRPr="00F85CA6" w14:paraId="20076E71" w14:textId="77777777" w:rsidTr="001239C3">
        <w:tc>
          <w:tcPr>
            <w:tcW w:w="2252" w:type="dxa"/>
          </w:tcPr>
          <w:p w14:paraId="4F413543" w14:textId="77777777" w:rsidR="00143607" w:rsidRPr="00F85CA6" w:rsidRDefault="00143607" w:rsidP="00685312">
            <w:pPr>
              <w:spacing w:after="160" w:line="259" w:lineRule="auto"/>
              <w:jc w:val="center"/>
              <w:rPr>
                <w:rFonts w:eastAsia="Calibri"/>
                <w:bCs/>
                <w:noProof/>
                <w:sz w:val="22"/>
                <w:szCs w:val="22"/>
                <w:lang w:val="sr-Latn-ME"/>
              </w:rPr>
            </w:pPr>
            <w:r w:rsidRPr="00F85CA6">
              <w:rPr>
                <w:rFonts w:eastAsia="Calibri"/>
                <w:bCs/>
                <w:noProof/>
                <w:sz w:val="22"/>
                <w:szCs w:val="22"/>
                <w:lang w:val="sr-Latn-ME"/>
              </w:rPr>
              <w:t>21 do &lt; 26</w:t>
            </w:r>
          </w:p>
        </w:tc>
        <w:tc>
          <w:tcPr>
            <w:tcW w:w="2254" w:type="dxa"/>
          </w:tcPr>
          <w:p w14:paraId="13A52E66" w14:textId="77777777" w:rsidR="00143607" w:rsidRPr="00F85CA6" w:rsidRDefault="00143607" w:rsidP="00685312">
            <w:pPr>
              <w:spacing w:after="160" w:line="259" w:lineRule="auto"/>
              <w:jc w:val="center"/>
              <w:rPr>
                <w:rFonts w:eastAsia="Calibri"/>
                <w:bCs/>
                <w:noProof/>
                <w:sz w:val="22"/>
                <w:szCs w:val="22"/>
                <w:lang w:val="sr-Latn-ME"/>
              </w:rPr>
            </w:pPr>
            <w:r w:rsidRPr="00F85CA6">
              <w:rPr>
                <w:rFonts w:eastAsia="Calibri"/>
                <w:bCs/>
                <w:noProof/>
                <w:sz w:val="22"/>
                <w:szCs w:val="22"/>
                <w:lang w:val="sr-Latn-ME"/>
              </w:rPr>
              <w:t>8 do &lt; 16</w:t>
            </w:r>
          </w:p>
        </w:tc>
        <w:tc>
          <w:tcPr>
            <w:tcW w:w="2257" w:type="dxa"/>
          </w:tcPr>
          <w:p w14:paraId="42F1B77A" w14:textId="77777777" w:rsidR="00143607" w:rsidRPr="00F85CA6" w:rsidRDefault="00143607" w:rsidP="00143607">
            <w:pPr>
              <w:spacing w:after="160" w:line="259" w:lineRule="auto"/>
              <w:jc w:val="center"/>
              <w:rPr>
                <w:rFonts w:eastAsia="Calibri"/>
                <w:bCs/>
                <w:noProof/>
                <w:sz w:val="22"/>
                <w:szCs w:val="22"/>
                <w:lang w:val="sr-Latn-ME"/>
              </w:rPr>
            </w:pPr>
            <w:r w:rsidRPr="00F85CA6">
              <w:rPr>
                <w:rFonts w:eastAsia="Calibri"/>
                <w:bCs/>
                <w:noProof/>
                <w:sz w:val="22"/>
                <w:szCs w:val="22"/>
                <w:lang w:val="sr-Latn-ME"/>
              </w:rPr>
              <w:t>150</w:t>
            </w:r>
          </w:p>
        </w:tc>
        <w:tc>
          <w:tcPr>
            <w:tcW w:w="2253" w:type="dxa"/>
          </w:tcPr>
          <w:p w14:paraId="4E18948B" w14:textId="77777777" w:rsidR="00143607" w:rsidRPr="00F85CA6" w:rsidRDefault="00143607" w:rsidP="00143607">
            <w:pPr>
              <w:spacing w:after="160" w:line="259" w:lineRule="auto"/>
              <w:jc w:val="center"/>
              <w:rPr>
                <w:rFonts w:eastAsia="Calibri"/>
                <w:bCs/>
                <w:noProof/>
                <w:sz w:val="22"/>
                <w:szCs w:val="22"/>
                <w:lang w:val="sr-Latn-ME"/>
              </w:rPr>
            </w:pPr>
            <w:r w:rsidRPr="00F85CA6">
              <w:rPr>
                <w:rFonts w:eastAsia="Calibri"/>
                <w:bCs/>
                <w:noProof/>
                <w:sz w:val="22"/>
                <w:szCs w:val="22"/>
                <w:lang w:val="sr-Latn-ME"/>
              </w:rPr>
              <w:t>300</w:t>
            </w:r>
          </w:p>
        </w:tc>
      </w:tr>
      <w:tr w:rsidR="00143607" w:rsidRPr="00F85CA6" w14:paraId="53E65F7C" w14:textId="77777777" w:rsidTr="001239C3">
        <w:tc>
          <w:tcPr>
            <w:tcW w:w="2252" w:type="dxa"/>
          </w:tcPr>
          <w:p w14:paraId="5824A5A3" w14:textId="77777777" w:rsidR="00143607" w:rsidRPr="00F85CA6" w:rsidRDefault="00143607" w:rsidP="00685312">
            <w:pPr>
              <w:spacing w:after="160" w:line="259" w:lineRule="auto"/>
              <w:jc w:val="center"/>
              <w:rPr>
                <w:rFonts w:eastAsia="Calibri"/>
                <w:bCs/>
                <w:noProof/>
                <w:sz w:val="22"/>
                <w:szCs w:val="22"/>
                <w:lang w:val="sr-Latn-ME"/>
              </w:rPr>
            </w:pPr>
            <w:r w:rsidRPr="00F85CA6">
              <w:rPr>
                <w:rFonts w:eastAsia="Calibri"/>
                <w:bCs/>
                <w:noProof/>
                <w:sz w:val="22"/>
                <w:szCs w:val="22"/>
                <w:lang w:val="sr-Latn-ME"/>
              </w:rPr>
              <w:t>26 do &lt; 31</w:t>
            </w:r>
          </w:p>
        </w:tc>
        <w:tc>
          <w:tcPr>
            <w:tcW w:w="2254" w:type="dxa"/>
          </w:tcPr>
          <w:p w14:paraId="10F34E16" w14:textId="77777777" w:rsidR="00143607" w:rsidRPr="00F85CA6" w:rsidRDefault="00143607" w:rsidP="00685312">
            <w:pPr>
              <w:spacing w:after="160" w:line="259" w:lineRule="auto"/>
              <w:jc w:val="center"/>
              <w:rPr>
                <w:rFonts w:eastAsia="Calibri"/>
                <w:bCs/>
                <w:noProof/>
                <w:sz w:val="22"/>
                <w:szCs w:val="22"/>
                <w:lang w:val="sr-Latn-ME"/>
              </w:rPr>
            </w:pPr>
            <w:r w:rsidRPr="00F85CA6">
              <w:rPr>
                <w:rFonts w:eastAsia="Calibri"/>
                <w:bCs/>
                <w:noProof/>
                <w:sz w:val="22"/>
                <w:szCs w:val="22"/>
                <w:lang w:val="sr-Latn-ME"/>
              </w:rPr>
              <w:t>8 do &lt; 18</w:t>
            </w:r>
          </w:p>
        </w:tc>
        <w:tc>
          <w:tcPr>
            <w:tcW w:w="2257" w:type="dxa"/>
          </w:tcPr>
          <w:p w14:paraId="61075CBC" w14:textId="77777777" w:rsidR="00143607" w:rsidRPr="00F85CA6" w:rsidRDefault="00143607" w:rsidP="00143607">
            <w:pPr>
              <w:spacing w:after="160" w:line="259" w:lineRule="auto"/>
              <w:jc w:val="center"/>
              <w:rPr>
                <w:rFonts w:eastAsia="Calibri"/>
                <w:bCs/>
                <w:noProof/>
                <w:sz w:val="22"/>
                <w:szCs w:val="22"/>
                <w:lang w:val="sr-Latn-ME"/>
              </w:rPr>
            </w:pPr>
            <w:r w:rsidRPr="00F85CA6">
              <w:rPr>
                <w:rFonts w:eastAsia="Calibri"/>
                <w:bCs/>
                <w:noProof/>
                <w:sz w:val="22"/>
                <w:szCs w:val="22"/>
                <w:lang w:val="sr-Latn-ME"/>
              </w:rPr>
              <w:t>150</w:t>
            </w:r>
          </w:p>
        </w:tc>
        <w:tc>
          <w:tcPr>
            <w:tcW w:w="2253" w:type="dxa"/>
          </w:tcPr>
          <w:p w14:paraId="727D81B8" w14:textId="77777777" w:rsidR="00143607" w:rsidRPr="00F85CA6" w:rsidRDefault="00143607" w:rsidP="00143607">
            <w:pPr>
              <w:spacing w:after="160" w:line="259" w:lineRule="auto"/>
              <w:jc w:val="center"/>
              <w:rPr>
                <w:rFonts w:eastAsia="Calibri"/>
                <w:bCs/>
                <w:noProof/>
                <w:sz w:val="22"/>
                <w:szCs w:val="22"/>
                <w:lang w:val="sr-Latn-ME"/>
              </w:rPr>
            </w:pPr>
            <w:r w:rsidRPr="00F85CA6">
              <w:rPr>
                <w:rFonts w:eastAsia="Calibri"/>
                <w:bCs/>
                <w:noProof/>
                <w:sz w:val="22"/>
                <w:szCs w:val="22"/>
                <w:lang w:val="sr-Latn-ME"/>
              </w:rPr>
              <w:t>300</w:t>
            </w:r>
          </w:p>
        </w:tc>
      </w:tr>
      <w:tr w:rsidR="00143607" w:rsidRPr="00F85CA6" w14:paraId="051F4C7A" w14:textId="77777777" w:rsidTr="001239C3">
        <w:tc>
          <w:tcPr>
            <w:tcW w:w="2252" w:type="dxa"/>
          </w:tcPr>
          <w:p w14:paraId="47EA0AC3" w14:textId="77777777" w:rsidR="00143607" w:rsidRPr="00F85CA6" w:rsidRDefault="00143607" w:rsidP="00685312">
            <w:pPr>
              <w:spacing w:after="160" w:line="259" w:lineRule="auto"/>
              <w:jc w:val="center"/>
              <w:rPr>
                <w:rFonts w:eastAsia="Calibri"/>
                <w:bCs/>
                <w:noProof/>
                <w:sz w:val="22"/>
                <w:szCs w:val="22"/>
                <w:lang w:val="sr-Latn-ME"/>
              </w:rPr>
            </w:pPr>
            <w:r w:rsidRPr="00F85CA6">
              <w:rPr>
                <w:rFonts w:eastAsia="Calibri"/>
                <w:bCs/>
                <w:noProof/>
                <w:sz w:val="22"/>
                <w:szCs w:val="22"/>
                <w:lang w:val="sr-Latn-ME"/>
              </w:rPr>
              <w:t>31 do &lt; 41</w:t>
            </w:r>
          </w:p>
        </w:tc>
        <w:tc>
          <w:tcPr>
            <w:tcW w:w="2254" w:type="dxa"/>
          </w:tcPr>
          <w:p w14:paraId="78ABB833" w14:textId="77777777" w:rsidR="00143607" w:rsidRPr="00F85CA6" w:rsidRDefault="00143607" w:rsidP="00685312">
            <w:pPr>
              <w:spacing w:after="160" w:line="259" w:lineRule="auto"/>
              <w:jc w:val="center"/>
              <w:rPr>
                <w:rFonts w:eastAsia="Calibri"/>
                <w:bCs/>
                <w:noProof/>
                <w:sz w:val="22"/>
                <w:szCs w:val="22"/>
                <w:lang w:val="sr-Latn-ME"/>
              </w:rPr>
            </w:pPr>
            <w:r w:rsidRPr="00F85CA6">
              <w:rPr>
                <w:rFonts w:eastAsia="Calibri"/>
                <w:bCs/>
                <w:noProof/>
                <w:sz w:val="22"/>
                <w:szCs w:val="22"/>
                <w:lang w:val="sr-Latn-ME"/>
              </w:rPr>
              <w:t>8 do &lt; 18</w:t>
            </w:r>
          </w:p>
        </w:tc>
        <w:tc>
          <w:tcPr>
            <w:tcW w:w="2257" w:type="dxa"/>
          </w:tcPr>
          <w:p w14:paraId="6EC662CD" w14:textId="77777777" w:rsidR="00143607" w:rsidRPr="00F85CA6" w:rsidRDefault="00143607" w:rsidP="00143607">
            <w:pPr>
              <w:spacing w:after="160" w:line="259" w:lineRule="auto"/>
              <w:jc w:val="center"/>
              <w:rPr>
                <w:rFonts w:eastAsia="Calibri"/>
                <w:bCs/>
                <w:noProof/>
                <w:sz w:val="22"/>
                <w:szCs w:val="22"/>
                <w:lang w:val="sr-Latn-ME"/>
              </w:rPr>
            </w:pPr>
            <w:r w:rsidRPr="00F85CA6">
              <w:rPr>
                <w:rFonts w:eastAsia="Calibri"/>
                <w:bCs/>
                <w:noProof/>
                <w:sz w:val="22"/>
                <w:szCs w:val="22"/>
                <w:lang w:val="sr-Latn-ME"/>
              </w:rPr>
              <w:t>185</w:t>
            </w:r>
            <w:r w:rsidRPr="00F85CA6">
              <w:rPr>
                <w:rFonts w:eastAsia="Calibri"/>
                <w:sz w:val="22"/>
                <w:szCs w:val="22"/>
                <w:lang w:val="sr-Latn-ME" w:bidi="en-US"/>
              </w:rPr>
              <w:t>*</w:t>
            </w:r>
          </w:p>
        </w:tc>
        <w:tc>
          <w:tcPr>
            <w:tcW w:w="2253" w:type="dxa"/>
          </w:tcPr>
          <w:p w14:paraId="4BC9506D" w14:textId="77777777" w:rsidR="00143607" w:rsidRPr="00F85CA6" w:rsidRDefault="00143607" w:rsidP="00143607">
            <w:pPr>
              <w:spacing w:after="160" w:line="259" w:lineRule="auto"/>
              <w:jc w:val="center"/>
              <w:rPr>
                <w:rFonts w:eastAsia="Calibri"/>
                <w:bCs/>
                <w:noProof/>
                <w:sz w:val="22"/>
                <w:szCs w:val="22"/>
                <w:lang w:val="sr-Latn-ME"/>
              </w:rPr>
            </w:pPr>
            <w:r w:rsidRPr="00F85CA6">
              <w:rPr>
                <w:rFonts w:eastAsia="Calibri"/>
                <w:bCs/>
                <w:noProof/>
                <w:sz w:val="22"/>
                <w:szCs w:val="22"/>
                <w:lang w:val="sr-Latn-ME"/>
              </w:rPr>
              <w:t>370</w:t>
            </w:r>
          </w:p>
        </w:tc>
      </w:tr>
      <w:tr w:rsidR="00143607" w:rsidRPr="00F85CA6" w14:paraId="51816969" w14:textId="77777777" w:rsidTr="001239C3">
        <w:tc>
          <w:tcPr>
            <w:tcW w:w="2252" w:type="dxa"/>
          </w:tcPr>
          <w:p w14:paraId="1CC5A6DC" w14:textId="77777777" w:rsidR="00143607" w:rsidRPr="00F85CA6" w:rsidRDefault="00143607" w:rsidP="00685312">
            <w:pPr>
              <w:spacing w:after="160" w:line="259" w:lineRule="auto"/>
              <w:jc w:val="center"/>
              <w:rPr>
                <w:rFonts w:eastAsia="Calibri"/>
                <w:bCs/>
                <w:noProof/>
                <w:sz w:val="22"/>
                <w:szCs w:val="22"/>
                <w:lang w:val="sr-Latn-ME"/>
              </w:rPr>
            </w:pPr>
            <w:r w:rsidRPr="00F85CA6">
              <w:rPr>
                <w:rFonts w:eastAsia="Calibri"/>
                <w:bCs/>
                <w:noProof/>
                <w:sz w:val="22"/>
                <w:szCs w:val="22"/>
                <w:lang w:val="sr-Latn-ME"/>
              </w:rPr>
              <w:t>41 do &lt; 51</w:t>
            </w:r>
          </w:p>
        </w:tc>
        <w:tc>
          <w:tcPr>
            <w:tcW w:w="2254" w:type="dxa"/>
          </w:tcPr>
          <w:p w14:paraId="659F04C9" w14:textId="77777777" w:rsidR="00143607" w:rsidRPr="00F85CA6" w:rsidRDefault="00143607" w:rsidP="00685312">
            <w:pPr>
              <w:spacing w:after="160" w:line="259" w:lineRule="auto"/>
              <w:jc w:val="center"/>
              <w:rPr>
                <w:rFonts w:eastAsia="Calibri"/>
                <w:bCs/>
                <w:noProof/>
                <w:sz w:val="22"/>
                <w:szCs w:val="22"/>
                <w:lang w:val="sr-Latn-ME"/>
              </w:rPr>
            </w:pPr>
            <w:r w:rsidRPr="00F85CA6">
              <w:rPr>
                <w:rFonts w:eastAsia="Calibri"/>
                <w:bCs/>
                <w:noProof/>
                <w:sz w:val="22"/>
                <w:szCs w:val="22"/>
                <w:lang w:val="sr-Latn-ME"/>
              </w:rPr>
              <w:t>8 do &lt; 18</w:t>
            </w:r>
          </w:p>
        </w:tc>
        <w:tc>
          <w:tcPr>
            <w:tcW w:w="2257" w:type="dxa"/>
          </w:tcPr>
          <w:p w14:paraId="20877C12" w14:textId="77777777" w:rsidR="00143607" w:rsidRPr="00F85CA6" w:rsidRDefault="00143607" w:rsidP="00143607">
            <w:pPr>
              <w:spacing w:after="160" w:line="259" w:lineRule="auto"/>
              <w:jc w:val="center"/>
              <w:rPr>
                <w:rFonts w:eastAsia="Calibri"/>
                <w:bCs/>
                <w:noProof/>
                <w:sz w:val="22"/>
                <w:szCs w:val="22"/>
                <w:lang w:val="sr-Latn-ME"/>
              </w:rPr>
            </w:pPr>
            <w:r w:rsidRPr="00F85CA6">
              <w:rPr>
                <w:rFonts w:eastAsia="Calibri"/>
                <w:bCs/>
                <w:noProof/>
                <w:sz w:val="22"/>
                <w:szCs w:val="22"/>
                <w:lang w:val="sr-Latn-ME"/>
              </w:rPr>
              <w:t>220</w:t>
            </w:r>
          </w:p>
        </w:tc>
        <w:tc>
          <w:tcPr>
            <w:tcW w:w="2253" w:type="dxa"/>
          </w:tcPr>
          <w:p w14:paraId="08AF8B58" w14:textId="77777777" w:rsidR="00143607" w:rsidRPr="00F85CA6" w:rsidRDefault="00143607" w:rsidP="00143607">
            <w:pPr>
              <w:spacing w:after="160" w:line="259" w:lineRule="auto"/>
              <w:jc w:val="center"/>
              <w:rPr>
                <w:rFonts w:eastAsia="Calibri"/>
                <w:bCs/>
                <w:noProof/>
                <w:sz w:val="22"/>
                <w:szCs w:val="22"/>
                <w:lang w:val="sr-Latn-ME"/>
              </w:rPr>
            </w:pPr>
            <w:r w:rsidRPr="00F85CA6">
              <w:rPr>
                <w:rFonts w:eastAsia="Calibri"/>
                <w:bCs/>
                <w:noProof/>
                <w:sz w:val="22"/>
                <w:szCs w:val="22"/>
                <w:lang w:val="sr-Latn-ME"/>
              </w:rPr>
              <w:t>440</w:t>
            </w:r>
          </w:p>
        </w:tc>
      </w:tr>
      <w:tr w:rsidR="00143607" w:rsidRPr="00F85CA6" w14:paraId="5B9EF29F" w14:textId="77777777" w:rsidTr="001239C3">
        <w:tc>
          <w:tcPr>
            <w:tcW w:w="2252" w:type="dxa"/>
          </w:tcPr>
          <w:p w14:paraId="6CB5D50E" w14:textId="77777777" w:rsidR="00143607" w:rsidRPr="00F85CA6" w:rsidRDefault="00143607" w:rsidP="00685312">
            <w:pPr>
              <w:spacing w:after="160" w:line="259" w:lineRule="auto"/>
              <w:jc w:val="center"/>
              <w:rPr>
                <w:rFonts w:eastAsia="Calibri"/>
                <w:bCs/>
                <w:noProof/>
                <w:sz w:val="22"/>
                <w:szCs w:val="22"/>
                <w:lang w:val="sr-Latn-ME"/>
              </w:rPr>
            </w:pPr>
            <w:r w:rsidRPr="00F85CA6">
              <w:rPr>
                <w:rFonts w:eastAsia="Calibri"/>
                <w:bCs/>
                <w:noProof/>
                <w:sz w:val="22"/>
                <w:szCs w:val="22"/>
                <w:lang w:val="sr-Latn-ME"/>
              </w:rPr>
              <w:t>51 do &lt; 61</w:t>
            </w:r>
          </w:p>
        </w:tc>
        <w:tc>
          <w:tcPr>
            <w:tcW w:w="2254" w:type="dxa"/>
          </w:tcPr>
          <w:p w14:paraId="16BB7A37" w14:textId="77777777" w:rsidR="00143607" w:rsidRPr="00F85CA6" w:rsidRDefault="00143607" w:rsidP="00685312">
            <w:pPr>
              <w:spacing w:after="160" w:line="259" w:lineRule="auto"/>
              <w:jc w:val="center"/>
              <w:rPr>
                <w:rFonts w:eastAsia="Calibri"/>
                <w:bCs/>
                <w:noProof/>
                <w:sz w:val="22"/>
                <w:szCs w:val="22"/>
                <w:lang w:val="sr-Latn-ME"/>
              </w:rPr>
            </w:pPr>
            <w:r w:rsidRPr="00F85CA6">
              <w:rPr>
                <w:rFonts w:eastAsia="Calibri"/>
                <w:bCs/>
                <w:noProof/>
                <w:sz w:val="22"/>
                <w:szCs w:val="22"/>
                <w:lang w:val="sr-Latn-ME"/>
              </w:rPr>
              <w:t>8 do &lt; 18</w:t>
            </w:r>
          </w:p>
        </w:tc>
        <w:tc>
          <w:tcPr>
            <w:tcW w:w="2257" w:type="dxa"/>
          </w:tcPr>
          <w:p w14:paraId="314C5AD6" w14:textId="77777777" w:rsidR="00143607" w:rsidRPr="00F85CA6" w:rsidRDefault="00143607" w:rsidP="00143607">
            <w:pPr>
              <w:spacing w:after="160" w:line="259" w:lineRule="auto"/>
              <w:jc w:val="center"/>
              <w:rPr>
                <w:rFonts w:eastAsia="Calibri"/>
                <w:bCs/>
                <w:noProof/>
                <w:sz w:val="22"/>
                <w:szCs w:val="22"/>
                <w:lang w:val="sr-Latn-ME"/>
              </w:rPr>
            </w:pPr>
            <w:r w:rsidRPr="00F85CA6">
              <w:rPr>
                <w:rFonts w:eastAsia="Calibri"/>
                <w:bCs/>
                <w:noProof/>
                <w:sz w:val="22"/>
                <w:szCs w:val="22"/>
                <w:lang w:val="sr-Latn-ME"/>
              </w:rPr>
              <w:t>260</w:t>
            </w:r>
          </w:p>
        </w:tc>
        <w:tc>
          <w:tcPr>
            <w:tcW w:w="2253" w:type="dxa"/>
          </w:tcPr>
          <w:p w14:paraId="594588D3" w14:textId="77777777" w:rsidR="00143607" w:rsidRPr="00F85CA6" w:rsidRDefault="00143607" w:rsidP="00143607">
            <w:pPr>
              <w:spacing w:after="160" w:line="259" w:lineRule="auto"/>
              <w:jc w:val="center"/>
              <w:rPr>
                <w:rFonts w:eastAsia="Calibri"/>
                <w:bCs/>
                <w:noProof/>
                <w:sz w:val="22"/>
                <w:szCs w:val="22"/>
                <w:lang w:val="sr-Latn-ME"/>
              </w:rPr>
            </w:pPr>
            <w:r w:rsidRPr="00F85CA6">
              <w:rPr>
                <w:rFonts w:eastAsia="Calibri"/>
                <w:bCs/>
                <w:noProof/>
                <w:sz w:val="22"/>
                <w:szCs w:val="22"/>
                <w:lang w:val="sr-Latn-ME"/>
              </w:rPr>
              <w:t>520</w:t>
            </w:r>
          </w:p>
        </w:tc>
      </w:tr>
      <w:tr w:rsidR="00143607" w:rsidRPr="00F85CA6" w14:paraId="4EE3FAE7" w14:textId="77777777" w:rsidTr="001239C3">
        <w:tc>
          <w:tcPr>
            <w:tcW w:w="2252" w:type="dxa"/>
          </w:tcPr>
          <w:p w14:paraId="7BCEB425" w14:textId="77777777" w:rsidR="00143607" w:rsidRPr="00F85CA6" w:rsidRDefault="00143607" w:rsidP="00685312">
            <w:pPr>
              <w:spacing w:after="160" w:line="259" w:lineRule="auto"/>
              <w:jc w:val="center"/>
              <w:rPr>
                <w:rFonts w:eastAsia="Calibri"/>
                <w:bCs/>
                <w:noProof/>
                <w:sz w:val="22"/>
                <w:szCs w:val="22"/>
                <w:lang w:val="sr-Latn-ME"/>
              </w:rPr>
            </w:pPr>
            <w:r w:rsidRPr="00F85CA6">
              <w:rPr>
                <w:rFonts w:eastAsia="Calibri"/>
                <w:bCs/>
                <w:noProof/>
                <w:sz w:val="22"/>
                <w:szCs w:val="22"/>
                <w:lang w:val="sr-Latn-ME"/>
              </w:rPr>
              <w:t>61 do &lt; 71</w:t>
            </w:r>
          </w:p>
        </w:tc>
        <w:tc>
          <w:tcPr>
            <w:tcW w:w="2254" w:type="dxa"/>
          </w:tcPr>
          <w:p w14:paraId="43E1EF58" w14:textId="77777777" w:rsidR="00143607" w:rsidRPr="00F85CA6" w:rsidRDefault="00143607" w:rsidP="00685312">
            <w:pPr>
              <w:spacing w:after="160" w:line="259" w:lineRule="auto"/>
              <w:jc w:val="center"/>
              <w:rPr>
                <w:rFonts w:eastAsia="Calibri"/>
                <w:bCs/>
                <w:noProof/>
                <w:sz w:val="22"/>
                <w:szCs w:val="22"/>
                <w:lang w:val="sr-Latn-ME"/>
              </w:rPr>
            </w:pPr>
            <w:r w:rsidRPr="00F85CA6">
              <w:rPr>
                <w:rFonts w:eastAsia="Calibri"/>
                <w:bCs/>
                <w:noProof/>
                <w:sz w:val="22"/>
                <w:szCs w:val="22"/>
                <w:lang w:val="sr-Latn-ME"/>
              </w:rPr>
              <w:t>8 do &lt; 18</w:t>
            </w:r>
          </w:p>
        </w:tc>
        <w:tc>
          <w:tcPr>
            <w:tcW w:w="2257" w:type="dxa"/>
          </w:tcPr>
          <w:p w14:paraId="4DA7DF34" w14:textId="77777777" w:rsidR="00143607" w:rsidRPr="00F85CA6" w:rsidRDefault="00143607" w:rsidP="00143607">
            <w:pPr>
              <w:spacing w:after="160" w:line="259" w:lineRule="auto"/>
              <w:jc w:val="center"/>
              <w:rPr>
                <w:rFonts w:eastAsia="Calibri"/>
                <w:bCs/>
                <w:noProof/>
                <w:sz w:val="22"/>
                <w:szCs w:val="22"/>
                <w:lang w:val="sr-Latn-ME"/>
              </w:rPr>
            </w:pPr>
            <w:r w:rsidRPr="00F85CA6">
              <w:rPr>
                <w:rFonts w:eastAsia="Calibri"/>
                <w:bCs/>
                <w:noProof/>
                <w:sz w:val="22"/>
                <w:szCs w:val="22"/>
                <w:lang w:val="sr-Latn-ME"/>
              </w:rPr>
              <w:t>300</w:t>
            </w:r>
          </w:p>
        </w:tc>
        <w:tc>
          <w:tcPr>
            <w:tcW w:w="2253" w:type="dxa"/>
          </w:tcPr>
          <w:p w14:paraId="3C2ABEBC" w14:textId="77777777" w:rsidR="00143607" w:rsidRPr="00F85CA6" w:rsidRDefault="00143607" w:rsidP="00143607">
            <w:pPr>
              <w:spacing w:after="160" w:line="259" w:lineRule="auto"/>
              <w:jc w:val="center"/>
              <w:rPr>
                <w:rFonts w:eastAsia="Calibri"/>
                <w:bCs/>
                <w:noProof/>
                <w:sz w:val="22"/>
                <w:szCs w:val="22"/>
                <w:lang w:val="sr-Latn-ME"/>
              </w:rPr>
            </w:pPr>
            <w:r w:rsidRPr="00F85CA6">
              <w:rPr>
                <w:rFonts w:eastAsia="Calibri"/>
                <w:bCs/>
                <w:noProof/>
                <w:sz w:val="22"/>
                <w:szCs w:val="22"/>
                <w:lang w:val="sr-Latn-ME"/>
              </w:rPr>
              <w:t>600</w:t>
            </w:r>
          </w:p>
        </w:tc>
      </w:tr>
      <w:tr w:rsidR="00143607" w:rsidRPr="00F85CA6" w14:paraId="764EC8EC" w14:textId="77777777" w:rsidTr="001239C3">
        <w:tc>
          <w:tcPr>
            <w:tcW w:w="2252" w:type="dxa"/>
          </w:tcPr>
          <w:p w14:paraId="1B1D4A22" w14:textId="77777777" w:rsidR="00143607" w:rsidRPr="00F85CA6" w:rsidRDefault="00143607" w:rsidP="00685312">
            <w:pPr>
              <w:spacing w:after="160" w:line="259" w:lineRule="auto"/>
              <w:jc w:val="center"/>
              <w:rPr>
                <w:rFonts w:eastAsia="Calibri"/>
                <w:bCs/>
                <w:noProof/>
                <w:sz w:val="22"/>
                <w:szCs w:val="22"/>
                <w:lang w:val="sr-Latn-ME"/>
              </w:rPr>
            </w:pPr>
            <w:r w:rsidRPr="00F85CA6">
              <w:rPr>
                <w:rFonts w:eastAsia="Calibri"/>
                <w:bCs/>
                <w:noProof/>
                <w:sz w:val="22"/>
                <w:szCs w:val="22"/>
                <w:lang w:val="sr-Latn-ME"/>
              </w:rPr>
              <w:t>71 do &lt; 81</w:t>
            </w:r>
          </w:p>
        </w:tc>
        <w:tc>
          <w:tcPr>
            <w:tcW w:w="2254" w:type="dxa"/>
          </w:tcPr>
          <w:p w14:paraId="4DB1C880" w14:textId="77777777" w:rsidR="00143607" w:rsidRPr="00F85CA6" w:rsidRDefault="00143607" w:rsidP="00685312">
            <w:pPr>
              <w:spacing w:after="160" w:line="259" w:lineRule="auto"/>
              <w:jc w:val="center"/>
              <w:rPr>
                <w:rFonts w:eastAsia="Calibri"/>
                <w:bCs/>
                <w:noProof/>
                <w:sz w:val="22"/>
                <w:szCs w:val="22"/>
                <w:lang w:val="sr-Latn-ME"/>
              </w:rPr>
            </w:pPr>
            <w:r w:rsidRPr="00F85CA6">
              <w:rPr>
                <w:rFonts w:eastAsia="Calibri"/>
                <w:bCs/>
                <w:noProof/>
                <w:sz w:val="22"/>
                <w:szCs w:val="22"/>
                <w:lang w:val="sr-Latn-ME"/>
              </w:rPr>
              <w:t>8 do &lt; 18</w:t>
            </w:r>
          </w:p>
        </w:tc>
        <w:tc>
          <w:tcPr>
            <w:tcW w:w="2257" w:type="dxa"/>
          </w:tcPr>
          <w:p w14:paraId="3865C1A6" w14:textId="77777777" w:rsidR="00143607" w:rsidRPr="00F85CA6" w:rsidRDefault="00143607" w:rsidP="00143607">
            <w:pPr>
              <w:spacing w:after="160" w:line="259" w:lineRule="auto"/>
              <w:jc w:val="center"/>
              <w:rPr>
                <w:rFonts w:eastAsia="Calibri"/>
                <w:bCs/>
                <w:noProof/>
                <w:sz w:val="22"/>
                <w:szCs w:val="22"/>
                <w:lang w:val="sr-Latn-ME"/>
              </w:rPr>
            </w:pPr>
            <w:r w:rsidRPr="00F85CA6">
              <w:rPr>
                <w:rFonts w:eastAsia="Calibri"/>
                <w:bCs/>
                <w:noProof/>
                <w:sz w:val="22"/>
                <w:szCs w:val="22"/>
                <w:lang w:val="sr-Latn-ME"/>
              </w:rPr>
              <w:t>300</w:t>
            </w:r>
          </w:p>
        </w:tc>
        <w:tc>
          <w:tcPr>
            <w:tcW w:w="2253" w:type="dxa"/>
          </w:tcPr>
          <w:p w14:paraId="32C2CD67" w14:textId="77777777" w:rsidR="00143607" w:rsidRPr="00F85CA6" w:rsidRDefault="00143607" w:rsidP="00143607">
            <w:pPr>
              <w:spacing w:after="160" w:line="259" w:lineRule="auto"/>
              <w:jc w:val="center"/>
              <w:rPr>
                <w:rFonts w:eastAsia="Calibri"/>
                <w:bCs/>
                <w:noProof/>
                <w:sz w:val="22"/>
                <w:szCs w:val="22"/>
                <w:lang w:val="sr-Latn-ME"/>
              </w:rPr>
            </w:pPr>
            <w:r w:rsidRPr="00F85CA6">
              <w:rPr>
                <w:rFonts w:eastAsia="Calibri"/>
                <w:bCs/>
                <w:noProof/>
                <w:sz w:val="22"/>
                <w:szCs w:val="22"/>
                <w:lang w:val="sr-Latn-ME"/>
              </w:rPr>
              <w:t>600</w:t>
            </w:r>
          </w:p>
        </w:tc>
      </w:tr>
      <w:tr w:rsidR="00143607" w:rsidRPr="00F85CA6" w14:paraId="34A996B9" w14:textId="77777777" w:rsidTr="001239C3">
        <w:tc>
          <w:tcPr>
            <w:tcW w:w="2252" w:type="dxa"/>
          </w:tcPr>
          <w:p w14:paraId="477F0423" w14:textId="77777777" w:rsidR="00143607" w:rsidRPr="00F85CA6" w:rsidRDefault="00143607" w:rsidP="00685312">
            <w:pPr>
              <w:spacing w:after="160" w:line="259" w:lineRule="auto"/>
              <w:jc w:val="center"/>
              <w:rPr>
                <w:rFonts w:eastAsia="Calibri"/>
                <w:bCs/>
                <w:noProof/>
                <w:sz w:val="22"/>
                <w:szCs w:val="22"/>
                <w:lang w:val="sr-Latn-ME"/>
              </w:rPr>
            </w:pPr>
            <w:r w:rsidRPr="00F85CA6">
              <w:rPr>
                <w:rFonts w:eastAsia="Calibri"/>
                <w:bCs/>
                <w:noProof/>
                <w:sz w:val="22"/>
                <w:szCs w:val="22"/>
                <w:lang w:val="sr-Latn-ME"/>
              </w:rPr>
              <w:t>&gt; 81</w:t>
            </w:r>
          </w:p>
        </w:tc>
        <w:tc>
          <w:tcPr>
            <w:tcW w:w="2254" w:type="dxa"/>
          </w:tcPr>
          <w:p w14:paraId="6ECE9D09" w14:textId="77777777" w:rsidR="00143607" w:rsidRPr="00F85CA6" w:rsidRDefault="00143607" w:rsidP="00685312">
            <w:pPr>
              <w:spacing w:after="160" w:line="259" w:lineRule="auto"/>
              <w:jc w:val="center"/>
              <w:rPr>
                <w:rFonts w:eastAsia="Calibri"/>
                <w:bCs/>
                <w:noProof/>
                <w:sz w:val="22"/>
                <w:szCs w:val="22"/>
                <w:lang w:val="sr-Latn-ME"/>
              </w:rPr>
            </w:pPr>
            <w:r w:rsidRPr="00F85CA6">
              <w:rPr>
                <w:rFonts w:eastAsia="Calibri"/>
                <w:bCs/>
                <w:noProof/>
                <w:sz w:val="22"/>
                <w:szCs w:val="22"/>
                <w:lang w:val="sr-Latn-ME"/>
              </w:rPr>
              <w:t>10 do &lt; 18</w:t>
            </w:r>
          </w:p>
        </w:tc>
        <w:tc>
          <w:tcPr>
            <w:tcW w:w="2257" w:type="dxa"/>
          </w:tcPr>
          <w:p w14:paraId="076B58CF" w14:textId="77777777" w:rsidR="00143607" w:rsidRPr="00F85CA6" w:rsidRDefault="00143607" w:rsidP="00143607">
            <w:pPr>
              <w:spacing w:after="160" w:line="259" w:lineRule="auto"/>
              <w:jc w:val="center"/>
              <w:rPr>
                <w:rFonts w:eastAsia="Calibri"/>
                <w:bCs/>
                <w:noProof/>
                <w:sz w:val="22"/>
                <w:szCs w:val="22"/>
                <w:lang w:val="sr-Latn-ME"/>
              </w:rPr>
            </w:pPr>
            <w:r w:rsidRPr="00F85CA6">
              <w:rPr>
                <w:rFonts w:eastAsia="Calibri"/>
                <w:bCs/>
                <w:noProof/>
                <w:sz w:val="22"/>
                <w:szCs w:val="22"/>
                <w:lang w:val="sr-Latn-ME"/>
              </w:rPr>
              <w:t>300</w:t>
            </w:r>
          </w:p>
        </w:tc>
        <w:tc>
          <w:tcPr>
            <w:tcW w:w="2253" w:type="dxa"/>
          </w:tcPr>
          <w:p w14:paraId="3C3ABE76" w14:textId="77777777" w:rsidR="00143607" w:rsidRPr="00F85CA6" w:rsidRDefault="00143607" w:rsidP="00143607">
            <w:pPr>
              <w:spacing w:after="160" w:line="259" w:lineRule="auto"/>
              <w:jc w:val="center"/>
              <w:rPr>
                <w:rFonts w:eastAsia="Calibri"/>
                <w:bCs/>
                <w:noProof/>
                <w:sz w:val="22"/>
                <w:szCs w:val="22"/>
                <w:lang w:val="sr-Latn-ME"/>
              </w:rPr>
            </w:pPr>
            <w:r w:rsidRPr="00F85CA6">
              <w:rPr>
                <w:rFonts w:eastAsia="Calibri"/>
                <w:bCs/>
                <w:noProof/>
                <w:sz w:val="22"/>
                <w:szCs w:val="22"/>
                <w:lang w:val="sr-Latn-ME"/>
              </w:rPr>
              <w:t>600</w:t>
            </w:r>
          </w:p>
        </w:tc>
      </w:tr>
    </w:tbl>
    <w:p w14:paraId="69081996" w14:textId="77777777" w:rsidR="00143607" w:rsidRPr="00F85CA6" w:rsidRDefault="00143607" w:rsidP="00143607">
      <w:pPr>
        <w:jc w:val="both"/>
        <w:rPr>
          <w:rFonts w:eastAsia="Calibri"/>
          <w:bCs/>
          <w:sz w:val="22"/>
          <w:szCs w:val="22"/>
          <w:lang w:val="sr-Latn-ME" w:bidi="en-US"/>
        </w:rPr>
      </w:pPr>
      <w:r w:rsidRPr="00F85CA6">
        <w:rPr>
          <w:rFonts w:eastAsia="Calibri"/>
          <w:bCs/>
          <w:sz w:val="22"/>
          <w:szCs w:val="22"/>
          <w:lang w:val="sr-Latn-ME" w:bidi="en-US"/>
        </w:rPr>
        <w:t>Pojedinačne doze za koje su potrebne kombinacije više od jedne kapsule:</w:t>
      </w:r>
    </w:p>
    <w:p w14:paraId="76CA7C49" w14:textId="129BA50F" w:rsidR="00143607" w:rsidRPr="00F85CA6" w:rsidRDefault="00143607" w:rsidP="00143607">
      <w:pPr>
        <w:jc w:val="both"/>
        <w:rPr>
          <w:rFonts w:eastAsia="Calibri"/>
          <w:bCs/>
          <w:sz w:val="22"/>
          <w:szCs w:val="22"/>
          <w:lang w:val="sr-Latn-ME" w:bidi="en-US"/>
        </w:rPr>
      </w:pPr>
      <w:r w:rsidRPr="00F85CA6">
        <w:rPr>
          <w:rFonts w:eastAsia="Calibri"/>
          <w:bCs/>
          <w:sz w:val="22"/>
          <w:szCs w:val="22"/>
          <w:lang w:val="sr-Latn-ME" w:bidi="en-US"/>
        </w:rPr>
        <w:t>300 mg: dv</w:t>
      </w:r>
      <w:r w:rsidR="007B3116" w:rsidRPr="00F85CA6">
        <w:rPr>
          <w:rFonts w:eastAsia="Calibri"/>
          <w:bCs/>
          <w:sz w:val="22"/>
          <w:szCs w:val="22"/>
          <w:lang w:val="sr-Latn-ME" w:bidi="en-US"/>
        </w:rPr>
        <w:t>ij</w:t>
      </w:r>
      <w:r w:rsidRPr="00F85CA6">
        <w:rPr>
          <w:rFonts w:eastAsia="Calibri"/>
          <w:bCs/>
          <w:sz w:val="22"/>
          <w:szCs w:val="22"/>
          <w:lang w:val="sr-Latn-ME" w:bidi="en-US"/>
        </w:rPr>
        <w:t>e kapsule od 150 mg ili</w:t>
      </w:r>
    </w:p>
    <w:p w14:paraId="2F47059E" w14:textId="21B8EA05" w:rsidR="007B3116" w:rsidRPr="00F85CA6" w:rsidRDefault="00143607" w:rsidP="007B3116">
      <w:pPr>
        <w:ind w:firstLine="720"/>
        <w:jc w:val="both"/>
        <w:rPr>
          <w:rFonts w:eastAsia="Calibri"/>
          <w:bCs/>
          <w:sz w:val="22"/>
          <w:szCs w:val="22"/>
          <w:lang w:val="sr-Latn-ME" w:bidi="en-US"/>
        </w:rPr>
      </w:pPr>
      <w:r w:rsidRPr="00F85CA6">
        <w:rPr>
          <w:rFonts w:eastAsia="Calibri"/>
          <w:bCs/>
          <w:sz w:val="22"/>
          <w:szCs w:val="22"/>
          <w:lang w:val="sr-Latn-ME" w:bidi="en-US"/>
        </w:rPr>
        <w:t xml:space="preserve"> četiri kapsule od 75 mg</w:t>
      </w:r>
    </w:p>
    <w:p w14:paraId="4586A806" w14:textId="77777777" w:rsidR="00143607" w:rsidRPr="00F85CA6" w:rsidRDefault="00143607" w:rsidP="00143607">
      <w:pPr>
        <w:jc w:val="both"/>
        <w:rPr>
          <w:rFonts w:eastAsia="Calibri"/>
          <w:bCs/>
          <w:sz w:val="22"/>
          <w:szCs w:val="22"/>
          <w:lang w:val="sr-Latn-ME" w:bidi="en-US"/>
        </w:rPr>
      </w:pPr>
      <w:r w:rsidRPr="00F85CA6">
        <w:rPr>
          <w:rFonts w:eastAsia="Calibri"/>
          <w:bCs/>
          <w:sz w:val="22"/>
          <w:szCs w:val="22"/>
          <w:lang w:val="sr-Latn-ME" w:bidi="en-US"/>
        </w:rPr>
        <w:t>260 mg: jedna kapsula od 110 mg plus jedna kapsula od 150 mg ili</w:t>
      </w:r>
    </w:p>
    <w:p w14:paraId="0EF8F782" w14:textId="242A5661" w:rsidR="007B3116" w:rsidRPr="00F85CA6" w:rsidRDefault="00143607" w:rsidP="007B3116">
      <w:pPr>
        <w:ind w:firstLine="720"/>
        <w:jc w:val="both"/>
        <w:rPr>
          <w:rFonts w:eastAsia="Calibri"/>
          <w:bCs/>
          <w:sz w:val="22"/>
          <w:szCs w:val="22"/>
          <w:lang w:val="sr-Latn-ME" w:bidi="en-US"/>
        </w:rPr>
      </w:pPr>
      <w:r w:rsidRPr="00F85CA6">
        <w:rPr>
          <w:rFonts w:eastAsia="Calibri"/>
          <w:bCs/>
          <w:sz w:val="22"/>
          <w:szCs w:val="22"/>
          <w:lang w:val="sr-Latn-ME" w:bidi="en-US"/>
        </w:rPr>
        <w:t xml:space="preserve"> jedna kapsula od 110 mg plus dv</w:t>
      </w:r>
      <w:r w:rsidR="007B3116" w:rsidRPr="00F85CA6">
        <w:rPr>
          <w:rFonts w:eastAsia="Calibri"/>
          <w:bCs/>
          <w:sz w:val="22"/>
          <w:szCs w:val="22"/>
          <w:lang w:val="sr-Latn-ME" w:bidi="en-US"/>
        </w:rPr>
        <w:t>ij</w:t>
      </w:r>
      <w:r w:rsidRPr="00F85CA6">
        <w:rPr>
          <w:rFonts w:eastAsia="Calibri"/>
          <w:bCs/>
          <w:sz w:val="22"/>
          <w:szCs w:val="22"/>
          <w:lang w:val="sr-Latn-ME" w:bidi="en-US"/>
        </w:rPr>
        <w:t>e kapsule od 75 mg</w:t>
      </w:r>
    </w:p>
    <w:p w14:paraId="5450C257" w14:textId="151FDF4F" w:rsidR="00143607" w:rsidRPr="00F85CA6" w:rsidRDefault="00143607" w:rsidP="00143607">
      <w:pPr>
        <w:jc w:val="both"/>
        <w:rPr>
          <w:rFonts w:eastAsia="Calibri"/>
          <w:bCs/>
          <w:sz w:val="22"/>
          <w:szCs w:val="22"/>
          <w:lang w:val="sr-Latn-ME" w:bidi="en-US"/>
        </w:rPr>
      </w:pPr>
      <w:r w:rsidRPr="00F85CA6">
        <w:rPr>
          <w:rFonts w:eastAsia="Calibri"/>
          <w:bCs/>
          <w:sz w:val="22"/>
          <w:szCs w:val="22"/>
          <w:lang w:val="sr-Latn-ME" w:bidi="en-US"/>
        </w:rPr>
        <w:t>220 mg: dv</w:t>
      </w:r>
      <w:r w:rsidR="007B3116" w:rsidRPr="00F85CA6">
        <w:rPr>
          <w:rFonts w:eastAsia="Calibri"/>
          <w:bCs/>
          <w:sz w:val="22"/>
          <w:szCs w:val="22"/>
          <w:lang w:val="sr-Latn-ME" w:bidi="en-US"/>
        </w:rPr>
        <w:t>ij</w:t>
      </w:r>
      <w:r w:rsidRPr="00F85CA6">
        <w:rPr>
          <w:rFonts w:eastAsia="Calibri"/>
          <w:bCs/>
          <w:sz w:val="22"/>
          <w:szCs w:val="22"/>
          <w:lang w:val="sr-Latn-ME" w:bidi="en-US"/>
        </w:rPr>
        <w:t>e kapsule od 110 mg</w:t>
      </w:r>
    </w:p>
    <w:p w14:paraId="393C543B" w14:textId="5BA2432D" w:rsidR="00143607" w:rsidRPr="00F85CA6" w:rsidRDefault="00143607" w:rsidP="00143607">
      <w:pPr>
        <w:jc w:val="both"/>
        <w:rPr>
          <w:rFonts w:eastAsia="Calibri"/>
          <w:bCs/>
          <w:sz w:val="22"/>
          <w:szCs w:val="22"/>
          <w:lang w:val="sr-Latn-ME" w:bidi="en-US"/>
        </w:rPr>
      </w:pPr>
      <w:r w:rsidRPr="00F85CA6">
        <w:rPr>
          <w:rFonts w:eastAsia="Calibri"/>
          <w:bCs/>
          <w:sz w:val="22"/>
          <w:szCs w:val="22"/>
          <w:lang w:val="sr-Latn-ME" w:bidi="en-US"/>
        </w:rPr>
        <w:lastRenderedPageBreak/>
        <w:t>185 mg: jedna kapsula od 75 mg</w:t>
      </w:r>
      <w:r w:rsidR="00C274C1" w:rsidRPr="00F85CA6">
        <w:rPr>
          <w:rFonts w:eastAsia="Calibri"/>
          <w:bCs/>
          <w:sz w:val="22"/>
          <w:szCs w:val="22"/>
          <w:lang w:val="sr-Latn-ME" w:bidi="en-US"/>
        </w:rPr>
        <w:t xml:space="preserve"> </w:t>
      </w:r>
      <w:r w:rsidRPr="00F85CA6">
        <w:rPr>
          <w:rFonts w:eastAsia="Calibri"/>
          <w:bCs/>
          <w:sz w:val="22"/>
          <w:szCs w:val="22"/>
          <w:lang w:val="sr-Latn-ME" w:bidi="en-US"/>
        </w:rPr>
        <w:t>plus jedna kapsula od 110 mg</w:t>
      </w:r>
    </w:p>
    <w:p w14:paraId="4D7034D4" w14:textId="18EFA473" w:rsidR="00143607" w:rsidRPr="00F85CA6" w:rsidRDefault="00143607" w:rsidP="00685312">
      <w:pPr>
        <w:jc w:val="both"/>
        <w:rPr>
          <w:rFonts w:eastAsia="Calibri"/>
          <w:bCs/>
          <w:sz w:val="22"/>
          <w:szCs w:val="22"/>
          <w:lang w:val="sr-Latn-ME" w:bidi="en-US"/>
        </w:rPr>
      </w:pPr>
      <w:r w:rsidRPr="00F85CA6">
        <w:rPr>
          <w:rFonts w:eastAsia="Calibri"/>
          <w:bCs/>
          <w:sz w:val="22"/>
          <w:szCs w:val="22"/>
          <w:lang w:val="sr-Latn-ME" w:bidi="en-US"/>
        </w:rPr>
        <w:t>150 mg: jedna kapsula od 150 mg ili dv</w:t>
      </w:r>
      <w:r w:rsidR="007B3116" w:rsidRPr="00F85CA6">
        <w:rPr>
          <w:rFonts w:eastAsia="Calibri"/>
          <w:bCs/>
          <w:sz w:val="22"/>
          <w:szCs w:val="22"/>
          <w:lang w:val="sr-Latn-ME" w:bidi="en-US"/>
        </w:rPr>
        <w:t>ij</w:t>
      </w:r>
      <w:r w:rsidRPr="00F85CA6">
        <w:rPr>
          <w:rFonts w:eastAsia="Calibri"/>
          <w:bCs/>
          <w:sz w:val="22"/>
          <w:szCs w:val="22"/>
          <w:lang w:val="sr-Latn-ME" w:bidi="en-US"/>
        </w:rPr>
        <w:t>e kapsule od 75 mg</w:t>
      </w:r>
    </w:p>
    <w:p w14:paraId="64A795E2" w14:textId="77777777" w:rsidR="00143607" w:rsidRPr="00F85CA6" w:rsidRDefault="00143607" w:rsidP="00143607">
      <w:pPr>
        <w:jc w:val="both"/>
        <w:rPr>
          <w:rFonts w:eastAsia="Calibri"/>
          <w:sz w:val="22"/>
          <w:szCs w:val="22"/>
          <w:lang w:val="sr-Latn-ME" w:bidi="en-US"/>
        </w:rPr>
      </w:pPr>
    </w:p>
    <w:p w14:paraId="0C2DFC63" w14:textId="035B18BB" w:rsidR="00143607" w:rsidRPr="00F85CA6" w:rsidRDefault="00143607" w:rsidP="00143607">
      <w:pPr>
        <w:jc w:val="both"/>
        <w:rPr>
          <w:rFonts w:eastAsia="Calibri"/>
          <w:sz w:val="22"/>
          <w:szCs w:val="22"/>
          <w:lang w:val="sr-Latn-ME" w:bidi="en-US"/>
        </w:rPr>
      </w:pPr>
      <w:r w:rsidRPr="00F85CA6">
        <w:rPr>
          <w:rFonts w:eastAsia="Calibri"/>
          <w:sz w:val="22"/>
          <w:szCs w:val="22"/>
          <w:lang w:val="sr-Latn-ME" w:bidi="en-US"/>
        </w:rPr>
        <w:t xml:space="preserve">*Doza </w:t>
      </w:r>
      <w:r w:rsidR="003E5AF3" w:rsidRPr="00F85CA6">
        <w:rPr>
          <w:rFonts w:eastAsia="Calibri"/>
          <w:sz w:val="22"/>
          <w:szCs w:val="22"/>
          <w:lang w:val="sr-Latn-ME" w:bidi="en-US"/>
        </w:rPr>
        <w:t>lijek</w:t>
      </w:r>
      <w:r w:rsidRPr="00F85CA6">
        <w:rPr>
          <w:rFonts w:eastAsia="Calibri"/>
          <w:sz w:val="22"/>
          <w:szCs w:val="22"/>
          <w:lang w:val="sr-Latn-ME" w:bidi="en-US"/>
        </w:rPr>
        <w:t>a BEREVIN od 75 mg nije dostupna, stoga to nije pogodno za gore</w:t>
      </w:r>
      <w:r w:rsidR="007904F4" w:rsidRPr="00F85CA6">
        <w:rPr>
          <w:rFonts w:eastAsia="Calibri"/>
          <w:sz w:val="22"/>
          <w:szCs w:val="22"/>
          <w:lang w:val="sr-Latn-ME" w:bidi="en-US"/>
        </w:rPr>
        <w:t xml:space="preserve"> </w:t>
      </w:r>
      <w:r w:rsidRPr="00F85CA6">
        <w:rPr>
          <w:rFonts w:eastAsia="Calibri"/>
          <w:sz w:val="22"/>
          <w:szCs w:val="22"/>
          <w:lang w:val="sr-Latn-ME" w:bidi="en-US"/>
        </w:rPr>
        <w:t xml:space="preserve">navedene grupe pacijenata. Za te pacijente treba koristiti druge </w:t>
      </w:r>
      <w:r w:rsidR="003E5AF3" w:rsidRPr="00F85CA6">
        <w:rPr>
          <w:rFonts w:eastAsia="Calibri"/>
          <w:sz w:val="22"/>
          <w:szCs w:val="22"/>
          <w:lang w:val="sr-Latn-ME" w:bidi="en-US"/>
        </w:rPr>
        <w:t>ljek</w:t>
      </w:r>
      <w:r w:rsidRPr="00F85CA6">
        <w:rPr>
          <w:rFonts w:eastAsia="Calibri"/>
          <w:sz w:val="22"/>
          <w:szCs w:val="22"/>
          <w:lang w:val="sr-Latn-ME" w:bidi="en-US"/>
        </w:rPr>
        <w:t>ove koji sadrže 75 mg dabigatraneteksilata.</w:t>
      </w:r>
    </w:p>
    <w:p w14:paraId="5B380A0D" w14:textId="77777777" w:rsidR="00143607" w:rsidRPr="00F85CA6" w:rsidRDefault="00143607" w:rsidP="00143607">
      <w:pPr>
        <w:jc w:val="both"/>
        <w:rPr>
          <w:rFonts w:eastAsia="Calibri"/>
          <w:sz w:val="22"/>
          <w:szCs w:val="22"/>
          <w:lang w:val="sr-Latn-ME" w:bidi="en-US"/>
        </w:rPr>
      </w:pPr>
    </w:p>
    <w:p w14:paraId="0FE67562" w14:textId="69975BAD" w:rsidR="00143607" w:rsidRPr="00F85CA6" w:rsidRDefault="00143607" w:rsidP="00143607">
      <w:pPr>
        <w:jc w:val="both"/>
        <w:rPr>
          <w:rFonts w:eastAsia="Calibri"/>
          <w:i/>
          <w:sz w:val="22"/>
          <w:szCs w:val="22"/>
          <w:u w:val="single"/>
          <w:lang w:val="sr-Latn-ME"/>
        </w:rPr>
      </w:pPr>
      <w:r w:rsidRPr="00F85CA6">
        <w:rPr>
          <w:rFonts w:eastAsia="Calibri"/>
          <w:i/>
          <w:sz w:val="22"/>
          <w:szCs w:val="22"/>
          <w:u w:val="single"/>
          <w:lang w:val="sr-Latn-ME"/>
        </w:rPr>
        <w:t>Proc</w:t>
      </w:r>
      <w:r w:rsidR="00765285" w:rsidRPr="00F85CA6">
        <w:rPr>
          <w:rFonts w:eastAsia="Calibri"/>
          <w:i/>
          <w:sz w:val="22"/>
          <w:szCs w:val="22"/>
          <w:u w:val="single"/>
          <w:lang w:val="sr-Latn-ME"/>
        </w:rPr>
        <w:t>j</w:t>
      </w:r>
      <w:r w:rsidRPr="00F85CA6">
        <w:rPr>
          <w:rFonts w:eastAsia="Calibri"/>
          <w:i/>
          <w:sz w:val="22"/>
          <w:szCs w:val="22"/>
          <w:u w:val="single"/>
          <w:lang w:val="sr-Latn-ME"/>
        </w:rPr>
        <w:t xml:space="preserve">ena funkcije bubrega </w:t>
      </w:r>
      <w:r w:rsidR="003E5AF3" w:rsidRPr="00F85CA6">
        <w:rPr>
          <w:rFonts w:eastAsia="Calibri"/>
          <w:i/>
          <w:sz w:val="22"/>
          <w:szCs w:val="22"/>
          <w:u w:val="single"/>
          <w:lang w:val="sr-Latn-ME"/>
        </w:rPr>
        <w:t>prije</w:t>
      </w:r>
      <w:r w:rsidRPr="00F85CA6">
        <w:rPr>
          <w:rFonts w:eastAsia="Calibri"/>
          <w:i/>
          <w:sz w:val="22"/>
          <w:szCs w:val="22"/>
          <w:u w:val="single"/>
          <w:lang w:val="sr-Latn-ME"/>
        </w:rPr>
        <w:t xml:space="preserve"> i tokom terapije</w:t>
      </w:r>
    </w:p>
    <w:p w14:paraId="1731F038" w14:textId="77777777" w:rsidR="00143607" w:rsidRPr="00F85CA6" w:rsidRDefault="00143607" w:rsidP="00143607">
      <w:pPr>
        <w:jc w:val="both"/>
        <w:rPr>
          <w:rFonts w:eastAsia="Calibri"/>
          <w:i/>
          <w:sz w:val="22"/>
          <w:szCs w:val="22"/>
          <w:u w:val="single"/>
          <w:lang w:val="sr-Latn-ME"/>
        </w:rPr>
      </w:pPr>
    </w:p>
    <w:p w14:paraId="71D94FFC" w14:textId="10BC5070" w:rsidR="00143607" w:rsidRPr="00F85CA6" w:rsidRDefault="003E5AF3" w:rsidP="00143607">
      <w:pPr>
        <w:jc w:val="both"/>
        <w:rPr>
          <w:rFonts w:eastAsia="Calibri"/>
          <w:sz w:val="22"/>
          <w:szCs w:val="22"/>
          <w:lang w:val="sr-Latn-ME"/>
        </w:rPr>
      </w:pPr>
      <w:r w:rsidRPr="00F85CA6">
        <w:rPr>
          <w:rFonts w:eastAsia="Calibri"/>
          <w:sz w:val="22"/>
          <w:szCs w:val="22"/>
          <w:lang w:val="sr-Latn-ME"/>
        </w:rPr>
        <w:t>Prije</w:t>
      </w:r>
      <w:r w:rsidR="00143607" w:rsidRPr="00F85CA6">
        <w:rPr>
          <w:rFonts w:eastAsia="Calibri"/>
          <w:sz w:val="22"/>
          <w:szCs w:val="22"/>
          <w:lang w:val="sr-Latn-ME"/>
        </w:rPr>
        <w:t xml:space="preserve"> početka terapije potrebno je odrediti proc</w:t>
      </w:r>
      <w:r w:rsidR="00B54F13" w:rsidRPr="00F85CA6">
        <w:rPr>
          <w:rFonts w:eastAsia="Calibri"/>
          <w:sz w:val="22"/>
          <w:szCs w:val="22"/>
          <w:lang w:val="sr-Latn-ME"/>
        </w:rPr>
        <w:t>i</w:t>
      </w:r>
      <w:r w:rsidR="00765285" w:rsidRPr="00F85CA6">
        <w:rPr>
          <w:rFonts w:eastAsia="Calibri"/>
          <w:sz w:val="22"/>
          <w:szCs w:val="22"/>
          <w:lang w:val="sr-Latn-ME"/>
        </w:rPr>
        <w:t>j</w:t>
      </w:r>
      <w:r w:rsidR="00143607" w:rsidRPr="00F85CA6">
        <w:rPr>
          <w:rFonts w:eastAsia="Calibri"/>
          <w:sz w:val="22"/>
          <w:szCs w:val="22"/>
          <w:lang w:val="sr-Latn-ME"/>
        </w:rPr>
        <w:t>enjenu brzinu glomerularne filtracije (</w:t>
      </w:r>
      <w:bookmarkStart w:id="6" w:name="_Hlk83032254"/>
      <w:r w:rsidR="00143607" w:rsidRPr="00F85CA6">
        <w:rPr>
          <w:rFonts w:eastAsia="Calibri"/>
          <w:sz w:val="22"/>
          <w:szCs w:val="22"/>
          <w:lang w:val="sr-Latn-ME"/>
        </w:rPr>
        <w:t xml:space="preserve">engl. </w:t>
      </w:r>
      <w:r w:rsidR="00143607" w:rsidRPr="00F85CA6">
        <w:rPr>
          <w:rFonts w:eastAsia="Calibri"/>
          <w:i/>
          <w:iCs/>
          <w:sz w:val="22"/>
          <w:szCs w:val="22"/>
          <w:lang w:val="sr-Latn-ME"/>
        </w:rPr>
        <w:t>estimated glomerular filtration rate</w:t>
      </w:r>
      <w:r w:rsidR="00143607" w:rsidRPr="00F85CA6">
        <w:rPr>
          <w:rFonts w:eastAsia="Calibri"/>
          <w:sz w:val="22"/>
          <w:szCs w:val="22"/>
          <w:lang w:val="sr-Latn-ME"/>
        </w:rPr>
        <w:t>,</w:t>
      </w:r>
      <w:bookmarkEnd w:id="6"/>
      <w:r w:rsidR="00143607" w:rsidRPr="00F85CA6">
        <w:rPr>
          <w:rFonts w:eastAsia="Calibri"/>
          <w:sz w:val="22"/>
          <w:szCs w:val="22"/>
          <w:lang w:val="sr-Latn-ME"/>
        </w:rPr>
        <w:t xml:space="preserve"> eGFR) prim</w:t>
      </w:r>
      <w:r w:rsidR="00765285" w:rsidRPr="00F85CA6">
        <w:rPr>
          <w:rFonts w:eastAsia="Calibri"/>
          <w:sz w:val="22"/>
          <w:szCs w:val="22"/>
          <w:lang w:val="sr-Latn-ME"/>
        </w:rPr>
        <w:t>j</w:t>
      </w:r>
      <w:r w:rsidR="00143607" w:rsidRPr="00F85CA6">
        <w:rPr>
          <w:rFonts w:eastAsia="Calibri"/>
          <w:sz w:val="22"/>
          <w:szCs w:val="22"/>
          <w:lang w:val="sr-Latn-ME"/>
        </w:rPr>
        <w:t xml:space="preserve">enom </w:t>
      </w:r>
      <w:r w:rsidR="00143607" w:rsidRPr="00F85CA6">
        <w:rPr>
          <w:rFonts w:eastAsia="Calibri"/>
          <w:i/>
          <w:iCs/>
          <w:sz w:val="22"/>
          <w:szCs w:val="22"/>
          <w:lang w:val="sr-Latn-ME"/>
        </w:rPr>
        <w:t>Schwartz-</w:t>
      </w:r>
      <w:r w:rsidR="00143607" w:rsidRPr="00F85CA6">
        <w:rPr>
          <w:rFonts w:eastAsia="Calibri"/>
          <w:sz w:val="22"/>
          <w:szCs w:val="22"/>
          <w:lang w:val="sr-Latn-ME"/>
        </w:rPr>
        <w:t xml:space="preserve">ove formule </w:t>
      </w:r>
      <w:r w:rsidR="00143607" w:rsidRPr="00F85CA6">
        <w:rPr>
          <w:rFonts w:eastAsia="Calibri"/>
          <w:bCs/>
          <w:sz w:val="22"/>
          <w:szCs w:val="22"/>
          <w:lang w:val="sr-Latn-ME"/>
        </w:rPr>
        <w:t>(prov</w:t>
      </w:r>
      <w:r w:rsidR="00C96D78" w:rsidRPr="00F85CA6">
        <w:rPr>
          <w:rFonts w:eastAsia="Calibri"/>
          <w:bCs/>
          <w:sz w:val="22"/>
          <w:szCs w:val="22"/>
          <w:lang w:val="sr-Latn-ME"/>
        </w:rPr>
        <w:t>j</w:t>
      </w:r>
      <w:r w:rsidR="00143607" w:rsidRPr="00F85CA6">
        <w:rPr>
          <w:rFonts w:eastAsia="Calibri"/>
          <w:bCs/>
          <w:sz w:val="22"/>
          <w:szCs w:val="22"/>
          <w:lang w:val="sr-Latn-ME"/>
        </w:rPr>
        <w:t>eriti u nadležnoj laboratoriji koja se metoda koristi za proc</w:t>
      </w:r>
      <w:r w:rsidR="00765285" w:rsidRPr="00F85CA6">
        <w:rPr>
          <w:rFonts w:eastAsia="Calibri"/>
          <w:bCs/>
          <w:sz w:val="22"/>
          <w:szCs w:val="22"/>
          <w:lang w:val="sr-Latn-ME"/>
        </w:rPr>
        <w:t>j</w:t>
      </w:r>
      <w:r w:rsidR="00143607" w:rsidRPr="00F85CA6">
        <w:rPr>
          <w:rFonts w:eastAsia="Calibri"/>
          <w:bCs/>
          <w:sz w:val="22"/>
          <w:szCs w:val="22"/>
          <w:lang w:val="sr-Latn-ME"/>
        </w:rPr>
        <w:t>enu kreatinina)</w:t>
      </w:r>
      <w:r w:rsidR="00143607" w:rsidRPr="00F85CA6">
        <w:rPr>
          <w:rFonts w:eastAsia="Calibri"/>
          <w:sz w:val="22"/>
          <w:szCs w:val="22"/>
          <w:lang w:val="sr-Latn-ME"/>
        </w:rPr>
        <w:t>.</w:t>
      </w:r>
    </w:p>
    <w:p w14:paraId="38DE66DD" w14:textId="77777777" w:rsidR="00143607" w:rsidRPr="00F85CA6" w:rsidRDefault="00143607" w:rsidP="00143607">
      <w:pPr>
        <w:jc w:val="both"/>
        <w:rPr>
          <w:rFonts w:eastAsia="Calibri"/>
          <w:sz w:val="22"/>
          <w:szCs w:val="22"/>
          <w:lang w:val="sr-Latn-ME"/>
        </w:rPr>
      </w:pPr>
    </w:p>
    <w:p w14:paraId="471D10EA" w14:textId="3C849FBA" w:rsidR="00143607" w:rsidRPr="00F85CA6" w:rsidRDefault="00143607" w:rsidP="00143607">
      <w:pPr>
        <w:jc w:val="both"/>
        <w:rPr>
          <w:rFonts w:eastAsia="Calibri"/>
          <w:sz w:val="22"/>
          <w:szCs w:val="22"/>
          <w:lang w:val="sr-Latn-ME"/>
        </w:rPr>
      </w:pPr>
      <w:r w:rsidRPr="00F85CA6">
        <w:rPr>
          <w:rFonts w:eastAsia="Calibri"/>
          <w:sz w:val="22"/>
          <w:szCs w:val="22"/>
          <w:lang w:val="sr-Latn-ME"/>
        </w:rPr>
        <w:t>Terapija dabigatrane</w:t>
      </w:r>
      <w:r w:rsidR="007904F4" w:rsidRPr="00F85CA6">
        <w:rPr>
          <w:rFonts w:eastAsia="Calibri"/>
          <w:sz w:val="22"/>
          <w:szCs w:val="22"/>
          <w:lang w:val="sr-Latn-ME"/>
        </w:rPr>
        <w:t xml:space="preserve"> </w:t>
      </w:r>
      <w:r w:rsidRPr="00F85CA6">
        <w:rPr>
          <w:rFonts w:eastAsia="Calibri"/>
          <w:sz w:val="22"/>
          <w:szCs w:val="22"/>
          <w:lang w:val="sr-Latn-ME"/>
        </w:rPr>
        <w:t>teksilatom kod pedijatrijskih pacijenata sa eGFR &lt;</w:t>
      </w:r>
      <w:r w:rsidR="007904F4" w:rsidRPr="00F85CA6">
        <w:rPr>
          <w:rFonts w:eastAsia="Calibri"/>
          <w:sz w:val="22"/>
          <w:szCs w:val="22"/>
          <w:lang w:val="sr-Latn-ME"/>
        </w:rPr>
        <w:t xml:space="preserve"> </w:t>
      </w:r>
      <w:r w:rsidRPr="00F85CA6">
        <w:rPr>
          <w:rFonts w:eastAsia="Calibri"/>
          <w:sz w:val="22"/>
          <w:szCs w:val="22"/>
          <w:lang w:val="sr-Latn-ME"/>
        </w:rPr>
        <w:t>50 m</w:t>
      </w:r>
      <w:r w:rsidR="007904F4" w:rsidRPr="00F85CA6">
        <w:rPr>
          <w:rFonts w:eastAsia="Calibri"/>
          <w:sz w:val="22"/>
          <w:szCs w:val="22"/>
          <w:lang w:val="sr-Latn-ME"/>
        </w:rPr>
        <w:t>l</w:t>
      </w:r>
      <w:r w:rsidRPr="00F85CA6">
        <w:rPr>
          <w:rFonts w:eastAsia="Calibri"/>
          <w:sz w:val="22"/>
          <w:szCs w:val="22"/>
          <w:lang w:val="sr-Latn-ME"/>
        </w:rPr>
        <w:t>/min/1,73 m</w:t>
      </w:r>
      <w:r w:rsidRPr="00F85CA6">
        <w:rPr>
          <w:rFonts w:eastAsia="Calibri"/>
          <w:sz w:val="22"/>
          <w:szCs w:val="22"/>
          <w:vertAlign w:val="superscript"/>
          <w:lang w:val="sr-Latn-ME"/>
        </w:rPr>
        <w:t>2</w:t>
      </w:r>
      <w:r w:rsidRPr="00F85CA6">
        <w:rPr>
          <w:rFonts w:eastAsia="Calibri"/>
          <w:sz w:val="22"/>
          <w:szCs w:val="22"/>
          <w:lang w:val="sr-Latn-ME"/>
        </w:rPr>
        <w:t xml:space="preserve"> je kontraindikovana (</w:t>
      </w:r>
      <w:r w:rsidR="003E5AF3" w:rsidRPr="00F85CA6">
        <w:rPr>
          <w:rFonts w:eastAsia="Calibri"/>
          <w:sz w:val="22"/>
          <w:szCs w:val="22"/>
          <w:lang w:val="sr-Latn-ME"/>
        </w:rPr>
        <w:t>vidjeti</w:t>
      </w:r>
      <w:r w:rsidRPr="00F85CA6">
        <w:rPr>
          <w:rFonts w:eastAsia="Calibri"/>
          <w:sz w:val="22"/>
          <w:szCs w:val="22"/>
          <w:lang w:val="sr-Latn-ME"/>
        </w:rPr>
        <w:t xml:space="preserve"> </w:t>
      </w:r>
      <w:r w:rsidR="00C96D78" w:rsidRPr="00F85CA6">
        <w:rPr>
          <w:rFonts w:eastAsia="Calibri"/>
          <w:sz w:val="22"/>
          <w:szCs w:val="22"/>
          <w:lang w:val="sr-Latn-ME"/>
        </w:rPr>
        <w:t>dio</w:t>
      </w:r>
      <w:r w:rsidRPr="00F85CA6">
        <w:rPr>
          <w:rFonts w:eastAsia="Calibri"/>
          <w:sz w:val="22"/>
          <w:szCs w:val="22"/>
          <w:lang w:val="sr-Latn-ME"/>
        </w:rPr>
        <w:t xml:space="preserve"> 4.3).</w:t>
      </w:r>
    </w:p>
    <w:p w14:paraId="411EB8AD" w14:textId="77777777" w:rsidR="00143607" w:rsidRPr="00F85CA6" w:rsidRDefault="00143607" w:rsidP="00143607">
      <w:pPr>
        <w:jc w:val="both"/>
        <w:rPr>
          <w:rFonts w:eastAsia="Calibri"/>
          <w:sz w:val="22"/>
          <w:szCs w:val="22"/>
          <w:lang w:val="sr-Latn-ME"/>
        </w:rPr>
      </w:pPr>
    </w:p>
    <w:p w14:paraId="529F8C41" w14:textId="46F07524" w:rsidR="00143607" w:rsidRPr="00F85CA6" w:rsidRDefault="00143607" w:rsidP="00143607">
      <w:pPr>
        <w:jc w:val="both"/>
        <w:rPr>
          <w:rFonts w:eastAsia="Calibri"/>
          <w:sz w:val="22"/>
          <w:szCs w:val="22"/>
          <w:lang w:val="sr-Latn-ME"/>
        </w:rPr>
      </w:pPr>
      <w:r w:rsidRPr="00F85CA6">
        <w:rPr>
          <w:rFonts w:eastAsia="Calibri"/>
          <w:sz w:val="22"/>
          <w:szCs w:val="22"/>
          <w:lang w:val="sr-Latn-ME" w:bidi="en-US"/>
        </w:rPr>
        <w:t xml:space="preserve">Pacijente sa </w:t>
      </w:r>
      <w:r w:rsidRPr="00F85CA6">
        <w:rPr>
          <w:rFonts w:eastAsia="Calibri"/>
          <w:sz w:val="22"/>
          <w:szCs w:val="22"/>
          <w:lang w:val="sr-Latn-ME"/>
        </w:rPr>
        <w:t>eGFR ≥</w:t>
      </w:r>
      <w:r w:rsidR="007904F4" w:rsidRPr="00F85CA6">
        <w:rPr>
          <w:rFonts w:eastAsia="Calibri"/>
          <w:sz w:val="22"/>
          <w:szCs w:val="22"/>
          <w:lang w:val="sr-Latn-ME"/>
        </w:rPr>
        <w:t xml:space="preserve"> </w:t>
      </w:r>
      <w:r w:rsidRPr="00F85CA6">
        <w:rPr>
          <w:rFonts w:eastAsia="Calibri"/>
          <w:sz w:val="22"/>
          <w:szCs w:val="22"/>
          <w:lang w:val="sr-Latn-ME"/>
        </w:rPr>
        <w:t>50 m</w:t>
      </w:r>
      <w:r w:rsidR="007904F4" w:rsidRPr="00F85CA6">
        <w:rPr>
          <w:rFonts w:eastAsia="Calibri"/>
          <w:sz w:val="22"/>
          <w:szCs w:val="22"/>
          <w:lang w:val="sr-Latn-ME"/>
        </w:rPr>
        <w:t>l</w:t>
      </w:r>
      <w:r w:rsidRPr="00F85CA6">
        <w:rPr>
          <w:rFonts w:eastAsia="Calibri"/>
          <w:sz w:val="22"/>
          <w:szCs w:val="22"/>
          <w:lang w:val="sr-Latn-ME"/>
        </w:rPr>
        <w:t>/min/1,73 m</w:t>
      </w:r>
      <w:r w:rsidRPr="00F85CA6">
        <w:rPr>
          <w:rFonts w:eastAsia="Calibri"/>
          <w:sz w:val="22"/>
          <w:szCs w:val="22"/>
          <w:vertAlign w:val="superscript"/>
          <w:lang w:val="sr-Latn-ME"/>
        </w:rPr>
        <w:t>2</w:t>
      </w:r>
      <w:r w:rsidRPr="00F85CA6">
        <w:rPr>
          <w:rFonts w:eastAsia="Calibri"/>
          <w:sz w:val="22"/>
          <w:szCs w:val="22"/>
          <w:lang w:val="sr-Latn-ME"/>
        </w:rPr>
        <w:t xml:space="preserve"> potrebno je l</w:t>
      </w:r>
      <w:r w:rsidR="00765285" w:rsidRPr="00F85CA6">
        <w:rPr>
          <w:rFonts w:eastAsia="Calibri"/>
          <w:sz w:val="22"/>
          <w:szCs w:val="22"/>
          <w:lang w:val="sr-Latn-ME"/>
        </w:rPr>
        <w:t>ij</w:t>
      </w:r>
      <w:r w:rsidRPr="00F85CA6">
        <w:rPr>
          <w:rFonts w:eastAsia="Calibri"/>
          <w:sz w:val="22"/>
          <w:szCs w:val="22"/>
          <w:lang w:val="sr-Latn-ME"/>
        </w:rPr>
        <w:t xml:space="preserve">ečiti dozom </w:t>
      </w:r>
      <w:r w:rsidR="003E5AF3" w:rsidRPr="00F85CA6">
        <w:rPr>
          <w:rFonts w:eastAsia="Calibri"/>
          <w:sz w:val="22"/>
          <w:szCs w:val="22"/>
          <w:lang w:val="sr-Latn-ME"/>
        </w:rPr>
        <w:t>pre</w:t>
      </w:r>
      <w:r w:rsidRPr="00F85CA6">
        <w:rPr>
          <w:rFonts w:eastAsia="Calibri"/>
          <w:sz w:val="22"/>
          <w:szCs w:val="22"/>
          <w:lang w:val="sr-Latn-ME"/>
        </w:rPr>
        <w:t>ma tabeli 4.</w:t>
      </w:r>
    </w:p>
    <w:p w14:paraId="4DD4776C" w14:textId="77777777" w:rsidR="00143607" w:rsidRPr="00F85CA6" w:rsidRDefault="00143607" w:rsidP="00143607">
      <w:pPr>
        <w:jc w:val="both"/>
        <w:rPr>
          <w:rFonts w:eastAsia="Calibri"/>
          <w:sz w:val="22"/>
          <w:szCs w:val="22"/>
          <w:lang w:val="sr-Latn-ME"/>
        </w:rPr>
      </w:pPr>
    </w:p>
    <w:p w14:paraId="6AF653F5" w14:textId="418227A8" w:rsidR="00143607" w:rsidRPr="00F85CA6" w:rsidRDefault="00143607" w:rsidP="00143607">
      <w:pPr>
        <w:jc w:val="both"/>
        <w:rPr>
          <w:rFonts w:eastAsia="Calibri"/>
          <w:sz w:val="22"/>
          <w:szCs w:val="22"/>
          <w:lang w:val="sr-Latn-ME"/>
        </w:rPr>
      </w:pPr>
      <w:r w:rsidRPr="00F85CA6">
        <w:rPr>
          <w:rFonts w:eastAsia="Calibri"/>
          <w:sz w:val="22"/>
          <w:szCs w:val="22"/>
          <w:lang w:val="sr-Latn-ME"/>
        </w:rPr>
        <w:t>Tokom terapije potrebno je proc</w:t>
      </w:r>
      <w:r w:rsidR="007904F4" w:rsidRPr="00F85CA6">
        <w:rPr>
          <w:rFonts w:eastAsia="Calibri"/>
          <w:sz w:val="22"/>
          <w:szCs w:val="22"/>
          <w:lang w:val="sr-Latn-ME"/>
        </w:rPr>
        <w:t>i</w:t>
      </w:r>
      <w:r w:rsidR="00765285" w:rsidRPr="00F85CA6">
        <w:rPr>
          <w:rFonts w:eastAsia="Calibri"/>
          <w:sz w:val="22"/>
          <w:szCs w:val="22"/>
          <w:lang w:val="sr-Latn-ME"/>
        </w:rPr>
        <w:t>j</w:t>
      </w:r>
      <w:r w:rsidRPr="00F85CA6">
        <w:rPr>
          <w:rFonts w:eastAsia="Calibri"/>
          <w:sz w:val="22"/>
          <w:szCs w:val="22"/>
          <w:lang w:val="sr-Latn-ME"/>
        </w:rPr>
        <w:t>eniti funkciju bubrega u određenim kliničkim situacijama kada se sumnja na mogućnost slabljenja ili pogoršanja funkcije bubrega (kao kod hipovolemije, dehidratacije i isto</w:t>
      </w:r>
      <w:r w:rsidR="003E5AF3" w:rsidRPr="00F85CA6">
        <w:rPr>
          <w:rFonts w:eastAsia="Calibri"/>
          <w:sz w:val="22"/>
          <w:szCs w:val="22"/>
          <w:lang w:val="sr-Latn-ME"/>
        </w:rPr>
        <w:t>vreme</w:t>
      </w:r>
      <w:r w:rsidRPr="00F85CA6">
        <w:rPr>
          <w:rFonts w:eastAsia="Calibri"/>
          <w:sz w:val="22"/>
          <w:szCs w:val="22"/>
          <w:lang w:val="sr-Latn-ME"/>
        </w:rPr>
        <w:t>ne prim</w:t>
      </w:r>
      <w:r w:rsidR="002F10AD" w:rsidRPr="00F85CA6">
        <w:rPr>
          <w:rFonts w:eastAsia="Calibri"/>
          <w:sz w:val="22"/>
          <w:szCs w:val="22"/>
          <w:lang w:val="sr-Latn-ME"/>
        </w:rPr>
        <w:t>j</w:t>
      </w:r>
      <w:r w:rsidRPr="00F85CA6">
        <w:rPr>
          <w:rFonts w:eastAsia="Calibri"/>
          <w:sz w:val="22"/>
          <w:szCs w:val="22"/>
          <w:lang w:val="sr-Latn-ME"/>
        </w:rPr>
        <w:t xml:space="preserve">ene određenih </w:t>
      </w:r>
      <w:r w:rsidR="003E5AF3" w:rsidRPr="00F85CA6">
        <w:rPr>
          <w:rFonts w:eastAsia="Calibri"/>
          <w:sz w:val="22"/>
          <w:szCs w:val="22"/>
          <w:lang w:val="sr-Latn-ME"/>
        </w:rPr>
        <w:t>ljek</w:t>
      </w:r>
      <w:r w:rsidRPr="00F85CA6">
        <w:rPr>
          <w:rFonts w:eastAsia="Calibri"/>
          <w:sz w:val="22"/>
          <w:szCs w:val="22"/>
          <w:lang w:val="sr-Latn-ME"/>
        </w:rPr>
        <w:t>ova, itd.).</w:t>
      </w:r>
    </w:p>
    <w:p w14:paraId="06FFC329" w14:textId="77777777" w:rsidR="00143607" w:rsidRPr="00F85CA6" w:rsidRDefault="00143607" w:rsidP="00143607">
      <w:pPr>
        <w:jc w:val="both"/>
        <w:rPr>
          <w:rFonts w:eastAsia="Calibri"/>
          <w:sz w:val="22"/>
          <w:szCs w:val="22"/>
          <w:lang w:val="sr-Latn-ME"/>
        </w:rPr>
      </w:pPr>
    </w:p>
    <w:p w14:paraId="0D0C92B4" w14:textId="11CAC65D" w:rsidR="00143607" w:rsidRPr="00F85CA6" w:rsidRDefault="00143607" w:rsidP="00143607">
      <w:pPr>
        <w:jc w:val="both"/>
        <w:rPr>
          <w:rFonts w:eastAsia="Calibri"/>
          <w:i/>
          <w:sz w:val="22"/>
          <w:szCs w:val="22"/>
          <w:lang w:val="sr-Latn-ME"/>
        </w:rPr>
      </w:pPr>
      <w:r w:rsidRPr="00F85CA6">
        <w:rPr>
          <w:rFonts w:eastAsia="Calibri"/>
          <w:i/>
          <w:sz w:val="22"/>
          <w:szCs w:val="22"/>
          <w:u w:val="single"/>
          <w:lang w:val="sr-Latn-ME"/>
        </w:rPr>
        <w:t>Trajanje prim</w:t>
      </w:r>
      <w:r w:rsidR="00C96D78" w:rsidRPr="00F85CA6">
        <w:rPr>
          <w:rFonts w:eastAsia="Calibri"/>
          <w:i/>
          <w:sz w:val="22"/>
          <w:szCs w:val="22"/>
          <w:u w:val="single"/>
          <w:lang w:val="sr-Latn-ME"/>
        </w:rPr>
        <w:t>j</w:t>
      </w:r>
      <w:r w:rsidRPr="00F85CA6">
        <w:rPr>
          <w:rFonts w:eastAsia="Calibri"/>
          <w:i/>
          <w:sz w:val="22"/>
          <w:szCs w:val="22"/>
          <w:u w:val="single"/>
          <w:lang w:val="sr-Latn-ME"/>
        </w:rPr>
        <w:t>ene</w:t>
      </w:r>
    </w:p>
    <w:p w14:paraId="3664B538" w14:textId="3CB00E5A" w:rsidR="00143607" w:rsidRPr="00F85CA6" w:rsidRDefault="00143607" w:rsidP="00143607">
      <w:pPr>
        <w:jc w:val="both"/>
        <w:rPr>
          <w:rFonts w:eastAsia="Calibri"/>
          <w:bCs/>
          <w:sz w:val="22"/>
          <w:szCs w:val="22"/>
          <w:lang w:val="sr-Latn-ME"/>
        </w:rPr>
      </w:pPr>
      <w:r w:rsidRPr="00F85CA6">
        <w:rPr>
          <w:rFonts w:eastAsia="Calibri"/>
          <w:bCs/>
          <w:sz w:val="22"/>
          <w:szCs w:val="22"/>
          <w:lang w:val="sr-Latn-ME"/>
        </w:rPr>
        <w:t>Trajanje terapije treba da se prilagodi individualnim potrebama na osnovu proc</w:t>
      </w:r>
      <w:r w:rsidR="00000465" w:rsidRPr="00F85CA6">
        <w:rPr>
          <w:rFonts w:eastAsia="Calibri"/>
          <w:bCs/>
          <w:sz w:val="22"/>
          <w:szCs w:val="22"/>
          <w:lang w:val="sr-Latn-ME"/>
        </w:rPr>
        <w:t>j</w:t>
      </w:r>
      <w:r w:rsidRPr="00F85CA6">
        <w:rPr>
          <w:rFonts w:eastAsia="Calibri"/>
          <w:bCs/>
          <w:sz w:val="22"/>
          <w:szCs w:val="22"/>
          <w:lang w:val="sr-Latn-ME"/>
        </w:rPr>
        <w:t>ene odnosa koristi i rizika.</w:t>
      </w:r>
    </w:p>
    <w:p w14:paraId="5088F72A" w14:textId="77777777" w:rsidR="00143607" w:rsidRPr="00F85CA6" w:rsidRDefault="00143607" w:rsidP="00143607">
      <w:pPr>
        <w:jc w:val="both"/>
        <w:rPr>
          <w:rFonts w:eastAsia="Calibri"/>
          <w:sz w:val="22"/>
          <w:szCs w:val="22"/>
          <w:lang w:val="sr-Latn-ME"/>
        </w:rPr>
      </w:pPr>
    </w:p>
    <w:p w14:paraId="6D6D5979" w14:textId="2B28A0EC" w:rsidR="00143607" w:rsidRPr="00F85CA6" w:rsidRDefault="00143607" w:rsidP="00143607">
      <w:pPr>
        <w:jc w:val="both"/>
        <w:rPr>
          <w:rFonts w:eastAsia="Calibri"/>
          <w:i/>
          <w:sz w:val="22"/>
          <w:szCs w:val="22"/>
          <w:u w:val="single"/>
          <w:lang w:val="sr-Latn-ME"/>
        </w:rPr>
      </w:pPr>
      <w:r w:rsidRPr="00F85CA6">
        <w:rPr>
          <w:rFonts w:eastAsia="Calibri"/>
          <w:i/>
          <w:sz w:val="22"/>
          <w:szCs w:val="22"/>
          <w:u w:val="single"/>
          <w:lang w:val="sr-Latn-ME"/>
        </w:rPr>
        <w:t>Propuštena doza</w:t>
      </w:r>
    </w:p>
    <w:p w14:paraId="170E69D3" w14:textId="21B00BFE" w:rsidR="00143607" w:rsidRPr="00F85CA6" w:rsidRDefault="00143607" w:rsidP="00143607">
      <w:pPr>
        <w:jc w:val="both"/>
        <w:rPr>
          <w:rFonts w:eastAsia="Calibri"/>
          <w:sz w:val="22"/>
          <w:szCs w:val="22"/>
          <w:lang w:val="sr-Latn-ME"/>
        </w:rPr>
      </w:pPr>
      <w:r w:rsidRPr="00F85CA6">
        <w:rPr>
          <w:rFonts w:eastAsia="Calibri"/>
          <w:sz w:val="22"/>
          <w:szCs w:val="22"/>
          <w:lang w:val="sr-Latn-ME"/>
        </w:rPr>
        <w:t xml:space="preserve">Zaboravljena doza dabigatraneteksilata može se i dalje uzeti do 6 sati </w:t>
      </w:r>
      <w:r w:rsidR="003E5AF3" w:rsidRPr="00F85CA6">
        <w:rPr>
          <w:rFonts w:eastAsia="Calibri"/>
          <w:sz w:val="22"/>
          <w:szCs w:val="22"/>
          <w:lang w:val="sr-Latn-ME"/>
        </w:rPr>
        <w:t>prije</w:t>
      </w:r>
      <w:r w:rsidRPr="00F85CA6">
        <w:rPr>
          <w:rFonts w:eastAsia="Calibri"/>
          <w:sz w:val="22"/>
          <w:szCs w:val="22"/>
          <w:lang w:val="sr-Latn-ME"/>
        </w:rPr>
        <w:t xml:space="preserve"> sl</w:t>
      </w:r>
      <w:r w:rsidR="00000465" w:rsidRPr="00F85CA6">
        <w:rPr>
          <w:rFonts w:eastAsia="Calibri"/>
          <w:sz w:val="22"/>
          <w:szCs w:val="22"/>
          <w:lang w:val="sr-Latn-ME"/>
        </w:rPr>
        <w:t>j</w:t>
      </w:r>
      <w:r w:rsidRPr="00F85CA6">
        <w:rPr>
          <w:rFonts w:eastAsia="Calibri"/>
          <w:sz w:val="22"/>
          <w:szCs w:val="22"/>
          <w:lang w:val="sr-Latn-ME"/>
        </w:rPr>
        <w:t xml:space="preserve">edeće planirane doze </w:t>
      </w:r>
      <w:r w:rsidR="003E5AF3" w:rsidRPr="00F85CA6">
        <w:rPr>
          <w:rFonts w:eastAsia="Calibri"/>
          <w:sz w:val="22"/>
          <w:szCs w:val="22"/>
          <w:lang w:val="sr-Latn-ME"/>
        </w:rPr>
        <w:t>pre</w:t>
      </w:r>
      <w:r w:rsidRPr="00F85CA6">
        <w:rPr>
          <w:rFonts w:eastAsia="Calibri"/>
          <w:sz w:val="22"/>
          <w:szCs w:val="22"/>
          <w:lang w:val="sr-Latn-ME"/>
        </w:rPr>
        <w:t xml:space="preserve">ma rasporedu doziranja. </w:t>
      </w:r>
      <w:r w:rsidRPr="00F85CA6">
        <w:rPr>
          <w:rFonts w:eastAsia="Calibri"/>
          <w:bCs/>
          <w:sz w:val="22"/>
          <w:szCs w:val="22"/>
          <w:lang w:val="sr-Latn-ME"/>
        </w:rPr>
        <w:t xml:space="preserve">Ako je </w:t>
      </w:r>
      <w:r w:rsidR="003E5AF3" w:rsidRPr="00F85CA6">
        <w:rPr>
          <w:rFonts w:eastAsia="Calibri"/>
          <w:bCs/>
          <w:sz w:val="22"/>
          <w:szCs w:val="22"/>
          <w:lang w:val="sr-Latn-ME"/>
        </w:rPr>
        <w:t>pre</w:t>
      </w:r>
      <w:r w:rsidRPr="00F85CA6">
        <w:rPr>
          <w:rFonts w:eastAsia="Calibri"/>
          <w:bCs/>
          <w:sz w:val="22"/>
          <w:szCs w:val="22"/>
          <w:lang w:val="sr-Latn-ME"/>
        </w:rPr>
        <w:t xml:space="preserve">ostalo </w:t>
      </w:r>
      <w:r w:rsidR="003E5AF3" w:rsidRPr="00F85CA6">
        <w:rPr>
          <w:rFonts w:eastAsia="Calibri"/>
          <w:bCs/>
          <w:sz w:val="22"/>
          <w:szCs w:val="22"/>
          <w:lang w:val="sr-Latn-ME"/>
        </w:rPr>
        <w:t>vrijeme</w:t>
      </w:r>
      <w:r w:rsidRPr="00F85CA6">
        <w:rPr>
          <w:rFonts w:eastAsia="Calibri"/>
          <w:bCs/>
          <w:sz w:val="22"/>
          <w:szCs w:val="22"/>
          <w:lang w:val="sr-Latn-ME"/>
        </w:rPr>
        <w:t xml:space="preserve"> do sl</w:t>
      </w:r>
      <w:r w:rsidR="00000465" w:rsidRPr="00F85CA6">
        <w:rPr>
          <w:rFonts w:eastAsia="Calibri"/>
          <w:bCs/>
          <w:sz w:val="22"/>
          <w:szCs w:val="22"/>
          <w:lang w:val="sr-Latn-ME"/>
        </w:rPr>
        <w:t>j</w:t>
      </w:r>
      <w:r w:rsidRPr="00F85CA6">
        <w:rPr>
          <w:rFonts w:eastAsia="Calibri"/>
          <w:bCs/>
          <w:sz w:val="22"/>
          <w:szCs w:val="22"/>
          <w:lang w:val="sr-Latn-ME"/>
        </w:rPr>
        <w:t xml:space="preserve">edeće planirane doze kraće od 6 sati, propuštena doza se </w:t>
      </w:r>
      <w:r w:rsidR="003E5AF3" w:rsidRPr="00F85CA6">
        <w:rPr>
          <w:rFonts w:eastAsia="Calibri"/>
          <w:bCs/>
          <w:sz w:val="22"/>
          <w:szCs w:val="22"/>
          <w:lang w:val="sr-Latn-ME"/>
        </w:rPr>
        <w:t>pre</w:t>
      </w:r>
      <w:r w:rsidRPr="00F85CA6">
        <w:rPr>
          <w:rFonts w:eastAsia="Calibri"/>
          <w:bCs/>
          <w:sz w:val="22"/>
          <w:szCs w:val="22"/>
          <w:lang w:val="sr-Latn-ME"/>
        </w:rPr>
        <w:t>skače.</w:t>
      </w:r>
      <w:r w:rsidRPr="00F85CA6">
        <w:rPr>
          <w:rFonts w:eastAsia="Calibri"/>
          <w:sz w:val="22"/>
          <w:szCs w:val="22"/>
          <w:lang w:val="sr-Latn-ME"/>
        </w:rPr>
        <w:t xml:space="preserve"> Nikad se ne sm</w:t>
      </w:r>
      <w:r w:rsidR="00477009" w:rsidRPr="00F85CA6">
        <w:rPr>
          <w:rFonts w:eastAsia="Calibri"/>
          <w:sz w:val="22"/>
          <w:szCs w:val="22"/>
          <w:lang w:val="sr-Latn-ME"/>
        </w:rPr>
        <w:t>ij</w:t>
      </w:r>
      <w:r w:rsidRPr="00F85CA6">
        <w:rPr>
          <w:rFonts w:eastAsia="Calibri"/>
          <w:sz w:val="22"/>
          <w:szCs w:val="22"/>
          <w:lang w:val="sr-Latn-ME"/>
        </w:rPr>
        <w:t>e uzeti dvostruka doza kako bi se nadoknadile propuštene pojedinačne doze.</w:t>
      </w:r>
    </w:p>
    <w:p w14:paraId="1EFE88AA" w14:textId="77777777" w:rsidR="00143607" w:rsidRPr="00F85CA6" w:rsidRDefault="00143607" w:rsidP="00143607">
      <w:pPr>
        <w:jc w:val="both"/>
        <w:rPr>
          <w:rFonts w:eastAsia="Calibri"/>
          <w:sz w:val="22"/>
          <w:szCs w:val="22"/>
          <w:lang w:val="sr-Latn-ME"/>
        </w:rPr>
      </w:pPr>
    </w:p>
    <w:p w14:paraId="5C8F3D33" w14:textId="50B24DFB" w:rsidR="00143607" w:rsidRPr="00F85CA6" w:rsidRDefault="003E5AF3" w:rsidP="00143607">
      <w:pPr>
        <w:jc w:val="both"/>
        <w:rPr>
          <w:rFonts w:eastAsia="Calibri"/>
          <w:i/>
          <w:sz w:val="22"/>
          <w:szCs w:val="22"/>
          <w:u w:val="single"/>
          <w:lang w:val="sr-Latn-ME"/>
        </w:rPr>
      </w:pPr>
      <w:r w:rsidRPr="00F85CA6">
        <w:rPr>
          <w:rFonts w:eastAsia="Calibri"/>
          <w:i/>
          <w:sz w:val="22"/>
          <w:szCs w:val="22"/>
          <w:u w:val="single"/>
          <w:lang w:val="sr-Latn-ME"/>
        </w:rPr>
        <w:t>Pre</w:t>
      </w:r>
      <w:r w:rsidR="00143607" w:rsidRPr="00F85CA6">
        <w:rPr>
          <w:rFonts w:eastAsia="Calibri"/>
          <w:i/>
          <w:sz w:val="22"/>
          <w:szCs w:val="22"/>
          <w:u w:val="single"/>
          <w:lang w:val="sr-Latn-ME"/>
        </w:rPr>
        <w:t>kid terapije dabigatraneteksilatom</w:t>
      </w:r>
    </w:p>
    <w:p w14:paraId="7E2BA6B0" w14:textId="09D08ABC" w:rsidR="00143607" w:rsidRPr="00F85CA6" w:rsidRDefault="00143607" w:rsidP="00143607">
      <w:pPr>
        <w:jc w:val="both"/>
        <w:rPr>
          <w:rFonts w:eastAsia="Calibri"/>
          <w:sz w:val="22"/>
          <w:szCs w:val="22"/>
          <w:lang w:val="sr-Latn-ME"/>
        </w:rPr>
      </w:pPr>
      <w:r w:rsidRPr="00F85CA6">
        <w:rPr>
          <w:rFonts w:eastAsia="Calibri"/>
          <w:sz w:val="22"/>
          <w:szCs w:val="22"/>
          <w:lang w:val="sr-Latn-ME"/>
        </w:rPr>
        <w:t>Terapija dabigatraneteksilatom se ne sm</w:t>
      </w:r>
      <w:r w:rsidR="00477009" w:rsidRPr="00F85CA6">
        <w:rPr>
          <w:rFonts w:eastAsia="Calibri"/>
          <w:sz w:val="22"/>
          <w:szCs w:val="22"/>
          <w:lang w:val="sr-Latn-ME"/>
        </w:rPr>
        <w:t>ij</w:t>
      </w:r>
      <w:r w:rsidRPr="00F85CA6">
        <w:rPr>
          <w:rFonts w:eastAsia="Calibri"/>
          <w:sz w:val="22"/>
          <w:szCs w:val="22"/>
          <w:lang w:val="sr-Latn-ME"/>
        </w:rPr>
        <w:t xml:space="preserve">e </w:t>
      </w:r>
      <w:r w:rsidR="003E5AF3" w:rsidRPr="00F85CA6">
        <w:rPr>
          <w:rFonts w:eastAsia="Calibri"/>
          <w:sz w:val="22"/>
          <w:szCs w:val="22"/>
          <w:lang w:val="sr-Latn-ME"/>
        </w:rPr>
        <w:t>pre</w:t>
      </w:r>
      <w:r w:rsidRPr="00F85CA6">
        <w:rPr>
          <w:rFonts w:eastAsia="Calibri"/>
          <w:sz w:val="22"/>
          <w:szCs w:val="22"/>
          <w:lang w:val="sr-Latn-ME"/>
        </w:rPr>
        <w:t xml:space="preserve">kinuti bez </w:t>
      </w:r>
      <w:r w:rsidR="003E5AF3" w:rsidRPr="00F85CA6">
        <w:rPr>
          <w:rFonts w:eastAsia="Calibri"/>
          <w:sz w:val="22"/>
          <w:szCs w:val="22"/>
          <w:lang w:val="sr-Latn-ME"/>
        </w:rPr>
        <w:t>ljek</w:t>
      </w:r>
      <w:r w:rsidRPr="00F85CA6">
        <w:rPr>
          <w:rFonts w:eastAsia="Calibri"/>
          <w:sz w:val="22"/>
          <w:szCs w:val="22"/>
          <w:lang w:val="sr-Latn-ME"/>
        </w:rPr>
        <w:t>arskog sav</w:t>
      </w:r>
      <w:r w:rsidR="00000465" w:rsidRPr="00F85CA6">
        <w:rPr>
          <w:rFonts w:eastAsia="Calibri"/>
          <w:sz w:val="22"/>
          <w:szCs w:val="22"/>
          <w:lang w:val="sr-Latn-ME"/>
        </w:rPr>
        <w:t>j</w:t>
      </w:r>
      <w:r w:rsidRPr="00F85CA6">
        <w:rPr>
          <w:rFonts w:eastAsia="Calibri"/>
          <w:sz w:val="22"/>
          <w:szCs w:val="22"/>
          <w:lang w:val="sr-Latn-ME"/>
        </w:rPr>
        <w:t>eta. Pacijente ili njihove n</w:t>
      </w:r>
      <w:r w:rsidR="007904F4" w:rsidRPr="00F85CA6">
        <w:rPr>
          <w:rFonts w:eastAsia="Calibri"/>
          <w:sz w:val="22"/>
          <w:szCs w:val="22"/>
          <w:lang w:val="sr-Latn-ME"/>
        </w:rPr>
        <w:t>j</w:t>
      </w:r>
      <w:r w:rsidRPr="00F85CA6">
        <w:rPr>
          <w:rFonts w:eastAsia="Calibri"/>
          <w:sz w:val="22"/>
          <w:szCs w:val="22"/>
          <w:lang w:val="sr-Latn-ME"/>
        </w:rPr>
        <w:t xml:space="preserve">egovatelje je potrebno uputiti da se obrate ordinirajućem </w:t>
      </w:r>
      <w:r w:rsidR="003E5AF3" w:rsidRPr="00F85CA6">
        <w:rPr>
          <w:rFonts w:eastAsia="Calibri"/>
          <w:sz w:val="22"/>
          <w:szCs w:val="22"/>
          <w:lang w:val="sr-Latn-ME"/>
        </w:rPr>
        <w:t>ljek</w:t>
      </w:r>
      <w:r w:rsidRPr="00F85CA6">
        <w:rPr>
          <w:rFonts w:eastAsia="Calibri"/>
          <w:sz w:val="22"/>
          <w:szCs w:val="22"/>
          <w:lang w:val="sr-Latn-ME"/>
        </w:rPr>
        <w:t>aru ako razviju gastrointestinalne simptome, kao što je dispepsija (</w:t>
      </w:r>
      <w:r w:rsidR="003E5AF3" w:rsidRPr="00F85CA6">
        <w:rPr>
          <w:rFonts w:eastAsia="Calibri"/>
          <w:sz w:val="22"/>
          <w:szCs w:val="22"/>
          <w:lang w:val="sr-Latn-ME"/>
        </w:rPr>
        <w:t>vidjeti</w:t>
      </w:r>
      <w:r w:rsidRPr="00F85CA6">
        <w:rPr>
          <w:rFonts w:eastAsia="Calibri"/>
          <w:sz w:val="22"/>
          <w:szCs w:val="22"/>
          <w:lang w:val="sr-Latn-ME"/>
        </w:rPr>
        <w:t xml:space="preserve"> </w:t>
      </w:r>
      <w:r w:rsidR="00477009" w:rsidRPr="00F85CA6">
        <w:rPr>
          <w:rFonts w:eastAsia="Calibri"/>
          <w:sz w:val="22"/>
          <w:szCs w:val="22"/>
          <w:lang w:val="sr-Latn-ME"/>
        </w:rPr>
        <w:t>dio</w:t>
      </w:r>
      <w:r w:rsidRPr="00F85CA6">
        <w:rPr>
          <w:rFonts w:eastAsia="Calibri"/>
          <w:sz w:val="22"/>
          <w:szCs w:val="22"/>
          <w:lang w:val="sr-Latn-ME"/>
        </w:rPr>
        <w:t xml:space="preserve"> 4.8).</w:t>
      </w:r>
    </w:p>
    <w:p w14:paraId="6BA6B3FB" w14:textId="77777777" w:rsidR="00143607" w:rsidRPr="00F85CA6" w:rsidRDefault="00143607" w:rsidP="00143607">
      <w:pPr>
        <w:jc w:val="both"/>
        <w:rPr>
          <w:rFonts w:eastAsia="Calibri"/>
          <w:sz w:val="22"/>
          <w:szCs w:val="22"/>
          <w:lang w:val="sr-Latn-ME"/>
        </w:rPr>
      </w:pPr>
    </w:p>
    <w:p w14:paraId="2496FE8F" w14:textId="636684A0" w:rsidR="00143607" w:rsidRPr="00F85CA6" w:rsidRDefault="003E5AF3" w:rsidP="00143607">
      <w:pPr>
        <w:jc w:val="both"/>
        <w:rPr>
          <w:rFonts w:eastAsia="Calibri"/>
          <w:i/>
          <w:sz w:val="22"/>
          <w:szCs w:val="22"/>
          <w:u w:val="single"/>
          <w:lang w:val="sr-Latn-ME"/>
        </w:rPr>
      </w:pPr>
      <w:r w:rsidRPr="00F85CA6">
        <w:rPr>
          <w:rFonts w:eastAsia="Calibri"/>
          <w:i/>
          <w:sz w:val="22"/>
          <w:szCs w:val="22"/>
          <w:u w:val="single"/>
          <w:lang w:val="sr-Latn-ME"/>
        </w:rPr>
        <w:t>Pre</w:t>
      </w:r>
      <w:r w:rsidR="00143607" w:rsidRPr="00F85CA6">
        <w:rPr>
          <w:rFonts w:eastAsia="Calibri"/>
          <w:i/>
          <w:sz w:val="22"/>
          <w:szCs w:val="22"/>
          <w:u w:val="single"/>
          <w:lang w:val="sr-Latn-ME"/>
        </w:rPr>
        <w:t xml:space="preserve">lazak na drugi </w:t>
      </w:r>
      <w:r w:rsidRPr="00F85CA6">
        <w:rPr>
          <w:rFonts w:eastAsia="Calibri"/>
          <w:i/>
          <w:sz w:val="22"/>
          <w:szCs w:val="22"/>
          <w:u w:val="single"/>
          <w:lang w:val="sr-Latn-ME"/>
        </w:rPr>
        <w:t>l</w:t>
      </w:r>
      <w:r w:rsidR="000E2C56" w:rsidRPr="00F85CA6">
        <w:rPr>
          <w:rFonts w:eastAsia="Calibri"/>
          <w:i/>
          <w:sz w:val="22"/>
          <w:szCs w:val="22"/>
          <w:u w:val="single"/>
          <w:lang w:val="sr-Latn-ME"/>
        </w:rPr>
        <w:t>i</w:t>
      </w:r>
      <w:r w:rsidRPr="00F85CA6">
        <w:rPr>
          <w:rFonts w:eastAsia="Calibri"/>
          <w:i/>
          <w:sz w:val="22"/>
          <w:szCs w:val="22"/>
          <w:u w:val="single"/>
          <w:lang w:val="sr-Latn-ME"/>
        </w:rPr>
        <w:t>jek</w:t>
      </w:r>
    </w:p>
    <w:p w14:paraId="4FB07BF4" w14:textId="6E85558F" w:rsidR="00143607" w:rsidRPr="00F85CA6" w:rsidRDefault="003E5AF3" w:rsidP="00143607">
      <w:pPr>
        <w:jc w:val="both"/>
        <w:rPr>
          <w:rFonts w:eastAsia="Calibri"/>
          <w:sz w:val="22"/>
          <w:szCs w:val="22"/>
          <w:lang w:val="sr-Latn-ME"/>
        </w:rPr>
      </w:pPr>
      <w:r w:rsidRPr="00F85CA6">
        <w:rPr>
          <w:rFonts w:eastAsia="Calibri"/>
          <w:sz w:val="22"/>
          <w:szCs w:val="22"/>
          <w:lang w:val="sr-Latn-ME"/>
        </w:rPr>
        <w:t>Pre</w:t>
      </w:r>
      <w:r w:rsidR="00143607" w:rsidRPr="00F85CA6">
        <w:rPr>
          <w:rFonts w:eastAsia="Calibri"/>
          <w:sz w:val="22"/>
          <w:szCs w:val="22"/>
          <w:lang w:val="sr-Latn-ME"/>
        </w:rPr>
        <w:t>lazak sa terapije dabigatrane</w:t>
      </w:r>
      <w:r w:rsidR="007904F4" w:rsidRPr="00F85CA6">
        <w:rPr>
          <w:rFonts w:eastAsia="Calibri"/>
          <w:sz w:val="22"/>
          <w:szCs w:val="22"/>
          <w:lang w:val="sr-Latn-ME"/>
        </w:rPr>
        <w:t xml:space="preserve"> </w:t>
      </w:r>
      <w:r w:rsidR="00143607" w:rsidRPr="00F85CA6">
        <w:rPr>
          <w:rFonts w:eastAsia="Calibri"/>
          <w:sz w:val="22"/>
          <w:szCs w:val="22"/>
          <w:lang w:val="sr-Latn-ME"/>
        </w:rPr>
        <w:t>teksilatom na parenteralni antikoagulans:</w:t>
      </w:r>
    </w:p>
    <w:p w14:paraId="40902ED6" w14:textId="7BAF0B9A" w:rsidR="00143607" w:rsidRPr="00F85CA6" w:rsidRDefault="003E5AF3" w:rsidP="00143607">
      <w:pPr>
        <w:jc w:val="both"/>
        <w:rPr>
          <w:rFonts w:eastAsia="Calibri"/>
          <w:sz w:val="22"/>
          <w:szCs w:val="22"/>
          <w:lang w:val="sr-Latn-ME"/>
        </w:rPr>
      </w:pPr>
      <w:r w:rsidRPr="00F85CA6">
        <w:rPr>
          <w:rFonts w:eastAsia="Calibri"/>
          <w:sz w:val="22"/>
          <w:szCs w:val="22"/>
          <w:lang w:val="sr-Latn-ME"/>
        </w:rPr>
        <w:t>Preporučuje</w:t>
      </w:r>
      <w:r w:rsidR="00143607" w:rsidRPr="00F85CA6">
        <w:rPr>
          <w:rFonts w:eastAsia="Calibri"/>
          <w:sz w:val="22"/>
          <w:szCs w:val="22"/>
          <w:lang w:val="sr-Latn-ME"/>
        </w:rPr>
        <w:t xml:space="preserve"> se da se sačeka 12 sati nakon posl</w:t>
      </w:r>
      <w:r w:rsidR="00BD7460" w:rsidRPr="00F85CA6">
        <w:rPr>
          <w:rFonts w:eastAsia="Calibri"/>
          <w:sz w:val="22"/>
          <w:szCs w:val="22"/>
          <w:lang w:val="sr-Latn-ME"/>
        </w:rPr>
        <w:t>j</w:t>
      </w:r>
      <w:r w:rsidR="00143607" w:rsidRPr="00F85CA6">
        <w:rPr>
          <w:rFonts w:eastAsia="Calibri"/>
          <w:sz w:val="22"/>
          <w:szCs w:val="22"/>
          <w:lang w:val="sr-Latn-ME"/>
        </w:rPr>
        <w:t xml:space="preserve">ednje doze, </w:t>
      </w:r>
      <w:r w:rsidRPr="00F85CA6">
        <w:rPr>
          <w:rFonts w:eastAsia="Calibri"/>
          <w:sz w:val="22"/>
          <w:szCs w:val="22"/>
          <w:lang w:val="sr-Latn-ME"/>
        </w:rPr>
        <w:t>prije</w:t>
      </w:r>
      <w:r w:rsidR="00143607" w:rsidRPr="00F85CA6">
        <w:rPr>
          <w:rFonts w:eastAsia="Calibri"/>
          <w:sz w:val="22"/>
          <w:szCs w:val="22"/>
          <w:lang w:val="sr-Latn-ME"/>
        </w:rPr>
        <w:t xml:space="preserve"> nego što se </w:t>
      </w:r>
      <w:r w:rsidRPr="00F85CA6">
        <w:rPr>
          <w:rFonts w:eastAsia="Calibri"/>
          <w:sz w:val="22"/>
          <w:szCs w:val="22"/>
          <w:lang w:val="sr-Latn-ME"/>
        </w:rPr>
        <w:t>pre</w:t>
      </w:r>
      <w:r w:rsidR="00143607" w:rsidRPr="00F85CA6">
        <w:rPr>
          <w:rFonts w:eastAsia="Calibri"/>
          <w:sz w:val="22"/>
          <w:szCs w:val="22"/>
          <w:lang w:val="sr-Latn-ME"/>
        </w:rPr>
        <w:t>đe sa dabigatraneteksilata na parenteralni antikoagulans (</w:t>
      </w:r>
      <w:r w:rsidRPr="00F85CA6">
        <w:rPr>
          <w:rFonts w:eastAsia="Calibri"/>
          <w:sz w:val="22"/>
          <w:szCs w:val="22"/>
          <w:lang w:val="sr-Latn-ME"/>
        </w:rPr>
        <w:t>vidjeti</w:t>
      </w:r>
      <w:r w:rsidR="00143607" w:rsidRPr="00F85CA6">
        <w:rPr>
          <w:rFonts w:eastAsia="Calibri"/>
          <w:sz w:val="22"/>
          <w:szCs w:val="22"/>
          <w:lang w:val="sr-Latn-ME"/>
        </w:rPr>
        <w:t xml:space="preserve"> </w:t>
      </w:r>
      <w:r w:rsidR="00C96D78" w:rsidRPr="00F85CA6">
        <w:rPr>
          <w:rFonts w:eastAsia="Calibri"/>
          <w:sz w:val="22"/>
          <w:szCs w:val="22"/>
          <w:lang w:val="sr-Latn-ME"/>
        </w:rPr>
        <w:t>dio</w:t>
      </w:r>
      <w:r w:rsidR="00143607" w:rsidRPr="00F85CA6">
        <w:rPr>
          <w:rFonts w:eastAsia="Calibri"/>
          <w:sz w:val="22"/>
          <w:szCs w:val="22"/>
          <w:lang w:val="sr-Latn-ME"/>
        </w:rPr>
        <w:t xml:space="preserve"> 4.5).</w:t>
      </w:r>
    </w:p>
    <w:p w14:paraId="7661907F" w14:textId="77777777" w:rsidR="00143607" w:rsidRPr="00F85CA6" w:rsidRDefault="00143607" w:rsidP="00143607">
      <w:pPr>
        <w:jc w:val="both"/>
        <w:rPr>
          <w:rFonts w:eastAsia="Calibri"/>
          <w:sz w:val="22"/>
          <w:szCs w:val="22"/>
          <w:lang w:val="sr-Latn-ME"/>
        </w:rPr>
      </w:pPr>
    </w:p>
    <w:p w14:paraId="17F1404A" w14:textId="24103A2C" w:rsidR="00143607" w:rsidRPr="00F85CA6" w:rsidRDefault="003E5AF3" w:rsidP="00143607">
      <w:pPr>
        <w:jc w:val="both"/>
        <w:rPr>
          <w:rFonts w:eastAsia="Calibri"/>
          <w:sz w:val="22"/>
          <w:szCs w:val="22"/>
          <w:lang w:val="sr-Latn-ME"/>
        </w:rPr>
      </w:pPr>
      <w:r w:rsidRPr="00F85CA6">
        <w:rPr>
          <w:rFonts w:eastAsia="Calibri"/>
          <w:sz w:val="22"/>
          <w:szCs w:val="22"/>
          <w:lang w:val="sr-Latn-ME"/>
        </w:rPr>
        <w:t>Pre</w:t>
      </w:r>
      <w:r w:rsidR="00143607" w:rsidRPr="00F85CA6">
        <w:rPr>
          <w:rFonts w:eastAsia="Calibri"/>
          <w:sz w:val="22"/>
          <w:szCs w:val="22"/>
          <w:lang w:val="sr-Latn-ME"/>
        </w:rPr>
        <w:t>lazak sa parenteralnih antikoagulanasa na dabigatraneteksilat:</w:t>
      </w:r>
    </w:p>
    <w:p w14:paraId="1D3C1CF1" w14:textId="308F8812" w:rsidR="00143607" w:rsidRPr="00F85CA6" w:rsidRDefault="00143607" w:rsidP="00143607">
      <w:pPr>
        <w:jc w:val="both"/>
        <w:rPr>
          <w:rFonts w:eastAsia="Calibri"/>
          <w:sz w:val="22"/>
          <w:szCs w:val="22"/>
          <w:lang w:val="sr-Latn-ME"/>
        </w:rPr>
      </w:pPr>
      <w:r w:rsidRPr="00F85CA6">
        <w:rPr>
          <w:rFonts w:eastAsia="Calibri"/>
          <w:sz w:val="22"/>
          <w:szCs w:val="22"/>
          <w:lang w:val="sr-Latn-ME"/>
        </w:rPr>
        <w:t xml:space="preserve">Potrebno je </w:t>
      </w:r>
      <w:r w:rsidR="003E5AF3" w:rsidRPr="00F85CA6">
        <w:rPr>
          <w:rFonts w:eastAsia="Calibri"/>
          <w:sz w:val="22"/>
          <w:szCs w:val="22"/>
          <w:lang w:val="sr-Latn-ME"/>
        </w:rPr>
        <w:t>pre</w:t>
      </w:r>
      <w:r w:rsidRPr="00F85CA6">
        <w:rPr>
          <w:rFonts w:eastAsia="Calibri"/>
          <w:sz w:val="22"/>
          <w:szCs w:val="22"/>
          <w:lang w:val="sr-Latn-ME"/>
        </w:rPr>
        <w:t>kinuti prim</w:t>
      </w:r>
      <w:r w:rsidR="00C96D78" w:rsidRPr="00F85CA6">
        <w:rPr>
          <w:rFonts w:eastAsia="Calibri"/>
          <w:sz w:val="22"/>
          <w:szCs w:val="22"/>
          <w:lang w:val="sr-Latn-ME"/>
        </w:rPr>
        <w:t>j</w:t>
      </w:r>
      <w:r w:rsidRPr="00F85CA6">
        <w:rPr>
          <w:rFonts w:eastAsia="Calibri"/>
          <w:sz w:val="22"/>
          <w:szCs w:val="22"/>
          <w:lang w:val="sr-Latn-ME"/>
        </w:rPr>
        <w:t>enu parenteralnog antikoagulansa i započeti sa dabigatrane</w:t>
      </w:r>
      <w:r w:rsidR="007904F4" w:rsidRPr="00F85CA6">
        <w:rPr>
          <w:rFonts w:eastAsia="Calibri"/>
          <w:sz w:val="22"/>
          <w:szCs w:val="22"/>
          <w:lang w:val="sr-Latn-ME"/>
        </w:rPr>
        <w:t xml:space="preserve"> </w:t>
      </w:r>
      <w:r w:rsidRPr="00F85CA6">
        <w:rPr>
          <w:rFonts w:eastAsia="Calibri"/>
          <w:sz w:val="22"/>
          <w:szCs w:val="22"/>
          <w:lang w:val="sr-Latn-ME"/>
        </w:rPr>
        <w:t>teksilatom 0</w:t>
      </w:r>
      <w:r w:rsidR="007904F4" w:rsidRPr="00F85CA6">
        <w:rPr>
          <w:rFonts w:eastAsia="Calibri"/>
          <w:sz w:val="22"/>
          <w:szCs w:val="22"/>
          <w:lang w:val="sr-Latn-ME"/>
        </w:rPr>
        <w:t xml:space="preserve"> </w:t>
      </w:r>
      <w:r w:rsidRPr="00F85CA6">
        <w:rPr>
          <w:rFonts w:eastAsia="Calibri"/>
          <w:sz w:val="22"/>
          <w:szCs w:val="22"/>
          <w:lang w:val="sr-Latn-ME"/>
        </w:rPr>
        <w:t>-</w:t>
      </w:r>
      <w:r w:rsidR="007904F4" w:rsidRPr="00F85CA6">
        <w:rPr>
          <w:rFonts w:eastAsia="Calibri"/>
          <w:sz w:val="22"/>
          <w:szCs w:val="22"/>
          <w:lang w:val="sr-Latn-ME"/>
        </w:rPr>
        <w:t xml:space="preserve"> </w:t>
      </w:r>
      <w:r w:rsidRPr="00F85CA6">
        <w:rPr>
          <w:rFonts w:eastAsia="Calibri"/>
          <w:sz w:val="22"/>
          <w:szCs w:val="22"/>
          <w:lang w:val="sr-Latn-ME"/>
        </w:rPr>
        <w:t xml:space="preserve">2 sata </w:t>
      </w:r>
      <w:r w:rsidR="001E16A9" w:rsidRPr="00F85CA6">
        <w:rPr>
          <w:rFonts w:eastAsia="Calibri"/>
          <w:sz w:val="22"/>
          <w:szCs w:val="22"/>
          <w:lang w:val="sr-Latn-ME"/>
        </w:rPr>
        <w:t xml:space="preserve">predviđenog za </w:t>
      </w:r>
      <w:r w:rsidRPr="00F85CA6">
        <w:rPr>
          <w:rFonts w:eastAsia="Calibri"/>
          <w:sz w:val="22"/>
          <w:szCs w:val="22"/>
          <w:lang w:val="sr-Latn-ME"/>
        </w:rPr>
        <w:t>sl</w:t>
      </w:r>
      <w:r w:rsidR="00BD7460" w:rsidRPr="00F85CA6">
        <w:rPr>
          <w:rFonts w:eastAsia="Calibri"/>
          <w:sz w:val="22"/>
          <w:szCs w:val="22"/>
          <w:lang w:val="sr-Latn-ME"/>
        </w:rPr>
        <w:t>j</w:t>
      </w:r>
      <w:r w:rsidRPr="00F85CA6">
        <w:rPr>
          <w:rFonts w:eastAsia="Calibri"/>
          <w:sz w:val="22"/>
          <w:szCs w:val="22"/>
          <w:lang w:val="sr-Latn-ME"/>
        </w:rPr>
        <w:t xml:space="preserve">edeću dozu dosadašnje terapije ili u trenutku </w:t>
      </w:r>
      <w:r w:rsidR="003E5AF3" w:rsidRPr="00F85CA6">
        <w:rPr>
          <w:rFonts w:eastAsia="Calibri"/>
          <w:sz w:val="22"/>
          <w:szCs w:val="22"/>
          <w:lang w:val="sr-Latn-ME"/>
        </w:rPr>
        <w:t>pre</w:t>
      </w:r>
      <w:r w:rsidRPr="00F85CA6">
        <w:rPr>
          <w:rFonts w:eastAsia="Calibri"/>
          <w:sz w:val="22"/>
          <w:szCs w:val="22"/>
          <w:lang w:val="sr-Latn-ME"/>
        </w:rPr>
        <w:t xml:space="preserve">kida u slučaju kontinuirane terapije (npr. intravenski nefrakcionisani heparin (engl. </w:t>
      </w:r>
      <w:r w:rsidRPr="00F85CA6">
        <w:rPr>
          <w:rFonts w:eastAsia="Calibri"/>
          <w:i/>
          <w:sz w:val="22"/>
          <w:szCs w:val="22"/>
          <w:lang w:val="sr-Latn-ME"/>
        </w:rPr>
        <w:t xml:space="preserve">Unfractionated Heparin, </w:t>
      </w:r>
      <w:r w:rsidRPr="00F85CA6">
        <w:rPr>
          <w:rFonts w:eastAsia="Calibri"/>
          <w:sz w:val="22"/>
          <w:szCs w:val="22"/>
          <w:lang w:val="sr-Latn-ME"/>
        </w:rPr>
        <w:t>UFH)) (</w:t>
      </w:r>
      <w:r w:rsidR="003E5AF3" w:rsidRPr="00F85CA6">
        <w:rPr>
          <w:rFonts w:eastAsia="Calibri"/>
          <w:sz w:val="22"/>
          <w:szCs w:val="22"/>
          <w:lang w:val="sr-Latn-ME"/>
        </w:rPr>
        <w:t>vidjeti</w:t>
      </w:r>
      <w:r w:rsidRPr="00F85CA6">
        <w:rPr>
          <w:rFonts w:eastAsia="Calibri"/>
          <w:sz w:val="22"/>
          <w:szCs w:val="22"/>
          <w:lang w:val="sr-Latn-ME"/>
        </w:rPr>
        <w:t xml:space="preserve"> </w:t>
      </w:r>
      <w:r w:rsidR="00477009" w:rsidRPr="00F85CA6">
        <w:rPr>
          <w:rFonts w:eastAsia="Calibri"/>
          <w:sz w:val="22"/>
          <w:szCs w:val="22"/>
          <w:lang w:val="sr-Latn-ME"/>
        </w:rPr>
        <w:t>dio</w:t>
      </w:r>
      <w:r w:rsidRPr="00F85CA6">
        <w:rPr>
          <w:rFonts w:eastAsia="Calibri"/>
          <w:sz w:val="22"/>
          <w:szCs w:val="22"/>
          <w:lang w:val="sr-Latn-ME"/>
        </w:rPr>
        <w:t xml:space="preserve"> 4.5).</w:t>
      </w:r>
    </w:p>
    <w:p w14:paraId="262F1D06" w14:textId="77777777" w:rsidR="00143607" w:rsidRPr="00F85CA6" w:rsidRDefault="00143607" w:rsidP="00143607">
      <w:pPr>
        <w:jc w:val="both"/>
        <w:rPr>
          <w:rFonts w:eastAsia="Calibri"/>
          <w:sz w:val="22"/>
          <w:szCs w:val="22"/>
          <w:lang w:val="sr-Latn-ME"/>
        </w:rPr>
      </w:pPr>
    </w:p>
    <w:p w14:paraId="78792FFD" w14:textId="2C0A9A30" w:rsidR="00143607" w:rsidRPr="00F85CA6" w:rsidRDefault="003E5AF3" w:rsidP="00143607">
      <w:pPr>
        <w:jc w:val="both"/>
        <w:rPr>
          <w:rFonts w:eastAsia="Calibri"/>
          <w:sz w:val="22"/>
          <w:szCs w:val="22"/>
          <w:lang w:val="sr-Latn-ME"/>
        </w:rPr>
      </w:pPr>
      <w:r w:rsidRPr="00F85CA6">
        <w:rPr>
          <w:rFonts w:eastAsia="Calibri"/>
          <w:sz w:val="22"/>
          <w:szCs w:val="22"/>
          <w:lang w:val="sr-Latn-ME"/>
        </w:rPr>
        <w:t>Pre</w:t>
      </w:r>
      <w:r w:rsidR="00143607" w:rsidRPr="00F85CA6">
        <w:rPr>
          <w:rFonts w:eastAsia="Calibri"/>
          <w:sz w:val="22"/>
          <w:szCs w:val="22"/>
          <w:lang w:val="sr-Latn-ME"/>
        </w:rPr>
        <w:t>lazak sa terapije dabigatrane</w:t>
      </w:r>
      <w:r w:rsidR="007904F4" w:rsidRPr="00F85CA6">
        <w:rPr>
          <w:rFonts w:eastAsia="Calibri"/>
          <w:sz w:val="22"/>
          <w:szCs w:val="22"/>
          <w:lang w:val="sr-Latn-ME"/>
        </w:rPr>
        <w:t xml:space="preserve"> </w:t>
      </w:r>
      <w:r w:rsidR="00143607" w:rsidRPr="00F85CA6">
        <w:rPr>
          <w:rFonts w:eastAsia="Calibri"/>
          <w:sz w:val="22"/>
          <w:szCs w:val="22"/>
          <w:lang w:val="sr-Latn-ME"/>
        </w:rPr>
        <w:t xml:space="preserve">teksilatom na antagoniste vitamina K (engl. </w:t>
      </w:r>
      <w:r w:rsidR="00143607" w:rsidRPr="00F85CA6">
        <w:rPr>
          <w:rFonts w:eastAsia="Calibri"/>
          <w:i/>
          <w:sz w:val="22"/>
          <w:szCs w:val="22"/>
          <w:lang w:val="sr-Latn-ME"/>
        </w:rPr>
        <w:t xml:space="preserve">vitamin K antagonists, </w:t>
      </w:r>
      <w:r w:rsidR="00143607" w:rsidRPr="00F85CA6">
        <w:rPr>
          <w:rFonts w:eastAsia="Calibri"/>
          <w:sz w:val="22"/>
          <w:szCs w:val="22"/>
          <w:lang w:val="sr-Latn-ME"/>
        </w:rPr>
        <w:t>VKA):</w:t>
      </w:r>
    </w:p>
    <w:p w14:paraId="5C3301AF" w14:textId="7475C616" w:rsidR="00143607" w:rsidRPr="00F85CA6" w:rsidRDefault="00143607" w:rsidP="00143607">
      <w:pPr>
        <w:jc w:val="both"/>
        <w:rPr>
          <w:rFonts w:eastAsia="Calibri"/>
          <w:sz w:val="22"/>
          <w:szCs w:val="22"/>
          <w:lang w:val="sr-Latn-ME"/>
        </w:rPr>
      </w:pPr>
      <w:r w:rsidRPr="00F85CA6">
        <w:rPr>
          <w:rFonts w:eastAsia="Calibri"/>
          <w:sz w:val="22"/>
          <w:szCs w:val="22"/>
          <w:lang w:val="sr-Latn-ME"/>
        </w:rPr>
        <w:t>Pacijenti treba da započnu prim</w:t>
      </w:r>
      <w:r w:rsidR="00C96D78" w:rsidRPr="00F85CA6">
        <w:rPr>
          <w:rFonts w:eastAsia="Calibri"/>
          <w:sz w:val="22"/>
          <w:szCs w:val="22"/>
          <w:lang w:val="sr-Latn-ME"/>
        </w:rPr>
        <w:t>j</w:t>
      </w:r>
      <w:r w:rsidRPr="00F85CA6">
        <w:rPr>
          <w:rFonts w:eastAsia="Calibri"/>
          <w:sz w:val="22"/>
          <w:szCs w:val="22"/>
          <w:lang w:val="sr-Latn-ME"/>
        </w:rPr>
        <w:t xml:space="preserve">enu VKA 3 dana </w:t>
      </w:r>
      <w:r w:rsidR="003E5AF3" w:rsidRPr="00F85CA6">
        <w:rPr>
          <w:rFonts w:eastAsia="Calibri"/>
          <w:sz w:val="22"/>
          <w:szCs w:val="22"/>
          <w:lang w:val="sr-Latn-ME"/>
        </w:rPr>
        <w:t>prije</w:t>
      </w:r>
      <w:r w:rsidRPr="00F85CA6">
        <w:rPr>
          <w:rFonts w:eastAsia="Calibri"/>
          <w:sz w:val="22"/>
          <w:szCs w:val="22"/>
          <w:lang w:val="sr-Latn-ME"/>
        </w:rPr>
        <w:t xml:space="preserve"> </w:t>
      </w:r>
      <w:r w:rsidR="003E5AF3" w:rsidRPr="00F85CA6">
        <w:rPr>
          <w:rFonts w:eastAsia="Calibri"/>
          <w:sz w:val="22"/>
          <w:szCs w:val="22"/>
          <w:lang w:val="sr-Latn-ME"/>
        </w:rPr>
        <w:t>pre</w:t>
      </w:r>
      <w:r w:rsidRPr="00F85CA6">
        <w:rPr>
          <w:rFonts w:eastAsia="Calibri"/>
          <w:sz w:val="22"/>
          <w:szCs w:val="22"/>
          <w:lang w:val="sr-Latn-ME"/>
        </w:rPr>
        <w:t>kida prim</w:t>
      </w:r>
      <w:r w:rsidR="00C96D78" w:rsidRPr="00F85CA6">
        <w:rPr>
          <w:rFonts w:eastAsia="Calibri"/>
          <w:sz w:val="22"/>
          <w:szCs w:val="22"/>
          <w:lang w:val="sr-Latn-ME"/>
        </w:rPr>
        <w:t>j</w:t>
      </w:r>
      <w:r w:rsidRPr="00F85CA6">
        <w:rPr>
          <w:rFonts w:eastAsia="Calibri"/>
          <w:sz w:val="22"/>
          <w:szCs w:val="22"/>
          <w:lang w:val="sr-Latn-ME"/>
        </w:rPr>
        <w:t>ene dabigatraneteksilata.</w:t>
      </w:r>
    </w:p>
    <w:p w14:paraId="2BD46B52" w14:textId="323EE9E6" w:rsidR="00143607" w:rsidRPr="00F85CA6" w:rsidRDefault="00143607" w:rsidP="00143607">
      <w:pPr>
        <w:jc w:val="both"/>
        <w:rPr>
          <w:rFonts w:eastAsia="Calibri"/>
          <w:sz w:val="22"/>
          <w:szCs w:val="22"/>
          <w:lang w:val="sr-Latn-ME"/>
        </w:rPr>
      </w:pPr>
      <w:r w:rsidRPr="00F85CA6">
        <w:rPr>
          <w:rFonts w:eastAsia="Calibri"/>
          <w:sz w:val="22"/>
          <w:szCs w:val="22"/>
          <w:lang w:val="sr-Latn-ME"/>
        </w:rPr>
        <w:t>Zbog toga što dabigatraneteksilat može da utiče na vr</w:t>
      </w:r>
      <w:r w:rsidR="00C96D78" w:rsidRPr="00F85CA6">
        <w:rPr>
          <w:rFonts w:eastAsia="Calibri"/>
          <w:sz w:val="22"/>
          <w:szCs w:val="22"/>
          <w:lang w:val="sr-Latn-ME"/>
        </w:rPr>
        <w:t>ije</w:t>
      </w:r>
      <w:r w:rsidRPr="00F85CA6">
        <w:rPr>
          <w:rFonts w:eastAsia="Calibri"/>
          <w:sz w:val="22"/>
          <w:szCs w:val="22"/>
          <w:lang w:val="sr-Latn-ME"/>
        </w:rPr>
        <w:t xml:space="preserve">dnost internacionalnog normalizovanog odnosa (INR), INR će bolje odražavati dejstvo VKA tek nakon što je prošlo najmanje 2 dana od </w:t>
      </w:r>
      <w:r w:rsidR="003E5AF3" w:rsidRPr="00F85CA6">
        <w:rPr>
          <w:rFonts w:eastAsia="Calibri"/>
          <w:sz w:val="22"/>
          <w:szCs w:val="22"/>
          <w:lang w:val="sr-Latn-ME"/>
        </w:rPr>
        <w:t>pre</w:t>
      </w:r>
      <w:r w:rsidRPr="00F85CA6">
        <w:rPr>
          <w:rFonts w:eastAsia="Calibri"/>
          <w:sz w:val="22"/>
          <w:szCs w:val="22"/>
          <w:lang w:val="sr-Latn-ME"/>
        </w:rPr>
        <w:t>kida prim</w:t>
      </w:r>
      <w:r w:rsidR="00C96D78" w:rsidRPr="00F85CA6">
        <w:rPr>
          <w:rFonts w:eastAsia="Calibri"/>
          <w:sz w:val="22"/>
          <w:szCs w:val="22"/>
          <w:lang w:val="sr-Latn-ME"/>
        </w:rPr>
        <w:t>j</w:t>
      </w:r>
      <w:r w:rsidRPr="00F85CA6">
        <w:rPr>
          <w:rFonts w:eastAsia="Calibri"/>
          <w:sz w:val="22"/>
          <w:szCs w:val="22"/>
          <w:lang w:val="sr-Latn-ME"/>
        </w:rPr>
        <w:t>ene dabigatraneteksilata. Do tada, INR vr</w:t>
      </w:r>
      <w:r w:rsidR="00306730" w:rsidRPr="00F85CA6">
        <w:rPr>
          <w:rFonts w:eastAsia="Calibri"/>
          <w:sz w:val="22"/>
          <w:szCs w:val="22"/>
          <w:lang w:val="sr-Latn-ME"/>
        </w:rPr>
        <w:t>ij</w:t>
      </w:r>
      <w:r w:rsidRPr="00F85CA6">
        <w:rPr>
          <w:rFonts w:eastAsia="Calibri"/>
          <w:sz w:val="22"/>
          <w:szCs w:val="22"/>
          <w:lang w:val="sr-Latn-ME"/>
        </w:rPr>
        <w:t>ednosti treba inter</w:t>
      </w:r>
      <w:r w:rsidR="003E5AF3" w:rsidRPr="00F85CA6">
        <w:rPr>
          <w:rFonts w:eastAsia="Calibri"/>
          <w:sz w:val="22"/>
          <w:szCs w:val="22"/>
          <w:lang w:val="sr-Latn-ME"/>
        </w:rPr>
        <w:t>pre</w:t>
      </w:r>
      <w:r w:rsidRPr="00F85CA6">
        <w:rPr>
          <w:rFonts w:eastAsia="Calibri"/>
          <w:sz w:val="22"/>
          <w:szCs w:val="22"/>
          <w:lang w:val="sr-Latn-ME"/>
        </w:rPr>
        <w:t>tirati sa o</w:t>
      </w:r>
      <w:r w:rsidR="003E5AF3" w:rsidRPr="00F85CA6">
        <w:rPr>
          <w:rFonts w:eastAsia="Calibri"/>
          <w:sz w:val="22"/>
          <w:szCs w:val="22"/>
          <w:lang w:val="sr-Latn-ME"/>
        </w:rPr>
        <w:t>pre</w:t>
      </w:r>
      <w:r w:rsidRPr="00F85CA6">
        <w:rPr>
          <w:rFonts w:eastAsia="Calibri"/>
          <w:sz w:val="22"/>
          <w:szCs w:val="22"/>
          <w:lang w:val="sr-Latn-ME"/>
        </w:rPr>
        <w:t>zom.</w:t>
      </w:r>
    </w:p>
    <w:p w14:paraId="0F25ECFA" w14:textId="77777777" w:rsidR="00143607" w:rsidRPr="00F85CA6" w:rsidRDefault="00143607" w:rsidP="00143607">
      <w:pPr>
        <w:jc w:val="both"/>
        <w:rPr>
          <w:rFonts w:eastAsia="Calibri"/>
          <w:sz w:val="22"/>
          <w:szCs w:val="22"/>
          <w:lang w:val="sr-Latn-ME"/>
        </w:rPr>
      </w:pPr>
    </w:p>
    <w:p w14:paraId="3D00F189" w14:textId="54DAB7D7" w:rsidR="00143607" w:rsidRPr="00F85CA6" w:rsidRDefault="003E5AF3" w:rsidP="00143607">
      <w:pPr>
        <w:jc w:val="both"/>
        <w:rPr>
          <w:rFonts w:eastAsia="Calibri"/>
          <w:sz w:val="22"/>
          <w:szCs w:val="22"/>
          <w:lang w:val="sr-Latn-ME"/>
        </w:rPr>
      </w:pPr>
      <w:r w:rsidRPr="00F85CA6">
        <w:rPr>
          <w:rFonts w:eastAsia="Calibri"/>
          <w:sz w:val="22"/>
          <w:szCs w:val="22"/>
          <w:lang w:val="sr-Latn-ME"/>
        </w:rPr>
        <w:t>Pre</w:t>
      </w:r>
      <w:r w:rsidR="00143607" w:rsidRPr="00F85CA6">
        <w:rPr>
          <w:rFonts w:eastAsia="Calibri"/>
          <w:sz w:val="22"/>
          <w:szCs w:val="22"/>
          <w:lang w:val="sr-Latn-ME"/>
        </w:rPr>
        <w:t>lazak sa VKA na dabigatraneteksilat:</w:t>
      </w:r>
    </w:p>
    <w:p w14:paraId="683EEFE1" w14:textId="5B400456" w:rsidR="00143607" w:rsidRPr="00F85CA6" w:rsidRDefault="00143607" w:rsidP="00143607">
      <w:pPr>
        <w:jc w:val="both"/>
        <w:rPr>
          <w:rFonts w:eastAsia="Calibri"/>
          <w:sz w:val="22"/>
          <w:szCs w:val="22"/>
          <w:lang w:val="sr-Latn-ME"/>
        </w:rPr>
      </w:pPr>
      <w:r w:rsidRPr="00F85CA6">
        <w:rPr>
          <w:rFonts w:eastAsia="Calibri"/>
          <w:sz w:val="22"/>
          <w:szCs w:val="22"/>
          <w:lang w:val="sr-Latn-ME"/>
        </w:rPr>
        <w:t>Prim</w:t>
      </w:r>
      <w:r w:rsidR="00C96D78" w:rsidRPr="00F85CA6">
        <w:rPr>
          <w:rFonts w:eastAsia="Calibri"/>
          <w:sz w:val="22"/>
          <w:szCs w:val="22"/>
          <w:lang w:val="sr-Latn-ME"/>
        </w:rPr>
        <w:t>j</w:t>
      </w:r>
      <w:r w:rsidRPr="00F85CA6">
        <w:rPr>
          <w:rFonts w:eastAsia="Calibri"/>
          <w:sz w:val="22"/>
          <w:szCs w:val="22"/>
          <w:lang w:val="sr-Latn-ME"/>
        </w:rPr>
        <w:t xml:space="preserve">enu VKA treba </w:t>
      </w:r>
      <w:r w:rsidR="003E5AF3" w:rsidRPr="00F85CA6">
        <w:rPr>
          <w:rFonts w:eastAsia="Calibri"/>
          <w:sz w:val="22"/>
          <w:szCs w:val="22"/>
          <w:lang w:val="sr-Latn-ME"/>
        </w:rPr>
        <w:t>pre</w:t>
      </w:r>
      <w:r w:rsidRPr="00F85CA6">
        <w:rPr>
          <w:rFonts w:eastAsia="Calibri"/>
          <w:sz w:val="22"/>
          <w:szCs w:val="22"/>
          <w:lang w:val="sr-Latn-ME"/>
        </w:rPr>
        <w:t>kinuti. Dabigatraneteksilat se može davati čim INR dostigne vr</w:t>
      </w:r>
      <w:r w:rsidR="00306730" w:rsidRPr="00F85CA6">
        <w:rPr>
          <w:rFonts w:eastAsia="Calibri"/>
          <w:sz w:val="22"/>
          <w:szCs w:val="22"/>
          <w:lang w:val="sr-Latn-ME"/>
        </w:rPr>
        <w:t>ij</w:t>
      </w:r>
      <w:r w:rsidRPr="00F85CA6">
        <w:rPr>
          <w:rFonts w:eastAsia="Calibri"/>
          <w:sz w:val="22"/>
          <w:szCs w:val="22"/>
          <w:lang w:val="sr-Latn-ME"/>
        </w:rPr>
        <w:t>ednost &lt;</w:t>
      </w:r>
      <w:r w:rsidR="007904F4" w:rsidRPr="00F85CA6">
        <w:rPr>
          <w:rFonts w:eastAsia="Calibri"/>
          <w:sz w:val="22"/>
          <w:szCs w:val="22"/>
          <w:lang w:val="sr-Latn-ME"/>
        </w:rPr>
        <w:t xml:space="preserve"> </w:t>
      </w:r>
      <w:r w:rsidRPr="00F85CA6">
        <w:rPr>
          <w:rFonts w:eastAsia="Calibri"/>
          <w:sz w:val="22"/>
          <w:szCs w:val="22"/>
          <w:lang w:val="sr-Latn-ME"/>
        </w:rPr>
        <w:t>2,0.</w:t>
      </w:r>
    </w:p>
    <w:p w14:paraId="6835D86F" w14:textId="77777777" w:rsidR="00143607" w:rsidRPr="00F85CA6" w:rsidRDefault="00143607" w:rsidP="00480FB1">
      <w:pPr>
        <w:tabs>
          <w:tab w:val="left" w:pos="540"/>
          <w:tab w:val="left" w:pos="569"/>
        </w:tabs>
        <w:rPr>
          <w:bCs/>
          <w:sz w:val="22"/>
          <w:szCs w:val="22"/>
          <w:u w:val="single"/>
          <w:lang w:val="sr-Latn-ME"/>
        </w:rPr>
      </w:pPr>
    </w:p>
    <w:p w14:paraId="3760E1C8" w14:textId="77777777" w:rsidR="00452E9D" w:rsidRPr="00F85CA6" w:rsidRDefault="00452E9D" w:rsidP="00480FB1">
      <w:pPr>
        <w:tabs>
          <w:tab w:val="left" w:pos="540"/>
          <w:tab w:val="left" w:pos="569"/>
        </w:tabs>
        <w:rPr>
          <w:bCs/>
          <w:sz w:val="22"/>
          <w:szCs w:val="22"/>
          <w:u w:val="single"/>
          <w:lang w:val="sr-Latn-ME"/>
        </w:rPr>
      </w:pPr>
      <w:r w:rsidRPr="00F85CA6">
        <w:rPr>
          <w:bCs/>
          <w:sz w:val="22"/>
          <w:szCs w:val="22"/>
          <w:u w:val="single"/>
          <w:lang w:val="sr-Latn-ME"/>
        </w:rPr>
        <w:lastRenderedPageBreak/>
        <w:t>Način primjene</w:t>
      </w:r>
    </w:p>
    <w:p w14:paraId="58630903" w14:textId="77777777" w:rsidR="00143607" w:rsidRPr="00F85CA6" w:rsidRDefault="00143607" w:rsidP="00480FB1">
      <w:pPr>
        <w:tabs>
          <w:tab w:val="left" w:pos="540"/>
          <w:tab w:val="left" w:pos="569"/>
        </w:tabs>
        <w:rPr>
          <w:bCs/>
          <w:sz w:val="22"/>
          <w:szCs w:val="22"/>
          <w:u w:val="single"/>
          <w:lang w:val="sr-Latn-ME"/>
        </w:rPr>
      </w:pPr>
    </w:p>
    <w:p w14:paraId="659555A5" w14:textId="6E49D3E7" w:rsidR="00143607" w:rsidRPr="00F85CA6" w:rsidRDefault="00143607" w:rsidP="00143607">
      <w:pPr>
        <w:jc w:val="both"/>
        <w:rPr>
          <w:rFonts w:eastAsia="Calibri"/>
          <w:sz w:val="22"/>
          <w:szCs w:val="22"/>
          <w:lang w:val="sr-Latn-ME"/>
        </w:rPr>
      </w:pPr>
      <w:r w:rsidRPr="00F85CA6">
        <w:rPr>
          <w:rFonts w:eastAsia="Calibri"/>
          <w:bCs/>
          <w:sz w:val="22"/>
          <w:szCs w:val="22"/>
          <w:lang w:val="sr-Latn-ME"/>
        </w:rPr>
        <w:t>Ovaj lijek je namijenjen za oralnu upotrebu.</w:t>
      </w:r>
    </w:p>
    <w:p w14:paraId="2D038784" w14:textId="0E59986F" w:rsidR="00143607" w:rsidRPr="00F85CA6" w:rsidRDefault="00143607" w:rsidP="00143607">
      <w:pPr>
        <w:jc w:val="both"/>
        <w:rPr>
          <w:rFonts w:eastAsia="Calibri"/>
          <w:sz w:val="22"/>
          <w:szCs w:val="22"/>
          <w:lang w:val="sr-Latn-ME"/>
        </w:rPr>
      </w:pPr>
      <w:r w:rsidRPr="00F85CA6">
        <w:rPr>
          <w:rFonts w:eastAsia="Calibri"/>
          <w:sz w:val="22"/>
          <w:szCs w:val="22"/>
          <w:lang w:val="sr-Latn-ME"/>
        </w:rPr>
        <w:t>Kapsule se mogu uzeti sa hranom ili bez nje. Kapsule treba progutati cijele, sa čašom vode, kako bi se olakšalo da dospeju do želuca.</w:t>
      </w:r>
    </w:p>
    <w:p w14:paraId="28552308" w14:textId="610361EF" w:rsidR="00143607" w:rsidRPr="00F85CA6" w:rsidRDefault="00143607" w:rsidP="00736A94">
      <w:pPr>
        <w:jc w:val="both"/>
        <w:rPr>
          <w:rFonts w:eastAsia="Calibri"/>
          <w:sz w:val="22"/>
          <w:szCs w:val="22"/>
          <w:lang w:val="sr-Latn-ME"/>
        </w:rPr>
      </w:pPr>
      <w:r w:rsidRPr="00F85CA6">
        <w:rPr>
          <w:rFonts w:eastAsia="Calibri"/>
          <w:sz w:val="22"/>
          <w:szCs w:val="22"/>
          <w:lang w:val="sr-Latn-ME"/>
        </w:rPr>
        <w:t>Pacijente treba uputiti da ne otvaraju kapsulu jer to može da poveća rizik od krvarenja (vid</w:t>
      </w:r>
      <w:r w:rsidR="003E5AF3" w:rsidRPr="00F85CA6">
        <w:rPr>
          <w:rFonts w:eastAsia="Calibri"/>
          <w:sz w:val="22"/>
          <w:szCs w:val="22"/>
          <w:lang w:val="sr-Latn-ME"/>
        </w:rPr>
        <w:t>j</w:t>
      </w:r>
      <w:r w:rsidRPr="00F85CA6">
        <w:rPr>
          <w:rFonts w:eastAsia="Calibri"/>
          <w:sz w:val="22"/>
          <w:szCs w:val="22"/>
          <w:lang w:val="sr-Latn-ME"/>
        </w:rPr>
        <w:t xml:space="preserve">eti </w:t>
      </w:r>
      <w:r w:rsidR="00F00680" w:rsidRPr="00F85CA6">
        <w:rPr>
          <w:rFonts w:eastAsia="Calibri"/>
          <w:sz w:val="22"/>
          <w:szCs w:val="22"/>
          <w:lang w:val="sr-Latn-ME"/>
        </w:rPr>
        <w:t>djelove</w:t>
      </w:r>
      <w:r w:rsidRPr="00F85CA6">
        <w:rPr>
          <w:rFonts w:eastAsia="Calibri"/>
          <w:sz w:val="22"/>
          <w:szCs w:val="22"/>
          <w:lang w:val="sr-Latn-ME"/>
        </w:rPr>
        <w:t xml:space="preserve"> 5.2 i 6.6).</w:t>
      </w:r>
    </w:p>
    <w:p w14:paraId="1AC29677" w14:textId="77777777" w:rsidR="00452E9D" w:rsidRPr="00F85CA6" w:rsidRDefault="00452E9D" w:rsidP="00480FB1">
      <w:pPr>
        <w:tabs>
          <w:tab w:val="left" w:pos="540"/>
          <w:tab w:val="left" w:pos="569"/>
        </w:tabs>
        <w:rPr>
          <w:bCs/>
          <w:sz w:val="22"/>
          <w:szCs w:val="22"/>
          <w:lang w:val="sr-Latn-ME"/>
        </w:rPr>
      </w:pPr>
    </w:p>
    <w:p w14:paraId="361320C8" w14:textId="77777777" w:rsidR="00411B4B" w:rsidRPr="00F85CA6" w:rsidRDefault="00411B4B" w:rsidP="00480FB1">
      <w:pPr>
        <w:tabs>
          <w:tab w:val="left" w:pos="540"/>
          <w:tab w:val="left" w:pos="569"/>
        </w:tabs>
        <w:rPr>
          <w:b/>
          <w:bCs/>
          <w:sz w:val="22"/>
          <w:szCs w:val="22"/>
          <w:lang w:val="sr-Latn-ME"/>
        </w:rPr>
      </w:pPr>
      <w:r w:rsidRPr="00F85CA6">
        <w:rPr>
          <w:b/>
          <w:bCs/>
          <w:sz w:val="22"/>
          <w:szCs w:val="22"/>
          <w:lang w:val="sr-Latn-ME"/>
        </w:rPr>
        <w:t xml:space="preserve">4.3. </w:t>
      </w:r>
      <w:r w:rsidR="00480FB1" w:rsidRPr="00F85CA6">
        <w:rPr>
          <w:b/>
          <w:bCs/>
          <w:sz w:val="22"/>
          <w:szCs w:val="22"/>
          <w:lang w:val="sr-Latn-ME"/>
        </w:rPr>
        <w:tab/>
      </w:r>
      <w:r w:rsidRPr="00F85CA6">
        <w:rPr>
          <w:b/>
          <w:bCs/>
          <w:sz w:val="22"/>
          <w:szCs w:val="22"/>
          <w:lang w:val="sr-Latn-ME"/>
        </w:rPr>
        <w:t>Kontraindikacije</w:t>
      </w:r>
    </w:p>
    <w:p w14:paraId="16DD726C" w14:textId="77777777" w:rsidR="0072020E" w:rsidRPr="00F85CA6" w:rsidRDefault="0072020E" w:rsidP="00480FB1">
      <w:pPr>
        <w:tabs>
          <w:tab w:val="left" w:pos="540"/>
          <w:tab w:val="left" w:pos="569"/>
        </w:tabs>
        <w:rPr>
          <w:bCs/>
          <w:sz w:val="22"/>
          <w:szCs w:val="22"/>
          <w:lang w:val="sr-Latn-ME"/>
        </w:rPr>
      </w:pPr>
    </w:p>
    <w:p w14:paraId="1B9CC822" w14:textId="154CCD89" w:rsidR="00736A94" w:rsidRPr="00F85CA6" w:rsidRDefault="00736A94" w:rsidP="00736A94">
      <w:pPr>
        <w:widowControl w:val="0"/>
        <w:numPr>
          <w:ilvl w:val="0"/>
          <w:numId w:val="13"/>
        </w:numPr>
        <w:tabs>
          <w:tab w:val="left" w:pos="562"/>
        </w:tabs>
        <w:spacing w:after="160" w:line="259" w:lineRule="auto"/>
        <w:ind w:left="567" w:hanging="567"/>
        <w:contextualSpacing/>
        <w:jc w:val="both"/>
        <w:rPr>
          <w:color w:val="000000"/>
          <w:sz w:val="22"/>
          <w:szCs w:val="22"/>
          <w:lang w:val="sr-Latn-ME" w:bidi="en-US"/>
        </w:rPr>
      </w:pPr>
      <w:r w:rsidRPr="00F85CA6">
        <w:rPr>
          <w:color w:val="000000"/>
          <w:sz w:val="22"/>
          <w:szCs w:val="22"/>
          <w:lang w:val="sr-Latn-ME" w:bidi="en-US"/>
        </w:rPr>
        <w:t xml:space="preserve">Preosjetljivost na aktivnu supstancu ili na bilo koju od pomoćnih supstanci lijeka navedenih u </w:t>
      </w:r>
      <w:r w:rsidR="007904F4" w:rsidRPr="00F85CA6">
        <w:rPr>
          <w:color w:val="000000"/>
          <w:sz w:val="22"/>
          <w:szCs w:val="22"/>
          <w:lang w:val="sr-Latn-ME" w:bidi="en-US"/>
        </w:rPr>
        <w:t xml:space="preserve">dijelu </w:t>
      </w:r>
      <w:r w:rsidRPr="00F85CA6">
        <w:rPr>
          <w:color w:val="000000"/>
          <w:sz w:val="22"/>
          <w:szCs w:val="22"/>
          <w:lang w:val="sr-Latn-ME" w:bidi="en-US"/>
        </w:rPr>
        <w:t>6.1,</w:t>
      </w:r>
    </w:p>
    <w:p w14:paraId="68B6794B" w14:textId="3E75C302" w:rsidR="00736A94" w:rsidRPr="00F85CA6" w:rsidRDefault="00736A94" w:rsidP="00736A94">
      <w:pPr>
        <w:widowControl w:val="0"/>
        <w:numPr>
          <w:ilvl w:val="0"/>
          <w:numId w:val="13"/>
        </w:numPr>
        <w:tabs>
          <w:tab w:val="left" w:pos="562"/>
        </w:tabs>
        <w:spacing w:after="160" w:line="259" w:lineRule="auto"/>
        <w:ind w:left="567" w:hanging="567"/>
        <w:contextualSpacing/>
        <w:jc w:val="both"/>
        <w:rPr>
          <w:color w:val="000000"/>
          <w:sz w:val="22"/>
          <w:szCs w:val="22"/>
          <w:lang w:val="sr-Latn-ME" w:bidi="en-US"/>
        </w:rPr>
      </w:pPr>
      <w:r w:rsidRPr="00F85CA6">
        <w:rPr>
          <w:color w:val="000000"/>
          <w:sz w:val="22"/>
          <w:szCs w:val="22"/>
          <w:lang w:val="sr-Latn-ME" w:bidi="en-US"/>
        </w:rPr>
        <w:t>odrasli pacijenti sa teškim oštećenjem funkcije bubrega (CrCL &lt;</w:t>
      </w:r>
      <w:r w:rsidR="007904F4" w:rsidRPr="00F85CA6">
        <w:rPr>
          <w:color w:val="000000"/>
          <w:sz w:val="22"/>
          <w:szCs w:val="22"/>
          <w:lang w:val="sr-Latn-ME" w:bidi="en-US"/>
        </w:rPr>
        <w:t xml:space="preserve"> </w:t>
      </w:r>
      <w:r w:rsidRPr="00F85CA6">
        <w:rPr>
          <w:color w:val="000000"/>
          <w:sz w:val="22"/>
          <w:szCs w:val="22"/>
          <w:lang w:val="sr-Latn-ME" w:bidi="en-US"/>
        </w:rPr>
        <w:t>30 m</w:t>
      </w:r>
      <w:r w:rsidR="007904F4" w:rsidRPr="00F85CA6">
        <w:rPr>
          <w:color w:val="000000"/>
          <w:sz w:val="22"/>
          <w:szCs w:val="22"/>
          <w:lang w:val="sr-Latn-ME" w:bidi="en-US"/>
        </w:rPr>
        <w:t>l</w:t>
      </w:r>
      <w:r w:rsidRPr="00F85CA6">
        <w:rPr>
          <w:color w:val="000000"/>
          <w:sz w:val="22"/>
          <w:szCs w:val="22"/>
          <w:lang w:val="sr-Latn-ME" w:bidi="en-US"/>
        </w:rPr>
        <w:t xml:space="preserve">/min), </w:t>
      </w:r>
    </w:p>
    <w:p w14:paraId="3B58343F" w14:textId="46C6ED15" w:rsidR="00736A94" w:rsidRPr="00F85CA6" w:rsidRDefault="00736A94" w:rsidP="00736A94">
      <w:pPr>
        <w:widowControl w:val="0"/>
        <w:numPr>
          <w:ilvl w:val="0"/>
          <w:numId w:val="13"/>
        </w:numPr>
        <w:tabs>
          <w:tab w:val="left" w:pos="562"/>
        </w:tabs>
        <w:spacing w:after="160" w:line="259" w:lineRule="auto"/>
        <w:ind w:left="567" w:hanging="567"/>
        <w:contextualSpacing/>
        <w:jc w:val="both"/>
        <w:rPr>
          <w:color w:val="000000"/>
          <w:sz w:val="22"/>
          <w:szCs w:val="22"/>
          <w:lang w:val="sr-Latn-ME" w:bidi="en-US"/>
        </w:rPr>
      </w:pPr>
      <w:r w:rsidRPr="00F85CA6">
        <w:rPr>
          <w:color w:val="000000"/>
          <w:sz w:val="22"/>
          <w:szCs w:val="22"/>
          <w:lang w:val="sr-Latn-ME" w:bidi="en-US"/>
        </w:rPr>
        <w:t>vrijednost eGFR &lt;</w:t>
      </w:r>
      <w:r w:rsidR="007904F4" w:rsidRPr="00F85CA6">
        <w:rPr>
          <w:color w:val="000000"/>
          <w:sz w:val="22"/>
          <w:szCs w:val="22"/>
          <w:lang w:val="sr-Latn-ME" w:bidi="en-US"/>
        </w:rPr>
        <w:t xml:space="preserve"> </w:t>
      </w:r>
      <w:r w:rsidRPr="00F85CA6">
        <w:rPr>
          <w:color w:val="000000"/>
          <w:sz w:val="22"/>
          <w:szCs w:val="22"/>
          <w:lang w:val="sr-Latn-ME" w:bidi="en-US"/>
        </w:rPr>
        <w:t>50 m</w:t>
      </w:r>
      <w:r w:rsidR="007904F4" w:rsidRPr="00F85CA6">
        <w:rPr>
          <w:color w:val="000000"/>
          <w:sz w:val="22"/>
          <w:szCs w:val="22"/>
          <w:lang w:val="sr-Latn-ME" w:bidi="en-US"/>
        </w:rPr>
        <w:t>l</w:t>
      </w:r>
      <w:r w:rsidRPr="00F85CA6">
        <w:rPr>
          <w:color w:val="000000"/>
          <w:sz w:val="22"/>
          <w:szCs w:val="22"/>
          <w:lang w:val="sr-Latn-ME" w:bidi="en-US"/>
        </w:rPr>
        <w:t>/min/1,73 m</w:t>
      </w:r>
      <w:r w:rsidRPr="00F85CA6">
        <w:rPr>
          <w:color w:val="000000"/>
          <w:sz w:val="22"/>
          <w:szCs w:val="22"/>
          <w:vertAlign w:val="superscript"/>
          <w:lang w:val="sr-Latn-ME" w:bidi="en-US"/>
        </w:rPr>
        <w:t>2</w:t>
      </w:r>
      <w:r w:rsidRPr="00F85CA6">
        <w:rPr>
          <w:color w:val="000000"/>
          <w:sz w:val="22"/>
          <w:szCs w:val="22"/>
          <w:lang w:val="sr-Latn-ME" w:bidi="en-US"/>
        </w:rPr>
        <w:t xml:space="preserve"> kod pedijatrijskih pacijenata,</w:t>
      </w:r>
    </w:p>
    <w:p w14:paraId="41D93458" w14:textId="77777777" w:rsidR="00736A94" w:rsidRPr="00F85CA6" w:rsidRDefault="00736A94" w:rsidP="00736A94">
      <w:pPr>
        <w:widowControl w:val="0"/>
        <w:numPr>
          <w:ilvl w:val="0"/>
          <w:numId w:val="13"/>
        </w:numPr>
        <w:tabs>
          <w:tab w:val="left" w:pos="562"/>
        </w:tabs>
        <w:spacing w:after="160" w:line="259" w:lineRule="auto"/>
        <w:ind w:left="567" w:hanging="567"/>
        <w:contextualSpacing/>
        <w:jc w:val="both"/>
        <w:rPr>
          <w:color w:val="000000"/>
          <w:sz w:val="22"/>
          <w:szCs w:val="22"/>
          <w:lang w:val="sr-Latn-ME" w:bidi="en-US"/>
        </w:rPr>
      </w:pPr>
      <w:r w:rsidRPr="00F85CA6">
        <w:rPr>
          <w:color w:val="000000"/>
          <w:sz w:val="22"/>
          <w:szCs w:val="22"/>
          <w:lang w:val="sr-Latn-ME" w:bidi="en-US"/>
        </w:rPr>
        <w:t xml:space="preserve">aktivno, klinički značajno krvarenje, </w:t>
      </w:r>
    </w:p>
    <w:p w14:paraId="44B9FD8B" w14:textId="77777777" w:rsidR="00736A94" w:rsidRPr="00F85CA6" w:rsidRDefault="00736A94" w:rsidP="00736A94">
      <w:pPr>
        <w:widowControl w:val="0"/>
        <w:numPr>
          <w:ilvl w:val="0"/>
          <w:numId w:val="13"/>
        </w:numPr>
        <w:tabs>
          <w:tab w:val="left" w:pos="562"/>
        </w:tabs>
        <w:spacing w:after="160" w:line="259" w:lineRule="auto"/>
        <w:ind w:left="567" w:hanging="567"/>
        <w:contextualSpacing/>
        <w:jc w:val="both"/>
        <w:rPr>
          <w:color w:val="000000"/>
          <w:sz w:val="22"/>
          <w:szCs w:val="22"/>
          <w:lang w:val="sr-Latn-ME" w:bidi="en-US"/>
        </w:rPr>
      </w:pPr>
      <w:r w:rsidRPr="00F85CA6">
        <w:rPr>
          <w:color w:val="000000"/>
          <w:sz w:val="22"/>
          <w:szCs w:val="22"/>
          <w:lang w:val="sr-Latn-ME" w:bidi="en-US"/>
        </w:rPr>
        <w:t>lezija ili stanje, ako se smatra značajnim faktorom rizika za obilnije krvarenje. Ovo može da uključuje postojeću ili nedavnu gastrointestinalnu ulceraciju, prisustvo malignih neoplazmi sa visokim rizikom od krvarenja, nedavnu povredu mozga ili kičmene moždine, nedavni hirurški zahvat na mozgu, kičmenoj moždini ili očima, nedavnu intrakranijalnu hemoragiju, prisustvo ezofagealnih variksa ili sumnja na njih, arteriovenske malformacije, vaskularne aneurizme ili veće intraspinalne ili intracerebralne vaskularne abnormalnosti,</w:t>
      </w:r>
    </w:p>
    <w:p w14:paraId="2E4094B7" w14:textId="61CCFE24" w:rsidR="00736A94" w:rsidRPr="00F85CA6" w:rsidRDefault="00736A94" w:rsidP="00736A94">
      <w:pPr>
        <w:widowControl w:val="0"/>
        <w:numPr>
          <w:ilvl w:val="0"/>
          <w:numId w:val="13"/>
        </w:numPr>
        <w:tabs>
          <w:tab w:val="left" w:pos="562"/>
        </w:tabs>
        <w:spacing w:after="160" w:line="259" w:lineRule="auto"/>
        <w:ind w:left="567" w:hanging="567"/>
        <w:contextualSpacing/>
        <w:jc w:val="both"/>
        <w:rPr>
          <w:color w:val="000000"/>
          <w:sz w:val="22"/>
          <w:szCs w:val="22"/>
          <w:lang w:val="sr-Latn-ME" w:bidi="en-US"/>
        </w:rPr>
      </w:pPr>
      <w:r w:rsidRPr="00F85CA6">
        <w:rPr>
          <w:color w:val="000000"/>
          <w:sz w:val="22"/>
          <w:szCs w:val="22"/>
          <w:lang w:val="sr-Latn-ME" w:bidi="en-US"/>
        </w:rPr>
        <w:t xml:space="preserve">istovremena terapija sa bilo kojim drugim antikoagulansom npr. nefrakcionisani heparin (engl. </w:t>
      </w:r>
      <w:r w:rsidRPr="00F85CA6">
        <w:rPr>
          <w:i/>
          <w:color w:val="000000"/>
          <w:sz w:val="22"/>
          <w:szCs w:val="22"/>
          <w:lang w:val="sr-Latn-ME" w:bidi="en-US"/>
        </w:rPr>
        <w:t>unfractionated heparin</w:t>
      </w:r>
      <w:r w:rsidRPr="00F85CA6">
        <w:rPr>
          <w:color w:val="000000"/>
          <w:sz w:val="22"/>
          <w:szCs w:val="22"/>
          <w:lang w:val="sr-Latn-ME" w:bidi="en-US"/>
        </w:rPr>
        <w:t>, UFH), heparini niske molekulske mase (enoksaparin, dalteparin itd.), derivati heparina (fondaparinuks, itd.), oralni antikoagulansi (varfarin, rivaroksaban, apiksaban itd.), osim u specifičnim okolnostima. To su prelasci sa jedne na drugu antikoagulacionu terapiju (vid</w:t>
      </w:r>
      <w:r w:rsidR="00E74FD6" w:rsidRPr="00F85CA6">
        <w:rPr>
          <w:color w:val="000000"/>
          <w:sz w:val="22"/>
          <w:szCs w:val="22"/>
          <w:lang w:val="sr-Latn-ME" w:bidi="en-US"/>
        </w:rPr>
        <w:t>j</w:t>
      </w:r>
      <w:r w:rsidRPr="00F85CA6">
        <w:rPr>
          <w:color w:val="000000"/>
          <w:sz w:val="22"/>
          <w:szCs w:val="22"/>
          <w:lang w:val="sr-Latn-ME" w:bidi="en-US"/>
        </w:rPr>
        <w:t xml:space="preserve">eti </w:t>
      </w:r>
      <w:r w:rsidR="00F00680" w:rsidRPr="00F85CA6">
        <w:rPr>
          <w:color w:val="000000"/>
          <w:sz w:val="22"/>
          <w:szCs w:val="22"/>
          <w:lang w:val="sr-Latn-ME" w:bidi="en-US"/>
        </w:rPr>
        <w:t>dio</w:t>
      </w:r>
      <w:r w:rsidRPr="00F85CA6">
        <w:rPr>
          <w:color w:val="000000"/>
          <w:sz w:val="22"/>
          <w:szCs w:val="22"/>
          <w:lang w:val="sr-Latn-ME" w:bidi="en-US"/>
        </w:rPr>
        <w:t xml:space="preserve"> 4.2), kada se UFH prim</w:t>
      </w:r>
      <w:r w:rsidR="00E74FD6" w:rsidRPr="00F85CA6">
        <w:rPr>
          <w:color w:val="000000"/>
          <w:sz w:val="22"/>
          <w:szCs w:val="22"/>
          <w:lang w:val="sr-Latn-ME" w:bidi="en-US"/>
        </w:rPr>
        <w:t>j</w:t>
      </w:r>
      <w:r w:rsidRPr="00F85CA6">
        <w:rPr>
          <w:color w:val="000000"/>
          <w:sz w:val="22"/>
          <w:szCs w:val="22"/>
          <w:lang w:val="sr-Latn-ME" w:bidi="en-US"/>
        </w:rPr>
        <w:t>enjuje u dozi koja je neophodna za održavanje prohodnosti centralnog venskog ili arterijskog katetera ili kada se UFH daje tokom kateterske ablacije zbog atrijalne fibrilacije (vid</w:t>
      </w:r>
      <w:r w:rsidR="00E74FD6" w:rsidRPr="00F85CA6">
        <w:rPr>
          <w:color w:val="000000"/>
          <w:sz w:val="22"/>
          <w:szCs w:val="22"/>
          <w:lang w:val="sr-Latn-ME" w:bidi="en-US"/>
        </w:rPr>
        <w:t>j</w:t>
      </w:r>
      <w:r w:rsidRPr="00F85CA6">
        <w:rPr>
          <w:color w:val="000000"/>
          <w:sz w:val="22"/>
          <w:szCs w:val="22"/>
          <w:lang w:val="sr-Latn-ME" w:bidi="en-US"/>
        </w:rPr>
        <w:t xml:space="preserve">eti </w:t>
      </w:r>
      <w:r w:rsidR="00F00680" w:rsidRPr="00F85CA6">
        <w:rPr>
          <w:color w:val="000000"/>
          <w:sz w:val="22"/>
          <w:szCs w:val="22"/>
          <w:lang w:val="sr-Latn-ME" w:bidi="en-US"/>
        </w:rPr>
        <w:t>dio</w:t>
      </w:r>
      <w:r w:rsidRPr="00F85CA6">
        <w:rPr>
          <w:color w:val="000000"/>
          <w:sz w:val="22"/>
          <w:szCs w:val="22"/>
          <w:lang w:val="sr-Latn-ME" w:bidi="en-US"/>
        </w:rPr>
        <w:t xml:space="preserve"> 4.5),</w:t>
      </w:r>
    </w:p>
    <w:p w14:paraId="7E95F470" w14:textId="77777777" w:rsidR="00736A94" w:rsidRPr="00F85CA6" w:rsidRDefault="00736A94" w:rsidP="00736A94">
      <w:pPr>
        <w:widowControl w:val="0"/>
        <w:numPr>
          <w:ilvl w:val="0"/>
          <w:numId w:val="13"/>
        </w:numPr>
        <w:tabs>
          <w:tab w:val="left" w:pos="562"/>
        </w:tabs>
        <w:spacing w:after="160" w:line="259" w:lineRule="auto"/>
        <w:ind w:left="567" w:hanging="567"/>
        <w:contextualSpacing/>
        <w:jc w:val="both"/>
        <w:rPr>
          <w:color w:val="000000"/>
          <w:sz w:val="22"/>
          <w:szCs w:val="22"/>
          <w:lang w:val="sr-Latn-ME" w:bidi="en-US"/>
        </w:rPr>
      </w:pPr>
      <w:r w:rsidRPr="00F85CA6">
        <w:rPr>
          <w:color w:val="000000"/>
          <w:sz w:val="22"/>
          <w:szCs w:val="22"/>
          <w:lang w:val="sr-Latn-ME" w:bidi="en-US"/>
        </w:rPr>
        <w:t xml:space="preserve">oštećenje funkcije jetre ili oboljenje jetre koje može da ima uticaj na preživljavanje pacijenta, </w:t>
      </w:r>
    </w:p>
    <w:p w14:paraId="59CF6339" w14:textId="40008EC6" w:rsidR="00736A94" w:rsidRPr="00F85CA6" w:rsidRDefault="00736A94" w:rsidP="00736A94">
      <w:pPr>
        <w:widowControl w:val="0"/>
        <w:numPr>
          <w:ilvl w:val="0"/>
          <w:numId w:val="13"/>
        </w:numPr>
        <w:tabs>
          <w:tab w:val="left" w:pos="562"/>
        </w:tabs>
        <w:spacing w:after="160" w:line="259" w:lineRule="auto"/>
        <w:ind w:left="567" w:hanging="567"/>
        <w:contextualSpacing/>
        <w:jc w:val="both"/>
        <w:rPr>
          <w:color w:val="000000"/>
          <w:sz w:val="22"/>
          <w:szCs w:val="22"/>
          <w:lang w:val="sr-Latn-ME" w:bidi="en-US"/>
        </w:rPr>
      </w:pPr>
      <w:r w:rsidRPr="00F85CA6">
        <w:rPr>
          <w:color w:val="000000"/>
          <w:sz w:val="22"/>
          <w:szCs w:val="22"/>
          <w:lang w:val="sr-Latn-ME" w:bidi="en-US"/>
        </w:rPr>
        <w:t>istovremena prim</w:t>
      </w:r>
      <w:r w:rsidR="00E74FD6" w:rsidRPr="00F85CA6">
        <w:rPr>
          <w:color w:val="000000"/>
          <w:sz w:val="22"/>
          <w:szCs w:val="22"/>
          <w:lang w:val="sr-Latn-ME" w:bidi="en-US"/>
        </w:rPr>
        <w:t>j</w:t>
      </w:r>
      <w:r w:rsidRPr="00F85CA6">
        <w:rPr>
          <w:color w:val="000000"/>
          <w:sz w:val="22"/>
          <w:szCs w:val="22"/>
          <w:lang w:val="sr-Latn-ME" w:bidi="en-US"/>
        </w:rPr>
        <w:t>ena sa sl</w:t>
      </w:r>
      <w:r w:rsidR="00E74FD6" w:rsidRPr="00F85CA6">
        <w:rPr>
          <w:color w:val="000000"/>
          <w:sz w:val="22"/>
          <w:szCs w:val="22"/>
          <w:lang w:val="sr-Latn-ME" w:bidi="en-US"/>
        </w:rPr>
        <w:t>j</w:t>
      </w:r>
      <w:r w:rsidRPr="00F85CA6">
        <w:rPr>
          <w:color w:val="000000"/>
          <w:sz w:val="22"/>
          <w:szCs w:val="22"/>
          <w:lang w:val="sr-Latn-ME" w:bidi="en-US"/>
        </w:rPr>
        <w:t>edećim snažnim P-gp inhibitorima: sistemski prim</w:t>
      </w:r>
      <w:r w:rsidR="00CB0B14" w:rsidRPr="00F85CA6">
        <w:rPr>
          <w:color w:val="000000"/>
          <w:sz w:val="22"/>
          <w:szCs w:val="22"/>
          <w:lang w:val="sr-Latn-ME" w:bidi="en-US"/>
        </w:rPr>
        <w:t>i</w:t>
      </w:r>
      <w:r w:rsidR="00E74FD6" w:rsidRPr="00F85CA6">
        <w:rPr>
          <w:color w:val="000000"/>
          <w:sz w:val="22"/>
          <w:szCs w:val="22"/>
          <w:lang w:val="sr-Latn-ME" w:bidi="en-US"/>
        </w:rPr>
        <w:t>j</w:t>
      </w:r>
      <w:r w:rsidRPr="00F85CA6">
        <w:rPr>
          <w:color w:val="000000"/>
          <w:sz w:val="22"/>
          <w:szCs w:val="22"/>
          <w:lang w:val="sr-Latn-ME" w:bidi="en-US"/>
        </w:rPr>
        <w:t>enjenim ketokonazolom, ciklosporinom, itrakonazolom, dronedaronom i fiksnom kombinacijom glekaprevir/pibrentasvir (vid</w:t>
      </w:r>
      <w:r w:rsidR="00E74FD6" w:rsidRPr="00F85CA6">
        <w:rPr>
          <w:color w:val="000000"/>
          <w:sz w:val="22"/>
          <w:szCs w:val="22"/>
          <w:lang w:val="sr-Latn-ME" w:bidi="en-US"/>
        </w:rPr>
        <w:t>j</w:t>
      </w:r>
      <w:r w:rsidRPr="00F85CA6">
        <w:rPr>
          <w:color w:val="000000"/>
          <w:sz w:val="22"/>
          <w:szCs w:val="22"/>
          <w:lang w:val="sr-Latn-ME" w:bidi="en-US"/>
        </w:rPr>
        <w:t xml:space="preserve">eti </w:t>
      </w:r>
      <w:r w:rsidR="00F00680" w:rsidRPr="00F85CA6">
        <w:rPr>
          <w:color w:val="000000"/>
          <w:sz w:val="22"/>
          <w:szCs w:val="22"/>
          <w:lang w:val="sr-Latn-ME" w:bidi="en-US"/>
        </w:rPr>
        <w:t>dio</w:t>
      </w:r>
      <w:r w:rsidRPr="00F85CA6">
        <w:rPr>
          <w:color w:val="000000"/>
          <w:sz w:val="22"/>
          <w:szCs w:val="22"/>
          <w:lang w:val="sr-Latn-ME" w:bidi="en-US"/>
        </w:rPr>
        <w:t xml:space="preserve"> 4.5),</w:t>
      </w:r>
    </w:p>
    <w:p w14:paraId="041E6956" w14:textId="54DA9181" w:rsidR="00736A94" w:rsidRPr="00F85CA6" w:rsidRDefault="00736A94" w:rsidP="00736A94">
      <w:pPr>
        <w:widowControl w:val="0"/>
        <w:numPr>
          <w:ilvl w:val="0"/>
          <w:numId w:val="13"/>
        </w:numPr>
        <w:tabs>
          <w:tab w:val="left" w:pos="562"/>
        </w:tabs>
        <w:spacing w:after="160" w:line="259" w:lineRule="auto"/>
        <w:ind w:left="567" w:hanging="567"/>
        <w:contextualSpacing/>
        <w:jc w:val="both"/>
        <w:rPr>
          <w:color w:val="000000"/>
          <w:sz w:val="22"/>
          <w:szCs w:val="22"/>
          <w:lang w:val="sr-Latn-ME" w:bidi="en-US"/>
        </w:rPr>
      </w:pPr>
      <w:r w:rsidRPr="00F85CA6">
        <w:rPr>
          <w:color w:val="000000"/>
          <w:sz w:val="22"/>
          <w:szCs w:val="22"/>
          <w:lang w:val="sr-Latn-ME" w:bidi="en-US"/>
        </w:rPr>
        <w:t>prisustvo v</w:t>
      </w:r>
      <w:r w:rsidR="00306730" w:rsidRPr="00F85CA6">
        <w:rPr>
          <w:color w:val="000000"/>
          <w:sz w:val="22"/>
          <w:szCs w:val="22"/>
          <w:lang w:val="sr-Latn-ME" w:bidi="en-US"/>
        </w:rPr>
        <w:t>j</w:t>
      </w:r>
      <w:r w:rsidRPr="00F85CA6">
        <w:rPr>
          <w:color w:val="000000"/>
          <w:sz w:val="22"/>
          <w:szCs w:val="22"/>
          <w:lang w:val="sr-Latn-ME" w:bidi="en-US"/>
        </w:rPr>
        <w:t>eštačkih srčanih zalistaka kod kojih je potrebna antikoagulantna terapija (vid</w:t>
      </w:r>
      <w:r w:rsidR="00E74FD6" w:rsidRPr="00F85CA6">
        <w:rPr>
          <w:color w:val="000000"/>
          <w:sz w:val="22"/>
          <w:szCs w:val="22"/>
          <w:lang w:val="sr-Latn-ME" w:bidi="en-US"/>
        </w:rPr>
        <w:t>j</w:t>
      </w:r>
      <w:r w:rsidRPr="00F85CA6">
        <w:rPr>
          <w:color w:val="000000"/>
          <w:sz w:val="22"/>
          <w:szCs w:val="22"/>
          <w:lang w:val="sr-Latn-ME" w:bidi="en-US"/>
        </w:rPr>
        <w:t xml:space="preserve">eti </w:t>
      </w:r>
      <w:r w:rsidR="00F00680" w:rsidRPr="00F85CA6">
        <w:rPr>
          <w:color w:val="000000"/>
          <w:sz w:val="22"/>
          <w:szCs w:val="22"/>
          <w:lang w:val="sr-Latn-ME" w:bidi="en-US"/>
        </w:rPr>
        <w:t xml:space="preserve">dio </w:t>
      </w:r>
      <w:r w:rsidRPr="00F85CA6">
        <w:rPr>
          <w:color w:val="000000"/>
          <w:sz w:val="22"/>
          <w:szCs w:val="22"/>
          <w:lang w:val="sr-Latn-ME" w:bidi="en-US"/>
        </w:rPr>
        <w:t>5.1).</w:t>
      </w:r>
    </w:p>
    <w:p w14:paraId="375038B8" w14:textId="77777777" w:rsidR="00736A94" w:rsidRPr="00F85CA6" w:rsidRDefault="00736A94" w:rsidP="00480FB1">
      <w:pPr>
        <w:tabs>
          <w:tab w:val="left" w:pos="540"/>
          <w:tab w:val="left" w:pos="569"/>
        </w:tabs>
        <w:rPr>
          <w:bCs/>
          <w:sz w:val="22"/>
          <w:szCs w:val="22"/>
          <w:lang w:val="sr-Latn-ME"/>
        </w:rPr>
      </w:pPr>
    </w:p>
    <w:p w14:paraId="487B63F0" w14:textId="359CCC3F" w:rsidR="00411B4B" w:rsidRPr="00F85CA6" w:rsidRDefault="00411B4B" w:rsidP="00480FB1">
      <w:pPr>
        <w:tabs>
          <w:tab w:val="left" w:pos="540"/>
          <w:tab w:val="left" w:pos="569"/>
        </w:tabs>
        <w:rPr>
          <w:b/>
          <w:bCs/>
          <w:sz w:val="22"/>
          <w:szCs w:val="22"/>
          <w:lang w:val="sr-Latn-ME"/>
        </w:rPr>
      </w:pPr>
      <w:r w:rsidRPr="00F85CA6">
        <w:rPr>
          <w:b/>
          <w:bCs/>
          <w:sz w:val="22"/>
          <w:szCs w:val="22"/>
          <w:lang w:val="sr-Latn-ME"/>
        </w:rPr>
        <w:t xml:space="preserve">4.4. </w:t>
      </w:r>
      <w:r w:rsidR="00480FB1" w:rsidRPr="00F85CA6">
        <w:rPr>
          <w:b/>
          <w:bCs/>
          <w:sz w:val="22"/>
          <w:szCs w:val="22"/>
          <w:lang w:val="sr-Latn-ME"/>
        </w:rPr>
        <w:tab/>
      </w:r>
      <w:r w:rsidRPr="00F85CA6">
        <w:rPr>
          <w:b/>
          <w:bCs/>
          <w:sz w:val="22"/>
          <w:szCs w:val="22"/>
          <w:lang w:val="sr-Latn-ME"/>
        </w:rPr>
        <w:t>Posebna upozorenja i mjere o</w:t>
      </w:r>
      <w:r w:rsidR="003E5AF3" w:rsidRPr="00F85CA6">
        <w:rPr>
          <w:b/>
          <w:bCs/>
          <w:sz w:val="22"/>
          <w:szCs w:val="22"/>
          <w:lang w:val="sr-Latn-ME"/>
        </w:rPr>
        <w:t>pre</w:t>
      </w:r>
      <w:r w:rsidRPr="00F85CA6">
        <w:rPr>
          <w:b/>
          <w:bCs/>
          <w:sz w:val="22"/>
          <w:szCs w:val="22"/>
          <w:lang w:val="sr-Latn-ME"/>
        </w:rPr>
        <w:t>za pri upotrebi lijeka</w:t>
      </w:r>
    </w:p>
    <w:p w14:paraId="40B5CBB3" w14:textId="77777777" w:rsidR="0072020E" w:rsidRPr="00F85CA6" w:rsidRDefault="0072020E" w:rsidP="00480FB1">
      <w:pPr>
        <w:tabs>
          <w:tab w:val="left" w:pos="540"/>
          <w:tab w:val="left" w:pos="569"/>
        </w:tabs>
        <w:rPr>
          <w:bCs/>
          <w:sz w:val="22"/>
          <w:szCs w:val="22"/>
          <w:lang w:val="sr-Latn-ME"/>
        </w:rPr>
      </w:pPr>
    </w:p>
    <w:p w14:paraId="66325B7B" w14:textId="77777777" w:rsidR="00E74FD6" w:rsidRPr="00F85CA6" w:rsidRDefault="00E74FD6" w:rsidP="00E74FD6">
      <w:pPr>
        <w:jc w:val="both"/>
        <w:rPr>
          <w:rFonts w:eastAsia="Calibri"/>
          <w:bCs/>
          <w:iCs/>
          <w:sz w:val="22"/>
          <w:szCs w:val="22"/>
          <w:u w:val="single"/>
          <w:lang w:val="sr-Latn-ME"/>
        </w:rPr>
      </w:pPr>
      <w:r w:rsidRPr="00F85CA6">
        <w:rPr>
          <w:rFonts w:eastAsia="Calibri"/>
          <w:bCs/>
          <w:iCs/>
          <w:sz w:val="22"/>
          <w:szCs w:val="22"/>
          <w:u w:val="single"/>
          <w:lang w:val="sr-Latn-ME"/>
        </w:rPr>
        <w:t>Rizik od krvarenja</w:t>
      </w:r>
    </w:p>
    <w:p w14:paraId="6F9B62CB" w14:textId="77777777" w:rsidR="007904F4" w:rsidRPr="00F85CA6" w:rsidRDefault="00E74FD6" w:rsidP="00E74FD6">
      <w:pPr>
        <w:jc w:val="both"/>
        <w:rPr>
          <w:rFonts w:eastAsia="Calibri"/>
          <w:bCs/>
          <w:iCs/>
          <w:sz w:val="22"/>
          <w:szCs w:val="22"/>
          <w:lang w:val="sr-Latn-ME"/>
        </w:rPr>
      </w:pPr>
      <w:r w:rsidRPr="00F85CA6">
        <w:rPr>
          <w:rFonts w:eastAsia="Calibri"/>
          <w:bCs/>
          <w:iCs/>
          <w:sz w:val="22"/>
          <w:szCs w:val="22"/>
          <w:lang w:val="sr-Latn-ME"/>
        </w:rPr>
        <w:t>Dabigatrane</w:t>
      </w:r>
      <w:r w:rsidR="007904F4" w:rsidRPr="00F85CA6">
        <w:rPr>
          <w:rFonts w:eastAsia="Calibri"/>
          <w:bCs/>
          <w:iCs/>
          <w:sz w:val="22"/>
          <w:szCs w:val="22"/>
          <w:lang w:val="sr-Latn-ME"/>
        </w:rPr>
        <w:t xml:space="preserve"> </w:t>
      </w:r>
      <w:r w:rsidRPr="00F85CA6">
        <w:rPr>
          <w:rFonts w:eastAsia="Calibri"/>
          <w:bCs/>
          <w:iCs/>
          <w:sz w:val="22"/>
          <w:szCs w:val="22"/>
          <w:lang w:val="sr-Latn-ME"/>
        </w:rPr>
        <w:t>teksilat treba sa oprezom koristiti u stanjima sa povećanim rizikom od krvarenja</w:t>
      </w:r>
      <w:r w:rsidRPr="00F85CA6">
        <w:rPr>
          <w:rFonts w:eastAsia="Calibri"/>
          <w:sz w:val="22"/>
          <w:szCs w:val="22"/>
          <w:lang w:val="sr-Latn-ME"/>
        </w:rPr>
        <w:t xml:space="preserve"> ili kada se istovremeno koriste l</w:t>
      </w:r>
      <w:r w:rsidR="00A42E97" w:rsidRPr="00F85CA6">
        <w:rPr>
          <w:rFonts w:eastAsia="Calibri"/>
          <w:sz w:val="22"/>
          <w:szCs w:val="22"/>
          <w:lang w:val="sr-Latn-ME"/>
        </w:rPr>
        <w:t>j</w:t>
      </w:r>
      <w:r w:rsidRPr="00F85CA6">
        <w:rPr>
          <w:rFonts w:eastAsia="Calibri"/>
          <w:sz w:val="22"/>
          <w:szCs w:val="22"/>
          <w:lang w:val="sr-Latn-ME"/>
        </w:rPr>
        <w:t>ekovi koji utiču na hemostazu putem inhibicije agregacije trombocita</w:t>
      </w:r>
      <w:r w:rsidRPr="00F85CA6">
        <w:rPr>
          <w:rFonts w:eastAsia="Calibri"/>
          <w:bCs/>
          <w:iCs/>
          <w:sz w:val="22"/>
          <w:szCs w:val="22"/>
          <w:lang w:val="sr-Latn-ME"/>
        </w:rPr>
        <w:t xml:space="preserve">. </w:t>
      </w:r>
    </w:p>
    <w:p w14:paraId="29777B66" w14:textId="77777777" w:rsidR="007904F4" w:rsidRPr="00F85CA6" w:rsidRDefault="007904F4" w:rsidP="00E74FD6">
      <w:pPr>
        <w:jc w:val="both"/>
        <w:rPr>
          <w:rFonts w:eastAsia="Calibri"/>
          <w:bCs/>
          <w:iCs/>
          <w:sz w:val="22"/>
          <w:szCs w:val="22"/>
          <w:lang w:val="sr-Latn-ME"/>
        </w:rPr>
      </w:pPr>
    </w:p>
    <w:p w14:paraId="6D19BC7E" w14:textId="2FC8126C" w:rsidR="00E74FD6" w:rsidRPr="00F85CA6" w:rsidRDefault="00E74FD6" w:rsidP="00E74FD6">
      <w:pPr>
        <w:jc w:val="both"/>
        <w:rPr>
          <w:rFonts w:eastAsia="Calibri"/>
          <w:bCs/>
          <w:iCs/>
          <w:sz w:val="22"/>
          <w:szCs w:val="22"/>
          <w:lang w:val="sr-Latn-ME"/>
        </w:rPr>
      </w:pPr>
      <w:r w:rsidRPr="00F85CA6">
        <w:rPr>
          <w:rFonts w:eastAsia="Calibri"/>
          <w:bCs/>
          <w:iCs/>
          <w:sz w:val="22"/>
          <w:szCs w:val="22"/>
          <w:lang w:val="sr-Latn-ME"/>
        </w:rPr>
        <w:t>Krvarenje može da se desi na bilo kom m</w:t>
      </w:r>
      <w:r w:rsidR="00A42E97" w:rsidRPr="00F85CA6">
        <w:rPr>
          <w:rFonts w:eastAsia="Calibri"/>
          <w:bCs/>
          <w:iCs/>
          <w:sz w:val="22"/>
          <w:szCs w:val="22"/>
          <w:lang w:val="sr-Latn-ME"/>
        </w:rPr>
        <w:t>j</w:t>
      </w:r>
      <w:r w:rsidRPr="00F85CA6">
        <w:rPr>
          <w:rFonts w:eastAsia="Calibri"/>
          <w:bCs/>
          <w:iCs/>
          <w:sz w:val="22"/>
          <w:szCs w:val="22"/>
          <w:lang w:val="sr-Latn-ME"/>
        </w:rPr>
        <w:t>estu tokom terapije. Kod neobjašnjenog pada hemoglobina i/ili hematokrita ili krvnog pritiska treba potražiti m</w:t>
      </w:r>
      <w:r w:rsidR="00A42E97" w:rsidRPr="00F85CA6">
        <w:rPr>
          <w:rFonts w:eastAsia="Calibri"/>
          <w:bCs/>
          <w:iCs/>
          <w:sz w:val="22"/>
          <w:szCs w:val="22"/>
          <w:lang w:val="sr-Latn-ME"/>
        </w:rPr>
        <w:t>j</w:t>
      </w:r>
      <w:r w:rsidRPr="00F85CA6">
        <w:rPr>
          <w:rFonts w:eastAsia="Calibri"/>
          <w:bCs/>
          <w:iCs/>
          <w:sz w:val="22"/>
          <w:szCs w:val="22"/>
          <w:lang w:val="sr-Latn-ME"/>
        </w:rPr>
        <w:t>esto krvarenja.</w:t>
      </w:r>
    </w:p>
    <w:p w14:paraId="0F6115ED" w14:textId="77777777" w:rsidR="00E74FD6" w:rsidRPr="00F85CA6" w:rsidRDefault="00E74FD6" w:rsidP="00E74FD6">
      <w:pPr>
        <w:jc w:val="both"/>
        <w:rPr>
          <w:rFonts w:eastAsia="Calibri"/>
          <w:bCs/>
          <w:iCs/>
          <w:sz w:val="22"/>
          <w:szCs w:val="22"/>
          <w:lang w:val="sr-Latn-ME"/>
        </w:rPr>
      </w:pPr>
    </w:p>
    <w:p w14:paraId="1A92EB29" w14:textId="72889E59" w:rsidR="00E74FD6" w:rsidRPr="00F85CA6" w:rsidRDefault="00E74FD6" w:rsidP="00E74FD6">
      <w:pPr>
        <w:jc w:val="both"/>
        <w:rPr>
          <w:rFonts w:eastAsia="Calibri"/>
          <w:sz w:val="22"/>
          <w:szCs w:val="22"/>
          <w:lang w:val="sr-Latn-ME"/>
        </w:rPr>
      </w:pPr>
      <w:r w:rsidRPr="00F85CA6">
        <w:rPr>
          <w:rFonts w:eastAsia="Calibri"/>
          <w:sz w:val="22"/>
          <w:szCs w:val="22"/>
          <w:lang w:val="sr-Latn-ME"/>
        </w:rPr>
        <w:t xml:space="preserve">Kod odraslih pacijenata, u situacijama po život opasnog ili nekontrolisanog krvarenja, kada je potrebno brzo poništenje antikoagulantnog dejstva dabigatrana, dostupan je specifičan antagonist idarucizumab. </w:t>
      </w:r>
      <w:bookmarkStart w:id="7" w:name="_Hlk82699374"/>
      <w:r w:rsidRPr="00F85CA6">
        <w:rPr>
          <w:rFonts w:eastAsia="Calibri"/>
          <w:sz w:val="22"/>
          <w:szCs w:val="22"/>
          <w:lang w:val="sr-Latn-ME"/>
        </w:rPr>
        <w:t>Nije ustanovljena efikasnost i bezb</w:t>
      </w:r>
      <w:r w:rsidR="00A42E97" w:rsidRPr="00F85CA6">
        <w:rPr>
          <w:rFonts w:eastAsia="Calibri"/>
          <w:sz w:val="22"/>
          <w:szCs w:val="22"/>
          <w:lang w:val="sr-Latn-ME"/>
        </w:rPr>
        <w:t>j</w:t>
      </w:r>
      <w:r w:rsidRPr="00F85CA6">
        <w:rPr>
          <w:rFonts w:eastAsia="Calibri"/>
          <w:sz w:val="22"/>
          <w:szCs w:val="22"/>
          <w:lang w:val="sr-Latn-ME"/>
        </w:rPr>
        <w:t xml:space="preserve">ednost idarucizumaba kod pedijatrijskih pacijenata. </w:t>
      </w:r>
      <w:bookmarkEnd w:id="7"/>
      <w:r w:rsidRPr="00F85CA6">
        <w:rPr>
          <w:rFonts w:eastAsia="Calibri"/>
          <w:sz w:val="22"/>
          <w:szCs w:val="22"/>
          <w:lang w:val="sr-Latn-ME"/>
        </w:rPr>
        <w:t>Dabigatran se može ukloniti hemodijalizom. Za odrasle pacijente, druge moguće opcije su sv</w:t>
      </w:r>
      <w:r w:rsidR="00627228" w:rsidRPr="00F85CA6">
        <w:rPr>
          <w:rFonts w:eastAsia="Calibri"/>
          <w:sz w:val="22"/>
          <w:szCs w:val="22"/>
          <w:lang w:val="sr-Latn-ME"/>
        </w:rPr>
        <w:t>j</w:t>
      </w:r>
      <w:r w:rsidRPr="00F85CA6">
        <w:rPr>
          <w:rFonts w:eastAsia="Calibri"/>
          <w:sz w:val="22"/>
          <w:szCs w:val="22"/>
          <w:lang w:val="sr-Latn-ME"/>
        </w:rPr>
        <w:t>eža puna krv ili sv</w:t>
      </w:r>
      <w:r w:rsidR="00627228" w:rsidRPr="00F85CA6">
        <w:rPr>
          <w:rFonts w:eastAsia="Calibri"/>
          <w:sz w:val="22"/>
          <w:szCs w:val="22"/>
          <w:lang w:val="sr-Latn-ME"/>
        </w:rPr>
        <w:t>j</w:t>
      </w:r>
      <w:r w:rsidRPr="00F85CA6">
        <w:rPr>
          <w:rFonts w:eastAsia="Calibri"/>
          <w:sz w:val="22"/>
          <w:szCs w:val="22"/>
          <w:lang w:val="sr-Latn-ME"/>
        </w:rPr>
        <w:t>eža smrznuta plazma, koncentrati faktora koagulacije (aktivirani ili neaktivirani), rekombinantni faktor VIIa ili koncentrati trombocita (vid</w:t>
      </w:r>
      <w:r w:rsidR="00A42E97" w:rsidRPr="00F85CA6">
        <w:rPr>
          <w:rFonts w:eastAsia="Calibri"/>
          <w:sz w:val="22"/>
          <w:szCs w:val="22"/>
          <w:lang w:val="sr-Latn-ME"/>
        </w:rPr>
        <w:t>j</w:t>
      </w:r>
      <w:r w:rsidRPr="00F85CA6">
        <w:rPr>
          <w:rFonts w:eastAsia="Calibri"/>
          <w:sz w:val="22"/>
          <w:szCs w:val="22"/>
          <w:lang w:val="sr-Latn-ME"/>
        </w:rPr>
        <w:t xml:space="preserve">eti takođe </w:t>
      </w:r>
      <w:r w:rsidR="00F00680" w:rsidRPr="00F85CA6">
        <w:rPr>
          <w:rFonts w:eastAsia="Calibri"/>
          <w:sz w:val="22"/>
          <w:szCs w:val="22"/>
          <w:lang w:val="sr-Latn-ME"/>
        </w:rPr>
        <w:t>dio</w:t>
      </w:r>
      <w:r w:rsidRPr="00F85CA6">
        <w:rPr>
          <w:rFonts w:eastAsia="Calibri"/>
          <w:sz w:val="22"/>
          <w:szCs w:val="22"/>
          <w:lang w:val="sr-Latn-ME"/>
        </w:rPr>
        <w:t xml:space="preserve"> 4.9).</w:t>
      </w:r>
    </w:p>
    <w:p w14:paraId="11543101" w14:textId="77777777" w:rsidR="00E74FD6" w:rsidRPr="00F85CA6" w:rsidRDefault="00E74FD6" w:rsidP="00E74FD6">
      <w:pPr>
        <w:jc w:val="both"/>
        <w:rPr>
          <w:rFonts w:eastAsia="Calibri"/>
          <w:sz w:val="22"/>
          <w:szCs w:val="22"/>
          <w:lang w:val="sr-Latn-ME"/>
        </w:rPr>
      </w:pPr>
    </w:p>
    <w:p w14:paraId="65E8B42D" w14:textId="19D8AB83" w:rsidR="00E74FD6" w:rsidRPr="00F85CA6" w:rsidRDefault="00E74FD6" w:rsidP="00E74FD6">
      <w:pPr>
        <w:jc w:val="both"/>
        <w:rPr>
          <w:rFonts w:eastAsia="Calibri"/>
          <w:bCs/>
          <w:iCs/>
          <w:sz w:val="22"/>
          <w:szCs w:val="22"/>
          <w:lang w:val="sr-Latn-ME"/>
        </w:rPr>
      </w:pPr>
      <w:r w:rsidRPr="00F85CA6">
        <w:rPr>
          <w:rFonts w:eastAsia="Calibri"/>
          <w:bCs/>
          <w:iCs/>
          <w:sz w:val="22"/>
          <w:szCs w:val="22"/>
          <w:lang w:val="sr-Latn-ME"/>
        </w:rPr>
        <w:t>U kliničkim ispitivanjima dabigatrane</w:t>
      </w:r>
      <w:r w:rsidR="002E54BA" w:rsidRPr="00F85CA6">
        <w:rPr>
          <w:rFonts w:eastAsia="Calibri"/>
          <w:bCs/>
          <w:iCs/>
          <w:sz w:val="22"/>
          <w:szCs w:val="22"/>
          <w:lang w:val="sr-Latn-ME"/>
        </w:rPr>
        <w:t xml:space="preserve"> </w:t>
      </w:r>
      <w:r w:rsidRPr="00F85CA6">
        <w:rPr>
          <w:rFonts w:eastAsia="Calibri"/>
          <w:bCs/>
          <w:iCs/>
          <w:sz w:val="22"/>
          <w:szCs w:val="22"/>
          <w:lang w:val="sr-Latn-ME"/>
        </w:rPr>
        <w:t>teksilat je bio povezan sa većom stopom obilnijeg gastrointestinalnog (GI) krvarenja. Ovaj povećani rizik je bio uočen kod starijih osoba (≥</w:t>
      </w:r>
      <w:r w:rsidR="002E54BA" w:rsidRPr="00F85CA6">
        <w:rPr>
          <w:rFonts w:eastAsia="Calibri"/>
          <w:bCs/>
          <w:iCs/>
          <w:sz w:val="22"/>
          <w:szCs w:val="22"/>
          <w:lang w:val="sr-Latn-ME"/>
        </w:rPr>
        <w:t xml:space="preserve"> </w:t>
      </w:r>
      <w:r w:rsidRPr="00F85CA6">
        <w:rPr>
          <w:rFonts w:eastAsia="Calibri"/>
          <w:bCs/>
          <w:iCs/>
          <w:sz w:val="22"/>
          <w:szCs w:val="22"/>
          <w:lang w:val="sr-Latn-ME"/>
        </w:rPr>
        <w:t>75 godina) pri režimu doziranja od 150 mg dva puta dnevno. Dodatni faktori rizika (vid</w:t>
      </w:r>
      <w:r w:rsidR="00A42E97" w:rsidRPr="00F85CA6">
        <w:rPr>
          <w:rFonts w:eastAsia="Calibri"/>
          <w:bCs/>
          <w:iCs/>
          <w:sz w:val="22"/>
          <w:szCs w:val="22"/>
          <w:lang w:val="sr-Latn-ME"/>
        </w:rPr>
        <w:t>j</w:t>
      </w:r>
      <w:r w:rsidRPr="00F85CA6">
        <w:rPr>
          <w:rFonts w:eastAsia="Calibri"/>
          <w:bCs/>
          <w:iCs/>
          <w:sz w:val="22"/>
          <w:szCs w:val="22"/>
          <w:lang w:val="sr-Latn-ME"/>
        </w:rPr>
        <w:t xml:space="preserve">eti takođe tabelu 5) uključuju istovremenu terapiju sa inhibitorima agregacije trombocita kao što su klopidogrel i acetilsalicilna </w:t>
      </w:r>
      <w:r w:rsidRPr="00F85CA6">
        <w:rPr>
          <w:rFonts w:eastAsia="Calibri"/>
          <w:bCs/>
          <w:iCs/>
          <w:sz w:val="22"/>
          <w:szCs w:val="22"/>
          <w:lang w:val="sr-Latn-ME"/>
        </w:rPr>
        <w:lastRenderedPageBreak/>
        <w:t>kiselina (ASK) ili nesteroidni antiinflamatorni l</w:t>
      </w:r>
      <w:r w:rsidR="002E54BA" w:rsidRPr="00F85CA6">
        <w:rPr>
          <w:rFonts w:eastAsia="Calibri"/>
          <w:bCs/>
          <w:iCs/>
          <w:sz w:val="22"/>
          <w:szCs w:val="22"/>
          <w:lang w:val="sr-Latn-ME"/>
        </w:rPr>
        <w:t>j</w:t>
      </w:r>
      <w:r w:rsidRPr="00F85CA6">
        <w:rPr>
          <w:rFonts w:eastAsia="Calibri"/>
          <w:bCs/>
          <w:iCs/>
          <w:sz w:val="22"/>
          <w:szCs w:val="22"/>
          <w:lang w:val="sr-Latn-ME"/>
        </w:rPr>
        <w:t>ekovi (NSAIL),</w:t>
      </w:r>
      <w:r w:rsidRPr="00F85CA6" w:rsidDel="0024585B">
        <w:rPr>
          <w:rFonts w:eastAsia="Calibri"/>
          <w:bCs/>
          <w:iCs/>
          <w:sz w:val="22"/>
          <w:szCs w:val="22"/>
          <w:lang w:val="sr-Latn-ME"/>
        </w:rPr>
        <w:t xml:space="preserve"> </w:t>
      </w:r>
      <w:r w:rsidRPr="00F85CA6">
        <w:rPr>
          <w:rFonts w:eastAsia="Calibri"/>
          <w:bCs/>
          <w:iCs/>
          <w:sz w:val="22"/>
          <w:szCs w:val="22"/>
          <w:lang w:val="sr-Latn-ME"/>
        </w:rPr>
        <w:t xml:space="preserve">kao i prisustvo ezofagitisa, gastritisa ili gastroezofagealnog refluksa. </w:t>
      </w:r>
    </w:p>
    <w:p w14:paraId="2B5500C2" w14:textId="77777777" w:rsidR="00E74FD6" w:rsidRPr="00F85CA6" w:rsidRDefault="00E74FD6" w:rsidP="00E74FD6">
      <w:pPr>
        <w:jc w:val="both"/>
        <w:rPr>
          <w:rFonts w:eastAsia="Calibri"/>
          <w:bCs/>
          <w:iCs/>
          <w:sz w:val="22"/>
          <w:szCs w:val="22"/>
          <w:lang w:val="sr-Latn-ME"/>
        </w:rPr>
      </w:pPr>
    </w:p>
    <w:p w14:paraId="785539E4" w14:textId="588211CC" w:rsidR="00E74FD6" w:rsidRPr="00F85CA6" w:rsidRDefault="00E74FD6" w:rsidP="00E74FD6">
      <w:pPr>
        <w:jc w:val="both"/>
        <w:rPr>
          <w:rFonts w:eastAsia="Calibri"/>
          <w:bCs/>
          <w:i/>
          <w:sz w:val="22"/>
          <w:szCs w:val="22"/>
          <w:u w:val="single"/>
          <w:lang w:val="sr-Latn-ME"/>
        </w:rPr>
      </w:pPr>
      <w:r w:rsidRPr="00F85CA6">
        <w:rPr>
          <w:rFonts w:eastAsia="Calibri"/>
          <w:bCs/>
          <w:i/>
          <w:sz w:val="22"/>
          <w:szCs w:val="22"/>
          <w:u w:val="single"/>
          <w:lang w:val="sr-Latn-ME"/>
        </w:rPr>
        <w:t>Faktori rizika</w:t>
      </w:r>
    </w:p>
    <w:p w14:paraId="789AC50E" w14:textId="77777777" w:rsidR="00E74FD6" w:rsidRPr="00F85CA6" w:rsidRDefault="00E74FD6" w:rsidP="00E74FD6">
      <w:pPr>
        <w:jc w:val="both"/>
        <w:rPr>
          <w:rFonts w:eastAsia="Calibri"/>
          <w:sz w:val="22"/>
          <w:szCs w:val="22"/>
          <w:lang w:val="sr-Latn-ME"/>
        </w:rPr>
      </w:pPr>
      <w:r w:rsidRPr="00F85CA6">
        <w:rPr>
          <w:rFonts w:eastAsia="Calibri"/>
          <w:bCs/>
          <w:iCs/>
          <w:sz w:val="22"/>
          <w:szCs w:val="22"/>
          <w:lang w:val="sr-Latn-ME"/>
        </w:rPr>
        <w:t>U tabeli 5 prikazani su faktori koji mogu da povećaju rizik od krvarenja.</w:t>
      </w:r>
      <w:r w:rsidRPr="00F85CA6">
        <w:rPr>
          <w:rFonts w:eastAsia="Calibri"/>
          <w:sz w:val="22"/>
          <w:szCs w:val="22"/>
          <w:lang w:val="sr-Latn-ME"/>
        </w:rPr>
        <w:t xml:space="preserve"> </w:t>
      </w:r>
    </w:p>
    <w:p w14:paraId="64869335" w14:textId="77777777" w:rsidR="00E74FD6" w:rsidRPr="00F85CA6" w:rsidRDefault="00E74FD6" w:rsidP="00E74FD6">
      <w:pPr>
        <w:jc w:val="both"/>
        <w:rPr>
          <w:rFonts w:eastAsia="Calibri"/>
          <w:sz w:val="22"/>
          <w:szCs w:val="22"/>
          <w:lang w:val="sr-Latn-ME"/>
        </w:rPr>
      </w:pPr>
    </w:p>
    <w:p w14:paraId="19CA5277" w14:textId="12A8378A" w:rsidR="00E74FD6" w:rsidRPr="00F85CA6" w:rsidRDefault="00E74FD6" w:rsidP="00685312">
      <w:pPr>
        <w:jc w:val="center"/>
        <w:rPr>
          <w:rFonts w:eastAsia="Calibri"/>
          <w:b/>
          <w:bCs/>
          <w:sz w:val="22"/>
          <w:szCs w:val="22"/>
          <w:lang w:val="sr-Latn-ME" w:bidi="en-US"/>
        </w:rPr>
      </w:pPr>
      <w:r w:rsidRPr="00F85CA6">
        <w:rPr>
          <w:rFonts w:eastAsia="Calibri"/>
          <w:b/>
          <w:bCs/>
          <w:sz w:val="22"/>
          <w:szCs w:val="22"/>
          <w:lang w:val="sr-Latn-ME" w:bidi="en-US"/>
        </w:rPr>
        <w:t>Tabela 5: Faktori koji mogu da povećaju rizik od krvarenja.</w:t>
      </w:r>
    </w:p>
    <w:p w14:paraId="01CA5C87" w14:textId="77777777" w:rsidR="00E74FD6" w:rsidRPr="00F85CA6" w:rsidRDefault="00E74FD6" w:rsidP="00E74FD6">
      <w:pPr>
        <w:jc w:val="both"/>
        <w:rPr>
          <w:rFonts w:eastAsia="Calibri"/>
          <w:b/>
          <w:bCs/>
          <w:sz w:val="22"/>
          <w:szCs w:val="22"/>
          <w:lang w:val="sr-Latn-ME" w:bidi="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A0" w:firstRow="1" w:lastRow="0" w:firstColumn="1" w:lastColumn="0" w:noHBand="0" w:noVBand="0"/>
      </w:tblPr>
      <w:tblGrid>
        <w:gridCol w:w="4270"/>
        <w:gridCol w:w="4793"/>
      </w:tblGrid>
      <w:tr w:rsidR="00E74FD6" w:rsidRPr="00F85CA6" w14:paraId="46FA62B3" w14:textId="77777777" w:rsidTr="001239C3">
        <w:trPr>
          <w:trHeight w:val="20"/>
        </w:trPr>
        <w:tc>
          <w:tcPr>
            <w:tcW w:w="2356" w:type="pct"/>
          </w:tcPr>
          <w:p w14:paraId="4B4C4A7C" w14:textId="77777777" w:rsidR="00E74FD6" w:rsidRPr="00F85CA6" w:rsidRDefault="00E74FD6" w:rsidP="00E74FD6">
            <w:pPr>
              <w:jc w:val="both"/>
              <w:rPr>
                <w:rFonts w:eastAsia="Calibri"/>
                <w:bCs/>
                <w:iCs/>
                <w:sz w:val="22"/>
                <w:szCs w:val="22"/>
                <w:lang w:val="sr-Latn-ME"/>
              </w:rPr>
            </w:pPr>
          </w:p>
        </w:tc>
        <w:tc>
          <w:tcPr>
            <w:tcW w:w="2644" w:type="pct"/>
          </w:tcPr>
          <w:p w14:paraId="48D24DAB" w14:textId="77777777" w:rsidR="00E74FD6" w:rsidRPr="00F85CA6" w:rsidRDefault="00E74FD6" w:rsidP="00685312">
            <w:pPr>
              <w:jc w:val="center"/>
              <w:rPr>
                <w:rFonts w:eastAsia="Calibri"/>
                <w:bCs/>
                <w:iCs/>
                <w:sz w:val="22"/>
                <w:szCs w:val="22"/>
                <w:lang w:val="sr-Latn-ME"/>
              </w:rPr>
            </w:pPr>
            <w:r w:rsidRPr="00F85CA6">
              <w:rPr>
                <w:rFonts w:eastAsia="Calibri"/>
                <w:bCs/>
                <w:iCs/>
                <w:sz w:val="22"/>
                <w:szCs w:val="22"/>
                <w:lang w:val="sr-Latn-ME"/>
              </w:rPr>
              <w:t>Faktor rizika</w:t>
            </w:r>
          </w:p>
        </w:tc>
      </w:tr>
      <w:tr w:rsidR="00E74FD6" w:rsidRPr="00F85CA6" w14:paraId="5FF3AE67" w14:textId="77777777" w:rsidTr="001239C3">
        <w:trPr>
          <w:trHeight w:val="20"/>
        </w:trPr>
        <w:tc>
          <w:tcPr>
            <w:tcW w:w="2356" w:type="pct"/>
          </w:tcPr>
          <w:p w14:paraId="0EA9551B" w14:textId="77777777" w:rsidR="00E74FD6" w:rsidRPr="00F85CA6" w:rsidRDefault="00E74FD6" w:rsidP="00E74FD6">
            <w:pPr>
              <w:jc w:val="both"/>
              <w:rPr>
                <w:rFonts w:eastAsia="Calibri"/>
                <w:bCs/>
                <w:iCs/>
                <w:sz w:val="22"/>
                <w:szCs w:val="22"/>
                <w:lang w:val="sr-Latn-ME"/>
              </w:rPr>
            </w:pPr>
            <w:r w:rsidRPr="00F85CA6">
              <w:rPr>
                <w:rFonts w:eastAsia="Calibri"/>
                <w:bCs/>
                <w:iCs/>
                <w:sz w:val="22"/>
                <w:szCs w:val="22"/>
                <w:lang w:val="sr-Latn-ME"/>
              </w:rPr>
              <w:t>Farmakodinamski i farmakokinetički faktori</w:t>
            </w:r>
          </w:p>
        </w:tc>
        <w:tc>
          <w:tcPr>
            <w:tcW w:w="2644" w:type="pct"/>
          </w:tcPr>
          <w:p w14:paraId="1132ABC0" w14:textId="77777777" w:rsidR="00E74FD6" w:rsidRPr="00F85CA6" w:rsidRDefault="00E74FD6" w:rsidP="00685312">
            <w:pPr>
              <w:jc w:val="center"/>
              <w:rPr>
                <w:rFonts w:eastAsia="Calibri"/>
                <w:bCs/>
                <w:iCs/>
                <w:sz w:val="22"/>
                <w:szCs w:val="22"/>
                <w:lang w:val="sr-Latn-ME"/>
              </w:rPr>
            </w:pPr>
            <w:r w:rsidRPr="00F85CA6">
              <w:rPr>
                <w:rFonts w:eastAsia="Calibri"/>
                <w:bCs/>
                <w:iCs/>
                <w:sz w:val="22"/>
                <w:szCs w:val="22"/>
                <w:lang w:val="sr-Latn-ME"/>
              </w:rPr>
              <w:t>Starost ≥75 godina</w:t>
            </w:r>
          </w:p>
        </w:tc>
      </w:tr>
      <w:tr w:rsidR="00E74FD6" w:rsidRPr="00F85CA6" w14:paraId="2EDAEF9C" w14:textId="77777777" w:rsidTr="001239C3">
        <w:trPr>
          <w:trHeight w:val="20"/>
        </w:trPr>
        <w:tc>
          <w:tcPr>
            <w:tcW w:w="2356" w:type="pct"/>
          </w:tcPr>
          <w:p w14:paraId="22769477" w14:textId="77777777" w:rsidR="00E74FD6" w:rsidRPr="00F85CA6" w:rsidRDefault="00E74FD6" w:rsidP="00F00680">
            <w:pPr>
              <w:rPr>
                <w:rFonts w:eastAsia="Calibri"/>
                <w:bCs/>
                <w:iCs/>
                <w:sz w:val="22"/>
                <w:szCs w:val="22"/>
                <w:lang w:val="sr-Latn-ME"/>
              </w:rPr>
            </w:pPr>
            <w:r w:rsidRPr="00F85CA6">
              <w:rPr>
                <w:rFonts w:eastAsia="Calibri"/>
                <w:bCs/>
                <w:iCs/>
                <w:sz w:val="22"/>
                <w:szCs w:val="22"/>
                <w:lang w:val="sr-Latn-ME"/>
              </w:rPr>
              <w:t xml:space="preserve">Faktori koji povećavaju koncentracije dabigatrana u plazmi </w:t>
            </w:r>
          </w:p>
        </w:tc>
        <w:tc>
          <w:tcPr>
            <w:tcW w:w="2644" w:type="pct"/>
          </w:tcPr>
          <w:p w14:paraId="3A2A540D" w14:textId="77777777" w:rsidR="00E74FD6" w:rsidRPr="00F85CA6" w:rsidRDefault="00E74FD6" w:rsidP="00E74FD6">
            <w:pPr>
              <w:jc w:val="both"/>
              <w:rPr>
                <w:rFonts w:eastAsia="Calibri"/>
                <w:bCs/>
                <w:iCs/>
                <w:sz w:val="22"/>
                <w:szCs w:val="22"/>
                <w:u w:val="single"/>
                <w:lang w:val="sr-Latn-ME"/>
              </w:rPr>
            </w:pPr>
            <w:r w:rsidRPr="00F85CA6">
              <w:rPr>
                <w:rFonts w:eastAsia="Calibri"/>
                <w:bCs/>
                <w:iCs/>
                <w:sz w:val="22"/>
                <w:szCs w:val="22"/>
                <w:u w:val="single"/>
                <w:lang w:val="sr-Latn-ME"/>
              </w:rPr>
              <w:t>Značajni:</w:t>
            </w:r>
          </w:p>
          <w:p w14:paraId="04E740C1" w14:textId="10F1B0C7" w:rsidR="00E74FD6" w:rsidRPr="00F85CA6" w:rsidRDefault="00E74FD6" w:rsidP="00E74FD6">
            <w:pPr>
              <w:numPr>
                <w:ilvl w:val="0"/>
                <w:numId w:val="14"/>
              </w:numPr>
              <w:spacing w:after="160" w:line="259" w:lineRule="auto"/>
              <w:jc w:val="both"/>
              <w:rPr>
                <w:rFonts w:eastAsia="Calibri"/>
                <w:bCs/>
                <w:iCs/>
                <w:sz w:val="22"/>
                <w:szCs w:val="22"/>
                <w:lang w:val="sr-Latn-ME"/>
              </w:rPr>
            </w:pPr>
            <w:r w:rsidRPr="00F85CA6">
              <w:rPr>
                <w:rFonts w:eastAsia="Calibri"/>
                <w:bCs/>
                <w:iCs/>
                <w:sz w:val="22"/>
                <w:szCs w:val="22"/>
                <w:lang w:val="sr-Latn-ME"/>
              </w:rPr>
              <w:t>Um</w:t>
            </w:r>
            <w:r w:rsidR="00A42E97" w:rsidRPr="00F85CA6">
              <w:rPr>
                <w:rFonts w:eastAsia="Calibri"/>
                <w:bCs/>
                <w:iCs/>
                <w:sz w:val="22"/>
                <w:szCs w:val="22"/>
                <w:lang w:val="sr-Latn-ME"/>
              </w:rPr>
              <w:t>j</w:t>
            </w:r>
            <w:r w:rsidRPr="00F85CA6">
              <w:rPr>
                <w:rFonts w:eastAsia="Calibri"/>
                <w:bCs/>
                <w:iCs/>
                <w:sz w:val="22"/>
                <w:szCs w:val="22"/>
                <w:lang w:val="sr-Latn-ME"/>
              </w:rPr>
              <w:t>ereno oštećenje funkcije bubrega kod odraslih pacijenata (30-50 m</w:t>
            </w:r>
            <w:r w:rsidR="002E54BA" w:rsidRPr="00F85CA6">
              <w:rPr>
                <w:rFonts w:eastAsia="Calibri"/>
                <w:bCs/>
                <w:iCs/>
                <w:sz w:val="22"/>
                <w:szCs w:val="22"/>
                <w:lang w:val="sr-Latn-ME"/>
              </w:rPr>
              <w:t>l</w:t>
            </w:r>
            <w:r w:rsidRPr="00F85CA6">
              <w:rPr>
                <w:rFonts w:eastAsia="Calibri"/>
                <w:bCs/>
                <w:iCs/>
                <w:sz w:val="22"/>
                <w:szCs w:val="22"/>
                <w:lang w:val="sr-Latn-ME"/>
              </w:rPr>
              <w:t>/min CrCL)</w:t>
            </w:r>
          </w:p>
          <w:p w14:paraId="36ABF146" w14:textId="7DC29324" w:rsidR="00E74FD6" w:rsidRPr="00F85CA6" w:rsidRDefault="00E74FD6" w:rsidP="00E74FD6">
            <w:pPr>
              <w:numPr>
                <w:ilvl w:val="0"/>
                <w:numId w:val="14"/>
              </w:numPr>
              <w:spacing w:after="160" w:line="259" w:lineRule="auto"/>
              <w:jc w:val="both"/>
              <w:rPr>
                <w:rFonts w:eastAsia="Calibri"/>
                <w:bCs/>
                <w:iCs/>
                <w:sz w:val="22"/>
                <w:szCs w:val="22"/>
                <w:lang w:val="sr-Latn-ME"/>
              </w:rPr>
            </w:pPr>
            <w:r w:rsidRPr="00F85CA6">
              <w:rPr>
                <w:rFonts w:eastAsia="Calibri"/>
                <w:bCs/>
                <w:iCs/>
                <w:sz w:val="22"/>
                <w:szCs w:val="22"/>
                <w:lang w:val="sr-Latn-ME"/>
              </w:rPr>
              <w:t>Snažni P-gp inhibitori (vid</w:t>
            </w:r>
            <w:r w:rsidR="00A42E97" w:rsidRPr="00F85CA6">
              <w:rPr>
                <w:rFonts w:eastAsia="Calibri"/>
                <w:bCs/>
                <w:iCs/>
                <w:sz w:val="22"/>
                <w:szCs w:val="22"/>
                <w:lang w:val="sr-Latn-ME"/>
              </w:rPr>
              <w:t>j</w:t>
            </w:r>
            <w:r w:rsidRPr="00F85CA6">
              <w:rPr>
                <w:rFonts w:eastAsia="Calibri"/>
                <w:bCs/>
                <w:iCs/>
                <w:sz w:val="22"/>
                <w:szCs w:val="22"/>
                <w:lang w:val="sr-Latn-ME"/>
              </w:rPr>
              <w:t xml:space="preserve">eti </w:t>
            </w:r>
            <w:r w:rsidR="00F00680" w:rsidRPr="00F85CA6">
              <w:rPr>
                <w:rFonts w:eastAsia="Calibri"/>
                <w:bCs/>
                <w:iCs/>
                <w:sz w:val="22"/>
                <w:szCs w:val="22"/>
                <w:lang w:val="sr-Latn-ME"/>
              </w:rPr>
              <w:t>djelove</w:t>
            </w:r>
            <w:r w:rsidRPr="00F85CA6">
              <w:rPr>
                <w:rFonts w:eastAsia="Calibri"/>
                <w:bCs/>
                <w:iCs/>
                <w:sz w:val="22"/>
                <w:szCs w:val="22"/>
                <w:lang w:val="sr-Latn-ME"/>
              </w:rPr>
              <w:t xml:space="preserve"> 4.3 i 4.5)</w:t>
            </w:r>
          </w:p>
          <w:p w14:paraId="7D53D701" w14:textId="08A9F25F" w:rsidR="00E74FD6" w:rsidRPr="00F85CA6" w:rsidRDefault="00E74FD6" w:rsidP="00E74FD6">
            <w:pPr>
              <w:numPr>
                <w:ilvl w:val="0"/>
                <w:numId w:val="14"/>
              </w:numPr>
              <w:spacing w:after="160" w:line="259" w:lineRule="auto"/>
              <w:jc w:val="both"/>
              <w:rPr>
                <w:rFonts w:eastAsia="Calibri"/>
                <w:bCs/>
                <w:iCs/>
                <w:sz w:val="22"/>
                <w:szCs w:val="22"/>
                <w:lang w:val="sr-Latn-ME"/>
              </w:rPr>
            </w:pPr>
            <w:r w:rsidRPr="00F85CA6">
              <w:rPr>
                <w:rFonts w:eastAsia="Calibri"/>
                <w:bCs/>
                <w:iCs/>
                <w:sz w:val="22"/>
                <w:szCs w:val="22"/>
                <w:lang w:val="sr-Latn-ME"/>
              </w:rPr>
              <w:t>Istovremena prim</w:t>
            </w:r>
            <w:r w:rsidR="00A42E97" w:rsidRPr="00F85CA6">
              <w:rPr>
                <w:rFonts w:eastAsia="Calibri"/>
                <w:bCs/>
                <w:iCs/>
                <w:sz w:val="22"/>
                <w:szCs w:val="22"/>
                <w:lang w:val="sr-Latn-ME"/>
              </w:rPr>
              <w:t>j</w:t>
            </w:r>
            <w:r w:rsidRPr="00F85CA6">
              <w:rPr>
                <w:rFonts w:eastAsia="Calibri"/>
                <w:bCs/>
                <w:iCs/>
                <w:sz w:val="22"/>
                <w:szCs w:val="22"/>
                <w:lang w:val="sr-Latn-ME"/>
              </w:rPr>
              <w:t>ena blagih do um</w:t>
            </w:r>
            <w:r w:rsidR="00D74CB6" w:rsidRPr="00F85CA6">
              <w:rPr>
                <w:rFonts w:eastAsia="Calibri"/>
                <w:bCs/>
                <w:iCs/>
                <w:sz w:val="22"/>
                <w:szCs w:val="22"/>
                <w:lang w:val="sr-Latn-ME"/>
              </w:rPr>
              <w:t>j</w:t>
            </w:r>
            <w:r w:rsidRPr="00F85CA6">
              <w:rPr>
                <w:rFonts w:eastAsia="Calibri"/>
                <w:bCs/>
                <w:iCs/>
                <w:sz w:val="22"/>
                <w:szCs w:val="22"/>
                <w:lang w:val="sr-Latn-ME"/>
              </w:rPr>
              <w:t>erenih P-gp inhibitora (npr. amjodaron, verapamil, hinidin i tikagrelor; vid</w:t>
            </w:r>
            <w:r w:rsidR="00A42E97" w:rsidRPr="00F85CA6">
              <w:rPr>
                <w:rFonts w:eastAsia="Calibri"/>
                <w:bCs/>
                <w:iCs/>
                <w:sz w:val="22"/>
                <w:szCs w:val="22"/>
                <w:lang w:val="sr-Latn-ME"/>
              </w:rPr>
              <w:t>j</w:t>
            </w:r>
            <w:r w:rsidRPr="00F85CA6">
              <w:rPr>
                <w:rFonts w:eastAsia="Calibri"/>
                <w:bCs/>
                <w:iCs/>
                <w:sz w:val="22"/>
                <w:szCs w:val="22"/>
                <w:lang w:val="sr-Latn-ME"/>
              </w:rPr>
              <w:t xml:space="preserve">eti </w:t>
            </w:r>
            <w:r w:rsidR="00F00680" w:rsidRPr="00F85CA6">
              <w:rPr>
                <w:rFonts w:eastAsia="Calibri"/>
                <w:bCs/>
                <w:iCs/>
                <w:sz w:val="22"/>
                <w:szCs w:val="22"/>
                <w:lang w:val="sr-Latn-ME"/>
              </w:rPr>
              <w:t>dio</w:t>
            </w:r>
            <w:r w:rsidRPr="00F85CA6">
              <w:rPr>
                <w:rFonts w:eastAsia="Calibri"/>
                <w:bCs/>
                <w:iCs/>
                <w:sz w:val="22"/>
                <w:szCs w:val="22"/>
                <w:lang w:val="sr-Latn-ME"/>
              </w:rPr>
              <w:t xml:space="preserve"> 4.5)</w:t>
            </w:r>
          </w:p>
          <w:p w14:paraId="146C33A2" w14:textId="77777777" w:rsidR="00E74FD6" w:rsidRPr="00F85CA6" w:rsidRDefault="00E74FD6" w:rsidP="00E74FD6">
            <w:pPr>
              <w:jc w:val="both"/>
              <w:rPr>
                <w:rFonts w:eastAsia="Calibri"/>
                <w:bCs/>
                <w:iCs/>
                <w:sz w:val="22"/>
                <w:szCs w:val="22"/>
                <w:lang w:val="sr-Latn-ME"/>
              </w:rPr>
            </w:pPr>
          </w:p>
          <w:p w14:paraId="1605817B" w14:textId="77777777" w:rsidR="00E74FD6" w:rsidRPr="00F85CA6" w:rsidRDefault="00E74FD6" w:rsidP="00E74FD6">
            <w:pPr>
              <w:jc w:val="both"/>
              <w:rPr>
                <w:rFonts w:eastAsia="Calibri"/>
                <w:bCs/>
                <w:iCs/>
                <w:sz w:val="22"/>
                <w:szCs w:val="22"/>
                <w:u w:val="single"/>
                <w:lang w:val="sr-Latn-ME"/>
              </w:rPr>
            </w:pPr>
            <w:r w:rsidRPr="00F85CA6">
              <w:rPr>
                <w:rFonts w:eastAsia="Calibri"/>
                <w:bCs/>
                <w:iCs/>
                <w:sz w:val="22"/>
                <w:szCs w:val="22"/>
                <w:u w:val="single"/>
                <w:lang w:val="sr-Latn-ME"/>
              </w:rPr>
              <w:t>Manje značajni:</w:t>
            </w:r>
          </w:p>
          <w:p w14:paraId="6C4504ED" w14:textId="5ACEA596" w:rsidR="00E74FD6" w:rsidRPr="00F85CA6" w:rsidRDefault="00E74FD6" w:rsidP="00E74FD6">
            <w:pPr>
              <w:numPr>
                <w:ilvl w:val="0"/>
                <w:numId w:val="14"/>
              </w:numPr>
              <w:spacing w:after="160" w:line="259" w:lineRule="auto"/>
              <w:jc w:val="both"/>
              <w:rPr>
                <w:rFonts w:eastAsia="Calibri"/>
                <w:bCs/>
                <w:iCs/>
                <w:sz w:val="22"/>
                <w:szCs w:val="22"/>
                <w:lang w:val="sr-Latn-ME"/>
              </w:rPr>
            </w:pPr>
            <w:r w:rsidRPr="00F85CA6">
              <w:rPr>
                <w:rFonts w:eastAsia="Calibri"/>
                <w:bCs/>
                <w:iCs/>
                <w:sz w:val="22"/>
                <w:szCs w:val="22"/>
                <w:lang w:val="sr-Latn-ME"/>
              </w:rPr>
              <w:t>Mala t</w:t>
            </w:r>
            <w:r w:rsidR="00F00680" w:rsidRPr="00F85CA6">
              <w:rPr>
                <w:rFonts w:eastAsia="Calibri"/>
                <w:bCs/>
                <w:iCs/>
                <w:sz w:val="22"/>
                <w:szCs w:val="22"/>
                <w:lang w:val="sr-Latn-ME"/>
              </w:rPr>
              <w:t>j</w:t>
            </w:r>
            <w:r w:rsidRPr="00F85CA6">
              <w:rPr>
                <w:rFonts w:eastAsia="Calibri"/>
                <w:bCs/>
                <w:iCs/>
                <w:sz w:val="22"/>
                <w:szCs w:val="22"/>
                <w:lang w:val="sr-Latn-ME"/>
              </w:rPr>
              <w:t>elesna masa (&lt;</w:t>
            </w:r>
            <w:r w:rsidR="002E54BA" w:rsidRPr="00F85CA6">
              <w:rPr>
                <w:rFonts w:eastAsia="Calibri"/>
                <w:bCs/>
                <w:iCs/>
                <w:sz w:val="22"/>
                <w:szCs w:val="22"/>
                <w:lang w:val="sr-Latn-ME"/>
              </w:rPr>
              <w:t xml:space="preserve"> </w:t>
            </w:r>
            <w:r w:rsidRPr="00F85CA6">
              <w:rPr>
                <w:rFonts w:eastAsia="Calibri"/>
                <w:bCs/>
                <w:iCs/>
                <w:sz w:val="22"/>
                <w:szCs w:val="22"/>
                <w:lang w:val="sr-Latn-ME"/>
              </w:rPr>
              <w:t xml:space="preserve">50 kg) kod odraslih pacijenata </w:t>
            </w:r>
          </w:p>
        </w:tc>
      </w:tr>
      <w:tr w:rsidR="00E74FD6" w:rsidRPr="00F85CA6" w14:paraId="07F408C2" w14:textId="77777777" w:rsidTr="001239C3">
        <w:trPr>
          <w:trHeight w:val="20"/>
        </w:trPr>
        <w:tc>
          <w:tcPr>
            <w:tcW w:w="2356" w:type="pct"/>
          </w:tcPr>
          <w:p w14:paraId="202702B9" w14:textId="1A9C5669" w:rsidR="00E74FD6" w:rsidRPr="00F85CA6" w:rsidRDefault="00E74FD6" w:rsidP="00E74FD6">
            <w:pPr>
              <w:jc w:val="both"/>
              <w:rPr>
                <w:rFonts w:eastAsia="Calibri"/>
                <w:bCs/>
                <w:iCs/>
                <w:sz w:val="22"/>
                <w:szCs w:val="22"/>
                <w:lang w:val="sr-Latn-ME"/>
              </w:rPr>
            </w:pPr>
            <w:r w:rsidRPr="00F85CA6">
              <w:rPr>
                <w:rFonts w:eastAsia="Calibri"/>
                <w:bCs/>
                <w:iCs/>
                <w:sz w:val="22"/>
                <w:szCs w:val="22"/>
                <w:lang w:val="sr-Latn-ME"/>
              </w:rPr>
              <w:t>Farmakodinamske interakcije (vid</w:t>
            </w:r>
            <w:r w:rsidR="00A42E97" w:rsidRPr="00F85CA6">
              <w:rPr>
                <w:rFonts w:eastAsia="Calibri"/>
                <w:bCs/>
                <w:iCs/>
                <w:sz w:val="22"/>
                <w:szCs w:val="22"/>
                <w:lang w:val="sr-Latn-ME"/>
              </w:rPr>
              <w:t>j</w:t>
            </w:r>
            <w:r w:rsidRPr="00F85CA6">
              <w:rPr>
                <w:rFonts w:eastAsia="Calibri"/>
                <w:bCs/>
                <w:iCs/>
                <w:sz w:val="22"/>
                <w:szCs w:val="22"/>
                <w:lang w:val="sr-Latn-ME"/>
              </w:rPr>
              <w:t xml:space="preserve">eti </w:t>
            </w:r>
            <w:r w:rsidR="00F00680" w:rsidRPr="00F85CA6">
              <w:rPr>
                <w:rFonts w:eastAsia="Calibri"/>
                <w:bCs/>
                <w:iCs/>
                <w:sz w:val="22"/>
                <w:szCs w:val="22"/>
                <w:lang w:val="sr-Latn-ME"/>
              </w:rPr>
              <w:t>dio</w:t>
            </w:r>
            <w:r w:rsidRPr="00F85CA6">
              <w:rPr>
                <w:rFonts w:eastAsia="Calibri"/>
                <w:bCs/>
                <w:iCs/>
                <w:sz w:val="22"/>
                <w:szCs w:val="22"/>
                <w:lang w:val="sr-Latn-ME"/>
              </w:rPr>
              <w:t xml:space="preserve"> 4.5)</w:t>
            </w:r>
          </w:p>
        </w:tc>
        <w:tc>
          <w:tcPr>
            <w:tcW w:w="2644" w:type="pct"/>
          </w:tcPr>
          <w:p w14:paraId="13A03EE3" w14:textId="77777777" w:rsidR="00E74FD6" w:rsidRPr="00F85CA6" w:rsidRDefault="00E74FD6" w:rsidP="00E74FD6">
            <w:pPr>
              <w:numPr>
                <w:ilvl w:val="0"/>
                <w:numId w:val="14"/>
              </w:numPr>
              <w:spacing w:after="160" w:line="259" w:lineRule="auto"/>
              <w:jc w:val="both"/>
              <w:rPr>
                <w:rFonts w:eastAsia="Calibri"/>
                <w:bCs/>
                <w:iCs/>
                <w:sz w:val="22"/>
                <w:szCs w:val="22"/>
                <w:lang w:val="sr-Latn-ME"/>
              </w:rPr>
            </w:pPr>
            <w:r w:rsidRPr="00F85CA6">
              <w:rPr>
                <w:rFonts w:eastAsia="Calibri"/>
                <w:bCs/>
                <w:iCs/>
                <w:sz w:val="22"/>
                <w:szCs w:val="22"/>
                <w:lang w:val="sr-Latn-ME"/>
              </w:rPr>
              <w:t>ASK i drugi inhibitori agregacije trombocita kao što je klopidogrel</w:t>
            </w:r>
          </w:p>
          <w:p w14:paraId="05994F7A" w14:textId="77777777" w:rsidR="00E74FD6" w:rsidRPr="00F85CA6" w:rsidRDefault="00E74FD6" w:rsidP="00E74FD6">
            <w:pPr>
              <w:numPr>
                <w:ilvl w:val="0"/>
                <w:numId w:val="14"/>
              </w:numPr>
              <w:spacing w:after="160" w:line="259" w:lineRule="auto"/>
              <w:jc w:val="both"/>
              <w:rPr>
                <w:rFonts w:eastAsia="Calibri"/>
                <w:bCs/>
                <w:iCs/>
                <w:sz w:val="22"/>
                <w:szCs w:val="22"/>
                <w:lang w:val="sr-Latn-ME"/>
              </w:rPr>
            </w:pPr>
            <w:r w:rsidRPr="00F85CA6">
              <w:rPr>
                <w:rFonts w:eastAsia="Calibri"/>
                <w:bCs/>
                <w:iCs/>
                <w:sz w:val="22"/>
                <w:szCs w:val="22"/>
                <w:lang w:val="sr-Latn-ME"/>
              </w:rPr>
              <w:t>NSAIL</w:t>
            </w:r>
          </w:p>
          <w:p w14:paraId="658AB9F5" w14:textId="77777777" w:rsidR="00E74FD6" w:rsidRPr="00F85CA6" w:rsidRDefault="00E74FD6" w:rsidP="00E74FD6">
            <w:pPr>
              <w:numPr>
                <w:ilvl w:val="0"/>
                <w:numId w:val="15"/>
              </w:numPr>
              <w:spacing w:after="160" w:line="259" w:lineRule="auto"/>
              <w:jc w:val="both"/>
              <w:rPr>
                <w:rFonts w:eastAsia="Calibri"/>
                <w:sz w:val="22"/>
                <w:szCs w:val="22"/>
                <w:lang w:val="sr-Latn-ME"/>
              </w:rPr>
            </w:pPr>
            <w:r w:rsidRPr="00F85CA6">
              <w:rPr>
                <w:rFonts w:eastAsia="Calibri"/>
                <w:sz w:val="22"/>
                <w:szCs w:val="22"/>
                <w:lang w:val="sr-Latn-ME"/>
              </w:rPr>
              <w:t>SSRI ili SNRI</w:t>
            </w:r>
          </w:p>
          <w:p w14:paraId="160CE684" w14:textId="3BCC3F96" w:rsidR="00E74FD6" w:rsidRPr="00F85CA6" w:rsidRDefault="00E74FD6" w:rsidP="00E74FD6">
            <w:pPr>
              <w:numPr>
                <w:ilvl w:val="0"/>
                <w:numId w:val="14"/>
              </w:numPr>
              <w:spacing w:after="160" w:line="259" w:lineRule="auto"/>
              <w:jc w:val="both"/>
              <w:rPr>
                <w:rFonts w:eastAsia="Calibri"/>
                <w:bCs/>
                <w:iCs/>
                <w:sz w:val="22"/>
                <w:szCs w:val="22"/>
                <w:lang w:val="sr-Latn-ME"/>
              </w:rPr>
            </w:pPr>
            <w:r w:rsidRPr="00F85CA6">
              <w:rPr>
                <w:rFonts w:eastAsia="Calibri"/>
                <w:sz w:val="22"/>
                <w:szCs w:val="22"/>
                <w:lang w:val="sr-Latn-ME"/>
              </w:rPr>
              <w:t>Ostali l</w:t>
            </w:r>
            <w:r w:rsidR="00A42E97" w:rsidRPr="00F85CA6">
              <w:rPr>
                <w:rFonts w:eastAsia="Calibri"/>
                <w:sz w:val="22"/>
                <w:szCs w:val="22"/>
                <w:lang w:val="sr-Latn-ME"/>
              </w:rPr>
              <w:t>j</w:t>
            </w:r>
            <w:r w:rsidRPr="00F85CA6">
              <w:rPr>
                <w:rFonts w:eastAsia="Calibri"/>
                <w:sz w:val="22"/>
                <w:szCs w:val="22"/>
                <w:lang w:val="sr-Latn-ME"/>
              </w:rPr>
              <w:t>ekovi koji mogu narušiti hemostazu</w:t>
            </w:r>
          </w:p>
        </w:tc>
      </w:tr>
      <w:tr w:rsidR="00E74FD6" w:rsidRPr="00F85CA6" w14:paraId="5DDDA4E7" w14:textId="77777777" w:rsidTr="001239C3">
        <w:trPr>
          <w:trHeight w:val="20"/>
        </w:trPr>
        <w:tc>
          <w:tcPr>
            <w:tcW w:w="2356" w:type="pct"/>
          </w:tcPr>
          <w:p w14:paraId="3800B3CC" w14:textId="77777777" w:rsidR="00E74FD6" w:rsidRPr="00F85CA6" w:rsidRDefault="00E74FD6" w:rsidP="00F00680">
            <w:pPr>
              <w:rPr>
                <w:rFonts w:eastAsia="Calibri"/>
                <w:bCs/>
                <w:iCs/>
                <w:sz w:val="22"/>
                <w:szCs w:val="22"/>
                <w:lang w:val="sr-Latn-ME"/>
              </w:rPr>
            </w:pPr>
            <w:r w:rsidRPr="00F85CA6">
              <w:rPr>
                <w:rFonts w:eastAsia="Calibri"/>
                <w:bCs/>
                <w:iCs/>
                <w:sz w:val="22"/>
                <w:szCs w:val="22"/>
                <w:lang w:val="sr-Latn-ME"/>
              </w:rPr>
              <w:t>Bolesti/postupci sa posebnim rizikom od krvarenja</w:t>
            </w:r>
          </w:p>
        </w:tc>
        <w:tc>
          <w:tcPr>
            <w:tcW w:w="2644" w:type="pct"/>
          </w:tcPr>
          <w:p w14:paraId="0DFE713A" w14:textId="77777777" w:rsidR="00E74FD6" w:rsidRPr="00F85CA6" w:rsidRDefault="00E74FD6" w:rsidP="00F00680">
            <w:pPr>
              <w:numPr>
                <w:ilvl w:val="0"/>
                <w:numId w:val="14"/>
              </w:numPr>
              <w:spacing w:after="160" w:line="259" w:lineRule="auto"/>
              <w:rPr>
                <w:rFonts w:eastAsia="Calibri"/>
                <w:bCs/>
                <w:iCs/>
                <w:sz w:val="22"/>
                <w:szCs w:val="22"/>
                <w:lang w:val="sr-Latn-ME"/>
              </w:rPr>
            </w:pPr>
            <w:r w:rsidRPr="00F85CA6">
              <w:rPr>
                <w:rFonts w:eastAsia="Calibri"/>
                <w:bCs/>
                <w:iCs/>
                <w:sz w:val="22"/>
                <w:szCs w:val="22"/>
                <w:lang w:val="sr-Latn-ME"/>
              </w:rPr>
              <w:t>Kongenitalni ili stečeni poremećaji koagulacije</w:t>
            </w:r>
          </w:p>
          <w:p w14:paraId="754A88EC" w14:textId="77777777" w:rsidR="00E74FD6" w:rsidRPr="00F85CA6" w:rsidRDefault="00E74FD6" w:rsidP="00F00680">
            <w:pPr>
              <w:numPr>
                <w:ilvl w:val="0"/>
                <w:numId w:val="14"/>
              </w:numPr>
              <w:spacing w:after="160" w:line="259" w:lineRule="auto"/>
              <w:rPr>
                <w:rFonts w:eastAsia="Calibri"/>
                <w:bCs/>
                <w:iCs/>
                <w:sz w:val="22"/>
                <w:szCs w:val="22"/>
                <w:lang w:val="sr-Latn-ME"/>
              </w:rPr>
            </w:pPr>
            <w:r w:rsidRPr="00F85CA6">
              <w:rPr>
                <w:rFonts w:eastAsia="Calibri"/>
                <w:bCs/>
                <w:iCs/>
                <w:sz w:val="22"/>
                <w:szCs w:val="22"/>
                <w:lang w:val="sr-Latn-ME"/>
              </w:rPr>
              <w:t>Trombocitopenija ili funkcionalni trombocitni deficiti</w:t>
            </w:r>
          </w:p>
          <w:p w14:paraId="4773B12E" w14:textId="77777777" w:rsidR="00E74FD6" w:rsidRPr="00F85CA6" w:rsidRDefault="00E74FD6" w:rsidP="00E74FD6">
            <w:pPr>
              <w:numPr>
                <w:ilvl w:val="0"/>
                <w:numId w:val="14"/>
              </w:numPr>
              <w:spacing w:after="160" w:line="259" w:lineRule="auto"/>
              <w:jc w:val="both"/>
              <w:rPr>
                <w:rFonts w:eastAsia="Calibri"/>
                <w:bCs/>
                <w:iCs/>
                <w:sz w:val="22"/>
                <w:szCs w:val="22"/>
                <w:lang w:val="sr-Latn-ME"/>
              </w:rPr>
            </w:pPr>
            <w:r w:rsidRPr="00F85CA6">
              <w:rPr>
                <w:rFonts w:eastAsia="Calibri"/>
                <w:bCs/>
                <w:iCs/>
                <w:sz w:val="22"/>
                <w:szCs w:val="22"/>
                <w:lang w:val="sr-Latn-ME"/>
              </w:rPr>
              <w:t>Skorija biopsija, velika trauma</w:t>
            </w:r>
          </w:p>
          <w:p w14:paraId="3C611DD5" w14:textId="77777777" w:rsidR="00E74FD6" w:rsidRPr="00F85CA6" w:rsidRDefault="00E74FD6" w:rsidP="00E74FD6">
            <w:pPr>
              <w:numPr>
                <w:ilvl w:val="0"/>
                <w:numId w:val="14"/>
              </w:numPr>
              <w:spacing w:after="160" w:line="259" w:lineRule="auto"/>
              <w:jc w:val="both"/>
              <w:rPr>
                <w:rFonts w:eastAsia="Calibri"/>
                <w:bCs/>
                <w:iCs/>
                <w:sz w:val="22"/>
                <w:szCs w:val="22"/>
                <w:lang w:val="sr-Latn-ME"/>
              </w:rPr>
            </w:pPr>
            <w:r w:rsidRPr="00F85CA6">
              <w:rPr>
                <w:rFonts w:eastAsia="Calibri"/>
                <w:bCs/>
                <w:iCs/>
                <w:sz w:val="22"/>
                <w:szCs w:val="22"/>
                <w:lang w:val="sr-Latn-ME"/>
              </w:rPr>
              <w:t>Bakterijski endokarditis</w:t>
            </w:r>
          </w:p>
          <w:p w14:paraId="74C25256" w14:textId="77777777" w:rsidR="00E74FD6" w:rsidRPr="00F85CA6" w:rsidRDefault="00E74FD6" w:rsidP="00F00680">
            <w:pPr>
              <w:numPr>
                <w:ilvl w:val="0"/>
                <w:numId w:val="14"/>
              </w:numPr>
              <w:spacing w:after="160" w:line="259" w:lineRule="auto"/>
              <w:rPr>
                <w:rFonts w:eastAsia="Calibri"/>
                <w:bCs/>
                <w:iCs/>
                <w:sz w:val="22"/>
                <w:szCs w:val="22"/>
                <w:lang w:val="sr-Latn-ME"/>
              </w:rPr>
            </w:pPr>
            <w:r w:rsidRPr="00F85CA6">
              <w:rPr>
                <w:rFonts w:eastAsia="Calibri"/>
                <w:bCs/>
                <w:iCs/>
                <w:sz w:val="22"/>
                <w:szCs w:val="22"/>
                <w:lang w:val="sr-Latn-ME"/>
              </w:rPr>
              <w:t>Ezofagitis, gastritis ili gastroezofagealni refluks</w:t>
            </w:r>
          </w:p>
        </w:tc>
      </w:tr>
    </w:tbl>
    <w:p w14:paraId="1B0C0EE8" w14:textId="77777777" w:rsidR="00E74FD6" w:rsidRPr="00F85CA6" w:rsidRDefault="00E74FD6" w:rsidP="00E74FD6">
      <w:pPr>
        <w:jc w:val="both"/>
        <w:rPr>
          <w:rFonts w:eastAsia="Calibri"/>
          <w:sz w:val="22"/>
          <w:szCs w:val="22"/>
          <w:lang w:val="sr-Latn-ME" w:bidi="en-US"/>
        </w:rPr>
      </w:pPr>
    </w:p>
    <w:p w14:paraId="38A49DB8" w14:textId="6853EF85" w:rsidR="00E74FD6" w:rsidRPr="00F85CA6" w:rsidRDefault="00E74FD6" w:rsidP="00E74FD6">
      <w:pPr>
        <w:jc w:val="both"/>
        <w:rPr>
          <w:rFonts w:eastAsia="Calibri"/>
          <w:sz w:val="22"/>
          <w:szCs w:val="22"/>
          <w:lang w:val="sr-Latn-ME"/>
        </w:rPr>
      </w:pPr>
      <w:r w:rsidRPr="00F85CA6">
        <w:rPr>
          <w:rFonts w:eastAsia="Calibri"/>
          <w:sz w:val="22"/>
          <w:szCs w:val="22"/>
          <w:lang w:val="sr-Latn-ME"/>
        </w:rPr>
        <w:t>Podaci za odrasle pacijente t</w:t>
      </w:r>
      <w:r w:rsidR="00A42E97" w:rsidRPr="00F85CA6">
        <w:rPr>
          <w:rFonts w:eastAsia="Calibri"/>
          <w:sz w:val="22"/>
          <w:szCs w:val="22"/>
          <w:lang w:val="sr-Latn-ME"/>
        </w:rPr>
        <w:t>j</w:t>
      </w:r>
      <w:r w:rsidRPr="00F85CA6">
        <w:rPr>
          <w:rFonts w:eastAsia="Calibri"/>
          <w:sz w:val="22"/>
          <w:szCs w:val="22"/>
          <w:lang w:val="sr-Latn-ME"/>
        </w:rPr>
        <w:t>elesne mase &lt;</w:t>
      </w:r>
      <w:r w:rsidR="002E54BA" w:rsidRPr="00F85CA6">
        <w:rPr>
          <w:rFonts w:eastAsia="Calibri"/>
          <w:sz w:val="22"/>
          <w:szCs w:val="22"/>
          <w:lang w:val="sr-Latn-ME"/>
        </w:rPr>
        <w:t xml:space="preserve"> </w:t>
      </w:r>
      <w:r w:rsidRPr="00F85CA6">
        <w:rPr>
          <w:rFonts w:eastAsia="Calibri"/>
          <w:sz w:val="22"/>
          <w:szCs w:val="22"/>
          <w:lang w:val="sr-Latn-ME"/>
        </w:rPr>
        <w:t>50</w:t>
      </w:r>
      <w:r w:rsidRPr="00F85CA6">
        <w:rPr>
          <w:rFonts w:eastAsia="Calibri"/>
          <w:bCs/>
          <w:sz w:val="22"/>
          <w:szCs w:val="22"/>
          <w:lang w:val="sr-Latn-ME"/>
        </w:rPr>
        <w:t> </w:t>
      </w:r>
      <w:r w:rsidRPr="00F85CA6">
        <w:rPr>
          <w:rFonts w:eastAsia="Calibri"/>
          <w:sz w:val="22"/>
          <w:szCs w:val="22"/>
          <w:lang w:val="sr-Latn-ME"/>
        </w:rPr>
        <w:t>kg su ograničeni (vid</w:t>
      </w:r>
      <w:r w:rsidR="00A42E97" w:rsidRPr="00F85CA6">
        <w:rPr>
          <w:rFonts w:eastAsia="Calibri"/>
          <w:sz w:val="22"/>
          <w:szCs w:val="22"/>
          <w:lang w:val="sr-Latn-ME"/>
        </w:rPr>
        <w:t>j</w:t>
      </w:r>
      <w:r w:rsidRPr="00F85CA6">
        <w:rPr>
          <w:rFonts w:eastAsia="Calibri"/>
          <w:sz w:val="22"/>
          <w:szCs w:val="22"/>
          <w:lang w:val="sr-Latn-ME"/>
        </w:rPr>
        <w:t xml:space="preserve">eti </w:t>
      </w:r>
      <w:r w:rsidR="00F00680" w:rsidRPr="00F85CA6">
        <w:rPr>
          <w:rFonts w:eastAsia="Calibri"/>
          <w:sz w:val="22"/>
          <w:szCs w:val="22"/>
          <w:lang w:val="sr-Latn-ME"/>
        </w:rPr>
        <w:t>dio</w:t>
      </w:r>
      <w:r w:rsidRPr="00F85CA6">
        <w:rPr>
          <w:rFonts w:eastAsia="Calibri"/>
          <w:sz w:val="22"/>
          <w:szCs w:val="22"/>
          <w:lang w:val="sr-Latn-ME"/>
        </w:rPr>
        <w:t> 5.2).</w:t>
      </w:r>
    </w:p>
    <w:p w14:paraId="1E43619B" w14:textId="77777777" w:rsidR="00E74FD6" w:rsidRPr="00F85CA6" w:rsidRDefault="00E74FD6" w:rsidP="00E74FD6">
      <w:pPr>
        <w:jc w:val="both"/>
        <w:rPr>
          <w:rFonts w:eastAsia="Calibri"/>
          <w:sz w:val="22"/>
          <w:szCs w:val="22"/>
          <w:lang w:val="sr-Latn-ME"/>
        </w:rPr>
      </w:pPr>
    </w:p>
    <w:p w14:paraId="1A042EE8" w14:textId="22FA1737" w:rsidR="00E74FD6" w:rsidRPr="00F85CA6" w:rsidRDefault="00E74FD6" w:rsidP="00E74FD6">
      <w:pPr>
        <w:jc w:val="both"/>
        <w:rPr>
          <w:rFonts w:eastAsia="Calibri"/>
          <w:sz w:val="22"/>
          <w:szCs w:val="22"/>
          <w:lang w:val="sr-Latn-ME"/>
        </w:rPr>
      </w:pPr>
      <w:r w:rsidRPr="00F85CA6">
        <w:rPr>
          <w:rFonts w:eastAsia="Calibri"/>
          <w:sz w:val="22"/>
          <w:szCs w:val="22"/>
          <w:lang w:val="sr-Latn-ME"/>
        </w:rPr>
        <w:t>Nije ispitana istovremena prim</w:t>
      </w:r>
      <w:r w:rsidR="00A42E97" w:rsidRPr="00F85CA6">
        <w:rPr>
          <w:rFonts w:eastAsia="Calibri"/>
          <w:sz w:val="22"/>
          <w:szCs w:val="22"/>
          <w:lang w:val="sr-Latn-ME"/>
        </w:rPr>
        <w:t>j</w:t>
      </w:r>
      <w:r w:rsidRPr="00F85CA6">
        <w:rPr>
          <w:rFonts w:eastAsia="Calibri"/>
          <w:sz w:val="22"/>
          <w:szCs w:val="22"/>
          <w:lang w:val="sr-Latn-ME"/>
        </w:rPr>
        <w:t>ena dabigatraneteksilata i P-gp inhibitora kod pedijatrijskih pacijenata, ali može povećati rizik od krvarenja (vid</w:t>
      </w:r>
      <w:r w:rsidR="00A42E97" w:rsidRPr="00F85CA6">
        <w:rPr>
          <w:rFonts w:eastAsia="Calibri"/>
          <w:sz w:val="22"/>
          <w:szCs w:val="22"/>
          <w:lang w:val="sr-Latn-ME"/>
        </w:rPr>
        <w:t>j</w:t>
      </w:r>
      <w:r w:rsidRPr="00F85CA6">
        <w:rPr>
          <w:rFonts w:eastAsia="Calibri"/>
          <w:sz w:val="22"/>
          <w:szCs w:val="22"/>
          <w:lang w:val="sr-Latn-ME"/>
        </w:rPr>
        <w:t xml:space="preserve">eti </w:t>
      </w:r>
      <w:r w:rsidR="00306730" w:rsidRPr="00F85CA6">
        <w:rPr>
          <w:rFonts w:eastAsia="Calibri"/>
          <w:sz w:val="22"/>
          <w:szCs w:val="22"/>
          <w:lang w:val="sr-Latn-ME"/>
        </w:rPr>
        <w:t>dio</w:t>
      </w:r>
      <w:r w:rsidRPr="00F85CA6">
        <w:rPr>
          <w:rFonts w:eastAsia="Calibri"/>
          <w:sz w:val="22"/>
          <w:szCs w:val="22"/>
          <w:lang w:val="sr-Latn-ME"/>
        </w:rPr>
        <w:t xml:space="preserve"> 4.5).</w:t>
      </w:r>
    </w:p>
    <w:p w14:paraId="2D884B94" w14:textId="77777777" w:rsidR="00E74FD6" w:rsidRPr="00F85CA6" w:rsidRDefault="00E74FD6" w:rsidP="00E74FD6">
      <w:pPr>
        <w:jc w:val="both"/>
        <w:rPr>
          <w:rFonts w:eastAsia="Calibri"/>
          <w:sz w:val="22"/>
          <w:szCs w:val="22"/>
          <w:lang w:val="sr-Latn-ME"/>
        </w:rPr>
      </w:pPr>
    </w:p>
    <w:p w14:paraId="60C849AD" w14:textId="1DC8C139" w:rsidR="00E74FD6" w:rsidRPr="00F85CA6" w:rsidRDefault="00E74FD6" w:rsidP="00E74FD6">
      <w:pPr>
        <w:jc w:val="both"/>
        <w:rPr>
          <w:rFonts w:eastAsia="Calibri"/>
          <w:i/>
          <w:sz w:val="22"/>
          <w:szCs w:val="22"/>
          <w:u w:val="single"/>
          <w:lang w:val="sr-Latn-ME"/>
        </w:rPr>
      </w:pPr>
      <w:r w:rsidRPr="00F85CA6">
        <w:rPr>
          <w:rFonts w:eastAsia="Calibri"/>
          <w:i/>
          <w:sz w:val="22"/>
          <w:szCs w:val="22"/>
          <w:u w:val="single"/>
          <w:lang w:val="sr-Latn-ME"/>
        </w:rPr>
        <w:t>M</w:t>
      </w:r>
      <w:r w:rsidR="00F00680" w:rsidRPr="00F85CA6">
        <w:rPr>
          <w:rFonts w:eastAsia="Calibri"/>
          <w:i/>
          <w:sz w:val="22"/>
          <w:szCs w:val="22"/>
          <w:u w:val="single"/>
          <w:lang w:val="sr-Latn-ME"/>
        </w:rPr>
        <w:t>j</w:t>
      </w:r>
      <w:r w:rsidRPr="00F85CA6">
        <w:rPr>
          <w:rFonts w:eastAsia="Calibri"/>
          <w:i/>
          <w:sz w:val="22"/>
          <w:szCs w:val="22"/>
          <w:u w:val="single"/>
          <w:lang w:val="sr-Latn-ME"/>
        </w:rPr>
        <w:t>ere opreza i zbrinjavanje rizika od krvarenja</w:t>
      </w:r>
    </w:p>
    <w:p w14:paraId="7EBF54AD" w14:textId="77777777" w:rsidR="00E74FD6" w:rsidRPr="00F85CA6" w:rsidRDefault="00E74FD6" w:rsidP="00E74FD6">
      <w:pPr>
        <w:jc w:val="both"/>
        <w:rPr>
          <w:rFonts w:eastAsia="Calibri"/>
          <w:i/>
          <w:sz w:val="22"/>
          <w:szCs w:val="22"/>
          <w:u w:val="single"/>
          <w:lang w:val="sr-Latn-ME"/>
        </w:rPr>
      </w:pPr>
    </w:p>
    <w:p w14:paraId="0D206118" w14:textId="5333C0F2" w:rsidR="00E74FD6" w:rsidRPr="00F85CA6" w:rsidRDefault="00E74FD6" w:rsidP="00E74FD6">
      <w:pPr>
        <w:jc w:val="both"/>
        <w:rPr>
          <w:rFonts w:eastAsia="Calibri"/>
          <w:sz w:val="22"/>
          <w:szCs w:val="22"/>
          <w:lang w:val="sr-Latn-ME"/>
        </w:rPr>
      </w:pPr>
      <w:r w:rsidRPr="00F85CA6">
        <w:rPr>
          <w:rFonts w:eastAsia="Calibri"/>
          <w:sz w:val="22"/>
          <w:szCs w:val="22"/>
          <w:lang w:val="sr-Latn-ME"/>
        </w:rPr>
        <w:t>Za zbrinjavanje komplikacija krvarenja, vid</w:t>
      </w:r>
      <w:r w:rsidR="00A42E97" w:rsidRPr="00F85CA6">
        <w:rPr>
          <w:rFonts w:eastAsia="Calibri"/>
          <w:sz w:val="22"/>
          <w:szCs w:val="22"/>
          <w:lang w:val="sr-Latn-ME"/>
        </w:rPr>
        <w:t>j</w:t>
      </w:r>
      <w:r w:rsidRPr="00F85CA6">
        <w:rPr>
          <w:rFonts w:eastAsia="Calibri"/>
          <w:sz w:val="22"/>
          <w:szCs w:val="22"/>
          <w:lang w:val="sr-Latn-ME"/>
        </w:rPr>
        <w:t xml:space="preserve">eti takođe </w:t>
      </w:r>
      <w:r w:rsidR="00F00680" w:rsidRPr="00F85CA6">
        <w:rPr>
          <w:rFonts w:eastAsia="Calibri"/>
          <w:sz w:val="22"/>
          <w:szCs w:val="22"/>
          <w:lang w:val="sr-Latn-ME"/>
        </w:rPr>
        <w:t>dio</w:t>
      </w:r>
      <w:r w:rsidRPr="00F85CA6">
        <w:rPr>
          <w:rFonts w:eastAsia="Calibri"/>
          <w:sz w:val="22"/>
          <w:szCs w:val="22"/>
          <w:lang w:val="sr-Latn-ME"/>
        </w:rPr>
        <w:t> 4.9.</w:t>
      </w:r>
    </w:p>
    <w:p w14:paraId="2E398D18" w14:textId="77777777" w:rsidR="00E74FD6" w:rsidRPr="00F85CA6" w:rsidRDefault="00E74FD6" w:rsidP="00E74FD6">
      <w:pPr>
        <w:jc w:val="both"/>
        <w:rPr>
          <w:rFonts w:eastAsia="Calibri"/>
          <w:sz w:val="22"/>
          <w:szCs w:val="22"/>
          <w:lang w:val="sr-Latn-ME"/>
        </w:rPr>
      </w:pPr>
    </w:p>
    <w:p w14:paraId="70E68E1C" w14:textId="5770586F" w:rsidR="00E74FD6" w:rsidRPr="00F85CA6" w:rsidRDefault="00E74FD6" w:rsidP="00E74FD6">
      <w:pPr>
        <w:jc w:val="both"/>
        <w:rPr>
          <w:rFonts w:eastAsia="Calibri"/>
          <w:i/>
          <w:sz w:val="22"/>
          <w:szCs w:val="22"/>
          <w:lang w:val="sr-Latn-ME"/>
        </w:rPr>
      </w:pPr>
      <w:r w:rsidRPr="00F85CA6">
        <w:rPr>
          <w:rFonts w:eastAsia="Calibri"/>
          <w:i/>
          <w:sz w:val="22"/>
          <w:szCs w:val="22"/>
          <w:lang w:val="sr-Latn-ME"/>
        </w:rPr>
        <w:t>Proc</w:t>
      </w:r>
      <w:r w:rsidR="00A42E97" w:rsidRPr="00F85CA6">
        <w:rPr>
          <w:rFonts w:eastAsia="Calibri"/>
          <w:i/>
          <w:sz w:val="22"/>
          <w:szCs w:val="22"/>
          <w:lang w:val="sr-Latn-ME"/>
        </w:rPr>
        <w:t>j</w:t>
      </w:r>
      <w:r w:rsidRPr="00F85CA6">
        <w:rPr>
          <w:rFonts w:eastAsia="Calibri"/>
          <w:i/>
          <w:sz w:val="22"/>
          <w:szCs w:val="22"/>
          <w:lang w:val="sr-Latn-ME"/>
        </w:rPr>
        <w:t>ena odnosa koristi i rizika</w:t>
      </w:r>
    </w:p>
    <w:p w14:paraId="57E6B172" w14:textId="77777777" w:rsidR="00E74FD6" w:rsidRPr="00F85CA6" w:rsidRDefault="00E74FD6" w:rsidP="00E74FD6">
      <w:pPr>
        <w:jc w:val="both"/>
        <w:rPr>
          <w:rFonts w:eastAsia="Calibri"/>
          <w:i/>
          <w:sz w:val="22"/>
          <w:szCs w:val="22"/>
          <w:lang w:val="sr-Latn-ME"/>
        </w:rPr>
      </w:pPr>
    </w:p>
    <w:p w14:paraId="48324432" w14:textId="2E9FC1F5" w:rsidR="00E74FD6" w:rsidRPr="00F85CA6" w:rsidRDefault="00E74FD6" w:rsidP="00E74FD6">
      <w:pPr>
        <w:jc w:val="both"/>
        <w:rPr>
          <w:rFonts w:eastAsia="Calibri"/>
          <w:sz w:val="22"/>
          <w:szCs w:val="22"/>
          <w:lang w:val="sr-Latn-ME"/>
        </w:rPr>
      </w:pPr>
      <w:r w:rsidRPr="00F85CA6">
        <w:rPr>
          <w:rFonts w:eastAsia="Calibri"/>
          <w:sz w:val="22"/>
          <w:szCs w:val="22"/>
          <w:lang w:val="sr-Latn-ME"/>
        </w:rPr>
        <w:t>Prisustvo lezija, stanja, postupaka i/ili farmakoloških terapija (kao što su NSAIL, inhibitori agregacije trombocita, SSRI i SNRI, vid</w:t>
      </w:r>
      <w:r w:rsidR="00A42E97" w:rsidRPr="00F85CA6">
        <w:rPr>
          <w:rFonts w:eastAsia="Calibri"/>
          <w:sz w:val="22"/>
          <w:szCs w:val="22"/>
          <w:lang w:val="sr-Latn-ME"/>
        </w:rPr>
        <w:t>j</w:t>
      </w:r>
      <w:r w:rsidRPr="00F85CA6">
        <w:rPr>
          <w:rFonts w:eastAsia="Calibri"/>
          <w:sz w:val="22"/>
          <w:szCs w:val="22"/>
          <w:lang w:val="sr-Latn-ME"/>
        </w:rPr>
        <w:t xml:space="preserve">eti </w:t>
      </w:r>
      <w:r w:rsidR="00F00680" w:rsidRPr="00F85CA6">
        <w:rPr>
          <w:rFonts w:eastAsia="Calibri"/>
          <w:sz w:val="22"/>
          <w:szCs w:val="22"/>
          <w:lang w:val="sr-Latn-ME"/>
        </w:rPr>
        <w:t>dio</w:t>
      </w:r>
      <w:r w:rsidRPr="00F85CA6">
        <w:rPr>
          <w:rFonts w:eastAsia="Calibri"/>
          <w:sz w:val="22"/>
          <w:szCs w:val="22"/>
          <w:lang w:val="sr-Latn-ME"/>
        </w:rPr>
        <w:t xml:space="preserve"> 4.5), koji značajno povećavaju rizik od obilnijeg krvarenja, zaht</w:t>
      </w:r>
      <w:r w:rsidR="00637A06" w:rsidRPr="00F85CA6">
        <w:rPr>
          <w:rFonts w:eastAsia="Calibri"/>
          <w:sz w:val="22"/>
          <w:szCs w:val="22"/>
          <w:lang w:val="sr-Latn-ME"/>
        </w:rPr>
        <w:t>i</w:t>
      </w:r>
      <w:r w:rsidR="00A42E97" w:rsidRPr="00F85CA6">
        <w:rPr>
          <w:rFonts w:eastAsia="Calibri"/>
          <w:sz w:val="22"/>
          <w:szCs w:val="22"/>
          <w:lang w:val="sr-Latn-ME"/>
        </w:rPr>
        <w:t>j</w:t>
      </w:r>
      <w:r w:rsidRPr="00F85CA6">
        <w:rPr>
          <w:rFonts w:eastAsia="Calibri"/>
          <w:sz w:val="22"/>
          <w:szCs w:val="22"/>
          <w:lang w:val="sr-Latn-ME"/>
        </w:rPr>
        <w:t>evaju pažljivu proc</w:t>
      </w:r>
      <w:r w:rsidR="00A42E97" w:rsidRPr="00F85CA6">
        <w:rPr>
          <w:rFonts w:eastAsia="Calibri"/>
          <w:sz w:val="22"/>
          <w:szCs w:val="22"/>
          <w:lang w:val="sr-Latn-ME"/>
        </w:rPr>
        <w:t>j</w:t>
      </w:r>
      <w:r w:rsidRPr="00F85CA6">
        <w:rPr>
          <w:rFonts w:eastAsia="Calibri"/>
          <w:sz w:val="22"/>
          <w:szCs w:val="22"/>
          <w:lang w:val="sr-Latn-ME"/>
        </w:rPr>
        <w:t>enu odnosa koristi i rizika. Dabigatrane</w:t>
      </w:r>
      <w:r w:rsidR="002E54BA" w:rsidRPr="00F85CA6">
        <w:rPr>
          <w:rFonts w:eastAsia="Calibri"/>
          <w:sz w:val="22"/>
          <w:szCs w:val="22"/>
          <w:lang w:val="sr-Latn-ME"/>
        </w:rPr>
        <w:t xml:space="preserve"> </w:t>
      </w:r>
      <w:r w:rsidRPr="00F85CA6">
        <w:rPr>
          <w:rFonts w:eastAsia="Calibri"/>
          <w:sz w:val="22"/>
          <w:szCs w:val="22"/>
          <w:lang w:val="sr-Latn-ME"/>
        </w:rPr>
        <w:t>teksilat treba prim</w:t>
      </w:r>
      <w:r w:rsidR="002E54BA" w:rsidRPr="00F85CA6">
        <w:rPr>
          <w:rFonts w:eastAsia="Calibri"/>
          <w:sz w:val="22"/>
          <w:szCs w:val="22"/>
          <w:lang w:val="sr-Latn-ME"/>
        </w:rPr>
        <w:t>i</w:t>
      </w:r>
      <w:r w:rsidR="00A42E97" w:rsidRPr="00F85CA6">
        <w:rPr>
          <w:rFonts w:eastAsia="Calibri"/>
          <w:sz w:val="22"/>
          <w:szCs w:val="22"/>
          <w:lang w:val="sr-Latn-ME"/>
        </w:rPr>
        <w:t>j</w:t>
      </w:r>
      <w:r w:rsidRPr="00F85CA6">
        <w:rPr>
          <w:rFonts w:eastAsia="Calibri"/>
          <w:sz w:val="22"/>
          <w:szCs w:val="22"/>
          <w:lang w:val="sr-Latn-ME"/>
        </w:rPr>
        <w:t>eniti samo ako korist prevazilazi rizike od krvarenja.</w:t>
      </w:r>
    </w:p>
    <w:p w14:paraId="4B6F0D94" w14:textId="77777777" w:rsidR="00E74FD6" w:rsidRPr="00F85CA6" w:rsidRDefault="00E74FD6" w:rsidP="00E74FD6">
      <w:pPr>
        <w:jc w:val="both"/>
        <w:rPr>
          <w:rFonts w:eastAsia="Calibri"/>
          <w:sz w:val="22"/>
          <w:szCs w:val="22"/>
          <w:lang w:val="sr-Latn-ME"/>
        </w:rPr>
      </w:pPr>
    </w:p>
    <w:p w14:paraId="7E68B151" w14:textId="3DB031D3" w:rsidR="00E74FD6" w:rsidRPr="00F85CA6" w:rsidRDefault="00E74FD6" w:rsidP="00E74FD6">
      <w:pPr>
        <w:jc w:val="both"/>
        <w:rPr>
          <w:rFonts w:eastAsia="Calibri"/>
          <w:sz w:val="22"/>
          <w:szCs w:val="22"/>
          <w:lang w:val="sr-Latn-ME"/>
        </w:rPr>
      </w:pPr>
      <w:r w:rsidRPr="00F85CA6">
        <w:rPr>
          <w:rFonts w:eastAsia="Calibri"/>
          <w:sz w:val="22"/>
          <w:szCs w:val="22"/>
          <w:lang w:val="sr-Latn-ME"/>
        </w:rPr>
        <w:t>Za pedijatrijske pacijente sa faktorima rizika, uključujući pacijente sa aktivnim meningitisom, encefalitisom i intrakranijalnim apscesom, dostupni su ograničeni klinički podaci (vid</w:t>
      </w:r>
      <w:r w:rsidR="00A42E97" w:rsidRPr="00F85CA6">
        <w:rPr>
          <w:rFonts w:eastAsia="Calibri"/>
          <w:sz w:val="22"/>
          <w:szCs w:val="22"/>
          <w:lang w:val="sr-Latn-ME"/>
        </w:rPr>
        <w:t>j</w:t>
      </w:r>
      <w:r w:rsidRPr="00F85CA6">
        <w:rPr>
          <w:rFonts w:eastAsia="Calibri"/>
          <w:sz w:val="22"/>
          <w:szCs w:val="22"/>
          <w:lang w:val="sr-Latn-ME"/>
        </w:rPr>
        <w:t xml:space="preserve">eti </w:t>
      </w:r>
      <w:r w:rsidR="00F00680" w:rsidRPr="00F85CA6">
        <w:rPr>
          <w:rFonts w:eastAsia="Calibri"/>
          <w:sz w:val="22"/>
          <w:szCs w:val="22"/>
          <w:lang w:val="sr-Latn-ME"/>
        </w:rPr>
        <w:t>dio</w:t>
      </w:r>
      <w:r w:rsidRPr="00F85CA6">
        <w:rPr>
          <w:rFonts w:eastAsia="Calibri"/>
          <w:sz w:val="22"/>
          <w:szCs w:val="22"/>
          <w:lang w:val="sr-Latn-ME"/>
        </w:rPr>
        <w:t xml:space="preserve"> 5.1). Kod tih pacijenata, dabigatrane</w:t>
      </w:r>
      <w:r w:rsidR="002E54BA" w:rsidRPr="00F85CA6">
        <w:rPr>
          <w:rFonts w:eastAsia="Calibri"/>
          <w:sz w:val="22"/>
          <w:szCs w:val="22"/>
          <w:lang w:val="sr-Latn-ME"/>
        </w:rPr>
        <w:t xml:space="preserve"> </w:t>
      </w:r>
      <w:r w:rsidRPr="00F85CA6">
        <w:rPr>
          <w:rFonts w:eastAsia="Calibri"/>
          <w:sz w:val="22"/>
          <w:szCs w:val="22"/>
          <w:lang w:val="sr-Latn-ME"/>
        </w:rPr>
        <w:t>teksilat treba dati samo ako očekivana korist prevazilazi rizike od krvarenja.</w:t>
      </w:r>
    </w:p>
    <w:p w14:paraId="1167665E" w14:textId="77777777" w:rsidR="00E74FD6" w:rsidRPr="00F85CA6" w:rsidRDefault="00E74FD6" w:rsidP="00E74FD6">
      <w:pPr>
        <w:jc w:val="both"/>
        <w:rPr>
          <w:rFonts w:eastAsia="Calibri"/>
          <w:sz w:val="22"/>
          <w:szCs w:val="22"/>
          <w:lang w:val="sr-Latn-ME"/>
        </w:rPr>
      </w:pPr>
    </w:p>
    <w:p w14:paraId="07A8ED02" w14:textId="23178AD3" w:rsidR="00E74FD6" w:rsidRPr="00F85CA6" w:rsidRDefault="00E74FD6" w:rsidP="00E74FD6">
      <w:pPr>
        <w:jc w:val="both"/>
        <w:rPr>
          <w:rFonts w:eastAsia="Calibri"/>
          <w:i/>
          <w:sz w:val="22"/>
          <w:szCs w:val="22"/>
          <w:lang w:val="sr-Latn-ME"/>
        </w:rPr>
      </w:pPr>
      <w:r w:rsidRPr="00F85CA6">
        <w:rPr>
          <w:rFonts w:eastAsia="Calibri"/>
          <w:i/>
          <w:sz w:val="22"/>
          <w:szCs w:val="22"/>
          <w:lang w:val="sr-Latn-ME"/>
        </w:rPr>
        <w:t>Pažljivo kliničko praćenje</w:t>
      </w:r>
    </w:p>
    <w:p w14:paraId="76991EBE" w14:textId="534FE4EE" w:rsidR="00E74FD6" w:rsidRPr="00F85CA6" w:rsidRDefault="00E74FD6" w:rsidP="00E74FD6">
      <w:pPr>
        <w:jc w:val="both"/>
        <w:rPr>
          <w:rFonts w:eastAsia="Calibri"/>
          <w:sz w:val="22"/>
          <w:szCs w:val="22"/>
          <w:lang w:val="sr-Latn-ME"/>
        </w:rPr>
      </w:pPr>
      <w:r w:rsidRPr="00F85CA6">
        <w:rPr>
          <w:rFonts w:eastAsia="Calibri"/>
          <w:sz w:val="22"/>
          <w:szCs w:val="22"/>
          <w:lang w:val="sr-Latn-ME"/>
        </w:rPr>
        <w:t>Preporučuje se pažljivo praćenje na znakove krvarenja ili anemiju tokom trajanja terapije, posebno u slučaju kombinacije faktora rizika (vid</w:t>
      </w:r>
      <w:r w:rsidR="00A42E97" w:rsidRPr="00F85CA6">
        <w:rPr>
          <w:rFonts w:eastAsia="Calibri"/>
          <w:sz w:val="22"/>
          <w:szCs w:val="22"/>
          <w:lang w:val="sr-Latn-ME"/>
        </w:rPr>
        <w:t>j</w:t>
      </w:r>
      <w:r w:rsidRPr="00F85CA6">
        <w:rPr>
          <w:rFonts w:eastAsia="Calibri"/>
          <w:sz w:val="22"/>
          <w:szCs w:val="22"/>
          <w:lang w:val="sr-Latn-ME"/>
        </w:rPr>
        <w:t>eti tabelu 5 iznad). Poseban oprez je potreban kada se dabigatrane</w:t>
      </w:r>
      <w:r w:rsidR="002E54BA" w:rsidRPr="00F85CA6">
        <w:rPr>
          <w:rFonts w:eastAsia="Calibri"/>
          <w:sz w:val="22"/>
          <w:szCs w:val="22"/>
          <w:lang w:val="sr-Latn-ME"/>
        </w:rPr>
        <w:t xml:space="preserve"> </w:t>
      </w:r>
      <w:r w:rsidRPr="00F85CA6">
        <w:rPr>
          <w:rFonts w:eastAsia="Calibri"/>
          <w:sz w:val="22"/>
          <w:szCs w:val="22"/>
          <w:lang w:val="sr-Latn-ME"/>
        </w:rPr>
        <w:t>teksilat prim</w:t>
      </w:r>
      <w:r w:rsidR="00A42E97" w:rsidRPr="00F85CA6">
        <w:rPr>
          <w:rFonts w:eastAsia="Calibri"/>
          <w:sz w:val="22"/>
          <w:szCs w:val="22"/>
          <w:lang w:val="sr-Latn-ME"/>
        </w:rPr>
        <w:t>j</w:t>
      </w:r>
      <w:r w:rsidRPr="00F85CA6">
        <w:rPr>
          <w:rFonts w:eastAsia="Calibri"/>
          <w:sz w:val="22"/>
          <w:szCs w:val="22"/>
          <w:lang w:val="sr-Latn-ME"/>
        </w:rPr>
        <w:t>enjuje istovremeno sa verapamilom, amjodaronom, hinidinom ili klaritromicinom (P-gp inhibitori), posebno u slučaju krvarenja, naročito kod pacijen</w:t>
      </w:r>
      <w:r w:rsidR="00A42E97" w:rsidRPr="00F85CA6">
        <w:rPr>
          <w:rFonts w:eastAsia="Calibri"/>
          <w:sz w:val="22"/>
          <w:szCs w:val="22"/>
          <w:lang w:val="sr-Latn-ME"/>
        </w:rPr>
        <w:t>a</w:t>
      </w:r>
      <w:r w:rsidRPr="00F85CA6">
        <w:rPr>
          <w:rFonts w:eastAsia="Calibri"/>
          <w:sz w:val="22"/>
          <w:szCs w:val="22"/>
          <w:lang w:val="sr-Latn-ME"/>
        </w:rPr>
        <w:t>ta koji imaju smanjenu funkciju bubrega (vid</w:t>
      </w:r>
      <w:r w:rsidR="00A42E97" w:rsidRPr="00F85CA6">
        <w:rPr>
          <w:rFonts w:eastAsia="Calibri"/>
          <w:sz w:val="22"/>
          <w:szCs w:val="22"/>
          <w:lang w:val="sr-Latn-ME"/>
        </w:rPr>
        <w:t>j</w:t>
      </w:r>
      <w:r w:rsidRPr="00F85CA6">
        <w:rPr>
          <w:rFonts w:eastAsia="Calibri"/>
          <w:sz w:val="22"/>
          <w:szCs w:val="22"/>
          <w:lang w:val="sr-Latn-ME"/>
        </w:rPr>
        <w:t xml:space="preserve">eti </w:t>
      </w:r>
      <w:r w:rsidR="00F00680" w:rsidRPr="00F85CA6">
        <w:rPr>
          <w:rFonts w:eastAsia="Calibri"/>
          <w:sz w:val="22"/>
          <w:szCs w:val="22"/>
          <w:lang w:val="sr-Latn-ME"/>
        </w:rPr>
        <w:t>dio</w:t>
      </w:r>
      <w:r w:rsidRPr="00F85CA6">
        <w:rPr>
          <w:rFonts w:eastAsia="Calibri"/>
          <w:sz w:val="22"/>
          <w:szCs w:val="22"/>
          <w:lang w:val="sr-Latn-ME"/>
        </w:rPr>
        <w:t> 4.5).</w:t>
      </w:r>
    </w:p>
    <w:p w14:paraId="6B3D67FD" w14:textId="60A36398" w:rsidR="00E74FD6" w:rsidRPr="00F85CA6" w:rsidRDefault="00E74FD6" w:rsidP="00E74FD6">
      <w:pPr>
        <w:jc w:val="both"/>
        <w:rPr>
          <w:rFonts w:eastAsia="Calibri"/>
          <w:sz w:val="22"/>
          <w:szCs w:val="22"/>
          <w:lang w:val="sr-Latn-ME"/>
        </w:rPr>
      </w:pPr>
      <w:r w:rsidRPr="00F85CA6">
        <w:rPr>
          <w:rFonts w:eastAsia="Calibri"/>
          <w:sz w:val="22"/>
          <w:szCs w:val="22"/>
          <w:lang w:val="sr-Latn-ME"/>
        </w:rPr>
        <w:t>Preporučuje se pažljivo praćenje na znakove krvarenja kod pacijenata koji istovremeno primaju NSAIL (vid</w:t>
      </w:r>
      <w:r w:rsidR="00A42E97" w:rsidRPr="00F85CA6">
        <w:rPr>
          <w:rFonts w:eastAsia="Calibri"/>
          <w:sz w:val="22"/>
          <w:szCs w:val="22"/>
          <w:lang w:val="sr-Latn-ME"/>
        </w:rPr>
        <w:t>j</w:t>
      </w:r>
      <w:r w:rsidRPr="00F85CA6">
        <w:rPr>
          <w:rFonts w:eastAsia="Calibri"/>
          <w:sz w:val="22"/>
          <w:szCs w:val="22"/>
          <w:lang w:val="sr-Latn-ME"/>
        </w:rPr>
        <w:t xml:space="preserve">eti </w:t>
      </w:r>
      <w:r w:rsidR="00F00680" w:rsidRPr="00F85CA6">
        <w:rPr>
          <w:rFonts w:eastAsia="Calibri"/>
          <w:sz w:val="22"/>
          <w:szCs w:val="22"/>
          <w:lang w:val="sr-Latn-ME"/>
        </w:rPr>
        <w:t>dio</w:t>
      </w:r>
      <w:r w:rsidRPr="00F85CA6">
        <w:rPr>
          <w:rFonts w:eastAsia="Calibri"/>
          <w:sz w:val="22"/>
          <w:szCs w:val="22"/>
          <w:lang w:val="sr-Latn-ME"/>
        </w:rPr>
        <w:t xml:space="preserve"> 4.5).</w:t>
      </w:r>
    </w:p>
    <w:p w14:paraId="2DCB569D" w14:textId="77777777" w:rsidR="00E74FD6" w:rsidRPr="00F85CA6" w:rsidRDefault="00E74FD6" w:rsidP="00E74FD6">
      <w:pPr>
        <w:jc w:val="both"/>
        <w:rPr>
          <w:rFonts w:eastAsia="Calibri"/>
          <w:sz w:val="22"/>
          <w:szCs w:val="22"/>
          <w:lang w:val="sr-Latn-ME"/>
        </w:rPr>
      </w:pPr>
    </w:p>
    <w:p w14:paraId="1776EF55" w14:textId="593593E5" w:rsidR="00E74FD6" w:rsidRPr="00F85CA6" w:rsidRDefault="00E74FD6" w:rsidP="00E74FD6">
      <w:pPr>
        <w:jc w:val="both"/>
        <w:rPr>
          <w:rFonts w:eastAsia="Calibri"/>
          <w:i/>
          <w:sz w:val="22"/>
          <w:szCs w:val="22"/>
          <w:lang w:val="sr-Latn-ME"/>
        </w:rPr>
      </w:pPr>
      <w:r w:rsidRPr="00F85CA6">
        <w:rPr>
          <w:rFonts w:eastAsia="Calibri"/>
          <w:i/>
          <w:sz w:val="22"/>
          <w:szCs w:val="22"/>
          <w:lang w:val="sr-Latn-ME"/>
        </w:rPr>
        <w:t>Prekid prim</w:t>
      </w:r>
      <w:r w:rsidR="00F00680" w:rsidRPr="00F85CA6">
        <w:rPr>
          <w:rFonts w:eastAsia="Calibri"/>
          <w:i/>
          <w:sz w:val="22"/>
          <w:szCs w:val="22"/>
          <w:lang w:val="sr-Latn-ME"/>
        </w:rPr>
        <w:t>j</w:t>
      </w:r>
      <w:r w:rsidRPr="00F85CA6">
        <w:rPr>
          <w:rFonts w:eastAsia="Calibri"/>
          <w:i/>
          <w:sz w:val="22"/>
          <w:szCs w:val="22"/>
          <w:lang w:val="sr-Latn-ME"/>
        </w:rPr>
        <w:t>ene dabigatraneteksila</w:t>
      </w:r>
    </w:p>
    <w:p w14:paraId="48C83B43" w14:textId="026ADFC5" w:rsidR="00E74FD6" w:rsidRPr="00F85CA6" w:rsidRDefault="00E74FD6" w:rsidP="00E74FD6">
      <w:pPr>
        <w:jc w:val="both"/>
        <w:rPr>
          <w:rFonts w:eastAsia="Calibri"/>
          <w:sz w:val="22"/>
          <w:szCs w:val="22"/>
          <w:lang w:val="sr-Latn-ME"/>
        </w:rPr>
      </w:pPr>
      <w:r w:rsidRPr="00F85CA6">
        <w:rPr>
          <w:rFonts w:eastAsia="Calibri"/>
          <w:sz w:val="22"/>
          <w:szCs w:val="22"/>
          <w:lang w:val="sr-Latn-ME"/>
        </w:rPr>
        <w:t>Pacijenti kod kojih dođe do razvoja akutne bubrežne insuficijencije moraju da prekinu prim</w:t>
      </w:r>
      <w:r w:rsidR="00A42E97" w:rsidRPr="00F85CA6">
        <w:rPr>
          <w:rFonts w:eastAsia="Calibri"/>
          <w:sz w:val="22"/>
          <w:szCs w:val="22"/>
          <w:lang w:val="sr-Latn-ME"/>
        </w:rPr>
        <w:t>j</w:t>
      </w:r>
      <w:r w:rsidRPr="00F85CA6">
        <w:rPr>
          <w:rFonts w:eastAsia="Calibri"/>
          <w:sz w:val="22"/>
          <w:szCs w:val="22"/>
          <w:lang w:val="sr-Latn-ME"/>
        </w:rPr>
        <w:t>enu dabigatraneteksilata (vid</w:t>
      </w:r>
      <w:r w:rsidR="00A42E97" w:rsidRPr="00F85CA6">
        <w:rPr>
          <w:rFonts w:eastAsia="Calibri"/>
          <w:sz w:val="22"/>
          <w:szCs w:val="22"/>
          <w:lang w:val="sr-Latn-ME"/>
        </w:rPr>
        <w:t>j</w:t>
      </w:r>
      <w:r w:rsidRPr="00F85CA6">
        <w:rPr>
          <w:rFonts w:eastAsia="Calibri"/>
          <w:sz w:val="22"/>
          <w:szCs w:val="22"/>
          <w:lang w:val="sr-Latn-ME"/>
        </w:rPr>
        <w:t xml:space="preserve">eti takođe </w:t>
      </w:r>
      <w:r w:rsidR="00F00680" w:rsidRPr="00F85CA6">
        <w:rPr>
          <w:rFonts w:eastAsia="Calibri"/>
          <w:sz w:val="22"/>
          <w:szCs w:val="22"/>
          <w:lang w:val="sr-Latn-ME"/>
        </w:rPr>
        <w:t>dio</w:t>
      </w:r>
      <w:r w:rsidRPr="00F85CA6">
        <w:rPr>
          <w:rFonts w:eastAsia="Calibri"/>
          <w:sz w:val="22"/>
          <w:szCs w:val="22"/>
          <w:lang w:val="sr-Latn-ME"/>
        </w:rPr>
        <w:t> 4.3).</w:t>
      </w:r>
    </w:p>
    <w:p w14:paraId="449659B3" w14:textId="77777777" w:rsidR="00E74FD6" w:rsidRPr="00F85CA6" w:rsidRDefault="00E74FD6" w:rsidP="00E74FD6">
      <w:pPr>
        <w:jc w:val="both"/>
        <w:rPr>
          <w:rFonts w:eastAsia="Calibri"/>
          <w:sz w:val="22"/>
          <w:szCs w:val="22"/>
          <w:lang w:val="sr-Latn-ME"/>
        </w:rPr>
      </w:pPr>
    </w:p>
    <w:p w14:paraId="56FBF221" w14:textId="1A62C446" w:rsidR="00E74FD6" w:rsidRPr="00F85CA6" w:rsidRDefault="00E74FD6" w:rsidP="00E74FD6">
      <w:pPr>
        <w:jc w:val="both"/>
        <w:rPr>
          <w:rFonts w:eastAsia="Calibri"/>
          <w:sz w:val="22"/>
          <w:szCs w:val="22"/>
          <w:lang w:val="sr-Latn-ME"/>
        </w:rPr>
      </w:pPr>
      <w:r w:rsidRPr="00F85CA6">
        <w:rPr>
          <w:rFonts w:eastAsia="Calibri"/>
          <w:sz w:val="22"/>
          <w:szCs w:val="22"/>
          <w:lang w:val="sr-Latn-ME"/>
        </w:rPr>
        <w:t>Ukoliko nastupi teško krvarenje, terapiju treba prekinuti i istražiti izvor krvarenja, a može se razmotriti i prim</w:t>
      </w:r>
      <w:r w:rsidR="00A42E97" w:rsidRPr="00F85CA6">
        <w:rPr>
          <w:rFonts w:eastAsia="Calibri"/>
          <w:sz w:val="22"/>
          <w:szCs w:val="22"/>
          <w:lang w:val="sr-Latn-ME"/>
        </w:rPr>
        <w:t>j</w:t>
      </w:r>
      <w:r w:rsidRPr="00F85CA6">
        <w:rPr>
          <w:rFonts w:eastAsia="Calibri"/>
          <w:sz w:val="22"/>
          <w:szCs w:val="22"/>
          <w:lang w:val="sr-Latn-ME"/>
        </w:rPr>
        <w:t>ena specifičnog antagoniste (idarucizumab) kod odraslih pacijenata. Efikasnost i bezb</w:t>
      </w:r>
      <w:r w:rsidR="00A42E97" w:rsidRPr="00F85CA6">
        <w:rPr>
          <w:rFonts w:eastAsia="Calibri"/>
          <w:sz w:val="22"/>
          <w:szCs w:val="22"/>
          <w:lang w:val="sr-Latn-ME"/>
        </w:rPr>
        <w:t>j</w:t>
      </w:r>
      <w:r w:rsidRPr="00F85CA6">
        <w:rPr>
          <w:rFonts w:eastAsia="Calibri"/>
          <w:sz w:val="22"/>
          <w:szCs w:val="22"/>
          <w:lang w:val="sr-Latn-ME"/>
        </w:rPr>
        <w:t>ednost idarucizumaba nije ustanovljena kod pedijatrijskih pacijenata. Dabigatran se može ukloniti hemodijalizom.</w:t>
      </w:r>
    </w:p>
    <w:p w14:paraId="1A84CE7B" w14:textId="77777777" w:rsidR="00E74FD6" w:rsidRPr="00F85CA6" w:rsidRDefault="00E74FD6" w:rsidP="00E74FD6">
      <w:pPr>
        <w:jc w:val="both"/>
        <w:rPr>
          <w:rFonts w:eastAsia="Calibri"/>
          <w:sz w:val="22"/>
          <w:szCs w:val="22"/>
          <w:lang w:val="sr-Latn-ME"/>
        </w:rPr>
      </w:pPr>
    </w:p>
    <w:p w14:paraId="27EEEA5B" w14:textId="7777B0D3" w:rsidR="00E74FD6" w:rsidRPr="00F85CA6" w:rsidRDefault="00E74FD6" w:rsidP="00E74FD6">
      <w:pPr>
        <w:jc w:val="both"/>
        <w:rPr>
          <w:rFonts w:eastAsia="Calibri"/>
          <w:i/>
          <w:sz w:val="22"/>
          <w:szCs w:val="22"/>
          <w:lang w:val="sr-Latn-ME"/>
        </w:rPr>
      </w:pPr>
      <w:r w:rsidRPr="00F85CA6">
        <w:rPr>
          <w:rFonts w:eastAsia="Calibri"/>
          <w:i/>
          <w:sz w:val="22"/>
          <w:szCs w:val="22"/>
          <w:lang w:val="sr-Latn-ME"/>
        </w:rPr>
        <w:t>Prim</w:t>
      </w:r>
      <w:r w:rsidR="00A42E97" w:rsidRPr="00F85CA6">
        <w:rPr>
          <w:rFonts w:eastAsia="Calibri"/>
          <w:i/>
          <w:sz w:val="22"/>
          <w:szCs w:val="22"/>
          <w:lang w:val="sr-Latn-ME"/>
        </w:rPr>
        <w:t>j</w:t>
      </w:r>
      <w:r w:rsidRPr="00F85CA6">
        <w:rPr>
          <w:rFonts w:eastAsia="Calibri"/>
          <w:i/>
          <w:sz w:val="22"/>
          <w:szCs w:val="22"/>
          <w:lang w:val="sr-Latn-ME"/>
        </w:rPr>
        <w:t>ena inhibitora protonske pumpe</w:t>
      </w:r>
    </w:p>
    <w:p w14:paraId="13A17B9B" w14:textId="0D976ABE" w:rsidR="00E74FD6" w:rsidRPr="00F85CA6" w:rsidRDefault="00E74FD6" w:rsidP="00E74FD6">
      <w:pPr>
        <w:jc w:val="both"/>
        <w:rPr>
          <w:rFonts w:eastAsia="Calibri"/>
          <w:sz w:val="22"/>
          <w:szCs w:val="22"/>
          <w:lang w:val="sr-Latn-ME"/>
        </w:rPr>
      </w:pPr>
      <w:r w:rsidRPr="00F85CA6">
        <w:rPr>
          <w:rFonts w:eastAsia="Calibri"/>
          <w:sz w:val="22"/>
          <w:szCs w:val="22"/>
          <w:lang w:val="sr-Latn-ME"/>
        </w:rPr>
        <w:t>Da bi se sprečilo gastrointestinalno krvarenje, može se razmotriti prim</w:t>
      </w:r>
      <w:r w:rsidR="00A42E97" w:rsidRPr="00F85CA6">
        <w:rPr>
          <w:rFonts w:eastAsia="Calibri"/>
          <w:sz w:val="22"/>
          <w:szCs w:val="22"/>
          <w:lang w:val="sr-Latn-ME"/>
        </w:rPr>
        <w:t>j</w:t>
      </w:r>
      <w:r w:rsidRPr="00F85CA6">
        <w:rPr>
          <w:rFonts w:eastAsia="Calibri"/>
          <w:sz w:val="22"/>
          <w:szCs w:val="22"/>
          <w:lang w:val="sr-Latn-ME"/>
        </w:rPr>
        <w:t>ena inhibitora protonske pumpe (</w:t>
      </w:r>
      <w:bookmarkStart w:id="8" w:name="_Hlk83034367"/>
      <w:r w:rsidRPr="00F85CA6">
        <w:rPr>
          <w:rFonts w:eastAsia="Calibri"/>
          <w:sz w:val="22"/>
          <w:szCs w:val="22"/>
          <w:lang w:val="sr-Latn-ME"/>
        </w:rPr>
        <w:t xml:space="preserve">engl. </w:t>
      </w:r>
      <w:r w:rsidRPr="00F85CA6">
        <w:rPr>
          <w:rFonts w:eastAsia="Calibri"/>
          <w:i/>
          <w:iCs/>
          <w:sz w:val="22"/>
          <w:szCs w:val="22"/>
          <w:lang w:val="sr-Latn-ME"/>
        </w:rPr>
        <w:t>proton-pump inhibitor</w:t>
      </w:r>
      <w:r w:rsidRPr="00F85CA6">
        <w:rPr>
          <w:rFonts w:eastAsia="Calibri"/>
          <w:sz w:val="22"/>
          <w:szCs w:val="22"/>
          <w:lang w:val="sr-Latn-ME"/>
        </w:rPr>
        <w:t>,</w:t>
      </w:r>
      <w:bookmarkEnd w:id="8"/>
      <w:r w:rsidRPr="00F85CA6">
        <w:rPr>
          <w:rFonts w:eastAsia="Calibri"/>
          <w:sz w:val="22"/>
          <w:szCs w:val="22"/>
          <w:lang w:val="sr-Latn-ME"/>
        </w:rPr>
        <w:t xml:space="preserve"> PPI). U slučaju pedijatrijskih pacijenata moraju se sl</w:t>
      </w:r>
      <w:r w:rsidR="00BB4A93" w:rsidRPr="00F85CA6">
        <w:rPr>
          <w:rFonts w:eastAsia="Calibri"/>
          <w:sz w:val="22"/>
          <w:szCs w:val="22"/>
          <w:lang w:val="sr-Latn-ME"/>
        </w:rPr>
        <w:t>i</w:t>
      </w:r>
      <w:r w:rsidR="00A42E97" w:rsidRPr="00F85CA6">
        <w:rPr>
          <w:rFonts w:eastAsia="Calibri"/>
          <w:sz w:val="22"/>
          <w:szCs w:val="22"/>
          <w:lang w:val="sr-Latn-ME"/>
        </w:rPr>
        <w:t>j</w:t>
      </w:r>
      <w:r w:rsidRPr="00F85CA6">
        <w:rPr>
          <w:rFonts w:eastAsia="Calibri"/>
          <w:sz w:val="22"/>
          <w:szCs w:val="22"/>
          <w:lang w:val="sr-Latn-ME"/>
        </w:rPr>
        <w:t>editi preporuke koje se nalaze u lokalnim informacijama o l</w:t>
      </w:r>
      <w:r w:rsidR="00A42E97" w:rsidRPr="00F85CA6">
        <w:rPr>
          <w:rFonts w:eastAsia="Calibri"/>
          <w:sz w:val="22"/>
          <w:szCs w:val="22"/>
          <w:lang w:val="sr-Latn-ME"/>
        </w:rPr>
        <w:t>ij</w:t>
      </w:r>
      <w:r w:rsidRPr="00F85CA6">
        <w:rPr>
          <w:rFonts w:eastAsia="Calibri"/>
          <w:sz w:val="22"/>
          <w:szCs w:val="22"/>
          <w:lang w:val="sr-Latn-ME"/>
        </w:rPr>
        <w:t>eku za inhibitore protonske pumpe.</w:t>
      </w:r>
    </w:p>
    <w:p w14:paraId="350F94EB" w14:textId="77777777" w:rsidR="00E74FD6" w:rsidRPr="00F85CA6" w:rsidRDefault="00E74FD6" w:rsidP="00E74FD6">
      <w:pPr>
        <w:jc w:val="both"/>
        <w:rPr>
          <w:rFonts w:eastAsia="Calibri"/>
          <w:sz w:val="22"/>
          <w:szCs w:val="22"/>
          <w:lang w:val="sr-Latn-ME"/>
        </w:rPr>
      </w:pPr>
    </w:p>
    <w:p w14:paraId="31EC9D2C" w14:textId="45C7796D" w:rsidR="00E74FD6" w:rsidRPr="00F85CA6" w:rsidRDefault="00E74FD6" w:rsidP="00E74FD6">
      <w:pPr>
        <w:jc w:val="both"/>
        <w:rPr>
          <w:rFonts w:eastAsia="Calibri"/>
          <w:i/>
          <w:sz w:val="22"/>
          <w:szCs w:val="22"/>
          <w:lang w:val="sr-Latn-ME"/>
        </w:rPr>
      </w:pPr>
      <w:r w:rsidRPr="00F85CA6">
        <w:rPr>
          <w:rFonts w:eastAsia="Calibri"/>
          <w:i/>
          <w:sz w:val="22"/>
          <w:szCs w:val="22"/>
          <w:lang w:val="sr-Latn-ME"/>
        </w:rPr>
        <w:t>Laboratorijski parametri koagulacije</w:t>
      </w:r>
    </w:p>
    <w:p w14:paraId="53C5A9AE" w14:textId="77777777" w:rsidR="002E54BA" w:rsidRPr="00F85CA6" w:rsidRDefault="00E74FD6" w:rsidP="00E74FD6">
      <w:pPr>
        <w:jc w:val="both"/>
        <w:rPr>
          <w:rFonts w:eastAsia="Calibri"/>
          <w:sz w:val="22"/>
          <w:szCs w:val="22"/>
          <w:lang w:val="sr-Latn-ME"/>
        </w:rPr>
      </w:pPr>
      <w:r w:rsidRPr="00F85CA6">
        <w:rPr>
          <w:rFonts w:eastAsia="Calibri"/>
          <w:sz w:val="22"/>
          <w:szCs w:val="22"/>
          <w:lang w:val="sr-Latn-ME"/>
        </w:rPr>
        <w:t>Iako ovaj l</w:t>
      </w:r>
      <w:r w:rsidR="00D74CB6" w:rsidRPr="00F85CA6">
        <w:rPr>
          <w:rFonts w:eastAsia="Calibri"/>
          <w:sz w:val="22"/>
          <w:szCs w:val="22"/>
          <w:lang w:val="sr-Latn-ME"/>
        </w:rPr>
        <w:t>i</w:t>
      </w:r>
      <w:r w:rsidR="00A42E97" w:rsidRPr="00F85CA6">
        <w:rPr>
          <w:rFonts w:eastAsia="Calibri"/>
          <w:sz w:val="22"/>
          <w:szCs w:val="22"/>
          <w:lang w:val="sr-Latn-ME"/>
        </w:rPr>
        <w:t>j</w:t>
      </w:r>
      <w:r w:rsidRPr="00F85CA6">
        <w:rPr>
          <w:rFonts w:eastAsia="Calibri"/>
          <w:sz w:val="22"/>
          <w:szCs w:val="22"/>
          <w:lang w:val="sr-Latn-ME"/>
        </w:rPr>
        <w:t>ek generalno ne zaht</w:t>
      </w:r>
      <w:r w:rsidR="00CB0B14" w:rsidRPr="00F85CA6">
        <w:rPr>
          <w:rFonts w:eastAsia="Calibri"/>
          <w:sz w:val="22"/>
          <w:szCs w:val="22"/>
          <w:lang w:val="sr-Latn-ME"/>
        </w:rPr>
        <w:t>ij</w:t>
      </w:r>
      <w:r w:rsidRPr="00F85CA6">
        <w:rPr>
          <w:rFonts w:eastAsia="Calibri"/>
          <w:sz w:val="22"/>
          <w:szCs w:val="22"/>
          <w:lang w:val="sr-Latn-ME"/>
        </w:rPr>
        <w:t>eva rutinsko praćenje antikoagulantnog dejstva, m</w:t>
      </w:r>
      <w:r w:rsidR="00A42E97" w:rsidRPr="00F85CA6">
        <w:rPr>
          <w:rFonts w:eastAsia="Calibri"/>
          <w:sz w:val="22"/>
          <w:szCs w:val="22"/>
          <w:lang w:val="sr-Latn-ME"/>
        </w:rPr>
        <w:t>j</w:t>
      </w:r>
      <w:r w:rsidRPr="00F85CA6">
        <w:rPr>
          <w:rFonts w:eastAsia="Calibri"/>
          <w:sz w:val="22"/>
          <w:szCs w:val="22"/>
          <w:lang w:val="sr-Latn-ME"/>
        </w:rPr>
        <w:t>erenje antikoagulantnog dejstva koje se odnosi na dabigatran može da bude od pomoći u otkrivanju prekom</w:t>
      </w:r>
      <w:r w:rsidR="00D74CB6" w:rsidRPr="00F85CA6">
        <w:rPr>
          <w:rFonts w:eastAsia="Calibri"/>
          <w:sz w:val="22"/>
          <w:szCs w:val="22"/>
          <w:lang w:val="sr-Latn-ME"/>
        </w:rPr>
        <w:t>j</w:t>
      </w:r>
      <w:r w:rsidRPr="00F85CA6">
        <w:rPr>
          <w:rFonts w:eastAsia="Calibri"/>
          <w:sz w:val="22"/>
          <w:szCs w:val="22"/>
          <w:lang w:val="sr-Latn-ME"/>
        </w:rPr>
        <w:t>erno velike izloženosti dabigatranu u prisustvu dodatnih faktora rizika.</w:t>
      </w:r>
    </w:p>
    <w:p w14:paraId="5D566E3C" w14:textId="01026412" w:rsidR="00E74FD6" w:rsidRPr="00F85CA6" w:rsidRDefault="00E74FD6" w:rsidP="00E74FD6">
      <w:pPr>
        <w:jc w:val="both"/>
        <w:rPr>
          <w:rFonts w:eastAsia="Calibri"/>
          <w:sz w:val="22"/>
          <w:szCs w:val="22"/>
          <w:lang w:val="sr-Latn-ME"/>
        </w:rPr>
      </w:pPr>
      <w:r w:rsidRPr="00F85CA6">
        <w:rPr>
          <w:rFonts w:eastAsia="Calibri"/>
          <w:sz w:val="22"/>
          <w:szCs w:val="22"/>
          <w:lang w:val="sr-Latn-ME"/>
        </w:rPr>
        <w:t xml:space="preserve"> </w:t>
      </w:r>
    </w:p>
    <w:p w14:paraId="57CFD80D" w14:textId="3E7A94D9" w:rsidR="00E74FD6" w:rsidRPr="00F85CA6" w:rsidRDefault="00E74FD6" w:rsidP="00E74FD6">
      <w:pPr>
        <w:jc w:val="both"/>
        <w:rPr>
          <w:rFonts w:eastAsia="Calibri"/>
          <w:sz w:val="22"/>
          <w:szCs w:val="22"/>
          <w:lang w:val="sr-Latn-ME"/>
        </w:rPr>
      </w:pPr>
      <w:r w:rsidRPr="00F85CA6">
        <w:rPr>
          <w:rFonts w:eastAsia="Calibri"/>
          <w:sz w:val="22"/>
          <w:szCs w:val="22"/>
          <w:lang w:val="sr-Latn-ME"/>
        </w:rPr>
        <w:t>Razblaženo trombinsko vr</w:t>
      </w:r>
      <w:r w:rsidR="00BB4A93" w:rsidRPr="00F85CA6">
        <w:rPr>
          <w:rFonts w:eastAsia="Calibri"/>
          <w:sz w:val="22"/>
          <w:szCs w:val="22"/>
          <w:lang w:val="sr-Latn-ME"/>
        </w:rPr>
        <w:t>ij</w:t>
      </w:r>
      <w:r w:rsidRPr="00F85CA6">
        <w:rPr>
          <w:rFonts w:eastAsia="Calibri"/>
          <w:sz w:val="22"/>
          <w:szCs w:val="22"/>
          <w:lang w:val="sr-Latn-ME"/>
        </w:rPr>
        <w:t xml:space="preserve">eme (engl. </w:t>
      </w:r>
      <w:r w:rsidRPr="00F85CA6">
        <w:rPr>
          <w:rFonts w:eastAsia="Calibri"/>
          <w:i/>
          <w:sz w:val="22"/>
          <w:szCs w:val="22"/>
          <w:lang w:val="sr-Latn-ME"/>
        </w:rPr>
        <w:t>diluted thrombin time</w:t>
      </w:r>
      <w:r w:rsidRPr="00F85CA6">
        <w:rPr>
          <w:rFonts w:eastAsia="Calibri"/>
          <w:sz w:val="22"/>
          <w:szCs w:val="22"/>
          <w:lang w:val="sr-Latn-ME"/>
        </w:rPr>
        <w:t>, dTT), ekarinsko vr</w:t>
      </w:r>
      <w:r w:rsidR="00A42E97" w:rsidRPr="00F85CA6">
        <w:rPr>
          <w:rFonts w:eastAsia="Calibri"/>
          <w:sz w:val="22"/>
          <w:szCs w:val="22"/>
          <w:lang w:val="sr-Latn-ME"/>
        </w:rPr>
        <w:t>ij</w:t>
      </w:r>
      <w:r w:rsidRPr="00F85CA6">
        <w:rPr>
          <w:rFonts w:eastAsia="Calibri"/>
          <w:sz w:val="22"/>
          <w:szCs w:val="22"/>
          <w:lang w:val="sr-Latn-ME"/>
        </w:rPr>
        <w:t xml:space="preserve">eme zgrušavanja (engl. </w:t>
      </w:r>
      <w:r w:rsidRPr="00F85CA6">
        <w:rPr>
          <w:rFonts w:eastAsia="Calibri"/>
          <w:i/>
          <w:sz w:val="22"/>
          <w:szCs w:val="22"/>
          <w:lang w:val="sr-Latn-ME"/>
        </w:rPr>
        <w:t>ecarin clotting time</w:t>
      </w:r>
      <w:r w:rsidRPr="00F85CA6">
        <w:rPr>
          <w:rFonts w:eastAsia="Calibri"/>
          <w:sz w:val="22"/>
          <w:szCs w:val="22"/>
          <w:lang w:val="sr-Latn-ME"/>
        </w:rPr>
        <w:t>, ECT) i aktivirano parcijalno tromboplastinsko vr</w:t>
      </w:r>
      <w:r w:rsidR="00A42E97" w:rsidRPr="00F85CA6">
        <w:rPr>
          <w:rFonts w:eastAsia="Calibri"/>
          <w:sz w:val="22"/>
          <w:szCs w:val="22"/>
          <w:lang w:val="sr-Latn-ME"/>
        </w:rPr>
        <w:t>ij</w:t>
      </w:r>
      <w:r w:rsidRPr="00F85CA6">
        <w:rPr>
          <w:rFonts w:eastAsia="Calibri"/>
          <w:sz w:val="22"/>
          <w:szCs w:val="22"/>
          <w:lang w:val="sr-Latn-ME"/>
        </w:rPr>
        <w:t xml:space="preserve">eme (engl. </w:t>
      </w:r>
      <w:r w:rsidRPr="00F85CA6">
        <w:rPr>
          <w:rFonts w:eastAsia="Calibri"/>
          <w:i/>
          <w:sz w:val="22"/>
          <w:szCs w:val="22"/>
          <w:lang w:val="sr-Latn-ME"/>
        </w:rPr>
        <w:t xml:space="preserve">activated partial thromboplastin time, </w:t>
      </w:r>
      <w:r w:rsidRPr="00F85CA6">
        <w:rPr>
          <w:rFonts w:eastAsia="Calibri"/>
          <w:sz w:val="22"/>
          <w:szCs w:val="22"/>
          <w:lang w:val="sr-Latn-ME"/>
        </w:rPr>
        <w:t>aPTT) mogu da obezb</w:t>
      </w:r>
      <w:r w:rsidR="00A42E97" w:rsidRPr="00F85CA6">
        <w:rPr>
          <w:rFonts w:eastAsia="Calibri"/>
          <w:sz w:val="22"/>
          <w:szCs w:val="22"/>
          <w:lang w:val="sr-Latn-ME"/>
        </w:rPr>
        <w:t>j</w:t>
      </w:r>
      <w:r w:rsidRPr="00F85CA6">
        <w:rPr>
          <w:rFonts w:eastAsia="Calibri"/>
          <w:sz w:val="22"/>
          <w:szCs w:val="22"/>
          <w:lang w:val="sr-Latn-ME"/>
        </w:rPr>
        <w:t>ede korisne informacije, ali njihove rezultate treba tumačiti sa oprezom zbog varijabilnosti između testova (vid</w:t>
      </w:r>
      <w:r w:rsidR="00A42E97" w:rsidRPr="00F85CA6">
        <w:rPr>
          <w:rFonts w:eastAsia="Calibri"/>
          <w:sz w:val="22"/>
          <w:szCs w:val="22"/>
          <w:lang w:val="sr-Latn-ME"/>
        </w:rPr>
        <w:t>j</w:t>
      </w:r>
      <w:r w:rsidRPr="00F85CA6">
        <w:rPr>
          <w:rFonts w:eastAsia="Calibri"/>
          <w:sz w:val="22"/>
          <w:szCs w:val="22"/>
          <w:lang w:val="sr-Latn-ME"/>
        </w:rPr>
        <w:t xml:space="preserve">eti </w:t>
      </w:r>
      <w:r w:rsidR="00BB4A93" w:rsidRPr="00F85CA6">
        <w:rPr>
          <w:rFonts w:eastAsia="Calibri"/>
          <w:sz w:val="22"/>
          <w:szCs w:val="22"/>
          <w:lang w:val="sr-Latn-ME"/>
        </w:rPr>
        <w:t>dio</w:t>
      </w:r>
      <w:r w:rsidRPr="00F85CA6">
        <w:rPr>
          <w:rFonts w:eastAsia="Calibri"/>
          <w:sz w:val="22"/>
          <w:szCs w:val="22"/>
          <w:lang w:val="sr-Latn-ME"/>
        </w:rPr>
        <w:t xml:space="preserve"> 5.1). </w:t>
      </w:r>
    </w:p>
    <w:p w14:paraId="7FAD1747" w14:textId="77777777" w:rsidR="002E54BA" w:rsidRPr="00F85CA6" w:rsidRDefault="002E54BA" w:rsidP="00E74FD6">
      <w:pPr>
        <w:jc w:val="both"/>
        <w:rPr>
          <w:rFonts w:eastAsia="Calibri"/>
          <w:sz w:val="22"/>
          <w:szCs w:val="22"/>
          <w:lang w:val="sr-Latn-ME"/>
        </w:rPr>
      </w:pPr>
    </w:p>
    <w:p w14:paraId="5BA045E9" w14:textId="1D59718E" w:rsidR="00E74FD6" w:rsidRPr="00F85CA6" w:rsidRDefault="00E74FD6" w:rsidP="00E74FD6">
      <w:pPr>
        <w:jc w:val="both"/>
        <w:rPr>
          <w:rFonts w:eastAsia="Calibri"/>
          <w:sz w:val="22"/>
          <w:szCs w:val="22"/>
          <w:lang w:val="sr-Latn-ME"/>
        </w:rPr>
      </w:pPr>
      <w:r w:rsidRPr="00F85CA6">
        <w:rPr>
          <w:rFonts w:eastAsia="Calibri"/>
          <w:sz w:val="22"/>
          <w:szCs w:val="22"/>
          <w:lang w:val="sr-Latn-ME"/>
        </w:rPr>
        <w:t xml:space="preserve">Test za internacionalni normalizovani odnos (engl. </w:t>
      </w:r>
      <w:r w:rsidRPr="00F85CA6">
        <w:rPr>
          <w:rFonts w:eastAsia="Calibri"/>
          <w:i/>
          <w:sz w:val="22"/>
          <w:szCs w:val="22"/>
          <w:lang w:val="sr-Latn-ME"/>
        </w:rPr>
        <w:t>international normalised ratio</w:t>
      </w:r>
      <w:r w:rsidRPr="00F85CA6">
        <w:rPr>
          <w:rFonts w:eastAsia="Calibri"/>
          <w:sz w:val="22"/>
          <w:szCs w:val="22"/>
          <w:lang w:val="sr-Latn-ME"/>
        </w:rPr>
        <w:t>, INR) je nepouzdan kod pacijenata koji primaju dabigatrane</w:t>
      </w:r>
      <w:r w:rsidR="002E54BA" w:rsidRPr="00F85CA6">
        <w:rPr>
          <w:rFonts w:eastAsia="Calibri"/>
          <w:sz w:val="22"/>
          <w:szCs w:val="22"/>
          <w:lang w:val="sr-Latn-ME"/>
        </w:rPr>
        <w:t xml:space="preserve"> </w:t>
      </w:r>
      <w:r w:rsidRPr="00F85CA6">
        <w:rPr>
          <w:rFonts w:eastAsia="Calibri"/>
          <w:sz w:val="22"/>
          <w:szCs w:val="22"/>
          <w:lang w:val="sr-Latn-ME"/>
        </w:rPr>
        <w:t>teksilat i prijavljivana su lažno pozitivna povećanja INR vr</w:t>
      </w:r>
      <w:r w:rsidR="00A42E97" w:rsidRPr="00F85CA6">
        <w:rPr>
          <w:rFonts w:eastAsia="Calibri"/>
          <w:sz w:val="22"/>
          <w:szCs w:val="22"/>
          <w:lang w:val="sr-Latn-ME"/>
        </w:rPr>
        <w:t>ij</w:t>
      </w:r>
      <w:r w:rsidRPr="00F85CA6">
        <w:rPr>
          <w:rFonts w:eastAsia="Calibri"/>
          <w:sz w:val="22"/>
          <w:szCs w:val="22"/>
          <w:lang w:val="sr-Latn-ME"/>
        </w:rPr>
        <w:t>ednosti. Zbog toga, INR ne treba raditi.</w:t>
      </w:r>
    </w:p>
    <w:p w14:paraId="2EA6D7A8" w14:textId="77777777" w:rsidR="00E74FD6" w:rsidRPr="00F85CA6" w:rsidRDefault="00E74FD6" w:rsidP="00E74FD6">
      <w:pPr>
        <w:jc w:val="both"/>
        <w:rPr>
          <w:rFonts w:eastAsia="Calibri"/>
          <w:sz w:val="22"/>
          <w:szCs w:val="22"/>
          <w:lang w:val="sr-Latn-ME"/>
        </w:rPr>
      </w:pPr>
      <w:bookmarkStart w:id="9" w:name="_Hlk82539225"/>
    </w:p>
    <w:p w14:paraId="51AC23F8" w14:textId="47996F53" w:rsidR="00E74FD6" w:rsidRPr="00F85CA6" w:rsidRDefault="00E74FD6" w:rsidP="00E74FD6">
      <w:pPr>
        <w:jc w:val="both"/>
        <w:rPr>
          <w:rFonts w:eastAsia="Calibri"/>
          <w:sz w:val="22"/>
          <w:szCs w:val="22"/>
          <w:lang w:val="sr-Latn-ME"/>
        </w:rPr>
      </w:pPr>
      <w:r w:rsidRPr="00F85CA6">
        <w:rPr>
          <w:rFonts w:eastAsia="Calibri"/>
          <w:sz w:val="22"/>
          <w:szCs w:val="22"/>
          <w:lang w:val="sr-Latn-ME"/>
        </w:rPr>
        <w:t>U tabeli 6 su predstavljene granične vr</w:t>
      </w:r>
      <w:r w:rsidR="00A42E97" w:rsidRPr="00F85CA6">
        <w:rPr>
          <w:rFonts w:eastAsia="Calibri"/>
          <w:sz w:val="22"/>
          <w:szCs w:val="22"/>
          <w:lang w:val="sr-Latn-ME"/>
        </w:rPr>
        <w:t>ij</w:t>
      </w:r>
      <w:r w:rsidRPr="00F85CA6">
        <w:rPr>
          <w:rFonts w:eastAsia="Calibri"/>
          <w:sz w:val="22"/>
          <w:szCs w:val="22"/>
          <w:lang w:val="sr-Latn-ME"/>
        </w:rPr>
        <w:t>ednosti testa koagulacije na kraju intervala doziranja za odrasle pacijente koji mogu biti povezani sa povećanim rizikom od krvarenja. Odgovarajuće granične vr</w:t>
      </w:r>
      <w:r w:rsidR="00A42E97" w:rsidRPr="00F85CA6">
        <w:rPr>
          <w:rFonts w:eastAsia="Calibri"/>
          <w:sz w:val="22"/>
          <w:szCs w:val="22"/>
          <w:lang w:val="sr-Latn-ME"/>
        </w:rPr>
        <w:t>ij</w:t>
      </w:r>
      <w:r w:rsidRPr="00F85CA6">
        <w:rPr>
          <w:rFonts w:eastAsia="Calibri"/>
          <w:sz w:val="22"/>
          <w:szCs w:val="22"/>
          <w:lang w:val="sr-Latn-ME"/>
        </w:rPr>
        <w:t>ednosti za pedijatrijske pacijente ni</w:t>
      </w:r>
      <w:r w:rsidR="002E54BA" w:rsidRPr="00F85CA6">
        <w:rPr>
          <w:rFonts w:eastAsia="Calibri"/>
          <w:sz w:val="22"/>
          <w:szCs w:val="22"/>
          <w:lang w:val="sr-Latn-ME"/>
        </w:rPr>
        <w:t>je</w:t>
      </w:r>
      <w:r w:rsidRPr="00F85CA6">
        <w:rPr>
          <w:rFonts w:eastAsia="Calibri"/>
          <w:sz w:val="22"/>
          <w:szCs w:val="22"/>
          <w:lang w:val="sr-Latn-ME"/>
        </w:rPr>
        <w:t>su poznate (vid</w:t>
      </w:r>
      <w:r w:rsidR="00A42E97" w:rsidRPr="00F85CA6">
        <w:rPr>
          <w:rFonts w:eastAsia="Calibri"/>
          <w:sz w:val="22"/>
          <w:szCs w:val="22"/>
          <w:lang w:val="sr-Latn-ME"/>
        </w:rPr>
        <w:t>j</w:t>
      </w:r>
      <w:r w:rsidRPr="00F85CA6">
        <w:rPr>
          <w:rFonts w:eastAsia="Calibri"/>
          <w:sz w:val="22"/>
          <w:szCs w:val="22"/>
          <w:lang w:val="sr-Latn-ME"/>
        </w:rPr>
        <w:t xml:space="preserve">eti </w:t>
      </w:r>
      <w:r w:rsidR="00BB4A93" w:rsidRPr="00F85CA6">
        <w:rPr>
          <w:rFonts w:eastAsia="Calibri"/>
          <w:sz w:val="22"/>
          <w:szCs w:val="22"/>
          <w:lang w:val="sr-Latn-ME"/>
        </w:rPr>
        <w:t>dio</w:t>
      </w:r>
      <w:r w:rsidRPr="00F85CA6">
        <w:rPr>
          <w:rFonts w:eastAsia="Calibri"/>
          <w:sz w:val="22"/>
          <w:szCs w:val="22"/>
          <w:lang w:val="sr-Latn-ME"/>
        </w:rPr>
        <w:t xml:space="preserve"> 5.1).</w:t>
      </w:r>
    </w:p>
    <w:bookmarkEnd w:id="9"/>
    <w:p w14:paraId="53ECB610" w14:textId="77777777" w:rsidR="00E74FD6" w:rsidRPr="00F85CA6" w:rsidRDefault="00E74FD6" w:rsidP="00E74FD6">
      <w:pPr>
        <w:jc w:val="both"/>
        <w:rPr>
          <w:rFonts w:eastAsia="Calibri"/>
          <w:sz w:val="22"/>
          <w:szCs w:val="22"/>
          <w:lang w:val="sr-Latn-ME" w:bidi="en-US"/>
        </w:rPr>
      </w:pPr>
    </w:p>
    <w:p w14:paraId="3B115CE7" w14:textId="3523D7F2" w:rsidR="00E74FD6" w:rsidRDefault="00E74FD6" w:rsidP="00685312">
      <w:pPr>
        <w:jc w:val="center"/>
        <w:rPr>
          <w:rFonts w:eastAsia="Calibri"/>
          <w:b/>
          <w:bCs/>
          <w:sz w:val="22"/>
          <w:szCs w:val="22"/>
          <w:lang w:val="sr-Latn-ME" w:bidi="en-US"/>
        </w:rPr>
      </w:pPr>
      <w:r w:rsidRPr="00F85CA6">
        <w:rPr>
          <w:rFonts w:eastAsia="Calibri"/>
          <w:b/>
          <w:bCs/>
          <w:sz w:val="22"/>
          <w:szCs w:val="22"/>
          <w:lang w:val="sr-Latn-ME" w:bidi="en-US"/>
        </w:rPr>
        <w:t>Tabela 6: Granične vr</w:t>
      </w:r>
      <w:r w:rsidR="00A42E97" w:rsidRPr="00F85CA6">
        <w:rPr>
          <w:rFonts w:eastAsia="Calibri"/>
          <w:b/>
          <w:bCs/>
          <w:sz w:val="22"/>
          <w:szCs w:val="22"/>
          <w:lang w:val="sr-Latn-ME" w:bidi="en-US"/>
        </w:rPr>
        <w:t>ij</w:t>
      </w:r>
      <w:r w:rsidRPr="00F85CA6">
        <w:rPr>
          <w:rFonts w:eastAsia="Calibri"/>
          <w:b/>
          <w:bCs/>
          <w:sz w:val="22"/>
          <w:szCs w:val="22"/>
          <w:lang w:val="sr-Latn-ME" w:bidi="en-US"/>
        </w:rPr>
        <w:t>ednosti testa koagulacije na kraju intervala doziranja za odrasle pacijente koje mogu biti povezane sa povećanim rizikom od krvarenja.</w:t>
      </w:r>
    </w:p>
    <w:p w14:paraId="3B20329C" w14:textId="10FD9492" w:rsidR="00F85CA6" w:rsidRDefault="00F85CA6" w:rsidP="00685312">
      <w:pPr>
        <w:jc w:val="center"/>
        <w:rPr>
          <w:rFonts w:eastAsia="Calibri"/>
          <w:b/>
          <w:bCs/>
          <w:sz w:val="22"/>
          <w:szCs w:val="22"/>
          <w:lang w:val="sr-Latn-ME" w:bidi="en-US"/>
        </w:rPr>
      </w:pPr>
    </w:p>
    <w:p w14:paraId="6B395E48" w14:textId="00029EFC" w:rsidR="00F85CA6" w:rsidRDefault="00F85CA6" w:rsidP="00685312">
      <w:pPr>
        <w:jc w:val="center"/>
        <w:rPr>
          <w:rFonts w:eastAsia="Calibri"/>
          <w:b/>
          <w:bCs/>
          <w:sz w:val="22"/>
          <w:szCs w:val="22"/>
          <w:lang w:val="sr-Latn-ME" w:bidi="en-US"/>
        </w:rPr>
      </w:pPr>
    </w:p>
    <w:p w14:paraId="7F99DBBF" w14:textId="44B12E0F" w:rsidR="00F85CA6" w:rsidRDefault="00F85CA6" w:rsidP="00685312">
      <w:pPr>
        <w:jc w:val="center"/>
        <w:rPr>
          <w:rFonts w:eastAsia="Calibri"/>
          <w:b/>
          <w:bCs/>
          <w:sz w:val="22"/>
          <w:szCs w:val="22"/>
          <w:lang w:val="sr-Latn-ME" w:bidi="en-US"/>
        </w:rPr>
      </w:pPr>
    </w:p>
    <w:p w14:paraId="5C40C240" w14:textId="77777777" w:rsidR="00F85CA6" w:rsidRPr="00F85CA6" w:rsidRDefault="00F85CA6" w:rsidP="00685312">
      <w:pPr>
        <w:jc w:val="center"/>
        <w:rPr>
          <w:rFonts w:eastAsia="Calibri"/>
          <w:b/>
          <w:bCs/>
          <w:sz w:val="22"/>
          <w:szCs w:val="22"/>
          <w:lang w:val="sr-Latn-ME" w:bidi="en-US"/>
        </w:rPr>
      </w:pPr>
    </w:p>
    <w:tbl>
      <w:tblPr>
        <w:tblOverlap w:val="never"/>
        <w:tblW w:w="5000" w:type="pct"/>
        <w:jc w:val="center"/>
        <w:tblCellMar>
          <w:left w:w="85" w:type="dxa"/>
          <w:right w:w="85" w:type="dxa"/>
        </w:tblCellMar>
        <w:tblLook w:val="04A0" w:firstRow="1" w:lastRow="0" w:firstColumn="1" w:lastColumn="0" w:noHBand="0" w:noVBand="1"/>
      </w:tblPr>
      <w:tblGrid>
        <w:gridCol w:w="3847"/>
        <w:gridCol w:w="2608"/>
        <w:gridCol w:w="2608"/>
      </w:tblGrid>
      <w:tr w:rsidR="00E74FD6" w:rsidRPr="00F85CA6" w14:paraId="725865D5" w14:textId="77777777" w:rsidTr="001239C3">
        <w:trPr>
          <w:trHeight w:val="20"/>
          <w:jc w:val="center"/>
        </w:trPr>
        <w:tc>
          <w:tcPr>
            <w:tcW w:w="2122" w:type="pct"/>
            <w:tcBorders>
              <w:top w:val="single" w:sz="4" w:space="0" w:color="auto"/>
              <w:left w:val="single" w:sz="4" w:space="0" w:color="auto"/>
            </w:tcBorders>
            <w:shd w:val="clear" w:color="auto" w:fill="auto"/>
            <w:vAlign w:val="bottom"/>
          </w:tcPr>
          <w:p w14:paraId="2425E2A3" w14:textId="77777777" w:rsidR="00E74FD6" w:rsidRPr="00F85CA6" w:rsidRDefault="00E74FD6" w:rsidP="00E74FD6">
            <w:pPr>
              <w:jc w:val="center"/>
              <w:rPr>
                <w:rFonts w:eastAsia="Calibri"/>
                <w:sz w:val="22"/>
                <w:szCs w:val="22"/>
                <w:lang w:val="sr-Latn-ME" w:bidi="en-US"/>
              </w:rPr>
            </w:pPr>
            <w:r w:rsidRPr="00F85CA6">
              <w:rPr>
                <w:rFonts w:eastAsia="Calibri"/>
                <w:sz w:val="22"/>
                <w:szCs w:val="22"/>
                <w:lang w:val="sr-Latn-ME" w:bidi="en-US"/>
              </w:rPr>
              <w:lastRenderedPageBreak/>
              <w:t>Test (na kraju intervala doziranja)</w:t>
            </w:r>
          </w:p>
        </w:tc>
        <w:tc>
          <w:tcPr>
            <w:tcW w:w="2878" w:type="pct"/>
            <w:gridSpan w:val="2"/>
            <w:tcBorders>
              <w:top w:val="single" w:sz="4" w:space="0" w:color="auto"/>
              <w:left w:val="single" w:sz="4" w:space="0" w:color="auto"/>
              <w:right w:val="single" w:sz="4" w:space="0" w:color="auto"/>
            </w:tcBorders>
          </w:tcPr>
          <w:p w14:paraId="5C743D16" w14:textId="77777777" w:rsidR="00E74FD6" w:rsidRPr="00F85CA6" w:rsidRDefault="00E74FD6" w:rsidP="00E74FD6">
            <w:pPr>
              <w:jc w:val="center"/>
              <w:rPr>
                <w:rFonts w:eastAsia="Calibri"/>
                <w:sz w:val="22"/>
                <w:szCs w:val="22"/>
                <w:lang w:val="sr-Latn-ME" w:bidi="en-US"/>
              </w:rPr>
            </w:pPr>
            <w:r w:rsidRPr="00F85CA6">
              <w:rPr>
                <w:rFonts w:eastAsia="Calibri"/>
                <w:sz w:val="22"/>
                <w:szCs w:val="22"/>
                <w:lang w:val="sr-Latn-ME" w:bidi="en-US"/>
              </w:rPr>
              <w:t>Indikacija</w:t>
            </w:r>
          </w:p>
        </w:tc>
      </w:tr>
      <w:tr w:rsidR="00E74FD6" w:rsidRPr="00F85CA6" w14:paraId="206D0DC4" w14:textId="77777777" w:rsidTr="001239C3">
        <w:trPr>
          <w:trHeight w:val="20"/>
          <w:jc w:val="center"/>
        </w:trPr>
        <w:tc>
          <w:tcPr>
            <w:tcW w:w="2122" w:type="pct"/>
            <w:tcBorders>
              <w:top w:val="single" w:sz="4" w:space="0" w:color="auto"/>
              <w:left w:val="single" w:sz="4" w:space="0" w:color="auto"/>
            </w:tcBorders>
            <w:shd w:val="clear" w:color="auto" w:fill="auto"/>
          </w:tcPr>
          <w:p w14:paraId="44478B59" w14:textId="77777777" w:rsidR="00E74FD6" w:rsidRPr="00F85CA6" w:rsidRDefault="00E74FD6" w:rsidP="00E74FD6">
            <w:pPr>
              <w:jc w:val="both"/>
              <w:rPr>
                <w:rFonts w:eastAsia="Calibri"/>
                <w:sz w:val="22"/>
                <w:szCs w:val="22"/>
                <w:lang w:val="sr-Latn-ME" w:bidi="en-US"/>
              </w:rPr>
            </w:pPr>
          </w:p>
        </w:tc>
        <w:tc>
          <w:tcPr>
            <w:tcW w:w="1439" w:type="pct"/>
            <w:tcBorders>
              <w:top w:val="single" w:sz="4" w:space="0" w:color="auto"/>
              <w:left w:val="single" w:sz="4" w:space="0" w:color="auto"/>
            </w:tcBorders>
          </w:tcPr>
          <w:p w14:paraId="07B9AFA0" w14:textId="77777777" w:rsidR="00E74FD6" w:rsidRPr="00F85CA6" w:rsidRDefault="00E74FD6" w:rsidP="00E74FD6">
            <w:pPr>
              <w:jc w:val="center"/>
              <w:rPr>
                <w:rFonts w:eastAsia="Calibri"/>
                <w:sz w:val="22"/>
                <w:szCs w:val="22"/>
                <w:lang w:val="sr-Latn-ME"/>
              </w:rPr>
            </w:pPr>
            <w:r w:rsidRPr="00F85CA6">
              <w:rPr>
                <w:rFonts w:eastAsia="Calibri"/>
                <w:sz w:val="22"/>
                <w:szCs w:val="22"/>
                <w:lang w:val="sr-Latn-ME"/>
              </w:rPr>
              <w:t>Primarna prevencija VTE u ortopedskoj hirurgiji</w:t>
            </w:r>
          </w:p>
        </w:tc>
        <w:tc>
          <w:tcPr>
            <w:tcW w:w="1439" w:type="pct"/>
            <w:tcBorders>
              <w:top w:val="single" w:sz="4" w:space="0" w:color="auto"/>
              <w:left w:val="single" w:sz="4" w:space="0" w:color="auto"/>
              <w:right w:val="single" w:sz="4" w:space="0" w:color="auto"/>
            </w:tcBorders>
            <w:shd w:val="clear" w:color="auto" w:fill="auto"/>
          </w:tcPr>
          <w:p w14:paraId="79933BE1" w14:textId="77777777" w:rsidR="00E74FD6" w:rsidRPr="00F85CA6" w:rsidRDefault="00E74FD6" w:rsidP="00E74FD6">
            <w:pPr>
              <w:jc w:val="center"/>
              <w:rPr>
                <w:rFonts w:eastAsia="Calibri"/>
                <w:sz w:val="22"/>
                <w:szCs w:val="22"/>
                <w:lang w:val="sr-Latn-ME" w:bidi="en-US"/>
              </w:rPr>
            </w:pPr>
            <w:r w:rsidRPr="00F85CA6">
              <w:rPr>
                <w:rFonts w:eastAsia="Calibri"/>
                <w:sz w:val="22"/>
                <w:szCs w:val="22"/>
                <w:lang w:val="sr-Latn-ME" w:bidi="en-US"/>
              </w:rPr>
              <w:t>Prevencija MU i SE kod AF i DVT/PE</w:t>
            </w:r>
          </w:p>
        </w:tc>
      </w:tr>
      <w:tr w:rsidR="00E74FD6" w:rsidRPr="00F85CA6" w14:paraId="42EDB4AC" w14:textId="77777777" w:rsidTr="001239C3">
        <w:trPr>
          <w:trHeight w:val="20"/>
          <w:jc w:val="center"/>
        </w:trPr>
        <w:tc>
          <w:tcPr>
            <w:tcW w:w="2122" w:type="pct"/>
            <w:tcBorders>
              <w:top w:val="single" w:sz="4" w:space="0" w:color="auto"/>
              <w:left w:val="single" w:sz="4" w:space="0" w:color="auto"/>
            </w:tcBorders>
            <w:shd w:val="clear" w:color="auto" w:fill="auto"/>
            <w:vAlign w:val="bottom"/>
          </w:tcPr>
          <w:p w14:paraId="12B5E8C1" w14:textId="4F35C129" w:rsidR="00E74FD6" w:rsidRPr="00F85CA6" w:rsidRDefault="00E74FD6" w:rsidP="00E74FD6">
            <w:pPr>
              <w:jc w:val="both"/>
              <w:rPr>
                <w:rFonts w:eastAsia="Calibri"/>
                <w:sz w:val="22"/>
                <w:szCs w:val="22"/>
                <w:lang w:val="sr-Latn-ME" w:bidi="en-US"/>
              </w:rPr>
            </w:pPr>
            <w:r w:rsidRPr="00F85CA6">
              <w:rPr>
                <w:rFonts w:eastAsia="Calibri"/>
                <w:sz w:val="22"/>
                <w:szCs w:val="22"/>
                <w:lang w:val="sr-Latn-ME" w:bidi="en-US"/>
              </w:rPr>
              <w:t>dTT [nanograma/m</w:t>
            </w:r>
            <w:r w:rsidR="002E54BA" w:rsidRPr="00F85CA6">
              <w:rPr>
                <w:rFonts w:eastAsia="Calibri"/>
                <w:sz w:val="22"/>
                <w:szCs w:val="22"/>
                <w:lang w:val="sr-Latn-ME" w:bidi="en-US"/>
              </w:rPr>
              <w:t>l</w:t>
            </w:r>
            <w:r w:rsidRPr="00F85CA6">
              <w:rPr>
                <w:rFonts w:eastAsia="Calibri"/>
                <w:sz w:val="22"/>
                <w:szCs w:val="22"/>
                <w:lang w:val="sr-Latn-ME" w:bidi="en-US"/>
              </w:rPr>
              <w:t>]</w:t>
            </w:r>
          </w:p>
        </w:tc>
        <w:tc>
          <w:tcPr>
            <w:tcW w:w="1439" w:type="pct"/>
            <w:tcBorders>
              <w:top w:val="single" w:sz="4" w:space="0" w:color="auto"/>
              <w:left w:val="single" w:sz="4" w:space="0" w:color="auto"/>
            </w:tcBorders>
          </w:tcPr>
          <w:p w14:paraId="67AEF1B4" w14:textId="7002666D" w:rsidR="00E74FD6" w:rsidRPr="00F85CA6" w:rsidRDefault="00E74FD6" w:rsidP="00E74FD6">
            <w:pPr>
              <w:jc w:val="center"/>
              <w:rPr>
                <w:rFonts w:eastAsia="Calibri"/>
                <w:sz w:val="22"/>
                <w:szCs w:val="22"/>
                <w:lang w:val="sr-Latn-ME"/>
              </w:rPr>
            </w:pPr>
            <w:r w:rsidRPr="00F85CA6">
              <w:rPr>
                <w:rFonts w:eastAsia="Calibri"/>
                <w:sz w:val="22"/>
                <w:szCs w:val="22"/>
                <w:lang w:val="sr-Latn-ME"/>
              </w:rPr>
              <w:t>&gt;</w:t>
            </w:r>
            <w:r w:rsidR="002E54BA" w:rsidRPr="00F85CA6">
              <w:rPr>
                <w:rFonts w:eastAsia="Calibri"/>
                <w:sz w:val="22"/>
                <w:szCs w:val="22"/>
                <w:lang w:val="sr-Latn-ME"/>
              </w:rPr>
              <w:t xml:space="preserve"> </w:t>
            </w:r>
            <w:r w:rsidRPr="00F85CA6">
              <w:rPr>
                <w:rFonts w:eastAsia="Calibri"/>
                <w:sz w:val="22"/>
                <w:szCs w:val="22"/>
                <w:lang w:val="sr-Latn-ME"/>
              </w:rPr>
              <w:t>67</w:t>
            </w:r>
          </w:p>
        </w:tc>
        <w:tc>
          <w:tcPr>
            <w:tcW w:w="1439" w:type="pct"/>
            <w:tcBorders>
              <w:top w:val="single" w:sz="4" w:space="0" w:color="auto"/>
              <w:left w:val="single" w:sz="4" w:space="0" w:color="auto"/>
              <w:right w:val="single" w:sz="4" w:space="0" w:color="auto"/>
            </w:tcBorders>
            <w:shd w:val="clear" w:color="auto" w:fill="auto"/>
            <w:vAlign w:val="bottom"/>
          </w:tcPr>
          <w:p w14:paraId="3D7B6C12" w14:textId="716EC173" w:rsidR="00E74FD6" w:rsidRPr="00F85CA6" w:rsidRDefault="00E74FD6" w:rsidP="00E74FD6">
            <w:pPr>
              <w:jc w:val="center"/>
              <w:rPr>
                <w:rFonts w:eastAsia="Calibri"/>
                <w:sz w:val="22"/>
                <w:szCs w:val="22"/>
                <w:lang w:val="sr-Latn-ME" w:bidi="en-US"/>
              </w:rPr>
            </w:pPr>
            <w:r w:rsidRPr="00F85CA6">
              <w:rPr>
                <w:rFonts w:eastAsia="Calibri"/>
                <w:sz w:val="22"/>
                <w:szCs w:val="22"/>
                <w:lang w:val="sr-Latn-ME" w:bidi="en-US"/>
              </w:rPr>
              <w:t>&gt;</w:t>
            </w:r>
            <w:r w:rsidR="002E54BA" w:rsidRPr="00F85CA6">
              <w:rPr>
                <w:rFonts w:eastAsia="Calibri"/>
                <w:sz w:val="22"/>
                <w:szCs w:val="22"/>
                <w:lang w:val="sr-Latn-ME" w:bidi="en-US"/>
              </w:rPr>
              <w:t xml:space="preserve"> </w:t>
            </w:r>
            <w:r w:rsidRPr="00F85CA6">
              <w:rPr>
                <w:rFonts w:eastAsia="Calibri"/>
                <w:sz w:val="22"/>
                <w:szCs w:val="22"/>
                <w:lang w:val="sr-Latn-ME" w:bidi="en-US"/>
              </w:rPr>
              <w:t>200</w:t>
            </w:r>
          </w:p>
        </w:tc>
      </w:tr>
      <w:tr w:rsidR="00E74FD6" w:rsidRPr="00F85CA6" w14:paraId="7576AAD7" w14:textId="77777777" w:rsidTr="001239C3">
        <w:trPr>
          <w:trHeight w:val="20"/>
          <w:jc w:val="center"/>
        </w:trPr>
        <w:tc>
          <w:tcPr>
            <w:tcW w:w="2122" w:type="pct"/>
            <w:tcBorders>
              <w:top w:val="single" w:sz="4" w:space="0" w:color="auto"/>
              <w:left w:val="single" w:sz="4" w:space="0" w:color="auto"/>
            </w:tcBorders>
            <w:shd w:val="clear" w:color="auto" w:fill="auto"/>
            <w:vAlign w:val="bottom"/>
          </w:tcPr>
          <w:p w14:paraId="343904ED" w14:textId="510E0FCC" w:rsidR="00E74FD6" w:rsidRPr="00F85CA6" w:rsidRDefault="00E74FD6" w:rsidP="00E74FD6">
            <w:pPr>
              <w:jc w:val="both"/>
              <w:rPr>
                <w:rFonts w:eastAsia="Calibri"/>
                <w:sz w:val="22"/>
                <w:szCs w:val="22"/>
                <w:lang w:val="sr-Latn-ME" w:bidi="en-US"/>
              </w:rPr>
            </w:pPr>
            <w:r w:rsidRPr="00F85CA6">
              <w:rPr>
                <w:rFonts w:eastAsia="Calibri"/>
                <w:sz w:val="22"/>
                <w:szCs w:val="22"/>
                <w:lang w:val="sr-Latn-ME" w:bidi="en-US"/>
              </w:rPr>
              <w:t>ECT [x-puta od gornje granice normalne vr</w:t>
            </w:r>
            <w:r w:rsidR="00083762" w:rsidRPr="00F85CA6">
              <w:rPr>
                <w:rFonts w:eastAsia="Calibri"/>
                <w:sz w:val="22"/>
                <w:szCs w:val="22"/>
                <w:lang w:val="sr-Latn-ME" w:bidi="en-US"/>
              </w:rPr>
              <w:t>ij</w:t>
            </w:r>
            <w:r w:rsidRPr="00F85CA6">
              <w:rPr>
                <w:rFonts w:eastAsia="Calibri"/>
                <w:sz w:val="22"/>
                <w:szCs w:val="22"/>
                <w:lang w:val="sr-Latn-ME" w:bidi="en-US"/>
              </w:rPr>
              <w:t>ednosti]</w:t>
            </w:r>
          </w:p>
        </w:tc>
        <w:tc>
          <w:tcPr>
            <w:tcW w:w="1439" w:type="pct"/>
            <w:tcBorders>
              <w:top w:val="single" w:sz="4" w:space="0" w:color="auto"/>
              <w:left w:val="single" w:sz="4" w:space="0" w:color="auto"/>
            </w:tcBorders>
          </w:tcPr>
          <w:p w14:paraId="0A7EB4CB" w14:textId="77777777" w:rsidR="00E74FD6" w:rsidRPr="00F85CA6" w:rsidRDefault="00E74FD6" w:rsidP="00E74FD6">
            <w:pPr>
              <w:jc w:val="center"/>
              <w:rPr>
                <w:rFonts w:eastAsia="Calibri"/>
                <w:sz w:val="22"/>
                <w:szCs w:val="22"/>
                <w:lang w:val="sr-Latn-ME"/>
              </w:rPr>
            </w:pPr>
            <w:r w:rsidRPr="00F85CA6">
              <w:rPr>
                <w:rFonts w:eastAsia="Calibri"/>
                <w:sz w:val="22"/>
                <w:szCs w:val="22"/>
                <w:lang w:val="sr-Latn-ME"/>
              </w:rPr>
              <w:t>nema podataka</w:t>
            </w:r>
          </w:p>
        </w:tc>
        <w:tc>
          <w:tcPr>
            <w:tcW w:w="1439" w:type="pct"/>
            <w:tcBorders>
              <w:top w:val="single" w:sz="4" w:space="0" w:color="auto"/>
              <w:left w:val="single" w:sz="4" w:space="0" w:color="auto"/>
              <w:right w:val="single" w:sz="4" w:space="0" w:color="auto"/>
            </w:tcBorders>
            <w:shd w:val="clear" w:color="auto" w:fill="auto"/>
            <w:vAlign w:val="bottom"/>
          </w:tcPr>
          <w:p w14:paraId="39EA882B" w14:textId="29FFA5F7" w:rsidR="00E74FD6" w:rsidRPr="00F85CA6" w:rsidRDefault="00E74FD6" w:rsidP="00E74FD6">
            <w:pPr>
              <w:jc w:val="center"/>
              <w:rPr>
                <w:rFonts w:eastAsia="Calibri"/>
                <w:sz w:val="22"/>
                <w:szCs w:val="22"/>
                <w:lang w:val="sr-Latn-ME" w:bidi="en-US"/>
              </w:rPr>
            </w:pPr>
            <w:r w:rsidRPr="00F85CA6">
              <w:rPr>
                <w:rFonts w:eastAsia="Calibri"/>
                <w:sz w:val="22"/>
                <w:szCs w:val="22"/>
                <w:lang w:val="sr-Latn-ME" w:bidi="en-US"/>
              </w:rPr>
              <w:t>&gt;</w:t>
            </w:r>
            <w:r w:rsidR="002E54BA" w:rsidRPr="00F85CA6">
              <w:rPr>
                <w:rFonts w:eastAsia="Calibri"/>
                <w:sz w:val="22"/>
                <w:szCs w:val="22"/>
                <w:lang w:val="sr-Latn-ME" w:bidi="en-US"/>
              </w:rPr>
              <w:t xml:space="preserve"> </w:t>
            </w:r>
            <w:r w:rsidRPr="00F85CA6">
              <w:rPr>
                <w:rFonts w:eastAsia="Calibri"/>
                <w:sz w:val="22"/>
                <w:szCs w:val="22"/>
                <w:lang w:val="sr-Latn-ME" w:bidi="en-US"/>
              </w:rPr>
              <w:t>3</w:t>
            </w:r>
          </w:p>
        </w:tc>
      </w:tr>
      <w:tr w:rsidR="00E74FD6" w:rsidRPr="00F85CA6" w14:paraId="7636F67D" w14:textId="77777777" w:rsidTr="001239C3">
        <w:trPr>
          <w:trHeight w:val="20"/>
          <w:jc w:val="center"/>
        </w:trPr>
        <w:tc>
          <w:tcPr>
            <w:tcW w:w="2122" w:type="pct"/>
            <w:tcBorders>
              <w:top w:val="single" w:sz="4" w:space="0" w:color="auto"/>
              <w:left w:val="single" w:sz="4" w:space="0" w:color="auto"/>
            </w:tcBorders>
            <w:shd w:val="clear" w:color="auto" w:fill="auto"/>
            <w:vAlign w:val="bottom"/>
          </w:tcPr>
          <w:p w14:paraId="6484F669" w14:textId="255CDAC4" w:rsidR="00E74FD6" w:rsidRPr="00F85CA6" w:rsidRDefault="00E74FD6" w:rsidP="00E74FD6">
            <w:pPr>
              <w:jc w:val="both"/>
              <w:rPr>
                <w:rFonts w:eastAsia="Calibri"/>
                <w:sz w:val="22"/>
                <w:szCs w:val="22"/>
                <w:lang w:val="sr-Latn-ME" w:bidi="en-US"/>
              </w:rPr>
            </w:pPr>
            <w:r w:rsidRPr="00F85CA6">
              <w:rPr>
                <w:rFonts w:eastAsia="Calibri"/>
                <w:sz w:val="22"/>
                <w:szCs w:val="22"/>
                <w:lang w:val="sr-Latn-ME" w:bidi="en-US"/>
              </w:rPr>
              <w:t>aPTT [x-puta od gornje granice normalne vr</w:t>
            </w:r>
            <w:r w:rsidR="00083762" w:rsidRPr="00F85CA6">
              <w:rPr>
                <w:rFonts w:eastAsia="Calibri"/>
                <w:sz w:val="22"/>
                <w:szCs w:val="22"/>
                <w:lang w:val="sr-Latn-ME" w:bidi="en-US"/>
              </w:rPr>
              <w:t>ij</w:t>
            </w:r>
            <w:r w:rsidRPr="00F85CA6">
              <w:rPr>
                <w:rFonts w:eastAsia="Calibri"/>
                <w:sz w:val="22"/>
                <w:szCs w:val="22"/>
                <w:lang w:val="sr-Latn-ME" w:bidi="en-US"/>
              </w:rPr>
              <w:t>ednosti]</w:t>
            </w:r>
          </w:p>
        </w:tc>
        <w:tc>
          <w:tcPr>
            <w:tcW w:w="1439" w:type="pct"/>
            <w:tcBorders>
              <w:top w:val="single" w:sz="4" w:space="0" w:color="auto"/>
              <w:left w:val="single" w:sz="4" w:space="0" w:color="auto"/>
            </w:tcBorders>
          </w:tcPr>
          <w:p w14:paraId="5BEE012B" w14:textId="12A583FE" w:rsidR="00E74FD6" w:rsidRPr="00F85CA6" w:rsidRDefault="00E74FD6" w:rsidP="00E74FD6">
            <w:pPr>
              <w:jc w:val="center"/>
              <w:rPr>
                <w:rFonts w:eastAsia="Calibri"/>
                <w:sz w:val="22"/>
                <w:szCs w:val="22"/>
                <w:lang w:val="sr-Latn-ME"/>
              </w:rPr>
            </w:pPr>
            <w:r w:rsidRPr="00F85CA6">
              <w:rPr>
                <w:rFonts w:eastAsia="Calibri"/>
                <w:sz w:val="22"/>
                <w:szCs w:val="22"/>
                <w:lang w:val="sr-Latn-ME"/>
              </w:rPr>
              <w:t>&gt;</w:t>
            </w:r>
            <w:r w:rsidR="002E54BA" w:rsidRPr="00F85CA6">
              <w:rPr>
                <w:rFonts w:eastAsia="Calibri"/>
                <w:sz w:val="22"/>
                <w:szCs w:val="22"/>
                <w:lang w:val="sr-Latn-ME"/>
              </w:rPr>
              <w:t xml:space="preserve"> </w:t>
            </w:r>
            <w:r w:rsidRPr="00F85CA6">
              <w:rPr>
                <w:rFonts w:eastAsia="Calibri"/>
                <w:sz w:val="22"/>
                <w:szCs w:val="22"/>
                <w:lang w:val="sr-Latn-ME"/>
              </w:rPr>
              <w:t>1,3</w:t>
            </w:r>
          </w:p>
        </w:tc>
        <w:tc>
          <w:tcPr>
            <w:tcW w:w="1439" w:type="pct"/>
            <w:tcBorders>
              <w:top w:val="single" w:sz="4" w:space="0" w:color="auto"/>
              <w:left w:val="single" w:sz="4" w:space="0" w:color="auto"/>
              <w:right w:val="single" w:sz="4" w:space="0" w:color="auto"/>
            </w:tcBorders>
            <w:shd w:val="clear" w:color="auto" w:fill="auto"/>
            <w:vAlign w:val="bottom"/>
          </w:tcPr>
          <w:p w14:paraId="54AFC575" w14:textId="539FDF4F" w:rsidR="00E74FD6" w:rsidRPr="00F85CA6" w:rsidRDefault="00E74FD6" w:rsidP="00E74FD6">
            <w:pPr>
              <w:jc w:val="center"/>
              <w:rPr>
                <w:rFonts w:eastAsia="Calibri"/>
                <w:sz w:val="22"/>
                <w:szCs w:val="22"/>
                <w:lang w:val="sr-Latn-ME" w:bidi="en-US"/>
              </w:rPr>
            </w:pPr>
            <w:r w:rsidRPr="00F85CA6">
              <w:rPr>
                <w:rFonts w:eastAsia="Calibri"/>
                <w:sz w:val="22"/>
                <w:szCs w:val="22"/>
                <w:lang w:val="sr-Latn-ME" w:bidi="en-US"/>
              </w:rPr>
              <w:t>&gt;</w:t>
            </w:r>
            <w:r w:rsidR="002E54BA" w:rsidRPr="00F85CA6">
              <w:rPr>
                <w:rFonts w:eastAsia="Calibri"/>
                <w:sz w:val="22"/>
                <w:szCs w:val="22"/>
                <w:lang w:val="sr-Latn-ME" w:bidi="en-US"/>
              </w:rPr>
              <w:t xml:space="preserve"> </w:t>
            </w:r>
            <w:r w:rsidRPr="00F85CA6">
              <w:rPr>
                <w:rFonts w:eastAsia="Calibri"/>
                <w:sz w:val="22"/>
                <w:szCs w:val="22"/>
                <w:lang w:val="sr-Latn-ME" w:bidi="en-US"/>
              </w:rPr>
              <w:t>2</w:t>
            </w:r>
          </w:p>
        </w:tc>
      </w:tr>
      <w:tr w:rsidR="00E74FD6" w:rsidRPr="00F85CA6" w14:paraId="2C7CB70A" w14:textId="77777777" w:rsidTr="001239C3">
        <w:trPr>
          <w:trHeight w:val="20"/>
          <w:jc w:val="center"/>
        </w:trPr>
        <w:tc>
          <w:tcPr>
            <w:tcW w:w="2122" w:type="pct"/>
            <w:tcBorders>
              <w:top w:val="single" w:sz="4" w:space="0" w:color="auto"/>
              <w:left w:val="single" w:sz="4" w:space="0" w:color="auto"/>
              <w:bottom w:val="single" w:sz="4" w:space="0" w:color="auto"/>
            </w:tcBorders>
            <w:shd w:val="clear" w:color="auto" w:fill="auto"/>
            <w:vAlign w:val="bottom"/>
          </w:tcPr>
          <w:p w14:paraId="359B0336" w14:textId="77777777" w:rsidR="00E74FD6" w:rsidRPr="00F85CA6" w:rsidRDefault="00E74FD6" w:rsidP="00E74FD6">
            <w:pPr>
              <w:jc w:val="both"/>
              <w:rPr>
                <w:rFonts w:eastAsia="Calibri"/>
                <w:sz w:val="22"/>
                <w:szCs w:val="22"/>
                <w:lang w:val="sr-Latn-ME" w:bidi="en-US"/>
              </w:rPr>
            </w:pPr>
            <w:r w:rsidRPr="00F85CA6">
              <w:rPr>
                <w:rFonts w:eastAsia="Calibri"/>
                <w:sz w:val="22"/>
                <w:szCs w:val="22"/>
                <w:lang w:val="sr-Latn-ME" w:bidi="en-US"/>
              </w:rPr>
              <w:t>INR</w:t>
            </w:r>
          </w:p>
        </w:tc>
        <w:tc>
          <w:tcPr>
            <w:tcW w:w="1439" w:type="pct"/>
            <w:tcBorders>
              <w:top w:val="single" w:sz="4" w:space="0" w:color="auto"/>
              <w:left w:val="single" w:sz="4" w:space="0" w:color="auto"/>
              <w:bottom w:val="single" w:sz="4" w:space="0" w:color="auto"/>
            </w:tcBorders>
          </w:tcPr>
          <w:p w14:paraId="16D6F461" w14:textId="77777777" w:rsidR="00E74FD6" w:rsidRPr="00F85CA6" w:rsidRDefault="00E74FD6" w:rsidP="00E74FD6">
            <w:pPr>
              <w:jc w:val="center"/>
              <w:rPr>
                <w:rFonts w:eastAsia="Calibri"/>
                <w:sz w:val="22"/>
                <w:szCs w:val="22"/>
                <w:lang w:val="sr-Latn-ME"/>
              </w:rPr>
            </w:pPr>
            <w:r w:rsidRPr="00F85CA6">
              <w:rPr>
                <w:rFonts w:eastAsia="Calibri"/>
                <w:sz w:val="22"/>
                <w:szCs w:val="22"/>
                <w:lang w:val="sr-Latn-ME"/>
              </w:rPr>
              <w:t>ne treba raditi</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bottom"/>
          </w:tcPr>
          <w:p w14:paraId="4F69E4D6" w14:textId="77777777" w:rsidR="00E74FD6" w:rsidRPr="00F85CA6" w:rsidRDefault="00E74FD6" w:rsidP="00E74FD6">
            <w:pPr>
              <w:jc w:val="center"/>
              <w:rPr>
                <w:rFonts w:eastAsia="Calibri"/>
                <w:sz w:val="22"/>
                <w:szCs w:val="22"/>
                <w:lang w:val="sr-Latn-ME" w:bidi="en-US"/>
              </w:rPr>
            </w:pPr>
            <w:r w:rsidRPr="00F85CA6">
              <w:rPr>
                <w:rFonts w:eastAsia="Calibri"/>
                <w:sz w:val="22"/>
                <w:szCs w:val="22"/>
                <w:lang w:val="sr-Latn-ME" w:bidi="en-US"/>
              </w:rPr>
              <w:t>ne treba raditi</w:t>
            </w:r>
          </w:p>
        </w:tc>
      </w:tr>
    </w:tbl>
    <w:p w14:paraId="4786D78B" w14:textId="77777777" w:rsidR="00E74FD6" w:rsidRPr="00F85CA6" w:rsidRDefault="00E74FD6" w:rsidP="00E74FD6">
      <w:pPr>
        <w:jc w:val="both"/>
        <w:rPr>
          <w:rFonts w:eastAsia="Calibri"/>
          <w:sz w:val="22"/>
          <w:szCs w:val="22"/>
          <w:lang w:val="sr-Latn-ME" w:bidi="en-US"/>
        </w:rPr>
      </w:pPr>
    </w:p>
    <w:p w14:paraId="1B07D254" w14:textId="07C19FEF" w:rsidR="00E74FD6" w:rsidRPr="00F85CA6" w:rsidRDefault="00E74FD6" w:rsidP="00E74FD6">
      <w:pPr>
        <w:jc w:val="both"/>
        <w:rPr>
          <w:rFonts w:eastAsia="Calibri"/>
          <w:sz w:val="22"/>
          <w:szCs w:val="22"/>
          <w:u w:val="single"/>
          <w:lang w:val="sr-Latn-ME"/>
        </w:rPr>
      </w:pPr>
      <w:r w:rsidRPr="00F85CA6">
        <w:rPr>
          <w:rFonts w:eastAsia="Calibri"/>
          <w:sz w:val="22"/>
          <w:szCs w:val="22"/>
          <w:u w:val="single"/>
          <w:lang w:val="sr-Latn-ME"/>
        </w:rPr>
        <w:t>Prim</w:t>
      </w:r>
      <w:r w:rsidR="00A42E97" w:rsidRPr="00F85CA6">
        <w:rPr>
          <w:rFonts w:eastAsia="Calibri"/>
          <w:sz w:val="22"/>
          <w:szCs w:val="22"/>
          <w:u w:val="single"/>
          <w:lang w:val="sr-Latn-ME"/>
        </w:rPr>
        <w:t>j</w:t>
      </w:r>
      <w:r w:rsidRPr="00F85CA6">
        <w:rPr>
          <w:rFonts w:eastAsia="Calibri"/>
          <w:sz w:val="22"/>
          <w:szCs w:val="22"/>
          <w:u w:val="single"/>
          <w:lang w:val="sr-Latn-ME"/>
        </w:rPr>
        <w:t>ena fibrinolitičkih l</w:t>
      </w:r>
      <w:r w:rsidR="00A42E97" w:rsidRPr="00F85CA6">
        <w:rPr>
          <w:rFonts w:eastAsia="Calibri"/>
          <w:sz w:val="22"/>
          <w:szCs w:val="22"/>
          <w:u w:val="single"/>
          <w:lang w:val="sr-Latn-ME"/>
        </w:rPr>
        <w:t>j</w:t>
      </w:r>
      <w:r w:rsidRPr="00F85CA6">
        <w:rPr>
          <w:rFonts w:eastAsia="Calibri"/>
          <w:sz w:val="22"/>
          <w:szCs w:val="22"/>
          <w:u w:val="single"/>
          <w:lang w:val="sr-Latn-ME"/>
        </w:rPr>
        <w:t>ekova u terapiji akutnog ishemijskog moždanog udara</w:t>
      </w:r>
    </w:p>
    <w:p w14:paraId="161CAA66" w14:textId="77777777" w:rsidR="00E74FD6" w:rsidRPr="00F85CA6" w:rsidRDefault="00E74FD6" w:rsidP="00E74FD6">
      <w:pPr>
        <w:jc w:val="both"/>
        <w:rPr>
          <w:rFonts w:eastAsia="Calibri"/>
          <w:sz w:val="22"/>
          <w:szCs w:val="22"/>
          <w:u w:val="single"/>
          <w:lang w:val="sr-Latn-ME"/>
        </w:rPr>
      </w:pPr>
    </w:p>
    <w:p w14:paraId="64C1C246" w14:textId="4761B7BF" w:rsidR="00E74FD6" w:rsidRPr="00F85CA6" w:rsidRDefault="00E74FD6" w:rsidP="00E74FD6">
      <w:pPr>
        <w:jc w:val="both"/>
        <w:rPr>
          <w:rFonts w:eastAsia="Calibri"/>
          <w:sz w:val="22"/>
          <w:szCs w:val="22"/>
          <w:lang w:val="sr-Latn-ME"/>
        </w:rPr>
      </w:pPr>
      <w:r w:rsidRPr="00F85CA6">
        <w:rPr>
          <w:rFonts w:eastAsia="Calibri"/>
          <w:sz w:val="22"/>
          <w:szCs w:val="22"/>
          <w:lang w:val="sr-Latn-ME"/>
        </w:rPr>
        <w:t>Prim</w:t>
      </w:r>
      <w:r w:rsidR="00A42E97" w:rsidRPr="00F85CA6">
        <w:rPr>
          <w:rFonts w:eastAsia="Calibri"/>
          <w:sz w:val="22"/>
          <w:szCs w:val="22"/>
          <w:lang w:val="sr-Latn-ME"/>
        </w:rPr>
        <w:t>j</w:t>
      </w:r>
      <w:r w:rsidRPr="00F85CA6">
        <w:rPr>
          <w:rFonts w:eastAsia="Calibri"/>
          <w:sz w:val="22"/>
          <w:szCs w:val="22"/>
          <w:lang w:val="sr-Latn-ME"/>
        </w:rPr>
        <w:t>ena fibrinolitičkih l</w:t>
      </w:r>
      <w:r w:rsidR="00A42E97" w:rsidRPr="00F85CA6">
        <w:rPr>
          <w:rFonts w:eastAsia="Calibri"/>
          <w:sz w:val="22"/>
          <w:szCs w:val="22"/>
          <w:lang w:val="sr-Latn-ME"/>
        </w:rPr>
        <w:t>j</w:t>
      </w:r>
      <w:r w:rsidRPr="00F85CA6">
        <w:rPr>
          <w:rFonts w:eastAsia="Calibri"/>
          <w:sz w:val="22"/>
          <w:szCs w:val="22"/>
          <w:lang w:val="sr-Latn-ME"/>
        </w:rPr>
        <w:t>ekova u terapiji akutnog ishemijskog moždanog udara se može razmotriti kod pacijenata čije vr</w:t>
      </w:r>
      <w:r w:rsidR="00083762" w:rsidRPr="00F85CA6">
        <w:rPr>
          <w:rFonts w:eastAsia="Calibri"/>
          <w:sz w:val="22"/>
          <w:szCs w:val="22"/>
          <w:lang w:val="sr-Latn-ME"/>
        </w:rPr>
        <w:t>ij</w:t>
      </w:r>
      <w:r w:rsidRPr="00F85CA6">
        <w:rPr>
          <w:rFonts w:eastAsia="Calibri"/>
          <w:sz w:val="22"/>
          <w:szCs w:val="22"/>
          <w:lang w:val="sr-Latn-ME"/>
        </w:rPr>
        <w:t xml:space="preserve">ednosti dTT, ECT ili aPTT ne prelaze </w:t>
      </w:r>
      <w:bookmarkStart w:id="10" w:name="_Hlk83034497"/>
      <w:r w:rsidRPr="00F85CA6">
        <w:rPr>
          <w:rFonts w:eastAsia="Calibri"/>
          <w:sz w:val="22"/>
          <w:szCs w:val="22"/>
          <w:lang w:val="sr-Latn-ME"/>
        </w:rPr>
        <w:t>gornju granicu normalne vr</w:t>
      </w:r>
      <w:r w:rsidR="00083762" w:rsidRPr="00F85CA6">
        <w:rPr>
          <w:rFonts w:eastAsia="Calibri"/>
          <w:sz w:val="22"/>
          <w:szCs w:val="22"/>
          <w:lang w:val="sr-Latn-ME"/>
        </w:rPr>
        <w:t>ij</w:t>
      </w:r>
      <w:r w:rsidRPr="00F85CA6">
        <w:rPr>
          <w:rFonts w:eastAsia="Calibri"/>
          <w:sz w:val="22"/>
          <w:szCs w:val="22"/>
          <w:lang w:val="sr-Latn-ME"/>
        </w:rPr>
        <w:t xml:space="preserve">ednosti </w:t>
      </w:r>
      <w:bookmarkEnd w:id="10"/>
      <w:r w:rsidRPr="00F85CA6">
        <w:rPr>
          <w:rFonts w:eastAsia="Calibri"/>
          <w:sz w:val="22"/>
          <w:szCs w:val="22"/>
          <w:lang w:val="sr-Latn-ME"/>
        </w:rPr>
        <w:t>(GGN) prema lokalnim referentnim vr</w:t>
      </w:r>
      <w:r w:rsidR="00A42E97" w:rsidRPr="00F85CA6">
        <w:rPr>
          <w:rFonts w:eastAsia="Calibri"/>
          <w:sz w:val="22"/>
          <w:szCs w:val="22"/>
          <w:lang w:val="sr-Latn-ME"/>
        </w:rPr>
        <w:t>ij</w:t>
      </w:r>
      <w:r w:rsidRPr="00F85CA6">
        <w:rPr>
          <w:rFonts w:eastAsia="Calibri"/>
          <w:sz w:val="22"/>
          <w:szCs w:val="22"/>
          <w:lang w:val="sr-Latn-ME"/>
        </w:rPr>
        <w:t>ednostima.</w:t>
      </w:r>
    </w:p>
    <w:p w14:paraId="7846F29C" w14:textId="77777777" w:rsidR="00E74FD6" w:rsidRPr="00F85CA6" w:rsidRDefault="00E74FD6" w:rsidP="00E74FD6">
      <w:pPr>
        <w:jc w:val="both"/>
        <w:rPr>
          <w:rFonts w:eastAsia="Calibri"/>
          <w:sz w:val="22"/>
          <w:szCs w:val="22"/>
          <w:lang w:val="sr-Latn-ME"/>
        </w:rPr>
      </w:pPr>
    </w:p>
    <w:p w14:paraId="54D63C30" w14:textId="77777777" w:rsidR="00E74FD6" w:rsidRPr="00F85CA6" w:rsidRDefault="00E74FD6" w:rsidP="00E74FD6">
      <w:pPr>
        <w:jc w:val="both"/>
        <w:rPr>
          <w:rFonts w:eastAsia="Calibri"/>
          <w:sz w:val="22"/>
          <w:szCs w:val="22"/>
          <w:u w:val="single"/>
          <w:lang w:val="sr-Latn-ME"/>
        </w:rPr>
      </w:pPr>
      <w:r w:rsidRPr="00F85CA6">
        <w:rPr>
          <w:rFonts w:eastAsia="Calibri"/>
          <w:sz w:val="22"/>
          <w:szCs w:val="22"/>
          <w:u w:val="single"/>
          <w:lang w:val="sr-Latn-ME"/>
        </w:rPr>
        <w:t>Hirurške i druge intervencije</w:t>
      </w:r>
    </w:p>
    <w:p w14:paraId="39CFDE78" w14:textId="77777777" w:rsidR="00E74FD6" w:rsidRPr="00F85CA6" w:rsidRDefault="00E74FD6" w:rsidP="00E74FD6">
      <w:pPr>
        <w:jc w:val="both"/>
        <w:rPr>
          <w:rFonts w:eastAsia="Calibri"/>
          <w:sz w:val="22"/>
          <w:szCs w:val="22"/>
          <w:u w:val="single"/>
          <w:lang w:val="sr-Latn-ME"/>
        </w:rPr>
      </w:pPr>
    </w:p>
    <w:p w14:paraId="7696840C" w14:textId="79184A0D" w:rsidR="00E74FD6" w:rsidRPr="00F85CA6" w:rsidRDefault="00E74FD6" w:rsidP="00E74FD6">
      <w:pPr>
        <w:jc w:val="both"/>
        <w:rPr>
          <w:rFonts w:eastAsia="Calibri"/>
          <w:sz w:val="22"/>
          <w:szCs w:val="22"/>
          <w:lang w:val="sr-Latn-ME"/>
        </w:rPr>
      </w:pPr>
      <w:r w:rsidRPr="00F85CA6">
        <w:rPr>
          <w:rFonts w:eastAsia="Calibri"/>
          <w:sz w:val="22"/>
          <w:szCs w:val="22"/>
          <w:lang w:val="sr-Latn-ME"/>
        </w:rPr>
        <w:t>Pacijenti koji primaju dabigatrine</w:t>
      </w:r>
      <w:r w:rsidR="002E54BA" w:rsidRPr="00F85CA6">
        <w:rPr>
          <w:rFonts w:eastAsia="Calibri"/>
          <w:sz w:val="22"/>
          <w:szCs w:val="22"/>
          <w:lang w:val="sr-Latn-ME"/>
        </w:rPr>
        <w:t xml:space="preserve"> </w:t>
      </w:r>
      <w:r w:rsidRPr="00F85CA6">
        <w:rPr>
          <w:rFonts w:eastAsia="Calibri"/>
          <w:sz w:val="22"/>
          <w:szCs w:val="22"/>
          <w:lang w:val="sr-Latn-ME"/>
        </w:rPr>
        <w:t xml:space="preserve">teksilat i podvrgavaju se hirurškim ili drugim invazivnim postupcima su u povećanom riziku od krvarenja. Zbog toga, hirurške intervencije mogu da iziskuju privremenu obustavu </w:t>
      </w:r>
      <w:r w:rsidR="000A69CA" w:rsidRPr="00F85CA6">
        <w:rPr>
          <w:rFonts w:eastAsia="Calibri"/>
          <w:sz w:val="22"/>
          <w:szCs w:val="22"/>
          <w:lang w:val="sr-Latn-ME"/>
        </w:rPr>
        <w:t xml:space="preserve">primjene </w:t>
      </w:r>
      <w:r w:rsidRPr="00F85CA6">
        <w:rPr>
          <w:rFonts w:eastAsia="Calibri"/>
          <w:sz w:val="22"/>
          <w:szCs w:val="22"/>
          <w:lang w:val="sr-Latn-ME"/>
        </w:rPr>
        <w:t>dabigatrine</w:t>
      </w:r>
      <w:r w:rsidR="000A69CA" w:rsidRPr="00F85CA6">
        <w:rPr>
          <w:rFonts w:eastAsia="Calibri"/>
          <w:sz w:val="22"/>
          <w:szCs w:val="22"/>
          <w:lang w:val="sr-Latn-ME"/>
        </w:rPr>
        <w:t xml:space="preserve"> </w:t>
      </w:r>
      <w:r w:rsidRPr="00F85CA6">
        <w:rPr>
          <w:rFonts w:eastAsia="Calibri"/>
          <w:sz w:val="22"/>
          <w:szCs w:val="22"/>
          <w:lang w:val="sr-Latn-ME"/>
        </w:rPr>
        <w:t>teksilata.</w:t>
      </w:r>
    </w:p>
    <w:p w14:paraId="0754B421" w14:textId="77777777" w:rsidR="00E74FD6" w:rsidRPr="00F85CA6" w:rsidRDefault="00E74FD6" w:rsidP="00E74FD6">
      <w:pPr>
        <w:jc w:val="both"/>
        <w:rPr>
          <w:rFonts w:eastAsia="Calibri"/>
          <w:sz w:val="22"/>
          <w:szCs w:val="22"/>
          <w:lang w:val="sr-Latn-ME"/>
        </w:rPr>
      </w:pPr>
    </w:p>
    <w:p w14:paraId="578EFB87" w14:textId="6E5D5A4F" w:rsidR="00E74FD6" w:rsidRPr="00F85CA6" w:rsidRDefault="00E74FD6" w:rsidP="00E74FD6">
      <w:pPr>
        <w:jc w:val="both"/>
        <w:rPr>
          <w:rFonts w:eastAsia="Calibri"/>
          <w:sz w:val="22"/>
          <w:szCs w:val="22"/>
          <w:lang w:val="sr-Latn-ME"/>
        </w:rPr>
      </w:pPr>
      <w:r w:rsidRPr="00F85CA6">
        <w:rPr>
          <w:rFonts w:eastAsia="Calibri"/>
          <w:sz w:val="22"/>
          <w:szCs w:val="22"/>
          <w:lang w:val="sr-Latn-ME"/>
        </w:rPr>
        <w:t>U slučaju kardioverzije, pacijenti mogu da ostanu na terapiji dabigatrine</w:t>
      </w:r>
      <w:r w:rsidR="000A69CA" w:rsidRPr="00F85CA6">
        <w:rPr>
          <w:rFonts w:eastAsia="Calibri"/>
          <w:sz w:val="22"/>
          <w:szCs w:val="22"/>
          <w:lang w:val="sr-Latn-ME"/>
        </w:rPr>
        <w:t xml:space="preserve"> </w:t>
      </w:r>
      <w:r w:rsidRPr="00F85CA6">
        <w:rPr>
          <w:rFonts w:eastAsia="Calibri"/>
          <w:sz w:val="22"/>
          <w:szCs w:val="22"/>
          <w:lang w:val="sr-Latn-ME"/>
        </w:rPr>
        <w:t>teksilatom. Nema dostupnih podataka za terapiju dabigatrine</w:t>
      </w:r>
      <w:r w:rsidR="000A69CA" w:rsidRPr="00F85CA6">
        <w:rPr>
          <w:rFonts w:eastAsia="Calibri"/>
          <w:sz w:val="22"/>
          <w:szCs w:val="22"/>
          <w:lang w:val="sr-Latn-ME"/>
        </w:rPr>
        <w:t xml:space="preserve"> </w:t>
      </w:r>
      <w:r w:rsidRPr="00F85CA6">
        <w:rPr>
          <w:rFonts w:eastAsia="Calibri"/>
          <w:sz w:val="22"/>
          <w:szCs w:val="22"/>
          <w:lang w:val="sr-Latn-ME"/>
        </w:rPr>
        <w:t>teksilatom 110 mg dva puta dnevno kod pacijenata podvrgnutih kateterskoj ablaciji zbog atrijalne fibrilacije (vid</w:t>
      </w:r>
      <w:r w:rsidR="00BE4B9E" w:rsidRPr="00F85CA6">
        <w:rPr>
          <w:rFonts w:eastAsia="Calibri"/>
          <w:sz w:val="22"/>
          <w:szCs w:val="22"/>
          <w:lang w:val="sr-Latn-ME"/>
        </w:rPr>
        <w:t>j</w:t>
      </w:r>
      <w:r w:rsidRPr="00F85CA6">
        <w:rPr>
          <w:rFonts w:eastAsia="Calibri"/>
          <w:sz w:val="22"/>
          <w:szCs w:val="22"/>
          <w:lang w:val="sr-Latn-ME"/>
        </w:rPr>
        <w:t xml:space="preserve">eti </w:t>
      </w:r>
      <w:r w:rsidR="00BB4A93" w:rsidRPr="00F85CA6">
        <w:rPr>
          <w:rFonts w:eastAsia="Calibri"/>
          <w:sz w:val="22"/>
          <w:szCs w:val="22"/>
          <w:lang w:val="sr-Latn-ME"/>
        </w:rPr>
        <w:t>dio</w:t>
      </w:r>
      <w:r w:rsidRPr="00F85CA6">
        <w:rPr>
          <w:rFonts w:eastAsia="Calibri"/>
          <w:sz w:val="22"/>
          <w:szCs w:val="22"/>
          <w:lang w:val="sr-Latn-ME"/>
        </w:rPr>
        <w:t xml:space="preserve"> 4.2).</w:t>
      </w:r>
    </w:p>
    <w:p w14:paraId="235443F6" w14:textId="77777777" w:rsidR="00E74FD6" w:rsidRPr="00F85CA6" w:rsidRDefault="00E74FD6" w:rsidP="00E74FD6">
      <w:pPr>
        <w:jc w:val="both"/>
        <w:rPr>
          <w:rFonts w:eastAsia="Calibri"/>
          <w:sz w:val="22"/>
          <w:szCs w:val="22"/>
          <w:lang w:val="sr-Latn-ME"/>
        </w:rPr>
      </w:pPr>
    </w:p>
    <w:p w14:paraId="72BFE6A4" w14:textId="0FD90FC4" w:rsidR="00E74FD6" w:rsidRPr="00F85CA6" w:rsidRDefault="00E74FD6" w:rsidP="00E74FD6">
      <w:pPr>
        <w:jc w:val="both"/>
        <w:rPr>
          <w:rFonts w:eastAsia="Calibri"/>
          <w:sz w:val="22"/>
          <w:szCs w:val="22"/>
          <w:lang w:val="sr-Latn-ME"/>
        </w:rPr>
      </w:pPr>
      <w:r w:rsidRPr="00F85CA6">
        <w:rPr>
          <w:rFonts w:eastAsia="Calibri"/>
          <w:sz w:val="22"/>
          <w:szCs w:val="22"/>
          <w:lang w:val="sr-Latn-ME"/>
        </w:rPr>
        <w:t>Kada se terapija privremeno obustavi zbog intervencije, potreban je oprez i opravdano je praćenje antikoagulansa. Kod pacijenata sa bubrežnom insuficijencijom, klirens dabigatrana može da potraje duže (vid</w:t>
      </w:r>
      <w:r w:rsidR="00BE4B9E" w:rsidRPr="00F85CA6">
        <w:rPr>
          <w:rFonts w:eastAsia="Calibri"/>
          <w:sz w:val="22"/>
          <w:szCs w:val="22"/>
          <w:lang w:val="sr-Latn-ME"/>
        </w:rPr>
        <w:t>j</w:t>
      </w:r>
      <w:r w:rsidRPr="00F85CA6">
        <w:rPr>
          <w:rFonts w:eastAsia="Calibri"/>
          <w:sz w:val="22"/>
          <w:szCs w:val="22"/>
          <w:lang w:val="sr-Latn-ME"/>
        </w:rPr>
        <w:t xml:space="preserve">eti </w:t>
      </w:r>
      <w:r w:rsidR="00BB4A93" w:rsidRPr="00F85CA6">
        <w:rPr>
          <w:rFonts w:eastAsia="Calibri"/>
          <w:sz w:val="22"/>
          <w:szCs w:val="22"/>
          <w:lang w:val="sr-Latn-ME"/>
        </w:rPr>
        <w:t>dio</w:t>
      </w:r>
      <w:r w:rsidRPr="00F85CA6">
        <w:rPr>
          <w:rFonts w:eastAsia="Calibri"/>
          <w:sz w:val="22"/>
          <w:szCs w:val="22"/>
          <w:lang w:val="sr-Latn-ME"/>
        </w:rPr>
        <w:t xml:space="preserve"> 5.2). Ovo treba uzeti u obzir pr</w:t>
      </w:r>
      <w:r w:rsidR="00BE4B9E" w:rsidRPr="00F85CA6">
        <w:rPr>
          <w:rFonts w:eastAsia="Calibri"/>
          <w:sz w:val="22"/>
          <w:szCs w:val="22"/>
          <w:lang w:val="sr-Latn-ME"/>
        </w:rPr>
        <w:t>ij</w:t>
      </w:r>
      <w:r w:rsidRPr="00F85CA6">
        <w:rPr>
          <w:rFonts w:eastAsia="Calibri"/>
          <w:sz w:val="22"/>
          <w:szCs w:val="22"/>
          <w:lang w:val="sr-Latn-ME"/>
        </w:rPr>
        <w:t>e svakog postupka. U takvim slučajevima test koagulacije (vid</w:t>
      </w:r>
      <w:r w:rsidR="00BE4B9E" w:rsidRPr="00F85CA6">
        <w:rPr>
          <w:rFonts w:eastAsia="Calibri"/>
          <w:sz w:val="22"/>
          <w:szCs w:val="22"/>
          <w:lang w:val="sr-Latn-ME"/>
        </w:rPr>
        <w:t>j</w:t>
      </w:r>
      <w:r w:rsidRPr="00F85CA6">
        <w:rPr>
          <w:rFonts w:eastAsia="Calibri"/>
          <w:sz w:val="22"/>
          <w:szCs w:val="22"/>
          <w:lang w:val="sr-Latn-ME"/>
        </w:rPr>
        <w:t xml:space="preserve">eti </w:t>
      </w:r>
      <w:r w:rsidR="00BB4A93" w:rsidRPr="00F85CA6">
        <w:rPr>
          <w:rFonts w:eastAsia="Calibri"/>
          <w:sz w:val="22"/>
          <w:szCs w:val="22"/>
          <w:lang w:val="sr-Latn-ME"/>
        </w:rPr>
        <w:t>djelove</w:t>
      </w:r>
      <w:r w:rsidRPr="00F85CA6">
        <w:rPr>
          <w:rFonts w:eastAsia="Calibri"/>
          <w:sz w:val="22"/>
          <w:szCs w:val="22"/>
          <w:lang w:val="sr-Latn-ME"/>
        </w:rPr>
        <w:t xml:space="preserve"> 4.4 i 5.1) može da pomogne da se utvrdi da li je hemostaza i dalje pogoršana.</w:t>
      </w:r>
    </w:p>
    <w:p w14:paraId="47001D36" w14:textId="77777777" w:rsidR="00E74FD6" w:rsidRPr="00F85CA6" w:rsidRDefault="00E74FD6" w:rsidP="00E74FD6">
      <w:pPr>
        <w:jc w:val="both"/>
        <w:rPr>
          <w:rFonts w:eastAsia="Calibri"/>
          <w:sz w:val="22"/>
          <w:szCs w:val="22"/>
          <w:lang w:val="sr-Latn-ME"/>
        </w:rPr>
      </w:pPr>
    </w:p>
    <w:p w14:paraId="6A6D6F5D" w14:textId="77777777" w:rsidR="00E74FD6" w:rsidRPr="00F85CA6" w:rsidRDefault="00E74FD6" w:rsidP="00E74FD6">
      <w:pPr>
        <w:jc w:val="both"/>
        <w:rPr>
          <w:rFonts w:eastAsia="Calibri"/>
          <w:i/>
          <w:iCs/>
          <w:sz w:val="22"/>
          <w:szCs w:val="22"/>
          <w:u w:val="single"/>
          <w:lang w:val="sr-Latn-ME"/>
        </w:rPr>
      </w:pPr>
      <w:r w:rsidRPr="00F85CA6">
        <w:rPr>
          <w:rFonts w:eastAsia="Calibri"/>
          <w:i/>
          <w:iCs/>
          <w:sz w:val="22"/>
          <w:szCs w:val="22"/>
          <w:u w:val="single"/>
          <w:lang w:val="sr-Latn-ME"/>
        </w:rPr>
        <w:t>Hitni hirurški zahvati ili hitni postupci</w:t>
      </w:r>
    </w:p>
    <w:p w14:paraId="03563F52" w14:textId="77777777" w:rsidR="00E74FD6" w:rsidRPr="00F85CA6" w:rsidRDefault="00E74FD6" w:rsidP="00E74FD6">
      <w:pPr>
        <w:jc w:val="both"/>
        <w:rPr>
          <w:rFonts w:eastAsia="Calibri"/>
          <w:i/>
          <w:iCs/>
          <w:sz w:val="22"/>
          <w:szCs w:val="22"/>
          <w:u w:val="single"/>
          <w:lang w:val="sr-Latn-ME"/>
        </w:rPr>
      </w:pPr>
    </w:p>
    <w:p w14:paraId="60054976" w14:textId="504BF214" w:rsidR="000A69CA" w:rsidRPr="00F85CA6" w:rsidRDefault="00E74FD6" w:rsidP="00E74FD6">
      <w:pPr>
        <w:jc w:val="both"/>
        <w:rPr>
          <w:rFonts w:eastAsia="Calibri"/>
          <w:sz w:val="22"/>
          <w:szCs w:val="22"/>
          <w:lang w:val="sr-Latn-ME"/>
        </w:rPr>
      </w:pPr>
      <w:r w:rsidRPr="00F85CA6">
        <w:rPr>
          <w:rFonts w:eastAsia="Calibri"/>
          <w:sz w:val="22"/>
          <w:szCs w:val="22"/>
          <w:lang w:val="sr-Latn-ME"/>
        </w:rPr>
        <w:t>Prim</w:t>
      </w:r>
      <w:r w:rsidR="00BB4A93" w:rsidRPr="00F85CA6">
        <w:rPr>
          <w:rFonts w:eastAsia="Calibri"/>
          <w:sz w:val="22"/>
          <w:szCs w:val="22"/>
          <w:lang w:val="sr-Latn-ME"/>
        </w:rPr>
        <w:t>j</w:t>
      </w:r>
      <w:r w:rsidRPr="00F85CA6">
        <w:rPr>
          <w:rFonts w:eastAsia="Calibri"/>
          <w:sz w:val="22"/>
          <w:szCs w:val="22"/>
          <w:lang w:val="sr-Latn-ME"/>
        </w:rPr>
        <w:t>enu dabigatraneteksilata treba privremeno prekinuti. U slučajevima kada je potrebno brzo poništenje antikoagulantnog dejstva, dostupan je specifičan antagonist za dabigatran (idarucizumab) za odrasle pacijente. Nije ustanovljena efikasnost i bezb</w:t>
      </w:r>
      <w:r w:rsidR="00BE4B9E" w:rsidRPr="00F85CA6">
        <w:rPr>
          <w:rFonts w:eastAsia="Calibri"/>
          <w:sz w:val="22"/>
          <w:szCs w:val="22"/>
          <w:lang w:val="sr-Latn-ME"/>
        </w:rPr>
        <w:t>j</w:t>
      </w:r>
      <w:r w:rsidRPr="00F85CA6">
        <w:rPr>
          <w:rFonts w:eastAsia="Calibri"/>
          <w:sz w:val="22"/>
          <w:szCs w:val="22"/>
          <w:lang w:val="sr-Latn-ME"/>
        </w:rPr>
        <w:t>ednost idarucizuma</w:t>
      </w:r>
      <w:r w:rsidR="00BE4B9E" w:rsidRPr="00F85CA6">
        <w:rPr>
          <w:rFonts w:eastAsia="Calibri"/>
          <w:sz w:val="22"/>
          <w:szCs w:val="22"/>
          <w:lang w:val="sr-Latn-ME"/>
        </w:rPr>
        <w:t>b</w:t>
      </w:r>
      <w:r w:rsidRPr="00F85CA6">
        <w:rPr>
          <w:rFonts w:eastAsia="Calibri"/>
          <w:sz w:val="22"/>
          <w:szCs w:val="22"/>
          <w:lang w:val="sr-Latn-ME"/>
        </w:rPr>
        <w:t xml:space="preserve">a kod pedijatrijskih pacijenata. </w:t>
      </w:r>
    </w:p>
    <w:p w14:paraId="5931A1B4" w14:textId="77777777" w:rsidR="000A69CA" w:rsidRPr="00F85CA6" w:rsidRDefault="000A69CA" w:rsidP="00E74FD6">
      <w:pPr>
        <w:jc w:val="both"/>
        <w:rPr>
          <w:rFonts w:eastAsia="Calibri"/>
          <w:sz w:val="22"/>
          <w:szCs w:val="22"/>
          <w:lang w:val="sr-Latn-ME"/>
        </w:rPr>
      </w:pPr>
    </w:p>
    <w:p w14:paraId="1EC7DBEC" w14:textId="15181D88" w:rsidR="00E74FD6" w:rsidRPr="00F85CA6" w:rsidRDefault="00E74FD6" w:rsidP="00E74FD6">
      <w:pPr>
        <w:jc w:val="both"/>
        <w:rPr>
          <w:rFonts w:eastAsia="Calibri"/>
          <w:sz w:val="22"/>
          <w:szCs w:val="22"/>
          <w:lang w:val="sr-Latn-ME"/>
        </w:rPr>
      </w:pPr>
      <w:r w:rsidRPr="00F85CA6">
        <w:rPr>
          <w:rFonts w:eastAsia="Calibri"/>
          <w:sz w:val="22"/>
          <w:szCs w:val="22"/>
          <w:lang w:val="sr-Latn-ME"/>
        </w:rPr>
        <w:t>Dabigatran se može ukloniti hemodijalizom.</w:t>
      </w:r>
    </w:p>
    <w:p w14:paraId="744CA9DF" w14:textId="77777777" w:rsidR="00E74FD6" w:rsidRPr="00F85CA6" w:rsidRDefault="00E74FD6" w:rsidP="00E74FD6">
      <w:pPr>
        <w:jc w:val="both"/>
        <w:rPr>
          <w:rFonts w:eastAsia="Calibri"/>
          <w:sz w:val="22"/>
          <w:szCs w:val="22"/>
          <w:lang w:val="sr-Latn-ME"/>
        </w:rPr>
      </w:pPr>
    </w:p>
    <w:p w14:paraId="3C1DD89B" w14:textId="26D26183" w:rsidR="00E74FD6" w:rsidRPr="00F85CA6" w:rsidRDefault="00E74FD6" w:rsidP="00E74FD6">
      <w:pPr>
        <w:jc w:val="both"/>
        <w:rPr>
          <w:rFonts w:eastAsia="Calibri"/>
          <w:sz w:val="22"/>
          <w:szCs w:val="22"/>
          <w:lang w:val="sr-Latn-ME"/>
        </w:rPr>
      </w:pPr>
      <w:r w:rsidRPr="00F85CA6">
        <w:rPr>
          <w:rFonts w:eastAsia="Calibri"/>
          <w:sz w:val="22"/>
          <w:szCs w:val="22"/>
          <w:lang w:val="sr-Latn-ME"/>
        </w:rPr>
        <w:t>Poništenje terapije dabigatranom izlaže pacijente riziku od tromboze zbog njihove osnovne bolesti. Terapija dabigatraneteksilatom može se ponovo započeti 24 sata nakon prim</w:t>
      </w:r>
      <w:r w:rsidR="00BB4A93" w:rsidRPr="00F85CA6">
        <w:rPr>
          <w:rFonts w:eastAsia="Calibri"/>
          <w:sz w:val="22"/>
          <w:szCs w:val="22"/>
          <w:lang w:val="sr-Latn-ME"/>
        </w:rPr>
        <w:t>j</w:t>
      </w:r>
      <w:r w:rsidRPr="00F85CA6">
        <w:rPr>
          <w:rFonts w:eastAsia="Calibri"/>
          <w:sz w:val="22"/>
          <w:szCs w:val="22"/>
          <w:lang w:val="sr-Latn-ME"/>
        </w:rPr>
        <w:t>ene idarucizumaba, ako je pacijent klinički stabilan i ako je postignuta odgovarajuća hemostaza.</w:t>
      </w:r>
    </w:p>
    <w:p w14:paraId="600B913E" w14:textId="77777777" w:rsidR="00E74FD6" w:rsidRPr="00F85CA6" w:rsidRDefault="00E74FD6" w:rsidP="00E74FD6">
      <w:pPr>
        <w:jc w:val="both"/>
        <w:rPr>
          <w:rFonts w:eastAsia="Calibri"/>
          <w:sz w:val="22"/>
          <w:szCs w:val="22"/>
          <w:u w:val="single"/>
          <w:lang w:val="sr-Latn-ME" w:bidi="en-US"/>
        </w:rPr>
      </w:pPr>
    </w:p>
    <w:p w14:paraId="36CFD6AF" w14:textId="77777777" w:rsidR="00E74FD6" w:rsidRPr="00F85CA6" w:rsidRDefault="00E74FD6" w:rsidP="00E74FD6">
      <w:pPr>
        <w:jc w:val="both"/>
        <w:rPr>
          <w:rFonts w:eastAsia="Calibri"/>
          <w:i/>
          <w:iCs/>
          <w:sz w:val="22"/>
          <w:szCs w:val="22"/>
          <w:u w:val="single"/>
          <w:lang w:val="sr-Latn-ME" w:bidi="en-US"/>
        </w:rPr>
      </w:pPr>
      <w:r w:rsidRPr="00F85CA6">
        <w:rPr>
          <w:rFonts w:eastAsia="Calibri"/>
          <w:i/>
          <w:iCs/>
          <w:sz w:val="22"/>
          <w:szCs w:val="22"/>
          <w:u w:val="single"/>
          <w:lang w:val="sr-Latn-ME" w:bidi="en-US"/>
        </w:rPr>
        <w:t>Subakutni hirurški zahvati/intervencije</w:t>
      </w:r>
    </w:p>
    <w:p w14:paraId="5E6BC546" w14:textId="77777777" w:rsidR="00E74FD6" w:rsidRPr="00F85CA6" w:rsidRDefault="00E74FD6" w:rsidP="00E74FD6">
      <w:pPr>
        <w:jc w:val="both"/>
        <w:rPr>
          <w:rFonts w:eastAsia="Calibri"/>
          <w:i/>
          <w:iCs/>
          <w:sz w:val="22"/>
          <w:szCs w:val="22"/>
          <w:u w:val="single"/>
          <w:lang w:val="sr-Latn-ME" w:bidi="en-US"/>
        </w:rPr>
      </w:pPr>
    </w:p>
    <w:p w14:paraId="677BF621" w14:textId="79A362D0" w:rsidR="00E74FD6" w:rsidRPr="00F85CA6" w:rsidRDefault="00E74FD6" w:rsidP="00E74FD6">
      <w:pPr>
        <w:jc w:val="both"/>
        <w:rPr>
          <w:rFonts w:eastAsia="Calibri"/>
          <w:sz w:val="22"/>
          <w:szCs w:val="22"/>
          <w:lang w:val="sr-Latn-ME"/>
        </w:rPr>
      </w:pPr>
      <w:r w:rsidRPr="00F85CA6">
        <w:rPr>
          <w:rFonts w:eastAsia="Calibri"/>
          <w:sz w:val="22"/>
          <w:szCs w:val="22"/>
          <w:lang w:val="sr-Latn-ME"/>
        </w:rPr>
        <w:t>Prim</w:t>
      </w:r>
      <w:r w:rsidR="00B22B4F" w:rsidRPr="00F85CA6">
        <w:rPr>
          <w:rFonts w:eastAsia="Calibri"/>
          <w:sz w:val="22"/>
          <w:szCs w:val="22"/>
          <w:lang w:val="sr-Latn-ME"/>
        </w:rPr>
        <w:t>j</w:t>
      </w:r>
      <w:r w:rsidRPr="00F85CA6">
        <w:rPr>
          <w:rFonts w:eastAsia="Calibri"/>
          <w:sz w:val="22"/>
          <w:szCs w:val="22"/>
          <w:lang w:val="sr-Latn-ME"/>
        </w:rPr>
        <w:t>enu dabigatraneteksilata potrebno je privremeno prekinuti. Hirurški zahvat/intervenciju je potrebno, ako je moguće, odložiti za najmanje 12 sati nakon posl</w:t>
      </w:r>
      <w:r w:rsidR="00637A06" w:rsidRPr="00F85CA6">
        <w:rPr>
          <w:rFonts w:eastAsia="Calibri"/>
          <w:sz w:val="22"/>
          <w:szCs w:val="22"/>
          <w:lang w:val="sr-Latn-ME"/>
        </w:rPr>
        <w:t>j</w:t>
      </w:r>
      <w:r w:rsidRPr="00F85CA6">
        <w:rPr>
          <w:rFonts w:eastAsia="Calibri"/>
          <w:sz w:val="22"/>
          <w:szCs w:val="22"/>
          <w:lang w:val="sr-Latn-ME"/>
        </w:rPr>
        <w:t>ednje doze. Ako se hirurški zahvat ne može odložiti, rizik od krvarenja se može povećati. Potrebno je proc</w:t>
      </w:r>
      <w:r w:rsidR="000A69CA" w:rsidRPr="00F85CA6">
        <w:rPr>
          <w:rFonts w:eastAsia="Calibri"/>
          <w:sz w:val="22"/>
          <w:szCs w:val="22"/>
          <w:lang w:val="sr-Latn-ME"/>
        </w:rPr>
        <w:t>i</w:t>
      </w:r>
      <w:r w:rsidR="00B22B4F" w:rsidRPr="00F85CA6">
        <w:rPr>
          <w:rFonts w:eastAsia="Calibri"/>
          <w:sz w:val="22"/>
          <w:szCs w:val="22"/>
          <w:lang w:val="sr-Latn-ME"/>
        </w:rPr>
        <w:t>j</w:t>
      </w:r>
      <w:r w:rsidRPr="00F85CA6">
        <w:rPr>
          <w:rFonts w:eastAsia="Calibri"/>
          <w:sz w:val="22"/>
          <w:szCs w:val="22"/>
          <w:lang w:val="sr-Latn-ME"/>
        </w:rPr>
        <w:t>eniti rizik od krvarenja u odnosu na hitnost intervencije.</w:t>
      </w:r>
    </w:p>
    <w:p w14:paraId="199E38D1" w14:textId="77777777" w:rsidR="00E74FD6" w:rsidRPr="00F85CA6" w:rsidRDefault="00E74FD6" w:rsidP="00E74FD6">
      <w:pPr>
        <w:jc w:val="both"/>
        <w:rPr>
          <w:rFonts w:eastAsia="Calibri"/>
          <w:i/>
          <w:sz w:val="22"/>
          <w:szCs w:val="22"/>
          <w:lang w:val="sr-Latn-ME"/>
        </w:rPr>
      </w:pPr>
    </w:p>
    <w:p w14:paraId="65F661D2" w14:textId="77777777" w:rsidR="00E74FD6" w:rsidRPr="00F85CA6" w:rsidRDefault="00E74FD6" w:rsidP="00E74FD6">
      <w:pPr>
        <w:jc w:val="both"/>
        <w:rPr>
          <w:rFonts w:eastAsia="Calibri"/>
          <w:i/>
          <w:iCs/>
          <w:sz w:val="22"/>
          <w:szCs w:val="22"/>
          <w:u w:val="single"/>
          <w:lang w:val="sr-Latn-ME"/>
        </w:rPr>
      </w:pPr>
      <w:r w:rsidRPr="00F85CA6">
        <w:rPr>
          <w:rFonts w:eastAsia="Calibri"/>
          <w:i/>
          <w:iCs/>
          <w:sz w:val="22"/>
          <w:szCs w:val="22"/>
          <w:u w:val="single"/>
          <w:lang w:val="sr-Latn-ME"/>
        </w:rPr>
        <w:t>Elektivni hirurški zahvati</w:t>
      </w:r>
    </w:p>
    <w:p w14:paraId="3813A276" w14:textId="77777777" w:rsidR="00E74FD6" w:rsidRPr="00F85CA6" w:rsidRDefault="00E74FD6" w:rsidP="00E74FD6">
      <w:pPr>
        <w:jc w:val="both"/>
        <w:rPr>
          <w:rFonts w:eastAsia="Calibri"/>
          <w:i/>
          <w:iCs/>
          <w:sz w:val="22"/>
          <w:szCs w:val="22"/>
          <w:u w:val="single"/>
          <w:lang w:val="sr-Latn-ME"/>
        </w:rPr>
      </w:pPr>
    </w:p>
    <w:p w14:paraId="644C554B" w14:textId="38D054F5" w:rsidR="00E74FD6" w:rsidRPr="00F85CA6" w:rsidRDefault="00E74FD6" w:rsidP="00E74FD6">
      <w:pPr>
        <w:jc w:val="both"/>
        <w:rPr>
          <w:rFonts w:eastAsia="Calibri"/>
          <w:sz w:val="22"/>
          <w:szCs w:val="22"/>
          <w:lang w:val="sr-Latn-ME"/>
        </w:rPr>
      </w:pPr>
      <w:r w:rsidRPr="00F85CA6">
        <w:rPr>
          <w:rFonts w:eastAsia="Calibri"/>
          <w:sz w:val="22"/>
          <w:szCs w:val="22"/>
          <w:lang w:val="sr-Latn-ME"/>
        </w:rPr>
        <w:t>Ako je moguće, prim</w:t>
      </w:r>
      <w:r w:rsidR="00B22B4F" w:rsidRPr="00F85CA6">
        <w:rPr>
          <w:rFonts w:eastAsia="Calibri"/>
          <w:sz w:val="22"/>
          <w:szCs w:val="22"/>
          <w:lang w:val="sr-Latn-ME"/>
        </w:rPr>
        <w:t>j</w:t>
      </w:r>
      <w:r w:rsidRPr="00F85CA6">
        <w:rPr>
          <w:rFonts w:eastAsia="Calibri"/>
          <w:sz w:val="22"/>
          <w:szCs w:val="22"/>
          <w:lang w:val="sr-Latn-ME"/>
        </w:rPr>
        <w:t>enu dabigatraneteksilata je potrebno prekinuti najmanje 24 sata pr</w:t>
      </w:r>
      <w:r w:rsidR="00B22B4F" w:rsidRPr="00F85CA6">
        <w:rPr>
          <w:rFonts w:eastAsia="Calibri"/>
          <w:sz w:val="22"/>
          <w:szCs w:val="22"/>
          <w:lang w:val="sr-Latn-ME"/>
        </w:rPr>
        <w:t>ij</w:t>
      </w:r>
      <w:r w:rsidRPr="00F85CA6">
        <w:rPr>
          <w:rFonts w:eastAsia="Calibri"/>
          <w:sz w:val="22"/>
          <w:szCs w:val="22"/>
          <w:lang w:val="sr-Latn-ME"/>
        </w:rPr>
        <w:t>e invazivnih ili hirurških postupaka. Kod pacijenata sa povećanim rizikom od krvarenja ili u slučaju velikog hirurškog zahvata u kome može biti potrebna potpuna hemostaza, razmotriti prekid prim</w:t>
      </w:r>
      <w:r w:rsidR="00B22B4F" w:rsidRPr="00F85CA6">
        <w:rPr>
          <w:rFonts w:eastAsia="Calibri"/>
          <w:sz w:val="22"/>
          <w:szCs w:val="22"/>
          <w:lang w:val="sr-Latn-ME"/>
        </w:rPr>
        <w:t>j</w:t>
      </w:r>
      <w:r w:rsidRPr="00F85CA6">
        <w:rPr>
          <w:rFonts w:eastAsia="Calibri"/>
          <w:sz w:val="22"/>
          <w:szCs w:val="22"/>
          <w:lang w:val="sr-Latn-ME"/>
        </w:rPr>
        <w:t>ene dabigatrine</w:t>
      </w:r>
      <w:r w:rsidR="000A69CA" w:rsidRPr="00F85CA6">
        <w:rPr>
          <w:rFonts w:eastAsia="Calibri"/>
          <w:sz w:val="22"/>
          <w:szCs w:val="22"/>
          <w:lang w:val="sr-Latn-ME"/>
        </w:rPr>
        <w:t xml:space="preserve"> </w:t>
      </w:r>
      <w:r w:rsidRPr="00F85CA6">
        <w:rPr>
          <w:rFonts w:eastAsia="Calibri"/>
          <w:sz w:val="22"/>
          <w:szCs w:val="22"/>
          <w:lang w:val="sr-Latn-ME"/>
        </w:rPr>
        <w:t>teksilata 2-4 dana pr</w:t>
      </w:r>
      <w:r w:rsidR="00B22B4F" w:rsidRPr="00F85CA6">
        <w:rPr>
          <w:rFonts w:eastAsia="Calibri"/>
          <w:sz w:val="22"/>
          <w:szCs w:val="22"/>
          <w:lang w:val="sr-Latn-ME"/>
        </w:rPr>
        <w:t>ij</w:t>
      </w:r>
      <w:r w:rsidRPr="00F85CA6">
        <w:rPr>
          <w:rFonts w:eastAsia="Calibri"/>
          <w:sz w:val="22"/>
          <w:szCs w:val="22"/>
          <w:lang w:val="sr-Latn-ME"/>
        </w:rPr>
        <w:t xml:space="preserve">e hirurškog zahvata. </w:t>
      </w:r>
    </w:p>
    <w:p w14:paraId="5F710293" w14:textId="77777777" w:rsidR="00E74FD6" w:rsidRPr="00F85CA6" w:rsidRDefault="00E74FD6" w:rsidP="00E74FD6">
      <w:pPr>
        <w:jc w:val="both"/>
        <w:rPr>
          <w:rFonts w:eastAsia="Calibri"/>
          <w:i/>
          <w:sz w:val="22"/>
          <w:szCs w:val="22"/>
          <w:lang w:val="sr-Latn-ME"/>
        </w:rPr>
      </w:pPr>
    </w:p>
    <w:p w14:paraId="0D7CA390" w14:textId="235149D2" w:rsidR="00E74FD6" w:rsidRPr="00F85CA6" w:rsidRDefault="00E74FD6" w:rsidP="00E74FD6">
      <w:pPr>
        <w:jc w:val="both"/>
        <w:rPr>
          <w:rFonts w:eastAsia="Calibri"/>
          <w:sz w:val="22"/>
          <w:szCs w:val="22"/>
          <w:lang w:val="sr-Latn-ME"/>
        </w:rPr>
      </w:pPr>
      <w:r w:rsidRPr="00F85CA6">
        <w:rPr>
          <w:rFonts w:eastAsia="Calibri"/>
          <w:sz w:val="22"/>
          <w:szCs w:val="22"/>
          <w:lang w:val="sr-Latn-ME"/>
        </w:rPr>
        <w:t>U tabeli 7 su sažeta pravila za prekid terapije pr</w:t>
      </w:r>
      <w:r w:rsidR="00B22B4F" w:rsidRPr="00F85CA6">
        <w:rPr>
          <w:rFonts w:eastAsia="Calibri"/>
          <w:sz w:val="22"/>
          <w:szCs w:val="22"/>
          <w:lang w:val="sr-Latn-ME"/>
        </w:rPr>
        <w:t>ij</w:t>
      </w:r>
      <w:r w:rsidRPr="00F85CA6">
        <w:rPr>
          <w:rFonts w:eastAsia="Calibri"/>
          <w:sz w:val="22"/>
          <w:szCs w:val="22"/>
          <w:lang w:val="sr-Latn-ME"/>
        </w:rPr>
        <w:t>e invazivnih ili hirurških postupaka kod odraslih pacijenata.</w:t>
      </w:r>
    </w:p>
    <w:p w14:paraId="019B7CD8" w14:textId="77777777" w:rsidR="00E74FD6" w:rsidRPr="00F85CA6" w:rsidRDefault="00E74FD6" w:rsidP="00E74FD6">
      <w:pPr>
        <w:jc w:val="both"/>
        <w:rPr>
          <w:rFonts w:eastAsia="Calibri"/>
          <w:sz w:val="22"/>
          <w:szCs w:val="22"/>
          <w:lang w:val="sr-Latn-ME"/>
        </w:rPr>
      </w:pPr>
    </w:p>
    <w:p w14:paraId="4511206B" w14:textId="3F490A1D" w:rsidR="00E74FD6" w:rsidRPr="00F85CA6" w:rsidRDefault="00E74FD6" w:rsidP="00685312">
      <w:pPr>
        <w:jc w:val="center"/>
        <w:rPr>
          <w:rFonts w:eastAsia="Calibri"/>
          <w:b/>
          <w:bCs/>
          <w:sz w:val="22"/>
          <w:szCs w:val="22"/>
          <w:lang w:val="sr-Latn-ME" w:bidi="en-US"/>
        </w:rPr>
      </w:pPr>
      <w:r w:rsidRPr="00F85CA6">
        <w:rPr>
          <w:rFonts w:eastAsia="Calibri"/>
          <w:b/>
          <w:bCs/>
          <w:sz w:val="22"/>
          <w:szCs w:val="22"/>
          <w:lang w:val="sr-Latn-ME" w:bidi="en-US"/>
        </w:rPr>
        <w:t>Tabela 7: Pravila za prekid terapije pr</w:t>
      </w:r>
      <w:r w:rsidR="00B22B4F" w:rsidRPr="00F85CA6">
        <w:rPr>
          <w:rFonts w:eastAsia="Calibri"/>
          <w:b/>
          <w:bCs/>
          <w:sz w:val="22"/>
          <w:szCs w:val="22"/>
          <w:lang w:val="sr-Latn-ME" w:bidi="en-US"/>
        </w:rPr>
        <w:t>ij</w:t>
      </w:r>
      <w:r w:rsidRPr="00F85CA6">
        <w:rPr>
          <w:rFonts w:eastAsia="Calibri"/>
          <w:b/>
          <w:bCs/>
          <w:sz w:val="22"/>
          <w:szCs w:val="22"/>
          <w:lang w:val="sr-Latn-ME" w:bidi="en-US"/>
        </w:rPr>
        <w:t>e invazivnih ili hirurških postupaka kod odraslih pacijenata</w:t>
      </w:r>
    </w:p>
    <w:p w14:paraId="3D157A52" w14:textId="77777777" w:rsidR="00E74FD6" w:rsidRPr="00F85CA6" w:rsidRDefault="00E74FD6" w:rsidP="00E74FD6">
      <w:pPr>
        <w:jc w:val="both"/>
        <w:rPr>
          <w:rFonts w:eastAsia="Calibri"/>
          <w:b/>
          <w:bCs/>
          <w:sz w:val="22"/>
          <w:szCs w:val="22"/>
          <w:lang w:val="sr-Latn-ME" w:bidi="en-US"/>
        </w:rPr>
      </w:pPr>
    </w:p>
    <w:tbl>
      <w:tblPr>
        <w:tblOverlap w:val="never"/>
        <w:tblW w:w="5000" w:type="pct"/>
        <w:jc w:val="center"/>
        <w:tblCellMar>
          <w:left w:w="85" w:type="dxa"/>
          <w:right w:w="85" w:type="dxa"/>
        </w:tblCellMar>
        <w:tblLook w:val="04A0" w:firstRow="1" w:lastRow="0" w:firstColumn="1" w:lastColumn="0" w:noHBand="0" w:noVBand="1"/>
      </w:tblPr>
      <w:tblGrid>
        <w:gridCol w:w="1589"/>
        <w:gridCol w:w="1862"/>
        <w:gridCol w:w="2824"/>
        <w:gridCol w:w="2788"/>
      </w:tblGrid>
      <w:tr w:rsidR="00E74FD6" w:rsidRPr="00F85CA6" w14:paraId="7A7EB4B8" w14:textId="77777777" w:rsidTr="001239C3">
        <w:trPr>
          <w:trHeight w:val="20"/>
          <w:jc w:val="center"/>
        </w:trPr>
        <w:tc>
          <w:tcPr>
            <w:tcW w:w="877" w:type="pct"/>
            <w:vMerge w:val="restart"/>
            <w:tcBorders>
              <w:top w:val="single" w:sz="4" w:space="0" w:color="auto"/>
              <w:left w:val="single" w:sz="4" w:space="0" w:color="auto"/>
            </w:tcBorders>
            <w:shd w:val="clear" w:color="auto" w:fill="auto"/>
            <w:vAlign w:val="center"/>
          </w:tcPr>
          <w:p w14:paraId="7C026BBC" w14:textId="5C4021E0" w:rsidR="00E74FD6" w:rsidRPr="00F85CA6" w:rsidRDefault="00E74FD6" w:rsidP="00E74FD6">
            <w:pPr>
              <w:rPr>
                <w:rFonts w:eastAsia="Calibri"/>
                <w:sz w:val="22"/>
                <w:szCs w:val="22"/>
                <w:lang w:val="sr-Latn-ME" w:bidi="en-US"/>
              </w:rPr>
            </w:pPr>
            <w:r w:rsidRPr="00F85CA6">
              <w:rPr>
                <w:rFonts w:eastAsia="Calibri"/>
                <w:sz w:val="22"/>
                <w:szCs w:val="22"/>
                <w:lang w:val="sr-Latn-ME" w:bidi="en-US"/>
              </w:rPr>
              <w:t>Funkcija bubrega (CrCL u m</w:t>
            </w:r>
            <w:r w:rsidR="000A69CA" w:rsidRPr="00F85CA6">
              <w:rPr>
                <w:rFonts w:eastAsia="Calibri"/>
                <w:sz w:val="22"/>
                <w:szCs w:val="22"/>
                <w:lang w:val="sr-Latn-ME" w:bidi="en-US"/>
              </w:rPr>
              <w:t>l</w:t>
            </w:r>
            <w:r w:rsidRPr="00F85CA6">
              <w:rPr>
                <w:rFonts w:eastAsia="Calibri"/>
                <w:sz w:val="22"/>
                <w:szCs w:val="22"/>
                <w:lang w:val="sr-Latn-ME" w:bidi="en-US"/>
              </w:rPr>
              <w:t>/min)</w:t>
            </w:r>
          </w:p>
        </w:tc>
        <w:tc>
          <w:tcPr>
            <w:tcW w:w="1027" w:type="pct"/>
            <w:vMerge w:val="restart"/>
            <w:tcBorders>
              <w:top w:val="single" w:sz="4" w:space="0" w:color="auto"/>
              <w:left w:val="single" w:sz="4" w:space="0" w:color="auto"/>
            </w:tcBorders>
            <w:shd w:val="clear" w:color="auto" w:fill="auto"/>
            <w:vAlign w:val="center"/>
          </w:tcPr>
          <w:p w14:paraId="03EC043C" w14:textId="1526B1B4" w:rsidR="00E74FD6" w:rsidRPr="00F85CA6" w:rsidRDefault="00E74FD6" w:rsidP="00E74FD6">
            <w:pPr>
              <w:rPr>
                <w:rFonts w:eastAsia="Calibri"/>
                <w:sz w:val="22"/>
                <w:szCs w:val="22"/>
                <w:lang w:val="sr-Latn-ME" w:bidi="en-US"/>
              </w:rPr>
            </w:pPr>
            <w:r w:rsidRPr="00F85CA6">
              <w:rPr>
                <w:rFonts w:eastAsia="Calibri"/>
                <w:sz w:val="22"/>
                <w:szCs w:val="22"/>
                <w:lang w:val="sr-Latn-ME" w:bidi="en-US"/>
              </w:rPr>
              <w:t>Proc</w:t>
            </w:r>
            <w:r w:rsidR="00D26851" w:rsidRPr="00F85CA6">
              <w:rPr>
                <w:rFonts w:eastAsia="Calibri"/>
                <w:sz w:val="22"/>
                <w:szCs w:val="22"/>
                <w:lang w:val="sr-Latn-ME" w:bidi="en-US"/>
              </w:rPr>
              <w:t>i</w:t>
            </w:r>
            <w:r w:rsidR="00B22B4F" w:rsidRPr="00F85CA6">
              <w:rPr>
                <w:rFonts w:eastAsia="Calibri"/>
                <w:sz w:val="22"/>
                <w:szCs w:val="22"/>
                <w:lang w:val="sr-Latn-ME" w:bidi="en-US"/>
              </w:rPr>
              <w:t>j</w:t>
            </w:r>
            <w:r w:rsidRPr="00F85CA6">
              <w:rPr>
                <w:rFonts w:eastAsia="Calibri"/>
                <w:sz w:val="22"/>
                <w:szCs w:val="22"/>
                <w:lang w:val="sr-Latn-ME" w:bidi="en-US"/>
              </w:rPr>
              <w:t>enjeno poluvr</w:t>
            </w:r>
            <w:r w:rsidR="00B22B4F" w:rsidRPr="00F85CA6">
              <w:rPr>
                <w:rFonts w:eastAsia="Calibri"/>
                <w:sz w:val="22"/>
                <w:szCs w:val="22"/>
                <w:lang w:val="sr-Latn-ME" w:bidi="en-US"/>
              </w:rPr>
              <w:t>ij</w:t>
            </w:r>
            <w:r w:rsidRPr="00F85CA6">
              <w:rPr>
                <w:rFonts w:eastAsia="Calibri"/>
                <w:sz w:val="22"/>
                <w:szCs w:val="22"/>
                <w:lang w:val="sr-Latn-ME" w:bidi="en-US"/>
              </w:rPr>
              <w:t>eme eliminacije (sati)</w:t>
            </w:r>
          </w:p>
        </w:tc>
        <w:tc>
          <w:tcPr>
            <w:tcW w:w="3096" w:type="pct"/>
            <w:gridSpan w:val="2"/>
            <w:tcBorders>
              <w:top w:val="single" w:sz="4" w:space="0" w:color="auto"/>
              <w:left w:val="single" w:sz="4" w:space="0" w:color="auto"/>
              <w:right w:val="single" w:sz="4" w:space="0" w:color="auto"/>
            </w:tcBorders>
            <w:shd w:val="clear" w:color="auto" w:fill="auto"/>
            <w:vAlign w:val="center"/>
          </w:tcPr>
          <w:p w14:paraId="106B2BDF" w14:textId="2D89202A" w:rsidR="00E74FD6" w:rsidRPr="00F85CA6" w:rsidRDefault="00E74FD6" w:rsidP="00E74FD6">
            <w:pPr>
              <w:jc w:val="center"/>
              <w:rPr>
                <w:rFonts w:eastAsia="Calibri"/>
                <w:sz w:val="22"/>
                <w:szCs w:val="22"/>
                <w:lang w:val="sr-Latn-ME" w:bidi="en-US"/>
              </w:rPr>
            </w:pPr>
            <w:r w:rsidRPr="00F85CA6">
              <w:rPr>
                <w:rFonts w:eastAsia="Calibri"/>
                <w:sz w:val="22"/>
                <w:szCs w:val="22"/>
                <w:lang w:val="sr-Latn-ME" w:bidi="en-US"/>
              </w:rPr>
              <w:t>Prim</w:t>
            </w:r>
            <w:r w:rsidR="00B22B4F" w:rsidRPr="00F85CA6">
              <w:rPr>
                <w:rFonts w:eastAsia="Calibri"/>
                <w:sz w:val="22"/>
                <w:szCs w:val="22"/>
                <w:lang w:val="sr-Latn-ME" w:bidi="en-US"/>
              </w:rPr>
              <w:t>j</w:t>
            </w:r>
            <w:r w:rsidRPr="00F85CA6">
              <w:rPr>
                <w:rFonts w:eastAsia="Calibri"/>
                <w:sz w:val="22"/>
                <w:szCs w:val="22"/>
                <w:lang w:val="sr-Latn-ME" w:bidi="en-US"/>
              </w:rPr>
              <w:t>enu dabigatraneteksilata treba prekinuti pr</w:t>
            </w:r>
            <w:r w:rsidR="00B22B4F" w:rsidRPr="00F85CA6">
              <w:rPr>
                <w:rFonts w:eastAsia="Calibri"/>
                <w:sz w:val="22"/>
                <w:szCs w:val="22"/>
                <w:lang w:val="sr-Latn-ME" w:bidi="en-US"/>
              </w:rPr>
              <w:t>ij</w:t>
            </w:r>
            <w:r w:rsidRPr="00F85CA6">
              <w:rPr>
                <w:rFonts w:eastAsia="Calibri"/>
                <w:sz w:val="22"/>
                <w:szCs w:val="22"/>
                <w:lang w:val="sr-Latn-ME" w:bidi="en-US"/>
              </w:rPr>
              <w:t>e elektivnog hirurškog zahvata</w:t>
            </w:r>
          </w:p>
        </w:tc>
      </w:tr>
      <w:tr w:rsidR="00E74FD6" w:rsidRPr="00F85CA6" w14:paraId="4C5EF843" w14:textId="77777777" w:rsidTr="001239C3">
        <w:trPr>
          <w:trHeight w:val="20"/>
          <w:jc w:val="center"/>
        </w:trPr>
        <w:tc>
          <w:tcPr>
            <w:tcW w:w="877" w:type="pct"/>
            <w:vMerge/>
            <w:tcBorders>
              <w:left w:val="single" w:sz="4" w:space="0" w:color="auto"/>
            </w:tcBorders>
            <w:shd w:val="clear" w:color="auto" w:fill="auto"/>
            <w:vAlign w:val="center"/>
          </w:tcPr>
          <w:p w14:paraId="69E7E536" w14:textId="77777777" w:rsidR="00E74FD6" w:rsidRPr="00F85CA6" w:rsidRDefault="00E74FD6" w:rsidP="00E74FD6">
            <w:pPr>
              <w:jc w:val="center"/>
              <w:rPr>
                <w:rFonts w:eastAsia="Calibri"/>
                <w:sz w:val="22"/>
                <w:szCs w:val="22"/>
                <w:lang w:val="sr-Latn-ME" w:bidi="en-US"/>
              </w:rPr>
            </w:pPr>
          </w:p>
        </w:tc>
        <w:tc>
          <w:tcPr>
            <w:tcW w:w="1027" w:type="pct"/>
            <w:vMerge/>
            <w:tcBorders>
              <w:left w:val="single" w:sz="4" w:space="0" w:color="auto"/>
            </w:tcBorders>
            <w:shd w:val="clear" w:color="auto" w:fill="auto"/>
            <w:vAlign w:val="center"/>
          </w:tcPr>
          <w:p w14:paraId="005137E4" w14:textId="77777777" w:rsidR="00E74FD6" w:rsidRPr="00F85CA6" w:rsidRDefault="00E74FD6" w:rsidP="00E74FD6">
            <w:pPr>
              <w:jc w:val="center"/>
              <w:rPr>
                <w:rFonts w:eastAsia="Calibri"/>
                <w:sz w:val="22"/>
                <w:szCs w:val="22"/>
                <w:lang w:val="sr-Latn-ME" w:bidi="en-US"/>
              </w:rPr>
            </w:pPr>
          </w:p>
        </w:tc>
        <w:tc>
          <w:tcPr>
            <w:tcW w:w="1558" w:type="pct"/>
            <w:tcBorders>
              <w:top w:val="single" w:sz="4" w:space="0" w:color="auto"/>
              <w:left w:val="single" w:sz="4" w:space="0" w:color="auto"/>
            </w:tcBorders>
            <w:shd w:val="clear" w:color="auto" w:fill="auto"/>
            <w:vAlign w:val="center"/>
          </w:tcPr>
          <w:p w14:paraId="46D9CF30" w14:textId="77777777" w:rsidR="00E74FD6" w:rsidRPr="00F85CA6" w:rsidRDefault="00E74FD6" w:rsidP="00E74FD6">
            <w:pPr>
              <w:jc w:val="center"/>
              <w:rPr>
                <w:rFonts w:eastAsia="Calibri"/>
                <w:sz w:val="22"/>
                <w:szCs w:val="22"/>
                <w:lang w:val="sr-Latn-ME" w:bidi="en-US"/>
              </w:rPr>
            </w:pPr>
            <w:r w:rsidRPr="00F85CA6">
              <w:rPr>
                <w:rFonts w:eastAsia="Calibri"/>
                <w:sz w:val="22"/>
                <w:szCs w:val="22"/>
                <w:lang w:val="sr-Latn-ME" w:bidi="en-US"/>
              </w:rPr>
              <w:t>Veliki rizik od krvarenja ili veliki hirurški zahvat</w:t>
            </w:r>
          </w:p>
        </w:tc>
        <w:tc>
          <w:tcPr>
            <w:tcW w:w="1538" w:type="pct"/>
            <w:tcBorders>
              <w:top w:val="single" w:sz="4" w:space="0" w:color="auto"/>
              <w:left w:val="single" w:sz="4" w:space="0" w:color="auto"/>
              <w:right w:val="single" w:sz="4" w:space="0" w:color="auto"/>
            </w:tcBorders>
            <w:shd w:val="clear" w:color="auto" w:fill="auto"/>
            <w:vAlign w:val="center"/>
          </w:tcPr>
          <w:p w14:paraId="2CEE4878" w14:textId="77777777" w:rsidR="00E74FD6" w:rsidRPr="00F85CA6" w:rsidRDefault="00E74FD6" w:rsidP="00E74FD6">
            <w:pPr>
              <w:jc w:val="center"/>
              <w:rPr>
                <w:rFonts w:eastAsia="Calibri"/>
                <w:sz w:val="22"/>
                <w:szCs w:val="22"/>
                <w:lang w:val="sr-Latn-ME" w:bidi="en-US"/>
              </w:rPr>
            </w:pPr>
            <w:r w:rsidRPr="00F85CA6">
              <w:rPr>
                <w:rFonts w:eastAsia="Calibri"/>
                <w:sz w:val="22"/>
                <w:szCs w:val="22"/>
                <w:lang w:val="sr-Latn-ME" w:bidi="en-US"/>
              </w:rPr>
              <w:t>Standardni rizik</w:t>
            </w:r>
          </w:p>
        </w:tc>
      </w:tr>
      <w:tr w:rsidR="00E74FD6" w:rsidRPr="00F85CA6" w14:paraId="404EF018" w14:textId="77777777" w:rsidTr="001239C3">
        <w:trPr>
          <w:trHeight w:val="20"/>
          <w:jc w:val="center"/>
        </w:trPr>
        <w:tc>
          <w:tcPr>
            <w:tcW w:w="877" w:type="pct"/>
            <w:tcBorders>
              <w:top w:val="single" w:sz="4" w:space="0" w:color="auto"/>
              <w:left w:val="single" w:sz="4" w:space="0" w:color="auto"/>
            </w:tcBorders>
            <w:shd w:val="clear" w:color="auto" w:fill="auto"/>
            <w:vAlign w:val="bottom"/>
          </w:tcPr>
          <w:p w14:paraId="726705EB" w14:textId="55157A13" w:rsidR="00E74FD6" w:rsidRPr="00F85CA6" w:rsidRDefault="00E74FD6" w:rsidP="00E74FD6">
            <w:pPr>
              <w:jc w:val="center"/>
              <w:rPr>
                <w:rFonts w:eastAsia="Calibri"/>
                <w:sz w:val="22"/>
                <w:szCs w:val="22"/>
                <w:lang w:val="sr-Latn-ME" w:bidi="en-US"/>
              </w:rPr>
            </w:pPr>
            <w:r w:rsidRPr="00F85CA6">
              <w:rPr>
                <w:rFonts w:eastAsia="Calibri"/>
                <w:sz w:val="22"/>
                <w:szCs w:val="22"/>
                <w:lang w:val="sr-Latn-ME" w:bidi="en-US"/>
              </w:rPr>
              <w:t>≥</w:t>
            </w:r>
            <w:r w:rsidR="000A69CA" w:rsidRPr="00F85CA6">
              <w:rPr>
                <w:rFonts w:eastAsia="Calibri"/>
                <w:sz w:val="22"/>
                <w:szCs w:val="22"/>
                <w:lang w:val="sr-Latn-ME" w:bidi="en-US"/>
              </w:rPr>
              <w:t xml:space="preserve"> </w:t>
            </w:r>
            <w:r w:rsidRPr="00F85CA6">
              <w:rPr>
                <w:rFonts w:eastAsia="Calibri"/>
                <w:sz w:val="22"/>
                <w:szCs w:val="22"/>
                <w:lang w:val="sr-Latn-ME" w:bidi="en-US"/>
              </w:rPr>
              <w:t>80</w:t>
            </w:r>
          </w:p>
        </w:tc>
        <w:tc>
          <w:tcPr>
            <w:tcW w:w="1027" w:type="pct"/>
            <w:tcBorders>
              <w:top w:val="single" w:sz="4" w:space="0" w:color="auto"/>
              <w:left w:val="single" w:sz="4" w:space="0" w:color="auto"/>
            </w:tcBorders>
            <w:shd w:val="clear" w:color="auto" w:fill="auto"/>
            <w:vAlign w:val="bottom"/>
          </w:tcPr>
          <w:p w14:paraId="755AF191" w14:textId="77777777" w:rsidR="00E74FD6" w:rsidRPr="00F85CA6" w:rsidRDefault="00E74FD6" w:rsidP="00E74FD6">
            <w:pPr>
              <w:jc w:val="center"/>
              <w:rPr>
                <w:rFonts w:eastAsia="Calibri"/>
                <w:sz w:val="22"/>
                <w:szCs w:val="22"/>
                <w:lang w:val="sr-Latn-ME" w:bidi="en-US"/>
              </w:rPr>
            </w:pPr>
            <w:r w:rsidRPr="00F85CA6">
              <w:rPr>
                <w:rFonts w:eastAsia="Calibri"/>
                <w:sz w:val="22"/>
                <w:szCs w:val="22"/>
                <w:lang w:val="sr-Latn-ME" w:bidi="en-US"/>
              </w:rPr>
              <w:t>~ 13</w:t>
            </w:r>
          </w:p>
        </w:tc>
        <w:tc>
          <w:tcPr>
            <w:tcW w:w="1558" w:type="pct"/>
            <w:tcBorders>
              <w:top w:val="single" w:sz="4" w:space="0" w:color="auto"/>
              <w:left w:val="single" w:sz="4" w:space="0" w:color="auto"/>
            </w:tcBorders>
            <w:shd w:val="clear" w:color="auto" w:fill="auto"/>
            <w:vAlign w:val="bottom"/>
          </w:tcPr>
          <w:p w14:paraId="3CF248C7" w14:textId="230721B3" w:rsidR="00E74FD6" w:rsidRPr="00F85CA6" w:rsidRDefault="00E74FD6" w:rsidP="00E74FD6">
            <w:pPr>
              <w:jc w:val="center"/>
              <w:rPr>
                <w:rFonts w:eastAsia="Calibri"/>
                <w:sz w:val="22"/>
                <w:szCs w:val="22"/>
                <w:lang w:val="sr-Latn-ME" w:bidi="en-US"/>
              </w:rPr>
            </w:pPr>
            <w:r w:rsidRPr="00F85CA6">
              <w:rPr>
                <w:rFonts w:eastAsia="Calibri"/>
                <w:sz w:val="22"/>
                <w:szCs w:val="22"/>
                <w:lang w:val="sr-Latn-ME" w:bidi="en-US"/>
              </w:rPr>
              <w:t>2 dana pr</w:t>
            </w:r>
            <w:r w:rsidR="00B22B4F" w:rsidRPr="00F85CA6">
              <w:rPr>
                <w:rFonts w:eastAsia="Calibri"/>
                <w:sz w:val="22"/>
                <w:szCs w:val="22"/>
                <w:lang w:val="sr-Latn-ME" w:bidi="en-US"/>
              </w:rPr>
              <w:t>ij</w:t>
            </w:r>
            <w:r w:rsidRPr="00F85CA6">
              <w:rPr>
                <w:rFonts w:eastAsia="Calibri"/>
                <w:sz w:val="22"/>
                <w:szCs w:val="22"/>
                <w:lang w:val="sr-Latn-ME" w:bidi="en-US"/>
              </w:rPr>
              <w:t>e</w:t>
            </w:r>
          </w:p>
        </w:tc>
        <w:tc>
          <w:tcPr>
            <w:tcW w:w="1538" w:type="pct"/>
            <w:tcBorders>
              <w:top w:val="single" w:sz="4" w:space="0" w:color="auto"/>
              <w:left w:val="single" w:sz="4" w:space="0" w:color="auto"/>
              <w:right w:val="single" w:sz="4" w:space="0" w:color="auto"/>
            </w:tcBorders>
            <w:shd w:val="clear" w:color="auto" w:fill="auto"/>
            <w:vAlign w:val="bottom"/>
          </w:tcPr>
          <w:p w14:paraId="35DED2EF" w14:textId="4DA982B1" w:rsidR="00E74FD6" w:rsidRPr="00F85CA6" w:rsidRDefault="00E74FD6" w:rsidP="00E74FD6">
            <w:pPr>
              <w:jc w:val="center"/>
              <w:rPr>
                <w:rFonts w:eastAsia="Calibri"/>
                <w:sz w:val="22"/>
                <w:szCs w:val="22"/>
                <w:lang w:val="sr-Latn-ME" w:bidi="en-US"/>
              </w:rPr>
            </w:pPr>
            <w:r w:rsidRPr="00F85CA6">
              <w:rPr>
                <w:rFonts w:eastAsia="Calibri"/>
                <w:sz w:val="22"/>
                <w:szCs w:val="22"/>
                <w:lang w:val="sr-Latn-ME" w:bidi="en-US"/>
              </w:rPr>
              <w:t>24 sata pr</w:t>
            </w:r>
            <w:r w:rsidR="00B22B4F" w:rsidRPr="00F85CA6">
              <w:rPr>
                <w:rFonts w:eastAsia="Calibri"/>
                <w:sz w:val="22"/>
                <w:szCs w:val="22"/>
                <w:lang w:val="sr-Latn-ME" w:bidi="en-US"/>
              </w:rPr>
              <w:t>ij</w:t>
            </w:r>
            <w:r w:rsidRPr="00F85CA6">
              <w:rPr>
                <w:rFonts w:eastAsia="Calibri"/>
                <w:sz w:val="22"/>
                <w:szCs w:val="22"/>
                <w:lang w:val="sr-Latn-ME" w:bidi="en-US"/>
              </w:rPr>
              <w:t>e</w:t>
            </w:r>
          </w:p>
        </w:tc>
      </w:tr>
      <w:tr w:rsidR="00E74FD6" w:rsidRPr="00F85CA6" w14:paraId="174F5D19" w14:textId="77777777" w:rsidTr="001239C3">
        <w:trPr>
          <w:trHeight w:val="20"/>
          <w:jc w:val="center"/>
        </w:trPr>
        <w:tc>
          <w:tcPr>
            <w:tcW w:w="877" w:type="pct"/>
            <w:tcBorders>
              <w:top w:val="single" w:sz="4" w:space="0" w:color="auto"/>
              <w:left w:val="single" w:sz="4" w:space="0" w:color="auto"/>
            </w:tcBorders>
            <w:shd w:val="clear" w:color="auto" w:fill="auto"/>
            <w:vAlign w:val="bottom"/>
          </w:tcPr>
          <w:p w14:paraId="2F5D9752" w14:textId="073A8F39" w:rsidR="00E74FD6" w:rsidRPr="00F85CA6" w:rsidRDefault="00E74FD6" w:rsidP="00E74FD6">
            <w:pPr>
              <w:jc w:val="center"/>
              <w:rPr>
                <w:rFonts w:eastAsia="Calibri"/>
                <w:sz w:val="22"/>
                <w:szCs w:val="22"/>
                <w:lang w:val="sr-Latn-ME" w:bidi="en-US"/>
              </w:rPr>
            </w:pPr>
            <w:r w:rsidRPr="00F85CA6">
              <w:rPr>
                <w:rFonts w:eastAsia="Calibri"/>
                <w:sz w:val="22"/>
                <w:szCs w:val="22"/>
                <w:lang w:val="sr-Latn-ME" w:bidi="en-US"/>
              </w:rPr>
              <w:t>≥</w:t>
            </w:r>
            <w:r w:rsidR="000A69CA" w:rsidRPr="00F85CA6">
              <w:rPr>
                <w:rFonts w:eastAsia="Calibri"/>
                <w:sz w:val="22"/>
                <w:szCs w:val="22"/>
                <w:lang w:val="sr-Latn-ME" w:bidi="en-US"/>
              </w:rPr>
              <w:t xml:space="preserve"> </w:t>
            </w:r>
            <w:r w:rsidRPr="00F85CA6">
              <w:rPr>
                <w:rFonts w:eastAsia="Calibri"/>
                <w:sz w:val="22"/>
                <w:szCs w:val="22"/>
                <w:lang w:val="sr-Latn-ME" w:bidi="en-US"/>
              </w:rPr>
              <w:t>50-</w:t>
            </w:r>
            <w:r w:rsidR="000A69CA" w:rsidRPr="00F85CA6">
              <w:rPr>
                <w:rFonts w:eastAsia="Calibri"/>
                <w:sz w:val="22"/>
                <w:szCs w:val="22"/>
                <w:lang w:val="sr-Latn-ME" w:bidi="en-US"/>
              </w:rPr>
              <w:t xml:space="preserve"> </w:t>
            </w:r>
            <w:r w:rsidRPr="00F85CA6">
              <w:rPr>
                <w:rFonts w:eastAsia="Calibri"/>
                <w:sz w:val="22"/>
                <w:szCs w:val="22"/>
                <w:lang w:val="sr-Latn-ME" w:bidi="en-US"/>
              </w:rPr>
              <w:t>&lt;</w:t>
            </w:r>
            <w:r w:rsidR="000A69CA" w:rsidRPr="00F85CA6">
              <w:rPr>
                <w:rFonts w:eastAsia="Calibri"/>
                <w:sz w:val="22"/>
                <w:szCs w:val="22"/>
                <w:lang w:val="sr-Latn-ME" w:bidi="en-US"/>
              </w:rPr>
              <w:t xml:space="preserve"> </w:t>
            </w:r>
            <w:r w:rsidRPr="00F85CA6">
              <w:rPr>
                <w:rFonts w:eastAsia="Calibri"/>
                <w:sz w:val="22"/>
                <w:szCs w:val="22"/>
                <w:lang w:val="sr-Latn-ME" w:bidi="en-US"/>
              </w:rPr>
              <w:t>80</w:t>
            </w:r>
          </w:p>
        </w:tc>
        <w:tc>
          <w:tcPr>
            <w:tcW w:w="1027" w:type="pct"/>
            <w:tcBorders>
              <w:top w:val="single" w:sz="4" w:space="0" w:color="auto"/>
              <w:left w:val="single" w:sz="4" w:space="0" w:color="auto"/>
            </w:tcBorders>
            <w:shd w:val="clear" w:color="auto" w:fill="auto"/>
            <w:vAlign w:val="bottom"/>
          </w:tcPr>
          <w:p w14:paraId="3482ED05" w14:textId="77777777" w:rsidR="00E74FD6" w:rsidRPr="00F85CA6" w:rsidRDefault="00E74FD6" w:rsidP="00E74FD6">
            <w:pPr>
              <w:jc w:val="center"/>
              <w:rPr>
                <w:rFonts w:eastAsia="Calibri"/>
                <w:sz w:val="22"/>
                <w:szCs w:val="22"/>
                <w:lang w:val="sr-Latn-ME" w:bidi="en-US"/>
              </w:rPr>
            </w:pPr>
            <w:r w:rsidRPr="00F85CA6">
              <w:rPr>
                <w:rFonts w:eastAsia="Calibri"/>
                <w:sz w:val="22"/>
                <w:szCs w:val="22"/>
                <w:lang w:val="sr-Latn-ME" w:bidi="en-US"/>
              </w:rPr>
              <w:t>~ 15</w:t>
            </w:r>
          </w:p>
        </w:tc>
        <w:tc>
          <w:tcPr>
            <w:tcW w:w="1558" w:type="pct"/>
            <w:tcBorders>
              <w:top w:val="single" w:sz="4" w:space="0" w:color="auto"/>
              <w:left w:val="single" w:sz="4" w:space="0" w:color="auto"/>
            </w:tcBorders>
            <w:shd w:val="clear" w:color="auto" w:fill="auto"/>
            <w:vAlign w:val="bottom"/>
          </w:tcPr>
          <w:p w14:paraId="1DCBB68E" w14:textId="3C554682" w:rsidR="00E74FD6" w:rsidRPr="00F85CA6" w:rsidRDefault="00E74FD6" w:rsidP="00E74FD6">
            <w:pPr>
              <w:jc w:val="center"/>
              <w:rPr>
                <w:rFonts w:eastAsia="Calibri"/>
                <w:sz w:val="22"/>
                <w:szCs w:val="22"/>
                <w:lang w:val="sr-Latn-ME" w:bidi="en-US"/>
              </w:rPr>
            </w:pPr>
            <w:r w:rsidRPr="00F85CA6">
              <w:rPr>
                <w:rFonts w:eastAsia="Calibri"/>
                <w:sz w:val="22"/>
                <w:szCs w:val="22"/>
                <w:lang w:val="sr-Latn-ME" w:bidi="en-US"/>
              </w:rPr>
              <w:t>2-3 dana pr</w:t>
            </w:r>
            <w:r w:rsidR="00B22B4F" w:rsidRPr="00F85CA6">
              <w:rPr>
                <w:rFonts w:eastAsia="Calibri"/>
                <w:sz w:val="22"/>
                <w:szCs w:val="22"/>
                <w:lang w:val="sr-Latn-ME" w:bidi="en-US"/>
              </w:rPr>
              <w:t>ij</w:t>
            </w:r>
            <w:r w:rsidRPr="00F85CA6">
              <w:rPr>
                <w:rFonts w:eastAsia="Calibri"/>
                <w:sz w:val="22"/>
                <w:szCs w:val="22"/>
                <w:lang w:val="sr-Latn-ME" w:bidi="en-US"/>
              </w:rPr>
              <w:t>e</w:t>
            </w:r>
          </w:p>
        </w:tc>
        <w:tc>
          <w:tcPr>
            <w:tcW w:w="1538" w:type="pct"/>
            <w:tcBorders>
              <w:top w:val="single" w:sz="4" w:space="0" w:color="auto"/>
              <w:left w:val="single" w:sz="4" w:space="0" w:color="auto"/>
              <w:right w:val="single" w:sz="4" w:space="0" w:color="auto"/>
            </w:tcBorders>
            <w:shd w:val="clear" w:color="auto" w:fill="auto"/>
            <w:vAlign w:val="bottom"/>
          </w:tcPr>
          <w:p w14:paraId="2B2721FB" w14:textId="2360825E" w:rsidR="00E74FD6" w:rsidRPr="00F85CA6" w:rsidRDefault="000A69CA" w:rsidP="00E74FD6">
            <w:pPr>
              <w:jc w:val="center"/>
              <w:rPr>
                <w:rFonts w:eastAsia="Calibri"/>
                <w:sz w:val="22"/>
                <w:szCs w:val="22"/>
                <w:lang w:val="sr-Latn-ME" w:bidi="en-US"/>
              </w:rPr>
            </w:pPr>
            <w:r w:rsidRPr="00F85CA6">
              <w:rPr>
                <w:rFonts w:eastAsia="Calibri"/>
                <w:sz w:val="22"/>
                <w:szCs w:val="22"/>
                <w:lang w:val="sr-Latn-ME" w:bidi="en-US"/>
              </w:rPr>
              <w:t xml:space="preserve">1 </w:t>
            </w:r>
            <w:r w:rsidR="00E74FD6" w:rsidRPr="00F85CA6">
              <w:rPr>
                <w:rFonts w:eastAsia="Calibri"/>
                <w:sz w:val="22"/>
                <w:szCs w:val="22"/>
                <w:lang w:val="sr-Latn-ME" w:bidi="en-US"/>
              </w:rPr>
              <w:t>-</w:t>
            </w:r>
            <w:r w:rsidRPr="00F85CA6">
              <w:rPr>
                <w:rFonts w:eastAsia="Calibri"/>
                <w:sz w:val="22"/>
                <w:szCs w:val="22"/>
                <w:lang w:val="sr-Latn-ME" w:bidi="en-US"/>
              </w:rPr>
              <w:t xml:space="preserve"> </w:t>
            </w:r>
            <w:r w:rsidR="00E74FD6" w:rsidRPr="00F85CA6">
              <w:rPr>
                <w:rFonts w:eastAsia="Calibri"/>
                <w:sz w:val="22"/>
                <w:szCs w:val="22"/>
                <w:lang w:val="sr-Latn-ME" w:bidi="en-US"/>
              </w:rPr>
              <w:t>2 dana pr</w:t>
            </w:r>
            <w:r w:rsidR="00B22B4F" w:rsidRPr="00F85CA6">
              <w:rPr>
                <w:rFonts w:eastAsia="Calibri"/>
                <w:sz w:val="22"/>
                <w:szCs w:val="22"/>
                <w:lang w:val="sr-Latn-ME" w:bidi="en-US"/>
              </w:rPr>
              <w:t>ij</w:t>
            </w:r>
            <w:r w:rsidR="00E74FD6" w:rsidRPr="00F85CA6">
              <w:rPr>
                <w:rFonts w:eastAsia="Calibri"/>
                <w:sz w:val="22"/>
                <w:szCs w:val="22"/>
                <w:lang w:val="sr-Latn-ME" w:bidi="en-US"/>
              </w:rPr>
              <w:t>e</w:t>
            </w:r>
          </w:p>
        </w:tc>
      </w:tr>
      <w:tr w:rsidR="00E74FD6" w:rsidRPr="00F85CA6" w14:paraId="22F6CD31" w14:textId="77777777" w:rsidTr="001239C3">
        <w:trPr>
          <w:trHeight w:val="20"/>
          <w:jc w:val="center"/>
        </w:trPr>
        <w:tc>
          <w:tcPr>
            <w:tcW w:w="877" w:type="pct"/>
            <w:tcBorders>
              <w:top w:val="single" w:sz="4" w:space="0" w:color="auto"/>
              <w:left w:val="single" w:sz="4" w:space="0" w:color="auto"/>
              <w:bottom w:val="single" w:sz="4" w:space="0" w:color="auto"/>
            </w:tcBorders>
            <w:shd w:val="clear" w:color="auto" w:fill="auto"/>
            <w:vAlign w:val="bottom"/>
          </w:tcPr>
          <w:p w14:paraId="5AB3436D" w14:textId="24091A3B" w:rsidR="00E74FD6" w:rsidRPr="00F85CA6" w:rsidRDefault="00E74FD6" w:rsidP="00E74FD6">
            <w:pPr>
              <w:jc w:val="center"/>
              <w:rPr>
                <w:rFonts w:eastAsia="Calibri"/>
                <w:sz w:val="22"/>
                <w:szCs w:val="22"/>
                <w:lang w:val="sr-Latn-ME" w:bidi="en-US"/>
              </w:rPr>
            </w:pPr>
            <w:r w:rsidRPr="00F85CA6">
              <w:rPr>
                <w:rFonts w:eastAsia="Calibri"/>
                <w:sz w:val="22"/>
                <w:szCs w:val="22"/>
                <w:lang w:val="sr-Latn-ME" w:bidi="en-US"/>
              </w:rPr>
              <w:t>≥</w:t>
            </w:r>
            <w:r w:rsidR="000A69CA" w:rsidRPr="00F85CA6">
              <w:rPr>
                <w:rFonts w:eastAsia="Calibri"/>
                <w:sz w:val="22"/>
                <w:szCs w:val="22"/>
                <w:lang w:val="sr-Latn-ME" w:bidi="en-US"/>
              </w:rPr>
              <w:t xml:space="preserve"> </w:t>
            </w:r>
            <w:r w:rsidRPr="00F85CA6">
              <w:rPr>
                <w:rFonts w:eastAsia="Calibri"/>
                <w:sz w:val="22"/>
                <w:szCs w:val="22"/>
                <w:lang w:val="sr-Latn-ME" w:bidi="en-US"/>
              </w:rPr>
              <w:t>30-</w:t>
            </w:r>
            <w:r w:rsidR="000A69CA" w:rsidRPr="00F85CA6">
              <w:rPr>
                <w:rFonts w:eastAsia="Calibri"/>
                <w:sz w:val="22"/>
                <w:szCs w:val="22"/>
                <w:lang w:val="sr-Latn-ME" w:bidi="en-US"/>
              </w:rPr>
              <w:t xml:space="preserve"> </w:t>
            </w:r>
            <w:r w:rsidRPr="00F85CA6">
              <w:rPr>
                <w:rFonts w:eastAsia="Calibri"/>
                <w:sz w:val="22"/>
                <w:szCs w:val="22"/>
                <w:lang w:val="sr-Latn-ME" w:bidi="en-US"/>
              </w:rPr>
              <w:t>&lt;</w:t>
            </w:r>
            <w:r w:rsidR="000A69CA" w:rsidRPr="00F85CA6">
              <w:rPr>
                <w:rFonts w:eastAsia="Calibri"/>
                <w:sz w:val="22"/>
                <w:szCs w:val="22"/>
                <w:lang w:val="sr-Latn-ME" w:bidi="en-US"/>
              </w:rPr>
              <w:t xml:space="preserve"> </w:t>
            </w:r>
            <w:r w:rsidRPr="00F85CA6">
              <w:rPr>
                <w:rFonts w:eastAsia="Calibri"/>
                <w:sz w:val="22"/>
                <w:szCs w:val="22"/>
                <w:lang w:val="sr-Latn-ME" w:bidi="en-US"/>
              </w:rPr>
              <w:t>50</w:t>
            </w:r>
          </w:p>
        </w:tc>
        <w:tc>
          <w:tcPr>
            <w:tcW w:w="1027" w:type="pct"/>
            <w:tcBorders>
              <w:top w:val="single" w:sz="4" w:space="0" w:color="auto"/>
              <w:left w:val="single" w:sz="4" w:space="0" w:color="auto"/>
              <w:bottom w:val="single" w:sz="4" w:space="0" w:color="auto"/>
            </w:tcBorders>
            <w:shd w:val="clear" w:color="auto" w:fill="auto"/>
            <w:vAlign w:val="bottom"/>
          </w:tcPr>
          <w:p w14:paraId="2A2E810B" w14:textId="77777777" w:rsidR="00E74FD6" w:rsidRPr="00F85CA6" w:rsidRDefault="00E74FD6" w:rsidP="00E74FD6">
            <w:pPr>
              <w:jc w:val="center"/>
              <w:rPr>
                <w:rFonts w:eastAsia="Calibri"/>
                <w:sz w:val="22"/>
                <w:szCs w:val="22"/>
                <w:lang w:val="sr-Latn-ME" w:bidi="en-US"/>
              </w:rPr>
            </w:pPr>
            <w:r w:rsidRPr="00F85CA6">
              <w:rPr>
                <w:rFonts w:eastAsia="Calibri"/>
                <w:sz w:val="22"/>
                <w:szCs w:val="22"/>
                <w:lang w:val="sr-Latn-ME" w:bidi="en-US"/>
              </w:rPr>
              <w:t>~ 18</w:t>
            </w:r>
          </w:p>
        </w:tc>
        <w:tc>
          <w:tcPr>
            <w:tcW w:w="1558" w:type="pct"/>
            <w:tcBorders>
              <w:top w:val="single" w:sz="4" w:space="0" w:color="auto"/>
              <w:left w:val="single" w:sz="4" w:space="0" w:color="auto"/>
              <w:bottom w:val="single" w:sz="4" w:space="0" w:color="auto"/>
            </w:tcBorders>
            <w:shd w:val="clear" w:color="auto" w:fill="auto"/>
            <w:vAlign w:val="bottom"/>
          </w:tcPr>
          <w:p w14:paraId="551951AB" w14:textId="4E452969" w:rsidR="00E74FD6" w:rsidRPr="00F85CA6" w:rsidRDefault="00E74FD6" w:rsidP="00E74FD6">
            <w:pPr>
              <w:jc w:val="center"/>
              <w:rPr>
                <w:rFonts w:eastAsia="Calibri"/>
                <w:sz w:val="22"/>
                <w:szCs w:val="22"/>
                <w:lang w:val="sr-Latn-ME" w:bidi="en-US"/>
              </w:rPr>
            </w:pPr>
            <w:r w:rsidRPr="00F85CA6">
              <w:rPr>
                <w:rFonts w:eastAsia="Calibri"/>
                <w:sz w:val="22"/>
                <w:szCs w:val="22"/>
                <w:lang w:val="sr-Latn-ME" w:bidi="en-US"/>
              </w:rPr>
              <w:t>4 dana pr</w:t>
            </w:r>
            <w:r w:rsidR="00B22B4F" w:rsidRPr="00F85CA6">
              <w:rPr>
                <w:rFonts w:eastAsia="Calibri"/>
                <w:sz w:val="22"/>
                <w:szCs w:val="22"/>
                <w:lang w:val="sr-Latn-ME" w:bidi="en-US"/>
              </w:rPr>
              <w:t>ij</w:t>
            </w:r>
            <w:r w:rsidRPr="00F85CA6">
              <w:rPr>
                <w:rFonts w:eastAsia="Calibri"/>
                <w:sz w:val="22"/>
                <w:szCs w:val="22"/>
                <w:lang w:val="sr-Latn-ME" w:bidi="en-US"/>
              </w:rPr>
              <w:t>e</w:t>
            </w:r>
          </w:p>
        </w:tc>
        <w:tc>
          <w:tcPr>
            <w:tcW w:w="1538" w:type="pct"/>
            <w:tcBorders>
              <w:top w:val="single" w:sz="4" w:space="0" w:color="auto"/>
              <w:left w:val="single" w:sz="4" w:space="0" w:color="auto"/>
              <w:bottom w:val="single" w:sz="4" w:space="0" w:color="auto"/>
              <w:right w:val="single" w:sz="4" w:space="0" w:color="auto"/>
            </w:tcBorders>
            <w:shd w:val="clear" w:color="auto" w:fill="auto"/>
            <w:vAlign w:val="bottom"/>
          </w:tcPr>
          <w:p w14:paraId="475F02AF" w14:textId="39BE3A68" w:rsidR="00E74FD6" w:rsidRPr="00F85CA6" w:rsidRDefault="00E74FD6" w:rsidP="00E74FD6">
            <w:pPr>
              <w:jc w:val="center"/>
              <w:rPr>
                <w:rFonts w:eastAsia="Calibri"/>
                <w:sz w:val="22"/>
                <w:szCs w:val="22"/>
                <w:lang w:val="sr-Latn-ME" w:bidi="en-US"/>
              </w:rPr>
            </w:pPr>
            <w:r w:rsidRPr="00F85CA6">
              <w:rPr>
                <w:rFonts w:eastAsia="Calibri"/>
                <w:sz w:val="22"/>
                <w:szCs w:val="22"/>
                <w:lang w:val="sr-Latn-ME" w:bidi="en-US"/>
              </w:rPr>
              <w:t>2</w:t>
            </w:r>
            <w:r w:rsidR="000A69CA" w:rsidRPr="00F85CA6">
              <w:rPr>
                <w:rFonts w:eastAsia="Calibri"/>
                <w:sz w:val="22"/>
                <w:szCs w:val="22"/>
                <w:lang w:val="sr-Latn-ME" w:bidi="en-US"/>
              </w:rPr>
              <w:t xml:space="preserve"> </w:t>
            </w:r>
            <w:r w:rsidRPr="00F85CA6">
              <w:rPr>
                <w:rFonts w:eastAsia="Calibri"/>
                <w:sz w:val="22"/>
                <w:szCs w:val="22"/>
                <w:lang w:val="sr-Latn-ME" w:bidi="en-US"/>
              </w:rPr>
              <w:t>-</w:t>
            </w:r>
            <w:r w:rsidR="000A69CA" w:rsidRPr="00F85CA6">
              <w:rPr>
                <w:rFonts w:eastAsia="Calibri"/>
                <w:sz w:val="22"/>
                <w:szCs w:val="22"/>
                <w:lang w:val="sr-Latn-ME" w:bidi="en-US"/>
              </w:rPr>
              <w:t xml:space="preserve"> </w:t>
            </w:r>
            <w:r w:rsidRPr="00F85CA6">
              <w:rPr>
                <w:rFonts w:eastAsia="Calibri"/>
                <w:sz w:val="22"/>
                <w:szCs w:val="22"/>
                <w:lang w:val="sr-Latn-ME" w:bidi="en-US"/>
              </w:rPr>
              <w:t>3 dana pr</w:t>
            </w:r>
            <w:r w:rsidR="00B22B4F" w:rsidRPr="00F85CA6">
              <w:rPr>
                <w:rFonts w:eastAsia="Calibri"/>
                <w:sz w:val="22"/>
                <w:szCs w:val="22"/>
                <w:lang w:val="sr-Latn-ME" w:bidi="en-US"/>
              </w:rPr>
              <w:t>ij</w:t>
            </w:r>
            <w:r w:rsidRPr="00F85CA6">
              <w:rPr>
                <w:rFonts w:eastAsia="Calibri"/>
                <w:sz w:val="22"/>
                <w:szCs w:val="22"/>
                <w:lang w:val="sr-Latn-ME" w:bidi="en-US"/>
              </w:rPr>
              <w:t>e (&gt;</w:t>
            </w:r>
            <w:r w:rsidR="000A69CA" w:rsidRPr="00F85CA6">
              <w:rPr>
                <w:rFonts w:eastAsia="Calibri"/>
                <w:sz w:val="22"/>
                <w:szCs w:val="22"/>
                <w:lang w:val="sr-Latn-ME" w:bidi="en-US"/>
              </w:rPr>
              <w:t xml:space="preserve"> </w:t>
            </w:r>
            <w:r w:rsidRPr="00F85CA6">
              <w:rPr>
                <w:rFonts w:eastAsia="Calibri"/>
                <w:sz w:val="22"/>
                <w:szCs w:val="22"/>
                <w:lang w:val="sr-Latn-ME" w:bidi="en-US"/>
              </w:rPr>
              <w:t>48 sati)</w:t>
            </w:r>
          </w:p>
        </w:tc>
      </w:tr>
    </w:tbl>
    <w:p w14:paraId="712A8D91" w14:textId="77777777" w:rsidR="00E74FD6" w:rsidRPr="00F85CA6" w:rsidRDefault="00E74FD6" w:rsidP="00E74FD6">
      <w:pPr>
        <w:jc w:val="both"/>
        <w:rPr>
          <w:rFonts w:eastAsia="Calibri"/>
          <w:sz w:val="22"/>
          <w:szCs w:val="22"/>
          <w:lang w:val="sr-Latn-ME" w:bidi="en-US"/>
        </w:rPr>
      </w:pPr>
    </w:p>
    <w:p w14:paraId="0885D96F" w14:textId="495F66A1" w:rsidR="00E74FD6" w:rsidRPr="00F85CA6" w:rsidRDefault="00E74FD6" w:rsidP="00E74FD6">
      <w:pPr>
        <w:jc w:val="both"/>
        <w:rPr>
          <w:rFonts w:eastAsia="Calibri"/>
          <w:sz w:val="22"/>
          <w:szCs w:val="22"/>
          <w:lang w:val="sr-Latn-ME"/>
        </w:rPr>
      </w:pPr>
      <w:r w:rsidRPr="00F85CA6">
        <w:rPr>
          <w:rFonts w:eastAsia="Calibri"/>
          <w:sz w:val="22"/>
          <w:szCs w:val="22"/>
          <w:lang w:val="sr-Latn-ME"/>
        </w:rPr>
        <w:t>Pravila za prekid terapije pr</w:t>
      </w:r>
      <w:r w:rsidR="00B22B4F" w:rsidRPr="00F85CA6">
        <w:rPr>
          <w:rFonts w:eastAsia="Calibri"/>
          <w:sz w:val="22"/>
          <w:szCs w:val="22"/>
          <w:lang w:val="sr-Latn-ME"/>
        </w:rPr>
        <w:t>ij</w:t>
      </w:r>
      <w:r w:rsidRPr="00F85CA6">
        <w:rPr>
          <w:rFonts w:eastAsia="Calibri"/>
          <w:sz w:val="22"/>
          <w:szCs w:val="22"/>
          <w:lang w:val="sr-Latn-ME"/>
        </w:rPr>
        <w:t>e invazivnih ili hirurških postupaka kod pedijatrijskih pacijenata sažeta su u tabeli 8.</w:t>
      </w:r>
    </w:p>
    <w:p w14:paraId="11F31E37" w14:textId="77777777" w:rsidR="00E74FD6" w:rsidRPr="00F85CA6" w:rsidRDefault="00E74FD6" w:rsidP="00E74FD6">
      <w:pPr>
        <w:jc w:val="both"/>
        <w:rPr>
          <w:rFonts w:eastAsia="Calibri"/>
          <w:sz w:val="22"/>
          <w:szCs w:val="22"/>
          <w:lang w:val="sr-Latn-ME"/>
        </w:rPr>
      </w:pPr>
    </w:p>
    <w:p w14:paraId="36DAE1DF" w14:textId="39C36790" w:rsidR="00E74FD6" w:rsidRPr="00F85CA6" w:rsidRDefault="00E74FD6" w:rsidP="00685312">
      <w:pPr>
        <w:jc w:val="center"/>
        <w:rPr>
          <w:rFonts w:eastAsia="Calibri"/>
          <w:b/>
          <w:bCs/>
          <w:sz w:val="22"/>
          <w:szCs w:val="22"/>
          <w:lang w:val="sr-Latn-ME" w:bidi="en-US"/>
        </w:rPr>
      </w:pPr>
      <w:r w:rsidRPr="00F85CA6">
        <w:rPr>
          <w:rFonts w:eastAsia="Calibri"/>
          <w:b/>
          <w:bCs/>
          <w:sz w:val="22"/>
          <w:szCs w:val="22"/>
          <w:lang w:val="sr-Latn-ME" w:bidi="en-US"/>
        </w:rPr>
        <w:t>Tabela 8: Pravila za prekid terapije pr</w:t>
      </w:r>
      <w:r w:rsidR="00B22B4F" w:rsidRPr="00F85CA6">
        <w:rPr>
          <w:rFonts w:eastAsia="Calibri"/>
          <w:b/>
          <w:bCs/>
          <w:sz w:val="22"/>
          <w:szCs w:val="22"/>
          <w:lang w:val="sr-Latn-ME" w:bidi="en-US"/>
        </w:rPr>
        <w:t>ij</w:t>
      </w:r>
      <w:r w:rsidRPr="00F85CA6">
        <w:rPr>
          <w:rFonts w:eastAsia="Calibri"/>
          <w:b/>
          <w:bCs/>
          <w:sz w:val="22"/>
          <w:szCs w:val="22"/>
          <w:lang w:val="sr-Latn-ME" w:bidi="en-US"/>
        </w:rPr>
        <w:t>e invazivnih ili hirurških postupaka kod pedijatrijskih pacijenata</w:t>
      </w:r>
    </w:p>
    <w:p w14:paraId="06180334" w14:textId="77777777" w:rsidR="00E74FD6" w:rsidRPr="00F85CA6" w:rsidRDefault="00E74FD6" w:rsidP="00E74FD6">
      <w:pPr>
        <w:jc w:val="both"/>
        <w:rPr>
          <w:rFonts w:eastAsia="Calibri"/>
          <w:b/>
          <w:bCs/>
          <w:sz w:val="22"/>
          <w:szCs w:val="22"/>
          <w:lang w:val="sr-Latn-ME" w:bidi="en-US"/>
        </w:rPr>
      </w:pPr>
    </w:p>
    <w:tbl>
      <w:tblPr>
        <w:tblOverlap w:val="never"/>
        <w:tblW w:w="5000" w:type="pct"/>
        <w:jc w:val="center"/>
        <w:tblCellMar>
          <w:left w:w="85" w:type="dxa"/>
          <w:right w:w="85" w:type="dxa"/>
        </w:tblCellMar>
        <w:tblLook w:val="04A0" w:firstRow="1" w:lastRow="0" w:firstColumn="1" w:lastColumn="0" w:noHBand="0" w:noVBand="1"/>
      </w:tblPr>
      <w:tblGrid>
        <w:gridCol w:w="3420"/>
        <w:gridCol w:w="5643"/>
      </w:tblGrid>
      <w:tr w:rsidR="00E74FD6" w:rsidRPr="00F85CA6" w14:paraId="523BAC51" w14:textId="77777777" w:rsidTr="001239C3">
        <w:trPr>
          <w:trHeight w:val="20"/>
          <w:jc w:val="center"/>
        </w:trPr>
        <w:tc>
          <w:tcPr>
            <w:tcW w:w="1887" w:type="pct"/>
            <w:tcBorders>
              <w:top w:val="single" w:sz="4" w:space="0" w:color="auto"/>
              <w:left w:val="single" w:sz="4" w:space="0" w:color="auto"/>
            </w:tcBorders>
            <w:shd w:val="clear" w:color="auto" w:fill="auto"/>
            <w:vAlign w:val="bottom"/>
          </w:tcPr>
          <w:p w14:paraId="623F978A" w14:textId="48760A84" w:rsidR="00E74FD6" w:rsidRPr="00F85CA6" w:rsidRDefault="00E74FD6" w:rsidP="00637A06">
            <w:pPr>
              <w:rPr>
                <w:rFonts w:eastAsia="Calibri"/>
                <w:sz w:val="22"/>
                <w:szCs w:val="22"/>
                <w:lang w:val="sr-Latn-ME" w:bidi="en-US"/>
              </w:rPr>
            </w:pPr>
            <w:r w:rsidRPr="00F85CA6">
              <w:rPr>
                <w:rFonts w:eastAsia="Calibri"/>
                <w:sz w:val="22"/>
                <w:szCs w:val="22"/>
                <w:lang w:val="sr-Latn-ME" w:bidi="en-US"/>
              </w:rPr>
              <w:t>Funkcija bubrega (eGFR u m</w:t>
            </w:r>
            <w:r w:rsidR="000A69CA" w:rsidRPr="00F85CA6">
              <w:rPr>
                <w:rFonts w:eastAsia="Calibri"/>
                <w:sz w:val="22"/>
                <w:szCs w:val="22"/>
                <w:lang w:val="sr-Latn-ME" w:bidi="en-US"/>
              </w:rPr>
              <w:t>l</w:t>
            </w:r>
            <w:r w:rsidRPr="00F85CA6">
              <w:rPr>
                <w:rFonts w:eastAsia="Calibri"/>
                <w:sz w:val="22"/>
                <w:szCs w:val="22"/>
                <w:lang w:val="sr-Latn-ME" w:bidi="en-US"/>
              </w:rPr>
              <w:t>/min/1,73 m</w:t>
            </w:r>
            <w:r w:rsidRPr="00F85CA6">
              <w:rPr>
                <w:rFonts w:eastAsia="Calibri"/>
                <w:sz w:val="22"/>
                <w:szCs w:val="22"/>
                <w:vertAlign w:val="superscript"/>
                <w:lang w:val="sr-Latn-ME" w:bidi="en-US"/>
              </w:rPr>
              <w:t>2</w:t>
            </w:r>
            <w:r w:rsidRPr="00F85CA6">
              <w:rPr>
                <w:rFonts w:eastAsia="Calibri"/>
                <w:sz w:val="22"/>
                <w:szCs w:val="22"/>
                <w:lang w:val="sr-Latn-ME" w:bidi="en-US"/>
              </w:rPr>
              <w:t>)</w:t>
            </w:r>
          </w:p>
        </w:tc>
        <w:tc>
          <w:tcPr>
            <w:tcW w:w="3113" w:type="pct"/>
            <w:tcBorders>
              <w:top w:val="single" w:sz="4" w:space="0" w:color="auto"/>
              <w:left w:val="single" w:sz="4" w:space="0" w:color="auto"/>
              <w:right w:val="single" w:sz="4" w:space="0" w:color="auto"/>
            </w:tcBorders>
            <w:shd w:val="clear" w:color="auto" w:fill="auto"/>
          </w:tcPr>
          <w:p w14:paraId="3CA56512" w14:textId="17C63DE0" w:rsidR="00E74FD6" w:rsidRPr="00F85CA6" w:rsidRDefault="00E74FD6" w:rsidP="00E74FD6">
            <w:pPr>
              <w:jc w:val="center"/>
              <w:rPr>
                <w:rFonts w:eastAsia="Calibri"/>
                <w:sz w:val="22"/>
                <w:szCs w:val="22"/>
                <w:lang w:val="sr-Latn-ME" w:bidi="en-US"/>
              </w:rPr>
            </w:pPr>
            <w:r w:rsidRPr="00F85CA6">
              <w:rPr>
                <w:rFonts w:eastAsia="Calibri"/>
                <w:sz w:val="22"/>
                <w:szCs w:val="22"/>
                <w:lang w:val="sr-Latn-ME" w:bidi="en-US"/>
              </w:rPr>
              <w:t>Prekinuti prim</w:t>
            </w:r>
            <w:r w:rsidR="00B22B4F" w:rsidRPr="00F85CA6">
              <w:rPr>
                <w:rFonts w:eastAsia="Calibri"/>
                <w:sz w:val="22"/>
                <w:szCs w:val="22"/>
                <w:lang w:val="sr-Latn-ME" w:bidi="en-US"/>
              </w:rPr>
              <w:t>j</w:t>
            </w:r>
            <w:r w:rsidRPr="00F85CA6">
              <w:rPr>
                <w:rFonts w:eastAsia="Calibri"/>
                <w:sz w:val="22"/>
                <w:szCs w:val="22"/>
                <w:lang w:val="sr-Latn-ME" w:bidi="en-US"/>
              </w:rPr>
              <w:t>enu dabigatrana pr</w:t>
            </w:r>
            <w:r w:rsidR="00B22B4F" w:rsidRPr="00F85CA6">
              <w:rPr>
                <w:rFonts w:eastAsia="Calibri"/>
                <w:sz w:val="22"/>
                <w:szCs w:val="22"/>
                <w:lang w:val="sr-Latn-ME" w:bidi="en-US"/>
              </w:rPr>
              <w:t>ij</w:t>
            </w:r>
            <w:r w:rsidRPr="00F85CA6">
              <w:rPr>
                <w:rFonts w:eastAsia="Calibri"/>
                <w:sz w:val="22"/>
                <w:szCs w:val="22"/>
                <w:lang w:val="sr-Latn-ME" w:bidi="en-US"/>
              </w:rPr>
              <w:t>e elektivnog hirurškog</w:t>
            </w:r>
          </w:p>
          <w:p w14:paraId="30233882" w14:textId="77777777" w:rsidR="00E74FD6" w:rsidRPr="00F85CA6" w:rsidRDefault="00E74FD6" w:rsidP="00E74FD6">
            <w:pPr>
              <w:jc w:val="center"/>
              <w:rPr>
                <w:rFonts w:eastAsia="Calibri"/>
                <w:sz w:val="22"/>
                <w:szCs w:val="22"/>
                <w:lang w:val="sr-Latn-ME" w:bidi="en-US"/>
              </w:rPr>
            </w:pPr>
            <w:r w:rsidRPr="00F85CA6">
              <w:rPr>
                <w:rFonts w:eastAsia="Calibri"/>
                <w:sz w:val="22"/>
                <w:szCs w:val="22"/>
                <w:lang w:val="sr-Latn-ME" w:bidi="en-US"/>
              </w:rPr>
              <w:t>zahvata</w:t>
            </w:r>
          </w:p>
        </w:tc>
      </w:tr>
      <w:tr w:rsidR="00E74FD6" w:rsidRPr="00F85CA6" w14:paraId="6094C2E7" w14:textId="77777777" w:rsidTr="001239C3">
        <w:trPr>
          <w:trHeight w:val="20"/>
          <w:jc w:val="center"/>
        </w:trPr>
        <w:tc>
          <w:tcPr>
            <w:tcW w:w="1887" w:type="pct"/>
            <w:tcBorders>
              <w:top w:val="single" w:sz="4" w:space="0" w:color="auto"/>
              <w:left w:val="single" w:sz="4" w:space="0" w:color="auto"/>
            </w:tcBorders>
            <w:shd w:val="clear" w:color="auto" w:fill="auto"/>
            <w:vAlign w:val="bottom"/>
          </w:tcPr>
          <w:p w14:paraId="564E7824" w14:textId="4A233A56" w:rsidR="00E74FD6" w:rsidRPr="00F85CA6" w:rsidRDefault="00E74FD6" w:rsidP="00E74FD6">
            <w:pPr>
              <w:jc w:val="both"/>
              <w:rPr>
                <w:rFonts w:eastAsia="Calibri"/>
                <w:sz w:val="22"/>
                <w:szCs w:val="22"/>
                <w:lang w:val="sr-Latn-ME" w:bidi="en-US"/>
              </w:rPr>
            </w:pPr>
            <w:r w:rsidRPr="00F85CA6">
              <w:rPr>
                <w:rFonts w:eastAsia="Calibri"/>
                <w:sz w:val="22"/>
                <w:szCs w:val="22"/>
                <w:lang w:val="sr-Latn-ME" w:bidi="en-US"/>
              </w:rPr>
              <w:t>&gt;</w:t>
            </w:r>
            <w:r w:rsidR="000A69CA" w:rsidRPr="00F85CA6">
              <w:rPr>
                <w:rFonts w:eastAsia="Calibri"/>
                <w:sz w:val="22"/>
                <w:szCs w:val="22"/>
                <w:lang w:val="sr-Latn-ME" w:bidi="en-US"/>
              </w:rPr>
              <w:t xml:space="preserve"> </w:t>
            </w:r>
            <w:r w:rsidRPr="00F85CA6">
              <w:rPr>
                <w:rFonts w:eastAsia="Calibri"/>
                <w:sz w:val="22"/>
                <w:szCs w:val="22"/>
                <w:lang w:val="sr-Latn-ME" w:bidi="en-US"/>
              </w:rPr>
              <w:t>80</w:t>
            </w:r>
          </w:p>
        </w:tc>
        <w:tc>
          <w:tcPr>
            <w:tcW w:w="3113" w:type="pct"/>
            <w:tcBorders>
              <w:top w:val="single" w:sz="4" w:space="0" w:color="auto"/>
              <w:left w:val="single" w:sz="4" w:space="0" w:color="auto"/>
              <w:right w:val="single" w:sz="4" w:space="0" w:color="auto"/>
            </w:tcBorders>
            <w:shd w:val="clear" w:color="auto" w:fill="auto"/>
            <w:vAlign w:val="bottom"/>
          </w:tcPr>
          <w:p w14:paraId="1B63D951" w14:textId="64F65102" w:rsidR="00E74FD6" w:rsidRPr="00F85CA6" w:rsidRDefault="00E74FD6" w:rsidP="00E74FD6">
            <w:pPr>
              <w:jc w:val="center"/>
              <w:rPr>
                <w:rFonts w:eastAsia="Calibri"/>
                <w:sz w:val="22"/>
                <w:szCs w:val="22"/>
                <w:lang w:val="sr-Latn-ME" w:bidi="en-US"/>
              </w:rPr>
            </w:pPr>
            <w:r w:rsidRPr="00F85CA6">
              <w:rPr>
                <w:rFonts w:eastAsia="Calibri"/>
                <w:sz w:val="22"/>
                <w:szCs w:val="22"/>
                <w:lang w:val="sr-Latn-ME" w:bidi="en-US"/>
              </w:rPr>
              <w:t>24 sata pr</w:t>
            </w:r>
            <w:r w:rsidR="00B22B4F" w:rsidRPr="00F85CA6">
              <w:rPr>
                <w:rFonts w:eastAsia="Calibri"/>
                <w:sz w:val="22"/>
                <w:szCs w:val="22"/>
                <w:lang w:val="sr-Latn-ME" w:bidi="en-US"/>
              </w:rPr>
              <w:t>ij</w:t>
            </w:r>
            <w:r w:rsidRPr="00F85CA6">
              <w:rPr>
                <w:rFonts w:eastAsia="Calibri"/>
                <w:sz w:val="22"/>
                <w:szCs w:val="22"/>
                <w:lang w:val="sr-Latn-ME" w:bidi="en-US"/>
              </w:rPr>
              <w:t>e</w:t>
            </w:r>
          </w:p>
        </w:tc>
      </w:tr>
      <w:tr w:rsidR="00E74FD6" w:rsidRPr="00F85CA6" w14:paraId="574A3D5C" w14:textId="77777777" w:rsidTr="001239C3">
        <w:trPr>
          <w:trHeight w:val="20"/>
          <w:jc w:val="center"/>
        </w:trPr>
        <w:tc>
          <w:tcPr>
            <w:tcW w:w="1887" w:type="pct"/>
            <w:tcBorders>
              <w:top w:val="single" w:sz="4" w:space="0" w:color="auto"/>
              <w:left w:val="single" w:sz="4" w:space="0" w:color="auto"/>
            </w:tcBorders>
            <w:shd w:val="clear" w:color="auto" w:fill="auto"/>
            <w:vAlign w:val="bottom"/>
          </w:tcPr>
          <w:p w14:paraId="460606E3" w14:textId="77777777" w:rsidR="00E74FD6" w:rsidRPr="00F85CA6" w:rsidRDefault="00E74FD6" w:rsidP="00E74FD6">
            <w:pPr>
              <w:jc w:val="both"/>
              <w:rPr>
                <w:rFonts w:eastAsia="Calibri"/>
                <w:sz w:val="22"/>
                <w:szCs w:val="22"/>
                <w:lang w:val="sr-Latn-ME" w:bidi="en-US"/>
              </w:rPr>
            </w:pPr>
            <w:r w:rsidRPr="00F85CA6">
              <w:rPr>
                <w:rFonts w:eastAsia="Calibri"/>
                <w:sz w:val="22"/>
                <w:szCs w:val="22"/>
                <w:lang w:val="sr-Latn-ME" w:bidi="en-US"/>
              </w:rPr>
              <w:t>50-80</w:t>
            </w:r>
          </w:p>
        </w:tc>
        <w:tc>
          <w:tcPr>
            <w:tcW w:w="3113" w:type="pct"/>
            <w:tcBorders>
              <w:top w:val="single" w:sz="4" w:space="0" w:color="auto"/>
              <w:left w:val="single" w:sz="4" w:space="0" w:color="auto"/>
              <w:right w:val="single" w:sz="4" w:space="0" w:color="auto"/>
            </w:tcBorders>
            <w:shd w:val="clear" w:color="auto" w:fill="auto"/>
            <w:vAlign w:val="bottom"/>
          </w:tcPr>
          <w:p w14:paraId="70430CAD" w14:textId="72E4FAA5" w:rsidR="00E74FD6" w:rsidRPr="00F85CA6" w:rsidRDefault="00E74FD6" w:rsidP="00E74FD6">
            <w:pPr>
              <w:jc w:val="center"/>
              <w:rPr>
                <w:rFonts w:eastAsia="Calibri"/>
                <w:sz w:val="22"/>
                <w:szCs w:val="22"/>
                <w:lang w:val="sr-Latn-ME" w:bidi="en-US"/>
              </w:rPr>
            </w:pPr>
            <w:r w:rsidRPr="00F85CA6">
              <w:rPr>
                <w:rFonts w:eastAsia="Calibri"/>
                <w:sz w:val="22"/>
                <w:szCs w:val="22"/>
                <w:lang w:val="sr-Latn-ME" w:bidi="en-US"/>
              </w:rPr>
              <w:t>2 dana pr</w:t>
            </w:r>
            <w:r w:rsidR="00B22B4F" w:rsidRPr="00F85CA6">
              <w:rPr>
                <w:rFonts w:eastAsia="Calibri"/>
                <w:sz w:val="22"/>
                <w:szCs w:val="22"/>
                <w:lang w:val="sr-Latn-ME" w:bidi="en-US"/>
              </w:rPr>
              <w:t>ij</w:t>
            </w:r>
            <w:r w:rsidRPr="00F85CA6">
              <w:rPr>
                <w:rFonts w:eastAsia="Calibri"/>
                <w:sz w:val="22"/>
                <w:szCs w:val="22"/>
                <w:lang w:val="sr-Latn-ME" w:bidi="en-US"/>
              </w:rPr>
              <w:t>e</w:t>
            </w:r>
          </w:p>
        </w:tc>
      </w:tr>
      <w:tr w:rsidR="00E74FD6" w:rsidRPr="00F85CA6" w14:paraId="512F5B1D" w14:textId="77777777" w:rsidTr="001239C3">
        <w:trPr>
          <w:trHeight w:val="20"/>
          <w:jc w:val="center"/>
        </w:trPr>
        <w:tc>
          <w:tcPr>
            <w:tcW w:w="1887" w:type="pct"/>
            <w:tcBorders>
              <w:top w:val="single" w:sz="4" w:space="0" w:color="auto"/>
              <w:left w:val="single" w:sz="4" w:space="0" w:color="auto"/>
              <w:bottom w:val="single" w:sz="4" w:space="0" w:color="auto"/>
            </w:tcBorders>
            <w:shd w:val="clear" w:color="auto" w:fill="auto"/>
            <w:vAlign w:val="bottom"/>
          </w:tcPr>
          <w:p w14:paraId="5620DDA5" w14:textId="0288440E" w:rsidR="00E74FD6" w:rsidRPr="00F85CA6" w:rsidRDefault="00E74FD6" w:rsidP="00E74FD6">
            <w:pPr>
              <w:jc w:val="both"/>
              <w:rPr>
                <w:rFonts w:eastAsia="Calibri"/>
                <w:sz w:val="22"/>
                <w:szCs w:val="22"/>
                <w:lang w:val="sr-Latn-ME" w:bidi="en-US"/>
              </w:rPr>
            </w:pPr>
            <w:r w:rsidRPr="00F85CA6">
              <w:rPr>
                <w:rFonts w:eastAsia="Calibri"/>
                <w:sz w:val="22"/>
                <w:szCs w:val="22"/>
                <w:lang w:val="sr-Latn-ME" w:bidi="en-US"/>
              </w:rPr>
              <w:t>&lt;</w:t>
            </w:r>
            <w:r w:rsidR="000A69CA" w:rsidRPr="00F85CA6">
              <w:rPr>
                <w:rFonts w:eastAsia="Calibri"/>
                <w:sz w:val="22"/>
                <w:szCs w:val="22"/>
                <w:lang w:val="sr-Latn-ME" w:bidi="en-US"/>
              </w:rPr>
              <w:t xml:space="preserve"> </w:t>
            </w:r>
            <w:r w:rsidRPr="00F85CA6">
              <w:rPr>
                <w:rFonts w:eastAsia="Calibri"/>
                <w:sz w:val="22"/>
                <w:szCs w:val="22"/>
                <w:lang w:val="sr-Latn-ME" w:bidi="en-US"/>
              </w:rPr>
              <w:t>50</w:t>
            </w:r>
          </w:p>
        </w:tc>
        <w:tc>
          <w:tcPr>
            <w:tcW w:w="3113" w:type="pct"/>
            <w:tcBorders>
              <w:top w:val="single" w:sz="4" w:space="0" w:color="auto"/>
              <w:left w:val="single" w:sz="4" w:space="0" w:color="auto"/>
              <w:bottom w:val="single" w:sz="4" w:space="0" w:color="auto"/>
              <w:right w:val="single" w:sz="4" w:space="0" w:color="auto"/>
            </w:tcBorders>
            <w:shd w:val="clear" w:color="auto" w:fill="auto"/>
            <w:vAlign w:val="bottom"/>
          </w:tcPr>
          <w:p w14:paraId="45E3DA02" w14:textId="1200BDE8" w:rsidR="00E74FD6" w:rsidRPr="00F85CA6" w:rsidRDefault="00E74FD6" w:rsidP="00E74FD6">
            <w:pPr>
              <w:jc w:val="center"/>
              <w:rPr>
                <w:rFonts w:eastAsia="Calibri"/>
                <w:sz w:val="22"/>
                <w:szCs w:val="22"/>
                <w:lang w:val="sr-Latn-ME" w:bidi="en-US"/>
              </w:rPr>
            </w:pPr>
            <w:r w:rsidRPr="00F85CA6">
              <w:rPr>
                <w:rFonts w:eastAsia="Calibri"/>
                <w:sz w:val="22"/>
                <w:szCs w:val="22"/>
                <w:lang w:val="sr-Latn-ME" w:bidi="en-US"/>
              </w:rPr>
              <w:t>Ovi pacijenti ni</w:t>
            </w:r>
            <w:r w:rsidR="002B371E" w:rsidRPr="00F85CA6">
              <w:rPr>
                <w:rFonts w:eastAsia="Calibri"/>
                <w:sz w:val="22"/>
                <w:szCs w:val="22"/>
                <w:lang w:val="sr-Latn-ME" w:bidi="en-US"/>
              </w:rPr>
              <w:t>je</w:t>
            </w:r>
            <w:r w:rsidRPr="00F85CA6">
              <w:rPr>
                <w:rFonts w:eastAsia="Calibri"/>
                <w:sz w:val="22"/>
                <w:szCs w:val="22"/>
                <w:lang w:val="sr-Latn-ME" w:bidi="en-US"/>
              </w:rPr>
              <w:t>su bili ispitivani (vid</w:t>
            </w:r>
            <w:r w:rsidR="00B22B4F" w:rsidRPr="00F85CA6">
              <w:rPr>
                <w:rFonts w:eastAsia="Calibri"/>
                <w:sz w:val="22"/>
                <w:szCs w:val="22"/>
                <w:lang w:val="sr-Latn-ME" w:bidi="en-US"/>
              </w:rPr>
              <w:t>j</w:t>
            </w:r>
            <w:r w:rsidRPr="00F85CA6">
              <w:rPr>
                <w:rFonts w:eastAsia="Calibri"/>
                <w:sz w:val="22"/>
                <w:szCs w:val="22"/>
                <w:lang w:val="sr-Latn-ME" w:bidi="en-US"/>
              </w:rPr>
              <w:t xml:space="preserve">eti </w:t>
            </w:r>
            <w:r w:rsidR="00D26851" w:rsidRPr="00F85CA6">
              <w:rPr>
                <w:rFonts w:eastAsia="Calibri"/>
                <w:sz w:val="22"/>
                <w:szCs w:val="22"/>
                <w:lang w:val="sr-Latn-ME" w:bidi="en-US"/>
              </w:rPr>
              <w:t>dio</w:t>
            </w:r>
            <w:r w:rsidRPr="00F85CA6">
              <w:rPr>
                <w:rFonts w:eastAsia="Calibri"/>
                <w:sz w:val="22"/>
                <w:szCs w:val="22"/>
                <w:lang w:val="sr-Latn-ME" w:bidi="en-US"/>
              </w:rPr>
              <w:t xml:space="preserve"> 4.3).</w:t>
            </w:r>
          </w:p>
        </w:tc>
      </w:tr>
    </w:tbl>
    <w:p w14:paraId="20C73FF4" w14:textId="77777777" w:rsidR="00E74FD6" w:rsidRPr="00F85CA6" w:rsidRDefault="00E74FD6" w:rsidP="00E74FD6">
      <w:pPr>
        <w:jc w:val="both"/>
        <w:rPr>
          <w:rFonts w:eastAsia="Calibri"/>
          <w:sz w:val="22"/>
          <w:szCs w:val="22"/>
          <w:lang w:val="sr-Latn-ME" w:bidi="en-US"/>
        </w:rPr>
      </w:pPr>
    </w:p>
    <w:p w14:paraId="16ED3402" w14:textId="77777777" w:rsidR="00E74FD6" w:rsidRPr="00F85CA6" w:rsidRDefault="00E74FD6" w:rsidP="00E74FD6">
      <w:pPr>
        <w:jc w:val="both"/>
        <w:rPr>
          <w:rFonts w:eastAsia="Calibri"/>
          <w:i/>
          <w:sz w:val="22"/>
          <w:szCs w:val="22"/>
          <w:u w:val="single"/>
          <w:lang w:val="sr-Latn-ME"/>
        </w:rPr>
      </w:pPr>
      <w:r w:rsidRPr="00F85CA6">
        <w:rPr>
          <w:rFonts w:eastAsia="Calibri"/>
          <w:i/>
          <w:sz w:val="22"/>
          <w:szCs w:val="22"/>
          <w:u w:val="single"/>
          <w:lang w:val="sr-Latn-ME"/>
        </w:rPr>
        <w:t>Spinalna anestezija/epiduralna anestezija/lumbalna punkcija</w:t>
      </w:r>
    </w:p>
    <w:p w14:paraId="24F0E554" w14:textId="77777777" w:rsidR="00E74FD6" w:rsidRPr="00F85CA6" w:rsidRDefault="00E74FD6" w:rsidP="00E74FD6">
      <w:pPr>
        <w:jc w:val="both"/>
        <w:rPr>
          <w:rFonts w:eastAsia="Calibri"/>
          <w:i/>
          <w:sz w:val="22"/>
          <w:szCs w:val="22"/>
          <w:u w:val="single"/>
          <w:lang w:val="sr-Latn-ME"/>
        </w:rPr>
      </w:pPr>
    </w:p>
    <w:p w14:paraId="489A8E9F" w14:textId="31FBB7BD" w:rsidR="00E74FD6" w:rsidRPr="00F85CA6" w:rsidRDefault="00E74FD6" w:rsidP="00E74FD6">
      <w:pPr>
        <w:jc w:val="both"/>
        <w:rPr>
          <w:rFonts w:eastAsia="Calibri"/>
          <w:sz w:val="22"/>
          <w:szCs w:val="22"/>
          <w:lang w:val="sr-Latn-ME"/>
        </w:rPr>
      </w:pPr>
      <w:r w:rsidRPr="00F85CA6">
        <w:rPr>
          <w:rFonts w:eastAsia="Calibri"/>
          <w:sz w:val="22"/>
          <w:szCs w:val="22"/>
          <w:lang w:val="sr-Latn-ME"/>
        </w:rPr>
        <w:t>Postupci kao što je spinalna anestezija mogu da zaht</w:t>
      </w:r>
      <w:r w:rsidR="00637A06" w:rsidRPr="00F85CA6">
        <w:rPr>
          <w:rFonts w:eastAsia="Calibri"/>
          <w:sz w:val="22"/>
          <w:szCs w:val="22"/>
          <w:lang w:val="sr-Latn-ME"/>
        </w:rPr>
        <w:t>ij</w:t>
      </w:r>
      <w:r w:rsidRPr="00F85CA6">
        <w:rPr>
          <w:rFonts w:eastAsia="Calibri"/>
          <w:sz w:val="22"/>
          <w:szCs w:val="22"/>
          <w:lang w:val="sr-Latn-ME"/>
        </w:rPr>
        <w:t>evaju potpuno uspostavljanje hemostatske funkcije.</w:t>
      </w:r>
    </w:p>
    <w:p w14:paraId="6C5E520F" w14:textId="77777777" w:rsidR="00E74FD6" w:rsidRPr="00F85CA6" w:rsidRDefault="00E74FD6" w:rsidP="00E74FD6">
      <w:pPr>
        <w:jc w:val="both"/>
        <w:rPr>
          <w:rFonts w:eastAsia="Calibri"/>
          <w:sz w:val="22"/>
          <w:szCs w:val="22"/>
          <w:lang w:val="sr-Latn-ME"/>
        </w:rPr>
      </w:pPr>
    </w:p>
    <w:p w14:paraId="797F03A7" w14:textId="0393D292" w:rsidR="00E74FD6" w:rsidRPr="00F85CA6" w:rsidRDefault="00E74FD6" w:rsidP="00E74FD6">
      <w:pPr>
        <w:jc w:val="both"/>
        <w:rPr>
          <w:rFonts w:eastAsia="Calibri"/>
          <w:sz w:val="22"/>
          <w:szCs w:val="22"/>
          <w:lang w:val="sr-Latn-ME"/>
        </w:rPr>
      </w:pPr>
      <w:r w:rsidRPr="00F85CA6">
        <w:rPr>
          <w:rFonts w:eastAsia="Calibri"/>
          <w:sz w:val="22"/>
          <w:szCs w:val="22"/>
          <w:lang w:val="sr-Latn-ME"/>
        </w:rPr>
        <w:t>Rizik od spinalnog ili epiduralnog hematoma može da bude povećan u slučajevima traumatske ili ponavljane punkcije i produžene upotrebe epiduralnih katetera. Pos</w:t>
      </w:r>
      <w:r w:rsidR="00F7443D" w:rsidRPr="00F85CA6">
        <w:rPr>
          <w:rFonts w:eastAsia="Calibri"/>
          <w:sz w:val="22"/>
          <w:szCs w:val="22"/>
          <w:lang w:val="sr-Latn-ME"/>
        </w:rPr>
        <w:t>lije</w:t>
      </w:r>
      <w:r w:rsidRPr="00F85CA6">
        <w:rPr>
          <w:rFonts w:eastAsia="Calibri"/>
          <w:sz w:val="22"/>
          <w:szCs w:val="22"/>
          <w:lang w:val="sr-Latn-ME"/>
        </w:rPr>
        <w:t xml:space="preserve"> uklanjanja katetera potrebno je da prođe interval od najmanje 2 sata pr</w:t>
      </w:r>
      <w:r w:rsidR="00B22B4F" w:rsidRPr="00F85CA6">
        <w:rPr>
          <w:rFonts w:eastAsia="Calibri"/>
          <w:sz w:val="22"/>
          <w:szCs w:val="22"/>
          <w:lang w:val="sr-Latn-ME"/>
        </w:rPr>
        <w:t>ij</w:t>
      </w:r>
      <w:r w:rsidRPr="00F85CA6">
        <w:rPr>
          <w:rFonts w:eastAsia="Calibri"/>
          <w:sz w:val="22"/>
          <w:szCs w:val="22"/>
          <w:lang w:val="sr-Latn-ME"/>
        </w:rPr>
        <w:t>e prim</w:t>
      </w:r>
      <w:r w:rsidR="00B22B4F" w:rsidRPr="00F85CA6">
        <w:rPr>
          <w:rFonts w:eastAsia="Calibri"/>
          <w:sz w:val="22"/>
          <w:szCs w:val="22"/>
          <w:lang w:val="sr-Latn-ME"/>
        </w:rPr>
        <w:t>j</w:t>
      </w:r>
      <w:r w:rsidRPr="00F85CA6">
        <w:rPr>
          <w:rFonts w:eastAsia="Calibri"/>
          <w:sz w:val="22"/>
          <w:szCs w:val="22"/>
          <w:lang w:val="sr-Latn-ME"/>
        </w:rPr>
        <w:t>ene prve doze dabigatraneteksilata. Ovi pacijenti iziskuju učestalu opservaciju kako bi se prepoznali neurološki znaci i simptomi spinalnog ili epiduralnog hematoma.</w:t>
      </w:r>
    </w:p>
    <w:p w14:paraId="18BC27C3" w14:textId="77777777" w:rsidR="00E74FD6" w:rsidRPr="00F85CA6" w:rsidRDefault="00E74FD6" w:rsidP="00E74FD6">
      <w:pPr>
        <w:jc w:val="both"/>
        <w:rPr>
          <w:rFonts w:eastAsia="Calibri"/>
          <w:sz w:val="22"/>
          <w:szCs w:val="22"/>
          <w:lang w:val="sr-Latn-ME"/>
        </w:rPr>
      </w:pPr>
    </w:p>
    <w:p w14:paraId="054E34B1" w14:textId="77777777" w:rsidR="00E74FD6" w:rsidRPr="00F85CA6" w:rsidRDefault="00E74FD6" w:rsidP="00E74FD6">
      <w:pPr>
        <w:jc w:val="both"/>
        <w:rPr>
          <w:rFonts w:eastAsia="Calibri"/>
          <w:i/>
          <w:sz w:val="22"/>
          <w:szCs w:val="22"/>
          <w:u w:val="single"/>
          <w:lang w:val="sr-Latn-ME"/>
        </w:rPr>
      </w:pPr>
      <w:r w:rsidRPr="00F85CA6">
        <w:rPr>
          <w:rFonts w:eastAsia="Calibri"/>
          <w:i/>
          <w:sz w:val="22"/>
          <w:szCs w:val="22"/>
          <w:u w:val="single"/>
          <w:lang w:val="sr-Latn-ME"/>
        </w:rPr>
        <w:t>Postoperativna faza</w:t>
      </w:r>
    </w:p>
    <w:p w14:paraId="24481D67" w14:textId="77777777" w:rsidR="00E74FD6" w:rsidRPr="00F85CA6" w:rsidRDefault="00E74FD6" w:rsidP="00E74FD6">
      <w:pPr>
        <w:jc w:val="both"/>
        <w:rPr>
          <w:rFonts w:eastAsia="Calibri"/>
          <w:i/>
          <w:sz w:val="22"/>
          <w:szCs w:val="22"/>
          <w:u w:val="single"/>
          <w:lang w:val="sr-Latn-ME"/>
        </w:rPr>
      </w:pPr>
    </w:p>
    <w:p w14:paraId="7D9CCD9C" w14:textId="63477BA6" w:rsidR="00E74FD6" w:rsidRPr="00F85CA6" w:rsidRDefault="00E74FD6" w:rsidP="00E74FD6">
      <w:pPr>
        <w:jc w:val="both"/>
        <w:rPr>
          <w:rFonts w:eastAsia="Calibri"/>
          <w:sz w:val="22"/>
          <w:szCs w:val="22"/>
          <w:lang w:val="sr-Latn-ME"/>
        </w:rPr>
      </w:pPr>
      <w:r w:rsidRPr="00F85CA6">
        <w:rPr>
          <w:rFonts w:eastAsia="Calibri"/>
          <w:sz w:val="22"/>
          <w:szCs w:val="22"/>
          <w:lang w:val="sr-Latn-ME"/>
        </w:rPr>
        <w:t>Terapija dabigatrane</w:t>
      </w:r>
      <w:r w:rsidR="000A69CA" w:rsidRPr="00F85CA6">
        <w:rPr>
          <w:rFonts w:eastAsia="Calibri"/>
          <w:sz w:val="22"/>
          <w:szCs w:val="22"/>
          <w:lang w:val="sr-Latn-ME"/>
        </w:rPr>
        <w:t xml:space="preserve"> </w:t>
      </w:r>
      <w:r w:rsidRPr="00F85CA6">
        <w:rPr>
          <w:rFonts w:eastAsia="Calibri"/>
          <w:sz w:val="22"/>
          <w:szCs w:val="22"/>
          <w:lang w:val="sr-Latn-ME"/>
        </w:rPr>
        <w:t>teksilatom treba da se nastavi/započne posl</w:t>
      </w:r>
      <w:r w:rsidR="00B22B4F" w:rsidRPr="00F85CA6">
        <w:rPr>
          <w:rFonts w:eastAsia="Calibri"/>
          <w:sz w:val="22"/>
          <w:szCs w:val="22"/>
          <w:lang w:val="sr-Latn-ME"/>
        </w:rPr>
        <w:t>ij</w:t>
      </w:r>
      <w:r w:rsidRPr="00F85CA6">
        <w:rPr>
          <w:rFonts w:eastAsia="Calibri"/>
          <w:sz w:val="22"/>
          <w:szCs w:val="22"/>
          <w:lang w:val="sr-Latn-ME"/>
        </w:rPr>
        <w:t>e invazivnog postupka ili hirurške intervencije što je pr</w:t>
      </w:r>
      <w:r w:rsidR="00B22B4F" w:rsidRPr="00F85CA6">
        <w:rPr>
          <w:rFonts w:eastAsia="Calibri"/>
          <w:sz w:val="22"/>
          <w:szCs w:val="22"/>
          <w:lang w:val="sr-Latn-ME"/>
        </w:rPr>
        <w:t>ij</w:t>
      </w:r>
      <w:r w:rsidRPr="00F85CA6">
        <w:rPr>
          <w:rFonts w:eastAsia="Calibri"/>
          <w:sz w:val="22"/>
          <w:szCs w:val="22"/>
          <w:lang w:val="sr-Latn-ME"/>
        </w:rPr>
        <w:t>e moguće, pod uslovom da to dopušta klinička situacija i da je uspostavljena odgovarajuća hemostaza.</w:t>
      </w:r>
    </w:p>
    <w:p w14:paraId="0388C7AC" w14:textId="77777777" w:rsidR="00E74FD6" w:rsidRPr="00F85CA6" w:rsidRDefault="00E74FD6" w:rsidP="00E74FD6">
      <w:pPr>
        <w:jc w:val="both"/>
        <w:rPr>
          <w:rFonts w:eastAsia="Calibri"/>
          <w:sz w:val="22"/>
          <w:szCs w:val="22"/>
          <w:lang w:val="sr-Latn-ME"/>
        </w:rPr>
      </w:pPr>
    </w:p>
    <w:p w14:paraId="3160B779" w14:textId="768A8F7A" w:rsidR="00E74FD6" w:rsidRPr="00F85CA6" w:rsidRDefault="00E74FD6" w:rsidP="00E74FD6">
      <w:pPr>
        <w:jc w:val="both"/>
        <w:rPr>
          <w:rFonts w:eastAsia="Calibri"/>
          <w:sz w:val="22"/>
          <w:szCs w:val="22"/>
          <w:lang w:val="sr-Latn-ME"/>
        </w:rPr>
      </w:pPr>
      <w:r w:rsidRPr="00F85CA6">
        <w:rPr>
          <w:rFonts w:eastAsia="Calibri"/>
          <w:sz w:val="22"/>
          <w:szCs w:val="22"/>
          <w:lang w:val="sr-Latn-ME"/>
        </w:rPr>
        <w:t>Pacijente sa rizikom od krvarenja ili pacijente sa rizikom od prevelike izloženosti, naročito pacijente sa smanjenom funkcijom bubrega (vid</w:t>
      </w:r>
      <w:r w:rsidR="00B22B4F" w:rsidRPr="00F85CA6">
        <w:rPr>
          <w:rFonts w:eastAsia="Calibri"/>
          <w:sz w:val="22"/>
          <w:szCs w:val="22"/>
          <w:lang w:val="sr-Latn-ME"/>
        </w:rPr>
        <w:t>j</w:t>
      </w:r>
      <w:r w:rsidRPr="00F85CA6">
        <w:rPr>
          <w:rFonts w:eastAsia="Calibri"/>
          <w:sz w:val="22"/>
          <w:szCs w:val="22"/>
          <w:lang w:val="sr-Latn-ME"/>
        </w:rPr>
        <w:t>eti takođe tabelu 5), treba l</w:t>
      </w:r>
      <w:r w:rsidR="00F7443D" w:rsidRPr="00F85CA6">
        <w:rPr>
          <w:rFonts w:eastAsia="Calibri"/>
          <w:sz w:val="22"/>
          <w:szCs w:val="22"/>
          <w:lang w:val="sr-Latn-ME"/>
        </w:rPr>
        <w:t>ij</w:t>
      </w:r>
      <w:r w:rsidRPr="00F85CA6">
        <w:rPr>
          <w:rFonts w:eastAsia="Calibri"/>
          <w:sz w:val="22"/>
          <w:szCs w:val="22"/>
          <w:lang w:val="sr-Latn-ME"/>
        </w:rPr>
        <w:t>ečiti oprezno (vid</w:t>
      </w:r>
      <w:r w:rsidR="00B22B4F" w:rsidRPr="00F85CA6">
        <w:rPr>
          <w:rFonts w:eastAsia="Calibri"/>
          <w:sz w:val="22"/>
          <w:szCs w:val="22"/>
          <w:lang w:val="sr-Latn-ME"/>
        </w:rPr>
        <w:t>j</w:t>
      </w:r>
      <w:r w:rsidRPr="00F85CA6">
        <w:rPr>
          <w:rFonts w:eastAsia="Calibri"/>
          <w:sz w:val="22"/>
          <w:szCs w:val="22"/>
          <w:lang w:val="sr-Latn-ME"/>
        </w:rPr>
        <w:t xml:space="preserve">eti </w:t>
      </w:r>
      <w:r w:rsidR="00F7443D" w:rsidRPr="00F85CA6">
        <w:rPr>
          <w:rFonts w:eastAsia="Calibri"/>
          <w:sz w:val="22"/>
          <w:szCs w:val="22"/>
          <w:lang w:val="sr-Latn-ME"/>
        </w:rPr>
        <w:t>djelove</w:t>
      </w:r>
      <w:r w:rsidRPr="00F85CA6">
        <w:rPr>
          <w:rFonts w:eastAsia="Calibri"/>
          <w:sz w:val="22"/>
          <w:szCs w:val="22"/>
          <w:lang w:val="sr-Latn-ME"/>
        </w:rPr>
        <w:t xml:space="preserve"> 4.4 i 5.1). </w:t>
      </w:r>
    </w:p>
    <w:p w14:paraId="666B7A51" w14:textId="77777777" w:rsidR="00E74FD6" w:rsidRPr="00F85CA6" w:rsidRDefault="00E74FD6" w:rsidP="00E74FD6">
      <w:pPr>
        <w:jc w:val="both"/>
        <w:rPr>
          <w:rFonts w:eastAsia="Calibri"/>
          <w:sz w:val="22"/>
          <w:szCs w:val="22"/>
          <w:lang w:val="sr-Latn-ME"/>
        </w:rPr>
      </w:pPr>
    </w:p>
    <w:p w14:paraId="44405BB4" w14:textId="77777777" w:rsidR="00E74FD6" w:rsidRPr="00F85CA6" w:rsidRDefault="00E74FD6" w:rsidP="00E74FD6">
      <w:pPr>
        <w:jc w:val="both"/>
        <w:rPr>
          <w:rFonts w:eastAsia="Calibri"/>
          <w:sz w:val="22"/>
          <w:szCs w:val="22"/>
          <w:u w:val="single"/>
          <w:lang w:val="sr-Latn-ME"/>
        </w:rPr>
      </w:pPr>
      <w:r w:rsidRPr="00F85CA6">
        <w:rPr>
          <w:rFonts w:eastAsia="Calibri"/>
          <w:sz w:val="22"/>
          <w:szCs w:val="22"/>
          <w:u w:val="single"/>
          <w:lang w:val="sr-Latn-ME"/>
        </w:rPr>
        <w:t>Pacijenti pod visokim rizikom od intraoperativnog mortaliteta i sa intrinzičnim faktorima rizika za tromboembolijske događaje</w:t>
      </w:r>
    </w:p>
    <w:p w14:paraId="740ADFE7" w14:textId="77777777" w:rsidR="00E74FD6" w:rsidRPr="00F85CA6" w:rsidRDefault="00E74FD6" w:rsidP="00E74FD6">
      <w:pPr>
        <w:jc w:val="both"/>
        <w:rPr>
          <w:rFonts w:eastAsia="Calibri"/>
          <w:sz w:val="22"/>
          <w:szCs w:val="22"/>
          <w:u w:val="single"/>
          <w:lang w:val="sr-Latn-ME"/>
        </w:rPr>
      </w:pPr>
    </w:p>
    <w:p w14:paraId="603CA71D" w14:textId="4D429E02" w:rsidR="00E74FD6" w:rsidRPr="00F85CA6" w:rsidRDefault="00E74FD6" w:rsidP="00E74FD6">
      <w:pPr>
        <w:jc w:val="both"/>
        <w:rPr>
          <w:rFonts w:eastAsia="Calibri"/>
          <w:sz w:val="22"/>
          <w:szCs w:val="22"/>
          <w:lang w:val="sr-Latn-ME"/>
        </w:rPr>
      </w:pPr>
      <w:r w:rsidRPr="00F85CA6">
        <w:rPr>
          <w:rFonts w:eastAsia="Calibri"/>
          <w:sz w:val="22"/>
          <w:szCs w:val="22"/>
          <w:lang w:val="sr-Latn-ME"/>
        </w:rPr>
        <w:t>Podaci o efikasnosti i bezb</w:t>
      </w:r>
      <w:r w:rsidR="00B22B4F" w:rsidRPr="00F85CA6">
        <w:rPr>
          <w:rFonts w:eastAsia="Calibri"/>
          <w:sz w:val="22"/>
          <w:szCs w:val="22"/>
          <w:lang w:val="sr-Latn-ME"/>
        </w:rPr>
        <w:t>j</w:t>
      </w:r>
      <w:r w:rsidRPr="00F85CA6">
        <w:rPr>
          <w:rFonts w:eastAsia="Calibri"/>
          <w:sz w:val="22"/>
          <w:szCs w:val="22"/>
          <w:lang w:val="sr-Latn-ME"/>
        </w:rPr>
        <w:t>ednosti dabigatraneteksilata za ovu grupu pacijenata su ograničeni, pa je stoga potreban oprez pri njihovom l</w:t>
      </w:r>
      <w:r w:rsidR="00B22B4F" w:rsidRPr="00F85CA6">
        <w:rPr>
          <w:rFonts w:eastAsia="Calibri"/>
          <w:sz w:val="22"/>
          <w:szCs w:val="22"/>
          <w:lang w:val="sr-Latn-ME"/>
        </w:rPr>
        <w:t>ij</w:t>
      </w:r>
      <w:r w:rsidRPr="00F85CA6">
        <w:rPr>
          <w:rFonts w:eastAsia="Calibri"/>
          <w:sz w:val="22"/>
          <w:szCs w:val="22"/>
          <w:lang w:val="sr-Latn-ME"/>
        </w:rPr>
        <w:t xml:space="preserve">ečenju. </w:t>
      </w:r>
    </w:p>
    <w:p w14:paraId="11E3E9AA" w14:textId="77777777" w:rsidR="00E74FD6" w:rsidRPr="00F85CA6" w:rsidRDefault="00E74FD6" w:rsidP="00E74FD6">
      <w:pPr>
        <w:jc w:val="both"/>
        <w:rPr>
          <w:rFonts w:eastAsia="Calibri"/>
          <w:sz w:val="22"/>
          <w:szCs w:val="22"/>
          <w:lang w:val="sr-Latn-ME"/>
        </w:rPr>
      </w:pPr>
    </w:p>
    <w:p w14:paraId="6F87E856" w14:textId="77777777" w:rsidR="00E74FD6" w:rsidRPr="00F85CA6" w:rsidRDefault="00E74FD6" w:rsidP="00E74FD6">
      <w:pPr>
        <w:jc w:val="both"/>
        <w:rPr>
          <w:rFonts w:eastAsia="Calibri"/>
          <w:sz w:val="22"/>
          <w:szCs w:val="22"/>
          <w:u w:val="single"/>
          <w:lang w:val="sr-Latn-ME"/>
        </w:rPr>
      </w:pPr>
      <w:r w:rsidRPr="00F85CA6">
        <w:rPr>
          <w:rFonts w:eastAsia="Calibri"/>
          <w:sz w:val="22"/>
          <w:szCs w:val="22"/>
          <w:u w:val="single"/>
          <w:lang w:val="sr-Latn-ME"/>
        </w:rPr>
        <w:t>Hirurški zahvat kod preloma kuka</w:t>
      </w:r>
    </w:p>
    <w:p w14:paraId="4BE91351" w14:textId="77777777" w:rsidR="00E74FD6" w:rsidRPr="00F85CA6" w:rsidRDefault="00E74FD6" w:rsidP="00E74FD6">
      <w:pPr>
        <w:jc w:val="both"/>
        <w:rPr>
          <w:rFonts w:eastAsia="Calibri"/>
          <w:sz w:val="22"/>
          <w:szCs w:val="22"/>
          <w:u w:val="single"/>
          <w:lang w:val="sr-Latn-ME"/>
        </w:rPr>
      </w:pPr>
    </w:p>
    <w:p w14:paraId="4796EFCE" w14:textId="3070D97C" w:rsidR="00E74FD6" w:rsidRPr="00F85CA6" w:rsidRDefault="00E74FD6" w:rsidP="00E74FD6">
      <w:pPr>
        <w:jc w:val="both"/>
        <w:rPr>
          <w:rFonts w:eastAsia="Calibri"/>
          <w:sz w:val="22"/>
          <w:szCs w:val="22"/>
          <w:lang w:val="sr-Latn-ME"/>
        </w:rPr>
      </w:pPr>
      <w:r w:rsidRPr="00F85CA6">
        <w:rPr>
          <w:rFonts w:eastAsia="Calibri"/>
          <w:sz w:val="22"/>
          <w:szCs w:val="22"/>
          <w:lang w:val="sr-Latn-ME"/>
        </w:rPr>
        <w:t>Nema podataka o upotrebi dabigatraneteksilata kod pacijenata koji se podvrgavaju hirurškom zahvatu zbog preloma kuka. Stoga se ova terapija ne preporučuje.</w:t>
      </w:r>
    </w:p>
    <w:p w14:paraId="6AEBAD6D" w14:textId="77777777" w:rsidR="00E74FD6" w:rsidRPr="00F85CA6" w:rsidRDefault="00E74FD6" w:rsidP="00E74FD6">
      <w:pPr>
        <w:jc w:val="both"/>
        <w:rPr>
          <w:rFonts w:eastAsia="Calibri"/>
          <w:iCs/>
          <w:sz w:val="22"/>
          <w:szCs w:val="22"/>
          <w:u w:val="single"/>
          <w:lang w:val="sr-Latn-ME"/>
        </w:rPr>
      </w:pPr>
      <w:r w:rsidRPr="00F85CA6">
        <w:rPr>
          <w:rFonts w:eastAsia="Calibri"/>
          <w:iCs/>
          <w:sz w:val="22"/>
          <w:szCs w:val="22"/>
          <w:u w:val="single"/>
          <w:lang w:val="sr-Latn-ME"/>
        </w:rPr>
        <w:lastRenderedPageBreak/>
        <w:t>Oštećenje funkcije jetre</w:t>
      </w:r>
    </w:p>
    <w:p w14:paraId="6E691027" w14:textId="77777777" w:rsidR="00E74FD6" w:rsidRPr="00F85CA6" w:rsidRDefault="00E74FD6" w:rsidP="00E74FD6">
      <w:pPr>
        <w:jc w:val="both"/>
        <w:rPr>
          <w:rFonts w:eastAsia="Calibri"/>
          <w:iCs/>
          <w:sz w:val="22"/>
          <w:szCs w:val="22"/>
          <w:u w:val="single"/>
          <w:lang w:val="sr-Latn-ME"/>
        </w:rPr>
      </w:pPr>
    </w:p>
    <w:p w14:paraId="4F9D9530" w14:textId="4D15211F" w:rsidR="00E74FD6" w:rsidRPr="00F85CA6" w:rsidRDefault="00E74FD6" w:rsidP="00E74FD6">
      <w:pPr>
        <w:jc w:val="both"/>
        <w:rPr>
          <w:rFonts w:eastAsia="Calibri"/>
          <w:sz w:val="22"/>
          <w:szCs w:val="22"/>
          <w:lang w:val="sr-Latn-ME"/>
        </w:rPr>
      </w:pPr>
      <w:r w:rsidRPr="00F85CA6">
        <w:rPr>
          <w:rFonts w:eastAsia="Calibri"/>
          <w:sz w:val="22"/>
          <w:szCs w:val="22"/>
          <w:lang w:val="sr-Latn-ME"/>
        </w:rPr>
        <w:t>Pacijenti sa povećanim vr</w:t>
      </w:r>
      <w:r w:rsidR="00B22B4F" w:rsidRPr="00F85CA6">
        <w:rPr>
          <w:rFonts w:eastAsia="Calibri"/>
          <w:sz w:val="22"/>
          <w:szCs w:val="22"/>
          <w:lang w:val="sr-Latn-ME"/>
        </w:rPr>
        <w:t>ij</w:t>
      </w:r>
      <w:r w:rsidRPr="00F85CA6">
        <w:rPr>
          <w:rFonts w:eastAsia="Calibri"/>
          <w:sz w:val="22"/>
          <w:szCs w:val="22"/>
          <w:lang w:val="sr-Latn-ME"/>
        </w:rPr>
        <w:t>ednostima enzima jetre &gt;</w:t>
      </w:r>
      <w:r w:rsidR="000A69CA" w:rsidRPr="00F85CA6">
        <w:rPr>
          <w:rFonts w:eastAsia="Calibri"/>
          <w:sz w:val="22"/>
          <w:szCs w:val="22"/>
          <w:lang w:val="sr-Latn-ME"/>
        </w:rPr>
        <w:t xml:space="preserve"> </w:t>
      </w:r>
      <w:r w:rsidRPr="00F85CA6">
        <w:rPr>
          <w:rFonts w:eastAsia="Calibri"/>
          <w:sz w:val="22"/>
          <w:szCs w:val="22"/>
          <w:lang w:val="sr-Latn-ME"/>
        </w:rPr>
        <w:t>2 GGN bili su isključeni iz glavnih ispitivanja. Ne postoji iskustvo za ovu subpopulaciju pacijenata, te se stoga upotreba dabigatraneteksilata u ovoj populaciji ne preporučuje. Dabigatrane</w:t>
      </w:r>
      <w:r w:rsidR="000A69CA" w:rsidRPr="00F85CA6">
        <w:rPr>
          <w:rFonts w:eastAsia="Calibri"/>
          <w:sz w:val="22"/>
          <w:szCs w:val="22"/>
          <w:lang w:val="sr-Latn-ME"/>
        </w:rPr>
        <w:t xml:space="preserve"> </w:t>
      </w:r>
      <w:r w:rsidRPr="00F85CA6">
        <w:rPr>
          <w:rFonts w:eastAsia="Calibri"/>
          <w:sz w:val="22"/>
          <w:szCs w:val="22"/>
          <w:lang w:val="sr-Latn-ME"/>
        </w:rPr>
        <w:t>teksilat je kontraindikovan kod o</w:t>
      </w:r>
      <w:r w:rsidRPr="00F85CA6">
        <w:rPr>
          <w:rFonts w:eastAsia="Calibri"/>
          <w:iCs/>
          <w:sz w:val="22"/>
          <w:szCs w:val="22"/>
          <w:lang w:val="sr-Latn-ME"/>
        </w:rPr>
        <w:t>štećenja funkcije</w:t>
      </w:r>
      <w:r w:rsidR="00B22B4F" w:rsidRPr="00F85CA6">
        <w:rPr>
          <w:rFonts w:eastAsia="Calibri"/>
          <w:iCs/>
          <w:sz w:val="22"/>
          <w:szCs w:val="22"/>
          <w:lang w:val="sr-Latn-ME"/>
        </w:rPr>
        <w:t xml:space="preserve"> </w:t>
      </w:r>
      <w:r w:rsidRPr="00F85CA6">
        <w:rPr>
          <w:rFonts w:eastAsia="Calibri"/>
          <w:sz w:val="22"/>
          <w:szCs w:val="22"/>
          <w:lang w:val="sr-Latn-ME"/>
        </w:rPr>
        <w:t>jetre ili oboljenja jetre koje mogu imati uticaj na preživljavanje (vid</w:t>
      </w:r>
      <w:r w:rsidR="00B22B4F" w:rsidRPr="00F85CA6">
        <w:rPr>
          <w:rFonts w:eastAsia="Calibri"/>
          <w:sz w:val="22"/>
          <w:szCs w:val="22"/>
          <w:lang w:val="sr-Latn-ME"/>
        </w:rPr>
        <w:t>j</w:t>
      </w:r>
      <w:r w:rsidRPr="00F85CA6">
        <w:rPr>
          <w:rFonts w:eastAsia="Calibri"/>
          <w:sz w:val="22"/>
          <w:szCs w:val="22"/>
          <w:lang w:val="sr-Latn-ME"/>
        </w:rPr>
        <w:t xml:space="preserve">eti </w:t>
      </w:r>
      <w:r w:rsidR="00F7443D" w:rsidRPr="00F85CA6">
        <w:rPr>
          <w:rFonts w:eastAsia="Calibri"/>
          <w:sz w:val="22"/>
          <w:szCs w:val="22"/>
          <w:lang w:val="sr-Latn-ME"/>
        </w:rPr>
        <w:t>dio</w:t>
      </w:r>
      <w:r w:rsidRPr="00F85CA6">
        <w:rPr>
          <w:rFonts w:eastAsia="Calibri"/>
          <w:sz w:val="22"/>
          <w:szCs w:val="22"/>
          <w:lang w:val="sr-Latn-ME"/>
        </w:rPr>
        <w:t xml:space="preserve"> 4.3).</w:t>
      </w:r>
    </w:p>
    <w:p w14:paraId="6B71375D" w14:textId="77777777" w:rsidR="00E74FD6" w:rsidRPr="00F85CA6" w:rsidRDefault="00E74FD6" w:rsidP="00E74FD6">
      <w:pPr>
        <w:jc w:val="both"/>
        <w:rPr>
          <w:rFonts w:eastAsia="Calibri"/>
          <w:sz w:val="22"/>
          <w:szCs w:val="22"/>
          <w:lang w:val="sr-Latn-ME"/>
        </w:rPr>
      </w:pPr>
    </w:p>
    <w:p w14:paraId="7165DE52" w14:textId="77777777" w:rsidR="00E74FD6" w:rsidRPr="00F85CA6" w:rsidRDefault="00E74FD6" w:rsidP="00E74FD6">
      <w:pPr>
        <w:jc w:val="both"/>
        <w:rPr>
          <w:rFonts w:eastAsia="Calibri"/>
          <w:sz w:val="22"/>
          <w:szCs w:val="22"/>
          <w:u w:val="single"/>
          <w:lang w:val="sr-Latn-ME"/>
        </w:rPr>
      </w:pPr>
      <w:r w:rsidRPr="00F85CA6">
        <w:rPr>
          <w:rFonts w:eastAsia="Calibri"/>
          <w:sz w:val="22"/>
          <w:szCs w:val="22"/>
          <w:u w:val="single"/>
          <w:lang w:val="sr-Latn-ME"/>
        </w:rPr>
        <w:t>Interakcije sa P-g induktorima</w:t>
      </w:r>
    </w:p>
    <w:p w14:paraId="6C0EF396" w14:textId="77777777" w:rsidR="00E74FD6" w:rsidRPr="00F85CA6" w:rsidRDefault="00E74FD6" w:rsidP="00E74FD6">
      <w:pPr>
        <w:jc w:val="both"/>
        <w:rPr>
          <w:rFonts w:eastAsia="Calibri"/>
          <w:sz w:val="22"/>
          <w:szCs w:val="22"/>
          <w:u w:val="single"/>
          <w:lang w:val="sr-Latn-ME"/>
        </w:rPr>
      </w:pPr>
    </w:p>
    <w:p w14:paraId="14A3AED1" w14:textId="06AE906D" w:rsidR="00E74FD6" w:rsidRPr="00F85CA6" w:rsidRDefault="00E74FD6" w:rsidP="00E74FD6">
      <w:pPr>
        <w:jc w:val="both"/>
        <w:rPr>
          <w:rFonts w:eastAsia="Calibri"/>
          <w:sz w:val="22"/>
          <w:szCs w:val="22"/>
          <w:lang w:val="sr-Latn-ME"/>
        </w:rPr>
      </w:pPr>
      <w:r w:rsidRPr="00F85CA6">
        <w:rPr>
          <w:rFonts w:eastAsia="Calibri"/>
          <w:sz w:val="22"/>
          <w:szCs w:val="22"/>
          <w:lang w:val="sr-Latn-ME"/>
        </w:rPr>
        <w:t>Smatra se da istovremena prim</w:t>
      </w:r>
      <w:r w:rsidR="00B22B4F" w:rsidRPr="00F85CA6">
        <w:rPr>
          <w:rFonts w:eastAsia="Calibri"/>
          <w:sz w:val="22"/>
          <w:szCs w:val="22"/>
          <w:lang w:val="sr-Latn-ME"/>
        </w:rPr>
        <w:t>j</w:t>
      </w:r>
      <w:r w:rsidRPr="00F85CA6">
        <w:rPr>
          <w:rFonts w:eastAsia="Calibri"/>
          <w:sz w:val="22"/>
          <w:szCs w:val="22"/>
          <w:lang w:val="sr-Latn-ME"/>
        </w:rPr>
        <w:t>ena P-g induktora može da izazove smanjen</w:t>
      </w:r>
      <w:r w:rsidR="00B22B4F" w:rsidRPr="00F85CA6">
        <w:rPr>
          <w:rFonts w:eastAsia="Calibri"/>
          <w:sz w:val="22"/>
          <w:szCs w:val="22"/>
          <w:lang w:val="sr-Latn-ME"/>
        </w:rPr>
        <w:t>j</w:t>
      </w:r>
      <w:r w:rsidRPr="00F85CA6">
        <w:rPr>
          <w:rFonts w:eastAsia="Calibri"/>
          <w:sz w:val="22"/>
          <w:szCs w:val="22"/>
          <w:lang w:val="sr-Latn-ME"/>
        </w:rPr>
        <w:t>e koncentracija dabigatrana u plazmi i treba je izb</w:t>
      </w:r>
      <w:r w:rsidR="00F7443D" w:rsidRPr="00F85CA6">
        <w:rPr>
          <w:rFonts w:eastAsia="Calibri"/>
          <w:sz w:val="22"/>
          <w:szCs w:val="22"/>
          <w:lang w:val="sr-Latn-ME"/>
        </w:rPr>
        <w:t>j</w:t>
      </w:r>
      <w:r w:rsidRPr="00F85CA6">
        <w:rPr>
          <w:rFonts w:eastAsia="Calibri"/>
          <w:sz w:val="22"/>
          <w:szCs w:val="22"/>
          <w:lang w:val="sr-Latn-ME"/>
        </w:rPr>
        <w:t>egavati (vid</w:t>
      </w:r>
      <w:r w:rsidR="00B22B4F" w:rsidRPr="00F85CA6">
        <w:rPr>
          <w:rFonts w:eastAsia="Calibri"/>
          <w:sz w:val="22"/>
          <w:szCs w:val="22"/>
          <w:lang w:val="sr-Latn-ME"/>
        </w:rPr>
        <w:t>j</w:t>
      </w:r>
      <w:r w:rsidRPr="00F85CA6">
        <w:rPr>
          <w:rFonts w:eastAsia="Calibri"/>
          <w:sz w:val="22"/>
          <w:szCs w:val="22"/>
          <w:lang w:val="sr-Latn-ME"/>
        </w:rPr>
        <w:t xml:space="preserve">eti </w:t>
      </w:r>
      <w:r w:rsidR="00F7443D" w:rsidRPr="00F85CA6">
        <w:rPr>
          <w:rFonts w:eastAsia="Calibri"/>
          <w:sz w:val="22"/>
          <w:szCs w:val="22"/>
          <w:lang w:val="sr-Latn-ME"/>
        </w:rPr>
        <w:t>djelove</w:t>
      </w:r>
      <w:r w:rsidRPr="00F85CA6">
        <w:rPr>
          <w:rFonts w:eastAsia="Calibri"/>
          <w:sz w:val="22"/>
          <w:szCs w:val="22"/>
          <w:lang w:val="sr-Latn-ME"/>
        </w:rPr>
        <w:t xml:space="preserve"> 4.5 i 5.2).</w:t>
      </w:r>
    </w:p>
    <w:p w14:paraId="66763C00" w14:textId="77777777" w:rsidR="00E74FD6" w:rsidRPr="00F85CA6" w:rsidRDefault="00E74FD6" w:rsidP="00E74FD6">
      <w:pPr>
        <w:jc w:val="both"/>
        <w:rPr>
          <w:rFonts w:eastAsia="Calibri"/>
          <w:sz w:val="22"/>
          <w:szCs w:val="22"/>
          <w:lang w:val="sr-Latn-ME"/>
        </w:rPr>
      </w:pPr>
    </w:p>
    <w:p w14:paraId="60E8AF0E" w14:textId="77777777" w:rsidR="00E74FD6" w:rsidRPr="00F85CA6" w:rsidRDefault="00E74FD6" w:rsidP="00E74FD6">
      <w:pPr>
        <w:jc w:val="both"/>
        <w:rPr>
          <w:rFonts w:eastAsia="Calibri"/>
          <w:sz w:val="22"/>
          <w:szCs w:val="22"/>
          <w:u w:val="single"/>
          <w:lang w:val="sr-Latn-ME"/>
        </w:rPr>
      </w:pPr>
      <w:r w:rsidRPr="00F85CA6">
        <w:rPr>
          <w:rFonts w:eastAsia="Calibri"/>
          <w:sz w:val="22"/>
          <w:szCs w:val="22"/>
          <w:u w:val="single"/>
          <w:lang w:val="sr-Latn-ME"/>
        </w:rPr>
        <w:t>Pacijenti sa antifosfolipidnim sindromom</w:t>
      </w:r>
    </w:p>
    <w:p w14:paraId="59908ADE" w14:textId="77777777" w:rsidR="00E74FD6" w:rsidRPr="00F85CA6" w:rsidRDefault="00E74FD6" w:rsidP="00E74FD6">
      <w:pPr>
        <w:jc w:val="both"/>
        <w:rPr>
          <w:rFonts w:eastAsia="Calibri"/>
          <w:sz w:val="22"/>
          <w:szCs w:val="22"/>
          <w:u w:val="single"/>
          <w:lang w:val="sr-Latn-ME"/>
        </w:rPr>
      </w:pPr>
    </w:p>
    <w:p w14:paraId="192C5E3D" w14:textId="4F3B6F8F" w:rsidR="00E74FD6" w:rsidRPr="00F85CA6" w:rsidRDefault="00E74FD6" w:rsidP="00E74FD6">
      <w:pPr>
        <w:jc w:val="both"/>
        <w:rPr>
          <w:rFonts w:eastAsia="Calibri"/>
          <w:sz w:val="22"/>
          <w:szCs w:val="22"/>
          <w:lang w:val="sr-Latn-ME"/>
        </w:rPr>
      </w:pPr>
      <w:r w:rsidRPr="00F85CA6">
        <w:rPr>
          <w:rFonts w:eastAsia="Calibri"/>
          <w:sz w:val="22"/>
          <w:szCs w:val="22"/>
          <w:lang w:val="sr-Latn-ME"/>
        </w:rPr>
        <w:t>Direktno d</w:t>
      </w:r>
      <w:r w:rsidR="00B22B4F" w:rsidRPr="00F85CA6">
        <w:rPr>
          <w:rFonts w:eastAsia="Calibri"/>
          <w:sz w:val="22"/>
          <w:szCs w:val="22"/>
          <w:lang w:val="sr-Latn-ME"/>
        </w:rPr>
        <w:t>j</w:t>
      </w:r>
      <w:r w:rsidRPr="00F85CA6">
        <w:rPr>
          <w:rFonts w:eastAsia="Calibri"/>
          <w:sz w:val="22"/>
          <w:szCs w:val="22"/>
          <w:lang w:val="sr-Latn-ME"/>
        </w:rPr>
        <w:t>elujući oralni antikoagulansi (</w:t>
      </w:r>
      <w:bookmarkStart w:id="11" w:name="_Hlk83111120"/>
      <w:r w:rsidRPr="00F85CA6">
        <w:rPr>
          <w:rFonts w:eastAsia="Calibri"/>
          <w:sz w:val="22"/>
          <w:szCs w:val="22"/>
          <w:lang w:val="sr-Latn-ME"/>
        </w:rPr>
        <w:t xml:space="preserve">engl. </w:t>
      </w:r>
      <w:r w:rsidRPr="00F85CA6">
        <w:rPr>
          <w:rFonts w:eastAsia="Calibri"/>
          <w:i/>
          <w:iCs/>
          <w:sz w:val="22"/>
          <w:szCs w:val="22"/>
          <w:lang w:val="sr-Latn-ME"/>
        </w:rPr>
        <w:t>Direct acting Oral Anticoagulants</w:t>
      </w:r>
      <w:r w:rsidRPr="00F85CA6">
        <w:rPr>
          <w:rFonts w:eastAsia="Calibri"/>
          <w:sz w:val="22"/>
          <w:szCs w:val="22"/>
          <w:lang w:val="sr-Latn-ME"/>
        </w:rPr>
        <w:t xml:space="preserve">, </w:t>
      </w:r>
      <w:bookmarkEnd w:id="11"/>
      <w:r w:rsidRPr="00F85CA6">
        <w:rPr>
          <w:rFonts w:eastAsia="Calibri"/>
          <w:sz w:val="22"/>
          <w:szCs w:val="22"/>
          <w:lang w:val="sr-Latn-ME"/>
        </w:rPr>
        <w:t>DOAC), uključujući dabigatrane</w:t>
      </w:r>
      <w:r w:rsidR="000A69CA" w:rsidRPr="00F85CA6">
        <w:rPr>
          <w:rFonts w:eastAsia="Calibri"/>
          <w:sz w:val="22"/>
          <w:szCs w:val="22"/>
          <w:lang w:val="sr-Latn-ME"/>
        </w:rPr>
        <w:t xml:space="preserve"> </w:t>
      </w:r>
      <w:r w:rsidRPr="00F85CA6">
        <w:rPr>
          <w:rFonts w:eastAsia="Calibri"/>
          <w:sz w:val="22"/>
          <w:szCs w:val="22"/>
          <w:lang w:val="sr-Latn-ME"/>
        </w:rPr>
        <w:t>teksilat, se ne preporučuju kod pacijenata koji u istoriji bolesti imaju trombozu, a dijagnostikovan im je antifosfolipidni sindrom. Naročito se ne preporučuju kod pacijenata koji su trostruko pozitivni (na lupus antikoagulans, antikardiolipinska antit</w:t>
      </w:r>
      <w:r w:rsidR="000A69CA" w:rsidRPr="00F85CA6">
        <w:rPr>
          <w:rFonts w:eastAsia="Calibri"/>
          <w:sz w:val="22"/>
          <w:szCs w:val="22"/>
          <w:lang w:val="sr-Latn-ME"/>
        </w:rPr>
        <w:t>ij</w:t>
      </w:r>
      <w:r w:rsidRPr="00F85CA6">
        <w:rPr>
          <w:rFonts w:eastAsia="Calibri"/>
          <w:sz w:val="22"/>
          <w:szCs w:val="22"/>
          <w:lang w:val="sr-Latn-ME"/>
        </w:rPr>
        <w:t xml:space="preserve">ela i anti-beta-2 glikoprotein </w:t>
      </w:r>
      <w:r w:rsidR="00CD1E14" w:rsidRPr="00F85CA6">
        <w:rPr>
          <w:rFonts w:eastAsia="Calibri"/>
          <w:sz w:val="22"/>
          <w:szCs w:val="22"/>
          <w:lang w:val="sr-Latn-ME"/>
        </w:rPr>
        <w:t>i</w:t>
      </w:r>
      <w:r w:rsidRPr="00F85CA6">
        <w:rPr>
          <w:rFonts w:eastAsia="Calibri"/>
          <w:sz w:val="22"/>
          <w:szCs w:val="22"/>
          <w:lang w:val="sr-Latn-ME"/>
        </w:rPr>
        <w:t xml:space="preserve"> antit</w:t>
      </w:r>
      <w:r w:rsidR="000A69CA" w:rsidRPr="00F85CA6">
        <w:rPr>
          <w:rFonts w:eastAsia="Calibri"/>
          <w:sz w:val="22"/>
          <w:szCs w:val="22"/>
          <w:lang w:val="sr-Latn-ME"/>
        </w:rPr>
        <w:t>ij</w:t>
      </w:r>
      <w:r w:rsidRPr="00F85CA6">
        <w:rPr>
          <w:rFonts w:eastAsia="Calibri"/>
          <w:sz w:val="22"/>
          <w:szCs w:val="22"/>
          <w:lang w:val="sr-Latn-ME"/>
        </w:rPr>
        <w:t>ela), kod kojih bi terapija sa DOAC mogla da bude povezana sa povećanom stopom rekurentnih trombotičkih događaja, u poređenju sa terapijom antagonistima vitamina K.</w:t>
      </w:r>
    </w:p>
    <w:p w14:paraId="5627F9BD" w14:textId="77777777" w:rsidR="00E74FD6" w:rsidRPr="00F85CA6" w:rsidRDefault="00E74FD6" w:rsidP="00E74FD6">
      <w:pPr>
        <w:jc w:val="both"/>
        <w:rPr>
          <w:rFonts w:eastAsia="Calibri"/>
          <w:sz w:val="22"/>
          <w:szCs w:val="22"/>
          <w:lang w:val="sr-Latn-ME"/>
        </w:rPr>
      </w:pPr>
    </w:p>
    <w:p w14:paraId="56A4AE9C" w14:textId="77777777" w:rsidR="00E74FD6" w:rsidRPr="00F85CA6" w:rsidRDefault="00E74FD6" w:rsidP="00E74FD6">
      <w:pPr>
        <w:jc w:val="both"/>
        <w:rPr>
          <w:rFonts w:eastAsia="Calibri"/>
          <w:sz w:val="22"/>
          <w:szCs w:val="22"/>
          <w:u w:val="single"/>
          <w:lang w:val="sr-Latn-ME"/>
        </w:rPr>
      </w:pPr>
      <w:r w:rsidRPr="00F85CA6">
        <w:rPr>
          <w:rFonts w:eastAsia="Calibri"/>
          <w:sz w:val="22"/>
          <w:szCs w:val="22"/>
          <w:u w:val="single"/>
          <w:lang w:val="sr-Latn-ME"/>
        </w:rPr>
        <w:t>Infarkt miokarda (IM)</w:t>
      </w:r>
    </w:p>
    <w:p w14:paraId="06CB868B" w14:textId="77777777" w:rsidR="00E74FD6" w:rsidRPr="00F85CA6" w:rsidRDefault="00E74FD6" w:rsidP="00E74FD6">
      <w:pPr>
        <w:jc w:val="both"/>
        <w:rPr>
          <w:rFonts w:eastAsia="Calibri"/>
          <w:sz w:val="22"/>
          <w:szCs w:val="22"/>
          <w:u w:val="single"/>
          <w:lang w:val="sr-Latn-ME"/>
        </w:rPr>
      </w:pPr>
    </w:p>
    <w:p w14:paraId="48F53D3D" w14:textId="737E56E5" w:rsidR="00E74FD6" w:rsidRPr="00F85CA6" w:rsidRDefault="00E74FD6" w:rsidP="00E74FD6">
      <w:pPr>
        <w:jc w:val="both"/>
        <w:rPr>
          <w:rFonts w:eastAsia="Calibri"/>
          <w:sz w:val="22"/>
          <w:szCs w:val="22"/>
          <w:lang w:val="sr-Latn-ME"/>
        </w:rPr>
      </w:pPr>
      <w:r w:rsidRPr="00F85CA6">
        <w:rPr>
          <w:rFonts w:eastAsia="Calibri"/>
          <w:sz w:val="22"/>
          <w:szCs w:val="22"/>
          <w:lang w:val="sr-Latn-ME"/>
        </w:rPr>
        <w:t>U studiji faze III, RE-LY (</w:t>
      </w:r>
      <w:r w:rsidRPr="00F85CA6">
        <w:rPr>
          <w:rFonts w:eastAsia="Calibri"/>
          <w:sz w:val="22"/>
          <w:szCs w:val="22"/>
          <w:lang w:val="sr-Latn-ME" w:bidi="en-US"/>
        </w:rPr>
        <w:t>prevencija MU i SE kod AF</w:t>
      </w:r>
      <w:r w:rsidRPr="00F85CA6">
        <w:rPr>
          <w:rFonts w:eastAsia="Calibri"/>
          <w:sz w:val="22"/>
          <w:szCs w:val="22"/>
          <w:lang w:val="sr-Latn-ME"/>
        </w:rPr>
        <w:t>, vid</w:t>
      </w:r>
      <w:r w:rsidR="00CD1E14" w:rsidRPr="00F85CA6">
        <w:rPr>
          <w:rFonts w:eastAsia="Calibri"/>
          <w:sz w:val="22"/>
          <w:szCs w:val="22"/>
          <w:lang w:val="sr-Latn-ME"/>
        </w:rPr>
        <w:t>j</w:t>
      </w:r>
      <w:r w:rsidRPr="00F85CA6">
        <w:rPr>
          <w:rFonts w:eastAsia="Calibri"/>
          <w:sz w:val="22"/>
          <w:szCs w:val="22"/>
          <w:lang w:val="sr-Latn-ME"/>
        </w:rPr>
        <w:t xml:space="preserve">eti </w:t>
      </w:r>
      <w:r w:rsidR="00A4270C" w:rsidRPr="00F85CA6">
        <w:rPr>
          <w:rFonts w:eastAsia="Calibri"/>
          <w:sz w:val="22"/>
          <w:szCs w:val="22"/>
          <w:lang w:val="sr-Latn-ME"/>
        </w:rPr>
        <w:t>dio</w:t>
      </w:r>
      <w:r w:rsidRPr="00F85CA6">
        <w:rPr>
          <w:rFonts w:eastAsia="Calibri"/>
          <w:sz w:val="22"/>
          <w:szCs w:val="22"/>
          <w:lang w:val="sr-Latn-ME"/>
        </w:rPr>
        <w:t xml:space="preserve"> 5.1) sveukupna stopa IM iznosila je 0,82% godišnje za dabigatrane</w:t>
      </w:r>
      <w:r w:rsidR="000A69CA" w:rsidRPr="00F85CA6">
        <w:rPr>
          <w:rFonts w:eastAsia="Calibri"/>
          <w:sz w:val="22"/>
          <w:szCs w:val="22"/>
          <w:lang w:val="sr-Latn-ME"/>
        </w:rPr>
        <w:t xml:space="preserve"> </w:t>
      </w:r>
      <w:r w:rsidRPr="00F85CA6">
        <w:rPr>
          <w:rFonts w:eastAsia="Calibri"/>
          <w:sz w:val="22"/>
          <w:szCs w:val="22"/>
          <w:lang w:val="sr-Latn-ME"/>
        </w:rPr>
        <w:t>teksilat 110 mg dva puta dnevno, 0,81% godišnje za dabigatrane</w:t>
      </w:r>
      <w:r w:rsidR="000A69CA" w:rsidRPr="00F85CA6">
        <w:rPr>
          <w:rFonts w:eastAsia="Calibri"/>
          <w:sz w:val="22"/>
          <w:szCs w:val="22"/>
          <w:lang w:val="sr-Latn-ME"/>
        </w:rPr>
        <w:t xml:space="preserve"> </w:t>
      </w:r>
      <w:r w:rsidRPr="00F85CA6">
        <w:rPr>
          <w:rFonts w:eastAsia="Calibri"/>
          <w:sz w:val="22"/>
          <w:szCs w:val="22"/>
          <w:lang w:val="sr-Latn-ME"/>
        </w:rPr>
        <w:t>teksilat 150 mg dva puta dnevno i 0,64% godišnje za varfarin, gd</w:t>
      </w:r>
      <w:r w:rsidR="00CD1E14" w:rsidRPr="00F85CA6">
        <w:rPr>
          <w:rFonts w:eastAsia="Calibri"/>
          <w:sz w:val="22"/>
          <w:szCs w:val="22"/>
          <w:lang w:val="sr-Latn-ME"/>
        </w:rPr>
        <w:t>j</w:t>
      </w:r>
      <w:r w:rsidRPr="00F85CA6">
        <w:rPr>
          <w:rFonts w:eastAsia="Calibri"/>
          <w:sz w:val="22"/>
          <w:szCs w:val="22"/>
          <w:lang w:val="sr-Latn-ME"/>
        </w:rPr>
        <w:t>e se b</w:t>
      </w:r>
      <w:r w:rsidR="00CD1E14" w:rsidRPr="00F85CA6">
        <w:rPr>
          <w:rFonts w:eastAsia="Calibri"/>
          <w:sz w:val="22"/>
          <w:szCs w:val="22"/>
          <w:lang w:val="sr-Latn-ME"/>
        </w:rPr>
        <w:t>i</w:t>
      </w:r>
      <w:r w:rsidRPr="00F85CA6">
        <w:rPr>
          <w:rFonts w:eastAsia="Calibri"/>
          <w:sz w:val="22"/>
          <w:szCs w:val="22"/>
          <w:lang w:val="sr-Latn-ME"/>
        </w:rPr>
        <w:t>l</w:t>
      </w:r>
      <w:r w:rsidR="00CD1E14" w:rsidRPr="00F85CA6">
        <w:rPr>
          <w:rFonts w:eastAsia="Calibri"/>
          <w:sz w:val="22"/>
          <w:szCs w:val="22"/>
          <w:lang w:val="sr-Latn-ME"/>
        </w:rPr>
        <w:t>j</w:t>
      </w:r>
      <w:r w:rsidRPr="00F85CA6">
        <w:rPr>
          <w:rFonts w:eastAsia="Calibri"/>
          <w:sz w:val="22"/>
          <w:szCs w:val="22"/>
          <w:lang w:val="sr-Latn-ME"/>
        </w:rPr>
        <w:t>eži povećanje relativnog rizika za dabigatran od 29%, odnosno 27% u poređenju sa varfarinom. Nezavisno od terapije, najveći apsolutni rizik od IM je bio prim</w:t>
      </w:r>
      <w:r w:rsidR="00CB0B14" w:rsidRPr="00F85CA6">
        <w:rPr>
          <w:rFonts w:eastAsia="Calibri"/>
          <w:sz w:val="22"/>
          <w:szCs w:val="22"/>
          <w:lang w:val="sr-Latn-ME"/>
        </w:rPr>
        <w:t>i</w:t>
      </w:r>
      <w:r w:rsidR="00CD1E14" w:rsidRPr="00F85CA6">
        <w:rPr>
          <w:rFonts w:eastAsia="Calibri"/>
          <w:sz w:val="22"/>
          <w:szCs w:val="22"/>
          <w:lang w:val="sr-Latn-ME"/>
        </w:rPr>
        <w:t>j</w:t>
      </w:r>
      <w:r w:rsidRPr="00F85CA6">
        <w:rPr>
          <w:rFonts w:eastAsia="Calibri"/>
          <w:sz w:val="22"/>
          <w:szCs w:val="22"/>
          <w:lang w:val="sr-Latn-ME"/>
        </w:rPr>
        <w:t>ećen u sl</w:t>
      </w:r>
      <w:r w:rsidR="00CD1E14" w:rsidRPr="00F85CA6">
        <w:rPr>
          <w:rFonts w:eastAsia="Calibri"/>
          <w:sz w:val="22"/>
          <w:szCs w:val="22"/>
          <w:lang w:val="sr-Latn-ME"/>
        </w:rPr>
        <w:t>j</w:t>
      </w:r>
      <w:r w:rsidRPr="00F85CA6">
        <w:rPr>
          <w:rFonts w:eastAsia="Calibri"/>
          <w:sz w:val="22"/>
          <w:szCs w:val="22"/>
          <w:lang w:val="sr-Latn-ME"/>
        </w:rPr>
        <w:t>edećim podgrupama, i to sa sličnim relativnim rizikom: pacijenti koji su prethodno imali IM, pacijenti starosti ≥ 65 godina koji imaju ili dijabetes ili koronarnu arterijsku bolest, pacijenti sa ejekcionom frakcijom l</w:t>
      </w:r>
      <w:r w:rsidR="00A4270C" w:rsidRPr="00F85CA6">
        <w:rPr>
          <w:rFonts w:eastAsia="Calibri"/>
          <w:sz w:val="22"/>
          <w:szCs w:val="22"/>
          <w:lang w:val="sr-Latn-ME"/>
        </w:rPr>
        <w:t>ij</w:t>
      </w:r>
      <w:r w:rsidRPr="00F85CA6">
        <w:rPr>
          <w:rFonts w:eastAsia="Calibri"/>
          <w:sz w:val="22"/>
          <w:szCs w:val="22"/>
          <w:lang w:val="sr-Latn-ME"/>
        </w:rPr>
        <w:t>eve komore &lt; 40% i pacijenti sa um</w:t>
      </w:r>
      <w:r w:rsidR="00CD1E14" w:rsidRPr="00F85CA6">
        <w:rPr>
          <w:rFonts w:eastAsia="Calibri"/>
          <w:sz w:val="22"/>
          <w:szCs w:val="22"/>
          <w:lang w:val="sr-Latn-ME"/>
        </w:rPr>
        <w:t>j</w:t>
      </w:r>
      <w:r w:rsidRPr="00F85CA6">
        <w:rPr>
          <w:rFonts w:eastAsia="Calibri"/>
          <w:sz w:val="22"/>
          <w:szCs w:val="22"/>
          <w:lang w:val="sr-Latn-ME"/>
        </w:rPr>
        <w:t>erenim poremećajem funkcije bubrega. Pored toga, veći rizik od IM je bio prim</w:t>
      </w:r>
      <w:r w:rsidR="00300352" w:rsidRPr="00F85CA6">
        <w:rPr>
          <w:rFonts w:eastAsia="Calibri"/>
          <w:sz w:val="22"/>
          <w:szCs w:val="22"/>
          <w:lang w:val="sr-Latn-ME"/>
        </w:rPr>
        <w:t>i</w:t>
      </w:r>
      <w:r w:rsidR="00CD1E14" w:rsidRPr="00F85CA6">
        <w:rPr>
          <w:rFonts w:eastAsia="Calibri"/>
          <w:sz w:val="22"/>
          <w:szCs w:val="22"/>
          <w:lang w:val="sr-Latn-ME"/>
        </w:rPr>
        <w:t>j</w:t>
      </w:r>
      <w:r w:rsidRPr="00F85CA6">
        <w:rPr>
          <w:rFonts w:eastAsia="Calibri"/>
          <w:sz w:val="22"/>
          <w:szCs w:val="22"/>
          <w:lang w:val="sr-Latn-ME"/>
        </w:rPr>
        <w:t>ećen kod pacijenata koji istovremeno uzimaju ASK plus klopidogrel ili samo klopidogrel.</w:t>
      </w:r>
    </w:p>
    <w:p w14:paraId="033B3697" w14:textId="77777777" w:rsidR="00E74FD6" w:rsidRPr="00F85CA6" w:rsidRDefault="00E74FD6" w:rsidP="00E74FD6">
      <w:pPr>
        <w:jc w:val="both"/>
        <w:rPr>
          <w:rFonts w:eastAsia="Calibri"/>
          <w:sz w:val="22"/>
          <w:szCs w:val="22"/>
          <w:lang w:val="sr-Latn-ME"/>
        </w:rPr>
      </w:pPr>
    </w:p>
    <w:p w14:paraId="11A9E1C6" w14:textId="08B2C6EB" w:rsidR="00E74FD6" w:rsidRPr="00F85CA6" w:rsidRDefault="00E74FD6" w:rsidP="00E74FD6">
      <w:pPr>
        <w:jc w:val="both"/>
        <w:rPr>
          <w:rFonts w:eastAsia="Calibri"/>
          <w:sz w:val="22"/>
          <w:szCs w:val="22"/>
          <w:lang w:val="sr-Latn-ME"/>
        </w:rPr>
      </w:pPr>
      <w:r w:rsidRPr="00F85CA6">
        <w:rPr>
          <w:rFonts w:eastAsia="Calibri"/>
          <w:sz w:val="22"/>
          <w:szCs w:val="22"/>
          <w:lang w:val="sr-Latn-ME"/>
        </w:rPr>
        <w:t>U tri aktivno kontrolisane DVT/PE studije faze III prijavljena je veća stopa IM kod pacijenata koji su primali dabigatrane</w:t>
      </w:r>
      <w:r w:rsidR="000A69CA" w:rsidRPr="00F85CA6">
        <w:rPr>
          <w:rFonts w:eastAsia="Calibri"/>
          <w:sz w:val="22"/>
          <w:szCs w:val="22"/>
          <w:lang w:val="sr-Latn-ME"/>
        </w:rPr>
        <w:t xml:space="preserve"> </w:t>
      </w:r>
      <w:r w:rsidRPr="00F85CA6">
        <w:rPr>
          <w:rFonts w:eastAsia="Calibri"/>
          <w:sz w:val="22"/>
          <w:szCs w:val="22"/>
          <w:lang w:val="sr-Latn-ME"/>
        </w:rPr>
        <w:t>teksilat nego kod pacijenata koji su primali varfarin: 0,4% prema 0,2% u kratkotrajnim studijama RE-COVER i RE-COVER II; i 0,8% prema 0,1% u dugotrajnom ispitivanju RE-MEDY. U ovom ispitivanju povećanje je bilo statistički značajno (p=0,022).</w:t>
      </w:r>
    </w:p>
    <w:p w14:paraId="3D473522" w14:textId="77777777" w:rsidR="00E74FD6" w:rsidRPr="00F85CA6" w:rsidRDefault="00E74FD6" w:rsidP="00E74FD6">
      <w:pPr>
        <w:jc w:val="both"/>
        <w:rPr>
          <w:rFonts w:eastAsia="Calibri"/>
          <w:sz w:val="22"/>
          <w:szCs w:val="22"/>
          <w:lang w:val="sr-Latn-ME"/>
        </w:rPr>
      </w:pPr>
    </w:p>
    <w:p w14:paraId="6FCE3FC7" w14:textId="3283AA9B" w:rsidR="00E74FD6" w:rsidRPr="00F85CA6" w:rsidRDefault="00E74FD6" w:rsidP="00E74FD6">
      <w:pPr>
        <w:jc w:val="both"/>
        <w:rPr>
          <w:rFonts w:eastAsia="Calibri"/>
          <w:sz w:val="22"/>
          <w:szCs w:val="22"/>
          <w:lang w:val="sr-Latn-ME"/>
        </w:rPr>
      </w:pPr>
      <w:r w:rsidRPr="00F85CA6">
        <w:rPr>
          <w:rFonts w:eastAsia="Calibri"/>
          <w:sz w:val="22"/>
          <w:szCs w:val="22"/>
          <w:lang w:val="sr-Latn-ME"/>
        </w:rPr>
        <w:t>U studiji RE-SONATE, u kojoj je poređen dabigatrane</w:t>
      </w:r>
      <w:r w:rsidR="000A69CA" w:rsidRPr="00F85CA6">
        <w:rPr>
          <w:rFonts w:eastAsia="Calibri"/>
          <w:sz w:val="22"/>
          <w:szCs w:val="22"/>
          <w:lang w:val="sr-Latn-ME"/>
        </w:rPr>
        <w:t xml:space="preserve"> </w:t>
      </w:r>
      <w:r w:rsidRPr="00F85CA6">
        <w:rPr>
          <w:rFonts w:eastAsia="Calibri"/>
          <w:sz w:val="22"/>
          <w:szCs w:val="22"/>
          <w:lang w:val="sr-Latn-ME"/>
        </w:rPr>
        <w:t>teksilat sa placebom, stopa IM je iznosila 0,1% kod pacijenata koji su primali dabigatrane</w:t>
      </w:r>
      <w:r w:rsidR="000A69CA" w:rsidRPr="00F85CA6">
        <w:rPr>
          <w:rFonts w:eastAsia="Calibri"/>
          <w:sz w:val="22"/>
          <w:szCs w:val="22"/>
          <w:lang w:val="sr-Latn-ME"/>
        </w:rPr>
        <w:t xml:space="preserve"> </w:t>
      </w:r>
      <w:r w:rsidRPr="00F85CA6">
        <w:rPr>
          <w:rFonts w:eastAsia="Calibri"/>
          <w:sz w:val="22"/>
          <w:szCs w:val="22"/>
          <w:lang w:val="sr-Latn-ME"/>
        </w:rPr>
        <w:t>teksilat i 0,2% kod pacijenata koji su primali placebo.</w:t>
      </w:r>
    </w:p>
    <w:p w14:paraId="56719ABF" w14:textId="77777777" w:rsidR="00E74FD6" w:rsidRPr="00F85CA6" w:rsidRDefault="00E74FD6" w:rsidP="00E74FD6">
      <w:pPr>
        <w:jc w:val="both"/>
        <w:rPr>
          <w:rFonts w:eastAsia="Calibri"/>
          <w:sz w:val="22"/>
          <w:szCs w:val="22"/>
          <w:u w:val="single"/>
          <w:lang w:val="sr-Latn-ME"/>
        </w:rPr>
      </w:pPr>
    </w:p>
    <w:p w14:paraId="5F4A6920" w14:textId="77777777" w:rsidR="00E74FD6" w:rsidRPr="00F85CA6" w:rsidRDefault="00E74FD6" w:rsidP="00E74FD6">
      <w:pPr>
        <w:jc w:val="both"/>
        <w:rPr>
          <w:rFonts w:eastAsia="Calibri"/>
          <w:sz w:val="22"/>
          <w:szCs w:val="22"/>
          <w:u w:val="single"/>
          <w:lang w:val="sr-Latn-ME"/>
        </w:rPr>
      </w:pPr>
      <w:r w:rsidRPr="00F85CA6">
        <w:rPr>
          <w:rFonts w:eastAsia="Calibri"/>
          <w:sz w:val="22"/>
          <w:szCs w:val="22"/>
          <w:u w:val="single"/>
          <w:lang w:val="sr-Latn-ME"/>
        </w:rPr>
        <w:t>Pacijenti sa kancerom u aktivnoj fazi bolesti (DVT/PE, pedijatrijska VTE)</w:t>
      </w:r>
    </w:p>
    <w:p w14:paraId="44AFE55D" w14:textId="77777777" w:rsidR="00E74FD6" w:rsidRPr="00F85CA6" w:rsidRDefault="00E74FD6" w:rsidP="00E74FD6">
      <w:pPr>
        <w:jc w:val="both"/>
        <w:rPr>
          <w:rFonts w:eastAsia="Calibri"/>
          <w:sz w:val="22"/>
          <w:szCs w:val="22"/>
          <w:u w:val="single"/>
          <w:lang w:val="sr-Latn-ME"/>
        </w:rPr>
      </w:pPr>
    </w:p>
    <w:p w14:paraId="2AFEFA7A" w14:textId="60A0A099" w:rsidR="00E74FD6" w:rsidRPr="00F85CA6" w:rsidRDefault="00E74FD6" w:rsidP="00E74FD6">
      <w:pPr>
        <w:jc w:val="both"/>
        <w:rPr>
          <w:rFonts w:eastAsia="Calibri"/>
          <w:sz w:val="22"/>
          <w:szCs w:val="22"/>
          <w:lang w:val="sr-Latn-ME"/>
        </w:rPr>
      </w:pPr>
      <w:r w:rsidRPr="00F85CA6">
        <w:rPr>
          <w:rFonts w:eastAsia="Calibri"/>
          <w:sz w:val="22"/>
          <w:szCs w:val="22"/>
          <w:lang w:val="sr-Latn-ME"/>
        </w:rPr>
        <w:t>Efikasnost i bezb</w:t>
      </w:r>
      <w:r w:rsidR="00A4270C" w:rsidRPr="00F85CA6">
        <w:rPr>
          <w:rFonts w:eastAsia="Calibri"/>
          <w:sz w:val="22"/>
          <w:szCs w:val="22"/>
          <w:lang w:val="sr-Latn-ME"/>
        </w:rPr>
        <w:t>j</w:t>
      </w:r>
      <w:r w:rsidRPr="00F85CA6">
        <w:rPr>
          <w:rFonts w:eastAsia="Calibri"/>
          <w:sz w:val="22"/>
          <w:szCs w:val="22"/>
          <w:lang w:val="sr-Latn-ME"/>
        </w:rPr>
        <w:t>ednost kod DVT/PE ni</w:t>
      </w:r>
      <w:r w:rsidR="000A69CA" w:rsidRPr="00F85CA6">
        <w:rPr>
          <w:rFonts w:eastAsia="Calibri"/>
          <w:sz w:val="22"/>
          <w:szCs w:val="22"/>
          <w:lang w:val="sr-Latn-ME"/>
        </w:rPr>
        <w:t>je</w:t>
      </w:r>
      <w:r w:rsidRPr="00F85CA6">
        <w:rPr>
          <w:rFonts w:eastAsia="Calibri"/>
          <w:sz w:val="22"/>
          <w:szCs w:val="22"/>
          <w:lang w:val="sr-Latn-ME"/>
        </w:rPr>
        <w:t>su utvrđene za pacijente sa kancerom u aktivnoj fazi bolesti. Postoje ograničeni podaci o efikasnosti i bezb</w:t>
      </w:r>
      <w:r w:rsidR="00CD1E14" w:rsidRPr="00F85CA6">
        <w:rPr>
          <w:rFonts w:eastAsia="Calibri"/>
          <w:sz w:val="22"/>
          <w:szCs w:val="22"/>
          <w:lang w:val="sr-Latn-ME"/>
        </w:rPr>
        <w:t>j</w:t>
      </w:r>
      <w:r w:rsidRPr="00F85CA6">
        <w:rPr>
          <w:rFonts w:eastAsia="Calibri"/>
          <w:sz w:val="22"/>
          <w:szCs w:val="22"/>
          <w:lang w:val="sr-Latn-ME"/>
        </w:rPr>
        <w:t>ednosti kod pedijatrijskih pacijenata sa kancerom u aktivnoj fazi bolesti.</w:t>
      </w:r>
    </w:p>
    <w:p w14:paraId="2463F8BD" w14:textId="77777777" w:rsidR="00E74FD6" w:rsidRPr="00F85CA6" w:rsidRDefault="00E74FD6" w:rsidP="00480FB1">
      <w:pPr>
        <w:tabs>
          <w:tab w:val="left" w:pos="540"/>
          <w:tab w:val="left" w:pos="569"/>
        </w:tabs>
        <w:rPr>
          <w:bCs/>
          <w:sz w:val="22"/>
          <w:szCs w:val="22"/>
          <w:lang w:val="sr-Latn-ME"/>
        </w:rPr>
      </w:pPr>
    </w:p>
    <w:p w14:paraId="19545FE1" w14:textId="77777777" w:rsidR="00057E35" w:rsidRPr="00F85CA6" w:rsidRDefault="00057E35" w:rsidP="00480FB1">
      <w:pPr>
        <w:tabs>
          <w:tab w:val="left" w:pos="540"/>
          <w:tab w:val="left" w:pos="569"/>
        </w:tabs>
        <w:rPr>
          <w:sz w:val="22"/>
          <w:szCs w:val="22"/>
          <w:u w:val="single"/>
          <w:lang w:val="sr-Latn-ME"/>
        </w:rPr>
      </w:pPr>
      <w:r w:rsidRPr="00F85CA6">
        <w:rPr>
          <w:sz w:val="22"/>
          <w:szCs w:val="22"/>
          <w:u w:val="single"/>
          <w:lang w:val="sr-Latn-ME"/>
        </w:rPr>
        <w:t>Pedijatrijska populacija</w:t>
      </w:r>
    </w:p>
    <w:p w14:paraId="54EF0A03" w14:textId="77777777" w:rsidR="00057E35" w:rsidRPr="00F85CA6" w:rsidRDefault="00057E35" w:rsidP="00480FB1">
      <w:pPr>
        <w:tabs>
          <w:tab w:val="left" w:pos="540"/>
          <w:tab w:val="left" w:pos="569"/>
        </w:tabs>
        <w:rPr>
          <w:bCs/>
          <w:sz w:val="22"/>
          <w:szCs w:val="22"/>
          <w:lang w:val="sr-Latn-ME"/>
        </w:rPr>
      </w:pPr>
    </w:p>
    <w:p w14:paraId="367580E0" w14:textId="0089475A" w:rsidR="00E74FD6" w:rsidRPr="00F85CA6" w:rsidRDefault="00E74FD6" w:rsidP="00E74FD6">
      <w:pPr>
        <w:jc w:val="both"/>
        <w:rPr>
          <w:rFonts w:eastAsia="Calibri"/>
          <w:sz w:val="22"/>
          <w:szCs w:val="22"/>
          <w:lang w:val="sr-Latn-ME"/>
        </w:rPr>
      </w:pPr>
      <w:r w:rsidRPr="00F85CA6">
        <w:rPr>
          <w:rFonts w:eastAsia="Calibri"/>
          <w:sz w:val="22"/>
          <w:szCs w:val="22"/>
          <w:lang w:val="sr-Latn-ME"/>
        </w:rPr>
        <w:t>Za neke veoma specifične pedijatrijske pacijente, npr. pacijente sa bolešću tankog cr</w:t>
      </w:r>
      <w:r w:rsidR="00CD1E14" w:rsidRPr="00F85CA6">
        <w:rPr>
          <w:rFonts w:eastAsia="Calibri"/>
          <w:sz w:val="22"/>
          <w:szCs w:val="22"/>
          <w:lang w:val="sr-Latn-ME"/>
        </w:rPr>
        <w:t>ij</w:t>
      </w:r>
      <w:r w:rsidRPr="00F85CA6">
        <w:rPr>
          <w:rFonts w:eastAsia="Calibri"/>
          <w:sz w:val="22"/>
          <w:szCs w:val="22"/>
          <w:lang w:val="sr-Latn-ME"/>
        </w:rPr>
        <w:t>eva gd</w:t>
      </w:r>
      <w:r w:rsidR="00CD1E14" w:rsidRPr="00F85CA6">
        <w:rPr>
          <w:rFonts w:eastAsia="Calibri"/>
          <w:sz w:val="22"/>
          <w:szCs w:val="22"/>
          <w:lang w:val="sr-Latn-ME"/>
        </w:rPr>
        <w:t>j</w:t>
      </w:r>
      <w:r w:rsidRPr="00F85CA6">
        <w:rPr>
          <w:rFonts w:eastAsia="Calibri"/>
          <w:sz w:val="22"/>
          <w:szCs w:val="22"/>
          <w:lang w:val="sr-Latn-ME"/>
        </w:rPr>
        <w:t>e je možda izm</w:t>
      </w:r>
      <w:r w:rsidR="002B371E" w:rsidRPr="00F85CA6">
        <w:rPr>
          <w:rFonts w:eastAsia="Calibri"/>
          <w:sz w:val="22"/>
          <w:szCs w:val="22"/>
          <w:lang w:val="sr-Latn-ME"/>
        </w:rPr>
        <w:t>i</w:t>
      </w:r>
      <w:r w:rsidR="00CD1E14" w:rsidRPr="00F85CA6">
        <w:rPr>
          <w:rFonts w:eastAsia="Calibri"/>
          <w:sz w:val="22"/>
          <w:szCs w:val="22"/>
          <w:lang w:val="sr-Latn-ME"/>
        </w:rPr>
        <w:t>j</w:t>
      </w:r>
      <w:r w:rsidRPr="00F85CA6">
        <w:rPr>
          <w:rFonts w:eastAsia="Calibri"/>
          <w:sz w:val="22"/>
          <w:szCs w:val="22"/>
          <w:lang w:val="sr-Latn-ME"/>
        </w:rPr>
        <w:t>enjena resorpcija, potrebno je razmotriti prim</w:t>
      </w:r>
      <w:r w:rsidR="00CD1E14" w:rsidRPr="00F85CA6">
        <w:rPr>
          <w:rFonts w:eastAsia="Calibri"/>
          <w:sz w:val="22"/>
          <w:szCs w:val="22"/>
          <w:lang w:val="sr-Latn-ME"/>
        </w:rPr>
        <w:t>j</w:t>
      </w:r>
      <w:r w:rsidRPr="00F85CA6">
        <w:rPr>
          <w:rFonts w:eastAsia="Calibri"/>
          <w:sz w:val="22"/>
          <w:szCs w:val="22"/>
          <w:lang w:val="sr-Latn-ME"/>
        </w:rPr>
        <w:t>enu antikoagulansa parenteralnim putem.</w:t>
      </w:r>
    </w:p>
    <w:p w14:paraId="09A5BDF8" w14:textId="77777777" w:rsidR="00E74FD6" w:rsidRPr="00F85CA6" w:rsidRDefault="00E74FD6" w:rsidP="00480FB1">
      <w:pPr>
        <w:tabs>
          <w:tab w:val="left" w:pos="540"/>
          <w:tab w:val="left" w:pos="569"/>
        </w:tabs>
        <w:rPr>
          <w:bCs/>
          <w:sz w:val="22"/>
          <w:szCs w:val="22"/>
          <w:lang w:val="sr-Latn-ME"/>
        </w:rPr>
      </w:pPr>
    </w:p>
    <w:p w14:paraId="715FF5AB" w14:textId="77777777" w:rsidR="00411B4B" w:rsidRPr="00F85CA6" w:rsidRDefault="00411B4B" w:rsidP="00480FB1">
      <w:pPr>
        <w:tabs>
          <w:tab w:val="left" w:pos="540"/>
          <w:tab w:val="left" w:pos="569"/>
        </w:tabs>
        <w:rPr>
          <w:b/>
          <w:bCs/>
          <w:sz w:val="22"/>
          <w:szCs w:val="22"/>
          <w:lang w:val="sr-Latn-ME"/>
        </w:rPr>
      </w:pPr>
      <w:r w:rsidRPr="00F85CA6">
        <w:rPr>
          <w:b/>
          <w:bCs/>
          <w:sz w:val="22"/>
          <w:szCs w:val="22"/>
          <w:lang w:val="sr-Latn-ME"/>
        </w:rPr>
        <w:t>4.5.</w:t>
      </w:r>
      <w:r w:rsidR="000D60CC" w:rsidRPr="00F85CA6">
        <w:rPr>
          <w:b/>
          <w:bCs/>
          <w:sz w:val="22"/>
          <w:szCs w:val="22"/>
          <w:lang w:val="sr-Latn-ME"/>
        </w:rPr>
        <w:tab/>
      </w:r>
      <w:r w:rsidRPr="00F85CA6">
        <w:rPr>
          <w:b/>
          <w:bCs/>
          <w:sz w:val="22"/>
          <w:szCs w:val="22"/>
          <w:lang w:val="sr-Latn-ME"/>
        </w:rPr>
        <w:t>Interakcije sa drugim ljekovima i druge vrste interakcija</w:t>
      </w:r>
    </w:p>
    <w:p w14:paraId="0960A67F" w14:textId="77777777" w:rsidR="0072020E" w:rsidRPr="00F85CA6" w:rsidRDefault="0072020E" w:rsidP="00480FB1">
      <w:pPr>
        <w:tabs>
          <w:tab w:val="left" w:pos="540"/>
          <w:tab w:val="left" w:pos="569"/>
        </w:tabs>
        <w:rPr>
          <w:bCs/>
          <w:sz w:val="22"/>
          <w:szCs w:val="22"/>
          <w:lang w:val="sr-Latn-ME"/>
        </w:rPr>
      </w:pPr>
    </w:p>
    <w:p w14:paraId="0E83AD8A" w14:textId="77777777" w:rsidR="00D66267" w:rsidRPr="00F85CA6" w:rsidRDefault="00D66267" w:rsidP="00D66267">
      <w:pPr>
        <w:jc w:val="both"/>
        <w:rPr>
          <w:rFonts w:eastAsia="Calibri"/>
          <w:sz w:val="22"/>
          <w:szCs w:val="22"/>
          <w:u w:val="single"/>
          <w:lang w:val="sr-Latn-ME" w:bidi="en-US"/>
        </w:rPr>
      </w:pPr>
      <w:r w:rsidRPr="00F85CA6">
        <w:rPr>
          <w:rFonts w:eastAsia="Calibri"/>
          <w:sz w:val="22"/>
          <w:szCs w:val="22"/>
          <w:u w:val="single"/>
          <w:lang w:val="sr-Latn-ME" w:bidi="en-US"/>
        </w:rPr>
        <w:t>Interakcije na nivou transportnih mehanizama</w:t>
      </w:r>
    </w:p>
    <w:p w14:paraId="6CA551D5" w14:textId="77777777" w:rsidR="00D66267" w:rsidRPr="00F85CA6" w:rsidRDefault="00D66267" w:rsidP="00D66267">
      <w:pPr>
        <w:jc w:val="both"/>
        <w:rPr>
          <w:rFonts w:eastAsia="Calibri"/>
          <w:sz w:val="22"/>
          <w:szCs w:val="22"/>
          <w:lang w:val="sr-Latn-ME" w:bidi="en-US"/>
        </w:rPr>
      </w:pPr>
    </w:p>
    <w:p w14:paraId="1D415C41" w14:textId="4B9E7C9E" w:rsidR="00D66267" w:rsidRPr="00F85CA6" w:rsidRDefault="00D66267" w:rsidP="00D66267">
      <w:pPr>
        <w:jc w:val="both"/>
        <w:rPr>
          <w:rFonts w:eastAsia="Calibri"/>
          <w:iCs/>
          <w:sz w:val="22"/>
          <w:szCs w:val="22"/>
          <w:lang w:val="sr-Latn-ME"/>
        </w:rPr>
      </w:pPr>
      <w:r w:rsidRPr="00F85CA6">
        <w:rPr>
          <w:rFonts w:eastAsia="Calibri"/>
          <w:iCs/>
          <w:sz w:val="22"/>
          <w:szCs w:val="22"/>
          <w:lang w:val="sr-Latn-ME"/>
        </w:rPr>
        <w:lastRenderedPageBreak/>
        <w:t>Dabigatrane</w:t>
      </w:r>
      <w:r w:rsidR="00EE51C2" w:rsidRPr="00F85CA6">
        <w:rPr>
          <w:rFonts w:eastAsia="Calibri"/>
          <w:iCs/>
          <w:sz w:val="22"/>
          <w:szCs w:val="22"/>
          <w:lang w:val="sr-Latn-ME"/>
        </w:rPr>
        <w:t xml:space="preserve"> </w:t>
      </w:r>
      <w:r w:rsidRPr="00F85CA6">
        <w:rPr>
          <w:rFonts w:eastAsia="Calibri"/>
          <w:iCs/>
          <w:sz w:val="22"/>
          <w:szCs w:val="22"/>
          <w:lang w:val="sr-Latn-ME"/>
        </w:rPr>
        <w:t xml:space="preserve">teksilat je supstrat za efluksni transporter P-gp. Kod istovremene primjene sa P-gp inhibitorima (vidjeti tabelu 9) se očekuje da će doći do povećanih koncentracija dabigatrana u plazmi. </w:t>
      </w:r>
    </w:p>
    <w:p w14:paraId="6F7CF776" w14:textId="77777777" w:rsidR="00D66267" w:rsidRPr="00F85CA6" w:rsidRDefault="00D66267" w:rsidP="00D66267">
      <w:pPr>
        <w:jc w:val="both"/>
        <w:rPr>
          <w:rFonts w:eastAsia="Calibri"/>
          <w:iCs/>
          <w:sz w:val="22"/>
          <w:szCs w:val="22"/>
          <w:lang w:val="sr-Latn-ME"/>
        </w:rPr>
      </w:pPr>
    </w:p>
    <w:p w14:paraId="282E5F82" w14:textId="3FD2168E" w:rsidR="00D66267" w:rsidRPr="00F85CA6" w:rsidRDefault="00D66267" w:rsidP="00D66267">
      <w:pPr>
        <w:jc w:val="both"/>
        <w:rPr>
          <w:rFonts w:eastAsia="Calibri"/>
          <w:iCs/>
          <w:sz w:val="22"/>
          <w:szCs w:val="22"/>
          <w:lang w:val="sr-Latn-ME"/>
        </w:rPr>
      </w:pPr>
      <w:r w:rsidRPr="00F85CA6">
        <w:rPr>
          <w:rFonts w:eastAsia="Calibri"/>
          <w:iCs/>
          <w:sz w:val="22"/>
          <w:szCs w:val="22"/>
          <w:lang w:val="sr-Latn-ME"/>
        </w:rPr>
        <w:t>Ako nije drugačije posebno opisano, zaht</w:t>
      </w:r>
      <w:r w:rsidR="00A4270C" w:rsidRPr="00F85CA6">
        <w:rPr>
          <w:rFonts w:eastAsia="Calibri"/>
          <w:iCs/>
          <w:sz w:val="22"/>
          <w:szCs w:val="22"/>
          <w:lang w:val="sr-Latn-ME"/>
        </w:rPr>
        <w:t>ij</w:t>
      </w:r>
      <w:r w:rsidRPr="00F85CA6">
        <w:rPr>
          <w:rFonts w:eastAsia="Calibri"/>
          <w:iCs/>
          <w:sz w:val="22"/>
          <w:szCs w:val="22"/>
          <w:lang w:val="sr-Latn-ME"/>
        </w:rPr>
        <w:t xml:space="preserve">eva se </w:t>
      </w:r>
      <w:r w:rsidRPr="00F85CA6">
        <w:rPr>
          <w:rFonts w:eastAsia="Calibri"/>
          <w:sz w:val="22"/>
          <w:szCs w:val="22"/>
          <w:lang w:val="sr-Latn-ME"/>
        </w:rPr>
        <w:t xml:space="preserve">pažljivo kliničko praćenje (tražeći znakove krvarenja ili anemije) kada se dabigatran primjenjuje istovremeno sa </w:t>
      </w:r>
      <w:r w:rsidRPr="00F85CA6">
        <w:rPr>
          <w:rFonts w:eastAsia="Calibri"/>
          <w:iCs/>
          <w:sz w:val="22"/>
          <w:szCs w:val="22"/>
          <w:lang w:val="sr-Latn-ME"/>
        </w:rPr>
        <w:t xml:space="preserve">snažnim P-gp inhibitorima. Kod kombinacije sa nekim P-gp inhibitorima može biti potrebno smanjenje doze (vidjeti </w:t>
      </w:r>
      <w:r w:rsidR="00A4270C" w:rsidRPr="00F85CA6">
        <w:rPr>
          <w:rFonts w:eastAsia="Calibri"/>
          <w:iCs/>
          <w:sz w:val="22"/>
          <w:szCs w:val="22"/>
          <w:lang w:val="sr-Latn-ME"/>
        </w:rPr>
        <w:t>djelove</w:t>
      </w:r>
      <w:r w:rsidRPr="00F85CA6">
        <w:rPr>
          <w:rFonts w:eastAsia="Calibri"/>
          <w:iCs/>
          <w:sz w:val="22"/>
          <w:szCs w:val="22"/>
          <w:lang w:val="sr-Latn-ME"/>
        </w:rPr>
        <w:t xml:space="preserve"> 4.2, 4.3, 4.4 i 5.1).</w:t>
      </w:r>
    </w:p>
    <w:p w14:paraId="1612B899" w14:textId="77777777" w:rsidR="00D66267" w:rsidRPr="00F85CA6" w:rsidRDefault="00D66267" w:rsidP="00D66267">
      <w:pPr>
        <w:jc w:val="both"/>
        <w:rPr>
          <w:rFonts w:eastAsia="Calibri"/>
          <w:sz w:val="22"/>
          <w:szCs w:val="22"/>
          <w:lang w:val="sr-Latn-ME" w:bidi="en-US"/>
        </w:rPr>
      </w:pPr>
    </w:p>
    <w:p w14:paraId="7D643498" w14:textId="77777777" w:rsidR="00D66267" w:rsidRPr="00F85CA6" w:rsidRDefault="00D66267" w:rsidP="00685312">
      <w:pPr>
        <w:jc w:val="center"/>
        <w:rPr>
          <w:rFonts w:eastAsia="Calibri"/>
          <w:b/>
          <w:bCs/>
          <w:sz w:val="22"/>
          <w:szCs w:val="22"/>
          <w:lang w:val="sr-Latn-ME" w:bidi="en-US"/>
        </w:rPr>
      </w:pPr>
      <w:r w:rsidRPr="00F85CA6">
        <w:rPr>
          <w:rFonts w:eastAsia="Calibri"/>
          <w:b/>
          <w:bCs/>
          <w:sz w:val="22"/>
          <w:szCs w:val="22"/>
          <w:lang w:val="sr-Latn-ME" w:bidi="en-US"/>
        </w:rPr>
        <w:t>Tabela 9: Interakcije na nivou transportnih mehanizama</w:t>
      </w:r>
      <w:bookmarkStart w:id="12" w:name="page13"/>
      <w:bookmarkStart w:id="13" w:name="page14"/>
      <w:bookmarkEnd w:id="12"/>
      <w:bookmarkEnd w:id="13"/>
    </w:p>
    <w:p w14:paraId="0842B41E" w14:textId="77777777" w:rsidR="00D66267" w:rsidRPr="00F85CA6" w:rsidRDefault="00D66267" w:rsidP="00D66267">
      <w:pPr>
        <w:jc w:val="both"/>
        <w:rPr>
          <w:rFonts w:eastAsia="Calibri"/>
          <w:b/>
          <w:bCs/>
          <w:sz w:val="22"/>
          <w:szCs w:val="22"/>
          <w:lang w:val="sr-Latn-ME" w:bidi="en-US"/>
        </w:rPr>
      </w:pPr>
    </w:p>
    <w:tbl>
      <w:tblPr>
        <w:tblOverlap w:val="never"/>
        <w:tblW w:w="5000" w:type="pct"/>
        <w:jc w:val="center"/>
        <w:tblCellMar>
          <w:left w:w="85" w:type="dxa"/>
          <w:right w:w="85" w:type="dxa"/>
        </w:tblCellMar>
        <w:tblLook w:val="04A0" w:firstRow="1" w:lastRow="0" w:firstColumn="1" w:lastColumn="0" w:noHBand="0" w:noVBand="1"/>
      </w:tblPr>
      <w:tblGrid>
        <w:gridCol w:w="1515"/>
        <w:gridCol w:w="7548"/>
      </w:tblGrid>
      <w:tr w:rsidR="00D66267" w:rsidRPr="00F85CA6" w14:paraId="043ABBDD" w14:textId="77777777" w:rsidTr="001239C3">
        <w:trPr>
          <w:trHeight w:val="680"/>
          <w:jc w:val="center"/>
        </w:trPr>
        <w:tc>
          <w:tcPr>
            <w:tcW w:w="5000" w:type="pct"/>
            <w:gridSpan w:val="2"/>
            <w:tcBorders>
              <w:top w:val="single" w:sz="4" w:space="0" w:color="auto"/>
              <w:left w:val="single" w:sz="4" w:space="0" w:color="auto"/>
              <w:right w:val="single" w:sz="4" w:space="0" w:color="auto"/>
            </w:tcBorders>
            <w:shd w:val="clear" w:color="auto" w:fill="auto"/>
            <w:vAlign w:val="center"/>
          </w:tcPr>
          <w:p w14:paraId="020490FC" w14:textId="77777777" w:rsidR="00D66267" w:rsidRPr="00F85CA6" w:rsidRDefault="00D66267" w:rsidP="00D66267">
            <w:pPr>
              <w:jc w:val="both"/>
              <w:rPr>
                <w:rFonts w:eastAsia="Calibri"/>
                <w:sz w:val="22"/>
                <w:szCs w:val="22"/>
                <w:lang w:val="sr-Latn-ME" w:bidi="en-US"/>
              </w:rPr>
            </w:pPr>
            <w:bookmarkStart w:id="14" w:name="_Hlk65866206"/>
            <w:r w:rsidRPr="00F85CA6">
              <w:rPr>
                <w:rFonts w:eastAsia="Calibri"/>
                <w:i/>
                <w:iCs/>
                <w:sz w:val="22"/>
                <w:szCs w:val="22"/>
                <w:u w:val="single"/>
                <w:lang w:val="sr-Latn-ME" w:bidi="en-US"/>
              </w:rPr>
              <w:t>P-gp inhibitori</w:t>
            </w:r>
          </w:p>
        </w:tc>
      </w:tr>
      <w:tr w:rsidR="00D66267" w:rsidRPr="00F85CA6" w14:paraId="7968B3DE" w14:textId="77777777" w:rsidTr="001239C3">
        <w:trPr>
          <w:trHeight w:val="680"/>
          <w:jc w:val="center"/>
        </w:trPr>
        <w:tc>
          <w:tcPr>
            <w:tcW w:w="5000" w:type="pct"/>
            <w:gridSpan w:val="2"/>
            <w:tcBorders>
              <w:top w:val="single" w:sz="4" w:space="0" w:color="auto"/>
              <w:left w:val="single" w:sz="4" w:space="0" w:color="auto"/>
              <w:right w:val="single" w:sz="4" w:space="0" w:color="auto"/>
            </w:tcBorders>
            <w:shd w:val="clear" w:color="auto" w:fill="auto"/>
            <w:vAlign w:val="center"/>
          </w:tcPr>
          <w:p w14:paraId="5C45B61F" w14:textId="4407E941" w:rsidR="00D66267" w:rsidRPr="00F85CA6" w:rsidRDefault="00D66267" w:rsidP="00D66267">
            <w:pPr>
              <w:jc w:val="both"/>
              <w:rPr>
                <w:rFonts w:eastAsia="Calibri"/>
                <w:sz w:val="22"/>
                <w:szCs w:val="22"/>
                <w:lang w:val="sr-Latn-ME" w:bidi="en-US"/>
              </w:rPr>
            </w:pPr>
            <w:r w:rsidRPr="00F85CA6">
              <w:rPr>
                <w:rFonts w:eastAsia="Calibri"/>
                <w:i/>
                <w:iCs/>
                <w:sz w:val="22"/>
                <w:szCs w:val="22"/>
                <w:lang w:val="sr-Latn-ME" w:bidi="en-US"/>
              </w:rPr>
              <w:t xml:space="preserve">Istovremena primjena je kontraindikovana (vidjeti </w:t>
            </w:r>
            <w:r w:rsidR="00A4270C" w:rsidRPr="00F85CA6">
              <w:rPr>
                <w:rFonts w:eastAsia="Calibri"/>
                <w:i/>
                <w:iCs/>
                <w:sz w:val="22"/>
                <w:szCs w:val="22"/>
                <w:lang w:val="sr-Latn-ME" w:bidi="en-US"/>
              </w:rPr>
              <w:t>dio</w:t>
            </w:r>
            <w:r w:rsidRPr="00F85CA6">
              <w:rPr>
                <w:rFonts w:eastAsia="Calibri"/>
                <w:i/>
                <w:iCs/>
                <w:sz w:val="22"/>
                <w:szCs w:val="22"/>
                <w:lang w:val="sr-Latn-ME" w:bidi="en-US"/>
              </w:rPr>
              <w:t xml:space="preserve"> 4.3)</w:t>
            </w:r>
          </w:p>
        </w:tc>
      </w:tr>
      <w:tr w:rsidR="00D66267" w:rsidRPr="00F85CA6" w14:paraId="1543A8C2" w14:textId="77777777" w:rsidTr="001239C3">
        <w:trPr>
          <w:trHeight w:val="20"/>
          <w:jc w:val="center"/>
        </w:trPr>
        <w:tc>
          <w:tcPr>
            <w:tcW w:w="836" w:type="pct"/>
            <w:tcBorders>
              <w:top w:val="single" w:sz="4" w:space="0" w:color="auto"/>
              <w:left w:val="single" w:sz="4" w:space="0" w:color="auto"/>
            </w:tcBorders>
            <w:shd w:val="clear" w:color="auto" w:fill="auto"/>
          </w:tcPr>
          <w:p w14:paraId="40C93CCA" w14:textId="77777777" w:rsidR="00D66267" w:rsidRPr="00F85CA6" w:rsidRDefault="00D66267" w:rsidP="00D66267">
            <w:pPr>
              <w:rPr>
                <w:rFonts w:eastAsia="Calibri"/>
                <w:sz w:val="22"/>
                <w:szCs w:val="22"/>
                <w:lang w:val="sr-Latn-ME" w:bidi="en-US"/>
              </w:rPr>
            </w:pPr>
            <w:r w:rsidRPr="00F85CA6">
              <w:rPr>
                <w:rFonts w:eastAsia="Calibri"/>
                <w:sz w:val="22"/>
                <w:szCs w:val="22"/>
                <w:lang w:val="sr-Latn-ME" w:bidi="en-US"/>
              </w:rPr>
              <w:t>Ketokonazol</w:t>
            </w:r>
          </w:p>
        </w:tc>
        <w:tc>
          <w:tcPr>
            <w:tcW w:w="4164" w:type="pct"/>
            <w:tcBorders>
              <w:top w:val="single" w:sz="4" w:space="0" w:color="auto"/>
              <w:left w:val="single" w:sz="4" w:space="0" w:color="auto"/>
              <w:right w:val="single" w:sz="4" w:space="0" w:color="auto"/>
            </w:tcBorders>
            <w:shd w:val="clear" w:color="auto" w:fill="auto"/>
            <w:vAlign w:val="bottom"/>
          </w:tcPr>
          <w:p w14:paraId="032DF604" w14:textId="79B818AE" w:rsidR="00D66267" w:rsidRPr="00F85CA6" w:rsidRDefault="00D66267" w:rsidP="00D66267">
            <w:pPr>
              <w:jc w:val="both"/>
              <w:rPr>
                <w:rFonts w:eastAsia="Calibri"/>
                <w:iCs/>
                <w:sz w:val="22"/>
                <w:szCs w:val="22"/>
                <w:lang w:val="sr-Latn-ME"/>
              </w:rPr>
            </w:pPr>
            <w:r w:rsidRPr="00F85CA6">
              <w:rPr>
                <w:rFonts w:eastAsia="Calibri"/>
                <w:iCs/>
                <w:sz w:val="22"/>
                <w:szCs w:val="22"/>
                <w:lang w:val="sr-Latn-ME"/>
              </w:rPr>
              <w:t>Ketokonazol je povećao ukupne vrijednosti PIK</w:t>
            </w:r>
            <w:r w:rsidRPr="00F85CA6">
              <w:rPr>
                <w:rFonts w:eastAsia="Calibri"/>
                <w:iCs/>
                <w:sz w:val="22"/>
                <w:szCs w:val="22"/>
                <w:vertAlign w:val="subscript"/>
                <w:lang w:val="sr-Latn-ME"/>
              </w:rPr>
              <w:t>0-∞</w:t>
            </w:r>
            <w:r w:rsidRPr="00F85CA6">
              <w:rPr>
                <w:rFonts w:eastAsia="Calibri"/>
                <w:iCs/>
                <w:sz w:val="22"/>
                <w:szCs w:val="22"/>
                <w:lang w:val="sr-Latn-ME"/>
              </w:rPr>
              <w:t>, i C</w:t>
            </w:r>
            <w:r w:rsidRPr="00F85CA6">
              <w:rPr>
                <w:rFonts w:eastAsia="Calibri"/>
                <w:iCs/>
                <w:sz w:val="22"/>
                <w:szCs w:val="22"/>
                <w:vertAlign w:val="subscript"/>
                <w:lang w:val="sr-Latn-ME"/>
              </w:rPr>
              <w:t>max</w:t>
            </w:r>
            <w:r w:rsidRPr="00F85CA6">
              <w:rPr>
                <w:rFonts w:eastAsia="Calibri"/>
                <w:iCs/>
                <w:sz w:val="22"/>
                <w:szCs w:val="22"/>
                <w:lang w:val="sr-Latn-ME"/>
              </w:rPr>
              <w:t xml:space="preserve"> dabigatrana </w:t>
            </w:r>
            <w:r w:rsidRPr="00F85CA6">
              <w:rPr>
                <w:rFonts w:eastAsia="Calibri"/>
                <w:sz w:val="22"/>
                <w:szCs w:val="22"/>
                <w:lang w:val="sr-Latn-ME"/>
              </w:rPr>
              <w:t xml:space="preserve">2,38 puta, odnosno 2,35 puta </w:t>
            </w:r>
            <w:r w:rsidRPr="00F85CA6">
              <w:rPr>
                <w:rFonts w:eastAsia="Calibri"/>
                <w:iCs/>
                <w:sz w:val="22"/>
                <w:szCs w:val="22"/>
                <w:lang w:val="sr-Latn-ME"/>
              </w:rPr>
              <w:t xml:space="preserve">nakon pojedinačne doze od 400 mg, i </w:t>
            </w:r>
            <w:r w:rsidRPr="00F85CA6">
              <w:rPr>
                <w:rFonts w:eastAsia="Calibri"/>
                <w:sz w:val="22"/>
                <w:szCs w:val="22"/>
                <w:lang w:val="sr-Latn-ME"/>
              </w:rPr>
              <w:t xml:space="preserve">2,53 puta, odnosno 2,49 puta </w:t>
            </w:r>
            <w:r w:rsidRPr="00F85CA6">
              <w:rPr>
                <w:rFonts w:eastAsia="Calibri"/>
                <w:iCs/>
                <w:sz w:val="22"/>
                <w:szCs w:val="22"/>
                <w:lang w:val="sr-Latn-ME"/>
              </w:rPr>
              <w:t>nakon višestrukih doza od 400 mg ketokonazola prim</w:t>
            </w:r>
            <w:r w:rsidR="00300352" w:rsidRPr="00F85CA6">
              <w:rPr>
                <w:rFonts w:eastAsia="Calibri"/>
                <w:iCs/>
                <w:sz w:val="22"/>
                <w:szCs w:val="22"/>
                <w:lang w:val="sr-Latn-ME"/>
              </w:rPr>
              <w:t>i</w:t>
            </w:r>
            <w:r w:rsidRPr="00F85CA6">
              <w:rPr>
                <w:rFonts w:eastAsia="Calibri"/>
                <w:iCs/>
                <w:sz w:val="22"/>
                <w:szCs w:val="22"/>
                <w:lang w:val="sr-Latn-ME"/>
              </w:rPr>
              <w:t>jenjenih oralnim putem jednom dnevno.</w:t>
            </w:r>
          </w:p>
        </w:tc>
      </w:tr>
      <w:tr w:rsidR="00D66267" w:rsidRPr="00F85CA6" w14:paraId="4C00E4AA" w14:textId="77777777" w:rsidTr="001239C3">
        <w:trPr>
          <w:trHeight w:val="20"/>
          <w:jc w:val="center"/>
        </w:trPr>
        <w:tc>
          <w:tcPr>
            <w:tcW w:w="836" w:type="pct"/>
            <w:tcBorders>
              <w:top w:val="single" w:sz="4" w:space="0" w:color="auto"/>
              <w:left w:val="single" w:sz="4" w:space="0" w:color="auto"/>
            </w:tcBorders>
            <w:shd w:val="clear" w:color="auto" w:fill="auto"/>
          </w:tcPr>
          <w:p w14:paraId="5FADE1E2" w14:textId="77777777" w:rsidR="00D66267" w:rsidRPr="00F85CA6" w:rsidRDefault="00D66267" w:rsidP="00D66267">
            <w:pPr>
              <w:rPr>
                <w:rFonts w:eastAsia="Calibri"/>
                <w:sz w:val="22"/>
                <w:szCs w:val="22"/>
                <w:lang w:val="sr-Latn-ME" w:bidi="en-US"/>
              </w:rPr>
            </w:pPr>
            <w:r w:rsidRPr="00F85CA6">
              <w:rPr>
                <w:rFonts w:eastAsia="Calibri"/>
                <w:sz w:val="22"/>
                <w:szCs w:val="22"/>
                <w:lang w:val="sr-Latn-ME" w:bidi="en-US"/>
              </w:rPr>
              <w:t>Dronedaron</w:t>
            </w:r>
          </w:p>
        </w:tc>
        <w:tc>
          <w:tcPr>
            <w:tcW w:w="4164" w:type="pct"/>
            <w:tcBorders>
              <w:top w:val="single" w:sz="4" w:space="0" w:color="auto"/>
              <w:left w:val="single" w:sz="4" w:space="0" w:color="auto"/>
              <w:right w:val="single" w:sz="4" w:space="0" w:color="auto"/>
            </w:tcBorders>
            <w:shd w:val="clear" w:color="auto" w:fill="auto"/>
          </w:tcPr>
          <w:p w14:paraId="2CBF8FEB" w14:textId="175ABE5E" w:rsidR="00D66267" w:rsidRPr="00F85CA6" w:rsidRDefault="00D66267" w:rsidP="00D66267">
            <w:pPr>
              <w:jc w:val="both"/>
              <w:rPr>
                <w:rFonts w:eastAsia="Calibri"/>
                <w:sz w:val="22"/>
                <w:szCs w:val="22"/>
                <w:lang w:val="sr-Latn-ME" w:bidi="en-US"/>
              </w:rPr>
            </w:pPr>
            <w:r w:rsidRPr="00F85CA6">
              <w:rPr>
                <w:rFonts w:eastAsia="Calibri"/>
                <w:iCs/>
                <w:sz w:val="22"/>
                <w:szCs w:val="22"/>
                <w:lang w:val="sr-Latn-ME"/>
              </w:rPr>
              <w:t>Kada su se dabigatrane</w:t>
            </w:r>
            <w:r w:rsidR="00EE51C2" w:rsidRPr="00F85CA6">
              <w:rPr>
                <w:rFonts w:eastAsia="Calibri"/>
                <w:iCs/>
                <w:sz w:val="22"/>
                <w:szCs w:val="22"/>
                <w:lang w:val="sr-Latn-ME"/>
              </w:rPr>
              <w:t xml:space="preserve"> </w:t>
            </w:r>
            <w:r w:rsidRPr="00F85CA6">
              <w:rPr>
                <w:rFonts w:eastAsia="Calibri"/>
                <w:iCs/>
                <w:sz w:val="22"/>
                <w:szCs w:val="22"/>
                <w:lang w:val="sr-Latn-ME"/>
              </w:rPr>
              <w:t>teksilat i dronedaron primjenjivali istovremeno, ukupne vrijednosti PIK</w:t>
            </w:r>
            <w:r w:rsidRPr="00F85CA6">
              <w:rPr>
                <w:rFonts w:eastAsia="Calibri"/>
                <w:iCs/>
                <w:sz w:val="22"/>
                <w:szCs w:val="22"/>
                <w:vertAlign w:val="subscript"/>
                <w:lang w:val="sr-Latn-ME"/>
              </w:rPr>
              <w:t>0-∞</w:t>
            </w:r>
            <w:r w:rsidRPr="00F85CA6">
              <w:rPr>
                <w:rFonts w:eastAsia="Calibri"/>
                <w:iCs/>
                <w:sz w:val="22"/>
                <w:szCs w:val="22"/>
                <w:lang w:val="sr-Latn-ME"/>
              </w:rPr>
              <w:t xml:space="preserve"> i C</w:t>
            </w:r>
            <w:r w:rsidRPr="00F85CA6">
              <w:rPr>
                <w:rFonts w:eastAsia="Calibri"/>
                <w:iCs/>
                <w:sz w:val="22"/>
                <w:szCs w:val="22"/>
                <w:vertAlign w:val="subscript"/>
                <w:lang w:val="sr-Latn-ME"/>
              </w:rPr>
              <w:t>max</w:t>
            </w:r>
            <w:r w:rsidRPr="00F85CA6">
              <w:rPr>
                <w:rFonts w:eastAsia="Calibri"/>
                <w:iCs/>
                <w:sz w:val="22"/>
                <w:szCs w:val="22"/>
                <w:lang w:val="sr-Latn-ME"/>
              </w:rPr>
              <w:t xml:space="preserve"> dabigatrana su se povećavale 2,4 puta</w:t>
            </w:r>
            <w:r w:rsidRPr="00F85CA6">
              <w:rPr>
                <w:rFonts w:eastAsia="Calibri"/>
                <w:bCs/>
                <w:sz w:val="22"/>
                <w:szCs w:val="22"/>
                <w:lang w:val="sr-Latn-ME"/>
              </w:rPr>
              <w:t>, odnosno</w:t>
            </w:r>
            <w:r w:rsidRPr="00F85CA6">
              <w:rPr>
                <w:rFonts w:eastAsia="Calibri"/>
                <w:iCs/>
                <w:sz w:val="22"/>
                <w:szCs w:val="22"/>
                <w:lang w:val="sr-Latn-ME"/>
              </w:rPr>
              <w:t xml:space="preserve"> 2,3 puta </w:t>
            </w:r>
            <w:r w:rsidRPr="00F85CA6">
              <w:rPr>
                <w:rFonts w:eastAsia="Calibri"/>
                <w:bCs/>
                <w:sz w:val="22"/>
                <w:szCs w:val="22"/>
                <w:lang w:val="sr-Latn-ME"/>
              </w:rPr>
              <w:t xml:space="preserve">nakon višestrukih doza od 400 mg dronedarona dva puta dnevno, i za oko 2,1 puta, odnosno 1,9 puta nakon pojedinačne doze od 400 mg dronedarona. </w:t>
            </w:r>
          </w:p>
        </w:tc>
      </w:tr>
      <w:tr w:rsidR="00D66267" w:rsidRPr="00F85CA6" w14:paraId="61184A6F" w14:textId="77777777" w:rsidTr="001239C3">
        <w:trPr>
          <w:trHeight w:val="20"/>
          <w:jc w:val="center"/>
        </w:trPr>
        <w:tc>
          <w:tcPr>
            <w:tcW w:w="836" w:type="pct"/>
            <w:tcBorders>
              <w:top w:val="single" w:sz="4" w:space="0" w:color="auto"/>
              <w:left w:val="single" w:sz="4" w:space="0" w:color="auto"/>
              <w:bottom w:val="single" w:sz="4" w:space="0" w:color="auto"/>
            </w:tcBorders>
            <w:shd w:val="clear" w:color="auto" w:fill="auto"/>
            <w:vAlign w:val="bottom"/>
          </w:tcPr>
          <w:p w14:paraId="595133BC" w14:textId="77777777" w:rsidR="00D66267" w:rsidRPr="00F85CA6" w:rsidRDefault="00D66267" w:rsidP="00D66267">
            <w:pPr>
              <w:rPr>
                <w:rFonts w:eastAsia="Calibri"/>
                <w:sz w:val="22"/>
                <w:szCs w:val="22"/>
                <w:lang w:val="sr-Latn-ME" w:bidi="en-US"/>
              </w:rPr>
            </w:pPr>
            <w:r w:rsidRPr="00F85CA6">
              <w:rPr>
                <w:rFonts w:eastAsia="Calibri"/>
                <w:sz w:val="22"/>
                <w:szCs w:val="22"/>
                <w:lang w:val="sr-Latn-ME" w:bidi="en-US"/>
              </w:rPr>
              <w:t>Itrakonazol,</w:t>
            </w:r>
          </w:p>
          <w:p w14:paraId="1B3A954E" w14:textId="77777777" w:rsidR="00D66267" w:rsidRPr="00F85CA6" w:rsidRDefault="00D66267" w:rsidP="00D66267">
            <w:pPr>
              <w:rPr>
                <w:rFonts w:eastAsia="Calibri"/>
                <w:sz w:val="22"/>
                <w:szCs w:val="22"/>
                <w:lang w:val="sr-Latn-ME" w:bidi="en-US"/>
              </w:rPr>
            </w:pPr>
            <w:r w:rsidRPr="00F85CA6">
              <w:rPr>
                <w:rFonts w:eastAsia="Calibri"/>
                <w:sz w:val="22"/>
                <w:szCs w:val="22"/>
                <w:lang w:val="sr-Latn-ME" w:bidi="en-US"/>
              </w:rPr>
              <w:t>ciklosporin</w:t>
            </w:r>
          </w:p>
        </w:tc>
        <w:tc>
          <w:tcPr>
            <w:tcW w:w="4164" w:type="pct"/>
            <w:tcBorders>
              <w:top w:val="single" w:sz="4" w:space="0" w:color="auto"/>
              <w:left w:val="single" w:sz="4" w:space="0" w:color="auto"/>
              <w:bottom w:val="single" w:sz="4" w:space="0" w:color="auto"/>
              <w:right w:val="single" w:sz="4" w:space="0" w:color="auto"/>
            </w:tcBorders>
            <w:shd w:val="clear" w:color="auto" w:fill="auto"/>
          </w:tcPr>
          <w:p w14:paraId="317E9B4B" w14:textId="77777777" w:rsidR="00D66267" w:rsidRPr="00F85CA6" w:rsidRDefault="00D66267" w:rsidP="00D66267">
            <w:pPr>
              <w:jc w:val="both"/>
              <w:rPr>
                <w:rFonts w:eastAsia="Calibri"/>
                <w:sz w:val="22"/>
                <w:szCs w:val="22"/>
                <w:lang w:val="sr-Latn-ME" w:bidi="en-US"/>
              </w:rPr>
            </w:pPr>
            <w:r w:rsidRPr="00F85CA6">
              <w:rPr>
                <w:rFonts w:eastAsia="Calibri"/>
                <w:sz w:val="22"/>
                <w:szCs w:val="22"/>
                <w:lang w:val="sr-Latn-ME"/>
              </w:rPr>
              <w:t xml:space="preserve">Na osnovu rezultata u </w:t>
            </w:r>
            <w:r w:rsidRPr="00F85CA6">
              <w:rPr>
                <w:rFonts w:eastAsia="Calibri"/>
                <w:i/>
                <w:sz w:val="22"/>
                <w:szCs w:val="22"/>
                <w:lang w:val="sr-Latn-ME"/>
              </w:rPr>
              <w:t>in vitro</w:t>
            </w:r>
            <w:r w:rsidRPr="00F85CA6">
              <w:rPr>
                <w:rFonts w:eastAsia="Calibri"/>
                <w:sz w:val="22"/>
                <w:szCs w:val="22"/>
                <w:lang w:val="sr-Latn-ME"/>
              </w:rPr>
              <w:t xml:space="preserve"> uslovima može se očekivati slično dejstvo kao i sa ketokonazolom.</w:t>
            </w:r>
          </w:p>
        </w:tc>
      </w:tr>
      <w:tr w:rsidR="00D66267" w:rsidRPr="00F85CA6" w14:paraId="49782EE5" w14:textId="77777777" w:rsidTr="001239C3">
        <w:trPr>
          <w:trHeight w:val="20"/>
          <w:jc w:val="center"/>
        </w:trPr>
        <w:tc>
          <w:tcPr>
            <w:tcW w:w="836" w:type="pct"/>
            <w:tcBorders>
              <w:top w:val="single" w:sz="4" w:space="0" w:color="auto"/>
              <w:left w:val="single" w:sz="4" w:space="0" w:color="auto"/>
            </w:tcBorders>
            <w:shd w:val="clear" w:color="auto" w:fill="auto"/>
          </w:tcPr>
          <w:p w14:paraId="7BEC7B62" w14:textId="77777777" w:rsidR="00D66267" w:rsidRPr="00F85CA6" w:rsidRDefault="00D66267" w:rsidP="00D66267">
            <w:pPr>
              <w:rPr>
                <w:rFonts w:eastAsia="Calibri"/>
                <w:sz w:val="22"/>
                <w:szCs w:val="22"/>
                <w:lang w:val="sr-Latn-ME" w:bidi="en-US"/>
              </w:rPr>
            </w:pPr>
            <w:r w:rsidRPr="00F85CA6">
              <w:rPr>
                <w:rFonts w:eastAsia="Calibri"/>
                <w:sz w:val="22"/>
                <w:szCs w:val="22"/>
                <w:lang w:val="sr-Latn-ME" w:bidi="en-US"/>
              </w:rPr>
              <w:t>Glekaprevir/ pibrentasvir</w:t>
            </w:r>
          </w:p>
        </w:tc>
        <w:tc>
          <w:tcPr>
            <w:tcW w:w="4164" w:type="pct"/>
            <w:tcBorders>
              <w:top w:val="single" w:sz="4" w:space="0" w:color="auto"/>
              <w:left w:val="single" w:sz="4" w:space="0" w:color="auto"/>
              <w:right w:val="single" w:sz="4" w:space="0" w:color="auto"/>
            </w:tcBorders>
            <w:shd w:val="clear" w:color="auto" w:fill="auto"/>
            <w:vAlign w:val="bottom"/>
          </w:tcPr>
          <w:tbl>
            <w:tblPr>
              <w:tblW w:w="0" w:type="auto"/>
              <w:tblCellMar>
                <w:left w:w="0" w:type="dxa"/>
                <w:right w:w="0" w:type="dxa"/>
              </w:tblCellMar>
              <w:tblLook w:val="0000" w:firstRow="0" w:lastRow="0" w:firstColumn="0" w:lastColumn="0" w:noHBand="0" w:noVBand="0"/>
            </w:tblPr>
            <w:tblGrid>
              <w:gridCol w:w="6920"/>
            </w:tblGrid>
            <w:tr w:rsidR="00D66267" w:rsidRPr="00F85CA6" w14:paraId="368ACF36" w14:textId="77777777" w:rsidTr="001239C3">
              <w:trPr>
                <w:trHeight w:val="212"/>
              </w:trPr>
              <w:tc>
                <w:tcPr>
                  <w:tcW w:w="6920" w:type="dxa"/>
                  <w:shd w:val="clear" w:color="auto" w:fill="auto"/>
                  <w:vAlign w:val="bottom"/>
                </w:tcPr>
                <w:p w14:paraId="3A46507E" w14:textId="50D89370" w:rsidR="00D66267" w:rsidRPr="00F85CA6" w:rsidRDefault="00D66267" w:rsidP="00D66267">
                  <w:pPr>
                    <w:jc w:val="both"/>
                    <w:rPr>
                      <w:rFonts w:eastAsia="Calibri"/>
                      <w:sz w:val="22"/>
                      <w:szCs w:val="22"/>
                      <w:lang w:val="sr-Latn-ME"/>
                    </w:rPr>
                  </w:pPr>
                  <w:r w:rsidRPr="00F85CA6">
                    <w:rPr>
                      <w:rFonts w:eastAsia="Calibri"/>
                      <w:sz w:val="22"/>
                      <w:szCs w:val="22"/>
                      <w:lang w:val="sr-Latn-ME"/>
                    </w:rPr>
                    <w:t>Za istovremenu primjenu dabigatraneteksilata sa fiksnom kombinacijom P-gp inhibitora glekaprevir/pibrentasvir pokazano je da povećava izloženost dabigatranu i može poveća</w:t>
                  </w:r>
                  <w:r w:rsidR="00EE51C2" w:rsidRPr="00F85CA6">
                    <w:rPr>
                      <w:rFonts w:eastAsia="Calibri"/>
                      <w:sz w:val="22"/>
                      <w:szCs w:val="22"/>
                      <w:lang w:val="sr-Latn-ME"/>
                    </w:rPr>
                    <w:t>ti</w:t>
                  </w:r>
                  <w:r w:rsidRPr="00F85CA6">
                    <w:rPr>
                      <w:rFonts w:eastAsia="Calibri"/>
                      <w:sz w:val="22"/>
                      <w:szCs w:val="22"/>
                      <w:lang w:val="sr-Latn-ME"/>
                    </w:rPr>
                    <w:t xml:space="preserve"> rizik od krvarenja.</w:t>
                  </w:r>
                </w:p>
              </w:tc>
            </w:tr>
          </w:tbl>
          <w:p w14:paraId="063C1181" w14:textId="77777777" w:rsidR="00D66267" w:rsidRPr="00F85CA6" w:rsidRDefault="00D66267" w:rsidP="00D66267">
            <w:pPr>
              <w:jc w:val="both"/>
              <w:rPr>
                <w:rFonts w:eastAsia="Calibri"/>
                <w:sz w:val="22"/>
                <w:szCs w:val="22"/>
                <w:lang w:val="sr-Latn-ME" w:bidi="en-US"/>
              </w:rPr>
            </w:pPr>
          </w:p>
        </w:tc>
      </w:tr>
      <w:tr w:rsidR="00D66267" w:rsidRPr="00F85CA6" w14:paraId="37D91696" w14:textId="77777777" w:rsidTr="001239C3">
        <w:trPr>
          <w:trHeight w:val="680"/>
          <w:jc w:val="center"/>
        </w:trPr>
        <w:tc>
          <w:tcPr>
            <w:tcW w:w="5000" w:type="pct"/>
            <w:gridSpan w:val="2"/>
            <w:tcBorders>
              <w:top w:val="single" w:sz="4" w:space="0" w:color="auto"/>
              <w:left w:val="single" w:sz="4" w:space="0" w:color="auto"/>
              <w:right w:val="single" w:sz="4" w:space="0" w:color="auto"/>
            </w:tcBorders>
            <w:shd w:val="clear" w:color="auto" w:fill="auto"/>
            <w:vAlign w:val="center"/>
          </w:tcPr>
          <w:p w14:paraId="22ABE767" w14:textId="1D64AFB6" w:rsidR="00D66267" w:rsidRPr="00F85CA6" w:rsidRDefault="00D66267" w:rsidP="00D66267">
            <w:pPr>
              <w:jc w:val="both"/>
              <w:rPr>
                <w:rFonts w:eastAsia="Calibri"/>
                <w:sz w:val="22"/>
                <w:szCs w:val="22"/>
                <w:lang w:val="sr-Latn-ME" w:bidi="en-US"/>
              </w:rPr>
            </w:pPr>
            <w:r w:rsidRPr="00F85CA6">
              <w:rPr>
                <w:rFonts w:eastAsia="Calibri"/>
                <w:i/>
                <w:iCs/>
                <w:sz w:val="22"/>
                <w:szCs w:val="22"/>
                <w:lang w:val="sr-Latn-ME" w:bidi="en-US"/>
              </w:rPr>
              <w:t>Istovremena primjena se ne preporučuje</w:t>
            </w:r>
          </w:p>
        </w:tc>
      </w:tr>
      <w:tr w:rsidR="00D66267" w:rsidRPr="00F85CA6" w14:paraId="2E98C098" w14:textId="77777777" w:rsidTr="001239C3">
        <w:trPr>
          <w:trHeight w:val="20"/>
          <w:jc w:val="center"/>
        </w:trPr>
        <w:tc>
          <w:tcPr>
            <w:tcW w:w="836" w:type="pct"/>
            <w:tcBorders>
              <w:top w:val="single" w:sz="4" w:space="0" w:color="auto"/>
              <w:left w:val="single" w:sz="4" w:space="0" w:color="auto"/>
              <w:bottom w:val="single" w:sz="4" w:space="0" w:color="auto"/>
            </w:tcBorders>
            <w:shd w:val="clear" w:color="auto" w:fill="auto"/>
          </w:tcPr>
          <w:p w14:paraId="1E444CDD" w14:textId="77777777" w:rsidR="00D66267" w:rsidRPr="00F85CA6" w:rsidRDefault="00D66267" w:rsidP="00D66267">
            <w:pPr>
              <w:jc w:val="both"/>
              <w:rPr>
                <w:rFonts w:eastAsia="Calibri"/>
                <w:sz w:val="22"/>
                <w:szCs w:val="22"/>
                <w:lang w:val="sr-Latn-ME" w:bidi="en-US"/>
              </w:rPr>
            </w:pPr>
            <w:r w:rsidRPr="00F85CA6">
              <w:rPr>
                <w:rFonts w:eastAsia="Calibri"/>
                <w:sz w:val="22"/>
                <w:szCs w:val="22"/>
                <w:lang w:val="sr-Latn-ME" w:bidi="en-US"/>
              </w:rPr>
              <w:t>Takrolimus</w:t>
            </w:r>
          </w:p>
        </w:tc>
        <w:tc>
          <w:tcPr>
            <w:tcW w:w="4164" w:type="pct"/>
            <w:tcBorders>
              <w:top w:val="single" w:sz="4" w:space="0" w:color="auto"/>
              <w:left w:val="single" w:sz="4" w:space="0" w:color="auto"/>
              <w:bottom w:val="single" w:sz="4" w:space="0" w:color="auto"/>
              <w:right w:val="single" w:sz="4" w:space="0" w:color="auto"/>
            </w:tcBorders>
            <w:shd w:val="clear" w:color="auto" w:fill="auto"/>
            <w:vAlign w:val="bottom"/>
          </w:tcPr>
          <w:p w14:paraId="3D4581FE" w14:textId="489317D8" w:rsidR="00D66267" w:rsidRPr="00F85CA6" w:rsidRDefault="00D66267" w:rsidP="00D66267">
            <w:pPr>
              <w:jc w:val="both"/>
              <w:rPr>
                <w:rFonts w:eastAsia="Calibri"/>
                <w:sz w:val="22"/>
                <w:szCs w:val="22"/>
                <w:lang w:val="sr-Latn-ME"/>
              </w:rPr>
            </w:pPr>
            <w:r w:rsidRPr="00F85CA6">
              <w:rPr>
                <w:rFonts w:eastAsia="Calibri"/>
                <w:sz w:val="22"/>
                <w:szCs w:val="22"/>
                <w:lang w:val="sr-Latn-ME"/>
              </w:rPr>
              <w:t xml:space="preserve">U </w:t>
            </w:r>
            <w:r w:rsidRPr="00F85CA6">
              <w:rPr>
                <w:rFonts w:eastAsia="Calibri"/>
                <w:i/>
                <w:iCs/>
                <w:sz w:val="22"/>
                <w:szCs w:val="22"/>
                <w:lang w:val="sr-Latn-ME"/>
              </w:rPr>
              <w:t>in vitro</w:t>
            </w:r>
            <w:r w:rsidRPr="00F85CA6">
              <w:rPr>
                <w:rFonts w:eastAsia="Calibri"/>
                <w:sz w:val="22"/>
                <w:szCs w:val="22"/>
                <w:lang w:val="sr-Latn-ME"/>
              </w:rPr>
              <w:t xml:space="preserve"> uslovima je pokazano da takrolimus ima slično inhibitorno dejstvo na P-gp kao itrakonazol i ciklosporin. Dabigatrane</w:t>
            </w:r>
            <w:r w:rsidR="00EE51C2" w:rsidRPr="00F85CA6">
              <w:rPr>
                <w:rFonts w:eastAsia="Calibri"/>
                <w:sz w:val="22"/>
                <w:szCs w:val="22"/>
                <w:lang w:val="sr-Latn-ME"/>
              </w:rPr>
              <w:t xml:space="preserve"> </w:t>
            </w:r>
            <w:r w:rsidRPr="00F85CA6">
              <w:rPr>
                <w:rFonts w:eastAsia="Calibri"/>
                <w:sz w:val="22"/>
                <w:szCs w:val="22"/>
                <w:lang w:val="sr-Latn-ME"/>
              </w:rPr>
              <w:t>teksilat nije bio klinički ispitivan zajedno sa takrolimusom. Međutim, ograničeni klinički podaci sa drugim P-gp supstratom (everolimus) ukazuju na to da je inhibicija P-gp sa takrolimusom slabija od one uočene sa snažnim P-gp inhibitorima.</w:t>
            </w:r>
          </w:p>
        </w:tc>
      </w:tr>
      <w:tr w:rsidR="00D66267" w:rsidRPr="00F85CA6" w14:paraId="5C7E4F27" w14:textId="77777777" w:rsidTr="001239C3">
        <w:trPr>
          <w:trHeight w:val="68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216076" w14:textId="11A28DB2" w:rsidR="00D66267" w:rsidRPr="00F85CA6" w:rsidRDefault="00D66267" w:rsidP="00D66267">
            <w:pPr>
              <w:jc w:val="both"/>
              <w:rPr>
                <w:rFonts w:eastAsia="Calibri"/>
                <w:sz w:val="22"/>
                <w:szCs w:val="22"/>
                <w:lang w:val="sr-Latn-ME" w:bidi="en-US"/>
              </w:rPr>
            </w:pPr>
            <w:r w:rsidRPr="00F85CA6">
              <w:rPr>
                <w:rFonts w:eastAsia="Calibri"/>
                <w:i/>
                <w:iCs/>
                <w:sz w:val="22"/>
                <w:szCs w:val="22"/>
                <w:lang w:val="sr-Latn-ME" w:bidi="en-US"/>
              </w:rPr>
              <w:t xml:space="preserve">Potreban je oprez u slučaju istovremene primjene (vidjeti </w:t>
            </w:r>
            <w:r w:rsidR="00A4270C" w:rsidRPr="00F85CA6">
              <w:rPr>
                <w:rFonts w:eastAsia="Calibri"/>
                <w:i/>
                <w:iCs/>
                <w:sz w:val="22"/>
                <w:szCs w:val="22"/>
                <w:lang w:val="sr-Latn-ME" w:bidi="en-US"/>
              </w:rPr>
              <w:t>djelove</w:t>
            </w:r>
            <w:r w:rsidRPr="00F85CA6">
              <w:rPr>
                <w:rFonts w:eastAsia="Calibri"/>
                <w:i/>
                <w:iCs/>
                <w:sz w:val="22"/>
                <w:szCs w:val="22"/>
                <w:lang w:val="sr-Latn-ME" w:bidi="en-US"/>
              </w:rPr>
              <w:t xml:space="preserve"> 4.2 i 4.4)</w:t>
            </w:r>
          </w:p>
        </w:tc>
      </w:tr>
      <w:tr w:rsidR="00D66267" w:rsidRPr="00F85CA6" w14:paraId="4E3D487A" w14:textId="77777777" w:rsidTr="001239C3">
        <w:trPr>
          <w:trHeight w:val="20"/>
          <w:jc w:val="center"/>
        </w:trPr>
        <w:tc>
          <w:tcPr>
            <w:tcW w:w="836" w:type="pct"/>
            <w:tcBorders>
              <w:top w:val="single" w:sz="4" w:space="0" w:color="auto"/>
              <w:left w:val="single" w:sz="4" w:space="0" w:color="auto"/>
              <w:bottom w:val="single" w:sz="4" w:space="0" w:color="auto"/>
            </w:tcBorders>
            <w:shd w:val="clear" w:color="auto" w:fill="auto"/>
          </w:tcPr>
          <w:p w14:paraId="74AF8586" w14:textId="77777777" w:rsidR="00D66267" w:rsidRPr="00F85CA6" w:rsidRDefault="00D66267" w:rsidP="00D66267">
            <w:pPr>
              <w:jc w:val="both"/>
              <w:rPr>
                <w:rFonts w:eastAsia="Calibri"/>
                <w:sz w:val="22"/>
                <w:szCs w:val="22"/>
                <w:lang w:val="sr-Latn-ME" w:bidi="en-US"/>
              </w:rPr>
            </w:pPr>
            <w:r w:rsidRPr="00F85CA6">
              <w:rPr>
                <w:rFonts w:eastAsia="Calibri"/>
                <w:sz w:val="22"/>
                <w:szCs w:val="22"/>
                <w:lang w:val="sr-Latn-ME" w:bidi="en-US"/>
              </w:rPr>
              <w:t>Verapamil</w:t>
            </w:r>
          </w:p>
        </w:tc>
        <w:tc>
          <w:tcPr>
            <w:tcW w:w="4164" w:type="pct"/>
            <w:tcBorders>
              <w:top w:val="single" w:sz="4" w:space="0" w:color="auto"/>
              <w:left w:val="single" w:sz="4" w:space="0" w:color="auto"/>
              <w:bottom w:val="single" w:sz="4" w:space="0" w:color="auto"/>
              <w:right w:val="single" w:sz="4" w:space="0" w:color="auto"/>
            </w:tcBorders>
            <w:shd w:val="clear" w:color="auto" w:fill="auto"/>
            <w:vAlign w:val="bottom"/>
          </w:tcPr>
          <w:p w14:paraId="0CA25746" w14:textId="1F9D2075" w:rsidR="00D66267" w:rsidRPr="00F85CA6" w:rsidRDefault="00D66267" w:rsidP="00D66267">
            <w:pPr>
              <w:jc w:val="both"/>
              <w:rPr>
                <w:rFonts w:eastAsia="Calibri"/>
                <w:sz w:val="22"/>
                <w:szCs w:val="22"/>
                <w:lang w:val="sr-Latn-ME"/>
              </w:rPr>
            </w:pPr>
            <w:r w:rsidRPr="00F85CA6">
              <w:rPr>
                <w:rFonts w:eastAsia="Calibri"/>
                <w:sz w:val="22"/>
                <w:szCs w:val="22"/>
                <w:lang w:val="sr-Latn-ME"/>
              </w:rPr>
              <w:t>Kada se dabigatrane</w:t>
            </w:r>
            <w:r w:rsidR="00EE51C2" w:rsidRPr="00F85CA6">
              <w:rPr>
                <w:rFonts w:eastAsia="Calibri"/>
                <w:sz w:val="22"/>
                <w:szCs w:val="22"/>
                <w:lang w:val="sr-Latn-ME"/>
              </w:rPr>
              <w:t xml:space="preserve"> </w:t>
            </w:r>
            <w:r w:rsidRPr="00F85CA6">
              <w:rPr>
                <w:rFonts w:eastAsia="Calibri"/>
                <w:sz w:val="22"/>
                <w:szCs w:val="22"/>
                <w:lang w:val="sr-Latn-ME"/>
              </w:rPr>
              <w:t>teksilat (150 mg) davao istovremeno sa oralno prim</w:t>
            </w:r>
            <w:r w:rsidR="00300352" w:rsidRPr="00F85CA6">
              <w:rPr>
                <w:rFonts w:eastAsia="Calibri"/>
                <w:sz w:val="22"/>
                <w:szCs w:val="22"/>
                <w:lang w:val="sr-Latn-ME"/>
              </w:rPr>
              <w:t>i</w:t>
            </w:r>
            <w:r w:rsidRPr="00F85CA6">
              <w:rPr>
                <w:rFonts w:eastAsia="Calibri"/>
                <w:sz w:val="22"/>
                <w:szCs w:val="22"/>
                <w:lang w:val="sr-Latn-ME"/>
              </w:rPr>
              <w:t>jenjenim verapamilom, vr</w:t>
            </w:r>
            <w:r w:rsidR="00055A87" w:rsidRPr="00F85CA6">
              <w:rPr>
                <w:rFonts w:eastAsia="Calibri"/>
                <w:sz w:val="22"/>
                <w:szCs w:val="22"/>
                <w:lang w:val="sr-Latn-ME"/>
              </w:rPr>
              <w:t>ij</w:t>
            </w:r>
            <w:r w:rsidRPr="00F85CA6">
              <w:rPr>
                <w:rFonts w:eastAsia="Calibri"/>
                <w:sz w:val="22"/>
                <w:szCs w:val="22"/>
                <w:lang w:val="sr-Latn-ME"/>
              </w:rPr>
              <w:t>ednosti C</w:t>
            </w:r>
            <w:r w:rsidRPr="00F85CA6">
              <w:rPr>
                <w:rFonts w:eastAsia="Calibri"/>
                <w:sz w:val="22"/>
                <w:szCs w:val="22"/>
                <w:vertAlign w:val="subscript"/>
                <w:lang w:val="sr-Latn-ME"/>
              </w:rPr>
              <w:t>max</w:t>
            </w:r>
            <w:r w:rsidRPr="00F85CA6">
              <w:rPr>
                <w:rFonts w:eastAsia="Calibri"/>
                <w:sz w:val="22"/>
                <w:szCs w:val="22"/>
                <w:lang w:val="sr-Latn-ME"/>
              </w:rPr>
              <w:t xml:space="preserve"> i PIK dabigatrana su bile povećane, ali veličina ove promjene </w:t>
            </w:r>
            <w:r w:rsidR="00EE51C2" w:rsidRPr="00F85CA6">
              <w:rPr>
                <w:rFonts w:eastAsia="Calibri"/>
                <w:sz w:val="22"/>
                <w:szCs w:val="22"/>
                <w:lang w:val="sr-Latn-ME"/>
              </w:rPr>
              <w:t>varilala je</w:t>
            </w:r>
            <w:r w:rsidRPr="00F85CA6">
              <w:rPr>
                <w:rFonts w:eastAsia="Calibri"/>
                <w:sz w:val="22"/>
                <w:szCs w:val="22"/>
                <w:lang w:val="sr-Latn-ME"/>
              </w:rPr>
              <w:t xml:space="preserve"> u zavisnosti od vremena primjene i formulacije verapamila (vidjeti </w:t>
            </w:r>
            <w:r w:rsidR="00A4270C" w:rsidRPr="00F85CA6">
              <w:rPr>
                <w:rFonts w:eastAsia="Calibri"/>
                <w:sz w:val="22"/>
                <w:szCs w:val="22"/>
                <w:lang w:val="sr-Latn-ME"/>
              </w:rPr>
              <w:t>djelove</w:t>
            </w:r>
            <w:r w:rsidRPr="00F85CA6">
              <w:rPr>
                <w:rFonts w:eastAsia="Calibri"/>
                <w:sz w:val="22"/>
                <w:szCs w:val="22"/>
                <w:lang w:val="sr-Latn-ME"/>
              </w:rPr>
              <w:t xml:space="preserve"> 4.2 i 4.4).</w:t>
            </w:r>
          </w:p>
          <w:p w14:paraId="4AFAD9FE" w14:textId="77777777" w:rsidR="00D66267" w:rsidRPr="00F85CA6" w:rsidRDefault="00D66267" w:rsidP="00D66267">
            <w:pPr>
              <w:jc w:val="both"/>
              <w:rPr>
                <w:rFonts w:eastAsia="Calibri"/>
                <w:sz w:val="22"/>
                <w:szCs w:val="22"/>
                <w:lang w:val="sr-Latn-ME"/>
              </w:rPr>
            </w:pPr>
          </w:p>
          <w:p w14:paraId="1489BCA5" w14:textId="642969E0" w:rsidR="00D66267" w:rsidRPr="00F85CA6" w:rsidRDefault="00D66267" w:rsidP="00D66267">
            <w:pPr>
              <w:jc w:val="both"/>
              <w:rPr>
                <w:rFonts w:eastAsia="Calibri"/>
                <w:sz w:val="22"/>
                <w:szCs w:val="22"/>
                <w:lang w:val="sr-Latn-ME"/>
              </w:rPr>
            </w:pPr>
            <w:r w:rsidRPr="00F85CA6">
              <w:rPr>
                <w:rFonts w:eastAsia="Calibri"/>
                <w:sz w:val="22"/>
                <w:szCs w:val="22"/>
                <w:lang w:val="sr-Latn-ME"/>
              </w:rPr>
              <w:t>Najveće povećanje izloženosti dabigatranu je bilo prim</w:t>
            </w:r>
            <w:r w:rsidR="00300352" w:rsidRPr="00F85CA6">
              <w:rPr>
                <w:rFonts w:eastAsia="Calibri"/>
                <w:sz w:val="22"/>
                <w:szCs w:val="22"/>
                <w:lang w:val="sr-Latn-ME"/>
              </w:rPr>
              <w:t>i</w:t>
            </w:r>
            <w:r w:rsidRPr="00F85CA6">
              <w:rPr>
                <w:rFonts w:eastAsia="Calibri"/>
                <w:sz w:val="22"/>
                <w:szCs w:val="22"/>
                <w:lang w:val="sr-Latn-ME"/>
              </w:rPr>
              <w:t>jećeno sa prvom dozom verapamila prim</w:t>
            </w:r>
            <w:r w:rsidR="00300352" w:rsidRPr="00F85CA6">
              <w:rPr>
                <w:rFonts w:eastAsia="Calibri"/>
                <w:sz w:val="22"/>
                <w:szCs w:val="22"/>
                <w:lang w:val="sr-Latn-ME"/>
              </w:rPr>
              <w:t>i</w:t>
            </w:r>
            <w:r w:rsidRPr="00F85CA6">
              <w:rPr>
                <w:rFonts w:eastAsia="Calibri"/>
                <w:sz w:val="22"/>
                <w:szCs w:val="22"/>
                <w:lang w:val="sr-Latn-ME"/>
              </w:rPr>
              <w:t>jenjenog kao formulacija sa trenutnim oslobađanjem supstance 1 sat pr</w:t>
            </w:r>
            <w:r w:rsidR="00055A87" w:rsidRPr="00F85CA6">
              <w:rPr>
                <w:rFonts w:eastAsia="Calibri"/>
                <w:sz w:val="22"/>
                <w:szCs w:val="22"/>
                <w:lang w:val="sr-Latn-ME"/>
              </w:rPr>
              <w:t>ij</w:t>
            </w:r>
            <w:r w:rsidRPr="00F85CA6">
              <w:rPr>
                <w:rFonts w:eastAsia="Calibri"/>
                <w:sz w:val="22"/>
                <w:szCs w:val="22"/>
                <w:lang w:val="sr-Latn-ME"/>
              </w:rPr>
              <w:t>e uzimanja dabigatraneteksilata (povećanje vr</w:t>
            </w:r>
            <w:r w:rsidR="00055A87" w:rsidRPr="00F85CA6">
              <w:rPr>
                <w:rFonts w:eastAsia="Calibri"/>
                <w:sz w:val="22"/>
                <w:szCs w:val="22"/>
                <w:lang w:val="sr-Latn-ME"/>
              </w:rPr>
              <w:t>ij</w:t>
            </w:r>
            <w:r w:rsidRPr="00F85CA6">
              <w:rPr>
                <w:rFonts w:eastAsia="Calibri"/>
                <w:sz w:val="22"/>
                <w:szCs w:val="22"/>
                <w:lang w:val="sr-Latn-ME"/>
              </w:rPr>
              <w:t>ednosti C</w:t>
            </w:r>
            <w:r w:rsidRPr="00F85CA6">
              <w:rPr>
                <w:rFonts w:eastAsia="Calibri"/>
                <w:sz w:val="22"/>
                <w:szCs w:val="22"/>
                <w:vertAlign w:val="subscript"/>
                <w:lang w:val="sr-Latn-ME"/>
              </w:rPr>
              <w:t>max</w:t>
            </w:r>
            <w:r w:rsidRPr="00F85CA6">
              <w:rPr>
                <w:rFonts w:eastAsia="Calibri"/>
                <w:sz w:val="22"/>
                <w:szCs w:val="22"/>
                <w:lang w:val="sr-Latn-ME"/>
              </w:rPr>
              <w:t xml:space="preserve"> od oko 2,8 puta i PIK od oko 2,5 puta). Dejstvo je bilo progresivno smanjivano sa primjenom verapamil formulacije sa produženim oslobađanjem supstance (povećanje vrijednosti C</w:t>
            </w:r>
            <w:r w:rsidRPr="00F85CA6">
              <w:rPr>
                <w:rFonts w:eastAsia="Calibri"/>
                <w:sz w:val="22"/>
                <w:szCs w:val="22"/>
                <w:vertAlign w:val="subscript"/>
                <w:lang w:val="sr-Latn-ME"/>
              </w:rPr>
              <w:t>max</w:t>
            </w:r>
            <w:r w:rsidRPr="00F85CA6">
              <w:rPr>
                <w:rFonts w:eastAsia="Calibri"/>
                <w:sz w:val="22"/>
                <w:szCs w:val="22"/>
                <w:lang w:val="sr-Latn-ME"/>
              </w:rPr>
              <w:t xml:space="preserve"> od oko 1,90 puta i PIK od oko 1,7 puta) ili primjenom višestrukih doza verapamila (povećanje vrijednosti C</w:t>
            </w:r>
            <w:r w:rsidRPr="00F85CA6">
              <w:rPr>
                <w:rFonts w:eastAsia="Calibri"/>
                <w:sz w:val="22"/>
                <w:szCs w:val="22"/>
                <w:vertAlign w:val="subscript"/>
                <w:lang w:val="sr-Latn-ME"/>
              </w:rPr>
              <w:t xml:space="preserve">max </w:t>
            </w:r>
            <w:r w:rsidRPr="00F85CA6">
              <w:rPr>
                <w:rFonts w:eastAsia="Calibri"/>
                <w:sz w:val="22"/>
                <w:szCs w:val="22"/>
                <w:lang w:val="sr-Latn-ME"/>
              </w:rPr>
              <w:t xml:space="preserve">od oko 1,6 puta i PIK od oko 1,5 puta). </w:t>
            </w:r>
          </w:p>
          <w:p w14:paraId="0316B17B" w14:textId="77777777" w:rsidR="00D66267" w:rsidRPr="00F85CA6" w:rsidRDefault="00D66267" w:rsidP="00D66267">
            <w:pPr>
              <w:jc w:val="both"/>
              <w:rPr>
                <w:rFonts w:eastAsia="Calibri"/>
                <w:sz w:val="22"/>
                <w:szCs w:val="22"/>
                <w:lang w:val="sr-Latn-ME"/>
              </w:rPr>
            </w:pPr>
          </w:p>
          <w:p w14:paraId="18A35D41" w14:textId="11D9D577" w:rsidR="00D66267" w:rsidRPr="00F85CA6" w:rsidRDefault="00D66267" w:rsidP="00D66267">
            <w:pPr>
              <w:jc w:val="both"/>
              <w:rPr>
                <w:rFonts w:eastAsia="Calibri"/>
                <w:sz w:val="22"/>
                <w:szCs w:val="22"/>
                <w:lang w:val="sr-Latn-ME"/>
              </w:rPr>
            </w:pPr>
            <w:r w:rsidRPr="00F85CA6">
              <w:rPr>
                <w:rFonts w:eastAsia="Calibri"/>
                <w:sz w:val="22"/>
                <w:szCs w:val="22"/>
                <w:lang w:val="sr-Latn-ME"/>
              </w:rPr>
              <w:t>Nije prim</w:t>
            </w:r>
            <w:r w:rsidR="00300352" w:rsidRPr="00F85CA6">
              <w:rPr>
                <w:rFonts w:eastAsia="Calibri"/>
                <w:sz w:val="22"/>
                <w:szCs w:val="22"/>
                <w:lang w:val="sr-Latn-ME"/>
              </w:rPr>
              <w:t>i</w:t>
            </w:r>
            <w:r w:rsidRPr="00F85CA6">
              <w:rPr>
                <w:rFonts w:eastAsia="Calibri"/>
                <w:sz w:val="22"/>
                <w:szCs w:val="22"/>
                <w:lang w:val="sr-Latn-ME"/>
              </w:rPr>
              <w:t>jećena značajna interakcija ukoliko se verapamil daje 2 sata poslije dabigatraneteksilata (povećanje vrijednosti C</w:t>
            </w:r>
            <w:r w:rsidRPr="00F85CA6">
              <w:rPr>
                <w:rFonts w:eastAsia="Calibri"/>
                <w:sz w:val="22"/>
                <w:szCs w:val="22"/>
                <w:vertAlign w:val="subscript"/>
                <w:lang w:val="sr-Latn-ME"/>
              </w:rPr>
              <w:t>max</w:t>
            </w:r>
            <w:r w:rsidRPr="00F85CA6">
              <w:rPr>
                <w:rFonts w:eastAsia="Calibri"/>
                <w:sz w:val="22"/>
                <w:szCs w:val="22"/>
                <w:lang w:val="sr-Latn-ME"/>
              </w:rPr>
              <w:t xml:space="preserve"> od oko 1,1 puta i PIK od oko 1,2 puta). Ovo je objašnjeno potpunom resorpcijom dabigatrana nakon 2 sata.</w:t>
            </w:r>
          </w:p>
        </w:tc>
      </w:tr>
      <w:tr w:rsidR="00D66267" w:rsidRPr="00F85CA6" w14:paraId="5F63796A" w14:textId="77777777" w:rsidTr="001239C3">
        <w:trPr>
          <w:trHeight w:val="20"/>
          <w:jc w:val="center"/>
        </w:trPr>
        <w:tc>
          <w:tcPr>
            <w:tcW w:w="836" w:type="pct"/>
            <w:tcBorders>
              <w:top w:val="single" w:sz="4" w:space="0" w:color="auto"/>
              <w:left w:val="single" w:sz="4" w:space="0" w:color="auto"/>
              <w:bottom w:val="single" w:sz="4" w:space="0" w:color="auto"/>
            </w:tcBorders>
            <w:shd w:val="clear" w:color="auto" w:fill="auto"/>
          </w:tcPr>
          <w:p w14:paraId="20125434" w14:textId="77777777" w:rsidR="00D66267" w:rsidRPr="00F85CA6" w:rsidRDefault="00D66267" w:rsidP="00D66267">
            <w:pPr>
              <w:jc w:val="both"/>
              <w:rPr>
                <w:rFonts w:eastAsia="Calibri"/>
                <w:sz w:val="22"/>
                <w:szCs w:val="22"/>
                <w:lang w:val="sr-Latn-ME" w:bidi="en-US"/>
              </w:rPr>
            </w:pPr>
            <w:r w:rsidRPr="00F85CA6">
              <w:rPr>
                <w:rFonts w:eastAsia="Calibri"/>
                <w:sz w:val="22"/>
                <w:szCs w:val="22"/>
                <w:lang w:val="sr-Latn-ME" w:bidi="en-US"/>
              </w:rPr>
              <w:t>Amjodaron</w:t>
            </w:r>
          </w:p>
        </w:tc>
        <w:tc>
          <w:tcPr>
            <w:tcW w:w="4164" w:type="pct"/>
            <w:tcBorders>
              <w:top w:val="single" w:sz="4" w:space="0" w:color="auto"/>
              <w:left w:val="single" w:sz="4" w:space="0" w:color="auto"/>
              <w:bottom w:val="single" w:sz="4" w:space="0" w:color="auto"/>
              <w:right w:val="single" w:sz="4" w:space="0" w:color="auto"/>
            </w:tcBorders>
            <w:shd w:val="clear" w:color="auto" w:fill="auto"/>
            <w:vAlign w:val="bottom"/>
          </w:tcPr>
          <w:p w14:paraId="7A35073C" w14:textId="0A58F3BF" w:rsidR="00D66267" w:rsidRPr="00F85CA6" w:rsidRDefault="00D66267" w:rsidP="00D66267">
            <w:pPr>
              <w:jc w:val="both"/>
              <w:rPr>
                <w:rFonts w:eastAsia="Calibri"/>
                <w:iCs/>
                <w:sz w:val="22"/>
                <w:szCs w:val="22"/>
                <w:lang w:val="sr-Latn-ME"/>
              </w:rPr>
            </w:pPr>
            <w:r w:rsidRPr="00F85CA6">
              <w:rPr>
                <w:rFonts w:eastAsia="Calibri"/>
                <w:iCs/>
                <w:sz w:val="22"/>
                <w:szCs w:val="22"/>
                <w:lang w:val="sr-Latn-ME"/>
              </w:rPr>
              <w:t>Kada se dabigatrane</w:t>
            </w:r>
            <w:r w:rsidR="00EE51C2" w:rsidRPr="00F85CA6">
              <w:rPr>
                <w:rFonts w:eastAsia="Calibri"/>
                <w:iCs/>
                <w:sz w:val="22"/>
                <w:szCs w:val="22"/>
                <w:lang w:val="sr-Latn-ME"/>
              </w:rPr>
              <w:t xml:space="preserve"> </w:t>
            </w:r>
            <w:r w:rsidRPr="00F85CA6">
              <w:rPr>
                <w:rFonts w:eastAsia="Calibri"/>
                <w:iCs/>
                <w:sz w:val="22"/>
                <w:szCs w:val="22"/>
                <w:lang w:val="sr-Latn-ME"/>
              </w:rPr>
              <w:t>teksilat primjenjivao zajedno sa pojedinačnom oralnom dozom amjodarona od 600 mg, veličina i stepen resorpcije amjodarona i njegovog aktivnog metabolita DEA se suštinski ni</w:t>
            </w:r>
            <w:r w:rsidR="00EE51C2" w:rsidRPr="00F85CA6">
              <w:rPr>
                <w:rFonts w:eastAsia="Calibri"/>
                <w:iCs/>
                <w:sz w:val="22"/>
                <w:szCs w:val="22"/>
                <w:lang w:val="sr-Latn-ME"/>
              </w:rPr>
              <w:t>je</w:t>
            </w:r>
            <w:r w:rsidRPr="00F85CA6">
              <w:rPr>
                <w:rFonts w:eastAsia="Calibri"/>
                <w:iCs/>
                <w:sz w:val="22"/>
                <w:szCs w:val="22"/>
                <w:lang w:val="sr-Latn-ME"/>
              </w:rPr>
              <w:t>su m</w:t>
            </w:r>
            <w:r w:rsidR="00A4270C" w:rsidRPr="00F85CA6">
              <w:rPr>
                <w:rFonts w:eastAsia="Calibri"/>
                <w:iCs/>
                <w:sz w:val="22"/>
                <w:szCs w:val="22"/>
                <w:lang w:val="sr-Latn-ME"/>
              </w:rPr>
              <w:t>ij</w:t>
            </w:r>
            <w:r w:rsidRPr="00F85CA6">
              <w:rPr>
                <w:rFonts w:eastAsia="Calibri"/>
                <w:iCs/>
                <w:sz w:val="22"/>
                <w:szCs w:val="22"/>
                <w:lang w:val="sr-Latn-ME"/>
              </w:rPr>
              <w:t>enjali. Vrijednosti PIK i C</w:t>
            </w:r>
            <w:r w:rsidRPr="00F85CA6">
              <w:rPr>
                <w:rFonts w:eastAsia="Calibri"/>
                <w:iCs/>
                <w:sz w:val="22"/>
                <w:szCs w:val="22"/>
                <w:vertAlign w:val="subscript"/>
                <w:lang w:val="sr-Latn-ME"/>
              </w:rPr>
              <w:t>max</w:t>
            </w:r>
            <w:r w:rsidRPr="00F85CA6">
              <w:rPr>
                <w:rFonts w:eastAsia="Calibri"/>
                <w:iCs/>
                <w:sz w:val="22"/>
                <w:szCs w:val="22"/>
                <w:lang w:val="sr-Latn-ME"/>
              </w:rPr>
              <w:t xml:space="preserve"> dabigatrana su </w:t>
            </w:r>
            <w:r w:rsidRPr="00F85CA6">
              <w:rPr>
                <w:rFonts w:eastAsia="Calibri"/>
                <w:iCs/>
                <w:sz w:val="22"/>
                <w:szCs w:val="22"/>
                <w:lang w:val="sr-Latn-ME"/>
              </w:rPr>
              <w:lastRenderedPageBreak/>
              <w:t xml:space="preserve">bili povećani oko 1,6 puta, odnosno 1,5 puta. Zbog dugog poluvremena eliminacije amjodarona potencijal za interakcije sa ljekovima može da postoji nedjeljama nakon prekida terapije amjodaronom (vidjeti </w:t>
            </w:r>
            <w:r w:rsidR="00A4270C" w:rsidRPr="00F85CA6">
              <w:rPr>
                <w:rFonts w:eastAsia="Calibri"/>
                <w:iCs/>
                <w:sz w:val="22"/>
                <w:szCs w:val="22"/>
                <w:lang w:val="sr-Latn-ME"/>
              </w:rPr>
              <w:t>djelove</w:t>
            </w:r>
            <w:r w:rsidRPr="00F85CA6">
              <w:rPr>
                <w:rFonts w:eastAsia="Calibri"/>
                <w:iCs/>
                <w:sz w:val="22"/>
                <w:szCs w:val="22"/>
                <w:lang w:val="sr-Latn-ME"/>
              </w:rPr>
              <w:t xml:space="preserve"> 4.2. i 4.4).</w:t>
            </w:r>
          </w:p>
        </w:tc>
      </w:tr>
      <w:tr w:rsidR="00D66267" w:rsidRPr="00F85CA6" w14:paraId="216C2851" w14:textId="77777777" w:rsidTr="001239C3">
        <w:trPr>
          <w:trHeight w:val="20"/>
          <w:jc w:val="center"/>
        </w:trPr>
        <w:tc>
          <w:tcPr>
            <w:tcW w:w="836" w:type="pct"/>
            <w:tcBorders>
              <w:top w:val="single" w:sz="4" w:space="0" w:color="auto"/>
              <w:left w:val="single" w:sz="4" w:space="0" w:color="auto"/>
              <w:bottom w:val="single" w:sz="4" w:space="0" w:color="auto"/>
            </w:tcBorders>
            <w:shd w:val="clear" w:color="auto" w:fill="auto"/>
          </w:tcPr>
          <w:p w14:paraId="0635B1A7" w14:textId="77777777" w:rsidR="00D66267" w:rsidRPr="00F85CA6" w:rsidRDefault="00D66267" w:rsidP="00D66267">
            <w:pPr>
              <w:jc w:val="both"/>
              <w:rPr>
                <w:rFonts w:eastAsia="Calibri"/>
                <w:sz w:val="22"/>
                <w:szCs w:val="22"/>
                <w:lang w:val="sr-Latn-ME" w:bidi="en-US"/>
              </w:rPr>
            </w:pPr>
            <w:r w:rsidRPr="00F85CA6">
              <w:rPr>
                <w:rFonts w:eastAsia="Calibri"/>
                <w:sz w:val="22"/>
                <w:szCs w:val="22"/>
                <w:lang w:val="sr-Latn-ME" w:bidi="en-US"/>
              </w:rPr>
              <w:lastRenderedPageBreak/>
              <w:t>Hinidin</w:t>
            </w:r>
          </w:p>
        </w:tc>
        <w:tc>
          <w:tcPr>
            <w:tcW w:w="4164" w:type="pct"/>
            <w:tcBorders>
              <w:top w:val="single" w:sz="4" w:space="0" w:color="auto"/>
              <w:left w:val="single" w:sz="4" w:space="0" w:color="auto"/>
              <w:bottom w:val="single" w:sz="4" w:space="0" w:color="auto"/>
              <w:right w:val="single" w:sz="4" w:space="0" w:color="auto"/>
            </w:tcBorders>
            <w:shd w:val="clear" w:color="auto" w:fill="auto"/>
            <w:vAlign w:val="bottom"/>
          </w:tcPr>
          <w:p w14:paraId="54ECF47C" w14:textId="7FD755B1" w:rsidR="00D66267" w:rsidRPr="00F85CA6" w:rsidRDefault="00D66267" w:rsidP="00EE51C2">
            <w:pPr>
              <w:jc w:val="both"/>
              <w:rPr>
                <w:rFonts w:eastAsia="Calibri"/>
                <w:sz w:val="22"/>
                <w:szCs w:val="22"/>
                <w:lang w:val="sr-Latn-ME"/>
              </w:rPr>
            </w:pPr>
            <w:r w:rsidRPr="00F85CA6">
              <w:rPr>
                <w:rFonts w:eastAsia="Calibri"/>
                <w:sz w:val="22"/>
                <w:szCs w:val="22"/>
                <w:lang w:val="sr-Latn-ME"/>
              </w:rPr>
              <w:t xml:space="preserve">Hinidin je </w:t>
            </w:r>
            <w:r w:rsidR="00EE51C2" w:rsidRPr="00F85CA6">
              <w:rPr>
                <w:rFonts w:eastAsia="Calibri"/>
                <w:sz w:val="22"/>
                <w:szCs w:val="22"/>
                <w:lang w:val="sr-Latn-ME"/>
              </w:rPr>
              <w:t>primjenjivan</w:t>
            </w:r>
            <w:r w:rsidRPr="00F85CA6">
              <w:rPr>
                <w:rFonts w:eastAsia="Calibri"/>
                <w:sz w:val="22"/>
                <w:szCs w:val="22"/>
                <w:lang w:val="sr-Latn-ME"/>
              </w:rPr>
              <w:t xml:space="preserve"> u dozi od 200 mg svaki drugi sat sve do ukupne doze od 1000 mg. Dabigatrane</w:t>
            </w:r>
            <w:r w:rsidR="00EE51C2" w:rsidRPr="00F85CA6">
              <w:rPr>
                <w:rFonts w:eastAsia="Calibri"/>
                <w:sz w:val="22"/>
                <w:szCs w:val="22"/>
                <w:lang w:val="sr-Latn-ME"/>
              </w:rPr>
              <w:t xml:space="preserve"> </w:t>
            </w:r>
            <w:r w:rsidRPr="00F85CA6">
              <w:rPr>
                <w:rFonts w:eastAsia="Calibri"/>
                <w:sz w:val="22"/>
                <w:szCs w:val="22"/>
                <w:lang w:val="sr-Latn-ME"/>
              </w:rPr>
              <w:t xml:space="preserve">teksilat je </w:t>
            </w:r>
            <w:r w:rsidR="00EE51C2" w:rsidRPr="00F85CA6">
              <w:rPr>
                <w:rFonts w:eastAsia="Calibri"/>
                <w:sz w:val="22"/>
                <w:szCs w:val="22"/>
                <w:lang w:val="sr-Latn-ME"/>
              </w:rPr>
              <w:t>primjenjivan</w:t>
            </w:r>
            <w:r w:rsidRPr="00F85CA6">
              <w:rPr>
                <w:rFonts w:eastAsia="Calibri"/>
                <w:sz w:val="22"/>
                <w:szCs w:val="22"/>
                <w:lang w:val="sr-Latn-ME"/>
              </w:rPr>
              <w:t xml:space="preserve"> dva puta dnevno tokom tri uzastopna dana, a trećeg dana sa hinidinom ili bez njega. Vr</w:t>
            </w:r>
            <w:r w:rsidR="00A4270C" w:rsidRPr="00F85CA6">
              <w:rPr>
                <w:rFonts w:eastAsia="Calibri"/>
                <w:sz w:val="22"/>
                <w:szCs w:val="22"/>
                <w:lang w:val="sr-Latn-ME"/>
              </w:rPr>
              <w:t>ij</w:t>
            </w:r>
            <w:r w:rsidRPr="00F85CA6">
              <w:rPr>
                <w:rFonts w:eastAsia="Calibri"/>
                <w:sz w:val="22"/>
                <w:szCs w:val="22"/>
                <w:lang w:val="sr-Latn-ME"/>
              </w:rPr>
              <w:t>ednosti PIK</w:t>
            </w:r>
            <w:r w:rsidRPr="00F85CA6">
              <w:rPr>
                <w:rFonts w:eastAsia="Calibri"/>
                <w:sz w:val="22"/>
                <w:szCs w:val="22"/>
                <w:lang w:val="sr-Latn-ME"/>
              </w:rPr>
              <w:sym w:font="Symbol" w:char="F074"/>
            </w:r>
            <w:r w:rsidRPr="00F85CA6">
              <w:rPr>
                <w:rFonts w:eastAsia="Calibri"/>
                <w:sz w:val="22"/>
                <w:szCs w:val="22"/>
                <w:lang w:val="sr-Latn-ME"/>
              </w:rPr>
              <w:t>,</w:t>
            </w:r>
            <w:r w:rsidRPr="00F85CA6">
              <w:rPr>
                <w:rFonts w:eastAsia="Calibri"/>
                <w:sz w:val="22"/>
                <w:szCs w:val="22"/>
                <w:vertAlign w:val="subscript"/>
                <w:lang w:val="sr-Latn-ME"/>
              </w:rPr>
              <w:t>ss</w:t>
            </w:r>
            <w:r w:rsidRPr="00F85CA6">
              <w:rPr>
                <w:rFonts w:eastAsia="Calibri"/>
                <w:sz w:val="22"/>
                <w:szCs w:val="22"/>
                <w:lang w:val="sr-Latn-ME"/>
              </w:rPr>
              <w:t xml:space="preserve"> i </w:t>
            </w:r>
            <w:r w:rsidRPr="00F85CA6">
              <w:rPr>
                <w:rFonts w:eastAsia="Calibri"/>
                <w:iCs/>
                <w:sz w:val="22"/>
                <w:szCs w:val="22"/>
                <w:lang w:val="sr-Latn-ME"/>
              </w:rPr>
              <w:t>C</w:t>
            </w:r>
            <w:r w:rsidRPr="00F85CA6">
              <w:rPr>
                <w:rFonts w:eastAsia="Calibri"/>
                <w:iCs/>
                <w:sz w:val="22"/>
                <w:szCs w:val="22"/>
                <w:vertAlign w:val="subscript"/>
                <w:lang w:val="sr-Latn-ME"/>
              </w:rPr>
              <w:t xml:space="preserve">max </w:t>
            </w:r>
            <w:r w:rsidRPr="00F85CA6">
              <w:rPr>
                <w:rFonts w:eastAsia="Calibri"/>
                <w:iCs/>
                <w:sz w:val="22"/>
                <w:szCs w:val="22"/>
                <w:lang w:val="sr-Latn-ME"/>
              </w:rPr>
              <w:t>dabigatrana</w:t>
            </w:r>
            <w:r w:rsidRPr="00F85CA6">
              <w:rPr>
                <w:rFonts w:eastAsia="Calibri"/>
                <w:iCs/>
                <w:sz w:val="22"/>
                <w:szCs w:val="22"/>
                <w:vertAlign w:val="subscript"/>
                <w:lang w:val="sr-Latn-ME"/>
              </w:rPr>
              <w:t xml:space="preserve"> </w:t>
            </w:r>
            <w:r w:rsidRPr="00F85CA6">
              <w:rPr>
                <w:rFonts w:eastAsia="Calibri"/>
                <w:iCs/>
                <w:sz w:val="22"/>
                <w:szCs w:val="22"/>
                <w:lang w:val="sr-Latn-ME"/>
              </w:rPr>
              <w:t>su bile povećane u prosjeku za 1,53 puta, odnosno 1,56 puta tokom istovremene primjene sa hinidinom (vidjeti</w:t>
            </w:r>
            <w:r w:rsidR="00A4270C" w:rsidRPr="00F85CA6">
              <w:rPr>
                <w:rFonts w:eastAsia="Calibri"/>
                <w:iCs/>
                <w:sz w:val="22"/>
                <w:szCs w:val="22"/>
                <w:lang w:val="sr-Latn-ME"/>
              </w:rPr>
              <w:t xml:space="preserve"> djelove</w:t>
            </w:r>
            <w:r w:rsidRPr="00F85CA6">
              <w:rPr>
                <w:rFonts w:eastAsia="Calibri"/>
                <w:iCs/>
                <w:sz w:val="22"/>
                <w:szCs w:val="22"/>
                <w:lang w:val="sr-Latn-ME"/>
              </w:rPr>
              <w:t xml:space="preserve"> 4.2 i 4.4).</w:t>
            </w:r>
            <w:r w:rsidRPr="00F85CA6">
              <w:rPr>
                <w:rFonts w:eastAsia="Calibri"/>
                <w:sz w:val="22"/>
                <w:szCs w:val="22"/>
                <w:lang w:val="sr-Latn-ME"/>
              </w:rPr>
              <w:t xml:space="preserve"> </w:t>
            </w:r>
          </w:p>
        </w:tc>
      </w:tr>
      <w:tr w:rsidR="00D66267" w:rsidRPr="00F85CA6" w14:paraId="50658C06" w14:textId="77777777" w:rsidTr="001239C3">
        <w:trPr>
          <w:trHeight w:val="20"/>
          <w:jc w:val="center"/>
        </w:trPr>
        <w:tc>
          <w:tcPr>
            <w:tcW w:w="836" w:type="pct"/>
            <w:tcBorders>
              <w:top w:val="single" w:sz="4" w:space="0" w:color="auto"/>
              <w:left w:val="single" w:sz="4" w:space="0" w:color="auto"/>
            </w:tcBorders>
            <w:shd w:val="clear" w:color="auto" w:fill="auto"/>
          </w:tcPr>
          <w:p w14:paraId="4D537B26" w14:textId="77777777" w:rsidR="00D66267" w:rsidRPr="00F85CA6" w:rsidRDefault="00D66267" w:rsidP="00D66267">
            <w:pPr>
              <w:jc w:val="both"/>
              <w:rPr>
                <w:rFonts w:eastAsia="Calibri"/>
                <w:sz w:val="22"/>
                <w:szCs w:val="22"/>
                <w:lang w:val="sr-Latn-ME" w:bidi="en-US"/>
              </w:rPr>
            </w:pPr>
            <w:r w:rsidRPr="00F85CA6">
              <w:rPr>
                <w:rFonts w:eastAsia="Calibri"/>
                <w:sz w:val="22"/>
                <w:szCs w:val="22"/>
                <w:lang w:val="sr-Latn-ME" w:bidi="en-US"/>
              </w:rPr>
              <w:t>Klaritomicin</w:t>
            </w:r>
          </w:p>
        </w:tc>
        <w:tc>
          <w:tcPr>
            <w:tcW w:w="4164" w:type="pct"/>
            <w:tcBorders>
              <w:top w:val="single" w:sz="4" w:space="0" w:color="auto"/>
              <w:left w:val="single" w:sz="4" w:space="0" w:color="auto"/>
              <w:right w:val="single" w:sz="4" w:space="0" w:color="auto"/>
            </w:tcBorders>
            <w:shd w:val="clear" w:color="auto" w:fill="auto"/>
          </w:tcPr>
          <w:p w14:paraId="16A844D6" w14:textId="02FF50F4" w:rsidR="00D66267" w:rsidRPr="00F85CA6" w:rsidRDefault="00D66267" w:rsidP="00EE51C2">
            <w:pPr>
              <w:jc w:val="both"/>
              <w:rPr>
                <w:rFonts w:eastAsia="Calibri"/>
                <w:sz w:val="22"/>
                <w:szCs w:val="22"/>
                <w:lang w:val="sr-Latn-ME"/>
              </w:rPr>
            </w:pPr>
            <w:r w:rsidRPr="00F85CA6">
              <w:rPr>
                <w:rFonts w:eastAsia="Calibri"/>
                <w:sz w:val="22"/>
                <w:szCs w:val="22"/>
                <w:lang w:val="sr-Latn-ME"/>
              </w:rPr>
              <w:t>Kada se klaritromicin (500 mg dva puta dnevno) primjenjivao istovremeno sa dabigatrane</w:t>
            </w:r>
            <w:r w:rsidR="00EE51C2" w:rsidRPr="00F85CA6">
              <w:rPr>
                <w:rFonts w:eastAsia="Calibri"/>
                <w:sz w:val="22"/>
                <w:szCs w:val="22"/>
                <w:lang w:val="sr-Latn-ME"/>
              </w:rPr>
              <w:t xml:space="preserve"> </w:t>
            </w:r>
            <w:r w:rsidRPr="00F85CA6">
              <w:rPr>
                <w:rFonts w:eastAsia="Calibri"/>
                <w:sz w:val="22"/>
                <w:szCs w:val="22"/>
                <w:lang w:val="sr-Latn-ME"/>
              </w:rPr>
              <w:t>teksilatom kod zdravih dobrovoljaca, prim</w:t>
            </w:r>
            <w:r w:rsidR="00300352" w:rsidRPr="00F85CA6">
              <w:rPr>
                <w:rFonts w:eastAsia="Calibri"/>
                <w:sz w:val="22"/>
                <w:szCs w:val="22"/>
                <w:lang w:val="sr-Latn-ME"/>
              </w:rPr>
              <w:t>i</w:t>
            </w:r>
            <w:r w:rsidRPr="00F85CA6">
              <w:rPr>
                <w:rFonts w:eastAsia="Calibri"/>
                <w:sz w:val="22"/>
                <w:szCs w:val="22"/>
                <w:lang w:val="sr-Latn-ME"/>
              </w:rPr>
              <w:t>jećeno je povećanje vr</w:t>
            </w:r>
            <w:r w:rsidR="00A4270C" w:rsidRPr="00F85CA6">
              <w:rPr>
                <w:rFonts w:eastAsia="Calibri"/>
                <w:sz w:val="22"/>
                <w:szCs w:val="22"/>
                <w:lang w:val="sr-Latn-ME"/>
              </w:rPr>
              <w:t>ij</w:t>
            </w:r>
            <w:r w:rsidRPr="00F85CA6">
              <w:rPr>
                <w:rFonts w:eastAsia="Calibri"/>
                <w:sz w:val="22"/>
                <w:szCs w:val="22"/>
                <w:lang w:val="sr-Latn-ME"/>
              </w:rPr>
              <w:t xml:space="preserve">ednosti PIK </w:t>
            </w:r>
            <w:r w:rsidR="00EE51C2" w:rsidRPr="00F85CA6">
              <w:rPr>
                <w:rFonts w:eastAsia="Calibri"/>
                <w:sz w:val="22"/>
                <w:szCs w:val="22"/>
                <w:lang w:val="sr-Latn-ME"/>
              </w:rPr>
              <w:t>za oko</w:t>
            </w:r>
            <w:r w:rsidRPr="00F85CA6">
              <w:rPr>
                <w:rFonts w:eastAsia="Calibri"/>
                <w:sz w:val="22"/>
                <w:szCs w:val="22"/>
                <w:lang w:val="sr-Latn-ME"/>
              </w:rPr>
              <w:t xml:space="preserve"> 1,19 puta i C</w:t>
            </w:r>
            <w:r w:rsidRPr="00F85CA6">
              <w:rPr>
                <w:rFonts w:eastAsia="Calibri"/>
                <w:sz w:val="22"/>
                <w:szCs w:val="22"/>
                <w:vertAlign w:val="subscript"/>
                <w:lang w:val="sr-Latn-ME"/>
              </w:rPr>
              <w:t>max</w:t>
            </w:r>
            <w:r w:rsidRPr="00F85CA6">
              <w:rPr>
                <w:rFonts w:eastAsia="Calibri"/>
                <w:sz w:val="22"/>
                <w:szCs w:val="22"/>
                <w:lang w:val="sr-Latn-ME"/>
              </w:rPr>
              <w:t xml:space="preserve"> od oko 1,15 puta.</w:t>
            </w:r>
          </w:p>
        </w:tc>
      </w:tr>
      <w:tr w:rsidR="00D66267" w:rsidRPr="00F85CA6" w14:paraId="4B96C67B" w14:textId="77777777" w:rsidTr="001239C3">
        <w:trPr>
          <w:trHeight w:val="20"/>
          <w:jc w:val="center"/>
        </w:trPr>
        <w:tc>
          <w:tcPr>
            <w:tcW w:w="836" w:type="pct"/>
            <w:tcBorders>
              <w:top w:val="single" w:sz="4" w:space="0" w:color="auto"/>
              <w:left w:val="single" w:sz="4" w:space="0" w:color="auto"/>
              <w:bottom w:val="single" w:sz="4" w:space="0" w:color="auto"/>
            </w:tcBorders>
            <w:shd w:val="clear" w:color="auto" w:fill="auto"/>
          </w:tcPr>
          <w:p w14:paraId="62B9AA8E" w14:textId="77777777" w:rsidR="00D66267" w:rsidRPr="00F85CA6" w:rsidRDefault="00D66267" w:rsidP="00D66267">
            <w:pPr>
              <w:jc w:val="both"/>
              <w:rPr>
                <w:rFonts w:eastAsia="Calibri"/>
                <w:sz w:val="22"/>
                <w:szCs w:val="22"/>
                <w:lang w:val="sr-Latn-ME" w:bidi="en-US"/>
              </w:rPr>
            </w:pPr>
            <w:r w:rsidRPr="00F85CA6">
              <w:rPr>
                <w:rFonts w:eastAsia="Calibri"/>
                <w:sz w:val="22"/>
                <w:szCs w:val="22"/>
                <w:lang w:val="sr-Latn-ME" w:bidi="en-US"/>
              </w:rPr>
              <w:t>Tikagrelor</w:t>
            </w:r>
          </w:p>
        </w:tc>
        <w:tc>
          <w:tcPr>
            <w:tcW w:w="4164" w:type="pct"/>
            <w:tcBorders>
              <w:top w:val="single" w:sz="4" w:space="0" w:color="auto"/>
              <w:left w:val="single" w:sz="4" w:space="0" w:color="auto"/>
              <w:bottom w:val="single" w:sz="4" w:space="0" w:color="auto"/>
              <w:right w:val="single" w:sz="4" w:space="0" w:color="auto"/>
            </w:tcBorders>
            <w:shd w:val="clear" w:color="auto" w:fill="auto"/>
            <w:vAlign w:val="bottom"/>
          </w:tcPr>
          <w:p w14:paraId="07D0E467" w14:textId="663212EB" w:rsidR="00D66267" w:rsidRPr="00F85CA6" w:rsidRDefault="00D66267" w:rsidP="00D66267">
            <w:pPr>
              <w:jc w:val="both"/>
              <w:rPr>
                <w:rFonts w:eastAsia="Calibri"/>
                <w:sz w:val="22"/>
                <w:szCs w:val="22"/>
                <w:lang w:val="sr-Latn-ME"/>
              </w:rPr>
            </w:pPr>
            <w:r w:rsidRPr="00F85CA6">
              <w:rPr>
                <w:rFonts w:eastAsia="Calibri"/>
                <w:sz w:val="22"/>
                <w:szCs w:val="22"/>
                <w:lang w:val="sr-Latn-ME"/>
              </w:rPr>
              <w:t>Kada se pojedinačna doza dabigatraneteksilata od 75 mg primjenjivala istovremeno sa udarnom dozom od 180 mg tikagrelora, vr</w:t>
            </w:r>
            <w:r w:rsidR="00A4270C" w:rsidRPr="00F85CA6">
              <w:rPr>
                <w:rFonts w:eastAsia="Calibri"/>
                <w:sz w:val="22"/>
                <w:szCs w:val="22"/>
                <w:lang w:val="sr-Latn-ME"/>
              </w:rPr>
              <w:t>ij</w:t>
            </w:r>
            <w:r w:rsidRPr="00F85CA6">
              <w:rPr>
                <w:rFonts w:eastAsia="Calibri"/>
                <w:sz w:val="22"/>
                <w:szCs w:val="22"/>
                <w:lang w:val="sr-Latn-ME"/>
              </w:rPr>
              <w:t>ednosti PIK i C</w:t>
            </w:r>
            <w:r w:rsidRPr="00F85CA6">
              <w:rPr>
                <w:rFonts w:eastAsia="Calibri"/>
                <w:sz w:val="22"/>
                <w:szCs w:val="22"/>
                <w:vertAlign w:val="subscript"/>
                <w:lang w:val="sr-Latn-ME"/>
              </w:rPr>
              <w:t>max</w:t>
            </w:r>
            <w:r w:rsidRPr="00F85CA6">
              <w:rPr>
                <w:rFonts w:eastAsia="Calibri"/>
                <w:sz w:val="22"/>
                <w:szCs w:val="22"/>
                <w:lang w:val="sr-Latn-ME"/>
              </w:rPr>
              <w:t xml:space="preserve"> dabigatrana povećavale su se za 1,73 puta, odnosno 1,95 puta. Nakon višestrukih doza tikagrelora 90 mg dva puta dnevno, povećanje izloženosti dabigatranu je iznosilo 1,56 puta za C</w:t>
            </w:r>
            <w:r w:rsidRPr="00F85CA6">
              <w:rPr>
                <w:rFonts w:eastAsia="Calibri"/>
                <w:sz w:val="22"/>
                <w:szCs w:val="22"/>
                <w:vertAlign w:val="subscript"/>
                <w:lang w:val="sr-Latn-ME"/>
              </w:rPr>
              <w:t>max</w:t>
            </w:r>
            <w:r w:rsidRPr="00F85CA6">
              <w:rPr>
                <w:rFonts w:eastAsia="Calibri"/>
                <w:sz w:val="22"/>
                <w:szCs w:val="22"/>
                <w:lang w:val="sr-Latn-ME"/>
              </w:rPr>
              <w:t xml:space="preserve"> i 1,46 puta za PIK.</w:t>
            </w:r>
          </w:p>
          <w:p w14:paraId="73D6FC96" w14:textId="77777777" w:rsidR="00D66267" w:rsidRPr="00F85CA6" w:rsidRDefault="00D66267" w:rsidP="00D66267">
            <w:pPr>
              <w:jc w:val="both"/>
              <w:rPr>
                <w:rFonts w:eastAsia="Calibri"/>
                <w:sz w:val="22"/>
                <w:szCs w:val="22"/>
                <w:lang w:val="sr-Latn-ME"/>
              </w:rPr>
            </w:pPr>
          </w:p>
          <w:p w14:paraId="19A4F70A" w14:textId="144A92E2" w:rsidR="00D66267" w:rsidRPr="00F85CA6" w:rsidRDefault="00D66267" w:rsidP="00D66267">
            <w:pPr>
              <w:jc w:val="both"/>
              <w:rPr>
                <w:rFonts w:eastAsia="Calibri"/>
                <w:sz w:val="22"/>
                <w:szCs w:val="22"/>
                <w:lang w:val="sr-Latn-ME"/>
              </w:rPr>
            </w:pPr>
            <w:r w:rsidRPr="00F85CA6">
              <w:rPr>
                <w:rFonts w:eastAsia="Calibri"/>
                <w:sz w:val="22"/>
                <w:szCs w:val="22"/>
                <w:lang w:val="sr-Latn-ME"/>
              </w:rPr>
              <w:t>Istovremena primjena udarne doze od 180 mg tikagrelora i 110 mg dabigatraneteksilata (u stanju ravnoteže) povećavala je vrijednost PIKτ,</w:t>
            </w:r>
            <w:r w:rsidRPr="00F85CA6">
              <w:rPr>
                <w:rFonts w:eastAsia="Calibri"/>
                <w:sz w:val="22"/>
                <w:szCs w:val="22"/>
                <w:vertAlign w:val="subscript"/>
                <w:lang w:val="sr-Latn-ME"/>
              </w:rPr>
              <w:t xml:space="preserve"> ss</w:t>
            </w:r>
            <w:r w:rsidRPr="00F85CA6">
              <w:rPr>
                <w:rFonts w:eastAsia="Calibri"/>
                <w:sz w:val="22"/>
                <w:szCs w:val="22"/>
                <w:lang w:val="sr-Latn-ME"/>
              </w:rPr>
              <w:t xml:space="preserve"> i C</w:t>
            </w:r>
            <w:r w:rsidRPr="00F85CA6">
              <w:rPr>
                <w:rFonts w:eastAsia="Calibri"/>
                <w:sz w:val="22"/>
                <w:szCs w:val="22"/>
                <w:vertAlign w:val="subscript"/>
                <w:lang w:val="sr-Latn-ME"/>
              </w:rPr>
              <w:t xml:space="preserve">max,ss </w:t>
            </w:r>
            <w:r w:rsidRPr="00F85CA6">
              <w:rPr>
                <w:rFonts w:eastAsia="Calibri"/>
                <w:sz w:val="22"/>
                <w:szCs w:val="22"/>
                <w:lang w:val="sr-Latn-ME"/>
              </w:rPr>
              <w:t>dabigatrana za 1,49 puta i 1,65 puta, u poređenju sa monoterapijom dabigatrane</w:t>
            </w:r>
            <w:r w:rsidR="0025051C" w:rsidRPr="00F85CA6">
              <w:rPr>
                <w:rFonts w:eastAsia="Calibri"/>
                <w:sz w:val="22"/>
                <w:szCs w:val="22"/>
                <w:lang w:val="sr-Latn-ME"/>
              </w:rPr>
              <w:t xml:space="preserve"> </w:t>
            </w:r>
            <w:r w:rsidRPr="00F85CA6">
              <w:rPr>
                <w:rFonts w:eastAsia="Calibri"/>
                <w:sz w:val="22"/>
                <w:szCs w:val="22"/>
                <w:lang w:val="sr-Latn-ME"/>
              </w:rPr>
              <w:t>teksilatom. Kada se udarna doza od 180 mg tikagrelora prim</w:t>
            </w:r>
            <w:r w:rsidR="00A4270C" w:rsidRPr="00F85CA6">
              <w:rPr>
                <w:rFonts w:eastAsia="Calibri"/>
                <w:sz w:val="22"/>
                <w:szCs w:val="22"/>
                <w:lang w:val="sr-Latn-ME"/>
              </w:rPr>
              <w:t>j</w:t>
            </w:r>
            <w:r w:rsidRPr="00F85CA6">
              <w:rPr>
                <w:rFonts w:eastAsia="Calibri"/>
                <w:sz w:val="22"/>
                <w:szCs w:val="22"/>
                <w:lang w:val="sr-Latn-ME"/>
              </w:rPr>
              <w:t>enjivala 2 sata posl</w:t>
            </w:r>
            <w:r w:rsidR="00B910A9" w:rsidRPr="00F85CA6">
              <w:rPr>
                <w:rFonts w:eastAsia="Calibri"/>
                <w:sz w:val="22"/>
                <w:szCs w:val="22"/>
                <w:lang w:val="sr-Latn-ME"/>
              </w:rPr>
              <w:t>ij</w:t>
            </w:r>
            <w:r w:rsidRPr="00F85CA6">
              <w:rPr>
                <w:rFonts w:eastAsia="Calibri"/>
                <w:sz w:val="22"/>
                <w:szCs w:val="22"/>
                <w:lang w:val="sr-Latn-ME"/>
              </w:rPr>
              <w:t>e prim</w:t>
            </w:r>
            <w:r w:rsidR="00A4270C" w:rsidRPr="00F85CA6">
              <w:rPr>
                <w:rFonts w:eastAsia="Calibri"/>
                <w:sz w:val="22"/>
                <w:szCs w:val="22"/>
                <w:lang w:val="sr-Latn-ME"/>
              </w:rPr>
              <w:t>j</w:t>
            </w:r>
            <w:r w:rsidRPr="00F85CA6">
              <w:rPr>
                <w:rFonts w:eastAsia="Calibri"/>
                <w:sz w:val="22"/>
                <w:szCs w:val="22"/>
                <w:lang w:val="sr-Latn-ME"/>
              </w:rPr>
              <w:t>ene 110 mg dabigatraneteksilata (u stanju ravnoteže), povećan</w:t>
            </w:r>
            <w:r w:rsidR="002B371E" w:rsidRPr="00F85CA6">
              <w:rPr>
                <w:rFonts w:eastAsia="Calibri"/>
                <w:sz w:val="22"/>
                <w:szCs w:val="22"/>
                <w:lang w:val="sr-Latn-ME"/>
              </w:rPr>
              <w:t>e</w:t>
            </w:r>
            <w:r w:rsidRPr="00F85CA6">
              <w:rPr>
                <w:rFonts w:eastAsia="Calibri"/>
                <w:sz w:val="22"/>
                <w:szCs w:val="22"/>
                <w:lang w:val="sr-Latn-ME"/>
              </w:rPr>
              <w:t xml:space="preserve"> vr</w:t>
            </w:r>
            <w:r w:rsidR="00B910A9" w:rsidRPr="00F85CA6">
              <w:rPr>
                <w:rFonts w:eastAsia="Calibri"/>
                <w:sz w:val="22"/>
                <w:szCs w:val="22"/>
                <w:lang w:val="sr-Latn-ME"/>
              </w:rPr>
              <w:t>ij</w:t>
            </w:r>
            <w:r w:rsidRPr="00F85CA6">
              <w:rPr>
                <w:rFonts w:eastAsia="Calibri"/>
                <w:sz w:val="22"/>
                <w:szCs w:val="22"/>
                <w:lang w:val="sr-Latn-ME"/>
              </w:rPr>
              <w:t>ednosti PIKτ,</w:t>
            </w:r>
            <w:r w:rsidRPr="00F85CA6">
              <w:rPr>
                <w:rFonts w:eastAsia="Calibri"/>
                <w:sz w:val="22"/>
                <w:szCs w:val="22"/>
                <w:vertAlign w:val="subscript"/>
                <w:lang w:val="sr-Latn-ME"/>
              </w:rPr>
              <w:t>ss</w:t>
            </w:r>
            <w:r w:rsidRPr="00F85CA6">
              <w:rPr>
                <w:rFonts w:eastAsia="Calibri"/>
                <w:sz w:val="22"/>
                <w:szCs w:val="22"/>
                <w:lang w:val="sr-Latn-ME"/>
              </w:rPr>
              <w:t xml:space="preserve"> i C</w:t>
            </w:r>
            <w:r w:rsidRPr="00F85CA6">
              <w:rPr>
                <w:rFonts w:eastAsia="Calibri"/>
                <w:sz w:val="22"/>
                <w:szCs w:val="22"/>
                <w:vertAlign w:val="subscript"/>
                <w:lang w:val="sr-Latn-ME"/>
              </w:rPr>
              <w:t xml:space="preserve">max,ss </w:t>
            </w:r>
            <w:r w:rsidRPr="00F85CA6">
              <w:rPr>
                <w:rFonts w:eastAsia="Calibri"/>
                <w:sz w:val="22"/>
                <w:szCs w:val="22"/>
                <w:lang w:val="sr-Latn-ME"/>
              </w:rPr>
              <w:t>dabigatrana bile su smanjene 1,27 puta i 1,23 puta u poređenju sa monoterapijom dabigatrane</w:t>
            </w:r>
            <w:r w:rsidR="0025051C" w:rsidRPr="00F85CA6">
              <w:rPr>
                <w:rFonts w:eastAsia="Calibri"/>
                <w:sz w:val="22"/>
                <w:szCs w:val="22"/>
                <w:lang w:val="sr-Latn-ME"/>
              </w:rPr>
              <w:t xml:space="preserve"> </w:t>
            </w:r>
            <w:r w:rsidRPr="00F85CA6">
              <w:rPr>
                <w:rFonts w:eastAsia="Calibri"/>
                <w:sz w:val="22"/>
                <w:szCs w:val="22"/>
                <w:lang w:val="sr-Latn-ME"/>
              </w:rPr>
              <w:t>teksilatom. Ovakav raspored doziranja sa udarnom dozom se preporučuje za početak primjene tikagrelora.</w:t>
            </w:r>
          </w:p>
          <w:p w14:paraId="68A5E783" w14:textId="77777777" w:rsidR="00D66267" w:rsidRPr="00F85CA6" w:rsidRDefault="00D66267" w:rsidP="00D66267">
            <w:pPr>
              <w:jc w:val="both"/>
              <w:rPr>
                <w:rFonts w:eastAsia="Calibri"/>
                <w:sz w:val="22"/>
                <w:szCs w:val="22"/>
                <w:lang w:val="sr-Latn-ME"/>
              </w:rPr>
            </w:pPr>
          </w:p>
          <w:p w14:paraId="3FAF853A" w14:textId="06236085" w:rsidR="00D66267" w:rsidRPr="00F85CA6" w:rsidRDefault="00D66267" w:rsidP="00D66267">
            <w:pPr>
              <w:jc w:val="both"/>
              <w:rPr>
                <w:rFonts w:eastAsia="Calibri"/>
                <w:sz w:val="22"/>
                <w:szCs w:val="22"/>
                <w:lang w:val="sr-Latn-ME"/>
              </w:rPr>
            </w:pPr>
            <w:r w:rsidRPr="00F85CA6">
              <w:rPr>
                <w:rFonts w:eastAsia="Calibri"/>
                <w:sz w:val="22"/>
                <w:szCs w:val="22"/>
                <w:lang w:val="sr-Latn-ME"/>
              </w:rPr>
              <w:t>Istovremena primjena 90 mg tikagrelora dva puta dnevno (doza održavanja) sa 110 mg dabigatraneteksilata povećavala je prilagođeni PIKτ,</w:t>
            </w:r>
            <w:r w:rsidRPr="00F85CA6">
              <w:rPr>
                <w:rFonts w:eastAsia="Calibri"/>
                <w:sz w:val="22"/>
                <w:szCs w:val="22"/>
                <w:vertAlign w:val="subscript"/>
                <w:lang w:val="sr-Latn-ME"/>
              </w:rPr>
              <w:t>ss</w:t>
            </w:r>
            <w:r w:rsidRPr="00F85CA6">
              <w:rPr>
                <w:rFonts w:eastAsia="Calibri"/>
                <w:sz w:val="22"/>
                <w:szCs w:val="22"/>
                <w:lang w:val="sr-Latn-ME"/>
              </w:rPr>
              <w:t xml:space="preserve"> i C</w:t>
            </w:r>
            <w:r w:rsidRPr="00F85CA6">
              <w:rPr>
                <w:rFonts w:eastAsia="Calibri"/>
                <w:sz w:val="22"/>
                <w:szCs w:val="22"/>
                <w:vertAlign w:val="subscript"/>
                <w:lang w:val="sr-Latn-ME"/>
              </w:rPr>
              <w:t xml:space="preserve">max,ss </w:t>
            </w:r>
            <w:r w:rsidRPr="00F85CA6">
              <w:rPr>
                <w:rFonts w:eastAsia="Calibri"/>
                <w:sz w:val="22"/>
                <w:szCs w:val="22"/>
                <w:lang w:val="sr-Latn-ME"/>
              </w:rPr>
              <w:t>dabigatrana za 1,26 puta, odnosno 1,29 puta u poređenju sa monoterapijom dabigatrane</w:t>
            </w:r>
            <w:r w:rsidR="0025051C" w:rsidRPr="00F85CA6">
              <w:rPr>
                <w:rFonts w:eastAsia="Calibri"/>
                <w:sz w:val="22"/>
                <w:szCs w:val="22"/>
                <w:lang w:val="sr-Latn-ME"/>
              </w:rPr>
              <w:t xml:space="preserve"> </w:t>
            </w:r>
            <w:r w:rsidRPr="00F85CA6">
              <w:rPr>
                <w:rFonts w:eastAsia="Calibri"/>
                <w:sz w:val="22"/>
                <w:szCs w:val="22"/>
                <w:lang w:val="sr-Latn-ME"/>
              </w:rPr>
              <w:t>teksilatom.</w:t>
            </w:r>
          </w:p>
        </w:tc>
      </w:tr>
      <w:tr w:rsidR="00D66267" w:rsidRPr="00F85CA6" w14:paraId="29B6F53D" w14:textId="77777777" w:rsidTr="001239C3">
        <w:trPr>
          <w:trHeight w:val="20"/>
          <w:jc w:val="center"/>
        </w:trPr>
        <w:tc>
          <w:tcPr>
            <w:tcW w:w="836" w:type="pct"/>
            <w:tcBorders>
              <w:top w:val="single" w:sz="4" w:space="0" w:color="auto"/>
              <w:left w:val="single" w:sz="4" w:space="0" w:color="auto"/>
              <w:bottom w:val="single" w:sz="4" w:space="0" w:color="auto"/>
            </w:tcBorders>
            <w:shd w:val="clear" w:color="auto" w:fill="auto"/>
          </w:tcPr>
          <w:p w14:paraId="7249304D" w14:textId="77777777" w:rsidR="00D66267" w:rsidRPr="00F85CA6" w:rsidRDefault="00D66267" w:rsidP="00D66267">
            <w:pPr>
              <w:jc w:val="both"/>
              <w:rPr>
                <w:rFonts w:eastAsia="Calibri"/>
                <w:sz w:val="22"/>
                <w:szCs w:val="22"/>
                <w:lang w:val="sr-Latn-ME" w:bidi="en-US"/>
              </w:rPr>
            </w:pPr>
            <w:r w:rsidRPr="00F85CA6">
              <w:rPr>
                <w:rFonts w:eastAsia="Calibri"/>
                <w:sz w:val="22"/>
                <w:szCs w:val="22"/>
                <w:lang w:val="sr-Latn-ME" w:bidi="en-US"/>
              </w:rPr>
              <w:t>Posakonazol</w:t>
            </w:r>
          </w:p>
        </w:tc>
        <w:tc>
          <w:tcPr>
            <w:tcW w:w="4164" w:type="pct"/>
            <w:tcBorders>
              <w:top w:val="single" w:sz="4" w:space="0" w:color="auto"/>
              <w:left w:val="single" w:sz="4" w:space="0" w:color="auto"/>
              <w:bottom w:val="single" w:sz="4" w:space="0" w:color="auto"/>
              <w:right w:val="single" w:sz="4" w:space="0" w:color="auto"/>
            </w:tcBorders>
            <w:shd w:val="clear" w:color="auto" w:fill="auto"/>
          </w:tcPr>
          <w:p w14:paraId="7CCEEF15" w14:textId="181D3E49" w:rsidR="00D66267" w:rsidRPr="00F85CA6" w:rsidRDefault="00D66267" w:rsidP="00D66267">
            <w:pPr>
              <w:jc w:val="both"/>
              <w:rPr>
                <w:rFonts w:eastAsia="Calibri"/>
                <w:sz w:val="22"/>
                <w:szCs w:val="22"/>
                <w:lang w:val="sr-Latn-ME"/>
              </w:rPr>
            </w:pPr>
            <w:r w:rsidRPr="00F85CA6">
              <w:rPr>
                <w:rFonts w:eastAsia="Calibri"/>
                <w:sz w:val="22"/>
                <w:szCs w:val="22"/>
                <w:lang w:val="sr-Latn-ME"/>
              </w:rPr>
              <w:t>Posakonazol takođe inhibira P-gp u određenom stepenu, ali nije bio klinički ispitivan. Treba biti oprezan kada se dabigatrane</w:t>
            </w:r>
            <w:r w:rsidR="0025051C" w:rsidRPr="00F85CA6">
              <w:rPr>
                <w:rFonts w:eastAsia="Calibri"/>
                <w:sz w:val="22"/>
                <w:szCs w:val="22"/>
                <w:lang w:val="sr-Latn-ME"/>
              </w:rPr>
              <w:t xml:space="preserve"> </w:t>
            </w:r>
            <w:r w:rsidRPr="00F85CA6">
              <w:rPr>
                <w:rFonts w:eastAsia="Calibri"/>
                <w:sz w:val="22"/>
                <w:szCs w:val="22"/>
                <w:lang w:val="sr-Latn-ME"/>
              </w:rPr>
              <w:t>teksilat primjenjuje istovremeno sa posakonazolom.</w:t>
            </w:r>
          </w:p>
        </w:tc>
      </w:tr>
      <w:tr w:rsidR="00D66267" w:rsidRPr="00F85CA6" w14:paraId="4EED323B" w14:textId="77777777" w:rsidTr="001239C3">
        <w:trPr>
          <w:trHeight w:val="680"/>
          <w:jc w:val="center"/>
        </w:trPr>
        <w:tc>
          <w:tcPr>
            <w:tcW w:w="5000" w:type="pct"/>
            <w:gridSpan w:val="2"/>
            <w:tcBorders>
              <w:top w:val="single" w:sz="4" w:space="0" w:color="auto"/>
              <w:left w:val="single" w:sz="4" w:space="0" w:color="auto"/>
              <w:right w:val="single" w:sz="4" w:space="0" w:color="auto"/>
            </w:tcBorders>
            <w:shd w:val="clear" w:color="auto" w:fill="auto"/>
            <w:vAlign w:val="center"/>
          </w:tcPr>
          <w:p w14:paraId="6AEADB55" w14:textId="77777777" w:rsidR="00D66267" w:rsidRPr="00F85CA6" w:rsidRDefault="00D66267" w:rsidP="00D66267">
            <w:pPr>
              <w:jc w:val="both"/>
              <w:rPr>
                <w:rFonts w:eastAsia="Calibri"/>
                <w:sz w:val="22"/>
                <w:szCs w:val="22"/>
                <w:lang w:val="sr-Latn-ME" w:bidi="en-US"/>
              </w:rPr>
            </w:pPr>
            <w:r w:rsidRPr="00F85CA6">
              <w:rPr>
                <w:rFonts w:eastAsia="Calibri"/>
                <w:i/>
                <w:iCs/>
                <w:sz w:val="22"/>
                <w:szCs w:val="22"/>
                <w:u w:val="single"/>
                <w:lang w:val="sr-Latn-ME" w:bidi="en-US"/>
              </w:rPr>
              <w:t>P-gp induktori</w:t>
            </w:r>
          </w:p>
        </w:tc>
      </w:tr>
      <w:tr w:rsidR="00D66267" w:rsidRPr="00F85CA6" w14:paraId="0F1CD5D4" w14:textId="77777777" w:rsidTr="001239C3">
        <w:trPr>
          <w:trHeight w:val="680"/>
          <w:jc w:val="center"/>
        </w:trPr>
        <w:tc>
          <w:tcPr>
            <w:tcW w:w="5000" w:type="pct"/>
            <w:gridSpan w:val="2"/>
            <w:tcBorders>
              <w:top w:val="single" w:sz="4" w:space="0" w:color="auto"/>
              <w:left w:val="single" w:sz="4" w:space="0" w:color="auto"/>
              <w:right w:val="single" w:sz="4" w:space="0" w:color="auto"/>
            </w:tcBorders>
            <w:shd w:val="clear" w:color="auto" w:fill="auto"/>
            <w:vAlign w:val="center"/>
          </w:tcPr>
          <w:p w14:paraId="7CACE011" w14:textId="7C0E8404" w:rsidR="00D66267" w:rsidRPr="00F85CA6" w:rsidRDefault="00D66267" w:rsidP="00D66267">
            <w:pPr>
              <w:jc w:val="both"/>
              <w:rPr>
                <w:rFonts w:eastAsia="Calibri"/>
                <w:sz w:val="22"/>
                <w:szCs w:val="22"/>
                <w:lang w:val="sr-Latn-ME" w:bidi="en-US"/>
              </w:rPr>
            </w:pPr>
            <w:r w:rsidRPr="00F85CA6">
              <w:rPr>
                <w:rFonts w:eastAsia="Calibri"/>
                <w:i/>
                <w:iCs/>
                <w:sz w:val="22"/>
                <w:szCs w:val="22"/>
                <w:lang w:val="sr-Latn-ME" w:bidi="en-US"/>
              </w:rPr>
              <w:t>Istovremenu primjenu treba izb</w:t>
            </w:r>
            <w:r w:rsidR="00B910A9" w:rsidRPr="00F85CA6">
              <w:rPr>
                <w:rFonts w:eastAsia="Calibri"/>
                <w:i/>
                <w:iCs/>
                <w:sz w:val="22"/>
                <w:szCs w:val="22"/>
                <w:lang w:val="sr-Latn-ME" w:bidi="en-US"/>
              </w:rPr>
              <w:t>j</w:t>
            </w:r>
            <w:r w:rsidRPr="00F85CA6">
              <w:rPr>
                <w:rFonts w:eastAsia="Calibri"/>
                <w:i/>
                <w:iCs/>
                <w:sz w:val="22"/>
                <w:szCs w:val="22"/>
                <w:lang w:val="sr-Latn-ME" w:bidi="en-US"/>
              </w:rPr>
              <w:t>egavati.</w:t>
            </w:r>
          </w:p>
        </w:tc>
      </w:tr>
      <w:tr w:rsidR="00D66267" w:rsidRPr="00F85CA6" w14:paraId="50AD0AB4" w14:textId="77777777" w:rsidTr="001239C3">
        <w:trPr>
          <w:trHeight w:val="20"/>
          <w:jc w:val="center"/>
        </w:trPr>
        <w:tc>
          <w:tcPr>
            <w:tcW w:w="836" w:type="pct"/>
            <w:tcBorders>
              <w:top w:val="single" w:sz="4" w:space="0" w:color="auto"/>
              <w:left w:val="single" w:sz="4" w:space="0" w:color="auto"/>
            </w:tcBorders>
            <w:shd w:val="clear" w:color="auto" w:fill="auto"/>
          </w:tcPr>
          <w:p w14:paraId="6043DDFC" w14:textId="77777777" w:rsidR="00D66267" w:rsidRPr="00F85CA6" w:rsidRDefault="00D66267" w:rsidP="00D66267">
            <w:pPr>
              <w:rPr>
                <w:rFonts w:eastAsia="Calibri"/>
                <w:sz w:val="22"/>
                <w:szCs w:val="22"/>
                <w:lang w:val="sr-Latn-ME" w:bidi="en-US"/>
              </w:rPr>
            </w:pPr>
            <w:r w:rsidRPr="00F85CA6">
              <w:rPr>
                <w:rFonts w:eastAsia="Calibri"/>
                <w:sz w:val="22"/>
                <w:szCs w:val="22"/>
                <w:lang w:val="sr-Latn-ME" w:bidi="en-US"/>
              </w:rPr>
              <w:t>npr. rifampicin, kantarion (</w:t>
            </w:r>
            <w:r w:rsidRPr="00F85CA6">
              <w:rPr>
                <w:rFonts w:eastAsia="Calibri"/>
                <w:i/>
                <w:iCs/>
                <w:sz w:val="22"/>
                <w:szCs w:val="22"/>
                <w:lang w:val="sr-Latn-ME" w:bidi="en-US"/>
              </w:rPr>
              <w:t>Hypericum perforatum</w:t>
            </w:r>
            <w:r w:rsidRPr="00F85CA6">
              <w:rPr>
                <w:rFonts w:eastAsia="Calibri"/>
                <w:sz w:val="22"/>
                <w:szCs w:val="22"/>
                <w:lang w:val="sr-Latn-ME" w:bidi="en-US"/>
              </w:rPr>
              <w:t>), karbamazepin ili fenitoin</w:t>
            </w:r>
          </w:p>
        </w:tc>
        <w:tc>
          <w:tcPr>
            <w:tcW w:w="4164" w:type="pct"/>
            <w:tcBorders>
              <w:top w:val="single" w:sz="4" w:space="0" w:color="auto"/>
              <w:left w:val="single" w:sz="4" w:space="0" w:color="auto"/>
              <w:right w:val="single" w:sz="4" w:space="0" w:color="auto"/>
            </w:tcBorders>
            <w:shd w:val="clear" w:color="auto" w:fill="auto"/>
            <w:vAlign w:val="bottom"/>
          </w:tcPr>
          <w:p w14:paraId="26A800B0" w14:textId="053C8BC6" w:rsidR="00D66267" w:rsidRPr="00F85CA6" w:rsidRDefault="00D66267" w:rsidP="00D66267">
            <w:pPr>
              <w:jc w:val="both"/>
              <w:rPr>
                <w:rFonts w:eastAsia="Calibri"/>
                <w:sz w:val="22"/>
                <w:szCs w:val="22"/>
                <w:lang w:val="sr-Latn-ME"/>
              </w:rPr>
            </w:pPr>
            <w:r w:rsidRPr="00F85CA6">
              <w:rPr>
                <w:rFonts w:eastAsia="Calibri"/>
                <w:sz w:val="22"/>
                <w:szCs w:val="22"/>
                <w:lang w:val="sr-Latn-ME"/>
              </w:rPr>
              <w:t>Očekuje se da istovremena primjena može da izazove smanjene koncentracije dabigatrana.</w:t>
            </w:r>
          </w:p>
          <w:p w14:paraId="162F283F" w14:textId="77777777" w:rsidR="00D66267" w:rsidRPr="00F85CA6" w:rsidRDefault="00D66267" w:rsidP="00D66267">
            <w:pPr>
              <w:jc w:val="both"/>
              <w:rPr>
                <w:rFonts w:eastAsia="Calibri"/>
                <w:sz w:val="22"/>
                <w:szCs w:val="22"/>
                <w:lang w:val="sr-Latn-ME"/>
              </w:rPr>
            </w:pPr>
          </w:p>
          <w:p w14:paraId="2A27B73B" w14:textId="17D1589D" w:rsidR="00D66267" w:rsidRPr="00F85CA6" w:rsidRDefault="00D66267" w:rsidP="0025051C">
            <w:pPr>
              <w:jc w:val="both"/>
              <w:rPr>
                <w:rFonts w:eastAsia="Calibri"/>
                <w:sz w:val="22"/>
                <w:szCs w:val="22"/>
                <w:lang w:val="sr-Latn-ME"/>
              </w:rPr>
            </w:pPr>
            <w:r w:rsidRPr="00F85CA6">
              <w:rPr>
                <w:rFonts w:eastAsia="Calibri"/>
                <w:sz w:val="22"/>
                <w:szCs w:val="22"/>
                <w:lang w:val="sr-Latn-ME"/>
              </w:rPr>
              <w:t xml:space="preserve">Prethodna primjena induktora rifampicina u dozi od 600 mg jednom dnevno tokom 7 dana je smanjila ukupni pik dabigatrana i ukupnu izloženost lijeku za 65,5%, odnosno 67%. Induktorsko dejstvo je bilo smanjeno što je dovelo do izloženosti dabigatranu koja je bila blizu referentne vrijednosti </w:t>
            </w:r>
            <w:r w:rsidR="0025051C" w:rsidRPr="00F85CA6">
              <w:rPr>
                <w:rFonts w:eastAsia="Calibri"/>
                <w:sz w:val="22"/>
                <w:szCs w:val="22"/>
                <w:lang w:val="sr-Latn-ME"/>
              </w:rPr>
              <w:t xml:space="preserve">7. </w:t>
            </w:r>
            <w:r w:rsidRPr="00F85CA6">
              <w:rPr>
                <w:rFonts w:eastAsia="Calibri"/>
                <w:sz w:val="22"/>
                <w:szCs w:val="22"/>
                <w:lang w:val="sr-Latn-ME"/>
              </w:rPr>
              <w:t>dana nakon prestanka terapije rifampicinom. Nije bilo prim</w:t>
            </w:r>
            <w:r w:rsidR="00300352" w:rsidRPr="00F85CA6">
              <w:rPr>
                <w:rFonts w:eastAsia="Calibri"/>
                <w:sz w:val="22"/>
                <w:szCs w:val="22"/>
                <w:lang w:val="sr-Latn-ME"/>
              </w:rPr>
              <w:t>i</w:t>
            </w:r>
            <w:r w:rsidRPr="00F85CA6">
              <w:rPr>
                <w:rFonts w:eastAsia="Calibri"/>
                <w:sz w:val="22"/>
                <w:szCs w:val="22"/>
                <w:lang w:val="sr-Latn-ME"/>
              </w:rPr>
              <w:t xml:space="preserve">jećeno dalje povećanje bioraspoloživosti nakon dodatnih 7 dana. </w:t>
            </w:r>
          </w:p>
        </w:tc>
      </w:tr>
      <w:tr w:rsidR="00D66267" w:rsidRPr="00F85CA6" w14:paraId="727CAED1" w14:textId="77777777" w:rsidTr="001239C3">
        <w:trPr>
          <w:trHeight w:val="680"/>
          <w:jc w:val="center"/>
        </w:trPr>
        <w:tc>
          <w:tcPr>
            <w:tcW w:w="5000" w:type="pct"/>
            <w:gridSpan w:val="2"/>
            <w:tcBorders>
              <w:top w:val="single" w:sz="4" w:space="0" w:color="auto"/>
              <w:left w:val="single" w:sz="4" w:space="0" w:color="auto"/>
              <w:right w:val="single" w:sz="4" w:space="0" w:color="auto"/>
            </w:tcBorders>
            <w:shd w:val="clear" w:color="auto" w:fill="auto"/>
            <w:vAlign w:val="center"/>
          </w:tcPr>
          <w:p w14:paraId="1980850B" w14:textId="77777777" w:rsidR="00D66267" w:rsidRPr="00F85CA6" w:rsidRDefault="00D66267" w:rsidP="00D66267">
            <w:pPr>
              <w:jc w:val="both"/>
              <w:rPr>
                <w:rFonts w:eastAsia="Calibri"/>
                <w:sz w:val="22"/>
                <w:szCs w:val="22"/>
                <w:lang w:val="sr-Latn-ME" w:bidi="en-US"/>
              </w:rPr>
            </w:pPr>
            <w:r w:rsidRPr="00F85CA6">
              <w:rPr>
                <w:rFonts w:eastAsia="Calibri"/>
                <w:i/>
                <w:iCs/>
                <w:sz w:val="22"/>
                <w:szCs w:val="22"/>
                <w:u w:val="single"/>
                <w:lang w:val="sr-Latn-ME" w:bidi="en-US"/>
              </w:rPr>
              <w:t>Inhibitori proteaza kao što je ritonavir</w:t>
            </w:r>
          </w:p>
        </w:tc>
      </w:tr>
      <w:tr w:rsidR="00D66267" w:rsidRPr="00F85CA6" w14:paraId="4CCCB889" w14:textId="77777777" w:rsidTr="001239C3">
        <w:trPr>
          <w:trHeight w:val="68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4B6E21" w14:textId="03776732" w:rsidR="00D66267" w:rsidRPr="00F85CA6" w:rsidRDefault="00D66267" w:rsidP="00D66267">
            <w:pPr>
              <w:jc w:val="both"/>
              <w:rPr>
                <w:rFonts w:eastAsia="Calibri"/>
                <w:sz w:val="22"/>
                <w:szCs w:val="22"/>
                <w:lang w:val="sr-Latn-ME" w:bidi="en-US"/>
              </w:rPr>
            </w:pPr>
            <w:r w:rsidRPr="00F85CA6">
              <w:rPr>
                <w:rFonts w:eastAsia="Calibri"/>
                <w:i/>
                <w:iCs/>
                <w:sz w:val="22"/>
                <w:szCs w:val="22"/>
                <w:lang w:val="sr-Latn-ME" w:bidi="en-US"/>
              </w:rPr>
              <w:t>Istovremena prim</w:t>
            </w:r>
            <w:r w:rsidR="00AC2F37" w:rsidRPr="00F85CA6">
              <w:rPr>
                <w:rFonts w:eastAsia="Calibri"/>
                <w:i/>
                <w:iCs/>
                <w:sz w:val="22"/>
                <w:szCs w:val="22"/>
                <w:lang w:val="sr-Latn-ME" w:bidi="en-US"/>
              </w:rPr>
              <w:t>j</w:t>
            </w:r>
            <w:r w:rsidRPr="00F85CA6">
              <w:rPr>
                <w:rFonts w:eastAsia="Calibri"/>
                <w:i/>
                <w:iCs/>
                <w:sz w:val="22"/>
                <w:szCs w:val="22"/>
                <w:lang w:val="sr-Latn-ME" w:bidi="en-US"/>
              </w:rPr>
              <w:t>ena se ne preporučuje</w:t>
            </w:r>
          </w:p>
        </w:tc>
      </w:tr>
      <w:tr w:rsidR="00D66267" w:rsidRPr="00F85CA6" w14:paraId="665FCB99" w14:textId="77777777" w:rsidTr="001239C3">
        <w:trPr>
          <w:trHeight w:val="20"/>
          <w:jc w:val="center"/>
        </w:trPr>
        <w:tc>
          <w:tcPr>
            <w:tcW w:w="836" w:type="pct"/>
            <w:tcBorders>
              <w:top w:val="single" w:sz="4" w:space="0" w:color="auto"/>
              <w:left w:val="single" w:sz="4" w:space="0" w:color="auto"/>
              <w:bottom w:val="single" w:sz="4" w:space="0" w:color="auto"/>
            </w:tcBorders>
            <w:shd w:val="clear" w:color="auto" w:fill="auto"/>
            <w:vAlign w:val="bottom"/>
          </w:tcPr>
          <w:p w14:paraId="64D043B9" w14:textId="77777777" w:rsidR="00D66267" w:rsidRPr="00F85CA6" w:rsidRDefault="00D66267" w:rsidP="00D66267">
            <w:pPr>
              <w:rPr>
                <w:rFonts w:eastAsia="Calibri"/>
                <w:sz w:val="22"/>
                <w:szCs w:val="22"/>
                <w:lang w:val="sr-Latn-ME" w:bidi="en-US"/>
              </w:rPr>
            </w:pPr>
            <w:r w:rsidRPr="00F85CA6">
              <w:rPr>
                <w:rFonts w:eastAsia="Calibri"/>
                <w:sz w:val="22"/>
                <w:szCs w:val="22"/>
                <w:lang w:val="sr-Latn-ME" w:bidi="en-US"/>
              </w:rPr>
              <w:t xml:space="preserve">npr. ritonavir i njegove kombinacije sa drugim </w:t>
            </w:r>
            <w:r w:rsidRPr="00F85CA6">
              <w:rPr>
                <w:rFonts w:eastAsia="Calibri"/>
                <w:sz w:val="22"/>
                <w:szCs w:val="22"/>
                <w:lang w:val="sr-Latn-ME" w:bidi="en-US"/>
              </w:rPr>
              <w:lastRenderedPageBreak/>
              <w:t>inhibitorima proteaze</w:t>
            </w:r>
          </w:p>
        </w:tc>
        <w:tc>
          <w:tcPr>
            <w:tcW w:w="4164" w:type="pct"/>
            <w:tcBorders>
              <w:top w:val="single" w:sz="4" w:space="0" w:color="auto"/>
              <w:left w:val="single" w:sz="4" w:space="0" w:color="auto"/>
              <w:bottom w:val="single" w:sz="4" w:space="0" w:color="auto"/>
              <w:right w:val="single" w:sz="4" w:space="0" w:color="auto"/>
            </w:tcBorders>
            <w:shd w:val="clear" w:color="auto" w:fill="auto"/>
          </w:tcPr>
          <w:p w14:paraId="24C2F5E3" w14:textId="5D0A94A6" w:rsidR="00D66267" w:rsidRPr="00F85CA6" w:rsidRDefault="0025051C" w:rsidP="0025051C">
            <w:pPr>
              <w:jc w:val="both"/>
              <w:rPr>
                <w:rFonts w:eastAsia="Calibri"/>
                <w:sz w:val="22"/>
                <w:szCs w:val="22"/>
                <w:lang w:val="sr-Latn-ME"/>
              </w:rPr>
            </w:pPr>
            <w:r w:rsidRPr="00F85CA6">
              <w:rPr>
                <w:rFonts w:eastAsia="Calibri"/>
                <w:sz w:val="22"/>
                <w:szCs w:val="22"/>
                <w:lang w:val="sr-Latn-ME"/>
              </w:rPr>
              <w:lastRenderedPageBreak/>
              <w:t xml:space="preserve">Oni utiču </w:t>
            </w:r>
            <w:r w:rsidR="00D66267" w:rsidRPr="00F85CA6">
              <w:rPr>
                <w:rFonts w:eastAsia="Calibri"/>
                <w:sz w:val="22"/>
                <w:szCs w:val="22"/>
                <w:lang w:val="sr-Latn-ME"/>
              </w:rPr>
              <w:t>na P-gp (bilo kao inhibitor bilo kao induktor). Oni ni</w:t>
            </w:r>
            <w:r w:rsidR="0043168A" w:rsidRPr="00F85CA6">
              <w:rPr>
                <w:rFonts w:eastAsia="Calibri"/>
                <w:sz w:val="22"/>
                <w:szCs w:val="22"/>
                <w:lang w:val="sr-Latn-ME"/>
              </w:rPr>
              <w:t>je</w:t>
            </w:r>
            <w:r w:rsidR="00D66267" w:rsidRPr="00F85CA6">
              <w:rPr>
                <w:rFonts w:eastAsia="Calibri"/>
                <w:sz w:val="22"/>
                <w:szCs w:val="22"/>
                <w:lang w:val="sr-Latn-ME"/>
              </w:rPr>
              <w:t>su bili proučavani i zbog toga se ne preporučuje njihova istovremena prim</w:t>
            </w:r>
            <w:r w:rsidR="00AC2F37" w:rsidRPr="00F85CA6">
              <w:rPr>
                <w:rFonts w:eastAsia="Calibri"/>
                <w:sz w:val="22"/>
                <w:szCs w:val="22"/>
                <w:lang w:val="sr-Latn-ME"/>
              </w:rPr>
              <w:t>j</w:t>
            </w:r>
            <w:r w:rsidR="00D66267" w:rsidRPr="00F85CA6">
              <w:rPr>
                <w:rFonts w:eastAsia="Calibri"/>
                <w:sz w:val="22"/>
                <w:szCs w:val="22"/>
                <w:lang w:val="sr-Latn-ME"/>
              </w:rPr>
              <w:t>ena sa dabigatrane</w:t>
            </w:r>
            <w:r w:rsidRPr="00F85CA6">
              <w:rPr>
                <w:rFonts w:eastAsia="Calibri"/>
                <w:sz w:val="22"/>
                <w:szCs w:val="22"/>
                <w:lang w:val="sr-Latn-ME"/>
              </w:rPr>
              <w:t xml:space="preserve"> </w:t>
            </w:r>
            <w:r w:rsidR="00D66267" w:rsidRPr="00F85CA6">
              <w:rPr>
                <w:rFonts w:eastAsia="Calibri"/>
                <w:sz w:val="22"/>
                <w:szCs w:val="22"/>
                <w:lang w:val="sr-Latn-ME"/>
              </w:rPr>
              <w:t>teksilatom.</w:t>
            </w:r>
          </w:p>
        </w:tc>
      </w:tr>
      <w:tr w:rsidR="00D66267" w:rsidRPr="00F85CA6" w14:paraId="55D2ADDF" w14:textId="77777777" w:rsidTr="001239C3">
        <w:trPr>
          <w:trHeight w:val="680"/>
          <w:jc w:val="center"/>
        </w:trPr>
        <w:tc>
          <w:tcPr>
            <w:tcW w:w="5000" w:type="pct"/>
            <w:gridSpan w:val="2"/>
            <w:tcBorders>
              <w:top w:val="single" w:sz="4" w:space="0" w:color="auto"/>
              <w:left w:val="single" w:sz="4" w:space="0" w:color="auto"/>
              <w:right w:val="single" w:sz="4" w:space="0" w:color="auto"/>
            </w:tcBorders>
            <w:shd w:val="clear" w:color="auto" w:fill="auto"/>
            <w:vAlign w:val="center"/>
          </w:tcPr>
          <w:p w14:paraId="04128706" w14:textId="77777777" w:rsidR="00D66267" w:rsidRPr="00F85CA6" w:rsidRDefault="00D66267" w:rsidP="00D66267">
            <w:pPr>
              <w:jc w:val="both"/>
              <w:rPr>
                <w:rFonts w:eastAsia="Calibri"/>
                <w:sz w:val="22"/>
                <w:szCs w:val="22"/>
                <w:lang w:val="sr-Latn-ME" w:bidi="en-US"/>
              </w:rPr>
            </w:pPr>
            <w:r w:rsidRPr="00F85CA6">
              <w:rPr>
                <w:rFonts w:eastAsia="Calibri"/>
                <w:i/>
                <w:iCs/>
                <w:sz w:val="22"/>
                <w:szCs w:val="22"/>
                <w:u w:val="single"/>
                <w:lang w:val="sr-Latn-ME" w:bidi="en-US"/>
              </w:rPr>
              <w:t>Supstrati za P-glikoprotein</w:t>
            </w:r>
          </w:p>
        </w:tc>
      </w:tr>
      <w:tr w:rsidR="00D66267" w:rsidRPr="00F85CA6" w14:paraId="40103BD2" w14:textId="77777777" w:rsidTr="001239C3">
        <w:trPr>
          <w:trHeight w:val="20"/>
          <w:jc w:val="center"/>
        </w:trPr>
        <w:tc>
          <w:tcPr>
            <w:tcW w:w="836" w:type="pct"/>
            <w:tcBorders>
              <w:top w:val="single" w:sz="4" w:space="0" w:color="auto"/>
              <w:left w:val="single" w:sz="4" w:space="0" w:color="auto"/>
              <w:bottom w:val="single" w:sz="4" w:space="0" w:color="auto"/>
            </w:tcBorders>
            <w:shd w:val="clear" w:color="auto" w:fill="auto"/>
          </w:tcPr>
          <w:p w14:paraId="0E6522CD" w14:textId="77777777" w:rsidR="00D66267" w:rsidRPr="00F85CA6" w:rsidRDefault="00D66267" w:rsidP="00D66267">
            <w:pPr>
              <w:jc w:val="both"/>
              <w:rPr>
                <w:rFonts w:eastAsia="Calibri"/>
                <w:sz w:val="22"/>
                <w:szCs w:val="22"/>
                <w:lang w:val="sr-Latn-ME" w:bidi="en-US"/>
              </w:rPr>
            </w:pPr>
            <w:r w:rsidRPr="00F85CA6">
              <w:rPr>
                <w:rFonts w:eastAsia="Calibri"/>
                <w:sz w:val="22"/>
                <w:szCs w:val="22"/>
                <w:lang w:val="sr-Latn-ME" w:bidi="en-US"/>
              </w:rPr>
              <w:t>Digoksin</w:t>
            </w:r>
          </w:p>
        </w:tc>
        <w:tc>
          <w:tcPr>
            <w:tcW w:w="4164" w:type="pct"/>
            <w:tcBorders>
              <w:top w:val="single" w:sz="4" w:space="0" w:color="auto"/>
              <w:left w:val="single" w:sz="4" w:space="0" w:color="auto"/>
              <w:bottom w:val="single" w:sz="4" w:space="0" w:color="auto"/>
              <w:right w:val="single" w:sz="4" w:space="0" w:color="auto"/>
            </w:tcBorders>
            <w:shd w:val="clear" w:color="auto" w:fill="auto"/>
            <w:vAlign w:val="bottom"/>
          </w:tcPr>
          <w:p w14:paraId="58F4BD55" w14:textId="694C7DD8" w:rsidR="00D66267" w:rsidRPr="00F85CA6" w:rsidRDefault="00D66267" w:rsidP="00D66267">
            <w:pPr>
              <w:jc w:val="both"/>
              <w:rPr>
                <w:rFonts w:eastAsia="Calibri"/>
                <w:sz w:val="22"/>
                <w:szCs w:val="22"/>
                <w:lang w:val="sr-Latn-ME"/>
              </w:rPr>
            </w:pPr>
            <w:r w:rsidRPr="00F85CA6">
              <w:rPr>
                <w:rFonts w:eastAsia="Calibri"/>
                <w:sz w:val="22"/>
                <w:szCs w:val="22"/>
                <w:lang w:val="sr-Latn-ME"/>
              </w:rPr>
              <w:t>U studiji u koju su bila uključena 24 zdrava ispitanika, pri prim</w:t>
            </w:r>
            <w:r w:rsidR="00AC2F37" w:rsidRPr="00F85CA6">
              <w:rPr>
                <w:rFonts w:eastAsia="Calibri"/>
                <w:sz w:val="22"/>
                <w:szCs w:val="22"/>
                <w:lang w:val="sr-Latn-ME"/>
              </w:rPr>
              <w:t>j</w:t>
            </w:r>
            <w:r w:rsidRPr="00F85CA6">
              <w:rPr>
                <w:rFonts w:eastAsia="Calibri"/>
                <w:sz w:val="22"/>
                <w:szCs w:val="22"/>
                <w:lang w:val="sr-Latn-ME"/>
              </w:rPr>
              <w:t>eni dabigatraneteksilata zajedno sa digoksinom, ni</w:t>
            </w:r>
            <w:r w:rsidR="0043168A" w:rsidRPr="00F85CA6">
              <w:rPr>
                <w:rFonts w:eastAsia="Calibri"/>
                <w:sz w:val="22"/>
                <w:szCs w:val="22"/>
                <w:lang w:val="sr-Latn-ME"/>
              </w:rPr>
              <w:t>je</w:t>
            </w:r>
            <w:r w:rsidRPr="00F85CA6">
              <w:rPr>
                <w:rFonts w:eastAsia="Calibri"/>
                <w:sz w:val="22"/>
                <w:szCs w:val="22"/>
                <w:lang w:val="sr-Latn-ME"/>
              </w:rPr>
              <w:t>su bile prim</w:t>
            </w:r>
            <w:r w:rsidR="00B910A9" w:rsidRPr="00F85CA6">
              <w:rPr>
                <w:rFonts w:eastAsia="Calibri"/>
                <w:sz w:val="22"/>
                <w:szCs w:val="22"/>
                <w:lang w:val="sr-Latn-ME"/>
              </w:rPr>
              <w:t>i</w:t>
            </w:r>
            <w:r w:rsidR="00AC2F37" w:rsidRPr="00F85CA6">
              <w:rPr>
                <w:rFonts w:eastAsia="Calibri"/>
                <w:sz w:val="22"/>
                <w:szCs w:val="22"/>
                <w:lang w:val="sr-Latn-ME"/>
              </w:rPr>
              <w:t>j</w:t>
            </w:r>
            <w:r w:rsidRPr="00F85CA6">
              <w:rPr>
                <w:rFonts w:eastAsia="Calibri"/>
                <w:sz w:val="22"/>
                <w:szCs w:val="22"/>
                <w:lang w:val="sr-Latn-ME"/>
              </w:rPr>
              <w:t>ećene prom</w:t>
            </w:r>
            <w:r w:rsidR="00AC2F37" w:rsidRPr="00F85CA6">
              <w:rPr>
                <w:rFonts w:eastAsia="Calibri"/>
                <w:sz w:val="22"/>
                <w:szCs w:val="22"/>
                <w:lang w:val="sr-Latn-ME"/>
              </w:rPr>
              <w:t>j</w:t>
            </w:r>
            <w:r w:rsidRPr="00F85CA6">
              <w:rPr>
                <w:rFonts w:eastAsia="Calibri"/>
                <w:sz w:val="22"/>
                <w:szCs w:val="22"/>
                <w:lang w:val="sr-Latn-ME"/>
              </w:rPr>
              <w:t>ene u izloženosti digoksinu, niti klinički značajne prom</w:t>
            </w:r>
            <w:r w:rsidR="00AC2F37" w:rsidRPr="00F85CA6">
              <w:rPr>
                <w:rFonts w:eastAsia="Calibri"/>
                <w:sz w:val="22"/>
                <w:szCs w:val="22"/>
                <w:lang w:val="sr-Latn-ME"/>
              </w:rPr>
              <w:t>j</w:t>
            </w:r>
            <w:r w:rsidRPr="00F85CA6">
              <w:rPr>
                <w:rFonts w:eastAsia="Calibri"/>
                <w:sz w:val="22"/>
                <w:szCs w:val="22"/>
                <w:lang w:val="sr-Latn-ME"/>
              </w:rPr>
              <w:t xml:space="preserve">ene u izloženosti dabigatranu. </w:t>
            </w:r>
          </w:p>
        </w:tc>
      </w:tr>
      <w:bookmarkEnd w:id="14"/>
    </w:tbl>
    <w:p w14:paraId="49D3CE3E" w14:textId="77777777" w:rsidR="00D66267" w:rsidRPr="00F85CA6" w:rsidRDefault="00D66267" w:rsidP="00D66267">
      <w:pPr>
        <w:jc w:val="both"/>
        <w:rPr>
          <w:rFonts w:eastAsia="Calibri"/>
          <w:sz w:val="22"/>
          <w:szCs w:val="22"/>
          <w:lang w:val="sr-Latn-ME" w:bidi="en-US"/>
        </w:rPr>
      </w:pPr>
    </w:p>
    <w:p w14:paraId="5D9BEA07" w14:textId="77777777" w:rsidR="00D66267" w:rsidRPr="00F85CA6" w:rsidRDefault="00D66267" w:rsidP="00D66267">
      <w:pPr>
        <w:jc w:val="both"/>
        <w:rPr>
          <w:rFonts w:eastAsia="Calibri"/>
          <w:sz w:val="22"/>
          <w:szCs w:val="22"/>
          <w:u w:val="single"/>
          <w:lang w:val="sr-Latn-ME"/>
        </w:rPr>
      </w:pPr>
      <w:r w:rsidRPr="00F85CA6">
        <w:rPr>
          <w:rFonts w:eastAsia="Calibri"/>
          <w:sz w:val="22"/>
          <w:szCs w:val="22"/>
          <w:u w:val="single"/>
          <w:lang w:val="sr-Latn-ME"/>
        </w:rPr>
        <w:t>Antikoagulansi i inhibitori agregacije trombocita</w:t>
      </w:r>
    </w:p>
    <w:p w14:paraId="416DEFA6" w14:textId="77777777" w:rsidR="00D66267" w:rsidRPr="00F85CA6" w:rsidRDefault="00D66267" w:rsidP="00D66267">
      <w:pPr>
        <w:jc w:val="both"/>
        <w:rPr>
          <w:rFonts w:eastAsia="Calibri"/>
          <w:sz w:val="22"/>
          <w:szCs w:val="22"/>
          <w:u w:val="single"/>
          <w:lang w:val="sr-Latn-ME"/>
        </w:rPr>
      </w:pPr>
    </w:p>
    <w:p w14:paraId="318F9CBB" w14:textId="2E62F967" w:rsidR="00D66267" w:rsidRPr="00F85CA6" w:rsidRDefault="00D66267" w:rsidP="00D66267">
      <w:pPr>
        <w:jc w:val="both"/>
        <w:rPr>
          <w:rFonts w:eastAsia="Calibri"/>
          <w:sz w:val="22"/>
          <w:szCs w:val="22"/>
          <w:lang w:val="sr-Latn-ME"/>
        </w:rPr>
      </w:pPr>
      <w:r w:rsidRPr="00F85CA6">
        <w:rPr>
          <w:rFonts w:eastAsia="Calibri"/>
          <w:sz w:val="22"/>
          <w:szCs w:val="22"/>
          <w:lang w:val="sr-Latn-ME"/>
        </w:rPr>
        <w:t>Nema iskustva ili su ona samo ograničena, sa sl</w:t>
      </w:r>
      <w:r w:rsidR="0025051C" w:rsidRPr="00F85CA6">
        <w:rPr>
          <w:rFonts w:eastAsia="Calibri"/>
          <w:sz w:val="22"/>
          <w:szCs w:val="22"/>
          <w:lang w:val="sr-Latn-ME"/>
        </w:rPr>
        <w:t>j</w:t>
      </w:r>
      <w:r w:rsidRPr="00F85CA6">
        <w:rPr>
          <w:rFonts w:eastAsia="Calibri"/>
          <w:sz w:val="22"/>
          <w:szCs w:val="22"/>
          <w:lang w:val="sr-Latn-ME"/>
        </w:rPr>
        <w:t>edećim l</w:t>
      </w:r>
      <w:r w:rsidR="00AC2F37" w:rsidRPr="00F85CA6">
        <w:rPr>
          <w:rFonts w:eastAsia="Calibri"/>
          <w:sz w:val="22"/>
          <w:szCs w:val="22"/>
          <w:lang w:val="sr-Latn-ME"/>
        </w:rPr>
        <w:t>j</w:t>
      </w:r>
      <w:r w:rsidRPr="00F85CA6">
        <w:rPr>
          <w:rFonts w:eastAsia="Calibri"/>
          <w:sz w:val="22"/>
          <w:szCs w:val="22"/>
          <w:lang w:val="sr-Latn-ME"/>
        </w:rPr>
        <w:t>ekovima koji mogu da povećaju rizik od krvarenja kada se koriste istovremeno sa dabigatrine</w:t>
      </w:r>
      <w:r w:rsidR="0025051C" w:rsidRPr="00F85CA6">
        <w:rPr>
          <w:rFonts w:eastAsia="Calibri"/>
          <w:sz w:val="22"/>
          <w:szCs w:val="22"/>
          <w:lang w:val="sr-Latn-ME"/>
        </w:rPr>
        <w:t xml:space="preserve"> </w:t>
      </w:r>
      <w:r w:rsidRPr="00F85CA6">
        <w:rPr>
          <w:rFonts w:eastAsia="Calibri"/>
          <w:sz w:val="22"/>
          <w:szCs w:val="22"/>
          <w:lang w:val="sr-Latn-ME"/>
        </w:rPr>
        <w:t xml:space="preserve">teksilatom: antikoagulansi kao što su nefrakcionisani heparini (engl. </w:t>
      </w:r>
      <w:r w:rsidRPr="00F85CA6">
        <w:rPr>
          <w:rFonts w:eastAsia="Calibri"/>
          <w:i/>
          <w:sz w:val="22"/>
          <w:szCs w:val="22"/>
          <w:lang w:val="sr-Latn-ME"/>
        </w:rPr>
        <w:t xml:space="preserve">unfractionated heparin, </w:t>
      </w:r>
      <w:r w:rsidRPr="00F85CA6">
        <w:rPr>
          <w:rFonts w:eastAsia="Calibri"/>
          <w:sz w:val="22"/>
          <w:szCs w:val="22"/>
          <w:lang w:val="sr-Latn-ME"/>
        </w:rPr>
        <w:t xml:space="preserve">UFH), niskomolekularni heparini (engl. </w:t>
      </w:r>
      <w:r w:rsidRPr="00F85CA6">
        <w:rPr>
          <w:rFonts w:eastAsia="Calibri"/>
          <w:i/>
          <w:sz w:val="22"/>
          <w:szCs w:val="22"/>
          <w:lang w:val="sr-Latn-ME"/>
        </w:rPr>
        <w:t xml:space="preserve">low molecular weight heparins, </w:t>
      </w:r>
      <w:r w:rsidRPr="00F85CA6">
        <w:rPr>
          <w:rFonts w:eastAsia="Calibri"/>
          <w:sz w:val="22"/>
          <w:szCs w:val="22"/>
          <w:lang w:val="sr-Latn-ME"/>
        </w:rPr>
        <w:t>LMWH) i heparinski derivati (fondaparinuks, desirudin), trombolitički l</w:t>
      </w:r>
      <w:r w:rsidR="00AC2F37" w:rsidRPr="00F85CA6">
        <w:rPr>
          <w:rFonts w:eastAsia="Calibri"/>
          <w:sz w:val="22"/>
          <w:szCs w:val="22"/>
          <w:lang w:val="sr-Latn-ME"/>
        </w:rPr>
        <w:t>j</w:t>
      </w:r>
      <w:r w:rsidRPr="00F85CA6">
        <w:rPr>
          <w:rFonts w:eastAsia="Calibri"/>
          <w:sz w:val="22"/>
          <w:szCs w:val="22"/>
          <w:lang w:val="sr-Latn-ME"/>
        </w:rPr>
        <w:t>ekovi i antagonisti vitamina K, rivaroksaban ili drugi oralni antikoagulansi (vid</w:t>
      </w:r>
      <w:r w:rsidR="00AC2F37" w:rsidRPr="00F85CA6">
        <w:rPr>
          <w:rFonts w:eastAsia="Calibri"/>
          <w:sz w:val="22"/>
          <w:szCs w:val="22"/>
          <w:lang w:val="sr-Latn-ME"/>
        </w:rPr>
        <w:t>j</w:t>
      </w:r>
      <w:r w:rsidRPr="00F85CA6">
        <w:rPr>
          <w:rFonts w:eastAsia="Calibri"/>
          <w:sz w:val="22"/>
          <w:szCs w:val="22"/>
          <w:lang w:val="sr-Latn-ME"/>
        </w:rPr>
        <w:t xml:space="preserve">eti </w:t>
      </w:r>
      <w:r w:rsidR="00795E43" w:rsidRPr="00F85CA6">
        <w:rPr>
          <w:rFonts w:eastAsia="Calibri"/>
          <w:sz w:val="22"/>
          <w:szCs w:val="22"/>
          <w:lang w:val="sr-Latn-ME"/>
        </w:rPr>
        <w:t xml:space="preserve">dio </w:t>
      </w:r>
      <w:r w:rsidRPr="00F85CA6">
        <w:rPr>
          <w:rFonts w:eastAsia="Calibri"/>
          <w:sz w:val="22"/>
          <w:szCs w:val="22"/>
          <w:lang w:val="sr-Latn-ME"/>
        </w:rPr>
        <w:t>4.3) i inhibitori agregacije trombocita kao što su antagonisti GPIIb/IIIa receptora, tiklopidin, prasugrel, tikagrelor, dekstran i sulfinpirazon (vid</w:t>
      </w:r>
      <w:r w:rsidR="00AC2F37" w:rsidRPr="00F85CA6">
        <w:rPr>
          <w:rFonts w:eastAsia="Calibri"/>
          <w:sz w:val="22"/>
          <w:szCs w:val="22"/>
          <w:lang w:val="sr-Latn-ME"/>
        </w:rPr>
        <w:t>j</w:t>
      </w:r>
      <w:r w:rsidRPr="00F85CA6">
        <w:rPr>
          <w:rFonts w:eastAsia="Calibri"/>
          <w:sz w:val="22"/>
          <w:szCs w:val="22"/>
          <w:lang w:val="sr-Latn-ME"/>
        </w:rPr>
        <w:t xml:space="preserve">eti </w:t>
      </w:r>
      <w:r w:rsidR="00795E43" w:rsidRPr="00F85CA6">
        <w:rPr>
          <w:rFonts w:eastAsia="Calibri"/>
          <w:sz w:val="22"/>
          <w:szCs w:val="22"/>
          <w:lang w:val="sr-Latn-ME"/>
        </w:rPr>
        <w:t>dio</w:t>
      </w:r>
      <w:r w:rsidRPr="00F85CA6">
        <w:rPr>
          <w:rFonts w:eastAsia="Calibri"/>
          <w:sz w:val="22"/>
          <w:szCs w:val="22"/>
          <w:lang w:val="sr-Latn-ME"/>
        </w:rPr>
        <w:t xml:space="preserve"> 4.4).</w:t>
      </w:r>
    </w:p>
    <w:p w14:paraId="6D7C7B36" w14:textId="77777777" w:rsidR="00D66267" w:rsidRPr="00F85CA6" w:rsidRDefault="00D66267" w:rsidP="00D66267">
      <w:pPr>
        <w:jc w:val="both"/>
        <w:rPr>
          <w:rFonts w:eastAsia="Calibri"/>
          <w:sz w:val="22"/>
          <w:szCs w:val="22"/>
          <w:lang w:val="sr-Latn-ME"/>
        </w:rPr>
      </w:pPr>
    </w:p>
    <w:p w14:paraId="5B8FB92E" w14:textId="0E4305E2" w:rsidR="00D66267" w:rsidRPr="00F85CA6" w:rsidRDefault="00D66267" w:rsidP="00D66267">
      <w:pPr>
        <w:jc w:val="both"/>
        <w:rPr>
          <w:rFonts w:eastAsia="Calibri"/>
          <w:sz w:val="22"/>
          <w:szCs w:val="22"/>
          <w:lang w:val="sr-Latn-ME"/>
        </w:rPr>
      </w:pPr>
      <w:r w:rsidRPr="00F85CA6">
        <w:rPr>
          <w:rFonts w:eastAsia="Calibri"/>
          <w:bCs/>
          <w:sz w:val="22"/>
          <w:szCs w:val="22"/>
          <w:lang w:val="sr-Latn-ME"/>
        </w:rPr>
        <w:t>Na osnovu podatka prikupljenih u fazi III RE</w:t>
      </w:r>
      <w:r w:rsidRPr="00F85CA6">
        <w:rPr>
          <w:rFonts w:eastAsia="Calibri"/>
          <w:bCs/>
          <w:sz w:val="22"/>
          <w:szCs w:val="22"/>
          <w:lang w:val="sr-Latn-ME"/>
        </w:rPr>
        <w:noBreakHyphen/>
        <w:t>LY studije (vid</w:t>
      </w:r>
      <w:r w:rsidR="00AC2F37" w:rsidRPr="00F85CA6">
        <w:rPr>
          <w:rFonts w:eastAsia="Calibri"/>
          <w:bCs/>
          <w:sz w:val="22"/>
          <w:szCs w:val="22"/>
          <w:lang w:val="sr-Latn-ME"/>
        </w:rPr>
        <w:t>j</w:t>
      </w:r>
      <w:r w:rsidRPr="00F85CA6">
        <w:rPr>
          <w:rFonts w:eastAsia="Calibri"/>
          <w:bCs/>
          <w:sz w:val="22"/>
          <w:szCs w:val="22"/>
          <w:lang w:val="sr-Latn-ME"/>
        </w:rPr>
        <w:t xml:space="preserve">eti </w:t>
      </w:r>
      <w:r w:rsidR="00795E43" w:rsidRPr="00F85CA6">
        <w:rPr>
          <w:rFonts w:eastAsia="Calibri"/>
          <w:bCs/>
          <w:sz w:val="22"/>
          <w:szCs w:val="22"/>
          <w:lang w:val="sr-Latn-ME"/>
        </w:rPr>
        <w:t>dio</w:t>
      </w:r>
      <w:r w:rsidRPr="00F85CA6">
        <w:rPr>
          <w:rFonts w:eastAsia="Calibri"/>
          <w:bCs/>
          <w:sz w:val="22"/>
          <w:szCs w:val="22"/>
          <w:lang w:val="sr-Latn-ME"/>
        </w:rPr>
        <w:t xml:space="preserve"> 5.1) je prim</w:t>
      </w:r>
      <w:r w:rsidR="00300352" w:rsidRPr="00F85CA6">
        <w:rPr>
          <w:rFonts w:eastAsia="Calibri"/>
          <w:bCs/>
          <w:sz w:val="22"/>
          <w:szCs w:val="22"/>
          <w:lang w:val="sr-Latn-ME"/>
        </w:rPr>
        <w:t>i</w:t>
      </w:r>
      <w:r w:rsidR="00AC2F37" w:rsidRPr="00F85CA6">
        <w:rPr>
          <w:rFonts w:eastAsia="Calibri"/>
          <w:bCs/>
          <w:sz w:val="22"/>
          <w:szCs w:val="22"/>
          <w:lang w:val="sr-Latn-ME"/>
        </w:rPr>
        <w:t>j</w:t>
      </w:r>
      <w:r w:rsidRPr="00F85CA6">
        <w:rPr>
          <w:rFonts w:eastAsia="Calibri"/>
          <w:bCs/>
          <w:sz w:val="22"/>
          <w:szCs w:val="22"/>
          <w:lang w:val="sr-Latn-ME"/>
        </w:rPr>
        <w:t>ećeno da istovremena upotreba drugih oralnih ili parenteralnih antikoagulanasa povećava stope obilnijih krvarenja i sa dabigatrane</w:t>
      </w:r>
      <w:r w:rsidR="0025051C" w:rsidRPr="00F85CA6">
        <w:rPr>
          <w:rFonts w:eastAsia="Calibri"/>
          <w:bCs/>
          <w:sz w:val="22"/>
          <w:szCs w:val="22"/>
          <w:lang w:val="sr-Latn-ME"/>
        </w:rPr>
        <w:t xml:space="preserve"> </w:t>
      </w:r>
      <w:r w:rsidRPr="00F85CA6">
        <w:rPr>
          <w:rFonts w:eastAsia="Calibri"/>
          <w:bCs/>
          <w:sz w:val="22"/>
          <w:szCs w:val="22"/>
          <w:lang w:val="sr-Latn-ME"/>
        </w:rPr>
        <w:t>teksilatom i sa varfarinom za približno 2,5 puta, i ovo je uglavnom bilo povezano sa situacijama kada se prelazilo sa jednog na drugi antikoagulans (vid</w:t>
      </w:r>
      <w:r w:rsidR="00AC2F37" w:rsidRPr="00F85CA6">
        <w:rPr>
          <w:rFonts w:eastAsia="Calibri"/>
          <w:bCs/>
          <w:sz w:val="22"/>
          <w:szCs w:val="22"/>
          <w:lang w:val="sr-Latn-ME"/>
        </w:rPr>
        <w:t>j</w:t>
      </w:r>
      <w:r w:rsidRPr="00F85CA6">
        <w:rPr>
          <w:rFonts w:eastAsia="Calibri"/>
          <w:bCs/>
          <w:sz w:val="22"/>
          <w:szCs w:val="22"/>
          <w:lang w:val="sr-Latn-ME"/>
        </w:rPr>
        <w:t xml:space="preserve">eti </w:t>
      </w:r>
      <w:r w:rsidR="00795E43" w:rsidRPr="00F85CA6">
        <w:rPr>
          <w:rFonts w:eastAsia="Calibri"/>
          <w:bCs/>
          <w:sz w:val="22"/>
          <w:szCs w:val="22"/>
          <w:lang w:val="sr-Latn-ME"/>
        </w:rPr>
        <w:t>dio</w:t>
      </w:r>
      <w:r w:rsidRPr="00F85CA6">
        <w:rPr>
          <w:rFonts w:eastAsia="Calibri"/>
          <w:bCs/>
          <w:sz w:val="22"/>
          <w:szCs w:val="22"/>
          <w:lang w:val="sr-Latn-ME"/>
        </w:rPr>
        <w:t xml:space="preserve"> 4</w:t>
      </w:r>
      <w:r w:rsidRPr="00F85CA6">
        <w:rPr>
          <w:rFonts w:eastAsia="Calibri"/>
          <w:i/>
          <w:sz w:val="22"/>
          <w:szCs w:val="22"/>
          <w:lang w:val="sr-Latn-ME"/>
        </w:rPr>
        <w:t>.</w:t>
      </w:r>
      <w:r w:rsidRPr="00F85CA6">
        <w:rPr>
          <w:rFonts w:eastAsia="Calibri"/>
          <w:sz w:val="22"/>
          <w:szCs w:val="22"/>
          <w:lang w:val="sr-Latn-ME"/>
        </w:rPr>
        <w:t xml:space="preserve">3). Pored toga, istovremena upotreba inhibitora agregacije trombocita, ASK ili klopidogrela približno je dvostruko povećavala stope obilnijih krvarenja </w:t>
      </w:r>
      <w:r w:rsidRPr="00F85CA6">
        <w:rPr>
          <w:rFonts w:eastAsia="Calibri"/>
          <w:bCs/>
          <w:sz w:val="22"/>
          <w:szCs w:val="22"/>
          <w:lang w:val="sr-Latn-ME"/>
        </w:rPr>
        <w:t>i sa dabigatrane</w:t>
      </w:r>
      <w:r w:rsidR="0025051C" w:rsidRPr="00F85CA6">
        <w:rPr>
          <w:rFonts w:eastAsia="Calibri"/>
          <w:bCs/>
          <w:sz w:val="22"/>
          <w:szCs w:val="22"/>
          <w:lang w:val="sr-Latn-ME"/>
        </w:rPr>
        <w:t xml:space="preserve"> </w:t>
      </w:r>
      <w:r w:rsidRPr="00F85CA6">
        <w:rPr>
          <w:rFonts w:eastAsia="Calibri"/>
          <w:bCs/>
          <w:sz w:val="22"/>
          <w:szCs w:val="22"/>
          <w:lang w:val="sr-Latn-ME"/>
        </w:rPr>
        <w:t>teksilatom i sa varfarinom (vid</w:t>
      </w:r>
      <w:r w:rsidR="00AC2F37" w:rsidRPr="00F85CA6">
        <w:rPr>
          <w:rFonts w:eastAsia="Calibri"/>
          <w:bCs/>
          <w:sz w:val="22"/>
          <w:szCs w:val="22"/>
          <w:lang w:val="sr-Latn-ME"/>
        </w:rPr>
        <w:t>j</w:t>
      </w:r>
      <w:r w:rsidRPr="00F85CA6">
        <w:rPr>
          <w:rFonts w:eastAsia="Calibri"/>
          <w:bCs/>
          <w:sz w:val="22"/>
          <w:szCs w:val="22"/>
          <w:lang w:val="sr-Latn-ME"/>
        </w:rPr>
        <w:t xml:space="preserve">eti </w:t>
      </w:r>
      <w:r w:rsidR="00795E43" w:rsidRPr="00F85CA6">
        <w:rPr>
          <w:rFonts w:eastAsia="Calibri"/>
          <w:bCs/>
          <w:sz w:val="22"/>
          <w:szCs w:val="22"/>
          <w:lang w:val="sr-Latn-ME"/>
        </w:rPr>
        <w:t>dio</w:t>
      </w:r>
      <w:r w:rsidRPr="00F85CA6">
        <w:rPr>
          <w:rFonts w:eastAsia="Calibri"/>
          <w:bCs/>
          <w:sz w:val="22"/>
          <w:szCs w:val="22"/>
          <w:lang w:val="sr-Latn-ME"/>
        </w:rPr>
        <w:t xml:space="preserve"> 4</w:t>
      </w:r>
      <w:r w:rsidRPr="00F85CA6">
        <w:rPr>
          <w:rFonts w:eastAsia="Calibri"/>
          <w:i/>
          <w:sz w:val="22"/>
          <w:szCs w:val="22"/>
          <w:lang w:val="sr-Latn-ME"/>
        </w:rPr>
        <w:t>.</w:t>
      </w:r>
      <w:r w:rsidRPr="00F85CA6">
        <w:rPr>
          <w:rFonts w:eastAsia="Calibri"/>
          <w:sz w:val="22"/>
          <w:szCs w:val="22"/>
          <w:lang w:val="sr-Latn-ME"/>
        </w:rPr>
        <w:t>4).</w:t>
      </w:r>
    </w:p>
    <w:p w14:paraId="33C00F93" w14:textId="77777777" w:rsidR="00D66267" w:rsidRPr="00F85CA6" w:rsidRDefault="00D66267" w:rsidP="00D66267">
      <w:pPr>
        <w:jc w:val="both"/>
        <w:rPr>
          <w:rFonts w:eastAsia="Calibri"/>
          <w:sz w:val="22"/>
          <w:szCs w:val="22"/>
          <w:lang w:val="sr-Latn-ME"/>
        </w:rPr>
      </w:pPr>
    </w:p>
    <w:p w14:paraId="6A224986" w14:textId="69ACD371" w:rsidR="00D66267" w:rsidRPr="00F85CA6" w:rsidRDefault="00D66267" w:rsidP="00D66267">
      <w:pPr>
        <w:jc w:val="both"/>
        <w:rPr>
          <w:rFonts w:eastAsia="Calibri"/>
          <w:sz w:val="22"/>
          <w:szCs w:val="22"/>
          <w:lang w:val="sr-Latn-ME"/>
        </w:rPr>
      </w:pPr>
      <w:r w:rsidRPr="00F85CA6">
        <w:rPr>
          <w:rFonts w:eastAsia="Calibri"/>
          <w:sz w:val="22"/>
          <w:szCs w:val="22"/>
          <w:lang w:val="sr-Latn-ME"/>
        </w:rPr>
        <w:t>UFH mogu se prim</w:t>
      </w:r>
      <w:r w:rsidR="00AC2F37" w:rsidRPr="00F85CA6">
        <w:rPr>
          <w:rFonts w:eastAsia="Calibri"/>
          <w:sz w:val="22"/>
          <w:szCs w:val="22"/>
          <w:lang w:val="sr-Latn-ME"/>
        </w:rPr>
        <w:t>j</w:t>
      </w:r>
      <w:r w:rsidR="0025051C" w:rsidRPr="00F85CA6">
        <w:rPr>
          <w:rFonts w:eastAsia="Calibri"/>
          <w:sz w:val="22"/>
          <w:szCs w:val="22"/>
          <w:lang w:val="sr-Latn-ME"/>
        </w:rPr>
        <w:t>enjivati</w:t>
      </w:r>
      <w:r w:rsidRPr="00F85CA6">
        <w:rPr>
          <w:rFonts w:eastAsia="Calibri"/>
          <w:sz w:val="22"/>
          <w:szCs w:val="22"/>
          <w:lang w:val="sr-Latn-ME"/>
        </w:rPr>
        <w:t xml:space="preserve"> u dozama neophodnim da se održi ugrađeni centralni venski ili arterijski kateter ili tokom kateterske ablacije zbog atrijalne fibrilacije (vid</w:t>
      </w:r>
      <w:r w:rsidR="00AC2F37" w:rsidRPr="00F85CA6">
        <w:rPr>
          <w:rFonts w:eastAsia="Calibri"/>
          <w:sz w:val="22"/>
          <w:szCs w:val="22"/>
          <w:lang w:val="sr-Latn-ME"/>
        </w:rPr>
        <w:t>j</w:t>
      </w:r>
      <w:r w:rsidRPr="00F85CA6">
        <w:rPr>
          <w:rFonts w:eastAsia="Calibri"/>
          <w:sz w:val="22"/>
          <w:szCs w:val="22"/>
          <w:lang w:val="sr-Latn-ME"/>
        </w:rPr>
        <w:t xml:space="preserve">eti </w:t>
      </w:r>
      <w:r w:rsidR="00795E43" w:rsidRPr="00F85CA6">
        <w:rPr>
          <w:rFonts w:eastAsia="Calibri"/>
          <w:sz w:val="22"/>
          <w:szCs w:val="22"/>
          <w:lang w:val="sr-Latn-ME"/>
        </w:rPr>
        <w:t>dio</w:t>
      </w:r>
      <w:r w:rsidRPr="00F85CA6">
        <w:rPr>
          <w:rFonts w:eastAsia="Calibri"/>
          <w:sz w:val="22"/>
          <w:szCs w:val="22"/>
          <w:lang w:val="sr-Latn-ME"/>
        </w:rPr>
        <w:t xml:space="preserve"> 4.3). </w:t>
      </w:r>
    </w:p>
    <w:p w14:paraId="406B92B0" w14:textId="77777777" w:rsidR="00D66267" w:rsidRPr="00F85CA6" w:rsidRDefault="00D66267" w:rsidP="00D66267">
      <w:pPr>
        <w:jc w:val="both"/>
        <w:rPr>
          <w:rFonts w:eastAsia="Calibri"/>
          <w:sz w:val="22"/>
          <w:szCs w:val="22"/>
          <w:u w:val="single"/>
          <w:lang w:val="sr-Latn-ME" w:bidi="en-US"/>
        </w:rPr>
      </w:pPr>
    </w:p>
    <w:p w14:paraId="79E7512F" w14:textId="77777777" w:rsidR="00D66267" w:rsidRPr="00F85CA6" w:rsidRDefault="00D66267" w:rsidP="00685312">
      <w:pPr>
        <w:jc w:val="center"/>
        <w:rPr>
          <w:rFonts w:eastAsia="Calibri"/>
          <w:b/>
          <w:bCs/>
          <w:sz w:val="22"/>
          <w:szCs w:val="22"/>
          <w:lang w:val="sr-Latn-ME" w:bidi="en-US"/>
        </w:rPr>
      </w:pPr>
      <w:r w:rsidRPr="00F85CA6">
        <w:rPr>
          <w:rFonts w:eastAsia="Calibri"/>
          <w:b/>
          <w:bCs/>
          <w:sz w:val="22"/>
          <w:szCs w:val="22"/>
          <w:lang w:val="sr-Latn-ME" w:bidi="en-US"/>
        </w:rPr>
        <w:t>Tabela 10: Interakcije sa antikoagulansima i inhibitorima agregacije trombocita</w:t>
      </w:r>
    </w:p>
    <w:p w14:paraId="3A2283D1" w14:textId="77777777" w:rsidR="00D66267" w:rsidRPr="00F85CA6" w:rsidRDefault="00D66267" w:rsidP="00685312">
      <w:pPr>
        <w:jc w:val="center"/>
        <w:rPr>
          <w:rFonts w:eastAsia="Calibri"/>
          <w:b/>
          <w:bCs/>
          <w:sz w:val="22"/>
          <w:szCs w:val="22"/>
          <w:lang w:val="sr-Latn-ME" w:bidi="en-US"/>
        </w:rPr>
      </w:pPr>
    </w:p>
    <w:tbl>
      <w:tblPr>
        <w:tblOverlap w:val="never"/>
        <w:tblW w:w="5000" w:type="pct"/>
        <w:jc w:val="center"/>
        <w:tblCellMar>
          <w:left w:w="85" w:type="dxa"/>
          <w:right w:w="85" w:type="dxa"/>
        </w:tblCellMar>
        <w:tblLook w:val="04A0" w:firstRow="1" w:lastRow="0" w:firstColumn="1" w:lastColumn="0" w:noHBand="0" w:noVBand="1"/>
      </w:tblPr>
      <w:tblGrid>
        <w:gridCol w:w="1240"/>
        <w:gridCol w:w="7823"/>
      </w:tblGrid>
      <w:tr w:rsidR="00D66267" w:rsidRPr="00F85CA6" w14:paraId="4784B61A" w14:textId="77777777" w:rsidTr="001239C3">
        <w:trPr>
          <w:trHeight w:val="20"/>
          <w:jc w:val="center"/>
        </w:trPr>
        <w:tc>
          <w:tcPr>
            <w:tcW w:w="684" w:type="pct"/>
            <w:tcBorders>
              <w:top w:val="single" w:sz="4" w:space="0" w:color="auto"/>
              <w:left w:val="single" w:sz="4" w:space="0" w:color="auto"/>
            </w:tcBorders>
            <w:shd w:val="clear" w:color="auto" w:fill="auto"/>
          </w:tcPr>
          <w:p w14:paraId="5927B99F" w14:textId="77777777" w:rsidR="00D66267" w:rsidRPr="00F85CA6" w:rsidRDefault="00D66267" w:rsidP="00D66267">
            <w:pPr>
              <w:jc w:val="both"/>
              <w:rPr>
                <w:rFonts w:eastAsia="Calibri"/>
                <w:sz w:val="22"/>
                <w:szCs w:val="22"/>
                <w:lang w:val="sr-Latn-ME" w:bidi="en-US"/>
              </w:rPr>
            </w:pPr>
            <w:r w:rsidRPr="00F85CA6">
              <w:rPr>
                <w:rFonts w:eastAsia="Calibri"/>
                <w:sz w:val="22"/>
                <w:szCs w:val="22"/>
                <w:lang w:val="sr-Latn-ME" w:bidi="en-US"/>
              </w:rPr>
              <w:t>NSAIL</w:t>
            </w:r>
          </w:p>
        </w:tc>
        <w:tc>
          <w:tcPr>
            <w:tcW w:w="4316" w:type="pct"/>
            <w:tcBorders>
              <w:top w:val="single" w:sz="4" w:space="0" w:color="auto"/>
              <w:left w:val="single" w:sz="4" w:space="0" w:color="auto"/>
              <w:right w:val="single" w:sz="4" w:space="0" w:color="auto"/>
            </w:tcBorders>
            <w:shd w:val="clear" w:color="auto" w:fill="auto"/>
            <w:vAlign w:val="bottom"/>
          </w:tcPr>
          <w:p w14:paraId="6408FAA7" w14:textId="074D54A7" w:rsidR="00D66267" w:rsidRPr="00F85CA6" w:rsidRDefault="00D66267" w:rsidP="00D66267">
            <w:pPr>
              <w:jc w:val="both"/>
              <w:rPr>
                <w:rFonts w:eastAsia="Calibri"/>
                <w:sz w:val="22"/>
                <w:szCs w:val="22"/>
                <w:lang w:val="sr-Latn-ME" w:bidi="en-US"/>
              </w:rPr>
            </w:pPr>
            <w:r w:rsidRPr="00F85CA6">
              <w:rPr>
                <w:rFonts w:eastAsia="Calibri"/>
                <w:sz w:val="22"/>
                <w:szCs w:val="22"/>
                <w:lang w:val="sr-Latn-ME"/>
              </w:rPr>
              <w:t>Pokazano je da NSAIL, kada se daju radi kratkotrajne analgezije, ni</w:t>
            </w:r>
            <w:r w:rsidR="0043168A" w:rsidRPr="00F85CA6">
              <w:rPr>
                <w:rFonts w:eastAsia="Calibri"/>
                <w:sz w:val="22"/>
                <w:szCs w:val="22"/>
                <w:lang w:val="sr-Latn-ME"/>
              </w:rPr>
              <w:t>je</w:t>
            </w:r>
            <w:r w:rsidRPr="00F85CA6">
              <w:rPr>
                <w:rFonts w:eastAsia="Calibri"/>
                <w:sz w:val="22"/>
                <w:szCs w:val="22"/>
                <w:lang w:val="sr-Latn-ME"/>
              </w:rPr>
              <w:t>su povezani sa povećanim rizikom od krvarenja kada se daju uz dabigatrane</w:t>
            </w:r>
            <w:r w:rsidR="0025051C" w:rsidRPr="00F85CA6">
              <w:rPr>
                <w:rFonts w:eastAsia="Calibri"/>
                <w:sz w:val="22"/>
                <w:szCs w:val="22"/>
                <w:lang w:val="sr-Latn-ME"/>
              </w:rPr>
              <w:t xml:space="preserve"> </w:t>
            </w:r>
            <w:r w:rsidRPr="00F85CA6">
              <w:rPr>
                <w:rFonts w:eastAsia="Calibri"/>
                <w:sz w:val="22"/>
                <w:szCs w:val="22"/>
                <w:lang w:val="sr-Latn-ME"/>
              </w:rPr>
              <w:t>teksilat. Pri hroničnoj upotrebi u studiji RE-LY, NSAIL su povećavali rizik od krvarenja za otprilike 50% i uz dabigatrane</w:t>
            </w:r>
            <w:r w:rsidR="0025051C" w:rsidRPr="00F85CA6">
              <w:rPr>
                <w:rFonts w:eastAsia="Calibri"/>
                <w:sz w:val="22"/>
                <w:szCs w:val="22"/>
                <w:lang w:val="sr-Latn-ME"/>
              </w:rPr>
              <w:t xml:space="preserve"> </w:t>
            </w:r>
            <w:r w:rsidRPr="00F85CA6">
              <w:rPr>
                <w:rFonts w:eastAsia="Calibri"/>
                <w:sz w:val="22"/>
                <w:szCs w:val="22"/>
                <w:lang w:val="sr-Latn-ME"/>
              </w:rPr>
              <w:t>teksilat i uz varfarin.</w:t>
            </w:r>
          </w:p>
        </w:tc>
      </w:tr>
      <w:tr w:rsidR="00D66267" w:rsidRPr="00F85CA6" w14:paraId="3EAF51DF" w14:textId="77777777" w:rsidTr="001239C3">
        <w:trPr>
          <w:trHeight w:val="20"/>
          <w:jc w:val="center"/>
        </w:trPr>
        <w:tc>
          <w:tcPr>
            <w:tcW w:w="684" w:type="pct"/>
            <w:tcBorders>
              <w:top w:val="single" w:sz="4" w:space="0" w:color="auto"/>
              <w:left w:val="single" w:sz="4" w:space="0" w:color="auto"/>
            </w:tcBorders>
            <w:shd w:val="clear" w:color="auto" w:fill="auto"/>
          </w:tcPr>
          <w:p w14:paraId="494AF0B1" w14:textId="77777777" w:rsidR="00D66267" w:rsidRPr="00F85CA6" w:rsidRDefault="00D66267" w:rsidP="00D66267">
            <w:pPr>
              <w:jc w:val="both"/>
              <w:rPr>
                <w:rFonts w:eastAsia="Calibri"/>
                <w:sz w:val="22"/>
                <w:szCs w:val="22"/>
                <w:lang w:val="sr-Latn-ME" w:bidi="en-US"/>
              </w:rPr>
            </w:pPr>
            <w:r w:rsidRPr="00F85CA6">
              <w:rPr>
                <w:rFonts w:eastAsia="Calibri"/>
                <w:sz w:val="22"/>
                <w:szCs w:val="22"/>
                <w:lang w:val="sr-Latn-ME" w:bidi="en-US"/>
              </w:rPr>
              <w:t>Klopidogrel</w:t>
            </w:r>
          </w:p>
        </w:tc>
        <w:tc>
          <w:tcPr>
            <w:tcW w:w="4316" w:type="pct"/>
            <w:tcBorders>
              <w:top w:val="single" w:sz="4" w:space="0" w:color="auto"/>
              <w:left w:val="single" w:sz="4" w:space="0" w:color="auto"/>
              <w:right w:val="single" w:sz="4" w:space="0" w:color="auto"/>
            </w:tcBorders>
            <w:shd w:val="clear" w:color="auto" w:fill="auto"/>
            <w:vAlign w:val="bottom"/>
          </w:tcPr>
          <w:p w14:paraId="5B0089B2" w14:textId="046350ED" w:rsidR="00D66267" w:rsidRPr="00F85CA6" w:rsidRDefault="00D66267" w:rsidP="00D66267">
            <w:pPr>
              <w:jc w:val="both"/>
              <w:rPr>
                <w:rFonts w:eastAsia="Calibri"/>
                <w:sz w:val="22"/>
                <w:szCs w:val="22"/>
                <w:lang w:val="sr-Latn-ME" w:bidi="en-US"/>
              </w:rPr>
            </w:pPr>
            <w:r w:rsidRPr="00F85CA6">
              <w:rPr>
                <w:rFonts w:eastAsia="Calibri"/>
                <w:sz w:val="22"/>
                <w:szCs w:val="22"/>
                <w:lang w:val="sr-Latn-ME"/>
              </w:rPr>
              <w:t>Kod mladih, zdravih dobrovoljaca muškog pola, istovremena prim</w:t>
            </w:r>
            <w:r w:rsidR="00AC2F37" w:rsidRPr="00F85CA6">
              <w:rPr>
                <w:rFonts w:eastAsia="Calibri"/>
                <w:sz w:val="22"/>
                <w:szCs w:val="22"/>
                <w:lang w:val="sr-Latn-ME"/>
              </w:rPr>
              <w:t>j</w:t>
            </w:r>
            <w:r w:rsidRPr="00F85CA6">
              <w:rPr>
                <w:rFonts w:eastAsia="Calibri"/>
                <w:sz w:val="22"/>
                <w:szCs w:val="22"/>
                <w:lang w:val="sr-Latn-ME"/>
              </w:rPr>
              <w:t>ena dabigatraneteksilata i klopidogrela nije dovela do daljeg produženja vremena kapilarnog krvarenja u poređenju sa monoterapijom klopidogrelom. Pored toga, vr</w:t>
            </w:r>
            <w:r w:rsidR="00795E43" w:rsidRPr="00F85CA6">
              <w:rPr>
                <w:rFonts w:eastAsia="Calibri"/>
                <w:sz w:val="22"/>
                <w:szCs w:val="22"/>
                <w:lang w:val="sr-Latn-ME"/>
              </w:rPr>
              <w:t>ij</w:t>
            </w:r>
            <w:r w:rsidRPr="00F85CA6">
              <w:rPr>
                <w:rFonts w:eastAsia="Calibri"/>
                <w:sz w:val="22"/>
                <w:szCs w:val="22"/>
                <w:lang w:val="sr-Latn-ME"/>
              </w:rPr>
              <w:t>ednosti PIK</w:t>
            </w:r>
            <w:r w:rsidRPr="00F85CA6">
              <w:rPr>
                <w:rFonts w:eastAsia="Calibri"/>
                <w:sz w:val="22"/>
                <w:szCs w:val="22"/>
                <w:vertAlign w:val="subscript"/>
                <w:lang w:val="sr-Latn-ME"/>
              </w:rPr>
              <w:t xml:space="preserve">τ,ss </w:t>
            </w:r>
            <w:r w:rsidRPr="00F85CA6">
              <w:rPr>
                <w:rFonts w:eastAsia="Calibri"/>
                <w:sz w:val="22"/>
                <w:szCs w:val="22"/>
                <w:lang w:val="sr-Latn-ME"/>
              </w:rPr>
              <w:t>i C</w:t>
            </w:r>
            <w:r w:rsidRPr="00F85CA6">
              <w:rPr>
                <w:rFonts w:eastAsia="Calibri"/>
                <w:sz w:val="22"/>
                <w:szCs w:val="22"/>
                <w:vertAlign w:val="subscript"/>
                <w:lang w:val="sr-Latn-ME"/>
              </w:rPr>
              <w:t>max</w:t>
            </w:r>
            <w:r w:rsidRPr="00F85CA6">
              <w:rPr>
                <w:rFonts w:eastAsia="Calibri"/>
                <w:sz w:val="22"/>
                <w:szCs w:val="22"/>
                <w:lang w:val="sr-Latn-ME"/>
              </w:rPr>
              <w:t>,</w:t>
            </w:r>
            <w:r w:rsidRPr="00F85CA6">
              <w:rPr>
                <w:rFonts w:eastAsia="Calibri"/>
                <w:sz w:val="22"/>
                <w:szCs w:val="22"/>
                <w:vertAlign w:val="subscript"/>
                <w:lang w:val="sr-Latn-ME"/>
              </w:rPr>
              <w:t>ss</w:t>
            </w:r>
            <w:r w:rsidRPr="00F85CA6">
              <w:rPr>
                <w:rFonts w:eastAsia="Calibri"/>
                <w:sz w:val="22"/>
                <w:szCs w:val="22"/>
                <w:lang w:val="sr-Latn-ME"/>
              </w:rPr>
              <w:t xml:space="preserve"> dabigatrana i testovi koagulacije kao m</w:t>
            </w:r>
            <w:r w:rsidR="00795E43" w:rsidRPr="00F85CA6">
              <w:rPr>
                <w:rFonts w:eastAsia="Calibri"/>
                <w:sz w:val="22"/>
                <w:szCs w:val="22"/>
                <w:lang w:val="sr-Latn-ME"/>
              </w:rPr>
              <w:t>j</w:t>
            </w:r>
            <w:r w:rsidRPr="00F85CA6">
              <w:rPr>
                <w:rFonts w:eastAsia="Calibri"/>
                <w:sz w:val="22"/>
                <w:szCs w:val="22"/>
                <w:lang w:val="sr-Latn-ME"/>
              </w:rPr>
              <w:t>era dejstva dabigatrana ili inhibicija agregacije trombocita kao m</w:t>
            </w:r>
            <w:r w:rsidR="00795E43" w:rsidRPr="00F85CA6">
              <w:rPr>
                <w:rFonts w:eastAsia="Calibri"/>
                <w:sz w:val="22"/>
                <w:szCs w:val="22"/>
                <w:lang w:val="sr-Latn-ME"/>
              </w:rPr>
              <w:t>j</w:t>
            </w:r>
            <w:r w:rsidRPr="00F85CA6">
              <w:rPr>
                <w:rFonts w:eastAsia="Calibri"/>
                <w:sz w:val="22"/>
                <w:szCs w:val="22"/>
                <w:lang w:val="sr-Latn-ME"/>
              </w:rPr>
              <w:t>era dejstva klopidogrela, ostali su suštinski neizm</w:t>
            </w:r>
            <w:r w:rsidR="00300352" w:rsidRPr="00F85CA6">
              <w:rPr>
                <w:rFonts w:eastAsia="Calibri"/>
                <w:sz w:val="22"/>
                <w:szCs w:val="22"/>
                <w:lang w:val="sr-Latn-ME"/>
              </w:rPr>
              <w:t>i</w:t>
            </w:r>
            <w:r w:rsidR="00AC2F37" w:rsidRPr="00F85CA6">
              <w:rPr>
                <w:rFonts w:eastAsia="Calibri"/>
                <w:sz w:val="22"/>
                <w:szCs w:val="22"/>
                <w:lang w:val="sr-Latn-ME"/>
              </w:rPr>
              <w:t>j</w:t>
            </w:r>
            <w:r w:rsidRPr="00F85CA6">
              <w:rPr>
                <w:rFonts w:eastAsia="Calibri"/>
                <w:sz w:val="22"/>
                <w:szCs w:val="22"/>
                <w:lang w:val="sr-Latn-ME"/>
              </w:rPr>
              <w:t>enjeni pri poređenju kombinovane terapije sa odgovarajućim monoterapijama. Pri prim</w:t>
            </w:r>
            <w:r w:rsidR="00AC2F37" w:rsidRPr="00F85CA6">
              <w:rPr>
                <w:rFonts w:eastAsia="Calibri"/>
                <w:sz w:val="22"/>
                <w:szCs w:val="22"/>
                <w:lang w:val="sr-Latn-ME"/>
              </w:rPr>
              <w:t>j</w:t>
            </w:r>
            <w:r w:rsidRPr="00F85CA6">
              <w:rPr>
                <w:rFonts w:eastAsia="Calibri"/>
                <w:sz w:val="22"/>
                <w:szCs w:val="22"/>
                <w:lang w:val="sr-Latn-ME"/>
              </w:rPr>
              <w:t>eni udarne doze od 300 mg ili 600 mg klopidogrela, vr</w:t>
            </w:r>
            <w:r w:rsidR="00795E43" w:rsidRPr="00F85CA6">
              <w:rPr>
                <w:rFonts w:eastAsia="Calibri"/>
                <w:sz w:val="22"/>
                <w:szCs w:val="22"/>
                <w:lang w:val="sr-Latn-ME"/>
              </w:rPr>
              <w:t>ij</w:t>
            </w:r>
            <w:r w:rsidRPr="00F85CA6">
              <w:rPr>
                <w:rFonts w:eastAsia="Calibri"/>
                <w:sz w:val="22"/>
                <w:szCs w:val="22"/>
                <w:lang w:val="sr-Latn-ME"/>
              </w:rPr>
              <w:t>ednosti PIK</w:t>
            </w:r>
            <w:r w:rsidRPr="00F85CA6">
              <w:rPr>
                <w:rFonts w:eastAsia="Calibri"/>
                <w:sz w:val="22"/>
                <w:szCs w:val="22"/>
                <w:vertAlign w:val="subscript"/>
                <w:lang w:val="sr-Latn-ME"/>
              </w:rPr>
              <w:t xml:space="preserve">τ,ss </w:t>
            </w:r>
            <w:r w:rsidRPr="00F85CA6">
              <w:rPr>
                <w:rFonts w:eastAsia="Calibri"/>
                <w:sz w:val="22"/>
                <w:szCs w:val="22"/>
                <w:lang w:val="sr-Latn-ME"/>
              </w:rPr>
              <w:t>i C</w:t>
            </w:r>
            <w:r w:rsidRPr="00F85CA6">
              <w:rPr>
                <w:rFonts w:eastAsia="Calibri"/>
                <w:sz w:val="22"/>
                <w:szCs w:val="22"/>
                <w:vertAlign w:val="subscript"/>
                <w:lang w:val="sr-Latn-ME"/>
              </w:rPr>
              <w:t>max</w:t>
            </w:r>
            <w:r w:rsidRPr="00F85CA6">
              <w:rPr>
                <w:rFonts w:eastAsia="Calibri"/>
                <w:sz w:val="22"/>
                <w:szCs w:val="22"/>
                <w:lang w:val="sr-Latn-ME"/>
              </w:rPr>
              <w:t>,</w:t>
            </w:r>
            <w:r w:rsidRPr="00F85CA6">
              <w:rPr>
                <w:rFonts w:eastAsia="Calibri"/>
                <w:sz w:val="22"/>
                <w:szCs w:val="22"/>
                <w:vertAlign w:val="subscript"/>
                <w:lang w:val="sr-Latn-ME"/>
              </w:rPr>
              <w:t>ss</w:t>
            </w:r>
            <w:r w:rsidRPr="00F85CA6">
              <w:rPr>
                <w:rFonts w:eastAsia="Calibri"/>
                <w:sz w:val="22"/>
                <w:szCs w:val="22"/>
                <w:lang w:val="sr-Latn-ME"/>
              </w:rPr>
              <w:t xml:space="preserve"> dabigatrana povećali su se za oko 30</w:t>
            </w:r>
            <w:r w:rsidR="0025051C" w:rsidRPr="00F85CA6">
              <w:rPr>
                <w:rFonts w:eastAsia="Calibri"/>
                <w:sz w:val="22"/>
                <w:szCs w:val="22"/>
                <w:lang w:val="sr-Latn-ME"/>
              </w:rPr>
              <w:t xml:space="preserve"> </w:t>
            </w:r>
            <w:r w:rsidRPr="00F85CA6">
              <w:rPr>
                <w:rFonts w:eastAsia="Calibri"/>
                <w:sz w:val="22"/>
                <w:szCs w:val="22"/>
                <w:lang w:val="sr-Latn-ME"/>
              </w:rPr>
              <w:t>-</w:t>
            </w:r>
            <w:r w:rsidR="0025051C" w:rsidRPr="00F85CA6">
              <w:rPr>
                <w:rFonts w:eastAsia="Calibri"/>
                <w:sz w:val="22"/>
                <w:szCs w:val="22"/>
                <w:lang w:val="sr-Latn-ME"/>
              </w:rPr>
              <w:t xml:space="preserve"> </w:t>
            </w:r>
            <w:r w:rsidRPr="00F85CA6">
              <w:rPr>
                <w:rFonts w:eastAsia="Calibri"/>
                <w:sz w:val="22"/>
                <w:szCs w:val="22"/>
                <w:lang w:val="sr-Latn-ME"/>
              </w:rPr>
              <w:t>40% (vid</w:t>
            </w:r>
            <w:r w:rsidR="00AC2F37" w:rsidRPr="00F85CA6">
              <w:rPr>
                <w:rFonts w:eastAsia="Calibri"/>
                <w:sz w:val="22"/>
                <w:szCs w:val="22"/>
                <w:lang w:val="sr-Latn-ME"/>
              </w:rPr>
              <w:t>j</w:t>
            </w:r>
            <w:r w:rsidRPr="00F85CA6">
              <w:rPr>
                <w:rFonts w:eastAsia="Calibri"/>
                <w:sz w:val="22"/>
                <w:szCs w:val="22"/>
                <w:lang w:val="sr-Latn-ME"/>
              </w:rPr>
              <w:t xml:space="preserve">eti </w:t>
            </w:r>
            <w:r w:rsidR="00795E43" w:rsidRPr="00F85CA6">
              <w:rPr>
                <w:rFonts w:eastAsia="Calibri"/>
                <w:sz w:val="22"/>
                <w:szCs w:val="22"/>
                <w:lang w:val="sr-Latn-ME"/>
              </w:rPr>
              <w:t>dio</w:t>
            </w:r>
            <w:r w:rsidRPr="00F85CA6">
              <w:rPr>
                <w:rFonts w:eastAsia="Calibri"/>
                <w:sz w:val="22"/>
                <w:szCs w:val="22"/>
                <w:lang w:val="sr-Latn-ME"/>
              </w:rPr>
              <w:t xml:space="preserve"> 4.4).</w:t>
            </w:r>
          </w:p>
        </w:tc>
      </w:tr>
      <w:tr w:rsidR="00D66267" w:rsidRPr="00F85CA6" w14:paraId="62401E5A" w14:textId="77777777" w:rsidTr="001239C3">
        <w:trPr>
          <w:trHeight w:val="20"/>
          <w:jc w:val="center"/>
        </w:trPr>
        <w:tc>
          <w:tcPr>
            <w:tcW w:w="684" w:type="pct"/>
            <w:tcBorders>
              <w:top w:val="single" w:sz="4" w:space="0" w:color="auto"/>
              <w:left w:val="single" w:sz="4" w:space="0" w:color="auto"/>
            </w:tcBorders>
            <w:shd w:val="clear" w:color="auto" w:fill="auto"/>
          </w:tcPr>
          <w:p w14:paraId="66E4BA8A" w14:textId="77777777" w:rsidR="00D66267" w:rsidRPr="00F85CA6" w:rsidRDefault="00D66267" w:rsidP="00D66267">
            <w:pPr>
              <w:jc w:val="both"/>
              <w:rPr>
                <w:rFonts w:eastAsia="Calibri"/>
                <w:sz w:val="22"/>
                <w:szCs w:val="22"/>
                <w:lang w:val="sr-Latn-ME" w:bidi="en-US"/>
              </w:rPr>
            </w:pPr>
            <w:r w:rsidRPr="00F85CA6">
              <w:rPr>
                <w:rFonts w:eastAsia="Calibri"/>
                <w:sz w:val="22"/>
                <w:szCs w:val="22"/>
                <w:lang w:val="sr-Latn-ME" w:bidi="en-US"/>
              </w:rPr>
              <w:t>ASK</w:t>
            </w:r>
          </w:p>
        </w:tc>
        <w:tc>
          <w:tcPr>
            <w:tcW w:w="4316" w:type="pct"/>
            <w:tcBorders>
              <w:top w:val="single" w:sz="4" w:space="0" w:color="auto"/>
              <w:left w:val="single" w:sz="4" w:space="0" w:color="auto"/>
              <w:right w:val="single" w:sz="4" w:space="0" w:color="auto"/>
            </w:tcBorders>
            <w:shd w:val="clear" w:color="auto" w:fill="auto"/>
            <w:vAlign w:val="bottom"/>
          </w:tcPr>
          <w:p w14:paraId="6FD53ADD" w14:textId="296B2FC1" w:rsidR="00D66267" w:rsidRPr="00F85CA6" w:rsidRDefault="00D66267" w:rsidP="00D66267">
            <w:pPr>
              <w:jc w:val="both"/>
              <w:rPr>
                <w:rFonts w:eastAsia="Calibri"/>
                <w:sz w:val="22"/>
                <w:szCs w:val="22"/>
                <w:lang w:val="sr-Latn-ME" w:bidi="en-US"/>
              </w:rPr>
            </w:pPr>
            <w:r w:rsidRPr="00F85CA6">
              <w:rPr>
                <w:rFonts w:eastAsia="Calibri"/>
                <w:sz w:val="22"/>
                <w:szCs w:val="22"/>
                <w:lang w:val="sr-Latn-ME"/>
              </w:rPr>
              <w:t>Istovremena prim</w:t>
            </w:r>
            <w:r w:rsidR="00AC2F37" w:rsidRPr="00F85CA6">
              <w:rPr>
                <w:rFonts w:eastAsia="Calibri"/>
                <w:sz w:val="22"/>
                <w:szCs w:val="22"/>
                <w:lang w:val="sr-Latn-ME"/>
              </w:rPr>
              <w:t>j</w:t>
            </w:r>
            <w:r w:rsidRPr="00F85CA6">
              <w:rPr>
                <w:rFonts w:eastAsia="Calibri"/>
                <w:sz w:val="22"/>
                <w:szCs w:val="22"/>
                <w:lang w:val="sr-Latn-ME"/>
              </w:rPr>
              <w:t>ena ASK i 150 mg dabigatraneteksilata dva puta dnevno može da poveća rizik od bilo kakvog krvarenja za 12% do 18% pri prim</w:t>
            </w:r>
            <w:r w:rsidR="00AC2F37" w:rsidRPr="00F85CA6">
              <w:rPr>
                <w:rFonts w:eastAsia="Calibri"/>
                <w:sz w:val="22"/>
                <w:szCs w:val="22"/>
                <w:lang w:val="sr-Latn-ME"/>
              </w:rPr>
              <w:t>j</w:t>
            </w:r>
            <w:r w:rsidRPr="00F85CA6">
              <w:rPr>
                <w:rFonts w:eastAsia="Calibri"/>
                <w:sz w:val="22"/>
                <w:szCs w:val="22"/>
                <w:lang w:val="sr-Latn-ME"/>
              </w:rPr>
              <w:t>eni 81 mg ASK, odnosno za 24% pri prim</w:t>
            </w:r>
            <w:r w:rsidR="00AC2F37" w:rsidRPr="00F85CA6">
              <w:rPr>
                <w:rFonts w:eastAsia="Calibri"/>
                <w:sz w:val="22"/>
                <w:szCs w:val="22"/>
                <w:lang w:val="sr-Latn-ME"/>
              </w:rPr>
              <w:t>j</w:t>
            </w:r>
            <w:r w:rsidRPr="00F85CA6">
              <w:rPr>
                <w:rFonts w:eastAsia="Calibri"/>
                <w:sz w:val="22"/>
                <w:szCs w:val="22"/>
                <w:lang w:val="sr-Latn-ME"/>
              </w:rPr>
              <w:t>eni 325 mg ASK (vid</w:t>
            </w:r>
            <w:r w:rsidR="00AC2F37" w:rsidRPr="00F85CA6">
              <w:rPr>
                <w:rFonts w:eastAsia="Calibri"/>
                <w:sz w:val="22"/>
                <w:szCs w:val="22"/>
                <w:lang w:val="sr-Latn-ME"/>
              </w:rPr>
              <w:t>j</w:t>
            </w:r>
            <w:r w:rsidRPr="00F85CA6">
              <w:rPr>
                <w:rFonts w:eastAsia="Calibri"/>
                <w:sz w:val="22"/>
                <w:szCs w:val="22"/>
                <w:lang w:val="sr-Latn-ME"/>
              </w:rPr>
              <w:t xml:space="preserve">eti </w:t>
            </w:r>
            <w:r w:rsidR="00795E43" w:rsidRPr="00F85CA6">
              <w:rPr>
                <w:rFonts w:eastAsia="Calibri"/>
                <w:sz w:val="22"/>
                <w:szCs w:val="22"/>
                <w:lang w:val="sr-Latn-ME"/>
              </w:rPr>
              <w:t>dio</w:t>
            </w:r>
            <w:r w:rsidRPr="00F85CA6">
              <w:rPr>
                <w:rFonts w:eastAsia="Calibri"/>
                <w:sz w:val="22"/>
                <w:szCs w:val="22"/>
                <w:lang w:val="sr-Latn-ME"/>
              </w:rPr>
              <w:t xml:space="preserve"> 4.4).</w:t>
            </w:r>
          </w:p>
        </w:tc>
      </w:tr>
      <w:tr w:rsidR="00D66267" w:rsidRPr="00F85CA6" w14:paraId="0A796EDE" w14:textId="77777777" w:rsidTr="001239C3">
        <w:trPr>
          <w:trHeight w:val="20"/>
          <w:jc w:val="center"/>
        </w:trPr>
        <w:tc>
          <w:tcPr>
            <w:tcW w:w="684" w:type="pct"/>
            <w:tcBorders>
              <w:top w:val="single" w:sz="4" w:space="0" w:color="auto"/>
              <w:left w:val="single" w:sz="4" w:space="0" w:color="auto"/>
              <w:bottom w:val="single" w:sz="4" w:space="0" w:color="auto"/>
            </w:tcBorders>
            <w:shd w:val="clear" w:color="auto" w:fill="auto"/>
          </w:tcPr>
          <w:p w14:paraId="50D95C74" w14:textId="77777777" w:rsidR="00D66267" w:rsidRPr="00F85CA6" w:rsidRDefault="00D66267" w:rsidP="00D66267">
            <w:pPr>
              <w:jc w:val="both"/>
              <w:rPr>
                <w:rFonts w:eastAsia="Calibri"/>
                <w:sz w:val="22"/>
                <w:szCs w:val="22"/>
                <w:lang w:val="sr-Latn-ME" w:bidi="en-US"/>
              </w:rPr>
            </w:pPr>
            <w:r w:rsidRPr="00F85CA6">
              <w:rPr>
                <w:rFonts w:eastAsia="Calibri"/>
                <w:sz w:val="22"/>
                <w:szCs w:val="22"/>
                <w:lang w:val="sr-Latn-ME" w:bidi="en-US"/>
              </w:rPr>
              <w:t>LMWH</w:t>
            </w:r>
          </w:p>
        </w:tc>
        <w:tc>
          <w:tcPr>
            <w:tcW w:w="4316" w:type="pct"/>
            <w:tcBorders>
              <w:top w:val="single" w:sz="4" w:space="0" w:color="auto"/>
              <w:left w:val="single" w:sz="4" w:space="0" w:color="auto"/>
              <w:bottom w:val="single" w:sz="4" w:space="0" w:color="auto"/>
              <w:right w:val="single" w:sz="4" w:space="0" w:color="auto"/>
            </w:tcBorders>
            <w:shd w:val="clear" w:color="auto" w:fill="auto"/>
            <w:vAlign w:val="bottom"/>
          </w:tcPr>
          <w:p w14:paraId="3DBCAE59" w14:textId="26388CD0" w:rsidR="00D66267" w:rsidRPr="00F85CA6" w:rsidRDefault="00D66267" w:rsidP="0025051C">
            <w:pPr>
              <w:jc w:val="both"/>
              <w:rPr>
                <w:rFonts w:eastAsia="Calibri"/>
                <w:sz w:val="22"/>
                <w:szCs w:val="22"/>
                <w:lang w:val="sr-Latn-ME" w:bidi="en-US"/>
              </w:rPr>
            </w:pPr>
            <w:r w:rsidRPr="00F85CA6">
              <w:rPr>
                <w:rFonts w:eastAsia="Calibri"/>
                <w:sz w:val="22"/>
                <w:szCs w:val="22"/>
                <w:lang w:val="sr-Latn-ME"/>
              </w:rPr>
              <w:t>Istovremena prim</w:t>
            </w:r>
            <w:r w:rsidR="00AC2F37" w:rsidRPr="00F85CA6">
              <w:rPr>
                <w:rFonts w:eastAsia="Calibri"/>
                <w:sz w:val="22"/>
                <w:szCs w:val="22"/>
                <w:lang w:val="sr-Latn-ME"/>
              </w:rPr>
              <w:t>j</w:t>
            </w:r>
            <w:r w:rsidRPr="00F85CA6">
              <w:rPr>
                <w:rFonts w:eastAsia="Calibri"/>
                <w:sz w:val="22"/>
                <w:szCs w:val="22"/>
                <w:lang w:val="sr-Latn-ME"/>
              </w:rPr>
              <w:t>ena LMWH, kao što su enoksaparin i dabigatrane</w:t>
            </w:r>
            <w:r w:rsidR="0025051C" w:rsidRPr="00F85CA6">
              <w:rPr>
                <w:rFonts w:eastAsia="Calibri"/>
                <w:sz w:val="22"/>
                <w:szCs w:val="22"/>
                <w:lang w:val="sr-Latn-ME"/>
              </w:rPr>
              <w:t xml:space="preserve"> </w:t>
            </w:r>
            <w:r w:rsidRPr="00F85CA6">
              <w:rPr>
                <w:rFonts w:eastAsia="Calibri"/>
                <w:sz w:val="22"/>
                <w:szCs w:val="22"/>
                <w:lang w:val="sr-Latn-ME"/>
              </w:rPr>
              <w:t>teksilat nije posebno ispitivana. Nakon prebacivanja sa trodnevne terapije u kojoj se daje jednom dnevno 40 mg enoksaparin s.c., 24 sata nakon posl</w:t>
            </w:r>
            <w:r w:rsidR="00AC2F37" w:rsidRPr="00F85CA6">
              <w:rPr>
                <w:rFonts w:eastAsia="Calibri"/>
                <w:sz w:val="22"/>
                <w:szCs w:val="22"/>
                <w:lang w:val="sr-Latn-ME"/>
              </w:rPr>
              <w:t>j</w:t>
            </w:r>
            <w:r w:rsidRPr="00F85CA6">
              <w:rPr>
                <w:rFonts w:eastAsia="Calibri"/>
                <w:sz w:val="22"/>
                <w:szCs w:val="22"/>
                <w:lang w:val="sr-Latn-ME"/>
              </w:rPr>
              <w:t xml:space="preserve">ednje doze enoksaparina izloženost dabigatranu je bila neznatno manja nego nakon </w:t>
            </w:r>
            <w:r w:rsidR="0025051C" w:rsidRPr="00F85CA6">
              <w:rPr>
                <w:rFonts w:eastAsia="Calibri"/>
                <w:sz w:val="22"/>
                <w:szCs w:val="22"/>
                <w:lang w:val="sr-Latn-ME"/>
              </w:rPr>
              <w:t xml:space="preserve">primjene </w:t>
            </w:r>
            <w:r w:rsidRPr="00F85CA6">
              <w:rPr>
                <w:rFonts w:eastAsia="Calibri"/>
                <w:sz w:val="22"/>
                <w:szCs w:val="22"/>
                <w:lang w:val="sr-Latn-ME"/>
              </w:rPr>
              <w:t>samo dabigatraneteksilata (jedna doza od 220 mg). Veća anti-FXa/FIIa aktivnost zab</w:t>
            </w:r>
            <w:r w:rsidR="00AC2F37" w:rsidRPr="00F85CA6">
              <w:rPr>
                <w:rFonts w:eastAsia="Calibri"/>
                <w:sz w:val="22"/>
                <w:szCs w:val="22"/>
                <w:lang w:val="sr-Latn-ME"/>
              </w:rPr>
              <w:t>i</w:t>
            </w:r>
            <w:r w:rsidRPr="00F85CA6">
              <w:rPr>
                <w:rFonts w:eastAsia="Calibri"/>
                <w:sz w:val="22"/>
                <w:szCs w:val="22"/>
                <w:lang w:val="sr-Latn-ME"/>
              </w:rPr>
              <w:t>l</w:t>
            </w:r>
            <w:r w:rsidR="00AC2F37" w:rsidRPr="00F85CA6">
              <w:rPr>
                <w:rFonts w:eastAsia="Calibri"/>
                <w:sz w:val="22"/>
                <w:szCs w:val="22"/>
                <w:lang w:val="sr-Latn-ME"/>
              </w:rPr>
              <w:t>j</w:t>
            </w:r>
            <w:r w:rsidRPr="00F85CA6">
              <w:rPr>
                <w:rFonts w:eastAsia="Calibri"/>
                <w:sz w:val="22"/>
                <w:szCs w:val="22"/>
                <w:lang w:val="sr-Latn-ME"/>
              </w:rPr>
              <w:t>ežena je nakon prim</w:t>
            </w:r>
            <w:r w:rsidR="00AC2F37" w:rsidRPr="00F85CA6">
              <w:rPr>
                <w:rFonts w:eastAsia="Calibri"/>
                <w:sz w:val="22"/>
                <w:szCs w:val="22"/>
                <w:lang w:val="sr-Latn-ME"/>
              </w:rPr>
              <w:t>j</w:t>
            </w:r>
            <w:r w:rsidRPr="00F85CA6">
              <w:rPr>
                <w:rFonts w:eastAsia="Calibri"/>
                <w:sz w:val="22"/>
                <w:szCs w:val="22"/>
                <w:lang w:val="sr-Latn-ME"/>
              </w:rPr>
              <w:t>ene dabigatraneteksilata sa pred-terapijom enoksaparinom u poređenju sa prim</w:t>
            </w:r>
            <w:r w:rsidR="00AC2F37" w:rsidRPr="00F85CA6">
              <w:rPr>
                <w:rFonts w:eastAsia="Calibri"/>
                <w:sz w:val="22"/>
                <w:szCs w:val="22"/>
                <w:lang w:val="sr-Latn-ME"/>
              </w:rPr>
              <w:t>j</w:t>
            </w:r>
            <w:r w:rsidRPr="00F85CA6">
              <w:rPr>
                <w:rFonts w:eastAsia="Calibri"/>
                <w:sz w:val="22"/>
                <w:szCs w:val="22"/>
                <w:lang w:val="sr-Latn-ME"/>
              </w:rPr>
              <w:t>enom samog dabigatraneteksilata. Ovo se smatra posl</w:t>
            </w:r>
            <w:r w:rsidR="000D47A9" w:rsidRPr="00F85CA6">
              <w:rPr>
                <w:rFonts w:eastAsia="Calibri"/>
                <w:sz w:val="22"/>
                <w:szCs w:val="22"/>
                <w:lang w:val="sr-Latn-ME"/>
              </w:rPr>
              <w:t>j</w:t>
            </w:r>
            <w:r w:rsidRPr="00F85CA6">
              <w:rPr>
                <w:rFonts w:eastAsia="Calibri"/>
                <w:sz w:val="22"/>
                <w:szCs w:val="22"/>
                <w:lang w:val="sr-Latn-ME"/>
              </w:rPr>
              <w:t xml:space="preserve">edicom prenošenja dejstva </w:t>
            </w:r>
            <w:r w:rsidRPr="00F85CA6">
              <w:rPr>
                <w:rFonts w:eastAsia="Calibri"/>
                <w:bCs/>
                <w:sz w:val="22"/>
                <w:szCs w:val="22"/>
                <w:lang w:val="sr-Latn-ME"/>
              </w:rPr>
              <w:t xml:space="preserve">(engl. </w:t>
            </w:r>
            <w:r w:rsidRPr="00F85CA6">
              <w:rPr>
                <w:rFonts w:eastAsia="Calibri"/>
                <w:bCs/>
                <w:i/>
                <w:iCs/>
                <w:sz w:val="22"/>
                <w:szCs w:val="22"/>
                <w:lang w:val="sr-Latn-ME"/>
              </w:rPr>
              <w:t>carry</w:t>
            </w:r>
            <w:r w:rsidRPr="00F85CA6">
              <w:rPr>
                <w:rFonts w:eastAsia="Calibri"/>
                <w:bCs/>
                <w:i/>
                <w:iCs/>
                <w:sz w:val="22"/>
                <w:szCs w:val="22"/>
                <w:lang w:val="sr-Latn-ME"/>
              </w:rPr>
              <w:noBreakHyphen/>
              <w:t>over effect</w:t>
            </w:r>
            <w:r w:rsidRPr="00F85CA6">
              <w:rPr>
                <w:rFonts w:eastAsia="Calibri"/>
                <w:bCs/>
                <w:sz w:val="22"/>
                <w:szCs w:val="22"/>
                <w:lang w:val="sr-Latn-ME"/>
              </w:rPr>
              <w:t>)</w:t>
            </w:r>
            <w:r w:rsidRPr="00F85CA6">
              <w:rPr>
                <w:rFonts w:eastAsia="Calibri"/>
                <w:sz w:val="22"/>
                <w:szCs w:val="22"/>
                <w:lang w:val="sr-Latn-ME"/>
              </w:rPr>
              <w:t xml:space="preserve"> enoksaparina i nije klinički značajno. Rezultati drugih testova antikoagulantnog dejstva dabigatrana ni</w:t>
            </w:r>
            <w:r w:rsidR="0025051C" w:rsidRPr="00F85CA6">
              <w:rPr>
                <w:rFonts w:eastAsia="Calibri"/>
                <w:sz w:val="22"/>
                <w:szCs w:val="22"/>
                <w:lang w:val="sr-Latn-ME"/>
              </w:rPr>
              <w:t>je</w:t>
            </w:r>
            <w:r w:rsidRPr="00F85CA6">
              <w:rPr>
                <w:rFonts w:eastAsia="Calibri"/>
                <w:sz w:val="22"/>
                <w:szCs w:val="22"/>
                <w:lang w:val="sr-Latn-ME"/>
              </w:rPr>
              <w:t>su bili značajno prom</w:t>
            </w:r>
            <w:r w:rsidR="00300352" w:rsidRPr="00F85CA6">
              <w:rPr>
                <w:rFonts w:eastAsia="Calibri"/>
                <w:sz w:val="22"/>
                <w:szCs w:val="22"/>
                <w:lang w:val="sr-Latn-ME"/>
              </w:rPr>
              <w:t>i</w:t>
            </w:r>
            <w:r w:rsidR="00AC2F37" w:rsidRPr="00F85CA6">
              <w:rPr>
                <w:rFonts w:eastAsia="Calibri"/>
                <w:sz w:val="22"/>
                <w:szCs w:val="22"/>
                <w:lang w:val="sr-Latn-ME"/>
              </w:rPr>
              <w:t>j</w:t>
            </w:r>
            <w:r w:rsidRPr="00F85CA6">
              <w:rPr>
                <w:rFonts w:eastAsia="Calibri"/>
                <w:sz w:val="22"/>
                <w:szCs w:val="22"/>
                <w:lang w:val="sr-Latn-ME"/>
              </w:rPr>
              <w:t>enjeni pod uticajem prethodne terapije enoksaparinom.</w:t>
            </w:r>
          </w:p>
        </w:tc>
      </w:tr>
    </w:tbl>
    <w:p w14:paraId="6F9EE8A7" w14:textId="77777777" w:rsidR="00D66267" w:rsidRPr="00F85CA6" w:rsidRDefault="00D66267" w:rsidP="00D66267">
      <w:pPr>
        <w:jc w:val="both"/>
        <w:rPr>
          <w:rFonts w:eastAsia="Calibri"/>
          <w:sz w:val="22"/>
          <w:szCs w:val="22"/>
          <w:u w:val="single"/>
          <w:lang w:val="sr-Latn-ME" w:bidi="en-US"/>
        </w:rPr>
      </w:pPr>
    </w:p>
    <w:p w14:paraId="3E503CBD" w14:textId="77777777" w:rsidR="00D66267" w:rsidRPr="00F85CA6" w:rsidRDefault="00D66267" w:rsidP="00D66267">
      <w:pPr>
        <w:jc w:val="both"/>
        <w:rPr>
          <w:rFonts w:eastAsia="Calibri"/>
          <w:b/>
          <w:bCs/>
          <w:sz w:val="22"/>
          <w:szCs w:val="22"/>
          <w:lang w:val="sr-Latn-ME" w:bidi="en-US"/>
        </w:rPr>
      </w:pPr>
      <w:r w:rsidRPr="00F85CA6">
        <w:rPr>
          <w:rFonts w:eastAsia="Calibri"/>
          <w:sz w:val="22"/>
          <w:szCs w:val="22"/>
          <w:u w:val="single"/>
          <w:lang w:val="sr-Latn-ME" w:bidi="en-US"/>
        </w:rPr>
        <w:lastRenderedPageBreak/>
        <w:t>Ostale interakcije</w:t>
      </w:r>
    </w:p>
    <w:p w14:paraId="2736F20F" w14:textId="77777777" w:rsidR="00D66267" w:rsidRPr="00F85CA6" w:rsidRDefault="00D66267" w:rsidP="00D66267">
      <w:pPr>
        <w:jc w:val="both"/>
        <w:rPr>
          <w:rFonts w:eastAsia="Calibri"/>
          <w:sz w:val="22"/>
          <w:szCs w:val="22"/>
          <w:lang w:val="sr-Latn-ME" w:bidi="en-US"/>
        </w:rPr>
      </w:pPr>
    </w:p>
    <w:p w14:paraId="01F0E34C" w14:textId="77777777" w:rsidR="00D66267" w:rsidRPr="00F85CA6" w:rsidRDefault="00D66267" w:rsidP="00685312">
      <w:pPr>
        <w:jc w:val="center"/>
        <w:rPr>
          <w:rFonts w:eastAsia="Calibri"/>
          <w:b/>
          <w:bCs/>
          <w:sz w:val="22"/>
          <w:szCs w:val="22"/>
          <w:lang w:val="sr-Latn-ME" w:bidi="en-US"/>
        </w:rPr>
      </w:pPr>
      <w:r w:rsidRPr="00F85CA6">
        <w:rPr>
          <w:rFonts w:eastAsia="Calibri"/>
          <w:b/>
          <w:bCs/>
          <w:sz w:val="22"/>
          <w:szCs w:val="22"/>
          <w:lang w:val="sr-Latn-ME" w:bidi="en-US"/>
        </w:rPr>
        <w:t>Tabela 11: Ostale interakcije</w:t>
      </w:r>
    </w:p>
    <w:p w14:paraId="114C96C8" w14:textId="77777777" w:rsidR="00D66267" w:rsidRPr="00F85CA6" w:rsidRDefault="00D66267" w:rsidP="00685312">
      <w:pPr>
        <w:jc w:val="center"/>
        <w:rPr>
          <w:rFonts w:eastAsia="Calibri"/>
          <w:b/>
          <w:bCs/>
          <w:sz w:val="22"/>
          <w:szCs w:val="22"/>
          <w:lang w:val="sr-Latn-ME" w:bidi="en-US"/>
        </w:rPr>
      </w:pPr>
    </w:p>
    <w:tbl>
      <w:tblPr>
        <w:tblOverlap w:val="never"/>
        <w:tblW w:w="5000" w:type="pct"/>
        <w:jc w:val="center"/>
        <w:tblCellMar>
          <w:left w:w="85" w:type="dxa"/>
          <w:right w:w="85" w:type="dxa"/>
        </w:tblCellMar>
        <w:tblLook w:val="04A0" w:firstRow="1" w:lastRow="0" w:firstColumn="1" w:lastColumn="0" w:noHBand="0" w:noVBand="1"/>
      </w:tblPr>
      <w:tblGrid>
        <w:gridCol w:w="1515"/>
        <w:gridCol w:w="7548"/>
      </w:tblGrid>
      <w:tr w:rsidR="00D66267" w:rsidRPr="00F85CA6" w14:paraId="58286C77" w14:textId="77777777" w:rsidTr="001239C3">
        <w:trPr>
          <w:trHeight w:val="850"/>
          <w:jc w:val="center"/>
        </w:trPr>
        <w:tc>
          <w:tcPr>
            <w:tcW w:w="5000" w:type="pct"/>
            <w:gridSpan w:val="2"/>
            <w:tcBorders>
              <w:top w:val="single" w:sz="4" w:space="0" w:color="auto"/>
              <w:left w:val="single" w:sz="4" w:space="0" w:color="auto"/>
              <w:right w:val="single" w:sz="4" w:space="0" w:color="auto"/>
            </w:tcBorders>
            <w:shd w:val="clear" w:color="auto" w:fill="auto"/>
            <w:vAlign w:val="center"/>
          </w:tcPr>
          <w:p w14:paraId="424124AA" w14:textId="77777777" w:rsidR="00D66267" w:rsidRPr="00F85CA6" w:rsidRDefault="00D66267" w:rsidP="00D66267">
            <w:pPr>
              <w:jc w:val="both"/>
              <w:rPr>
                <w:rFonts w:eastAsia="Calibri"/>
                <w:sz w:val="22"/>
                <w:szCs w:val="22"/>
                <w:u w:val="single"/>
                <w:lang w:val="sr-Latn-ME" w:bidi="en-US"/>
              </w:rPr>
            </w:pPr>
            <w:r w:rsidRPr="00F85CA6">
              <w:rPr>
                <w:rFonts w:eastAsia="Calibri"/>
                <w:i/>
                <w:sz w:val="22"/>
                <w:szCs w:val="22"/>
                <w:u w:val="single"/>
                <w:lang w:val="sr-Latn-ME"/>
              </w:rPr>
              <w:t>Selektivni inhibitori ponovnog preuzimanja serotonina (engl. selective serotonin re-uptake inhibitosr, SSRIs) ili selektivni inhibitori ponovnog preuzimanja serotonina i norepinefrina (engl. selective serotonin norepinephrine re-uptake inhibitors, SNRIs)</w:t>
            </w:r>
          </w:p>
        </w:tc>
      </w:tr>
      <w:tr w:rsidR="00D66267" w:rsidRPr="00F85CA6" w14:paraId="056226C6" w14:textId="77777777" w:rsidTr="001239C3">
        <w:trPr>
          <w:trHeight w:val="20"/>
          <w:jc w:val="center"/>
        </w:trPr>
        <w:tc>
          <w:tcPr>
            <w:tcW w:w="836" w:type="pct"/>
            <w:tcBorders>
              <w:top w:val="single" w:sz="4" w:space="0" w:color="auto"/>
              <w:left w:val="single" w:sz="4" w:space="0" w:color="auto"/>
              <w:right w:val="single" w:sz="4" w:space="0" w:color="auto"/>
            </w:tcBorders>
            <w:shd w:val="clear" w:color="auto" w:fill="auto"/>
            <w:vAlign w:val="bottom"/>
          </w:tcPr>
          <w:p w14:paraId="21D601DA" w14:textId="77777777" w:rsidR="00D66267" w:rsidRPr="00F85CA6" w:rsidRDefault="00D66267" w:rsidP="00D66267">
            <w:pPr>
              <w:jc w:val="both"/>
              <w:rPr>
                <w:rFonts w:eastAsia="Calibri"/>
                <w:sz w:val="22"/>
                <w:szCs w:val="22"/>
                <w:lang w:val="sr-Latn-ME" w:bidi="en-US"/>
              </w:rPr>
            </w:pPr>
            <w:r w:rsidRPr="00F85CA6">
              <w:rPr>
                <w:rFonts w:eastAsia="Calibri"/>
                <w:sz w:val="22"/>
                <w:szCs w:val="22"/>
                <w:lang w:val="sr-Latn-ME" w:bidi="en-US"/>
              </w:rPr>
              <w:t>SSRIs, SNRIs</w:t>
            </w:r>
          </w:p>
        </w:tc>
        <w:tc>
          <w:tcPr>
            <w:tcW w:w="4164" w:type="pct"/>
            <w:tcBorders>
              <w:top w:val="single" w:sz="4" w:space="0" w:color="auto"/>
              <w:left w:val="single" w:sz="4" w:space="0" w:color="auto"/>
              <w:right w:val="single" w:sz="4" w:space="0" w:color="auto"/>
            </w:tcBorders>
            <w:shd w:val="clear" w:color="auto" w:fill="auto"/>
            <w:vAlign w:val="bottom"/>
          </w:tcPr>
          <w:p w14:paraId="2A11BBE6" w14:textId="5AAA3ADC" w:rsidR="00D66267" w:rsidRPr="00F85CA6" w:rsidRDefault="00D66267" w:rsidP="00D66267">
            <w:pPr>
              <w:jc w:val="both"/>
              <w:rPr>
                <w:rFonts w:eastAsia="Calibri"/>
                <w:sz w:val="22"/>
                <w:szCs w:val="22"/>
                <w:lang w:val="sr-Latn-ME" w:bidi="en-US"/>
              </w:rPr>
            </w:pPr>
            <w:r w:rsidRPr="00F85CA6">
              <w:rPr>
                <w:rFonts w:eastAsia="Calibri"/>
                <w:sz w:val="22"/>
                <w:szCs w:val="22"/>
                <w:lang w:val="sr-Latn-ME" w:bidi="en-US"/>
              </w:rPr>
              <w:t>SSRIs i SNRIs su povećali rizik od krvarenja u studiji RE-LY u svim l</w:t>
            </w:r>
            <w:r w:rsidR="00300352" w:rsidRPr="00F85CA6">
              <w:rPr>
                <w:rFonts w:eastAsia="Calibri"/>
                <w:sz w:val="22"/>
                <w:szCs w:val="22"/>
                <w:lang w:val="sr-Latn-ME" w:bidi="en-US"/>
              </w:rPr>
              <w:t>i</w:t>
            </w:r>
            <w:r w:rsidR="00AC2F37" w:rsidRPr="00F85CA6">
              <w:rPr>
                <w:rFonts w:eastAsia="Calibri"/>
                <w:sz w:val="22"/>
                <w:szCs w:val="22"/>
                <w:lang w:val="sr-Latn-ME" w:bidi="en-US"/>
              </w:rPr>
              <w:t>j</w:t>
            </w:r>
            <w:r w:rsidRPr="00F85CA6">
              <w:rPr>
                <w:rFonts w:eastAsia="Calibri"/>
                <w:sz w:val="22"/>
                <w:szCs w:val="22"/>
                <w:lang w:val="sr-Latn-ME" w:bidi="en-US"/>
              </w:rPr>
              <w:t>ečenim grupama.</w:t>
            </w:r>
          </w:p>
        </w:tc>
      </w:tr>
      <w:tr w:rsidR="00D66267" w:rsidRPr="00F85CA6" w14:paraId="4BCD3691" w14:textId="77777777" w:rsidTr="001239C3">
        <w:trPr>
          <w:trHeight w:val="850"/>
          <w:jc w:val="center"/>
        </w:trPr>
        <w:tc>
          <w:tcPr>
            <w:tcW w:w="5000" w:type="pct"/>
            <w:gridSpan w:val="2"/>
            <w:tcBorders>
              <w:top w:val="single" w:sz="4" w:space="0" w:color="auto"/>
              <w:left w:val="single" w:sz="4" w:space="0" w:color="auto"/>
              <w:right w:val="single" w:sz="4" w:space="0" w:color="auto"/>
            </w:tcBorders>
            <w:shd w:val="clear" w:color="auto" w:fill="auto"/>
            <w:vAlign w:val="center"/>
          </w:tcPr>
          <w:p w14:paraId="21762098" w14:textId="77777777" w:rsidR="00D66267" w:rsidRPr="00F85CA6" w:rsidRDefault="00D66267" w:rsidP="00D66267">
            <w:pPr>
              <w:jc w:val="both"/>
              <w:rPr>
                <w:rFonts w:eastAsia="Calibri"/>
                <w:sz w:val="22"/>
                <w:szCs w:val="22"/>
                <w:lang w:val="sr-Latn-ME" w:bidi="en-US"/>
              </w:rPr>
            </w:pPr>
            <w:r w:rsidRPr="00F85CA6">
              <w:rPr>
                <w:rFonts w:eastAsia="Calibri"/>
                <w:i/>
                <w:iCs/>
                <w:sz w:val="22"/>
                <w:szCs w:val="22"/>
                <w:u w:val="single"/>
                <w:lang w:val="sr-Latn-ME" w:bidi="en-US"/>
              </w:rPr>
              <w:t>Supstance koje utiču na pH želuca</w:t>
            </w:r>
          </w:p>
        </w:tc>
      </w:tr>
      <w:tr w:rsidR="00D66267" w:rsidRPr="00F85CA6" w14:paraId="31A45C82" w14:textId="77777777" w:rsidTr="001239C3">
        <w:trPr>
          <w:trHeight w:val="20"/>
          <w:jc w:val="center"/>
        </w:trPr>
        <w:tc>
          <w:tcPr>
            <w:tcW w:w="836" w:type="pct"/>
            <w:tcBorders>
              <w:top w:val="single" w:sz="4" w:space="0" w:color="auto"/>
              <w:left w:val="single" w:sz="4" w:space="0" w:color="auto"/>
            </w:tcBorders>
            <w:shd w:val="clear" w:color="auto" w:fill="auto"/>
          </w:tcPr>
          <w:p w14:paraId="1AB3403B" w14:textId="77777777" w:rsidR="00D66267" w:rsidRPr="00F85CA6" w:rsidRDefault="00D66267" w:rsidP="00D66267">
            <w:pPr>
              <w:jc w:val="both"/>
              <w:rPr>
                <w:rFonts w:eastAsia="Calibri"/>
                <w:sz w:val="22"/>
                <w:szCs w:val="22"/>
                <w:lang w:val="sr-Latn-ME" w:bidi="en-US"/>
              </w:rPr>
            </w:pPr>
            <w:r w:rsidRPr="00F85CA6">
              <w:rPr>
                <w:rFonts w:eastAsia="Calibri"/>
                <w:sz w:val="22"/>
                <w:szCs w:val="22"/>
                <w:lang w:val="sr-Latn-ME" w:bidi="en-US"/>
              </w:rPr>
              <w:t>Pantoprazol</w:t>
            </w:r>
          </w:p>
        </w:tc>
        <w:tc>
          <w:tcPr>
            <w:tcW w:w="4164" w:type="pct"/>
            <w:tcBorders>
              <w:top w:val="single" w:sz="4" w:space="0" w:color="auto"/>
              <w:left w:val="single" w:sz="4" w:space="0" w:color="auto"/>
              <w:right w:val="single" w:sz="4" w:space="0" w:color="auto"/>
            </w:tcBorders>
            <w:shd w:val="clear" w:color="auto" w:fill="auto"/>
            <w:vAlign w:val="bottom"/>
          </w:tcPr>
          <w:p w14:paraId="69B3CBF5" w14:textId="1F37097F" w:rsidR="00D66267" w:rsidRPr="00F85CA6" w:rsidRDefault="00D66267" w:rsidP="00D66267">
            <w:pPr>
              <w:jc w:val="both"/>
              <w:rPr>
                <w:rFonts w:eastAsia="Calibri"/>
                <w:sz w:val="22"/>
                <w:szCs w:val="22"/>
                <w:lang w:val="sr-Latn-ME" w:bidi="en-US"/>
              </w:rPr>
            </w:pPr>
            <w:r w:rsidRPr="00F85CA6">
              <w:rPr>
                <w:rFonts w:eastAsia="Calibri"/>
                <w:sz w:val="22"/>
                <w:szCs w:val="22"/>
                <w:lang w:val="sr-Latn-ME" w:bidi="en-US"/>
              </w:rPr>
              <w:t>Kada se dabigatrane</w:t>
            </w:r>
            <w:r w:rsidR="0025051C" w:rsidRPr="00F85CA6">
              <w:rPr>
                <w:rFonts w:eastAsia="Calibri"/>
                <w:sz w:val="22"/>
                <w:szCs w:val="22"/>
                <w:lang w:val="sr-Latn-ME" w:bidi="en-US"/>
              </w:rPr>
              <w:t xml:space="preserve"> </w:t>
            </w:r>
            <w:r w:rsidRPr="00F85CA6">
              <w:rPr>
                <w:rFonts w:eastAsia="Calibri"/>
                <w:sz w:val="22"/>
                <w:szCs w:val="22"/>
                <w:lang w:val="sr-Latn-ME" w:bidi="en-US"/>
              </w:rPr>
              <w:t>teksilat istovremeno prim</w:t>
            </w:r>
            <w:r w:rsidR="00300352" w:rsidRPr="00F85CA6">
              <w:rPr>
                <w:rFonts w:eastAsia="Calibri"/>
                <w:sz w:val="22"/>
                <w:szCs w:val="22"/>
                <w:lang w:val="sr-Latn-ME" w:bidi="en-US"/>
              </w:rPr>
              <w:t>j</w:t>
            </w:r>
            <w:r w:rsidRPr="00F85CA6">
              <w:rPr>
                <w:rFonts w:eastAsia="Calibri"/>
                <w:sz w:val="22"/>
                <w:szCs w:val="22"/>
                <w:lang w:val="sr-Latn-ME" w:bidi="en-US"/>
              </w:rPr>
              <w:t>enjivao sa pantoprazolom, uočeno je smanjenje PIK vr</w:t>
            </w:r>
            <w:r w:rsidR="000D47A9" w:rsidRPr="00F85CA6">
              <w:rPr>
                <w:rFonts w:eastAsia="Calibri"/>
                <w:sz w:val="22"/>
                <w:szCs w:val="22"/>
                <w:lang w:val="sr-Latn-ME" w:bidi="en-US"/>
              </w:rPr>
              <w:t>ij</w:t>
            </w:r>
            <w:r w:rsidRPr="00F85CA6">
              <w:rPr>
                <w:rFonts w:eastAsia="Calibri"/>
                <w:sz w:val="22"/>
                <w:szCs w:val="22"/>
                <w:lang w:val="sr-Latn-ME" w:bidi="en-US"/>
              </w:rPr>
              <w:t>ednosti dabigatrana za oko 30%. Pantoprazol i drugi inhibitori protonske pumpe (PPI) bili su istovremeno prim</w:t>
            </w:r>
            <w:r w:rsidR="0043168A" w:rsidRPr="00F85CA6">
              <w:rPr>
                <w:rFonts w:eastAsia="Calibri"/>
                <w:sz w:val="22"/>
                <w:szCs w:val="22"/>
                <w:lang w:val="sr-Latn-ME" w:bidi="en-US"/>
              </w:rPr>
              <w:t>i</w:t>
            </w:r>
            <w:r w:rsidR="00AC2F37" w:rsidRPr="00F85CA6">
              <w:rPr>
                <w:rFonts w:eastAsia="Calibri"/>
                <w:sz w:val="22"/>
                <w:szCs w:val="22"/>
                <w:lang w:val="sr-Latn-ME" w:bidi="en-US"/>
              </w:rPr>
              <w:t>j</w:t>
            </w:r>
            <w:r w:rsidRPr="00F85CA6">
              <w:rPr>
                <w:rFonts w:eastAsia="Calibri"/>
                <w:sz w:val="22"/>
                <w:szCs w:val="22"/>
                <w:lang w:val="sr-Latn-ME" w:bidi="en-US"/>
              </w:rPr>
              <w:t>enjivani sa dabigatrane</w:t>
            </w:r>
            <w:r w:rsidR="0025051C" w:rsidRPr="00F85CA6">
              <w:rPr>
                <w:rFonts w:eastAsia="Calibri"/>
                <w:sz w:val="22"/>
                <w:szCs w:val="22"/>
                <w:lang w:val="sr-Latn-ME" w:bidi="en-US"/>
              </w:rPr>
              <w:t xml:space="preserve"> </w:t>
            </w:r>
            <w:r w:rsidRPr="00F85CA6">
              <w:rPr>
                <w:rFonts w:eastAsia="Calibri"/>
                <w:sz w:val="22"/>
                <w:szCs w:val="22"/>
                <w:lang w:val="sr-Latn-ME" w:bidi="en-US"/>
              </w:rPr>
              <w:t>teksilatom u kliničkim ispitivanjima, a istovremena prim</w:t>
            </w:r>
            <w:r w:rsidR="00AC2F37" w:rsidRPr="00F85CA6">
              <w:rPr>
                <w:rFonts w:eastAsia="Calibri"/>
                <w:sz w:val="22"/>
                <w:szCs w:val="22"/>
                <w:lang w:val="sr-Latn-ME" w:bidi="en-US"/>
              </w:rPr>
              <w:t>j</w:t>
            </w:r>
            <w:r w:rsidRPr="00F85CA6">
              <w:rPr>
                <w:rFonts w:eastAsia="Calibri"/>
                <w:sz w:val="22"/>
                <w:szCs w:val="22"/>
                <w:lang w:val="sr-Latn-ME" w:bidi="en-US"/>
              </w:rPr>
              <w:t>ena PPI izgleda nije uticala na smanjenje efikasnosti dabigatraneteksilata.</w:t>
            </w:r>
          </w:p>
        </w:tc>
      </w:tr>
      <w:tr w:rsidR="00D66267" w:rsidRPr="00F85CA6" w14:paraId="492C7D16" w14:textId="77777777" w:rsidTr="001239C3">
        <w:trPr>
          <w:trHeight w:val="20"/>
          <w:jc w:val="center"/>
        </w:trPr>
        <w:tc>
          <w:tcPr>
            <w:tcW w:w="836" w:type="pct"/>
            <w:tcBorders>
              <w:top w:val="single" w:sz="4" w:space="0" w:color="auto"/>
              <w:left w:val="single" w:sz="4" w:space="0" w:color="auto"/>
              <w:bottom w:val="single" w:sz="4" w:space="0" w:color="auto"/>
            </w:tcBorders>
            <w:shd w:val="clear" w:color="auto" w:fill="auto"/>
          </w:tcPr>
          <w:p w14:paraId="097DAD4A" w14:textId="77777777" w:rsidR="00D66267" w:rsidRPr="00F85CA6" w:rsidRDefault="00D66267" w:rsidP="00D66267">
            <w:pPr>
              <w:jc w:val="both"/>
              <w:rPr>
                <w:rFonts w:eastAsia="Calibri"/>
                <w:sz w:val="22"/>
                <w:szCs w:val="22"/>
                <w:lang w:val="sr-Latn-ME" w:bidi="en-US"/>
              </w:rPr>
            </w:pPr>
            <w:r w:rsidRPr="00F85CA6">
              <w:rPr>
                <w:rFonts w:eastAsia="Calibri"/>
                <w:sz w:val="22"/>
                <w:szCs w:val="22"/>
                <w:lang w:val="sr-Latn-ME" w:bidi="en-US"/>
              </w:rPr>
              <w:t>Ranitidin</w:t>
            </w:r>
          </w:p>
        </w:tc>
        <w:tc>
          <w:tcPr>
            <w:tcW w:w="4164" w:type="pct"/>
            <w:tcBorders>
              <w:top w:val="single" w:sz="4" w:space="0" w:color="auto"/>
              <w:left w:val="single" w:sz="4" w:space="0" w:color="auto"/>
              <w:bottom w:val="single" w:sz="4" w:space="0" w:color="auto"/>
              <w:right w:val="single" w:sz="4" w:space="0" w:color="auto"/>
            </w:tcBorders>
            <w:shd w:val="clear" w:color="auto" w:fill="auto"/>
            <w:vAlign w:val="bottom"/>
          </w:tcPr>
          <w:p w14:paraId="356D9CFE" w14:textId="10DFFC7A" w:rsidR="00D66267" w:rsidRPr="00F85CA6" w:rsidRDefault="00D66267" w:rsidP="00D66267">
            <w:pPr>
              <w:jc w:val="both"/>
              <w:rPr>
                <w:rFonts w:eastAsia="Calibri"/>
                <w:sz w:val="22"/>
                <w:szCs w:val="22"/>
                <w:lang w:val="sr-Latn-ME" w:bidi="en-US"/>
              </w:rPr>
            </w:pPr>
            <w:r w:rsidRPr="00F85CA6">
              <w:rPr>
                <w:rFonts w:eastAsia="Calibri"/>
                <w:sz w:val="22"/>
                <w:szCs w:val="22"/>
                <w:lang w:val="sr-Latn-ME" w:bidi="en-US"/>
              </w:rPr>
              <w:t>Ranitidin prim</w:t>
            </w:r>
            <w:r w:rsidR="00300352" w:rsidRPr="00F85CA6">
              <w:rPr>
                <w:rFonts w:eastAsia="Calibri"/>
                <w:sz w:val="22"/>
                <w:szCs w:val="22"/>
                <w:lang w:val="sr-Latn-ME" w:bidi="en-US"/>
              </w:rPr>
              <w:t>i</w:t>
            </w:r>
            <w:r w:rsidR="00AC2F37" w:rsidRPr="00F85CA6">
              <w:rPr>
                <w:rFonts w:eastAsia="Calibri"/>
                <w:sz w:val="22"/>
                <w:szCs w:val="22"/>
                <w:lang w:val="sr-Latn-ME" w:bidi="en-US"/>
              </w:rPr>
              <w:t>j</w:t>
            </w:r>
            <w:r w:rsidRPr="00F85CA6">
              <w:rPr>
                <w:rFonts w:eastAsia="Calibri"/>
                <w:sz w:val="22"/>
                <w:szCs w:val="22"/>
                <w:lang w:val="sr-Latn-ME" w:bidi="en-US"/>
              </w:rPr>
              <w:t>enjen zajedno sa dabigatrane</w:t>
            </w:r>
            <w:r w:rsidR="0025051C" w:rsidRPr="00F85CA6">
              <w:rPr>
                <w:rFonts w:eastAsia="Calibri"/>
                <w:sz w:val="22"/>
                <w:szCs w:val="22"/>
                <w:lang w:val="sr-Latn-ME" w:bidi="en-US"/>
              </w:rPr>
              <w:t xml:space="preserve"> </w:t>
            </w:r>
            <w:r w:rsidRPr="00F85CA6">
              <w:rPr>
                <w:rFonts w:eastAsia="Calibri"/>
                <w:sz w:val="22"/>
                <w:szCs w:val="22"/>
                <w:lang w:val="sr-Latn-ME" w:bidi="en-US"/>
              </w:rPr>
              <w:t>teksilatom nije imao klinički značajno dejstvo na stepen resorpcije dabigatrana.</w:t>
            </w:r>
          </w:p>
        </w:tc>
      </w:tr>
    </w:tbl>
    <w:p w14:paraId="4AC79367" w14:textId="77777777" w:rsidR="00D66267" w:rsidRPr="00F85CA6" w:rsidRDefault="00D66267" w:rsidP="00D66267">
      <w:pPr>
        <w:jc w:val="both"/>
        <w:rPr>
          <w:rFonts w:eastAsia="Calibri"/>
          <w:sz w:val="22"/>
          <w:szCs w:val="22"/>
          <w:u w:val="single"/>
          <w:lang w:val="sr-Latn-ME" w:bidi="en-US"/>
        </w:rPr>
      </w:pPr>
    </w:p>
    <w:p w14:paraId="656EAB29" w14:textId="2607D5B6" w:rsidR="00D66267" w:rsidRPr="00F85CA6" w:rsidRDefault="00D66267" w:rsidP="00D66267">
      <w:pPr>
        <w:jc w:val="both"/>
        <w:rPr>
          <w:rFonts w:eastAsia="Calibri"/>
          <w:sz w:val="22"/>
          <w:szCs w:val="22"/>
          <w:lang w:val="sr-Latn-ME" w:bidi="en-US"/>
        </w:rPr>
      </w:pPr>
      <w:r w:rsidRPr="00F85CA6">
        <w:rPr>
          <w:rFonts w:eastAsia="Calibri"/>
          <w:sz w:val="22"/>
          <w:szCs w:val="22"/>
          <w:u w:val="single"/>
          <w:lang w:val="sr-Latn-ME" w:bidi="en-US"/>
        </w:rPr>
        <w:t>Interakcije povezane sa metaboličkim profilom dabigatraneteksilata i dabigatrana</w:t>
      </w:r>
    </w:p>
    <w:p w14:paraId="61A92E71" w14:textId="77777777" w:rsidR="00D66267" w:rsidRPr="00F85CA6" w:rsidRDefault="00D66267" w:rsidP="00D66267">
      <w:pPr>
        <w:jc w:val="both"/>
        <w:rPr>
          <w:rFonts w:eastAsia="Calibri"/>
          <w:sz w:val="22"/>
          <w:szCs w:val="22"/>
          <w:lang w:val="sr-Latn-ME"/>
        </w:rPr>
      </w:pPr>
    </w:p>
    <w:p w14:paraId="32678A21" w14:textId="2CB2DA5E" w:rsidR="00D66267" w:rsidRPr="00F85CA6" w:rsidRDefault="00D66267" w:rsidP="00D66267">
      <w:pPr>
        <w:jc w:val="both"/>
        <w:rPr>
          <w:rFonts w:eastAsia="Calibri"/>
          <w:sz w:val="22"/>
          <w:szCs w:val="22"/>
          <w:lang w:val="sr-Latn-ME"/>
        </w:rPr>
      </w:pPr>
      <w:r w:rsidRPr="00F85CA6">
        <w:rPr>
          <w:rFonts w:eastAsia="Calibri"/>
          <w:sz w:val="22"/>
          <w:szCs w:val="22"/>
          <w:lang w:val="sr-Latn-ME"/>
        </w:rPr>
        <w:t>Dabigatrane</w:t>
      </w:r>
      <w:r w:rsidR="009D16CF" w:rsidRPr="00F85CA6">
        <w:rPr>
          <w:rFonts w:eastAsia="Calibri"/>
          <w:sz w:val="22"/>
          <w:szCs w:val="22"/>
          <w:lang w:val="sr-Latn-ME"/>
        </w:rPr>
        <w:t xml:space="preserve"> </w:t>
      </w:r>
      <w:r w:rsidRPr="00F85CA6">
        <w:rPr>
          <w:rFonts w:eastAsia="Calibri"/>
          <w:sz w:val="22"/>
          <w:szCs w:val="22"/>
          <w:lang w:val="sr-Latn-ME"/>
        </w:rPr>
        <w:t xml:space="preserve">teksilat i dabigatran se ne metabolišu pomoću citohrom P450 sistema i nemaju </w:t>
      </w:r>
      <w:r w:rsidRPr="00F85CA6">
        <w:rPr>
          <w:rFonts w:eastAsia="Calibri"/>
          <w:i/>
          <w:sz w:val="22"/>
          <w:szCs w:val="22"/>
          <w:lang w:val="sr-Latn-ME"/>
        </w:rPr>
        <w:t>in vitro</w:t>
      </w:r>
      <w:r w:rsidRPr="00F85CA6">
        <w:rPr>
          <w:rFonts w:eastAsia="Calibri"/>
          <w:sz w:val="22"/>
          <w:szCs w:val="22"/>
          <w:lang w:val="sr-Latn-ME"/>
        </w:rPr>
        <w:t xml:space="preserve"> dejstva na enzime humanog citohroma P450. Zbog toga se ne očekuju interakcije srodnih l</w:t>
      </w:r>
      <w:r w:rsidR="00AC2F37" w:rsidRPr="00F85CA6">
        <w:rPr>
          <w:rFonts w:eastAsia="Calibri"/>
          <w:sz w:val="22"/>
          <w:szCs w:val="22"/>
          <w:lang w:val="sr-Latn-ME"/>
        </w:rPr>
        <w:t>j</w:t>
      </w:r>
      <w:r w:rsidRPr="00F85CA6">
        <w:rPr>
          <w:rFonts w:eastAsia="Calibri"/>
          <w:sz w:val="22"/>
          <w:szCs w:val="22"/>
          <w:lang w:val="sr-Latn-ME"/>
        </w:rPr>
        <w:t>ekova sa dabigatranom.</w:t>
      </w:r>
    </w:p>
    <w:p w14:paraId="492AEF1A" w14:textId="77777777" w:rsidR="00D66267" w:rsidRPr="00F85CA6" w:rsidRDefault="00D66267" w:rsidP="00D66267">
      <w:pPr>
        <w:jc w:val="both"/>
        <w:rPr>
          <w:rFonts w:eastAsia="Calibri"/>
          <w:sz w:val="22"/>
          <w:szCs w:val="22"/>
          <w:lang w:val="sr-Latn-ME"/>
        </w:rPr>
      </w:pPr>
    </w:p>
    <w:p w14:paraId="0F238D7E" w14:textId="77777777" w:rsidR="00D66267" w:rsidRPr="00F85CA6" w:rsidRDefault="00D66267" w:rsidP="00D66267">
      <w:pPr>
        <w:jc w:val="both"/>
        <w:rPr>
          <w:rFonts w:eastAsia="Calibri"/>
          <w:sz w:val="22"/>
          <w:szCs w:val="22"/>
          <w:u w:val="single"/>
          <w:lang w:val="sr-Latn-ME"/>
        </w:rPr>
      </w:pPr>
      <w:r w:rsidRPr="00F85CA6">
        <w:rPr>
          <w:rFonts w:eastAsia="Calibri"/>
          <w:sz w:val="22"/>
          <w:szCs w:val="22"/>
          <w:u w:val="single"/>
          <w:lang w:val="sr-Latn-ME"/>
        </w:rPr>
        <w:t>Pedijatrijska populacija</w:t>
      </w:r>
    </w:p>
    <w:p w14:paraId="61F7D477" w14:textId="77777777" w:rsidR="00D66267" w:rsidRPr="00F85CA6" w:rsidRDefault="00D66267" w:rsidP="00D66267">
      <w:pPr>
        <w:jc w:val="both"/>
        <w:rPr>
          <w:rFonts w:eastAsia="Calibri"/>
          <w:sz w:val="22"/>
          <w:szCs w:val="22"/>
          <w:lang w:val="sr-Latn-ME"/>
        </w:rPr>
      </w:pPr>
    </w:p>
    <w:p w14:paraId="7B9ED42F" w14:textId="77777777" w:rsidR="00D66267" w:rsidRPr="00F85CA6" w:rsidRDefault="00D66267" w:rsidP="00D66267">
      <w:pPr>
        <w:jc w:val="both"/>
        <w:rPr>
          <w:rFonts w:eastAsia="Calibri"/>
          <w:sz w:val="22"/>
          <w:szCs w:val="22"/>
          <w:lang w:val="sr-Latn-ME"/>
        </w:rPr>
      </w:pPr>
      <w:r w:rsidRPr="00F85CA6">
        <w:rPr>
          <w:rFonts w:eastAsia="Calibri"/>
          <w:sz w:val="22"/>
          <w:szCs w:val="22"/>
          <w:lang w:val="sr-Latn-ME"/>
        </w:rPr>
        <w:t>Studije interakcija bile su sprovedene samo kod odraslih osoba.</w:t>
      </w:r>
    </w:p>
    <w:p w14:paraId="68909A7D" w14:textId="77777777" w:rsidR="00D66267" w:rsidRPr="00F85CA6" w:rsidRDefault="00D66267" w:rsidP="00480FB1">
      <w:pPr>
        <w:tabs>
          <w:tab w:val="left" w:pos="540"/>
          <w:tab w:val="left" w:pos="569"/>
        </w:tabs>
        <w:rPr>
          <w:bCs/>
          <w:sz w:val="22"/>
          <w:szCs w:val="22"/>
          <w:lang w:val="sr-Latn-ME"/>
        </w:rPr>
      </w:pPr>
    </w:p>
    <w:p w14:paraId="5BE015E6" w14:textId="77777777" w:rsidR="0072020E" w:rsidRPr="00F85CA6" w:rsidRDefault="0072020E" w:rsidP="00480FB1">
      <w:pPr>
        <w:tabs>
          <w:tab w:val="left" w:pos="540"/>
          <w:tab w:val="left" w:pos="569"/>
        </w:tabs>
        <w:rPr>
          <w:b/>
          <w:sz w:val="22"/>
          <w:szCs w:val="22"/>
          <w:lang w:val="sr-Latn-ME"/>
        </w:rPr>
      </w:pPr>
      <w:r w:rsidRPr="00F85CA6">
        <w:rPr>
          <w:b/>
          <w:bCs/>
          <w:sz w:val="22"/>
          <w:szCs w:val="22"/>
          <w:lang w:val="sr-Latn-ME"/>
        </w:rPr>
        <w:t xml:space="preserve">4.6. </w:t>
      </w:r>
      <w:r w:rsidR="00480FB1" w:rsidRPr="00F85CA6">
        <w:rPr>
          <w:b/>
          <w:bCs/>
          <w:sz w:val="22"/>
          <w:szCs w:val="22"/>
          <w:lang w:val="sr-Latn-ME"/>
        </w:rPr>
        <w:tab/>
      </w:r>
      <w:r w:rsidR="006D20A5" w:rsidRPr="00F85CA6">
        <w:rPr>
          <w:b/>
          <w:sz w:val="22"/>
          <w:szCs w:val="22"/>
          <w:lang w:val="sr-Latn-ME"/>
        </w:rPr>
        <w:t>Plodnost, trudnoća i dojenje</w:t>
      </w:r>
    </w:p>
    <w:p w14:paraId="3EB5087F" w14:textId="77777777" w:rsidR="002031B3" w:rsidRPr="00F85CA6" w:rsidRDefault="002031B3" w:rsidP="00480FB1">
      <w:pPr>
        <w:tabs>
          <w:tab w:val="left" w:pos="540"/>
          <w:tab w:val="left" w:pos="569"/>
        </w:tabs>
        <w:rPr>
          <w:sz w:val="22"/>
          <w:szCs w:val="22"/>
          <w:u w:val="single"/>
          <w:lang w:val="sr-Latn-ME"/>
        </w:rPr>
      </w:pPr>
    </w:p>
    <w:p w14:paraId="0A8930CC" w14:textId="77777777" w:rsidR="000C7DC7" w:rsidRPr="00F85CA6" w:rsidRDefault="000C7DC7" w:rsidP="000C7DC7">
      <w:pPr>
        <w:jc w:val="both"/>
        <w:rPr>
          <w:rFonts w:eastAsia="Calibri"/>
          <w:sz w:val="22"/>
          <w:szCs w:val="22"/>
          <w:lang w:val="sr-Latn-ME" w:bidi="en-US"/>
        </w:rPr>
      </w:pPr>
      <w:r w:rsidRPr="00F85CA6">
        <w:rPr>
          <w:rFonts w:eastAsia="Calibri"/>
          <w:sz w:val="22"/>
          <w:szCs w:val="22"/>
          <w:u w:val="single"/>
          <w:lang w:val="sr-Latn-ME" w:bidi="en-US"/>
        </w:rPr>
        <w:t>Žene u reproduktivnom periodu</w:t>
      </w:r>
    </w:p>
    <w:p w14:paraId="4C21B67C" w14:textId="77777777" w:rsidR="000C7DC7" w:rsidRPr="00F85CA6" w:rsidRDefault="000C7DC7" w:rsidP="000C7DC7">
      <w:pPr>
        <w:jc w:val="both"/>
        <w:rPr>
          <w:rFonts w:eastAsia="Calibri"/>
          <w:sz w:val="22"/>
          <w:szCs w:val="22"/>
          <w:lang w:val="sr-Latn-ME" w:bidi="en-US"/>
        </w:rPr>
      </w:pPr>
    </w:p>
    <w:p w14:paraId="71AD9C2D" w14:textId="380764B0" w:rsidR="000C7DC7" w:rsidRPr="00F85CA6" w:rsidRDefault="000C7DC7" w:rsidP="000C7DC7">
      <w:pPr>
        <w:jc w:val="both"/>
        <w:rPr>
          <w:rFonts w:eastAsia="Calibri"/>
          <w:sz w:val="22"/>
          <w:szCs w:val="22"/>
          <w:lang w:val="sr-Latn-ME" w:bidi="en-US"/>
        </w:rPr>
      </w:pPr>
      <w:r w:rsidRPr="00F85CA6">
        <w:rPr>
          <w:rFonts w:eastAsia="Calibri"/>
          <w:sz w:val="22"/>
          <w:szCs w:val="22"/>
          <w:lang w:val="sr-Latn-ME" w:bidi="en-US"/>
        </w:rPr>
        <w:t xml:space="preserve">Žene u reproduktivnom periodu </w:t>
      </w:r>
      <w:r w:rsidR="009D16CF" w:rsidRPr="00F85CA6">
        <w:rPr>
          <w:rFonts w:eastAsia="Calibri"/>
          <w:sz w:val="22"/>
          <w:szCs w:val="22"/>
          <w:lang w:val="sr-Latn-ME" w:bidi="en-US"/>
        </w:rPr>
        <w:t>moraju</w:t>
      </w:r>
      <w:r w:rsidRPr="00F85CA6">
        <w:rPr>
          <w:rFonts w:eastAsia="Calibri"/>
          <w:sz w:val="22"/>
          <w:szCs w:val="22"/>
          <w:lang w:val="sr-Latn-ME" w:bidi="en-US"/>
        </w:rPr>
        <w:t xml:space="preserve"> izbjegava</w:t>
      </w:r>
      <w:r w:rsidR="009D16CF" w:rsidRPr="00F85CA6">
        <w:rPr>
          <w:rFonts w:eastAsia="Calibri"/>
          <w:sz w:val="22"/>
          <w:szCs w:val="22"/>
          <w:lang w:val="sr-Latn-ME" w:bidi="en-US"/>
        </w:rPr>
        <w:t>ti</w:t>
      </w:r>
      <w:r w:rsidRPr="00F85CA6">
        <w:rPr>
          <w:rFonts w:eastAsia="Calibri"/>
          <w:sz w:val="22"/>
          <w:szCs w:val="22"/>
          <w:lang w:val="sr-Latn-ME" w:bidi="en-US"/>
        </w:rPr>
        <w:t xml:space="preserve"> trudnoću tokom terapije l</w:t>
      </w:r>
      <w:r w:rsidR="000D47A9" w:rsidRPr="00F85CA6">
        <w:rPr>
          <w:rFonts w:eastAsia="Calibri"/>
          <w:sz w:val="22"/>
          <w:szCs w:val="22"/>
          <w:lang w:val="sr-Latn-ME" w:bidi="en-US"/>
        </w:rPr>
        <w:t>ij</w:t>
      </w:r>
      <w:r w:rsidRPr="00F85CA6">
        <w:rPr>
          <w:rFonts w:eastAsia="Calibri"/>
          <w:sz w:val="22"/>
          <w:szCs w:val="22"/>
          <w:lang w:val="sr-Latn-ME" w:bidi="en-US"/>
        </w:rPr>
        <w:t>ekom BEREVIN.</w:t>
      </w:r>
    </w:p>
    <w:p w14:paraId="3056BC79" w14:textId="77777777" w:rsidR="000C7DC7" w:rsidRPr="00F85CA6" w:rsidRDefault="000C7DC7" w:rsidP="002031B3">
      <w:pPr>
        <w:tabs>
          <w:tab w:val="left" w:pos="540"/>
          <w:tab w:val="left" w:pos="569"/>
        </w:tabs>
        <w:rPr>
          <w:sz w:val="22"/>
          <w:szCs w:val="22"/>
          <w:u w:val="single"/>
          <w:lang w:val="sr-Latn-ME"/>
        </w:rPr>
      </w:pPr>
    </w:p>
    <w:p w14:paraId="71CADA6A" w14:textId="77777777" w:rsidR="007E29AA" w:rsidRPr="00F85CA6" w:rsidRDefault="007E29AA" w:rsidP="007E29AA">
      <w:pPr>
        <w:jc w:val="both"/>
        <w:rPr>
          <w:rFonts w:eastAsia="Calibri"/>
          <w:sz w:val="22"/>
          <w:szCs w:val="22"/>
          <w:lang w:val="sr-Latn-ME" w:bidi="en-US"/>
        </w:rPr>
      </w:pPr>
      <w:r w:rsidRPr="00F85CA6">
        <w:rPr>
          <w:rFonts w:eastAsia="Calibri"/>
          <w:sz w:val="22"/>
          <w:szCs w:val="22"/>
          <w:u w:val="single"/>
          <w:lang w:val="sr-Latn-ME" w:bidi="en-US"/>
        </w:rPr>
        <w:t>Trudnoća</w:t>
      </w:r>
    </w:p>
    <w:p w14:paraId="0E2A01FB" w14:textId="77777777" w:rsidR="007E29AA" w:rsidRPr="00F85CA6" w:rsidRDefault="007E29AA" w:rsidP="007E29AA">
      <w:pPr>
        <w:jc w:val="both"/>
        <w:rPr>
          <w:rFonts w:eastAsia="Calibri"/>
          <w:sz w:val="22"/>
          <w:szCs w:val="22"/>
          <w:lang w:val="sr-Latn-ME"/>
        </w:rPr>
      </w:pPr>
    </w:p>
    <w:p w14:paraId="7C9ABC31" w14:textId="37B1EEA7" w:rsidR="007E29AA" w:rsidRPr="00F85CA6" w:rsidRDefault="007E29AA" w:rsidP="007E29AA">
      <w:pPr>
        <w:jc w:val="both"/>
        <w:rPr>
          <w:rFonts w:eastAsia="Calibri"/>
          <w:sz w:val="22"/>
          <w:szCs w:val="22"/>
          <w:lang w:val="sr-Latn-ME"/>
        </w:rPr>
      </w:pPr>
      <w:r w:rsidRPr="00F85CA6">
        <w:rPr>
          <w:rFonts w:eastAsia="Calibri"/>
          <w:sz w:val="22"/>
          <w:szCs w:val="22"/>
          <w:lang w:val="sr-Latn-ME"/>
        </w:rPr>
        <w:t>Podaci o primjeni dabigatraneteksilata kod trudnica su ograničeni.</w:t>
      </w:r>
    </w:p>
    <w:p w14:paraId="5732A4FA" w14:textId="1BEAF631" w:rsidR="007E29AA" w:rsidRPr="00F85CA6" w:rsidRDefault="007E29AA" w:rsidP="007E29AA">
      <w:pPr>
        <w:jc w:val="both"/>
        <w:rPr>
          <w:rFonts w:eastAsia="Calibri"/>
          <w:sz w:val="22"/>
          <w:szCs w:val="22"/>
          <w:lang w:val="sr-Latn-ME"/>
        </w:rPr>
      </w:pPr>
      <w:r w:rsidRPr="00F85CA6">
        <w:rPr>
          <w:rFonts w:eastAsia="Calibri"/>
          <w:sz w:val="22"/>
          <w:szCs w:val="22"/>
          <w:lang w:val="sr-Latn-ME"/>
        </w:rPr>
        <w:t xml:space="preserve">Ispitivanja na životinjama su pokazala reproduktivnu toksičnost (vidjeti </w:t>
      </w:r>
      <w:r w:rsidR="00300352" w:rsidRPr="00F85CA6">
        <w:rPr>
          <w:rFonts w:eastAsia="Calibri"/>
          <w:sz w:val="22"/>
          <w:szCs w:val="22"/>
          <w:lang w:val="sr-Latn-ME"/>
        </w:rPr>
        <w:t>dio</w:t>
      </w:r>
      <w:r w:rsidRPr="00F85CA6">
        <w:rPr>
          <w:rFonts w:eastAsia="Calibri"/>
          <w:sz w:val="22"/>
          <w:szCs w:val="22"/>
          <w:lang w:val="sr-Latn-ME"/>
        </w:rPr>
        <w:t xml:space="preserve"> 5.3). Potencijalni rizik za ljude nije poznat.</w:t>
      </w:r>
    </w:p>
    <w:p w14:paraId="4CEFEA5A" w14:textId="77777777" w:rsidR="007E29AA" w:rsidRPr="00F85CA6" w:rsidRDefault="007E29AA" w:rsidP="007E29AA">
      <w:pPr>
        <w:jc w:val="both"/>
        <w:rPr>
          <w:rFonts w:eastAsia="Calibri"/>
          <w:sz w:val="22"/>
          <w:szCs w:val="22"/>
          <w:lang w:val="sr-Latn-ME"/>
        </w:rPr>
      </w:pPr>
    </w:p>
    <w:p w14:paraId="2AFE6F3D" w14:textId="0EAE7953" w:rsidR="007E29AA" w:rsidRPr="00F85CA6" w:rsidRDefault="007E29AA" w:rsidP="007E29AA">
      <w:pPr>
        <w:jc w:val="both"/>
        <w:rPr>
          <w:rFonts w:eastAsia="Calibri"/>
          <w:sz w:val="22"/>
          <w:szCs w:val="22"/>
          <w:lang w:val="sr-Latn-ME"/>
        </w:rPr>
      </w:pPr>
      <w:r w:rsidRPr="00F85CA6">
        <w:rPr>
          <w:rFonts w:eastAsia="Calibri"/>
          <w:sz w:val="22"/>
          <w:szCs w:val="22"/>
          <w:lang w:val="sr-Latn-ME"/>
        </w:rPr>
        <w:t>L</w:t>
      </w:r>
      <w:r w:rsidR="000D47A9" w:rsidRPr="00F85CA6">
        <w:rPr>
          <w:rFonts w:eastAsia="Calibri"/>
          <w:sz w:val="22"/>
          <w:szCs w:val="22"/>
          <w:lang w:val="sr-Latn-ME"/>
        </w:rPr>
        <w:t>ij</w:t>
      </w:r>
      <w:r w:rsidRPr="00F85CA6">
        <w:rPr>
          <w:rFonts w:eastAsia="Calibri"/>
          <w:sz w:val="22"/>
          <w:szCs w:val="22"/>
          <w:lang w:val="sr-Latn-ME"/>
        </w:rPr>
        <w:t xml:space="preserve">ek BEREVIN ne </w:t>
      </w:r>
      <w:r w:rsidR="009D16CF" w:rsidRPr="00F85CA6">
        <w:rPr>
          <w:rFonts w:eastAsia="Calibri"/>
          <w:sz w:val="22"/>
          <w:szCs w:val="22"/>
          <w:lang w:val="sr-Latn-ME"/>
        </w:rPr>
        <w:t xml:space="preserve">smije se </w:t>
      </w:r>
      <w:r w:rsidRPr="00F85CA6">
        <w:rPr>
          <w:rFonts w:eastAsia="Calibri"/>
          <w:sz w:val="22"/>
          <w:szCs w:val="22"/>
          <w:lang w:val="sr-Latn-ME"/>
        </w:rPr>
        <w:t>koristiti tokom trudnoće, osim ukoliko za tim ne postoji jasna potreba.</w:t>
      </w:r>
    </w:p>
    <w:p w14:paraId="7DFE4A41" w14:textId="77777777" w:rsidR="007E29AA" w:rsidRPr="00F85CA6" w:rsidRDefault="007E29AA" w:rsidP="007E29AA">
      <w:pPr>
        <w:jc w:val="both"/>
        <w:rPr>
          <w:rFonts w:eastAsia="Calibri"/>
          <w:sz w:val="22"/>
          <w:szCs w:val="22"/>
          <w:lang w:val="sr-Latn-ME" w:bidi="en-US"/>
        </w:rPr>
      </w:pPr>
    </w:p>
    <w:p w14:paraId="1F738A50" w14:textId="77777777" w:rsidR="007E29AA" w:rsidRPr="00F85CA6" w:rsidRDefault="007E29AA" w:rsidP="007E29AA">
      <w:pPr>
        <w:jc w:val="both"/>
        <w:rPr>
          <w:rFonts w:eastAsia="Calibri"/>
          <w:sz w:val="22"/>
          <w:szCs w:val="22"/>
          <w:lang w:val="sr-Latn-ME" w:bidi="en-US"/>
        </w:rPr>
      </w:pPr>
      <w:r w:rsidRPr="00F85CA6">
        <w:rPr>
          <w:rFonts w:eastAsia="Calibri"/>
          <w:sz w:val="22"/>
          <w:szCs w:val="22"/>
          <w:u w:val="single"/>
          <w:lang w:val="sr-Latn-ME" w:bidi="en-US"/>
        </w:rPr>
        <w:t>Dojenje</w:t>
      </w:r>
    </w:p>
    <w:p w14:paraId="2E8DEBB7" w14:textId="77777777" w:rsidR="007E29AA" w:rsidRPr="00F85CA6" w:rsidRDefault="007E29AA" w:rsidP="007E29AA">
      <w:pPr>
        <w:jc w:val="both"/>
        <w:rPr>
          <w:rFonts w:eastAsia="Calibri"/>
          <w:sz w:val="22"/>
          <w:szCs w:val="22"/>
          <w:lang w:val="sr-Latn-ME"/>
        </w:rPr>
      </w:pPr>
    </w:p>
    <w:p w14:paraId="15989E5B" w14:textId="77777777" w:rsidR="007E29AA" w:rsidRPr="00F85CA6" w:rsidRDefault="007E29AA" w:rsidP="007E29AA">
      <w:pPr>
        <w:jc w:val="both"/>
        <w:rPr>
          <w:rFonts w:eastAsia="Calibri"/>
          <w:sz w:val="22"/>
          <w:szCs w:val="22"/>
          <w:lang w:val="sr-Latn-ME"/>
        </w:rPr>
      </w:pPr>
      <w:r w:rsidRPr="00F85CA6">
        <w:rPr>
          <w:rFonts w:eastAsia="Calibri"/>
          <w:sz w:val="22"/>
          <w:szCs w:val="22"/>
          <w:lang w:val="sr-Latn-ME"/>
        </w:rPr>
        <w:t xml:space="preserve">Ne postoje klinički podaci o dejstvu dabigatrana na odojčad tokom dojenja. </w:t>
      </w:r>
    </w:p>
    <w:p w14:paraId="1AFFB87E" w14:textId="30A4C7C1" w:rsidR="007E29AA" w:rsidRPr="00F85CA6" w:rsidRDefault="007E29AA" w:rsidP="007E29AA">
      <w:pPr>
        <w:jc w:val="both"/>
        <w:rPr>
          <w:rFonts w:eastAsia="Calibri"/>
          <w:sz w:val="22"/>
          <w:szCs w:val="22"/>
          <w:lang w:val="sr-Latn-ME" w:bidi="en-US"/>
        </w:rPr>
      </w:pPr>
      <w:r w:rsidRPr="00F85CA6">
        <w:rPr>
          <w:rFonts w:eastAsia="Calibri"/>
          <w:sz w:val="22"/>
          <w:szCs w:val="22"/>
          <w:lang w:val="sr-Latn-ME"/>
        </w:rPr>
        <w:t>Dojenje treba prekinuti za vr</w:t>
      </w:r>
      <w:r w:rsidR="003B1B8B" w:rsidRPr="00F85CA6">
        <w:rPr>
          <w:rFonts w:eastAsia="Calibri"/>
          <w:sz w:val="22"/>
          <w:szCs w:val="22"/>
          <w:lang w:val="sr-Latn-ME"/>
        </w:rPr>
        <w:t>ij</w:t>
      </w:r>
      <w:r w:rsidRPr="00F85CA6">
        <w:rPr>
          <w:rFonts w:eastAsia="Calibri"/>
          <w:sz w:val="22"/>
          <w:szCs w:val="22"/>
          <w:lang w:val="sr-Latn-ME"/>
        </w:rPr>
        <w:t>eme terapije l</w:t>
      </w:r>
      <w:r w:rsidR="000D47A9" w:rsidRPr="00F85CA6">
        <w:rPr>
          <w:rFonts w:eastAsia="Calibri"/>
          <w:sz w:val="22"/>
          <w:szCs w:val="22"/>
          <w:lang w:val="sr-Latn-ME"/>
        </w:rPr>
        <w:t>ij</w:t>
      </w:r>
      <w:r w:rsidRPr="00F85CA6">
        <w:rPr>
          <w:rFonts w:eastAsia="Calibri"/>
          <w:sz w:val="22"/>
          <w:szCs w:val="22"/>
          <w:lang w:val="sr-Latn-ME"/>
        </w:rPr>
        <w:t xml:space="preserve">ekom </w:t>
      </w:r>
      <w:r w:rsidRPr="00F85CA6">
        <w:rPr>
          <w:rFonts w:eastAsia="Calibri"/>
          <w:sz w:val="22"/>
          <w:szCs w:val="22"/>
          <w:lang w:val="sr-Latn-ME" w:bidi="en-US"/>
        </w:rPr>
        <w:t>BEREVIN.</w:t>
      </w:r>
    </w:p>
    <w:p w14:paraId="5F556C6C" w14:textId="77777777" w:rsidR="007E29AA" w:rsidRPr="00F85CA6" w:rsidRDefault="007E29AA" w:rsidP="007E29AA">
      <w:pPr>
        <w:jc w:val="both"/>
        <w:rPr>
          <w:rFonts w:eastAsia="Calibri"/>
          <w:sz w:val="22"/>
          <w:szCs w:val="22"/>
          <w:lang w:val="sr-Latn-ME" w:bidi="en-US"/>
        </w:rPr>
      </w:pPr>
    </w:p>
    <w:p w14:paraId="6B2D6358" w14:textId="77777777" w:rsidR="007E29AA" w:rsidRPr="00F85CA6" w:rsidRDefault="007E29AA" w:rsidP="007E29AA">
      <w:pPr>
        <w:jc w:val="both"/>
        <w:rPr>
          <w:rFonts w:eastAsia="Calibri"/>
          <w:sz w:val="22"/>
          <w:szCs w:val="22"/>
          <w:u w:val="single"/>
          <w:lang w:val="sr-Latn-ME" w:bidi="en-US"/>
        </w:rPr>
      </w:pPr>
      <w:r w:rsidRPr="00F85CA6">
        <w:rPr>
          <w:rFonts w:eastAsia="Calibri"/>
          <w:sz w:val="22"/>
          <w:szCs w:val="22"/>
          <w:u w:val="single"/>
          <w:lang w:val="sr-Latn-ME" w:bidi="en-US"/>
        </w:rPr>
        <w:t>Plodnost</w:t>
      </w:r>
    </w:p>
    <w:p w14:paraId="47490754" w14:textId="77777777" w:rsidR="007E29AA" w:rsidRPr="00F85CA6" w:rsidRDefault="007E29AA" w:rsidP="007E29AA">
      <w:pPr>
        <w:jc w:val="both"/>
        <w:rPr>
          <w:rFonts w:eastAsia="Calibri"/>
          <w:sz w:val="22"/>
          <w:szCs w:val="22"/>
          <w:lang w:val="sr-Latn-ME"/>
        </w:rPr>
      </w:pPr>
    </w:p>
    <w:p w14:paraId="57AAEBC5" w14:textId="77777777" w:rsidR="007E29AA" w:rsidRPr="00F85CA6" w:rsidRDefault="007E29AA" w:rsidP="007E29AA">
      <w:pPr>
        <w:jc w:val="both"/>
        <w:rPr>
          <w:rFonts w:eastAsia="Calibri"/>
          <w:sz w:val="22"/>
          <w:szCs w:val="22"/>
          <w:lang w:val="sr-Latn-ME"/>
        </w:rPr>
      </w:pPr>
      <w:r w:rsidRPr="00F85CA6">
        <w:rPr>
          <w:rFonts w:eastAsia="Calibri"/>
          <w:sz w:val="22"/>
          <w:szCs w:val="22"/>
          <w:lang w:val="sr-Latn-ME"/>
        </w:rPr>
        <w:t>Nema raspoloživih podataka za ljude.</w:t>
      </w:r>
    </w:p>
    <w:p w14:paraId="5323BEA1" w14:textId="77777777" w:rsidR="007E29AA" w:rsidRPr="00F85CA6" w:rsidRDefault="007E29AA" w:rsidP="007E29AA">
      <w:pPr>
        <w:jc w:val="both"/>
        <w:rPr>
          <w:rFonts w:eastAsia="Calibri"/>
          <w:sz w:val="22"/>
          <w:szCs w:val="22"/>
          <w:lang w:val="sr-Latn-ME"/>
        </w:rPr>
      </w:pPr>
    </w:p>
    <w:p w14:paraId="1D550D11" w14:textId="68694B89" w:rsidR="007E29AA" w:rsidRPr="00F85CA6" w:rsidRDefault="007E29AA" w:rsidP="007E29AA">
      <w:pPr>
        <w:jc w:val="both"/>
        <w:rPr>
          <w:rFonts w:eastAsia="Calibri"/>
          <w:sz w:val="22"/>
          <w:szCs w:val="22"/>
          <w:lang w:val="sr-Latn-ME"/>
        </w:rPr>
      </w:pPr>
      <w:r w:rsidRPr="00F85CA6">
        <w:rPr>
          <w:rFonts w:eastAsia="Calibri"/>
          <w:sz w:val="22"/>
          <w:szCs w:val="22"/>
          <w:lang w:val="sr-Latn-ME"/>
        </w:rPr>
        <w:t>U ispitivanjima na životinjama, uticaj na plodnost ženki je uočen u obliku smanjenja implantacija embriona i u povećanju gubitka embriona u preimplantaciji pri dozi od 70 mg/kg (što predstavlja 5 puta veći nivo izloženosti u plazmi u poređenju sa pacijentima). Ni</w:t>
      </w:r>
      <w:r w:rsidR="009D16CF" w:rsidRPr="00F85CA6">
        <w:rPr>
          <w:rFonts w:eastAsia="Calibri"/>
          <w:sz w:val="22"/>
          <w:szCs w:val="22"/>
          <w:lang w:val="sr-Latn-ME"/>
        </w:rPr>
        <w:t>je</w:t>
      </w:r>
      <w:r w:rsidRPr="00F85CA6">
        <w:rPr>
          <w:rFonts w:eastAsia="Calibri"/>
          <w:sz w:val="22"/>
          <w:szCs w:val="22"/>
          <w:lang w:val="sr-Latn-ME"/>
        </w:rPr>
        <w:t xml:space="preserve">su primijećena druga dejstva na plodnost </w:t>
      </w:r>
      <w:r w:rsidRPr="00F85CA6">
        <w:rPr>
          <w:rFonts w:eastAsia="Calibri"/>
          <w:sz w:val="22"/>
          <w:szCs w:val="22"/>
          <w:lang w:val="sr-Latn-ME"/>
        </w:rPr>
        <w:lastRenderedPageBreak/>
        <w:t>ženki. Nije bilo uticaja na plodnost mužjaka. Pri dozama koje su bile toksične za majke (što predstavlja 5</w:t>
      </w:r>
      <w:r w:rsidR="009D16CF" w:rsidRPr="00F85CA6">
        <w:rPr>
          <w:rFonts w:eastAsia="Calibri"/>
          <w:sz w:val="22"/>
          <w:szCs w:val="22"/>
          <w:lang w:val="sr-Latn-ME"/>
        </w:rPr>
        <w:t xml:space="preserve"> </w:t>
      </w:r>
      <w:r w:rsidRPr="00F85CA6">
        <w:rPr>
          <w:rFonts w:eastAsia="Calibri"/>
          <w:sz w:val="22"/>
          <w:szCs w:val="22"/>
          <w:lang w:val="sr-Latn-ME"/>
        </w:rPr>
        <w:t>-</w:t>
      </w:r>
      <w:r w:rsidR="009D16CF" w:rsidRPr="00F85CA6">
        <w:rPr>
          <w:rFonts w:eastAsia="Calibri"/>
          <w:sz w:val="22"/>
          <w:szCs w:val="22"/>
          <w:lang w:val="sr-Latn-ME"/>
        </w:rPr>
        <w:t xml:space="preserve"> </w:t>
      </w:r>
      <w:r w:rsidRPr="00F85CA6">
        <w:rPr>
          <w:rFonts w:eastAsia="Calibri"/>
          <w:sz w:val="22"/>
          <w:szCs w:val="22"/>
          <w:lang w:val="sr-Latn-ME"/>
        </w:rPr>
        <w:t>10 puta veću izloženost u plazmi nego kod pacijenata), smanjenje u fetalnoj tjelesnoj masi i embriofetalnoj vi</w:t>
      </w:r>
      <w:r w:rsidR="009D16CF" w:rsidRPr="00F85CA6">
        <w:rPr>
          <w:rFonts w:eastAsia="Calibri"/>
          <w:sz w:val="22"/>
          <w:szCs w:val="22"/>
          <w:lang w:val="sr-Latn-ME"/>
        </w:rPr>
        <w:t>j</w:t>
      </w:r>
      <w:r w:rsidRPr="00F85CA6">
        <w:rPr>
          <w:rFonts w:eastAsia="Calibri"/>
          <w:sz w:val="22"/>
          <w:szCs w:val="22"/>
          <w:lang w:val="sr-Latn-ME"/>
        </w:rPr>
        <w:t>abilnosti, zajedno sa povećanjem u fetalnim varijacijama su uočeni kod pacova i kunića. U pre-i postnatalnoj studiji, primijećeno je povećanje u fetalnom mortalitetu pri dozama koje su bile toksične kod ženki (doza koja odgovara</w:t>
      </w:r>
      <w:r w:rsidRPr="00F85CA6" w:rsidDel="00D947AF">
        <w:rPr>
          <w:rFonts w:eastAsia="Calibri"/>
          <w:sz w:val="22"/>
          <w:szCs w:val="22"/>
          <w:lang w:val="sr-Latn-ME"/>
        </w:rPr>
        <w:t xml:space="preserve"> </w:t>
      </w:r>
      <w:r w:rsidRPr="00F85CA6">
        <w:rPr>
          <w:rFonts w:eastAsia="Calibri"/>
          <w:sz w:val="22"/>
          <w:szCs w:val="22"/>
          <w:lang w:val="sr-Latn-ME"/>
        </w:rPr>
        <w:t xml:space="preserve">nivou izloženosti u plazmi 4 puta većem od onog uočenog kod pacijenata). </w:t>
      </w:r>
    </w:p>
    <w:p w14:paraId="0FD331AD" w14:textId="77777777" w:rsidR="00227BDB" w:rsidRPr="00F85CA6" w:rsidRDefault="00227BDB" w:rsidP="00396DFD">
      <w:pPr>
        <w:tabs>
          <w:tab w:val="left" w:pos="540"/>
          <w:tab w:val="left" w:pos="569"/>
        </w:tabs>
        <w:ind w:left="540" w:hanging="540"/>
        <w:rPr>
          <w:b/>
          <w:bCs/>
          <w:sz w:val="22"/>
          <w:szCs w:val="22"/>
          <w:lang w:val="sr-Latn-ME"/>
        </w:rPr>
      </w:pPr>
    </w:p>
    <w:p w14:paraId="34257F02" w14:textId="77777777" w:rsidR="0072020E" w:rsidRPr="00F85CA6" w:rsidRDefault="0072020E" w:rsidP="00396DFD">
      <w:pPr>
        <w:tabs>
          <w:tab w:val="left" w:pos="540"/>
          <w:tab w:val="left" w:pos="569"/>
        </w:tabs>
        <w:ind w:left="540" w:hanging="540"/>
        <w:rPr>
          <w:b/>
          <w:bCs/>
          <w:sz w:val="22"/>
          <w:szCs w:val="22"/>
          <w:lang w:val="sr-Latn-ME"/>
        </w:rPr>
      </w:pPr>
      <w:r w:rsidRPr="00F85CA6">
        <w:rPr>
          <w:b/>
          <w:bCs/>
          <w:sz w:val="22"/>
          <w:szCs w:val="22"/>
          <w:lang w:val="sr-Latn-ME"/>
        </w:rPr>
        <w:t xml:space="preserve">4.7. </w:t>
      </w:r>
      <w:r w:rsidR="00480FB1" w:rsidRPr="00F85CA6">
        <w:rPr>
          <w:b/>
          <w:bCs/>
          <w:sz w:val="22"/>
          <w:szCs w:val="22"/>
          <w:lang w:val="sr-Latn-ME"/>
        </w:rPr>
        <w:tab/>
      </w:r>
      <w:r w:rsidRPr="00F85CA6">
        <w:rPr>
          <w:b/>
          <w:bCs/>
          <w:sz w:val="22"/>
          <w:szCs w:val="22"/>
          <w:lang w:val="sr-Latn-ME"/>
        </w:rPr>
        <w:t xml:space="preserve">Uticaj na </w:t>
      </w:r>
      <w:r w:rsidR="002031B3" w:rsidRPr="00F85CA6">
        <w:rPr>
          <w:b/>
          <w:bCs/>
          <w:sz w:val="22"/>
          <w:szCs w:val="22"/>
          <w:lang w:val="sr-Latn-ME"/>
        </w:rPr>
        <w:t xml:space="preserve">sposobnost </w:t>
      </w:r>
      <w:r w:rsidR="00F34554" w:rsidRPr="00F85CA6">
        <w:rPr>
          <w:b/>
          <w:bCs/>
          <w:sz w:val="22"/>
          <w:szCs w:val="22"/>
          <w:lang w:val="sr-Latn-ME"/>
        </w:rPr>
        <w:t>upravljanja vozili</w:t>
      </w:r>
      <w:r w:rsidRPr="00F85CA6">
        <w:rPr>
          <w:b/>
          <w:bCs/>
          <w:sz w:val="22"/>
          <w:szCs w:val="22"/>
          <w:lang w:val="sr-Latn-ME"/>
        </w:rPr>
        <w:t>m</w:t>
      </w:r>
      <w:r w:rsidR="00F34554" w:rsidRPr="00F85CA6">
        <w:rPr>
          <w:b/>
          <w:bCs/>
          <w:sz w:val="22"/>
          <w:szCs w:val="22"/>
          <w:lang w:val="sr-Latn-ME"/>
        </w:rPr>
        <w:t>a</w:t>
      </w:r>
      <w:r w:rsidRPr="00F85CA6">
        <w:rPr>
          <w:b/>
          <w:bCs/>
          <w:sz w:val="22"/>
          <w:szCs w:val="22"/>
          <w:lang w:val="sr-Latn-ME"/>
        </w:rPr>
        <w:t xml:space="preserve"> i </w:t>
      </w:r>
      <w:r w:rsidR="000D3449" w:rsidRPr="00F85CA6">
        <w:rPr>
          <w:b/>
          <w:bCs/>
          <w:sz w:val="22"/>
          <w:szCs w:val="22"/>
          <w:lang w:val="sr-Latn-ME"/>
        </w:rPr>
        <w:t xml:space="preserve">rukovanje </w:t>
      </w:r>
      <w:r w:rsidRPr="00F85CA6">
        <w:rPr>
          <w:b/>
          <w:bCs/>
          <w:sz w:val="22"/>
          <w:szCs w:val="22"/>
          <w:lang w:val="sr-Latn-ME"/>
        </w:rPr>
        <w:t>mašinama</w:t>
      </w:r>
    </w:p>
    <w:p w14:paraId="1D863C4E" w14:textId="77777777" w:rsidR="0072020E" w:rsidRPr="00F85CA6" w:rsidRDefault="0072020E" w:rsidP="00480FB1">
      <w:pPr>
        <w:tabs>
          <w:tab w:val="left" w:pos="540"/>
          <w:tab w:val="left" w:pos="569"/>
        </w:tabs>
        <w:rPr>
          <w:b/>
          <w:bCs/>
          <w:sz w:val="22"/>
          <w:szCs w:val="22"/>
          <w:lang w:val="sr-Latn-ME"/>
        </w:rPr>
      </w:pPr>
    </w:p>
    <w:p w14:paraId="4B201EAC" w14:textId="100CB4B6" w:rsidR="007E29AA" w:rsidRPr="00F85CA6" w:rsidRDefault="007E29AA" w:rsidP="007E29AA">
      <w:pPr>
        <w:jc w:val="both"/>
        <w:rPr>
          <w:rFonts w:eastAsia="Calibri"/>
          <w:sz w:val="22"/>
          <w:szCs w:val="22"/>
          <w:lang w:val="sr-Latn-ME" w:bidi="en-US"/>
        </w:rPr>
      </w:pPr>
      <w:r w:rsidRPr="00F85CA6">
        <w:rPr>
          <w:rFonts w:eastAsia="Calibri"/>
          <w:sz w:val="22"/>
          <w:szCs w:val="22"/>
          <w:lang w:val="sr-Latn-ME" w:bidi="en-US"/>
        </w:rPr>
        <w:t>Dabigatrane</w:t>
      </w:r>
      <w:r w:rsidR="009D16CF" w:rsidRPr="00F85CA6">
        <w:rPr>
          <w:rFonts w:eastAsia="Calibri"/>
          <w:sz w:val="22"/>
          <w:szCs w:val="22"/>
          <w:lang w:val="sr-Latn-ME" w:bidi="en-US"/>
        </w:rPr>
        <w:t xml:space="preserve"> </w:t>
      </w:r>
      <w:r w:rsidRPr="00F85CA6">
        <w:rPr>
          <w:rFonts w:eastAsia="Calibri"/>
          <w:sz w:val="22"/>
          <w:szCs w:val="22"/>
          <w:lang w:val="sr-Latn-ME" w:bidi="en-US"/>
        </w:rPr>
        <w:t>teksilat nema ili ima zanemarljiv uticaj na sposobnost upravljanja vozilima i rukovanja mašinama.</w:t>
      </w:r>
    </w:p>
    <w:p w14:paraId="1DD33836" w14:textId="77777777" w:rsidR="007E29AA" w:rsidRPr="00F85CA6" w:rsidRDefault="007E29AA" w:rsidP="00480FB1">
      <w:pPr>
        <w:tabs>
          <w:tab w:val="left" w:pos="540"/>
          <w:tab w:val="left" w:pos="569"/>
        </w:tabs>
        <w:rPr>
          <w:b/>
          <w:bCs/>
          <w:sz w:val="22"/>
          <w:szCs w:val="22"/>
          <w:lang w:val="sr-Latn-ME"/>
        </w:rPr>
      </w:pPr>
    </w:p>
    <w:p w14:paraId="41C4483D" w14:textId="77777777" w:rsidR="0072020E" w:rsidRPr="00F85CA6" w:rsidRDefault="0072020E" w:rsidP="00480FB1">
      <w:pPr>
        <w:tabs>
          <w:tab w:val="left" w:pos="540"/>
          <w:tab w:val="left" w:pos="569"/>
        </w:tabs>
        <w:rPr>
          <w:b/>
          <w:bCs/>
          <w:sz w:val="22"/>
          <w:szCs w:val="22"/>
          <w:lang w:val="sr-Latn-ME"/>
        </w:rPr>
      </w:pPr>
      <w:r w:rsidRPr="00F85CA6">
        <w:rPr>
          <w:b/>
          <w:bCs/>
          <w:sz w:val="22"/>
          <w:szCs w:val="22"/>
          <w:lang w:val="sr-Latn-ME"/>
        </w:rPr>
        <w:t xml:space="preserve">4.8. </w:t>
      </w:r>
      <w:r w:rsidR="00480FB1" w:rsidRPr="00F85CA6">
        <w:rPr>
          <w:b/>
          <w:bCs/>
          <w:sz w:val="22"/>
          <w:szCs w:val="22"/>
          <w:lang w:val="sr-Latn-ME"/>
        </w:rPr>
        <w:tab/>
      </w:r>
      <w:r w:rsidRPr="00F85CA6">
        <w:rPr>
          <w:b/>
          <w:bCs/>
          <w:sz w:val="22"/>
          <w:szCs w:val="22"/>
          <w:lang w:val="sr-Latn-ME"/>
        </w:rPr>
        <w:t>Neželjena dejstva</w:t>
      </w:r>
    </w:p>
    <w:p w14:paraId="22142614" w14:textId="77777777" w:rsidR="004E70AD" w:rsidRPr="00F85CA6" w:rsidRDefault="004E70AD" w:rsidP="00480FB1">
      <w:pPr>
        <w:tabs>
          <w:tab w:val="left" w:pos="540"/>
          <w:tab w:val="left" w:pos="569"/>
        </w:tabs>
        <w:rPr>
          <w:b/>
          <w:bCs/>
          <w:sz w:val="22"/>
          <w:szCs w:val="22"/>
          <w:lang w:val="sr-Latn-ME"/>
        </w:rPr>
      </w:pPr>
    </w:p>
    <w:p w14:paraId="1D9CC783" w14:textId="38D230AD" w:rsidR="007E29AA" w:rsidRPr="00F85CA6" w:rsidRDefault="007E29AA" w:rsidP="007E29AA">
      <w:pPr>
        <w:jc w:val="both"/>
        <w:rPr>
          <w:rFonts w:eastAsia="Calibri"/>
          <w:sz w:val="22"/>
          <w:szCs w:val="22"/>
          <w:u w:val="single"/>
          <w:lang w:val="sr-Latn-ME"/>
        </w:rPr>
      </w:pPr>
      <w:r w:rsidRPr="00F85CA6">
        <w:rPr>
          <w:rFonts w:eastAsia="Calibri"/>
          <w:sz w:val="22"/>
          <w:szCs w:val="22"/>
          <w:u w:val="single"/>
          <w:lang w:val="sr-Latn-ME"/>
        </w:rPr>
        <w:t>Sažetak bezbjednosnog profila</w:t>
      </w:r>
    </w:p>
    <w:p w14:paraId="229EA10B" w14:textId="77777777" w:rsidR="007E29AA" w:rsidRPr="00F85CA6" w:rsidRDefault="007E29AA" w:rsidP="007E29AA">
      <w:pPr>
        <w:jc w:val="both"/>
        <w:rPr>
          <w:rFonts w:eastAsia="Calibri"/>
          <w:sz w:val="22"/>
          <w:szCs w:val="22"/>
          <w:u w:val="single"/>
          <w:lang w:val="sr-Latn-ME"/>
        </w:rPr>
      </w:pPr>
    </w:p>
    <w:p w14:paraId="3A94DC2B" w14:textId="3F39A00C" w:rsidR="007E29AA" w:rsidRPr="00F85CA6" w:rsidRDefault="007E29AA" w:rsidP="007E29AA">
      <w:pPr>
        <w:jc w:val="both"/>
        <w:rPr>
          <w:rFonts w:eastAsia="Calibri"/>
          <w:sz w:val="22"/>
          <w:szCs w:val="22"/>
          <w:lang w:val="sr-Latn-ME"/>
        </w:rPr>
      </w:pPr>
      <w:r w:rsidRPr="00F85CA6">
        <w:rPr>
          <w:rFonts w:eastAsia="Calibri"/>
          <w:sz w:val="22"/>
          <w:szCs w:val="22"/>
          <w:lang w:val="sr-Latn-ME"/>
        </w:rPr>
        <w:t>Dabigatrane</w:t>
      </w:r>
      <w:r w:rsidR="009D16CF" w:rsidRPr="00F85CA6">
        <w:rPr>
          <w:rFonts w:eastAsia="Calibri"/>
          <w:sz w:val="22"/>
          <w:szCs w:val="22"/>
          <w:lang w:val="sr-Latn-ME"/>
        </w:rPr>
        <w:t xml:space="preserve"> </w:t>
      </w:r>
      <w:r w:rsidRPr="00F85CA6">
        <w:rPr>
          <w:rFonts w:eastAsia="Calibri"/>
          <w:sz w:val="22"/>
          <w:szCs w:val="22"/>
          <w:lang w:val="sr-Latn-ME"/>
        </w:rPr>
        <w:t>teksilat je bio procijenjivan u kliničkim ispitivanjima kod ukupno približno 64</w:t>
      </w:r>
      <w:r w:rsidR="009D16CF" w:rsidRPr="00F85CA6">
        <w:rPr>
          <w:rFonts w:eastAsia="Calibri"/>
          <w:sz w:val="22"/>
          <w:szCs w:val="22"/>
          <w:lang w:val="sr-Latn-ME"/>
        </w:rPr>
        <w:t xml:space="preserve"> </w:t>
      </w:r>
      <w:r w:rsidRPr="00F85CA6">
        <w:rPr>
          <w:rFonts w:eastAsia="Calibri"/>
          <w:sz w:val="22"/>
          <w:szCs w:val="22"/>
          <w:lang w:val="sr-Latn-ME"/>
        </w:rPr>
        <w:t>000 pacijenata; od toga je približno 35</w:t>
      </w:r>
      <w:r w:rsidR="009D16CF" w:rsidRPr="00F85CA6">
        <w:rPr>
          <w:rFonts w:eastAsia="Calibri"/>
          <w:sz w:val="22"/>
          <w:szCs w:val="22"/>
          <w:lang w:val="sr-Latn-ME"/>
        </w:rPr>
        <w:t xml:space="preserve"> </w:t>
      </w:r>
      <w:r w:rsidRPr="00F85CA6">
        <w:rPr>
          <w:rFonts w:eastAsia="Calibri"/>
          <w:sz w:val="22"/>
          <w:szCs w:val="22"/>
          <w:lang w:val="sr-Latn-ME"/>
        </w:rPr>
        <w:t>000 pacijenata bilo l</w:t>
      </w:r>
      <w:r w:rsidR="00523AA3" w:rsidRPr="00F85CA6">
        <w:rPr>
          <w:rFonts w:eastAsia="Calibri"/>
          <w:sz w:val="22"/>
          <w:szCs w:val="22"/>
          <w:lang w:val="sr-Latn-ME"/>
        </w:rPr>
        <w:t>i</w:t>
      </w:r>
      <w:r w:rsidRPr="00F85CA6">
        <w:rPr>
          <w:rFonts w:eastAsia="Calibri"/>
          <w:sz w:val="22"/>
          <w:szCs w:val="22"/>
          <w:lang w:val="sr-Latn-ME"/>
        </w:rPr>
        <w:t>ječeno dabigatrane</w:t>
      </w:r>
      <w:r w:rsidR="009D16CF" w:rsidRPr="00F85CA6">
        <w:rPr>
          <w:rFonts w:eastAsia="Calibri"/>
          <w:sz w:val="22"/>
          <w:szCs w:val="22"/>
          <w:lang w:val="sr-Latn-ME"/>
        </w:rPr>
        <w:t xml:space="preserve"> </w:t>
      </w:r>
      <w:r w:rsidRPr="00F85CA6">
        <w:rPr>
          <w:rFonts w:eastAsia="Calibri"/>
          <w:sz w:val="22"/>
          <w:szCs w:val="22"/>
          <w:lang w:val="sr-Latn-ME"/>
        </w:rPr>
        <w:t>teksilatom.</w:t>
      </w:r>
    </w:p>
    <w:p w14:paraId="7BCF27CC" w14:textId="56712045" w:rsidR="007E29AA" w:rsidRPr="00F85CA6" w:rsidRDefault="007E29AA" w:rsidP="007E29AA">
      <w:pPr>
        <w:jc w:val="both"/>
        <w:rPr>
          <w:rFonts w:eastAsia="Calibri"/>
          <w:sz w:val="22"/>
          <w:szCs w:val="22"/>
          <w:lang w:val="sr-Latn-ME"/>
        </w:rPr>
      </w:pPr>
      <w:r w:rsidRPr="00F85CA6">
        <w:rPr>
          <w:rFonts w:eastAsia="Calibri"/>
          <w:sz w:val="22"/>
          <w:szCs w:val="22"/>
          <w:lang w:val="sr-Latn-ME"/>
        </w:rPr>
        <w:t>Ukupno, oko 9% pacijenata liječenih zbog elektivnog hirurškog zahvata kuka ili koljena (kratkotrajna terapija do 42 dana), 22% pacijenata sa atrijalnom fibrilacijom l</w:t>
      </w:r>
      <w:r w:rsidR="00523AA3" w:rsidRPr="00F85CA6">
        <w:rPr>
          <w:rFonts w:eastAsia="Calibri"/>
          <w:sz w:val="22"/>
          <w:szCs w:val="22"/>
          <w:lang w:val="sr-Latn-ME"/>
        </w:rPr>
        <w:t>i</w:t>
      </w:r>
      <w:r w:rsidRPr="00F85CA6">
        <w:rPr>
          <w:rFonts w:eastAsia="Calibri"/>
          <w:sz w:val="22"/>
          <w:szCs w:val="22"/>
          <w:lang w:val="sr-Latn-ME"/>
        </w:rPr>
        <w:t>ječenih zbog prevencije moždanog udara i sistemske embolije (dugotrajna terapija do 3 godine), 14% pacijenata l</w:t>
      </w:r>
      <w:r w:rsidR="00523AA3" w:rsidRPr="00F85CA6">
        <w:rPr>
          <w:rFonts w:eastAsia="Calibri"/>
          <w:sz w:val="22"/>
          <w:szCs w:val="22"/>
          <w:lang w:val="sr-Latn-ME"/>
        </w:rPr>
        <w:t>i</w:t>
      </w:r>
      <w:r w:rsidRPr="00F85CA6">
        <w:rPr>
          <w:rFonts w:eastAsia="Calibri"/>
          <w:sz w:val="22"/>
          <w:szCs w:val="22"/>
          <w:lang w:val="sr-Latn-ME"/>
        </w:rPr>
        <w:t>ječenih zbog DVT/PE i 15% pacijenata l</w:t>
      </w:r>
      <w:r w:rsidR="00523AA3" w:rsidRPr="00F85CA6">
        <w:rPr>
          <w:rFonts w:eastAsia="Calibri"/>
          <w:sz w:val="22"/>
          <w:szCs w:val="22"/>
          <w:lang w:val="sr-Latn-ME"/>
        </w:rPr>
        <w:t>ij</w:t>
      </w:r>
      <w:r w:rsidRPr="00F85CA6">
        <w:rPr>
          <w:rFonts w:eastAsia="Calibri"/>
          <w:sz w:val="22"/>
          <w:szCs w:val="22"/>
          <w:lang w:val="sr-Latn-ME"/>
        </w:rPr>
        <w:t xml:space="preserve">ečenih zbog prevencije DVT/PE imalo </w:t>
      </w:r>
      <w:r w:rsidR="009D16CF" w:rsidRPr="00F85CA6">
        <w:rPr>
          <w:rFonts w:eastAsia="Calibri"/>
          <w:sz w:val="22"/>
          <w:szCs w:val="22"/>
          <w:lang w:val="sr-Latn-ME"/>
        </w:rPr>
        <w:t xml:space="preserve">je </w:t>
      </w:r>
      <w:r w:rsidRPr="00F85CA6">
        <w:rPr>
          <w:rFonts w:eastAsia="Calibri"/>
          <w:sz w:val="22"/>
          <w:szCs w:val="22"/>
          <w:lang w:val="sr-Latn-ME"/>
        </w:rPr>
        <w:t>neželjene reakcije.</w:t>
      </w:r>
    </w:p>
    <w:p w14:paraId="5536B691" w14:textId="77777777" w:rsidR="007E29AA" w:rsidRPr="00F85CA6" w:rsidRDefault="007E29AA" w:rsidP="007E29AA">
      <w:pPr>
        <w:jc w:val="both"/>
        <w:rPr>
          <w:rFonts w:eastAsia="Calibri"/>
          <w:sz w:val="22"/>
          <w:szCs w:val="22"/>
          <w:lang w:val="sr-Latn-ME"/>
        </w:rPr>
      </w:pPr>
    </w:p>
    <w:p w14:paraId="2F06C373" w14:textId="552F4622" w:rsidR="007E29AA" w:rsidRPr="00F85CA6" w:rsidRDefault="007E29AA" w:rsidP="007E29AA">
      <w:pPr>
        <w:jc w:val="both"/>
        <w:rPr>
          <w:rFonts w:eastAsia="Calibri"/>
          <w:sz w:val="22"/>
          <w:szCs w:val="22"/>
          <w:lang w:val="sr-Latn-ME"/>
        </w:rPr>
      </w:pPr>
      <w:r w:rsidRPr="00F85CA6">
        <w:rPr>
          <w:rFonts w:eastAsia="Calibri"/>
          <w:sz w:val="22"/>
          <w:szCs w:val="22"/>
          <w:lang w:val="sr-Latn-ME"/>
        </w:rPr>
        <w:t>Najčešće prijavljeni događaji su krvarenja koja su se pojavila kod oko 14% pacijenata kratkotrajno l</w:t>
      </w:r>
      <w:r w:rsidR="00523AA3" w:rsidRPr="00F85CA6">
        <w:rPr>
          <w:rFonts w:eastAsia="Calibri"/>
          <w:sz w:val="22"/>
          <w:szCs w:val="22"/>
          <w:lang w:val="sr-Latn-ME"/>
        </w:rPr>
        <w:t>i</w:t>
      </w:r>
      <w:r w:rsidRPr="00F85CA6">
        <w:rPr>
          <w:rFonts w:eastAsia="Calibri"/>
          <w:sz w:val="22"/>
          <w:szCs w:val="22"/>
          <w:lang w:val="sr-Latn-ME"/>
        </w:rPr>
        <w:t>ječenih zbog elektivnog hirurškog zahvata zam</w:t>
      </w:r>
      <w:r w:rsidR="0043168A" w:rsidRPr="00F85CA6">
        <w:rPr>
          <w:rFonts w:eastAsia="Calibri"/>
          <w:sz w:val="22"/>
          <w:szCs w:val="22"/>
          <w:lang w:val="sr-Latn-ME"/>
        </w:rPr>
        <w:t>j</w:t>
      </w:r>
      <w:r w:rsidRPr="00F85CA6">
        <w:rPr>
          <w:rFonts w:eastAsia="Calibri"/>
          <w:sz w:val="22"/>
          <w:szCs w:val="22"/>
          <w:lang w:val="sr-Latn-ME"/>
        </w:rPr>
        <w:t>ene kuka ili koljena, 16,6% kod pacijenata sa atrijalnom fibrilacijom koji su dugotrajno l</w:t>
      </w:r>
      <w:r w:rsidR="00523AA3" w:rsidRPr="00F85CA6">
        <w:rPr>
          <w:rFonts w:eastAsia="Calibri"/>
          <w:sz w:val="22"/>
          <w:szCs w:val="22"/>
          <w:lang w:val="sr-Latn-ME"/>
        </w:rPr>
        <w:t>i</w:t>
      </w:r>
      <w:r w:rsidRPr="00F85CA6">
        <w:rPr>
          <w:rFonts w:eastAsia="Calibri"/>
          <w:sz w:val="22"/>
          <w:szCs w:val="22"/>
          <w:lang w:val="sr-Latn-ME"/>
        </w:rPr>
        <w:t>ječeni zbog prevencije moždanog udara i sistemske embolije i kod 14,4% odraslih pacijenata l</w:t>
      </w:r>
      <w:r w:rsidR="00523AA3" w:rsidRPr="00F85CA6">
        <w:rPr>
          <w:rFonts w:eastAsia="Calibri"/>
          <w:sz w:val="22"/>
          <w:szCs w:val="22"/>
          <w:lang w:val="sr-Latn-ME"/>
        </w:rPr>
        <w:t>ij</w:t>
      </w:r>
      <w:r w:rsidRPr="00F85CA6">
        <w:rPr>
          <w:rFonts w:eastAsia="Calibri"/>
          <w:sz w:val="22"/>
          <w:szCs w:val="22"/>
          <w:lang w:val="sr-Latn-ME"/>
        </w:rPr>
        <w:t>ečenih zbog DVT/PE. Pored toga, krvarenje se pojavilo kod 19,4% pacijenata l</w:t>
      </w:r>
      <w:r w:rsidR="00523AA3" w:rsidRPr="00F85CA6">
        <w:rPr>
          <w:rFonts w:eastAsia="Calibri"/>
          <w:sz w:val="22"/>
          <w:szCs w:val="22"/>
          <w:lang w:val="sr-Latn-ME"/>
        </w:rPr>
        <w:t>i</w:t>
      </w:r>
      <w:r w:rsidRPr="00F85CA6">
        <w:rPr>
          <w:rFonts w:eastAsia="Calibri"/>
          <w:sz w:val="22"/>
          <w:szCs w:val="22"/>
          <w:lang w:val="sr-Latn-ME"/>
        </w:rPr>
        <w:t>ječenih zbog prevencije DVT/PE u ispitivanju RE-MEDY (odrasli pacijenti) i kod 10,5% pacijenata l</w:t>
      </w:r>
      <w:r w:rsidR="00523AA3" w:rsidRPr="00F85CA6">
        <w:rPr>
          <w:rFonts w:eastAsia="Calibri"/>
          <w:sz w:val="22"/>
          <w:szCs w:val="22"/>
          <w:lang w:val="sr-Latn-ME"/>
        </w:rPr>
        <w:t>i</w:t>
      </w:r>
      <w:r w:rsidRPr="00F85CA6">
        <w:rPr>
          <w:rFonts w:eastAsia="Calibri"/>
          <w:sz w:val="22"/>
          <w:szCs w:val="22"/>
          <w:lang w:val="sr-Latn-ME"/>
        </w:rPr>
        <w:t xml:space="preserve">ječenih zbog prevencije DVT/PE u ispitivanju RE-SONATE (odrasli pacijenti). </w:t>
      </w:r>
    </w:p>
    <w:p w14:paraId="3184E666" w14:textId="77777777" w:rsidR="007E29AA" w:rsidRPr="00F85CA6" w:rsidRDefault="007E29AA" w:rsidP="007E29AA">
      <w:pPr>
        <w:jc w:val="both"/>
        <w:rPr>
          <w:rFonts w:eastAsia="Calibri"/>
          <w:sz w:val="22"/>
          <w:szCs w:val="22"/>
          <w:lang w:val="sr-Latn-ME" w:bidi="en-US"/>
        </w:rPr>
      </w:pPr>
    </w:p>
    <w:p w14:paraId="5287A5CE" w14:textId="4987F40B" w:rsidR="007E29AA" w:rsidRPr="00F85CA6" w:rsidRDefault="007E29AA" w:rsidP="007E29AA">
      <w:pPr>
        <w:jc w:val="both"/>
        <w:rPr>
          <w:rFonts w:eastAsia="Calibri"/>
          <w:sz w:val="22"/>
          <w:szCs w:val="22"/>
          <w:lang w:val="sr-Latn-ME"/>
        </w:rPr>
      </w:pPr>
      <w:r w:rsidRPr="00F85CA6">
        <w:rPr>
          <w:rFonts w:eastAsia="Calibri"/>
          <w:sz w:val="22"/>
          <w:szCs w:val="22"/>
          <w:lang w:val="sr-Latn-ME" w:bidi="en-US"/>
        </w:rPr>
        <w:t>Kako populacije pacijenata l</w:t>
      </w:r>
      <w:r w:rsidR="00523AA3" w:rsidRPr="00F85CA6">
        <w:rPr>
          <w:rFonts w:eastAsia="Calibri"/>
          <w:sz w:val="22"/>
          <w:szCs w:val="22"/>
          <w:lang w:val="sr-Latn-ME" w:bidi="en-US"/>
        </w:rPr>
        <w:t>i</w:t>
      </w:r>
      <w:r w:rsidRPr="00F85CA6">
        <w:rPr>
          <w:rFonts w:eastAsia="Calibri"/>
          <w:sz w:val="22"/>
          <w:szCs w:val="22"/>
          <w:lang w:val="sr-Latn-ME" w:bidi="en-US"/>
        </w:rPr>
        <w:t>ječenih zbog ove tri indikacije ni</w:t>
      </w:r>
      <w:r w:rsidR="009D16CF" w:rsidRPr="00F85CA6">
        <w:rPr>
          <w:rFonts w:eastAsia="Calibri"/>
          <w:sz w:val="22"/>
          <w:szCs w:val="22"/>
          <w:lang w:val="sr-Latn-ME" w:bidi="en-US"/>
        </w:rPr>
        <w:t>je</w:t>
      </w:r>
      <w:r w:rsidRPr="00F85CA6">
        <w:rPr>
          <w:rFonts w:eastAsia="Calibri"/>
          <w:sz w:val="22"/>
          <w:szCs w:val="22"/>
          <w:lang w:val="sr-Latn-ME" w:bidi="en-US"/>
        </w:rPr>
        <w:t xml:space="preserve">su uporedive i događaji krvarenja su distribuirani u nekoliko klasa sistema organa (engl. </w:t>
      </w:r>
      <w:r w:rsidRPr="00F85CA6">
        <w:rPr>
          <w:rFonts w:eastAsia="Calibri"/>
          <w:i/>
          <w:iCs/>
          <w:sz w:val="22"/>
          <w:szCs w:val="22"/>
          <w:lang w:val="sr-Latn-ME"/>
        </w:rPr>
        <w:t xml:space="preserve">System Organ Classes, </w:t>
      </w:r>
      <w:r w:rsidRPr="00F85CA6">
        <w:rPr>
          <w:rFonts w:eastAsia="Calibri"/>
          <w:sz w:val="22"/>
          <w:szCs w:val="22"/>
          <w:lang w:val="sr-Latn-ME"/>
        </w:rPr>
        <w:t xml:space="preserve">SOC), sažeti opis obilnog i bilo kog krvarenja je podijeljen prema indikacijama i prikazan u tabelama 13-17 u nastavku. </w:t>
      </w:r>
    </w:p>
    <w:p w14:paraId="38F0A601" w14:textId="77777777" w:rsidR="007E29AA" w:rsidRPr="00F85CA6" w:rsidRDefault="007E29AA" w:rsidP="007E29AA">
      <w:pPr>
        <w:jc w:val="both"/>
        <w:rPr>
          <w:rFonts w:eastAsia="Calibri"/>
          <w:sz w:val="22"/>
          <w:szCs w:val="22"/>
          <w:lang w:val="sr-Latn-ME"/>
        </w:rPr>
      </w:pPr>
    </w:p>
    <w:p w14:paraId="031D49DC" w14:textId="64156FF2" w:rsidR="007E29AA" w:rsidRPr="00F85CA6" w:rsidRDefault="007E29AA" w:rsidP="007E29AA">
      <w:pPr>
        <w:jc w:val="both"/>
        <w:rPr>
          <w:rFonts w:eastAsia="Calibri"/>
          <w:sz w:val="22"/>
          <w:szCs w:val="22"/>
          <w:lang w:val="sr-Latn-ME"/>
        </w:rPr>
      </w:pPr>
      <w:r w:rsidRPr="00F85CA6">
        <w:rPr>
          <w:rFonts w:eastAsia="Calibri"/>
          <w:sz w:val="22"/>
          <w:szCs w:val="22"/>
          <w:lang w:val="sr-Latn-ME"/>
        </w:rPr>
        <w:t>Iako r</w:t>
      </w:r>
      <w:r w:rsidR="00523AA3" w:rsidRPr="00F85CA6">
        <w:rPr>
          <w:rFonts w:eastAsia="Calibri"/>
          <w:sz w:val="22"/>
          <w:szCs w:val="22"/>
          <w:lang w:val="sr-Latn-ME"/>
        </w:rPr>
        <w:t>ij</w:t>
      </w:r>
      <w:r w:rsidRPr="00F85CA6">
        <w:rPr>
          <w:rFonts w:eastAsia="Calibri"/>
          <w:sz w:val="22"/>
          <w:szCs w:val="22"/>
          <w:lang w:val="sr-Latn-ME"/>
        </w:rPr>
        <w:t>etko po učestalosti u kliničkim ispitivanjima, može doći do obilnijeg ili teškog krvarenja, koje, bez obzira na lokalizaciju, može dovesti do onesposobljavajućih, opasnih po život ili čak smrtnih ishoda.</w:t>
      </w:r>
    </w:p>
    <w:p w14:paraId="15A73A11" w14:textId="77777777" w:rsidR="007E29AA" w:rsidRPr="00F85CA6" w:rsidRDefault="007E29AA" w:rsidP="007E29AA">
      <w:pPr>
        <w:jc w:val="both"/>
        <w:rPr>
          <w:rFonts w:eastAsia="Calibri"/>
          <w:sz w:val="22"/>
          <w:szCs w:val="22"/>
          <w:lang w:val="sr-Latn-ME"/>
        </w:rPr>
      </w:pPr>
    </w:p>
    <w:p w14:paraId="4B6B5A0C" w14:textId="77777777" w:rsidR="007E29AA" w:rsidRPr="00F85CA6" w:rsidRDefault="007E29AA" w:rsidP="007E29AA">
      <w:pPr>
        <w:jc w:val="both"/>
        <w:rPr>
          <w:rFonts w:eastAsia="Calibri"/>
          <w:sz w:val="22"/>
          <w:szCs w:val="22"/>
          <w:lang w:val="sr-Latn-ME"/>
        </w:rPr>
      </w:pPr>
      <w:r w:rsidRPr="00F85CA6">
        <w:rPr>
          <w:rFonts w:eastAsia="Calibri"/>
          <w:sz w:val="22"/>
          <w:szCs w:val="22"/>
          <w:u w:val="single"/>
          <w:lang w:val="sr-Latn-ME"/>
        </w:rPr>
        <w:t>Tabelarni prikaz neželjenih reakcija</w:t>
      </w:r>
      <w:r w:rsidRPr="00F85CA6">
        <w:rPr>
          <w:rFonts w:eastAsia="Calibri"/>
          <w:sz w:val="22"/>
          <w:szCs w:val="22"/>
          <w:lang w:val="sr-Latn-ME"/>
        </w:rPr>
        <w:t xml:space="preserve"> </w:t>
      </w:r>
    </w:p>
    <w:p w14:paraId="706A4DDB" w14:textId="77777777" w:rsidR="007E29AA" w:rsidRPr="00F85CA6" w:rsidRDefault="007E29AA" w:rsidP="007E29AA">
      <w:pPr>
        <w:jc w:val="both"/>
        <w:rPr>
          <w:rFonts w:eastAsia="Calibri"/>
          <w:sz w:val="22"/>
          <w:szCs w:val="22"/>
          <w:lang w:val="sr-Latn-ME"/>
        </w:rPr>
      </w:pPr>
    </w:p>
    <w:p w14:paraId="3939C00C" w14:textId="1B19B2AA" w:rsidR="007E29AA" w:rsidRPr="00F85CA6" w:rsidRDefault="007E29AA" w:rsidP="007E29AA">
      <w:pPr>
        <w:jc w:val="both"/>
        <w:rPr>
          <w:rFonts w:eastAsia="Calibri"/>
          <w:sz w:val="22"/>
          <w:szCs w:val="22"/>
          <w:lang w:val="sr-Latn-ME"/>
        </w:rPr>
      </w:pPr>
      <w:r w:rsidRPr="00F85CA6">
        <w:rPr>
          <w:rFonts w:eastAsia="Calibri"/>
          <w:sz w:val="22"/>
          <w:szCs w:val="22"/>
          <w:lang w:val="sr-Latn-ME"/>
        </w:rPr>
        <w:t>U tabeli 12 su prikazane neželjene reakcije prepoznate u studijama i periodu nakon stavljanja l</w:t>
      </w:r>
      <w:r w:rsidR="00523AA3" w:rsidRPr="00F85CA6">
        <w:rPr>
          <w:rFonts w:eastAsia="Calibri"/>
          <w:sz w:val="22"/>
          <w:szCs w:val="22"/>
          <w:lang w:val="sr-Latn-ME"/>
        </w:rPr>
        <w:t>ij</w:t>
      </w:r>
      <w:r w:rsidRPr="00F85CA6">
        <w:rPr>
          <w:rFonts w:eastAsia="Calibri"/>
          <w:sz w:val="22"/>
          <w:szCs w:val="22"/>
          <w:lang w:val="sr-Latn-ME"/>
        </w:rPr>
        <w:t>eka u promet za indikacije primarne prevencije VTE nakon hirurške zam</w:t>
      </w:r>
      <w:r w:rsidR="00410EF8" w:rsidRPr="00F85CA6">
        <w:rPr>
          <w:rFonts w:eastAsia="Calibri"/>
          <w:sz w:val="22"/>
          <w:szCs w:val="22"/>
          <w:lang w:val="sr-Latn-ME"/>
        </w:rPr>
        <w:t>j</w:t>
      </w:r>
      <w:r w:rsidRPr="00F85CA6">
        <w:rPr>
          <w:rFonts w:eastAsia="Calibri"/>
          <w:sz w:val="22"/>
          <w:szCs w:val="22"/>
          <w:lang w:val="sr-Latn-ME"/>
        </w:rPr>
        <w:t>ene kuka ili kol</w:t>
      </w:r>
      <w:r w:rsidR="00523AA3" w:rsidRPr="00F85CA6">
        <w:rPr>
          <w:rFonts w:eastAsia="Calibri"/>
          <w:sz w:val="22"/>
          <w:szCs w:val="22"/>
          <w:lang w:val="sr-Latn-ME"/>
        </w:rPr>
        <w:t>j</w:t>
      </w:r>
      <w:r w:rsidRPr="00F85CA6">
        <w:rPr>
          <w:rFonts w:eastAsia="Calibri"/>
          <w:sz w:val="22"/>
          <w:szCs w:val="22"/>
          <w:lang w:val="sr-Latn-ME"/>
        </w:rPr>
        <w:t>ena, prevencije tromboembolijskog moždanog udara i sistemske embolije kod pacijenata sa atrijalnom fibrilacijom, tokom terapije DVT/PE i prevencije DVT/PE. One su klasifikovane prema klasi sistema organa i učestalosti koristeći sl</w:t>
      </w:r>
      <w:r w:rsidR="009D16CF" w:rsidRPr="00F85CA6">
        <w:rPr>
          <w:rFonts w:eastAsia="Calibri"/>
          <w:sz w:val="22"/>
          <w:szCs w:val="22"/>
          <w:lang w:val="sr-Latn-ME"/>
        </w:rPr>
        <w:t>j</w:t>
      </w:r>
      <w:r w:rsidRPr="00F85CA6">
        <w:rPr>
          <w:rFonts w:eastAsia="Calibri"/>
          <w:sz w:val="22"/>
          <w:szCs w:val="22"/>
          <w:lang w:val="sr-Latn-ME"/>
        </w:rPr>
        <w:t>edeću konvenciju: veoma često (≥</w:t>
      </w:r>
      <w:r w:rsidR="009D16CF" w:rsidRPr="00F85CA6">
        <w:rPr>
          <w:rFonts w:eastAsia="Calibri"/>
          <w:sz w:val="22"/>
          <w:szCs w:val="22"/>
          <w:lang w:val="sr-Latn-ME"/>
        </w:rPr>
        <w:t xml:space="preserve"> </w:t>
      </w:r>
      <w:r w:rsidRPr="00F85CA6">
        <w:rPr>
          <w:rFonts w:eastAsia="Calibri"/>
          <w:sz w:val="22"/>
          <w:szCs w:val="22"/>
          <w:lang w:val="sr-Latn-ME"/>
        </w:rPr>
        <w:t>1/10); često (≥</w:t>
      </w:r>
      <w:r w:rsidR="009D16CF" w:rsidRPr="00F85CA6">
        <w:rPr>
          <w:rFonts w:eastAsia="Calibri"/>
          <w:sz w:val="22"/>
          <w:szCs w:val="22"/>
          <w:lang w:val="sr-Latn-ME"/>
        </w:rPr>
        <w:t xml:space="preserve"> </w:t>
      </w:r>
      <w:r w:rsidRPr="00F85CA6">
        <w:rPr>
          <w:rFonts w:eastAsia="Calibri"/>
          <w:sz w:val="22"/>
          <w:szCs w:val="22"/>
          <w:lang w:val="sr-Latn-ME"/>
        </w:rPr>
        <w:t>1/100 do &lt;</w:t>
      </w:r>
      <w:r w:rsidR="009D16CF" w:rsidRPr="00F85CA6">
        <w:rPr>
          <w:rFonts w:eastAsia="Calibri"/>
          <w:sz w:val="22"/>
          <w:szCs w:val="22"/>
          <w:lang w:val="sr-Latn-ME"/>
        </w:rPr>
        <w:t xml:space="preserve"> </w:t>
      </w:r>
      <w:r w:rsidRPr="00F85CA6">
        <w:rPr>
          <w:rFonts w:eastAsia="Calibri"/>
          <w:sz w:val="22"/>
          <w:szCs w:val="22"/>
          <w:lang w:val="sr-Latn-ME"/>
        </w:rPr>
        <w:t>1/10); povremeno (≥</w:t>
      </w:r>
      <w:r w:rsidR="009D16CF" w:rsidRPr="00F85CA6">
        <w:rPr>
          <w:rFonts w:eastAsia="Calibri"/>
          <w:sz w:val="22"/>
          <w:szCs w:val="22"/>
          <w:lang w:val="sr-Latn-ME"/>
        </w:rPr>
        <w:t xml:space="preserve"> </w:t>
      </w:r>
      <w:r w:rsidRPr="00F85CA6">
        <w:rPr>
          <w:rFonts w:eastAsia="Calibri"/>
          <w:sz w:val="22"/>
          <w:szCs w:val="22"/>
          <w:lang w:val="sr-Latn-ME"/>
        </w:rPr>
        <w:t>1/1000 do &lt;</w:t>
      </w:r>
      <w:r w:rsidR="009D16CF" w:rsidRPr="00F85CA6">
        <w:rPr>
          <w:rFonts w:eastAsia="Calibri"/>
          <w:sz w:val="22"/>
          <w:szCs w:val="22"/>
          <w:lang w:val="sr-Latn-ME"/>
        </w:rPr>
        <w:t xml:space="preserve"> </w:t>
      </w:r>
      <w:r w:rsidRPr="00F85CA6">
        <w:rPr>
          <w:rFonts w:eastAsia="Calibri"/>
          <w:sz w:val="22"/>
          <w:szCs w:val="22"/>
          <w:lang w:val="sr-Latn-ME"/>
        </w:rPr>
        <w:t>1/100), r</w:t>
      </w:r>
      <w:r w:rsidR="00523AA3" w:rsidRPr="00F85CA6">
        <w:rPr>
          <w:rFonts w:eastAsia="Calibri"/>
          <w:sz w:val="22"/>
          <w:szCs w:val="22"/>
          <w:lang w:val="sr-Latn-ME"/>
        </w:rPr>
        <w:t>ij</w:t>
      </w:r>
      <w:r w:rsidRPr="00F85CA6">
        <w:rPr>
          <w:rFonts w:eastAsia="Calibri"/>
          <w:sz w:val="22"/>
          <w:szCs w:val="22"/>
          <w:lang w:val="sr-Latn-ME"/>
        </w:rPr>
        <w:t>etko (≥</w:t>
      </w:r>
      <w:r w:rsidR="009D16CF" w:rsidRPr="00F85CA6">
        <w:rPr>
          <w:rFonts w:eastAsia="Calibri"/>
          <w:sz w:val="22"/>
          <w:szCs w:val="22"/>
          <w:lang w:val="sr-Latn-ME"/>
        </w:rPr>
        <w:t xml:space="preserve"> </w:t>
      </w:r>
      <w:r w:rsidRPr="00F85CA6">
        <w:rPr>
          <w:rFonts w:eastAsia="Calibri"/>
          <w:sz w:val="22"/>
          <w:szCs w:val="22"/>
          <w:lang w:val="sr-Latn-ME"/>
        </w:rPr>
        <w:t>1/10</w:t>
      </w:r>
      <w:r w:rsidR="009D16CF" w:rsidRPr="00F85CA6">
        <w:rPr>
          <w:rFonts w:eastAsia="Calibri"/>
          <w:sz w:val="22"/>
          <w:szCs w:val="22"/>
          <w:lang w:val="sr-Latn-ME"/>
        </w:rPr>
        <w:t xml:space="preserve"> </w:t>
      </w:r>
      <w:r w:rsidRPr="00F85CA6">
        <w:rPr>
          <w:rFonts w:eastAsia="Calibri"/>
          <w:sz w:val="22"/>
          <w:szCs w:val="22"/>
          <w:lang w:val="sr-Latn-ME"/>
        </w:rPr>
        <w:t>000 do &lt;</w:t>
      </w:r>
      <w:r w:rsidR="009D16CF" w:rsidRPr="00F85CA6">
        <w:rPr>
          <w:rFonts w:eastAsia="Calibri"/>
          <w:sz w:val="22"/>
          <w:szCs w:val="22"/>
          <w:lang w:val="sr-Latn-ME"/>
        </w:rPr>
        <w:t xml:space="preserve"> </w:t>
      </w:r>
      <w:r w:rsidRPr="00F85CA6">
        <w:rPr>
          <w:rFonts w:eastAsia="Calibri"/>
          <w:sz w:val="22"/>
          <w:szCs w:val="22"/>
          <w:lang w:val="sr-Latn-ME"/>
        </w:rPr>
        <w:t>1/1000); veoma r</w:t>
      </w:r>
      <w:r w:rsidR="00523AA3" w:rsidRPr="00F85CA6">
        <w:rPr>
          <w:rFonts w:eastAsia="Calibri"/>
          <w:sz w:val="22"/>
          <w:szCs w:val="22"/>
          <w:lang w:val="sr-Latn-ME"/>
        </w:rPr>
        <w:t>ij</w:t>
      </w:r>
      <w:r w:rsidRPr="00F85CA6">
        <w:rPr>
          <w:rFonts w:eastAsia="Calibri"/>
          <w:sz w:val="22"/>
          <w:szCs w:val="22"/>
          <w:lang w:val="sr-Latn-ME"/>
        </w:rPr>
        <w:t>etko (&lt;</w:t>
      </w:r>
      <w:r w:rsidR="009D16CF" w:rsidRPr="00F85CA6">
        <w:rPr>
          <w:rFonts w:eastAsia="Calibri"/>
          <w:sz w:val="22"/>
          <w:szCs w:val="22"/>
          <w:lang w:val="sr-Latn-ME"/>
        </w:rPr>
        <w:t xml:space="preserve"> </w:t>
      </w:r>
      <w:r w:rsidRPr="00F85CA6">
        <w:rPr>
          <w:rFonts w:eastAsia="Calibri"/>
          <w:sz w:val="22"/>
          <w:szCs w:val="22"/>
          <w:lang w:val="sr-Latn-ME"/>
        </w:rPr>
        <w:t>1/10</w:t>
      </w:r>
      <w:r w:rsidR="009D16CF" w:rsidRPr="00F85CA6">
        <w:rPr>
          <w:rFonts w:eastAsia="Calibri"/>
          <w:sz w:val="22"/>
          <w:szCs w:val="22"/>
          <w:lang w:val="sr-Latn-ME"/>
        </w:rPr>
        <w:t xml:space="preserve"> </w:t>
      </w:r>
      <w:r w:rsidRPr="00F85CA6">
        <w:rPr>
          <w:rFonts w:eastAsia="Calibri"/>
          <w:sz w:val="22"/>
          <w:szCs w:val="22"/>
          <w:lang w:val="sr-Latn-ME"/>
        </w:rPr>
        <w:t>000); nepoznata učestalost (ne može se proc</w:t>
      </w:r>
      <w:r w:rsidR="00523AA3" w:rsidRPr="00F85CA6">
        <w:rPr>
          <w:rFonts w:eastAsia="Calibri"/>
          <w:sz w:val="22"/>
          <w:szCs w:val="22"/>
          <w:lang w:val="sr-Latn-ME"/>
        </w:rPr>
        <w:t>ij</w:t>
      </w:r>
      <w:r w:rsidRPr="00F85CA6">
        <w:rPr>
          <w:rFonts w:eastAsia="Calibri"/>
          <w:sz w:val="22"/>
          <w:szCs w:val="22"/>
          <w:lang w:val="sr-Latn-ME"/>
        </w:rPr>
        <w:t>eniti na osnovu dostupnih podataka).</w:t>
      </w:r>
    </w:p>
    <w:p w14:paraId="77895F01" w14:textId="77777777" w:rsidR="007E29AA" w:rsidRPr="00F85CA6" w:rsidRDefault="007E29AA" w:rsidP="007E29AA">
      <w:pPr>
        <w:jc w:val="both"/>
        <w:rPr>
          <w:rFonts w:eastAsia="Calibri"/>
          <w:sz w:val="22"/>
          <w:szCs w:val="22"/>
          <w:lang w:val="sr-Latn-ME"/>
        </w:rPr>
      </w:pPr>
    </w:p>
    <w:p w14:paraId="6C0E909D" w14:textId="77777777" w:rsidR="007E29AA" w:rsidRPr="00F85CA6" w:rsidRDefault="007E29AA" w:rsidP="00685312">
      <w:pPr>
        <w:jc w:val="center"/>
        <w:rPr>
          <w:rFonts w:eastAsia="Calibri"/>
          <w:b/>
          <w:bCs/>
          <w:sz w:val="22"/>
          <w:szCs w:val="22"/>
          <w:lang w:val="sr-Latn-ME" w:bidi="en-US"/>
        </w:rPr>
      </w:pPr>
      <w:r w:rsidRPr="00F85CA6">
        <w:rPr>
          <w:rFonts w:eastAsia="Calibri"/>
          <w:b/>
          <w:bCs/>
          <w:sz w:val="22"/>
          <w:szCs w:val="22"/>
          <w:lang w:val="sr-Latn-ME" w:bidi="en-US"/>
        </w:rPr>
        <w:t>Tabela 12: Neželjene reakcije</w:t>
      </w:r>
    </w:p>
    <w:p w14:paraId="05CEBC91" w14:textId="77777777" w:rsidR="007E29AA" w:rsidRPr="00F85CA6" w:rsidRDefault="007E29AA" w:rsidP="007E29AA">
      <w:pPr>
        <w:jc w:val="both"/>
        <w:rPr>
          <w:rFonts w:eastAsia="Calibri"/>
          <w:b/>
          <w:bCs/>
          <w:sz w:val="22"/>
          <w:szCs w:val="22"/>
          <w:lang w:val="sr-Latn-ME" w:bidi="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2985"/>
        <w:gridCol w:w="2224"/>
        <w:gridCol w:w="1927"/>
        <w:gridCol w:w="1927"/>
      </w:tblGrid>
      <w:tr w:rsidR="007E29AA" w:rsidRPr="00F85CA6" w14:paraId="26CCF980" w14:textId="77777777" w:rsidTr="001239C3">
        <w:trPr>
          <w:trHeight w:val="20"/>
          <w:jc w:val="center"/>
        </w:trPr>
        <w:tc>
          <w:tcPr>
            <w:tcW w:w="1647" w:type="pct"/>
            <w:shd w:val="clear" w:color="auto" w:fill="auto"/>
          </w:tcPr>
          <w:p w14:paraId="6724BEF2" w14:textId="77777777" w:rsidR="007E29AA" w:rsidRPr="00F85CA6" w:rsidRDefault="007E29AA" w:rsidP="007E29AA">
            <w:pPr>
              <w:jc w:val="both"/>
              <w:rPr>
                <w:rFonts w:eastAsia="Calibri"/>
                <w:sz w:val="22"/>
                <w:szCs w:val="22"/>
                <w:lang w:val="sr-Latn-ME"/>
              </w:rPr>
            </w:pPr>
          </w:p>
        </w:tc>
        <w:tc>
          <w:tcPr>
            <w:tcW w:w="3353" w:type="pct"/>
            <w:gridSpan w:val="3"/>
            <w:shd w:val="clear" w:color="auto" w:fill="auto"/>
            <w:vAlign w:val="center"/>
          </w:tcPr>
          <w:p w14:paraId="07BE3391"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Učestalost</w:t>
            </w:r>
          </w:p>
        </w:tc>
      </w:tr>
      <w:tr w:rsidR="007E29AA" w:rsidRPr="00F85CA6" w14:paraId="3BD0B6AF" w14:textId="77777777" w:rsidTr="001239C3">
        <w:trPr>
          <w:trHeight w:val="20"/>
          <w:jc w:val="center"/>
        </w:trPr>
        <w:tc>
          <w:tcPr>
            <w:tcW w:w="1647" w:type="pct"/>
            <w:vAlign w:val="center"/>
          </w:tcPr>
          <w:p w14:paraId="208C6357" w14:textId="77777777" w:rsidR="007E29AA" w:rsidRPr="00F85CA6" w:rsidRDefault="007E29AA" w:rsidP="007E29AA">
            <w:pPr>
              <w:rPr>
                <w:rFonts w:eastAsia="Calibri"/>
                <w:sz w:val="22"/>
                <w:szCs w:val="22"/>
                <w:lang w:val="sr-Latn-ME"/>
              </w:rPr>
            </w:pPr>
            <w:r w:rsidRPr="00F85CA6">
              <w:rPr>
                <w:rFonts w:eastAsia="Calibri"/>
                <w:sz w:val="22"/>
                <w:szCs w:val="22"/>
                <w:lang w:val="sr-Latn-ME"/>
              </w:rPr>
              <w:t>SOC / Preporučeni termin</w:t>
            </w:r>
          </w:p>
        </w:tc>
        <w:tc>
          <w:tcPr>
            <w:tcW w:w="1227" w:type="pct"/>
            <w:vAlign w:val="center"/>
          </w:tcPr>
          <w:p w14:paraId="44CBD127" w14:textId="34736CB3" w:rsidR="007E29AA" w:rsidRPr="00F85CA6" w:rsidRDefault="007E29AA" w:rsidP="007E29AA">
            <w:pPr>
              <w:jc w:val="center"/>
              <w:rPr>
                <w:rFonts w:eastAsia="Calibri"/>
                <w:sz w:val="22"/>
                <w:szCs w:val="22"/>
                <w:lang w:val="sr-Latn-ME"/>
              </w:rPr>
            </w:pPr>
            <w:r w:rsidRPr="00F85CA6">
              <w:rPr>
                <w:rFonts w:eastAsia="Calibri"/>
                <w:sz w:val="22"/>
                <w:szCs w:val="22"/>
                <w:lang w:val="sr-Latn-ME"/>
              </w:rPr>
              <w:t>Primarna prevencija VTE nakon hirurškog zahvata zam</w:t>
            </w:r>
            <w:r w:rsidR="00410EF8" w:rsidRPr="00F85CA6">
              <w:rPr>
                <w:rFonts w:eastAsia="Calibri"/>
                <w:sz w:val="22"/>
                <w:szCs w:val="22"/>
                <w:lang w:val="sr-Latn-ME"/>
              </w:rPr>
              <w:t>j</w:t>
            </w:r>
            <w:r w:rsidRPr="00F85CA6">
              <w:rPr>
                <w:rFonts w:eastAsia="Calibri"/>
                <w:sz w:val="22"/>
                <w:szCs w:val="22"/>
                <w:lang w:val="sr-Latn-ME"/>
              </w:rPr>
              <w:t>ene kuka ili kol</w:t>
            </w:r>
            <w:r w:rsidR="00523AA3" w:rsidRPr="00F85CA6">
              <w:rPr>
                <w:rFonts w:eastAsia="Calibri"/>
                <w:sz w:val="22"/>
                <w:szCs w:val="22"/>
                <w:lang w:val="sr-Latn-ME"/>
              </w:rPr>
              <w:t>j</w:t>
            </w:r>
            <w:r w:rsidRPr="00F85CA6">
              <w:rPr>
                <w:rFonts w:eastAsia="Calibri"/>
                <w:sz w:val="22"/>
                <w:szCs w:val="22"/>
                <w:lang w:val="sr-Latn-ME"/>
              </w:rPr>
              <w:t>ena</w:t>
            </w:r>
          </w:p>
        </w:tc>
        <w:tc>
          <w:tcPr>
            <w:tcW w:w="1063" w:type="pct"/>
            <w:vAlign w:val="center"/>
          </w:tcPr>
          <w:p w14:paraId="5A23A91F"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Prevencija moždanog udara i sistemske embolije kod pacijenata sa atrijalnom fibrilacijom</w:t>
            </w:r>
          </w:p>
        </w:tc>
        <w:tc>
          <w:tcPr>
            <w:tcW w:w="1063" w:type="pct"/>
            <w:vAlign w:val="center"/>
          </w:tcPr>
          <w:p w14:paraId="251BEFF1"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Terapija DVT/PE i prevencija DVT/PE</w:t>
            </w:r>
          </w:p>
        </w:tc>
      </w:tr>
      <w:tr w:rsidR="007E29AA" w:rsidRPr="00F85CA6" w14:paraId="1C748026" w14:textId="77777777" w:rsidTr="001239C3">
        <w:trPr>
          <w:trHeight w:val="20"/>
          <w:jc w:val="center"/>
        </w:trPr>
        <w:tc>
          <w:tcPr>
            <w:tcW w:w="5000" w:type="pct"/>
            <w:gridSpan w:val="4"/>
          </w:tcPr>
          <w:p w14:paraId="50FD3203" w14:textId="77777777" w:rsidR="007E29AA" w:rsidRPr="00F85CA6" w:rsidRDefault="007E29AA" w:rsidP="007E29AA">
            <w:pPr>
              <w:rPr>
                <w:rFonts w:eastAsia="Calibri"/>
                <w:sz w:val="22"/>
                <w:szCs w:val="22"/>
                <w:lang w:val="sr-Latn-ME"/>
              </w:rPr>
            </w:pPr>
            <w:r w:rsidRPr="00F85CA6">
              <w:rPr>
                <w:rFonts w:eastAsia="Calibri"/>
                <w:sz w:val="22"/>
                <w:szCs w:val="22"/>
                <w:lang w:val="sr-Latn-ME"/>
              </w:rPr>
              <w:t>Poremećaji krvi i limfnog sistema</w:t>
            </w:r>
          </w:p>
        </w:tc>
      </w:tr>
      <w:tr w:rsidR="007E29AA" w:rsidRPr="00F85CA6" w14:paraId="496AFCD5" w14:textId="77777777" w:rsidTr="001239C3">
        <w:trPr>
          <w:trHeight w:val="20"/>
          <w:jc w:val="center"/>
        </w:trPr>
        <w:tc>
          <w:tcPr>
            <w:tcW w:w="1647" w:type="pct"/>
          </w:tcPr>
          <w:p w14:paraId="3C64EA3A" w14:textId="77777777" w:rsidR="007E29AA" w:rsidRPr="00F85CA6" w:rsidRDefault="007E29AA" w:rsidP="007E29AA">
            <w:pPr>
              <w:ind w:left="196"/>
              <w:rPr>
                <w:rFonts w:eastAsia="Calibri"/>
                <w:sz w:val="22"/>
                <w:szCs w:val="22"/>
                <w:lang w:val="sr-Latn-ME"/>
              </w:rPr>
            </w:pPr>
            <w:r w:rsidRPr="00F85CA6">
              <w:rPr>
                <w:rFonts w:eastAsia="Calibri"/>
                <w:sz w:val="22"/>
                <w:szCs w:val="22"/>
                <w:lang w:val="sr-Latn-ME"/>
              </w:rPr>
              <w:lastRenderedPageBreak/>
              <w:t>Anemija</w:t>
            </w:r>
          </w:p>
        </w:tc>
        <w:tc>
          <w:tcPr>
            <w:tcW w:w="1227" w:type="pct"/>
          </w:tcPr>
          <w:p w14:paraId="067A844C" w14:textId="77777777" w:rsidR="007E29AA" w:rsidRPr="00F85CA6" w:rsidRDefault="007E29AA" w:rsidP="007E29AA">
            <w:pPr>
              <w:rPr>
                <w:rFonts w:eastAsia="Calibri"/>
                <w:sz w:val="22"/>
                <w:szCs w:val="22"/>
                <w:lang w:val="sr-Latn-ME"/>
              </w:rPr>
            </w:pPr>
            <w:r w:rsidRPr="00F85CA6">
              <w:rPr>
                <w:rFonts w:eastAsia="Calibri"/>
                <w:sz w:val="22"/>
                <w:szCs w:val="22"/>
                <w:lang w:val="sr-Latn-ME"/>
              </w:rPr>
              <w:t>povremeno</w:t>
            </w:r>
          </w:p>
        </w:tc>
        <w:tc>
          <w:tcPr>
            <w:tcW w:w="1063" w:type="pct"/>
          </w:tcPr>
          <w:p w14:paraId="25320731" w14:textId="77777777" w:rsidR="007E29AA" w:rsidRPr="00F85CA6" w:rsidRDefault="007E29AA" w:rsidP="007E29AA">
            <w:pPr>
              <w:rPr>
                <w:rFonts w:eastAsia="Calibri"/>
                <w:sz w:val="22"/>
                <w:szCs w:val="22"/>
                <w:lang w:val="sr-Latn-ME"/>
              </w:rPr>
            </w:pPr>
            <w:r w:rsidRPr="00F85CA6">
              <w:rPr>
                <w:rFonts w:eastAsia="Calibri"/>
                <w:sz w:val="22"/>
                <w:szCs w:val="22"/>
                <w:lang w:val="sr-Latn-ME"/>
              </w:rPr>
              <w:t>često</w:t>
            </w:r>
          </w:p>
        </w:tc>
        <w:tc>
          <w:tcPr>
            <w:tcW w:w="1063" w:type="pct"/>
          </w:tcPr>
          <w:p w14:paraId="0B4AA364" w14:textId="77777777" w:rsidR="007E29AA" w:rsidRPr="00F85CA6" w:rsidRDefault="007E29AA" w:rsidP="007E29AA">
            <w:pPr>
              <w:rPr>
                <w:rFonts w:eastAsia="Calibri"/>
                <w:sz w:val="22"/>
                <w:szCs w:val="22"/>
                <w:lang w:val="sr-Latn-ME"/>
              </w:rPr>
            </w:pPr>
            <w:r w:rsidRPr="00F85CA6">
              <w:rPr>
                <w:rFonts w:eastAsia="Calibri"/>
                <w:sz w:val="22"/>
                <w:szCs w:val="22"/>
                <w:lang w:val="sr-Latn-ME"/>
              </w:rPr>
              <w:t>povremeno</w:t>
            </w:r>
          </w:p>
        </w:tc>
      </w:tr>
      <w:tr w:rsidR="007E29AA" w:rsidRPr="00F85CA6" w14:paraId="2A47C049" w14:textId="77777777" w:rsidTr="001239C3">
        <w:trPr>
          <w:trHeight w:val="20"/>
          <w:jc w:val="center"/>
        </w:trPr>
        <w:tc>
          <w:tcPr>
            <w:tcW w:w="1647" w:type="pct"/>
          </w:tcPr>
          <w:p w14:paraId="2872587D" w14:textId="1FE3ADC8" w:rsidR="007E29AA" w:rsidRPr="00F85CA6" w:rsidRDefault="007E29AA" w:rsidP="007E29AA">
            <w:pPr>
              <w:ind w:left="196"/>
              <w:rPr>
                <w:rFonts w:eastAsia="Calibri"/>
                <w:sz w:val="22"/>
                <w:szCs w:val="22"/>
                <w:lang w:val="sr-Latn-ME"/>
              </w:rPr>
            </w:pPr>
            <w:r w:rsidRPr="00F85CA6">
              <w:rPr>
                <w:rFonts w:eastAsia="Calibri"/>
                <w:sz w:val="22"/>
                <w:szCs w:val="22"/>
                <w:lang w:val="sr-Latn-ME"/>
              </w:rPr>
              <w:t>Smanjene vr</w:t>
            </w:r>
            <w:r w:rsidR="00523AA3" w:rsidRPr="00F85CA6">
              <w:rPr>
                <w:rFonts w:eastAsia="Calibri"/>
                <w:sz w:val="22"/>
                <w:szCs w:val="22"/>
                <w:lang w:val="sr-Latn-ME"/>
              </w:rPr>
              <w:t>ij</w:t>
            </w:r>
            <w:r w:rsidRPr="00F85CA6">
              <w:rPr>
                <w:rFonts w:eastAsia="Calibri"/>
                <w:sz w:val="22"/>
                <w:szCs w:val="22"/>
                <w:lang w:val="sr-Latn-ME"/>
              </w:rPr>
              <w:t xml:space="preserve">ednosti hemoglobina </w:t>
            </w:r>
          </w:p>
        </w:tc>
        <w:tc>
          <w:tcPr>
            <w:tcW w:w="1227" w:type="pct"/>
          </w:tcPr>
          <w:p w14:paraId="45B97679" w14:textId="77777777" w:rsidR="007E29AA" w:rsidRPr="00F85CA6" w:rsidRDefault="007E29AA" w:rsidP="007E29AA">
            <w:pPr>
              <w:rPr>
                <w:rFonts w:eastAsia="Calibri"/>
                <w:sz w:val="22"/>
                <w:szCs w:val="22"/>
                <w:lang w:val="sr-Latn-ME"/>
              </w:rPr>
            </w:pPr>
            <w:r w:rsidRPr="00F85CA6">
              <w:rPr>
                <w:rFonts w:eastAsia="Calibri"/>
                <w:sz w:val="22"/>
                <w:szCs w:val="22"/>
                <w:lang w:val="sr-Latn-ME"/>
              </w:rPr>
              <w:t>često</w:t>
            </w:r>
          </w:p>
        </w:tc>
        <w:tc>
          <w:tcPr>
            <w:tcW w:w="1063" w:type="pct"/>
          </w:tcPr>
          <w:p w14:paraId="7702C93C" w14:textId="77777777" w:rsidR="007E29AA" w:rsidRPr="00F85CA6" w:rsidRDefault="007E29AA" w:rsidP="007E29AA">
            <w:pPr>
              <w:rPr>
                <w:rFonts w:eastAsia="Calibri"/>
                <w:sz w:val="22"/>
                <w:szCs w:val="22"/>
                <w:lang w:val="sr-Latn-ME"/>
              </w:rPr>
            </w:pPr>
            <w:r w:rsidRPr="00F85CA6">
              <w:rPr>
                <w:rFonts w:eastAsia="Calibri"/>
                <w:sz w:val="22"/>
                <w:szCs w:val="22"/>
                <w:lang w:val="sr-Latn-ME"/>
              </w:rPr>
              <w:t>povremeno</w:t>
            </w:r>
          </w:p>
        </w:tc>
        <w:tc>
          <w:tcPr>
            <w:tcW w:w="1063" w:type="pct"/>
          </w:tcPr>
          <w:p w14:paraId="40EEF55D" w14:textId="28FCF122" w:rsidR="007E29AA" w:rsidRPr="00F85CA6" w:rsidRDefault="007E29AA" w:rsidP="00786320">
            <w:pPr>
              <w:rPr>
                <w:rFonts w:eastAsia="Calibri"/>
                <w:sz w:val="22"/>
                <w:szCs w:val="22"/>
                <w:lang w:val="sr-Latn-ME"/>
              </w:rPr>
            </w:pPr>
            <w:r w:rsidRPr="00F85CA6">
              <w:rPr>
                <w:rFonts w:eastAsia="Calibri"/>
                <w:sz w:val="22"/>
                <w:szCs w:val="22"/>
                <w:lang w:val="sr-Latn-ME"/>
              </w:rPr>
              <w:t>nepoznat</w:t>
            </w:r>
            <w:r w:rsidR="00786320" w:rsidRPr="00F85CA6">
              <w:rPr>
                <w:rFonts w:eastAsia="Calibri"/>
                <w:sz w:val="22"/>
                <w:szCs w:val="22"/>
                <w:lang w:val="sr-Latn-ME"/>
              </w:rPr>
              <w:t>o</w:t>
            </w:r>
            <w:r w:rsidRPr="00F85CA6">
              <w:rPr>
                <w:rFonts w:eastAsia="Calibri"/>
                <w:sz w:val="22"/>
                <w:szCs w:val="22"/>
                <w:lang w:val="sr-Latn-ME"/>
              </w:rPr>
              <w:t xml:space="preserve"> </w:t>
            </w:r>
          </w:p>
        </w:tc>
      </w:tr>
      <w:tr w:rsidR="007E29AA" w:rsidRPr="00F85CA6" w14:paraId="0C3FFA1F" w14:textId="77777777" w:rsidTr="001239C3">
        <w:trPr>
          <w:trHeight w:val="20"/>
          <w:jc w:val="center"/>
        </w:trPr>
        <w:tc>
          <w:tcPr>
            <w:tcW w:w="1647" w:type="pct"/>
          </w:tcPr>
          <w:p w14:paraId="1DA87FA5" w14:textId="77777777" w:rsidR="007E29AA" w:rsidRPr="00F85CA6" w:rsidRDefault="007E29AA" w:rsidP="007E29AA">
            <w:pPr>
              <w:ind w:left="196"/>
              <w:rPr>
                <w:rFonts w:eastAsia="Calibri"/>
                <w:sz w:val="22"/>
                <w:szCs w:val="22"/>
                <w:lang w:val="sr-Latn-ME"/>
              </w:rPr>
            </w:pPr>
            <w:r w:rsidRPr="00F85CA6">
              <w:rPr>
                <w:rFonts w:eastAsia="Calibri"/>
                <w:sz w:val="22"/>
                <w:szCs w:val="22"/>
                <w:lang w:val="sr-Latn-ME"/>
              </w:rPr>
              <w:t>Trombocitopenija</w:t>
            </w:r>
          </w:p>
        </w:tc>
        <w:tc>
          <w:tcPr>
            <w:tcW w:w="1227" w:type="pct"/>
          </w:tcPr>
          <w:p w14:paraId="6435AF96" w14:textId="77777777" w:rsidR="007E29AA" w:rsidRPr="00F85CA6" w:rsidRDefault="007E29AA" w:rsidP="007E29AA">
            <w:pPr>
              <w:rPr>
                <w:rFonts w:eastAsia="Calibri"/>
                <w:sz w:val="22"/>
                <w:szCs w:val="22"/>
                <w:lang w:val="sr-Latn-ME"/>
              </w:rPr>
            </w:pPr>
            <w:r w:rsidRPr="00F85CA6">
              <w:rPr>
                <w:rFonts w:eastAsia="Calibri"/>
                <w:sz w:val="22"/>
                <w:szCs w:val="22"/>
                <w:lang w:val="sr-Latn-ME"/>
              </w:rPr>
              <w:t>retko</w:t>
            </w:r>
          </w:p>
        </w:tc>
        <w:tc>
          <w:tcPr>
            <w:tcW w:w="1063" w:type="pct"/>
          </w:tcPr>
          <w:p w14:paraId="7A9DF4BD" w14:textId="77777777" w:rsidR="007E29AA" w:rsidRPr="00F85CA6" w:rsidRDefault="007E29AA" w:rsidP="007E29AA">
            <w:pPr>
              <w:rPr>
                <w:rFonts w:eastAsia="Calibri"/>
                <w:sz w:val="22"/>
                <w:szCs w:val="22"/>
                <w:lang w:val="sr-Latn-ME"/>
              </w:rPr>
            </w:pPr>
            <w:r w:rsidRPr="00F85CA6">
              <w:rPr>
                <w:rFonts w:eastAsia="Calibri"/>
                <w:sz w:val="22"/>
                <w:szCs w:val="22"/>
                <w:lang w:val="sr-Latn-ME"/>
              </w:rPr>
              <w:t>povremeno</w:t>
            </w:r>
          </w:p>
        </w:tc>
        <w:tc>
          <w:tcPr>
            <w:tcW w:w="1063" w:type="pct"/>
          </w:tcPr>
          <w:p w14:paraId="18C30267" w14:textId="5BA51B4D" w:rsidR="007E29AA" w:rsidRPr="00F85CA6" w:rsidRDefault="007E29AA" w:rsidP="007E29AA">
            <w:pPr>
              <w:rPr>
                <w:rFonts w:eastAsia="Calibri"/>
                <w:sz w:val="22"/>
                <w:szCs w:val="22"/>
                <w:lang w:val="sr-Latn-ME"/>
              </w:rPr>
            </w:pPr>
            <w:r w:rsidRPr="00F85CA6">
              <w:rPr>
                <w:rFonts w:eastAsia="Calibri"/>
                <w:sz w:val="22"/>
                <w:szCs w:val="22"/>
                <w:lang w:val="sr-Latn-ME"/>
              </w:rPr>
              <w:t>r</w:t>
            </w:r>
            <w:r w:rsidR="00523AA3" w:rsidRPr="00F85CA6">
              <w:rPr>
                <w:rFonts w:eastAsia="Calibri"/>
                <w:sz w:val="22"/>
                <w:szCs w:val="22"/>
                <w:lang w:val="sr-Latn-ME"/>
              </w:rPr>
              <w:t>ij</w:t>
            </w:r>
            <w:r w:rsidRPr="00F85CA6">
              <w:rPr>
                <w:rFonts w:eastAsia="Calibri"/>
                <w:sz w:val="22"/>
                <w:szCs w:val="22"/>
                <w:lang w:val="sr-Latn-ME"/>
              </w:rPr>
              <w:t>etko</w:t>
            </w:r>
          </w:p>
        </w:tc>
      </w:tr>
      <w:tr w:rsidR="007E29AA" w:rsidRPr="00F85CA6" w14:paraId="2F238E86" w14:textId="77777777" w:rsidTr="001239C3">
        <w:trPr>
          <w:trHeight w:val="20"/>
          <w:jc w:val="center"/>
        </w:trPr>
        <w:tc>
          <w:tcPr>
            <w:tcW w:w="1647" w:type="pct"/>
          </w:tcPr>
          <w:p w14:paraId="0D6B1C6E" w14:textId="06A9C316" w:rsidR="007E29AA" w:rsidRPr="00F85CA6" w:rsidRDefault="007E29AA" w:rsidP="007E29AA">
            <w:pPr>
              <w:ind w:left="196"/>
              <w:rPr>
                <w:rFonts w:eastAsia="Calibri"/>
                <w:sz w:val="22"/>
                <w:szCs w:val="22"/>
                <w:lang w:val="sr-Latn-ME"/>
              </w:rPr>
            </w:pPr>
            <w:r w:rsidRPr="00F85CA6">
              <w:rPr>
                <w:rFonts w:eastAsia="Calibri"/>
                <w:sz w:val="22"/>
                <w:szCs w:val="22"/>
                <w:lang w:val="sr-Latn-ME"/>
              </w:rPr>
              <w:t>Smanjene vr</w:t>
            </w:r>
            <w:r w:rsidR="00523AA3" w:rsidRPr="00F85CA6">
              <w:rPr>
                <w:rFonts w:eastAsia="Calibri"/>
                <w:sz w:val="22"/>
                <w:szCs w:val="22"/>
                <w:lang w:val="sr-Latn-ME"/>
              </w:rPr>
              <w:t>ij</w:t>
            </w:r>
            <w:r w:rsidRPr="00F85CA6">
              <w:rPr>
                <w:rFonts w:eastAsia="Calibri"/>
                <w:sz w:val="22"/>
                <w:szCs w:val="22"/>
                <w:lang w:val="sr-Latn-ME"/>
              </w:rPr>
              <w:t xml:space="preserve">ednosti hematokrita </w:t>
            </w:r>
          </w:p>
        </w:tc>
        <w:tc>
          <w:tcPr>
            <w:tcW w:w="1227" w:type="pct"/>
          </w:tcPr>
          <w:p w14:paraId="612E5F08" w14:textId="77777777" w:rsidR="007E29AA" w:rsidRPr="00F85CA6" w:rsidRDefault="007E29AA" w:rsidP="007E29AA">
            <w:pPr>
              <w:rPr>
                <w:rFonts w:eastAsia="Calibri"/>
                <w:sz w:val="22"/>
                <w:szCs w:val="22"/>
                <w:lang w:val="sr-Latn-ME"/>
              </w:rPr>
            </w:pPr>
            <w:r w:rsidRPr="00F85CA6">
              <w:rPr>
                <w:rFonts w:eastAsia="Calibri"/>
                <w:sz w:val="22"/>
                <w:szCs w:val="22"/>
                <w:lang w:val="sr-Latn-ME"/>
              </w:rPr>
              <w:t>povremeno</w:t>
            </w:r>
          </w:p>
        </w:tc>
        <w:tc>
          <w:tcPr>
            <w:tcW w:w="1063" w:type="pct"/>
          </w:tcPr>
          <w:p w14:paraId="4B00A327" w14:textId="29DE7354" w:rsidR="007E29AA" w:rsidRPr="00F85CA6" w:rsidRDefault="007E29AA" w:rsidP="007E29AA">
            <w:pPr>
              <w:rPr>
                <w:rFonts w:eastAsia="Calibri"/>
                <w:sz w:val="22"/>
                <w:szCs w:val="22"/>
                <w:lang w:val="sr-Latn-ME"/>
              </w:rPr>
            </w:pPr>
            <w:r w:rsidRPr="00F85CA6">
              <w:rPr>
                <w:rFonts w:eastAsia="Calibri"/>
                <w:sz w:val="22"/>
                <w:szCs w:val="22"/>
                <w:lang w:val="sr-Latn-ME"/>
              </w:rPr>
              <w:t>r</w:t>
            </w:r>
            <w:r w:rsidR="00523AA3" w:rsidRPr="00F85CA6">
              <w:rPr>
                <w:rFonts w:eastAsia="Calibri"/>
                <w:sz w:val="22"/>
                <w:szCs w:val="22"/>
                <w:lang w:val="sr-Latn-ME"/>
              </w:rPr>
              <w:t>ij</w:t>
            </w:r>
            <w:r w:rsidRPr="00F85CA6">
              <w:rPr>
                <w:rFonts w:eastAsia="Calibri"/>
                <w:sz w:val="22"/>
                <w:szCs w:val="22"/>
                <w:lang w:val="sr-Latn-ME"/>
              </w:rPr>
              <w:t>etko</w:t>
            </w:r>
          </w:p>
        </w:tc>
        <w:tc>
          <w:tcPr>
            <w:tcW w:w="1063" w:type="pct"/>
          </w:tcPr>
          <w:p w14:paraId="727FE28F" w14:textId="544800C7" w:rsidR="007E29AA" w:rsidRPr="00F85CA6" w:rsidRDefault="007E29AA" w:rsidP="00786320">
            <w:pPr>
              <w:rPr>
                <w:rFonts w:eastAsia="Calibri"/>
                <w:sz w:val="22"/>
                <w:szCs w:val="22"/>
                <w:lang w:val="sr-Latn-ME"/>
              </w:rPr>
            </w:pPr>
            <w:r w:rsidRPr="00F85CA6">
              <w:rPr>
                <w:rFonts w:eastAsia="Calibri"/>
                <w:sz w:val="22"/>
                <w:szCs w:val="22"/>
                <w:lang w:val="sr-Latn-ME"/>
              </w:rPr>
              <w:t>nepoznat</w:t>
            </w:r>
            <w:r w:rsidR="00786320" w:rsidRPr="00F85CA6">
              <w:rPr>
                <w:rFonts w:eastAsia="Calibri"/>
                <w:sz w:val="22"/>
                <w:szCs w:val="22"/>
                <w:lang w:val="sr-Latn-ME"/>
              </w:rPr>
              <w:t>o</w:t>
            </w:r>
            <w:r w:rsidRPr="00F85CA6">
              <w:rPr>
                <w:rFonts w:eastAsia="Calibri"/>
                <w:sz w:val="22"/>
                <w:szCs w:val="22"/>
                <w:lang w:val="sr-Latn-ME"/>
              </w:rPr>
              <w:t xml:space="preserve"> </w:t>
            </w:r>
          </w:p>
        </w:tc>
      </w:tr>
      <w:tr w:rsidR="007E29AA" w:rsidRPr="00F85CA6" w14:paraId="1825F87C" w14:textId="77777777" w:rsidTr="001239C3">
        <w:trPr>
          <w:trHeight w:val="20"/>
          <w:jc w:val="center"/>
        </w:trPr>
        <w:tc>
          <w:tcPr>
            <w:tcW w:w="1647" w:type="pct"/>
          </w:tcPr>
          <w:p w14:paraId="021F66DA" w14:textId="77777777" w:rsidR="007E29AA" w:rsidRPr="00F85CA6" w:rsidRDefault="007E29AA" w:rsidP="007E29AA">
            <w:pPr>
              <w:ind w:left="196"/>
              <w:rPr>
                <w:rFonts w:eastAsia="Calibri"/>
                <w:sz w:val="22"/>
                <w:szCs w:val="22"/>
                <w:lang w:val="sr-Latn-ME"/>
              </w:rPr>
            </w:pPr>
            <w:r w:rsidRPr="00F85CA6">
              <w:rPr>
                <w:rFonts w:eastAsia="Calibri"/>
                <w:sz w:val="22"/>
                <w:szCs w:val="22"/>
                <w:lang w:val="sr-Latn-ME"/>
              </w:rPr>
              <w:t>Neutropenija</w:t>
            </w:r>
          </w:p>
        </w:tc>
        <w:tc>
          <w:tcPr>
            <w:tcW w:w="1227" w:type="pct"/>
          </w:tcPr>
          <w:p w14:paraId="09B96734" w14:textId="6952A683" w:rsidR="007E29AA" w:rsidRPr="00F85CA6" w:rsidRDefault="007E29AA" w:rsidP="00786320">
            <w:pPr>
              <w:rPr>
                <w:rFonts w:eastAsia="Calibri"/>
                <w:sz w:val="22"/>
                <w:szCs w:val="22"/>
                <w:lang w:val="sr-Latn-ME"/>
              </w:rPr>
            </w:pPr>
            <w:r w:rsidRPr="00F85CA6">
              <w:rPr>
                <w:rFonts w:eastAsia="Calibri"/>
                <w:sz w:val="22"/>
                <w:szCs w:val="22"/>
                <w:lang w:val="sr-Latn-ME"/>
              </w:rPr>
              <w:t>nepoznat</w:t>
            </w:r>
            <w:r w:rsidR="00786320" w:rsidRPr="00F85CA6">
              <w:rPr>
                <w:rFonts w:eastAsia="Calibri"/>
                <w:sz w:val="22"/>
                <w:szCs w:val="22"/>
                <w:lang w:val="sr-Latn-ME"/>
              </w:rPr>
              <w:t>o</w:t>
            </w:r>
          </w:p>
        </w:tc>
        <w:tc>
          <w:tcPr>
            <w:tcW w:w="1063" w:type="pct"/>
          </w:tcPr>
          <w:p w14:paraId="28B8FD9A" w14:textId="598FC7C5" w:rsidR="007E29AA" w:rsidRPr="00F85CA6" w:rsidRDefault="007E29AA" w:rsidP="00786320">
            <w:pPr>
              <w:rPr>
                <w:rFonts w:eastAsia="Calibri"/>
                <w:sz w:val="22"/>
                <w:szCs w:val="22"/>
                <w:lang w:val="sr-Latn-ME"/>
              </w:rPr>
            </w:pPr>
            <w:r w:rsidRPr="00F85CA6">
              <w:rPr>
                <w:rFonts w:eastAsia="Calibri"/>
                <w:sz w:val="22"/>
                <w:szCs w:val="22"/>
                <w:lang w:val="sr-Latn-ME"/>
              </w:rPr>
              <w:t>nepoznat</w:t>
            </w:r>
            <w:r w:rsidR="00786320" w:rsidRPr="00F85CA6">
              <w:rPr>
                <w:rFonts w:eastAsia="Calibri"/>
                <w:sz w:val="22"/>
                <w:szCs w:val="22"/>
                <w:lang w:val="sr-Latn-ME"/>
              </w:rPr>
              <w:t>o</w:t>
            </w:r>
            <w:r w:rsidRPr="00F85CA6">
              <w:rPr>
                <w:rFonts w:eastAsia="Calibri"/>
                <w:sz w:val="22"/>
                <w:szCs w:val="22"/>
                <w:lang w:val="sr-Latn-ME"/>
              </w:rPr>
              <w:t xml:space="preserve"> </w:t>
            </w:r>
          </w:p>
        </w:tc>
        <w:tc>
          <w:tcPr>
            <w:tcW w:w="1063" w:type="pct"/>
          </w:tcPr>
          <w:p w14:paraId="5BE5C0E5" w14:textId="34356BC8" w:rsidR="007E29AA" w:rsidRPr="00F85CA6" w:rsidRDefault="007E29AA" w:rsidP="00786320">
            <w:pPr>
              <w:rPr>
                <w:rFonts w:eastAsia="Calibri"/>
                <w:sz w:val="22"/>
                <w:szCs w:val="22"/>
                <w:lang w:val="sr-Latn-ME"/>
              </w:rPr>
            </w:pPr>
            <w:r w:rsidRPr="00F85CA6">
              <w:rPr>
                <w:rFonts w:eastAsia="Calibri"/>
                <w:sz w:val="22"/>
                <w:szCs w:val="22"/>
                <w:lang w:val="sr-Latn-ME"/>
              </w:rPr>
              <w:t>nepoznat</w:t>
            </w:r>
            <w:r w:rsidR="00786320" w:rsidRPr="00F85CA6">
              <w:rPr>
                <w:rFonts w:eastAsia="Calibri"/>
                <w:sz w:val="22"/>
                <w:szCs w:val="22"/>
                <w:lang w:val="sr-Latn-ME"/>
              </w:rPr>
              <w:t>o</w:t>
            </w:r>
            <w:r w:rsidRPr="00F85CA6">
              <w:rPr>
                <w:rFonts w:eastAsia="Calibri"/>
                <w:sz w:val="22"/>
                <w:szCs w:val="22"/>
                <w:lang w:val="sr-Latn-ME"/>
              </w:rPr>
              <w:t xml:space="preserve"> </w:t>
            </w:r>
          </w:p>
        </w:tc>
      </w:tr>
      <w:tr w:rsidR="007E29AA" w:rsidRPr="00F85CA6" w14:paraId="1F84C0CE" w14:textId="77777777" w:rsidTr="001239C3">
        <w:trPr>
          <w:trHeight w:val="20"/>
          <w:jc w:val="center"/>
        </w:trPr>
        <w:tc>
          <w:tcPr>
            <w:tcW w:w="1647" w:type="pct"/>
          </w:tcPr>
          <w:p w14:paraId="03BA5C68" w14:textId="77777777" w:rsidR="007E29AA" w:rsidRPr="00F85CA6" w:rsidRDefault="007E29AA" w:rsidP="007E29AA">
            <w:pPr>
              <w:ind w:left="196"/>
              <w:rPr>
                <w:rFonts w:eastAsia="Calibri"/>
                <w:sz w:val="22"/>
                <w:szCs w:val="22"/>
                <w:lang w:val="sr-Latn-ME"/>
              </w:rPr>
            </w:pPr>
            <w:r w:rsidRPr="00F85CA6">
              <w:rPr>
                <w:rFonts w:eastAsia="Calibri"/>
                <w:sz w:val="22"/>
                <w:szCs w:val="22"/>
                <w:lang w:val="sr-Latn-ME"/>
              </w:rPr>
              <w:t>Agranulocitoza</w:t>
            </w:r>
          </w:p>
        </w:tc>
        <w:tc>
          <w:tcPr>
            <w:tcW w:w="1227" w:type="pct"/>
          </w:tcPr>
          <w:p w14:paraId="1F77AD77" w14:textId="0074AE81" w:rsidR="007E29AA" w:rsidRPr="00F85CA6" w:rsidRDefault="007E29AA" w:rsidP="00786320">
            <w:pPr>
              <w:rPr>
                <w:rFonts w:eastAsia="Calibri"/>
                <w:sz w:val="22"/>
                <w:szCs w:val="22"/>
                <w:lang w:val="sr-Latn-ME"/>
              </w:rPr>
            </w:pPr>
            <w:r w:rsidRPr="00F85CA6">
              <w:rPr>
                <w:rFonts w:eastAsia="Calibri"/>
                <w:sz w:val="22"/>
                <w:szCs w:val="22"/>
                <w:lang w:val="sr-Latn-ME"/>
              </w:rPr>
              <w:t>nepoznat</w:t>
            </w:r>
            <w:r w:rsidR="00786320" w:rsidRPr="00F85CA6">
              <w:rPr>
                <w:rFonts w:eastAsia="Calibri"/>
                <w:sz w:val="22"/>
                <w:szCs w:val="22"/>
                <w:lang w:val="sr-Latn-ME"/>
              </w:rPr>
              <w:t>o</w:t>
            </w:r>
          </w:p>
        </w:tc>
        <w:tc>
          <w:tcPr>
            <w:tcW w:w="1063" w:type="pct"/>
          </w:tcPr>
          <w:p w14:paraId="4D468419" w14:textId="17572BFC" w:rsidR="007E29AA" w:rsidRPr="00F85CA6" w:rsidRDefault="007E29AA" w:rsidP="00786320">
            <w:pPr>
              <w:rPr>
                <w:rFonts w:eastAsia="Calibri"/>
                <w:sz w:val="22"/>
                <w:szCs w:val="22"/>
                <w:lang w:val="sr-Latn-ME"/>
              </w:rPr>
            </w:pPr>
            <w:r w:rsidRPr="00F85CA6">
              <w:rPr>
                <w:rFonts w:eastAsia="Calibri"/>
                <w:sz w:val="22"/>
                <w:szCs w:val="22"/>
                <w:lang w:val="sr-Latn-ME"/>
              </w:rPr>
              <w:t>nepoznat</w:t>
            </w:r>
            <w:r w:rsidR="00786320" w:rsidRPr="00F85CA6">
              <w:rPr>
                <w:rFonts w:eastAsia="Calibri"/>
                <w:sz w:val="22"/>
                <w:szCs w:val="22"/>
                <w:lang w:val="sr-Latn-ME"/>
              </w:rPr>
              <w:t>o</w:t>
            </w:r>
          </w:p>
        </w:tc>
        <w:tc>
          <w:tcPr>
            <w:tcW w:w="1063" w:type="pct"/>
          </w:tcPr>
          <w:p w14:paraId="25469311" w14:textId="3EE06E79" w:rsidR="007E29AA" w:rsidRPr="00F85CA6" w:rsidRDefault="007E29AA" w:rsidP="00786320">
            <w:pPr>
              <w:rPr>
                <w:rFonts w:eastAsia="Calibri"/>
                <w:sz w:val="22"/>
                <w:szCs w:val="22"/>
                <w:lang w:val="sr-Latn-ME"/>
              </w:rPr>
            </w:pPr>
            <w:r w:rsidRPr="00F85CA6">
              <w:rPr>
                <w:rFonts w:eastAsia="Calibri"/>
                <w:sz w:val="22"/>
                <w:szCs w:val="22"/>
                <w:lang w:val="sr-Latn-ME"/>
              </w:rPr>
              <w:t>nepoznat</w:t>
            </w:r>
            <w:r w:rsidR="00786320" w:rsidRPr="00F85CA6">
              <w:rPr>
                <w:rFonts w:eastAsia="Calibri"/>
                <w:sz w:val="22"/>
                <w:szCs w:val="22"/>
                <w:lang w:val="sr-Latn-ME"/>
              </w:rPr>
              <w:t>o</w:t>
            </w:r>
            <w:r w:rsidRPr="00F85CA6">
              <w:rPr>
                <w:rFonts w:eastAsia="Calibri"/>
                <w:sz w:val="22"/>
                <w:szCs w:val="22"/>
                <w:lang w:val="sr-Latn-ME"/>
              </w:rPr>
              <w:t xml:space="preserve"> </w:t>
            </w:r>
          </w:p>
        </w:tc>
      </w:tr>
      <w:tr w:rsidR="007E29AA" w:rsidRPr="00F85CA6" w14:paraId="739C0CD5" w14:textId="77777777" w:rsidTr="001239C3">
        <w:trPr>
          <w:trHeight w:val="20"/>
          <w:jc w:val="center"/>
        </w:trPr>
        <w:tc>
          <w:tcPr>
            <w:tcW w:w="5000" w:type="pct"/>
            <w:gridSpan w:val="4"/>
          </w:tcPr>
          <w:p w14:paraId="42E55935" w14:textId="77777777" w:rsidR="007E29AA" w:rsidRPr="00F85CA6" w:rsidRDefault="007E29AA" w:rsidP="007E29AA">
            <w:pPr>
              <w:rPr>
                <w:rFonts w:eastAsia="Calibri"/>
                <w:sz w:val="22"/>
                <w:szCs w:val="22"/>
                <w:lang w:val="sr-Latn-ME"/>
              </w:rPr>
            </w:pPr>
            <w:r w:rsidRPr="00F85CA6">
              <w:rPr>
                <w:rFonts w:eastAsia="Calibri"/>
                <w:sz w:val="22"/>
                <w:szCs w:val="22"/>
                <w:lang w:val="sr-Latn-ME"/>
              </w:rPr>
              <w:t>Poremećaji imunskog sistema</w:t>
            </w:r>
          </w:p>
        </w:tc>
      </w:tr>
      <w:tr w:rsidR="007E29AA" w:rsidRPr="00F85CA6" w14:paraId="496A7078" w14:textId="77777777" w:rsidTr="001239C3">
        <w:trPr>
          <w:trHeight w:val="20"/>
          <w:jc w:val="center"/>
        </w:trPr>
        <w:tc>
          <w:tcPr>
            <w:tcW w:w="1647" w:type="pct"/>
          </w:tcPr>
          <w:p w14:paraId="44A54BA1" w14:textId="11CA6997" w:rsidR="007E29AA" w:rsidRPr="00F85CA6" w:rsidRDefault="007E29AA" w:rsidP="007E29AA">
            <w:pPr>
              <w:ind w:left="196"/>
              <w:rPr>
                <w:rFonts w:eastAsia="Calibri"/>
                <w:sz w:val="22"/>
                <w:szCs w:val="22"/>
                <w:lang w:val="sr-Latn-ME"/>
              </w:rPr>
            </w:pPr>
            <w:r w:rsidRPr="00F85CA6">
              <w:rPr>
                <w:rFonts w:eastAsia="Calibri"/>
                <w:sz w:val="22"/>
                <w:szCs w:val="22"/>
                <w:lang w:val="sr-Latn-ME"/>
              </w:rPr>
              <w:t>Preos</w:t>
            </w:r>
            <w:r w:rsidR="001B7CED" w:rsidRPr="00F85CA6">
              <w:rPr>
                <w:rFonts w:eastAsia="Calibri"/>
                <w:sz w:val="22"/>
                <w:szCs w:val="22"/>
                <w:lang w:val="sr-Latn-ME"/>
              </w:rPr>
              <w:t>j</w:t>
            </w:r>
            <w:r w:rsidRPr="00F85CA6">
              <w:rPr>
                <w:rFonts w:eastAsia="Calibri"/>
                <w:sz w:val="22"/>
                <w:szCs w:val="22"/>
                <w:lang w:val="sr-Latn-ME"/>
              </w:rPr>
              <w:t>etljivost na l</w:t>
            </w:r>
            <w:r w:rsidR="00523AA3" w:rsidRPr="00F85CA6">
              <w:rPr>
                <w:rFonts w:eastAsia="Calibri"/>
                <w:sz w:val="22"/>
                <w:szCs w:val="22"/>
                <w:lang w:val="sr-Latn-ME"/>
              </w:rPr>
              <w:t>ij</w:t>
            </w:r>
            <w:r w:rsidRPr="00F85CA6">
              <w:rPr>
                <w:rFonts w:eastAsia="Calibri"/>
                <w:sz w:val="22"/>
                <w:szCs w:val="22"/>
                <w:lang w:val="sr-Latn-ME"/>
              </w:rPr>
              <w:t>ek</w:t>
            </w:r>
          </w:p>
        </w:tc>
        <w:tc>
          <w:tcPr>
            <w:tcW w:w="1227" w:type="pct"/>
          </w:tcPr>
          <w:p w14:paraId="145329E5" w14:textId="77777777" w:rsidR="007E29AA" w:rsidRPr="00F85CA6" w:rsidRDefault="007E29AA" w:rsidP="007E29AA">
            <w:pPr>
              <w:rPr>
                <w:rFonts w:eastAsia="Calibri"/>
                <w:sz w:val="22"/>
                <w:szCs w:val="22"/>
                <w:lang w:val="sr-Latn-ME"/>
              </w:rPr>
            </w:pPr>
            <w:r w:rsidRPr="00F85CA6">
              <w:rPr>
                <w:rFonts w:eastAsia="Calibri"/>
                <w:sz w:val="22"/>
                <w:szCs w:val="22"/>
                <w:lang w:val="sr-Latn-ME"/>
              </w:rPr>
              <w:t>povremeno</w:t>
            </w:r>
          </w:p>
        </w:tc>
        <w:tc>
          <w:tcPr>
            <w:tcW w:w="1063" w:type="pct"/>
          </w:tcPr>
          <w:p w14:paraId="557AF7D4" w14:textId="77777777" w:rsidR="007E29AA" w:rsidRPr="00F85CA6" w:rsidRDefault="007E29AA" w:rsidP="007E29AA">
            <w:pPr>
              <w:rPr>
                <w:rFonts w:eastAsia="Calibri"/>
                <w:sz w:val="22"/>
                <w:szCs w:val="22"/>
                <w:lang w:val="sr-Latn-ME"/>
              </w:rPr>
            </w:pPr>
            <w:r w:rsidRPr="00F85CA6">
              <w:rPr>
                <w:rFonts w:eastAsia="Calibri"/>
                <w:sz w:val="22"/>
                <w:szCs w:val="22"/>
                <w:lang w:val="sr-Latn-ME"/>
              </w:rPr>
              <w:t>povremeno</w:t>
            </w:r>
          </w:p>
        </w:tc>
        <w:tc>
          <w:tcPr>
            <w:tcW w:w="1063" w:type="pct"/>
          </w:tcPr>
          <w:p w14:paraId="69825E59" w14:textId="77777777" w:rsidR="007E29AA" w:rsidRPr="00F85CA6" w:rsidRDefault="007E29AA" w:rsidP="007E29AA">
            <w:pPr>
              <w:rPr>
                <w:rFonts w:eastAsia="Calibri"/>
                <w:sz w:val="22"/>
                <w:szCs w:val="22"/>
                <w:lang w:val="sr-Latn-ME"/>
              </w:rPr>
            </w:pPr>
            <w:r w:rsidRPr="00F85CA6">
              <w:rPr>
                <w:rFonts w:eastAsia="Calibri"/>
                <w:sz w:val="22"/>
                <w:szCs w:val="22"/>
                <w:lang w:val="sr-Latn-ME"/>
              </w:rPr>
              <w:t>povremeno</w:t>
            </w:r>
          </w:p>
        </w:tc>
      </w:tr>
      <w:tr w:rsidR="007E29AA" w:rsidRPr="00F85CA6" w14:paraId="6E33C80C" w14:textId="77777777" w:rsidTr="001239C3">
        <w:trPr>
          <w:trHeight w:val="20"/>
          <w:jc w:val="center"/>
        </w:trPr>
        <w:tc>
          <w:tcPr>
            <w:tcW w:w="1647" w:type="pct"/>
          </w:tcPr>
          <w:p w14:paraId="13699A44" w14:textId="77777777" w:rsidR="007E29AA" w:rsidRPr="00F85CA6" w:rsidRDefault="007E29AA" w:rsidP="007E29AA">
            <w:pPr>
              <w:ind w:left="196"/>
              <w:rPr>
                <w:rFonts w:eastAsia="Calibri"/>
                <w:sz w:val="22"/>
                <w:szCs w:val="22"/>
                <w:lang w:val="sr-Latn-ME"/>
              </w:rPr>
            </w:pPr>
            <w:r w:rsidRPr="00F85CA6">
              <w:rPr>
                <w:rFonts w:eastAsia="Calibri"/>
                <w:sz w:val="22"/>
                <w:szCs w:val="22"/>
                <w:lang w:val="sr-Latn-ME"/>
              </w:rPr>
              <w:t xml:space="preserve">Osip </w:t>
            </w:r>
          </w:p>
        </w:tc>
        <w:tc>
          <w:tcPr>
            <w:tcW w:w="1227" w:type="pct"/>
          </w:tcPr>
          <w:p w14:paraId="554FE10B" w14:textId="18D339B4" w:rsidR="007E29AA" w:rsidRPr="00F85CA6" w:rsidRDefault="007E29AA" w:rsidP="007E29AA">
            <w:pPr>
              <w:rPr>
                <w:rFonts w:eastAsia="Calibri"/>
                <w:sz w:val="22"/>
                <w:szCs w:val="22"/>
                <w:lang w:val="sr-Latn-ME"/>
              </w:rPr>
            </w:pPr>
            <w:r w:rsidRPr="00F85CA6">
              <w:rPr>
                <w:rFonts w:eastAsia="Calibri"/>
                <w:sz w:val="22"/>
                <w:szCs w:val="22"/>
                <w:lang w:val="sr-Latn-ME"/>
              </w:rPr>
              <w:t>r</w:t>
            </w:r>
            <w:r w:rsidR="00523AA3" w:rsidRPr="00F85CA6">
              <w:rPr>
                <w:rFonts w:eastAsia="Calibri"/>
                <w:sz w:val="22"/>
                <w:szCs w:val="22"/>
                <w:lang w:val="sr-Latn-ME"/>
              </w:rPr>
              <w:t>ij</w:t>
            </w:r>
            <w:r w:rsidRPr="00F85CA6">
              <w:rPr>
                <w:rFonts w:eastAsia="Calibri"/>
                <w:sz w:val="22"/>
                <w:szCs w:val="22"/>
                <w:lang w:val="sr-Latn-ME"/>
              </w:rPr>
              <w:t>etko</w:t>
            </w:r>
          </w:p>
        </w:tc>
        <w:tc>
          <w:tcPr>
            <w:tcW w:w="1063" w:type="pct"/>
          </w:tcPr>
          <w:p w14:paraId="747941A1" w14:textId="77777777" w:rsidR="007E29AA" w:rsidRPr="00F85CA6" w:rsidRDefault="007E29AA" w:rsidP="007E29AA">
            <w:pPr>
              <w:rPr>
                <w:rFonts w:eastAsia="Calibri"/>
                <w:sz w:val="22"/>
                <w:szCs w:val="22"/>
                <w:lang w:val="sr-Latn-ME"/>
              </w:rPr>
            </w:pPr>
            <w:r w:rsidRPr="00F85CA6">
              <w:rPr>
                <w:rFonts w:eastAsia="Calibri"/>
                <w:sz w:val="22"/>
                <w:szCs w:val="22"/>
                <w:lang w:val="sr-Latn-ME"/>
              </w:rPr>
              <w:t>povremeno</w:t>
            </w:r>
          </w:p>
        </w:tc>
        <w:tc>
          <w:tcPr>
            <w:tcW w:w="1063" w:type="pct"/>
          </w:tcPr>
          <w:p w14:paraId="6AD7A723" w14:textId="77777777" w:rsidR="007E29AA" w:rsidRPr="00F85CA6" w:rsidRDefault="007E29AA" w:rsidP="007E29AA">
            <w:pPr>
              <w:rPr>
                <w:rFonts w:eastAsia="Calibri"/>
                <w:sz w:val="22"/>
                <w:szCs w:val="22"/>
                <w:lang w:val="sr-Latn-ME"/>
              </w:rPr>
            </w:pPr>
            <w:r w:rsidRPr="00F85CA6">
              <w:rPr>
                <w:rFonts w:eastAsia="Calibri"/>
                <w:sz w:val="22"/>
                <w:szCs w:val="22"/>
                <w:lang w:val="sr-Latn-ME"/>
              </w:rPr>
              <w:t>povremeno</w:t>
            </w:r>
          </w:p>
        </w:tc>
      </w:tr>
      <w:tr w:rsidR="007E29AA" w:rsidRPr="00F85CA6" w14:paraId="614D1D7F" w14:textId="77777777" w:rsidTr="001239C3">
        <w:trPr>
          <w:trHeight w:val="20"/>
          <w:jc w:val="center"/>
        </w:trPr>
        <w:tc>
          <w:tcPr>
            <w:tcW w:w="1647" w:type="pct"/>
          </w:tcPr>
          <w:p w14:paraId="538E6893" w14:textId="77777777" w:rsidR="007E29AA" w:rsidRPr="00F85CA6" w:rsidRDefault="007E29AA" w:rsidP="007E29AA">
            <w:pPr>
              <w:ind w:left="196"/>
              <w:rPr>
                <w:rFonts w:eastAsia="Calibri"/>
                <w:sz w:val="22"/>
                <w:szCs w:val="22"/>
                <w:lang w:val="sr-Latn-ME"/>
              </w:rPr>
            </w:pPr>
            <w:r w:rsidRPr="00F85CA6">
              <w:rPr>
                <w:rFonts w:eastAsia="Calibri"/>
                <w:sz w:val="22"/>
                <w:szCs w:val="22"/>
                <w:lang w:val="sr-Latn-ME"/>
              </w:rPr>
              <w:t>Pruritus</w:t>
            </w:r>
          </w:p>
        </w:tc>
        <w:tc>
          <w:tcPr>
            <w:tcW w:w="1227" w:type="pct"/>
          </w:tcPr>
          <w:p w14:paraId="194E9EC1" w14:textId="52CA0AC9" w:rsidR="007E29AA" w:rsidRPr="00F85CA6" w:rsidRDefault="007E29AA" w:rsidP="007E29AA">
            <w:pPr>
              <w:rPr>
                <w:rFonts w:eastAsia="Calibri"/>
                <w:sz w:val="22"/>
                <w:szCs w:val="22"/>
                <w:lang w:val="sr-Latn-ME"/>
              </w:rPr>
            </w:pPr>
            <w:r w:rsidRPr="00F85CA6">
              <w:rPr>
                <w:rFonts w:eastAsia="Calibri"/>
                <w:sz w:val="22"/>
                <w:szCs w:val="22"/>
                <w:lang w:val="sr-Latn-ME"/>
              </w:rPr>
              <w:t>r</w:t>
            </w:r>
            <w:r w:rsidR="00523AA3" w:rsidRPr="00F85CA6">
              <w:rPr>
                <w:rFonts w:eastAsia="Calibri"/>
                <w:sz w:val="22"/>
                <w:szCs w:val="22"/>
                <w:lang w:val="sr-Latn-ME"/>
              </w:rPr>
              <w:t>ij</w:t>
            </w:r>
            <w:r w:rsidRPr="00F85CA6">
              <w:rPr>
                <w:rFonts w:eastAsia="Calibri"/>
                <w:sz w:val="22"/>
                <w:szCs w:val="22"/>
                <w:lang w:val="sr-Latn-ME"/>
              </w:rPr>
              <w:t>etko</w:t>
            </w:r>
          </w:p>
        </w:tc>
        <w:tc>
          <w:tcPr>
            <w:tcW w:w="1063" w:type="pct"/>
          </w:tcPr>
          <w:p w14:paraId="782D134C" w14:textId="77777777" w:rsidR="007E29AA" w:rsidRPr="00F85CA6" w:rsidRDefault="007E29AA" w:rsidP="007E29AA">
            <w:pPr>
              <w:rPr>
                <w:rFonts w:eastAsia="Calibri"/>
                <w:sz w:val="22"/>
                <w:szCs w:val="22"/>
                <w:lang w:val="sr-Latn-ME"/>
              </w:rPr>
            </w:pPr>
            <w:r w:rsidRPr="00F85CA6">
              <w:rPr>
                <w:rFonts w:eastAsia="Calibri"/>
                <w:sz w:val="22"/>
                <w:szCs w:val="22"/>
                <w:lang w:val="sr-Latn-ME"/>
              </w:rPr>
              <w:t>povremeno</w:t>
            </w:r>
          </w:p>
        </w:tc>
        <w:tc>
          <w:tcPr>
            <w:tcW w:w="1063" w:type="pct"/>
          </w:tcPr>
          <w:p w14:paraId="744A4BDC" w14:textId="77777777" w:rsidR="007E29AA" w:rsidRPr="00F85CA6" w:rsidRDefault="007E29AA" w:rsidP="007E29AA">
            <w:pPr>
              <w:rPr>
                <w:rFonts w:eastAsia="Calibri"/>
                <w:sz w:val="22"/>
                <w:szCs w:val="22"/>
                <w:lang w:val="sr-Latn-ME"/>
              </w:rPr>
            </w:pPr>
            <w:r w:rsidRPr="00F85CA6">
              <w:rPr>
                <w:rFonts w:eastAsia="Calibri"/>
                <w:sz w:val="22"/>
                <w:szCs w:val="22"/>
                <w:lang w:val="sr-Latn-ME"/>
              </w:rPr>
              <w:t>povremeno</w:t>
            </w:r>
          </w:p>
        </w:tc>
      </w:tr>
      <w:tr w:rsidR="007E29AA" w:rsidRPr="00F85CA6" w14:paraId="0C16F300" w14:textId="77777777" w:rsidTr="001239C3">
        <w:trPr>
          <w:trHeight w:val="20"/>
          <w:jc w:val="center"/>
        </w:trPr>
        <w:tc>
          <w:tcPr>
            <w:tcW w:w="1647" w:type="pct"/>
          </w:tcPr>
          <w:p w14:paraId="66718499" w14:textId="77777777" w:rsidR="007E29AA" w:rsidRPr="00F85CA6" w:rsidRDefault="007E29AA" w:rsidP="007E29AA">
            <w:pPr>
              <w:ind w:left="196"/>
              <w:rPr>
                <w:rFonts w:eastAsia="Calibri"/>
                <w:sz w:val="22"/>
                <w:szCs w:val="22"/>
                <w:lang w:val="sr-Latn-ME"/>
              </w:rPr>
            </w:pPr>
            <w:r w:rsidRPr="00F85CA6">
              <w:rPr>
                <w:rFonts w:eastAsia="Calibri"/>
                <w:sz w:val="22"/>
                <w:szCs w:val="22"/>
                <w:lang w:val="sr-Latn-ME"/>
              </w:rPr>
              <w:t>Anafilaktička reakcija</w:t>
            </w:r>
          </w:p>
        </w:tc>
        <w:tc>
          <w:tcPr>
            <w:tcW w:w="1227" w:type="pct"/>
          </w:tcPr>
          <w:p w14:paraId="2BF8DE44" w14:textId="7A084251" w:rsidR="007E29AA" w:rsidRPr="00F85CA6" w:rsidRDefault="007E29AA" w:rsidP="007E29AA">
            <w:pPr>
              <w:rPr>
                <w:rFonts w:eastAsia="Calibri"/>
                <w:sz w:val="22"/>
                <w:szCs w:val="22"/>
                <w:lang w:val="sr-Latn-ME"/>
              </w:rPr>
            </w:pPr>
            <w:r w:rsidRPr="00F85CA6">
              <w:rPr>
                <w:rFonts w:eastAsia="Calibri"/>
                <w:sz w:val="22"/>
                <w:szCs w:val="22"/>
                <w:lang w:val="sr-Latn-ME"/>
              </w:rPr>
              <w:t>r</w:t>
            </w:r>
            <w:r w:rsidR="00523AA3" w:rsidRPr="00F85CA6">
              <w:rPr>
                <w:rFonts w:eastAsia="Calibri"/>
                <w:sz w:val="22"/>
                <w:szCs w:val="22"/>
                <w:lang w:val="sr-Latn-ME"/>
              </w:rPr>
              <w:t>ij</w:t>
            </w:r>
            <w:r w:rsidRPr="00F85CA6">
              <w:rPr>
                <w:rFonts w:eastAsia="Calibri"/>
                <w:sz w:val="22"/>
                <w:szCs w:val="22"/>
                <w:lang w:val="sr-Latn-ME"/>
              </w:rPr>
              <w:t>etko</w:t>
            </w:r>
          </w:p>
        </w:tc>
        <w:tc>
          <w:tcPr>
            <w:tcW w:w="1063" w:type="pct"/>
          </w:tcPr>
          <w:p w14:paraId="057393C6" w14:textId="57CEDB5E" w:rsidR="007E29AA" w:rsidRPr="00F85CA6" w:rsidRDefault="007E29AA" w:rsidP="007E29AA">
            <w:pPr>
              <w:rPr>
                <w:rFonts w:eastAsia="Calibri"/>
                <w:sz w:val="22"/>
                <w:szCs w:val="22"/>
                <w:lang w:val="sr-Latn-ME"/>
              </w:rPr>
            </w:pPr>
            <w:r w:rsidRPr="00F85CA6">
              <w:rPr>
                <w:rFonts w:eastAsia="Calibri"/>
                <w:sz w:val="22"/>
                <w:szCs w:val="22"/>
                <w:lang w:val="sr-Latn-ME"/>
              </w:rPr>
              <w:t>r</w:t>
            </w:r>
            <w:r w:rsidR="00523AA3" w:rsidRPr="00F85CA6">
              <w:rPr>
                <w:rFonts w:eastAsia="Calibri"/>
                <w:sz w:val="22"/>
                <w:szCs w:val="22"/>
                <w:lang w:val="sr-Latn-ME"/>
              </w:rPr>
              <w:t>ij</w:t>
            </w:r>
            <w:r w:rsidRPr="00F85CA6">
              <w:rPr>
                <w:rFonts w:eastAsia="Calibri"/>
                <w:sz w:val="22"/>
                <w:szCs w:val="22"/>
                <w:lang w:val="sr-Latn-ME"/>
              </w:rPr>
              <w:t>etko</w:t>
            </w:r>
          </w:p>
        </w:tc>
        <w:tc>
          <w:tcPr>
            <w:tcW w:w="1063" w:type="pct"/>
          </w:tcPr>
          <w:p w14:paraId="3DF8C7D4" w14:textId="032C6EF7" w:rsidR="007E29AA" w:rsidRPr="00F85CA6" w:rsidRDefault="007E29AA" w:rsidP="007E29AA">
            <w:pPr>
              <w:rPr>
                <w:rFonts w:eastAsia="Calibri"/>
                <w:sz w:val="22"/>
                <w:szCs w:val="22"/>
                <w:lang w:val="sr-Latn-ME"/>
              </w:rPr>
            </w:pPr>
            <w:r w:rsidRPr="00F85CA6">
              <w:rPr>
                <w:rFonts w:eastAsia="Calibri"/>
                <w:sz w:val="22"/>
                <w:szCs w:val="22"/>
                <w:lang w:val="sr-Latn-ME"/>
              </w:rPr>
              <w:t>r</w:t>
            </w:r>
            <w:r w:rsidR="00523AA3" w:rsidRPr="00F85CA6">
              <w:rPr>
                <w:rFonts w:eastAsia="Calibri"/>
                <w:sz w:val="22"/>
                <w:szCs w:val="22"/>
                <w:lang w:val="sr-Latn-ME"/>
              </w:rPr>
              <w:t>ij</w:t>
            </w:r>
            <w:r w:rsidRPr="00F85CA6">
              <w:rPr>
                <w:rFonts w:eastAsia="Calibri"/>
                <w:sz w:val="22"/>
                <w:szCs w:val="22"/>
                <w:lang w:val="sr-Latn-ME"/>
              </w:rPr>
              <w:t>etko</w:t>
            </w:r>
          </w:p>
        </w:tc>
      </w:tr>
      <w:tr w:rsidR="007E29AA" w:rsidRPr="00F85CA6" w14:paraId="70E52B55" w14:textId="77777777" w:rsidTr="001239C3">
        <w:trPr>
          <w:trHeight w:val="20"/>
          <w:jc w:val="center"/>
        </w:trPr>
        <w:tc>
          <w:tcPr>
            <w:tcW w:w="1647" w:type="pct"/>
          </w:tcPr>
          <w:p w14:paraId="6774F873" w14:textId="77777777" w:rsidR="007E29AA" w:rsidRPr="00F85CA6" w:rsidRDefault="007E29AA" w:rsidP="007E29AA">
            <w:pPr>
              <w:ind w:left="196"/>
              <w:rPr>
                <w:rFonts w:eastAsia="Calibri"/>
                <w:sz w:val="22"/>
                <w:szCs w:val="22"/>
                <w:lang w:val="sr-Latn-ME"/>
              </w:rPr>
            </w:pPr>
            <w:r w:rsidRPr="00F85CA6">
              <w:rPr>
                <w:rFonts w:eastAsia="Calibri"/>
                <w:sz w:val="22"/>
                <w:szCs w:val="22"/>
                <w:lang w:val="sr-Latn-ME"/>
              </w:rPr>
              <w:t>Angioedem</w:t>
            </w:r>
          </w:p>
        </w:tc>
        <w:tc>
          <w:tcPr>
            <w:tcW w:w="1227" w:type="pct"/>
          </w:tcPr>
          <w:p w14:paraId="0D6C4F7D" w14:textId="533BD76D" w:rsidR="007E29AA" w:rsidRPr="00F85CA6" w:rsidRDefault="007E29AA" w:rsidP="007E29AA">
            <w:pPr>
              <w:rPr>
                <w:rFonts w:eastAsia="Calibri"/>
                <w:sz w:val="22"/>
                <w:szCs w:val="22"/>
                <w:lang w:val="sr-Latn-ME"/>
              </w:rPr>
            </w:pPr>
            <w:r w:rsidRPr="00F85CA6">
              <w:rPr>
                <w:rFonts w:eastAsia="Calibri"/>
                <w:sz w:val="22"/>
                <w:szCs w:val="22"/>
                <w:lang w:val="sr-Latn-ME"/>
              </w:rPr>
              <w:t>r</w:t>
            </w:r>
            <w:r w:rsidR="00523AA3" w:rsidRPr="00F85CA6">
              <w:rPr>
                <w:rFonts w:eastAsia="Calibri"/>
                <w:sz w:val="22"/>
                <w:szCs w:val="22"/>
                <w:lang w:val="sr-Latn-ME"/>
              </w:rPr>
              <w:t>ij</w:t>
            </w:r>
            <w:r w:rsidRPr="00F85CA6">
              <w:rPr>
                <w:rFonts w:eastAsia="Calibri"/>
                <w:sz w:val="22"/>
                <w:szCs w:val="22"/>
                <w:lang w:val="sr-Latn-ME"/>
              </w:rPr>
              <w:t>etko</w:t>
            </w:r>
          </w:p>
        </w:tc>
        <w:tc>
          <w:tcPr>
            <w:tcW w:w="1063" w:type="pct"/>
          </w:tcPr>
          <w:p w14:paraId="0F321D9E" w14:textId="37A37BBE" w:rsidR="007E29AA" w:rsidRPr="00F85CA6" w:rsidRDefault="007E29AA" w:rsidP="007E29AA">
            <w:pPr>
              <w:rPr>
                <w:rFonts w:eastAsia="Calibri"/>
                <w:sz w:val="22"/>
                <w:szCs w:val="22"/>
                <w:lang w:val="sr-Latn-ME"/>
              </w:rPr>
            </w:pPr>
            <w:r w:rsidRPr="00F85CA6">
              <w:rPr>
                <w:rFonts w:eastAsia="Calibri"/>
                <w:sz w:val="22"/>
                <w:szCs w:val="22"/>
                <w:lang w:val="sr-Latn-ME"/>
              </w:rPr>
              <w:t>r</w:t>
            </w:r>
            <w:r w:rsidR="00523AA3" w:rsidRPr="00F85CA6">
              <w:rPr>
                <w:rFonts w:eastAsia="Calibri"/>
                <w:sz w:val="22"/>
                <w:szCs w:val="22"/>
                <w:lang w:val="sr-Latn-ME"/>
              </w:rPr>
              <w:t>ij</w:t>
            </w:r>
            <w:r w:rsidRPr="00F85CA6">
              <w:rPr>
                <w:rFonts w:eastAsia="Calibri"/>
                <w:sz w:val="22"/>
                <w:szCs w:val="22"/>
                <w:lang w:val="sr-Latn-ME"/>
              </w:rPr>
              <w:t>etko</w:t>
            </w:r>
          </w:p>
        </w:tc>
        <w:tc>
          <w:tcPr>
            <w:tcW w:w="1063" w:type="pct"/>
          </w:tcPr>
          <w:p w14:paraId="10A6FA83" w14:textId="419B6C0D" w:rsidR="007E29AA" w:rsidRPr="00F85CA6" w:rsidRDefault="007E29AA" w:rsidP="007E29AA">
            <w:pPr>
              <w:rPr>
                <w:rFonts w:eastAsia="Calibri"/>
                <w:sz w:val="22"/>
                <w:szCs w:val="22"/>
                <w:lang w:val="sr-Latn-ME"/>
              </w:rPr>
            </w:pPr>
            <w:r w:rsidRPr="00F85CA6">
              <w:rPr>
                <w:rFonts w:eastAsia="Calibri"/>
                <w:sz w:val="22"/>
                <w:szCs w:val="22"/>
                <w:lang w:val="sr-Latn-ME"/>
              </w:rPr>
              <w:t>r</w:t>
            </w:r>
            <w:r w:rsidR="00523AA3" w:rsidRPr="00F85CA6">
              <w:rPr>
                <w:rFonts w:eastAsia="Calibri"/>
                <w:sz w:val="22"/>
                <w:szCs w:val="22"/>
                <w:lang w:val="sr-Latn-ME"/>
              </w:rPr>
              <w:t>ij</w:t>
            </w:r>
            <w:r w:rsidRPr="00F85CA6">
              <w:rPr>
                <w:rFonts w:eastAsia="Calibri"/>
                <w:sz w:val="22"/>
                <w:szCs w:val="22"/>
                <w:lang w:val="sr-Latn-ME"/>
              </w:rPr>
              <w:t>etko</w:t>
            </w:r>
          </w:p>
        </w:tc>
      </w:tr>
      <w:tr w:rsidR="007E29AA" w:rsidRPr="00F85CA6" w14:paraId="2AD0D19D" w14:textId="77777777" w:rsidTr="001239C3">
        <w:trPr>
          <w:trHeight w:val="20"/>
          <w:jc w:val="center"/>
        </w:trPr>
        <w:tc>
          <w:tcPr>
            <w:tcW w:w="1647" w:type="pct"/>
          </w:tcPr>
          <w:p w14:paraId="22BC617A" w14:textId="77777777" w:rsidR="007E29AA" w:rsidRPr="00F85CA6" w:rsidRDefault="007E29AA" w:rsidP="007E29AA">
            <w:pPr>
              <w:ind w:left="196"/>
              <w:rPr>
                <w:rFonts w:eastAsia="Calibri"/>
                <w:sz w:val="22"/>
                <w:szCs w:val="22"/>
                <w:lang w:val="sr-Latn-ME"/>
              </w:rPr>
            </w:pPr>
            <w:r w:rsidRPr="00F85CA6">
              <w:rPr>
                <w:rFonts w:eastAsia="Calibri"/>
                <w:sz w:val="22"/>
                <w:szCs w:val="22"/>
                <w:lang w:val="sr-Latn-ME"/>
              </w:rPr>
              <w:t>Urtikarija</w:t>
            </w:r>
          </w:p>
        </w:tc>
        <w:tc>
          <w:tcPr>
            <w:tcW w:w="1227" w:type="pct"/>
          </w:tcPr>
          <w:p w14:paraId="2FF45A11" w14:textId="3DC9B56F" w:rsidR="007E29AA" w:rsidRPr="00F85CA6" w:rsidRDefault="007E29AA" w:rsidP="007E29AA">
            <w:pPr>
              <w:rPr>
                <w:rFonts w:eastAsia="Calibri"/>
                <w:sz w:val="22"/>
                <w:szCs w:val="22"/>
                <w:lang w:val="sr-Latn-ME"/>
              </w:rPr>
            </w:pPr>
            <w:r w:rsidRPr="00F85CA6">
              <w:rPr>
                <w:rFonts w:eastAsia="Calibri"/>
                <w:sz w:val="22"/>
                <w:szCs w:val="22"/>
                <w:lang w:val="sr-Latn-ME"/>
              </w:rPr>
              <w:t>r</w:t>
            </w:r>
            <w:r w:rsidR="00523AA3" w:rsidRPr="00F85CA6">
              <w:rPr>
                <w:rFonts w:eastAsia="Calibri"/>
                <w:sz w:val="22"/>
                <w:szCs w:val="22"/>
                <w:lang w:val="sr-Latn-ME"/>
              </w:rPr>
              <w:t>ij</w:t>
            </w:r>
            <w:r w:rsidRPr="00F85CA6">
              <w:rPr>
                <w:rFonts w:eastAsia="Calibri"/>
                <w:sz w:val="22"/>
                <w:szCs w:val="22"/>
                <w:lang w:val="sr-Latn-ME"/>
              </w:rPr>
              <w:t>etko</w:t>
            </w:r>
          </w:p>
        </w:tc>
        <w:tc>
          <w:tcPr>
            <w:tcW w:w="1063" w:type="pct"/>
          </w:tcPr>
          <w:p w14:paraId="4C30025C" w14:textId="78EA1E55" w:rsidR="007E29AA" w:rsidRPr="00F85CA6" w:rsidRDefault="007E29AA" w:rsidP="007E29AA">
            <w:pPr>
              <w:rPr>
                <w:rFonts w:eastAsia="Calibri"/>
                <w:sz w:val="22"/>
                <w:szCs w:val="22"/>
                <w:lang w:val="sr-Latn-ME"/>
              </w:rPr>
            </w:pPr>
            <w:r w:rsidRPr="00F85CA6">
              <w:rPr>
                <w:rFonts w:eastAsia="Calibri"/>
                <w:sz w:val="22"/>
                <w:szCs w:val="22"/>
                <w:lang w:val="sr-Latn-ME"/>
              </w:rPr>
              <w:t>r</w:t>
            </w:r>
            <w:r w:rsidR="00523AA3" w:rsidRPr="00F85CA6">
              <w:rPr>
                <w:rFonts w:eastAsia="Calibri"/>
                <w:sz w:val="22"/>
                <w:szCs w:val="22"/>
                <w:lang w:val="sr-Latn-ME"/>
              </w:rPr>
              <w:t>ij</w:t>
            </w:r>
            <w:r w:rsidRPr="00F85CA6">
              <w:rPr>
                <w:rFonts w:eastAsia="Calibri"/>
                <w:sz w:val="22"/>
                <w:szCs w:val="22"/>
                <w:lang w:val="sr-Latn-ME"/>
              </w:rPr>
              <w:t>etko</w:t>
            </w:r>
          </w:p>
        </w:tc>
        <w:tc>
          <w:tcPr>
            <w:tcW w:w="1063" w:type="pct"/>
          </w:tcPr>
          <w:p w14:paraId="68D7687F" w14:textId="6F60E606" w:rsidR="007E29AA" w:rsidRPr="00F85CA6" w:rsidRDefault="007E29AA" w:rsidP="007E29AA">
            <w:pPr>
              <w:rPr>
                <w:rFonts w:eastAsia="Calibri"/>
                <w:sz w:val="22"/>
                <w:szCs w:val="22"/>
                <w:lang w:val="sr-Latn-ME"/>
              </w:rPr>
            </w:pPr>
            <w:r w:rsidRPr="00F85CA6">
              <w:rPr>
                <w:rFonts w:eastAsia="Calibri"/>
                <w:sz w:val="22"/>
                <w:szCs w:val="22"/>
                <w:lang w:val="sr-Latn-ME"/>
              </w:rPr>
              <w:t>r</w:t>
            </w:r>
            <w:r w:rsidR="00523AA3" w:rsidRPr="00F85CA6">
              <w:rPr>
                <w:rFonts w:eastAsia="Calibri"/>
                <w:sz w:val="22"/>
                <w:szCs w:val="22"/>
                <w:lang w:val="sr-Latn-ME"/>
              </w:rPr>
              <w:t>ij</w:t>
            </w:r>
            <w:r w:rsidRPr="00F85CA6">
              <w:rPr>
                <w:rFonts w:eastAsia="Calibri"/>
                <w:sz w:val="22"/>
                <w:szCs w:val="22"/>
                <w:lang w:val="sr-Latn-ME"/>
              </w:rPr>
              <w:t>etko</w:t>
            </w:r>
          </w:p>
        </w:tc>
      </w:tr>
      <w:tr w:rsidR="007E29AA" w:rsidRPr="00F85CA6" w14:paraId="5A992AF5" w14:textId="77777777" w:rsidTr="001239C3">
        <w:trPr>
          <w:trHeight w:val="20"/>
          <w:jc w:val="center"/>
        </w:trPr>
        <w:tc>
          <w:tcPr>
            <w:tcW w:w="1647" w:type="pct"/>
          </w:tcPr>
          <w:p w14:paraId="28064915" w14:textId="77777777" w:rsidR="007E29AA" w:rsidRPr="00F85CA6" w:rsidRDefault="007E29AA" w:rsidP="007E29AA">
            <w:pPr>
              <w:ind w:left="196"/>
              <w:rPr>
                <w:rFonts w:eastAsia="Calibri"/>
                <w:sz w:val="22"/>
                <w:szCs w:val="22"/>
                <w:lang w:val="sr-Latn-ME"/>
              </w:rPr>
            </w:pPr>
            <w:r w:rsidRPr="00F85CA6">
              <w:rPr>
                <w:rFonts w:eastAsia="Calibri"/>
                <w:sz w:val="22"/>
                <w:szCs w:val="22"/>
                <w:lang w:val="sr-Latn-ME"/>
              </w:rPr>
              <w:t>Bronhospazam</w:t>
            </w:r>
          </w:p>
        </w:tc>
        <w:tc>
          <w:tcPr>
            <w:tcW w:w="1227" w:type="pct"/>
          </w:tcPr>
          <w:p w14:paraId="142E6454" w14:textId="42FAE5C5" w:rsidR="007E29AA" w:rsidRPr="00F85CA6" w:rsidRDefault="007E29AA" w:rsidP="00786320">
            <w:pPr>
              <w:rPr>
                <w:rFonts w:eastAsia="Calibri"/>
                <w:sz w:val="22"/>
                <w:szCs w:val="22"/>
                <w:lang w:val="sr-Latn-ME"/>
              </w:rPr>
            </w:pPr>
            <w:r w:rsidRPr="00F85CA6">
              <w:rPr>
                <w:rFonts w:eastAsia="Calibri"/>
                <w:sz w:val="22"/>
                <w:szCs w:val="22"/>
                <w:lang w:val="sr-Latn-ME"/>
              </w:rPr>
              <w:t>nepoznat</w:t>
            </w:r>
            <w:r w:rsidR="00786320" w:rsidRPr="00F85CA6">
              <w:rPr>
                <w:rFonts w:eastAsia="Calibri"/>
                <w:sz w:val="22"/>
                <w:szCs w:val="22"/>
                <w:lang w:val="sr-Latn-ME"/>
              </w:rPr>
              <w:t>o</w:t>
            </w:r>
          </w:p>
        </w:tc>
        <w:tc>
          <w:tcPr>
            <w:tcW w:w="1063" w:type="pct"/>
          </w:tcPr>
          <w:p w14:paraId="52CB98BF" w14:textId="71700E87" w:rsidR="007E29AA" w:rsidRPr="00F85CA6" w:rsidRDefault="007E29AA" w:rsidP="00786320">
            <w:pPr>
              <w:rPr>
                <w:rFonts w:eastAsia="Calibri"/>
                <w:sz w:val="22"/>
                <w:szCs w:val="22"/>
                <w:lang w:val="sr-Latn-ME"/>
              </w:rPr>
            </w:pPr>
            <w:r w:rsidRPr="00F85CA6">
              <w:rPr>
                <w:rFonts w:eastAsia="Calibri"/>
                <w:sz w:val="22"/>
                <w:szCs w:val="22"/>
                <w:lang w:val="sr-Latn-ME"/>
              </w:rPr>
              <w:t>nepoznat</w:t>
            </w:r>
            <w:r w:rsidR="00786320" w:rsidRPr="00F85CA6">
              <w:rPr>
                <w:rFonts w:eastAsia="Calibri"/>
                <w:sz w:val="22"/>
                <w:szCs w:val="22"/>
                <w:lang w:val="sr-Latn-ME"/>
              </w:rPr>
              <w:t>o</w:t>
            </w:r>
            <w:r w:rsidRPr="00F85CA6">
              <w:rPr>
                <w:rFonts w:eastAsia="Calibri"/>
                <w:sz w:val="22"/>
                <w:szCs w:val="22"/>
                <w:lang w:val="sr-Latn-ME"/>
              </w:rPr>
              <w:t xml:space="preserve"> </w:t>
            </w:r>
          </w:p>
        </w:tc>
        <w:tc>
          <w:tcPr>
            <w:tcW w:w="1063" w:type="pct"/>
          </w:tcPr>
          <w:p w14:paraId="67AFB3FF" w14:textId="1FCBEBC6" w:rsidR="007E29AA" w:rsidRPr="00F85CA6" w:rsidRDefault="007E29AA" w:rsidP="00786320">
            <w:pPr>
              <w:rPr>
                <w:rFonts w:eastAsia="Calibri"/>
                <w:sz w:val="22"/>
                <w:szCs w:val="22"/>
                <w:lang w:val="sr-Latn-ME"/>
              </w:rPr>
            </w:pPr>
            <w:r w:rsidRPr="00F85CA6">
              <w:rPr>
                <w:rFonts w:eastAsia="Calibri"/>
                <w:sz w:val="22"/>
                <w:szCs w:val="22"/>
                <w:lang w:val="sr-Latn-ME"/>
              </w:rPr>
              <w:t>nepoznat</w:t>
            </w:r>
            <w:r w:rsidR="00786320" w:rsidRPr="00F85CA6">
              <w:rPr>
                <w:rFonts w:eastAsia="Calibri"/>
                <w:sz w:val="22"/>
                <w:szCs w:val="22"/>
                <w:lang w:val="sr-Latn-ME"/>
              </w:rPr>
              <w:t>o</w:t>
            </w:r>
            <w:r w:rsidRPr="00F85CA6">
              <w:rPr>
                <w:rFonts w:eastAsia="Calibri"/>
                <w:sz w:val="22"/>
                <w:szCs w:val="22"/>
                <w:lang w:val="sr-Latn-ME"/>
              </w:rPr>
              <w:t xml:space="preserve"> </w:t>
            </w:r>
          </w:p>
        </w:tc>
      </w:tr>
      <w:tr w:rsidR="007E29AA" w:rsidRPr="00F85CA6" w14:paraId="63E6993C" w14:textId="77777777" w:rsidTr="001239C3">
        <w:trPr>
          <w:trHeight w:val="20"/>
          <w:jc w:val="center"/>
        </w:trPr>
        <w:tc>
          <w:tcPr>
            <w:tcW w:w="5000" w:type="pct"/>
            <w:gridSpan w:val="4"/>
          </w:tcPr>
          <w:p w14:paraId="4111D35E" w14:textId="77777777" w:rsidR="007E29AA" w:rsidRPr="00F85CA6" w:rsidRDefault="007E29AA" w:rsidP="007E29AA">
            <w:pPr>
              <w:rPr>
                <w:rFonts w:eastAsia="Calibri"/>
                <w:sz w:val="22"/>
                <w:szCs w:val="22"/>
                <w:lang w:val="sr-Latn-ME"/>
              </w:rPr>
            </w:pPr>
            <w:bookmarkStart w:id="15" w:name="_Hlk82540421"/>
            <w:r w:rsidRPr="00F85CA6">
              <w:rPr>
                <w:rFonts w:eastAsia="Calibri"/>
                <w:sz w:val="22"/>
                <w:szCs w:val="22"/>
                <w:lang w:val="sr-Latn-ME"/>
              </w:rPr>
              <w:t>Poremećaji nervnog sistema</w:t>
            </w:r>
          </w:p>
        </w:tc>
      </w:tr>
      <w:bookmarkEnd w:id="15"/>
      <w:tr w:rsidR="007E29AA" w:rsidRPr="00F85CA6" w14:paraId="09A9606D" w14:textId="77777777" w:rsidTr="001239C3">
        <w:trPr>
          <w:trHeight w:val="20"/>
          <w:jc w:val="center"/>
        </w:trPr>
        <w:tc>
          <w:tcPr>
            <w:tcW w:w="1647" w:type="pct"/>
          </w:tcPr>
          <w:p w14:paraId="209175B4" w14:textId="77777777" w:rsidR="007E29AA" w:rsidRPr="00F85CA6" w:rsidRDefault="007E29AA" w:rsidP="007E29AA">
            <w:pPr>
              <w:ind w:firstLine="196"/>
              <w:rPr>
                <w:rFonts w:eastAsia="Calibri"/>
                <w:sz w:val="22"/>
                <w:szCs w:val="22"/>
                <w:lang w:val="sr-Latn-ME"/>
              </w:rPr>
            </w:pPr>
            <w:r w:rsidRPr="00F85CA6">
              <w:rPr>
                <w:rFonts w:eastAsia="Calibri"/>
                <w:sz w:val="22"/>
                <w:szCs w:val="22"/>
                <w:lang w:val="sr-Latn-ME"/>
              </w:rPr>
              <w:t>Intrakranijalna hemoragija</w:t>
            </w:r>
          </w:p>
        </w:tc>
        <w:tc>
          <w:tcPr>
            <w:tcW w:w="1227" w:type="pct"/>
          </w:tcPr>
          <w:p w14:paraId="075D4B3E" w14:textId="4C347CD2" w:rsidR="007E29AA" w:rsidRPr="00F85CA6" w:rsidRDefault="007E29AA" w:rsidP="007E29AA">
            <w:pPr>
              <w:rPr>
                <w:rFonts w:eastAsia="Calibri"/>
                <w:sz w:val="22"/>
                <w:szCs w:val="22"/>
                <w:lang w:val="sr-Latn-ME"/>
              </w:rPr>
            </w:pPr>
            <w:r w:rsidRPr="00F85CA6">
              <w:rPr>
                <w:rFonts w:eastAsia="Calibri"/>
                <w:sz w:val="22"/>
                <w:szCs w:val="22"/>
                <w:lang w:val="sr-Latn-ME"/>
              </w:rPr>
              <w:t>r</w:t>
            </w:r>
            <w:r w:rsidR="00523AA3" w:rsidRPr="00F85CA6">
              <w:rPr>
                <w:rFonts w:eastAsia="Calibri"/>
                <w:sz w:val="22"/>
                <w:szCs w:val="22"/>
                <w:lang w:val="sr-Latn-ME"/>
              </w:rPr>
              <w:t>ij</w:t>
            </w:r>
            <w:r w:rsidRPr="00F85CA6">
              <w:rPr>
                <w:rFonts w:eastAsia="Calibri"/>
                <w:sz w:val="22"/>
                <w:szCs w:val="22"/>
                <w:lang w:val="sr-Latn-ME"/>
              </w:rPr>
              <w:t>etko</w:t>
            </w:r>
          </w:p>
        </w:tc>
        <w:tc>
          <w:tcPr>
            <w:tcW w:w="1063" w:type="pct"/>
          </w:tcPr>
          <w:p w14:paraId="211C3CA0" w14:textId="77777777" w:rsidR="007E29AA" w:rsidRPr="00F85CA6" w:rsidRDefault="007E29AA" w:rsidP="007E29AA">
            <w:pPr>
              <w:rPr>
                <w:rFonts w:eastAsia="Calibri"/>
                <w:sz w:val="22"/>
                <w:szCs w:val="22"/>
                <w:lang w:val="sr-Latn-ME"/>
              </w:rPr>
            </w:pPr>
            <w:r w:rsidRPr="00F85CA6">
              <w:rPr>
                <w:rFonts w:eastAsia="Calibri"/>
                <w:sz w:val="22"/>
                <w:szCs w:val="22"/>
                <w:lang w:val="sr-Latn-ME"/>
              </w:rPr>
              <w:t>povremeno</w:t>
            </w:r>
          </w:p>
        </w:tc>
        <w:tc>
          <w:tcPr>
            <w:tcW w:w="1063" w:type="pct"/>
          </w:tcPr>
          <w:p w14:paraId="534E9B51" w14:textId="16643B74" w:rsidR="007E29AA" w:rsidRPr="00F85CA6" w:rsidRDefault="007E29AA" w:rsidP="007E29AA">
            <w:pPr>
              <w:rPr>
                <w:rFonts w:eastAsia="Calibri"/>
                <w:sz w:val="22"/>
                <w:szCs w:val="22"/>
                <w:lang w:val="sr-Latn-ME"/>
              </w:rPr>
            </w:pPr>
            <w:r w:rsidRPr="00F85CA6">
              <w:rPr>
                <w:rFonts w:eastAsia="Calibri"/>
                <w:sz w:val="22"/>
                <w:szCs w:val="22"/>
                <w:lang w:val="sr-Latn-ME"/>
              </w:rPr>
              <w:t>r</w:t>
            </w:r>
            <w:r w:rsidR="00410EF8" w:rsidRPr="00F85CA6">
              <w:rPr>
                <w:rFonts w:eastAsia="Calibri"/>
                <w:sz w:val="22"/>
                <w:szCs w:val="22"/>
                <w:lang w:val="sr-Latn-ME"/>
              </w:rPr>
              <w:t>ij</w:t>
            </w:r>
            <w:r w:rsidRPr="00F85CA6">
              <w:rPr>
                <w:rFonts w:eastAsia="Calibri"/>
                <w:sz w:val="22"/>
                <w:szCs w:val="22"/>
                <w:lang w:val="sr-Latn-ME"/>
              </w:rPr>
              <w:t>etko</w:t>
            </w:r>
          </w:p>
        </w:tc>
      </w:tr>
      <w:tr w:rsidR="007E29AA" w:rsidRPr="00F85CA6" w14:paraId="03C8E6DB" w14:textId="77777777" w:rsidTr="001239C3">
        <w:trPr>
          <w:trHeight w:val="20"/>
          <w:jc w:val="center"/>
        </w:trPr>
        <w:tc>
          <w:tcPr>
            <w:tcW w:w="5000" w:type="pct"/>
            <w:gridSpan w:val="4"/>
          </w:tcPr>
          <w:p w14:paraId="41E4DB96" w14:textId="77777777" w:rsidR="007E29AA" w:rsidRPr="00F85CA6" w:rsidRDefault="007E29AA" w:rsidP="007E29AA">
            <w:pPr>
              <w:rPr>
                <w:rFonts w:eastAsia="Calibri"/>
                <w:sz w:val="22"/>
                <w:szCs w:val="22"/>
                <w:lang w:val="sr-Latn-ME"/>
              </w:rPr>
            </w:pPr>
            <w:r w:rsidRPr="00F85CA6">
              <w:rPr>
                <w:rFonts w:eastAsia="Calibri"/>
                <w:sz w:val="22"/>
                <w:szCs w:val="22"/>
                <w:lang w:val="sr-Latn-ME"/>
              </w:rPr>
              <w:t>Vaskularni poremećaji</w:t>
            </w:r>
          </w:p>
        </w:tc>
      </w:tr>
      <w:tr w:rsidR="007E29AA" w:rsidRPr="00F85CA6" w14:paraId="48D51F4C" w14:textId="77777777" w:rsidTr="001239C3">
        <w:trPr>
          <w:trHeight w:val="20"/>
          <w:jc w:val="center"/>
        </w:trPr>
        <w:tc>
          <w:tcPr>
            <w:tcW w:w="1647" w:type="pct"/>
          </w:tcPr>
          <w:p w14:paraId="4D4D1F79" w14:textId="77777777" w:rsidR="007E29AA" w:rsidRPr="00F85CA6" w:rsidRDefault="007E29AA" w:rsidP="007E29AA">
            <w:pPr>
              <w:ind w:firstLine="196"/>
              <w:rPr>
                <w:rFonts w:eastAsia="Calibri"/>
                <w:sz w:val="22"/>
                <w:szCs w:val="22"/>
                <w:lang w:val="sr-Latn-ME"/>
              </w:rPr>
            </w:pPr>
            <w:r w:rsidRPr="00F85CA6">
              <w:rPr>
                <w:rFonts w:eastAsia="Calibri"/>
                <w:sz w:val="22"/>
                <w:szCs w:val="22"/>
                <w:lang w:val="sr-Latn-ME"/>
              </w:rPr>
              <w:t>Hematom</w:t>
            </w:r>
          </w:p>
        </w:tc>
        <w:tc>
          <w:tcPr>
            <w:tcW w:w="1227" w:type="pct"/>
          </w:tcPr>
          <w:p w14:paraId="22BD3C7A" w14:textId="77777777" w:rsidR="007E29AA" w:rsidRPr="00F85CA6" w:rsidRDefault="007E29AA" w:rsidP="007E29AA">
            <w:pPr>
              <w:rPr>
                <w:rFonts w:eastAsia="Calibri"/>
                <w:sz w:val="22"/>
                <w:szCs w:val="22"/>
                <w:lang w:val="sr-Latn-ME"/>
              </w:rPr>
            </w:pPr>
            <w:r w:rsidRPr="00F85CA6">
              <w:rPr>
                <w:rFonts w:eastAsia="Calibri"/>
                <w:sz w:val="22"/>
                <w:szCs w:val="22"/>
                <w:lang w:val="sr-Latn-ME"/>
              </w:rPr>
              <w:t>povremeno</w:t>
            </w:r>
          </w:p>
        </w:tc>
        <w:tc>
          <w:tcPr>
            <w:tcW w:w="1063" w:type="pct"/>
          </w:tcPr>
          <w:p w14:paraId="50C5CDCA" w14:textId="77777777" w:rsidR="007E29AA" w:rsidRPr="00F85CA6" w:rsidRDefault="007E29AA" w:rsidP="007E29AA">
            <w:pPr>
              <w:rPr>
                <w:rFonts w:eastAsia="Calibri"/>
                <w:sz w:val="22"/>
                <w:szCs w:val="22"/>
                <w:lang w:val="sr-Latn-ME"/>
              </w:rPr>
            </w:pPr>
            <w:r w:rsidRPr="00F85CA6">
              <w:rPr>
                <w:rFonts w:eastAsia="Calibri"/>
                <w:sz w:val="22"/>
                <w:szCs w:val="22"/>
                <w:lang w:val="sr-Latn-ME"/>
              </w:rPr>
              <w:t>povremeno</w:t>
            </w:r>
          </w:p>
        </w:tc>
        <w:tc>
          <w:tcPr>
            <w:tcW w:w="1063" w:type="pct"/>
          </w:tcPr>
          <w:p w14:paraId="4F74A46F" w14:textId="77777777" w:rsidR="007E29AA" w:rsidRPr="00F85CA6" w:rsidRDefault="007E29AA" w:rsidP="007E29AA">
            <w:pPr>
              <w:rPr>
                <w:rFonts w:eastAsia="Calibri"/>
                <w:sz w:val="22"/>
                <w:szCs w:val="22"/>
                <w:lang w:val="sr-Latn-ME"/>
              </w:rPr>
            </w:pPr>
            <w:r w:rsidRPr="00F85CA6">
              <w:rPr>
                <w:rFonts w:eastAsia="Calibri"/>
                <w:sz w:val="22"/>
                <w:szCs w:val="22"/>
                <w:lang w:val="sr-Latn-ME"/>
              </w:rPr>
              <w:t>povremeno</w:t>
            </w:r>
          </w:p>
        </w:tc>
      </w:tr>
      <w:tr w:rsidR="007E29AA" w:rsidRPr="00F85CA6" w14:paraId="09B78EFE" w14:textId="77777777" w:rsidTr="001239C3">
        <w:trPr>
          <w:trHeight w:val="20"/>
          <w:jc w:val="center"/>
        </w:trPr>
        <w:tc>
          <w:tcPr>
            <w:tcW w:w="1647" w:type="pct"/>
          </w:tcPr>
          <w:p w14:paraId="331E92CF" w14:textId="77777777" w:rsidR="007E29AA" w:rsidRPr="00F85CA6" w:rsidRDefault="007E29AA" w:rsidP="007E29AA">
            <w:pPr>
              <w:ind w:firstLine="196"/>
              <w:rPr>
                <w:rFonts w:eastAsia="Calibri"/>
                <w:sz w:val="22"/>
                <w:szCs w:val="22"/>
                <w:lang w:val="sr-Latn-ME"/>
              </w:rPr>
            </w:pPr>
            <w:r w:rsidRPr="00F85CA6">
              <w:rPr>
                <w:rFonts w:eastAsia="Calibri"/>
                <w:sz w:val="22"/>
                <w:szCs w:val="22"/>
                <w:lang w:val="sr-Latn-ME"/>
              </w:rPr>
              <w:t>Krvarenje</w:t>
            </w:r>
          </w:p>
        </w:tc>
        <w:tc>
          <w:tcPr>
            <w:tcW w:w="1227" w:type="pct"/>
          </w:tcPr>
          <w:p w14:paraId="36F2CDC4" w14:textId="271EA967" w:rsidR="007E29AA" w:rsidRPr="00F85CA6" w:rsidRDefault="007E29AA" w:rsidP="007E29AA">
            <w:pPr>
              <w:rPr>
                <w:rFonts w:eastAsia="Calibri"/>
                <w:sz w:val="22"/>
                <w:szCs w:val="22"/>
                <w:lang w:val="sr-Latn-ME"/>
              </w:rPr>
            </w:pPr>
            <w:r w:rsidRPr="00F85CA6">
              <w:rPr>
                <w:rFonts w:eastAsia="Calibri"/>
                <w:sz w:val="22"/>
                <w:szCs w:val="22"/>
                <w:lang w:val="sr-Latn-ME"/>
              </w:rPr>
              <w:t>r</w:t>
            </w:r>
            <w:r w:rsidR="00523AA3" w:rsidRPr="00F85CA6">
              <w:rPr>
                <w:rFonts w:eastAsia="Calibri"/>
                <w:sz w:val="22"/>
                <w:szCs w:val="22"/>
                <w:lang w:val="sr-Latn-ME"/>
              </w:rPr>
              <w:t>ij</w:t>
            </w:r>
            <w:r w:rsidRPr="00F85CA6">
              <w:rPr>
                <w:rFonts w:eastAsia="Calibri"/>
                <w:sz w:val="22"/>
                <w:szCs w:val="22"/>
                <w:lang w:val="sr-Latn-ME"/>
              </w:rPr>
              <w:t>etko</w:t>
            </w:r>
          </w:p>
        </w:tc>
        <w:tc>
          <w:tcPr>
            <w:tcW w:w="1063" w:type="pct"/>
          </w:tcPr>
          <w:p w14:paraId="1BCCA562" w14:textId="77777777" w:rsidR="007E29AA" w:rsidRPr="00F85CA6" w:rsidRDefault="007E29AA" w:rsidP="007E29AA">
            <w:pPr>
              <w:rPr>
                <w:rFonts w:eastAsia="Calibri"/>
                <w:sz w:val="22"/>
                <w:szCs w:val="22"/>
                <w:lang w:val="sr-Latn-ME"/>
              </w:rPr>
            </w:pPr>
            <w:r w:rsidRPr="00F85CA6">
              <w:rPr>
                <w:rFonts w:eastAsia="Calibri"/>
                <w:sz w:val="22"/>
                <w:szCs w:val="22"/>
                <w:lang w:val="sr-Latn-ME"/>
              </w:rPr>
              <w:t>povremeno</w:t>
            </w:r>
          </w:p>
        </w:tc>
        <w:tc>
          <w:tcPr>
            <w:tcW w:w="1063" w:type="pct"/>
          </w:tcPr>
          <w:p w14:paraId="14F15787" w14:textId="77777777" w:rsidR="007E29AA" w:rsidRPr="00F85CA6" w:rsidRDefault="007E29AA" w:rsidP="007E29AA">
            <w:pPr>
              <w:rPr>
                <w:rFonts w:eastAsia="Calibri"/>
                <w:sz w:val="22"/>
                <w:szCs w:val="22"/>
                <w:lang w:val="sr-Latn-ME"/>
              </w:rPr>
            </w:pPr>
            <w:r w:rsidRPr="00F85CA6">
              <w:rPr>
                <w:rFonts w:eastAsia="Calibri"/>
                <w:sz w:val="22"/>
                <w:szCs w:val="22"/>
                <w:lang w:val="sr-Latn-ME"/>
              </w:rPr>
              <w:t>povremeno</w:t>
            </w:r>
          </w:p>
        </w:tc>
      </w:tr>
      <w:tr w:rsidR="007E29AA" w:rsidRPr="00F85CA6" w14:paraId="07D3054F" w14:textId="77777777" w:rsidTr="001239C3">
        <w:trPr>
          <w:trHeight w:val="20"/>
          <w:jc w:val="center"/>
        </w:trPr>
        <w:tc>
          <w:tcPr>
            <w:tcW w:w="1647" w:type="pct"/>
          </w:tcPr>
          <w:p w14:paraId="61F55B8C" w14:textId="77777777" w:rsidR="007E29AA" w:rsidRPr="00F85CA6" w:rsidRDefault="007E29AA" w:rsidP="007E29AA">
            <w:pPr>
              <w:ind w:firstLine="196"/>
              <w:rPr>
                <w:rFonts w:eastAsia="Calibri"/>
                <w:sz w:val="22"/>
                <w:szCs w:val="22"/>
                <w:lang w:val="sr-Latn-ME"/>
              </w:rPr>
            </w:pPr>
            <w:r w:rsidRPr="00F85CA6">
              <w:rPr>
                <w:rFonts w:eastAsia="Calibri"/>
                <w:sz w:val="22"/>
                <w:szCs w:val="22"/>
                <w:lang w:val="sr-Latn-ME"/>
              </w:rPr>
              <w:t>Krvarenje iz rane</w:t>
            </w:r>
          </w:p>
        </w:tc>
        <w:tc>
          <w:tcPr>
            <w:tcW w:w="1227" w:type="pct"/>
          </w:tcPr>
          <w:p w14:paraId="1CC5E952" w14:textId="77777777" w:rsidR="007E29AA" w:rsidRPr="00F85CA6" w:rsidRDefault="007E29AA" w:rsidP="007E29AA">
            <w:pPr>
              <w:rPr>
                <w:rFonts w:eastAsia="Calibri"/>
                <w:sz w:val="22"/>
                <w:szCs w:val="22"/>
                <w:lang w:val="sr-Latn-ME"/>
              </w:rPr>
            </w:pPr>
            <w:r w:rsidRPr="00F85CA6">
              <w:rPr>
                <w:rFonts w:eastAsia="Calibri"/>
                <w:sz w:val="22"/>
                <w:szCs w:val="22"/>
                <w:lang w:val="sr-Latn-ME"/>
              </w:rPr>
              <w:t>povremeno</w:t>
            </w:r>
          </w:p>
        </w:tc>
        <w:tc>
          <w:tcPr>
            <w:tcW w:w="1063" w:type="pct"/>
          </w:tcPr>
          <w:p w14:paraId="6F94B1FF"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w:t>
            </w:r>
          </w:p>
        </w:tc>
        <w:tc>
          <w:tcPr>
            <w:tcW w:w="1063" w:type="pct"/>
          </w:tcPr>
          <w:p w14:paraId="367D8138" w14:textId="77777777" w:rsidR="007E29AA" w:rsidRPr="00F85CA6" w:rsidRDefault="007E29AA" w:rsidP="007E29AA">
            <w:pPr>
              <w:rPr>
                <w:rFonts w:eastAsia="Calibri"/>
                <w:sz w:val="22"/>
                <w:szCs w:val="22"/>
                <w:lang w:val="sr-Latn-ME"/>
              </w:rPr>
            </w:pPr>
          </w:p>
        </w:tc>
      </w:tr>
      <w:tr w:rsidR="007E29AA" w:rsidRPr="00F85CA6" w14:paraId="4066CFB4" w14:textId="77777777" w:rsidTr="001239C3">
        <w:trPr>
          <w:trHeight w:val="20"/>
          <w:jc w:val="center"/>
        </w:trPr>
        <w:tc>
          <w:tcPr>
            <w:tcW w:w="5000" w:type="pct"/>
            <w:gridSpan w:val="4"/>
          </w:tcPr>
          <w:p w14:paraId="457F5182" w14:textId="77777777" w:rsidR="007E29AA" w:rsidRPr="00F85CA6" w:rsidRDefault="007E29AA" w:rsidP="007E29AA">
            <w:pPr>
              <w:rPr>
                <w:rFonts w:eastAsia="Calibri"/>
                <w:sz w:val="22"/>
                <w:szCs w:val="22"/>
                <w:lang w:val="sr-Latn-ME"/>
              </w:rPr>
            </w:pPr>
            <w:r w:rsidRPr="00F85CA6">
              <w:rPr>
                <w:rFonts w:eastAsia="Calibri"/>
                <w:sz w:val="22"/>
                <w:szCs w:val="22"/>
                <w:lang w:val="sr-Latn-ME"/>
              </w:rPr>
              <w:t>Respiratorni, torakalni i medijastinalni poremećaji</w:t>
            </w:r>
          </w:p>
        </w:tc>
      </w:tr>
      <w:tr w:rsidR="007E29AA" w:rsidRPr="00F85CA6" w14:paraId="2443ABCB" w14:textId="77777777" w:rsidTr="001239C3">
        <w:trPr>
          <w:trHeight w:val="20"/>
          <w:jc w:val="center"/>
        </w:trPr>
        <w:tc>
          <w:tcPr>
            <w:tcW w:w="1647" w:type="pct"/>
          </w:tcPr>
          <w:p w14:paraId="433B004F" w14:textId="77777777" w:rsidR="007E29AA" w:rsidRPr="00F85CA6" w:rsidRDefault="007E29AA" w:rsidP="007E29AA">
            <w:pPr>
              <w:ind w:firstLine="196"/>
              <w:rPr>
                <w:rFonts w:eastAsia="Calibri"/>
                <w:sz w:val="22"/>
                <w:szCs w:val="22"/>
                <w:lang w:val="sr-Latn-ME"/>
              </w:rPr>
            </w:pPr>
            <w:r w:rsidRPr="00F85CA6">
              <w:rPr>
                <w:rFonts w:eastAsia="Calibri"/>
                <w:sz w:val="22"/>
                <w:szCs w:val="22"/>
                <w:lang w:val="sr-Latn-ME"/>
              </w:rPr>
              <w:t>Epistaksa</w:t>
            </w:r>
          </w:p>
        </w:tc>
        <w:tc>
          <w:tcPr>
            <w:tcW w:w="1227" w:type="pct"/>
          </w:tcPr>
          <w:p w14:paraId="4987C152" w14:textId="77777777" w:rsidR="007E29AA" w:rsidRPr="00F85CA6" w:rsidRDefault="007E29AA" w:rsidP="007E29AA">
            <w:pPr>
              <w:rPr>
                <w:rFonts w:eastAsia="Calibri"/>
                <w:sz w:val="22"/>
                <w:szCs w:val="22"/>
                <w:lang w:val="sr-Latn-ME"/>
              </w:rPr>
            </w:pPr>
            <w:r w:rsidRPr="00F85CA6">
              <w:rPr>
                <w:rFonts w:eastAsia="Calibri"/>
                <w:sz w:val="22"/>
                <w:szCs w:val="22"/>
                <w:lang w:val="sr-Latn-ME"/>
              </w:rPr>
              <w:t>povremeno</w:t>
            </w:r>
          </w:p>
        </w:tc>
        <w:tc>
          <w:tcPr>
            <w:tcW w:w="1063" w:type="pct"/>
          </w:tcPr>
          <w:p w14:paraId="781052D5" w14:textId="77777777" w:rsidR="007E29AA" w:rsidRPr="00F85CA6" w:rsidRDefault="007E29AA" w:rsidP="007E29AA">
            <w:pPr>
              <w:rPr>
                <w:rFonts w:eastAsia="Calibri"/>
                <w:sz w:val="22"/>
                <w:szCs w:val="22"/>
                <w:lang w:val="sr-Latn-ME"/>
              </w:rPr>
            </w:pPr>
            <w:r w:rsidRPr="00F85CA6">
              <w:rPr>
                <w:rFonts w:eastAsia="Calibri"/>
                <w:sz w:val="22"/>
                <w:szCs w:val="22"/>
                <w:lang w:val="sr-Latn-ME"/>
              </w:rPr>
              <w:t>često</w:t>
            </w:r>
          </w:p>
        </w:tc>
        <w:tc>
          <w:tcPr>
            <w:tcW w:w="1063" w:type="pct"/>
          </w:tcPr>
          <w:p w14:paraId="2546B2BC" w14:textId="77777777" w:rsidR="007E29AA" w:rsidRPr="00F85CA6" w:rsidRDefault="007E29AA" w:rsidP="007E29AA">
            <w:pPr>
              <w:rPr>
                <w:rFonts w:eastAsia="Calibri"/>
                <w:sz w:val="22"/>
                <w:szCs w:val="22"/>
                <w:lang w:val="sr-Latn-ME"/>
              </w:rPr>
            </w:pPr>
            <w:r w:rsidRPr="00F85CA6">
              <w:rPr>
                <w:rFonts w:eastAsia="Calibri"/>
                <w:sz w:val="22"/>
                <w:szCs w:val="22"/>
                <w:lang w:val="sr-Latn-ME"/>
              </w:rPr>
              <w:t>često</w:t>
            </w:r>
          </w:p>
        </w:tc>
      </w:tr>
      <w:tr w:rsidR="007E29AA" w:rsidRPr="00F85CA6" w14:paraId="58FE90E8" w14:textId="77777777" w:rsidTr="001239C3">
        <w:trPr>
          <w:trHeight w:val="20"/>
          <w:jc w:val="center"/>
        </w:trPr>
        <w:tc>
          <w:tcPr>
            <w:tcW w:w="1647" w:type="pct"/>
          </w:tcPr>
          <w:p w14:paraId="532247E3" w14:textId="77777777" w:rsidR="007E29AA" w:rsidRPr="00F85CA6" w:rsidRDefault="007E29AA" w:rsidP="007E29AA">
            <w:pPr>
              <w:ind w:firstLine="196"/>
              <w:rPr>
                <w:rFonts w:eastAsia="Calibri"/>
                <w:sz w:val="22"/>
                <w:szCs w:val="22"/>
                <w:lang w:val="sr-Latn-ME"/>
              </w:rPr>
            </w:pPr>
            <w:r w:rsidRPr="00F85CA6">
              <w:rPr>
                <w:rFonts w:eastAsia="Calibri"/>
                <w:sz w:val="22"/>
                <w:szCs w:val="22"/>
                <w:lang w:val="sr-Latn-ME"/>
              </w:rPr>
              <w:t>Hemoptiza</w:t>
            </w:r>
          </w:p>
        </w:tc>
        <w:tc>
          <w:tcPr>
            <w:tcW w:w="1227" w:type="pct"/>
          </w:tcPr>
          <w:p w14:paraId="652CB1B2" w14:textId="16BD7AA7" w:rsidR="007E29AA" w:rsidRPr="00F85CA6" w:rsidRDefault="007E29AA" w:rsidP="007E29AA">
            <w:pPr>
              <w:rPr>
                <w:rFonts w:eastAsia="Calibri"/>
                <w:sz w:val="22"/>
                <w:szCs w:val="22"/>
                <w:lang w:val="sr-Latn-ME"/>
              </w:rPr>
            </w:pPr>
            <w:r w:rsidRPr="00F85CA6">
              <w:rPr>
                <w:rFonts w:eastAsia="Calibri"/>
                <w:sz w:val="22"/>
                <w:szCs w:val="22"/>
                <w:lang w:val="sr-Latn-ME"/>
              </w:rPr>
              <w:t>r</w:t>
            </w:r>
            <w:r w:rsidR="00523AA3" w:rsidRPr="00F85CA6">
              <w:rPr>
                <w:rFonts w:eastAsia="Calibri"/>
                <w:sz w:val="22"/>
                <w:szCs w:val="22"/>
                <w:lang w:val="sr-Latn-ME"/>
              </w:rPr>
              <w:t>ij</w:t>
            </w:r>
            <w:r w:rsidRPr="00F85CA6">
              <w:rPr>
                <w:rFonts w:eastAsia="Calibri"/>
                <w:sz w:val="22"/>
                <w:szCs w:val="22"/>
                <w:lang w:val="sr-Latn-ME"/>
              </w:rPr>
              <w:t>etko</w:t>
            </w:r>
          </w:p>
        </w:tc>
        <w:tc>
          <w:tcPr>
            <w:tcW w:w="1063" w:type="pct"/>
          </w:tcPr>
          <w:p w14:paraId="7EA9D885" w14:textId="77777777" w:rsidR="007E29AA" w:rsidRPr="00F85CA6" w:rsidRDefault="007E29AA" w:rsidP="007E29AA">
            <w:pPr>
              <w:rPr>
                <w:rFonts w:eastAsia="Calibri"/>
                <w:sz w:val="22"/>
                <w:szCs w:val="22"/>
                <w:lang w:val="sr-Latn-ME"/>
              </w:rPr>
            </w:pPr>
            <w:r w:rsidRPr="00F85CA6">
              <w:rPr>
                <w:rFonts w:eastAsia="Calibri"/>
                <w:sz w:val="22"/>
                <w:szCs w:val="22"/>
                <w:lang w:val="sr-Latn-ME"/>
              </w:rPr>
              <w:t>povremeno</w:t>
            </w:r>
          </w:p>
        </w:tc>
        <w:tc>
          <w:tcPr>
            <w:tcW w:w="1063" w:type="pct"/>
          </w:tcPr>
          <w:p w14:paraId="54E464DF" w14:textId="77777777" w:rsidR="007E29AA" w:rsidRPr="00F85CA6" w:rsidRDefault="007E29AA" w:rsidP="007E29AA">
            <w:pPr>
              <w:rPr>
                <w:rFonts w:eastAsia="Calibri"/>
                <w:sz w:val="22"/>
                <w:szCs w:val="22"/>
                <w:lang w:val="sr-Latn-ME"/>
              </w:rPr>
            </w:pPr>
            <w:r w:rsidRPr="00F85CA6">
              <w:rPr>
                <w:rFonts w:eastAsia="Calibri"/>
                <w:sz w:val="22"/>
                <w:szCs w:val="22"/>
                <w:lang w:val="sr-Latn-ME"/>
              </w:rPr>
              <w:t>povremeno</w:t>
            </w:r>
          </w:p>
        </w:tc>
      </w:tr>
      <w:tr w:rsidR="007E29AA" w:rsidRPr="00F85CA6" w14:paraId="5011A9A0" w14:textId="77777777" w:rsidTr="001239C3">
        <w:trPr>
          <w:trHeight w:val="20"/>
          <w:jc w:val="center"/>
        </w:trPr>
        <w:tc>
          <w:tcPr>
            <w:tcW w:w="5000" w:type="pct"/>
            <w:gridSpan w:val="4"/>
          </w:tcPr>
          <w:p w14:paraId="390A0294" w14:textId="77777777" w:rsidR="007E29AA" w:rsidRPr="00F85CA6" w:rsidRDefault="007E29AA" w:rsidP="007E29AA">
            <w:pPr>
              <w:rPr>
                <w:rFonts w:eastAsia="Calibri"/>
                <w:sz w:val="22"/>
                <w:szCs w:val="22"/>
                <w:lang w:val="sr-Latn-ME"/>
              </w:rPr>
            </w:pPr>
            <w:r w:rsidRPr="00F85CA6">
              <w:rPr>
                <w:rFonts w:eastAsia="Calibri"/>
                <w:sz w:val="22"/>
                <w:szCs w:val="22"/>
                <w:lang w:val="sr-Latn-ME"/>
              </w:rPr>
              <w:t>Gastrointestinalni poremećaji</w:t>
            </w:r>
          </w:p>
        </w:tc>
      </w:tr>
      <w:tr w:rsidR="007E29AA" w:rsidRPr="00F85CA6" w14:paraId="7A806383" w14:textId="77777777" w:rsidTr="001239C3">
        <w:trPr>
          <w:trHeight w:val="20"/>
          <w:jc w:val="center"/>
        </w:trPr>
        <w:tc>
          <w:tcPr>
            <w:tcW w:w="1647" w:type="pct"/>
          </w:tcPr>
          <w:p w14:paraId="50A5525D" w14:textId="77777777" w:rsidR="007E29AA" w:rsidRPr="00F85CA6" w:rsidRDefault="007E29AA" w:rsidP="007E29AA">
            <w:pPr>
              <w:ind w:left="196"/>
              <w:rPr>
                <w:rFonts w:eastAsia="Calibri"/>
                <w:sz w:val="22"/>
                <w:szCs w:val="22"/>
                <w:lang w:val="sr-Latn-ME"/>
              </w:rPr>
            </w:pPr>
            <w:r w:rsidRPr="00F85CA6">
              <w:rPr>
                <w:rFonts w:eastAsia="Calibri"/>
                <w:sz w:val="22"/>
                <w:szCs w:val="22"/>
                <w:lang w:val="sr-Latn-ME"/>
              </w:rPr>
              <w:t xml:space="preserve">Gastrointestinalna hemoragija </w:t>
            </w:r>
          </w:p>
        </w:tc>
        <w:tc>
          <w:tcPr>
            <w:tcW w:w="1227" w:type="pct"/>
          </w:tcPr>
          <w:p w14:paraId="7155A18F" w14:textId="77777777" w:rsidR="007E29AA" w:rsidRPr="00F85CA6" w:rsidRDefault="007E29AA" w:rsidP="007E29AA">
            <w:pPr>
              <w:rPr>
                <w:rFonts w:eastAsia="Calibri"/>
                <w:sz w:val="22"/>
                <w:szCs w:val="22"/>
                <w:lang w:val="sr-Latn-ME"/>
              </w:rPr>
            </w:pPr>
            <w:r w:rsidRPr="00F85CA6">
              <w:rPr>
                <w:rFonts w:eastAsia="Calibri"/>
                <w:sz w:val="22"/>
                <w:szCs w:val="22"/>
                <w:lang w:val="sr-Latn-ME"/>
              </w:rPr>
              <w:t>povremeno</w:t>
            </w:r>
          </w:p>
        </w:tc>
        <w:tc>
          <w:tcPr>
            <w:tcW w:w="1063" w:type="pct"/>
          </w:tcPr>
          <w:p w14:paraId="7D23DABD" w14:textId="77777777" w:rsidR="007E29AA" w:rsidRPr="00F85CA6" w:rsidRDefault="007E29AA" w:rsidP="007E29AA">
            <w:pPr>
              <w:rPr>
                <w:rFonts w:eastAsia="Calibri"/>
                <w:sz w:val="22"/>
                <w:szCs w:val="22"/>
                <w:lang w:val="sr-Latn-ME"/>
              </w:rPr>
            </w:pPr>
            <w:r w:rsidRPr="00F85CA6">
              <w:rPr>
                <w:rFonts w:eastAsia="Calibri"/>
                <w:sz w:val="22"/>
                <w:szCs w:val="22"/>
                <w:lang w:val="sr-Latn-ME"/>
              </w:rPr>
              <w:t>često</w:t>
            </w:r>
          </w:p>
        </w:tc>
        <w:tc>
          <w:tcPr>
            <w:tcW w:w="1063" w:type="pct"/>
          </w:tcPr>
          <w:p w14:paraId="638B8529" w14:textId="77777777" w:rsidR="007E29AA" w:rsidRPr="00F85CA6" w:rsidRDefault="007E29AA" w:rsidP="007E29AA">
            <w:pPr>
              <w:rPr>
                <w:rFonts w:eastAsia="Calibri"/>
                <w:sz w:val="22"/>
                <w:szCs w:val="22"/>
                <w:lang w:val="sr-Latn-ME"/>
              </w:rPr>
            </w:pPr>
            <w:r w:rsidRPr="00F85CA6">
              <w:rPr>
                <w:rFonts w:eastAsia="Calibri"/>
                <w:sz w:val="22"/>
                <w:szCs w:val="22"/>
                <w:lang w:val="sr-Latn-ME"/>
              </w:rPr>
              <w:t>često</w:t>
            </w:r>
          </w:p>
        </w:tc>
      </w:tr>
      <w:tr w:rsidR="007E29AA" w:rsidRPr="00F85CA6" w14:paraId="1E8975C2" w14:textId="77777777" w:rsidTr="001239C3">
        <w:trPr>
          <w:trHeight w:val="20"/>
          <w:jc w:val="center"/>
        </w:trPr>
        <w:tc>
          <w:tcPr>
            <w:tcW w:w="1647" w:type="pct"/>
          </w:tcPr>
          <w:p w14:paraId="2A768ED4" w14:textId="77777777" w:rsidR="007E29AA" w:rsidRPr="00F85CA6" w:rsidRDefault="007E29AA" w:rsidP="007E29AA">
            <w:pPr>
              <w:ind w:left="196"/>
              <w:rPr>
                <w:rFonts w:eastAsia="Calibri"/>
                <w:sz w:val="22"/>
                <w:szCs w:val="22"/>
                <w:lang w:val="sr-Latn-ME"/>
              </w:rPr>
            </w:pPr>
            <w:r w:rsidRPr="00F85CA6">
              <w:rPr>
                <w:rFonts w:eastAsia="Calibri"/>
                <w:sz w:val="22"/>
                <w:szCs w:val="22"/>
                <w:lang w:val="sr-Latn-ME"/>
              </w:rPr>
              <w:t>Bol u abdomenu</w:t>
            </w:r>
          </w:p>
        </w:tc>
        <w:tc>
          <w:tcPr>
            <w:tcW w:w="1227" w:type="pct"/>
          </w:tcPr>
          <w:p w14:paraId="215226C5" w14:textId="1323A853" w:rsidR="007E29AA" w:rsidRPr="00F85CA6" w:rsidRDefault="007E29AA" w:rsidP="007E29AA">
            <w:pPr>
              <w:rPr>
                <w:rFonts w:eastAsia="Calibri"/>
                <w:sz w:val="22"/>
                <w:szCs w:val="22"/>
                <w:lang w:val="sr-Latn-ME"/>
              </w:rPr>
            </w:pPr>
            <w:r w:rsidRPr="00F85CA6">
              <w:rPr>
                <w:rFonts w:eastAsia="Calibri"/>
                <w:sz w:val="22"/>
                <w:szCs w:val="22"/>
                <w:lang w:val="sr-Latn-ME"/>
              </w:rPr>
              <w:t>r</w:t>
            </w:r>
            <w:r w:rsidR="00523AA3" w:rsidRPr="00F85CA6">
              <w:rPr>
                <w:rFonts w:eastAsia="Calibri"/>
                <w:sz w:val="22"/>
                <w:szCs w:val="22"/>
                <w:lang w:val="sr-Latn-ME"/>
              </w:rPr>
              <w:t>ij</w:t>
            </w:r>
            <w:r w:rsidRPr="00F85CA6">
              <w:rPr>
                <w:rFonts w:eastAsia="Calibri"/>
                <w:sz w:val="22"/>
                <w:szCs w:val="22"/>
                <w:lang w:val="sr-Latn-ME"/>
              </w:rPr>
              <w:t>etko</w:t>
            </w:r>
          </w:p>
        </w:tc>
        <w:tc>
          <w:tcPr>
            <w:tcW w:w="1063" w:type="pct"/>
          </w:tcPr>
          <w:p w14:paraId="67A61F8B" w14:textId="77777777" w:rsidR="007E29AA" w:rsidRPr="00F85CA6" w:rsidRDefault="007E29AA" w:rsidP="007E29AA">
            <w:pPr>
              <w:rPr>
                <w:rFonts w:eastAsia="Calibri"/>
                <w:sz w:val="22"/>
                <w:szCs w:val="22"/>
                <w:lang w:val="sr-Latn-ME"/>
              </w:rPr>
            </w:pPr>
            <w:r w:rsidRPr="00F85CA6">
              <w:rPr>
                <w:rFonts w:eastAsia="Calibri"/>
                <w:sz w:val="22"/>
                <w:szCs w:val="22"/>
                <w:lang w:val="sr-Latn-ME"/>
              </w:rPr>
              <w:t>često</w:t>
            </w:r>
          </w:p>
        </w:tc>
        <w:tc>
          <w:tcPr>
            <w:tcW w:w="1063" w:type="pct"/>
          </w:tcPr>
          <w:p w14:paraId="6B14F860" w14:textId="77777777" w:rsidR="007E29AA" w:rsidRPr="00F85CA6" w:rsidRDefault="007E29AA" w:rsidP="007E29AA">
            <w:pPr>
              <w:rPr>
                <w:rFonts w:eastAsia="Calibri"/>
                <w:sz w:val="22"/>
                <w:szCs w:val="22"/>
                <w:lang w:val="sr-Latn-ME"/>
              </w:rPr>
            </w:pPr>
            <w:r w:rsidRPr="00F85CA6">
              <w:rPr>
                <w:rFonts w:eastAsia="Calibri"/>
                <w:sz w:val="22"/>
                <w:szCs w:val="22"/>
                <w:lang w:val="sr-Latn-ME"/>
              </w:rPr>
              <w:t>povremeno</w:t>
            </w:r>
          </w:p>
        </w:tc>
      </w:tr>
      <w:tr w:rsidR="007E29AA" w:rsidRPr="00F85CA6" w14:paraId="4043E809" w14:textId="77777777" w:rsidTr="001239C3">
        <w:trPr>
          <w:trHeight w:val="20"/>
          <w:jc w:val="center"/>
        </w:trPr>
        <w:tc>
          <w:tcPr>
            <w:tcW w:w="1647" w:type="pct"/>
          </w:tcPr>
          <w:p w14:paraId="1A77691F" w14:textId="77777777" w:rsidR="007E29AA" w:rsidRPr="00F85CA6" w:rsidRDefault="007E29AA" w:rsidP="007E29AA">
            <w:pPr>
              <w:ind w:left="196"/>
              <w:rPr>
                <w:rFonts w:eastAsia="Calibri"/>
                <w:sz w:val="22"/>
                <w:szCs w:val="22"/>
                <w:lang w:val="sr-Latn-ME"/>
              </w:rPr>
            </w:pPr>
            <w:r w:rsidRPr="00F85CA6">
              <w:rPr>
                <w:rFonts w:eastAsia="Calibri"/>
                <w:sz w:val="22"/>
                <w:szCs w:val="22"/>
                <w:lang w:val="sr-Latn-ME"/>
              </w:rPr>
              <w:t>Dijareja</w:t>
            </w:r>
          </w:p>
        </w:tc>
        <w:tc>
          <w:tcPr>
            <w:tcW w:w="1227" w:type="pct"/>
          </w:tcPr>
          <w:p w14:paraId="72089556" w14:textId="77777777" w:rsidR="007E29AA" w:rsidRPr="00F85CA6" w:rsidRDefault="007E29AA" w:rsidP="007E29AA">
            <w:pPr>
              <w:rPr>
                <w:rFonts w:eastAsia="Calibri"/>
                <w:sz w:val="22"/>
                <w:szCs w:val="22"/>
                <w:lang w:val="sr-Latn-ME"/>
              </w:rPr>
            </w:pPr>
            <w:r w:rsidRPr="00F85CA6">
              <w:rPr>
                <w:rFonts w:eastAsia="Calibri"/>
                <w:sz w:val="22"/>
                <w:szCs w:val="22"/>
                <w:lang w:val="sr-Latn-ME"/>
              </w:rPr>
              <w:t>povremeno</w:t>
            </w:r>
          </w:p>
        </w:tc>
        <w:tc>
          <w:tcPr>
            <w:tcW w:w="1063" w:type="pct"/>
          </w:tcPr>
          <w:p w14:paraId="4E560498" w14:textId="77777777" w:rsidR="007E29AA" w:rsidRPr="00F85CA6" w:rsidRDefault="007E29AA" w:rsidP="007E29AA">
            <w:pPr>
              <w:rPr>
                <w:rFonts w:eastAsia="Calibri"/>
                <w:sz w:val="22"/>
                <w:szCs w:val="22"/>
                <w:lang w:val="sr-Latn-ME"/>
              </w:rPr>
            </w:pPr>
            <w:r w:rsidRPr="00F85CA6">
              <w:rPr>
                <w:rFonts w:eastAsia="Calibri"/>
                <w:sz w:val="22"/>
                <w:szCs w:val="22"/>
                <w:lang w:val="sr-Latn-ME"/>
              </w:rPr>
              <w:t>često</w:t>
            </w:r>
          </w:p>
        </w:tc>
        <w:tc>
          <w:tcPr>
            <w:tcW w:w="1063" w:type="pct"/>
          </w:tcPr>
          <w:p w14:paraId="54FB1AE7" w14:textId="77777777" w:rsidR="007E29AA" w:rsidRPr="00F85CA6" w:rsidRDefault="007E29AA" w:rsidP="007E29AA">
            <w:pPr>
              <w:rPr>
                <w:rFonts w:eastAsia="Calibri"/>
                <w:sz w:val="22"/>
                <w:szCs w:val="22"/>
                <w:lang w:val="sr-Latn-ME"/>
              </w:rPr>
            </w:pPr>
            <w:r w:rsidRPr="00F85CA6">
              <w:rPr>
                <w:rFonts w:eastAsia="Calibri"/>
                <w:sz w:val="22"/>
                <w:szCs w:val="22"/>
                <w:lang w:val="sr-Latn-ME"/>
              </w:rPr>
              <w:t>povremeno</w:t>
            </w:r>
          </w:p>
        </w:tc>
      </w:tr>
      <w:tr w:rsidR="007E29AA" w:rsidRPr="00F85CA6" w14:paraId="5E91D2C2" w14:textId="77777777" w:rsidTr="001239C3">
        <w:trPr>
          <w:trHeight w:val="20"/>
          <w:jc w:val="center"/>
        </w:trPr>
        <w:tc>
          <w:tcPr>
            <w:tcW w:w="1647" w:type="pct"/>
          </w:tcPr>
          <w:p w14:paraId="08296C20" w14:textId="77777777" w:rsidR="007E29AA" w:rsidRPr="00F85CA6" w:rsidRDefault="007E29AA" w:rsidP="007E29AA">
            <w:pPr>
              <w:ind w:left="196"/>
              <w:rPr>
                <w:rFonts w:eastAsia="Calibri"/>
                <w:sz w:val="22"/>
                <w:szCs w:val="22"/>
                <w:lang w:val="sr-Latn-ME"/>
              </w:rPr>
            </w:pPr>
            <w:r w:rsidRPr="00F85CA6">
              <w:rPr>
                <w:rFonts w:eastAsia="Calibri"/>
                <w:sz w:val="22"/>
                <w:szCs w:val="22"/>
                <w:lang w:val="sr-Latn-ME"/>
              </w:rPr>
              <w:t>Dispepsija</w:t>
            </w:r>
          </w:p>
        </w:tc>
        <w:tc>
          <w:tcPr>
            <w:tcW w:w="1227" w:type="pct"/>
          </w:tcPr>
          <w:p w14:paraId="3825CCB6" w14:textId="18AEB1DE" w:rsidR="007E29AA" w:rsidRPr="00F85CA6" w:rsidRDefault="007E29AA" w:rsidP="007E29AA">
            <w:pPr>
              <w:rPr>
                <w:rFonts w:eastAsia="Calibri"/>
                <w:sz w:val="22"/>
                <w:szCs w:val="22"/>
                <w:lang w:val="sr-Latn-ME"/>
              </w:rPr>
            </w:pPr>
            <w:r w:rsidRPr="00F85CA6">
              <w:rPr>
                <w:rFonts w:eastAsia="Calibri"/>
                <w:sz w:val="22"/>
                <w:szCs w:val="22"/>
                <w:lang w:val="sr-Latn-ME"/>
              </w:rPr>
              <w:t>rijetko</w:t>
            </w:r>
          </w:p>
        </w:tc>
        <w:tc>
          <w:tcPr>
            <w:tcW w:w="1063" w:type="pct"/>
          </w:tcPr>
          <w:p w14:paraId="1D2B27BA" w14:textId="77777777" w:rsidR="007E29AA" w:rsidRPr="00F85CA6" w:rsidRDefault="007E29AA" w:rsidP="007E29AA">
            <w:pPr>
              <w:rPr>
                <w:rFonts w:eastAsia="Calibri"/>
                <w:sz w:val="22"/>
                <w:szCs w:val="22"/>
                <w:lang w:val="sr-Latn-ME"/>
              </w:rPr>
            </w:pPr>
            <w:r w:rsidRPr="00F85CA6">
              <w:rPr>
                <w:rFonts w:eastAsia="Calibri"/>
                <w:sz w:val="22"/>
                <w:szCs w:val="22"/>
                <w:lang w:val="sr-Latn-ME"/>
              </w:rPr>
              <w:t>često</w:t>
            </w:r>
          </w:p>
        </w:tc>
        <w:tc>
          <w:tcPr>
            <w:tcW w:w="1063" w:type="pct"/>
          </w:tcPr>
          <w:p w14:paraId="1B9FDA99" w14:textId="77777777" w:rsidR="007E29AA" w:rsidRPr="00F85CA6" w:rsidRDefault="007E29AA" w:rsidP="007E29AA">
            <w:pPr>
              <w:rPr>
                <w:rFonts w:eastAsia="Calibri"/>
                <w:sz w:val="22"/>
                <w:szCs w:val="22"/>
                <w:lang w:val="sr-Latn-ME"/>
              </w:rPr>
            </w:pPr>
            <w:r w:rsidRPr="00F85CA6">
              <w:rPr>
                <w:rFonts w:eastAsia="Calibri"/>
                <w:sz w:val="22"/>
                <w:szCs w:val="22"/>
                <w:lang w:val="sr-Latn-ME"/>
              </w:rPr>
              <w:t>često</w:t>
            </w:r>
          </w:p>
        </w:tc>
      </w:tr>
      <w:tr w:rsidR="007E29AA" w:rsidRPr="00F85CA6" w14:paraId="22F45245" w14:textId="77777777" w:rsidTr="001239C3">
        <w:trPr>
          <w:trHeight w:val="20"/>
          <w:jc w:val="center"/>
        </w:trPr>
        <w:tc>
          <w:tcPr>
            <w:tcW w:w="1647" w:type="pct"/>
          </w:tcPr>
          <w:p w14:paraId="1B4F38A4" w14:textId="77777777" w:rsidR="007E29AA" w:rsidRPr="00F85CA6" w:rsidRDefault="007E29AA" w:rsidP="007E29AA">
            <w:pPr>
              <w:ind w:left="196"/>
              <w:rPr>
                <w:rFonts w:eastAsia="Calibri"/>
                <w:sz w:val="22"/>
                <w:szCs w:val="22"/>
                <w:lang w:val="sr-Latn-ME"/>
              </w:rPr>
            </w:pPr>
            <w:r w:rsidRPr="00F85CA6">
              <w:rPr>
                <w:rFonts w:eastAsia="Calibri"/>
                <w:sz w:val="22"/>
                <w:szCs w:val="22"/>
                <w:lang w:val="sr-Latn-ME"/>
              </w:rPr>
              <w:t>Mučnina</w:t>
            </w:r>
          </w:p>
        </w:tc>
        <w:tc>
          <w:tcPr>
            <w:tcW w:w="1227" w:type="pct"/>
          </w:tcPr>
          <w:p w14:paraId="493CAF17" w14:textId="77777777" w:rsidR="007E29AA" w:rsidRPr="00F85CA6" w:rsidRDefault="007E29AA" w:rsidP="007E29AA">
            <w:pPr>
              <w:rPr>
                <w:rFonts w:eastAsia="Calibri"/>
                <w:sz w:val="22"/>
                <w:szCs w:val="22"/>
                <w:lang w:val="sr-Latn-ME"/>
              </w:rPr>
            </w:pPr>
            <w:r w:rsidRPr="00F85CA6">
              <w:rPr>
                <w:rFonts w:eastAsia="Calibri"/>
                <w:sz w:val="22"/>
                <w:szCs w:val="22"/>
                <w:lang w:val="sr-Latn-ME"/>
              </w:rPr>
              <w:t>povremeno</w:t>
            </w:r>
          </w:p>
        </w:tc>
        <w:tc>
          <w:tcPr>
            <w:tcW w:w="1063" w:type="pct"/>
          </w:tcPr>
          <w:p w14:paraId="3815D215" w14:textId="77777777" w:rsidR="007E29AA" w:rsidRPr="00F85CA6" w:rsidRDefault="007E29AA" w:rsidP="007E29AA">
            <w:pPr>
              <w:rPr>
                <w:rFonts w:eastAsia="Calibri"/>
                <w:sz w:val="22"/>
                <w:szCs w:val="22"/>
                <w:lang w:val="sr-Latn-ME"/>
              </w:rPr>
            </w:pPr>
            <w:r w:rsidRPr="00F85CA6">
              <w:rPr>
                <w:rFonts w:eastAsia="Calibri"/>
                <w:sz w:val="22"/>
                <w:szCs w:val="22"/>
                <w:lang w:val="sr-Latn-ME"/>
              </w:rPr>
              <w:t>često</w:t>
            </w:r>
          </w:p>
        </w:tc>
        <w:tc>
          <w:tcPr>
            <w:tcW w:w="1063" w:type="pct"/>
          </w:tcPr>
          <w:p w14:paraId="38294978" w14:textId="77777777" w:rsidR="007E29AA" w:rsidRPr="00F85CA6" w:rsidRDefault="007E29AA" w:rsidP="007E29AA">
            <w:pPr>
              <w:rPr>
                <w:rFonts w:eastAsia="Calibri"/>
                <w:sz w:val="22"/>
                <w:szCs w:val="22"/>
                <w:lang w:val="sr-Latn-ME"/>
              </w:rPr>
            </w:pPr>
            <w:r w:rsidRPr="00F85CA6">
              <w:rPr>
                <w:rFonts w:eastAsia="Calibri"/>
                <w:sz w:val="22"/>
                <w:szCs w:val="22"/>
                <w:lang w:val="sr-Latn-ME"/>
              </w:rPr>
              <w:t>povremeno</w:t>
            </w:r>
          </w:p>
        </w:tc>
      </w:tr>
      <w:tr w:rsidR="007E29AA" w:rsidRPr="00F85CA6" w14:paraId="7EE4B4F6" w14:textId="77777777" w:rsidTr="001239C3">
        <w:trPr>
          <w:trHeight w:val="20"/>
          <w:jc w:val="center"/>
        </w:trPr>
        <w:tc>
          <w:tcPr>
            <w:tcW w:w="1647" w:type="pct"/>
          </w:tcPr>
          <w:p w14:paraId="1204D419" w14:textId="77777777" w:rsidR="007E29AA" w:rsidRPr="00F85CA6" w:rsidRDefault="007E29AA" w:rsidP="007E29AA">
            <w:pPr>
              <w:ind w:left="196"/>
              <w:rPr>
                <w:rFonts w:eastAsia="Calibri"/>
                <w:sz w:val="22"/>
                <w:szCs w:val="22"/>
                <w:lang w:val="sr-Latn-ME"/>
              </w:rPr>
            </w:pPr>
            <w:r w:rsidRPr="00F85CA6">
              <w:rPr>
                <w:rFonts w:eastAsia="Calibri"/>
                <w:sz w:val="22"/>
                <w:szCs w:val="22"/>
                <w:lang w:val="sr-Latn-ME"/>
              </w:rPr>
              <w:t>Rektalno krvarenje</w:t>
            </w:r>
          </w:p>
        </w:tc>
        <w:tc>
          <w:tcPr>
            <w:tcW w:w="1227" w:type="pct"/>
          </w:tcPr>
          <w:p w14:paraId="5E496AF1" w14:textId="77777777" w:rsidR="007E29AA" w:rsidRPr="00F85CA6" w:rsidRDefault="007E29AA" w:rsidP="007E29AA">
            <w:pPr>
              <w:rPr>
                <w:rFonts w:eastAsia="Calibri"/>
                <w:sz w:val="22"/>
                <w:szCs w:val="22"/>
                <w:lang w:val="sr-Latn-ME"/>
              </w:rPr>
            </w:pPr>
            <w:r w:rsidRPr="00F85CA6">
              <w:rPr>
                <w:rFonts w:eastAsia="Calibri"/>
                <w:sz w:val="22"/>
                <w:szCs w:val="22"/>
                <w:lang w:val="sr-Latn-ME"/>
              </w:rPr>
              <w:t>povremeno</w:t>
            </w:r>
          </w:p>
        </w:tc>
        <w:tc>
          <w:tcPr>
            <w:tcW w:w="1063" w:type="pct"/>
          </w:tcPr>
          <w:p w14:paraId="419891AB" w14:textId="77777777" w:rsidR="007E29AA" w:rsidRPr="00F85CA6" w:rsidRDefault="007E29AA" w:rsidP="007E29AA">
            <w:pPr>
              <w:rPr>
                <w:rFonts w:eastAsia="Calibri"/>
                <w:sz w:val="22"/>
                <w:szCs w:val="22"/>
                <w:lang w:val="sr-Latn-ME"/>
              </w:rPr>
            </w:pPr>
            <w:r w:rsidRPr="00F85CA6">
              <w:rPr>
                <w:rFonts w:eastAsia="Calibri"/>
                <w:sz w:val="22"/>
                <w:szCs w:val="22"/>
                <w:lang w:val="sr-Latn-ME"/>
              </w:rPr>
              <w:t>povremeno</w:t>
            </w:r>
          </w:p>
        </w:tc>
        <w:tc>
          <w:tcPr>
            <w:tcW w:w="1063" w:type="pct"/>
          </w:tcPr>
          <w:p w14:paraId="1519191A" w14:textId="77777777" w:rsidR="007E29AA" w:rsidRPr="00F85CA6" w:rsidRDefault="007E29AA" w:rsidP="007E29AA">
            <w:pPr>
              <w:rPr>
                <w:rFonts w:eastAsia="Calibri"/>
                <w:sz w:val="22"/>
                <w:szCs w:val="22"/>
                <w:lang w:val="sr-Latn-ME"/>
              </w:rPr>
            </w:pPr>
            <w:r w:rsidRPr="00F85CA6">
              <w:rPr>
                <w:rFonts w:eastAsia="Calibri"/>
                <w:sz w:val="22"/>
                <w:szCs w:val="22"/>
                <w:lang w:val="sr-Latn-ME"/>
              </w:rPr>
              <w:t>često</w:t>
            </w:r>
          </w:p>
        </w:tc>
      </w:tr>
      <w:tr w:rsidR="007E29AA" w:rsidRPr="00F85CA6" w14:paraId="7EBED9B1" w14:textId="77777777" w:rsidTr="001239C3">
        <w:trPr>
          <w:trHeight w:val="20"/>
          <w:jc w:val="center"/>
        </w:trPr>
        <w:tc>
          <w:tcPr>
            <w:tcW w:w="1647" w:type="pct"/>
          </w:tcPr>
          <w:p w14:paraId="26FF3C40" w14:textId="77777777" w:rsidR="007E29AA" w:rsidRPr="00F85CA6" w:rsidRDefault="007E29AA" w:rsidP="007E29AA">
            <w:pPr>
              <w:ind w:left="196"/>
              <w:rPr>
                <w:rFonts w:eastAsia="Calibri"/>
                <w:sz w:val="22"/>
                <w:szCs w:val="22"/>
                <w:lang w:val="sr-Latn-ME"/>
              </w:rPr>
            </w:pPr>
            <w:r w:rsidRPr="00F85CA6">
              <w:rPr>
                <w:rFonts w:eastAsia="Calibri"/>
                <w:sz w:val="22"/>
                <w:szCs w:val="22"/>
                <w:lang w:val="sr-Latn-ME"/>
              </w:rPr>
              <w:t>Hemoroidalno krvarenje</w:t>
            </w:r>
          </w:p>
        </w:tc>
        <w:tc>
          <w:tcPr>
            <w:tcW w:w="1227" w:type="pct"/>
          </w:tcPr>
          <w:p w14:paraId="28B738E5" w14:textId="77777777" w:rsidR="007E29AA" w:rsidRPr="00F85CA6" w:rsidRDefault="007E29AA" w:rsidP="007E29AA">
            <w:pPr>
              <w:rPr>
                <w:rFonts w:eastAsia="Calibri"/>
                <w:sz w:val="22"/>
                <w:szCs w:val="22"/>
                <w:lang w:val="sr-Latn-ME"/>
              </w:rPr>
            </w:pPr>
            <w:r w:rsidRPr="00F85CA6">
              <w:rPr>
                <w:rFonts w:eastAsia="Calibri"/>
                <w:sz w:val="22"/>
                <w:szCs w:val="22"/>
                <w:lang w:val="sr-Latn-ME"/>
              </w:rPr>
              <w:t>povremeno</w:t>
            </w:r>
          </w:p>
        </w:tc>
        <w:tc>
          <w:tcPr>
            <w:tcW w:w="1063" w:type="pct"/>
          </w:tcPr>
          <w:p w14:paraId="180E7446" w14:textId="77777777" w:rsidR="007E29AA" w:rsidRPr="00F85CA6" w:rsidRDefault="007E29AA" w:rsidP="007E29AA">
            <w:pPr>
              <w:rPr>
                <w:rFonts w:eastAsia="Calibri"/>
                <w:sz w:val="22"/>
                <w:szCs w:val="22"/>
                <w:lang w:val="sr-Latn-ME"/>
              </w:rPr>
            </w:pPr>
            <w:r w:rsidRPr="00F85CA6">
              <w:rPr>
                <w:rFonts w:eastAsia="Calibri"/>
                <w:sz w:val="22"/>
                <w:szCs w:val="22"/>
                <w:lang w:val="sr-Latn-ME"/>
              </w:rPr>
              <w:t>povremeno</w:t>
            </w:r>
          </w:p>
        </w:tc>
        <w:tc>
          <w:tcPr>
            <w:tcW w:w="1063" w:type="pct"/>
          </w:tcPr>
          <w:p w14:paraId="7D8F550D" w14:textId="77777777" w:rsidR="007E29AA" w:rsidRPr="00F85CA6" w:rsidRDefault="007E29AA" w:rsidP="007E29AA">
            <w:pPr>
              <w:rPr>
                <w:rFonts w:eastAsia="Calibri"/>
                <w:sz w:val="22"/>
                <w:szCs w:val="22"/>
                <w:lang w:val="sr-Latn-ME"/>
              </w:rPr>
            </w:pPr>
            <w:r w:rsidRPr="00F85CA6">
              <w:rPr>
                <w:rFonts w:eastAsia="Calibri"/>
                <w:sz w:val="22"/>
                <w:szCs w:val="22"/>
                <w:lang w:val="sr-Latn-ME"/>
              </w:rPr>
              <w:t>povremeno</w:t>
            </w:r>
          </w:p>
        </w:tc>
      </w:tr>
      <w:tr w:rsidR="007E29AA" w:rsidRPr="00F85CA6" w14:paraId="48130D4E" w14:textId="77777777" w:rsidTr="001239C3">
        <w:trPr>
          <w:trHeight w:val="20"/>
          <w:jc w:val="center"/>
        </w:trPr>
        <w:tc>
          <w:tcPr>
            <w:tcW w:w="1647" w:type="pct"/>
          </w:tcPr>
          <w:p w14:paraId="7AB252CF" w14:textId="77777777" w:rsidR="007E29AA" w:rsidRPr="00F85CA6" w:rsidRDefault="007E29AA" w:rsidP="007E29AA">
            <w:pPr>
              <w:ind w:left="196"/>
              <w:rPr>
                <w:rFonts w:eastAsia="Calibri"/>
                <w:sz w:val="22"/>
                <w:szCs w:val="22"/>
                <w:lang w:val="sr-Latn-ME"/>
              </w:rPr>
            </w:pPr>
            <w:r w:rsidRPr="00F85CA6">
              <w:rPr>
                <w:rFonts w:eastAsia="Calibri"/>
                <w:sz w:val="22"/>
                <w:szCs w:val="22"/>
                <w:lang w:val="sr-Latn-ME"/>
              </w:rPr>
              <w:t>Gastrointestinalni ulkus, uključujući ezofagealni ulkus</w:t>
            </w:r>
          </w:p>
        </w:tc>
        <w:tc>
          <w:tcPr>
            <w:tcW w:w="1227" w:type="pct"/>
          </w:tcPr>
          <w:p w14:paraId="261FC49D" w14:textId="379880B8" w:rsidR="007E29AA" w:rsidRPr="00F85CA6" w:rsidRDefault="007E29AA" w:rsidP="007E29AA">
            <w:pPr>
              <w:rPr>
                <w:rFonts w:eastAsia="Calibri"/>
                <w:sz w:val="22"/>
                <w:szCs w:val="22"/>
                <w:lang w:val="sr-Latn-ME"/>
              </w:rPr>
            </w:pPr>
            <w:r w:rsidRPr="00F85CA6">
              <w:rPr>
                <w:rFonts w:eastAsia="Calibri"/>
                <w:sz w:val="22"/>
                <w:szCs w:val="22"/>
                <w:lang w:val="sr-Latn-ME"/>
              </w:rPr>
              <w:t>rijetko</w:t>
            </w:r>
          </w:p>
        </w:tc>
        <w:tc>
          <w:tcPr>
            <w:tcW w:w="1063" w:type="pct"/>
          </w:tcPr>
          <w:p w14:paraId="2BC686CA" w14:textId="77777777" w:rsidR="007E29AA" w:rsidRPr="00F85CA6" w:rsidRDefault="007E29AA" w:rsidP="007E29AA">
            <w:pPr>
              <w:rPr>
                <w:rFonts w:eastAsia="Calibri"/>
                <w:sz w:val="22"/>
                <w:szCs w:val="22"/>
                <w:lang w:val="sr-Latn-ME"/>
              </w:rPr>
            </w:pPr>
            <w:r w:rsidRPr="00F85CA6">
              <w:rPr>
                <w:rFonts w:eastAsia="Calibri"/>
                <w:sz w:val="22"/>
                <w:szCs w:val="22"/>
                <w:lang w:val="sr-Latn-ME"/>
              </w:rPr>
              <w:t>povremeno</w:t>
            </w:r>
          </w:p>
        </w:tc>
        <w:tc>
          <w:tcPr>
            <w:tcW w:w="1063" w:type="pct"/>
          </w:tcPr>
          <w:p w14:paraId="7A2DBF5B" w14:textId="77777777" w:rsidR="007E29AA" w:rsidRPr="00F85CA6" w:rsidRDefault="007E29AA" w:rsidP="007E29AA">
            <w:pPr>
              <w:rPr>
                <w:rFonts w:eastAsia="Calibri"/>
                <w:sz w:val="22"/>
                <w:szCs w:val="22"/>
                <w:lang w:val="sr-Latn-ME"/>
              </w:rPr>
            </w:pPr>
            <w:r w:rsidRPr="00F85CA6">
              <w:rPr>
                <w:rFonts w:eastAsia="Calibri"/>
                <w:sz w:val="22"/>
                <w:szCs w:val="22"/>
                <w:lang w:val="sr-Latn-ME"/>
              </w:rPr>
              <w:t>povremeno</w:t>
            </w:r>
          </w:p>
        </w:tc>
      </w:tr>
      <w:tr w:rsidR="007E29AA" w:rsidRPr="00F85CA6" w14:paraId="704C3D79" w14:textId="77777777" w:rsidTr="001239C3">
        <w:trPr>
          <w:trHeight w:val="20"/>
          <w:jc w:val="center"/>
        </w:trPr>
        <w:tc>
          <w:tcPr>
            <w:tcW w:w="1647" w:type="pct"/>
          </w:tcPr>
          <w:p w14:paraId="1DF23DEF" w14:textId="77777777" w:rsidR="007E29AA" w:rsidRPr="00F85CA6" w:rsidRDefault="007E29AA" w:rsidP="007E29AA">
            <w:pPr>
              <w:ind w:left="196"/>
              <w:rPr>
                <w:rFonts w:eastAsia="Calibri"/>
                <w:sz w:val="22"/>
                <w:szCs w:val="22"/>
                <w:lang w:val="sr-Latn-ME"/>
              </w:rPr>
            </w:pPr>
            <w:r w:rsidRPr="00F85CA6">
              <w:rPr>
                <w:rFonts w:eastAsia="Calibri"/>
                <w:sz w:val="22"/>
                <w:szCs w:val="22"/>
                <w:lang w:val="sr-Latn-ME"/>
              </w:rPr>
              <w:t xml:space="preserve">Gastroezofagitis </w:t>
            </w:r>
          </w:p>
        </w:tc>
        <w:tc>
          <w:tcPr>
            <w:tcW w:w="1227" w:type="pct"/>
          </w:tcPr>
          <w:p w14:paraId="713EB012" w14:textId="346E85FB" w:rsidR="007E29AA" w:rsidRPr="00F85CA6" w:rsidRDefault="007E29AA" w:rsidP="007E29AA">
            <w:pPr>
              <w:rPr>
                <w:rFonts w:eastAsia="Calibri"/>
                <w:sz w:val="22"/>
                <w:szCs w:val="22"/>
                <w:lang w:val="sr-Latn-ME"/>
              </w:rPr>
            </w:pPr>
            <w:r w:rsidRPr="00F85CA6">
              <w:rPr>
                <w:rFonts w:eastAsia="Calibri"/>
                <w:sz w:val="22"/>
                <w:szCs w:val="22"/>
                <w:lang w:val="sr-Latn-ME"/>
              </w:rPr>
              <w:t>rijetko</w:t>
            </w:r>
          </w:p>
        </w:tc>
        <w:tc>
          <w:tcPr>
            <w:tcW w:w="1063" w:type="pct"/>
          </w:tcPr>
          <w:p w14:paraId="0CF58FDD" w14:textId="77777777" w:rsidR="007E29AA" w:rsidRPr="00F85CA6" w:rsidRDefault="007E29AA" w:rsidP="007E29AA">
            <w:pPr>
              <w:rPr>
                <w:rFonts w:eastAsia="Calibri"/>
                <w:sz w:val="22"/>
                <w:szCs w:val="22"/>
                <w:lang w:val="sr-Latn-ME"/>
              </w:rPr>
            </w:pPr>
            <w:r w:rsidRPr="00F85CA6">
              <w:rPr>
                <w:rFonts w:eastAsia="Calibri"/>
                <w:sz w:val="22"/>
                <w:szCs w:val="22"/>
                <w:lang w:val="sr-Latn-ME"/>
              </w:rPr>
              <w:t>povremeno</w:t>
            </w:r>
          </w:p>
        </w:tc>
        <w:tc>
          <w:tcPr>
            <w:tcW w:w="1063" w:type="pct"/>
          </w:tcPr>
          <w:p w14:paraId="439CC55C" w14:textId="77777777" w:rsidR="007E29AA" w:rsidRPr="00F85CA6" w:rsidRDefault="007E29AA" w:rsidP="007E29AA">
            <w:pPr>
              <w:rPr>
                <w:rFonts w:eastAsia="Calibri"/>
                <w:sz w:val="22"/>
                <w:szCs w:val="22"/>
                <w:lang w:val="sr-Latn-ME"/>
              </w:rPr>
            </w:pPr>
            <w:r w:rsidRPr="00F85CA6">
              <w:rPr>
                <w:rFonts w:eastAsia="Calibri"/>
                <w:sz w:val="22"/>
                <w:szCs w:val="22"/>
                <w:lang w:val="sr-Latn-ME"/>
              </w:rPr>
              <w:t>povremeno</w:t>
            </w:r>
          </w:p>
        </w:tc>
      </w:tr>
      <w:tr w:rsidR="007E29AA" w:rsidRPr="00F85CA6" w14:paraId="1F4200BB" w14:textId="77777777" w:rsidTr="001239C3">
        <w:trPr>
          <w:trHeight w:val="20"/>
          <w:jc w:val="center"/>
        </w:trPr>
        <w:tc>
          <w:tcPr>
            <w:tcW w:w="1647" w:type="pct"/>
          </w:tcPr>
          <w:p w14:paraId="37DF501B" w14:textId="77777777" w:rsidR="007E29AA" w:rsidRPr="00F85CA6" w:rsidRDefault="007E29AA" w:rsidP="007E29AA">
            <w:pPr>
              <w:ind w:left="196"/>
              <w:rPr>
                <w:rFonts w:eastAsia="Calibri"/>
                <w:sz w:val="22"/>
                <w:szCs w:val="22"/>
                <w:lang w:val="sr-Latn-ME"/>
              </w:rPr>
            </w:pPr>
            <w:r w:rsidRPr="00F85CA6">
              <w:rPr>
                <w:rFonts w:eastAsia="Calibri"/>
                <w:sz w:val="22"/>
                <w:szCs w:val="22"/>
                <w:lang w:val="sr-Latn-ME"/>
              </w:rPr>
              <w:t xml:space="preserve">Gastroezofagealna refluksna bolest </w:t>
            </w:r>
          </w:p>
        </w:tc>
        <w:tc>
          <w:tcPr>
            <w:tcW w:w="1227" w:type="pct"/>
          </w:tcPr>
          <w:p w14:paraId="0D10ED1C" w14:textId="76CDEDD1" w:rsidR="007E29AA" w:rsidRPr="00F85CA6" w:rsidRDefault="007E29AA" w:rsidP="007E29AA">
            <w:pPr>
              <w:rPr>
                <w:rFonts w:eastAsia="Calibri"/>
                <w:sz w:val="22"/>
                <w:szCs w:val="22"/>
                <w:lang w:val="sr-Latn-ME"/>
              </w:rPr>
            </w:pPr>
            <w:r w:rsidRPr="00F85CA6">
              <w:rPr>
                <w:rFonts w:eastAsia="Calibri"/>
                <w:sz w:val="22"/>
                <w:szCs w:val="22"/>
                <w:lang w:val="sr-Latn-ME"/>
              </w:rPr>
              <w:t>rijetko</w:t>
            </w:r>
          </w:p>
        </w:tc>
        <w:tc>
          <w:tcPr>
            <w:tcW w:w="1063" w:type="pct"/>
          </w:tcPr>
          <w:p w14:paraId="5D6501B8" w14:textId="77777777" w:rsidR="007E29AA" w:rsidRPr="00F85CA6" w:rsidRDefault="007E29AA" w:rsidP="007E29AA">
            <w:pPr>
              <w:rPr>
                <w:rFonts w:eastAsia="Calibri"/>
                <w:sz w:val="22"/>
                <w:szCs w:val="22"/>
                <w:lang w:val="sr-Latn-ME"/>
              </w:rPr>
            </w:pPr>
            <w:r w:rsidRPr="00F85CA6">
              <w:rPr>
                <w:rFonts w:eastAsia="Calibri"/>
                <w:sz w:val="22"/>
                <w:szCs w:val="22"/>
                <w:lang w:val="sr-Latn-ME"/>
              </w:rPr>
              <w:t>povremeno</w:t>
            </w:r>
          </w:p>
        </w:tc>
        <w:tc>
          <w:tcPr>
            <w:tcW w:w="1063" w:type="pct"/>
          </w:tcPr>
          <w:p w14:paraId="06FFD2AE" w14:textId="77777777" w:rsidR="007E29AA" w:rsidRPr="00F85CA6" w:rsidRDefault="007E29AA" w:rsidP="007E29AA">
            <w:pPr>
              <w:rPr>
                <w:rFonts w:eastAsia="Calibri"/>
                <w:sz w:val="22"/>
                <w:szCs w:val="22"/>
                <w:lang w:val="sr-Latn-ME"/>
              </w:rPr>
            </w:pPr>
            <w:r w:rsidRPr="00F85CA6">
              <w:rPr>
                <w:rFonts w:eastAsia="Calibri"/>
                <w:sz w:val="22"/>
                <w:szCs w:val="22"/>
                <w:lang w:val="sr-Latn-ME"/>
              </w:rPr>
              <w:t>povremeno</w:t>
            </w:r>
          </w:p>
        </w:tc>
      </w:tr>
      <w:tr w:rsidR="007E29AA" w:rsidRPr="00F85CA6" w14:paraId="1C50FCDF" w14:textId="77777777" w:rsidTr="001239C3">
        <w:trPr>
          <w:trHeight w:val="20"/>
          <w:jc w:val="center"/>
        </w:trPr>
        <w:tc>
          <w:tcPr>
            <w:tcW w:w="1647" w:type="pct"/>
          </w:tcPr>
          <w:p w14:paraId="4222BD28" w14:textId="77777777" w:rsidR="007E29AA" w:rsidRPr="00F85CA6" w:rsidRDefault="007E29AA" w:rsidP="007E29AA">
            <w:pPr>
              <w:ind w:left="196"/>
              <w:rPr>
                <w:rFonts w:eastAsia="Calibri"/>
                <w:sz w:val="22"/>
                <w:szCs w:val="22"/>
                <w:lang w:val="sr-Latn-ME"/>
              </w:rPr>
            </w:pPr>
            <w:r w:rsidRPr="00F85CA6">
              <w:rPr>
                <w:rFonts w:eastAsia="Calibri"/>
                <w:sz w:val="22"/>
                <w:szCs w:val="22"/>
                <w:lang w:val="sr-Latn-ME"/>
              </w:rPr>
              <w:t xml:space="preserve">Povraćanje </w:t>
            </w:r>
          </w:p>
        </w:tc>
        <w:tc>
          <w:tcPr>
            <w:tcW w:w="1227" w:type="pct"/>
          </w:tcPr>
          <w:p w14:paraId="49BF7C5A" w14:textId="77777777" w:rsidR="007E29AA" w:rsidRPr="00F85CA6" w:rsidRDefault="007E29AA" w:rsidP="007E29AA">
            <w:pPr>
              <w:rPr>
                <w:rFonts w:eastAsia="Calibri"/>
                <w:sz w:val="22"/>
                <w:szCs w:val="22"/>
                <w:lang w:val="sr-Latn-ME"/>
              </w:rPr>
            </w:pPr>
            <w:r w:rsidRPr="00F85CA6">
              <w:rPr>
                <w:rFonts w:eastAsia="Calibri"/>
                <w:sz w:val="22"/>
                <w:szCs w:val="22"/>
                <w:lang w:val="sr-Latn-ME"/>
              </w:rPr>
              <w:t>povremeno</w:t>
            </w:r>
          </w:p>
        </w:tc>
        <w:tc>
          <w:tcPr>
            <w:tcW w:w="1063" w:type="pct"/>
          </w:tcPr>
          <w:p w14:paraId="521253D9" w14:textId="77777777" w:rsidR="007E29AA" w:rsidRPr="00F85CA6" w:rsidRDefault="007E29AA" w:rsidP="007E29AA">
            <w:pPr>
              <w:rPr>
                <w:rFonts w:eastAsia="Calibri"/>
                <w:sz w:val="22"/>
                <w:szCs w:val="22"/>
                <w:lang w:val="sr-Latn-ME"/>
              </w:rPr>
            </w:pPr>
            <w:r w:rsidRPr="00F85CA6">
              <w:rPr>
                <w:rFonts w:eastAsia="Calibri"/>
                <w:sz w:val="22"/>
                <w:szCs w:val="22"/>
                <w:lang w:val="sr-Latn-ME"/>
              </w:rPr>
              <w:t>povremeno</w:t>
            </w:r>
          </w:p>
        </w:tc>
        <w:tc>
          <w:tcPr>
            <w:tcW w:w="1063" w:type="pct"/>
          </w:tcPr>
          <w:p w14:paraId="24278CCB" w14:textId="77777777" w:rsidR="007E29AA" w:rsidRPr="00F85CA6" w:rsidRDefault="007E29AA" w:rsidP="007E29AA">
            <w:pPr>
              <w:rPr>
                <w:rFonts w:eastAsia="Calibri"/>
                <w:sz w:val="22"/>
                <w:szCs w:val="22"/>
                <w:lang w:val="sr-Latn-ME"/>
              </w:rPr>
            </w:pPr>
            <w:r w:rsidRPr="00F85CA6">
              <w:rPr>
                <w:rFonts w:eastAsia="Calibri"/>
                <w:sz w:val="22"/>
                <w:szCs w:val="22"/>
                <w:lang w:val="sr-Latn-ME"/>
              </w:rPr>
              <w:t>povremeno</w:t>
            </w:r>
          </w:p>
        </w:tc>
      </w:tr>
      <w:tr w:rsidR="007E29AA" w:rsidRPr="00F85CA6" w14:paraId="7F5A24B6" w14:textId="77777777" w:rsidTr="001239C3">
        <w:trPr>
          <w:trHeight w:val="20"/>
          <w:jc w:val="center"/>
        </w:trPr>
        <w:tc>
          <w:tcPr>
            <w:tcW w:w="1647" w:type="pct"/>
          </w:tcPr>
          <w:p w14:paraId="6A01C888" w14:textId="77777777" w:rsidR="007E29AA" w:rsidRPr="00F85CA6" w:rsidRDefault="007E29AA" w:rsidP="007E29AA">
            <w:pPr>
              <w:ind w:left="196"/>
              <w:rPr>
                <w:rFonts w:eastAsia="Calibri"/>
                <w:sz w:val="22"/>
                <w:szCs w:val="22"/>
                <w:lang w:val="sr-Latn-ME"/>
              </w:rPr>
            </w:pPr>
            <w:r w:rsidRPr="00F85CA6">
              <w:rPr>
                <w:rFonts w:eastAsia="Calibri"/>
                <w:sz w:val="22"/>
                <w:szCs w:val="22"/>
                <w:lang w:val="sr-Latn-ME"/>
              </w:rPr>
              <w:t>Disfagija</w:t>
            </w:r>
          </w:p>
        </w:tc>
        <w:tc>
          <w:tcPr>
            <w:tcW w:w="1227" w:type="pct"/>
          </w:tcPr>
          <w:p w14:paraId="6176FB38" w14:textId="2EA3FDE5" w:rsidR="007E29AA" w:rsidRPr="00F85CA6" w:rsidRDefault="007E29AA" w:rsidP="007E29AA">
            <w:pPr>
              <w:rPr>
                <w:rFonts w:eastAsia="Calibri"/>
                <w:sz w:val="22"/>
                <w:szCs w:val="22"/>
                <w:lang w:val="sr-Latn-ME"/>
              </w:rPr>
            </w:pPr>
            <w:r w:rsidRPr="00F85CA6">
              <w:rPr>
                <w:rFonts w:eastAsia="Calibri"/>
                <w:sz w:val="22"/>
                <w:szCs w:val="22"/>
                <w:lang w:val="sr-Latn-ME"/>
              </w:rPr>
              <w:t>rijetko</w:t>
            </w:r>
          </w:p>
        </w:tc>
        <w:tc>
          <w:tcPr>
            <w:tcW w:w="1063" w:type="pct"/>
          </w:tcPr>
          <w:p w14:paraId="2C90902D" w14:textId="77777777" w:rsidR="007E29AA" w:rsidRPr="00F85CA6" w:rsidRDefault="007E29AA" w:rsidP="007E29AA">
            <w:pPr>
              <w:rPr>
                <w:rFonts w:eastAsia="Calibri"/>
                <w:sz w:val="22"/>
                <w:szCs w:val="22"/>
                <w:lang w:val="sr-Latn-ME"/>
              </w:rPr>
            </w:pPr>
            <w:r w:rsidRPr="00F85CA6">
              <w:rPr>
                <w:rFonts w:eastAsia="Calibri"/>
                <w:sz w:val="22"/>
                <w:szCs w:val="22"/>
                <w:lang w:val="sr-Latn-ME"/>
              </w:rPr>
              <w:t>povremeno</w:t>
            </w:r>
          </w:p>
        </w:tc>
        <w:tc>
          <w:tcPr>
            <w:tcW w:w="1063" w:type="pct"/>
          </w:tcPr>
          <w:p w14:paraId="40F7D95A" w14:textId="6D8DBA8D" w:rsidR="007E29AA" w:rsidRPr="00F85CA6" w:rsidRDefault="007E29AA" w:rsidP="007E29AA">
            <w:pPr>
              <w:rPr>
                <w:rFonts w:eastAsia="Calibri"/>
                <w:sz w:val="22"/>
                <w:szCs w:val="22"/>
                <w:lang w:val="sr-Latn-ME"/>
              </w:rPr>
            </w:pPr>
            <w:r w:rsidRPr="00F85CA6">
              <w:rPr>
                <w:rFonts w:eastAsia="Calibri"/>
                <w:sz w:val="22"/>
                <w:szCs w:val="22"/>
                <w:lang w:val="sr-Latn-ME"/>
              </w:rPr>
              <w:t>rijetko</w:t>
            </w:r>
          </w:p>
        </w:tc>
      </w:tr>
      <w:tr w:rsidR="007E29AA" w:rsidRPr="00F85CA6" w14:paraId="5AF43C77" w14:textId="77777777" w:rsidTr="001239C3">
        <w:trPr>
          <w:trHeight w:val="20"/>
          <w:jc w:val="center"/>
        </w:trPr>
        <w:tc>
          <w:tcPr>
            <w:tcW w:w="5000" w:type="pct"/>
            <w:gridSpan w:val="4"/>
          </w:tcPr>
          <w:p w14:paraId="403F6436" w14:textId="77777777" w:rsidR="007E29AA" w:rsidRPr="00F85CA6" w:rsidRDefault="007E29AA" w:rsidP="007E29AA">
            <w:pPr>
              <w:rPr>
                <w:rFonts w:eastAsia="Calibri"/>
                <w:sz w:val="22"/>
                <w:szCs w:val="22"/>
                <w:lang w:val="sr-Latn-ME"/>
              </w:rPr>
            </w:pPr>
            <w:r w:rsidRPr="00F85CA6">
              <w:rPr>
                <w:rFonts w:eastAsia="Calibri"/>
                <w:sz w:val="22"/>
                <w:szCs w:val="22"/>
                <w:lang w:val="sr-Latn-ME"/>
              </w:rPr>
              <w:t>Hepatobilijarni poremećaji</w:t>
            </w:r>
          </w:p>
        </w:tc>
      </w:tr>
      <w:tr w:rsidR="007E29AA" w:rsidRPr="00F85CA6" w14:paraId="6F18DD0C" w14:textId="77777777" w:rsidTr="001239C3">
        <w:trPr>
          <w:trHeight w:val="20"/>
          <w:jc w:val="center"/>
        </w:trPr>
        <w:tc>
          <w:tcPr>
            <w:tcW w:w="1647" w:type="pct"/>
          </w:tcPr>
          <w:p w14:paraId="66C07AB1" w14:textId="61150A6F" w:rsidR="007E29AA" w:rsidRPr="00F85CA6" w:rsidRDefault="007E29AA" w:rsidP="007E29AA">
            <w:pPr>
              <w:ind w:left="196"/>
              <w:rPr>
                <w:rFonts w:eastAsia="Calibri"/>
                <w:sz w:val="22"/>
                <w:szCs w:val="22"/>
                <w:lang w:val="sr-Latn-ME"/>
              </w:rPr>
            </w:pPr>
            <w:r w:rsidRPr="00F85CA6">
              <w:rPr>
                <w:rFonts w:eastAsia="Calibri"/>
                <w:sz w:val="22"/>
                <w:szCs w:val="22"/>
                <w:lang w:val="sr-Latn-ME"/>
              </w:rPr>
              <w:t>Poremećena funkcija jetre/izm</w:t>
            </w:r>
            <w:r w:rsidR="00523AA3" w:rsidRPr="00F85CA6">
              <w:rPr>
                <w:rFonts w:eastAsia="Calibri"/>
                <w:sz w:val="22"/>
                <w:szCs w:val="22"/>
                <w:lang w:val="sr-Latn-ME"/>
              </w:rPr>
              <w:t>ij</w:t>
            </w:r>
            <w:r w:rsidRPr="00F85CA6">
              <w:rPr>
                <w:rFonts w:eastAsia="Calibri"/>
                <w:sz w:val="22"/>
                <w:szCs w:val="22"/>
                <w:lang w:val="sr-Latn-ME"/>
              </w:rPr>
              <w:t>enjeni testovi funkcije jetre</w:t>
            </w:r>
          </w:p>
        </w:tc>
        <w:tc>
          <w:tcPr>
            <w:tcW w:w="1227" w:type="pct"/>
          </w:tcPr>
          <w:p w14:paraId="012FD3DD" w14:textId="77777777" w:rsidR="007E29AA" w:rsidRPr="00F85CA6" w:rsidRDefault="007E29AA" w:rsidP="007E29AA">
            <w:pPr>
              <w:rPr>
                <w:rFonts w:eastAsia="Calibri"/>
                <w:sz w:val="22"/>
                <w:szCs w:val="22"/>
                <w:lang w:val="sr-Latn-ME"/>
              </w:rPr>
            </w:pPr>
            <w:r w:rsidRPr="00F85CA6">
              <w:rPr>
                <w:rFonts w:eastAsia="Calibri"/>
                <w:sz w:val="22"/>
                <w:szCs w:val="22"/>
                <w:lang w:val="sr-Latn-ME"/>
              </w:rPr>
              <w:t>često</w:t>
            </w:r>
          </w:p>
        </w:tc>
        <w:tc>
          <w:tcPr>
            <w:tcW w:w="1063" w:type="pct"/>
          </w:tcPr>
          <w:p w14:paraId="22DF668E" w14:textId="77777777" w:rsidR="007E29AA" w:rsidRPr="00F85CA6" w:rsidRDefault="007E29AA" w:rsidP="007E29AA">
            <w:pPr>
              <w:rPr>
                <w:rFonts w:eastAsia="Calibri"/>
                <w:sz w:val="22"/>
                <w:szCs w:val="22"/>
                <w:lang w:val="sr-Latn-ME"/>
              </w:rPr>
            </w:pPr>
            <w:r w:rsidRPr="00F85CA6">
              <w:rPr>
                <w:rFonts w:eastAsia="Calibri"/>
                <w:sz w:val="22"/>
                <w:szCs w:val="22"/>
                <w:lang w:val="sr-Latn-ME"/>
              </w:rPr>
              <w:t>povremeno</w:t>
            </w:r>
          </w:p>
        </w:tc>
        <w:tc>
          <w:tcPr>
            <w:tcW w:w="1063" w:type="pct"/>
          </w:tcPr>
          <w:p w14:paraId="6F6E21F0" w14:textId="77777777" w:rsidR="007E29AA" w:rsidRPr="00F85CA6" w:rsidRDefault="007E29AA" w:rsidP="007E29AA">
            <w:pPr>
              <w:rPr>
                <w:rFonts w:eastAsia="Calibri"/>
                <w:sz w:val="22"/>
                <w:szCs w:val="22"/>
                <w:lang w:val="sr-Latn-ME"/>
              </w:rPr>
            </w:pPr>
            <w:r w:rsidRPr="00F85CA6">
              <w:rPr>
                <w:rFonts w:eastAsia="Calibri"/>
                <w:sz w:val="22"/>
                <w:szCs w:val="22"/>
                <w:lang w:val="sr-Latn-ME"/>
              </w:rPr>
              <w:t>povremeno</w:t>
            </w:r>
          </w:p>
        </w:tc>
      </w:tr>
      <w:tr w:rsidR="007E29AA" w:rsidRPr="00F85CA6" w14:paraId="7915F81C" w14:textId="77777777" w:rsidTr="001239C3">
        <w:trPr>
          <w:trHeight w:val="20"/>
          <w:jc w:val="center"/>
        </w:trPr>
        <w:tc>
          <w:tcPr>
            <w:tcW w:w="1647" w:type="pct"/>
          </w:tcPr>
          <w:p w14:paraId="27E50A53" w14:textId="2C5050F5" w:rsidR="007E29AA" w:rsidRPr="00F85CA6" w:rsidRDefault="007E29AA" w:rsidP="007E29AA">
            <w:pPr>
              <w:ind w:left="196"/>
              <w:rPr>
                <w:rFonts w:eastAsia="Calibri"/>
                <w:sz w:val="22"/>
                <w:szCs w:val="22"/>
                <w:lang w:val="sr-Latn-ME"/>
              </w:rPr>
            </w:pPr>
            <w:r w:rsidRPr="00F85CA6">
              <w:rPr>
                <w:rFonts w:eastAsia="Calibri"/>
                <w:sz w:val="22"/>
                <w:szCs w:val="22"/>
                <w:lang w:val="sr-Latn-ME"/>
              </w:rPr>
              <w:t>Povećane vrijednosti alanin aminotransferaze</w:t>
            </w:r>
          </w:p>
        </w:tc>
        <w:tc>
          <w:tcPr>
            <w:tcW w:w="1227" w:type="pct"/>
          </w:tcPr>
          <w:p w14:paraId="18C9DA76" w14:textId="77777777" w:rsidR="007E29AA" w:rsidRPr="00F85CA6" w:rsidRDefault="007E29AA" w:rsidP="007E29AA">
            <w:pPr>
              <w:rPr>
                <w:rFonts w:eastAsia="Calibri"/>
                <w:sz w:val="22"/>
                <w:szCs w:val="22"/>
                <w:lang w:val="sr-Latn-ME"/>
              </w:rPr>
            </w:pPr>
            <w:r w:rsidRPr="00F85CA6">
              <w:rPr>
                <w:rFonts w:eastAsia="Calibri"/>
                <w:sz w:val="22"/>
                <w:szCs w:val="22"/>
                <w:lang w:val="sr-Latn-ME"/>
              </w:rPr>
              <w:t>povremeno</w:t>
            </w:r>
          </w:p>
        </w:tc>
        <w:tc>
          <w:tcPr>
            <w:tcW w:w="1063" w:type="pct"/>
          </w:tcPr>
          <w:p w14:paraId="12CE9F36" w14:textId="77777777" w:rsidR="007E29AA" w:rsidRPr="00F85CA6" w:rsidRDefault="007E29AA" w:rsidP="007E29AA">
            <w:pPr>
              <w:rPr>
                <w:rFonts w:eastAsia="Calibri"/>
                <w:sz w:val="22"/>
                <w:szCs w:val="22"/>
                <w:lang w:val="sr-Latn-ME"/>
              </w:rPr>
            </w:pPr>
            <w:r w:rsidRPr="00F85CA6">
              <w:rPr>
                <w:rFonts w:eastAsia="Calibri"/>
                <w:sz w:val="22"/>
                <w:szCs w:val="22"/>
                <w:lang w:val="sr-Latn-ME"/>
              </w:rPr>
              <w:t>povremeno</w:t>
            </w:r>
          </w:p>
        </w:tc>
        <w:tc>
          <w:tcPr>
            <w:tcW w:w="1063" w:type="pct"/>
          </w:tcPr>
          <w:p w14:paraId="1BBE92E4" w14:textId="77777777" w:rsidR="007E29AA" w:rsidRPr="00F85CA6" w:rsidRDefault="007E29AA" w:rsidP="007E29AA">
            <w:pPr>
              <w:rPr>
                <w:rFonts w:eastAsia="Calibri"/>
                <w:sz w:val="22"/>
                <w:szCs w:val="22"/>
                <w:lang w:val="sr-Latn-ME"/>
              </w:rPr>
            </w:pPr>
            <w:r w:rsidRPr="00F85CA6">
              <w:rPr>
                <w:rFonts w:eastAsia="Calibri"/>
                <w:sz w:val="22"/>
                <w:szCs w:val="22"/>
                <w:lang w:val="sr-Latn-ME"/>
              </w:rPr>
              <w:t>povremeno</w:t>
            </w:r>
          </w:p>
        </w:tc>
      </w:tr>
      <w:tr w:rsidR="007E29AA" w:rsidRPr="00F85CA6" w14:paraId="6FD6C2AD" w14:textId="77777777" w:rsidTr="001239C3">
        <w:trPr>
          <w:trHeight w:val="20"/>
          <w:jc w:val="center"/>
        </w:trPr>
        <w:tc>
          <w:tcPr>
            <w:tcW w:w="1647" w:type="pct"/>
          </w:tcPr>
          <w:p w14:paraId="5ADC4EB8" w14:textId="1AB67249" w:rsidR="007E29AA" w:rsidRPr="00F85CA6" w:rsidRDefault="007E29AA" w:rsidP="007E29AA">
            <w:pPr>
              <w:ind w:left="196"/>
              <w:rPr>
                <w:rFonts w:eastAsia="Calibri"/>
                <w:sz w:val="22"/>
                <w:szCs w:val="22"/>
                <w:lang w:val="sr-Latn-ME"/>
              </w:rPr>
            </w:pPr>
            <w:r w:rsidRPr="00F85CA6">
              <w:rPr>
                <w:rFonts w:eastAsia="Calibri"/>
                <w:sz w:val="22"/>
                <w:szCs w:val="22"/>
                <w:lang w:val="sr-Latn-ME"/>
              </w:rPr>
              <w:t>Povećane vrijednosti aspartat aminotransferaze</w:t>
            </w:r>
          </w:p>
        </w:tc>
        <w:tc>
          <w:tcPr>
            <w:tcW w:w="1227" w:type="pct"/>
          </w:tcPr>
          <w:p w14:paraId="50C4CF1F" w14:textId="77777777" w:rsidR="007E29AA" w:rsidRPr="00F85CA6" w:rsidRDefault="007E29AA" w:rsidP="007E29AA">
            <w:pPr>
              <w:rPr>
                <w:rFonts w:eastAsia="Calibri"/>
                <w:sz w:val="22"/>
                <w:szCs w:val="22"/>
                <w:lang w:val="sr-Latn-ME"/>
              </w:rPr>
            </w:pPr>
            <w:r w:rsidRPr="00F85CA6">
              <w:rPr>
                <w:rFonts w:eastAsia="Calibri"/>
                <w:sz w:val="22"/>
                <w:szCs w:val="22"/>
                <w:lang w:val="sr-Latn-ME"/>
              </w:rPr>
              <w:t>povremeno</w:t>
            </w:r>
          </w:p>
        </w:tc>
        <w:tc>
          <w:tcPr>
            <w:tcW w:w="1063" w:type="pct"/>
          </w:tcPr>
          <w:p w14:paraId="294AAFC8" w14:textId="77777777" w:rsidR="007E29AA" w:rsidRPr="00F85CA6" w:rsidRDefault="007E29AA" w:rsidP="007E29AA">
            <w:pPr>
              <w:rPr>
                <w:rFonts w:eastAsia="Calibri"/>
                <w:sz w:val="22"/>
                <w:szCs w:val="22"/>
                <w:lang w:val="sr-Latn-ME"/>
              </w:rPr>
            </w:pPr>
            <w:r w:rsidRPr="00F85CA6">
              <w:rPr>
                <w:rFonts w:eastAsia="Calibri"/>
                <w:sz w:val="22"/>
                <w:szCs w:val="22"/>
                <w:lang w:val="sr-Latn-ME"/>
              </w:rPr>
              <w:t>povremeno</w:t>
            </w:r>
          </w:p>
        </w:tc>
        <w:tc>
          <w:tcPr>
            <w:tcW w:w="1063" w:type="pct"/>
          </w:tcPr>
          <w:p w14:paraId="31464521" w14:textId="77777777" w:rsidR="007E29AA" w:rsidRPr="00F85CA6" w:rsidRDefault="007E29AA" w:rsidP="007E29AA">
            <w:pPr>
              <w:rPr>
                <w:rFonts w:eastAsia="Calibri"/>
                <w:sz w:val="22"/>
                <w:szCs w:val="22"/>
                <w:lang w:val="sr-Latn-ME"/>
              </w:rPr>
            </w:pPr>
            <w:r w:rsidRPr="00F85CA6">
              <w:rPr>
                <w:rFonts w:eastAsia="Calibri"/>
                <w:sz w:val="22"/>
                <w:szCs w:val="22"/>
                <w:lang w:val="sr-Latn-ME"/>
              </w:rPr>
              <w:t>povremeno</w:t>
            </w:r>
          </w:p>
        </w:tc>
      </w:tr>
      <w:tr w:rsidR="007E29AA" w:rsidRPr="00F85CA6" w14:paraId="6D6D2F1F" w14:textId="77777777" w:rsidTr="001239C3">
        <w:trPr>
          <w:trHeight w:val="20"/>
          <w:jc w:val="center"/>
        </w:trPr>
        <w:tc>
          <w:tcPr>
            <w:tcW w:w="1647" w:type="pct"/>
          </w:tcPr>
          <w:p w14:paraId="1CF74FD3" w14:textId="30646A4A" w:rsidR="007E29AA" w:rsidRPr="00F85CA6" w:rsidRDefault="007E29AA" w:rsidP="007E29AA">
            <w:pPr>
              <w:ind w:left="196"/>
              <w:rPr>
                <w:rFonts w:eastAsia="Calibri"/>
                <w:sz w:val="22"/>
                <w:szCs w:val="22"/>
                <w:lang w:val="sr-Latn-ME"/>
              </w:rPr>
            </w:pPr>
            <w:r w:rsidRPr="00F85CA6">
              <w:rPr>
                <w:rFonts w:eastAsia="Calibri"/>
                <w:sz w:val="22"/>
                <w:szCs w:val="22"/>
                <w:lang w:val="sr-Latn-ME"/>
              </w:rPr>
              <w:t>Povećene vrijednosti enzima jetre</w:t>
            </w:r>
          </w:p>
        </w:tc>
        <w:tc>
          <w:tcPr>
            <w:tcW w:w="1227" w:type="pct"/>
          </w:tcPr>
          <w:p w14:paraId="56BE178F" w14:textId="77777777" w:rsidR="007E29AA" w:rsidRPr="00F85CA6" w:rsidRDefault="007E29AA" w:rsidP="007E29AA">
            <w:pPr>
              <w:rPr>
                <w:rFonts w:eastAsia="Calibri"/>
                <w:sz w:val="22"/>
                <w:szCs w:val="22"/>
                <w:lang w:val="sr-Latn-ME"/>
              </w:rPr>
            </w:pPr>
            <w:r w:rsidRPr="00F85CA6">
              <w:rPr>
                <w:rFonts w:eastAsia="Calibri"/>
                <w:sz w:val="22"/>
                <w:szCs w:val="22"/>
                <w:lang w:val="sr-Latn-ME"/>
              </w:rPr>
              <w:t>povremeno</w:t>
            </w:r>
          </w:p>
        </w:tc>
        <w:tc>
          <w:tcPr>
            <w:tcW w:w="1063" w:type="pct"/>
          </w:tcPr>
          <w:p w14:paraId="559AB4D8" w14:textId="738C53B8" w:rsidR="007E29AA" w:rsidRPr="00F85CA6" w:rsidRDefault="007E29AA" w:rsidP="007E29AA">
            <w:pPr>
              <w:rPr>
                <w:rFonts w:eastAsia="Calibri"/>
                <w:sz w:val="22"/>
                <w:szCs w:val="22"/>
                <w:lang w:val="sr-Latn-ME"/>
              </w:rPr>
            </w:pPr>
            <w:r w:rsidRPr="00F85CA6">
              <w:rPr>
                <w:rFonts w:eastAsia="Calibri"/>
                <w:sz w:val="22"/>
                <w:szCs w:val="22"/>
                <w:lang w:val="sr-Latn-ME"/>
              </w:rPr>
              <w:t>rijetko</w:t>
            </w:r>
          </w:p>
        </w:tc>
        <w:tc>
          <w:tcPr>
            <w:tcW w:w="1063" w:type="pct"/>
          </w:tcPr>
          <w:p w14:paraId="2B18B1E4" w14:textId="77777777" w:rsidR="007E29AA" w:rsidRPr="00F85CA6" w:rsidRDefault="007E29AA" w:rsidP="007E29AA">
            <w:pPr>
              <w:rPr>
                <w:rFonts w:eastAsia="Calibri"/>
                <w:sz w:val="22"/>
                <w:szCs w:val="22"/>
                <w:lang w:val="sr-Latn-ME"/>
              </w:rPr>
            </w:pPr>
            <w:r w:rsidRPr="00F85CA6">
              <w:rPr>
                <w:rFonts w:eastAsia="Calibri"/>
                <w:sz w:val="22"/>
                <w:szCs w:val="22"/>
                <w:lang w:val="sr-Latn-ME"/>
              </w:rPr>
              <w:t>povremeno</w:t>
            </w:r>
          </w:p>
        </w:tc>
      </w:tr>
      <w:tr w:rsidR="007E29AA" w:rsidRPr="00F85CA6" w14:paraId="03E9F8A7" w14:textId="77777777" w:rsidTr="001239C3">
        <w:trPr>
          <w:trHeight w:val="20"/>
          <w:jc w:val="center"/>
        </w:trPr>
        <w:tc>
          <w:tcPr>
            <w:tcW w:w="1647" w:type="pct"/>
          </w:tcPr>
          <w:p w14:paraId="10B5BA6A" w14:textId="77777777" w:rsidR="007E29AA" w:rsidRPr="00F85CA6" w:rsidRDefault="007E29AA" w:rsidP="007E29AA">
            <w:pPr>
              <w:ind w:left="196"/>
              <w:rPr>
                <w:rFonts w:eastAsia="Calibri"/>
                <w:sz w:val="22"/>
                <w:szCs w:val="22"/>
                <w:lang w:val="sr-Latn-ME"/>
              </w:rPr>
            </w:pPr>
            <w:r w:rsidRPr="00F85CA6">
              <w:rPr>
                <w:rFonts w:eastAsia="Calibri"/>
                <w:sz w:val="22"/>
                <w:szCs w:val="22"/>
                <w:lang w:val="sr-Latn-ME"/>
              </w:rPr>
              <w:t>Hiperbilirubinemija</w:t>
            </w:r>
          </w:p>
        </w:tc>
        <w:tc>
          <w:tcPr>
            <w:tcW w:w="1227" w:type="pct"/>
          </w:tcPr>
          <w:p w14:paraId="26BD3B9E" w14:textId="77777777" w:rsidR="007E29AA" w:rsidRPr="00F85CA6" w:rsidRDefault="007E29AA" w:rsidP="007E29AA">
            <w:pPr>
              <w:rPr>
                <w:rFonts w:eastAsia="Calibri"/>
                <w:sz w:val="22"/>
                <w:szCs w:val="22"/>
                <w:lang w:val="sr-Latn-ME"/>
              </w:rPr>
            </w:pPr>
            <w:r w:rsidRPr="00F85CA6">
              <w:rPr>
                <w:rFonts w:eastAsia="Calibri"/>
                <w:sz w:val="22"/>
                <w:szCs w:val="22"/>
                <w:lang w:val="sr-Latn-ME"/>
              </w:rPr>
              <w:t>povremeno</w:t>
            </w:r>
          </w:p>
        </w:tc>
        <w:tc>
          <w:tcPr>
            <w:tcW w:w="1063" w:type="pct"/>
          </w:tcPr>
          <w:p w14:paraId="44A4DE56" w14:textId="3CADC025" w:rsidR="007E29AA" w:rsidRPr="00F85CA6" w:rsidRDefault="007E29AA" w:rsidP="007E29AA">
            <w:pPr>
              <w:rPr>
                <w:rFonts w:eastAsia="Calibri"/>
                <w:sz w:val="22"/>
                <w:szCs w:val="22"/>
                <w:lang w:val="sr-Latn-ME"/>
              </w:rPr>
            </w:pPr>
            <w:r w:rsidRPr="00F85CA6">
              <w:rPr>
                <w:rFonts w:eastAsia="Calibri"/>
                <w:sz w:val="22"/>
                <w:szCs w:val="22"/>
                <w:lang w:val="sr-Latn-ME"/>
              </w:rPr>
              <w:t>rijetko</w:t>
            </w:r>
          </w:p>
        </w:tc>
        <w:tc>
          <w:tcPr>
            <w:tcW w:w="1063" w:type="pct"/>
          </w:tcPr>
          <w:p w14:paraId="03F25D17" w14:textId="2006C17C" w:rsidR="007E29AA" w:rsidRPr="00F85CA6" w:rsidRDefault="007E29AA" w:rsidP="00786320">
            <w:pPr>
              <w:rPr>
                <w:rFonts w:eastAsia="Calibri"/>
                <w:sz w:val="22"/>
                <w:szCs w:val="22"/>
                <w:lang w:val="sr-Latn-ME"/>
              </w:rPr>
            </w:pPr>
            <w:r w:rsidRPr="00F85CA6">
              <w:rPr>
                <w:rFonts w:eastAsia="Calibri"/>
                <w:sz w:val="22"/>
                <w:szCs w:val="22"/>
                <w:lang w:val="sr-Latn-ME"/>
              </w:rPr>
              <w:t>nepoznat</w:t>
            </w:r>
            <w:r w:rsidR="00786320" w:rsidRPr="00F85CA6">
              <w:rPr>
                <w:rFonts w:eastAsia="Calibri"/>
                <w:sz w:val="22"/>
                <w:szCs w:val="22"/>
                <w:lang w:val="sr-Latn-ME"/>
              </w:rPr>
              <w:t>o</w:t>
            </w:r>
            <w:r w:rsidRPr="00F85CA6">
              <w:rPr>
                <w:rFonts w:eastAsia="Calibri"/>
                <w:sz w:val="22"/>
                <w:szCs w:val="22"/>
                <w:lang w:val="sr-Latn-ME"/>
              </w:rPr>
              <w:t xml:space="preserve"> </w:t>
            </w:r>
          </w:p>
        </w:tc>
      </w:tr>
      <w:tr w:rsidR="007E29AA" w:rsidRPr="00F85CA6" w14:paraId="65C782C9" w14:textId="77777777" w:rsidTr="001239C3">
        <w:trPr>
          <w:trHeight w:val="20"/>
          <w:jc w:val="center"/>
        </w:trPr>
        <w:tc>
          <w:tcPr>
            <w:tcW w:w="5000" w:type="pct"/>
            <w:gridSpan w:val="4"/>
          </w:tcPr>
          <w:p w14:paraId="41F4C21C" w14:textId="77777777" w:rsidR="007E29AA" w:rsidRPr="00F85CA6" w:rsidRDefault="007E29AA" w:rsidP="007E29AA">
            <w:pPr>
              <w:rPr>
                <w:rFonts w:eastAsia="Calibri"/>
                <w:sz w:val="22"/>
                <w:szCs w:val="22"/>
                <w:lang w:val="sr-Latn-ME"/>
              </w:rPr>
            </w:pPr>
            <w:r w:rsidRPr="00F85CA6">
              <w:rPr>
                <w:rFonts w:eastAsia="Calibri"/>
                <w:sz w:val="22"/>
                <w:szCs w:val="22"/>
                <w:lang w:val="sr-Latn-ME"/>
              </w:rPr>
              <w:t>Poremećaji kože i potkožnog tkiva</w:t>
            </w:r>
          </w:p>
        </w:tc>
      </w:tr>
      <w:tr w:rsidR="007E29AA" w:rsidRPr="00F85CA6" w14:paraId="4D59FCCE" w14:textId="77777777" w:rsidTr="001239C3">
        <w:trPr>
          <w:trHeight w:val="20"/>
          <w:jc w:val="center"/>
        </w:trPr>
        <w:tc>
          <w:tcPr>
            <w:tcW w:w="1647" w:type="pct"/>
          </w:tcPr>
          <w:p w14:paraId="31F15853" w14:textId="77777777" w:rsidR="007E29AA" w:rsidRPr="00F85CA6" w:rsidRDefault="007E29AA" w:rsidP="007E29AA">
            <w:pPr>
              <w:ind w:firstLine="196"/>
              <w:rPr>
                <w:rFonts w:eastAsia="Calibri"/>
                <w:sz w:val="22"/>
                <w:szCs w:val="22"/>
                <w:lang w:val="sr-Latn-ME"/>
              </w:rPr>
            </w:pPr>
            <w:r w:rsidRPr="00F85CA6">
              <w:rPr>
                <w:rFonts w:eastAsia="Calibri"/>
                <w:sz w:val="22"/>
                <w:szCs w:val="22"/>
                <w:lang w:val="sr-Latn-ME"/>
              </w:rPr>
              <w:t>Krvarenje iz kože</w:t>
            </w:r>
          </w:p>
        </w:tc>
        <w:tc>
          <w:tcPr>
            <w:tcW w:w="1227" w:type="pct"/>
          </w:tcPr>
          <w:p w14:paraId="12D632EF" w14:textId="77777777" w:rsidR="007E29AA" w:rsidRPr="00F85CA6" w:rsidRDefault="007E29AA" w:rsidP="007E29AA">
            <w:pPr>
              <w:rPr>
                <w:rFonts w:eastAsia="Calibri"/>
                <w:sz w:val="22"/>
                <w:szCs w:val="22"/>
                <w:lang w:val="sr-Latn-ME"/>
              </w:rPr>
            </w:pPr>
            <w:r w:rsidRPr="00F85CA6">
              <w:rPr>
                <w:rFonts w:eastAsia="Calibri"/>
                <w:sz w:val="22"/>
                <w:szCs w:val="22"/>
                <w:lang w:val="sr-Latn-ME"/>
              </w:rPr>
              <w:t>povremeno</w:t>
            </w:r>
          </w:p>
        </w:tc>
        <w:tc>
          <w:tcPr>
            <w:tcW w:w="1063" w:type="pct"/>
          </w:tcPr>
          <w:p w14:paraId="3E6CB8F1" w14:textId="77777777" w:rsidR="007E29AA" w:rsidRPr="00F85CA6" w:rsidRDefault="007E29AA" w:rsidP="007E29AA">
            <w:pPr>
              <w:rPr>
                <w:rFonts w:eastAsia="Calibri"/>
                <w:sz w:val="22"/>
                <w:szCs w:val="22"/>
                <w:lang w:val="sr-Latn-ME"/>
              </w:rPr>
            </w:pPr>
            <w:r w:rsidRPr="00F85CA6">
              <w:rPr>
                <w:rFonts w:eastAsia="Calibri"/>
                <w:sz w:val="22"/>
                <w:szCs w:val="22"/>
                <w:lang w:val="sr-Latn-ME"/>
              </w:rPr>
              <w:t>često</w:t>
            </w:r>
          </w:p>
        </w:tc>
        <w:tc>
          <w:tcPr>
            <w:tcW w:w="1063" w:type="pct"/>
          </w:tcPr>
          <w:p w14:paraId="6BFFBF47" w14:textId="77777777" w:rsidR="007E29AA" w:rsidRPr="00F85CA6" w:rsidRDefault="007E29AA" w:rsidP="007E29AA">
            <w:pPr>
              <w:rPr>
                <w:rFonts w:eastAsia="Calibri"/>
                <w:sz w:val="22"/>
                <w:szCs w:val="22"/>
                <w:lang w:val="sr-Latn-ME"/>
              </w:rPr>
            </w:pPr>
            <w:r w:rsidRPr="00F85CA6">
              <w:rPr>
                <w:rFonts w:eastAsia="Calibri"/>
                <w:sz w:val="22"/>
                <w:szCs w:val="22"/>
                <w:lang w:val="sr-Latn-ME"/>
              </w:rPr>
              <w:t>često</w:t>
            </w:r>
          </w:p>
        </w:tc>
      </w:tr>
      <w:tr w:rsidR="007E29AA" w:rsidRPr="00F85CA6" w14:paraId="2776FF2C" w14:textId="77777777" w:rsidTr="001239C3">
        <w:trPr>
          <w:trHeight w:val="20"/>
          <w:jc w:val="center"/>
        </w:trPr>
        <w:tc>
          <w:tcPr>
            <w:tcW w:w="1647" w:type="pct"/>
          </w:tcPr>
          <w:p w14:paraId="104447FA" w14:textId="77777777" w:rsidR="007E29AA" w:rsidRPr="00F85CA6" w:rsidRDefault="007E29AA" w:rsidP="007E29AA">
            <w:pPr>
              <w:ind w:firstLine="196"/>
              <w:rPr>
                <w:rFonts w:eastAsia="Calibri"/>
                <w:sz w:val="22"/>
                <w:szCs w:val="22"/>
                <w:lang w:val="sr-Latn-ME"/>
              </w:rPr>
            </w:pPr>
            <w:r w:rsidRPr="00F85CA6">
              <w:rPr>
                <w:rFonts w:eastAsia="Calibri"/>
                <w:sz w:val="22"/>
                <w:szCs w:val="22"/>
                <w:lang w:val="sr-Latn-ME"/>
              </w:rPr>
              <w:t>Alopecija</w:t>
            </w:r>
          </w:p>
        </w:tc>
        <w:tc>
          <w:tcPr>
            <w:tcW w:w="1227" w:type="pct"/>
          </w:tcPr>
          <w:p w14:paraId="2689ECD5" w14:textId="3E397781" w:rsidR="007E29AA" w:rsidRPr="00F85CA6" w:rsidRDefault="007E29AA" w:rsidP="00786320">
            <w:pPr>
              <w:rPr>
                <w:rFonts w:eastAsia="Calibri"/>
                <w:sz w:val="22"/>
                <w:szCs w:val="22"/>
                <w:lang w:val="sr-Latn-ME"/>
              </w:rPr>
            </w:pPr>
            <w:r w:rsidRPr="00F85CA6">
              <w:rPr>
                <w:rFonts w:eastAsia="Calibri"/>
                <w:sz w:val="22"/>
                <w:szCs w:val="22"/>
                <w:lang w:val="sr-Latn-ME"/>
              </w:rPr>
              <w:t>nepoznat</w:t>
            </w:r>
            <w:r w:rsidR="00786320" w:rsidRPr="00F85CA6">
              <w:rPr>
                <w:rFonts w:eastAsia="Calibri"/>
                <w:sz w:val="22"/>
                <w:szCs w:val="22"/>
                <w:lang w:val="sr-Latn-ME"/>
              </w:rPr>
              <w:t>o</w:t>
            </w:r>
          </w:p>
        </w:tc>
        <w:tc>
          <w:tcPr>
            <w:tcW w:w="1063" w:type="pct"/>
          </w:tcPr>
          <w:p w14:paraId="144F64E6" w14:textId="4FD676D8" w:rsidR="007E29AA" w:rsidRPr="00F85CA6" w:rsidRDefault="007E29AA" w:rsidP="00786320">
            <w:pPr>
              <w:rPr>
                <w:rFonts w:eastAsia="Calibri"/>
                <w:sz w:val="22"/>
                <w:szCs w:val="22"/>
                <w:lang w:val="sr-Latn-ME"/>
              </w:rPr>
            </w:pPr>
            <w:r w:rsidRPr="00F85CA6">
              <w:rPr>
                <w:rFonts w:eastAsia="Calibri"/>
                <w:sz w:val="22"/>
                <w:szCs w:val="22"/>
                <w:lang w:val="sr-Latn-ME"/>
              </w:rPr>
              <w:t>nepoznat</w:t>
            </w:r>
            <w:r w:rsidR="00786320" w:rsidRPr="00F85CA6">
              <w:rPr>
                <w:rFonts w:eastAsia="Calibri"/>
                <w:sz w:val="22"/>
                <w:szCs w:val="22"/>
                <w:lang w:val="sr-Latn-ME"/>
              </w:rPr>
              <w:t>o</w:t>
            </w:r>
            <w:r w:rsidRPr="00F85CA6">
              <w:rPr>
                <w:rFonts w:eastAsia="Calibri"/>
                <w:sz w:val="22"/>
                <w:szCs w:val="22"/>
                <w:lang w:val="sr-Latn-ME"/>
              </w:rPr>
              <w:t xml:space="preserve"> </w:t>
            </w:r>
          </w:p>
        </w:tc>
        <w:tc>
          <w:tcPr>
            <w:tcW w:w="1063" w:type="pct"/>
          </w:tcPr>
          <w:p w14:paraId="44DE83E7" w14:textId="3F9303A8" w:rsidR="007E29AA" w:rsidRPr="00F85CA6" w:rsidRDefault="007E29AA" w:rsidP="00786320">
            <w:pPr>
              <w:rPr>
                <w:rFonts w:eastAsia="Calibri"/>
                <w:sz w:val="22"/>
                <w:szCs w:val="22"/>
                <w:lang w:val="sr-Latn-ME"/>
              </w:rPr>
            </w:pPr>
            <w:r w:rsidRPr="00F85CA6">
              <w:rPr>
                <w:rFonts w:eastAsia="Calibri"/>
                <w:sz w:val="22"/>
                <w:szCs w:val="22"/>
                <w:lang w:val="sr-Latn-ME"/>
              </w:rPr>
              <w:t>nepoznat</w:t>
            </w:r>
            <w:r w:rsidR="00786320" w:rsidRPr="00F85CA6">
              <w:rPr>
                <w:rFonts w:eastAsia="Calibri"/>
                <w:sz w:val="22"/>
                <w:szCs w:val="22"/>
                <w:lang w:val="sr-Latn-ME"/>
              </w:rPr>
              <w:t>o</w:t>
            </w:r>
            <w:r w:rsidRPr="00F85CA6">
              <w:rPr>
                <w:rFonts w:eastAsia="Calibri"/>
                <w:sz w:val="22"/>
                <w:szCs w:val="22"/>
                <w:lang w:val="sr-Latn-ME"/>
              </w:rPr>
              <w:t xml:space="preserve"> </w:t>
            </w:r>
          </w:p>
        </w:tc>
      </w:tr>
      <w:tr w:rsidR="007E29AA" w:rsidRPr="00F85CA6" w14:paraId="6BBC53EF" w14:textId="77777777" w:rsidTr="001239C3">
        <w:trPr>
          <w:trHeight w:val="20"/>
          <w:jc w:val="center"/>
        </w:trPr>
        <w:tc>
          <w:tcPr>
            <w:tcW w:w="5000" w:type="pct"/>
            <w:gridSpan w:val="4"/>
          </w:tcPr>
          <w:p w14:paraId="1B28150D" w14:textId="77777777" w:rsidR="007E29AA" w:rsidRPr="00F85CA6" w:rsidRDefault="007E29AA" w:rsidP="007E29AA">
            <w:pPr>
              <w:rPr>
                <w:rFonts w:eastAsia="Calibri"/>
                <w:sz w:val="22"/>
                <w:szCs w:val="22"/>
                <w:lang w:val="sr-Latn-ME"/>
              </w:rPr>
            </w:pPr>
            <w:r w:rsidRPr="00F85CA6">
              <w:rPr>
                <w:rFonts w:eastAsia="Calibri"/>
                <w:sz w:val="22"/>
                <w:szCs w:val="22"/>
                <w:lang w:val="sr-Latn-ME"/>
              </w:rPr>
              <w:lastRenderedPageBreak/>
              <w:t>Poremećaji mišićno-koštanog sistema i vezivnog tkiva</w:t>
            </w:r>
          </w:p>
        </w:tc>
      </w:tr>
      <w:tr w:rsidR="007E29AA" w:rsidRPr="00F85CA6" w14:paraId="4A85C150" w14:textId="77777777" w:rsidTr="001239C3">
        <w:trPr>
          <w:trHeight w:val="20"/>
          <w:jc w:val="center"/>
        </w:trPr>
        <w:tc>
          <w:tcPr>
            <w:tcW w:w="1647" w:type="pct"/>
          </w:tcPr>
          <w:p w14:paraId="32ECEB37" w14:textId="77777777" w:rsidR="007E29AA" w:rsidRPr="00F85CA6" w:rsidRDefault="007E29AA" w:rsidP="007E29AA">
            <w:pPr>
              <w:ind w:firstLine="196"/>
              <w:rPr>
                <w:rFonts w:eastAsia="Calibri"/>
                <w:sz w:val="22"/>
                <w:szCs w:val="22"/>
                <w:lang w:val="sr-Latn-ME"/>
              </w:rPr>
            </w:pPr>
            <w:r w:rsidRPr="00F85CA6">
              <w:rPr>
                <w:rFonts w:eastAsia="Calibri"/>
                <w:sz w:val="22"/>
                <w:szCs w:val="22"/>
                <w:lang w:val="sr-Latn-ME"/>
              </w:rPr>
              <w:t xml:space="preserve">Hemartroza </w:t>
            </w:r>
          </w:p>
        </w:tc>
        <w:tc>
          <w:tcPr>
            <w:tcW w:w="1227" w:type="pct"/>
          </w:tcPr>
          <w:p w14:paraId="46086C54" w14:textId="77777777" w:rsidR="007E29AA" w:rsidRPr="00F85CA6" w:rsidRDefault="007E29AA" w:rsidP="007E29AA">
            <w:pPr>
              <w:rPr>
                <w:rFonts w:eastAsia="Calibri"/>
                <w:sz w:val="22"/>
                <w:szCs w:val="22"/>
                <w:lang w:val="sr-Latn-ME"/>
              </w:rPr>
            </w:pPr>
            <w:r w:rsidRPr="00F85CA6">
              <w:rPr>
                <w:rFonts w:eastAsia="Calibri"/>
                <w:sz w:val="22"/>
                <w:szCs w:val="22"/>
                <w:lang w:val="sr-Latn-ME"/>
              </w:rPr>
              <w:t>povremeno</w:t>
            </w:r>
          </w:p>
        </w:tc>
        <w:tc>
          <w:tcPr>
            <w:tcW w:w="1063" w:type="pct"/>
          </w:tcPr>
          <w:p w14:paraId="4C30BA11" w14:textId="5401CE95" w:rsidR="007E29AA" w:rsidRPr="00F85CA6" w:rsidRDefault="007E29AA" w:rsidP="007E29AA">
            <w:pPr>
              <w:rPr>
                <w:rFonts w:eastAsia="Calibri"/>
                <w:sz w:val="22"/>
                <w:szCs w:val="22"/>
                <w:lang w:val="sr-Latn-ME"/>
              </w:rPr>
            </w:pPr>
            <w:r w:rsidRPr="00F85CA6">
              <w:rPr>
                <w:rFonts w:eastAsia="Calibri"/>
                <w:sz w:val="22"/>
                <w:szCs w:val="22"/>
                <w:lang w:val="sr-Latn-ME"/>
              </w:rPr>
              <w:t>rijetko</w:t>
            </w:r>
          </w:p>
        </w:tc>
        <w:tc>
          <w:tcPr>
            <w:tcW w:w="1063" w:type="pct"/>
          </w:tcPr>
          <w:p w14:paraId="045EF911" w14:textId="77777777" w:rsidR="007E29AA" w:rsidRPr="00F85CA6" w:rsidRDefault="007E29AA" w:rsidP="007E29AA">
            <w:pPr>
              <w:rPr>
                <w:rFonts w:eastAsia="Calibri"/>
                <w:sz w:val="22"/>
                <w:szCs w:val="22"/>
                <w:lang w:val="sr-Latn-ME"/>
              </w:rPr>
            </w:pPr>
            <w:r w:rsidRPr="00F85CA6">
              <w:rPr>
                <w:rFonts w:eastAsia="Calibri"/>
                <w:sz w:val="22"/>
                <w:szCs w:val="22"/>
                <w:lang w:val="sr-Latn-ME"/>
              </w:rPr>
              <w:t>povremeno</w:t>
            </w:r>
          </w:p>
        </w:tc>
      </w:tr>
      <w:tr w:rsidR="007E29AA" w:rsidRPr="00F85CA6" w14:paraId="67439684" w14:textId="77777777" w:rsidTr="001239C3">
        <w:trPr>
          <w:trHeight w:val="20"/>
          <w:jc w:val="center"/>
        </w:trPr>
        <w:tc>
          <w:tcPr>
            <w:tcW w:w="5000" w:type="pct"/>
            <w:gridSpan w:val="4"/>
          </w:tcPr>
          <w:p w14:paraId="0856067D" w14:textId="77777777" w:rsidR="007E29AA" w:rsidRPr="00F85CA6" w:rsidRDefault="007E29AA" w:rsidP="007E29AA">
            <w:pPr>
              <w:rPr>
                <w:rFonts w:eastAsia="Calibri"/>
                <w:sz w:val="22"/>
                <w:szCs w:val="22"/>
                <w:lang w:val="sr-Latn-ME"/>
              </w:rPr>
            </w:pPr>
            <w:r w:rsidRPr="00F85CA6">
              <w:rPr>
                <w:rFonts w:eastAsia="Calibri"/>
                <w:sz w:val="22"/>
                <w:szCs w:val="22"/>
                <w:lang w:val="sr-Latn-ME"/>
              </w:rPr>
              <w:t>Poremećaji bubrega i urinarnog sistema</w:t>
            </w:r>
          </w:p>
        </w:tc>
      </w:tr>
      <w:tr w:rsidR="007E29AA" w:rsidRPr="00F85CA6" w14:paraId="5980B01C" w14:textId="77777777" w:rsidTr="001239C3">
        <w:trPr>
          <w:trHeight w:val="20"/>
          <w:jc w:val="center"/>
        </w:trPr>
        <w:tc>
          <w:tcPr>
            <w:tcW w:w="1647" w:type="pct"/>
          </w:tcPr>
          <w:p w14:paraId="26F22D22" w14:textId="77777777" w:rsidR="007E29AA" w:rsidRPr="00F85CA6" w:rsidRDefault="007E29AA" w:rsidP="007E29AA">
            <w:pPr>
              <w:ind w:left="196"/>
              <w:rPr>
                <w:rFonts w:eastAsia="Calibri"/>
                <w:sz w:val="22"/>
                <w:szCs w:val="22"/>
                <w:lang w:val="sr-Latn-ME"/>
              </w:rPr>
            </w:pPr>
            <w:r w:rsidRPr="00F85CA6">
              <w:rPr>
                <w:rFonts w:eastAsia="Calibri"/>
                <w:sz w:val="22"/>
                <w:szCs w:val="22"/>
                <w:lang w:val="sr-Latn-ME"/>
              </w:rPr>
              <w:t>Urogenitalno krvarenje, uključujući hematuriju</w:t>
            </w:r>
          </w:p>
        </w:tc>
        <w:tc>
          <w:tcPr>
            <w:tcW w:w="1227" w:type="pct"/>
          </w:tcPr>
          <w:p w14:paraId="33BA2966" w14:textId="77777777" w:rsidR="007E29AA" w:rsidRPr="00F85CA6" w:rsidRDefault="007E29AA" w:rsidP="007E29AA">
            <w:pPr>
              <w:rPr>
                <w:rFonts w:eastAsia="Calibri"/>
                <w:sz w:val="22"/>
                <w:szCs w:val="22"/>
                <w:lang w:val="sr-Latn-ME"/>
              </w:rPr>
            </w:pPr>
            <w:r w:rsidRPr="00F85CA6">
              <w:rPr>
                <w:rFonts w:eastAsia="Calibri"/>
                <w:sz w:val="22"/>
                <w:szCs w:val="22"/>
                <w:lang w:val="sr-Latn-ME"/>
              </w:rPr>
              <w:t>povremeno</w:t>
            </w:r>
          </w:p>
        </w:tc>
        <w:tc>
          <w:tcPr>
            <w:tcW w:w="1063" w:type="pct"/>
          </w:tcPr>
          <w:p w14:paraId="07D302CD" w14:textId="77777777" w:rsidR="007E29AA" w:rsidRPr="00F85CA6" w:rsidRDefault="007E29AA" w:rsidP="007E29AA">
            <w:pPr>
              <w:rPr>
                <w:rFonts w:eastAsia="Calibri"/>
                <w:sz w:val="22"/>
                <w:szCs w:val="22"/>
                <w:lang w:val="sr-Latn-ME"/>
              </w:rPr>
            </w:pPr>
            <w:r w:rsidRPr="00F85CA6">
              <w:rPr>
                <w:rFonts w:eastAsia="Calibri"/>
                <w:sz w:val="22"/>
                <w:szCs w:val="22"/>
                <w:lang w:val="sr-Latn-ME"/>
              </w:rPr>
              <w:t>često</w:t>
            </w:r>
          </w:p>
        </w:tc>
        <w:tc>
          <w:tcPr>
            <w:tcW w:w="1063" w:type="pct"/>
          </w:tcPr>
          <w:p w14:paraId="451F36A8" w14:textId="77777777" w:rsidR="007E29AA" w:rsidRPr="00F85CA6" w:rsidRDefault="007E29AA" w:rsidP="007E29AA">
            <w:pPr>
              <w:rPr>
                <w:rFonts w:eastAsia="Calibri"/>
                <w:sz w:val="22"/>
                <w:szCs w:val="22"/>
                <w:lang w:val="sr-Latn-ME"/>
              </w:rPr>
            </w:pPr>
            <w:r w:rsidRPr="00F85CA6">
              <w:rPr>
                <w:rFonts w:eastAsia="Calibri"/>
                <w:sz w:val="22"/>
                <w:szCs w:val="22"/>
                <w:lang w:val="sr-Latn-ME"/>
              </w:rPr>
              <w:t>često</w:t>
            </w:r>
          </w:p>
        </w:tc>
      </w:tr>
      <w:tr w:rsidR="007E29AA" w:rsidRPr="00F85CA6" w14:paraId="5D02AA5E" w14:textId="77777777" w:rsidTr="001239C3">
        <w:trPr>
          <w:trHeight w:val="20"/>
          <w:jc w:val="center"/>
        </w:trPr>
        <w:tc>
          <w:tcPr>
            <w:tcW w:w="3937" w:type="pct"/>
            <w:gridSpan w:val="3"/>
          </w:tcPr>
          <w:p w14:paraId="38F0FD49" w14:textId="4F58E19A" w:rsidR="007E29AA" w:rsidRPr="00F85CA6" w:rsidRDefault="007E29AA" w:rsidP="007E29AA">
            <w:pPr>
              <w:rPr>
                <w:rFonts w:eastAsia="Calibri"/>
                <w:sz w:val="22"/>
                <w:szCs w:val="22"/>
                <w:lang w:val="sr-Latn-ME"/>
              </w:rPr>
            </w:pPr>
            <w:r w:rsidRPr="00F85CA6">
              <w:rPr>
                <w:rFonts w:eastAsia="Calibri"/>
                <w:sz w:val="22"/>
                <w:szCs w:val="22"/>
                <w:lang w:val="sr-Latn-ME"/>
              </w:rPr>
              <w:t>Opšti poremećaji i reakcije na mjestu prim</w:t>
            </w:r>
            <w:r w:rsidR="001B7CED" w:rsidRPr="00F85CA6">
              <w:rPr>
                <w:rFonts w:eastAsia="Calibri"/>
                <w:sz w:val="22"/>
                <w:szCs w:val="22"/>
                <w:lang w:val="sr-Latn-ME"/>
              </w:rPr>
              <w:t>j</w:t>
            </w:r>
            <w:r w:rsidRPr="00F85CA6">
              <w:rPr>
                <w:rFonts w:eastAsia="Calibri"/>
                <w:sz w:val="22"/>
                <w:szCs w:val="22"/>
                <w:lang w:val="sr-Latn-ME"/>
              </w:rPr>
              <w:t>ene</w:t>
            </w:r>
          </w:p>
        </w:tc>
        <w:tc>
          <w:tcPr>
            <w:tcW w:w="1063" w:type="pct"/>
          </w:tcPr>
          <w:p w14:paraId="1031AE91" w14:textId="77777777" w:rsidR="007E29AA" w:rsidRPr="00F85CA6" w:rsidRDefault="007E29AA" w:rsidP="007E29AA">
            <w:pPr>
              <w:rPr>
                <w:rFonts w:eastAsia="Calibri"/>
                <w:i/>
                <w:iCs/>
                <w:sz w:val="22"/>
                <w:szCs w:val="22"/>
                <w:lang w:val="sr-Latn-ME"/>
              </w:rPr>
            </w:pPr>
          </w:p>
        </w:tc>
      </w:tr>
      <w:tr w:rsidR="007E29AA" w:rsidRPr="00F85CA6" w14:paraId="5C044258" w14:textId="77777777" w:rsidTr="001239C3">
        <w:trPr>
          <w:trHeight w:val="20"/>
          <w:jc w:val="center"/>
        </w:trPr>
        <w:tc>
          <w:tcPr>
            <w:tcW w:w="1647" w:type="pct"/>
          </w:tcPr>
          <w:p w14:paraId="4A4ED31B" w14:textId="621CD7E6" w:rsidR="007E29AA" w:rsidRPr="00F85CA6" w:rsidRDefault="007E29AA" w:rsidP="007E29AA">
            <w:pPr>
              <w:ind w:left="196"/>
              <w:rPr>
                <w:rFonts w:eastAsia="Calibri"/>
                <w:sz w:val="22"/>
                <w:szCs w:val="22"/>
                <w:lang w:val="sr-Latn-ME"/>
              </w:rPr>
            </w:pPr>
            <w:r w:rsidRPr="00F85CA6">
              <w:rPr>
                <w:rFonts w:eastAsia="Calibri"/>
                <w:sz w:val="22"/>
                <w:szCs w:val="22"/>
                <w:lang w:val="sr-Latn-ME"/>
              </w:rPr>
              <w:t xml:space="preserve">Krvarenje na mjestu injekcije </w:t>
            </w:r>
          </w:p>
        </w:tc>
        <w:tc>
          <w:tcPr>
            <w:tcW w:w="1227" w:type="pct"/>
          </w:tcPr>
          <w:p w14:paraId="4D058F6B" w14:textId="36D07DAD" w:rsidR="007E29AA" w:rsidRPr="00F85CA6" w:rsidRDefault="007E29AA" w:rsidP="007E29AA">
            <w:pPr>
              <w:rPr>
                <w:rFonts w:eastAsia="Calibri"/>
                <w:sz w:val="22"/>
                <w:szCs w:val="22"/>
                <w:lang w:val="sr-Latn-ME"/>
              </w:rPr>
            </w:pPr>
            <w:r w:rsidRPr="00F85CA6">
              <w:rPr>
                <w:rFonts w:eastAsia="Calibri"/>
                <w:sz w:val="22"/>
                <w:szCs w:val="22"/>
                <w:lang w:val="sr-Latn-ME"/>
              </w:rPr>
              <w:t>rijetko</w:t>
            </w:r>
          </w:p>
        </w:tc>
        <w:tc>
          <w:tcPr>
            <w:tcW w:w="1063" w:type="pct"/>
          </w:tcPr>
          <w:p w14:paraId="695BE930" w14:textId="7463342A" w:rsidR="007E29AA" w:rsidRPr="00F85CA6" w:rsidRDefault="007E29AA" w:rsidP="007E29AA">
            <w:pPr>
              <w:rPr>
                <w:rFonts w:eastAsia="Calibri"/>
                <w:sz w:val="22"/>
                <w:szCs w:val="22"/>
                <w:lang w:val="sr-Latn-ME"/>
              </w:rPr>
            </w:pPr>
            <w:r w:rsidRPr="00F85CA6">
              <w:rPr>
                <w:rFonts w:eastAsia="Calibri"/>
                <w:sz w:val="22"/>
                <w:szCs w:val="22"/>
                <w:lang w:val="sr-Latn-ME"/>
              </w:rPr>
              <w:t>rijetko</w:t>
            </w:r>
          </w:p>
        </w:tc>
        <w:tc>
          <w:tcPr>
            <w:tcW w:w="1063" w:type="pct"/>
          </w:tcPr>
          <w:p w14:paraId="060DD72B" w14:textId="786CDB03" w:rsidR="007E29AA" w:rsidRPr="00F85CA6" w:rsidRDefault="007E29AA" w:rsidP="007E29AA">
            <w:pPr>
              <w:rPr>
                <w:rFonts w:eastAsia="Calibri"/>
                <w:sz w:val="22"/>
                <w:szCs w:val="22"/>
                <w:lang w:val="sr-Latn-ME"/>
              </w:rPr>
            </w:pPr>
            <w:r w:rsidRPr="00F85CA6">
              <w:rPr>
                <w:rFonts w:eastAsia="Calibri"/>
                <w:sz w:val="22"/>
                <w:szCs w:val="22"/>
                <w:lang w:val="sr-Latn-ME"/>
              </w:rPr>
              <w:t>rijetko</w:t>
            </w:r>
          </w:p>
        </w:tc>
      </w:tr>
      <w:tr w:rsidR="007E29AA" w:rsidRPr="00F85CA6" w14:paraId="125D3F16" w14:textId="77777777" w:rsidTr="001239C3">
        <w:trPr>
          <w:trHeight w:val="20"/>
          <w:jc w:val="center"/>
        </w:trPr>
        <w:tc>
          <w:tcPr>
            <w:tcW w:w="1647" w:type="pct"/>
          </w:tcPr>
          <w:p w14:paraId="2A720CE0" w14:textId="07938FD7" w:rsidR="007E29AA" w:rsidRPr="00F85CA6" w:rsidRDefault="007E29AA" w:rsidP="007E29AA">
            <w:pPr>
              <w:ind w:left="196"/>
              <w:jc w:val="both"/>
              <w:rPr>
                <w:rFonts w:eastAsia="Calibri"/>
                <w:sz w:val="22"/>
                <w:szCs w:val="22"/>
                <w:lang w:val="sr-Latn-ME"/>
              </w:rPr>
            </w:pPr>
            <w:r w:rsidRPr="00F85CA6">
              <w:rPr>
                <w:rFonts w:eastAsia="Calibri"/>
                <w:sz w:val="22"/>
                <w:szCs w:val="22"/>
                <w:lang w:val="sr-Latn-ME"/>
              </w:rPr>
              <w:t xml:space="preserve">Krvarenje na mjestu katetera </w:t>
            </w:r>
          </w:p>
        </w:tc>
        <w:tc>
          <w:tcPr>
            <w:tcW w:w="1227" w:type="pct"/>
          </w:tcPr>
          <w:p w14:paraId="7464BE38" w14:textId="6E8BB36C" w:rsidR="007E29AA" w:rsidRPr="00F85CA6" w:rsidRDefault="007E29AA" w:rsidP="007E29AA">
            <w:pPr>
              <w:jc w:val="both"/>
              <w:rPr>
                <w:rFonts w:eastAsia="Calibri"/>
                <w:sz w:val="22"/>
                <w:szCs w:val="22"/>
                <w:lang w:val="sr-Latn-ME"/>
              </w:rPr>
            </w:pPr>
            <w:r w:rsidRPr="00F85CA6">
              <w:rPr>
                <w:rFonts w:eastAsia="Calibri"/>
                <w:sz w:val="22"/>
                <w:szCs w:val="22"/>
                <w:lang w:val="sr-Latn-ME"/>
              </w:rPr>
              <w:t>rijetko</w:t>
            </w:r>
          </w:p>
        </w:tc>
        <w:tc>
          <w:tcPr>
            <w:tcW w:w="1063" w:type="pct"/>
          </w:tcPr>
          <w:p w14:paraId="57E26A2C" w14:textId="35910165" w:rsidR="007E29AA" w:rsidRPr="00F85CA6" w:rsidRDefault="007E29AA" w:rsidP="007E29AA">
            <w:pPr>
              <w:jc w:val="both"/>
              <w:rPr>
                <w:rFonts w:eastAsia="Calibri"/>
                <w:sz w:val="22"/>
                <w:szCs w:val="22"/>
                <w:lang w:val="sr-Latn-ME"/>
              </w:rPr>
            </w:pPr>
            <w:r w:rsidRPr="00F85CA6">
              <w:rPr>
                <w:rFonts w:eastAsia="Calibri"/>
                <w:sz w:val="22"/>
                <w:szCs w:val="22"/>
                <w:lang w:val="sr-Latn-ME"/>
              </w:rPr>
              <w:t>rijetko</w:t>
            </w:r>
          </w:p>
        </w:tc>
        <w:tc>
          <w:tcPr>
            <w:tcW w:w="1063" w:type="pct"/>
          </w:tcPr>
          <w:p w14:paraId="240FEF54" w14:textId="3EFFDFE3" w:rsidR="007E29AA" w:rsidRPr="00F85CA6" w:rsidRDefault="007E29AA" w:rsidP="007E29AA">
            <w:pPr>
              <w:jc w:val="both"/>
              <w:rPr>
                <w:rFonts w:eastAsia="Calibri"/>
                <w:sz w:val="22"/>
                <w:szCs w:val="22"/>
                <w:lang w:val="sr-Latn-ME"/>
              </w:rPr>
            </w:pPr>
            <w:r w:rsidRPr="00F85CA6">
              <w:rPr>
                <w:rFonts w:eastAsia="Calibri"/>
                <w:sz w:val="22"/>
                <w:szCs w:val="22"/>
                <w:lang w:val="sr-Latn-ME"/>
              </w:rPr>
              <w:t>rijetko</w:t>
            </w:r>
          </w:p>
        </w:tc>
      </w:tr>
      <w:tr w:rsidR="007E29AA" w:rsidRPr="00F85CA6" w14:paraId="1F3F3E96" w14:textId="77777777" w:rsidTr="001239C3">
        <w:trPr>
          <w:trHeight w:val="20"/>
          <w:jc w:val="center"/>
        </w:trPr>
        <w:tc>
          <w:tcPr>
            <w:tcW w:w="1647" w:type="pct"/>
          </w:tcPr>
          <w:p w14:paraId="1E49F31B" w14:textId="7F3E2D98" w:rsidR="007E29AA" w:rsidRPr="00F85CA6" w:rsidRDefault="007E29AA" w:rsidP="007E29AA">
            <w:pPr>
              <w:ind w:left="196"/>
              <w:jc w:val="both"/>
              <w:rPr>
                <w:rFonts w:eastAsia="Calibri"/>
                <w:sz w:val="22"/>
                <w:szCs w:val="22"/>
                <w:lang w:val="sr-Latn-ME"/>
              </w:rPr>
            </w:pPr>
            <w:r w:rsidRPr="00F85CA6">
              <w:rPr>
                <w:rFonts w:eastAsia="Calibri"/>
                <w:sz w:val="22"/>
                <w:szCs w:val="22"/>
                <w:lang w:val="sr-Latn-ME"/>
              </w:rPr>
              <w:t>Krvavi isc</w:t>
            </w:r>
            <w:r w:rsidR="00523AA3" w:rsidRPr="00F85CA6">
              <w:rPr>
                <w:rFonts w:eastAsia="Calibri"/>
                <w:sz w:val="22"/>
                <w:szCs w:val="22"/>
                <w:lang w:val="sr-Latn-ME"/>
              </w:rPr>
              <w:t>j</w:t>
            </w:r>
            <w:r w:rsidRPr="00F85CA6">
              <w:rPr>
                <w:rFonts w:eastAsia="Calibri"/>
                <w:sz w:val="22"/>
                <w:szCs w:val="22"/>
                <w:lang w:val="sr-Latn-ME"/>
              </w:rPr>
              <w:t>edak</w:t>
            </w:r>
          </w:p>
        </w:tc>
        <w:tc>
          <w:tcPr>
            <w:tcW w:w="1227" w:type="pct"/>
          </w:tcPr>
          <w:p w14:paraId="16000A8F" w14:textId="44D040B6" w:rsidR="007E29AA" w:rsidRPr="00F85CA6" w:rsidRDefault="007E29AA" w:rsidP="007E29AA">
            <w:pPr>
              <w:jc w:val="both"/>
              <w:rPr>
                <w:rFonts w:eastAsia="Calibri"/>
                <w:sz w:val="22"/>
                <w:szCs w:val="22"/>
                <w:lang w:val="sr-Latn-ME"/>
              </w:rPr>
            </w:pPr>
            <w:r w:rsidRPr="00F85CA6">
              <w:rPr>
                <w:rFonts w:eastAsia="Calibri"/>
                <w:sz w:val="22"/>
                <w:szCs w:val="22"/>
                <w:lang w:val="sr-Latn-ME"/>
              </w:rPr>
              <w:t>rijetko</w:t>
            </w:r>
          </w:p>
        </w:tc>
        <w:tc>
          <w:tcPr>
            <w:tcW w:w="1063" w:type="pct"/>
          </w:tcPr>
          <w:p w14:paraId="1AA1C8D3"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w:t>
            </w:r>
          </w:p>
        </w:tc>
        <w:tc>
          <w:tcPr>
            <w:tcW w:w="1063" w:type="pct"/>
          </w:tcPr>
          <w:p w14:paraId="4BA1F4F5" w14:textId="77777777" w:rsidR="007E29AA" w:rsidRPr="00F85CA6" w:rsidRDefault="007E29AA" w:rsidP="007E29AA">
            <w:pPr>
              <w:jc w:val="center"/>
              <w:rPr>
                <w:rFonts w:eastAsia="Calibri"/>
                <w:sz w:val="22"/>
                <w:szCs w:val="22"/>
                <w:lang w:val="sr-Latn-ME"/>
              </w:rPr>
            </w:pPr>
          </w:p>
        </w:tc>
      </w:tr>
      <w:tr w:rsidR="007E29AA" w:rsidRPr="00F85CA6" w14:paraId="2D624841" w14:textId="77777777" w:rsidTr="001239C3">
        <w:trPr>
          <w:trHeight w:val="20"/>
          <w:jc w:val="center"/>
        </w:trPr>
        <w:tc>
          <w:tcPr>
            <w:tcW w:w="5000" w:type="pct"/>
            <w:gridSpan w:val="4"/>
          </w:tcPr>
          <w:p w14:paraId="5850C354" w14:textId="77777777" w:rsidR="007E29AA" w:rsidRPr="00F85CA6" w:rsidRDefault="007E29AA" w:rsidP="007E29AA">
            <w:pPr>
              <w:jc w:val="both"/>
              <w:rPr>
                <w:rFonts w:eastAsia="Calibri"/>
                <w:sz w:val="22"/>
                <w:szCs w:val="22"/>
                <w:lang w:val="sr-Latn-ME"/>
              </w:rPr>
            </w:pPr>
            <w:r w:rsidRPr="00F85CA6">
              <w:rPr>
                <w:rFonts w:eastAsia="Calibri"/>
                <w:sz w:val="22"/>
                <w:szCs w:val="22"/>
                <w:lang w:val="sr-Latn-ME"/>
              </w:rPr>
              <w:t>Povrede, trovanja i proceduralne komplikacije</w:t>
            </w:r>
          </w:p>
        </w:tc>
      </w:tr>
      <w:tr w:rsidR="007E29AA" w:rsidRPr="00F85CA6" w14:paraId="0D63FB22" w14:textId="77777777" w:rsidTr="001239C3">
        <w:trPr>
          <w:trHeight w:val="20"/>
          <w:jc w:val="center"/>
        </w:trPr>
        <w:tc>
          <w:tcPr>
            <w:tcW w:w="1647" w:type="pct"/>
          </w:tcPr>
          <w:p w14:paraId="2E7ABE2E" w14:textId="77777777" w:rsidR="007E29AA" w:rsidRPr="00F85CA6" w:rsidRDefault="007E29AA" w:rsidP="007E29AA">
            <w:pPr>
              <w:ind w:firstLine="196"/>
              <w:jc w:val="both"/>
              <w:rPr>
                <w:rFonts w:eastAsia="Calibri"/>
                <w:sz w:val="22"/>
                <w:szCs w:val="22"/>
                <w:lang w:val="sr-Latn-ME"/>
              </w:rPr>
            </w:pPr>
            <w:r w:rsidRPr="00F85CA6">
              <w:rPr>
                <w:rFonts w:eastAsia="Calibri"/>
                <w:sz w:val="22"/>
                <w:szCs w:val="22"/>
                <w:lang w:val="sr-Latn-ME"/>
              </w:rPr>
              <w:t>Traumatsko krvarenje</w:t>
            </w:r>
          </w:p>
        </w:tc>
        <w:tc>
          <w:tcPr>
            <w:tcW w:w="1227" w:type="pct"/>
          </w:tcPr>
          <w:p w14:paraId="35DEB903" w14:textId="77777777" w:rsidR="007E29AA" w:rsidRPr="00F85CA6" w:rsidRDefault="007E29AA" w:rsidP="007E29AA">
            <w:pPr>
              <w:jc w:val="both"/>
              <w:rPr>
                <w:rFonts w:eastAsia="Calibri"/>
                <w:sz w:val="22"/>
                <w:szCs w:val="22"/>
                <w:lang w:val="sr-Latn-ME"/>
              </w:rPr>
            </w:pPr>
            <w:r w:rsidRPr="00F85CA6">
              <w:rPr>
                <w:rFonts w:eastAsia="Calibri"/>
                <w:sz w:val="22"/>
                <w:szCs w:val="22"/>
                <w:lang w:val="sr-Latn-ME"/>
              </w:rPr>
              <w:t>povremeno</w:t>
            </w:r>
          </w:p>
        </w:tc>
        <w:tc>
          <w:tcPr>
            <w:tcW w:w="1063" w:type="pct"/>
          </w:tcPr>
          <w:p w14:paraId="3C6C7AD0" w14:textId="2E07083F" w:rsidR="007E29AA" w:rsidRPr="00F85CA6" w:rsidRDefault="007E29AA" w:rsidP="007E29AA">
            <w:pPr>
              <w:jc w:val="both"/>
              <w:rPr>
                <w:rFonts w:eastAsia="Calibri"/>
                <w:sz w:val="22"/>
                <w:szCs w:val="22"/>
                <w:lang w:val="sr-Latn-ME"/>
              </w:rPr>
            </w:pPr>
            <w:r w:rsidRPr="00F85CA6">
              <w:rPr>
                <w:rFonts w:eastAsia="Calibri"/>
                <w:sz w:val="22"/>
                <w:szCs w:val="22"/>
                <w:lang w:val="sr-Latn-ME"/>
              </w:rPr>
              <w:t>rijetko</w:t>
            </w:r>
          </w:p>
        </w:tc>
        <w:tc>
          <w:tcPr>
            <w:tcW w:w="1063" w:type="pct"/>
          </w:tcPr>
          <w:p w14:paraId="28B0456C" w14:textId="77777777" w:rsidR="007E29AA" w:rsidRPr="00F85CA6" w:rsidRDefault="007E29AA" w:rsidP="007E29AA">
            <w:pPr>
              <w:jc w:val="both"/>
              <w:rPr>
                <w:rFonts w:eastAsia="Calibri"/>
                <w:sz w:val="22"/>
                <w:szCs w:val="22"/>
                <w:lang w:val="sr-Latn-ME"/>
              </w:rPr>
            </w:pPr>
            <w:r w:rsidRPr="00F85CA6">
              <w:rPr>
                <w:rFonts w:eastAsia="Calibri"/>
                <w:sz w:val="22"/>
                <w:szCs w:val="22"/>
                <w:lang w:val="sr-Latn-ME"/>
              </w:rPr>
              <w:t>povremeno</w:t>
            </w:r>
          </w:p>
        </w:tc>
      </w:tr>
      <w:tr w:rsidR="007E29AA" w:rsidRPr="00F85CA6" w14:paraId="051E1C3D" w14:textId="77777777" w:rsidTr="001239C3">
        <w:trPr>
          <w:trHeight w:val="20"/>
          <w:jc w:val="center"/>
        </w:trPr>
        <w:tc>
          <w:tcPr>
            <w:tcW w:w="1647" w:type="pct"/>
          </w:tcPr>
          <w:p w14:paraId="4FA5F1FC" w14:textId="5219CDC9" w:rsidR="007E29AA" w:rsidRPr="00F85CA6" w:rsidRDefault="007E29AA" w:rsidP="007E29AA">
            <w:pPr>
              <w:ind w:firstLine="196"/>
              <w:jc w:val="both"/>
              <w:rPr>
                <w:rFonts w:eastAsia="Calibri"/>
                <w:sz w:val="22"/>
                <w:szCs w:val="22"/>
                <w:lang w:val="sr-Latn-ME"/>
              </w:rPr>
            </w:pPr>
            <w:r w:rsidRPr="00F85CA6">
              <w:rPr>
                <w:rFonts w:eastAsia="Calibri"/>
                <w:sz w:val="22"/>
                <w:szCs w:val="22"/>
                <w:lang w:val="sr-Latn-ME"/>
              </w:rPr>
              <w:t>Krvarenje na mjestu incizije</w:t>
            </w:r>
          </w:p>
        </w:tc>
        <w:tc>
          <w:tcPr>
            <w:tcW w:w="1227" w:type="pct"/>
          </w:tcPr>
          <w:p w14:paraId="2C4137F3" w14:textId="7CB5EC10" w:rsidR="007E29AA" w:rsidRPr="00F85CA6" w:rsidRDefault="007E29AA" w:rsidP="007E29AA">
            <w:pPr>
              <w:jc w:val="both"/>
              <w:rPr>
                <w:rFonts w:eastAsia="Calibri"/>
                <w:sz w:val="22"/>
                <w:szCs w:val="22"/>
                <w:lang w:val="sr-Latn-ME"/>
              </w:rPr>
            </w:pPr>
            <w:r w:rsidRPr="00F85CA6">
              <w:rPr>
                <w:rFonts w:eastAsia="Calibri"/>
                <w:sz w:val="22"/>
                <w:szCs w:val="22"/>
                <w:lang w:val="sr-Latn-ME"/>
              </w:rPr>
              <w:t>rijetko</w:t>
            </w:r>
          </w:p>
        </w:tc>
        <w:tc>
          <w:tcPr>
            <w:tcW w:w="1063" w:type="pct"/>
          </w:tcPr>
          <w:p w14:paraId="5D0C323A" w14:textId="0D1561F8" w:rsidR="007E29AA" w:rsidRPr="00F85CA6" w:rsidRDefault="007E29AA" w:rsidP="007E29AA">
            <w:pPr>
              <w:jc w:val="both"/>
              <w:rPr>
                <w:rFonts w:eastAsia="Calibri"/>
                <w:sz w:val="22"/>
                <w:szCs w:val="22"/>
                <w:lang w:val="sr-Latn-ME"/>
              </w:rPr>
            </w:pPr>
            <w:r w:rsidRPr="00F85CA6">
              <w:rPr>
                <w:rFonts w:eastAsia="Calibri"/>
                <w:sz w:val="22"/>
                <w:szCs w:val="22"/>
                <w:lang w:val="sr-Latn-ME"/>
              </w:rPr>
              <w:t>rijetko</w:t>
            </w:r>
          </w:p>
        </w:tc>
        <w:tc>
          <w:tcPr>
            <w:tcW w:w="1063" w:type="pct"/>
          </w:tcPr>
          <w:p w14:paraId="37EFC9D1" w14:textId="53C13EB0" w:rsidR="007E29AA" w:rsidRPr="00F85CA6" w:rsidRDefault="007E29AA" w:rsidP="007E29AA">
            <w:pPr>
              <w:jc w:val="both"/>
              <w:rPr>
                <w:rFonts w:eastAsia="Calibri"/>
                <w:sz w:val="22"/>
                <w:szCs w:val="22"/>
                <w:lang w:val="sr-Latn-ME"/>
              </w:rPr>
            </w:pPr>
            <w:r w:rsidRPr="00F85CA6">
              <w:rPr>
                <w:rFonts w:eastAsia="Calibri"/>
                <w:sz w:val="22"/>
                <w:szCs w:val="22"/>
                <w:lang w:val="sr-Latn-ME"/>
              </w:rPr>
              <w:t>rijetko</w:t>
            </w:r>
          </w:p>
        </w:tc>
      </w:tr>
      <w:tr w:rsidR="007E29AA" w:rsidRPr="00F85CA6" w14:paraId="2029D7FC" w14:textId="77777777" w:rsidTr="001239C3">
        <w:trPr>
          <w:trHeight w:val="20"/>
          <w:jc w:val="center"/>
        </w:trPr>
        <w:tc>
          <w:tcPr>
            <w:tcW w:w="1647" w:type="pct"/>
          </w:tcPr>
          <w:p w14:paraId="6F2E044F" w14:textId="77777777" w:rsidR="007E29AA" w:rsidRPr="00F85CA6" w:rsidRDefault="007E29AA" w:rsidP="007E29AA">
            <w:pPr>
              <w:ind w:firstLine="196"/>
              <w:jc w:val="both"/>
              <w:rPr>
                <w:rFonts w:eastAsia="Calibri"/>
                <w:sz w:val="22"/>
                <w:szCs w:val="22"/>
                <w:lang w:val="sr-Latn-ME"/>
              </w:rPr>
            </w:pPr>
            <w:r w:rsidRPr="00F85CA6">
              <w:rPr>
                <w:rFonts w:eastAsia="Calibri"/>
                <w:sz w:val="22"/>
                <w:szCs w:val="22"/>
                <w:lang w:val="sr-Latn-ME"/>
              </w:rPr>
              <w:t xml:space="preserve">Postproceduralni hematom </w:t>
            </w:r>
          </w:p>
        </w:tc>
        <w:tc>
          <w:tcPr>
            <w:tcW w:w="1227" w:type="pct"/>
          </w:tcPr>
          <w:p w14:paraId="536834B9" w14:textId="77777777" w:rsidR="007E29AA" w:rsidRPr="00F85CA6" w:rsidRDefault="007E29AA" w:rsidP="007E29AA">
            <w:pPr>
              <w:jc w:val="both"/>
              <w:rPr>
                <w:rFonts w:eastAsia="Calibri"/>
                <w:sz w:val="22"/>
                <w:szCs w:val="22"/>
                <w:lang w:val="sr-Latn-ME"/>
              </w:rPr>
            </w:pPr>
            <w:r w:rsidRPr="00F85CA6">
              <w:rPr>
                <w:rFonts w:eastAsia="Calibri"/>
                <w:sz w:val="22"/>
                <w:szCs w:val="22"/>
                <w:lang w:val="sr-Latn-ME"/>
              </w:rPr>
              <w:t>povremeno</w:t>
            </w:r>
          </w:p>
        </w:tc>
        <w:tc>
          <w:tcPr>
            <w:tcW w:w="1063" w:type="pct"/>
          </w:tcPr>
          <w:p w14:paraId="5FBB77F2"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w:t>
            </w:r>
          </w:p>
        </w:tc>
        <w:tc>
          <w:tcPr>
            <w:tcW w:w="1063" w:type="pct"/>
          </w:tcPr>
          <w:p w14:paraId="35F5577B"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w:t>
            </w:r>
          </w:p>
        </w:tc>
      </w:tr>
      <w:tr w:rsidR="007E29AA" w:rsidRPr="00F85CA6" w14:paraId="06F14BA8" w14:textId="77777777" w:rsidTr="001239C3">
        <w:trPr>
          <w:trHeight w:val="20"/>
          <w:jc w:val="center"/>
        </w:trPr>
        <w:tc>
          <w:tcPr>
            <w:tcW w:w="1647" w:type="pct"/>
          </w:tcPr>
          <w:p w14:paraId="004FB146" w14:textId="77777777" w:rsidR="007E29AA" w:rsidRPr="00F85CA6" w:rsidRDefault="007E29AA" w:rsidP="007E29AA">
            <w:pPr>
              <w:ind w:firstLine="196"/>
              <w:jc w:val="both"/>
              <w:rPr>
                <w:rFonts w:eastAsia="Calibri"/>
                <w:sz w:val="22"/>
                <w:szCs w:val="22"/>
                <w:lang w:val="sr-Latn-ME"/>
              </w:rPr>
            </w:pPr>
            <w:r w:rsidRPr="00F85CA6">
              <w:rPr>
                <w:rFonts w:eastAsia="Calibri"/>
                <w:sz w:val="22"/>
                <w:szCs w:val="22"/>
                <w:lang w:val="sr-Latn-ME"/>
              </w:rPr>
              <w:t>Postproceduralno krvarenje</w:t>
            </w:r>
          </w:p>
        </w:tc>
        <w:tc>
          <w:tcPr>
            <w:tcW w:w="1227" w:type="pct"/>
          </w:tcPr>
          <w:p w14:paraId="0C506BED" w14:textId="77777777" w:rsidR="007E29AA" w:rsidRPr="00F85CA6" w:rsidRDefault="007E29AA" w:rsidP="007E29AA">
            <w:pPr>
              <w:jc w:val="both"/>
              <w:rPr>
                <w:rFonts w:eastAsia="Calibri"/>
                <w:sz w:val="22"/>
                <w:szCs w:val="22"/>
                <w:lang w:val="sr-Latn-ME"/>
              </w:rPr>
            </w:pPr>
            <w:r w:rsidRPr="00F85CA6">
              <w:rPr>
                <w:rFonts w:eastAsia="Calibri"/>
                <w:sz w:val="22"/>
                <w:szCs w:val="22"/>
                <w:lang w:val="sr-Latn-ME"/>
              </w:rPr>
              <w:t>povremeno</w:t>
            </w:r>
          </w:p>
        </w:tc>
        <w:tc>
          <w:tcPr>
            <w:tcW w:w="1063" w:type="pct"/>
          </w:tcPr>
          <w:p w14:paraId="04491DFF"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w:t>
            </w:r>
          </w:p>
        </w:tc>
        <w:tc>
          <w:tcPr>
            <w:tcW w:w="1063" w:type="pct"/>
          </w:tcPr>
          <w:p w14:paraId="041078A7" w14:textId="77777777" w:rsidR="007E29AA" w:rsidRPr="00F85CA6" w:rsidRDefault="007E29AA" w:rsidP="007E29AA">
            <w:pPr>
              <w:jc w:val="center"/>
              <w:rPr>
                <w:rFonts w:eastAsia="Calibri"/>
                <w:sz w:val="22"/>
                <w:szCs w:val="22"/>
                <w:lang w:val="sr-Latn-ME"/>
              </w:rPr>
            </w:pPr>
          </w:p>
        </w:tc>
      </w:tr>
      <w:tr w:rsidR="007E29AA" w:rsidRPr="00F85CA6" w14:paraId="2B6C96BA" w14:textId="77777777" w:rsidTr="001239C3">
        <w:trPr>
          <w:trHeight w:val="20"/>
          <w:jc w:val="center"/>
        </w:trPr>
        <w:tc>
          <w:tcPr>
            <w:tcW w:w="1647" w:type="pct"/>
          </w:tcPr>
          <w:p w14:paraId="71F02650" w14:textId="77777777" w:rsidR="007E29AA" w:rsidRPr="00F85CA6" w:rsidRDefault="007E29AA" w:rsidP="007E29AA">
            <w:pPr>
              <w:ind w:firstLine="196"/>
              <w:jc w:val="both"/>
              <w:rPr>
                <w:rFonts w:eastAsia="Calibri"/>
                <w:sz w:val="22"/>
                <w:szCs w:val="22"/>
                <w:lang w:val="sr-Latn-ME"/>
              </w:rPr>
            </w:pPr>
            <w:r w:rsidRPr="00F85CA6">
              <w:rPr>
                <w:rFonts w:eastAsia="Calibri"/>
                <w:sz w:val="22"/>
                <w:szCs w:val="22"/>
                <w:lang w:val="sr-Latn-ME"/>
              </w:rPr>
              <w:t xml:space="preserve">Postoperativna anemija </w:t>
            </w:r>
          </w:p>
        </w:tc>
        <w:tc>
          <w:tcPr>
            <w:tcW w:w="1227" w:type="pct"/>
          </w:tcPr>
          <w:p w14:paraId="24FAC826" w14:textId="04D09CBE" w:rsidR="007E29AA" w:rsidRPr="00F85CA6" w:rsidRDefault="007E29AA" w:rsidP="007E29AA">
            <w:pPr>
              <w:jc w:val="both"/>
              <w:rPr>
                <w:rFonts w:eastAsia="Calibri"/>
                <w:sz w:val="22"/>
                <w:szCs w:val="22"/>
                <w:lang w:val="sr-Latn-ME"/>
              </w:rPr>
            </w:pPr>
            <w:r w:rsidRPr="00F85CA6">
              <w:rPr>
                <w:rFonts w:eastAsia="Calibri"/>
                <w:sz w:val="22"/>
                <w:szCs w:val="22"/>
                <w:lang w:val="sr-Latn-ME"/>
              </w:rPr>
              <w:t>rijetko</w:t>
            </w:r>
          </w:p>
        </w:tc>
        <w:tc>
          <w:tcPr>
            <w:tcW w:w="1063" w:type="pct"/>
          </w:tcPr>
          <w:p w14:paraId="43DD1AC5"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w:t>
            </w:r>
          </w:p>
        </w:tc>
        <w:tc>
          <w:tcPr>
            <w:tcW w:w="1063" w:type="pct"/>
          </w:tcPr>
          <w:p w14:paraId="1458BD8D"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w:t>
            </w:r>
          </w:p>
        </w:tc>
      </w:tr>
      <w:tr w:rsidR="007E29AA" w:rsidRPr="00F85CA6" w14:paraId="03777C5E" w14:textId="77777777" w:rsidTr="001239C3">
        <w:trPr>
          <w:trHeight w:val="20"/>
          <w:jc w:val="center"/>
        </w:trPr>
        <w:tc>
          <w:tcPr>
            <w:tcW w:w="1647" w:type="pct"/>
          </w:tcPr>
          <w:p w14:paraId="7FDF2280" w14:textId="42F86AAA" w:rsidR="007E29AA" w:rsidRPr="00F85CA6" w:rsidRDefault="007E29AA" w:rsidP="007E29AA">
            <w:pPr>
              <w:ind w:firstLine="196"/>
              <w:jc w:val="both"/>
              <w:rPr>
                <w:rFonts w:eastAsia="Calibri"/>
                <w:sz w:val="22"/>
                <w:szCs w:val="22"/>
                <w:lang w:val="sr-Latn-ME"/>
              </w:rPr>
            </w:pPr>
            <w:r w:rsidRPr="00F85CA6">
              <w:rPr>
                <w:rFonts w:eastAsia="Calibri"/>
                <w:sz w:val="22"/>
                <w:szCs w:val="22"/>
                <w:lang w:val="sr-Latn-ME"/>
              </w:rPr>
              <w:t xml:space="preserve">Postproceduralni iscjedak </w:t>
            </w:r>
          </w:p>
        </w:tc>
        <w:tc>
          <w:tcPr>
            <w:tcW w:w="1227" w:type="pct"/>
          </w:tcPr>
          <w:p w14:paraId="2E3B8CE6" w14:textId="77777777" w:rsidR="007E29AA" w:rsidRPr="00F85CA6" w:rsidRDefault="007E29AA" w:rsidP="007E29AA">
            <w:pPr>
              <w:jc w:val="both"/>
              <w:rPr>
                <w:rFonts w:eastAsia="Calibri"/>
                <w:sz w:val="22"/>
                <w:szCs w:val="22"/>
                <w:lang w:val="sr-Latn-ME"/>
              </w:rPr>
            </w:pPr>
            <w:r w:rsidRPr="00F85CA6">
              <w:rPr>
                <w:rFonts w:eastAsia="Calibri"/>
                <w:sz w:val="22"/>
                <w:szCs w:val="22"/>
                <w:lang w:val="sr-Latn-ME"/>
              </w:rPr>
              <w:t>povremeno</w:t>
            </w:r>
          </w:p>
        </w:tc>
        <w:tc>
          <w:tcPr>
            <w:tcW w:w="1063" w:type="pct"/>
          </w:tcPr>
          <w:p w14:paraId="3D992BE5"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w:t>
            </w:r>
          </w:p>
        </w:tc>
        <w:tc>
          <w:tcPr>
            <w:tcW w:w="1063" w:type="pct"/>
          </w:tcPr>
          <w:p w14:paraId="3835CFF3"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w:t>
            </w:r>
          </w:p>
        </w:tc>
      </w:tr>
      <w:tr w:rsidR="007E29AA" w:rsidRPr="00F85CA6" w14:paraId="2EC98F3B" w14:textId="77777777" w:rsidTr="001239C3">
        <w:trPr>
          <w:trHeight w:val="20"/>
          <w:jc w:val="center"/>
        </w:trPr>
        <w:tc>
          <w:tcPr>
            <w:tcW w:w="1647" w:type="pct"/>
          </w:tcPr>
          <w:p w14:paraId="19EAC285" w14:textId="77777777" w:rsidR="007E29AA" w:rsidRPr="00F85CA6" w:rsidRDefault="007E29AA" w:rsidP="007E29AA">
            <w:pPr>
              <w:ind w:firstLine="196"/>
              <w:jc w:val="both"/>
              <w:rPr>
                <w:rFonts w:eastAsia="Calibri"/>
                <w:sz w:val="22"/>
                <w:szCs w:val="22"/>
                <w:lang w:val="sr-Latn-ME"/>
              </w:rPr>
            </w:pPr>
            <w:r w:rsidRPr="00F85CA6">
              <w:rPr>
                <w:rFonts w:eastAsia="Calibri"/>
                <w:sz w:val="22"/>
                <w:szCs w:val="22"/>
                <w:lang w:val="sr-Latn-ME"/>
              </w:rPr>
              <w:t xml:space="preserve">Sekrecija iz rane </w:t>
            </w:r>
          </w:p>
        </w:tc>
        <w:tc>
          <w:tcPr>
            <w:tcW w:w="1227" w:type="pct"/>
          </w:tcPr>
          <w:p w14:paraId="5E352DC6" w14:textId="77777777" w:rsidR="007E29AA" w:rsidRPr="00F85CA6" w:rsidRDefault="007E29AA" w:rsidP="007E29AA">
            <w:pPr>
              <w:jc w:val="both"/>
              <w:rPr>
                <w:rFonts w:eastAsia="Calibri"/>
                <w:sz w:val="22"/>
                <w:szCs w:val="22"/>
                <w:lang w:val="sr-Latn-ME"/>
              </w:rPr>
            </w:pPr>
            <w:r w:rsidRPr="00F85CA6">
              <w:rPr>
                <w:rFonts w:eastAsia="Calibri"/>
                <w:sz w:val="22"/>
                <w:szCs w:val="22"/>
                <w:lang w:val="sr-Latn-ME"/>
              </w:rPr>
              <w:t>povremeno</w:t>
            </w:r>
          </w:p>
        </w:tc>
        <w:tc>
          <w:tcPr>
            <w:tcW w:w="1063" w:type="pct"/>
          </w:tcPr>
          <w:p w14:paraId="3929ED61"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w:t>
            </w:r>
          </w:p>
        </w:tc>
        <w:tc>
          <w:tcPr>
            <w:tcW w:w="1063" w:type="pct"/>
          </w:tcPr>
          <w:p w14:paraId="18848406"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w:t>
            </w:r>
          </w:p>
        </w:tc>
      </w:tr>
      <w:tr w:rsidR="007E29AA" w:rsidRPr="00F85CA6" w14:paraId="63C87D7B" w14:textId="77777777" w:rsidTr="001239C3">
        <w:trPr>
          <w:trHeight w:val="20"/>
          <w:jc w:val="center"/>
        </w:trPr>
        <w:tc>
          <w:tcPr>
            <w:tcW w:w="5000" w:type="pct"/>
            <w:gridSpan w:val="4"/>
          </w:tcPr>
          <w:p w14:paraId="058894FE" w14:textId="77777777" w:rsidR="007E29AA" w:rsidRPr="00F85CA6" w:rsidRDefault="007E29AA" w:rsidP="007E29AA">
            <w:pPr>
              <w:jc w:val="both"/>
              <w:rPr>
                <w:rFonts w:eastAsia="Calibri"/>
                <w:sz w:val="22"/>
                <w:szCs w:val="22"/>
                <w:lang w:val="sr-Latn-ME"/>
              </w:rPr>
            </w:pPr>
            <w:r w:rsidRPr="00F85CA6">
              <w:rPr>
                <w:rFonts w:eastAsia="Calibri"/>
                <w:sz w:val="22"/>
                <w:szCs w:val="22"/>
                <w:lang w:val="sr-Latn-ME"/>
              </w:rPr>
              <w:t xml:space="preserve">Hirurške i medicinske procedure </w:t>
            </w:r>
          </w:p>
        </w:tc>
      </w:tr>
      <w:tr w:rsidR="007E29AA" w:rsidRPr="00F85CA6" w14:paraId="4778D392" w14:textId="77777777" w:rsidTr="001239C3">
        <w:trPr>
          <w:trHeight w:val="20"/>
          <w:jc w:val="center"/>
        </w:trPr>
        <w:tc>
          <w:tcPr>
            <w:tcW w:w="1647" w:type="pct"/>
          </w:tcPr>
          <w:p w14:paraId="1D82D424" w14:textId="77777777" w:rsidR="007E29AA" w:rsidRPr="00F85CA6" w:rsidRDefault="007E29AA" w:rsidP="007E29AA">
            <w:pPr>
              <w:ind w:firstLine="196"/>
              <w:jc w:val="both"/>
              <w:rPr>
                <w:rFonts w:eastAsia="Calibri"/>
                <w:sz w:val="22"/>
                <w:szCs w:val="22"/>
                <w:lang w:val="sr-Latn-ME"/>
              </w:rPr>
            </w:pPr>
            <w:r w:rsidRPr="00F85CA6">
              <w:rPr>
                <w:rFonts w:eastAsia="Calibri"/>
                <w:sz w:val="22"/>
                <w:szCs w:val="22"/>
                <w:lang w:val="sr-Latn-ME"/>
              </w:rPr>
              <w:t>Drenaža rane</w:t>
            </w:r>
          </w:p>
        </w:tc>
        <w:tc>
          <w:tcPr>
            <w:tcW w:w="1227" w:type="pct"/>
          </w:tcPr>
          <w:p w14:paraId="3F11379A" w14:textId="3BB1A91B" w:rsidR="007E29AA" w:rsidRPr="00F85CA6" w:rsidRDefault="007E29AA" w:rsidP="007E29AA">
            <w:pPr>
              <w:jc w:val="both"/>
              <w:rPr>
                <w:rFonts w:eastAsia="Calibri"/>
                <w:sz w:val="22"/>
                <w:szCs w:val="22"/>
                <w:lang w:val="sr-Latn-ME"/>
              </w:rPr>
            </w:pPr>
            <w:r w:rsidRPr="00F85CA6">
              <w:rPr>
                <w:rFonts w:eastAsia="Calibri"/>
                <w:sz w:val="22"/>
                <w:szCs w:val="22"/>
                <w:lang w:val="sr-Latn-ME"/>
              </w:rPr>
              <w:t>rijetko</w:t>
            </w:r>
          </w:p>
        </w:tc>
        <w:tc>
          <w:tcPr>
            <w:tcW w:w="1063" w:type="pct"/>
          </w:tcPr>
          <w:p w14:paraId="128EF693"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w:t>
            </w:r>
          </w:p>
        </w:tc>
        <w:tc>
          <w:tcPr>
            <w:tcW w:w="1063" w:type="pct"/>
          </w:tcPr>
          <w:p w14:paraId="119620E6"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w:t>
            </w:r>
          </w:p>
        </w:tc>
      </w:tr>
      <w:tr w:rsidR="007E29AA" w:rsidRPr="00F85CA6" w14:paraId="03FB62F6" w14:textId="77777777" w:rsidTr="001239C3">
        <w:trPr>
          <w:trHeight w:val="20"/>
          <w:jc w:val="center"/>
        </w:trPr>
        <w:tc>
          <w:tcPr>
            <w:tcW w:w="1647" w:type="pct"/>
          </w:tcPr>
          <w:p w14:paraId="015974D7" w14:textId="77777777" w:rsidR="007E29AA" w:rsidRPr="00F85CA6" w:rsidRDefault="007E29AA" w:rsidP="007E29AA">
            <w:pPr>
              <w:ind w:firstLine="196"/>
              <w:jc w:val="both"/>
              <w:rPr>
                <w:rFonts w:eastAsia="Calibri"/>
                <w:sz w:val="22"/>
                <w:szCs w:val="22"/>
                <w:lang w:val="sr-Latn-ME"/>
              </w:rPr>
            </w:pPr>
            <w:r w:rsidRPr="00F85CA6">
              <w:rPr>
                <w:rFonts w:eastAsia="Calibri"/>
                <w:sz w:val="22"/>
                <w:szCs w:val="22"/>
                <w:lang w:val="sr-Latn-ME"/>
              </w:rPr>
              <w:t xml:space="preserve">Postproceduralna drenaža </w:t>
            </w:r>
          </w:p>
        </w:tc>
        <w:tc>
          <w:tcPr>
            <w:tcW w:w="1227" w:type="pct"/>
          </w:tcPr>
          <w:p w14:paraId="5FE405B0" w14:textId="102803E3" w:rsidR="007E29AA" w:rsidRPr="00F85CA6" w:rsidRDefault="007E29AA" w:rsidP="007E29AA">
            <w:pPr>
              <w:jc w:val="both"/>
              <w:rPr>
                <w:rFonts w:eastAsia="Calibri"/>
                <w:sz w:val="22"/>
                <w:szCs w:val="22"/>
                <w:lang w:val="sr-Latn-ME"/>
              </w:rPr>
            </w:pPr>
            <w:r w:rsidRPr="00F85CA6">
              <w:rPr>
                <w:rFonts w:eastAsia="Calibri"/>
                <w:sz w:val="22"/>
                <w:szCs w:val="22"/>
                <w:lang w:val="sr-Latn-ME"/>
              </w:rPr>
              <w:t>rijetko</w:t>
            </w:r>
          </w:p>
        </w:tc>
        <w:tc>
          <w:tcPr>
            <w:tcW w:w="1063" w:type="pct"/>
          </w:tcPr>
          <w:p w14:paraId="49BB29DF"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w:t>
            </w:r>
          </w:p>
        </w:tc>
        <w:tc>
          <w:tcPr>
            <w:tcW w:w="1063" w:type="pct"/>
          </w:tcPr>
          <w:p w14:paraId="2C423BC3"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w:t>
            </w:r>
          </w:p>
        </w:tc>
      </w:tr>
    </w:tbl>
    <w:p w14:paraId="5E1036E8" w14:textId="77777777" w:rsidR="007E29AA" w:rsidRPr="00F85CA6" w:rsidRDefault="007E29AA" w:rsidP="007E29AA">
      <w:pPr>
        <w:jc w:val="both"/>
        <w:rPr>
          <w:rFonts w:eastAsia="Calibri"/>
          <w:sz w:val="22"/>
          <w:szCs w:val="22"/>
          <w:lang w:val="sr-Latn-ME" w:bidi="en-US"/>
        </w:rPr>
      </w:pPr>
    </w:p>
    <w:p w14:paraId="2F173D52" w14:textId="77777777" w:rsidR="007E29AA" w:rsidRPr="00F85CA6" w:rsidRDefault="007E29AA" w:rsidP="007E29AA">
      <w:pPr>
        <w:jc w:val="both"/>
        <w:rPr>
          <w:rFonts w:eastAsia="Calibri"/>
          <w:sz w:val="22"/>
          <w:szCs w:val="22"/>
          <w:u w:val="single"/>
          <w:lang w:val="sr-Latn-ME"/>
        </w:rPr>
      </w:pPr>
      <w:r w:rsidRPr="00F85CA6">
        <w:rPr>
          <w:rFonts w:eastAsia="Calibri"/>
          <w:sz w:val="22"/>
          <w:szCs w:val="22"/>
          <w:u w:val="single"/>
          <w:lang w:val="sr-Latn-ME"/>
        </w:rPr>
        <w:t>Opis odabranih neželjenih reakcija</w:t>
      </w:r>
    </w:p>
    <w:p w14:paraId="299840DE" w14:textId="77777777" w:rsidR="007E29AA" w:rsidRPr="00F85CA6" w:rsidRDefault="007E29AA" w:rsidP="007E29AA">
      <w:pPr>
        <w:jc w:val="both"/>
        <w:rPr>
          <w:rFonts w:eastAsia="Calibri"/>
          <w:sz w:val="22"/>
          <w:szCs w:val="22"/>
          <w:u w:val="single"/>
          <w:lang w:val="sr-Latn-ME"/>
        </w:rPr>
      </w:pPr>
    </w:p>
    <w:p w14:paraId="50FD4277" w14:textId="77777777" w:rsidR="007E29AA" w:rsidRPr="00F85CA6" w:rsidRDefault="007E29AA" w:rsidP="007E29AA">
      <w:pPr>
        <w:jc w:val="both"/>
        <w:rPr>
          <w:rFonts w:eastAsia="Calibri"/>
          <w:bCs/>
          <w:i/>
          <w:sz w:val="22"/>
          <w:szCs w:val="22"/>
          <w:u w:val="single"/>
          <w:lang w:val="sr-Latn-ME"/>
        </w:rPr>
      </w:pPr>
      <w:r w:rsidRPr="00F85CA6">
        <w:rPr>
          <w:rFonts w:eastAsia="Calibri"/>
          <w:bCs/>
          <w:i/>
          <w:sz w:val="22"/>
          <w:szCs w:val="22"/>
          <w:u w:val="single"/>
          <w:lang w:val="sr-Latn-ME"/>
        </w:rPr>
        <w:t>Reakcije krvarenja</w:t>
      </w:r>
    </w:p>
    <w:p w14:paraId="1EEBA374" w14:textId="77777777" w:rsidR="007E29AA" w:rsidRPr="00F85CA6" w:rsidRDefault="007E29AA" w:rsidP="007E29AA">
      <w:pPr>
        <w:jc w:val="both"/>
        <w:rPr>
          <w:rFonts w:eastAsia="Calibri"/>
          <w:bCs/>
          <w:i/>
          <w:sz w:val="22"/>
          <w:szCs w:val="22"/>
          <w:u w:val="single"/>
          <w:lang w:val="sr-Latn-ME"/>
        </w:rPr>
      </w:pPr>
    </w:p>
    <w:p w14:paraId="50EA52E9" w14:textId="5267ABC6" w:rsidR="007E29AA" w:rsidRPr="00F85CA6" w:rsidRDefault="007E29AA" w:rsidP="007E29AA">
      <w:pPr>
        <w:jc w:val="both"/>
        <w:rPr>
          <w:rFonts w:eastAsia="Calibri"/>
          <w:sz w:val="22"/>
          <w:szCs w:val="22"/>
          <w:lang w:val="sr-Latn-ME"/>
        </w:rPr>
      </w:pPr>
      <w:r w:rsidRPr="00F85CA6">
        <w:rPr>
          <w:rFonts w:eastAsia="Calibri"/>
          <w:sz w:val="22"/>
          <w:szCs w:val="22"/>
          <w:lang w:val="sr-Latn-ME"/>
        </w:rPr>
        <w:t>Zbog farmakološkog načina dejstva, primjena dabigatraneteksilata može da bude povezana sa povećanim rizikom od okultnog ili vidljivog krvarenja iz bilo kog tkiva ili organa. Znaci, simptomi i težina (uključujući smrtni ishod) razlikovaće se zavisno od mjesta i stepena ili obimnosti krvarenja i/ili anemije. U kliničkim studijama češća su bila krvarenja iz sluzokože (npr. gastrointestinalno, urogenitalno) tokom dugotrajne terapije dabigatrane</w:t>
      </w:r>
      <w:r w:rsidR="00E869DB" w:rsidRPr="00F85CA6">
        <w:rPr>
          <w:rFonts w:eastAsia="Calibri"/>
          <w:sz w:val="22"/>
          <w:szCs w:val="22"/>
          <w:lang w:val="sr-Latn-ME"/>
        </w:rPr>
        <w:t xml:space="preserve"> </w:t>
      </w:r>
      <w:r w:rsidRPr="00F85CA6">
        <w:rPr>
          <w:rFonts w:eastAsia="Calibri"/>
          <w:sz w:val="22"/>
          <w:szCs w:val="22"/>
          <w:lang w:val="sr-Latn-ME"/>
        </w:rPr>
        <w:t>teksilatom u poređenju sa terapijom antagonistima vitamina K (VKA). Stoga, uz odgovarajuće kliničko praćenje, korisno je i laboratorijsko određivanje hemoglobina/hematokrita za otkrivanje okultnog krvarenja. Rizik od krvarenja može biti povećan kod određenih grupa pacijenata, npr. pacijenata sa um</w:t>
      </w:r>
      <w:r w:rsidR="00E13062" w:rsidRPr="00F85CA6">
        <w:rPr>
          <w:rFonts w:eastAsia="Calibri"/>
          <w:sz w:val="22"/>
          <w:szCs w:val="22"/>
          <w:lang w:val="sr-Latn-ME"/>
        </w:rPr>
        <w:t>j</w:t>
      </w:r>
      <w:r w:rsidRPr="00F85CA6">
        <w:rPr>
          <w:rFonts w:eastAsia="Calibri"/>
          <w:sz w:val="22"/>
          <w:szCs w:val="22"/>
          <w:lang w:val="sr-Latn-ME"/>
        </w:rPr>
        <w:t xml:space="preserve">erenim oštećenjem funkcije bubrega i/ili na istovremenoj terapiji koja utiče na hemostazu ili na terapiji snažnim P-gp inhibitorima (vidjeti </w:t>
      </w:r>
      <w:r w:rsidR="00E13062" w:rsidRPr="00F85CA6">
        <w:rPr>
          <w:rFonts w:eastAsia="Calibri"/>
          <w:sz w:val="22"/>
          <w:szCs w:val="22"/>
          <w:lang w:val="sr-Latn-ME"/>
        </w:rPr>
        <w:t>dio</w:t>
      </w:r>
      <w:r w:rsidRPr="00F85CA6">
        <w:rPr>
          <w:rFonts w:eastAsia="Calibri"/>
          <w:sz w:val="22"/>
          <w:szCs w:val="22"/>
          <w:lang w:val="sr-Latn-ME"/>
        </w:rPr>
        <w:t xml:space="preserve"> 4.4 Rizik od krvarenja). Hemoragijske komplikacije mogu se manifestovati kao slabost, bl</w:t>
      </w:r>
      <w:r w:rsidR="00E869DB" w:rsidRPr="00F85CA6">
        <w:rPr>
          <w:rFonts w:eastAsia="Calibri"/>
          <w:sz w:val="22"/>
          <w:szCs w:val="22"/>
          <w:lang w:val="sr-Latn-ME"/>
        </w:rPr>
        <w:t>j</w:t>
      </w:r>
      <w:r w:rsidRPr="00F85CA6">
        <w:rPr>
          <w:rFonts w:eastAsia="Calibri"/>
          <w:sz w:val="22"/>
          <w:szCs w:val="22"/>
          <w:lang w:val="sr-Latn-ME"/>
        </w:rPr>
        <w:t>edilo, vrtoglavica, glavobolja ili neobjašnjeno oticanje, dispnea i neobjašnjeni šok.</w:t>
      </w:r>
    </w:p>
    <w:p w14:paraId="487B9035" w14:textId="77777777" w:rsidR="007E29AA" w:rsidRPr="00F85CA6" w:rsidRDefault="007E29AA" w:rsidP="007E29AA">
      <w:pPr>
        <w:jc w:val="both"/>
        <w:rPr>
          <w:rFonts w:eastAsia="Calibri"/>
          <w:sz w:val="22"/>
          <w:szCs w:val="22"/>
          <w:lang w:val="sr-Latn-ME"/>
        </w:rPr>
      </w:pPr>
    </w:p>
    <w:p w14:paraId="475819BE" w14:textId="76698A52" w:rsidR="007E29AA" w:rsidRPr="00F85CA6" w:rsidRDefault="007E29AA" w:rsidP="007E29AA">
      <w:pPr>
        <w:jc w:val="both"/>
        <w:rPr>
          <w:rFonts w:eastAsia="Calibri"/>
          <w:sz w:val="22"/>
          <w:szCs w:val="22"/>
          <w:lang w:val="sr-Latn-ME"/>
        </w:rPr>
      </w:pPr>
      <w:r w:rsidRPr="00F85CA6">
        <w:rPr>
          <w:rFonts w:eastAsia="Calibri"/>
          <w:sz w:val="22"/>
          <w:szCs w:val="22"/>
          <w:lang w:val="sr-Latn-ME"/>
        </w:rPr>
        <w:t>U terapiji dabigatrane</w:t>
      </w:r>
      <w:r w:rsidR="00E869DB" w:rsidRPr="00F85CA6">
        <w:rPr>
          <w:rFonts w:eastAsia="Calibri"/>
          <w:sz w:val="22"/>
          <w:szCs w:val="22"/>
          <w:lang w:val="sr-Latn-ME"/>
        </w:rPr>
        <w:t xml:space="preserve"> </w:t>
      </w:r>
      <w:r w:rsidRPr="00F85CA6">
        <w:rPr>
          <w:rFonts w:eastAsia="Calibri"/>
          <w:sz w:val="22"/>
          <w:szCs w:val="22"/>
          <w:lang w:val="sr-Latn-ME"/>
        </w:rPr>
        <w:t>teksilatom prijavljene su poznate komplikacije krvarenja poput kompartment sindroma i akutne bubrežne insuficijencije zbog hipoperfuzije i nefropatija povezana sa antikoagulanasima kod pacijenata sa predisponirajućim faktorima rizika. Stoga je prilikom proc</w:t>
      </w:r>
      <w:r w:rsidR="000E6B2E" w:rsidRPr="00F85CA6">
        <w:rPr>
          <w:rFonts w:eastAsia="Calibri"/>
          <w:sz w:val="22"/>
          <w:szCs w:val="22"/>
          <w:lang w:val="sr-Latn-ME"/>
        </w:rPr>
        <w:t>j</w:t>
      </w:r>
      <w:r w:rsidRPr="00F85CA6">
        <w:rPr>
          <w:rFonts w:eastAsia="Calibri"/>
          <w:sz w:val="22"/>
          <w:szCs w:val="22"/>
          <w:lang w:val="sr-Latn-ME"/>
        </w:rPr>
        <w:t>ene stanja svakog pacijenta koji prima antikoagulantnu terapiju potrebno uzeti u obzir mogućnost krvarenja. U slučaju krvarenja koje se ne može kontrolisati, kod odraslih pacijenata dostupan je specifičan antagonista dabigatraneteksilata koji poništava njegovo dejstvo, idarucizumab (vid</w:t>
      </w:r>
      <w:r w:rsidR="000E6B2E" w:rsidRPr="00F85CA6">
        <w:rPr>
          <w:rFonts w:eastAsia="Calibri"/>
          <w:sz w:val="22"/>
          <w:szCs w:val="22"/>
          <w:lang w:val="sr-Latn-ME"/>
        </w:rPr>
        <w:t>j</w:t>
      </w:r>
      <w:r w:rsidRPr="00F85CA6">
        <w:rPr>
          <w:rFonts w:eastAsia="Calibri"/>
          <w:sz w:val="22"/>
          <w:szCs w:val="22"/>
          <w:lang w:val="sr-Latn-ME"/>
        </w:rPr>
        <w:t xml:space="preserve">eti </w:t>
      </w:r>
      <w:r w:rsidR="00E13062" w:rsidRPr="00F85CA6">
        <w:rPr>
          <w:rFonts w:eastAsia="Calibri"/>
          <w:sz w:val="22"/>
          <w:szCs w:val="22"/>
          <w:lang w:val="sr-Latn-ME"/>
        </w:rPr>
        <w:t>dio</w:t>
      </w:r>
      <w:r w:rsidRPr="00F85CA6">
        <w:rPr>
          <w:rFonts w:eastAsia="Calibri"/>
          <w:sz w:val="22"/>
          <w:szCs w:val="22"/>
          <w:lang w:val="sr-Latn-ME"/>
        </w:rPr>
        <w:t> 4.9).</w:t>
      </w:r>
    </w:p>
    <w:p w14:paraId="19E07BB9" w14:textId="77777777" w:rsidR="007E29AA" w:rsidRPr="00F85CA6" w:rsidRDefault="007E29AA" w:rsidP="007E29AA">
      <w:pPr>
        <w:jc w:val="both"/>
        <w:rPr>
          <w:rFonts w:eastAsia="Calibri"/>
          <w:sz w:val="22"/>
          <w:szCs w:val="22"/>
          <w:lang w:val="sr-Latn-ME"/>
        </w:rPr>
      </w:pPr>
    </w:p>
    <w:p w14:paraId="53F718AF" w14:textId="77777777" w:rsidR="007E29AA" w:rsidRPr="00F85CA6" w:rsidRDefault="007E29AA" w:rsidP="007E29AA">
      <w:pPr>
        <w:jc w:val="both"/>
        <w:rPr>
          <w:rFonts w:eastAsia="Calibri"/>
          <w:i/>
          <w:sz w:val="22"/>
          <w:szCs w:val="22"/>
          <w:lang w:val="sr-Latn-ME"/>
        </w:rPr>
      </w:pPr>
      <w:r w:rsidRPr="00F85CA6">
        <w:rPr>
          <w:rFonts w:eastAsia="Calibri"/>
          <w:i/>
          <w:sz w:val="22"/>
          <w:szCs w:val="22"/>
          <w:lang w:val="sr-Latn-ME"/>
        </w:rPr>
        <w:t>Primarna prevencija VTE u ortopedskoj hirurgiji</w:t>
      </w:r>
    </w:p>
    <w:p w14:paraId="497ADF6B" w14:textId="77777777" w:rsidR="007E29AA" w:rsidRPr="00F85CA6" w:rsidRDefault="007E29AA" w:rsidP="007E29AA">
      <w:pPr>
        <w:jc w:val="both"/>
        <w:rPr>
          <w:rFonts w:eastAsia="Calibri"/>
          <w:i/>
          <w:sz w:val="22"/>
          <w:szCs w:val="22"/>
          <w:lang w:val="sr-Latn-ME"/>
        </w:rPr>
      </w:pPr>
    </w:p>
    <w:p w14:paraId="09D9F0A7" w14:textId="4984A9C6" w:rsidR="007E29AA" w:rsidRPr="00F85CA6" w:rsidRDefault="007E29AA" w:rsidP="007E29AA">
      <w:pPr>
        <w:jc w:val="both"/>
        <w:rPr>
          <w:rFonts w:eastAsia="Calibri"/>
          <w:sz w:val="22"/>
          <w:szCs w:val="22"/>
          <w:lang w:val="sr-Latn-ME"/>
        </w:rPr>
      </w:pPr>
      <w:r w:rsidRPr="00F85CA6">
        <w:rPr>
          <w:rFonts w:eastAsia="Calibri"/>
          <w:sz w:val="22"/>
          <w:szCs w:val="22"/>
          <w:lang w:val="sr-Latn-ME"/>
        </w:rPr>
        <w:t>Tabela 13 prikazuje broj (%) pacijenata koji su u dva pivotalna klinička ispitivanja imali krvarenje kao neželjenu reakciju tokom terapije u prevenciji VTE, prema dozi l</w:t>
      </w:r>
      <w:r w:rsidR="000E6B2E" w:rsidRPr="00F85CA6">
        <w:rPr>
          <w:rFonts w:eastAsia="Calibri"/>
          <w:sz w:val="22"/>
          <w:szCs w:val="22"/>
          <w:lang w:val="sr-Latn-ME"/>
        </w:rPr>
        <w:t>ij</w:t>
      </w:r>
      <w:r w:rsidRPr="00F85CA6">
        <w:rPr>
          <w:rFonts w:eastAsia="Calibri"/>
          <w:sz w:val="22"/>
          <w:szCs w:val="22"/>
          <w:lang w:val="sr-Latn-ME"/>
        </w:rPr>
        <w:t>eka.</w:t>
      </w:r>
    </w:p>
    <w:p w14:paraId="08F1F5E9" w14:textId="77777777" w:rsidR="007E29AA" w:rsidRPr="00F85CA6" w:rsidRDefault="007E29AA" w:rsidP="007E29AA">
      <w:pPr>
        <w:jc w:val="both"/>
        <w:rPr>
          <w:rFonts w:eastAsia="Calibri"/>
          <w:sz w:val="22"/>
          <w:szCs w:val="22"/>
          <w:lang w:val="sr-Latn-ME"/>
        </w:rPr>
      </w:pPr>
    </w:p>
    <w:p w14:paraId="4573AACF" w14:textId="77777777" w:rsidR="007E29AA" w:rsidRPr="00F85CA6" w:rsidRDefault="007E29AA" w:rsidP="00685312">
      <w:pPr>
        <w:jc w:val="center"/>
        <w:rPr>
          <w:rFonts w:eastAsia="Calibri"/>
          <w:b/>
          <w:bCs/>
          <w:sz w:val="22"/>
          <w:szCs w:val="22"/>
          <w:lang w:val="sr-Latn-ME"/>
        </w:rPr>
      </w:pPr>
      <w:r w:rsidRPr="00F85CA6">
        <w:rPr>
          <w:rFonts w:eastAsia="Calibri"/>
          <w:b/>
          <w:bCs/>
          <w:sz w:val="22"/>
          <w:szCs w:val="22"/>
          <w:lang w:val="sr-Latn-ME"/>
        </w:rPr>
        <w:t>Tabela 13: Broj (%) pacijenata koji su imali krvarenje kao neželjenu reakciju</w:t>
      </w:r>
    </w:p>
    <w:p w14:paraId="016CA5C3" w14:textId="77777777" w:rsidR="007E29AA" w:rsidRPr="00F85CA6" w:rsidRDefault="007E29AA" w:rsidP="007E29AA">
      <w:pPr>
        <w:jc w:val="both"/>
        <w:rPr>
          <w:rFonts w:eastAsia="Calibri"/>
          <w:b/>
          <w:bCs/>
          <w:sz w:val="22"/>
          <w:szCs w:val="22"/>
          <w:lang w:val="sr-Latn-ME"/>
        </w:rPr>
      </w:pPr>
    </w:p>
    <w:tbl>
      <w:tblPr>
        <w:tblW w:w="5000" w:type="pct"/>
        <w:tblBorders>
          <w:top w:val="nil"/>
          <w:left w:val="nil"/>
          <w:bottom w:val="nil"/>
          <w:right w:val="nil"/>
        </w:tblBorders>
        <w:tblCellMar>
          <w:left w:w="85" w:type="dxa"/>
          <w:right w:w="85" w:type="dxa"/>
        </w:tblCellMar>
        <w:tblLook w:val="0000" w:firstRow="0" w:lastRow="0" w:firstColumn="0" w:lastColumn="0" w:noHBand="0" w:noVBand="0"/>
      </w:tblPr>
      <w:tblGrid>
        <w:gridCol w:w="2624"/>
        <w:gridCol w:w="2227"/>
        <w:gridCol w:w="2227"/>
        <w:gridCol w:w="1983"/>
      </w:tblGrid>
      <w:tr w:rsidR="007E29AA" w:rsidRPr="00F85CA6" w14:paraId="2D3C23A4" w14:textId="77777777" w:rsidTr="001239C3">
        <w:trPr>
          <w:trHeight w:val="20"/>
        </w:trPr>
        <w:tc>
          <w:tcPr>
            <w:tcW w:w="1448" w:type="pct"/>
            <w:tcBorders>
              <w:top w:val="single" w:sz="5" w:space="0" w:color="000000"/>
              <w:left w:val="single" w:sz="5" w:space="0" w:color="000000"/>
              <w:bottom w:val="single" w:sz="5" w:space="0" w:color="000000"/>
              <w:right w:val="single" w:sz="5" w:space="0" w:color="000000"/>
            </w:tcBorders>
            <w:vAlign w:val="center"/>
          </w:tcPr>
          <w:p w14:paraId="401FE628" w14:textId="77777777" w:rsidR="007E29AA" w:rsidRPr="00F85CA6" w:rsidRDefault="007E29AA" w:rsidP="007E29AA">
            <w:pPr>
              <w:jc w:val="both"/>
              <w:rPr>
                <w:rFonts w:eastAsia="Calibri"/>
                <w:sz w:val="22"/>
                <w:szCs w:val="22"/>
                <w:lang w:val="sr-Latn-ME"/>
              </w:rPr>
            </w:pPr>
          </w:p>
        </w:tc>
        <w:tc>
          <w:tcPr>
            <w:tcW w:w="1229" w:type="pct"/>
            <w:tcBorders>
              <w:top w:val="single" w:sz="5" w:space="0" w:color="000000"/>
              <w:left w:val="single" w:sz="5" w:space="0" w:color="000000"/>
              <w:bottom w:val="single" w:sz="5" w:space="0" w:color="000000"/>
              <w:right w:val="single" w:sz="5" w:space="0" w:color="000000"/>
            </w:tcBorders>
            <w:vAlign w:val="center"/>
          </w:tcPr>
          <w:p w14:paraId="22CD6ED7" w14:textId="19AF64CE" w:rsidR="007E29AA" w:rsidRPr="00F85CA6" w:rsidRDefault="007E29AA" w:rsidP="007E29AA">
            <w:pPr>
              <w:jc w:val="center"/>
              <w:rPr>
                <w:rFonts w:eastAsia="Calibri"/>
                <w:sz w:val="22"/>
                <w:szCs w:val="22"/>
                <w:lang w:val="sr-Latn-ME"/>
              </w:rPr>
            </w:pPr>
            <w:r w:rsidRPr="00F85CA6">
              <w:rPr>
                <w:rFonts w:eastAsia="Calibri"/>
                <w:sz w:val="22"/>
                <w:szCs w:val="22"/>
                <w:lang w:val="sr-Latn-ME"/>
              </w:rPr>
              <w:t>Dabigatrane</w:t>
            </w:r>
            <w:r w:rsidR="00E869DB" w:rsidRPr="00F85CA6">
              <w:rPr>
                <w:rFonts w:eastAsia="Calibri"/>
                <w:sz w:val="22"/>
                <w:szCs w:val="22"/>
                <w:lang w:val="sr-Latn-ME"/>
              </w:rPr>
              <w:t xml:space="preserve"> </w:t>
            </w:r>
            <w:r w:rsidRPr="00F85CA6">
              <w:rPr>
                <w:rFonts w:eastAsia="Calibri"/>
                <w:sz w:val="22"/>
                <w:szCs w:val="22"/>
                <w:lang w:val="sr-Latn-ME"/>
              </w:rPr>
              <w:t>teksilat 150 mg jednom dnevno N (%)</w:t>
            </w:r>
          </w:p>
        </w:tc>
        <w:tc>
          <w:tcPr>
            <w:tcW w:w="1229" w:type="pct"/>
            <w:tcBorders>
              <w:top w:val="single" w:sz="5" w:space="0" w:color="000000"/>
              <w:left w:val="single" w:sz="5" w:space="0" w:color="000000"/>
              <w:bottom w:val="single" w:sz="5" w:space="0" w:color="000000"/>
              <w:right w:val="single" w:sz="5" w:space="0" w:color="000000"/>
            </w:tcBorders>
            <w:vAlign w:val="center"/>
          </w:tcPr>
          <w:p w14:paraId="3E21F909" w14:textId="5DE02D21" w:rsidR="007E29AA" w:rsidRPr="00F85CA6" w:rsidRDefault="007E29AA" w:rsidP="007E29AA">
            <w:pPr>
              <w:jc w:val="center"/>
              <w:rPr>
                <w:rFonts w:eastAsia="Calibri"/>
                <w:sz w:val="22"/>
                <w:szCs w:val="22"/>
                <w:lang w:val="sr-Latn-ME"/>
              </w:rPr>
            </w:pPr>
            <w:r w:rsidRPr="00F85CA6">
              <w:rPr>
                <w:rFonts w:eastAsia="Calibri"/>
                <w:sz w:val="22"/>
                <w:szCs w:val="22"/>
                <w:lang w:val="sr-Latn-ME"/>
              </w:rPr>
              <w:t>Dabigatrane</w:t>
            </w:r>
            <w:r w:rsidR="00E869DB" w:rsidRPr="00F85CA6">
              <w:rPr>
                <w:rFonts w:eastAsia="Calibri"/>
                <w:sz w:val="22"/>
                <w:szCs w:val="22"/>
                <w:lang w:val="sr-Latn-ME"/>
              </w:rPr>
              <w:t xml:space="preserve"> </w:t>
            </w:r>
            <w:r w:rsidRPr="00F85CA6">
              <w:rPr>
                <w:rFonts w:eastAsia="Calibri"/>
                <w:sz w:val="22"/>
                <w:szCs w:val="22"/>
                <w:lang w:val="sr-Latn-ME"/>
              </w:rPr>
              <w:t>teksilat 220 mg jednom dnevno N (%)</w:t>
            </w:r>
          </w:p>
        </w:tc>
        <w:tc>
          <w:tcPr>
            <w:tcW w:w="1094" w:type="pct"/>
            <w:tcBorders>
              <w:top w:val="single" w:sz="5" w:space="0" w:color="000000"/>
              <w:left w:val="single" w:sz="5" w:space="0" w:color="000000"/>
              <w:bottom w:val="single" w:sz="5" w:space="0" w:color="000000"/>
              <w:right w:val="single" w:sz="5" w:space="0" w:color="000000"/>
            </w:tcBorders>
            <w:vAlign w:val="center"/>
          </w:tcPr>
          <w:p w14:paraId="385B9A53"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Enoksaparin N (%)</w:t>
            </w:r>
          </w:p>
        </w:tc>
      </w:tr>
      <w:tr w:rsidR="007E29AA" w:rsidRPr="00F85CA6" w14:paraId="54FF16B5" w14:textId="77777777" w:rsidTr="001239C3">
        <w:trPr>
          <w:trHeight w:val="20"/>
        </w:trPr>
        <w:tc>
          <w:tcPr>
            <w:tcW w:w="1448" w:type="pct"/>
            <w:tcBorders>
              <w:top w:val="single" w:sz="5" w:space="0" w:color="000000"/>
              <w:left w:val="single" w:sz="5" w:space="0" w:color="000000"/>
              <w:bottom w:val="single" w:sz="5" w:space="0" w:color="000000"/>
              <w:right w:val="single" w:sz="5" w:space="0" w:color="000000"/>
            </w:tcBorders>
            <w:vAlign w:val="center"/>
          </w:tcPr>
          <w:p w14:paraId="77301AF9" w14:textId="56B0E367" w:rsidR="007E29AA" w:rsidRPr="00F85CA6" w:rsidRDefault="007E29AA" w:rsidP="007E29AA">
            <w:pPr>
              <w:jc w:val="both"/>
              <w:rPr>
                <w:rFonts w:eastAsia="Calibri"/>
                <w:sz w:val="22"/>
                <w:szCs w:val="22"/>
                <w:lang w:val="sr-Latn-ME"/>
              </w:rPr>
            </w:pPr>
            <w:r w:rsidRPr="00F85CA6">
              <w:rPr>
                <w:rFonts w:eastAsia="Calibri"/>
                <w:sz w:val="22"/>
                <w:szCs w:val="22"/>
                <w:lang w:val="sr-Latn-ME"/>
              </w:rPr>
              <w:t>L</w:t>
            </w:r>
            <w:r w:rsidR="00E13062" w:rsidRPr="00F85CA6">
              <w:rPr>
                <w:rFonts w:eastAsia="Calibri"/>
                <w:sz w:val="22"/>
                <w:szCs w:val="22"/>
                <w:lang w:val="sr-Latn-ME"/>
              </w:rPr>
              <w:t>i</w:t>
            </w:r>
            <w:r w:rsidR="000E6B2E" w:rsidRPr="00F85CA6">
              <w:rPr>
                <w:rFonts w:eastAsia="Calibri"/>
                <w:sz w:val="22"/>
                <w:szCs w:val="22"/>
                <w:lang w:val="sr-Latn-ME"/>
              </w:rPr>
              <w:t>j</w:t>
            </w:r>
            <w:r w:rsidRPr="00F85CA6">
              <w:rPr>
                <w:rFonts w:eastAsia="Calibri"/>
                <w:sz w:val="22"/>
                <w:szCs w:val="22"/>
                <w:lang w:val="sr-Latn-ME"/>
              </w:rPr>
              <w:t>ečeni</w:t>
            </w:r>
            <w:r w:rsidR="00E13062" w:rsidRPr="00F85CA6">
              <w:rPr>
                <w:rFonts w:eastAsia="Calibri"/>
                <w:sz w:val="22"/>
                <w:szCs w:val="22"/>
                <w:lang w:val="sr-Latn-ME"/>
              </w:rPr>
              <w:t xml:space="preserve"> pacijenti</w:t>
            </w:r>
          </w:p>
        </w:tc>
        <w:tc>
          <w:tcPr>
            <w:tcW w:w="1229" w:type="pct"/>
            <w:tcBorders>
              <w:top w:val="single" w:sz="5" w:space="0" w:color="000000"/>
              <w:left w:val="single" w:sz="5" w:space="0" w:color="000000"/>
              <w:bottom w:val="single" w:sz="5" w:space="0" w:color="000000"/>
              <w:right w:val="single" w:sz="5" w:space="0" w:color="000000"/>
            </w:tcBorders>
            <w:vAlign w:val="center"/>
          </w:tcPr>
          <w:p w14:paraId="0B87BED7"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1866 (100,0)</w:t>
            </w:r>
          </w:p>
        </w:tc>
        <w:tc>
          <w:tcPr>
            <w:tcW w:w="1229" w:type="pct"/>
            <w:tcBorders>
              <w:top w:val="single" w:sz="5" w:space="0" w:color="000000"/>
              <w:left w:val="single" w:sz="5" w:space="0" w:color="000000"/>
              <w:bottom w:val="single" w:sz="5" w:space="0" w:color="000000"/>
              <w:right w:val="single" w:sz="5" w:space="0" w:color="000000"/>
            </w:tcBorders>
            <w:vAlign w:val="center"/>
          </w:tcPr>
          <w:p w14:paraId="71B105A9"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1825 (100,0)</w:t>
            </w:r>
          </w:p>
        </w:tc>
        <w:tc>
          <w:tcPr>
            <w:tcW w:w="1094" w:type="pct"/>
            <w:tcBorders>
              <w:top w:val="single" w:sz="5" w:space="0" w:color="000000"/>
              <w:left w:val="single" w:sz="5" w:space="0" w:color="000000"/>
              <w:bottom w:val="single" w:sz="5" w:space="0" w:color="000000"/>
              <w:right w:val="single" w:sz="5" w:space="0" w:color="000000"/>
            </w:tcBorders>
            <w:vAlign w:val="center"/>
          </w:tcPr>
          <w:p w14:paraId="2F331025"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1848 (100,0)</w:t>
            </w:r>
          </w:p>
        </w:tc>
      </w:tr>
      <w:tr w:rsidR="007E29AA" w:rsidRPr="00F85CA6" w14:paraId="14B686D6" w14:textId="77777777" w:rsidTr="001239C3">
        <w:trPr>
          <w:trHeight w:val="20"/>
        </w:trPr>
        <w:tc>
          <w:tcPr>
            <w:tcW w:w="1448" w:type="pct"/>
            <w:tcBorders>
              <w:top w:val="single" w:sz="5" w:space="0" w:color="000000"/>
              <w:left w:val="single" w:sz="5" w:space="0" w:color="000000"/>
              <w:bottom w:val="single" w:sz="5" w:space="0" w:color="000000"/>
              <w:right w:val="single" w:sz="5" w:space="0" w:color="000000"/>
            </w:tcBorders>
            <w:vAlign w:val="center"/>
          </w:tcPr>
          <w:p w14:paraId="59171198" w14:textId="77777777" w:rsidR="007E29AA" w:rsidRPr="00F85CA6" w:rsidRDefault="007E29AA" w:rsidP="007E29AA">
            <w:pPr>
              <w:jc w:val="both"/>
              <w:rPr>
                <w:rFonts w:eastAsia="Calibri"/>
                <w:sz w:val="22"/>
                <w:szCs w:val="22"/>
                <w:lang w:val="sr-Latn-ME"/>
              </w:rPr>
            </w:pPr>
            <w:r w:rsidRPr="00F85CA6">
              <w:rPr>
                <w:rFonts w:eastAsia="Calibri"/>
                <w:sz w:val="22"/>
                <w:szCs w:val="22"/>
                <w:lang w:val="sr-Latn-ME"/>
              </w:rPr>
              <w:t>Obilnije krvarenje</w:t>
            </w:r>
          </w:p>
        </w:tc>
        <w:tc>
          <w:tcPr>
            <w:tcW w:w="1229" w:type="pct"/>
            <w:tcBorders>
              <w:top w:val="single" w:sz="5" w:space="0" w:color="000000"/>
              <w:left w:val="single" w:sz="5" w:space="0" w:color="000000"/>
              <w:bottom w:val="single" w:sz="5" w:space="0" w:color="000000"/>
              <w:right w:val="single" w:sz="5" w:space="0" w:color="000000"/>
            </w:tcBorders>
            <w:vAlign w:val="center"/>
          </w:tcPr>
          <w:p w14:paraId="650AC703"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24 (1,3)</w:t>
            </w:r>
          </w:p>
        </w:tc>
        <w:tc>
          <w:tcPr>
            <w:tcW w:w="1229" w:type="pct"/>
            <w:tcBorders>
              <w:top w:val="single" w:sz="5" w:space="0" w:color="000000"/>
              <w:left w:val="single" w:sz="5" w:space="0" w:color="000000"/>
              <w:bottom w:val="single" w:sz="5" w:space="0" w:color="000000"/>
              <w:right w:val="single" w:sz="5" w:space="0" w:color="000000"/>
            </w:tcBorders>
            <w:vAlign w:val="center"/>
          </w:tcPr>
          <w:p w14:paraId="6981B347"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33 (1,8)</w:t>
            </w:r>
          </w:p>
        </w:tc>
        <w:tc>
          <w:tcPr>
            <w:tcW w:w="1094" w:type="pct"/>
            <w:tcBorders>
              <w:top w:val="single" w:sz="5" w:space="0" w:color="000000"/>
              <w:left w:val="single" w:sz="5" w:space="0" w:color="000000"/>
              <w:bottom w:val="single" w:sz="5" w:space="0" w:color="000000"/>
              <w:right w:val="single" w:sz="5" w:space="0" w:color="000000"/>
            </w:tcBorders>
            <w:vAlign w:val="center"/>
          </w:tcPr>
          <w:p w14:paraId="2FC787EE"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27 (1,5)</w:t>
            </w:r>
          </w:p>
        </w:tc>
      </w:tr>
      <w:tr w:rsidR="007E29AA" w:rsidRPr="00F85CA6" w14:paraId="19CDA2DD" w14:textId="77777777" w:rsidTr="001239C3">
        <w:trPr>
          <w:trHeight w:val="20"/>
        </w:trPr>
        <w:tc>
          <w:tcPr>
            <w:tcW w:w="1448" w:type="pct"/>
            <w:tcBorders>
              <w:top w:val="single" w:sz="5" w:space="0" w:color="000000"/>
              <w:left w:val="single" w:sz="5" w:space="0" w:color="000000"/>
              <w:bottom w:val="single" w:sz="5" w:space="0" w:color="000000"/>
              <w:right w:val="single" w:sz="5" w:space="0" w:color="000000"/>
            </w:tcBorders>
            <w:vAlign w:val="center"/>
          </w:tcPr>
          <w:p w14:paraId="395F7D42" w14:textId="77777777" w:rsidR="007E29AA" w:rsidRPr="00F85CA6" w:rsidRDefault="007E29AA" w:rsidP="007E29AA">
            <w:pPr>
              <w:jc w:val="both"/>
              <w:rPr>
                <w:rFonts w:eastAsia="Calibri"/>
                <w:sz w:val="22"/>
                <w:szCs w:val="22"/>
                <w:lang w:val="sr-Latn-ME"/>
              </w:rPr>
            </w:pPr>
            <w:r w:rsidRPr="00F85CA6">
              <w:rPr>
                <w:rFonts w:eastAsia="Calibri"/>
                <w:sz w:val="22"/>
                <w:szCs w:val="22"/>
                <w:lang w:val="sr-Latn-ME"/>
              </w:rPr>
              <w:lastRenderedPageBreak/>
              <w:t>Bilo koje krvarenje</w:t>
            </w:r>
          </w:p>
        </w:tc>
        <w:tc>
          <w:tcPr>
            <w:tcW w:w="1229" w:type="pct"/>
            <w:tcBorders>
              <w:top w:val="single" w:sz="5" w:space="0" w:color="000000"/>
              <w:left w:val="single" w:sz="5" w:space="0" w:color="000000"/>
              <w:bottom w:val="single" w:sz="5" w:space="0" w:color="000000"/>
              <w:right w:val="single" w:sz="5" w:space="0" w:color="000000"/>
            </w:tcBorders>
            <w:vAlign w:val="center"/>
          </w:tcPr>
          <w:p w14:paraId="1F552BB0"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258 (13,8)</w:t>
            </w:r>
          </w:p>
        </w:tc>
        <w:tc>
          <w:tcPr>
            <w:tcW w:w="1229" w:type="pct"/>
            <w:tcBorders>
              <w:top w:val="single" w:sz="5" w:space="0" w:color="000000"/>
              <w:left w:val="single" w:sz="5" w:space="0" w:color="000000"/>
              <w:bottom w:val="single" w:sz="5" w:space="0" w:color="000000"/>
              <w:right w:val="single" w:sz="5" w:space="0" w:color="000000"/>
            </w:tcBorders>
            <w:vAlign w:val="center"/>
          </w:tcPr>
          <w:p w14:paraId="2179C932"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251 (13,8)</w:t>
            </w:r>
          </w:p>
        </w:tc>
        <w:tc>
          <w:tcPr>
            <w:tcW w:w="1094" w:type="pct"/>
            <w:tcBorders>
              <w:top w:val="single" w:sz="5" w:space="0" w:color="000000"/>
              <w:left w:val="single" w:sz="5" w:space="0" w:color="000000"/>
              <w:bottom w:val="single" w:sz="5" w:space="0" w:color="000000"/>
              <w:right w:val="single" w:sz="5" w:space="0" w:color="000000"/>
            </w:tcBorders>
            <w:vAlign w:val="center"/>
          </w:tcPr>
          <w:p w14:paraId="582836DD"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247 (13,4)</w:t>
            </w:r>
          </w:p>
        </w:tc>
      </w:tr>
    </w:tbl>
    <w:p w14:paraId="00EDC551" w14:textId="77777777" w:rsidR="007E29AA" w:rsidRPr="00F85CA6" w:rsidRDefault="007E29AA" w:rsidP="007E29AA">
      <w:pPr>
        <w:jc w:val="both"/>
        <w:rPr>
          <w:rFonts w:eastAsia="Calibri"/>
          <w:sz w:val="22"/>
          <w:szCs w:val="22"/>
          <w:lang w:val="sr-Latn-ME"/>
        </w:rPr>
      </w:pPr>
    </w:p>
    <w:p w14:paraId="3CB75D69" w14:textId="77777777" w:rsidR="007E29AA" w:rsidRPr="00F85CA6" w:rsidRDefault="007E29AA" w:rsidP="007E29AA">
      <w:pPr>
        <w:jc w:val="both"/>
        <w:rPr>
          <w:rFonts w:eastAsia="Calibri"/>
          <w:i/>
          <w:iCs/>
          <w:sz w:val="22"/>
          <w:szCs w:val="22"/>
          <w:lang w:val="sr-Latn-ME"/>
        </w:rPr>
      </w:pPr>
      <w:r w:rsidRPr="00F85CA6">
        <w:rPr>
          <w:rFonts w:eastAsia="Calibri"/>
          <w:i/>
          <w:iCs/>
          <w:sz w:val="22"/>
          <w:szCs w:val="22"/>
          <w:lang w:val="sr-Latn-ME"/>
        </w:rPr>
        <w:t>Prevencija moždanog udara i sistemske embolije kod odraslih pacijenata sa nevalvularnom atrijalnom fibrilacijom sa jednim ili više faktora rizika</w:t>
      </w:r>
    </w:p>
    <w:p w14:paraId="61876CB2" w14:textId="77777777" w:rsidR="007E29AA" w:rsidRPr="00F85CA6" w:rsidRDefault="007E29AA" w:rsidP="007E29AA">
      <w:pPr>
        <w:jc w:val="both"/>
        <w:rPr>
          <w:rFonts w:eastAsia="Calibri"/>
          <w:i/>
          <w:iCs/>
          <w:sz w:val="22"/>
          <w:szCs w:val="22"/>
          <w:lang w:val="sr-Latn-ME"/>
        </w:rPr>
      </w:pPr>
    </w:p>
    <w:p w14:paraId="2361CF05" w14:textId="77777777" w:rsidR="007E29AA" w:rsidRPr="00F85CA6" w:rsidRDefault="007E29AA" w:rsidP="007E29AA">
      <w:pPr>
        <w:jc w:val="both"/>
        <w:rPr>
          <w:rFonts w:eastAsia="Calibri"/>
          <w:sz w:val="22"/>
          <w:szCs w:val="22"/>
          <w:lang w:val="sr-Latn-ME"/>
        </w:rPr>
      </w:pPr>
      <w:r w:rsidRPr="00F85CA6">
        <w:rPr>
          <w:rFonts w:eastAsia="Calibri"/>
          <w:sz w:val="22"/>
          <w:szCs w:val="22"/>
          <w:lang w:val="sr-Latn-ME"/>
        </w:rPr>
        <w:t>U Tabeli 14 su prikazani događaji krvarenja razloženi na obilnija i bilo koja krvarenja u pivotalnoj studiji u kojoj je ispitivana prevencija tromboembolijskog moždanog udara i sistemske embolije kod pacijenata sa atrijalnom fibrilacijom.</w:t>
      </w:r>
    </w:p>
    <w:p w14:paraId="7A4FAAEF" w14:textId="77777777" w:rsidR="007E29AA" w:rsidRPr="00F85CA6" w:rsidRDefault="007E29AA" w:rsidP="007E29AA">
      <w:pPr>
        <w:jc w:val="both"/>
        <w:rPr>
          <w:rFonts w:eastAsia="Calibri"/>
          <w:i/>
          <w:iCs/>
          <w:sz w:val="22"/>
          <w:szCs w:val="22"/>
          <w:lang w:val="sr-Latn-ME"/>
        </w:rPr>
      </w:pPr>
    </w:p>
    <w:p w14:paraId="5D5D94E6" w14:textId="4414F3AD" w:rsidR="007E29AA" w:rsidRPr="00F85CA6" w:rsidRDefault="007E29AA" w:rsidP="00685312">
      <w:pPr>
        <w:jc w:val="center"/>
        <w:rPr>
          <w:rFonts w:eastAsia="Calibri"/>
          <w:b/>
          <w:bCs/>
          <w:sz w:val="22"/>
          <w:szCs w:val="22"/>
          <w:lang w:val="sr-Latn-ME" w:bidi="en-US"/>
        </w:rPr>
      </w:pPr>
      <w:r w:rsidRPr="00F85CA6">
        <w:rPr>
          <w:rFonts w:eastAsia="Calibri"/>
          <w:b/>
          <w:bCs/>
          <w:sz w:val="22"/>
          <w:szCs w:val="22"/>
          <w:lang w:val="sr-Latn-ME" w:bidi="en-US"/>
        </w:rPr>
        <w:t>Tabela 14: Događaji</w:t>
      </w:r>
      <w:r w:rsidRPr="00F85CA6">
        <w:rPr>
          <w:rFonts w:eastAsia="Calibri"/>
          <w:b/>
          <w:sz w:val="22"/>
          <w:szCs w:val="22"/>
          <w:lang w:val="sr-Latn-ME"/>
        </w:rPr>
        <w:t xml:space="preserve"> krvarenja u studiji u kojoj je ispitivana prevencija tromboembolijskog moždanog udara i sistemske embolije kod pacijenata sa atrijalnom fibrilacijom</w:t>
      </w:r>
    </w:p>
    <w:p w14:paraId="6A2621FB" w14:textId="77777777" w:rsidR="007E29AA" w:rsidRPr="00F85CA6" w:rsidRDefault="007E29AA" w:rsidP="007E29AA">
      <w:pPr>
        <w:jc w:val="both"/>
        <w:rPr>
          <w:rFonts w:eastAsia="Calibri"/>
          <w:b/>
          <w:bCs/>
          <w:sz w:val="22"/>
          <w:szCs w:val="22"/>
          <w:lang w:val="sr-Latn-ME" w:bidi="en-US"/>
        </w:rPr>
      </w:pPr>
    </w:p>
    <w:tbl>
      <w:tblPr>
        <w:tblW w:w="5000" w:type="pct"/>
        <w:tblBorders>
          <w:top w:val="single" w:sz="4" w:space="0" w:color="auto"/>
          <w:left w:val="single" w:sz="4" w:space="0" w:color="auto"/>
          <w:bottom w:val="single" w:sz="4" w:space="0" w:color="auto"/>
          <w:right w:val="single" w:sz="4" w:space="0" w:color="auto"/>
        </w:tblBorders>
        <w:tblCellMar>
          <w:left w:w="85" w:type="dxa"/>
          <w:right w:w="85" w:type="dxa"/>
        </w:tblCellMar>
        <w:tblLook w:val="0000" w:firstRow="0" w:lastRow="0" w:firstColumn="0" w:lastColumn="0" w:noHBand="0" w:noVBand="0"/>
      </w:tblPr>
      <w:tblGrid>
        <w:gridCol w:w="2705"/>
        <w:gridCol w:w="2120"/>
        <w:gridCol w:w="2119"/>
        <w:gridCol w:w="2119"/>
      </w:tblGrid>
      <w:tr w:rsidR="007E29AA" w:rsidRPr="00F85CA6" w14:paraId="4D15D7CA" w14:textId="77777777" w:rsidTr="001239C3">
        <w:trPr>
          <w:trHeight w:val="20"/>
        </w:trPr>
        <w:tc>
          <w:tcPr>
            <w:tcW w:w="1492" w:type="pct"/>
            <w:tcBorders>
              <w:top w:val="single" w:sz="4" w:space="0" w:color="auto"/>
              <w:bottom w:val="single" w:sz="4" w:space="0" w:color="auto"/>
              <w:right w:val="single" w:sz="4" w:space="0" w:color="auto"/>
            </w:tcBorders>
          </w:tcPr>
          <w:p w14:paraId="53F27FA3" w14:textId="77777777" w:rsidR="007E29AA" w:rsidRPr="00F85CA6" w:rsidRDefault="007E29AA" w:rsidP="007E29AA">
            <w:pPr>
              <w:jc w:val="both"/>
              <w:rPr>
                <w:rFonts w:eastAsia="Calibri"/>
                <w:sz w:val="22"/>
                <w:szCs w:val="22"/>
                <w:lang w:val="sr-Latn-ME"/>
              </w:rPr>
            </w:pPr>
          </w:p>
        </w:tc>
        <w:tc>
          <w:tcPr>
            <w:tcW w:w="1169" w:type="pct"/>
            <w:tcBorders>
              <w:top w:val="single" w:sz="4" w:space="0" w:color="auto"/>
              <w:bottom w:val="single" w:sz="4" w:space="0" w:color="auto"/>
              <w:right w:val="single" w:sz="4" w:space="0" w:color="auto"/>
            </w:tcBorders>
            <w:vAlign w:val="center"/>
          </w:tcPr>
          <w:p w14:paraId="191767CF" w14:textId="44803CBF" w:rsidR="007E29AA" w:rsidRPr="00F85CA6" w:rsidRDefault="007E29AA" w:rsidP="007E29AA">
            <w:pPr>
              <w:jc w:val="center"/>
              <w:rPr>
                <w:rFonts w:eastAsia="Calibri"/>
                <w:sz w:val="22"/>
                <w:szCs w:val="22"/>
                <w:lang w:val="sr-Latn-ME"/>
              </w:rPr>
            </w:pPr>
            <w:r w:rsidRPr="00F85CA6">
              <w:rPr>
                <w:rFonts w:eastAsia="Calibri"/>
                <w:sz w:val="22"/>
                <w:szCs w:val="22"/>
                <w:lang w:val="sr-Latn-ME"/>
              </w:rPr>
              <w:t>Dabigatrane</w:t>
            </w:r>
            <w:r w:rsidR="00E869DB" w:rsidRPr="00F85CA6">
              <w:rPr>
                <w:rFonts w:eastAsia="Calibri"/>
                <w:sz w:val="22"/>
                <w:szCs w:val="22"/>
                <w:lang w:val="sr-Latn-ME"/>
              </w:rPr>
              <w:t xml:space="preserve"> </w:t>
            </w:r>
            <w:r w:rsidRPr="00F85CA6">
              <w:rPr>
                <w:rFonts w:eastAsia="Calibri"/>
                <w:sz w:val="22"/>
                <w:szCs w:val="22"/>
                <w:lang w:val="sr-Latn-ME"/>
              </w:rPr>
              <w:t>teksilat 110 mg dva puta dnevno</w:t>
            </w:r>
          </w:p>
        </w:tc>
        <w:tc>
          <w:tcPr>
            <w:tcW w:w="1169" w:type="pct"/>
            <w:tcBorders>
              <w:top w:val="single" w:sz="4" w:space="0" w:color="auto"/>
              <w:left w:val="single" w:sz="4" w:space="0" w:color="auto"/>
              <w:bottom w:val="single" w:sz="4" w:space="0" w:color="auto"/>
              <w:right w:val="single" w:sz="4" w:space="0" w:color="auto"/>
            </w:tcBorders>
            <w:vAlign w:val="center"/>
          </w:tcPr>
          <w:p w14:paraId="31F630A4" w14:textId="627327D7" w:rsidR="007E29AA" w:rsidRPr="00F85CA6" w:rsidRDefault="007E29AA" w:rsidP="007E29AA">
            <w:pPr>
              <w:jc w:val="center"/>
              <w:rPr>
                <w:rFonts w:eastAsia="Calibri"/>
                <w:sz w:val="22"/>
                <w:szCs w:val="22"/>
                <w:lang w:val="sr-Latn-ME"/>
              </w:rPr>
            </w:pPr>
            <w:r w:rsidRPr="00F85CA6">
              <w:rPr>
                <w:rFonts w:eastAsia="Calibri"/>
                <w:sz w:val="22"/>
                <w:szCs w:val="22"/>
                <w:lang w:val="sr-Latn-ME"/>
              </w:rPr>
              <w:t>Dabigatrane</w:t>
            </w:r>
            <w:r w:rsidR="00E869DB" w:rsidRPr="00F85CA6">
              <w:rPr>
                <w:rFonts w:eastAsia="Calibri"/>
                <w:sz w:val="22"/>
                <w:szCs w:val="22"/>
                <w:lang w:val="sr-Latn-ME"/>
              </w:rPr>
              <w:t xml:space="preserve"> </w:t>
            </w:r>
            <w:r w:rsidRPr="00F85CA6">
              <w:rPr>
                <w:rFonts w:eastAsia="Calibri"/>
                <w:sz w:val="22"/>
                <w:szCs w:val="22"/>
                <w:lang w:val="sr-Latn-ME"/>
              </w:rPr>
              <w:t>teksilat 150 mg dva puta dnevno</w:t>
            </w:r>
          </w:p>
        </w:tc>
        <w:tc>
          <w:tcPr>
            <w:tcW w:w="1169" w:type="pct"/>
            <w:tcBorders>
              <w:top w:val="single" w:sz="4" w:space="0" w:color="auto"/>
              <w:left w:val="single" w:sz="4" w:space="0" w:color="auto"/>
              <w:bottom w:val="single" w:sz="4" w:space="0" w:color="auto"/>
            </w:tcBorders>
            <w:vAlign w:val="center"/>
          </w:tcPr>
          <w:p w14:paraId="4CB4BF25"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Varfarin</w:t>
            </w:r>
          </w:p>
        </w:tc>
      </w:tr>
      <w:tr w:rsidR="007E29AA" w:rsidRPr="00F85CA6" w14:paraId="2D3E393E" w14:textId="77777777" w:rsidTr="001239C3">
        <w:trPr>
          <w:trHeight w:val="20"/>
        </w:trPr>
        <w:tc>
          <w:tcPr>
            <w:tcW w:w="1492" w:type="pct"/>
            <w:tcBorders>
              <w:top w:val="single" w:sz="4" w:space="0" w:color="auto"/>
              <w:bottom w:val="single" w:sz="4" w:space="0" w:color="auto"/>
              <w:right w:val="single" w:sz="4" w:space="0" w:color="auto"/>
            </w:tcBorders>
          </w:tcPr>
          <w:p w14:paraId="5A04490E" w14:textId="77777777" w:rsidR="007E29AA" w:rsidRPr="00F85CA6" w:rsidRDefault="007E29AA" w:rsidP="007E29AA">
            <w:pPr>
              <w:jc w:val="both"/>
              <w:rPr>
                <w:rFonts w:eastAsia="Calibri"/>
                <w:sz w:val="22"/>
                <w:szCs w:val="22"/>
                <w:lang w:val="sr-Latn-ME"/>
              </w:rPr>
            </w:pPr>
            <w:r w:rsidRPr="00F85CA6">
              <w:rPr>
                <w:rFonts w:eastAsia="Calibri"/>
                <w:sz w:val="22"/>
                <w:szCs w:val="22"/>
                <w:lang w:val="sr-Latn-ME"/>
              </w:rPr>
              <w:t>Randomizovani ispitanici</w:t>
            </w:r>
          </w:p>
        </w:tc>
        <w:tc>
          <w:tcPr>
            <w:tcW w:w="1169" w:type="pct"/>
            <w:tcBorders>
              <w:top w:val="single" w:sz="4" w:space="0" w:color="auto"/>
              <w:bottom w:val="single" w:sz="4" w:space="0" w:color="auto"/>
              <w:right w:val="single" w:sz="4" w:space="0" w:color="auto"/>
            </w:tcBorders>
            <w:vAlign w:val="center"/>
          </w:tcPr>
          <w:p w14:paraId="717394C5"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6015</w:t>
            </w:r>
          </w:p>
        </w:tc>
        <w:tc>
          <w:tcPr>
            <w:tcW w:w="1169" w:type="pct"/>
            <w:tcBorders>
              <w:top w:val="single" w:sz="4" w:space="0" w:color="auto"/>
              <w:left w:val="single" w:sz="4" w:space="0" w:color="auto"/>
              <w:bottom w:val="single" w:sz="4" w:space="0" w:color="auto"/>
              <w:right w:val="single" w:sz="4" w:space="0" w:color="auto"/>
            </w:tcBorders>
            <w:vAlign w:val="center"/>
          </w:tcPr>
          <w:p w14:paraId="7A1F3EFA"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6076</w:t>
            </w:r>
          </w:p>
        </w:tc>
        <w:tc>
          <w:tcPr>
            <w:tcW w:w="1169" w:type="pct"/>
            <w:tcBorders>
              <w:top w:val="single" w:sz="4" w:space="0" w:color="auto"/>
              <w:left w:val="single" w:sz="4" w:space="0" w:color="auto"/>
              <w:bottom w:val="single" w:sz="4" w:space="0" w:color="auto"/>
            </w:tcBorders>
            <w:vAlign w:val="center"/>
          </w:tcPr>
          <w:p w14:paraId="1BBFEEF0"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6022</w:t>
            </w:r>
          </w:p>
        </w:tc>
      </w:tr>
      <w:tr w:rsidR="007E29AA" w:rsidRPr="00F85CA6" w14:paraId="006EC3B4" w14:textId="77777777" w:rsidTr="001239C3">
        <w:trPr>
          <w:trHeight w:val="20"/>
        </w:trPr>
        <w:tc>
          <w:tcPr>
            <w:tcW w:w="1492" w:type="pct"/>
            <w:tcBorders>
              <w:top w:val="single" w:sz="4" w:space="0" w:color="auto"/>
              <w:bottom w:val="single" w:sz="4" w:space="0" w:color="auto"/>
              <w:right w:val="single" w:sz="4" w:space="0" w:color="auto"/>
            </w:tcBorders>
          </w:tcPr>
          <w:p w14:paraId="4726C103" w14:textId="77777777" w:rsidR="007E29AA" w:rsidRPr="00F85CA6" w:rsidRDefault="007E29AA" w:rsidP="007E29AA">
            <w:pPr>
              <w:jc w:val="both"/>
              <w:rPr>
                <w:rFonts w:eastAsia="Calibri"/>
                <w:sz w:val="22"/>
                <w:szCs w:val="22"/>
                <w:lang w:val="sr-Latn-ME"/>
              </w:rPr>
            </w:pPr>
            <w:r w:rsidRPr="00F85CA6">
              <w:rPr>
                <w:rFonts w:eastAsia="Calibri"/>
                <w:sz w:val="22"/>
                <w:szCs w:val="22"/>
                <w:lang w:val="sr-Latn-ME"/>
              </w:rPr>
              <w:t>Obilnije krvarenje</w:t>
            </w:r>
          </w:p>
        </w:tc>
        <w:tc>
          <w:tcPr>
            <w:tcW w:w="1169" w:type="pct"/>
            <w:tcBorders>
              <w:top w:val="single" w:sz="4" w:space="0" w:color="auto"/>
              <w:bottom w:val="single" w:sz="4" w:space="0" w:color="auto"/>
              <w:right w:val="single" w:sz="4" w:space="0" w:color="auto"/>
            </w:tcBorders>
            <w:vAlign w:val="center"/>
          </w:tcPr>
          <w:p w14:paraId="34C7607D"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347 (2,92%)</w:t>
            </w:r>
          </w:p>
        </w:tc>
        <w:tc>
          <w:tcPr>
            <w:tcW w:w="1169" w:type="pct"/>
            <w:tcBorders>
              <w:top w:val="single" w:sz="4" w:space="0" w:color="auto"/>
              <w:left w:val="single" w:sz="4" w:space="0" w:color="auto"/>
              <w:bottom w:val="single" w:sz="4" w:space="0" w:color="auto"/>
              <w:right w:val="single" w:sz="4" w:space="0" w:color="auto"/>
            </w:tcBorders>
            <w:vAlign w:val="center"/>
          </w:tcPr>
          <w:p w14:paraId="5FCD716D"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409 (3,40%)</w:t>
            </w:r>
          </w:p>
        </w:tc>
        <w:tc>
          <w:tcPr>
            <w:tcW w:w="1169" w:type="pct"/>
            <w:tcBorders>
              <w:top w:val="single" w:sz="4" w:space="0" w:color="auto"/>
              <w:left w:val="single" w:sz="4" w:space="0" w:color="auto"/>
              <w:bottom w:val="single" w:sz="4" w:space="0" w:color="auto"/>
            </w:tcBorders>
            <w:vAlign w:val="center"/>
          </w:tcPr>
          <w:p w14:paraId="67855084"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426 (3,61%)</w:t>
            </w:r>
          </w:p>
        </w:tc>
      </w:tr>
      <w:tr w:rsidR="007E29AA" w:rsidRPr="00F85CA6" w14:paraId="2816E6AD" w14:textId="77777777" w:rsidTr="001239C3">
        <w:trPr>
          <w:trHeight w:val="20"/>
        </w:trPr>
        <w:tc>
          <w:tcPr>
            <w:tcW w:w="1492" w:type="pct"/>
            <w:tcBorders>
              <w:top w:val="single" w:sz="4" w:space="0" w:color="auto"/>
              <w:bottom w:val="single" w:sz="4" w:space="0" w:color="auto"/>
              <w:right w:val="single" w:sz="4" w:space="0" w:color="auto"/>
            </w:tcBorders>
          </w:tcPr>
          <w:p w14:paraId="34568B83"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Intrakranijalno krvarenje</w:t>
            </w:r>
          </w:p>
        </w:tc>
        <w:tc>
          <w:tcPr>
            <w:tcW w:w="1169" w:type="pct"/>
            <w:tcBorders>
              <w:top w:val="single" w:sz="4" w:space="0" w:color="auto"/>
              <w:bottom w:val="single" w:sz="4" w:space="0" w:color="auto"/>
              <w:right w:val="single" w:sz="4" w:space="0" w:color="auto"/>
            </w:tcBorders>
            <w:vAlign w:val="center"/>
          </w:tcPr>
          <w:p w14:paraId="7732E021"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27 (0,23%)</w:t>
            </w:r>
          </w:p>
        </w:tc>
        <w:tc>
          <w:tcPr>
            <w:tcW w:w="1169" w:type="pct"/>
            <w:tcBorders>
              <w:top w:val="single" w:sz="4" w:space="0" w:color="auto"/>
              <w:left w:val="single" w:sz="4" w:space="0" w:color="auto"/>
              <w:bottom w:val="single" w:sz="4" w:space="0" w:color="auto"/>
              <w:right w:val="single" w:sz="4" w:space="0" w:color="auto"/>
            </w:tcBorders>
            <w:vAlign w:val="center"/>
          </w:tcPr>
          <w:p w14:paraId="75CD3886"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39 (0,32%)</w:t>
            </w:r>
          </w:p>
        </w:tc>
        <w:tc>
          <w:tcPr>
            <w:tcW w:w="1169" w:type="pct"/>
            <w:tcBorders>
              <w:top w:val="single" w:sz="4" w:space="0" w:color="auto"/>
              <w:left w:val="single" w:sz="4" w:space="0" w:color="auto"/>
              <w:bottom w:val="single" w:sz="4" w:space="0" w:color="auto"/>
            </w:tcBorders>
            <w:vAlign w:val="center"/>
          </w:tcPr>
          <w:p w14:paraId="5CFE6FE1"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91 (0,77%)</w:t>
            </w:r>
          </w:p>
        </w:tc>
      </w:tr>
      <w:tr w:rsidR="007E29AA" w:rsidRPr="00F85CA6" w14:paraId="26319367" w14:textId="77777777" w:rsidTr="001239C3">
        <w:trPr>
          <w:trHeight w:val="20"/>
        </w:trPr>
        <w:tc>
          <w:tcPr>
            <w:tcW w:w="1492" w:type="pct"/>
            <w:tcBorders>
              <w:top w:val="single" w:sz="4" w:space="0" w:color="auto"/>
              <w:bottom w:val="single" w:sz="4" w:space="0" w:color="auto"/>
              <w:right w:val="single" w:sz="4" w:space="0" w:color="auto"/>
            </w:tcBorders>
          </w:tcPr>
          <w:p w14:paraId="119C4FD2" w14:textId="77777777" w:rsidR="007E29AA" w:rsidRPr="00F85CA6" w:rsidRDefault="007E29AA" w:rsidP="007E29AA">
            <w:pPr>
              <w:rPr>
                <w:rFonts w:eastAsia="Calibri"/>
                <w:sz w:val="22"/>
                <w:szCs w:val="22"/>
                <w:lang w:val="sr-Latn-ME"/>
              </w:rPr>
            </w:pPr>
            <w:r w:rsidRPr="00F85CA6">
              <w:rPr>
                <w:rFonts w:eastAsia="Calibri"/>
                <w:sz w:val="22"/>
                <w:szCs w:val="22"/>
                <w:lang w:val="sr-Latn-ME"/>
              </w:rPr>
              <w:t xml:space="preserve">   GI krvarenje</w:t>
            </w:r>
          </w:p>
        </w:tc>
        <w:tc>
          <w:tcPr>
            <w:tcW w:w="1169" w:type="pct"/>
            <w:tcBorders>
              <w:top w:val="single" w:sz="4" w:space="0" w:color="auto"/>
              <w:bottom w:val="single" w:sz="4" w:space="0" w:color="auto"/>
              <w:right w:val="single" w:sz="4" w:space="0" w:color="auto"/>
            </w:tcBorders>
            <w:vAlign w:val="center"/>
          </w:tcPr>
          <w:p w14:paraId="34AEDE04"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134 (1,13%)</w:t>
            </w:r>
          </w:p>
        </w:tc>
        <w:tc>
          <w:tcPr>
            <w:tcW w:w="1169" w:type="pct"/>
            <w:tcBorders>
              <w:top w:val="single" w:sz="4" w:space="0" w:color="auto"/>
              <w:left w:val="single" w:sz="4" w:space="0" w:color="auto"/>
              <w:bottom w:val="single" w:sz="4" w:space="0" w:color="auto"/>
              <w:right w:val="single" w:sz="4" w:space="0" w:color="auto"/>
            </w:tcBorders>
            <w:vAlign w:val="center"/>
          </w:tcPr>
          <w:p w14:paraId="3388182B"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192 (1,60%)</w:t>
            </w:r>
          </w:p>
        </w:tc>
        <w:tc>
          <w:tcPr>
            <w:tcW w:w="1169" w:type="pct"/>
            <w:tcBorders>
              <w:top w:val="single" w:sz="4" w:space="0" w:color="auto"/>
              <w:left w:val="single" w:sz="4" w:space="0" w:color="auto"/>
              <w:bottom w:val="single" w:sz="4" w:space="0" w:color="auto"/>
            </w:tcBorders>
            <w:vAlign w:val="center"/>
          </w:tcPr>
          <w:p w14:paraId="071405DD"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128 (1,09%)</w:t>
            </w:r>
          </w:p>
        </w:tc>
      </w:tr>
      <w:tr w:rsidR="007E29AA" w:rsidRPr="00F85CA6" w14:paraId="567D43B7" w14:textId="77777777" w:rsidTr="001239C3">
        <w:trPr>
          <w:trHeight w:val="20"/>
        </w:trPr>
        <w:tc>
          <w:tcPr>
            <w:tcW w:w="1492" w:type="pct"/>
            <w:tcBorders>
              <w:top w:val="single" w:sz="4" w:space="0" w:color="auto"/>
              <w:bottom w:val="single" w:sz="4" w:space="0" w:color="auto"/>
              <w:right w:val="single" w:sz="4" w:space="0" w:color="auto"/>
            </w:tcBorders>
          </w:tcPr>
          <w:p w14:paraId="2DDA4812" w14:textId="77777777" w:rsidR="00E13062" w:rsidRPr="00F85CA6" w:rsidRDefault="007E29AA" w:rsidP="00E13062">
            <w:pPr>
              <w:rPr>
                <w:rFonts w:eastAsia="Calibri"/>
                <w:sz w:val="22"/>
                <w:szCs w:val="22"/>
                <w:lang w:val="sr-Latn-ME"/>
              </w:rPr>
            </w:pPr>
            <w:r w:rsidRPr="00F85CA6">
              <w:rPr>
                <w:rFonts w:eastAsia="Calibri"/>
                <w:sz w:val="22"/>
                <w:szCs w:val="22"/>
                <w:lang w:val="sr-Latn-ME"/>
              </w:rPr>
              <w:t xml:space="preserve">   Krvarenje sa smrtnim</w:t>
            </w:r>
          </w:p>
          <w:p w14:paraId="56F09F06" w14:textId="1C67722F" w:rsidR="007E29AA" w:rsidRPr="00F85CA6" w:rsidRDefault="00E13062" w:rsidP="00E13062">
            <w:pPr>
              <w:rPr>
                <w:rFonts w:eastAsia="Calibri"/>
                <w:sz w:val="22"/>
                <w:szCs w:val="22"/>
                <w:lang w:val="sr-Latn-ME"/>
              </w:rPr>
            </w:pPr>
            <w:r w:rsidRPr="00F85CA6">
              <w:rPr>
                <w:rFonts w:eastAsia="Calibri"/>
                <w:sz w:val="22"/>
                <w:szCs w:val="22"/>
                <w:lang w:val="sr-Latn-ME"/>
              </w:rPr>
              <w:t xml:space="preserve">  </w:t>
            </w:r>
            <w:r w:rsidR="007E29AA" w:rsidRPr="00F85CA6">
              <w:rPr>
                <w:rFonts w:eastAsia="Calibri"/>
                <w:sz w:val="22"/>
                <w:szCs w:val="22"/>
                <w:lang w:val="sr-Latn-ME"/>
              </w:rPr>
              <w:t xml:space="preserve"> ishodom</w:t>
            </w:r>
          </w:p>
        </w:tc>
        <w:tc>
          <w:tcPr>
            <w:tcW w:w="1169" w:type="pct"/>
            <w:tcBorders>
              <w:top w:val="single" w:sz="4" w:space="0" w:color="auto"/>
              <w:bottom w:val="single" w:sz="4" w:space="0" w:color="auto"/>
              <w:right w:val="single" w:sz="4" w:space="0" w:color="auto"/>
            </w:tcBorders>
            <w:vAlign w:val="center"/>
          </w:tcPr>
          <w:p w14:paraId="68118364"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26 (0,22%)</w:t>
            </w:r>
          </w:p>
        </w:tc>
        <w:tc>
          <w:tcPr>
            <w:tcW w:w="1169" w:type="pct"/>
            <w:tcBorders>
              <w:top w:val="single" w:sz="4" w:space="0" w:color="auto"/>
              <w:left w:val="single" w:sz="4" w:space="0" w:color="auto"/>
              <w:bottom w:val="single" w:sz="4" w:space="0" w:color="auto"/>
              <w:right w:val="single" w:sz="4" w:space="0" w:color="auto"/>
            </w:tcBorders>
            <w:vAlign w:val="center"/>
          </w:tcPr>
          <w:p w14:paraId="02EA87D8"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30 (0,25%)</w:t>
            </w:r>
          </w:p>
        </w:tc>
        <w:tc>
          <w:tcPr>
            <w:tcW w:w="1169" w:type="pct"/>
            <w:tcBorders>
              <w:top w:val="single" w:sz="4" w:space="0" w:color="auto"/>
              <w:left w:val="single" w:sz="4" w:space="0" w:color="auto"/>
              <w:bottom w:val="single" w:sz="4" w:space="0" w:color="auto"/>
            </w:tcBorders>
            <w:vAlign w:val="center"/>
          </w:tcPr>
          <w:p w14:paraId="7A6A2E40"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42 (0,36%)</w:t>
            </w:r>
          </w:p>
        </w:tc>
      </w:tr>
      <w:tr w:rsidR="007E29AA" w:rsidRPr="00F85CA6" w14:paraId="3C0A25D7" w14:textId="77777777" w:rsidTr="001239C3">
        <w:trPr>
          <w:trHeight w:val="20"/>
        </w:trPr>
        <w:tc>
          <w:tcPr>
            <w:tcW w:w="1492" w:type="pct"/>
            <w:tcBorders>
              <w:top w:val="single" w:sz="4" w:space="0" w:color="auto"/>
              <w:bottom w:val="single" w:sz="4" w:space="0" w:color="auto"/>
              <w:right w:val="single" w:sz="4" w:space="0" w:color="auto"/>
            </w:tcBorders>
          </w:tcPr>
          <w:p w14:paraId="1E9B94A1" w14:textId="77777777" w:rsidR="007E29AA" w:rsidRPr="00F85CA6" w:rsidRDefault="007E29AA" w:rsidP="007E29AA">
            <w:pPr>
              <w:jc w:val="both"/>
              <w:rPr>
                <w:rFonts w:eastAsia="Calibri"/>
                <w:sz w:val="22"/>
                <w:szCs w:val="22"/>
                <w:lang w:val="sr-Latn-ME"/>
              </w:rPr>
            </w:pPr>
            <w:r w:rsidRPr="00F85CA6">
              <w:rPr>
                <w:rFonts w:eastAsia="Calibri"/>
                <w:sz w:val="22"/>
                <w:szCs w:val="22"/>
                <w:lang w:val="sr-Latn-ME"/>
              </w:rPr>
              <w:t>Manje krvarenje</w:t>
            </w:r>
          </w:p>
        </w:tc>
        <w:tc>
          <w:tcPr>
            <w:tcW w:w="1169" w:type="pct"/>
            <w:tcBorders>
              <w:top w:val="single" w:sz="4" w:space="0" w:color="auto"/>
              <w:bottom w:val="single" w:sz="4" w:space="0" w:color="auto"/>
              <w:right w:val="single" w:sz="4" w:space="0" w:color="auto"/>
            </w:tcBorders>
            <w:vAlign w:val="center"/>
          </w:tcPr>
          <w:p w14:paraId="51A1B376"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1566 (13,16%)</w:t>
            </w:r>
          </w:p>
        </w:tc>
        <w:tc>
          <w:tcPr>
            <w:tcW w:w="1169" w:type="pct"/>
            <w:tcBorders>
              <w:top w:val="single" w:sz="4" w:space="0" w:color="auto"/>
              <w:left w:val="single" w:sz="4" w:space="0" w:color="auto"/>
              <w:bottom w:val="single" w:sz="4" w:space="0" w:color="auto"/>
              <w:right w:val="single" w:sz="4" w:space="0" w:color="auto"/>
            </w:tcBorders>
            <w:vAlign w:val="center"/>
          </w:tcPr>
          <w:p w14:paraId="436EA0F1"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1787 (14,85%)</w:t>
            </w:r>
          </w:p>
        </w:tc>
        <w:tc>
          <w:tcPr>
            <w:tcW w:w="1169" w:type="pct"/>
            <w:tcBorders>
              <w:top w:val="single" w:sz="4" w:space="0" w:color="auto"/>
              <w:left w:val="single" w:sz="4" w:space="0" w:color="auto"/>
              <w:bottom w:val="single" w:sz="4" w:space="0" w:color="auto"/>
            </w:tcBorders>
            <w:vAlign w:val="center"/>
          </w:tcPr>
          <w:p w14:paraId="062106AF"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1931 (16,37%)</w:t>
            </w:r>
          </w:p>
        </w:tc>
      </w:tr>
      <w:tr w:rsidR="007E29AA" w:rsidRPr="00F85CA6" w14:paraId="36369875" w14:textId="77777777" w:rsidTr="001239C3">
        <w:trPr>
          <w:trHeight w:val="20"/>
        </w:trPr>
        <w:tc>
          <w:tcPr>
            <w:tcW w:w="1492" w:type="pct"/>
            <w:tcBorders>
              <w:top w:val="single" w:sz="4" w:space="0" w:color="auto"/>
              <w:bottom w:val="single" w:sz="4" w:space="0" w:color="auto"/>
              <w:right w:val="single" w:sz="4" w:space="0" w:color="auto"/>
            </w:tcBorders>
          </w:tcPr>
          <w:p w14:paraId="6C5A80C5" w14:textId="77777777" w:rsidR="007E29AA" w:rsidRPr="00F85CA6" w:rsidRDefault="007E29AA" w:rsidP="007E29AA">
            <w:pPr>
              <w:jc w:val="both"/>
              <w:rPr>
                <w:rFonts w:eastAsia="Calibri"/>
                <w:sz w:val="22"/>
                <w:szCs w:val="22"/>
                <w:lang w:val="sr-Latn-ME"/>
              </w:rPr>
            </w:pPr>
            <w:r w:rsidRPr="00F85CA6">
              <w:rPr>
                <w:rFonts w:eastAsia="Calibri"/>
                <w:sz w:val="22"/>
                <w:szCs w:val="22"/>
                <w:lang w:val="sr-Latn-ME"/>
              </w:rPr>
              <w:t>Bilo koje krvarenje</w:t>
            </w:r>
          </w:p>
        </w:tc>
        <w:tc>
          <w:tcPr>
            <w:tcW w:w="1169" w:type="pct"/>
            <w:tcBorders>
              <w:top w:val="single" w:sz="4" w:space="0" w:color="auto"/>
              <w:bottom w:val="single" w:sz="4" w:space="0" w:color="auto"/>
              <w:right w:val="single" w:sz="4" w:space="0" w:color="auto"/>
            </w:tcBorders>
            <w:vAlign w:val="center"/>
          </w:tcPr>
          <w:p w14:paraId="670AF356"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1759 (14,78%)</w:t>
            </w:r>
          </w:p>
        </w:tc>
        <w:tc>
          <w:tcPr>
            <w:tcW w:w="1169" w:type="pct"/>
            <w:tcBorders>
              <w:top w:val="single" w:sz="4" w:space="0" w:color="auto"/>
              <w:left w:val="single" w:sz="4" w:space="0" w:color="auto"/>
              <w:bottom w:val="single" w:sz="4" w:space="0" w:color="auto"/>
              <w:right w:val="single" w:sz="4" w:space="0" w:color="auto"/>
            </w:tcBorders>
            <w:vAlign w:val="center"/>
          </w:tcPr>
          <w:p w14:paraId="2A260821"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1997 (16,60%)</w:t>
            </w:r>
          </w:p>
        </w:tc>
        <w:tc>
          <w:tcPr>
            <w:tcW w:w="1169" w:type="pct"/>
            <w:tcBorders>
              <w:top w:val="single" w:sz="4" w:space="0" w:color="auto"/>
              <w:left w:val="single" w:sz="4" w:space="0" w:color="auto"/>
              <w:bottom w:val="single" w:sz="4" w:space="0" w:color="auto"/>
            </w:tcBorders>
            <w:vAlign w:val="center"/>
          </w:tcPr>
          <w:p w14:paraId="1012A452"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2169 (18,39%)</w:t>
            </w:r>
          </w:p>
        </w:tc>
      </w:tr>
    </w:tbl>
    <w:p w14:paraId="6783A2F5" w14:textId="77777777" w:rsidR="007E29AA" w:rsidRPr="00F85CA6" w:rsidRDefault="007E29AA" w:rsidP="007E29AA">
      <w:pPr>
        <w:jc w:val="both"/>
        <w:rPr>
          <w:rFonts w:eastAsia="Calibri"/>
          <w:b/>
          <w:bCs/>
          <w:sz w:val="22"/>
          <w:szCs w:val="22"/>
          <w:lang w:val="sr-Latn-ME" w:bidi="en-US"/>
        </w:rPr>
      </w:pPr>
    </w:p>
    <w:p w14:paraId="400F84C5" w14:textId="3A7BC0F1" w:rsidR="007E29AA" w:rsidRDefault="007E29AA" w:rsidP="007E29AA">
      <w:pPr>
        <w:jc w:val="both"/>
        <w:rPr>
          <w:rFonts w:eastAsia="Calibri"/>
          <w:sz w:val="22"/>
          <w:szCs w:val="22"/>
          <w:lang w:val="sr-Latn-ME"/>
        </w:rPr>
      </w:pPr>
      <w:r w:rsidRPr="00F85CA6">
        <w:rPr>
          <w:rFonts w:eastAsia="Calibri"/>
          <w:sz w:val="22"/>
          <w:szCs w:val="22"/>
          <w:lang w:val="sr-Latn-ME"/>
        </w:rPr>
        <w:t>Ispitanici randomizovani da primaju dabigatrane</w:t>
      </w:r>
      <w:r w:rsidR="00E869DB" w:rsidRPr="00F85CA6">
        <w:rPr>
          <w:rFonts w:eastAsia="Calibri"/>
          <w:sz w:val="22"/>
          <w:szCs w:val="22"/>
          <w:lang w:val="sr-Latn-ME"/>
        </w:rPr>
        <w:t xml:space="preserve">  </w:t>
      </w:r>
      <w:r w:rsidRPr="00F85CA6">
        <w:rPr>
          <w:rFonts w:eastAsia="Calibri"/>
          <w:sz w:val="22"/>
          <w:szCs w:val="22"/>
          <w:lang w:val="sr-Latn-ME"/>
        </w:rPr>
        <w:t>teksilat 110 mg dva puta dnevno ili 150 mg dva puta dnevno, imali su značajno niži rizik od krvarenja opasnih po život i intrakranijalnog krvarenja u poređenju sa varfarinom [p &lt; 0,05]. Ob</w:t>
      </w:r>
      <w:r w:rsidR="001072B3" w:rsidRPr="00F85CA6">
        <w:rPr>
          <w:rFonts w:eastAsia="Calibri"/>
          <w:sz w:val="22"/>
          <w:szCs w:val="22"/>
          <w:lang w:val="sr-Latn-ME"/>
        </w:rPr>
        <w:t>j</w:t>
      </w:r>
      <w:r w:rsidRPr="00F85CA6">
        <w:rPr>
          <w:rFonts w:eastAsia="Calibri"/>
          <w:sz w:val="22"/>
          <w:szCs w:val="22"/>
          <w:lang w:val="sr-Latn-ME"/>
        </w:rPr>
        <w:t>e jačine doza dabigatraneteksilata su takođe pokazale statistički značajno nižu ukupnu stopu krvarenja. Ispitanici randomizovani da primaju dabigatrane</w:t>
      </w:r>
      <w:r w:rsidR="00E869DB" w:rsidRPr="00F85CA6">
        <w:rPr>
          <w:rFonts w:eastAsia="Calibri"/>
          <w:sz w:val="22"/>
          <w:szCs w:val="22"/>
          <w:lang w:val="sr-Latn-ME"/>
        </w:rPr>
        <w:t xml:space="preserve"> </w:t>
      </w:r>
      <w:r w:rsidRPr="00F85CA6">
        <w:rPr>
          <w:rFonts w:eastAsia="Calibri"/>
          <w:sz w:val="22"/>
          <w:szCs w:val="22"/>
          <w:lang w:val="sr-Latn-ME"/>
        </w:rPr>
        <w:t>teksilat 110 mg dva puta dnevno imali su značajno manji rizik od obilnijih krvarenja u poređenju sa varfarinom (</w:t>
      </w:r>
      <w:r w:rsidRPr="00F85CA6">
        <w:rPr>
          <w:rFonts w:eastAsia="Calibri"/>
          <w:i/>
          <w:sz w:val="22"/>
          <w:szCs w:val="22"/>
          <w:lang w:val="sr-Latn-ME"/>
        </w:rPr>
        <w:t>hazard ratio</w:t>
      </w:r>
      <w:r w:rsidRPr="00F85CA6">
        <w:rPr>
          <w:rFonts w:eastAsia="Calibri"/>
          <w:sz w:val="22"/>
          <w:szCs w:val="22"/>
          <w:lang w:val="sr-Latn-ME"/>
        </w:rPr>
        <w:t xml:space="preserve"> 0,81 [p=0,0027]). Ispitanici randomizovani da primaju dabigatrane</w:t>
      </w:r>
      <w:r w:rsidR="00E869DB" w:rsidRPr="00F85CA6">
        <w:rPr>
          <w:rFonts w:eastAsia="Calibri"/>
          <w:sz w:val="22"/>
          <w:szCs w:val="22"/>
          <w:lang w:val="sr-Latn-ME"/>
        </w:rPr>
        <w:t xml:space="preserve"> </w:t>
      </w:r>
      <w:r w:rsidRPr="00F85CA6">
        <w:rPr>
          <w:rFonts w:eastAsia="Calibri"/>
          <w:sz w:val="22"/>
          <w:szCs w:val="22"/>
          <w:lang w:val="sr-Latn-ME"/>
        </w:rPr>
        <w:t>teksilat 150 mg dva puta dnevno imali su značajno veći rizik od obilnijih GI krvarenja u poređenju sa varfarinom (</w:t>
      </w:r>
      <w:r w:rsidRPr="00F85CA6">
        <w:rPr>
          <w:rFonts w:eastAsia="Calibri"/>
          <w:i/>
          <w:sz w:val="22"/>
          <w:szCs w:val="22"/>
          <w:lang w:val="sr-Latn-ME"/>
        </w:rPr>
        <w:t>hazard ratio</w:t>
      </w:r>
      <w:r w:rsidRPr="00F85CA6">
        <w:rPr>
          <w:rFonts w:eastAsia="Calibri"/>
          <w:sz w:val="22"/>
          <w:szCs w:val="22"/>
          <w:lang w:val="sr-Latn-ME"/>
        </w:rPr>
        <w:t xml:space="preserve"> 1,48 [p=0,0005]. Ovo dejstvo je prvenstveno uočeno kod pacijenata starosti ≥</w:t>
      </w:r>
      <w:r w:rsidR="00E869DB" w:rsidRPr="00F85CA6">
        <w:rPr>
          <w:rFonts w:eastAsia="Calibri"/>
          <w:sz w:val="22"/>
          <w:szCs w:val="22"/>
          <w:lang w:val="sr-Latn-ME"/>
        </w:rPr>
        <w:t xml:space="preserve"> </w:t>
      </w:r>
      <w:r w:rsidRPr="00F85CA6">
        <w:rPr>
          <w:rFonts w:eastAsia="Calibri"/>
          <w:sz w:val="22"/>
          <w:szCs w:val="22"/>
          <w:lang w:val="sr-Latn-ME"/>
        </w:rPr>
        <w:t>75 godina.</w:t>
      </w:r>
    </w:p>
    <w:p w14:paraId="38A5BFEF" w14:textId="77777777" w:rsidR="00F85CA6" w:rsidRPr="00F85CA6" w:rsidRDefault="00F85CA6" w:rsidP="007E29AA">
      <w:pPr>
        <w:jc w:val="both"/>
        <w:rPr>
          <w:rFonts w:eastAsia="Calibri"/>
          <w:sz w:val="22"/>
          <w:szCs w:val="22"/>
          <w:lang w:val="sr-Latn-ME"/>
        </w:rPr>
      </w:pPr>
    </w:p>
    <w:p w14:paraId="2E654565" w14:textId="0D8FD31C" w:rsidR="007E29AA" w:rsidRPr="00F85CA6" w:rsidRDefault="007E29AA" w:rsidP="007E29AA">
      <w:pPr>
        <w:jc w:val="both"/>
        <w:rPr>
          <w:rFonts w:eastAsia="Calibri"/>
          <w:sz w:val="22"/>
          <w:szCs w:val="22"/>
          <w:lang w:val="sr-Latn-ME"/>
        </w:rPr>
      </w:pPr>
      <w:r w:rsidRPr="00F85CA6">
        <w:rPr>
          <w:rFonts w:eastAsia="Calibri"/>
          <w:sz w:val="22"/>
          <w:szCs w:val="22"/>
          <w:lang w:val="sr-Latn-ME"/>
        </w:rPr>
        <w:t>Klinička korist dabigatrana u pogledu prevencije moždanog udara i sistemske embolije i smanjenja rizika od intrakranijalne hemoragije (IKH) u poređenju sa varfarinom očuvana je u svim pojedinačnim podgrupama, npr. kod oštećenja funkcije bubrega, godina starosti, istovremene upotrebe l</w:t>
      </w:r>
      <w:r w:rsidR="000E6B2E" w:rsidRPr="00F85CA6">
        <w:rPr>
          <w:rFonts w:eastAsia="Calibri"/>
          <w:sz w:val="22"/>
          <w:szCs w:val="22"/>
          <w:lang w:val="sr-Latn-ME"/>
        </w:rPr>
        <w:t>j</w:t>
      </w:r>
      <w:r w:rsidRPr="00F85CA6">
        <w:rPr>
          <w:rFonts w:eastAsia="Calibri"/>
          <w:sz w:val="22"/>
          <w:szCs w:val="22"/>
          <w:lang w:val="sr-Latn-ME"/>
        </w:rPr>
        <w:t>ekova kao što su inhibitori agregacije trombocita ili inhibitori P-glikoproteina. Iako su neke podgrupe pacijenata pod povećanim rizikom od obilnijeg krvarenja kada se l</w:t>
      </w:r>
      <w:r w:rsidR="00B85AF4" w:rsidRPr="00F85CA6">
        <w:rPr>
          <w:rFonts w:eastAsia="Calibri"/>
          <w:sz w:val="22"/>
          <w:szCs w:val="22"/>
          <w:lang w:val="sr-Latn-ME"/>
        </w:rPr>
        <w:t>ij</w:t>
      </w:r>
      <w:r w:rsidRPr="00F85CA6">
        <w:rPr>
          <w:rFonts w:eastAsia="Calibri"/>
          <w:sz w:val="22"/>
          <w:szCs w:val="22"/>
          <w:lang w:val="sr-Latn-ME"/>
        </w:rPr>
        <w:t>eče antikoagulansima, povećani rizik zbog dabigatrana je posl</w:t>
      </w:r>
      <w:r w:rsidR="00E869DB" w:rsidRPr="00F85CA6">
        <w:rPr>
          <w:rFonts w:eastAsia="Calibri"/>
          <w:sz w:val="22"/>
          <w:szCs w:val="22"/>
          <w:lang w:val="sr-Latn-ME"/>
        </w:rPr>
        <w:t>j</w:t>
      </w:r>
      <w:r w:rsidRPr="00F85CA6">
        <w:rPr>
          <w:rFonts w:eastAsia="Calibri"/>
          <w:sz w:val="22"/>
          <w:szCs w:val="22"/>
          <w:lang w:val="sr-Latn-ME"/>
        </w:rPr>
        <w:t>edica GI krvarenja, koje se tipično viđa u prvih 3-6 m</w:t>
      </w:r>
      <w:r w:rsidR="001072B3" w:rsidRPr="00F85CA6">
        <w:rPr>
          <w:rFonts w:eastAsia="Calibri"/>
          <w:sz w:val="22"/>
          <w:szCs w:val="22"/>
          <w:lang w:val="sr-Latn-ME"/>
        </w:rPr>
        <w:t>j</w:t>
      </w:r>
      <w:r w:rsidRPr="00F85CA6">
        <w:rPr>
          <w:rFonts w:eastAsia="Calibri"/>
          <w:sz w:val="22"/>
          <w:szCs w:val="22"/>
          <w:lang w:val="sr-Latn-ME"/>
        </w:rPr>
        <w:t>eseci po započinjanju terapije dabigatrane</w:t>
      </w:r>
      <w:r w:rsidR="00E869DB" w:rsidRPr="00F85CA6">
        <w:rPr>
          <w:rFonts w:eastAsia="Calibri"/>
          <w:sz w:val="22"/>
          <w:szCs w:val="22"/>
          <w:lang w:val="sr-Latn-ME"/>
        </w:rPr>
        <w:t xml:space="preserve"> </w:t>
      </w:r>
      <w:r w:rsidRPr="00F85CA6">
        <w:rPr>
          <w:rFonts w:eastAsia="Calibri"/>
          <w:sz w:val="22"/>
          <w:szCs w:val="22"/>
          <w:lang w:val="sr-Latn-ME"/>
        </w:rPr>
        <w:t>teksilatom.</w:t>
      </w:r>
    </w:p>
    <w:p w14:paraId="7E2406A2" w14:textId="77777777" w:rsidR="007E29AA" w:rsidRPr="00F85CA6" w:rsidRDefault="007E29AA" w:rsidP="007E29AA">
      <w:pPr>
        <w:jc w:val="both"/>
        <w:rPr>
          <w:rFonts w:eastAsia="Calibri"/>
          <w:sz w:val="22"/>
          <w:szCs w:val="22"/>
          <w:lang w:val="sr-Latn-ME"/>
        </w:rPr>
      </w:pPr>
    </w:p>
    <w:p w14:paraId="471F77FA" w14:textId="77777777" w:rsidR="007E29AA" w:rsidRPr="00F85CA6" w:rsidRDefault="007E29AA" w:rsidP="007E29AA">
      <w:pPr>
        <w:jc w:val="both"/>
        <w:rPr>
          <w:rFonts w:eastAsia="Calibri"/>
          <w:i/>
          <w:iCs/>
          <w:sz w:val="22"/>
          <w:szCs w:val="22"/>
          <w:lang w:val="sr-Latn-ME"/>
        </w:rPr>
      </w:pPr>
      <w:r w:rsidRPr="00F85CA6">
        <w:rPr>
          <w:rFonts w:eastAsia="Calibri"/>
          <w:i/>
          <w:iCs/>
          <w:sz w:val="22"/>
          <w:szCs w:val="22"/>
          <w:lang w:val="sr-Latn-ME"/>
        </w:rPr>
        <w:t>Terapija DVT i PE i prevencija rekurentne DVT i PE kod odraslih (DVT/PE)</w:t>
      </w:r>
    </w:p>
    <w:p w14:paraId="1D4A86DE" w14:textId="77777777" w:rsidR="007E29AA" w:rsidRPr="00F85CA6" w:rsidRDefault="007E29AA" w:rsidP="007E29AA">
      <w:pPr>
        <w:jc w:val="both"/>
        <w:rPr>
          <w:rFonts w:eastAsia="Calibri"/>
          <w:i/>
          <w:iCs/>
          <w:sz w:val="22"/>
          <w:szCs w:val="22"/>
          <w:lang w:val="sr-Latn-ME"/>
        </w:rPr>
      </w:pPr>
    </w:p>
    <w:p w14:paraId="4F24AC58" w14:textId="7F87080A" w:rsidR="007E29AA" w:rsidRPr="00F85CA6" w:rsidRDefault="007E29AA" w:rsidP="007E29AA">
      <w:pPr>
        <w:jc w:val="both"/>
        <w:rPr>
          <w:rFonts w:eastAsia="Calibri"/>
          <w:sz w:val="22"/>
          <w:szCs w:val="22"/>
          <w:lang w:val="sr-Latn-ME"/>
        </w:rPr>
      </w:pPr>
      <w:r w:rsidRPr="00F85CA6">
        <w:rPr>
          <w:rFonts w:eastAsia="Calibri"/>
          <w:sz w:val="22"/>
          <w:szCs w:val="22"/>
          <w:lang w:val="sr-Latn-ME"/>
        </w:rPr>
        <w:t>U Tabeli 15 su prikazani događaji krvarenja</w:t>
      </w:r>
      <w:r w:rsidRPr="00F85CA6">
        <w:rPr>
          <w:rFonts w:eastAsia="Calibri"/>
          <w:b/>
          <w:sz w:val="22"/>
          <w:szCs w:val="22"/>
          <w:lang w:val="sr-Latn-ME"/>
        </w:rPr>
        <w:t xml:space="preserve"> </w:t>
      </w:r>
      <w:r w:rsidRPr="00F85CA6">
        <w:rPr>
          <w:rFonts w:eastAsia="Calibri"/>
          <w:sz w:val="22"/>
          <w:szCs w:val="22"/>
          <w:lang w:val="sr-Latn-ME"/>
        </w:rPr>
        <w:t>u objedinjenim pivotalnim studijama, RE-COVER i RE-COVER II, u kojima je ispitivana terapija DVT i PE. U objedinjenim studijama primarni bezb</w:t>
      </w:r>
      <w:r w:rsidR="001072B3" w:rsidRPr="00F85CA6">
        <w:rPr>
          <w:rFonts w:eastAsia="Calibri"/>
          <w:sz w:val="22"/>
          <w:szCs w:val="22"/>
          <w:lang w:val="sr-Latn-ME"/>
        </w:rPr>
        <w:t>j</w:t>
      </w:r>
      <w:r w:rsidRPr="00F85CA6">
        <w:rPr>
          <w:rFonts w:eastAsia="Calibri"/>
          <w:sz w:val="22"/>
          <w:szCs w:val="22"/>
          <w:lang w:val="sr-Latn-ME"/>
        </w:rPr>
        <w:t xml:space="preserve">ednosni ishodi obilnijeg krvarenja, obilnijeg ili klinički značajnog krvarenja, kao i bilo kog krvarenja bili su značajno manji nego sa varfarinom na nominalnom alfa-nivou od 5%. </w:t>
      </w:r>
    </w:p>
    <w:p w14:paraId="4CF48090" w14:textId="3206E3F7" w:rsidR="007E29AA" w:rsidRDefault="007E29AA" w:rsidP="007E29AA">
      <w:pPr>
        <w:jc w:val="both"/>
        <w:rPr>
          <w:rFonts w:eastAsia="Calibri"/>
          <w:sz w:val="22"/>
          <w:szCs w:val="22"/>
          <w:lang w:val="sr-Latn-ME"/>
        </w:rPr>
      </w:pPr>
    </w:p>
    <w:p w14:paraId="4D643AB8" w14:textId="72D858AE" w:rsidR="00F85CA6" w:rsidRDefault="00F85CA6" w:rsidP="007E29AA">
      <w:pPr>
        <w:jc w:val="both"/>
        <w:rPr>
          <w:rFonts w:eastAsia="Calibri"/>
          <w:sz w:val="22"/>
          <w:szCs w:val="22"/>
          <w:lang w:val="sr-Latn-ME"/>
        </w:rPr>
      </w:pPr>
    </w:p>
    <w:p w14:paraId="70CF0976" w14:textId="58F55ACB" w:rsidR="00F85CA6" w:rsidRDefault="00F85CA6" w:rsidP="007E29AA">
      <w:pPr>
        <w:jc w:val="both"/>
        <w:rPr>
          <w:rFonts w:eastAsia="Calibri"/>
          <w:sz w:val="22"/>
          <w:szCs w:val="22"/>
          <w:lang w:val="sr-Latn-ME"/>
        </w:rPr>
      </w:pPr>
    </w:p>
    <w:p w14:paraId="57A90239" w14:textId="1ED27632" w:rsidR="00F85CA6" w:rsidRDefault="00F85CA6" w:rsidP="007E29AA">
      <w:pPr>
        <w:jc w:val="both"/>
        <w:rPr>
          <w:rFonts w:eastAsia="Calibri"/>
          <w:sz w:val="22"/>
          <w:szCs w:val="22"/>
          <w:lang w:val="sr-Latn-ME"/>
        </w:rPr>
      </w:pPr>
    </w:p>
    <w:p w14:paraId="0B0D2DD7" w14:textId="7BA66628" w:rsidR="00F85CA6" w:rsidRDefault="00F85CA6" w:rsidP="007E29AA">
      <w:pPr>
        <w:jc w:val="both"/>
        <w:rPr>
          <w:rFonts w:eastAsia="Calibri"/>
          <w:sz w:val="22"/>
          <w:szCs w:val="22"/>
          <w:lang w:val="sr-Latn-ME"/>
        </w:rPr>
      </w:pPr>
    </w:p>
    <w:p w14:paraId="39AA00AC" w14:textId="5DDB1E05" w:rsidR="00F85CA6" w:rsidRDefault="00F85CA6" w:rsidP="007E29AA">
      <w:pPr>
        <w:jc w:val="both"/>
        <w:rPr>
          <w:rFonts w:eastAsia="Calibri"/>
          <w:sz w:val="22"/>
          <w:szCs w:val="22"/>
          <w:lang w:val="sr-Latn-ME"/>
        </w:rPr>
      </w:pPr>
    </w:p>
    <w:p w14:paraId="3A1B93D0" w14:textId="260973D8" w:rsidR="00F85CA6" w:rsidRDefault="00F85CA6" w:rsidP="007E29AA">
      <w:pPr>
        <w:jc w:val="both"/>
        <w:rPr>
          <w:rFonts w:eastAsia="Calibri"/>
          <w:sz w:val="22"/>
          <w:szCs w:val="22"/>
          <w:lang w:val="sr-Latn-ME"/>
        </w:rPr>
      </w:pPr>
    </w:p>
    <w:p w14:paraId="53ADEBAD" w14:textId="50701AF9" w:rsidR="00F85CA6" w:rsidRDefault="00F85CA6" w:rsidP="007E29AA">
      <w:pPr>
        <w:jc w:val="both"/>
        <w:rPr>
          <w:rFonts w:eastAsia="Calibri"/>
          <w:sz w:val="22"/>
          <w:szCs w:val="22"/>
          <w:lang w:val="sr-Latn-ME"/>
        </w:rPr>
      </w:pPr>
    </w:p>
    <w:p w14:paraId="77C7A762" w14:textId="77777777" w:rsidR="00F85CA6" w:rsidRPr="00F85CA6" w:rsidRDefault="00F85CA6" w:rsidP="007E29AA">
      <w:pPr>
        <w:jc w:val="both"/>
        <w:rPr>
          <w:rFonts w:eastAsia="Calibri"/>
          <w:sz w:val="22"/>
          <w:szCs w:val="22"/>
          <w:lang w:val="sr-Latn-ME"/>
        </w:rPr>
      </w:pPr>
    </w:p>
    <w:p w14:paraId="5AF4F0EC" w14:textId="77777777" w:rsidR="007E29AA" w:rsidRPr="00F85CA6" w:rsidRDefault="007E29AA" w:rsidP="00685312">
      <w:pPr>
        <w:jc w:val="center"/>
        <w:rPr>
          <w:rFonts w:eastAsia="Calibri"/>
          <w:b/>
          <w:sz w:val="22"/>
          <w:szCs w:val="22"/>
          <w:lang w:val="sr-Latn-ME"/>
        </w:rPr>
      </w:pPr>
      <w:r w:rsidRPr="00F85CA6">
        <w:rPr>
          <w:rFonts w:eastAsia="Calibri"/>
          <w:b/>
          <w:sz w:val="22"/>
          <w:szCs w:val="22"/>
          <w:lang w:val="sr-Latn-ME"/>
        </w:rPr>
        <w:lastRenderedPageBreak/>
        <w:t>Tabela 15: Događaji krvarenja u studijama RE-COVER i RE-COVER II u kojima je ispitivana terapija DVT i PE</w:t>
      </w:r>
    </w:p>
    <w:p w14:paraId="01CB7B0F" w14:textId="77777777" w:rsidR="007E29AA" w:rsidRPr="00F85CA6" w:rsidRDefault="007E29AA" w:rsidP="007E29AA">
      <w:pPr>
        <w:jc w:val="both"/>
        <w:rPr>
          <w:rFonts w:eastAsia="Calibri"/>
          <w:b/>
          <w:sz w:val="22"/>
          <w:szCs w:val="22"/>
          <w:lang w:val="sr-Latn-ME"/>
        </w:rPr>
      </w:pPr>
    </w:p>
    <w:tbl>
      <w:tblPr>
        <w:tblOverlap w:val="never"/>
        <w:tblW w:w="5000" w:type="pct"/>
        <w:jc w:val="center"/>
        <w:tblCellMar>
          <w:left w:w="85" w:type="dxa"/>
          <w:right w:w="85" w:type="dxa"/>
        </w:tblCellMar>
        <w:tblLook w:val="04A0" w:firstRow="1" w:lastRow="0" w:firstColumn="1" w:lastColumn="0" w:noHBand="0" w:noVBand="1"/>
      </w:tblPr>
      <w:tblGrid>
        <w:gridCol w:w="2815"/>
        <w:gridCol w:w="2088"/>
        <w:gridCol w:w="2083"/>
        <w:gridCol w:w="2077"/>
      </w:tblGrid>
      <w:tr w:rsidR="007E29AA" w:rsidRPr="00F85CA6" w14:paraId="05CDEC03" w14:textId="77777777" w:rsidTr="001239C3">
        <w:trPr>
          <w:trHeight w:val="20"/>
          <w:jc w:val="center"/>
        </w:trPr>
        <w:tc>
          <w:tcPr>
            <w:tcW w:w="1553" w:type="pct"/>
            <w:tcBorders>
              <w:top w:val="single" w:sz="4" w:space="0" w:color="auto"/>
              <w:left w:val="single" w:sz="4" w:space="0" w:color="auto"/>
            </w:tcBorders>
            <w:shd w:val="clear" w:color="auto" w:fill="auto"/>
          </w:tcPr>
          <w:p w14:paraId="763CA272" w14:textId="77777777" w:rsidR="007E29AA" w:rsidRPr="00F85CA6" w:rsidRDefault="007E29AA" w:rsidP="007E29AA">
            <w:pPr>
              <w:jc w:val="both"/>
              <w:rPr>
                <w:rFonts w:eastAsia="Calibri"/>
                <w:sz w:val="22"/>
                <w:szCs w:val="22"/>
                <w:lang w:val="sr-Latn-ME" w:bidi="en-US"/>
              </w:rPr>
            </w:pPr>
            <w:bookmarkStart w:id="16" w:name="_Hlk83114867"/>
          </w:p>
        </w:tc>
        <w:tc>
          <w:tcPr>
            <w:tcW w:w="1152" w:type="pct"/>
            <w:tcBorders>
              <w:top w:val="single" w:sz="4" w:space="0" w:color="auto"/>
              <w:left w:val="single" w:sz="4" w:space="0" w:color="auto"/>
            </w:tcBorders>
            <w:shd w:val="clear" w:color="auto" w:fill="auto"/>
            <w:vAlign w:val="center"/>
          </w:tcPr>
          <w:p w14:paraId="0F30F1DF" w14:textId="4C2165C9" w:rsidR="007E29AA" w:rsidRPr="00F85CA6" w:rsidRDefault="007E29AA" w:rsidP="007E29AA">
            <w:pPr>
              <w:jc w:val="center"/>
              <w:rPr>
                <w:rFonts w:eastAsia="Calibri"/>
                <w:sz w:val="22"/>
                <w:szCs w:val="22"/>
                <w:lang w:val="sr-Latn-ME" w:bidi="en-US"/>
              </w:rPr>
            </w:pPr>
            <w:r w:rsidRPr="00F85CA6">
              <w:rPr>
                <w:rFonts w:eastAsia="Calibri"/>
                <w:sz w:val="22"/>
                <w:szCs w:val="22"/>
                <w:lang w:val="sr-Latn-ME" w:bidi="en-US"/>
              </w:rPr>
              <w:t>Dabigatrane</w:t>
            </w:r>
            <w:r w:rsidR="00FC0882" w:rsidRPr="00F85CA6">
              <w:rPr>
                <w:rFonts w:eastAsia="Calibri"/>
                <w:sz w:val="22"/>
                <w:szCs w:val="22"/>
                <w:lang w:val="sr-Latn-ME" w:bidi="en-US"/>
              </w:rPr>
              <w:t xml:space="preserve"> </w:t>
            </w:r>
            <w:r w:rsidRPr="00F85CA6">
              <w:rPr>
                <w:rFonts w:eastAsia="Calibri"/>
                <w:sz w:val="22"/>
                <w:szCs w:val="22"/>
                <w:lang w:val="sr-Latn-ME" w:bidi="en-US"/>
              </w:rPr>
              <w:t>teksilat 150 mg dva puta dnevno</w:t>
            </w:r>
          </w:p>
        </w:tc>
        <w:tc>
          <w:tcPr>
            <w:tcW w:w="1149" w:type="pct"/>
            <w:tcBorders>
              <w:top w:val="single" w:sz="4" w:space="0" w:color="auto"/>
              <w:left w:val="single" w:sz="4" w:space="0" w:color="auto"/>
            </w:tcBorders>
            <w:shd w:val="clear" w:color="auto" w:fill="auto"/>
            <w:vAlign w:val="center"/>
          </w:tcPr>
          <w:p w14:paraId="63BBA531" w14:textId="77777777" w:rsidR="007E29AA" w:rsidRPr="00F85CA6" w:rsidRDefault="007E29AA" w:rsidP="007E29AA">
            <w:pPr>
              <w:jc w:val="center"/>
              <w:rPr>
                <w:rFonts w:eastAsia="Calibri"/>
                <w:sz w:val="22"/>
                <w:szCs w:val="22"/>
                <w:lang w:val="sr-Latn-ME" w:bidi="en-US"/>
              </w:rPr>
            </w:pPr>
            <w:r w:rsidRPr="00F85CA6">
              <w:rPr>
                <w:rFonts w:eastAsia="Calibri"/>
                <w:sz w:val="22"/>
                <w:szCs w:val="22"/>
                <w:lang w:val="sr-Latn-ME" w:bidi="en-US"/>
              </w:rPr>
              <w:t>Varfarin</w:t>
            </w:r>
          </w:p>
        </w:tc>
        <w:tc>
          <w:tcPr>
            <w:tcW w:w="1146" w:type="pct"/>
            <w:tcBorders>
              <w:top w:val="single" w:sz="4" w:space="0" w:color="auto"/>
              <w:left w:val="single" w:sz="4" w:space="0" w:color="auto"/>
              <w:right w:val="single" w:sz="4" w:space="0" w:color="auto"/>
            </w:tcBorders>
            <w:shd w:val="clear" w:color="auto" w:fill="auto"/>
            <w:vAlign w:val="center"/>
          </w:tcPr>
          <w:p w14:paraId="30BD36F2" w14:textId="77777777" w:rsidR="007E29AA" w:rsidRPr="00F85CA6" w:rsidRDefault="007E29AA" w:rsidP="007E29AA">
            <w:pPr>
              <w:jc w:val="center"/>
              <w:rPr>
                <w:rFonts w:eastAsia="Calibri"/>
                <w:sz w:val="22"/>
                <w:szCs w:val="22"/>
                <w:lang w:val="sr-Latn-ME" w:bidi="en-US"/>
              </w:rPr>
            </w:pPr>
            <w:r w:rsidRPr="00F85CA6">
              <w:rPr>
                <w:rFonts w:eastAsia="Calibri"/>
                <w:i/>
                <w:sz w:val="22"/>
                <w:szCs w:val="22"/>
                <w:lang w:val="sr-Latn-ME" w:bidi="en-US"/>
              </w:rPr>
              <w:t>Hazard ratio</w:t>
            </w:r>
            <w:r w:rsidRPr="00F85CA6">
              <w:rPr>
                <w:rFonts w:eastAsia="Calibri"/>
                <w:sz w:val="22"/>
                <w:szCs w:val="22"/>
                <w:lang w:val="sr-Latn-ME" w:bidi="en-US"/>
              </w:rPr>
              <w:t xml:space="preserve"> prema varfarinu</w:t>
            </w:r>
          </w:p>
          <w:p w14:paraId="65F1BC33" w14:textId="77777777" w:rsidR="007E29AA" w:rsidRPr="00F85CA6" w:rsidRDefault="007E29AA" w:rsidP="007E29AA">
            <w:pPr>
              <w:jc w:val="center"/>
              <w:rPr>
                <w:rFonts w:eastAsia="Calibri"/>
                <w:sz w:val="22"/>
                <w:szCs w:val="22"/>
                <w:lang w:val="sr-Latn-ME" w:bidi="en-US"/>
              </w:rPr>
            </w:pPr>
            <w:r w:rsidRPr="00F85CA6">
              <w:rPr>
                <w:rFonts w:eastAsia="Calibri"/>
                <w:sz w:val="22"/>
                <w:szCs w:val="22"/>
                <w:lang w:val="sr-Latn-ME" w:bidi="en-US"/>
              </w:rPr>
              <w:t>(interval pouzdanosti 95%)</w:t>
            </w:r>
          </w:p>
        </w:tc>
      </w:tr>
      <w:tr w:rsidR="007E29AA" w:rsidRPr="00F85CA6" w14:paraId="42BCAF05" w14:textId="77777777" w:rsidTr="001239C3">
        <w:trPr>
          <w:trHeight w:val="20"/>
          <w:jc w:val="center"/>
        </w:trPr>
        <w:tc>
          <w:tcPr>
            <w:tcW w:w="1553" w:type="pct"/>
            <w:tcBorders>
              <w:top w:val="single" w:sz="4" w:space="0" w:color="auto"/>
              <w:left w:val="single" w:sz="4" w:space="0" w:color="auto"/>
            </w:tcBorders>
            <w:shd w:val="clear" w:color="auto" w:fill="auto"/>
          </w:tcPr>
          <w:p w14:paraId="47E3EFC1" w14:textId="2E6E5821" w:rsidR="007E29AA" w:rsidRPr="00F85CA6" w:rsidRDefault="007E29AA" w:rsidP="007E29AA">
            <w:pPr>
              <w:jc w:val="both"/>
              <w:rPr>
                <w:rFonts w:eastAsia="Calibri"/>
                <w:sz w:val="22"/>
                <w:szCs w:val="22"/>
                <w:lang w:val="sr-Latn-ME" w:bidi="en-US"/>
              </w:rPr>
            </w:pPr>
            <w:r w:rsidRPr="00F85CA6">
              <w:rPr>
                <w:rFonts w:eastAsia="Calibri"/>
                <w:sz w:val="22"/>
                <w:szCs w:val="22"/>
                <w:lang w:val="sr-Latn-ME" w:bidi="en-US"/>
              </w:rPr>
              <w:t>Pacijenti uključeni u analizu bezb</w:t>
            </w:r>
            <w:r w:rsidR="0063035D" w:rsidRPr="00F85CA6">
              <w:rPr>
                <w:rFonts w:eastAsia="Calibri"/>
                <w:sz w:val="22"/>
                <w:szCs w:val="22"/>
                <w:lang w:val="sr-Latn-ME" w:bidi="en-US"/>
              </w:rPr>
              <w:t>j</w:t>
            </w:r>
            <w:r w:rsidRPr="00F85CA6">
              <w:rPr>
                <w:rFonts w:eastAsia="Calibri"/>
                <w:sz w:val="22"/>
                <w:szCs w:val="22"/>
                <w:lang w:val="sr-Latn-ME" w:bidi="en-US"/>
              </w:rPr>
              <w:t>ednosti</w:t>
            </w:r>
          </w:p>
        </w:tc>
        <w:tc>
          <w:tcPr>
            <w:tcW w:w="1152" w:type="pct"/>
            <w:tcBorders>
              <w:top w:val="single" w:sz="4" w:space="0" w:color="auto"/>
              <w:left w:val="single" w:sz="4" w:space="0" w:color="auto"/>
            </w:tcBorders>
            <w:shd w:val="clear" w:color="auto" w:fill="auto"/>
            <w:vAlign w:val="center"/>
          </w:tcPr>
          <w:p w14:paraId="0E718F97" w14:textId="77777777" w:rsidR="007E29AA" w:rsidRPr="00F85CA6" w:rsidRDefault="007E29AA" w:rsidP="007E29AA">
            <w:pPr>
              <w:jc w:val="center"/>
              <w:rPr>
                <w:rFonts w:eastAsia="Calibri"/>
                <w:sz w:val="22"/>
                <w:szCs w:val="22"/>
                <w:lang w:val="sr-Latn-ME" w:bidi="en-US"/>
              </w:rPr>
            </w:pPr>
            <w:r w:rsidRPr="00F85CA6">
              <w:rPr>
                <w:rFonts w:eastAsia="Calibri"/>
                <w:sz w:val="22"/>
                <w:szCs w:val="22"/>
                <w:lang w:val="sr-Latn-ME" w:bidi="en-US"/>
              </w:rPr>
              <w:t>2456</w:t>
            </w:r>
          </w:p>
        </w:tc>
        <w:tc>
          <w:tcPr>
            <w:tcW w:w="1149" w:type="pct"/>
            <w:tcBorders>
              <w:top w:val="single" w:sz="4" w:space="0" w:color="auto"/>
              <w:left w:val="single" w:sz="4" w:space="0" w:color="auto"/>
            </w:tcBorders>
            <w:shd w:val="clear" w:color="auto" w:fill="auto"/>
            <w:vAlign w:val="center"/>
          </w:tcPr>
          <w:p w14:paraId="359E4A7B" w14:textId="77777777" w:rsidR="007E29AA" w:rsidRPr="00F85CA6" w:rsidRDefault="007E29AA" w:rsidP="007E29AA">
            <w:pPr>
              <w:jc w:val="center"/>
              <w:rPr>
                <w:rFonts w:eastAsia="Calibri"/>
                <w:sz w:val="22"/>
                <w:szCs w:val="22"/>
                <w:lang w:val="sr-Latn-ME" w:bidi="en-US"/>
              </w:rPr>
            </w:pPr>
            <w:r w:rsidRPr="00F85CA6">
              <w:rPr>
                <w:rFonts w:eastAsia="Calibri"/>
                <w:sz w:val="22"/>
                <w:szCs w:val="22"/>
                <w:lang w:val="sr-Latn-ME" w:bidi="en-US"/>
              </w:rPr>
              <w:t>2462</w:t>
            </w:r>
          </w:p>
        </w:tc>
        <w:tc>
          <w:tcPr>
            <w:tcW w:w="1146" w:type="pct"/>
            <w:tcBorders>
              <w:top w:val="single" w:sz="4" w:space="0" w:color="auto"/>
              <w:left w:val="single" w:sz="4" w:space="0" w:color="auto"/>
              <w:right w:val="single" w:sz="4" w:space="0" w:color="auto"/>
            </w:tcBorders>
            <w:shd w:val="clear" w:color="auto" w:fill="auto"/>
            <w:vAlign w:val="center"/>
          </w:tcPr>
          <w:p w14:paraId="149C141F" w14:textId="77777777" w:rsidR="007E29AA" w:rsidRPr="00F85CA6" w:rsidRDefault="007E29AA" w:rsidP="007E29AA">
            <w:pPr>
              <w:jc w:val="center"/>
              <w:rPr>
                <w:rFonts w:eastAsia="Calibri"/>
                <w:sz w:val="22"/>
                <w:szCs w:val="22"/>
                <w:lang w:val="sr-Latn-ME" w:bidi="en-US"/>
              </w:rPr>
            </w:pPr>
          </w:p>
        </w:tc>
      </w:tr>
      <w:tr w:rsidR="007E29AA" w:rsidRPr="00F85CA6" w14:paraId="3001A126" w14:textId="77777777" w:rsidTr="001239C3">
        <w:trPr>
          <w:trHeight w:val="20"/>
          <w:jc w:val="center"/>
        </w:trPr>
        <w:tc>
          <w:tcPr>
            <w:tcW w:w="1553" w:type="pct"/>
            <w:tcBorders>
              <w:top w:val="single" w:sz="4" w:space="0" w:color="auto"/>
              <w:left w:val="single" w:sz="4" w:space="0" w:color="auto"/>
              <w:bottom w:val="single" w:sz="4" w:space="0" w:color="auto"/>
            </w:tcBorders>
            <w:shd w:val="clear" w:color="auto" w:fill="auto"/>
          </w:tcPr>
          <w:p w14:paraId="5B9330C6" w14:textId="77777777" w:rsidR="007E29AA" w:rsidRPr="00F85CA6" w:rsidRDefault="007E29AA" w:rsidP="007E29AA">
            <w:pPr>
              <w:jc w:val="both"/>
              <w:rPr>
                <w:rFonts w:eastAsia="Calibri"/>
                <w:sz w:val="22"/>
                <w:szCs w:val="22"/>
                <w:lang w:val="sr-Latn-ME" w:bidi="en-US"/>
              </w:rPr>
            </w:pPr>
            <w:r w:rsidRPr="00F85CA6">
              <w:rPr>
                <w:rFonts w:eastAsia="Calibri"/>
                <w:sz w:val="22"/>
                <w:szCs w:val="22"/>
                <w:lang w:val="sr-Latn-ME" w:bidi="en-US"/>
              </w:rPr>
              <w:t xml:space="preserve">Događaji obilnijeg krvarenja </w:t>
            </w:r>
          </w:p>
        </w:tc>
        <w:tc>
          <w:tcPr>
            <w:tcW w:w="1152" w:type="pct"/>
            <w:tcBorders>
              <w:top w:val="single" w:sz="4" w:space="0" w:color="auto"/>
              <w:left w:val="single" w:sz="4" w:space="0" w:color="auto"/>
              <w:bottom w:val="single" w:sz="4" w:space="0" w:color="auto"/>
            </w:tcBorders>
            <w:shd w:val="clear" w:color="auto" w:fill="auto"/>
            <w:vAlign w:val="center"/>
          </w:tcPr>
          <w:p w14:paraId="38C31397" w14:textId="77777777" w:rsidR="007E29AA" w:rsidRPr="00F85CA6" w:rsidRDefault="007E29AA" w:rsidP="007E29AA">
            <w:pPr>
              <w:jc w:val="center"/>
              <w:rPr>
                <w:rFonts w:eastAsia="Calibri"/>
                <w:sz w:val="22"/>
                <w:szCs w:val="22"/>
                <w:lang w:val="sr-Latn-ME" w:bidi="en-US"/>
              </w:rPr>
            </w:pPr>
            <w:r w:rsidRPr="00F85CA6">
              <w:rPr>
                <w:rFonts w:eastAsia="Calibri"/>
                <w:sz w:val="22"/>
                <w:szCs w:val="22"/>
                <w:lang w:val="sr-Latn-ME" w:bidi="en-US"/>
              </w:rPr>
              <w:t>24 (1,0%)</w:t>
            </w:r>
          </w:p>
        </w:tc>
        <w:tc>
          <w:tcPr>
            <w:tcW w:w="1149" w:type="pct"/>
            <w:tcBorders>
              <w:top w:val="single" w:sz="4" w:space="0" w:color="auto"/>
              <w:left w:val="single" w:sz="4" w:space="0" w:color="auto"/>
              <w:bottom w:val="single" w:sz="4" w:space="0" w:color="auto"/>
            </w:tcBorders>
            <w:shd w:val="clear" w:color="auto" w:fill="auto"/>
            <w:vAlign w:val="center"/>
          </w:tcPr>
          <w:p w14:paraId="2ED364C5" w14:textId="77777777" w:rsidR="007E29AA" w:rsidRPr="00F85CA6" w:rsidRDefault="007E29AA" w:rsidP="007E29AA">
            <w:pPr>
              <w:jc w:val="center"/>
              <w:rPr>
                <w:rFonts w:eastAsia="Calibri"/>
                <w:sz w:val="22"/>
                <w:szCs w:val="22"/>
                <w:lang w:val="sr-Latn-ME" w:bidi="en-US"/>
              </w:rPr>
            </w:pPr>
            <w:r w:rsidRPr="00F85CA6">
              <w:rPr>
                <w:rFonts w:eastAsia="Calibri"/>
                <w:sz w:val="22"/>
                <w:szCs w:val="22"/>
                <w:lang w:val="sr-Latn-ME" w:bidi="en-US"/>
              </w:rPr>
              <w:t>40 (1,6%)</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center"/>
          </w:tcPr>
          <w:p w14:paraId="7ECD9608" w14:textId="77777777" w:rsidR="007E29AA" w:rsidRPr="00F85CA6" w:rsidRDefault="007E29AA" w:rsidP="007E29AA">
            <w:pPr>
              <w:jc w:val="center"/>
              <w:rPr>
                <w:rFonts w:eastAsia="Calibri"/>
                <w:sz w:val="22"/>
                <w:szCs w:val="22"/>
                <w:lang w:val="sr-Latn-ME" w:bidi="en-US"/>
              </w:rPr>
            </w:pPr>
            <w:r w:rsidRPr="00F85CA6">
              <w:rPr>
                <w:rFonts w:eastAsia="Calibri"/>
                <w:sz w:val="22"/>
                <w:szCs w:val="22"/>
                <w:lang w:val="sr-Latn-ME" w:bidi="en-US"/>
              </w:rPr>
              <w:t>0,60 (0,36; 0,99)</w:t>
            </w:r>
          </w:p>
        </w:tc>
      </w:tr>
      <w:tr w:rsidR="007E29AA" w:rsidRPr="00F85CA6" w14:paraId="5A317F98" w14:textId="77777777" w:rsidTr="001239C3">
        <w:trPr>
          <w:trHeight w:val="20"/>
          <w:jc w:val="center"/>
        </w:trPr>
        <w:tc>
          <w:tcPr>
            <w:tcW w:w="1553" w:type="pct"/>
            <w:tcBorders>
              <w:top w:val="single" w:sz="4" w:space="0" w:color="auto"/>
              <w:left w:val="single" w:sz="4" w:space="0" w:color="auto"/>
            </w:tcBorders>
            <w:shd w:val="clear" w:color="auto" w:fill="auto"/>
          </w:tcPr>
          <w:p w14:paraId="49900C8A" w14:textId="77777777" w:rsidR="007E29AA" w:rsidRPr="00F85CA6" w:rsidRDefault="007E29AA" w:rsidP="007E29AA">
            <w:pPr>
              <w:jc w:val="center"/>
              <w:rPr>
                <w:rFonts w:eastAsia="Calibri"/>
                <w:sz w:val="22"/>
                <w:szCs w:val="22"/>
                <w:lang w:val="sr-Latn-ME" w:bidi="en-US"/>
              </w:rPr>
            </w:pPr>
            <w:r w:rsidRPr="00F85CA6">
              <w:rPr>
                <w:rFonts w:eastAsia="Calibri"/>
                <w:sz w:val="22"/>
                <w:szCs w:val="22"/>
                <w:lang w:val="sr-Latn-ME" w:bidi="en-US"/>
              </w:rPr>
              <w:t>Intrakranijalno krvarenje</w:t>
            </w:r>
          </w:p>
        </w:tc>
        <w:tc>
          <w:tcPr>
            <w:tcW w:w="1152" w:type="pct"/>
            <w:tcBorders>
              <w:top w:val="single" w:sz="4" w:space="0" w:color="auto"/>
              <w:left w:val="single" w:sz="4" w:space="0" w:color="auto"/>
            </w:tcBorders>
            <w:shd w:val="clear" w:color="auto" w:fill="auto"/>
            <w:vAlign w:val="center"/>
          </w:tcPr>
          <w:p w14:paraId="363DECE4" w14:textId="77777777" w:rsidR="007E29AA" w:rsidRPr="00F85CA6" w:rsidRDefault="007E29AA" w:rsidP="007E29AA">
            <w:pPr>
              <w:jc w:val="center"/>
              <w:rPr>
                <w:rFonts w:eastAsia="Calibri"/>
                <w:sz w:val="22"/>
                <w:szCs w:val="22"/>
                <w:lang w:val="sr-Latn-ME" w:bidi="en-US"/>
              </w:rPr>
            </w:pPr>
            <w:r w:rsidRPr="00F85CA6">
              <w:rPr>
                <w:rFonts w:eastAsia="Calibri"/>
                <w:sz w:val="22"/>
                <w:szCs w:val="22"/>
                <w:lang w:val="sr-Latn-ME" w:bidi="en-US"/>
              </w:rPr>
              <w:t>2 (0,1%)</w:t>
            </w:r>
          </w:p>
        </w:tc>
        <w:tc>
          <w:tcPr>
            <w:tcW w:w="1149" w:type="pct"/>
            <w:tcBorders>
              <w:top w:val="single" w:sz="4" w:space="0" w:color="auto"/>
              <w:left w:val="single" w:sz="4" w:space="0" w:color="auto"/>
            </w:tcBorders>
            <w:shd w:val="clear" w:color="auto" w:fill="auto"/>
            <w:vAlign w:val="center"/>
          </w:tcPr>
          <w:p w14:paraId="00B5A9BE" w14:textId="77777777" w:rsidR="007E29AA" w:rsidRPr="00F85CA6" w:rsidRDefault="007E29AA" w:rsidP="007E29AA">
            <w:pPr>
              <w:jc w:val="center"/>
              <w:rPr>
                <w:rFonts w:eastAsia="Calibri"/>
                <w:sz w:val="22"/>
                <w:szCs w:val="22"/>
                <w:lang w:val="sr-Latn-ME" w:bidi="en-US"/>
              </w:rPr>
            </w:pPr>
            <w:r w:rsidRPr="00F85CA6">
              <w:rPr>
                <w:rFonts w:eastAsia="Calibri"/>
                <w:sz w:val="22"/>
                <w:szCs w:val="22"/>
                <w:lang w:val="sr-Latn-ME" w:bidi="en-US"/>
              </w:rPr>
              <w:t>4 (0,2%)</w:t>
            </w:r>
          </w:p>
        </w:tc>
        <w:tc>
          <w:tcPr>
            <w:tcW w:w="1146" w:type="pct"/>
            <w:tcBorders>
              <w:top w:val="single" w:sz="4" w:space="0" w:color="auto"/>
              <w:left w:val="single" w:sz="4" w:space="0" w:color="auto"/>
              <w:right w:val="single" w:sz="4" w:space="0" w:color="auto"/>
            </w:tcBorders>
            <w:shd w:val="clear" w:color="auto" w:fill="auto"/>
            <w:vAlign w:val="center"/>
          </w:tcPr>
          <w:p w14:paraId="543D995E" w14:textId="77777777" w:rsidR="007E29AA" w:rsidRPr="00F85CA6" w:rsidRDefault="007E29AA" w:rsidP="007E29AA">
            <w:pPr>
              <w:jc w:val="center"/>
              <w:rPr>
                <w:rFonts w:eastAsia="Calibri"/>
                <w:sz w:val="22"/>
                <w:szCs w:val="22"/>
                <w:lang w:val="sr-Latn-ME" w:bidi="en-US"/>
              </w:rPr>
            </w:pPr>
            <w:r w:rsidRPr="00F85CA6">
              <w:rPr>
                <w:rFonts w:eastAsia="Calibri"/>
                <w:sz w:val="22"/>
                <w:szCs w:val="22"/>
                <w:lang w:val="sr-Latn-ME" w:bidi="en-US"/>
              </w:rPr>
              <w:t>0,50 (0,09; 2,74)</w:t>
            </w:r>
          </w:p>
        </w:tc>
      </w:tr>
      <w:tr w:rsidR="007E29AA" w:rsidRPr="00F85CA6" w14:paraId="7531C56B" w14:textId="77777777" w:rsidTr="001239C3">
        <w:trPr>
          <w:trHeight w:val="20"/>
          <w:jc w:val="center"/>
        </w:trPr>
        <w:tc>
          <w:tcPr>
            <w:tcW w:w="1553" w:type="pct"/>
            <w:tcBorders>
              <w:top w:val="single" w:sz="4" w:space="0" w:color="auto"/>
              <w:left w:val="single" w:sz="4" w:space="0" w:color="auto"/>
            </w:tcBorders>
            <w:shd w:val="clear" w:color="auto" w:fill="auto"/>
          </w:tcPr>
          <w:p w14:paraId="37F8C45C" w14:textId="77777777" w:rsidR="007E29AA" w:rsidRPr="00F85CA6" w:rsidRDefault="007E29AA" w:rsidP="007E29AA">
            <w:pPr>
              <w:jc w:val="both"/>
              <w:rPr>
                <w:rFonts w:eastAsia="Calibri"/>
                <w:sz w:val="22"/>
                <w:szCs w:val="22"/>
                <w:lang w:val="sr-Latn-ME" w:bidi="en-US"/>
              </w:rPr>
            </w:pPr>
            <w:r w:rsidRPr="00F85CA6">
              <w:rPr>
                <w:rFonts w:eastAsia="Calibri"/>
                <w:sz w:val="22"/>
                <w:szCs w:val="22"/>
                <w:lang w:val="sr-Latn-ME" w:bidi="en-US"/>
              </w:rPr>
              <w:t xml:space="preserve">    Obilnije GI krvarenje </w:t>
            </w:r>
          </w:p>
        </w:tc>
        <w:tc>
          <w:tcPr>
            <w:tcW w:w="1152" w:type="pct"/>
            <w:tcBorders>
              <w:top w:val="single" w:sz="4" w:space="0" w:color="auto"/>
              <w:left w:val="single" w:sz="4" w:space="0" w:color="auto"/>
            </w:tcBorders>
            <w:shd w:val="clear" w:color="auto" w:fill="auto"/>
            <w:vAlign w:val="center"/>
          </w:tcPr>
          <w:p w14:paraId="5D91C49A" w14:textId="77777777" w:rsidR="007E29AA" w:rsidRPr="00F85CA6" w:rsidRDefault="007E29AA" w:rsidP="007E29AA">
            <w:pPr>
              <w:jc w:val="center"/>
              <w:rPr>
                <w:rFonts w:eastAsia="Calibri"/>
                <w:sz w:val="22"/>
                <w:szCs w:val="22"/>
                <w:lang w:val="sr-Latn-ME" w:bidi="en-US"/>
              </w:rPr>
            </w:pPr>
            <w:r w:rsidRPr="00F85CA6">
              <w:rPr>
                <w:rFonts w:eastAsia="Calibri"/>
                <w:sz w:val="22"/>
                <w:szCs w:val="22"/>
                <w:lang w:val="sr-Latn-ME" w:bidi="en-US"/>
              </w:rPr>
              <w:t>10 (0,4%)</w:t>
            </w:r>
          </w:p>
        </w:tc>
        <w:tc>
          <w:tcPr>
            <w:tcW w:w="1149" w:type="pct"/>
            <w:tcBorders>
              <w:top w:val="single" w:sz="4" w:space="0" w:color="auto"/>
              <w:left w:val="single" w:sz="4" w:space="0" w:color="auto"/>
            </w:tcBorders>
            <w:shd w:val="clear" w:color="auto" w:fill="auto"/>
            <w:vAlign w:val="center"/>
          </w:tcPr>
          <w:p w14:paraId="3C303737" w14:textId="77777777" w:rsidR="007E29AA" w:rsidRPr="00F85CA6" w:rsidRDefault="007E29AA" w:rsidP="007E29AA">
            <w:pPr>
              <w:jc w:val="center"/>
              <w:rPr>
                <w:rFonts w:eastAsia="Calibri"/>
                <w:sz w:val="22"/>
                <w:szCs w:val="22"/>
                <w:lang w:val="sr-Latn-ME" w:bidi="en-US"/>
              </w:rPr>
            </w:pPr>
            <w:r w:rsidRPr="00F85CA6">
              <w:rPr>
                <w:rFonts w:eastAsia="Calibri"/>
                <w:sz w:val="22"/>
                <w:szCs w:val="22"/>
                <w:lang w:val="sr-Latn-ME" w:bidi="en-US"/>
              </w:rPr>
              <w:t>12 (0,5%)</w:t>
            </w:r>
          </w:p>
        </w:tc>
        <w:tc>
          <w:tcPr>
            <w:tcW w:w="1146" w:type="pct"/>
            <w:tcBorders>
              <w:top w:val="single" w:sz="4" w:space="0" w:color="auto"/>
              <w:left w:val="single" w:sz="4" w:space="0" w:color="auto"/>
              <w:right w:val="single" w:sz="4" w:space="0" w:color="auto"/>
            </w:tcBorders>
            <w:shd w:val="clear" w:color="auto" w:fill="auto"/>
            <w:vAlign w:val="center"/>
          </w:tcPr>
          <w:p w14:paraId="20C308B5" w14:textId="77777777" w:rsidR="007E29AA" w:rsidRPr="00F85CA6" w:rsidRDefault="007E29AA" w:rsidP="007E29AA">
            <w:pPr>
              <w:jc w:val="center"/>
              <w:rPr>
                <w:rFonts w:eastAsia="Calibri"/>
                <w:sz w:val="22"/>
                <w:szCs w:val="22"/>
                <w:lang w:val="sr-Latn-ME" w:bidi="en-US"/>
              </w:rPr>
            </w:pPr>
            <w:r w:rsidRPr="00F85CA6">
              <w:rPr>
                <w:rFonts w:eastAsia="Calibri"/>
                <w:sz w:val="22"/>
                <w:szCs w:val="22"/>
                <w:lang w:val="sr-Latn-ME" w:bidi="en-US"/>
              </w:rPr>
              <w:t>0,83 (0,36; 1,93)</w:t>
            </w:r>
          </w:p>
        </w:tc>
      </w:tr>
      <w:tr w:rsidR="007E29AA" w:rsidRPr="00F85CA6" w14:paraId="1BF18A0D" w14:textId="77777777" w:rsidTr="001239C3">
        <w:trPr>
          <w:trHeight w:val="20"/>
          <w:jc w:val="center"/>
        </w:trPr>
        <w:tc>
          <w:tcPr>
            <w:tcW w:w="1553" w:type="pct"/>
            <w:tcBorders>
              <w:top w:val="single" w:sz="4" w:space="0" w:color="auto"/>
              <w:left w:val="single" w:sz="4" w:space="0" w:color="auto"/>
            </w:tcBorders>
            <w:shd w:val="clear" w:color="auto" w:fill="auto"/>
          </w:tcPr>
          <w:p w14:paraId="116F8685" w14:textId="1F550C5D" w:rsidR="007E29AA" w:rsidRPr="00F85CA6" w:rsidRDefault="007E29AA" w:rsidP="007E29AA">
            <w:pPr>
              <w:jc w:val="both"/>
              <w:rPr>
                <w:rFonts w:eastAsia="Calibri"/>
                <w:sz w:val="22"/>
                <w:szCs w:val="22"/>
                <w:lang w:val="sr-Latn-ME" w:bidi="en-US"/>
              </w:rPr>
            </w:pPr>
            <w:r w:rsidRPr="00F85CA6">
              <w:rPr>
                <w:rFonts w:eastAsia="Calibri"/>
                <w:sz w:val="22"/>
                <w:szCs w:val="22"/>
                <w:lang w:val="sr-Latn-ME" w:bidi="en-US"/>
              </w:rPr>
              <w:t xml:space="preserve">   </w:t>
            </w:r>
            <w:r w:rsidR="00B85AF4" w:rsidRPr="00F85CA6">
              <w:rPr>
                <w:rFonts w:eastAsia="Calibri"/>
                <w:sz w:val="22"/>
                <w:szCs w:val="22"/>
                <w:lang w:val="sr-Latn-ME" w:bidi="en-US"/>
              </w:rPr>
              <w:t xml:space="preserve"> </w:t>
            </w:r>
            <w:r w:rsidRPr="00F85CA6">
              <w:rPr>
                <w:rFonts w:eastAsia="Calibri"/>
                <w:sz w:val="22"/>
                <w:szCs w:val="22"/>
                <w:lang w:val="sr-Latn-ME" w:bidi="en-US"/>
              </w:rPr>
              <w:t>Krvarenje opasno po život</w:t>
            </w:r>
          </w:p>
        </w:tc>
        <w:tc>
          <w:tcPr>
            <w:tcW w:w="1152" w:type="pct"/>
            <w:tcBorders>
              <w:top w:val="single" w:sz="4" w:space="0" w:color="auto"/>
              <w:left w:val="single" w:sz="4" w:space="0" w:color="auto"/>
            </w:tcBorders>
            <w:shd w:val="clear" w:color="auto" w:fill="auto"/>
            <w:vAlign w:val="center"/>
          </w:tcPr>
          <w:p w14:paraId="7E885E79" w14:textId="77777777" w:rsidR="007E29AA" w:rsidRPr="00F85CA6" w:rsidRDefault="007E29AA" w:rsidP="007E29AA">
            <w:pPr>
              <w:jc w:val="center"/>
              <w:rPr>
                <w:rFonts w:eastAsia="Calibri"/>
                <w:sz w:val="22"/>
                <w:szCs w:val="22"/>
                <w:lang w:val="sr-Latn-ME" w:bidi="en-US"/>
              </w:rPr>
            </w:pPr>
            <w:r w:rsidRPr="00F85CA6">
              <w:rPr>
                <w:rFonts w:eastAsia="Calibri"/>
                <w:sz w:val="22"/>
                <w:szCs w:val="22"/>
                <w:lang w:val="sr-Latn-ME" w:bidi="en-US"/>
              </w:rPr>
              <w:t>4 (0,2%)</w:t>
            </w:r>
          </w:p>
        </w:tc>
        <w:tc>
          <w:tcPr>
            <w:tcW w:w="1149" w:type="pct"/>
            <w:tcBorders>
              <w:top w:val="single" w:sz="4" w:space="0" w:color="auto"/>
              <w:left w:val="single" w:sz="4" w:space="0" w:color="auto"/>
            </w:tcBorders>
            <w:shd w:val="clear" w:color="auto" w:fill="auto"/>
            <w:vAlign w:val="center"/>
          </w:tcPr>
          <w:p w14:paraId="509D5712" w14:textId="77777777" w:rsidR="007E29AA" w:rsidRPr="00F85CA6" w:rsidRDefault="007E29AA" w:rsidP="007E29AA">
            <w:pPr>
              <w:jc w:val="center"/>
              <w:rPr>
                <w:rFonts w:eastAsia="Calibri"/>
                <w:sz w:val="22"/>
                <w:szCs w:val="22"/>
                <w:lang w:val="sr-Latn-ME" w:bidi="en-US"/>
              </w:rPr>
            </w:pPr>
            <w:r w:rsidRPr="00F85CA6">
              <w:rPr>
                <w:rFonts w:eastAsia="Calibri"/>
                <w:sz w:val="22"/>
                <w:szCs w:val="22"/>
                <w:lang w:val="sr-Latn-ME" w:bidi="en-US"/>
              </w:rPr>
              <w:t>6 (0,2%)</w:t>
            </w:r>
          </w:p>
        </w:tc>
        <w:tc>
          <w:tcPr>
            <w:tcW w:w="1146" w:type="pct"/>
            <w:tcBorders>
              <w:top w:val="single" w:sz="4" w:space="0" w:color="auto"/>
              <w:left w:val="single" w:sz="4" w:space="0" w:color="auto"/>
              <w:right w:val="single" w:sz="4" w:space="0" w:color="auto"/>
            </w:tcBorders>
            <w:shd w:val="clear" w:color="auto" w:fill="auto"/>
            <w:vAlign w:val="center"/>
          </w:tcPr>
          <w:p w14:paraId="3F2224FB" w14:textId="77777777" w:rsidR="007E29AA" w:rsidRPr="00F85CA6" w:rsidRDefault="007E29AA" w:rsidP="007E29AA">
            <w:pPr>
              <w:jc w:val="center"/>
              <w:rPr>
                <w:rFonts w:eastAsia="Calibri"/>
                <w:sz w:val="22"/>
                <w:szCs w:val="22"/>
                <w:lang w:val="sr-Latn-ME" w:bidi="en-US"/>
              </w:rPr>
            </w:pPr>
            <w:r w:rsidRPr="00F85CA6">
              <w:rPr>
                <w:rFonts w:eastAsia="Calibri"/>
                <w:sz w:val="22"/>
                <w:szCs w:val="22"/>
                <w:lang w:val="sr-Latn-ME" w:bidi="en-US"/>
              </w:rPr>
              <w:t>0,66 (0,19; 2,36)</w:t>
            </w:r>
          </w:p>
        </w:tc>
      </w:tr>
      <w:tr w:rsidR="007E29AA" w:rsidRPr="00F85CA6" w14:paraId="74F4ABC6" w14:textId="77777777" w:rsidTr="001239C3">
        <w:trPr>
          <w:trHeight w:val="20"/>
          <w:jc w:val="center"/>
        </w:trPr>
        <w:tc>
          <w:tcPr>
            <w:tcW w:w="1553" w:type="pct"/>
            <w:tcBorders>
              <w:top w:val="single" w:sz="4" w:space="0" w:color="auto"/>
              <w:left w:val="single" w:sz="4" w:space="0" w:color="auto"/>
            </w:tcBorders>
            <w:shd w:val="clear" w:color="auto" w:fill="auto"/>
          </w:tcPr>
          <w:p w14:paraId="1C49D889" w14:textId="77777777" w:rsidR="007E29AA" w:rsidRPr="00F85CA6" w:rsidRDefault="007E29AA" w:rsidP="00B85AF4">
            <w:pPr>
              <w:rPr>
                <w:rFonts w:eastAsia="Calibri"/>
                <w:sz w:val="22"/>
                <w:szCs w:val="22"/>
                <w:lang w:val="sr-Latn-ME" w:bidi="en-US"/>
              </w:rPr>
            </w:pPr>
            <w:r w:rsidRPr="00F85CA6">
              <w:rPr>
                <w:rFonts w:eastAsia="Calibri"/>
                <w:sz w:val="22"/>
                <w:szCs w:val="22"/>
                <w:lang w:val="sr-Latn-ME" w:bidi="en-US"/>
              </w:rPr>
              <w:t>Događaji obilnijeg krvarenja/klinički značajna krvarenja</w:t>
            </w:r>
          </w:p>
        </w:tc>
        <w:tc>
          <w:tcPr>
            <w:tcW w:w="1152" w:type="pct"/>
            <w:tcBorders>
              <w:top w:val="single" w:sz="4" w:space="0" w:color="auto"/>
              <w:left w:val="single" w:sz="4" w:space="0" w:color="auto"/>
            </w:tcBorders>
            <w:shd w:val="clear" w:color="auto" w:fill="auto"/>
            <w:vAlign w:val="center"/>
          </w:tcPr>
          <w:p w14:paraId="5804C201" w14:textId="77777777" w:rsidR="007E29AA" w:rsidRPr="00F85CA6" w:rsidRDefault="007E29AA" w:rsidP="007E29AA">
            <w:pPr>
              <w:jc w:val="center"/>
              <w:rPr>
                <w:rFonts w:eastAsia="Calibri"/>
                <w:sz w:val="22"/>
                <w:szCs w:val="22"/>
                <w:lang w:val="sr-Latn-ME" w:bidi="en-US"/>
              </w:rPr>
            </w:pPr>
            <w:r w:rsidRPr="00F85CA6">
              <w:rPr>
                <w:rFonts w:eastAsia="Calibri"/>
                <w:sz w:val="22"/>
                <w:szCs w:val="22"/>
                <w:lang w:val="sr-Latn-ME" w:bidi="en-US"/>
              </w:rPr>
              <w:t>109 (4,4%)</w:t>
            </w:r>
          </w:p>
        </w:tc>
        <w:tc>
          <w:tcPr>
            <w:tcW w:w="1149" w:type="pct"/>
            <w:tcBorders>
              <w:top w:val="single" w:sz="4" w:space="0" w:color="auto"/>
              <w:left w:val="single" w:sz="4" w:space="0" w:color="auto"/>
            </w:tcBorders>
            <w:shd w:val="clear" w:color="auto" w:fill="auto"/>
            <w:vAlign w:val="center"/>
          </w:tcPr>
          <w:p w14:paraId="49939015" w14:textId="77777777" w:rsidR="007E29AA" w:rsidRPr="00F85CA6" w:rsidRDefault="007E29AA" w:rsidP="007E29AA">
            <w:pPr>
              <w:jc w:val="center"/>
              <w:rPr>
                <w:rFonts w:eastAsia="Calibri"/>
                <w:sz w:val="22"/>
                <w:szCs w:val="22"/>
                <w:lang w:val="sr-Latn-ME" w:bidi="en-US"/>
              </w:rPr>
            </w:pPr>
            <w:r w:rsidRPr="00F85CA6">
              <w:rPr>
                <w:rFonts w:eastAsia="Calibri"/>
                <w:sz w:val="22"/>
                <w:szCs w:val="22"/>
                <w:lang w:val="sr-Latn-ME" w:bidi="en-US"/>
              </w:rPr>
              <w:t>189 (7,7%)</w:t>
            </w:r>
          </w:p>
        </w:tc>
        <w:tc>
          <w:tcPr>
            <w:tcW w:w="1146" w:type="pct"/>
            <w:tcBorders>
              <w:top w:val="single" w:sz="4" w:space="0" w:color="auto"/>
              <w:left w:val="single" w:sz="4" w:space="0" w:color="auto"/>
              <w:right w:val="single" w:sz="4" w:space="0" w:color="auto"/>
            </w:tcBorders>
            <w:shd w:val="clear" w:color="auto" w:fill="auto"/>
            <w:vAlign w:val="center"/>
          </w:tcPr>
          <w:p w14:paraId="3D0B48CD" w14:textId="77777777" w:rsidR="007E29AA" w:rsidRPr="00F85CA6" w:rsidRDefault="007E29AA" w:rsidP="007E29AA">
            <w:pPr>
              <w:jc w:val="center"/>
              <w:rPr>
                <w:rFonts w:eastAsia="Calibri"/>
                <w:sz w:val="22"/>
                <w:szCs w:val="22"/>
                <w:lang w:val="sr-Latn-ME" w:bidi="en-US"/>
              </w:rPr>
            </w:pPr>
            <w:r w:rsidRPr="00F85CA6">
              <w:rPr>
                <w:rFonts w:eastAsia="Calibri"/>
                <w:sz w:val="22"/>
                <w:szCs w:val="22"/>
                <w:lang w:val="sr-Latn-ME" w:bidi="en-US"/>
              </w:rPr>
              <w:t>0,56 (0,45; 0,71)</w:t>
            </w:r>
          </w:p>
        </w:tc>
      </w:tr>
      <w:tr w:rsidR="007E29AA" w:rsidRPr="00F85CA6" w14:paraId="71A07D37" w14:textId="77777777" w:rsidTr="001239C3">
        <w:trPr>
          <w:trHeight w:val="20"/>
          <w:jc w:val="center"/>
        </w:trPr>
        <w:tc>
          <w:tcPr>
            <w:tcW w:w="1553" w:type="pct"/>
            <w:tcBorders>
              <w:top w:val="single" w:sz="4" w:space="0" w:color="auto"/>
              <w:left w:val="single" w:sz="4" w:space="0" w:color="auto"/>
              <w:bottom w:val="single" w:sz="4" w:space="0" w:color="auto"/>
            </w:tcBorders>
            <w:shd w:val="clear" w:color="auto" w:fill="auto"/>
          </w:tcPr>
          <w:p w14:paraId="696EB9D2" w14:textId="77777777" w:rsidR="007E29AA" w:rsidRPr="00F85CA6" w:rsidRDefault="007E29AA" w:rsidP="007E29AA">
            <w:pPr>
              <w:jc w:val="both"/>
              <w:rPr>
                <w:rFonts w:eastAsia="Calibri"/>
                <w:sz w:val="22"/>
                <w:szCs w:val="22"/>
                <w:lang w:val="sr-Latn-ME" w:bidi="en-US"/>
              </w:rPr>
            </w:pPr>
            <w:r w:rsidRPr="00F85CA6">
              <w:rPr>
                <w:rFonts w:eastAsia="Calibri"/>
                <w:sz w:val="22"/>
                <w:szCs w:val="22"/>
                <w:lang w:val="sr-Latn-ME" w:bidi="en-US"/>
              </w:rPr>
              <w:t>Bilo koje krvarenje</w:t>
            </w:r>
          </w:p>
        </w:tc>
        <w:tc>
          <w:tcPr>
            <w:tcW w:w="1152" w:type="pct"/>
            <w:tcBorders>
              <w:top w:val="single" w:sz="4" w:space="0" w:color="auto"/>
              <w:left w:val="single" w:sz="4" w:space="0" w:color="auto"/>
              <w:bottom w:val="single" w:sz="4" w:space="0" w:color="auto"/>
            </w:tcBorders>
            <w:shd w:val="clear" w:color="auto" w:fill="auto"/>
            <w:vAlign w:val="center"/>
          </w:tcPr>
          <w:p w14:paraId="57DBA6E6" w14:textId="77777777" w:rsidR="007E29AA" w:rsidRPr="00F85CA6" w:rsidRDefault="007E29AA" w:rsidP="007E29AA">
            <w:pPr>
              <w:jc w:val="center"/>
              <w:rPr>
                <w:rFonts w:eastAsia="Calibri"/>
                <w:sz w:val="22"/>
                <w:szCs w:val="22"/>
                <w:lang w:val="sr-Latn-ME" w:bidi="en-US"/>
              </w:rPr>
            </w:pPr>
            <w:r w:rsidRPr="00F85CA6">
              <w:rPr>
                <w:rFonts w:eastAsia="Calibri"/>
                <w:sz w:val="22"/>
                <w:szCs w:val="22"/>
                <w:lang w:val="sr-Latn-ME" w:bidi="en-US"/>
              </w:rPr>
              <w:t>354 (14,4%)</w:t>
            </w:r>
          </w:p>
        </w:tc>
        <w:tc>
          <w:tcPr>
            <w:tcW w:w="1149" w:type="pct"/>
            <w:tcBorders>
              <w:top w:val="single" w:sz="4" w:space="0" w:color="auto"/>
              <w:left w:val="single" w:sz="4" w:space="0" w:color="auto"/>
              <w:bottom w:val="single" w:sz="4" w:space="0" w:color="auto"/>
            </w:tcBorders>
            <w:shd w:val="clear" w:color="auto" w:fill="auto"/>
            <w:vAlign w:val="center"/>
          </w:tcPr>
          <w:p w14:paraId="209E97D4" w14:textId="77777777" w:rsidR="007E29AA" w:rsidRPr="00F85CA6" w:rsidRDefault="007E29AA" w:rsidP="007E29AA">
            <w:pPr>
              <w:jc w:val="center"/>
              <w:rPr>
                <w:rFonts w:eastAsia="Calibri"/>
                <w:sz w:val="22"/>
                <w:szCs w:val="22"/>
                <w:lang w:val="sr-Latn-ME" w:bidi="en-US"/>
              </w:rPr>
            </w:pPr>
            <w:r w:rsidRPr="00F85CA6">
              <w:rPr>
                <w:rFonts w:eastAsia="Calibri"/>
                <w:sz w:val="22"/>
                <w:szCs w:val="22"/>
                <w:lang w:val="sr-Latn-ME" w:bidi="en-US"/>
              </w:rPr>
              <w:t>503 (20,4%)</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center"/>
          </w:tcPr>
          <w:p w14:paraId="7F33646C" w14:textId="77777777" w:rsidR="007E29AA" w:rsidRPr="00F85CA6" w:rsidRDefault="007E29AA" w:rsidP="007E29AA">
            <w:pPr>
              <w:jc w:val="center"/>
              <w:rPr>
                <w:rFonts w:eastAsia="Calibri"/>
                <w:sz w:val="22"/>
                <w:szCs w:val="22"/>
                <w:lang w:val="sr-Latn-ME" w:bidi="en-US"/>
              </w:rPr>
            </w:pPr>
            <w:r w:rsidRPr="00F85CA6">
              <w:rPr>
                <w:rFonts w:eastAsia="Calibri"/>
                <w:sz w:val="22"/>
                <w:szCs w:val="22"/>
                <w:lang w:val="sr-Latn-ME" w:bidi="en-US"/>
              </w:rPr>
              <w:t>0,67 (0,59; 0,77)</w:t>
            </w:r>
          </w:p>
        </w:tc>
      </w:tr>
      <w:tr w:rsidR="007E29AA" w:rsidRPr="00F85CA6" w14:paraId="3FC082BC" w14:textId="77777777" w:rsidTr="001239C3">
        <w:trPr>
          <w:trHeight w:val="20"/>
          <w:jc w:val="center"/>
        </w:trPr>
        <w:tc>
          <w:tcPr>
            <w:tcW w:w="1553" w:type="pct"/>
            <w:tcBorders>
              <w:top w:val="single" w:sz="4" w:space="0" w:color="auto"/>
              <w:left w:val="single" w:sz="4" w:space="0" w:color="auto"/>
              <w:bottom w:val="single" w:sz="4" w:space="0" w:color="auto"/>
            </w:tcBorders>
            <w:shd w:val="clear" w:color="auto" w:fill="auto"/>
          </w:tcPr>
          <w:p w14:paraId="34F09C18" w14:textId="77777777" w:rsidR="007E29AA" w:rsidRPr="00F85CA6" w:rsidRDefault="007E29AA" w:rsidP="007E29AA">
            <w:pPr>
              <w:jc w:val="center"/>
              <w:rPr>
                <w:rFonts w:eastAsia="Calibri"/>
                <w:sz w:val="22"/>
                <w:szCs w:val="22"/>
                <w:lang w:val="sr-Latn-ME" w:bidi="en-US"/>
              </w:rPr>
            </w:pPr>
            <w:r w:rsidRPr="00F85CA6">
              <w:rPr>
                <w:rFonts w:eastAsia="Calibri"/>
                <w:sz w:val="22"/>
                <w:szCs w:val="22"/>
                <w:lang w:val="sr-Latn-ME" w:bidi="en-US"/>
              </w:rPr>
              <w:t>Bilo koje GI krvarenje</w:t>
            </w:r>
          </w:p>
        </w:tc>
        <w:tc>
          <w:tcPr>
            <w:tcW w:w="1152" w:type="pct"/>
            <w:tcBorders>
              <w:top w:val="single" w:sz="4" w:space="0" w:color="auto"/>
              <w:left w:val="single" w:sz="4" w:space="0" w:color="auto"/>
              <w:bottom w:val="single" w:sz="4" w:space="0" w:color="auto"/>
            </w:tcBorders>
            <w:shd w:val="clear" w:color="auto" w:fill="auto"/>
            <w:vAlign w:val="center"/>
          </w:tcPr>
          <w:p w14:paraId="0DA11AF7" w14:textId="77777777" w:rsidR="007E29AA" w:rsidRPr="00F85CA6" w:rsidRDefault="007E29AA" w:rsidP="007E29AA">
            <w:pPr>
              <w:jc w:val="center"/>
              <w:rPr>
                <w:rFonts w:eastAsia="Calibri"/>
                <w:sz w:val="22"/>
                <w:szCs w:val="22"/>
                <w:lang w:val="sr-Latn-ME" w:bidi="en-US"/>
              </w:rPr>
            </w:pPr>
            <w:r w:rsidRPr="00F85CA6">
              <w:rPr>
                <w:rFonts w:eastAsia="Calibri"/>
                <w:sz w:val="22"/>
                <w:szCs w:val="22"/>
                <w:lang w:val="sr-Latn-ME" w:bidi="en-US"/>
              </w:rPr>
              <w:t>70 (2,9%)</w:t>
            </w:r>
          </w:p>
        </w:tc>
        <w:tc>
          <w:tcPr>
            <w:tcW w:w="1149" w:type="pct"/>
            <w:tcBorders>
              <w:top w:val="single" w:sz="4" w:space="0" w:color="auto"/>
              <w:left w:val="single" w:sz="4" w:space="0" w:color="auto"/>
              <w:bottom w:val="single" w:sz="4" w:space="0" w:color="auto"/>
            </w:tcBorders>
            <w:shd w:val="clear" w:color="auto" w:fill="auto"/>
            <w:vAlign w:val="center"/>
          </w:tcPr>
          <w:p w14:paraId="78942BD3" w14:textId="77777777" w:rsidR="007E29AA" w:rsidRPr="00F85CA6" w:rsidRDefault="007E29AA" w:rsidP="007E29AA">
            <w:pPr>
              <w:jc w:val="center"/>
              <w:rPr>
                <w:rFonts w:eastAsia="Calibri"/>
                <w:sz w:val="22"/>
                <w:szCs w:val="22"/>
                <w:lang w:val="sr-Latn-ME" w:bidi="en-US"/>
              </w:rPr>
            </w:pPr>
            <w:r w:rsidRPr="00F85CA6">
              <w:rPr>
                <w:rFonts w:eastAsia="Calibri"/>
                <w:sz w:val="22"/>
                <w:szCs w:val="22"/>
                <w:lang w:val="sr-Latn-ME" w:bidi="en-US"/>
              </w:rPr>
              <w:t>55 (2,2%)</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center"/>
          </w:tcPr>
          <w:p w14:paraId="67624366" w14:textId="77777777" w:rsidR="007E29AA" w:rsidRPr="00F85CA6" w:rsidRDefault="007E29AA" w:rsidP="007E29AA">
            <w:pPr>
              <w:jc w:val="center"/>
              <w:rPr>
                <w:rFonts w:eastAsia="Calibri"/>
                <w:sz w:val="22"/>
                <w:szCs w:val="22"/>
                <w:lang w:val="sr-Latn-ME" w:bidi="en-US"/>
              </w:rPr>
            </w:pPr>
            <w:r w:rsidRPr="00F85CA6">
              <w:rPr>
                <w:rFonts w:eastAsia="Calibri"/>
                <w:sz w:val="22"/>
                <w:szCs w:val="22"/>
                <w:lang w:val="sr-Latn-ME" w:bidi="en-US"/>
              </w:rPr>
              <w:t>1,27 (0,90; 1,82)</w:t>
            </w:r>
          </w:p>
        </w:tc>
      </w:tr>
      <w:bookmarkEnd w:id="16"/>
    </w:tbl>
    <w:p w14:paraId="5764489A" w14:textId="77777777" w:rsidR="007E29AA" w:rsidRPr="00F85CA6" w:rsidRDefault="007E29AA" w:rsidP="007E29AA">
      <w:pPr>
        <w:jc w:val="both"/>
        <w:rPr>
          <w:rFonts w:eastAsia="Calibri"/>
          <w:sz w:val="22"/>
          <w:szCs w:val="22"/>
          <w:lang w:val="sr-Latn-ME" w:bidi="en-US"/>
        </w:rPr>
      </w:pPr>
    </w:p>
    <w:p w14:paraId="3D4221C6" w14:textId="49EBA350" w:rsidR="007E29AA" w:rsidRPr="00F85CA6" w:rsidRDefault="007E29AA" w:rsidP="007E29AA">
      <w:pPr>
        <w:jc w:val="both"/>
        <w:rPr>
          <w:rFonts w:eastAsia="Calibri"/>
          <w:sz w:val="22"/>
          <w:szCs w:val="22"/>
          <w:lang w:val="sr-Latn-ME"/>
        </w:rPr>
      </w:pPr>
      <w:r w:rsidRPr="00F85CA6">
        <w:rPr>
          <w:rFonts w:eastAsia="Calibri"/>
          <w:sz w:val="22"/>
          <w:szCs w:val="22"/>
          <w:lang w:val="sr-Latn-ME"/>
        </w:rPr>
        <w:t>Događaji krvarenja za ob</w:t>
      </w:r>
      <w:r w:rsidR="001072B3" w:rsidRPr="00F85CA6">
        <w:rPr>
          <w:rFonts w:eastAsia="Calibri"/>
          <w:sz w:val="22"/>
          <w:szCs w:val="22"/>
          <w:lang w:val="sr-Latn-ME"/>
        </w:rPr>
        <w:t>j</w:t>
      </w:r>
      <w:r w:rsidRPr="00F85CA6">
        <w:rPr>
          <w:rFonts w:eastAsia="Calibri"/>
          <w:sz w:val="22"/>
          <w:szCs w:val="22"/>
          <w:lang w:val="sr-Latn-ME"/>
        </w:rPr>
        <w:t>e terapije se računaju od prvog unosa dabigatraneteksilata ili varfarina nakon prekida parenteralne terapije (vremenski period isključivo oralne terapije). Ovo uključuje sve događaje krvarenja koji su se javili za vr</w:t>
      </w:r>
      <w:r w:rsidR="00B85AF4" w:rsidRPr="00F85CA6">
        <w:rPr>
          <w:rFonts w:eastAsia="Calibri"/>
          <w:sz w:val="22"/>
          <w:szCs w:val="22"/>
          <w:lang w:val="sr-Latn-ME"/>
        </w:rPr>
        <w:t>ij</w:t>
      </w:r>
      <w:r w:rsidRPr="00F85CA6">
        <w:rPr>
          <w:rFonts w:eastAsia="Calibri"/>
          <w:sz w:val="22"/>
          <w:szCs w:val="22"/>
          <w:lang w:val="sr-Latn-ME"/>
        </w:rPr>
        <w:t>eme terapije dabigatrane</w:t>
      </w:r>
      <w:r w:rsidR="00FC0882" w:rsidRPr="00F85CA6">
        <w:rPr>
          <w:rFonts w:eastAsia="Calibri"/>
          <w:sz w:val="22"/>
          <w:szCs w:val="22"/>
          <w:lang w:val="sr-Latn-ME"/>
        </w:rPr>
        <w:t xml:space="preserve"> </w:t>
      </w:r>
      <w:r w:rsidRPr="00F85CA6">
        <w:rPr>
          <w:rFonts w:eastAsia="Calibri"/>
          <w:sz w:val="22"/>
          <w:szCs w:val="22"/>
          <w:lang w:val="sr-Latn-ME"/>
        </w:rPr>
        <w:t>teksilatom. Uključeni su svi događaji krvarenja koji su se javili za vr</w:t>
      </w:r>
      <w:r w:rsidR="00B85AF4" w:rsidRPr="00F85CA6">
        <w:rPr>
          <w:rFonts w:eastAsia="Calibri"/>
          <w:sz w:val="22"/>
          <w:szCs w:val="22"/>
          <w:lang w:val="sr-Latn-ME"/>
        </w:rPr>
        <w:t>ij</w:t>
      </w:r>
      <w:r w:rsidRPr="00F85CA6">
        <w:rPr>
          <w:rFonts w:eastAsia="Calibri"/>
          <w:sz w:val="22"/>
          <w:szCs w:val="22"/>
          <w:lang w:val="sr-Latn-ME"/>
        </w:rPr>
        <w:t>eme terapije varfarinom, osim onih koji su se javili za vr</w:t>
      </w:r>
      <w:r w:rsidR="00B85AF4" w:rsidRPr="00F85CA6">
        <w:rPr>
          <w:rFonts w:eastAsia="Calibri"/>
          <w:sz w:val="22"/>
          <w:szCs w:val="22"/>
          <w:lang w:val="sr-Latn-ME"/>
        </w:rPr>
        <w:t>ij</w:t>
      </w:r>
      <w:r w:rsidRPr="00F85CA6">
        <w:rPr>
          <w:rFonts w:eastAsia="Calibri"/>
          <w:sz w:val="22"/>
          <w:szCs w:val="22"/>
          <w:lang w:val="sr-Latn-ME"/>
        </w:rPr>
        <w:t>eme perioda preklapanja između varfarina i parenteralne terapije.</w:t>
      </w:r>
    </w:p>
    <w:p w14:paraId="2D167D00" w14:textId="77777777" w:rsidR="007E29AA" w:rsidRPr="00F85CA6" w:rsidRDefault="007E29AA" w:rsidP="007E29AA">
      <w:pPr>
        <w:jc w:val="both"/>
        <w:rPr>
          <w:rFonts w:eastAsia="Calibri"/>
          <w:sz w:val="22"/>
          <w:szCs w:val="22"/>
          <w:lang w:val="sr-Latn-ME"/>
        </w:rPr>
      </w:pPr>
    </w:p>
    <w:p w14:paraId="52C63B32" w14:textId="1BA7D42D" w:rsidR="007E29AA" w:rsidRPr="00F85CA6" w:rsidRDefault="007E29AA" w:rsidP="007E29AA">
      <w:pPr>
        <w:jc w:val="both"/>
        <w:rPr>
          <w:rFonts w:eastAsia="Calibri"/>
          <w:sz w:val="22"/>
          <w:szCs w:val="22"/>
          <w:lang w:val="sr-Latn-ME"/>
        </w:rPr>
      </w:pPr>
      <w:r w:rsidRPr="00F85CA6">
        <w:rPr>
          <w:rFonts w:eastAsia="Calibri"/>
          <w:sz w:val="22"/>
          <w:szCs w:val="22"/>
          <w:lang w:val="sr-Latn-ME"/>
        </w:rPr>
        <w:t xml:space="preserve">U Tabeli 16 su prikazani događaji krvarenja u pivotalnoj studiji RE-MEDY u kojoj je ispitivana prevencija DVT i PE. Neki događaji krvarenja </w:t>
      </w:r>
      <w:bookmarkStart w:id="17" w:name="_Hlk83114968"/>
      <w:r w:rsidRPr="00F85CA6">
        <w:rPr>
          <w:rFonts w:eastAsia="Calibri"/>
          <w:sz w:val="22"/>
          <w:szCs w:val="22"/>
          <w:lang w:val="sr-Latn-ME"/>
        </w:rPr>
        <w:t xml:space="preserve">(MBEs/CRBEs (engl. </w:t>
      </w:r>
      <w:r w:rsidRPr="00F85CA6">
        <w:rPr>
          <w:rFonts w:eastAsia="Calibri"/>
          <w:i/>
          <w:sz w:val="22"/>
          <w:szCs w:val="22"/>
          <w:lang w:val="sr-Latn-ME"/>
        </w:rPr>
        <w:t>major bleeding events</w:t>
      </w:r>
      <w:r w:rsidRPr="00F85CA6">
        <w:rPr>
          <w:rFonts w:eastAsia="Calibri"/>
          <w:sz w:val="22"/>
          <w:szCs w:val="22"/>
          <w:lang w:val="sr-Latn-ME"/>
        </w:rPr>
        <w:t>/</w:t>
      </w:r>
      <w:r w:rsidRPr="00F85CA6">
        <w:rPr>
          <w:rFonts w:eastAsia="Calibri"/>
          <w:i/>
          <w:sz w:val="22"/>
          <w:szCs w:val="22"/>
          <w:lang w:val="sr-Latn-ME"/>
        </w:rPr>
        <w:t>clinically relevant bleeding events</w:t>
      </w:r>
      <w:r w:rsidRPr="00F85CA6">
        <w:rPr>
          <w:rFonts w:eastAsia="Calibri"/>
          <w:sz w:val="22"/>
          <w:szCs w:val="22"/>
          <w:lang w:val="sr-Latn-ME"/>
        </w:rPr>
        <w:t xml:space="preserve">); bilo koje krvarenje) </w:t>
      </w:r>
      <w:bookmarkEnd w:id="17"/>
      <w:r w:rsidRPr="00F85CA6">
        <w:rPr>
          <w:rFonts w:eastAsia="Calibri"/>
          <w:sz w:val="22"/>
          <w:szCs w:val="22"/>
          <w:lang w:val="sr-Latn-ME"/>
        </w:rPr>
        <w:t>su bili značajno manji na nominalnom alfa-nivou od 5% kod pacijenata koji su primali dabigatrane</w:t>
      </w:r>
      <w:r w:rsidR="00FC0882" w:rsidRPr="00F85CA6">
        <w:rPr>
          <w:rFonts w:eastAsia="Calibri"/>
          <w:sz w:val="22"/>
          <w:szCs w:val="22"/>
          <w:lang w:val="sr-Latn-ME"/>
        </w:rPr>
        <w:t xml:space="preserve"> </w:t>
      </w:r>
      <w:r w:rsidRPr="00F85CA6">
        <w:rPr>
          <w:rFonts w:eastAsia="Calibri"/>
          <w:sz w:val="22"/>
          <w:szCs w:val="22"/>
          <w:lang w:val="sr-Latn-ME"/>
        </w:rPr>
        <w:t>teksilat u poređenju sa onima koji su primali varfarin.</w:t>
      </w:r>
    </w:p>
    <w:p w14:paraId="19D9D0F9" w14:textId="77777777" w:rsidR="007E29AA" w:rsidRPr="00F85CA6" w:rsidRDefault="007E29AA" w:rsidP="007E29AA">
      <w:pPr>
        <w:jc w:val="both"/>
        <w:rPr>
          <w:rFonts w:eastAsia="Calibri"/>
          <w:sz w:val="22"/>
          <w:szCs w:val="22"/>
          <w:lang w:val="sr-Latn-ME"/>
        </w:rPr>
      </w:pPr>
    </w:p>
    <w:p w14:paraId="543291D5" w14:textId="77777777" w:rsidR="007E29AA" w:rsidRPr="00F85CA6" w:rsidRDefault="007E29AA" w:rsidP="00685312">
      <w:pPr>
        <w:jc w:val="center"/>
        <w:rPr>
          <w:rFonts w:eastAsia="Calibri"/>
          <w:b/>
          <w:bCs/>
          <w:sz w:val="22"/>
          <w:szCs w:val="22"/>
          <w:lang w:val="sr-Latn-ME" w:bidi="en-US"/>
        </w:rPr>
      </w:pPr>
      <w:r w:rsidRPr="00F85CA6">
        <w:rPr>
          <w:rFonts w:eastAsia="Calibri"/>
          <w:b/>
          <w:bCs/>
          <w:sz w:val="22"/>
          <w:szCs w:val="22"/>
          <w:lang w:val="sr-Latn-ME" w:bidi="en-US"/>
        </w:rPr>
        <w:t>Tabela 16: Događaji krvarenja u studiji RE-MEDY u kojoj je ispitivana prevencija DVT i PE</w:t>
      </w:r>
    </w:p>
    <w:p w14:paraId="33118D1E" w14:textId="77777777" w:rsidR="007E29AA" w:rsidRPr="00F85CA6" w:rsidRDefault="007E29AA" w:rsidP="00685312">
      <w:pPr>
        <w:jc w:val="center"/>
        <w:rPr>
          <w:rFonts w:eastAsia="Calibri"/>
          <w:b/>
          <w:bCs/>
          <w:sz w:val="22"/>
          <w:szCs w:val="22"/>
          <w:lang w:val="sr-Latn-ME" w:bidi="en-US"/>
        </w:rPr>
      </w:pPr>
    </w:p>
    <w:tbl>
      <w:tblPr>
        <w:tblOverlap w:val="never"/>
        <w:tblW w:w="5000" w:type="pct"/>
        <w:jc w:val="center"/>
        <w:tblLayout w:type="fixed"/>
        <w:tblCellMar>
          <w:left w:w="85" w:type="dxa"/>
          <w:right w:w="85" w:type="dxa"/>
        </w:tblCellMar>
        <w:tblLook w:val="04A0" w:firstRow="1" w:lastRow="0" w:firstColumn="1" w:lastColumn="0" w:noHBand="0" w:noVBand="1"/>
      </w:tblPr>
      <w:tblGrid>
        <w:gridCol w:w="2989"/>
        <w:gridCol w:w="1997"/>
        <w:gridCol w:w="1615"/>
        <w:gridCol w:w="2462"/>
      </w:tblGrid>
      <w:tr w:rsidR="007E29AA" w:rsidRPr="00F85CA6" w14:paraId="55DBA642" w14:textId="77777777" w:rsidTr="001239C3">
        <w:trPr>
          <w:trHeight w:val="20"/>
          <w:jc w:val="center"/>
        </w:trPr>
        <w:tc>
          <w:tcPr>
            <w:tcW w:w="1649" w:type="pct"/>
            <w:tcBorders>
              <w:top w:val="single" w:sz="4" w:space="0" w:color="auto"/>
              <w:left w:val="single" w:sz="4" w:space="0" w:color="auto"/>
            </w:tcBorders>
            <w:shd w:val="clear" w:color="auto" w:fill="auto"/>
          </w:tcPr>
          <w:p w14:paraId="435F9196" w14:textId="77777777" w:rsidR="007E29AA" w:rsidRPr="00F85CA6" w:rsidRDefault="007E29AA" w:rsidP="007E29AA">
            <w:pPr>
              <w:jc w:val="both"/>
              <w:rPr>
                <w:rFonts w:eastAsia="Calibri"/>
                <w:sz w:val="22"/>
                <w:szCs w:val="22"/>
                <w:lang w:val="sr-Latn-ME" w:bidi="en-US"/>
              </w:rPr>
            </w:pPr>
            <w:bookmarkStart w:id="18" w:name="_Hlk83115874"/>
          </w:p>
        </w:tc>
        <w:tc>
          <w:tcPr>
            <w:tcW w:w="1102" w:type="pct"/>
            <w:tcBorders>
              <w:top w:val="single" w:sz="4" w:space="0" w:color="auto"/>
              <w:left w:val="single" w:sz="4" w:space="0" w:color="auto"/>
            </w:tcBorders>
            <w:shd w:val="clear" w:color="auto" w:fill="auto"/>
            <w:vAlign w:val="center"/>
          </w:tcPr>
          <w:p w14:paraId="44611197" w14:textId="5244C3E2" w:rsidR="007E29AA" w:rsidRPr="00F85CA6" w:rsidRDefault="007E29AA" w:rsidP="007E29AA">
            <w:pPr>
              <w:jc w:val="center"/>
              <w:rPr>
                <w:rFonts w:eastAsia="Calibri"/>
                <w:sz w:val="22"/>
                <w:szCs w:val="22"/>
                <w:lang w:val="sr-Latn-ME" w:bidi="en-US"/>
              </w:rPr>
            </w:pPr>
            <w:r w:rsidRPr="00F85CA6">
              <w:rPr>
                <w:rFonts w:eastAsia="Calibri"/>
                <w:sz w:val="22"/>
                <w:szCs w:val="22"/>
                <w:lang w:val="sr-Latn-ME" w:bidi="en-US"/>
              </w:rPr>
              <w:t>Dabigatrane</w:t>
            </w:r>
            <w:r w:rsidR="00FC0882" w:rsidRPr="00F85CA6">
              <w:rPr>
                <w:rFonts w:eastAsia="Calibri"/>
                <w:sz w:val="22"/>
                <w:szCs w:val="22"/>
                <w:lang w:val="sr-Latn-ME" w:bidi="en-US"/>
              </w:rPr>
              <w:t xml:space="preserve"> </w:t>
            </w:r>
            <w:r w:rsidRPr="00F85CA6">
              <w:rPr>
                <w:rFonts w:eastAsia="Calibri"/>
                <w:sz w:val="22"/>
                <w:szCs w:val="22"/>
                <w:lang w:val="sr-Latn-ME" w:bidi="en-US"/>
              </w:rPr>
              <w:t>teksilat 150 mg dva puta dnevno</w:t>
            </w:r>
          </w:p>
        </w:tc>
        <w:tc>
          <w:tcPr>
            <w:tcW w:w="891" w:type="pct"/>
            <w:tcBorders>
              <w:top w:val="single" w:sz="4" w:space="0" w:color="auto"/>
              <w:left w:val="single" w:sz="4" w:space="0" w:color="auto"/>
            </w:tcBorders>
            <w:shd w:val="clear" w:color="auto" w:fill="auto"/>
            <w:vAlign w:val="center"/>
          </w:tcPr>
          <w:p w14:paraId="5AECAF7C" w14:textId="77777777" w:rsidR="007E29AA" w:rsidRPr="00F85CA6" w:rsidRDefault="007E29AA" w:rsidP="007E29AA">
            <w:pPr>
              <w:jc w:val="center"/>
              <w:rPr>
                <w:rFonts w:eastAsia="Calibri"/>
                <w:sz w:val="22"/>
                <w:szCs w:val="22"/>
                <w:lang w:val="sr-Latn-ME" w:bidi="en-US"/>
              </w:rPr>
            </w:pPr>
            <w:r w:rsidRPr="00F85CA6">
              <w:rPr>
                <w:rFonts w:eastAsia="Calibri"/>
                <w:sz w:val="22"/>
                <w:szCs w:val="22"/>
                <w:lang w:val="sr-Latn-ME" w:bidi="en-US"/>
              </w:rPr>
              <w:t>Varfarin</w:t>
            </w:r>
          </w:p>
        </w:tc>
        <w:tc>
          <w:tcPr>
            <w:tcW w:w="1358" w:type="pct"/>
            <w:tcBorders>
              <w:top w:val="single" w:sz="4" w:space="0" w:color="auto"/>
              <w:left w:val="single" w:sz="4" w:space="0" w:color="auto"/>
              <w:right w:val="single" w:sz="4" w:space="0" w:color="auto"/>
            </w:tcBorders>
            <w:shd w:val="clear" w:color="auto" w:fill="auto"/>
            <w:vAlign w:val="center"/>
          </w:tcPr>
          <w:p w14:paraId="45151BE3" w14:textId="77777777" w:rsidR="007E29AA" w:rsidRPr="00F85CA6" w:rsidRDefault="007E29AA" w:rsidP="007E29AA">
            <w:pPr>
              <w:jc w:val="center"/>
              <w:rPr>
                <w:rFonts w:eastAsia="Calibri"/>
                <w:sz w:val="22"/>
                <w:szCs w:val="22"/>
                <w:lang w:val="sr-Latn-ME" w:bidi="en-US"/>
              </w:rPr>
            </w:pPr>
            <w:r w:rsidRPr="00F85CA6">
              <w:rPr>
                <w:rFonts w:eastAsia="Calibri"/>
                <w:i/>
                <w:sz w:val="22"/>
                <w:szCs w:val="22"/>
                <w:lang w:val="sr-Latn-ME" w:bidi="en-US"/>
              </w:rPr>
              <w:t>Hazard ratio</w:t>
            </w:r>
            <w:r w:rsidRPr="00F85CA6">
              <w:rPr>
                <w:rFonts w:eastAsia="Calibri"/>
                <w:sz w:val="22"/>
                <w:szCs w:val="22"/>
                <w:lang w:val="sr-Latn-ME" w:bidi="en-US"/>
              </w:rPr>
              <w:t xml:space="preserve"> prema varfarinu (interval pouzdanosti 95%)</w:t>
            </w:r>
          </w:p>
        </w:tc>
      </w:tr>
      <w:tr w:rsidR="007E29AA" w:rsidRPr="00F85CA6" w14:paraId="30781D16" w14:textId="77777777" w:rsidTr="001239C3">
        <w:trPr>
          <w:trHeight w:val="20"/>
          <w:jc w:val="center"/>
        </w:trPr>
        <w:tc>
          <w:tcPr>
            <w:tcW w:w="1649" w:type="pct"/>
            <w:tcBorders>
              <w:top w:val="single" w:sz="4" w:space="0" w:color="auto"/>
              <w:left w:val="single" w:sz="4" w:space="0" w:color="auto"/>
            </w:tcBorders>
            <w:shd w:val="clear" w:color="auto" w:fill="auto"/>
            <w:vAlign w:val="bottom"/>
          </w:tcPr>
          <w:p w14:paraId="6686272A" w14:textId="0E6CAFE1" w:rsidR="007E29AA" w:rsidRPr="00F85CA6" w:rsidRDefault="007E29AA" w:rsidP="007E29AA">
            <w:pPr>
              <w:jc w:val="both"/>
              <w:rPr>
                <w:rFonts w:eastAsia="Calibri"/>
                <w:sz w:val="22"/>
                <w:szCs w:val="22"/>
                <w:lang w:val="sr-Latn-ME" w:bidi="en-US"/>
              </w:rPr>
            </w:pPr>
            <w:r w:rsidRPr="00F85CA6">
              <w:rPr>
                <w:rFonts w:eastAsia="Calibri"/>
                <w:sz w:val="22"/>
                <w:szCs w:val="22"/>
                <w:lang w:val="sr-Latn-ME" w:bidi="en-US"/>
              </w:rPr>
              <w:t>L</w:t>
            </w:r>
            <w:r w:rsidR="001072B3" w:rsidRPr="00F85CA6">
              <w:rPr>
                <w:rFonts w:eastAsia="Calibri"/>
                <w:sz w:val="22"/>
                <w:szCs w:val="22"/>
                <w:lang w:val="sr-Latn-ME" w:bidi="en-US"/>
              </w:rPr>
              <w:t>ij</w:t>
            </w:r>
            <w:r w:rsidRPr="00F85CA6">
              <w:rPr>
                <w:rFonts w:eastAsia="Calibri"/>
                <w:sz w:val="22"/>
                <w:szCs w:val="22"/>
                <w:lang w:val="sr-Latn-ME" w:bidi="en-US"/>
              </w:rPr>
              <w:t>ečeni pacijenti</w:t>
            </w:r>
          </w:p>
        </w:tc>
        <w:tc>
          <w:tcPr>
            <w:tcW w:w="1102" w:type="pct"/>
            <w:tcBorders>
              <w:top w:val="single" w:sz="4" w:space="0" w:color="auto"/>
              <w:left w:val="single" w:sz="4" w:space="0" w:color="auto"/>
            </w:tcBorders>
            <w:shd w:val="clear" w:color="auto" w:fill="auto"/>
            <w:vAlign w:val="center"/>
          </w:tcPr>
          <w:p w14:paraId="43995365" w14:textId="77777777" w:rsidR="007E29AA" w:rsidRPr="00F85CA6" w:rsidRDefault="007E29AA" w:rsidP="007E29AA">
            <w:pPr>
              <w:jc w:val="center"/>
              <w:rPr>
                <w:rFonts w:eastAsia="Calibri"/>
                <w:sz w:val="22"/>
                <w:szCs w:val="22"/>
                <w:lang w:val="sr-Latn-ME" w:bidi="en-US"/>
              </w:rPr>
            </w:pPr>
            <w:r w:rsidRPr="00F85CA6">
              <w:rPr>
                <w:rFonts w:eastAsia="Calibri"/>
                <w:sz w:val="22"/>
                <w:szCs w:val="22"/>
                <w:lang w:val="sr-Latn-ME" w:bidi="en-US"/>
              </w:rPr>
              <w:t>1430</w:t>
            </w:r>
          </w:p>
        </w:tc>
        <w:tc>
          <w:tcPr>
            <w:tcW w:w="891" w:type="pct"/>
            <w:tcBorders>
              <w:top w:val="single" w:sz="4" w:space="0" w:color="auto"/>
              <w:left w:val="single" w:sz="4" w:space="0" w:color="auto"/>
            </w:tcBorders>
            <w:shd w:val="clear" w:color="auto" w:fill="auto"/>
            <w:vAlign w:val="center"/>
          </w:tcPr>
          <w:p w14:paraId="6C211B10" w14:textId="77777777" w:rsidR="007E29AA" w:rsidRPr="00F85CA6" w:rsidRDefault="007E29AA" w:rsidP="007E29AA">
            <w:pPr>
              <w:jc w:val="center"/>
              <w:rPr>
                <w:rFonts w:eastAsia="Calibri"/>
                <w:sz w:val="22"/>
                <w:szCs w:val="22"/>
                <w:lang w:val="sr-Latn-ME" w:bidi="en-US"/>
              </w:rPr>
            </w:pPr>
            <w:r w:rsidRPr="00F85CA6">
              <w:rPr>
                <w:rFonts w:eastAsia="Calibri"/>
                <w:sz w:val="22"/>
                <w:szCs w:val="22"/>
                <w:lang w:val="sr-Latn-ME" w:bidi="en-US"/>
              </w:rPr>
              <w:t>1426</w:t>
            </w:r>
          </w:p>
        </w:tc>
        <w:tc>
          <w:tcPr>
            <w:tcW w:w="1358" w:type="pct"/>
            <w:tcBorders>
              <w:top w:val="single" w:sz="4" w:space="0" w:color="auto"/>
              <w:left w:val="single" w:sz="4" w:space="0" w:color="auto"/>
              <w:right w:val="single" w:sz="4" w:space="0" w:color="auto"/>
            </w:tcBorders>
            <w:shd w:val="clear" w:color="auto" w:fill="auto"/>
            <w:vAlign w:val="center"/>
          </w:tcPr>
          <w:p w14:paraId="4D1818B1" w14:textId="77777777" w:rsidR="007E29AA" w:rsidRPr="00F85CA6" w:rsidRDefault="007E29AA" w:rsidP="007E29AA">
            <w:pPr>
              <w:jc w:val="center"/>
              <w:rPr>
                <w:rFonts w:eastAsia="Calibri"/>
                <w:sz w:val="22"/>
                <w:szCs w:val="22"/>
                <w:lang w:val="sr-Latn-ME" w:bidi="en-US"/>
              </w:rPr>
            </w:pPr>
          </w:p>
        </w:tc>
      </w:tr>
      <w:tr w:rsidR="007E29AA" w:rsidRPr="00F85CA6" w14:paraId="2519FE29" w14:textId="77777777" w:rsidTr="001239C3">
        <w:trPr>
          <w:trHeight w:val="20"/>
          <w:jc w:val="center"/>
        </w:trPr>
        <w:tc>
          <w:tcPr>
            <w:tcW w:w="1649" w:type="pct"/>
            <w:tcBorders>
              <w:top w:val="single" w:sz="4" w:space="0" w:color="auto"/>
              <w:left w:val="single" w:sz="4" w:space="0" w:color="auto"/>
            </w:tcBorders>
            <w:shd w:val="clear" w:color="auto" w:fill="auto"/>
            <w:vAlign w:val="bottom"/>
          </w:tcPr>
          <w:p w14:paraId="0B00A638" w14:textId="77777777" w:rsidR="007E29AA" w:rsidRPr="00F85CA6" w:rsidRDefault="007E29AA" w:rsidP="007E29AA">
            <w:pPr>
              <w:jc w:val="both"/>
              <w:rPr>
                <w:rFonts w:eastAsia="Calibri"/>
                <w:sz w:val="22"/>
                <w:szCs w:val="22"/>
                <w:lang w:val="sr-Latn-ME" w:bidi="en-US"/>
              </w:rPr>
            </w:pPr>
            <w:r w:rsidRPr="00F85CA6">
              <w:rPr>
                <w:rFonts w:eastAsia="Calibri"/>
                <w:sz w:val="22"/>
                <w:szCs w:val="22"/>
                <w:lang w:val="sr-Latn-ME" w:bidi="en-US"/>
              </w:rPr>
              <w:t>Događaji obilnijeg krvarenja</w:t>
            </w:r>
          </w:p>
        </w:tc>
        <w:tc>
          <w:tcPr>
            <w:tcW w:w="1102" w:type="pct"/>
            <w:tcBorders>
              <w:top w:val="single" w:sz="4" w:space="0" w:color="auto"/>
              <w:left w:val="single" w:sz="4" w:space="0" w:color="auto"/>
            </w:tcBorders>
            <w:shd w:val="clear" w:color="auto" w:fill="auto"/>
            <w:vAlign w:val="center"/>
          </w:tcPr>
          <w:p w14:paraId="32F561ED" w14:textId="77777777" w:rsidR="007E29AA" w:rsidRPr="00F85CA6" w:rsidRDefault="007E29AA" w:rsidP="007E29AA">
            <w:pPr>
              <w:jc w:val="center"/>
              <w:rPr>
                <w:rFonts w:eastAsia="Calibri"/>
                <w:sz w:val="22"/>
                <w:szCs w:val="22"/>
                <w:lang w:val="sr-Latn-ME" w:bidi="en-US"/>
              </w:rPr>
            </w:pPr>
            <w:r w:rsidRPr="00F85CA6">
              <w:rPr>
                <w:rFonts w:eastAsia="Calibri"/>
                <w:sz w:val="22"/>
                <w:szCs w:val="22"/>
                <w:lang w:val="sr-Latn-ME" w:bidi="en-US"/>
              </w:rPr>
              <w:t>13 (0,9%)</w:t>
            </w:r>
          </w:p>
        </w:tc>
        <w:tc>
          <w:tcPr>
            <w:tcW w:w="891" w:type="pct"/>
            <w:tcBorders>
              <w:top w:val="single" w:sz="4" w:space="0" w:color="auto"/>
              <w:left w:val="single" w:sz="4" w:space="0" w:color="auto"/>
            </w:tcBorders>
            <w:shd w:val="clear" w:color="auto" w:fill="auto"/>
            <w:vAlign w:val="center"/>
          </w:tcPr>
          <w:p w14:paraId="0ABA81B0" w14:textId="77777777" w:rsidR="007E29AA" w:rsidRPr="00F85CA6" w:rsidRDefault="007E29AA" w:rsidP="007E29AA">
            <w:pPr>
              <w:jc w:val="center"/>
              <w:rPr>
                <w:rFonts w:eastAsia="Calibri"/>
                <w:sz w:val="22"/>
                <w:szCs w:val="22"/>
                <w:lang w:val="sr-Latn-ME" w:bidi="en-US"/>
              </w:rPr>
            </w:pPr>
            <w:r w:rsidRPr="00F85CA6">
              <w:rPr>
                <w:rFonts w:eastAsia="Calibri"/>
                <w:sz w:val="22"/>
                <w:szCs w:val="22"/>
                <w:lang w:val="sr-Latn-ME" w:bidi="en-US"/>
              </w:rPr>
              <w:t>25 (1,8%)</w:t>
            </w:r>
          </w:p>
        </w:tc>
        <w:tc>
          <w:tcPr>
            <w:tcW w:w="1358" w:type="pct"/>
            <w:tcBorders>
              <w:top w:val="single" w:sz="4" w:space="0" w:color="auto"/>
              <w:left w:val="single" w:sz="4" w:space="0" w:color="auto"/>
              <w:right w:val="single" w:sz="4" w:space="0" w:color="auto"/>
            </w:tcBorders>
            <w:shd w:val="clear" w:color="auto" w:fill="auto"/>
            <w:vAlign w:val="center"/>
          </w:tcPr>
          <w:p w14:paraId="300E0672" w14:textId="77777777" w:rsidR="007E29AA" w:rsidRPr="00F85CA6" w:rsidRDefault="007E29AA" w:rsidP="007E29AA">
            <w:pPr>
              <w:jc w:val="center"/>
              <w:rPr>
                <w:rFonts w:eastAsia="Calibri"/>
                <w:sz w:val="22"/>
                <w:szCs w:val="22"/>
                <w:lang w:val="sr-Latn-ME" w:bidi="en-US"/>
              </w:rPr>
            </w:pPr>
            <w:r w:rsidRPr="00F85CA6">
              <w:rPr>
                <w:rFonts w:eastAsia="Calibri"/>
                <w:sz w:val="22"/>
                <w:szCs w:val="22"/>
                <w:lang w:val="sr-Latn-ME" w:bidi="en-US"/>
              </w:rPr>
              <w:t>0,54 (0,25; 1,16)</w:t>
            </w:r>
          </w:p>
        </w:tc>
      </w:tr>
      <w:tr w:rsidR="007E29AA" w:rsidRPr="00F85CA6" w14:paraId="45F923CA" w14:textId="77777777" w:rsidTr="001239C3">
        <w:trPr>
          <w:trHeight w:val="20"/>
          <w:jc w:val="center"/>
        </w:trPr>
        <w:tc>
          <w:tcPr>
            <w:tcW w:w="1649" w:type="pct"/>
            <w:tcBorders>
              <w:top w:val="single" w:sz="4" w:space="0" w:color="auto"/>
              <w:left w:val="single" w:sz="4" w:space="0" w:color="auto"/>
            </w:tcBorders>
            <w:shd w:val="clear" w:color="auto" w:fill="auto"/>
            <w:vAlign w:val="bottom"/>
          </w:tcPr>
          <w:p w14:paraId="71382DF4" w14:textId="77777777" w:rsidR="007E29AA" w:rsidRPr="00F85CA6" w:rsidRDefault="007E29AA" w:rsidP="007E29AA">
            <w:pPr>
              <w:ind w:firstLine="196"/>
              <w:jc w:val="both"/>
              <w:rPr>
                <w:rFonts w:eastAsia="Calibri"/>
                <w:sz w:val="22"/>
                <w:szCs w:val="22"/>
                <w:lang w:val="sr-Latn-ME" w:bidi="en-US"/>
              </w:rPr>
            </w:pPr>
            <w:r w:rsidRPr="00F85CA6">
              <w:rPr>
                <w:rFonts w:eastAsia="Calibri"/>
                <w:sz w:val="22"/>
                <w:szCs w:val="22"/>
                <w:lang w:val="sr-Latn-ME" w:bidi="en-US"/>
              </w:rPr>
              <w:t xml:space="preserve">Intrakranijalno krvarenje </w:t>
            </w:r>
          </w:p>
        </w:tc>
        <w:tc>
          <w:tcPr>
            <w:tcW w:w="1102" w:type="pct"/>
            <w:tcBorders>
              <w:top w:val="single" w:sz="4" w:space="0" w:color="auto"/>
              <w:left w:val="single" w:sz="4" w:space="0" w:color="auto"/>
            </w:tcBorders>
            <w:shd w:val="clear" w:color="auto" w:fill="auto"/>
            <w:vAlign w:val="center"/>
          </w:tcPr>
          <w:p w14:paraId="1347D949" w14:textId="77777777" w:rsidR="007E29AA" w:rsidRPr="00F85CA6" w:rsidRDefault="007E29AA" w:rsidP="007E29AA">
            <w:pPr>
              <w:jc w:val="center"/>
              <w:rPr>
                <w:rFonts w:eastAsia="Calibri"/>
                <w:sz w:val="22"/>
                <w:szCs w:val="22"/>
                <w:lang w:val="sr-Latn-ME" w:bidi="en-US"/>
              </w:rPr>
            </w:pPr>
            <w:r w:rsidRPr="00F85CA6">
              <w:rPr>
                <w:rFonts w:eastAsia="Calibri"/>
                <w:sz w:val="22"/>
                <w:szCs w:val="22"/>
                <w:lang w:val="sr-Latn-ME" w:bidi="en-US"/>
              </w:rPr>
              <w:t>2 (0,1%)</w:t>
            </w:r>
          </w:p>
        </w:tc>
        <w:tc>
          <w:tcPr>
            <w:tcW w:w="891" w:type="pct"/>
            <w:tcBorders>
              <w:top w:val="single" w:sz="4" w:space="0" w:color="auto"/>
              <w:left w:val="single" w:sz="4" w:space="0" w:color="auto"/>
            </w:tcBorders>
            <w:shd w:val="clear" w:color="auto" w:fill="auto"/>
            <w:vAlign w:val="center"/>
          </w:tcPr>
          <w:p w14:paraId="466791DF" w14:textId="77777777" w:rsidR="007E29AA" w:rsidRPr="00F85CA6" w:rsidRDefault="007E29AA" w:rsidP="007E29AA">
            <w:pPr>
              <w:jc w:val="center"/>
              <w:rPr>
                <w:rFonts w:eastAsia="Calibri"/>
                <w:sz w:val="22"/>
                <w:szCs w:val="22"/>
                <w:lang w:val="sr-Latn-ME" w:bidi="en-US"/>
              </w:rPr>
            </w:pPr>
            <w:r w:rsidRPr="00F85CA6">
              <w:rPr>
                <w:rFonts w:eastAsia="Calibri"/>
                <w:sz w:val="22"/>
                <w:szCs w:val="22"/>
                <w:lang w:val="sr-Latn-ME" w:bidi="en-US"/>
              </w:rPr>
              <w:t>4 (0,3 %)</w:t>
            </w:r>
          </w:p>
        </w:tc>
        <w:tc>
          <w:tcPr>
            <w:tcW w:w="1358" w:type="pct"/>
            <w:tcBorders>
              <w:top w:val="single" w:sz="4" w:space="0" w:color="auto"/>
              <w:left w:val="single" w:sz="4" w:space="0" w:color="auto"/>
              <w:right w:val="single" w:sz="4" w:space="0" w:color="auto"/>
            </w:tcBorders>
            <w:shd w:val="clear" w:color="auto" w:fill="auto"/>
            <w:vAlign w:val="center"/>
          </w:tcPr>
          <w:p w14:paraId="0E53F560" w14:textId="77777777" w:rsidR="007E29AA" w:rsidRPr="00F85CA6" w:rsidRDefault="007E29AA" w:rsidP="007E29AA">
            <w:pPr>
              <w:jc w:val="center"/>
              <w:rPr>
                <w:rFonts w:eastAsia="Calibri"/>
                <w:sz w:val="22"/>
                <w:szCs w:val="22"/>
                <w:lang w:val="sr-Latn-ME" w:bidi="en-US"/>
              </w:rPr>
            </w:pPr>
            <w:r w:rsidRPr="00F85CA6">
              <w:rPr>
                <w:rFonts w:eastAsia="Calibri"/>
                <w:sz w:val="22"/>
                <w:szCs w:val="22"/>
                <w:lang w:val="sr-Latn-ME" w:bidi="en-US"/>
              </w:rPr>
              <w:t>Ne može se izračunati*</w:t>
            </w:r>
          </w:p>
        </w:tc>
      </w:tr>
      <w:tr w:rsidR="007E29AA" w:rsidRPr="00F85CA6" w14:paraId="410A8617" w14:textId="77777777" w:rsidTr="001239C3">
        <w:trPr>
          <w:trHeight w:val="20"/>
          <w:jc w:val="center"/>
        </w:trPr>
        <w:tc>
          <w:tcPr>
            <w:tcW w:w="1649" w:type="pct"/>
            <w:tcBorders>
              <w:top w:val="single" w:sz="4" w:space="0" w:color="auto"/>
              <w:left w:val="single" w:sz="4" w:space="0" w:color="auto"/>
            </w:tcBorders>
            <w:shd w:val="clear" w:color="auto" w:fill="auto"/>
            <w:vAlign w:val="bottom"/>
          </w:tcPr>
          <w:p w14:paraId="01DED3E7" w14:textId="77777777" w:rsidR="007E29AA" w:rsidRPr="00F85CA6" w:rsidRDefault="007E29AA" w:rsidP="007E29AA">
            <w:pPr>
              <w:ind w:firstLine="196"/>
              <w:jc w:val="both"/>
              <w:rPr>
                <w:rFonts w:eastAsia="Calibri"/>
                <w:sz w:val="22"/>
                <w:szCs w:val="22"/>
                <w:lang w:val="sr-Latn-ME" w:bidi="en-US"/>
              </w:rPr>
            </w:pPr>
            <w:r w:rsidRPr="00F85CA6">
              <w:rPr>
                <w:rFonts w:eastAsia="Calibri"/>
                <w:sz w:val="22"/>
                <w:szCs w:val="22"/>
                <w:lang w:val="sr-Latn-ME" w:bidi="en-US"/>
              </w:rPr>
              <w:t>Obilnije GI krvarenje</w:t>
            </w:r>
          </w:p>
        </w:tc>
        <w:tc>
          <w:tcPr>
            <w:tcW w:w="1102" w:type="pct"/>
            <w:tcBorders>
              <w:top w:val="single" w:sz="4" w:space="0" w:color="auto"/>
              <w:left w:val="single" w:sz="4" w:space="0" w:color="auto"/>
            </w:tcBorders>
            <w:shd w:val="clear" w:color="auto" w:fill="auto"/>
            <w:vAlign w:val="center"/>
          </w:tcPr>
          <w:p w14:paraId="5C73FE63" w14:textId="77777777" w:rsidR="007E29AA" w:rsidRPr="00F85CA6" w:rsidRDefault="007E29AA" w:rsidP="007E29AA">
            <w:pPr>
              <w:jc w:val="center"/>
              <w:rPr>
                <w:rFonts w:eastAsia="Calibri"/>
                <w:sz w:val="22"/>
                <w:szCs w:val="22"/>
                <w:lang w:val="sr-Latn-ME" w:bidi="en-US"/>
              </w:rPr>
            </w:pPr>
            <w:r w:rsidRPr="00F85CA6">
              <w:rPr>
                <w:rFonts w:eastAsia="Calibri"/>
                <w:sz w:val="22"/>
                <w:szCs w:val="22"/>
                <w:lang w:val="sr-Latn-ME" w:bidi="en-US"/>
              </w:rPr>
              <w:t>4 (0,3%)</w:t>
            </w:r>
          </w:p>
        </w:tc>
        <w:tc>
          <w:tcPr>
            <w:tcW w:w="891" w:type="pct"/>
            <w:tcBorders>
              <w:top w:val="single" w:sz="4" w:space="0" w:color="auto"/>
              <w:left w:val="single" w:sz="4" w:space="0" w:color="auto"/>
            </w:tcBorders>
            <w:shd w:val="clear" w:color="auto" w:fill="auto"/>
            <w:vAlign w:val="center"/>
          </w:tcPr>
          <w:p w14:paraId="68F30204" w14:textId="77777777" w:rsidR="007E29AA" w:rsidRPr="00F85CA6" w:rsidRDefault="007E29AA" w:rsidP="007E29AA">
            <w:pPr>
              <w:jc w:val="center"/>
              <w:rPr>
                <w:rFonts w:eastAsia="Calibri"/>
                <w:sz w:val="22"/>
                <w:szCs w:val="22"/>
                <w:lang w:val="sr-Latn-ME" w:bidi="en-US"/>
              </w:rPr>
            </w:pPr>
            <w:r w:rsidRPr="00F85CA6">
              <w:rPr>
                <w:rFonts w:eastAsia="Calibri"/>
                <w:sz w:val="22"/>
                <w:szCs w:val="22"/>
                <w:lang w:val="sr-Latn-ME" w:bidi="en-US"/>
              </w:rPr>
              <w:t>8 (0,5%)</w:t>
            </w:r>
          </w:p>
        </w:tc>
        <w:tc>
          <w:tcPr>
            <w:tcW w:w="1358" w:type="pct"/>
            <w:tcBorders>
              <w:top w:val="single" w:sz="4" w:space="0" w:color="auto"/>
              <w:left w:val="single" w:sz="4" w:space="0" w:color="auto"/>
              <w:right w:val="single" w:sz="4" w:space="0" w:color="auto"/>
            </w:tcBorders>
            <w:shd w:val="clear" w:color="auto" w:fill="auto"/>
            <w:vAlign w:val="center"/>
          </w:tcPr>
          <w:p w14:paraId="4DA1536E" w14:textId="77777777" w:rsidR="007E29AA" w:rsidRPr="00F85CA6" w:rsidRDefault="007E29AA" w:rsidP="007E29AA">
            <w:pPr>
              <w:jc w:val="center"/>
              <w:rPr>
                <w:rFonts w:eastAsia="Calibri"/>
                <w:sz w:val="22"/>
                <w:szCs w:val="22"/>
                <w:lang w:val="sr-Latn-ME" w:bidi="en-US"/>
              </w:rPr>
            </w:pPr>
            <w:r w:rsidRPr="00F85CA6">
              <w:rPr>
                <w:rFonts w:eastAsia="Calibri"/>
                <w:sz w:val="22"/>
                <w:szCs w:val="22"/>
                <w:lang w:val="sr-Latn-ME" w:bidi="en-US"/>
              </w:rPr>
              <w:t>Ne može se izračunati*</w:t>
            </w:r>
          </w:p>
        </w:tc>
      </w:tr>
      <w:tr w:rsidR="007E29AA" w:rsidRPr="00F85CA6" w14:paraId="39967330" w14:textId="77777777" w:rsidTr="001239C3">
        <w:trPr>
          <w:trHeight w:val="20"/>
          <w:jc w:val="center"/>
        </w:trPr>
        <w:tc>
          <w:tcPr>
            <w:tcW w:w="1649" w:type="pct"/>
            <w:tcBorders>
              <w:top w:val="single" w:sz="4" w:space="0" w:color="auto"/>
              <w:left w:val="single" w:sz="4" w:space="0" w:color="auto"/>
            </w:tcBorders>
            <w:shd w:val="clear" w:color="auto" w:fill="auto"/>
            <w:vAlign w:val="bottom"/>
          </w:tcPr>
          <w:p w14:paraId="4BC7061C" w14:textId="77777777" w:rsidR="007E29AA" w:rsidRPr="00F85CA6" w:rsidRDefault="007E29AA" w:rsidP="007E29AA">
            <w:pPr>
              <w:ind w:firstLine="196"/>
              <w:jc w:val="both"/>
              <w:rPr>
                <w:rFonts w:eastAsia="Calibri"/>
                <w:sz w:val="22"/>
                <w:szCs w:val="22"/>
                <w:lang w:val="sr-Latn-ME" w:bidi="en-US"/>
              </w:rPr>
            </w:pPr>
            <w:r w:rsidRPr="00F85CA6">
              <w:rPr>
                <w:rFonts w:eastAsia="Calibri"/>
                <w:sz w:val="22"/>
                <w:szCs w:val="22"/>
                <w:lang w:val="sr-Latn-ME" w:bidi="en-US"/>
              </w:rPr>
              <w:t>Krvarenje opasno po život</w:t>
            </w:r>
          </w:p>
        </w:tc>
        <w:tc>
          <w:tcPr>
            <w:tcW w:w="1102" w:type="pct"/>
            <w:tcBorders>
              <w:top w:val="single" w:sz="4" w:space="0" w:color="auto"/>
              <w:left w:val="single" w:sz="4" w:space="0" w:color="auto"/>
            </w:tcBorders>
            <w:shd w:val="clear" w:color="auto" w:fill="auto"/>
            <w:vAlign w:val="center"/>
          </w:tcPr>
          <w:p w14:paraId="2D422D46" w14:textId="77777777" w:rsidR="007E29AA" w:rsidRPr="00F85CA6" w:rsidRDefault="007E29AA" w:rsidP="007E29AA">
            <w:pPr>
              <w:jc w:val="center"/>
              <w:rPr>
                <w:rFonts w:eastAsia="Calibri"/>
                <w:sz w:val="22"/>
                <w:szCs w:val="22"/>
                <w:lang w:val="sr-Latn-ME" w:bidi="en-US"/>
              </w:rPr>
            </w:pPr>
            <w:r w:rsidRPr="00F85CA6">
              <w:rPr>
                <w:rFonts w:eastAsia="Calibri"/>
                <w:sz w:val="22"/>
                <w:szCs w:val="22"/>
                <w:lang w:val="sr-Latn-ME" w:bidi="en-US"/>
              </w:rPr>
              <w:t>1 (0,1%)</w:t>
            </w:r>
          </w:p>
        </w:tc>
        <w:tc>
          <w:tcPr>
            <w:tcW w:w="891" w:type="pct"/>
            <w:tcBorders>
              <w:top w:val="single" w:sz="4" w:space="0" w:color="auto"/>
              <w:left w:val="single" w:sz="4" w:space="0" w:color="auto"/>
            </w:tcBorders>
            <w:shd w:val="clear" w:color="auto" w:fill="auto"/>
            <w:vAlign w:val="center"/>
          </w:tcPr>
          <w:p w14:paraId="5ECFACBF" w14:textId="77777777" w:rsidR="007E29AA" w:rsidRPr="00F85CA6" w:rsidRDefault="007E29AA" w:rsidP="007E29AA">
            <w:pPr>
              <w:jc w:val="center"/>
              <w:rPr>
                <w:rFonts w:eastAsia="Calibri"/>
                <w:sz w:val="22"/>
                <w:szCs w:val="22"/>
                <w:lang w:val="sr-Latn-ME" w:bidi="en-US"/>
              </w:rPr>
            </w:pPr>
            <w:r w:rsidRPr="00F85CA6">
              <w:rPr>
                <w:rFonts w:eastAsia="Calibri"/>
                <w:sz w:val="22"/>
                <w:szCs w:val="22"/>
                <w:lang w:val="sr-Latn-ME" w:bidi="en-US"/>
              </w:rPr>
              <w:t>3 (0,2 %)</w:t>
            </w:r>
          </w:p>
        </w:tc>
        <w:tc>
          <w:tcPr>
            <w:tcW w:w="1358" w:type="pct"/>
            <w:tcBorders>
              <w:top w:val="single" w:sz="4" w:space="0" w:color="auto"/>
              <w:left w:val="single" w:sz="4" w:space="0" w:color="auto"/>
              <w:right w:val="single" w:sz="4" w:space="0" w:color="auto"/>
            </w:tcBorders>
            <w:shd w:val="clear" w:color="auto" w:fill="auto"/>
            <w:vAlign w:val="center"/>
          </w:tcPr>
          <w:p w14:paraId="6022FED1" w14:textId="77777777" w:rsidR="007E29AA" w:rsidRPr="00F85CA6" w:rsidRDefault="007E29AA" w:rsidP="007E29AA">
            <w:pPr>
              <w:jc w:val="center"/>
              <w:rPr>
                <w:rFonts w:eastAsia="Calibri"/>
                <w:sz w:val="22"/>
                <w:szCs w:val="22"/>
                <w:lang w:val="sr-Latn-ME" w:bidi="en-US"/>
              </w:rPr>
            </w:pPr>
            <w:r w:rsidRPr="00F85CA6">
              <w:rPr>
                <w:rFonts w:eastAsia="Calibri"/>
                <w:sz w:val="22"/>
                <w:szCs w:val="22"/>
                <w:lang w:val="sr-Latn-ME" w:bidi="en-US"/>
              </w:rPr>
              <w:t>Ne može se izračunati*</w:t>
            </w:r>
          </w:p>
        </w:tc>
      </w:tr>
      <w:tr w:rsidR="007E29AA" w:rsidRPr="00F85CA6" w14:paraId="1FFE2EAF" w14:textId="77777777" w:rsidTr="001239C3">
        <w:trPr>
          <w:trHeight w:val="20"/>
          <w:jc w:val="center"/>
        </w:trPr>
        <w:tc>
          <w:tcPr>
            <w:tcW w:w="1649" w:type="pct"/>
            <w:tcBorders>
              <w:top w:val="single" w:sz="4" w:space="0" w:color="auto"/>
              <w:left w:val="single" w:sz="4" w:space="0" w:color="auto"/>
            </w:tcBorders>
            <w:shd w:val="clear" w:color="auto" w:fill="auto"/>
            <w:vAlign w:val="bottom"/>
          </w:tcPr>
          <w:p w14:paraId="5BCDDB6B" w14:textId="77777777" w:rsidR="007E29AA" w:rsidRPr="00F85CA6" w:rsidRDefault="007E29AA" w:rsidP="007E29AA">
            <w:pPr>
              <w:rPr>
                <w:rFonts w:eastAsia="Calibri"/>
                <w:sz w:val="22"/>
                <w:szCs w:val="22"/>
                <w:lang w:val="sr-Latn-ME" w:bidi="en-US"/>
              </w:rPr>
            </w:pPr>
            <w:r w:rsidRPr="00F85CA6">
              <w:rPr>
                <w:rFonts w:eastAsia="Calibri"/>
                <w:sz w:val="22"/>
                <w:szCs w:val="22"/>
                <w:lang w:val="sr-Latn-ME" w:bidi="en-US"/>
              </w:rPr>
              <w:t>Obilnije krvarenje/klinički značajno krvarenje</w:t>
            </w:r>
          </w:p>
        </w:tc>
        <w:tc>
          <w:tcPr>
            <w:tcW w:w="1102" w:type="pct"/>
            <w:tcBorders>
              <w:top w:val="single" w:sz="4" w:space="0" w:color="auto"/>
              <w:left w:val="single" w:sz="4" w:space="0" w:color="auto"/>
            </w:tcBorders>
            <w:shd w:val="clear" w:color="auto" w:fill="auto"/>
            <w:vAlign w:val="center"/>
          </w:tcPr>
          <w:p w14:paraId="03676FB1" w14:textId="77777777" w:rsidR="007E29AA" w:rsidRPr="00F85CA6" w:rsidRDefault="007E29AA" w:rsidP="007E29AA">
            <w:pPr>
              <w:jc w:val="center"/>
              <w:rPr>
                <w:rFonts w:eastAsia="Calibri"/>
                <w:sz w:val="22"/>
                <w:szCs w:val="22"/>
                <w:lang w:val="sr-Latn-ME" w:bidi="en-US"/>
              </w:rPr>
            </w:pPr>
            <w:r w:rsidRPr="00F85CA6">
              <w:rPr>
                <w:rFonts w:eastAsia="Calibri"/>
                <w:sz w:val="22"/>
                <w:szCs w:val="22"/>
                <w:lang w:val="sr-Latn-ME" w:bidi="en-US"/>
              </w:rPr>
              <w:t>80 (5,6%)</w:t>
            </w:r>
          </w:p>
        </w:tc>
        <w:tc>
          <w:tcPr>
            <w:tcW w:w="891" w:type="pct"/>
            <w:tcBorders>
              <w:top w:val="single" w:sz="4" w:space="0" w:color="auto"/>
              <w:left w:val="single" w:sz="4" w:space="0" w:color="auto"/>
            </w:tcBorders>
            <w:shd w:val="clear" w:color="auto" w:fill="auto"/>
            <w:vAlign w:val="center"/>
          </w:tcPr>
          <w:p w14:paraId="32348848" w14:textId="77777777" w:rsidR="007E29AA" w:rsidRPr="00F85CA6" w:rsidRDefault="007E29AA" w:rsidP="007E29AA">
            <w:pPr>
              <w:jc w:val="center"/>
              <w:rPr>
                <w:rFonts w:eastAsia="Calibri"/>
                <w:sz w:val="22"/>
                <w:szCs w:val="22"/>
                <w:lang w:val="sr-Latn-ME" w:bidi="en-US"/>
              </w:rPr>
            </w:pPr>
            <w:r w:rsidRPr="00F85CA6">
              <w:rPr>
                <w:rFonts w:eastAsia="Calibri"/>
                <w:sz w:val="22"/>
                <w:szCs w:val="22"/>
                <w:lang w:val="sr-Latn-ME" w:bidi="en-US"/>
              </w:rPr>
              <w:t>145 (10,2%)</w:t>
            </w:r>
          </w:p>
        </w:tc>
        <w:tc>
          <w:tcPr>
            <w:tcW w:w="1358" w:type="pct"/>
            <w:tcBorders>
              <w:top w:val="single" w:sz="4" w:space="0" w:color="auto"/>
              <w:left w:val="single" w:sz="4" w:space="0" w:color="auto"/>
              <w:right w:val="single" w:sz="4" w:space="0" w:color="auto"/>
            </w:tcBorders>
            <w:shd w:val="clear" w:color="auto" w:fill="auto"/>
            <w:vAlign w:val="center"/>
          </w:tcPr>
          <w:p w14:paraId="245D07BA" w14:textId="77777777" w:rsidR="007E29AA" w:rsidRPr="00F85CA6" w:rsidRDefault="007E29AA" w:rsidP="007E29AA">
            <w:pPr>
              <w:jc w:val="center"/>
              <w:rPr>
                <w:rFonts w:eastAsia="Calibri"/>
                <w:sz w:val="22"/>
                <w:szCs w:val="22"/>
                <w:lang w:val="sr-Latn-ME" w:bidi="en-US"/>
              </w:rPr>
            </w:pPr>
            <w:r w:rsidRPr="00F85CA6">
              <w:rPr>
                <w:rFonts w:eastAsia="Calibri"/>
                <w:sz w:val="22"/>
                <w:szCs w:val="22"/>
                <w:lang w:val="sr-Latn-ME" w:bidi="en-US"/>
              </w:rPr>
              <w:t>0,55 (0,41; 0,72)</w:t>
            </w:r>
          </w:p>
        </w:tc>
      </w:tr>
      <w:tr w:rsidR="007E29AA" w:rsidRPr="00F85CA6" w14:paraId="48CB053C" w14:textId="77777777" w:rsidTr="001239C3">
        <w:trPr>
          <w:trHeight w:val="20"/>
          <w:jc w:val="center"/>
        </w:trPr>
        <w:tc>
          <w:tcPr>
            <w:tcW w:w="1649" w:type="pct"/>
            <w:tcBorders>
              <w:top w:val="single" w:sz="4" w:space="0" w:color="auto"/>
              <w:left w:val="single" w:sz="4" w:space="0" w:color="auto"/>
            </w:tcBorders>
            <w:shd w:val="clear" w:color="auto" w:fill="auto"/>
          </w:tcPr>
          <w:p w14:paraId="7551A751" w14:textId="77777777" w:rsidR="007E29AA" w:rsidRPr="00F85CA6" w:rsidRDefault="007E29AA" w:rsidP="007E29AA">
            <w:pPr>
              <w:jc w:val="both"/>
              <w:rPr>
                <w:rFonts w:eastAsia="Calibri"/>
                <w:sz w:val="22"/>
                <w:szCs w:val="22"/>
                <w:lang w:val="sr-Latn-ME" w:bidi="en-US"/>
              </w:rPr>
            </w:pPr>
            <w:r w:rsidRPr="00F85CA6">
              <w:rPr>
                <w:rFonts w:eastAsia="Calibri"/>
                <w:sz w:val="22"/>
                <w:szCs w:val="22"/>
                <w:lang w:val="sr-Latn-ME" w:bidi="en-US"/>
              </w:rPr>
              <w:t>Bilo koje krvarenje</w:t>
            </w:r>
          </w:p>
        </w:tc>
        <w:tc>
          <w:tcPr>
            <w:tcW w:w="1102" w:type="pct"/>
            <w:tcBorders>
              <w:top w:val="single" w:sz="4" w:space="0" w:color="auto"/>
              <w:left w:val="single" w:sz="4" w:space="0" w:color="auto"/>
            </w:tcBorders>
            <w:shd w:val="clear" w:color="auto" w:fill="auto"/>
            <w:vAlign w:val="center"/>
          </w:tcPr>
          <w:p w14:paraId="588CD406" w14:textId="77777777" w:rsidR="007E29AA" w:rsidRPr="00F85CA6" w:rsidRDefault="007E29AA" w:rsidP="007E29AA">
            <w:pPr>
              <w:jc w:val="center"/>
              <w:rPr>
                <w:rFonts w:eastAsia="Calibri"/>
                <w:sz w:val="22"/>
                <w:szCs w:val="22"/>
                <w:lang w:val="sr-Latn-ME" w:bidi="en-US"/>
              </w:rPr>
            </w:pPr>
            <w:r w:rsidRPr="00F85CA6">
              <w:rPr>
                <w:rFonts w:eastAsia="Calibri"/>
                <w:sz w:val="22"/>
                <w:szCs w:val="22"/>
                <w:lang w:val="sr-Latn-ME" w:bidi="en-US"/>
              </w:rPr>
              <w:t>278 (19,4%)</w:t>
            </w:r>
          </w:p>
        </w:tc>
        <w:tc>
          <w:tcPr>
            <w:tcW w:w="891" w:type="pct"/>
            <w:tcBorders>
              <w:top w:val="single" w:sz="4" w:space="0" w:color="auto"/>
              <w:left w:val="single" w:sz="4" w:space="0" w:color="auto"/>
            </w:tcBorders>
            <w:shd w:val="clear" w:color="auto" w:fill="auto"/>
            <w:vAlign w:val="center"/>
          </w:tcPr>
          <w:p w14:paraId="2DAEBEED" w14:textId="77777777" w:rsidR="007E29AA" w:rsidRPr="00F85CA6" w:rsidRDefault="007E29AA" w:rsidP="007E29AA">
            <w:pPr>
              <w:jc w:val="center"/>
              <w:rPr>
                <w:rFonts w:eastAsia="Calibri"/>
                <w:sz w:val="22"/>
                <w:szCs w:val="22"/>
                <w:lang w:val="sr-Latn-ME" w:bidi="en-US"/>
              </w:rPr>
            </w:pPr>
            <w:r w:rsidRPr="00F85CA6">
              <w:rPr>
                <w:rFonts w:eastAsia="Calibri"/>
                <w:sz w:val="22"/>
                <w:szCs w:val="22"/>
                <w:lang w:val="sr-Latn-ME" w:bidi="en-US"/>
              </w:rPr>
              <w:t>373 (26,2%)</w:t>
            </w:r>
          </w:p>
        </w:tc>
        <w:tc>
          <w:tcPr>
            <w:tcW w:w="1358" w:type="pct"/>
            <w:tcBorders>
              <w:top w:val="single" w:sz="4" w:space="0" w:color="auto"/>
              <w:left w:val="single" w:sz="4" w:space="0" w:color="auto"/>
              <w:right w:val="single" w:sz="4" w:space="0" w:color="auto"/>
            </w:tcBorders>
            <w:shd w:val="clear" w:color="auto" w:fill="auto"/>
            <w:vAlign w:val="center"/>
          </w:tcPr>
          <w:p w14:paraId="23DF4E49" w14:textId="77777777" w:rsidR="007E29AA" w:rsidRPr="00F85CA6" w:rsidRDefault="007E29AA" w:rsidP="007E29AA">
            <w:pPr>
              <w:jc w:val="center"/>
              <w:rPr>
                <w:rFonts w:eastAsia="Calibri"/>
                <w:sz w:val="22"/>
                <w:szCs w:val="22"/>
                <w:lang w:val="sr-Latn-ME" w:bidi="en-US"/>
              </w:rPr>
            </w:pPr>
            <w:r w:rsidRPr="00F85CA6">
              <w:rPr>
                <w:rFonts w:eastAsia="Calibri"/>
                <w:sz w:val="22"/>
                <w:szCs w:val="22"/>
                <w:lang w:val="sr-Latn-ME" w:bidi="en-US"/>
              </w:rPr>
              <w:t>0,71 (0,61; 0,83)</w:t>
            </w:r>
          </w:p>
        </w:tc>
      </w:tr>
      <w:tr w:rsidR="007E29AA" w:rsidRPr="00F85CA6" w14:paraId="671F9DC9" w14:textId="77777777" w:rsidTr="001239C3">
        <w:trPr>
          <w:trHeight w:val="20"/>
          <w:jc w:val="center"/>
        </w:trPr>
        <w:tc>
          <w:tcPr>
            <w:tcW w:w="1649" w:type="pct"/>
            <w:tcBorders>
              <w:top w:val="single" w:sz="4" w:space="0" w:color="auto"/>
              <w:left w:val="single" w:sz="4" w:space="0" w:color="auto"/>
              <w:bottom w:val="single" w:sz="4" w:space="0" w:color="auto"/>
            </w:tcBorders>
            <w:shd w:val="clear" w:color="auto" w:fill="auto"/>
            <w:vAlign w:val="bottom"/>
          </w:tcPr>
          <w:p w14:paraId="2F94A9E9" w14:textId="77777777" w:rsidR="007E29AA" w:rsidRPr="00F85CA6" w:rsidRDefault="007E29AA" w:rsidP="007E29AA">
            <w:pPr>
              <w:ind w:firstLine="196"/>
              <w:jc w:val="both"/>
              <w:rPr>
                <w:rFonts w:eastAsia="Calibri"/>
                <w:sz w:val="22"/>
                <w:szCs w:val="22"/>
                <w:lang w:val="sr-Latn-ME" w:bidi="en-US"/>
              </w:rPr>
            </w:pPr>
            <w:r w:rsidRPr="00F85CA6">
              <w:rPr>
                <w:rFonts w:eastAsia="Calibri"/>
                <w:sz w:val="22"/>
                <w:szCs w:val="22"/>
                <w:lang w:val="sr-Latn-ME" w:bidi="en-US"/>
              </w:rPr>
              <w:t>Bilo koje GI krvarenje</w:t>
            </w:r>
          </w:p>
        </w:tc>
        <w:tc>
          <w:tcPr>
            <w:tcW w:w="1102" w:type="pct"/>
            <w:tcBorders>
              <w:top w:val="single" w:sz="4" w:space="0" w:color="auto"/>
              <w:left w:val="single" w:sz="4" w:space="0" w:color="auto"/>
              <w:bottom w:val="single" w:sz="4" w:space="0" w:color="auto"/>
            </w:tcBorders>
            <w:shd w:val="clear" w:color="auto" w:fill="auto"/>
            <w:vAlign w:val="center"/>
          </w:tcPr>
          <w:p w14:paraId="754724AF" w14:textId="77777777" w:rsidR="007E29AA" w:rsidRPr="00F85CA6" w:rsidRDefault="007E29AA" w:rsidP="007E29AA">
            <w:pPr>
              <w:jc w:val="center"/>
              <w:rPr>
                <w:rFonts w:eastAsia="Calibri"/>
                <w:sz w:val="22"/>
                <w:szCs w:val="22"/>
                <w:lang w:val="sr-Latn-ME" w:bidi="en-US"/>
              </w:rPr>
            </w:pPr>
            <w:r w:rsidRPr="00F85CA6">
              <w:rPr>
                <w:rFonts w:eastAsia="Calibri"/>
                <w:sz w:val="22"/>
                <w:szCs w:val="22"/>
                <w:lang w:val="sr-Latn-ME" w:bidi="en-US"/>
              </w:rPr>
              <w:t>45 (3,1%)</w:t>
            </w:r>
          </w:p>
        </w:tc>
        <w:tc>
          <w:tcPr>
            <w:tcW w:w="891" w:type="pct"/>
            <w:tcBorders>
              <w:top w:val="single" w:sz="4" w:space="0" w:color="auto"/>
              <w:left w:val="single" w:sz="4" w:space="0" w:color="auto"/>
              <w:bottom w:val="single" w:sz="4" w:space="0" w:color="auto"/>
            </w:tcBorders>
            <w:shd w:val="clear" w:color="auto" w:fill="auto"/>
            <w:vAlign w:val="center"/>
          </w:tcPr>
          <w:p w14:paraId="455753FF" w14:textId="77777777" w:rsidR="007E29AA" w:rsidRPr="00F85CA6" w:rsidRDefault="007E29AA" w:rsidP="007E29AA">
            <w:pPr>
              <w:jc w:val="center"/>
              <w:rPr>
                <w:rFonts w:eastAsia="Calibri"/>
                <w:sz w:val="22"/>
                <w:szCs w:val="22"/>
                <w:lang w:val="sr-Latn-ME" w:bidi="en-US"/>
              </w:rPr>
            </w:pPr>
            <w:r w:rsidRPr="00F85CA6">
              <w:rPr>
                <w:rFonts w:eastAsia="Calibri"/>
                <w:sz w:val="22"/>
                <w:szCs w:val="22"/>
                <w:lang w:val="sr-Latn-ME" w:bidi="en-US"/>
              </w:rPr>
              <w:t>32 (2,2%)</w:t>
            </w:r>
          </w:p>
        </w:tc>
        <w:tc>
          <w:tcPr>
            <w:tcW w:w="1358" w:type="pct"/>
            <w:tcBorders>
              <w:top w:val="single" w:sz="4" w:space="0" w:color="auto"/>
              <w:left w:val="single" w:sz="4" w:space="0" w:color="auto"/>
              <w:bottom w:val="single" w:sz="4" w:space="0" w:color="auto"/>
              <w:right w:val="single" w:sz="4" w:space="0" w:color="auto"/>
            </w:tcBorders>
            <w:shd w:val="clear" w:color="auto" w:fill="auto"/>
            <w:vAlign w:val="center"/>
          </w:tcPr>
          <w:p w14:paraId="423E3261" w14:textId="77777777" w:rsidR="007E29AA" w:rsidRPr="00F85CA6" w:rsidRDefault="007E29AA" w:rsidP="007E29AA">
            <w:pPr>
              <w:jc w:val="center"/>
              <w:rPr>
                <w:rFonts w:eastAsia="Calibri"/>
                <w:sz w:val="22"/>
                <w:szCs w:val="22"/>
                <w:lang w:val="sr-Latn-ME" w:bidi="en-US"/>
              </w:rPr>
            </w:pPr>
            <w:r w:rsidRPr="00F85CA6">
              <w:rPr>
                <w:rFonts w:eastAsia="Calibri"/>
                <w:sz w:val="22"/>
                <w:szCs w:val="22"/>
                <w:lang w:val="sr-Latn-ME" w:bidi="en-US"/>
              </w:rPr>
              <w:t>1,39 (0,87; 2,20)</w:t>
            </w:r>
          </w:p>
        </w:tc>
      </w:tr>
    </w:tbl>
    <w:bookmarkEnd w:id="18"/>
    <w:p w14:paraId="42F50D19" w14:textId="3E316C8B" w:rsidR="007E29AA" w:rsidRPr="00F85CA6" w:rsidRDefault="007E29AA" w:rsidP="007E29AA">
      <w:pPr>
        <w:jc w:val="both"/>
        <w:rPr>
          <w:rFonts w:eastAsia="Calibri"/>
          <w:sz w:val="22"/>
          <w:szCs w:val="22"/>
          <w:lang w:val="sr-Latn-ME"/>
        </w:rPr>
      </w:pPr>
      <w:r w:rsidRPr="00F85CA6">
        <w:rPr>
          <w:rFonts w:eastAsia="Calibri"/>
          <w:sz w:val="22"/>
          <w:szCs w:val="22"/>
          <w:lang w:val="sr-Latn-ME" w:bidi="en-US"/>
        </w:rPr>
        <w:t>*</w:t>
      </w:r>
      <w:r w:rsidRPr="00F85CA6">
        <w:rPr>
          <w:rFonts w:eastAsia="Calibri"/>
          <w:sz w:val="22"/>
          <w:szCs w:val="22"/>
          <w:lang w:val="sr-Latn-ME"/>
        </w:rPr>
        <w:t xml:space="preserve"> HR (engl. </w:t>
      </w:r>
      <w:r w:rsidRPr="00F85CA6">
        <w:rPr>
          <w:rFonts w:eastAsia="Calibri"/>
          <w:i/>
          <w:iCs/>
          <w:sz w:val="22"/>
          <w:szCs w:val="22"/>
          <w:lang w:val="sr-Latn-ME"/>
        </w:rPr>
        <w:t>hazard ratio</w:t>
      </w:r>
      <w:r w:rsidRPr="00F85CA6">
        <w:rPr>
          <w:rFonts w:eastAsia="Calibri"/>
          <w:sz w:val="22"/>
          <w:szCs w:val="22"/>
          <w:lang w:val="sr-Latn-ME"/>
        </w:rPr>
        <w:t>) se ne može proc</w:t>
      </w:r>
      <w:r w:rsidR="00B85AF4" w:rsidRPr="00F85CA6">
        <w:rPr>
          <w:rFonts w:eastAsia="Calibri"/>
          <w:sz w:val="22"/>
          <w:szCs w:val="22"/>
          <w:lang w:val="sr-Latn-ME"/>
        </w:rPr>
        <w:t>ij</w:t>
      </w:r>
      <w:r w:rsidRPr="00F85CA6">
        <w:rPr>
          <w:rFonts w:eastAsia="Calibri"/>
          <w:sz w:val="22"/>
          <w:szCs w:val="22"/>
          <w:lang w:val="sr-Latn-ME"/>
        </w:rPr>
        <w:t>eniti zbog odsustva događaja u svakoj kohorti/terapiji</w:t>
      </w:r>
    </w:p>
    <w:p w14:paraId="4E045332" w14:textId="77777777" w:rsidR="007E29AA" w:rsidRPr="00F85CA6" w:rsidRDefault="007E29AA" w:rsidP="007E29AA">
      <w:pPr>
        <w:jc w:val="both"/>
        <w:rPr>
          <w:rFonts w:eastAsia="Calibri"/>
          <w:sz w:val="22"/>
          <w:szCs w:val="22"/>
          <w:lang w:val="sr-Latn-ME"/>
        </w:rPr>
      </w:pPr>
    </w:p>
    <w:p w14:paraId="16F87A36" w14:textId="6B83D20E" w:rsidR="007E29AA" w:rsidRPr="00F85CA6" w:rsidRDefault="007E29AA" w:rsidP="007E29AA">
      <w:pPr>
        <w:jc w:val="both"/>
        <w:rPr>
          <w:rFonts w:eastAsia="Calibri"/>
          <w:sz w:val="22"/>
          <w:szCs w:val="22"/>
          <w:lang w:val="sr-Latn-ME"/>
        </w:rPr>
      </w:pPr>
      <w:r w:rsidRPr="00F85CA6">
        <w:rPr>
          <w:rFonts w:eastAsia="Calibri"/>
          <w:sz w:val="22"/>
          <w:szCs w:val="22"/>
          <w:lang w:val="sr-Latn-ME"/>
        </w:rPr>
        <w:t>U Tabeli 17 su prikazani događaji krvarenja u pivotalnoj studiji RE-SONATE u kojoj je ispitivana prevencija DVT i PE. Stopa kombinacije MBEs/CRBEs i stopa bilo kog krvarenja bila je značajno manja na nominalnom alfa-nivou od 5% kod pacijenata koji su primali placebo u poređenju sa onima koji su primali dabigatrane</w:t>
      </w:r>
      <w:r w:rsidR="00FC0882" w:rsidRPr="00F85CA6">
        <w:rPr>
          <w:rFonts w:eastAsia="Calibri"/>
          <w:sz w:val="22"/>
          <w:szCs w:val="22"/>
          <w:lang w:val="sr-Latn-ME"/>
        </w:rPr>
        <w:t xml:space="preserve"> </w:t>
      </w:r>
      <w:r w:rsidRPr="00F85CA6">
        <w:rPr>
          <w:rFonts w:eastAsia="Calibri"/>
          <w:sz w:val="22"/>
          <w:szCs w:val="22"/>
          <w:lang w:val="sr-Latn-ME"/>
        </w:rPr>
        <w:t xml:space="preserve">teksilat. </w:t>
      </w:r>
    </w:p>
    <w:p w14:paraId="55752350" w14:textId="02D7FCEC" w:rsidR="007E29AA" w:rsidRDefault="007E29AA" w:rsidP="007E29AA">
      <w:pPr>
        <w:jc w:val="both"/>
        <w:rPr>
          <w:rFonts w:eastAsia="Calibri"/>
          <w:sz w:val="22"/>
          <w:szCs w:val="22"/>
          <w:lang w:val="sr-Latn-ME"/>
        </w:rPr>
      </w:pPr>
    </w:p>
    <w:p w14:paraId="330EA275" w14:textId="3C37AD67" w:rsidR="00F85CA6" w:rsidRDefault="00F85CA6" w:rsidP="007E29AA">
      <w:pPr>
        <w:jc w:val="both"/>
        <w:rPr>
          <w:rFonts w:eastAsia="Calibri"/>
          <w:sz w:val="22"/>
          <w:szCs w:val="22"/>
          <w:lang w:val="sr-Latn-ME"/>
        </w:rPr>
      </w:pPr>
    </w:p>
    <w:p w14:paraId="3F041538" w14:textId="63188377" w:rsidR="00F85CA6" w:rsidRDefault="00F85CA6" w:rsidP="007E29AA">
      <w:pPr>
        <w:jc w:val="both"/>
        <w:rPr>
          <w:rFonts w:eastAsia="Calibri"/>
          <w:sz w:val="22"/>
          <w:szCs w:val="22"/>
          <w:lang w:val="sr-Latn-ME"/>
        </w:rPr>
      </w:pPr>
    </w:p>
    <w:p w14:paraId="3E786936" w14:textId="32729DB9" w:rsidR="00F85CA6" w:rsidRDefault="00F85CA6" w:rsidP="007E29AA">
      <w:pPr>
        <w:jc w:val="both"/>
        <w:rPr>
          <w:rFonts w:eastAsia="Calibri"/>
          <w:sz w:val="22"/>
          <w:szCs w:val="22"/>
          <w:lang w:val="sr-Latn-ME"/>
        </w:rPr>
      </w:pPr>
    </w:p>
    <w:p w14:paraId="72198856" w14:textId="4D9290B1" w:rsidR="00F85CA6" w:rsidRDefault="00F85CA6" w:rsidP="007E29AA">
      <w:pPr>
        <w:jc w:val="both"/>
        <w:rPr>
          <w:rFonts w:eastAsia="Calibri"/>
          <w:sz w:val="22"/>
          <w:szCs w:val="22"/>
          <w:lang w:val="sr-Latn-ME"/>
        </w:rPr>
      </w:pPr>
    </w:p>
    <w:p w14:paraId="0AC5B277" w14:textId="77777777" w:rsidR="00F85CA6" w:rsidRPr="00F85CA6" w:rsidRDefault="00F85CA6" w:rsidP="007E29AA">
      <w:pPr>
        <w:jc w:val="both"/>
        <w:rPr>
          <w:rFonts w:eastAsia="Calibri"/>
          <w:sz w:val="22"/>
          <w:szCs w:val="22"/>
          <w:lang w:val="sr-Latn-ME"/>
        </w:rPr>
      </w:pPr>
    </w:p>
    <w:p w14:paraId="09D888A9" w14:textId="157605DB" w:rsidR="007E29AA" w:rsidRPr="00F85CA6" w:rsidRDefault="007E29AA" w:rsidP="00685312">
      <w:pPr>
        <w:jc w:val="center"/>
        <w:rPr>
          <w:rFonts w:eastAsia="Calibri"/>
          <w:b/>
          <w:sz w:val="22"/>
          <w:szCs w:val="22"/>
          <w:lang w:val="sr-Latn-ME"/>
        </w:rPr>
      </w:pPr>
      <w:r w:rsidRPr="00F85CA6">
        <w:rPr>
          <w:rFonts w:eastAsia="Calibri"/>
          <w:b/>
          <w:sz w:val="22"/>
          <w:szCs w:val="22"/>
          <w:lang w:val="sr-Latn-ME"/>
        </w:rPr>
        <w:lastRenderedPageBreak/>
        <w:t>Tabela 17: Događaji krvarenja u studiji RE-SONATE u kojoj je ispitivana prevencija DVT i PE</w:t>
      </w:r>
    </w:p>
    <w:p w14:paraId="52FF71A4" w14:textId="77777777" w:rsidR="007E29AA" w:rsidRPr="00F85CA6" w:rsidRDefault="007E29AA" w:rsidP="007E29AA">
      <w:pPr>
        <w:jc w:val="both"/>
        <w:rPr>
          <w:rFonts w:eastAsia="Calibri"/>
          <w:b/>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A0" w:firstRow="1" w:lastRow="0" w:firstColumn="1" w:lastColumn="0" w:noHBand="0" w:noVBand="0"/>
      </w:tblPr>
      <w:tblGrid>
        <w:gridCol w:w="2794"/>
        <w:gridCol w:w="2217"/>
        <w:gridCol w:w="1378"/>
        <w:gridCol w:w="2674"/>
      </w:tblGrid>
      <w:tr w:rsidR="007E29AA" w:rsidRPr="00F85CA6" w14:paraId="3A9B08FE" w14:textId="77777777" w:rsidTr="001239C3">
        <w:trPr>
          <w:trHeight w:val="20"/>
        </w:trPr>
        <w:tc>
          <w:tcPr>
            <w:tcW w:w="1542" w:type="pct"/>
            <w:vAlign w:val="center"/>
          </w:tcPr>
          <w:p w14:paraId="2CB78DE6" w14:textId="77777777" w:rsidR="007E29AA" w:rsidRPr="00F85CA6" w:rsidRDefault="007E29AA" w:rsidP="007E29AA">
            <w:pPr>
              <w:jc w:val="both"/>
              <w:rPr>
                <w:rFonts w:eastAsia="Calibri"/>
                <w:sz w:val="22"/>
                <w:szCs w:val="22"/>
                <w:lang w:val="sr-Latn-ME"/>
              </w:rPr>
            </w:pPr>
            <w:bookmarkStart w:id="19" w:name="_Hlk83116134"/>
          </w:p>
        </w:tc>
        <w:tc>
          <w:tcPr>
            <w:tcW w:w="1223" w:type="pct"/>
            <w:vAlign w:val="center"/>
          </w:tcPr>
          <w:p w14:paraId="18CB8AEC" w14:textId="65829FBA" w:rsidR="007E29AA" w:rsidRPr="00F85CA6" w:rsidRDefault="007E29AA" w:rsidP="007E29AA">
            <w:pPr>
              <w:jc w:val="center"/>
              <w:rPr>
                <w:rFonts w:eastAsia="Calibri"/>
                <w:sz w:val="22"/>
                <w:szCs w:val="22"/>
                <w:lang w:val="sr-Latn-ME"/>
              </w:rPr>
            </w:pPr>
            <w:r w:rsidRPr="00F85CA6">
              <w:rPr>
                <w:rFonts w:eastAsia="Calibri"/>
                <w:sz w:val="22"/>
                <w:szCs w:val="22"/>
                <w:lang w:val="sr-Latn-ME"/>
              </w:rPr>
              <w:t>Dabigatrane</w:t>
            </w:r>
            <w:r w:rsidR="00FC0882" w:rsidRPr="00F85CA6">
              <w:rPr>
                <w:rFonts w:eastAsia="Calibri"/>
                <w:sz w:val="22"/>
                <w:szCs w:val="22"/>
                <w:lang w:val="sr-Latn-ME"/>
              </w:rPr>
              <w:t xml:space="preserve"> </w:t>
            </w:r>
            <w:r w:rsidRPr="00F85CA6">
              <w:rPr>
                <w:rFonts w:eastAsia="Calibri"/>
                <w:sz w:val="22"/>
                <w:szCs w:val="22"/>
                <w:lang w:val="sr-Latn-ME"/>
              </w:rPr>
              <w:t>teksilat 150 mg dva puta dnevno</w:t>
            </w:r>
          </w:p>
        </w:tc>
        <w:tc>
          <w:tcPr>
            <w:tcW w:w="760" w:type="pct"/>
            <w:vAlign w:val="center"/>
          </w:tcPr>
          <w:p w14:paraId="539D3575" w14:textId="77777777" w:rsidR="007E29AA" w:rsidRPr="00F85CA6" w:rsidRDefault="007E29AA" w:rsidP="007E29AA">
            <w:pPr>
              <w:jc w:val="center"/>
              <w:rPr>
                <w:rFonts w:eastAsia="Calibri"/>
                <w:b/>
                <w:bCs/>
                <w:sz w:val="22"/>
                <w:szCs w:val="22"/>
                <w:lang w:val="sr-Latn-ME"/>
              </w:rPr>
            </w:pPr>
            <w:r w:rsidRPr="00F85CA6">
              <w:rPr>
                <w:rFonts w:eastAsia="Calibri"/>
                <w:sz w:val="22"/>
                <w:szCs w:val="22"/>
                <w:lang w:val="sr-Latn-ME"/>
              </w:rPr>
              <w:t>Placebo</w:t>
            </w:r>
          </w:p>
        </w:tc>
        <w:tc>
          <w:tcPr>
            <w:tcW w:w="1475" w:type="pct"/>
            <w:vAlign w:val="center"/>
          </w:tcPr>
          <w:p w14:paraId="5118AC69" w14:textId="77777777" w:rsidR="007E29AA" w:rsidRPr="00F85CA6" w:rsidRDefault="007E29AA" w:rsidP="007E29AA">
            <w:pPr>
              <w:jc w:val="center"/>
              <w:rPr>
                <w:rFonts w:eastAsia="Calibri"/>
                <w:sz w:val="22"/>
                <w:szCs w:val="22"/>
                <w:lang w:val="sr-Latn-ME"/>
              </w:rPr>
            </w:pPr>
            <w:r w:rsidRPr="00F85CA6">
              <w:rPr>
                <w:rFonts w:eastAsia="Calibri"/>
                <w:i/>
                <w:sz w:val="22"/>
                <w:szCs w:val="22"/>
                <w:lang w:val="sr-Latn-ME"/>
              </w:rPr>
              <w:t>Hazard ratio</w:t>
            </w:r>
            <w:r w:rsidRPr="00F85CA6">
              <w:rPr>
                <w:rFonts w:eastAsia="Calibri"/>
                <w:sz w:val="22"/>
                <w:szCs w:val="22"/>
                <w:lang w:val="sr-Latn-ME"/>
              </w:rPr>
              <w:t xml:space="preserve"> prema placebu (interval pouzdanosti 95%)</w:t>
            </w:r>
          </w:p>
        </w:tc>
      </w:tr>
      <w:tr w:rsidR="007E29AA" w:rsidRPr="00F85CA6" w14:paraId="45794E87" w14:textId="77777777" w:rsidTr="001239C3">
        <w:trPr>
          <w:trHeight w:val="20"/>
        </w:trPr>
        <w:tc>
          <w:tcPr>
            <w:tcW w:w="1542" w:type="pct"/>
          </w:tcPr>
          <w:p w14:paraId="68B4D1BC" w14:textId="293E9E21" w:rsidR="007E29AA" w:rsidRPr="00F85CA6" w:rsidRDefault="007E29AA" w:rsidP="007E29AA">
            <w:pPr>
              <w:jc w:val="both"/>
              <w:rPr>
                <w:rFonts w:eastAsia="Calibri"/>
                <w:sz w:val="22"/>
                <w:szCs w:val="22"/>
                <w:lang w:val="sr-Latn-ME"/>
              </w:rPr>
            </w:pPr>
            <w:r w:rsidRPr="00F85CA6">
              <w:rPr>
                <w:rFonts w:eastAsia="Calibri"/>
                <w:sz w:val="22"/>
                <w:szCs w:val="22"/>
                <w:lang w:val="sr-Latn-ME"/>
              </w:rPr>
              <w:t>L</w:t>
            </w:r>
            <w:r w:rsidR="001072B3" w:rsidRPr="00F85CA6">
              <w:rPr>
                <w:rFonts w:eastAsia="Calibri"/>
                <w:sz w:val="22"/>
                <w:szCs w:val="22"/>
                <w:lang w:val="sr-Latn-ME"/>
              </w:rPr>
              <w:t>ij</w:t>
            </w:r>
            <w:r w:rsidRPr="00F85CA6">
              <w:rPr>
                <w:rFonts w:eastAsia="Calibri"/>
                <w:sz w:val="22"/>
                <w:szCs w:val="22"/>
                <w:lang w:val="sr-Latn-ME"/>
              </w:rPr>
              <w:t>ečeni pacijenti</w:t>
            </w:r>
          </w:p>
        </w:tc>
        <w:tc>
          <w:tcPr>
            <w:tcW w:w="1223" w:type="pct"/>
            <w:vAlign w:val="center"/>
          </w:tcPr>
          <w:p w14:paraId="7BDF14DA"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684</w:t>
            </w:r>
          </w:p>
        </w:tc>
        <w:tc>
          <w:tcPr>
            <w:tcW w:w="760" w:type="pct"/>
            <w:vAlign w:val="center"/>
          </w:tcPr>
          <w:p w14:paraId="382FDD31"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659</w:t>
            </w:r>
          </w:p>
        </w:tc>
        <w:tc>
          <w:tcPr>
            <w:tcW w:w="1475" w:type="pct"/>
            <w:vAlign w:val="center"/>
          </w:tcPr>
          <w:p w14:paraId="1F456D28" w14:textId="77777777" w:rsidR="007E29AA" w:rsidRPr="00F85CA6" w:rsidRDefault="007E29AA" w:rsidP="007E29AA">
            <w:pPr>
              <w:jc w:val="center"/>
              <w:rPr>
                <w:rFonts w:eastAsia="Calibri"/>
                <w:sz w:val="22"/>
                <w:szCs w:val="22"/>
                <w:lang w:val="sr-Latn-ME"/>
              </w:rPr>
            </w:pPr>
          </w:p>
        </w:tc>
      </w:tr>
      <w:tr w:rsidR="007E29AA" w:rsidRPr="00F85CA6" w14:paraId="09DE269D" w14:textId="77777777" w:rsidTr="001239C3">
        <w:trPr>
          <w:trHeight w:val="20"/>
        </w:trPr>
        <w:tc>
          <w:tcPr>
            <w:tcW w:w="1542" w:type="pct"/>
          </w:tcPr>
          <w:p w14:paraId="59C67752" w14:textId="77777777" w:rsidR="007E29AA" w:rsidRPr="00F85CA6" w:rsidRDefault="007E29AA" w:rsidP="007E29AA">
            <w:pPr>
              <w:jc w:val="both"/>
              <w:rPr>
                <w:rFonts w:eastAsia="Calibri"/>
                <w:sz w:val="22"/>
                <w:szCs w:val="22"/>
                <w:lang w:val="sr-Latn-ME"/>
              </w:rPr>
            </w:pPr>
            <w:r w:rsidRPr="00F85CA6">
              <w:rPr>
                <w:rFonts w:eastAsia="Calibri"/>
                <w:sz w:val="22"/>
                <w:szCs w:val="22"/>
                <w:lang w:val="sr-Latn-ME"/>
              </w:rPr>
              <w:t xml:space="preserve">Događaji obilnijeg krvarenja </w:t>
            </w:r>
          </w:p>
        </w:tc>
        <w:tc>
          <w:tcPr>
            <w:tcW w:w="1223" w:type="pct"/>
            <w:vAlign w:val="center"/>
          </w:tcPr>
          <w:p w14:paraId="2DDC5C4F"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2 (0,3%)</w:t>
            </w:r>
          </w:p>
        </w:tc>
        <w:tc>
          <w:tcPr>
            <w:tcW w:w="760" w:type="pct"/>
            <w:vAlign w:val="center"/>
          </w:tcPr>
          <w:p w14:paraId="79CDFC2B"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0</w:t>
            </w:r>
          </w:p>
        </w:tc>
        <w:tc>
          <w:tcPr>
            <w:tcW w:w="1475" w:type="pct"/>
            <w:vAlign w:val="center"/>
          </w:tcPr>
          <w:p w14:paraId="6E4FE3AC"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Ne može se izračunati*</w:t>
            </w:r>
          </w:p>
        </w:tc>
      </w:tr>
      <w:tr w:rsidR="007E29AA" w:rsidRPr="00F85CA6" w14:paraId="3EA38900" w14:textId="77777777" w:rsidTr="001239C3">
        <w:trPr>
          <w:trHeight w:val="20"/>
        </w:trPr>
        <w:tc>
          <w:tcPr>
            <w:tcW w:w="1542" w:type="pct"/>
          </w:tcPr>
          <w:p w14:paraId="2A7C0285" w14:textId="77777777" w:rsidR="007E29AA" w:rsidRPr="00F85CA6" w:rsidRDefault="007E29AA" w:rsidP="007E29AA">
            <w:pPr>
              <w:ind w:firstLine="196"/>
              <w:jc w:val="both"/>
              <w:rPr>
                <w:rFonts w:eastAsia="Calibri"/>
                <w:sz w:val="22"/>
                <w:szCs w:val="22"/>
                <w:lang w:val="sr-Latn-ME"/>
              </w:rPr>
            </w:pPr>
            <w:r w:rsidRPr="00F85CA6">
              <w:rPr>
                <w:rFonts w:eastAsia="Calibri"/>
                <w:sz w:val="22"/>
                <w:szCs w:val="22"/>
                <w:lang w:val="sr-Latn-ME"/>
              </w:rPr>
              <w:t>Intrakranijalno krvarenje</w:t>
            </w:r>
          </w:p>
        </w:tc>
        <w:tc>
          <w:tcPr>
            <w:tcW w:w="1223" w:type="pct"/>
            <w:vAlign w:val="center"/>
          </w:tcPr>
          <w:p w14:paraId="7279659B"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0</w:t>
            </w:r>
          </w:p>
        </w:tc>
        <w:tc>
          <w:tcPr>
            <w:tcW w:w="760" w:type="pct"/>
            <w:vAlign w:val="center"/>
          </w:tcPr>
          <w:p w14:paraId="363BDB7A"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0</w:t>
            </w:r>
          </w:p>
        </w:tc>
        <w:tc>
          <w:tcPr>
            <w:tcW w:w="1475" w:type="pct"/>
            <w:vAlign w:val="center"/>
          </w:tcPr>
          <w:p w14:paraId="315FAE03"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Ne može se izračunati*</w:t>
            </w:r>
          </w:p>
        </w:tc>
      </w:tr>
      <w:tr w:rsidR="007E29AA" w:rsidRPr="00F85CA6" w14:paraId="4304FEB5" w14:textId="77777777" w:rsidTr="001239C3">
        <w:trPr>
          <w:trHeight w:val="20"/>
        </w:trPr>
        <w:tc>
          <w:tcPr>
            <w:tcW w:w="1542" w:type="pct"/>
          </w:tcPr>
          <w:p w14:paraId="22CB8BA9" w14:textId="77777777" w:rsidR="007E29AA" w:rsidRPr="00F85CA6" w:rsidRDefault="007E29AA" w:rsidP="007E29AA">
            <w:pPr>
              <w:ind w:firstLine="196"/>
              <w:jc w:val="both"/>
              <w:rPr>
                <w:rFonts w:eastAsia="Calibri"/>
                <w:sz w:val="22"/>
                <w:szCs w:val="22"/>
                <w:lang w:val="sr-Latn-ME"/>
              </w:rPr>
            </w:pPr>
            <w:r w:rsidRPr="00F85CA6">
              <w:rPr>
                <w:rFonts w:eastAsia="Calibri"/>
                <w:sz w:val="22"/>
                <w:szCs w:val="22"/>
                <w:lang w:val="sr-Latn-ME"/>
              </w:rPr>
              <w:t>Obilnije GI krvarenje</w:t>
            </w:r>
          </w:p>
        </w:tc>
        <w:tc>
          <w:tcPr>
            <w:tcW w:w="1223" w:type="pct"/>
            <w:vAlign w:val="center"/>
          </w:tcPr>
          <w:p w14:paraId="75B990E2"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2 (0,3%)</w:t>
            </w:r>
          </w:p>
        </w:tc>
        <w:tc>
          <w:tcPr>
            <w:tcW w:w="760" w:type="pct"/>
            <w:vAlign w:val="center"/>
          </w:tcPr>
          <w:p w14:paraId="6AF81AAC"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0</w:t>
            </w:r>
          </w:p>
        </w:tc>
        <w:tc>
          <w:tcPr>
            <w:tcW w:w="1475" w:type="pct"/>
            <w:vAlign w:val="center"/>
          </w:tcPr>
          <w:p w14:paraId="4B2419F7"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Ne može se izračunati*</w:t>
            </w:r>
          </w:p>
        </w:tc>
      </w:tr>
      <w:tr w:rsidR="007E29AA" w:rsidRPr="00F85CA6" w14:paraId="4D061503" w14:textId="77777777" w:rsidTr="001239C3">
        <w:trPr>
          <w:trHeight w:val="20"/>
        </w:trPr>
        <w:tc>
          <w:tcPr>
            <w:tcW w:w="1542" w:type="pct"/>
          </w:tcPr>
          <w:p w14:paraId="31AC47C3" w14:textId="77777777" w:rsidR="007E29AA" w:rsidRPr="00F85CA6" w:rsidRDefault="007E29AA" w:rsidP="007E29AA">
            <w:pPr>
              <w:ind w:firstLine="196"/>
              <w:jc w:val="both"/>
              <w:rPr>
                <w:rFonts w:eastAsia="Calibri"/>
                <w:sz w:val="22"/>
                <w:szCs w:val="22"/>
                <w:lang w:val="sr-Latn-ME"/>
              </w:rPr>
            </w:pPr>
            <w:r w:rsidRPr="00F85CA6">
              <w:rPr>
                <w:rFonts w:eastAsia="Calibri"/>
                <w:sz w:val="22"/>
                <w:szCs w:val="22"/>
                <w:lang w:val="sr-Latn-ME"/>
              </w:rPr>
              <w:t>Krvarenje opasno po život</w:t>
            </w:r>
          </w:p>
        </w:tc>
        <w:tc>
          <w:tcPr>
            <w:tcW w:w="1223" w:type="pct"/>
            <w:vAlign w:val="center"/>
          </w:tcPr>
          <w:p w14:paraId="3949CDCB"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0</w:t>
            </w:r>
          </w:p>
        </w:tc>
        <w:tc>
          <w:tcPr>
            <w:tcW w:w="760" w:type="pct"/>
            <w:vAlign w:val="center"/>
          </w:tcPr>
          <w:p w14:paraId="5F68C94C"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0</w:t>
            </w:r>
          </w:p>
        </w:tc>
        <w:tc>
          <w:tcPr>
            <w:tcW w:w="1475" w:type="pct"/>
            <w:vAlign w:val="center"/>
          </w:tcPr>
          <w:p w14:paraId="51FF5FAB"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Ne može se izračunati*</w:t>
            </w:r>
          </w:p>
        </w:tc>
      </w:tr>
      <w:tr w:rsidR="007E29AA" w:rsidRPr="00F85CA6" w14:paraId="1BA68580" w14:textId="77777777" w:rsidTr="001239C3">
        <w:trPr>
          <w:trHeight w:val="20"/>
        </w:trPr>
        <w:tc>
          <w:tcPr>
            <w:tcW w:w="1542" w:type="pct"/>
          </w:tcPr>
          <w:p w14:paraId="7D60F186" w14:textId="77777777" w:rsidR="007E29AA" w:rsidRPr="00F85CA6" w:rsidRDefault="007E29AA" w:rsidP="007E29AA">
            <w:pPr>
              <w:rPr>
                <w:rFonts w:eastAsia="Calibri"/>
                <w:sz w:val="22"/>
                <w:szCs w:val="22"/>
                <w:lang w:val="sr-Latn-ME"/>
              </w:rPr>
            </w:pPr>
            <w:r w:rsidRPr="00F85CA6">
              <w:rPr>
                <w:rFonts w:eastAsia="Calibri"/>
                <w:sz w:val="22"/>
                <w:szCs w:val="22"/>
                <w:lang w:val="sr-Latn-ME"/>
              </w:rPr>
              <w:t xml:space="preserve">Događaj obilnijeg krvarenja/klinički značajna krvarenja </w:t>
            </w:r>
          </w:p>
        </w:tc>
        <w:tc>
          <w:tcPr>
            <w:tcW w:w="1223" w:type="pct"/>
            <w:vAlign w:val="center"/>
          </w:tcPr>
          <w:p w14:paraId="0B1E8EEE"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36 (5,3%)</w:t>
            </w:r>
          </w:p>
        </w:tc>
        <w:tc>
          <w:tcPr>
            <w:tcW w:w="760" w:type="pct"/>
            <w:vAlign w:val="center"/>
          </w:tcPr>
          <w:p w14:paraId="2E5DEDA5"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13 (2,0%)</w:t>
            </w:r>
          </w:p>
        </w:tc>
        <w:tc>
          <w:tcPr>
            <w:tcW w:w="1475" w:type="pct"/>
            <w:vAlign w:val="center"/>
          </w:tcPr>
          <w:p w14:paraId="64729AB9"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2,69 (1,43; 5,07)</w:t>
            </w:r>
          </w:p>
        </w:tc>
      </w:tr>
      <w:tr w:rsidR="007E29AA" w:rsidRPr="00F85CA6" w14:paraId="6CC7828D" w14:textId="77777777" w:rsidTr="001239C3">
        <w:trPr>
          <w:trHeight w:val="20"/>
        </w:trPr>
        <w:tc>
          <w:tcPr>
            <w:tcW w:w="1542" w:type="pct"/>
          </w:tcPr>
          <w:p w14:paraId="5E5C2E41" w14:textId="77777777" w:rsidR="007E29AA" w:rsidRPr="00F85CA6" w:rsidRDefault="007E29AA" w:rsidP="007E29AA">
            <w:pPr>
              <w:jc w:val="both"/>
              <w:rPr>
                <w:rFonts w:eastAsia="Calibri"/>
                <w:sz w:val="22"/>
                <w:szCs w:val="22"/>
                <w:lang w:val="sr-Latn-ME"/>
              </w:rPr>
            </w:pPr>
            <w:r w:rsidRPr="00F85CA6">
              <w:rPr>
                <w:rFonts w:eastAsia="Calibri"/>
                <w:sz w:val="22"/>
                <w:szCs w:val="22"/>
                <w:lang w:val="sr-Latn-ME"/>
              </w:rPr>
              <w:t>Bilo koje krvarenje</w:t>
            </w:r>
          </w:p>
        </w:tc>
        <w:tc>
          <w:tcPr>
            <w:tcW w:w="1223" w:type="pct"/>
            <w:vAlign w:val="center"/>
          </w:tcPr>
          <w:p w14:paraId="11675AA5"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72 (10,5%)</w:t>
            </w:r>
          </w:p>
        </w:tc>
        <w:tc>
          <w:tcPr>
            <w:tcW w:w="760" w:type="pct"/>
            <w:vAlign w:val="center"/>
          </w:tcPr>
          <w:p w14:paraId="450D160D"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40 (6,1%)</w:t>
            </w:r>
          </w:p>
        </w:tc>
        <w:tc>
          <w:tcPr>
            <w:tcW w:w="1475" w:type="pct"/>
            <w:vAlign w:val="center"/>
          </w:tcPr>
          <w:p w14:paraId="2213CDB6"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1,77 (1,20; 2,61)</w:t>
            </w:r>
          </w:p>
        </w:tc>
      </w:tr>
      <w:tr w:rsidR="007E29AA" w:rsidRPr="00F85CA6" w14:paraId="45DAA6FF" w14:textId="77777777" w:rsidTr="001239C3">
        <w:trPr>
          <w:trHeight w:val="20"/>
        </w:trPr>
        <w:tc>
          <w:tcPr>
            <w:tcW w:w="1542" w:type="pct"/>
          </w:tcPr>
          <w:p w14:paraId="3CE84758" w14:textId="77777777" w:rsidR="007E29AA" w:rsidRPr="00F85CA6" w:rsidRDefault="007E29AA" w:rsidP="007E29AA">
            <w:pPr>
              <w:ind w:firstLine="196"/>
              <w:jc w:val="both"/>
              <w:rPr>
                <w:rFonts w:eastAsia="Calibri"/>
                <w:sz w:val="22"/>
                <w:szCs w:val="22"/>
                <w:lang w:val="sr-Latn-ME"/>
              </w:rPr>
            </w:pPr>
            <w:r w:rsidRPr="00F85CA6">
              <w:rPr>
                <w:rFonts w:eastAsia="Calibri"/>
                <w:sz w:val="22"/>
                <w:szCs w:val="22"/>
                <w:lang w:val="sr-Latn-ME"/>
              </w:rPr>
              <w:t>Bilo koje GI krvarenje</w:t>
            </w:r>
          </w:p>
        </w:tc>
        <w:tc>
          <w:tcPr>
            <w:tcW w:w="1223" w:type="pct"/>
            <w:vAlign w:val="center"/>
          </w:tcPr>
          <w:p w14:paraId="3605D901"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5 (0,7%)</w:t>
            </w:r>
          </w:p>
        </w:tc>
        <w:tc>
          <w:tcPr>
            <w:tcW w:w="760" w:type="pct"/>
            <w:vAlign w:val="center"/>
          </w:tcPr>
          <w:p w14:paraId="1962D3A2"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2 (0,3%)</w:t>
            </w:r>
          </w:p>
        </w:tc>
        <w:tc>
          <w:tcPr>
            <w:tcW w:w="1475" w:type="pct"/>
            <w:vAlign w:val="center"/>
          </w:tcPr>
          <w:p w14:paraId="7F5DA046"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2,38 (0,46; 12,27)</w:t>
            </w:r>
          </w:p>
        </w:tc>
      </w:tr>
    </w:tbl>
    <w:bookmarkEnd w:id="19"/>
    <w:p w14:paraId="7045715B" w14:textId="59245466" w:rsidR="007E29AA" w:rsidRPr="00F85CA6" w:rsidRDefault="007E29AA" w:rsidP="007E29AA">
      <w:pPr>
        <w:jc w:val="both"/>
        <w:rPr>
          <w:rFonts w:eastAsia="Calibri"/>
          <w:sz w:val="22"/>
          <w:szCs w:val="22"/>
          <w:lang w:val="sr-Latn-ME"/>
        </w:rPr>
      </w:pPr>
      <w:r w:rsidRPr="00F85CA6">
        <w:rPr>
          <w:rFonts w:eastAsia="Calibri"/>
          <w:sz w:val="22"/>
          <w:szCs w:val="22"/>
          <w:lang w:val="sr-Latn-ME"/>
        </w:rPr>
        <w:t>*HR se ne može proc</w:t>
      </w:r>
      <w:r w:rsidR="00B85AF4" w:rsidRPr="00F85CA6">
        <w:rPr>
          <w:rFonts w:eastAsia="Calibri"/>
          <w:sz w:val="22"/>
          <w:szCs w:val="22"/>
          <w:lang w:val="sr-Latn-ME"/>
        </w:rPr>
        <w:t>ij</w:t>
      </w:r>
      <w:r w:rsidRPr="00F85CA6">
        <w:rPr>
          <w:rFonts w:eastAsia="Calibri"/>
          <w:sz w:val="22"/>
          <w:szCs w:val="22"/>
          <w:lang w:val="sr-Latn-ME"/>
        </w:rPr>
        <w:t>eniti zbog odsustva događaja u svakoj terapiji</w:t>
      </w:r>
      <w:r w:rsidRPr="00F85CA6">
        <w:rPr>
          <w:rFonts w:eastAsia="Calibri"/>
          <w:sz w:val="22"/>
          <w:szCs w:val="22"/>
          <w:lang w:val="sr-Latn-ME"/>
        </w:rPr>
        <w:tab/>
      </w:r>
    </w:p>
    <w:p w14:paraId="331A9F67" w14:textId="77777777" w:rsidR="007E29AA" w:rsidRPr="00F85CA6" w:rsidRDefault="007E29AA" w:rsidP="007E29AA">
      <w:pPr>
        <w:jc w:val="both"/>
        <w:rPr>
          <w:rFonts w:eastAsia="Calibri"/>
          <w:sz w:val="22"/>
          <w:szCs w:val="22"/>
          <w:lang w:val="sr-Latn-ME"/>
        </w:rPr>
      </w:pPr>
    </w:p>
    <w:p w14:paraId="1F620943" w14:textId="77777777" w:rsidR="007E29AA" w:rsidRPr="00F85CA6" w:rsidRDefault="007E29AA" w:rsidP="007E29AA">
      <w:pPr>
        <w:jc w:val="both"/>
        <w:rPr>
          <w:rFonts w:eastAsia="Calibri"/>
          <w:sz w:val="22"/>
          <w:szCs w:val="22"/>
          <w:lang w:val="sr-Latn-ME" w:bidi="en-US"/>
        </w:rPr>
      </w:pPr>
      <w:r w:rsidRPr="00F85CA6">
        <w:rPr>
          <w:rFonts w:eastAsia="Calibri"/>
          <w:i/>
          <w:iCs/>
          <w:sz w:val="22"/>
          <w:szCs w:val="22"/>
          <w:u w:val="single"/>
          <w:lang w:val="sr-Latn-ME" w:bidi="en-US"/>
        </w:rPr>
        <w:t>Agranulocitoza i neutropenija</w:t>
      </w:r>
    </w:p>
    <w:p w14:paraId="0F0A16D3" w14:textId="77777777" w:rsidR="007E29AA" w:rsidRPr="00F85CA6" w:rsidRDefault="007E29AA" w:rsidP="007E29AA">
      <w:pPr>
        <w:jc w:val="both"/>
        <w:rPr>
          <w:rFonts w:eastAsia="Calibri"/>
          <w:sz w:val="22"/>
          <w:szCs w:val="22"/>
          <w:lang w:val="sr-Latn-ME" w:bidi="en-US"/>
        </w:rPr>
      </w:pPr>
    </w:p>
    <w:p w14:paraId="111A5B12" w14:textId="464854CA" w:rsidR="007E29AA" w:rsidRPr="00F85CA6" w:rsidRDefault="007E29AA" w:rsidP="007E29AA">
      <w:pPr>
        <w:jc w:val="both"/>
        <w:rPr>
          <w:rFonts w:eastAsia="Calibri"/>
          <w:sz w:val="22"/>
          <w:szCs w:val="22"/>
          <w:lang w:val="sr-Latn-ME" w:bidi="en-US"/>
        </w:rPr>
      </w:pPr>
      <w:r w:rsidRPr="00F85CA6">
        <w:rPr>
          <w:rFonts w:eastAsia="Calibri"/>
          <w:sz w:val="22"/>
          <w:szCs w:val="22"/>
          <w:lang w:val="sr-Latn-ME" w:bidi="en-US"/>
        </w:rPr>
        <w:t>Agranulocitoza i neutropenija su bile veoma r</w:t>
      </w:r>
      <w:r w:rsidR="00B85AF4" w:rsidRPr="00F85CA6">
        <w:rPr>
          <w:rFonts w:eastAsia="Calibri"/>
          <w:sz w:val="22"/>
          <w:szCs w:val="22"/>
          <w:lang w:val="sr-Latn-ME" w:bidi="en-US"/>
        </w:rPr>
        <w:t>ij</w:t>
      </w:r>
      <w:r w:rsidRPr="00F85CA6">
        <w:rPr>
          <w:rFonts w:eastAsia="Calibri"/>
          <w:sz w:val="22"/>
          <w:szCs w:val="22"/>
          <w:lang w:val="sr-Latn-ME" w:bidi="en-US"/>
        </w:rPr>
        <w:t>etko prijavljivane nakon dobijanja dozvole za upotrebu dabigatraneteksilata. Zbog prijavljivanja neželjenih reakcija u postmarketinškom praćenju kod populacije nepouzdane veličine, nije moguće pouzdano odrediti njihovu učestalost. Prijavljena stopa je bila proc</w:t>
      </w:r>
      <w:r w:rsidR="00B85AF4" w:rsidRPr="00F85CA6">
        <w:rPr>
          <w:rFonts w:eastAsia="Calibri"/>
          <w:sz w:val="22"/>
          <w:szCs w:val="22"/>
          <w:lang w:val="sr-Latn-ME" w:bidi="en-US"/>
        </w:rPr>
        <w:t>ij</w:t>
      </w:r>
      <w:r w:rsidRPr="00F85CA6">
        <w:rPr>
          <w:rFonts w:eastAsia="Calibri"/>
          <w:sz w:val="22"/>
          <w:szCs w:val="22"/>
          <w:lang w:val="sr-Latn-ME" w:bidi="en-US"/>
        </w:rPr>
        <w:t>enjena kao 7 događaja na 1 milion pacijent-godina za agranulocitozu i 5 događaja na 1 milion pacijent-godina za neutropeniju.</w:t>
      </w:r>
    </w:p>
    <w:p w14:paraId="3B2480C7" w14:textId="77777777" w:rsidR="007E29AA" w:rsidRPr="00F85CA6" w:rsidRDefault="007E29AA" w:rsidP="007E29AA">
      <w:pPr>
        <w:jc w:val="both"/>
        <w:rPr>
          <w:rFonts w:eastAsia="Calibri"/>
          <w:sz w:val="22"/>
          <w:szCs w:val="22"/>
          <w:lang w:val="sr-Latn-ME" w:bidi="en-US"/>
        </w:rPr>
      </w:pPr>
    </w:p>
    <w:p w14:paraId="026D37D3" w14:textId="77777777" w:rsidR="007E29AA" w:rsidRPr="00F85CA6" w:rsidRDefault="007E29AA" w:rsidP="007E29AA">
      <w:pPr>
        <w:jc w:val="both"/>
        <w:rPr>
          <w:rFonts w:eastAsia="Calibri"/>
          <w:sz w:val="22"/>
          <w:szCs w:val="22"/>
          <w:u w:val="single"/>
          <w:lang w:val="sr-Latn-ME" w:bidi="en-US"/>
        </w:rPr>
      </w:pPr>
      <w:r w:rsidRPr="00F85CA6">
        <w:rPr>
          <w:rFonts w:eastAsia="Calibri"/>
          <w:sz w:val="22"/>
          <w:szCs w:val="22"/>
          <w:u w:val="single"/>
          <w:lang w:val="sr-Latn-ME" w:bidi="en-US"/>
        </w:rPr>
        <w:t>Pedijatrijska populacija</w:t>
      </w:r>
    </w:p>
    <w:p w14:paraId="330351DA" w14:textId="77777777" w:rsidR="007E29AA" w:rsidRPr="00F85CA6" w:rsidRDefault="007E29AA" w:rsidP="007E29AA">
      <w:pPr>
        <w:jc w:val="both"/>
        <w:rPr>
          <w:rFonts w:eastAsia="Calibri"/>
          <w:sz w:val="22"/>
          <w:szCs w:val="22"/>
          <w:lang w:val="sr-Latn-ME" w:bidi="en-US"/>
        </w:rPr>
      </w:pPr>
    </w:p>
    <w:p w14:paraId="2167D484" w14:textId="1A3B5EDD" w:rsidR="007E29AA" w:rsidRPr="00F85CA6" w:rsidRDefault="007E29AA" w:rsidP="007E29AA">
      <w:pPr>
        <w:jc w:val="both"/>
        <w:rPr>
          <w:rFonts w:eastAsia="Calibri"/>
          <w:sz w:val="22"/>
          <w:szCs w:val="22"/>
          <w:lang w:val="sr-Latn-ME" w:bidi="en-US"/>
        </w:rPr>
      </w:pPr>
      <w:r w:rsidRPr="00F85CA6">
        <w:rPr>
          <w:rFonts w:eastAsia="Calibri"/>
          <w:sz w:val="22"/>
          <w:szCs w:val="22"/>
          <w:lang w:val="sr-Latn-ME" w:bidi="en-US"/>
        </w:rPr>
        <w:t>Bezb</w:t>
      </w:r>
      <w:r w:rsidR="00423EDE" w:rsidRPr="00F85CA6">
        <w:rPr>
          <w:rFonts w:eastAsia="Calibri"/>
          <w:sz w:val="22"/>
          <w:szCs w:val="22"/>
          <w:lang w:val="sr-Latn-ME" w:bidi="en-US"/>
        </w:rPr>
        <w:t>j</w:t>
      </w:r>
      <w:r w:rsidRPr="00F85CA6">
        <w:rPr>
          <w:rFonts w:eastAsia="Calibri"/>
          <w:sz w:val="22"/>
          <w:szCs w:val="22"/>
          <w:lang w:val="sr-Latn-ME" w:bidi="en-US"/>
        </w:rPr>
        <w:t>ednost dabigatraneteksilata u terapiji VTE i prevenciji rekurentne VTE kod pedijatrijskih pacijenata je bila ispitivana u dva ispitivanja faze III (DIVERSITY i 1160.108). Ukupno je 328 pedijatrijskih pacijenata bilo l</w:t>
      </w:r>
      <w:r w:rsidR="00B85AF4" w:rsidRPr="00F85CA6">
        <w:rPr>
          <w:rFonts w:eastAsia="Calibri"/>
          <w:sz w:val="22"/>
          <w:szCs w:val="22"/>
          <w:lang w:val="sr-Latn-ME" w:bidi="en-US"/>
        </w:rPr>
        <w:t>ij</w:t>
      </w:r>
      <w:r w:rsidRPr="00F85CA6">
        <w:rPr>
          <w:rFonts w:eastAsia="Calibri"/>
          <w:sz w:val="22"/>
          <w:szCs w:val="22"/>
          <w:lang w:val="sr-Latn-ME" w:bidi="en-US"/>
        </w:rPr>
        <w:t>ečeno dabigatraneteksilatom. Pacijenti su primali doze prilagođene prema uzrastu i t</w:t>
      </w:r>
      <w:r w:rsidR="00B85AF4" w:rsidRPr="00F85CA6">
        <w:rPr>
          <w:rFonts w:eastAsia="Calibri"/>
          <w:sz w:val="22"/>
          <w:szCs w:val="22"/>
          <w:lang w:val="sr-Latn-ME" w:bidi="en-US"/>
        </w:rPr>
        <w:t>j</w:t>
      </w:r>
      <w:r w:rsidRPr="00F85CA6">
        <w:rPr>
          <w:rFonts w:eastAsia="Calibri"/>
          <w:sz w:val="22"/>
          <w:szCs w:val="22"/>
          <w:lang w:val="sr-Latn-ME" w:bidi="en-US"/>
        </w:rPr>
        <w:t>elesnoj masi u odgovarajućoj formulaciji dabigatraneteksilata za njihov uzrast.</w:t>
      </w:r>
    </w:p>
    <w:p w14:paraId="27509EE7" w14:textId="77777777" w:rsidR="007E29AA" w:rsidRPr="00F85CA6" w:rsidRDefault="007E29AA" w:rsidP="007E29AA">
      <w:pPr>
        <w:jc w:val="both"/>
        <w:rPr>
          <w:rFonts w:eastAsia="Calibri"/>
          <w:sz w:val="22"/>
          <w:szCs w:val="22"/>
          <w:lang w:val="sr-Latn-ME" w:bidi="en-US"/>
        </w:rPr>
      </w:pPr>
    </w:p>
    <w:p w14:paraId="5AECBA51" w14:textId="3B686C3C" w:rsidR="007E29AA" w:rsidRPr="00F85CA6" w:rsidRDefault="007E29AA" w:rsidP="007E29AA">
      <w:pPr>
        <w:jc w:val="both"/>
        <w:rPr>
          <w:rFonts w:eastAsia="Calibri"/>
          <w:sz w:val="22"/>
          <w:szCs w:val="22"/>
          <w:lang w:val="sr-Latn-ME" w:bidi="en-US"/>
        </w:rPr>
      </w:pPr>
      <w:r w:rsidRPr="00F85CA6">
        <w:rPr>
          <w:rFonts w:eastAsia="Calibri"/>
          <w:sz w:val="22"/>
          <w:szCs w:val="22"/>
          <w:lang w:val="sr-Latn-ME" w:bidi="en-US"/>
        </w:rPr>
        <w:t>Sveukupno, očekuje se da će bezb</w:t>
      </w:r>
      <w:r w:rsidR="00423EDE" w:rsidRPr="00F85CA6">
        <w:rPr>
          <w:rFonts w:eastAsia="Calibri"/>
          <w:sz w:val="22"/>
          <w:szCs w:val="22"/>
          <w:lang w:val="sr-Latn-ME" w:bidi="en-US"/>
        </w:rPr>
        <w:t>j</w:t>
      </w:r>
      <w:r w:rsidRPr="00F85CA6">
        <w:rPr>
          <w:rFonts w:eastAsia="Calibri"/>
          <w:sz w:val="22"/>
          <w:szCs w:val="22"/>
          <w:lang w:val="sr-Latn-ME" w:bidi="en-US"/>
        </w:rPr>
        <w:t>ednosni profil kod d</w:t>
      </w:r>
      <w:r w:rsidR="003F3434" w:rsidRPr="00F85CA6">
        <w:rPr>
          <w:rFonts w:eastAsia="Calibri"/>
          <w:sz w:val="22"/>
          <w:szCs w:val="22"/>
          <w:lang w:val="sr-Latn-ME" w:bidi="en-US"/>
        </w:rPr>
        <w:t>j</w:t>
      </w:r>
      <w:r w:rsidRPr="00F85CA6">
        <w:rPr>
          <w:rFonts w:eastAsia="Calibri"/>
          <w:sz w:val="22"/>
          <w:szCs w:val="22"/>
          <w:lang w:val="sr-Latn-ME" w:bidi="en-US"/>
        </w:rPr>
        <w:t>ece biti isti kao kod odraslih.</w:t>
      </w:r>
    </w:p>
    <w:p w14:paraId="46B48A52" w14:textId="77777777" w:rsidR="007E29AA" w:rsidRPr="00F85CA6" w:rsidRDefault="007E29AA" w:rsidP="007E29AA">
      <w:pPr>
        <w:jc w:val="both"/>
        <w:rPr>
          <w:rFonts w:eastAsia="Calibri"/>
          <w:sz w:val="22"/>
          <w:szCs w:val="22"/>
          <w:lang w:val="sr-Latn-ME" w:bidi="en-US"/>
        </w:rPr>
      </w:pPr>
    </w:p>
    <w:p w14:paraId="172B3DEA" w14:textId="32AD2959" w:rsidR="007E29AA" w:rsidRPr="00F85CA6" w:rsidRDefault="007E29AA" w:rsidP="007E29AA">
      <w:pPr>
        <w:jc w:val="both"/>
        <w:rPr>
          <w:rFonts w:eastAsia="Calibri"/>
          <w:sz w:val="22"/>
          <w:szCs w:val="22"/>
          <w:lang w:val="sr-Latn-ME" w:bidi="en-US"/>
        </w:rPr>
      </w:pPr>
      <w:r w:rsidRPr="00F85CA6">
        <w:rPr>
          <w:rFonts w:eastAsia="Calibri"/>
          <w:sz w:val="22"/>
          <w:szCs w:val="22"/>
          <w:lang w:val="sr-Latn-ME" w:bidi="en-US"/>
        </w:rPr>
        <w:t>Ukupno 26% pedijatrijskih pacijenata l</w:t>
      </w:r>
      <w:r w:rsidR="00B85AF4" w:rsidRPr="00F85CA6">
        <w:rPr>
          <w:rFonts w:eastAsia="Calibri"/>
          <w:sz w:val="22"/>
          <w:szCs w:val="22"/>
          <w:lang w:val="sr-Latn-ME" w:bidi="en-US"/>
        </w:rPr>
        <w:t>ij</w:t>
      </w:r>
      <w:r w:rsidRPr="00F85CA6">
        <w:rPr>
          <w:rFonts w:eastAsia="Calibri"/>
          <w:sz w:val="22"/>
          <w:szCs w:val="22"/>
          <w:lang w:val="sr-Latn-ME" w:bidi="en-US"/>
        </w:rPr>
        <w:t>ečenih dabigatrane</w:t>
      </w:r>
      <w:r w:rsidR="00FC0882" w:rsidRPr="00F85CA6">
        <w:rPr>
          <w:rFonts w:eastAsia="Calibri"/>
          <w:sz w:val="22"/>
          <w:szCs w:val="22"/>
          <w:lang w:val="sr-Latn-ME" w:bidi="en-US"/>
        </w:rPr>
        <w:t xml:space="preserve"> </w:t>
      </w:r>
      <w:r w:rsidRPr="00F85CA6">
        <w:rPr>
          <w:rFonts w:eastAsia="Calibri"/>
          <w:sz w:val="22"/>
          <w:szCs w:val="22"/>
          <w:lang w:val="sr-Latn-ME" w:bidi="en-US"/>
        </w:rPr>
        <w:t>teksilatom zbog VTE i prevencije rekurentne VTE imalo je neželjene reakcije.</w:t>
      </w:r>
    </w:p>
    <w:p w14:paraId="70F2F07A" w14:textId="77777777" w:rsidR="007E29AA" w:rsidRPr="00F85CA6" w:rsidRDefault="007E29AA" w:rsidP="007E29AA">
      <w:pPr>
        <w:jc w:val="both"/>
        <w:rPr>
          <w:rFonts w:eastAsia="Calibri"/>
          <w:sz w:val="22"/>
          <w:szCs w:val="22"/>
          <w:lang w:val="sr-Latn-ME" w:bidi="en-US"/>
        </w:rPr>
      </w:pPr>
    </w:p>
    <w:p w14:paraId="33007A8C" w14:textId="77777777" w:rsidR="007E29AA" w:rsidRPr="00F85CA6" w:rsidRDefault="007E29AA" w:rsidP="007E29AA">
      <w:pPr>
        <w:jc w:val="both"/>
        <w:rPr>
          <w:rFonts w:eastAsia="Calibri"/>
          <w:i/>
          <w:iCs/>
          <w:sz w:val="22"/>
          <w:szCs w:val="22"/>
          <w:u w:val="single"/>
          <w:lang w:val="sr-Latn-ME" w:bidi="en-US"/>
        </w:rPr>
      </w:pPr>
      <w:r w:rsidRPr="00F85CA6">
        <w:rPr>
          <w:rFonts w:eastAsia="Calibri"/>
          <w:i/>
          <w:iCs/>
          <w:sz w:val="22"/>
          <w:szCs w:val="22"/>
          <w:u w:val="single"/>
          <w:lang w:val="sr-Latn-ME" w:bidi="en-US"/>
        </w:rPr>
        <w:t>Tabelarni prikaz neželjenih reakcija</w:t>
      </w:r>
    </w:p>
    <w:p w14:paraId="346A1B03" w14:textId="77777777" w:rsidR="007E29AA" w:rsidRPr="00F85CA6" w:rsidRDefault="007E29AA" w:rsidP="007E29AA">
      <w:pPr>
        <w:jc w:val="both"/>
        <w:rPr>
          <w:rFonts w:eastAsia="Calibri"/>
          <w:i/>
          <w:iCs/>
          <w:sz w:val="22"/>
          <w:szCs w:val="22"/>
          <w:u w:val="single"/>
          <w:lang w:val="sr-Latn-ME" w:bidi="en-US"/>
        </w:rPr>
      </w:pPr>
    </w:p>
    <w:p w14:paraId="659B06DF" w14:textId="2D286454" w:rsidR="007E29AA" w:rsidRPr="00F85CA6" w:rsidRDefault="007E29AA" w:rsidP="007E29AA">
      <w:pPr>
        <w:jc w:val="both"/>
        <w:rPr>
          <w:rFonts w:eastAsia="Calibri"/>
          <w:sz w:val="22"/>
          <w:szCs w:val="22"/>
          <w:lang w:val="sr-Latn-ME"/>
        </w:rPr>
      </w:pPr>
      <w:r w:rsidRPr="00F85CA6">
        <w:rPr>
          <w:rFonts w:eastAsia="Calibri"/>
          <w:sz w:val="22"/>
          <w:szCs w:val="22"/>
          <w:lang w:val="sr-Latn-ME"/>
        </w:rPr>
        <w:t>U tabeli 18 su prikazane neželjene reakcije prepoznate u kliničkim studijama terapije VTE i prevencije rekurentne VTE kod pedijatrijskih pacijenata. Klasifikovane su prema SOC terminima i učestalosti koristeći sl</w:t>
      </w:r>
      <w:r w:rsidR="00FC0882" w:rsidRPr="00F85CA6">
        <w:rPr>
          <w:rFonts w:eastAsia="Calibri"/>
          <w:sz w:val="22"/>
          <w:szCs w:val="22"/>
          <w:lang w:val="sr-Latn-ME"/>
        </w:rPr>
        <w:t>j</w:t>
      </w:r>
      <w:r w:rsidRPr="00F85CA6">
        <w:rPr>
          <w:rFonts w:eastAsia="Calibri"/>
          <w:sz w:val="22"/>
          <w:szCs w:val="22"/>
          <w:lang w:val="sr-Latn-ME"/>
        </w:rPr>
        <w:t>edeću konvenciju: veoma često (≥</w:t>
      </w:r>
      <w:r w:rsidR="00FC0882" w:rsidRPr="00F85CA6">
        <w:rPr>
          <w:rFonts w:eastAsia="Calibri"/>
          <w:sz w:val="22"/>
          <w:szCs w:val="22"/>
          <w:lang w:val="sr-Latn-ME"/>
        </w:rPr>
        <w:t xml:space="preserve"> </w:t>
      </w:r>
      <w:r w:rsidRPr="00F85CA6">
        <w:rPr>
          <w:rFonts w:eastAsia="Calibri"/>
          <w:sz w:val="22"/>
          <w:szCs w:val="22"/>
          <w:lang w:val="sr-Latn-ME"/>
        </w:rPr>
        <w:t>1/10), često (≥</w:t>
      </w:r>
      <w:r w:rsidR="00FC0882" w:rsidRPr="00F85CA6">
        <w:rPr>
          <w:rFonts w:eastAsia="Calibri"/>
          <w:sz w:val="22"/>
          <w:szCs w:val="22"/>
          <w:lang w:val="sr-Latn-ME"/>
        </w:rPr>
        <w:t xml:space="preserve"> </w:t>
      </w:r>
      <w:r w:rsidRPr="00F85CA6">
        <w:rPr>
          <w:rFonts w:eastAsia="Calibri"/>
          <w:sz w:val="22"/>
          <w:szCs w:val="22"/>
          <w:lang w:val="sr-Latn-ME"/>
        </w:rPr>
        <w:t>1/100 do &lt;</w:t>
      </w:r>
      <w:r w:rsidR="00FC0882" w:rsidRPr="00F85CA6">
        <w:rPr>
          <w:rFonts w:eastAsia="Calibri"/>
          <w:sz w:val="22"/>
          <w:szCs w:val="22"/>
          <w:lang w:val="sr-Latn-ME"/>
        </w:rPr>
        <w:t xml:space="preserve"> </w:t>
      </w:r>
      <w:r w:rsidRPr="00F85CA6">
        <w:rPr>
          <w:rFonts w:eastAsia="Calibri"/>
          <w:sz w:val="22"/>
          <w:szCs w:val="22"/>
          <w:lang w:val="sr-Latn-ME"/>
        </w:rPr>
        <w:t>1/10), povremeno (≥</w:t>
      </w:r>
      <w:r w:rsidR="00FC0882" w:rsidRPr="00F85CA6">
        <w:rPr>
          <w:rFonts w:eastAsia="Calibri"/>
          <w:sz w:val="22"/>
          <w:szCs w:val="22"/>
          <w:lang w:val="sr-Latn-ME"/>
        </w:rPr>
        <w:t xml:space="preserve"> </w:t>
      </w:r>
      <w:r w:rsidRPr="00F85CA6">
        <w:rPr>
          <w:rFonts w:eastAsia="Calibri"/>
          <w:sz w:val="22"/>
          <w:szCs w:val="22"/>
          <w:lang w:val="sr-Latn-ME"/>
        </w:rPr>
        <w:t>1/1000 do &lt;</w:t>
      </w:r>
      <w:r w:rsidR="00FC0882" w:rsidRPr="00F85CA6">
        <w:rPr>
          <w:rFonts w:eastAsia="Calibri"/>
          <w:sz w:val="22"/>
          <w:szCs w:val="22"/>
          <w:lang w:val="sr-Latn-ME"/>
        </w:rPr>
        <w:t xml:space="preserve"> </w:t>
      </w:r>
      <w:r w:rsidRPr="00F85CA6">
        <w:rPr>
          <w:rFonts w:eastAsia="Calibri"/>
          <w:sz w:val="22"/>
          <w:szCs w:val="22"/>
          <w:lang w:val="sr-Latn-ME"/>
        </w:rPr>
        <w:t>1/100), r</w:t>
      </w:r>
      <w:r w:rsidR="00423EDE" w:rsidRPr="00F85CA6">
        <w:rPr>
          <w:rFonts w:eastAsia="Calibri"/>
          <w:sz w:val="22"/>
          <w:szCs w:val="22"/>
          <w:lang w:val="sr-Latn-ME"/>
        </w:rPr>
        <w:t>ij</w:t>
      </w:r>
      <w:r w:rsidRPr="00F85CA6">
        <w:rPr>
          <w:rFonts w:eastAsia="Calibri"/>
          <w:sz w:val="22"/>
          <w:szCs w:val="22"/>
          <w:lang w:val="sr-Latn-ME"/>
        </w:rPr>
        <w:t>etko (≥</w:t>
      </w:r>
      <w:r w:rsidR="00FC0882" w:rsidRPr="00F85CA6">
        <w:rPr>
          <w:rFonts w:eastAsia="Calibri"/>
          <w:sz w:val="22"/>
          <w:szCs w:val="22"/>
          <w:lang w:val="sr-Latn-ME"/>
        </w:rPr>
        <w:t xml:space="preserve"> </w:t>
      </w:r>
      <w:r w:rsidRPr="00F85CA6">
        <w:rPr>
          <w:rFonts w:eastAsia="Calibri"/>
          <w:sz w:val="22"/>
          <w:szCs w:val="22"/>
          <w:lang w:val="sr-Latn-ME"/>
        </w:rPr>
        <w:t>1/10000 do &lt;</w:t>
      </w:r>
      <w:r w:rsidR="00FC0882" w:rsidRPr="00F85CA6">
        <w:rPr>
          <w:rFonts w:eastAsia="Calibri"/>
          <w:sz w:val="22"/>
          <w:szCs w:val="22"/>
          <w:lang w:val="sr-Latn-ME"/>
        </w:rPr>
        <w:t xml:space="preserve"> </w:t>
      </w:r>
      <w:r w:rsidRPr="00F85CA6">
        <w:rPr>
          <w:rFonts w:eastAsia="Calibri"/>
          <w:sz w:val="22"/>
          <w:szCs w:val="22"/>
          <w:lang w:val="sr-Latn-ME"/>
        </w:rPr>
        <w:t>1/1000), veoma r</w:t>
      </w:r>
      <w:r w:rsidR="00423EDE" w:rsidRPr="00F85CA6">
        <w:rPr>
          <w:rFonts w:eastAsia="Calibri"/>
          <w:sz w:val="22"/>
          <w:szCs w:val="22"/>
          <w:lang w:val="sr-Latn-ME"/>
        </w:rPr>
        <w:t>ij</w:t>
      </w:r>
      <w:r w:rsidRPr="00F85CA6">
        <w:rPr>
          <w:rFonts w:eastAsia="Calibri"/>
          <w:sz w:val="22"/>
          <w:szCs w:val="22"/>
          <w:lang w:val="sr-Latn-ME"/>
        </w:rPr>
        <w:t>etko (&lt;</w:t>
      </w:r>
      <w:r w:rsidR="00FC0882" w:rsidRPr="00F85CA6">
        <w:rPr>
          <w:rFonts w:eastAsia="Calibri"/>
          <w:sz w:val="22"/>
          <w:szCs w:val="22"/>
          <w:lang w:val="sr-Latn-ME"/>
        </w:rPr>
        <w:t xml:space="preserve"> </w:t>
      </w:r>
      <w:r w:rsidRPr="00F85CA6">
        <w:rPr>
          <w:rFonts w:eastAsia="Calibri"/>
          <w:sz w:val="22"/>
          <w:szCs w:val="22"/>
          <w:lang w:val="sr-Latn-ME"/>
        </w:rPr>
        <w:t>1/10000), nepoznata učestalost (ne može se proc</w:t>
      </w:r>
      <w:r w:rsidR="00423EDE" w:rsidRPr="00F85CA6">
        <w:rPr>
          <w:rFonts w:eastAsia="Calibri"/>
          <w:sz w:val="22"/>
          <w:szCs w:val="22"/>
          <w:lang w:val="sr-Latn-ME"/>
        </w:rPr>
        <w:t>ij</w:t>
      </w:r>
      <w:r w:rsidRPr="00F85CA6">
        <w:rPr>
          <w:rFonts w:eastAsia="Calibri"/>
          <w:sz w:val="22"/>
          <w:szCs w:val="22"/>
          <w:lang w:val="sr-Latn-ME"/>
        </w:rPr>
        <w:t>eniti na osnovu dostupnih podataka).</w:t>
      </w:r>
    </w:p>
    <w:p w14:paraId="07638F7A" w14:textId="77777777" w:rsidR="007E29AA" w:rsidRPr="00F85CA6" w:rsidRDefault="007E29AA" w:rsidP="007E29AA">
      <w:pPr>
        <w:jc w:val="both"/>
        <w:rPr>
          <w:rFonts w:eastAsia="Calibri"/>
          <w:sz w:val="22"/>
          <w:szCs w:val="22"/>
          <w:lang w:val="sr-Latn-ME"/>
        </w:rPr>
      </w:pPr>
    </w:p>
    <w:p w14:paraId="1183F578" w14:textId="77777777" w:rsidR="007E29AA" w:rsidRPr="00F85CA6" w:rsidRDefault="007E29AA" w:rsidP="00685312">
      <w:pPr>
        <w:jc w:val="center"/>
        <w:rPr>
          <w:rFonts w:eastAsia="Calibri"/>
          <w:b/>
          <w:bCs/>
          <w:sz w:val="22"/>
          <w:szCs w:val="22"/>
          <w:lang w:val="sr-Latn-ME" w:bidi="en-US"/>
        </w:rPr>
      </w:pPr>
      <w:r w:rsidRPr="00F85CA6">
        <w:rPr>
          <w:rFonts w:eastAsia="Calibri"/>
          <w:b/>
          <w:bCs/>
          <w:sz w:val="22"/>
          <w:szCs w:val="22"/>
          <w:lang w:val="sr-Latn-ME" w:bidi="en-US"/>
        </w:rPr>
        <w:t>Tabela 18: Neželjene reakcije</w:t>
      </w:r>
    </w:p>
    <w:p w14:paraId="0E6CAE46" w14:textId="77777777" w:rsidR="007E29AA" w:rsidRPr="00F85CA6" w:rsidRDefault="007E29AA" w:rsidP="007E29AA">
      <w:pPr>
        <w:jc w:val="both"/>
        <w:rPr>
          <w:rFonts w:eastAsia="Calibri"/>
          <w:b/>
          <w:bCs/>
          <w:sz w:val="22"/>
          <w:szCs w:val="22"/>
          <w:lang w:val="sr-Latn-ME" w:bidi="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4272"/>
        <w:gridCol w:w="4791"/>
      </w:tblGrid>
      <w:tr w:rsidR="007E29AA" w:rsidRPr="00F85CA6" w14:paraId="2F893729" w14:textId="77777777" w:rsidTr="001239C3">
        <w:trPr>
          <w:trHeight w:val="20"/>
          <w:jc w:val="center"/>
        </w:trPr>
        <w:tc>
          <w:tcPr>
            <w:tcW w:w="2357" w:type="pct"/>
            <w:shd w:val="clear" w:color="auto" w:fill="auto"/>
          </w:tcPr>
          <w:p w14:paraId="7A667750" w14:textId="77777777" w:rsidR="007E29AA" w:rsidRPr="00F85CA6" w:rsidRDefault="007E29AA" w:rsidP="007E29AA">
            <w:pPr>
              <w:rPr>
                <w:rFonts w:eastAsia="Calibri"/>
                <w:sz w:val="22"/>
                <w:szCs w:val="22"/>
                <w:lang w:val="sr-Latn-ME"/>
              </w:rPr>
            </w:pPr>
          </w:p>
        </w:tc>
        <w:tc>
          <w:tcPr>
            <w:tcW w:w="2643" w:type="pct"/>
            <w:shd w:val="clear" w:color="auto" w:fill="auto"/>
            <w:vAlign w:val="center"/>
          </w:tcPr>
          <w:p w14:paraId="47FC27A1"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Učestalost</w:t>
            </w:r>
          </w:p>
        </w:tc>
      </w:tr>
      <w:tr w:rsidR="007E29AA" w:rsidRPr="00F85CA6" w14:paraId="2E332680" w14:textId="77777777" w:rsidTr="001239C3">
        <w:trPr>
          <w:trHeight w:val="20"/>
          <w:jc w:val="center"/>
        </w:trPr>
        <w:tc>
          <w:tcPr>
            <w:tcW w:w="2357" w:type="pct"/>
          </w:tcPr>
          <w:p w14:paraId="3E15FA69" w14:textId="77777777" w:rsidR="007E29AA" w:rsidRPr="00F85CA6" w:rsidRDefault="007E29AA" w:rsidP="007E29AA">
            <w:pPr>
              <w:rPr>
                <w:rFonts w:eastAsia="Calibri"/>
                <w:sz w:val="22"/>
                <w:szCs w:val="22"/>
                <w:lang w:val="sr-Latn-ME"/>
              </w:rPr>
            </w:pPr>
            <w:r w:rsidRPr="00F85CA6">
              <w:rPr>
                <w:rFonts w:eastAsia="Calibri"/>
                <w:sz w:val="22"/>
                <w:szCs w:val="22"/>
                <w:lang w:val="sr-Latn-ME"/>
              </w:rPr>
              <w:t>SOC / Preporučeni termin</w:t>
            </w:r>
          </w:p>
        </w:tc>
        <w:tc>
          <w:tcPr>
            <w:tcW w:w="2643" w:type="pct"/>
          </w:tcPr>
          <w:p w14:paraId="6C3451CD"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Terapija VTE i prevencija rekurentne VTE kod pedijatrijskih pacijenata</w:t>
            </w:r>
          </w:p>
        </w:tc>
      </w:tr>
      <w:tr w:rsidR="007E29AA" w:rsidRPr="00F85CA6" w14:paraId="18ED273F" w14:textId="77777777" w:rsidTr="001239C3">
        <w:trPr>
          <w:trHeight w:val="20"/>
          <w:jc w:val="center"/>
        </w:trPr>
        <w:tc>
          <w:tcPr>
            <w:tcW w:w="5000" w:type="pct"/>
            <w:gridSpan w:val="2"/>
          </w:tcPr>
          <w:p w14:paraId="7B58CE3E" w14:textId="77777777" w:rsidR="007E29AA" w:rsidRPr="00F85CA6" w:rsidRDefault="007E29AA" w:rsidP="007E29AA">
            <w:pPr>
              <w:rPr>
                <w:rFonts w:eastAsia="Calibri"/>
                <w:sz w:val="22"/>
                <w:szCs w:val="22"/>
                <w:lang w:val="sr-Latn-ME"/>
              </w:rPr>
            </w:pPr>
            <w:r w:rsidRPr="00F85CA6">
              <w:rPr>
                <w:rFonts w:eastAsia="Calibri"/>
                <w:sz w:val="22"/>
                <w:szCs w:val="22"/>
                <w:lang w:val="sr-Latn-ME"/>
              </w:rPr>
              <w:t>Poremećaji krvi i limfnog sistema</w:t>
            </w:r>
          </w:p>
        </w:tc>
      </w:tr>
      <w:tr w:rsidR="007E29AA" w:rsidRPr="00F85CA6" w14:paraId="412A44A8" w14:textId="77777777" w:rsidTr="001239C3">
        <w:trPr>
          <w:trHeight w:val="20"/>
          <w:jc w:val="center"/>
        </w:trPr>
        <w:tc>
          <w:tcPr>
            <w:tcW w:w="2357" w:type="pct"/>
          </w:tcPr>
          <w:p w14:paraId="5D076624" w14:textId="77777777" w:rsidR="007E29AA" w:rsidRPr="00F85CA6" w:rsidRDefault="007E29AA" w:rsidP="007E29AA">
            <w:pPr>
              <w:ind w:left="196"/>
              <w:rPr>
                <w:rFonts w:eastAsia="Calibri"/>
                <w:sz w:val="22"/>
                <w:szCs w:val="22"/>
                <w:lang w:val="sr-Latn-ME"/>
              </w:rPr>
            </w:pPr>
            <w:r w:rsidRPr="00F85CA6">
              <w:rPr>
                <w:rFonts w:eastAsia="Calibri"/>
                <w:sz w:val="22"/>
                <w:szCs w:val="22"/>
                <w:lang w:val="sr-Latn-ME"/>
              </w:rPr>
              <w:t>Anemija</w:t>
            </w:r>
          </w:p>
        </w:tc>
        <w:tc>
          <w:tcPr>
            <w:tcW w:w="2643" w:type="pct"/>
          </w:tcPr>
          <w:p w14:paraId="7FE64D23"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često</w:t>
            </w:r>
          </w:p>
        </w:tc>
      </w:tr>
      <w:tr w:rsidR="007E29AA" w:rsidRPr="00F85CA6" w14:paraId="5154978D" w14:textId="77777777" w:rsidTr="001239C3">
        <w:trPr>
          <w:trHeight w:val="20"/>
          <w:jc w:val="center"/>
        </w:trPr>
        <w:tc>
          <w:tcPr>
            <w:tcW w:w="2357" w:type="pct"/>
          </w:tcPr>
          <w:p w14:paraId="0D98AE23" w14:textId="0A44C6A8" w:rsidR="007E29AA" w:rsidRPr="00F85CA6" w:rsidRDefault="007E29AA" w:rsidP="007E29AA">
            <w:pPr>
              <w:ind w:left="196"/>
              <w:rPr>
                <w:rFonts w:eastAsia="Calibri"/>
                <w:sz w:val="22"/>
                <w:szCs w:val="22"/>
                <w:lang w:val="sr-Latn-ME"/>
              </w:rPr>
            </w:pPr>
            <w:r w:rsidRPr="00F85CA6">
              <w:rPr>
                <w:rFonts w:eastAsia="Calibri"/>
                <w:sz w:val="22"/>
                <w:szCs w:val="22"/>
                <w:lang w:val="sr-Latn-ME"/>
              </w:rPr>
              <w:t>Smanjene vr</w:t>
            </w:r>
            <w:r w:rsidR="00423EDE" w:rsidRPr="00F85CA6">
              <w:rPr>
                <w:rFonts w:eastAsia="Calibri"/>
                <w:sz w:val="22"/>
                <w:szCs w:val="22"/>
                <w:lang w:val="sr-Latn-ME"/>
              </w:rPr>
              <w:t>ij</w:t>
            </w:r>
            <w:r w:rsidRPr="00F85CA6">
              <w:rPr>
                <w:rFonts w:eastAsia="Calibri"/>
                <w:sz w:val="22"/>
                <w:szCs w:val="22"/>
                <w:lang w:val="sr-Latn-ME"/>
              </w:rPr>
              <w:t xml:space="preserve">ednosti hemoglobina </w:t>
            </w:r>
          </w:p>
        </w:tc>
        <w:tc>
          <w:tcPr>
            <w:tcW w:w="2643" w:type="pct"/>
          </w:tcPr>
          <w:p w14:paraId="355D24AC"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povremeno</w:t>
            </w:r>
          </w:p>
        </w:tc>
      </w:tr>
      <w:tr w:rsidR="007E29AA" w:rsidRPr="00F85CA6" w14:paraId="2BA64B5C" w14:textId="77777777" w:rsidTr="001239C3">
        <w:trPr>
          <w:trHeight w:val="20"/>
          <w:jc w:val="center"/>
        </w:trPr>
        <w:tc>
          <w:tcPr>
            <w:tcW w:w="2357" w:type="pct"/>
          </w:tcPr>
          <w:p w14:paraId="3546D77C" w14:textId="77777777" w:rsidR="007E29AA" w:rsidRPr="00F85CA6" w:rsidRDefault="007E29AA" w:rsidP="007E29AA">
            <w:pPr>
              <w:ind w:left="196"/>
              <w:rPr>
                <w:rFonts w:eastAsia="Calibri"/>
                <w:sz w:val="22"/>
                <w:szCs w:val="22"/>
                <w:lang w:val="sr-Latn-ME"/>
              </w:rPr>
            </w:pPr>
            <w:r w:rsidRPr="00F85CA6">
              <w:rPr>
                <w:rFonts w:eastAsia="Calibri"/>
                <w:sz w:val="22"/>
                <w:szCs w:val="22"/>
                <w:lang w:val="sr-Latn-ME"/>
              </w:rPr>
              <w:t>Trombocitopenija</w:t>
            </w:r>
          </w:p>
        </w:tc>
        <w:tc>
          <w:tcPr>
            <w:tcW w:w="2643" w:type="pct"/>
          </w:tcPr>
          <w:p w14:paraId="79C59306"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često</w:t>
            </w:r>
          </w:p>
        </w:tc>
      </w:tr>
      <w:tr w:rsidR="007E29AA" w:rsidRPr="00F85CA6" w14:paraId="239AD90B" w14:textId="77777777" w:rsidTr="001239C3">
        <w:trPr>
          <w:trHeight w:val="20"/>
          <w:jc w:val="center"/>
        </w:trPr>
        <w:tc>
          <w:tcPr>
            <w:tcW w:w="2357" w:type="pct"/>
          </w:tcPr>
          <w:p w14:paraId="25A5DDC4" w14:textId="27D45CF4" w:rsidR="007E29AA" w:rsidRPr="00F85CA6" w:rsidRDefault="007E29AA" w:rsidP="007E29AA">
            <w:pPr>
              <w:ind w:left="196"/>
              <w:rPr>
                <w:rFonts w:eastAsia="Calibri"/>
                <w:sz w:val="22"/>
                <w:szCs w:val="22"/>
                <w:lang w:val="sr-Latn-ME"/>
              </w:rPr>
            </w:pPr>
            <w:r w:rsidRPr="00F85CA6">
              <w:rPr>
                <w:rFonts w:eastAsia="Calibri"/>
                <w:sz w:val="22"/>
                <w:szCs w:val="22"/>
                <w:lang w:val="sr-Latn-ME"/>
              </w:rPr>
              <w:t>Smanjene vr</w:t>
            </w:r>
            <w:r w:rsidR="00423EDE" w:rsidRPr="00F85CA6">
              <w:rPr>
                <w:rFonts w:eastAsia="Calibri"/>
                <w:sz w:val="22"/>
                <w:szCs w:val="22"/>
                <w:lang w:val="sr-Latn-ME"/>
              </w:rPr>
              <w:t>ij</w:t>
            </w:r>
            <w:r w:rsidRPr="00F85CA6">
              <w:rPr>
                <w:rFonts w:eastAsia="Calibri"/>
                <w:sz w:val="22"/>
                <w:szCs w:val="22"/>
                <w:lang w:val="sr-Latn-ME"/>
              </w:rPr>
              <w:t xml:space="preserve">ednosti hematokrita </w:t>
            </w:r>
          </w:p>
        </w:tc>
        <w:tc>
          <w:tcPr>
            <w:tcW w:w="2643" w:type="pct"/>
          </w:tcPr>
          <w:p w14:paraId="67397DC5"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povremeno</w:t>
            </w:r>
          </w:p>
        </w:tc>
      </w:tr>
      <w:tr w:rsidR="007E29AA" w:rsidRPr="00F85CA6" w14:paraId="5EA9F2A5" w14:textId="77777777" w:rsidTr="001239C3">
        <w:trPr>
          <w:trHeight w:val="20"/>
          <w:jc w:val="center"/>
        </w:trPr>
        <w:tc>
          <w:tcPr>
            <w:tcW w:w="2357" w:type="pct"/>
          </w:tcPr>
          <w:p w14:paraId="068532BF" w14:textId="77777777" w:rsidR="007E29AA" w:rsidRPr="00F85CA6" w:rsidRDefault="007E29AA" w:rsidP="007E29AA">
            <w:pPr>
              <w:ind w:left="196"/>
              <w:rPr>
                <w:rFonts w:eastAsia="Calibri"/>
                <w:sz w:val="22"/>
                <w:szCs w:val="22"/>
                <w:lang w:val="sr-Latn-ME"/>
              </w:rPr>
            </w:pPr>
            <w:r w:rsidRPr="00F85CA6">
              <w:rPr>
                <w:rFonts w:eastAsia="Calibri"/>
                <w:sz w:val="22"/>
                <w:szCs w:val="22"/>
                <w:lang w:val="sr-Latn-ME"/>
              </w:rPr>
              <w:t>Neutropenija</w:t>
            </w:r>
          </w:p>
        </w:tc>
        <w:tc>
          <w:tcPr>
            <w:tcW w:w="2643" w:type="pct"/>
          </w:tcPr>
          <w:p w14:paraId="3EF88242"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povremeno</w:t>
            </w:r>
          </w:p>
        </w:tc>
      </w:tr>
      <w:tr w:rsidR="007E29AA" w:rsidRPr="00F85CA6" w14:paraId="22CBBCB2" w14:textId="77777777" w:rsidTr="001239C3">
        <w:trPr>
          <w:trHeight w:val="20"/>
          <w:jc w:val="center"/>
        </w:trPr>
        <w:tc>
          <w:tcPr>
            <w:tcW w:w="2357" w:type="pct"/>
          </w:tcPr>
          <w:p w14:paraId="38CE8786" w14:textId="77777777" w:rsidR="007E29AA" w:rsidRPr="00F85CA6" w:rsidRDefault="007E29AA" w:rsidP="007E29AA">
            <w:pPr>
              <w:ind w:left="196"/>
              <w:rPr>
                <w:rFonts w:eastAsia="Calibri"/>
                <w:sz w:val="22"/>
                <w:szCs w:val="22"/>
                <w:lang w:val="sr-Latn-ME"/>
              </w:rPr>
            </w:pPr>
            <w:r w:rsidRPr="00F85CA6">
              <w:rPr>
                <w:rFonts w:eastAsia="Calibri"/>
                <w:sz w:val="22"/>
                <w:szCs w:val="22"/>
                <w:lang w:val="sr-Latn-ME"/>
              </w:rPr>
              <w:lastRenderedPageBreak/>
              <w:t>Agranulocitoza</w:t>
            </w:r>
          </w:p>
        </w:tc>
        <w:tc>
          <w:tcPr>
            <w:tcW w:w="2643" w:type="pct"/>
          </w:tcPr>
          <w:p w14:paraId="6631E284" w14:textId="66401BCC" w:rsidR="007E29AA" w:rsidRPr="00F85CA6" w:rsidRDefault="007E29AA" w:rsidP="00FC0882">
            <w:pPr>
              <w:jc w:val="center"/>
              <w:rPr>
                <w:rFonts w:eastAsia="Calibri"/>
                <w:sz w:val="22"/>
                <w:szCs w:val="22"/>
                <w:lang w:val="sr-Latn-ME"/>
              </w:rPr>
            </w:pPr>
            <w:r w:rsidRPr="00F85CA6">
              <w:rPr>
                <w:rFonts w:eastAsia="Calibri"/>
                <w:sz w:val="22"/>
                <w:szCs w:val="22"/>
                <w:lang w:val="sr-Latn-ME"/>
              </w:rPr>
              <w:t>nepoznat</w:t>
            </w:r>
            <w:r w:rsidR="00FC0882" w:rsidRPr="00F85CA6">
              <w:rPr>
                <w:rFonts w:eastAsia="Calibri"/>
                <w:sz w:val="22"/>
                <w:szCs w:val="22"/>
                <w:lang w:val="sr-Latn-ME"/>
              </w:rPr>
              <w:t>o</w:t>
            </w:r>
          </w:p>
        </w:tc>
      </w:tr>
      <w:tr w:rsidR="007E29AA" w:rsidRPr="00F85CA6" w14:paraId="5031D4F3" w14:textId="77777777" w:rsidTr="001239C3">
        <w:trPr>
          <w:trHeight w:val="20"/>
          <w:jc w:val="center"/>
        </w:trPr>
        <w:tc>
          <w:tcPr>
            <w:tcW w:w="5000" w:type="pct"/>
            <w:gridSpan w:val="2"/>
          </w:tcPr>
          <w:p w14:paraId="7D12AADD" w14:textId="77777777" w:rsidR="007E29AA" w:rsidRPr="00F85CA6" w:rsidRDefault="007E29AA" w:rsidP="007E29AA">
            <w:pPr>
              <w:rPr>
                <w:rFonts w:eastAsia="Calibri"/>
                <w:sz w:val="22"/>
                <w:szCs w:val="22"/>
                <w:lang w:val="sr-Latn-ME"/>
              </w:rPr>
            </w:pPr>
            <w:r w:rsidRPr="00F85CA6">
              <w:rPr>
                <w:rFonts w:eastAsia="Calibri"/>
                <w:sz w:val="22"/>
                <w:szCs w:val="22"/>
                <w:lang w:val="sr-Latn-ME"/>
              </w:rPr>
              <w:t>Poremećaji imunskog sistema</w:t>
            </w:r>
          </w:p>
        </w:tc>
      </w:tr>
      <w:tr w:rsidR="007E29AA" w:rsidRPr="00F85CA6" w14:paraId="33ED70B5" w14:textId="77777777" w:rsidTr="001239C3">
        <w:trPr>
          <w:trHeight w:val="20"/>
          <w:jc w:val="center"/>
        </w:trPr>
        <w:tc>
          <w:tcPr>
            <w:tcW w:w="2357" w:type="pct"/>
          </w:tcPr>
          <w:p w14:paraId="22C34113" w14:textId="01E0CEB4" w:rsidR="007E29AA" w:rsidRPr="00F85CA6" w:rsidRDefault="007E29AA" w:rsidP="007E29AA">
            <w:pPr>
              <w:ind w:firstLine="196"/>
              <w:rPr>
                <w:rFonts w:eastAsia="Calibri"/>
                <w:sz w:val="22"/>
                <w:szCs w:val="22"/>
                <w:lang w:val="sr-Latn-ME"/>
              </w:rPr>
            </w:pPr>
            <w:r w:rsidRPr="00F85CA6">
              <w:rPr>
                <w:rFonts w:eastAsia="Calibri"/>
                <w:sz w:val="22"/>
                <w:szCs w:val="22"/>
                <w:lang w:val="sr-Latn-ME"/>
              </w:rPr>
              <w:t>Preos</w:t>
            </w:r>
            <w:r w:rsidR="003F3434" w:rsidRPr="00F85CA6">
              <w:rPr>
                <w:rFonts w:eastAsia="Calibri"/>
                <w:sz w:val="22"/>
                <w:szCs w:val="22"/>
                <w:lang w:val="sr-Latn-ME"/>
              </w:rPr>
              <w:t>j</w:t>
            </w:r>
            <w:r w:rsidRPr="00F85CA6">
              <w:rPr>
                <w:rFonts w:eastAsia="Calibri"/>
                <w:sz w:val="22"/>
                <w:szCs w:val="22"/>
                <w:lang w:val="sr-Latn-ME"/>
              </w:rPr>
              <w:t>etljivost na l</w:t>
            </w:r>
            <w:r w:rsidR="00423EDE" w:rsidRPr="00F85CA6">
              <w:rPr>
                <w:rFonts w:eastAsia="Calibri"/>
                <w:sz w:val="22"/>
                <w:szCs w:val="22"/>
                <w:lang w:val="sr-Latn-ME"/>
              </w:rPr>
              <w:t>ij</w:t>
            </w:r>
            <w:r w:rsidRPr="00F85CA6">
              <w:rPr>
                <w:rFonts w:eastAsia="Calibri"/>
                <w:sz w:val="22"/>
                <w:szCs w:val="22"/>
                <w:lang w:val="sr-Latn-ME"/>
              </w:rPr>
              <w:t>ek</w:t>
            </w:r>
          </w:p>
        </w:tc>
        <w:tc>
          <w:tcPr>
            <w:tcW w:w="2643" w:type="pct"/>
          </w:tcPr>
          <w:p w14:paraId="37A444BA"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povremeno</w:t>
            </w:r>
          </w:p>
        </w:tc>
      </w:tr>
      <w:tr w:rsidR="007E29AA" w:rsidRPr="00F85CA6" w14:paraId="01F32F94" w14:textId="77777777" w:rsidTr="001239C3">
        <w:trPr>
          <w:trHeight w:val="20"/>
          <w:jc w:val="center"/>
        </w:trPr>
        <w:tc>
          <w:tcPr>
            <w:tcW w:w="2357" w:type="pct"/>
          </w:tcPr>
          <w:p w14:paraId="3709A120" w14:textId="77777777" w:rsidR="007E29AA" w:rsidRPr="00F85CA6" w:rsidRDefault="007E29AA" w:rsidP="007E29AA">
            <w:pPr>
              <w:ind w:firstLine="196"/>
              <w:rPr>
                <w:rFonts w:eastAsia="Calibri"/>
                <w:sz w:val="22"/>
                <w:szCs w:val="22"/>
                <w:lang w:val="sr-Latn-ME"/>
              </w:rPr>
            </w:pPr>
            <w:r w:rsidRPr="00F85CA6">
              <w:rPr>
                <w:rFonts w:eastAsia="Calibri"/>
                <w:sz w:val="22"/>
                <w:szCs w:val="22"/>
                <w:lang w:val="sr-Latn-ME"/>
              </w:rPr>
              <w:t xml:space="preserve">Osip </w:t>
            </w:r>
          </w:p>
        </w:tc>
        <w:tc>
          <w:tcPr>
            <w:tcW w:w="2643" w:type="pct"/>
          </w:tcPr>
          <w:p w14:paraId="07772C82"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često</w:t>
            </w:r>
          </w:p>
        </w:tc>
      </w:tr>
      <w:tr w:rsidR="007E29AA" w:rsidRPr="00F85CA6" w14:paraId="5206254C" w14:textId="77777777" w:rsidTr="001239C3">
        <w:trPr>
          <w:trHeight w:val="20"/>
          <w:jc w:val="center"/>
        </w:trPr>
        <w:tc>
          <w:tcPr>
            <w:tcW w:w="2357" w:type="pct"/>
          </w:tcPr>
          <w:p w14:paraId="6974E4A7" w14:textId="77777777" w:rsidR="007E29AA" w:rsidRPr="00F85CA6" w:rsidRDefault="007E29AA" w:rsidP="007E29AA">
            <w:pPr>
              <w:ind w:firstLine="196"/>
              <w:rPr>
                <w:rFonts w:eastAsia="Calibri"/>
                <w:sz w:val="22"/>
                <w:szCs w:val="22"/>
                <w:lang w:val="sr-Latn-ME"/>
              </w:rPr>
            </w:pPr>
            <w:r w:rsidRPr="00F85CA6">
              <w:rPr>
                <w:rFonts w:eastAsia="Calibri"/>
                <w:sz w:val="22"/>
                <w:szCs w:val="22"/>
                <w:lang w:val="sr-Latn-ME"/>
              </w:rPr>
              <w:t>Pruritus</w:t>
            </w:r>
          </w:p>
        </w:tc>
        <w:tc>
          <w:tcPr>
            <w:tcW w:w="2643" w:type="pct"/>
          </w:tcPr>
          <w:p w14:paraId="4474DB19"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povremeno</w:t>
            </w:r>
          </w:p>
        </w:tc>
      </w:tr>
      <w:tr w:rsidR="007E29AA" w:rsidRPr="00F85CA6" w14:paraId="43916C1D" w14:textId="77777777" w:rsidTr="001239C3">
        <w:trPr>
          <w:trHeight w:val="20"/>
          <w:jc w:val="center"/>
        </w:trPr>
        <w:tc>
          <w:tcPr>
            <w:tcW w:w="2357" w:type="pct"/>
          </w:tcPr>
          <w:p w14:paraId="50D1BEEF" w14:textId="77777777" w:rsidR="007E29AA" w:rsidRPr="00F85CA6" w:rsidRDefault="007E29AA" w:rsidP="007E29AA">
            <w:pPr>
              <w:ind w:firstLine="196"/>
              <w:rPr>
                <w:rFonts w:eastAsia="Calibri"/>
                <w:sz w:val="22"/>
                <w:szCs w:val="22"/>
                <w:lang w:val="sr-Latn-ME"/>
              </w:rPr>
            </w:pPr>
            <w:r w:rsidRPr="00F85CA6">
              <w:rPr>
                <w:rFonts w:eastAsia="Calibri"/>
                <w:sz w:val="22"/>
                <w:szCs w:val="22"/>
                <w:lang w:val="sr-Latn-ME"/>
              </w:rPr>
              <w:t>Anafilaktička reakcija</w:t>
            </w:r>
          </w:p>
        </w:tc>
        <w:tc>
          <w:tcPr>
            <w:tcW w:w="2643" w:type="pct"/>
          </w:tcPr>
          <w:p w14:paraId="1996A700" w14:textId="44773FAB" w:rsidR="007E29AA" w:rsidRPr="00F85CA6" w:rsidRDefault="007E29AA" w:rsidP="00FC0882">
            <w:pPr>
              <w:jc w:val="center"/>
              <w:rPr>
                <w:rFonts w:eastAsia="Calibri"/>
                <w:sz w:val="22"/>
                <w:szCs w:val="22"/>
                <w:lang w:val="sr-Latn-ME"/>
              </w:rPr>
            </w:pPr>
            <w:r w:rsidRPr="00F85CA6">
              <w:rPr>
                <w:rFonts w:eastAsia="Calibri"/>
                <w:sz w:val="22"/>
                <w:szCs w:val="22"/>
                <w:lang w:val="sr-Latn-ME"/>
              </w:rPr>
              <w:t>nepoznat</w:t>
            </w:r>
            <w:r w:rsidR="00FC0882" w:rsidRPr="00F85CA6">
              <w:rPr>
                <w:rFonts w:eastAsia="Calibri"/>
                <w:sz w:val="22"/>
                <w:szCs w:val="22"/>
                <w:lang w:val="sr-Latn-ME"/>
              </w:rPr>
              <w:t>o</w:t>
            </w:r>
          </w:p>
        </w:tc>
      </w:tr>
      <w:tr w:rsidR="007E29AA" w:rsidRPr="00F85CA6" w14:paraId="28A268E3" w14:textId="77777777" w:rsidTr="001239C3">
        <w:trPr>
          <w:trHeight w:val="20"/>
          <w:jc w:val="center"/>
        </w:trPr>
        <w:tc>
          <w:tcPr>
            <w:tcW w:w="2357" w:type="pct"/>
          </w:tcPr>
          <w:p w14:paraId="3CED6875" w14:textId="77777777" w:rsidR="007E29AA" w:rsidRPr="00F85CA6" w:rsidRDefault="007E29AA" w:rsidP="007E29AA">
            <w:pPr>
              <w:ind w:firstLine="196"/>
              <w:rPr>
                <w:rFonts w:eastAsia="Calibri"/>
                <w:sz w:val="22"/>
                <w:szCs w:val="22"/>
                <w:lang w:val="sr-Latn-ME"/>
              </w:rPr>
            </w:pPr>
            <w:r w:rsidRPr="00F85CA6">
              <w:rPr>
                <w:rFonts w:eastAsia="Calibri"/>
                <w:sz w:val="22"/>
                <w:szCs w:val="22"/>
                <w:lang w:val="sr-Latn-ME"/>
              </w:rPr>
              <w:t>Angioedem</w:t>
            </w:r>
          </w:p>
        </w:tc>
        <w:tc>
          <w:tcPr>
            <w:tcW w:w="2643" w:type="pct"/>
          </w:tcPr>
          <w:p w14:paraId="7ACD14C3" w14:textId="2DD265CE" w:rsidR="007E29AA" w:rsidRPr="00F85CA6" w:rsidRDefault="007E29AA" w:rsidP="00FC0882">
            <w:pPr>
              <w:jc w:val="center"/>
              <w:rPr>
                <w:rFonts w:eastAsia="Calibri"/>
                <w:sz w:val="22"/>
                <w:szCs w:val="22"/>
                <w:lang w:val="sr-Latn-ME"/>
              </w:rPr>
            </w:pPr>
            <w:r w:rsidRPr="00F85CA6">
              <w:rPr>
                <w:rFonts w:eastAsia="Calibri"/>
                <w:sz w:val="22"/>
                <w:szCs w:val="22"/>
                <w:lang w:val="sr-Latn-ME"/>
              </w:rPr>
              <w:t>nepoznat</w:t>
            </w:r>
            <w:r w:rsidR="00FC0882" w:rsidRPr="00F85CA6">
              <w:rPr>
                <w:rFonts w:eastAsia="Calibri"/>
                <w:sz w:val="22"/>
                <w:szCs w:val="22"/>
                <w:lang w:val="sr-Latn-ME"/>
              </w:rPr>
              <w:t>o</w:t>
            </w:r>
          </w:p>
        </w:tc>
      </w:tr>
      <w:tr w:rsidR="007E29AA" w:rsidRPr="00F85CA6" w14:paraId="0C77D235" w14:textId="77777777" w:rsidTr="001239C3">
        <w:trPr>
          <w:trHeight w:val="20"/>
          <w:jc w:val="center"/>
        </w:trPr>
        <w:tc>
          <w:tcPr>
            <w:tcW w:w="2357" w:type="pct"/>
          </w:tcPr>
          <w:p w14:paraId="799EA39A" w14:textId="77777777" w:rsidR="007E29AA" w:rsidRPr="00F85CA6" w:rsidRDefault="007E29AA" w:rsidP="007E29AA">
            <w:pPr>
              <w:ind w:firstLine="196"/>
              <w:rPr>
                <w:rFonts w:eastAsia="Calibri"/>
                <w:sz w:val="22"/>
                <w:szCs w:val="22"/>
                <w:lang w:val="sr-Latn-ME"/>
              </w:rPr>
            </w:pPr>
            <w:r w:rsidRPr="00F85CA6">
              <w:rPr>
                <w:rFonts w:eastAsia="Calibri"/>
                <w:sz w:val="22"/>
                <w:szCs w:val="22"/>
                <w:lang w:val="sr-Latn-ME"/>
              </w:rPr>
              <w:t>Urtikarija</w:t>
            </w:r>
          </w:p>
        </w:tc>
        <w:tc>
          <w:tcPr>
            <w:tcW w:w="2643" w:type="pct"/>
          </w:tcPr>
          <w:p w14:paraId="55F754AA"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često</w:t>
            </w:r>
          </w:p>
        </w:tc>
      </w:tr>
      <w:tr w:rsidR="007E29AA" w:rsidRPr="00F85CA6" w14:paraId="26986B11" w14:textId="77777777" w:rsidTr="001239C3">
        <w:trPr>
          <w:trHeight w:val="20"/>
          <w:jc w:val="center"/>
        </w:trPr>
        <w:tc>
          <w:tcPr>
            <w:tcW w:w="2357" w:type="pct"/>
          </w:tcPr>
          <w:p w14:paraId="6BC7E390" w14:textId="77777777" w:rsidR="007E29AA" w:rsidRPr="00F85CA6" w:rsidRDefault="007E29AA" w:rsidP="007E29AA">
            <w:pPr>
              <w:ind w:firstLine="196"/>
              <w:rPr>
                <w:rFonts w:eastAsia="Calibri"/>
                <w:sz w:val="22"/>
                <w:szCs w:val="22"/>
                <w:lang w:val="sr-Latn-ME"/>
              </w:rPr>
            </w:pPr>
            <w:r w:rsidRPr="00F85CA6">
              <w:rPr>
                <w:rFonts w:eastAsia="Calibri"/>
                <w:sz w:val="22"/>
                <w:szCs w:val="22"/>
                <w:lang w:val="sr-Latn-ME"/>
              </w:rPr>
              <w:t>Bronhospazam</w:t>
            </w:r>
          </w:p>
        </w:tc>
        <w:tc>
          <w:tcPr>
            <w:tcW w:w="2643" w:type="pct"/>
          </w:tcPr>
          <w:p w14:paraId="6E7200DF" w14:textId="7B984BC6" w:rsidR="007E29AA" w:rsidRPr="00F85CA6" w:rsidRDefault="007E29AA" w:rsidP="00FC0882">
            <w:pPr>
              <w:jc w:val="center"/>
              <w:rPr>
                <w:rFonts w:eastAsia="Calibri"/>
                <w:sz w:val="22"/>
                <w:szCs w:val="22"/>
                <w:lang w:val="sr-Latn-ME"/>
              </w:rPr>
            </w:pPr>
            <w:r w:rsidRPr="00F85CA6">
              <w:rPr>
                <w:rFonts w:eastAsia="Calibri"/>
                <w:sz w:val="22"/>
                <w:szCs w:val="22"/>
                <w:lang w:val="sr-Latn-ME"/>
              </w:rPr>
              <w:t>nepoznat</w:t>
            </w:r>
            <w:r w:rsidR="00FC0882" w:rsidRPr="00F85CA6">
              <w:rPr>
                <w:rFonts w:eastAsia="Calibri"/>
                <w:sz w:val="22"/>
                <w:szCs w:val="22"/>
                <w:lang w:val="sr-Latn-ME"/>
              </w:rPr>
              <w:t>o</w:t>
            </w:r>
          </w:p>
        </w:tc>
      </w:tr>
      <w:tr w:rsidR="007E29AA" w:rsidRPr="00F85CA6" w14:paraId="5F276225" w14:textId="77777777" w:rsidTr="001239C3">
        <w:trPr>
          <w:trHeight w:val="20"/>
          <w:jc w:val="center"/>
        </w:trPr>
        <w:tc>
          <w:tcPr>
            <w:tcW w:w="5000" w:type="pct"/>
            <w:gridSpan w:val="2"/>
          </w:tcPr>
          <w:p w14:paraId="40502EFC" w14:textId="77777777" w:rsidR="007E29AA" w:rsidRPr="00F85CA6" w:rsidRDefault="007E29AA" w:rsidP="007E29AA">
            <w:pPr>
              <w:rPr>
                <w:rFonts w:eastAsia="Calibri"/>
                <w:sz w:val="22"/>
                <w:szCs w:val="22"/>
                <w:lang w:val="sr-Latn-ME"/>
              </w:rPr>
            </w:pPr>
            <w:r w:rsidRPr="00F85CA6">
              <w:rPr>
                <w:rFonts w:eastAsia="Calibri"/>
                <w:sz w:val="22"/>
                <w:szCs w:val="22"/>
                <w:lang w:val="sr-Latn-ME"/>
              </w:rPr>
              <w:t>Poremećaji nervnog sistema</w:t>
            </w:r>
          </w:p>
        </w:tc>
      </w:tr>
      <w:tr w:rsidR="007E29AA" w:rsidRPr="00F85CA6" w14:paraId="5369EC7A" w14:textId="77777777" w:rsidTr="001239C3">
        <w:trPr>
          <w:trHeight w:val="20"/>
          <w:jc w:val="center"/>
        </w:trPr>
        <w:tc>
          <w:tcPr>
            <w:tcW w:w="2357" w:type="pct"/>
          </w:tcPr>
          <w:p w14:paraId="04ED152A" w14:textId="77777777" w:rsidR="007E29AA" w:rsidRPr="00F85CA6" w:rsidRDefault="007E29AA" w:rsidP="007E29AA">
            <w:pPr>
              <w:ind w:firstLine="196"/>
              <w:rPr>
                <w:rFonts w:eastAsia="Calibri"/>
                <w:sz w:val="22"/>
                <w:szCs w:val="22"/>
                <w:lang w:val="sr-Latn-ME"/>
              </w:rPr>
            </w:pPr>
            <w:r w:rsidRPr="00F85CA6">
              <w:rPr>
                <w:rFonts w:eastAsia="Calibri"/>
                <w:sz w:val="22"/>
                <w:szCs w:val="22"/>
                <w:lang w:val="sr-Latn-ME"/>
              </w:rPr>
              <w:t>Intrakranijalno krvarenje</w:t>
            </w:r>
          </w:p>
        </w:tc>
        <w:tc>
          <w:tcPr>
            <w:tcW w:w="2643" w:type="pct"/>
          </w:tcPr>
          <w:p w14:paraId="16519911"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povremeno</w:t>
            </w:r>
          </w:p>
        </w:tc>
      </w:tr>
      <w:tr w:rsidR="007E29AA" w:rsidRPr="00F85CA6" w14:paraId="5CFC5839" w14:textId="77777777" w:rsidTr="001239C3">
        <w:trPr>
          <w:trHeight w:val="20"/>
          <w:jc w:val="center"/>
        </w:trPr>
        <w:tc>
          <w:tcPr>
            <w:tcW w:w="5000" w:type="pct"/>
            <w:gridSpan w:val="2"/>
          </w:tcPr>
          <w:p w14:paraId="21A1F337" w14:textId="77777777" w:rsidR="007E29AA" w:rsidRPr="00F85CA6" w:rsidRDefault="007E29AA" w:rsidP="007E29AA">
            <w:pPr>
              <w:rPr>
                <w:rFonts w:eastAsia="Calibri"/>
                <w:sz w:val="22"/>
                <w:szCs w:val="22"/>
                <w:lang w:val="sr-Latn-ME"/>
              </w:rPr>
            </w:pPr>
            <w:r w:rsidRPr="00F85CA6">
              <w:rPr>
                <w:rFonts w:eastAsia="Calibri"/>
                <w:sz w:val="22"/>
                <w:szCs w:val="22"/>
                <w:lang w:val="sr-Latn-ME"/>
              </w:rPr>
              <w:t>Vaskularni poremećaji</w:t>
            </w:r>
          </w:p>
        </w:tc>
      </w:tr>
      <w:tr w:rsidR="007E29AA" w:rsidRPr="00F85CA6" w14:paraId="2E0993DC" w14:textId="77777777" w:rsidTr="001239C3">
        <w:trPr>
          <w:trHeight w:val="20"/>
          <w:jc w:val="center"/>
        </w:trPr>
        <w:tc>
          <w:tcPr>
            <w:tcW w:w="2357" w:type="pct"/>
          </w:tcPr>
          <w:p w14:paraId="57D17B57" w14:textId="77777777" w:rsidR="007E29AA" w:rsidRPr="00F85CA6" w:rsidRDefault="007E29AA" w:rsidP="007E29AA">
            <w:pPr>
              <w:ind w:firstLine="196"/>
              <w:rPr>
                <w:rFonts w:eastAsia="Calibri"/>
                <w:sz w:val="22"/>
                <w:szCs w:val="22"/>
                <w:lang w:val="sr-Latn-ME"/>
              </w:rPr>
            </w:pPr>
            <w:r w:rsidRPr="00F85CA6">
              <w:rPr>
                <w:rFonts w:eastAsia="Calibri"/>
                <w:sz w:val="22"/>
                <w:szCs w:val="22"/>
                <w:lang w:val="sr-Latn-ME"/>
              </w:rPr>
              <w:t>Hematom</w:t>
            </w:r>
          </w:p>
        </w:tc>
        <w:tc>
          <w:tcPr>
            <w:tcW w:w="2643" w:type="pct"/>
          </w:tcPr>
          <w:p w14:paraId="1A75A362"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često</w:t>
            </w:r>
          </w:p>
        </w:tc>
      </w:tr>
      <w:tr w:rsidR="007E29AA" w:rsidRPr="00F85CA6" w14:paraId="197ADD2A" w14:textId="77777777" w:rsidTr="001239C3">
        <w:trPr>
          <w:trHeight w:val="20"/>
          <w:jc w:val="center"/>
        </w:trPr>
        <w:tc>
          <w:tcPr>
            <w:tcW w:w="2357" w:type="pct"/>
          </w:tcPr>
          <w:p w14:paraId="407A2DAC" w14:textId="77777777" w:rsidR="007E29AA" w:rsidRPr="00F85CA6" w:rsidRDefault="007E29AA" w:rsidP="007E29AA">
            <w:pPr>
              <w:ind w:firstLine="196"/>
              <w:rPr>
                <w:rFonts w:eastAsia="Calibri"/>
                <w:sz w:val="22"/>
                <w:szCs w:val="22"/>
                <w:lang w:val="sr-Latn-ME"/>
              </w:rPr>
            </w:pPr>
            <w:r w:rsidRPr="00F85CA6">
              <w:rPr>
                <w:rFonts w:eastAsia="Calibri"/>
                <w:sz w:val="22"/>
                <w:szCs w:val="22"/>
                <w:lang w:val="sr-Latn-ME"/>
              </w:rPr>
              <w:t>Krvarenje</w:t>
            </w:r>
          </w:p>
        </w:tc>
        <w:tc>
          <w:tcPr>
            <w:tcW w:w="2643" w:type="pct"/>
          </w:tcPr>
          <w:p w14:paraId="2A36F5A7" w14:textId="1C9FF71F" w:rsidR="007E29AA" w:rsidRPr="00F85CA6" w:rsidRDefault="007E29AA" w:rsidP="00FC0882">
            <w:pPr>
              <w:jc w:val="center"/>
              <w:rPr>
                <w:rFonts w:eastAsia="Calibri"/>
                <w:sz w:val="22"/>
                <w:szCs w:val="22"/>
                <w:lang w:val="sr-Latn-ME"/>
              </w:rPr>
            </w:pPr>
            <w:r w:rsidRPr="00F85CA6">
              <w:rPr>
                <w:rFonts w:eastAsia="Calibri"/>
                <w:sz w:val="22"/>
                <w:szCs w:val="22"/>
                <w:lang w:val="sr-Latn-ME"/>
              </w:rPr>
              <w:t>nepoznat</w:t>
            </w:r>
            <w:r w:rsidR="00FC0882" w:rsidRPr="00F85CA6">
              <w:rPr>
                <w:rFonts w:eastAsia="Calibri"/>
                <w:sz w:val="22"/>
                <w:szCs w:val="22"/>
                <w:lang w:val="sr-Latn-ME"/>
              </w:rPr>
              <w:t>o</w:t>
            </w:r>
          </w:p>
        </w:tc>
      </w:tr>
      <w:tr w:rsidR="007E29AA" w:rsidRPr="00F85CA6" w14:paraId="5DD69849" w14:textId="77777777" w:rsidTr="001239C3">
        <w:trPr>
          <w:trHeight w:val="20"/>
          <w:jc w:val="center"/>
        </w:trPr>
        <w:tc>
          <w:tcPr>
            <w:tcW w:w="5000" w:type="pct"/>
            <w:gridSpan w:val="2"/>
          </w:tcPr>
          <w:p w14:paraId="19835167" w14:textId="77777777" w:rsidR="007E29AA" w:rsidRPr="00F85CA6" w:rsidRDefault="007E29AA" w:rsidP="007E29AA">
            <w:pPr>
              <w:rPr>
                <w:rFonts w:eastAsia="Calibri"/>
                <w:sz w:val="22"/>
                <w:szCs w:val="22"/>
                <w:lang w:val="sr-Latn-ME"/>
              </w:rPr>
            </w:pPr>
            <w:r w:rsidRPr="00F85CA6">
              <w:rPr>
                <w:rFonts w:eastAsia="Calibri"/>
                <w:sz w:val="22"/>
                <w:szCs w:val="22"/>
                <w:lang w:val="sr-Latn-ME"/>
              </w:rPr>
              <w:t>Respiratorni, torakalni i medijastinalni poremećaji</w:t>
            </w:r>
          </w:p>
        </w:tc>
      </w:tr>
      <w:tr w:rsidR="007E29AA" w:rsidRPr="00F85CA6" w14:paraId="12EB09C9" w14:textId="77777777" w:rsidTr="001239C3">
        <w:trPr>
          <w:trHeight w:val="20"/>
          <w:jc w:val="center"/>
        </w:trPr>
        <w:tc>
          <w:tcPr>
            <w:tcW w:w="2357" w:type="pct"/>
          </w:tcPr>
          <w:p w14:paraId="0C9D0762" w14:textId="77777777" w:rsidR="007E29AA" w:rsidRPr="00F85CA6" w:rsidRDefault="007E29AA" w:rsidP="007E29AA">
            <w:pPr>
              <w:ind w:firstLine="196"/>
              <w:rPr>
                <w:rFonts w:eastAsia="Calibri"/>
                <w:sz w:val="22"/>
                <w:szCs w:val="22"/>
                <w:lang w:val="sr-Latn-ME"/>
              </w:rPr>
            </w:pPr>
            <w:r w:rsidRPr="00F85CA6">
              <w:rPr>
                <w:rFonts w:eastAsia="Calibri"/>
                <w:sz w:val="22"/>
                <w:szCs w:val="22"/>
                <w:lang w:val="sr-Latn-ME"/>
              </w:rPr>
              <w:t>Epistaksa</w:t>
            </w:r>
          </w:p>
        </w:tc>
        <w:tc>
          <w:tcPr>
            <w:tcW w:w="2643" w:type="pct"/>
          </w:tcPr>
          <w:p w14:paraId="7F30EC6D"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često</w:t>
            </w:r>
          </w:p>
        </w:tc>
      </w:tr>
      <w:tr w:rsidR="007E29AA" w:rsidRPr="00F85CA6" w14:paraId="41BE36E9" w14:textId="77777777" w:rsidTr="001239C3">
        <w:trPr>
          <w:trHeight w:val="20"/>
          <w:jc w:val="center"/>
        </w:trPr>
        <w:tc>
          <w:tcPr>
            <w:tcW w:w="2357" w:type="pct"/>
          </w:tcPr>
          <w:p w14:paraId="5DE324FB" w14:textId="77777777" w:rsidR="007E29AA" w:rsidRPr="00F85CA6" w:rsidRDefault="007E29AA" w:rsidP="007E29AA">
            <w:pPr>
              <w:ind w:firstLine="196"/>
              <w:rPr>
                <w:rFonts w:eastAsia="Calibri"/>
                <w:sz w:val="22"/>
                <w:szCs w:val="22"/>
                <w:lang w:val="sr-Latn-ME"/>
              </w:rPr>
            </w:pPr>
            <w:r w:rsidRPr="00F85CA6">
              <w:rPr>
                <w:rFonts w:eastAsia="Calibri"/>
                <w:sz w:val="22"/>
                <w:szCs w:val="22"/>
                <w:lang w:val="sr-Latn-ME"/>
              </w:rPr>
              <w:t>Hemoptiza</w:t>
            </w:r>
          </w:p>
        </w:tc>
        <w:tc>
          <w:tcPr>
            <w:tcW w:w="2643" w:type="pct"/>
          </w:tcPr>
          <w:p w14:paraId="6E0E9D87"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povremeno</w:t>
            </w:r>
          </w:p>
        </w:tc>
      </w:tr>
      <w:tr w:rsidR="007E29AA" w:rsidRPr="00F85CA6" w14:paraId="65A8E4AB" w14:textId="77777777" w:rsidTr="001239C3">
        <w:trPr>
          <w:trHeight w:val="20"/>
          <w:jc w:val="center"/>
        </w:trPr>
        <w:tc>
          <w:tcPr>
            <w:tcW w:w="5000" w:type="pct"/>
            <w:gridSpan w:val="2"/>
          </w:tcPr>
          <w:p w14:paraId="394D4DA7" w14:textId="77777777" w:rsidR="007E29AA" w:rsidRPr="00F85CA6" w:rsidRDefault="007E29AA" w:rsidP="007E29AA">
            <w:pPr>
              <w:rPr>
                <w:rFonts w:eastAsia="Calibri"/>
                <w:sz w:val="22"/>
                <w:szCs w:val="22"/>
                <w:lang w:val="sr-Latn-ME"/>
              </w:rPr>
            </w:pPr>
            <w:r w:rsidRPr="00F85CA6">
              <w:rPr>
                <w:rFonts w:eastAsia="Calibri"/>
                <w:sz w:val="22"/>
                <w:szCs w:val="22"/>
                <w:lang w:val="sr-Latn-ME"/>
              </w:rPr>
              <w:t>Gastrointestinalni poremećaji</w:t>
            </w:r>
          </w:p>
        </w:tc>
      </w:tr>
      <w:tr w:rsidR="007E29AA" w:rsidRPr="00F85CA6" w14:paraId="05F7B95B" w14:textId="77777777" w:rsidTr="001239C3">
        <w:trPr>
          <w:trHeight w:val="20"/>
          <w:jc w:val="center"/>
        </w:trPr>
        <w:tc>
          <w:tcPr>
            <w:tcW w:w="2357" w:type="pct"/>
          </w:tcPr>
          <w:p w14:paraId="1B596EA2" w14:textId="77777777" w:rsidR="007E29AA" w:rsidRPr="00F85CA6" w:rsidRDefault="007E29AA" w:rsidP="007E29AA">
            <w:pPr>
              <w:ind w:left="196"/>
              <w:rPr>
                <w:rFonts w:eastAsia="Calibri"/>
                <w:sz w:val="22"/>
                <w:szCs w:val="22"/>
                <w:lang w:val="sr-Latn-ME"/>
              </w:rPr>
            </w:pPr>
            <w:r w:rsidRPr="00F85CA6">
              <w:rPr>
                <w:rFonts w:eastAsia="Calibri"/>
                <w:sz w:val="22"/>
                <w:szCs w:val="22"/>
                <w:lang w:val="sr-Latn-ME"/>
              </w:rPr>
              <w:t>Gastrointestinalno krvarenje</w:t>
            </w:r>
          </w:p>
        </w:tc>
        <w:tc>
          <w:tcPr>
            <w:tcW w:w="2643" w:type="pct"/>
          </w:tcPr>
          <w:p w14:paraId="50F5EFA7"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povremeno</w:t>
            </w:r>
          </w:p>
        </w:tc>
      </w:tr>
      <w:tr w:rsidR="007E29AA" w:rsidRPr="00F85CA6" w14:paraId="05A7BCF5" w14:textId="77777777" w:rsidTr="001239C3">
        <w:trPr>
          <w:trHeight w:val="20"/>
          <w:jc w:val="center"/>
        </w:trPr>
        <w:tc>
          <w:tcPr>
            <w:tcW w:w="2357" w:type="pct"/>
          </w:tcPr>
          <w:p w14:paraId="0B8E89D1" w14:textId="77777777" w:rsidR="007E29AA" w:rsidRPr="00F85CA6" w:rsidRDefault="007E29AA" w:rsidP="007E29AA">
            <w:pPr>
              <w:ind w:left="196"/>
              <w:rPr>
                <w:rFonts w:eastAsia="Calibri"/>
                <w:sz w:val="22"/>
                <w:szCs w:val="22"/>
                <w:lang w:val="sr-Latn-ME"/>
              </w:rPr>
            </w:pPr>
            <w:r w:rsidRPr="00F85CA6">
              <w:rPr>
                <w:rFonts w:eastAsia="Calibri"/>
                <w:sz w:val="22"/>
                <w:szCs w:val="22"/>
                <w:lang w:val="sr-Latn-ME"/>
              </w:rPr>
              <w:t>Bol u abdomenu</w:t>
            </w:r>
          </w:p>
        </w:tc>
        <w:tc>
          <w:tcPr>
            <w:tcW w:w="2643" w:type="pct"/>
          </w:tcPr>
          <w:p w14:paraId="7649BB6A"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povremeno</w:t>
            </w:r>
          </w:p>
        </w:tc>
      </w:tr>
      <w:tr w:rsidR="007E29AA" w:rsidRPr="00F85CA6" w14:paraId="3A468FC5" w14:textId="77777777" w:rsidTr="001239C3">
        <w:trPr>
          <w:trHeight w:val="20"/>
          <w:jc w:val="center"/>
        </w:trPr>
        <w:tc>
          <w:tcPr>
            <w:tcW w:w="2357" w:type="pct"/>
          </w:tcPr>
          <w:p w14:paraId="0F08C8C4" w14:textId="77777777" w:rsidR="007E29AA" w:rsidRPr="00F85CA6" w:rsidRDefault="007E29AA" w:rsidP="007E29AA">
            <w:pPr>
              <w:ind w:left="196"/>
              <w:rPr>
                <w:rFonts w:eastAsia="Calibri"/>
                <w:sz w:val="22"/>
                <w:szCs w:val="22"/>
                <w:lang w:val="sr-Latn-ME"/>
              </w:rPr>
            </w:pPr>
            <w:r w:rsidRPr="00F85CA6">
              <w:rPr>
                <w:rFonts w:eastAsia="Calibri"/>
                <w:sz w:val="22"/>
                <w:szCs w:val="22"/>
                <w:lang w:val="sr-Latn-ME"/>
              </w:rPr>
              <w:t>Dijareja</w:t>
            </w:r>
          </w:p>
        </w:tc>
        <w:tc>
          <w:tcPr>
            <w:tcW w:w="2643" w:type="pct"/>
          </w:tcPr>
          <w:p w14:paraId="5F0ABECC"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često</w:t>
            </w:r>
          </w:p>
        </w:tc>
      </w:tr>
      <w:tr w:rsidR="007E29AA" w:rsidRPr="00F85CA6" w14:paraId="7280FE0B" w14:textId="77777777" w:rsidTr="001239C3">
        <w:trPr>
          <w:trHeight w:val="20"/>
          <w:jc w:val="center"/>
        </w:trPr>
        <w:tc>
          <w:tcPr>
            <w:tcW w:w="2357" w:type="pct"/>
          </w:tcPr>
          <w:p w14:paraId="4006557A" w14:textId="77777777" w:rsidR="007E29AA" w:rsidRPr="00F85CA6" w:rsidRDefault="007E29AA" w:rsidP="007E29AA">
            <w:pPr>
              <w:ind w:left="196"/>
              <w:rPr>
                <w:rFonts w:eastAsia="Calibri"/>
                <w:sz w:val="22"/>
                <w:szCs w:val="22"/>
                <w:lang w:val="sr-Latn-ME"/>
              </w:rPr>
            </w:pPr>
            <w:r w:rsidRPr="00F85CA6">
              <w:rPr>
                <w:rFonts w:eastAsia="Calibri"/>
                <w:sz w:val="22"/>
                <w:szCs w:val="22"/>
                <w:lang w:val="sr-Latn-ME"/>
              </w:rPr>
              <w:t>Dispepsija</w:t>
            </w:r>
          </w:p>
        </w:tc>
        <w:tc>
          <w:tcPr>
            <w:tcW w:w="2643" w:type="pct"/>
          </w:tcPr>
          <w:p w14:paraId="4E0A0C26"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često</w:t>
            </w:r>
          </w:p>
        </w:tc>
      </w:tr>
      <w:tr w:rsidR="007E29AA" w:rsidRPr="00F85CA6" w14:paraId="4ACE3652" w14:textId="77777777" w:rsidTr="001239C3">
        <w:trPr>
          <w:trHeight w:val="20"/>
          <w:jc w:val="center"/>
        </w:trPr>
        <w:tc>
          <w:tcPr>
            <w:tcW w:w="2357" w:type="pct"/>
          </w:tcPr>
          <w:p w14:paraId="599EEFF2" w14:textId="77777777" w:rsidR="007E29AA" w:rsidRPr="00F85CA6" w:rsidRDefault="007E29AA" w:rsidP="007E29AA">
            <w:pPr>
              <w:ind w:left="196"/>
              <w:rPr>
                <w:rFonts w:eastAsia="Calibri"/>
                <w:sz w:val="22"/>
                <w:szCs w:val="22"/>
                <w:lang w:val="sr-Latn-ME"/>
              </w:rPr>
            </w:pPr>
            <w:r w:rsidRPr="00F85CA6">
              <w:rPr>
                <w:rFonts w:eastAsia="Calibri"/>
                <w:sz w:val="22"/>
                <w:szCs w:val="22"/>
                <w:lang w:val="sr-Latn-ME"/>
              </w:rPr>
              <w:t>Mučnina</w:t>
            </w:r>
          </w:p>
        </w:tc>
        <w:tc>
          <w:tcPr>
            <w:tcW w:w="2643" w:type="pct"/>
          </w:tcPr>
          <w:p w14:paraId="4167EBCF"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često</w:t>
            </w:r>
          </w:p>
        </w:tc>
      </w:tr>
      <w:tr w:rsidR="007E29AA" w:rsidRPr="00F85CA6" w14:paraId="3335FCE9" w14:textId="77777777" w:rsidTr="001239C3">
        <w:trPr>
          <w:trHeight w:val="20"/>
          <w:jc w:val="center"/>
        </w:trPr>
        <w:tc>
          <w:tcPr>
            <w:tcW w:w="2357" w:type="pct"/>
          </w:tcPr>
          <w:p w14:paraId="6406C4A0" w14:textId="77777777" w:rsidR="007E29AA" w:rsidRPr="00F85CA6" w:rsidRDefault="007E29AA" w:rsidP="007E29AA">
            <w:pPr>
              <w:ind w:left="196"/>
              <w:rPr>
                <w:rFonts w:eastAsia="Calibri"/>
                <w:sz w:val="22"/>
                <w:szCs w:val="22"/>
                <w:lang w:val="sr-Latn-ME"/>
              </w:rPr>
            </w:pPr>
            <w:r w:rsidRPr="00F85CA6">
              <w:rPr>
                <w:rFonts w:eastAsia="Calibri"/>
                <w:sz w:val="22"/>
                <w:szCs w:val="22"/>
                <w:lang w:val="sr-Latn-ME"/>
              </w:rPr>
              <w:t>Rektalno krvarenje</w:t>
            </w:r>
          </w:p>
        </w:tc>
        <w:tc>
          <w:tcPr>
            <w:tcW w:w="2643" w:type="pct"/>
          </w:tcPr>
          <w:p w14:paraId="72B209FC"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povremeno</w:t>
            </w:r>
          </w:p>
        </w:tc>
      </w:tr>
      <w:tr w:rsidR="007E29AA" w:rsidRPr="00F85CA6" w14:paraId="287E5135" w14:textId="77777777" w:rsidTr="001239C3">
        <w:trPr>
          <w:trHeight w:val="20"/>
          <w:jc w:val="center"/>
        </w:trPr>
        <w:tc>
          <w:tcPr>
            <w:tcW w:w="2357" w:type="pct"/>
          </w:tcPr>
          <w:p w14:paraId="393453EE" w14:textId="77777777" w:rsidR="007E29AA" w:rsidRPr="00F85CA6" w:rsidRDefault="007E29AA" w:rsidP="007E29AA">
            <w:pPr>
              <w:ind w:left="196"/>
              <w:rPr>
                <w:rFonts w:eastAsia="Calibri"/>
                <w:sz w:val="22"/>
                <w:szCs w:val="22"/>
                <w:lang w:val="sr-Latn-ME"/>
              </w:rPr>
            </w:pPr>
            <w:r w:rsidRPr="00F85CA6">
              <w:rPr>
                <w:rFonts w:eastAsia="Calibri"/>
                <w:sz w:val="22"/>
                <w:szCs w:val="22"/>
                <w:lang w:val="sr-Latn-ME"/>
              </w:rPr>
              <w:t>Hemoroidalno krvarenje</w:t>
            </w:r>
          </w:p>
        </w:tc>
        <w:tc>
          <w:tcPr>
            <w:tcW w:w="2643" w:type="pct"/>
          </w:tcPr>
          <w:p w14:paraId="2784B0C6" w14:textId="3FD83468" w:rsidR="007E29AA" w:rsidRPr="00F85CA6" w:rsidRDefault="007E29AA" w:rsidP="00FC0882">
            <w:pPr>
              <w:jc w:val="center"/>
              <w:rPr>
                <w:rFonts w:eastAsia="Calibri"/>
                <w:sz w:val="22"/>
                <w:szCs w:val="22"/>
                <w:lang w:val="sr-Latn-ME"/>
              </w:rPr>
            </w:pPr>
            <w:r w:rsidRPr="00F85CA6">
              <w:rPr>
                <w:rFonts w:eastAsia="Calibri"/>
                <w:sz w:val="22"/>
                <w:szCs w:val="22"/>
                <w:lang w:val="sr-Latn-ME"/>
              </w:rPr>
              <w:t>nepoznat</w:t>
            </w:r>
            <w:r w:rsidR="00FC0882" w:rsidRPr="00F85CA6">
              <w:rPr>
                <w:rFonts w:eastAsia="Calibri"/>
                <w:sz w:val="22"/>
                <w:szCs w:val="22"/>
                <w:lang w:val="sr-Latn-ME"/>
              </w:rPr>
              <w:t>o</w:t>
            </w:r>
          </w:p>
        </w:tc>
      </w:tr>
      <w:tr w:rsidR="007E29AA" w:rsidRPr="00F85CA6" w14:paraId="708D8D7F" w14:textId="77777777" w:rsidTr="001239C3">
        <w:trPr>
          <w:trHeight w:val="20"/>
          <w:jc w:val="center"/>
        </w:trPr>
        <w:tc>
          <w:tcPr>
            <w:tcW w:w="2357" w:type="pct"/>
          </w:tcPr>
          <w:p w14:paraId="10FE175A" w14:textId="77777777" w:rsidR="007E29AA" w:rsidRPr="00F85CA6" w:rsidRDefault="007E29AA" w:rsidP="007E29AA">
            <w:pPr>
              <w:ind w:left="196"/>
              <w:rPr>
                <w:rFonts w:eastAsia="Calibri"/>
                <w:sz w:val="22"/>
                <w:szCs w:val="22"/>
                <w:lang w:val="sr-Latn-ME"/>
              </w:rPr>
            </w:pPr>
            <w:r w:rsidRPr="00F85CA6">
              <w:rPr>
                <w:rFonts w:eastAsia="Calibri"/>
                <w:sz w:val="22"/>
                <w:szCs w:val="22"/>
                <w:lang w:val="sr-Latn-ME"/>
              </w:rPr>
              <w:t>Gastrointestinalni ulkus, uključujući ezofagealni ulkus</w:t>
            </w:r>
          </w:p>
        </w:tc>
        <w:tc>
          <w:tcPr>
            <w:tcW w:w="2643" w:type="pct"/>
          </w:tcPr>
          <w:p w14:paraId="7ED29AE7" w14:textId="645F52F2" w:rsidR="007E29AA" w:rsidRPr="00F85CA6" w:rsidRDefault="007E29AA" w:rsidP="00FC0882">
            <w:pPr>
              <w:jc w:val="center"/>
              <w:rPr>
                <w:rFonts w:eastAsia="Calibri"/>
                <w:sz w:val="22"/>
                <w:szCs w:val="22"/>
                <w:lang w:val="sr-Latn-ME"/>
              </w:rPr>
            </w:pPr>
            <w:r w:rsidRPr="00F85CA6">
              <w:rPr>
                <w:rFonts w:eastAsia="Calibri"/>
                <w:sz w:val="22"/>
                <w:szCs w:val="22"/>
                <w:lang w:val="sr-Latn-ME"/>
              </w:rPr>
              <w:t>nepoznat</w:t>
            </w:r>
            <w:r w:rsidR="00FC0882" w:rsidRPr="00F85CA6">
              <w:rPr>
                <w:rFonts w:eastAsia="Calibri"/>
                <w:sz w:val="22"/>
                <w:szCs w:val="22"/>
                <w:lang w:val="sr-Latn-ME"/>
              </w:rPr>
              <w:t>o</w:t>
            </w:r>
          </w:p>
        </w:tc>
      </w:tr>
      <w:tr w:rsidR="007E29AA" w:rsidRPr="00F85CA6" w14:paraId="6BAA2CFA" w14:textId="77777777" w:rsidTr="001239C3">
        <w:trPr>
          <w:trHeight w:val="20"/>
          <w:jc w:val="center"/>
        </w:trPr>
        <w:tc>
          <w:tcPr>
            <w:tcW w:w="2357" w:type="pct"/>
          </w:tcPr>
          <w:p w14:paraId="017A2B77" w14:textId="77777777" w:rsidR="007E29AA" w:rsidRPr="00F85CA6" w:rsidRDefault="007E29AA" w:rsidP="007E29AA">
            <w:pPr>
              <w:ind w:left="196"/>
              <w:rPr>
                <w:rFonts w:eastAsia="Calibri"/>
                <w:sz w:val="22"/>
                <w:szCs w:val="22"/>
                <w:lang w:val="sr-Latn-ME"/>
              </w:rPr>
            </w:pPr>
            <w:r w:rsidRPr="00F85CA6">
              <w:rPr>
                <w:rFonts w:eastAsia="Calibri"/>
                <w:sz w:val="22"/>
                <w:szCs w:val="22"/>
                <w:lang w:val="sr-Latn-ME"/>
              </w:rPr>
              <w:t xml:space="preserve">Gastroezofagitis </w:t>
            </w:r>
          </w:p>
        </w:tc>
        <w:tc>
          <w:tcPr>
            <w:tcW w:w="2643" w:type="pct"/>
          </w:tcPr>
          <w:p w14:paraId="46E21E1E"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povremeno</w:t>
            </w:r>
          </w:p>
        </w:tc>
      </w:tr>
      <w:tr w:rsidR="007E29AA" w:rsidRPr="00F85CA6" w14:paraId="5DBFE652" w14:textId="77777777" w:rsidTr="001239C3">
        <w:trPr>
          <w:trHeight w:val="20"/>
          <w:jc w:val="center"/>
        </w:trPr>
        <w:tc>
          <w:tcPr>
            <w:tcW w:w="2357" w:type="pct"/>
          </w:tcPr>
          <w:p w14:paraId="7A8C7471" w14:textId="77777777" w:rsidR="007E29AA" w:rsidRPr="00F85CA6" w:rsidRDefault="007E29AA" w:rsidP="007E29AA">
            <w:pPr>
              <w:ind w:left="196"/>
              <w:rPr>
                <w:rFonts w:eastAsia="Calibri"/>
                <w:sz w:val="22"/>
                <w:szCs w:val="22"/>
                <w:lang w:val="sr-Latn-ME"/>
              </w:rPr>
            </w:pPr>
            <w:r w:rsidRPr="00F85CA6">
              <w:rPr>
                <w:rFonts w:eastAsia="Calibri"/>
                <w:sz w:val="22"/>
                <w:szCs w:val="22"/>
                <w:lang w:val="sr-Latn-ME"/>
              </w:rPr>
              <w:t xml:space="preserve">Gastroezofagealna refluksna bolest </w:t>
            </w:r>
          </w:p>
        </w:tc>
        <w:tc>
          <w:tcPr>
            <w:tcW w:w="2643" w:type="pct"/>
          </w:tcPr>
          <w:p w14:paraId="795C1C8B"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često</w:t>
            </w:r>
          </w:p>
        </w:tc>
      </w:tr>
      <w:tr w:rsidR="007E29AA" w:rsidRPr="00F85CA6" w14:paraId="085A399E" w14:textId="77777777" w:rsidTr="001239C3">
        <w:trPr>
          <w:trHeight w:val="20"/>
          <w:jc w:val="center"/>
        </w:trPr>
        <w:tc>
          <w:tcPr>
            <w:tcW w:w="2357" w:type="pct"/>
          </w:tcPr>
          <w:p w14:paraId="25F3D24C" w14:textId="77777777" w:rsidR="007E29AA" w:rsidRPr="00F85CA6" w:rsidRDefault="007E29AA" w:rsidP="007E29AA">
            <w:pPr>
              <w:ind w:left="196"/>
              <w:rPr>
                <w:rFonts w:eastAsia="Calibri"/>
                <w:sz w:val="22"/>
                <w:szCs w:val="22"/>
                <w:lang w:val="sr-Latn-ME"/>
              </w:rPr>
            </w:pPr>
            <w:r w:rsidRPr="00F85CA6">
              <w:rPr>
                <w:rFonts w:eastAsia="Calibri"/>
                <w:sz w:val="22"/>
                <w:szCs w:val="22"/>
                <w:lang w:val="sr-Latn-ME"/>
              </w:rPr>
              <w:t xml:space="preserve">Povraćanje </w:t>
            </w:r>
          </w:p>
        </w:tc>
        <w:tc>
          <w:tcPr>
            <w:tcW w:w="2643" w:type="pct"/>
          </w:tcPr>
          <w:p w14:paraId="15D786C7"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često</w:t>
            </w:r>
          </w:p>
        </w:tc>
      </w:tr>
      <w:tr w:rsidR="007E29AA" w:rsidRPr="00F85CA6" w14:paraId="61019643" w14:textId="77777777" w:rsidTr="001239C3">
        <w:trPr>
          <w:trHeight w:val="20"/>
          <w:jc w:val="center"/>
        </w:trPr>
        <w:tc>
          <w:tcPr>
            <w:tcW w:w="2357" w:type="pct"/>
          </w:tcPr>
          <w:p w14:paraId="08611428" w14:textId="77777777" w:rsidR="007E29AA" w:rsidRPr="00F85CA6" w:rsidRDefault="007E29AA" w:rsidP="007E29AA">
            <w:pPr>
              <w:ind w:left="196"/>
              <w:rPr>
                <w:rFonts w:eastAsia="Calibri"/>
                <w:sz w:val="22"/>
                <w:szCs w:val="22"/>
                <w:lang w:val="sr-Latn-ME"/>
              </w:rPr>
            </w:pPr>
            <w:r w:rsidRPr="00F85CA6">
              <w:rPr>
                <w:rFonts w:eastAsia="Calibri"/>
                <w:sz w:val="22"/>
                <w:szCs w:val="22"/>
                <w:lang w:val="sr-Latn-ME"/>
              </w:rPr>
              <w:t>Disfagija</w:t>
            </w:r>
          </w:p>
        </w:tc>
        <w:tc>
          <w:tcPr>
            <w:tcW w:w="2643" w:type="pct"/>
          </w:tcPr>
          <w:p w14:paraId="0F4EE706"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povremeno</w:t>
            </w:r>
          </w:p>
        </w:tc>
      </w:tr>
      <w:tr w:rsidR="007E29AA" w:rsidRPr="00F85CA6" w14:paraId="1AF0F117" w14:textId="77777777" w:rsidTr="001239C3">
        <w:trPr>
          <w:trHeight w:val="20"/>
          <w:jc w:val="center"/>
        </w:trPr>
        <w:tc>
          <w:tcPr>
            <w:tcW w:w="5000" w:type="pct"/>
            <w:gridSpan w:val="2"/>
          </w:tcPr>
          <w:p w14:paraId="14EE7451" w14:textId="77777777" w:rsidR="007E29AA" w:rsidRPr="00F85CA6" w:rsidRDefault="007E29AA" w:rsidP="007E29AA">
            <w:pPr>
              <w:rPr>
                <w:rFonts w:eastAsia="Calibri"/>
                <w:sz w:val="22"/>
                <w:szCs w:val="22"/>
                <w:lang w:val="sr-Latn-ME"/>
              </w:rPr>
            </w:pPr>
            <w:r w:rsidRPr="00F85CA6">
              <w:rPr>
                <w:rFonts w:eastAsia="Calibri"/>
                <w:sz w:val="22"/>
                <w:szCs w:val="22"/>
                <w:lang w:val="sr-Latn-ME"/>
              </w:rPr>
              <w:t>Hepatobilijarni poremećaji</w:t>
            </w:r>
          </w:p>
        </w:tc>
      </w:tr>
      <w:tr w:rsidR="007E29AA" w:rsidRPr="00F85CA6" w14:paraId="113E8F8D" w14:textId="77777777" w:rsidTr="001239C3">
        <w:trPr>
          <w:trHeight w:val="20"/>
          <w:jc w:val="center"/>
        </w:trPr>
        <w:tc>
          <w:tcPr>
            <w:tcW w:w="2357" w:type="pct"/>
          </w:tcPr>
          <w:p w14:paraId="285DB289" w14:textId="1749B17D" w:rsidR="007E29AA" w:rsidRPr="00F85CA6" w:rsidRDefault="007E29AA" w:rsidP="007E29AA">
            <w:pPr>
              <w:ind w:left="196"/>
              <w:rPr>
                <w:rFonts w:eastAsia="Calibri"/>
                <w:sz w:val="22"/>
                <w:szCs w:val="22"/>
                <w:lang w:val="sr-Latn-ME"/>
              </w:rPr>
            </w:pPr>
            <w:r w:rsidRPr="00F85CA6">
              <w:rPr>
                <w:rFonts w:eastAsia="Calibri"/>
                <w:sz w:val="22"/>
                <w:szCs w:val="22"/>
                <w:lang w:val="sr-Latn-ME"/>
              </w:rPr>
              <w:t>Poremećena funkcija jetre/izm</w:t>
            </w:r>
            <w:r w:rsidR="00B85AF4" w:rsidRPr="00F85CA6">
              <w:rPr>
                <w:rFonts w:eastAsia="Calibri"/>
                <w:sz w:val="22"/>
                <w:szCs w:val="22"/>
                <w:lang w:val="sr-Latn-ME"/>
              </w:rPr>
              <w:t>i</w:t>
            </w:r>
            <w:r w:rsidR="00423EDE" w:rsidRPr="00F85CA6">
              <w:rPr>
                <w:rFonts w:eastAsia="Calibri"/>
                <w:sz w:val="22"/>
                <w:szCs w:val="22"/>
                <w:lang w:val="sr-Latn-ME"/>
              </w:rPr>
              <w:t>j</w:t>
            </w:r>
            <w:r w:rsidRPr="00F85CA6">
              <w:rPr>
                <w:rFonts w:eastAsia="Calibri"/>
                <w:sz w:val="22"/>
                <w:szCs w:val="22"/>
                <w:lang w:val="sr-Latn-ME"/>
              </w:rPr>
              <w:t>enjeni testovi funkcije jetre</w:t>
            </w:r>
          </w:p>
        </w:tc>
        <w:tc>
          <w:tcPr>
            <w:tcW w:w="2643" w:type="pct"/>
          </w:tcPr>
          <w:p w14:paraId="2D96E792" w14:textId="37FDED99" w:rsidR="007E29AA" w:rsidRPr="00F85CA6" w:rsidRDefault="007E29AA" w:rsidP="00FC0882">
            <w:pPr>
              <w:jc w:val="center"/>
              <w:rPr>
                <w:rFonts w:eastAsia="Calibri"/>
                <w:sz w:val="22"/>
                <w:szCs w:val="22"/>
                <w:lang w:val="sr-Latn-ME"/>
              </w:rPr>
            </w:pPr>
            <w:r w:rsidRPr="00F85CA6">
              <w:rPr>
                <w:rFonts w:eastAsia="Calibri"/>
                <w:sz w:val="22"/>
                <w:szCs w:val="22"/>
                <w:lang w:val="sr-Latn-ME"/>
              </w:rPr>
              <w:t>nepoznat</w:t>
            </w:r>
            <w:r w:rsidR="00FC0882" w:rsidRPr="00F85CA6">
              <w:rPr>
                <w:rFonts w:eastAsia="Calibri"/>
                <w:sz w:val="22"/>
                <w:szCs w:val="22"/>
                <w:lang w:val="sr-Latn-ME"/>
              </w:rPr>
              <w:t>o</w:t>
            </w:r>
          </w:p>
        </w:tc>
      </w:tr>
      <w:tr w:rsidR="007E29AA" w:rsidRPr="00F85CA6" w14:paraId="0B9BE493" w14:textId="77777777" w:rsidTr="001239C3">
        <w:trPr>
          <w:trHeight w:val="20"/>
          <w:jc w:val="center"/>
        </w:trPr>
        <w:tc>
          <w:tcPr>
            <w:tcW w:w="2357" w:type="pct"/>
          </w:tcPr>
          <w:p w14:paraId="2815E0F3" w14:textId="02F539EC" w:rsidR="007E29AA" w:rsidRPr="00F85CA6" w:rsidRDefault="007E29AA" w:rsidP="007E29AA">
            <w:pPr>
              <w:ind w:left="196"/>
              <w:rPr>
                <w:rFonts w:eastAsia="Calibri"/>
                <w:sz w:val="22"/>
                <w:szCs w:val="22"/>
                <w:lang w:val="sr-Latn-ME"/>
              </w:rPr>
            </w:pPr>
            <w:r w:rsidRPr="00F85CA6">
              <w:rPr>
                <w:rFonts w:eastAsia="Calibri"/>
                <w:sz w:val="22"/>
                <w:szCs w:val="22"/>
                <w:lang w:val="sr-Latn-ME"/>
              </w:rPr>
              <w:t>Povećane vr</w:t>
            </w:r>
            <w:r w:rsidR="00423EDE" w:rsidRPr="00F85CA6">
              <w:rPr>
                <w:rFonts w:eastAsia="Calibri"/>
                <w:sz w:val="22"/>
                <w:szCs w:val="22"/>
                <w:lang w:val="sr-Latn-ME"/>
              </w:rPr>
              <w:t>ij</w:t>
            </w:r>
            <w:r w:rsidRPr="00F85CA6">
              <w:rPr>
                <w:rFonts w:eastAsia="Calibri"/>
                <w:sz w:val="22"/>
                <w:szCs w:val="22"/>
                <w:lang w:val="sr-Latn-ME"/>
              </w:rPr>
              <w:t>ednosti alanin aminotransferaze</w:t>
            </w:r>
          </w:p>
        </w:tc>
        <w:tc>
          <w:tcPr>
            <w:tcW w:w="2643" w:type="pct"/>
          </w:tcPr>
          <w:p w14:paraId="6A63A41D"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povremeno</w:t>
            </w:r>
          </w:p>
        </w:tc>
      </w:tr>
      <w:tr w:rsidR="007E29AA" w:rsidRPr="00F85CA6" w14:paraId="75755D30" w14:textId="77777777" w:rsidTr="001239C3">
        <w:trPr>
          <w:trHeight w:val="20"/>
          <w:jc w:val="center"/>
        </w:trPr>
        <w:tc>
          <w:tcPr>
            <w:tcW w:w="2357" w:type="pct"/>
          </w:tcPr>
          <w:p w14:paraId="769C8E6D" w14:textId="009EEF17" w:rsidR="007E29AA" w:rsidRPr="00F85CA6" w:rsidRDefault="007E29AA" w:rsidP="007E29AA">
            <w:pPr>
              <w:ind w:left="196"/>
              <w:rPr>
                <w:rFonts w:eastAsia="Calibri"/>
                <w:sz w:val="22"/>
                <w:szCs w:val="22"/>
                <w:lang w:val="sr-Latn-ME"/>
              </w:rPr>
            </w:pPr>
            <w:r w:rsidRPr="00F85CA6">
              <w:rPr>
                <w:rFonts w:eastAsia="Calibri"/>
                <w:sz w:val="22"/>
                <w:szCs w:val="22"/>
                <w:lang w:val="sr-Latn-ME"/>
              </w:rPr>
              <w:t>Povećanne vr</w:t>
            </w:r>
            <w:r w:rsidR="00423EDE" w:rsidRPr="00F85CA6">
              <w:rPr>
                <w:rFonts w:eastAsia="Calibri"/>
                <w:sz w:val="22"/>
                <w:szCs w:val="22"/>
                <w:lang w:val="sr-Latn-ME"/>
              </w:rPr>
              <w:t>ij</w:t>
            </w:r>
            <w:r w:rsidRPr="00F85CA6">
              <w:rPr>
                <w:rFonts w:eastAsia="Calibri"/>
                <w:sz w:val="22"/>
                <w:szCs w:val="22"/>
                <w:lang w:val="sr-Latn-ME"/>
              </w:rPr>
              <w:t>ednosti aspartat aminotransferaze</w:t>
            </w:r>
          </w:p>
        </w:tc>
        <w:tc>
          <w:tcPr>
            <w:tcW w:w="2643" w:type="pct"/>
          </w:tcPr>
          <w:p w14:paraId="6F10E02F"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povremeno</w:t>
            </w:r>
          </w:p>
        </w:tc>
      </w:tr>
      <w:tr w:rsidR="007E29AA" w:rsidRPr="00F85CA6" w14:paraId="1F0B2FA1" w14:textId="77777777" w:rsidTr="001239C3">
        <w:trPr>
          <w:trHeight w:val="20"/>
          <w:jc w:val="center"/>
        </w:trPr>
        <w:tc>
          <w:tcPr>
            <w:tcW w:w="2357" w:type="pct"/>
          </w:tcPr>
          <w:p w14:paraId="3284ECDB" w14:textId="7BCD1DA4" w:rsidR="007E29AA" w:rsidRPr="00F85CA6" w:rsidRDefault="007E29AA" w:rsidP="007E29AA">
            <w:pPr>
              <w:ind w:left="196"/>
              <w:rPr>
                <w:rFonts w:eastAsia="Calibri"/>
                <w:sz w:val="22"/>
                <w:szCs w:val="22"/>
                <w:lang w:val="sr-Latn-ME"/>
              </w:rPr>
            </w:pPr>
            <w:r w:rsidRPr="00F85CA6">
              <w:rPr>
                <w:rFonts w:eastAsia="Calibri"/>
                <w:sz w:val="22"/>
                <w:szCs w:val="22"/>
                <w:lang w:val="sr-Latn-ME"/>
              </w:rPr>
              <w:t>Povećene vr</w:t>
            </w:r>
            <w:r w:rsidR="00423EDE" w:rsidRPr="00F85CA6">
              <w:rPr>
                <w:rFonts w:eastAsia="Calibri"/>
                <w:sz w:val="22"/>
                <w:szCs w:val="22"/>
                <w:lang w:val="sr-Latn-ME"/>
              </w:rPr>
              <w:t>ij</w:t>
            </w:r>
            <w:r w:rsidRPr="00F85CA6">
              <w:rPr>
                <w:rFonts w:eastAsia="Calibri"/>
                <w:sz w:val="22"/>
                <w:szCs w:val="22"/>
                <w:lang w:val="sr-Latn-ME"/>
              </w:rPr>
              <w:t>ednosti enzima jetre</w:t>
            </w:r>
          </w:p>
        </w:tc>
        <w:tc>
          <w:tcPr>
            <w:tcW w:w="2643" w:type="pct"/>
          </w:tcPr>
          <w:p w14:paraId="307F4F1F"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često</w:t>
            </w:r>
          </w:p>
        </w:tc>
      </w:tr>
      <w:tr w:rsidR="007E29AA" w:rsidRPr="00F85CA6" w14:paraId="47212F6B" w14:textId="77777777" w:rsidTr="001239C3">
        <w:trPr>
          <w:trHeight w:val="20"/>
          <w:jc w:val="center"/>
        </w:trPr>
        <w:tc>
          <w:tcPr>
            <w:tcW w:w="2357" w:type="pct"/>
          </w:tcPr>
          <w:p w14:paraId="0B2F0563" w14:textId="77777777" w:rsidR="007E29AA" w:rsidRPr="00F85CA6" w:rsidRDefault="007E29AA" w:rsidP="007E29AA">
            <w:pPr>
              <w:ind w:left="196"/>
              <w:rPr>
                <w:rFonts w:eastAsia="Calibri"/>
                <w:sz w:val="22"/>
                <w:szCs w:val="22"/>
                <w:lang w:val="sr-Latn-ME"/>
              </w:rPr>
            </w:pPr>
            <w:r w:rsidRPr="00F85CA6">
              <w:rPr>
                <w:rFonts w:eastAsia="Calibri"/>
                <w:sz w:val="22"/>
                <w:szCs w:val="22"/>
                <w:lang w:val="sr-Latn-ME"/>
              </w:rPr>
              <w:t>Hiperbilirubinemija</w:t>
            </w:r>
          </w:p>
        </w:tc>
        <w:tc>
          <w:tcPr>
            <w:tcW w:w="2643" w:type="pct"/>
          </w:tcPr>
          <w:p w14:paraId="25EE6EE6"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povremeno</w:t>
            </w:r>
          </w:p>
        </w:tc>
      </w:tr>
      <w:tr w:rsidR="007E29AA" w:rsidRPr="00F85CA6" w14:paraId="2601CF2A" w14:textId="77777777" w:rsidTr="001239C3">
        <w:trPr>
          <w:trHeight w:val="20"/>
          <w:jc w:val="center"/>
        </w:trPr>
        <w:tc>
          <w:tcPr>
            <w:tcW w:w="5000" w:type="pct"/>
            <w:gridSpan w:val="2"/>
          </w:tcPr>
          <w:p w14:paraId="5F24E8BF" w14:textId="77777777" w:rsidR="007E29AA" w:rsidRPr="00F85CA6" w:rsidRDefault="007E29AA" w:rsidP="007E29AA">
            <w:pPr>
              <w:rPr>
                <w:rFonts w:eastAsia="Calibri"/>
                <w:sz w:val="22"/>
                <w:szCs w:val="22"/>
                <w:lang w:val="sr-Latn-ME"/>
              </w:rPr>
            </w:pPr>
            <w:r w:rsidRPr="00F85CA6">
              <w:rPr>
                <w:rFonts w:eastAsia="Calibri"/>
                <w:sz w:val="22"/>
                <w:szCs w:val="22"/>
                <w:lang w:val="sr-Latn-ME"/>
              </w:rPr>
              <w:t>Poremećaji kože i potkožnog tkiva</w:t>
            </w:r>
          </w:p>
        </w:tc>
      </w:tr>
      <w:tr w:rsidR="007E29AA" w:rsidRPr="00F85CA6" w14:paraId="536B9772" w14:textId="77777777" w:rsidTr="001239C3">
        <w:trPr>
          <w:trHeight w:val="20"/>
          <w:jc w:val="center"/>
        </w:trPr>
        <w:tc>
          <w:tcPr>
            <w:tcW w:w="2357" w:type="pct"/>
          </w:tcPr>
          <w:p w14:paraId="2E7547B0" w14:textId="77777777" w:rsidR="007E29AA" w:rsidRPr="00F85CA6" w:rsidRDefault="007E29AA" w:rsidP="007E29AA">
            <w:pPr>
              <w:ind w:firstLine="196"/>
              <w:rPr>
                <w:rFonts w:eastAsia="Calibri"/>
                <w:sz w:val="22"/>
                <w:szCs w:val="22"/>
                <w:lang w:val="sr-Latn-ME"/>
              </w:rPr>
            </w:pPr>
            <w:r w:rsidRPr="00F85CA6">
              <w:rPr>
                <w:rFonts w:eastAsia="Calibri"/>
                <w:sz w:val="22"/>
                <w:szCs w:val="22"/>
                <w:lang w:val="sr-Latn-ME"/>
              </w:rPr>
              <w:t>Krvarenje iz kože</w:t>
            </w:r>
          </w:p>
        </w:tc>
        <w:tc>
          <w:tcPr>
            <w:tcW w:w="2643" w:type="pct"/>
          </w:tcPr>
          <w:p w14:paraId="644C0513"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povremeno</w:t>
            </w:r>
          </w:p>
        </w:tc>
      </w:tr>
      <w:tr w:rsidR="007E29AA" w:rsidRPr="00F85CA6" w14:paraId="5733A3A3" w14:textId="77777777" w:rsidTr="001239C3">
        <w:trPr>
          <w:trHeight w:val="20"/>
          <w:jc w:val="center"/>
        </w:trPr>
        <w:tc>
          <w:tcPr>
            <w:tcW w:w="2357" w:type="pct"/>
          </w:tcPr>
          <w:p w14:paraId="619DDFAE" w14:textId="77777777" w:rsidR="007E29AA" w:rsidRPr="00F85CA6" w:rsidRDefault="007E29AA" w:rsidP="007E29AA">
            <w:pPr>
              <w:ind w:firstLine="196"/>
              <w:rPr>
                <w:rFonts w:eastAsia="Calibri"/>
                <w:sz w:val="22"/>
                <w:szCs w:val="22"/>
                <w:lang w:val="sr-Latn-ME"/>
              </w:rPr>
            </w:pPr>
            <w:r w:rsidRPr="00F85CA6">
              <w:rPr>
                <w:rFonts w:eastAsia="Calibri"/>
                <w:sz w:val="22"/>
                <w:szCs w:val="22"/>
                <w:lang w:val="sr-Latn-ME"/>
              </w:rPr>
              <w:t>Alopecija</w:t>
            </w:r>
          </w:p>
        </w:tc>
        <w:tc>
          <w:tcPr>
            <w:tcW w:w="2643" w:type="pct"/>
          </w:tcPr>
          <w:p w14:paraId="009B0C4D"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često</w:t>
            </w:r>
          </w:p>
        </w:tc>
      </w:tr>
      <w:tr w:rsidR="007E29AA" w:rsidRPr="00F85CA6" w14:paraId="36D73BC3" w14:textId="77777777" w:rsidTr="001239C3">
        <w:trPr>
          <w:trHeight w:val="20"/>
          <w:jc w:val="center"/>
        </w:trPr>
        <w:tc>
          <w:tcPr>
            <w:tcW w:w="5000" w:type="pct"/>
            <w:gridSpan w:val="2"/>
          </w:tcPr>
          <w:p w14:paraId="731990DC" w14:textId="77777777" w:rsidR="007E29AA" w:rsidRPr="00F85CA6" w:rsidRDefault="007E29AA" w:rsidP="007E29AA">
            <w:pPr>
              <w:rPr>
                <w:rFonts w:eastAsia="Calibri"/>
                <w:sz w:val="22"/>
                <w:szCs w:val="22"/>
                <w:lang w:val="sr-Latn-ME"/>
              </w:rPr>
            </w:pPr>
            <w:r w:rsidRPr="00F85CA6">
              <w:rPr>
                <w:rFonts w:eastAsia="Calibri"/>
                <w:sz w:val="22"/>
                <w:szCs w:val="22"/>
                <w:lang w:val="sr-Latn-ME"/>
              </w:rPr>
              <w:t>Poremećaji mišićno-koštanog sistema i vezivnog tkiva</w:t>
            </w:r>
          </w:p>
        </w:tc>
      </w:tr>
      <w:tr w:rsidR="007E29AA" w:rsidRPr="00F85CA6" w14:paraId="4777C6B3" w14:textId="77777777" w:rsidTr="001239C3">
        <w:trPr>
          <w:trHeight w:val="20"/>
          <w:jc w:val="center"/>
        </w:trPr>
        <w:tc>
          <w:tcPr>
            <w:tcW w:w="2357" w:type="pct"/>
          </w:tcPr>
          <w:p w14:paraId="7A1C7AC8" w14:textId="77777777" w:rsidR="007E29AA" w:rsidRPr="00F85CA6" w:rsidRDefault="007E29AA" w:rsidP="007E29AA">
            <w:pPr>
              <w:ind w:firstLine="196"/>
              <w:rPr>
                <w:rFonts w:eastAsia="Calibri"/>
                <w:sz w:val="22"/>
                <w:szCs w:val="22"/>
                <w:lang w:val="sr-Latn-ME"/>
              </w:rPr>
            </w:pPr>
            <w:r w:rsidRPr="00F85CA6">
              <w:rPr>
                <w:rFonts w:eastAsia="Calibri"/>
                <w:sz w:val="22"/>
                <w:szCs w:val="22"/>
                <w:lang w:val="sr-Latn-ME"/>
              </w:rPr>
              <w:t xml:space="preserve">Hemartroza </w:t>
            </w:r>
          </w:p>
        </w:tc>
        <w:tc>
          <w:tcPr>
            <w:tcW w:w="2643" w:type="pct"/>
          </w:tcPr>
          <w:p w14:paraId="319F4DC8" w14:textId="2390DEB3" w:rsidR="007E29AA" w:rsidRPr="00F85CA6" w:rsidRDefault="007E29AA" w:rsidP="00FC0882">
            <w:pPr>
              <w:jc w:val="center"/>
              <w:rPr>
                <w:rFonts w:eastAsia="Calibri"/>
                <w:sz w:val="22"/>
                <w:szCs w:val="22"/>
                <w:lang w:val="sr-Latn-ME"/>
              </w:rPr>
            </w:pPr>
            <w:r w:rsidRPr="00F85CA6">
              <w:rPr>
                <w:rFonts w:eastAsia="Calibri"/>
                <w:sz w:val="22"/>
                <w:szCs w:val="22"/>
                <w:lang w:val="sr-Latn-ME"/>
              </w:rPr>
              <w:t>nepoznat</w:t>
            </w:r>
            <w:r w:rsidR="00FC0882" w:rsidRPr="00F85CA6">
              <w:rPr>
                <w:rFonts w:eastAsia="Calibri"/>
                <w:sz w:val="22"/>
                <w:szCs w:val="22"/>
                <w:lang w:val="sr-Latn-ME"/>
              </w:rPr>
              <w:t>o</w:t>
            </w:r>
          </w:p>
        </w:tc>
      </w:tr>
      <w:tr w:rsidR="007E29AA" w:rsidRPr="00F85CA6" w14:paraId="21469D97" w14:textId="77777777" w:rsidTr="001239C3">
        <w:trPr>
          <w:trHeight w:val="20"/>
          <w:jc w:val="center"/>
        </w:trPr>
        <w:tc>
          <w:tcPr>
            <w:tcW w:w="5000" w:type="pct"/>
            <w:gridSpan w:val="2"/>
          </w:tcPr>
          <w:p w14:paraId="590EA116" w14:textId="77777777" w:rsidR="007E29AA" w:rsidRPr="00F85CA6" w:rsidRDefault="007E29AA" w:rsidP="007E29AA">
            <w:pPr>
              <w:rPr>
                <w:rFonts w:eastAsia="Calibri"/>
                <w:sz w:val="22"/>
                <w:szCs w:val="22"/>
                <w:lang w:val="sr-Latn-ME"/>
              </w:rPr>
            </w:pPr>
            <w:r w:rsidRPr="00F85CA6">
              <w:rPr>
                <w:rFonts w:eastAsia="Calibri"/>
                <w:sz w:val="22"/>
                <w:szCs w:val="22"/>
                <w:lang w:val="sr-Latn-ME"/>
              </w:rPr>
              <w:t>Poremećaji bubrega i urinarnog sistema</w:t>
            </w:r>
          </w:p>
        </w:tc>
      </w:tr>
      <w:tr w:rsidR="007E29AA" w:rsidRPr="00F85CA6" w14:paraId="7675E390" w14:textId="77777777" w:rsidTr="001239C3">
        <w:trPr>
          <w:trHeight w:val="20"/>
          <w:jc w:val="center"/>
        </w:trPr>
        <w:tc>
          <w:tcPr>
            <w:tcW w:w="2357" w:type="pct"/>
          </w:tcPr>
          <w:p w14:paraId="2D18601B" w14:textId="77777777" w:rsidR="007E29AA" w:rsidRPr="00F85CA6" w:rsidRDefault="007E29AA" w:rsidP="007E29AA">
            <w:pPr>
              <w:ind w:left="196"/>
              <w:rPr>
                <w:rFonts w:eastAsia="Calibri"/>
                <w:sz w:val="22"/>
                <w:szCs w:val="22"/>
                <w:lang w:val="sr-Latn-ME"/>
              </w:rPr>
            </w:pPr>
            <w:r w:rsidRPr="00F85CA6">
              <w:rPr>
                <w:rFonts w:eastAsia="Calibri"/>
                <w:sz w:val="22"/>
                <w:szCs w:val="22"/>
                <w:lang w:val="sr-Latn-ME"/>
              </w:rPr>
              <w:t>Urogenitalno krvarenje, uključujući hematuriju</w:t>
            </w:r>
          </w:p>
        </w:tc>
        <w:tc>
          <w:tcPr>
            <w:tcW w:w="2643" w:type="pct"/>
          </w:tcPr>
          <w:p w14:paraId="1B2BB2C5"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povremeno</w:t>
            </w:r>
          </w:p>
        </w:tc>
      </w:tr>
      <w:tr w:rsidR="007E29AA" w:rsidRPr="00F85CA6" w14:paraId="0124D4D3" w14:textId="77777777" w:rsidTr="001239C3">
        <w:trPr>
          <w:trHeight w:val="20"/>
          <w:jc w:val="center"/>
        </w:trPr>
        <w:tc>
          <w:tcPr>
            <w:tcW w:w="5000" w:type="pct"/>
            <w:gridSpan w:val="2"/>
          </w:tcPr>
          <w:p w14:paraId="23A80DC4" w14:textId="5037C07D" w:rsidR="007E29AA" w:rsidRPr="00F85CA6" w:rsidRDefault="007E29AA" w:rsidP="007E29AA">
            <w:pPr>
              <w:rPr>
                <w:rFonts w:eastAsia="Calibri"/>
                <w:sz w:val="22"/>
                <w:szCs w:val="22"/>
                <w:lang w:val="sr-Latn-ME"/>
              </w:rPr>
            </w:pPr>
            <w:r w:rsidRPr="00F85CA6">
              <w:rPr>
                <w:rFonts w:eastAsia="Calibri"/>
                <w:sz w:val="22"/>
                <w:szCs w:val="22"/>
                <w:lang w:val="sr-Latn-ME"/>
              </w:rPr>
              <w:t>Opšti poremećaji i reakcije na m</w:t>
            </w:r>
            <w:r w:rsidR="00423EDE" w:rsidRPr="00F85CA6">
              <w:rPr>
                <w:rFonts w:eastAsia="Calibri"/>
                <w:sz w:val="22"/>
                <w:szCs w:val="22"/>
                <w:lang w:val="sr-Latn-ME"/>
              </w:rPr>
              <w:t>j</w:t>
            </w:r>
            <w:r w:rsidRPr="00F85CA6">
              <w:rPr>
                <w:rFonts w:eastAsia="Calibri"/>
                <w:sz w:val="22"/>
                <w:szCs w:val="22"/>
                <w:lang w:val="sr-Latn-ME"/>
              </w:rPr>
              <w:t>estu prim</w:t>
            </w:r>
            <w:r w:rsidR="00423EDE" w:rsidRPr="00F85CA6">
              <w:rPr>
                <w:rFonts w:eastAsia="Calibri"/>
                <w:sz w:val="22"/>
                <w:szCs w:val="22"/>
                <w:lang w:val="sr-Latn-ME"/>
              </w:rPr>
              <w:t>j</w:t>
            </w:r>
            <w:r w:rsidRPr="00F85CA6">
              <w:rPr>
                <w:rFonts w:eastAsia="Calibri"/>
                <w:sz w:val="22"/>
                <w:szCs w:val="22"/>
                <w:lang w:val="sr-Latn-ME"/>
              </w:rPr>
              <w:t>ene</w:t>
            </w:r>
          </w:p>
        </w:tc>
      </w:tr>
      <w:tr w:rsidR="007E29AA" w:rsidRPr="00F85CA6" w14:paraId="35CD6A5A" w14:textId="77777777" w:rsidTr="001239C3">
        <w:trPr>
          <w:trHeight w:val="20"/>
          <w:jc w:val="center"/>
        </w:trPr>
        <w:tc>
          <w:tcPr>
            <w:tcW w:w="2357" w:type="pct"/>
          </w:tcPr>
          <w:p w14:paraId="7D05541A" w14:textId="012AB539" w:rsidR="007E29AA" w:rsidRPr="00F85CA6" w:rsidRDefault="007E29AA" w:rsidP="007E29AA">
            <w:pPr>
              <w:ind w:firstLine="196"/>
              <w:rPr>
                <w:rFonts w:eastAsia="Calibri"/>
                <w:sz w:val="22"/>
                <w:szCs w:val="22"/>
                <w:lang w:val="sr-Latn-ME"/>
              </w:rPr>
            </w:pPr>
            <w:r w:rsidRPr="00F85CA6">
              <w:rPr>
                <w:rFonts w:eastAsia="Calibri"/>
                <w:sz w:val="22"/>
                <w:szCs w:val="22"/>
                <w:lang w:val="sr-Latn-ME"/>
              </w:rPr>
              <w:t>Krvarenje na m</w:t>
            </w:r>
            <w:r w:rsidR="00B85AF4" w:rsidRPr="00F85CA6">
              <w:rPr>
                <w:rFonts w:eastAsia="Calibri"/>
                <w:sz w:val="22"/>
                <w:szCs w:val="22"/>
                <w:lang w:val="sr-Latn-ME"/>
              </w:rPr>
              <w:t>j</w:t>
            </w:r>
            <w:r w:rsidRPr="00F85CA6">
              <w:rPr>
                <w:rFonts w:eastAsia="Calibri"/>
                <w:sz w:val="22"/>
                <w:szCs w:val="22"/>
                <w:lang w:val="sr-Latn-ME"/>
              </w:rPr>
              <w:t xml:space="preserve">estu injekcije </w:t>
            </w:r>
          </w:p>
        </w:tc>
        <w:tc>
          <w:tcPr>
            <w:tcW w:w="2643" w:type="pct"/>
          </w:tcPr>
          <w:p w14:paraId="50786527" w14:textId="07BC43E2" w:rsidR="007E29AA" w:rsidRPr="00F85CA6" w:rsidRDefault="007E29AA" w:rsidP="00FC0882">
            <w:pPr>
              <w:jc w:val="center"/>
              <w:rPr>
                <w:rFonts w:eastAsia="Calibri"/>
                <w:sz w:val="22"/>
                <w:szCs w:val="22"/>
                <w:lang w:val="sr-Latn-ME"/>
              </w:rPr>
            </w:pPr>
            <w:r w:rsidRPr="00F85CA6">
              <w:rPr>
                <w:rFonts w:eastAsia="Calibri"/>
                <w:sz w:val="22"/>
                <w:szCs w:val="22"/>
                <w:lang w:val="sr-Latn-ME"/>
              </w:rPr>
              <w:t>nepoznat</w:t>
            </w:r>
            <w:r w:rsidR="00FC0882" w:rsidRPr="00F85CA6">
              <w:rPr>
                <w:rFonts w:eastAsia="Calibri"/>
                <w:sz w:val="22"/>
                <w:szCs w:val="22"/>
                <w:lang w:val="sr-Latn-ME"/>
              </w:rPr>
              <w:t>o</w:t>
            </w:r>
          </w:p>
        </w:tc>
      </w:tr>
      <w:tr w:rsidR="007E29AA" w:rsidRPr="00F85CA6" w14:paraId="4E666E82" w14:textId="77777777" w:rsidTr="001239C3">
        <w:trPr>
          <w:trHeight w:val="20"/>
          <w:jc w:val="center"/>
        </w:trPr>
        <w:tc>
          <w:tcPr>
            <w:tcW w:w="2357" w:type="pct"/>
          </w:tcPr>
          <w:p w14:paraId="2475C8BA" w14:textId="5E76F0A5" w:rsidR="007E29AA" w:rsidRPr="00F85CA6" w:rsidRDefault="007E29AA" w:rsidP="007E29AA">
            <w:pPr>
              <w:ind w:firstLine="196"/>
              <w:rPr>
                <w:rFonts w:eastAsia="Calibri"/>
                <w:sz w:val="22"/>
                <w:szCs w:val="22"/>
                <w:lang w:val="sr-Latn-ME"/>
              </w:rPr>
            </w:pPr>
            <w:r w:rsidRPr="00F85CA6">
              <w:rPr>
                <w:rFonts w:eastAsia="Calibri"/>
                <w:sz w:val="22"/>
                <w:szCs w:val="22"/>
                <w:lang w:val="sr-Latn-ME"/>
              </w:rPr>
              <w:t>Krvarenje na m</w:t>
            </w:r>
            <w:r w:rsidR="00B85AF4" w:rsidRPr="00F85CA6">
              <w:rPr>
                <w:rFonts w:eastAsia="Calibri"/>
                <w:sz w:val="22"/>
                <w:szCs w:val="22"/>
                <w:lang w:val="sr-Latn-ME"/>
              </w:rPr>
              <w:t>j</w:t>
            </w:r>
            <w:r w:rsidRPr="00F85CA6">
              <w:rPr>
                <w:rFonts w:eastAsia="Calibri"/>
                <w:sz w:val="22"/>
                <w:szCs w:val="22"/>
                <w:lang w:val="sr-Latn-ME"/>
              </w:rPr>
              <w:t xml:space="preserve">estu katetera </w:t>
            </w:r>
          </w:p>
        </w:tc>
        <w:tc>
          <w:tcPr>
            <w:tcW w:w="2643" w:type="pct"/>
          </w:tcPr>
          <w:p w14:paraId="55A24CBA" w14:textId="5C84FA2F" w:rsidR="007E29AA" w:rsidRPr="00F85CA6" w:rsidRDefault="007E29AA" w:rsidP="00FC0882">
            <w:pPr>
              <w:jc w:val="center"/>
              <w:rPr>
                <w:rFonts w:eastAsia="Calibri"/>
                <w:sz w:val="22"/>
                <w:szCs w:val="22"/>
                <w:lang w:val="sr-Latn-ME"/>
              </w:rPr>
            </w:pPr>
            <w:r w:rsidRPr="00F85CA6">
              <w:rPr>
                <w:rFonts w:eastAsia="Calibri"/>
                <w:sz w:val="22"/>
                <w:szCs w:val="22"/>
                <w:lang w:val="sr-Latn-ME"/>
              </w:rPr>
              <w:t>nepoznat</w:t>
            </w:r>
            <w:r w:rsidR="00FC0882" w:rsidRPr="00F85CA6">
              <w:rPr>
                <w:rFonts w:eastAsia="Calibri"/>
                <w:sz w:val="22"/>
                <w:szCs w:val="22"/>
                <w:lang w:val="sr-Latn-ME"/>
              </w:rPr>
              <w:t>o</w:t>
            </w:r>
          </w:p>
        </w:tc>
      </w:tr>
      <w:tr w:rsidR="007E29AA" w:rsidRPr="00F85CA6" w14:paraId="05B7B2B1" w14:textId="77777777" w:rsidTr="001239C3">
        <w:trPr>
          <w:trHeight w:val="20"/>
          <w:jc w:val="center"/>
        </w:trPr>
        <w:tc>
          <w:tcPr>
            <w:tcW w:w="5000" w:type="pct"/>
            <w:gridSpan w:val="2"/>
          </w:tcPr>
          <w:p w14:paraId="4AAA637E" w14:textId="77777777" w:rsidR="007E29AA" w:rsidRPr="00F85CA6" w:rsidRDefault="007E29AA" w:rsidP="007E29AA">
            <w:pPr>
              <w:rPr>
                <w:rFonts w:eastAsia="Calibri"/>
                <w:sz w:val="22"/>
                <w:szCs w:val="22"/>
                <w:lang w:val="sr-Latn-ME"/>
              </w:rPr>
            </w:pPr>
            <w:r w:rsidRPr="00F85CA6">
              <w:rPr>
                <w:rFonts w:eastAsia="Calibri"/>
                <w:sz w:val="22"/>
                <w:szCs w:val="22"/>
                <w:lang w:val="sr-Latn-ME"/>
              </w:rPr>
              <w:t>Povrede, trovanja i proceduralne komplikacije</w:t>
            </w:r>
          </w:p>
        </w:tc>
      </w:tr>
      <w:tr w:rsidR="007E29AA" w:rsidRPr="00F85CA6" w14:paraId="0D01B106" w14:textId="77777777" w:rsidTr="001239C3">
        <w:trPr>
          <w:trHeight w:val="20"/>
          <w:jc w:val="center"/>
        </w:trPr>
        <w:tc>
          <w:tcPr>
            <w:tcW w:w="2357" w:type="pct"/>
          </w:tcPr>
          <w:p w14:paraId="734EE293" w14:textId="77777777" w:rsidR="007E29AA" w:rsidRPr="00F85CA6" w:rsidRDefault="007E29AA" w:rsidP="007E29AA">
            <w:pPr>
              <w:ind w:firstLine="196"/>
              <w:rPr>
                <w:rFonts w:eastAsia="Calibri"/>
                <w:sz w:val="22"/>
                <w:szCs w:val="22"/>
                <w:lang w:val="sr-Latn-ME"/>
              </w:rPr>
            </w:pPr>
            <w:r w:rsidRPr="00F85CA6">
              <w:rPr>
                <w:rFonts w:eastAsia="Calibri"/>
                <w:sz w:val="22"/>
                <w:szCs w:val="22"/>
                <w:lang w:val="sr-Latn-ME"/>
              </w:rPr>
              <w:t>Traumatsko krvarenje</w:t>
            </w:r>
          </w:p>
        </w:tc>
        <w:tc>
          <w:tcPr>
            <w:tcW w:w="2643" w:type="pct"/>
          </w:tcPr>
          <w:p w14:paraId="34571D09" w14:textId="77777777" w:rsidR="007E29AA" w:rsidRPr="00F85CA6" w:rsidRDefault="007E29AA" w:rsidP="007E29AA">
            <w:pPr>
              <w:jc w:val="center"/>
              <w:rPr>
                <w:rFonts w:eastAsia="Calibri"/>
                <w:sz w:val="22"/>
                <w:szCs w:val="22"/>
                <w:lang w:val="sr-Latn-ME"/>
              </w:rPr>
            </w:pPr>
            <w:r w:rsidRPr="00F85CA6">
              <w:rPr>
                <w:rFonts w:eastAsia="Calibri"/>
                <w:sz w:val="22"/>
                <w:szCs w:val="22"/>
                <w:lang w:val="sr-Latn-ME"/>
              </w:rPr>
              <w:t>povremeno</w:t>
            </w:r>
          </w:p>
        </w:tc>
      </w:tr>
      <w:tr w:rsidR="007E29AA" w:rsidRPr="00F85CA6" w14:paraId="65216A23" w14:textId="77777777" w:rsidTr="001239C3">
        <w:trPr>
          <w:trHeight w:val="20"/>
          <w:jc w:val="center"/>
        </w:trPr>
        <w:tc>
          <w:tcPr>
            <w:tcW w:w="2357" w:type="pct"/>
          </w:tcPr>
          <w:p w14:paraId="14F0E2FD" w14:textId="05E06A4F" w:rsidR="007E29AA" w:rsidRPr="00F85CA6" w:rsidRDefault="007E29AA" w:rsidP="007E29AA">
            <w:pPr>
              <w:ind w:firstLine="196"/>
              <w:rPr>
                <w:rFonts w:eastAsia="Calibri"/>
                <w:sz w:val="22"/>
                <w:szCs w:val="22"/>
                <w:lang w:val="sr-Latn-ME"/>
              </w:rPr>
            </w:pPr>
            <w:r w:rsidRPr="00F85CA6">
              <w:rPr>
                <w:rFonts w:eastAsia="Calibri"/>
                <w:sz w:val="22"/>
                <w:szCs w:val="22"/>
                <w:lang w:val="sr-Latn-ME"/>
              </w:rPr>
              <w:t>Krvarenje na m</w:t>
            </w:r>
            <w:r w:rsidR="00423EDE" w:rsidRPr="00F85CA6">
              <w:rPr>
                <w:rFonts w:eastAsia="Calibri"/>
                <w:sz w:val="22"/>
                <w:szCs w:val="22"/>
                <w:lang w:val="sr-Latn-ME"/>
              </w:rPr>
              <w:t>j</w:t>
            </w:r>
            <w:r w:rsidRPr="00F85CA6">
              <w:rPr>
                <w:rFonts w:eastAsia="Calibri"/>
                <w:sz w:val="22"/>
                <w:szCs w:val="22"/>
                <w:lang w:val="sr-Latn-ME"/>
              </w:rPr>
              <w:t>estu incizije</w:t>
            </w:r>
          </w:p>
        </w:tc>
        <w:tc>
          <w:tcPr>
            <w:tcW w:w="2643" w:type="pct"/>
          </w:tcPr>
          <w:p w14:paraId="7840B309" w14:textId="747EC90B" w:rsidR="007E29AA" w:rsidRPr="00F85CA6" w:rsidRDefault="007E29AA" w:rsidP="00FC0882">
            <w:pPr>
              <w:jc w:val="center"/>
              <w:rPr>
                <w:rFonts w:eastAsia="Calibri"/>
                <w:sz w:val="22"/>
                <w:szCs w:val="22"/>
                <w:lang w:val="sr-Latn-ME"/>
              </w:rPr>
            </w:pPr>
            <w:r w:rsidRPr="00F85CA6">
              <w:rPr>
                <w:rFonts w:eastAsia="Calibri"/>
                <w:sz w:val="22"/>
                <w:szCs w:val="22"/>
                <w:lang w:val="sr-Latn-ME"/>
              </w:rPr>
              <w:t>nepoznat</w:t>
            </w:r>
            <w:r w:rsidR="00FC0882" w:rsidRPr="00F85CA6">
              <w:rPr>
                <w:rFonts w:eastAsia="Calibri"/>
                <w:sz w:val="22"/>
                <w:szCs w:val="22"/>
                <w:lang w:val="sr-Latn-ME"/>
              </w:rPr>
              <w:t>o</w:t>
            </w:r>
          </w:p>
        </w:tc>
      </w:tr>
    </w:tbl>
    <w:p w14:paraId="4DF1A2F2" w14:textId="77777777" w:rsidR="007E29AA" w:rsidRPr="00F85CA6" w:rsidRDefault="007E29AA" w:rsidP="007E29AA">
      <w:pPr>
        <w:jc w:val="both"/>
        <w:rPr>
          <w:rFonts w:eastAsia="Calibri"/>
          <w:sz w:val="22"/>
          <w:szCs w:val="22"/>
          <w:lang w:val="sr-Latn-ME" w:bidi="en-US"/>
        </w:rPr>
      </w:pPr>
    </w:p>
    <w:p w14:paraId="4A04FCC6" w14:textId="77777777" w:rsidR="007E29AA" w:rsidRPr="00F85CA6" w:rsidRDefault="007E29AA" w:rsidP="007E29AA">
      <w:pPr>
        <w:jc w:val="both"/>
        <w:rPr>
          <w:rFonts w:eastAsia="Calibri"/>
          <w:b/>
          <w:bCs/>
          <w:sz w:val="22"/>
          <w:szCs w:val="22"/>
          <w:lang w:val="sr-Latn-ME" w:bidi="en-US"/>
        </w:rPr>
      </w:pPr>
      <w:r w:rsidRPr="00F85CA6">
        <w:rPr>
          <w:rFonts w:eastAsia="Calibri"/>
          <w:i/>
          <w:iCs/>
          <w:sz w:val="22"/>
          <w:szCs w:val="22"/>
          <w:u w:val="single"/>
          <w:lang w:val="sr-Latn-ME" w:bidi="en-US"/>
        </w:rPr>
        <w:lastRenderedPageBreak/>
        <w:t>Reakcije krvarenja</w:t>
      </w:r>
    </w:p>
    <w:p w14:paraId="3C62101F" w14:textId="77777777" w:rsidR="007E29AA" w:rsidRPr="00F85CA6" w:rsidRDefault="007E29AA" w:rsidP="007E29AA">
      <w:pPr>
        <w:jc w:val="both"/>
        <w:rPr>
          <w:rFonts w:eastAsia="Calibri"/>
          <w:sz w:val="22"/>
          <w:szCs w:val="22"/>
          <w:lang w:val="sr-Latn-ME" w:bidi="en-US"/>
        </w:rPr>
      </w:pPr>
    </w:p>
    <w:p w14:paraId="19114716" w14:textId="4257B26A" w:rsidR="007E29AA" w:rsidRPr="00F85CA6" w:rsidRDefault="007E29AA" w:rsidP="007E29AA">
      <w:pPr>
        <w:jc w:val="both"/>
        <w:rPr>
          <w:rFonts w:eastAsia="Calibri"/>
          <w:sz w:val="22"/>
          <w:szCs w:val="22"/>
          <w:lang w:val="sr-Latn-ME" w:bidi="en-US"/>
        </w:rPr>
      </w:pPr>
      <w:r w:rsidRPr="00F85CA6">
        <w:rPr>
          <w:rFonts w:eastAsia="Calibri"/>
          <w:sz w:val="22"/>
          <w:szCs w:val="22"/>
          <w:lang w:val="sr-Latn-ME" w:bidi="en-US"/>
        </w:rPr>
        <w:t>U dva ispitivanja faze III za indikaciju terapije VTE i prevencije rekurentne VTE kod pedijatrijskih pacijenata, ukupno 7 pacijenata (2,1%) je imalo događaj obilnijeg krvarenja, 5 pacijenata (1,5%) je imalo događaj klinički značajnog krvarenja koje nije obilno i 75 pacijenata (22,9%) je imalo događaj manjeg krvarenja. Učestalost događaja krvarenja je sveukupno bila veća u najstarijoj uzrasnoj grupi (12 do &lt;</w:t>
      </w:r>
      <w:r w:rsidR="00FC0882" w:rsidRPr="00F85CA6">
        <w:rPr>
          <w:rFonts w:eastAsia="Calibri"/>
          <w:sz w:val="22"/>
          <w:szCs w:val="22"/>
          <w:lang w:val="sr-Latn-ME" w:bidi="en-US"/>
        </w:rPr>
        <w:t xml:space="preserve"> </w:t>
      </w:r>
      <w:r w:rsidRPr="00F85CA6">
        <w:rPr>
          <w:rFonts w:eastAsia="Calibri"/>
          <w:sz w:val="22"/>
          <w:szCs w:val="22"/>
          <w:lang w:val="sr-Latn-ME" w:bidi="en-US"/>
        </w:rPr>
        <w:t>18 godina: 28,6%) nego u mlađim uzrasnim grupama (od rođenja do &lt;</w:t>
      </w:r>
      <w:r w:rsidR="00FC0882" w:rsidRPr="00F85CA6">
        <w:rPr>
          <w:rFonts w:eastAsia="Calibri"/>
          <w:sz w:val="22"/>
          <w:szCs w:val="22"/>
          <w:lang w:val="sr-Latn-ME" w:bidi="en-US"/>
        </w:rPr>
        <w:t xml:space="preserve"> </w:t>
      </w:r>
      <w:r w:rsidRPr="00F85CA6">
        <w:rPr>
          <w:rFonts w:eastAsia="Calibri"/>
          <w:sz w:val="22"/>
          <w:szCs w:val="22"/>
          <w:lang w:val="sr-Latn-ME" w:bidi="en-US"/>
        </w:rPr>
        <w:t>2 godine: 23,3%; 2 do &lt;</w:t>
      </w:r>
      <w:r w:rsidR="00FC0882" w:rsidRPr="00F85CA6">
        <w:rPr>
          <w:rFonts w:eastAsia="Calibri"/>
          <w:sz w:val="22"/>
          <w:szCs w:val="22"/>
          <w:lang w:val="sr-Latn-ME" w:bidi="en-US"/>
        </w:rPr>
        <w:t xml:space="preserve"> </w:t>
      </w:r>
      <w:r w:rsidRPr="00F85CA6">
        <w:rPr>
          <w:rFonts w:eastAsia="Calibri"/>
          <w:sz w:val="22"/>
          <w:szCs w:val="22"/>
          <w:lang w:val="sr-Latn-ME" w:bidi="en-US"/>
        </w:rPr>
        <w:t>12 godina: 16,2%). Obilnije ili teško krvarenje, bez obzira na lokalizaciju, može dovesti do onesposobljavajućih, opasnih po život ili čak do smrtnih ishoda.</w:t>
      </w:r>
    </w:p>
    <w:p w14:paraId="4A32E58A" w14:textId="77777777" w:rsidR="007E29AA" w:rsidRPr="00F85CA6" w:rsidRDefault="007E29AA" w:rsidP="00480FB1">
      <w:pPr>
        <w:tabs>
          <w:tab w:val="left" w:pos="540"/>
          <w:tab w:val="left" w:pos="569"/>
        </w:tabs>
        <w:rPr>
          <w:b/>
          <w:bCs/>
          <w:sz w:val="22"/>
          <w:szCs w:val="22"/>
          <w:lang w:val="sr-Latn-ME"/>
        </w:rPr>
      </w:pPr>
    </w:p>
    <w:p w14:paraId="7A057F8A" w14:textId="77777777" w:rsidR="005A23D2" w:rsidRPr="00F85CA6" w:rsidRDefault="005A23D2" w:rsidP="00A46C9A">
      <w:pPr>
        <w:spacing w:after="200" w:line="276" w:lineRule="auto"/>
        <w:rPr>
          <w:rFonts w:eastAsia="Calibri"/>
          <w:sz w:val="22"/>
          <w:szCs w:val="22"/>
          <w:u w:val="single"/>
          <w:lang w:val="sr-Latn-ME"/>
        </w:rPr>
      </w:pPr>
      <w:r w:rsidRPr="00F85CA6">
        <w:rPr>
          <w:rFonts w:eastAsia="Calibri"/>
          <w:sz w:val="22"/>
          <w:szCs w:val="22"/>
          <w:u w:val="single"/>
          <w:lang w:val="sr-Latn-ME"/>
        </w:rPr>
        <w:t>Prijavljivanje sumnji na neželjena dejstva</w:t>
      </w:r>
    </w:p>
    <w:p w14:paraId="3FFACCC4" w14:textId="77777777" w:rsidR="005A23D2" w:rsidRPr="00F85CA6" w:rsidRDefault="005A23D2" w:rsidP="00A46C9A">
      <w:pPr>
        <w:spacing w:after="200"/>
        <w:jc w:val="both"/>
        <w:rPr>
          <w:rFonts w:eastAsia="Calibri"/>
          <w:sz w:val="22"/>
          <w:szCs w:val="22"/>
          <w:lang w:val="sr-Latn-ME"/>
        </w:rPr>
      </w:pPr>
      <w:bookmarkStart w:id="20" w:name="_Hlk158460818"/>
      <w:r w:rsidRPr="00F85CA6">
        <w:rPr>
          <w:rFonts w:eastAsia="Calibri"/>
          <w:sz w:val="22"/>
          <w:szCs w:val="22"/>
          <w:lang w:val="sr-Latn-ME"/>
        </w:rPr>
        <w:t>Prijavljivanje neželjenih dejstava nakon dobijanja dozvole je od velikog značaja jer obezbjeđuje kont</w:t>
      </w:r>
      <w:r w:rsidR="00EA5765" w:rsidRPr="00F85CA6">
        <w:rPr>
          <w:rFonts w:eastAsia="Calibri"/>
          <w:sz w:val="22"/>
          <w:szCs w:val="22"/>
          <w:lang w:val="sr-Latn-ME"/>
        </w:rPr>
        <w:t>inuirano praćenje odnosa korist</w:t>
      </w:r>
      <w:r w:rsidRPr="00F85CA6">
        <w:rPr>
          <w:rFonts w:eastAsia="Calibri"/>
          <w:sz w:val="22"/>
          <w:szCs w:val="22"/>
          <w:lang w:val="sr-Latn-ME"/>
        </w:rPr>
        <w:t>/rizik primjene lijeka. Zdravstveni radnici treba da prijave svaku sumnju na neželjeno</w:t>
      </w:r>
      <w:r w:rsidR="009B062A" w:rsidRPr="00F85CA6">
        <w:rPr>
          <w:rFonts w:eastAsia="Calibri"/>
          <w:sz w:val="22"/>
          <w:szCs w:val="22"/>
          <w:lang w:val="sr-Latn-ME"/>
        </w:rPr>
        <w:t xml:space="preserve"> </w:t>
      </w:r>
      <w:r w:rsidRPr="00F85CA6">
        <w:rPr>
          <w:rFonts w:eastAsia="Calibri"/>
          <w:sz w:val="22"/>
          <w:szCs w:val="22"/>
          <w:lang w:val="sr-Latn-ME"/>
        </w:rPr>
        <w:t xml:space="preserve">dejstvo ovog lijeka </w:t>
      </w:r>
      <w:r w:rsidR="004E70AD" w:rsidRPr="00F85CA6">
        <w:rPr>
          <w:rFonts w:eastAsia="Calibri"/>
          <w:sz w:val="22"/>
          <w:szCs w:val="22"/>
          <w:lang w:val="sr-Latn-ME"/>
        </w:rPr>
        <w:t>Institutu</w:t>
      </w:r>
      <w:r w:rsidRPr="00F85CA6">
        <w:rPr>
          <w:rFonts w:eastAsia="Calibri"/>
          <w:sz w:val="22"/>
          <w:szCs w:val="22"/>
          <w:lang w:val="sr-Latn-ME"/>
        </w:rPr>
        <w:t xml:space="preserve"> za ljekove i medicinska sredstva</w:t>
      </w:r>
      <w:r w:rsidR="004E70AD" w:rsidRPr="00F85CA6">
        <w:rPr>
          <w:rFonts w:eastAsia="Calibri"/>
          <w:sz w:val="22"/>
          <w:szCs w:val="22"/>
          <w:lang w:val="sr-Latn-ME"/>
        </w:rPr>
        <w:t xml:space="preserve"> </w:t>
      </w:r>
      <w:r w:rsidRPr="00F85CA6">
        <w:rPr>
          <w:rFonts w:eastAsia="Calibri"/>
          <w:sz w:val="22"/>
          <w:szCs w:val="22"/>
          <w:lang w:val="sr-Latn-ME"/>
        </w:rPr>
        <w:t>(</w:t>
      </w:r>
      <w:r w:rsidR="004E70AD" w:rsidRPr="00F85CA6">
        <w:rPr>
          <w:rFonts w:eastAsia="Calibri"/>
          <w:sz w:val="22"/>
          <w:szCs w:val="22"/>
          <w:lang w:val="sr-Latn-ME"/>
        </w:rPr>
        <w:t>CInMED</w:t>
      </w:r>
      <w:r w:rsidRPr="00F85CA6">
        <w:rPr>
          <w:rFonts w:eastAsia="Calibri"/>
          <w:sz w:val="22"/>
          <w:szCs w:val="22"/>
          <w:lang w:val="sr-Latn-ME"/>
        </w:rPr>
        <w:t>):</w:t>
      </w:r>
    </w:p>
    <w:p w14:paraId="138E49F5" w14:textId="77777777" w:rsidR="005A23D2" w:rsidRPr="00F85CA6" w:rsidRDefault="004E70AD" w:rsidP="00A46C9A">
      <w:pPr>
        <w:pStyle w:val="NoSpacing"/>
        <w:jc w:val="both"/>
        <w:rPr>
          <w:rFonts w:eastAsia="Calibri"/>
          <w:sz w:val="22"/>
          <w:szCs w:val="22"/>
          <w:lang w:val="sr-Latn-ME"/>
        </w:rPr>
      </w:pPr>
      <w:r w:rsidRPr="00F85CA6">
        <w:rPr>
          <w:rFonts w:eastAsia="Calibri"/>
          <w:sz w:val="22"/>
          <w:szCs w:val="22"/>
          <w:lang w:val="sr-Latn-ME"/>
        </w:rPr>
        <w:t xml:space="preserve">Institut </w:t>
      </w:r>
      <w:r w:rsidR="005A23D2" w:rsidRPr="00F85CA6">
        <w:rPr>
          <w:rFonts w:eastAsia="Calibri"/>
          <w:sz w:val="22"/>
          <w:szCs w:val="22"/>
          <w:lang w:val="sr-Latn-ME"/>
        </w:rPr>
        <w:t xml:space="preserve">za ljekove i medicinska sredstva </w:t>
      </w:r>
    </w:p>
    <w:p w14:paraId="54B7EBCF" w14:textId="77777777" w:rsidR="005A23D2" w:rsidRPr="00F85CA6" w:rsidRDefault="005A23D2" w:rsidP="00A46C9A">
      <w:pPr>
        <w:pStyle w:val="NoSpacing"/>
        <w:jc w:val="both"/>
        <w:rPr>
          <w:rFonts w:eastAsia="Calibri"/>
          <w:sz w:val="22"/>
          <w:szCs w:val="22"/>
          <w:lang w:val="sr-Latn-ME"/>
        </w:rPr>
      </w:pPr>
      <w:r w:rsidRPr="00F85CA6">
        <w:rPr>
          <w:rFonts w:eastAsia="Calibri"/>
          <w:sz w:val="22"/>
          <w:szCs w:val="22"/>
          <w:lang w:val="sr-Latn-ME"/>
        </w:rPr>
        <w:t>Odjeljenje za farmakovigilancu</w:t>
      </w:r>
    </w:p>
    <w:p w14:paraId="2EDE39B2" w14:textId="77777777" w:rsidR="00EA5765" w:rsidRPr="00F85CA6" w:rsidRDefault="005A23D2" w:rsidP="00A46C9A">
      <w:pPr>
        <w:pStyle w:val="NoSpacing"/>
        <w:jc w:val="both"/>
        <w:rPr>
          <w:rFonts w:eastAsia="Calibri"/>
          <w:sz w:val="22"/>
          <w:szCs w:val="22"/>
          <w:lang w:val="sr-Latn-ME"/>
        </w:rPr>
      </w:pPr>
      <w:r w:rsidRPr="00F85CA6">
        <w:rPr>
          <w:rFonts w:eastAsia="Calibri"/>
          <w:sz w:val="22"/>
          <w:szCs w:val="22"/>
          <w:lang w:val="sr-Latn-ME"/>
        </w:rPr>
        <w:t>Bulevar Ivana Crnojevića 64a, 81000 Podgorica</w:t>
      </w:r>
    </w:p>
    <w:p w14:paraId="1E581ECF" w14:textId="77777777" w:rsidR="00EA5765" w:rsidRPr="00F85CA6" w:rsidRDefault="00EA5765" w:rsidP="00A46C9A">
      <w:pPr>
        <w:pStyle w:val="NoSpacing"/>
        <w:rPr>
          <w:rFonts w:eastAsia="Calibri"/>
          <w:sz w:val="22"/>
          <w:szCs w:val="22"/>
          <w:lang w:val="sr-Latn-ME"/>
        </w:rPr>
      </w:pPr>
    </w:p>
    <w:p w14:paraId="35A2A711" w14:textId="77777777" w:rsidR="005A23D2" w:rsidRPr="00F85CA6" w:rsidRDefault="005A23D2" w:rsidP="00A46C9A">
      <w:pPr>
        <w:pStyle w:val="NoSpacing"/>
        <w:jc w:val="both"/>
        <w:rPr>
          <w:rFonts w:eastAsia="Calibri"/>
          <w:sz w:val="22"/>
          <w:szCs w:val="22"/>
          <w:lang w:val="sr-Latn-ME"/>
        </w:rPr>
      </w:pPr>
      <w:r w:rsidRPr="00F85CA6">
        <w:rPr>
          <w:rFonts w:eastAsia="Calibri"/>
          <w:sz w:val="22"/>
          <w:szCs w:val="22"/>
          <w:lang w:val="sr-Latn-ME"/>
        </w:rPr>
        <w:t>tel: +382 (0) 20 310 280</w:t>
      </w:r>
    </w:p>
    <w:p w14:paraId="3BF01609" w14:textId="77777777" w:rsidR="00EA5765" w:rsidRPr="00F85CA6" w:rsidRDefault="005A23D2" w:rsidP="00FF3EDF">
      <w:pPr>
        <w:pStyle w:val="NoSpacing"/>
        <w:tabs>
          <w:tab w:val="left" w:pos="6720"/>
        </w:tabs>
        <w:jc w:val="both"/>
        <w:rPr>
          <w:rFonts w:eastAsia="Calibri"/>
          <w:sz w:val="22"/>
          <w:szCs w:val="22"/>
          <w:lang w:val="sr-Latn-ME"/>
        </w:rPr>
      </w:pPr>
      <w:r w:rsidRPr="00F85CA6">
        <w:rPr>
          <w:rFonts w:eastAsia="Calibri"/>
          <w:sz w:val="22"/>
          <w:szCs w:val="22"/>
          <w:lang w:val="sr-Latn-ME"/>
        </w:rPr>
        <w:t>fax:</w:t>
      </w:r>
      <w:r w:rsidR="00EA5765" w:rsidRPr="00F85CA6">
        <w:rPr>
          <w:rFonts w:eastAsia="Calibri"/>
          <w:sz w:val="22"/>
          <w:szCs w:val="22"/>
          <w:lang w:val="sr-Latn-ME"/>
        </w:rPr>
        <w:t xml:space="preserve"> </w:t>
      </w:r>
      <w:r w:rsidRPr="00F85CA6">
        <w:rPr>
          <w:rFonts w:eastAsia="Calibri"/>
          <w:sz w:val="22"/>
          <w:szCs w:val="22"/>
          <w:lang w:val="sr-Latn-ME"/>
        </w:rPr>
        <w:t>+382 (0) 20 310 581</w:t>
      </w:r>
      <w:r w:rsidR="00FF3EDF" w:rsidRPr="00F85CA6">
        <w:rPr>
          <w:rFonts w:eastAsia="Calibri"/>
          <w:sz w:val="22"/>
          <w:szCs w:val="22"/>
          <w:lang w:val="sr-Latn-ME"/>
        </w:rPr>
        <w:tab/>
      </w:r>
    </w:p>
    <w:p w14:paraId="048A2F77" w14:textId="77777777" w:rsidR="005A23D2" w:rsidRPr="00F85CA6" w:rsidRDefault="008B4E12" w:rsidP="00A46C9A">
      <w:pPr>
        <w:pStyle w:val="NoSpacing"/>
        <w:jc w:val="both"/>
        <w:rPr>
          <w:rFonts w:eastAsia="Calibri"/>
          <w:sz w:val="22"/>
          <w:szCs w:val="22"/>
          <w:lang w:val="sr-Latn-ME"/>
        </w:rPr>
      </w:pPr>
      <w:hyperlink r:id="rId8" w:history="1">
        <w:r w:rsidR="004E70AD" w:rsidRPr="00F85CA6">
          <w:rPr>
            <w:rStyle w:val="Hyperlink"/>
            <w:rFonts w:eastAsia="Calibri"/>
            <w:sz w:val="22"/>
            <w:szCs w:val="22"/>
            <w:lang w:val="sr-Latn-ME"/>
          </w:rPr>
          <w:t>www.cinmed.me</w:t>
        </w:r>
      </w:hyperlink>
    </w:p>
    <w:p w14:paraId="444B93B0" w14:textId="77777777" w:rsidR="00EA5765" w:rsidRPr="00F85CA6" w:rsidRDefault="008B4E12" w:rsidP="00A46C9A">
      <w:pPr>
        <w:pStyle w:val="NoSpacing"/>
        <w:jc w:val="both"/>
        <w:rPr>
          <w:rFonts w:eastAsia="Calibri"/>
          <w:color w:val="0000FF"/>
          <w:sz w:val="22"/>
          <w:szCs w:val="22"/>
          <w:u w:val="single"/>
          <w:lang w:val="sr-Latn-ME"/>
        </w:rPr>
      </w:pPr>
      <w:hyperlink r:id="rId9" w:history="1">
        <w:r w:rsidR="004E70AD" w:rsidRPr="00F85CA6">
          <w:rPr>
            <w:rStyle w:val="Hyperlink"/>
            <w:rFonts w:eastAsia="Calibri"/>
            <w:sz w:val="22"/>
            <w:szCs w:val="22"/>
            <w:lang w:val="sr-Latn-ME"/>
          </w:rPr>
          <w:t>nezeljenadejstva@cinmed.me</w:t>
        </w:r>
      </w:hyperlink>
    </w:p>
    <w:p w14:paraId="226DAE44" w14:textId="77777777" w:rsidR="005A23D2" w:rsidRPr="00F85CA6" w:rsidRDefault="005A23D2" w:rsidP="00A46C9A">
      <w:pPr>
        <w:pStyle w:val="NoSpacing"/>
        <w:jc w:val="both"/>
        <w:rPr>
          <w:rFonts w:eastAsia="Calibri"/>
          <w:sz w:val="22"/>
          <w:szCs w:val="22"/>
          <w:lang w:val="sr-Latn-ME"/>
        </w:rPr>
      </w:pPr>
      <w:r w:rsidRPr="00F85CA6">
        <w:rPr>
          <w:rFonts w:eastAsia="Calibri"/>
          <w:sz w:val="22"/>
          <w:szCs w:val="22"/>
          <w:lang w:val="sr-Latn-ME"/>
        </w:rPr>
        <w:t>putem IS zdravstvene zaštite</w:t>
      </w:r>
    </w:p>
    <w:p w14:paraId="64C32CAF" w14:textId="77777777" w:rsidR="007E31E9" w:rsidRPr="00F85CA6" w:rsidRDefault="007E31E9" w:rsidP="00A46C9A">
      <w:pPr>
        <w:pStyle w:val="NoSpacing"/>
        <w:jc w:val="both"/>
        <w:rPr>
          <w:rFonts w:eastAsia="Calibri"/>
          <w:sz w:val="22"/>
          <w:szCs w:val="22"/>
          <w:lang w:val="sr-Latn-ME"/>
        </w:rPr>
      </w:pPr>
      <w:r w:rsidRPr="00F85CA6">
        <w:rPr>
          <w:rFonts w:eastAsia="Calibri"/>
          <w:sz w:val="22"/>
          <w:szCs w:val="22"/>
          <w:lang w:val="sr-Latn-ME"/>
        </w:rPr>
        <w:t>QR kod za online prijavu</w:t>
      </w:r>
      <w:r w:rsidR="00D74CD2" w:rsidRPr="00F85CA6">
        <w:rPr>
          <w:rFonts w:eastAsia="Calibri"/>
          <w:sz w:val="22"/>
          <w:szCs w:val="22"/>
          <w:lang w:val="sr-Latn-ME"/>
        </w:rPr>
        <w:t xml:space="preserve"> sumnje na neželjeno dejstvo lijeka</w:t>
      </w:r>
      <w:r w:rsidRPr="00F85CA6">
        <w:rPr>
          <w:rFonts w:eastAsia="Calibri"/>
          <w:sz w:val="22"/>
          <w:szCs w:val="22"/>
          <w:lang w:val="sr-Latn-ME"/>
        </w:rPr>
        <w:t>:</w:t>
      </w:r>
    </w:p>
    <w:p w14:paraId="2E962871" w14:textId="77777777" w:rsidR="007E31E9" w:rsidRPr="00F85CA6" w:rsidRDefault="007E31E9" w:rsidP="00A46C9A">
      <w:pPr>
        <w:pStyle w:val="NoSpacing"/>
        <w:jc w:val="both"/>
        <w:rPr>
          <w:rFonts w:eastAsia="Calibri"/>
          <w:sz w:val="22"/>
          <w:szCs w:val="22"/>
          <w:lang w:val="sr-Latn-ME"/>
        </w:rPr>
      </w:pPr>
    </w:p>
    <w:p w14:paraId="519A3BFC" w14:textId="77777777" w:rsidR="004F17E2" w:rsidRPr="00F85CA6" w:rsidRDefault="007E31E9" w:rsidP="007E31E9">
      <w:pPr>
        <w:pStyle w:val="NoSpacing"/>
        <w:rPr>
          <w:rFonts w:eastAsia="Calibri"/>
          <w:sz w:val="22"/>
          <w:szCs w:val="22"/>
          <w:lang w:val="sr-Latn-ME"/>
        </w:rPr>
      </w:pPr>
      <w:r w:rsidRPr="00F85CA6">
        <w:rPr>
          <w:noProof/>
          <w:sz w:val="22"/>
          <w:szCs w:val="22"/>
          <w:lang w:val="sr-Latn-ME" w:eastAsia="sr-Latn-ME"/>
        </w:rPr>
        <w:drawing>
          <wp:inline distT="0" distB="0" distL="0" distR="0" wp14:anchorId="45BFA4A0" wp14:editId="641B7320">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24FC1095" w14:textId="77777777" w:rsidR="00836B35" w:rsidRPr="00F85CA6" w:rsidRDefault="00836B35" w:rsidP="00480FB1">
      <w:pPr>
        <w:tabs>
          <w:tab w:val="left" w:pos="540"/>
          <w:tab w:val="left" w:pos="569"/>
        </w:tabs>
        <w:rPr>
          <w:b/>
          <w:bCs/>
          <w:sz w:val="22"/>
          <w:szCs w:val="22"/>
          <w:lang w:val="sr-Latn-ME"/>
        </w:rPr>
      </w:pPr>
    </w:p>
    <w:bookmarkEnd w:id="20"/>
    <w:p w14:paraId="7514FC64" w14:textId="7200DC81" w:rsidR="00CD6F02" w:rsidRPr="00F85CA6" w:rsidRDefault="0072020E" w:rsidP="00480FB1">
      <w:pPr>
        <w:tabs>
          <w:tab w:val="left" w:pos="540"/>
          <w:tab w:val="left" w:pos="569"/>
        </w:tabs>
        <w:rPr>
          <w:b/>
          <w:bCs/>
          <w:sz w:val="22"/>
          <w:szCs w:val="22"/>
          <w:lang w:val="sr-Latn-ME"/>
        </w:rPr>
      </w:pPr>
      <w:r w:rsidRPr="00F85CA6">
        <w:rPr>
          <w:b/>
          <w:bCs/>
          <w:sz w:val="22"/>
          <w:szCs w:val="22"/>
          <w:lang w:val="sr-Latn-ME"/>
        </w:rPr>
        <w:t xml:space="preserve">4.9. </w:t>
      </w:r>
      <w:r w:rsidR="00480FB1" w:rsidRPr="00F85CA6">
        <w:rPr>
          <w:b/>
          <w:bCs/>
          <w:sz w:val="22"/>
          <w:szCs w:val="22"/>
          <w:lang w:val="sr-Latn-ME"/>
        </w:rPr>
        <w:tab/>
      </w:r>
      <w:r w:rsidR="003E5AF3" w:rsidRPr="00F85CA6">
        <w:rPr>
          <w:b/>
          <w:bCs/>
          <w:sz w:val="22"/>
          <w:szCs w:val="22"/>
          <w:lang w:val="sr-Latn-ME"/>
        </w:rPr>
        <w:t>Pre</w:t>
      </w:r>
      <w:r w:rsidRPr="00F85CA6">
        <w:rPr>
          <w:b/>
          <w:bCs/>
          <w:sz w:val="22"/>
          <w:szCs w:val="22"/>
          <w:lang w:val="sr-Latn-ME"/>
        </w:rPr>
        <w:t>doziranje</w:t>
      </w:r>
      <w:r w:rsidR="002846DB" w:rsidRPr="00F85CA6">
        <w:rPr>
          <w:b/>
          <w:bCs/>
          <w:sz w:val="22"/>
          <w:szCs w:val="22"/>
          <w:lang w:val="sr-Latn-ME"/>
        </w:rPr>
        <w:t xml:space="preserve"> </w:t>
      </w:r>
    </w:p>
    <w:p w14:paraId="4123877B" w14:textId="77777777" w:rsidR="00CD6F02" w:rsidRPr="00F85CA6" w:rsidRDefault="00CD6F02" w:rsidP="00480FB1">
      <w:pPr>
        <w:tabs>
          <w:tab w:val="left" w:pos="540"/>
          <w:tab w:val="left" w:pos="569"/>
        </w:tabs>
        <w:rPr>
          <w:b/>
          <w:bCs/>
          <w:sz w:val="22"/>
          <w:szCs w:val="22"/>
          <w:lang w:val="sr-Latn-ME"/>
        </w:rPr>
      </w:pPr>
    </w:p>
    <w:p w14:paraId="6776DEAE" w14:textId="2986899D" w:rsidR="00423EDE" w:rsidRPr="00F85CA6" w:rsidRDefault="00423EDE" w:rsidP="00423EDE">
      <w:pPr>
        <w:jc w:val="both"/>
        <w:rPr>
          <w:rFonts w:eastAsia="Calibri"/>
          <w:sz w:val="22"/>
          <w:szCs w:val="22"/>
          <w:lang w:val="sr-Latn-ME"/>
        </w:rPr>
      </w:pPr>
      <w:r w:rsidRPr="00F85CA6">
        <w:rPr>
          <w:rFonts w:eastAsia="Calibri"/>
          <w:sz w:val="22"/>
          <w:szCs w:val="22"/>
          <w:lang w:val="sr-Latn-ME"/>
        </w:rPr>
        <w:t xml:space="preserve">Doze dabigatraneteksilata koje premašuju preporučene doze izlažu pacijenta povećanom riziku od krvarenja. </w:t>
      </w:r>
    </w:p>
    <w:p w14:paraId="564997D8" w14:textId="77777777" w:rsidR="00423EDE" w:rsidRPr="00F85CA6" w:rsidRDefault="00423EDE" w:rsidP="00423EDE">
      <w:pPr>
        <w:jc w:val="both"/>
        <w:rPr>
          <w:rFonts w:eastAsia="Calibri"/>
          <w:sz w:val="22"/>
          <w:szCs w:val="22"/>
          <w:lang w:val="sr-Latn-ME"/>
        </w:rPr>
      </w:pPr>
    </w:p>
    <w:p w14:paraId="6053231E" w14:textId="3C68960D" w:rsidR="00423EDE" w:rsidRPr="00F85CA6" w:rsidRDefault="00423EDE" w:rsidP="00423EDE">
      <w:pPr>
        <w:jc w:val="both"/>
        <w:rPr>
          <w:rFonts w:eastAsia="Calibri"/>
          <w:sz w:val="22"/>
          <w:szCs w:val="22"/>
          <w:lang w:val="sr-Latn-ME"/>
        </w:rPr>
      </w:pPr>
      <w:r w:rsidRPr="00F85CA6">
        <w:rPr>
          <w:rFonts w:eastAsia="Calibri"/>
          <w:sz w:val="22"/>
          <w:szCs w:val="22"/>
          <w:lang w:val="sr-Latn-ME"/>
        </w:rPr>
        <w:t xml:space="preserve">U slučaju sumnje na predoziranje, testovi koagulacije mogu da pomognu da se odredi rizik od krvarenja (vidjeti </w:t>
      </w:r>
      <w:r w:rsidR="002F42CD" w:rsidRPr="00F85CA6">
        <w:rPr>
          <w:rFonts w:eastAsia="Calibri"/>
          <w:sz w:val="22"/>
          <w:szCs w:val="22"/>
          <w:lang w:val="sr-Latn-ME"/>
        </w:rPr>
        <w:t xml:space="preserve">djelove </w:t>
      </w:r>
      <w:r w:rsidRPr="00F85CA6">
        <w:rPr>
          <w:rFonts w:eastAsia="Calibri"/>
          <w:sz w:val="22"/>
          <w:szCs w:val="22"/>
          <w:lang w:val="sr-Latn-ME"/>
        </w:rPr>
        <w:t>4.4. i 5.1). Kalibrisani kvantitativni dTT test ili ponovljena dTT m</w:t>
      </w:r>
      <w:r w:rsidR="002F42CD" w:rsidRPr="00F85CA6">
        <w:rPr>
          <w:rFonts w:eastAsia="Calibri"/>
          <w:sz w:val="22"/>
          <w:szCs w:val="22"/>
          <w:lang w:val="sr-Latn-ME"/>
        </w:rPr>
        <w:t>j</w:t>
      </w:r>
      <w:r w:rsidRPr="00F85CA6">
        <w:rPr>
          <w:rFonts w:eastAsia="Calibri"/>
          <w:sz w:val="22"/>
          <w:szCs w:val="22"/>
          <w:lang w:val="sr-Latn-ME"/>
        </w:rPr>
        <w:t xml:space="preserve">erenja omogućavaju predviđanje vremena do kada će određene koncentracije dabigatrana biti postignute (vidjeti </w:t>
      </w:r>
      <w:r w:rsidR="002F42CD" w:rsidRPr="00F85CA6">
        <w:rPr>
          <w:rFonts w:eastAsia="Calibri"/>
          <w:sz w:val="22"/>
          <w:szCs w:val="22"/>
          <w:lang w:val="sr-Latn-ME"/>
        </w:rPr>
        <w:t>dio</w:t>
      </w:r>
      <w:r w:rsidRPr="00F85CA6">
        <w:rPr>
          <w:rFonts w:eastAsia="Calibri"/>
          <w:sz w:val="22"/>
          <w:szCs w:val="22"/>
          <w:lang w:val="sr-Latn-ME"/>
        </w:rPr>
        <w:t xml:space="preserve"> 5.1), i u slučaju kada su započete dodatne mjere npr. dijaliza. </w:t>
      </w:r>
    </w:p>
    <w:p w14:paraId="70771415" w14:textId="77777777" w:rsidR="00423EDE" w:rsidRPr="00F85CA6" w:rsidRDefault="00423EDE" w:rsidP="00423EDE">
      <w:pPr>
        <w:jc w:val="both"/>
        <w:rPr>
          <w:rFonts w:eastAsia="Calibri"/>
          <w:sz w:val="22"/>
          <w:szCs w:val="22"/>
          <w:lang w:val="sr-Latn-ME"/>
        </w:rPr>
      </w:pPr>
    </w:p>
    <w:p w14:paraId="234A4FD5" w14:textId="1B0B6D13" w:rsidR="00423EDE" w:rsidRPr="00F85CA6" w:rsidRDefault="00423EDE" w:rsidP="00423EDE">
      <w:pPr>
        <w:jc w:val="both"/>
        <w:rPr>
          <w:rFonts w:eastAsia="Calibri"/>
          <w:sz w:val="22"/>
          <w:szCs w:val="22"/>
          <w:lang w:val="sr-Latn-ME"/>
        </w:rPr>
      </w:pPr>
      <w:r w:rsidRPr="00F85CA6">
        <w:rPr>
          <w:rFonts w:eastAsia="Calibri"/>
          <w:sz w:val="22"/>
          <w:szCs w:val="22"/>
          <w:lang w:val="sr-Latn-ME"/>
        </w:rPr>
        <w:t>Prekom</w:t>
      </w:r>
      <w:r w:rsidR="003F3434" w:rsidRPr="00F85CA6">
        <w:rPr>
          <w:rFonts w:eastAsia="Calibri"/>
          <w:sz w:val="22"/>
          <w:szCs w:val="22"/>
          <w:lang w:val="sr-Latn-ME"/>
        </w:rPr>
        <w:t>j</w:t>
      </w:r>
      <w:r w:rsidRPr="00F85CA6">
        <w:rPr>
          <w:rFonts w:eastAsia="Calibri"/>
          <w:sz w:val="22"/>
          <w:szCs w:val="22"/>
          <w:lang w:val="sr-Latn-ME"/>
        </w:rPr>
        <w:t>erna inhibicija koagulacije može da zaht</w:t>
      </w:r>
      <w:r w:rsidR="002F42CD" w:rsidRPr="00F85CA6">
        <w:rPr>
          <w:rFonts w:eastAsia="Calibri"/>
          <w:sz w:val="22"/>
          <w:szCs w:val="22"/>
          <w:lang w:val="sr-Latn-ME"/>
        </w:rPr>
        <w:t>i</w:t>
      </w:r>
      <w:r w:rsidRPr="00F85CA6">
        <w:rPr>
          <w:rFonts w:eastAsia="Calibri"/>
          <w:sz w:val="22"/>
          <w:szCs w:val="22"/>
          <w:lang w:val="sr-Latn-ME"/>
        </w:rPr>
        <w:t>jeva prekid terapije dabigatrane</w:t>
      </w:r>
      <w:r w:rsidR="00FC0882" w:rsidRPr="00F85CA6">
        <w:rPr>
          <w:rFonts w:eastAsia="Calibri"/>
          <w:sz w:val="22"/>
          <w:szCs w:val="22"/>
          <w:lang w:val="sr-Latn-ME"/>
        </w:rPr>
        <w:t xml:space="preserve"> </w:t>
      </w:r>
      <w:r w:rsidRPr="00F85CA6">
        <w:rPr>
          <w:rFonts w:eastAsia="Calibri"/>
          <w:sz w:val="22"/>
          <w:szCs w:val="22"/>
          <w:lang w:val="sr-Latn-ME"/>
        </w:rPr>
        <w:t xml:space="preserve">teksilatom. S obzirom na to da se dabigatran izlučuje uglavnom putem bubrega, mora se održavati odgovarajuća diureza. Kako je vezivanje za proteine malo, dabigatran se može ukloniti dijalizom; postoji ograničeno kliničko iskustvo koje bi pokazalo korisnost ovog pristupa u kliničkim studijama (vidjeti </w:t>
      </w:r>
      <w:r w:rsidR="002F42CD" w:rsidRPr="00F85CA6">
        <w:rPr>
          <w:rFonts w:eastAsia="Calibri"/>
          <w:sz w:val="22"/>
          <w:szCs w:val="22"/>
          <w:lang w:val="sr-Latn-ME"/>
        </w:rPr>
        <w:t>dio</w:t>
      </w:r>
      <w:r w:rsidRPr="00F85CA6">
        <w:rPr>
          <w:rFonts w:eastAsia="Calibri"/>
          <w:sz w:val="22"/>
          <w:szCs w:val="22"/>
          <w:lang w:val="sr-Latn-ME"/>
        </w:rPr>
        <w:t xml:space="preserve"> 5.2).</w:t>
      </w:r>
    </w:p>
    <w:p w14:paraId="74E56EED" w14:textId="77777777" w:rsidR="00423EDE" w:rsidRPr="00F85CA6" w:rsidRDefault="00423EDE" w:rsidP="00423EDE">
      <w:pPr>
        <w:jc w:val="both"/>
        <w:rPr>
          <w:rFonts w:eastAsia="Calibri"/>
          <w:sz w:val="22"/>
          <w:szCs w:val="22"/>
          <w:lang w:val="sr-Latn-ME"/>
        </w:rPr>
      </w:pPr>
    </w:p>
    <w:p w14:paraId="20DD5E0E" w14:textId="77777777" w:rsidR="00423EDE" w:rsidRPr="00F85CA6" w:rsidRDefault="00423EDE" w:rsidP="00423EDE">
      <w:pPr>
        <w:jc w:val="both"/>
        <w:rPr>
          <w:rFonts w:eastAsia="Calibri"/>
          <w:sz w:val="22"/>
          <w:szCs w:val="22"/>
          <w:u w:val="single"/>
          <w:lang w:val="sr-Latn-ME"/>
        </w:rPr>
      </w:pPr>
      <w:r w:rsidRPr="00F85CA6">
        <w:rPr>
          <w:rFonts w:eastAsia="Calibri"/>
          <w:sz w:val="22"/>
          <w:szCs w:val="22"/>
          <w:u w:val="single"/>
          <w:lang w:val="sr-Latn-ME"/>
        </w:rPr>
        <w:t>Zbrinjavanje komplikacija krvarenja</w:t>
      </w:r>
    </w:p>
    <w:p w14:paraId="676DFE8C" w14:textId="77777777" w:rsidR="00423EDE" w:rsidRPr="00F85CA6" w:rsidRDefault="00423EDE" w:rsidP="00423EDE">
      <w:pPr>
        <w:jc w:val="both"/>
        <w:rPr>
          <w:rFonts w:eastAsia="Calibri"/>
          <w:sz w:val="22"/>
          <w:szCs w:val="22"/>
          <w:u w:val="single"/>
          <w:lang w:val="sr-Latn-ME"/>
        </w:rPr>
      </w:pPr>
    </w:p>
    <w:p w14:paraId="01CB3B4C" w14:textId="3EF3A162" w:rsidR="00423EDE" w:rsidRPr="00F85CA6" w:rsidRDefault="00423EDE" w:rsidP="00423EDE">
      <w:pPr>
        <w:jc w:val="both"/>
        <w:rPr>
          <w:rFonts w:eastAsia="Calibri"/>
          <w:sz w:val="22"/>
          <w:szCs w:val="22"/>
          <w:lang w:val="sr-Latn-ME"/>
        </w:rPr>
      </w:pPr>
      <w:r w:rsidRPr="00F85CA6">
        <w:rPr>
          <w:rFonts w:eastAsia="Calibri"/>
          <w:sz w:val="22"/>
          <w:szCs w:val="22"/>
          <w:lang w:val="sr-Latn-ME"/>
        </w:rPr>
        <w:t>U slučaju hemoragijskih komplikacija, terapija dabigatrane</w:t>
      </w:r>
      <w:r w:rsidR="00FC0882" w:rsidRPr="00F85CA6">
        <w:rPr>
          <w:rFonts w:eastAsia="Calibri"/>
          <w:sz w:val="22"/>
          <w:szCs w:val="22"/>
          <w:lang w:val="sr-Latn-ME"/>
        </w:rPr>
        <w:t xml:space="preserve"> </w:t>
      </w:r>
      <w:r w:rsidRPr="00F85CA6">
        <w:rPr>
          <w:rFonts w:eastAsia="Calibri"/>
          <w:sz w:val="22"/>
          <w:szCs w:val="22"/>
          <w:lang w:val="sr-Latn-ME"/>
        </w:rPr>
        <w:t>teksilatom mora da se prekine, a izvor krvarenja mora da se is</w:t>
      </w:r>
      <w:r w:rsidR="00FC0882" w:rsidRPr="00F85CA6">
        <w:rPr>
          <w:rFonts w:eastAsia="Calibri"/>
          <w:sz w:val="22"/>
          <w:szCs w:val="22"/>
          <w:lang w:val="sr-Latn-ME"/>
        </w:rPr>
        <w:t>pita</w:t>
      </w:r>
      <w:r w:rsidRPr="00F85CA6">
        <w:rPr>
          <w:rFonts w:eastAsia="Calibri"/>
          <w:sz w:val="22"/>
          <w:szCs w:val="22"/>
          <w:lang w:val="sr-Latn-ME"/>
        </w:rPr>
        <w:t>. Zavisno od kliničke situacije, treba razmotriti uvođenje odgovarajuće suportivne terapije kao što je hirurška hemostaza i nadoknada volumena krvi, prema odluci l</w:t>
      </w:r>
      <w:r w:rsidR="002F42CD" w:rsidRPr="00F85CA6">
        <w:rPr>
          <w:rFonts w:eastAsia="Calibri"/>
          <w:sz w:val="22"/>
          <w:szCs w:val="22"/>
          <w:lang w:val="sr-Latn-ME"/>
        </w:rPr>
        <w:t>j</w:t>
      </w:r>
      <w:r w:rsidRPr="00F85CA6">
        <w:rPr>
          <w:rFonts w:eastAsia="Calibri"/>
          <w:sz w:val="22"/>
          <w:szCs w:val="22"/>
          <w:lang w:val="sr-Latn-ME"/>
        </w:rPr>
        <w:t xml:space="preserve">ekara koji propisuje lijek. </w:t>
      </w:r>
    </w:p>
    <w:p w14:paraId="6CAE7E71" w14:textId="77777777" w:rsidR="00423EDE" w:rsidRPr="00F85CA6" w:rsidRDefault="00423EDE" w:rsidP="00423EDE">
      <w:pPr>
        <w:jc w:val="both"/>
        <w:rPr>
          <w:rFonts w:eastAsia="Calibri"/>
          <w:sz w:val="22"/>
          <w:szCs w:val="22"/>
          <w:lang w:val="sr-Latn-ME"/>
        </w:rPr>
      </w:pPr>
    </w:p>
    <w:p w14:paraId="7D3598DB" w14:textId="58009A4A" w:rsidR="00423EDE" w:rsidRPr="00F85CA6" w:rsidRDefault="00423EDE" w:rsidP="00423EDE">
      <w:pPr>
        <w:jc w:val="both"/>
        <w:rPr>
          <w:rFonts w:eastAsia="Calibri"/>
          <w:sz w:val="22"/>
          <w:szCs w:val="22"/>
          <w:lang w:val="sr-Latn-ME"/>
        </w:rPr>
      </w:pPr>
      <w:r w:rsidRPr="00F85CA6">
        <w:rPr>
          <w:rFonts w:eastAsia="Calibri"/>
          <w:sz w:val="22"/>
          <w:szCs w:val="22"/>
          <w:lang w:val="sr-Latn-ME"/>
        </w:rPr>
        <w:lastRenderedPageBreak/>
        <w:t xml:space="preserve">Kod odraslih pacijenata, u situacijama kada je potrebno brzo poništavanje antikoagulantnog dejstva dabigatrana, dostupan je specifičan antagonist (idarucizumab) koji antagonizuje farmakodinamsko dejstvo dabigatrana. Efikasnost i bezbjednost idarucizumaba nije ustanovljena kod pedijatrijskih pacijenata (vidjeti </w:t>
      </w:r>
      <w:r w:rsidR="00B27BDB" w:rsidRPr="00F85CA6">
        <w:rPr>
          <w:rFonts w:eastAsia="Calibri"/>
          <w:sz w:val="22"/>
          <w:szCs w:val="22"/>
          <w:lang w:val="sr-Latn-ME"/>
        </w:rPr>
        <w:t>dio</w:t>
      </w:r>
      <w:r w:rsidRPr="00F85CA6">
        <w:rPr>
          <w:rFonts w:eastAsia="Calibri"/>
          <w:sz w:val="22"/>
          <w:szCs w:val="22"/>
          <w:lang w:val="sr-Latn-ME"/>
        </w:rPr>
        <w:t xml:space="preserve"> 4.4).</w:t>
      </w:r>
    </w:p>
    <w:p w14:paraId="0C35F862" w14:textId="77777777" w:rsidR="00423EDE" w:rsidRPr="00F85CA6" w:rsidRDefault="00423EDE" w:rsidP="00423EDE">
      <w:pPr>
        <w:jc w:val="both"/>
        <w:rPr>
          <w:rFonts w:eastAsia="Calibri"/>
          <w:sz w:val="22"/>
          <w:szCs w:val="22"/>
          <w:lang w:val="sr-Latn-ME"/>
        </w:rPr>
      </w:pPr>
    </w:p>
    <w:p w14:paraId="0D866D98" w14:textId="23830625" w:rsidR="00423EDE" w:rsidRPr="00F85CA6" w:rsidRDefault="00423EDE" w:rsidP="00423EDE">
      <w:pPr>
        <w:jc w:val="both"/>
        <w:rPr>
          <w:rFonts w:eastAsia="Calibri"/>
          <w:sz w:val="22"/>
          <w:szCs w:val="22"/>
          <w:lang w:val="sr-Latn-ME"/>
        </w:rPr>
      </w:pPr>
      <w:r w:rsidRPr="00F85CA6">
        <w:rPr>
          <w:rFonts w:eastAsia="Calibri"/>
          <w:sz w:val="22"/>
          <w:szCs w:val="22"/>
          <w:lang w:val="sr-Latn-ME"/>
        </w:rPr>
        <w:t xml:space="preserve">Mogu se uzeti u obzir koncentrati faktora koagulacije (aktivirani ili neaktivirani) ili rekombinantni Faktor VIIa. Postoje određeni eksperimentalni dokazi koji podržavaju ulogu ovih ljekova u poništavanju (reverziji) antikoagulantnog dejstva dabigatrana, ali podaci o njihovoj korisnosti u kliničkim uslovima i mogućem riziku od povratne (engl. </w:t>
      </w:r>
      <w:r w:rsidRPr="00F85CA6">
        <w:rPr>
          <w:rFonts w:eastAsia="Calibri"/>
          <w:i/>
          <w:iCs/>
          <w:sz w:val="22"/>
          <w:szCs w:val="22"/>
          <w:lang w:val="sr-Latn-ME"/>
        </w:rPr>
        <w:t>rebound</w:t>
      </w:r>
      <w:r w:rsidRPr="00F85CA6">
        <w:rPr>
          <w:rFonts w:eastAsia="Calibri"/>
          <w:sz w:val="22"/>
          <w:szCs w:val="22"/>
          <w:lang w:val="sr-Latn-ME"/>
        </w:rPr>
        <w:t xml:space="preserve">) tromboembolije su veoma ograničeni. Testovi koagulacije mogu da postanu nepouzdani nakon davanja predloženih koncentrata faktora koagulacije. Treba biti oprezan kada se tumače rezultati ovih testova. Treba razmotriti mogućnost </w:t>
      </w:r>
      <w:r w:rsidR="00FC0882" w:rsidRPr="00F85CA6">
        <w:rPr>
          <w:rFonts w:eastAsia="Calibri"/>
          <w:sz w:val="22"/>
          <w:szCs w:val="22"/>
          <w:lang w:val="sr-Latn-ME"/>
        </w:rPr>
        <w:t xml:space="preserve">primjene </w:t>
      </w:r>
      <w:r w:rsidRPr="00F85CA6">
        <w:rPr>
          <w:rFonts w:eastAsia="Calibri"/>
          <w:sz w:val="22"/>
          <w:szCs w:val="22"/>
          <w:lang w:val="sr-Latn-ME"/>
        </w:rPr>
        <w:t>koncentrata trombocita u slučajevima u kojima postoji trombocitopenija ili ako su korišćeni antitrombocitni ljekovi dugog dejstva. Svu simptomatsku terapiju treba dati prema odluci l</w:t>
      </w:r>
      <w:r w:rsidR="002F42CD" w:rsidRPr="00F85CA6">
        <w:rPr>
          <w:rFonts w:eastAsia="Calibri"/>
          <w:sz w:val="22"/>
          <w:szCs w:val="22"/>
          <w:lang w:val="sr-Latn-ME"/>
        </w:rPr>
        <w:t>j</w:t>
      </w:r>
      <w:r w:rsidRPr="00F85CA6">
        <w:rPr>
          <w:rFonts w:eastAsia="Calibri"/>
          <w:sz w:val="22"/>
          <w:szCs w:val="22"/>
          <w:lang w:val="sr-Latn-ME"/>
        </w:rPr>
        <w:t xml:space="preserve">ekara. </w:t>
      </w:r>
    </w:p>
    <w:p w14:paraId="79271737" w14:textId="77777777" w:rsidR="00423EDE" w:rsidRPr="00F85CA6" w:rsidRDefault="00423EDE" w:rsidP="00423EDE">
      <w:pPr>
        <w:jc w:val="both"/>
        <w:rPr>
          <w:rFonts w:eastAsia="Calibri"/>
          <w:sz w:val="22"/>
          <w:szCs w:val="22"/>
          <w:lang w:val="sr-Latn-ME"/>
        </w:rPr>
      </w:pPr>
    </w:p>
    <w:p w14:paraId="6BB27F41" w14:textId="77777777" w:rsidR="00423EDE" w:rsidRPr="00F85CA6" w:rsidRDefault="00423EDE" w:rsidP="00423EDE">
      <w:pPr>
        <w:jc w:val="both"/>
        <w:rPr>
          <w:rFonts w:eastAsia="Calibri"/>
          <w:sz w:val="22"/>
          <w:szCs w:val="22"/>
          <w:lang w:val="sr-Latn-ME"/>
        </w:rPr>
      </w:pPr>
      <w:r w:rsidRPr="00F85CA6">
        <w:rPr>
          <w:rFonts w:eastAsia="Calibri"/>
          <w:sz w:val="22"/>
          <w:szCs w:val="22"/>
          <w:lang w:val="sr-Latn-ME"/>
        </w:rPr>
        <w:t>Zavisno od lokalne raspoloživosti, u slučaju obilnijeg krvarenja, treba konsultovati specijalistu za koagulaciju.</w:t>
      </w:r>
    </w:p>
    <w:p w14:paraId="60F30E42" w14:textId="77777777" w:rsidR="00423EDE" w:rsidRPr="00F85CA6" w:rsidRDefault="00423EDE" w:rsidP="00480FB1">
      <w:pPr>
        <w:tabs>
          <w:tab w:val="left" w:pos="540"/>
          <w:tab w:val="left" w:pos="569"/>
        </w:tabs>
        <w:rPr>
          <w:b/>
          <w:bCs/>
          <w:sz w:val="22"/>
          <w:szCs w:val="22"/>
          <w:lang w:val="sr-Latn-ME"/>
        </w:rPr>
      </w:pPr>
    </w:p>
    <w:p w14:paraId="0B115CF8" w14:textId="77777777" w:rsidR="00227BDB" w:rsidRPr="00F85CA6" w:rsidRDefault="00227BDB" w:rsidP="00480FB1">
      <w:pPr>
        <w:tabs>
          <w:tab w:val="left" w:pos="540"/>
          <w:tab w:val="left" w:pos="569"/>
        </w:tabs>
        <w:rPr>
          <w:b/>
          <w:bCs/>
          <w:sz w:val="22"/>
          <w:szCs w:val="22"/>
          <w:lang w:val="sr-Latn-ME"/>
        </w:rPr>
      </w:pPr>
    </w:p>
    <w:p w14:paraId="34283D0F" w14:textId="77777777" w:rsidR="0072020E" w:rsidRPr="00F85CA6" w:rsidRDefault="0072020E" w:rsidP="00480FB1">
      <w:pPr>
        <w:tabs>
          <w:tab w:val="left" w:pos="540"/>
          <w:tab w:val="left" w:pos="569"/>
        </w:tabs>
        <w:rPr>
          <w:b/>
          <w:bCs/>
          <w:sz w:val="22"/>
          <w:szCs w:val="22"/>
          <w:lang w:val="sr-Latn-ME"/>
        </w:rPr>
      </w:pPr>
      <w:r w:rsidRPr="00F85CA6">
        <w:rPr>
          <w:b/>
          <w:bCs/>
          <w:sz w:val="22"/>
          <w:szCs w:val="22"/>
          <w:lang w:val="sr-Latn-ME"/>
        </w:rPr>
        <w:t xml:space="preserve">5. </w:t>
      </w:r>
      <w:r w:rsidR="00480FB1" w:rsidRPr="00F85CA6">
        <w:rPr>
          <w:b/>
          <w:bCs/>
          <w:sz w:val="22"/>
          <w:szCs w:val="22"/>
          <w:lang w:val="sr-Latn-ME"/>
        </w:rPr>
        <w:tab/>
      </w:r>
      <w:r w:rsidRPr="00F85CA6">
        <w:rPr>
          <w:b/>
          <w:bCs/>
          <w:sz w:val="22"/>
          <w:szCs w:val="22"/>
          <w:lang w:val="sr-Latn-ME"/>
        </w:rPr>
        <w:t>FARMAKOLOŠK</w:t>
      </w:r>
      <w:r w:rsidR="000D425A" w:rsidRPr="00F85CA6">
        <w:rPr>
          <w:b/>
          <w:bCs/>
          <w:sz w:val="22"/>
          <w:szCs w:val="22"/>
          <w:lang w:val="sr-Latn-ME"/>
        </w:rPr>
        <w:t>I</w:t>
      </w:r>
      <w:r w:rsidRPr="00F85CA6">
        <w:rPr>
          <w:b/>
          <w:bCs/>
          <w:sz w:val="22"/>
          <w:szCs w:val="22"/>
          <w:lang w:val="sr-Latn-ME"/>
        </w:rPr>
        <w:t xml:space="preserve"> PODACI</w:t>
      </w:r>
    </w:p>
    <w:p w14:paraId="06BB2D50" w14:textId="77777777" w:rsidR="0072020E" w:rsidRPr="00F85CA6" w:rsidRDefault="0072020E" w:rsidP="00480FB1">
      <w:pPr>
        <w:tabs>
          <w:tab w:val="left" w:pos="540"/>
          <w:tab w:val="left" w:pos="569"/>
        </w:tabs>
        <w:rPr>
          <w:b/>
          <w:bCs/>
          <w:sz w:val="22"/>
          <w:szCs w:val="22"/>
          <w:lang w:val="sr-Latn-ME"/>
        </w:rPr>
      </w:pPr>
    </w:p>
    <w:p w14:paraId="55C606C4" w14:textId="77777777" w:rsidR="0072020E" w:rsidRPr="00F85CA6" w:rsidRDefault="0072020E" w:rsidP="00480FB1">
      <w:pPr>
        <w:tabs>
          <w:tab w:val="left" w:pos="540"/>
          <w:tab w:val="left" w:pos="569"/>
        </w:tabs>
        <w:rPr>
          <w:b/>
          <w:bCs/>
          <w:sz w:val="22"/>
          <w:szCs w:val="22"/>
          <w:lang w:val="sr-Latn-ME"/>
        </w:rPr>
      </w:pPr>
      <w:r w:rsidRPr="00F85CA6">
        <w:rPr>
          <w:b/>
          <w:bCs/>
          <w:sz w:val="22"/>
          <w:szCs w:val="22"/>
          <w:lang w:val="sr-Latn-ME"/>
        </w:rPr>
        <w:t xml:space="preserve">5.1. </w:t>
      </w:r>
      <w:r w:rsidR="00480FB1" w:rsidRPr="00F85CA6">
        <w:rPr>
          <w:b/>
          <w:bCs/>
          <w:sz w:val="22"/>
          <w:szCs w:val="22"/>
          <w:lang w:val="sr-Latn-ME"/>
        </w:rPr>
        <w:tab/>
      </w:r>
      <w:r w:rsidRPr="00F85CA6">
        <w:rPr>
          <w:b/>
          <w:bCs/>
          <w:sz w:val="22"/>
          <w:szCs w:val="22"/>
          <w:lang w:val="sr-Latn-ME"/>
        </w:rPr>
        <w:t>Farmakodinamski podaci</w:t>
      </w:r>
      <w:r w:rsidR="003A7059" w:rsidRPr="00F85CA6">
        <w:rPr>
          <w:b/>
          <w:bCs/>
          <w:sz w:val="22"/>
          <w:szCs w:val="22"/>
          <w:lang w:val="sr-Latn-ME"/>
        </w:rPr>
        <w:t xml:space="preserve"> </w:t>
      </w:r>
    </w:p>
    <w:p w14:paraId="33F19156" w14:textId="77777777" w:rsidR="00A30F42" w:rsidRPr="00F85CA6" w:rsidRDefault="00A30F42" w:rsidP="00480FB1">
      <w:pPr>
        <w:tabs>
          <w:tab w:val="left" w:pos="540"/>
          <w:tab w:val="left" w:pos="569"/>
        </w:tabs>
        <w:rPr>
          <w:b/>
          <w:bCs/>
          <w:sz w:val="22"/>
          <w:szCs w:val="22"/>
          <w:lang w:val="sr-Latn-ME"/>
        </w:rPr>
      </w:pPr>
    </w:p>
    <w:p w14:paraId="3C4E12DD" w14:textId="3DAB6109" w:rsidR="00A30F42" w:rsidRPr="00F85CA6" w:rsidRDefault="00A30F42" w:rsidP="00A30F42">
      <w:pPr>
        <w:jc w:val="both"/>
        <w:rPr>
          <w:rFonts w:eastAsia="Calibri"/>
          <w:sz w:val="22"/>
          <w:szCs w:val="22"/>
          <w:lang w:val="sr-Latn-ME" w:bidi="en-US"/>
        </w:rPr>
      </w:pPr>
      <w:r w:rsidRPr="00F85CA6">
        <w:rPr>
          <w:rFonts w:eastAsia="Calibri"/>
          <w:b/>
          <w:bCs/>
          <w:sz w:val="22"/>
          <w:szCs w:val="22"/>
          <w:lang w:val="sr-Latn-ME" w:bidi="en-US"/>
        </w:rPr>
        <w:t>Farmakoterapijska grupa</w:t>
      </w:r>
      <w:r w:rsidRPr="00F85CA6">
        <w:rPr>
          <w:rFonts w:eastAsia="Calibri"/>
          <w:sz w:val="22"/>
          <w:szCs w:val="22"/>
          <w:lang w:val="sr-Latn-ME" w:bidi="en-US"/>
        </w:rPr>
        <w:t>: antitromboti</w:t>
      </w:r>
      <w:r w:rsidR="003339DC" w:rsidRPr="00F85CA6">
        <w:rPr>
          <w:rFonts w:eastAsia="Calibri"/>
          <w:sz w:val="22"/>
          <w:szCs w:val="22"/>
          <w:lang w:val="sr-Latn-ME" w:bidi="en-US"/>
        </w:rPr>
        <w:t xml:space="preserve">k, </w:t>
      </w:r>
      <w:r w:rsidRPr="00F85CA6">
        <w:rPr>
          <w:rFonts w:eastAsia="Calibri"/>
          <w:sz w:val="22"/>
          <w:szCs w:val="22"/>
          <w:lang w:val="sr-Latn-ME" w:bidi="en-US"/>
        </w:rPr>
        <w:t>direktni inhibitori trombina.</w:t>
      </w:r>
    </w:p>
    <w:p w14:paraId="1A368F9D" w14:textId="77777777" w:rsidR="00A30F42" w:rsidRPr="00F85CA6" w:rsidRDefault="00A30F42" w:rsidP="00A30F42">
      <w:pPr>
        <w:jc w:val="both"/>
        <w:rPr>
          <w:rFonts w:eastAsia="Calibri"/>
          <w:b/>
          <w:bCs/>
          <w:sz w:val="22"/>
          <w:szCs w:val="22"/>
          <w:lang w:val="sr-Latn-ME" w:bidi="en-US"/>
        </w:rPr>
      </w:pPr>
    </w:p>
    <w:p w14:paraId="3A304005" w14:textId="7C510F8F" w:rsidR="00A30F42" w:rsidRPr="00F85CA6" w:rsidRDefault="00A30F42" w:rsidP="00A30F42">
      <w:pPr>
        <w:jc w:val="both"/>
        <w:rPr>
          <w:rFonts w:eastAsia="Calibri"/>
          <w:sz w:val="22"/>
          <w:szCs w:val="22"/>
          <w:lang w:val="sr-Latn-ME" w:bidi="en-US"/>
        </w:rPr>
      </w:pPr>
      <w:r w:rsidRPr="00F85CA6">
        <w:rPr>
          <w:rFonts w:eastAsia="Calibri"/>
          <w:b/>
          <w:bCs/>
          <w:sz w:val="22"/>
          <w:szCs w:val="22"/>
          <w:lang w:val="sr-Latn-ME" w:bidi="en-US"/>
        </w:rPr>
        <w:t>ATC kod</w:t>
      </w:r>
      <w:r w:rsidRPr="00F85CA6">
        <w:rPr>
          <w:rFonts w:eastAsia="Calibri"/>
          <w:sz w:val="22"/>
          <w:szCs w:val="22"/>
          <w:lang w:val="sr-Latn-ME" w:bidi="en-US"/>
        </w:rPr>
        <w:t>: B01AE07</w:t>
      </w:r>
    </w:p>
    <w:p w14:paraId="6814CC51" w14:textId="77777777" w:rsidR="00A30F42" w:rsidRPr="00F85CA6" w:rsidRDefault="00A30F42" w:rsidP="00A30F42">
      <w:pPr>
        <w:jc w:val="both"/>
        <w:rPr>
          <w:rFonts w:eastAsia="Calibri"/>
          <w:sz w:val="22"/>
          <w:szCs w:val="22"/>
          <w:u w:val="single"/>
          <w:lang w:val="sr-Latn-ME" w:bidi="en-US"/>
        </w:rPr>
      </w:pPr>
    </w:p>
    <w:p w14:paraId="00EF2ABA" w14:textId="77777777" w:rsidR="00A30F42" w:rsidRPr="00F85CA6" w:rsidRDefault="00A30F42" w:rsidP="00A30F42">
      <w:pPr>
        <w:jc w:val="both"/>
        <w:rPr>
          <w:rFonts w:eastAsia="Calibri"/>
          <w:sz w:val="22"/>
          <w:szCs w:val="22"/>
          <w:u w:val="single"/>
          <w:lang w:val="sr-Latn-ME"/>
        </w:rPr>
      </w:pPr>
      <w:r w:rsidRPr="00F85CA6">
        <w:rPr>
          <w:rFonts w:eastAsia="Calibri"/>
          <w:sz w:val="22"/>
          <w:szCs w:val="22"/>
          <w:u w:val="single"/>
          <w:lang w:val="sr-Latn-ME"/>
        </w:rPr>
        <w:t>Mehanizam dejstva</w:t>
      </w:r>
    </w:p>
    <w:p w14:paraId="7246D93D" w14:textId="77777777" w:rsidR="00A30F42" w:rsidRPr="00F85CA6" w:rsidRDefault="00A30F42" w:rsidP="00A30F42">
      <w:pPr>
        <w:jc w:val="both"/>
        <w:rPr>
          <w:rFonts w:eastAsia="Calibri"/>
          <w:sz w:val="22"/>
          <w:szCs w:val="22"/>
          <w:u w:val="single"/>
          <w:lang w:val="sr-Latn-ME"/>
        </w:rPr>
      </w:pPr>
    </w:p>
    <w:p w14:paraId="2308F7CB" w14:textId="7D5DCA9E" w:rsidR="00A30F42" w:rsidRPr="00F85CA6" w:rsidRDefault="00A30F42" w:rsidP="00A30F42">
      <w:pPr>
        <w:jc w:val="both"/>
        <w:rPr>
          <w:rFonts w:eastAsia="Calibri"/>
          <w:sz w:val="22"/>
          <w:szCs w:val="22"/>
          <w:lang w:val="sr-Latn-ME"/>
        </w:rPr>
      </w:pPr>
      <w:r w:rsidRPr="00F85CA6">
        <w:rPr>
          <w:rFonts w:eastAsia="Calibri"/>
          <w:sz w:val="22"/>
          <w:szCs w:val="22"/>
          <w:lang w:val="sr-Latn-ME"/>
        </w:rPr>
        <w:t>Dabigatrane</w:t>
      </w:r>
      <w:r w:rsidR="003339DC" w:rsidRPr="00F85CA6">
        <w:rPr>
          <w:rFonts w:eastAsia="Calibri"/>
          <w:sz w:val="22"/>
          <w:szCs w:val="22"/>
          <w:lang w:val="sr-Latn-ME"/>
        </w:rPr>
        <w:t xml:space="preserve"> </w:t>
      </w:r>
      <w:r w:rsidRPr="00F85CA6">
        <w:rPr>
          <w:rFonts w:eastAsia="Calibri"/>
          <w:sz w:val="22"/>
          <w:szCs w:val="22"/>
          <w:lang w:val="sr-Latn-ME"/>
        </w:rPr>
        <w:t>teksilat je prol</w:t>
      </w:r>
      <w:r w:rsidR="002F42CD" w:rsidRPr="00F85CA6">
        <w:rPr>
          <w:rFonts w:eastAsia="Calibri"/>
          <w:sz w:val="22"/>
          <w:szCs w:val="22"/>
          <w:lang w:val="sr-Latn-ME"/>
        </w:rPr>
        <w:t>ij</w:t>
      </w:r>
      <w:r w:rsidRPr="00F85CA6">
        <w:rPr>
          <w:rFonts w:eastAsia="Calibri"/>
          <w:sz w:val="22"/>
          <w:szCs w:val="22"/>
          <w:lang w:val="sr-Latn-ME"/>
        </w:rPr>
        <w:t>ek u obliku malog molekula koji ne ispoljava nikakvu farmakološku aktivnost. Nakon oralne prim</w:t>
      </w:r>
      <w:r w:rsidR="002F42CD" w:rsidRPr="00F85CA6">
        <w:rPr>
          <w:rFonts w:eastAsia="Calibri"/>
          <w:sz w:val="22"/>
          <w:szCs w:val="22"/>
          <w:lang w:val="sr-Latn-ME"/>
        </w:rPr>
        <w:t>j</w:t>
      </w:r>
      <w:r w:rsidRPr="00F85CA6">
        <w:rPr>
          <w:rFonts w:eastAsia="Calibri"/>
          <w:sz w:val="22"/>
          <w:szCs w:val="22"/>
          <w:lang w:val="sr-Latn-ME"/>
        </w:rPr>
        <w:t>ene, dabigatrane</w:t>
      </w:r>
      <w:r w:rsidR="003339DC" w:rsidRPr="00F85CA6">
        <w:rPr>
          <w:rFonts w:eastAsia="Calibri"/>
          <w:sz w:val="22"/>
          <w:szCs w:val="22"/>
          <w:lang w:val="sr-Latn-ME"/>
        </w:rPr>
        <w:t xml:space="preserve"> </w:t>
      </w:r>
      <w:r w:rsidRPr="00F85CA6">
        <w:rPr>
          <w:rFonts w:eastAsia="Calibri"/>
          <w:sz w:val="22"/>
          <w:szCs w:val="22"/>
          <w:lang w:val="sr-Latn-ME"/>
        </w:rPr>
        <w:t xml:space="preserve">teksilat se brzo resorbuje i pretvara u dabigatran hidrolizom katalizovanom esterazama u plazmi i jetri. Dabigatran je snažan, kompetitivan, reverzibilan direktan inhibitor trombina i glavni je aktivni princip u plazmi. </w:t>
      </w:r>
    </w:p>
    <w:p w14:paraId="2A16E4B7" w14:textId="3C2AF341" w:rsidR="00A30F42" w:rsidRPr="00F85CA6" w:rsidRDefault="00A30F42" w:rsidP="00A30F42">
      <w:pPr>
        <w:jc w:val="both"/>
        <w:rPr>
          <w:rFonts w:eastAsia="Calibri"/>
          <w:sz w:val="22"/>
          <w:szCs w:val="22"/>
          <w:lang w:val="sr-Latn-ME"/>
        </w:rPr>
      </w:pPr>
      <w:r w:rsidRPr="00F85CA6">
        <w:rPr>
          <w:rFonts w:eastAsia="Calibri"/>
          <w:sz w:val="22"/>
          <w:szCs w:val="22"/>
          <w:lang w:val="sr-Latn-ME"/>
        </w:rPr>
        <w:t xml:space="preserve">S obzirom na to da trombin (serin proteaza) tokom koagulacione kaskade omogućava pretvaranje fibrinogena u fibrin, njegova inhibicija sprečava stvaranje tromba. Dabigatran inhibira slobodni trombin, trombin vezan za fibrin i agregaciju trombocita indukovanu trombinom. </w:t>
      </w:r>
    </w:p>
    <w:p w14:paraId="4B50FC46" w14:textId="77777777" w:rsidR="00A30F42" w:rsidRPr="00F85CA6" w:rsidRDefault="00A30F42" w:rsidP="00A30F42">
      <w:pPr>
        <w:jc w:val="both"/>
        <w:rPr>
          <w:rFonts w:eastAsia="Calibri"/>
          <w:sz w:val="22"/>
          <w:szCs w:val="22"/>
          <w:lang w:val="sr-Latn-ME"/>
        </w:rPr>
      </w:pPr>
    </w:p>
    <w:p w14:paraId="7CEAE151" w14:textId="77777777" w:rsidR="00A30F42" w:rsidRPr="00F85CA6" w:rsidRDefault="00A30F42" w:rsidP="00A30F42">
      <w:pPr>
        <w:jc w:val="both"/>
        <w:rPr>
          <w:rFonts w:eastAsia="Calibri"/>
          <w:sz w:val="22"/>
          <w:szCs w:val="22"/>
          <w:u w:val="single"/>
          <w:lang w:val="sr-Latn-ME"/>
        </w:rPr>
      </w:pPr>
      <w:r w:rsidRPr="00F85CA6">
        <w:rPr>
          <w:rFonts w:eastAsia="Calibri"/>
          <w:sz w:val="22"/>
          <w:szCs w:val="22"/>
          <w:u w:val="single"/>
          <w:lang w:val="sr-Latn-ME"/>
        </w:rPr>
        <w:t>Farmakodinamska dejstva</w:t>
      </w:r>
    </w:p>
    <w:p w14:paraId="59D2E319" w14:textId="77777777" w:rsidR="00A30F42" w:rsidRPr="00F85CA6" w:rsidRDefault="00A30F42" w:rsidP="00A30F42">
      <w:pPr>
        <w:jc w:val="both"/>
        <w:rPr>
          <w:rFonts w:eastAsia="Calibri"/>
          <w:sz w:val="22"/>
          <w:szCs w:val="22"/>
          <w:lang w:val="sr-Latn-ME"/>
        </w:rPr>
      </w:pPr>
    </w:p>
    <w:p w14:paraId="0A5F2DE5" w14:textId="3951494A" w:rsidR="00A30F42" w:rsidRPr="00F85CA6" w:rsidRDefault="00A30F42" w:rsidP="00A30F42">
      <w:pPr>
        <w:jc w:val="both"/>
        <w:rPr>
          <w:rFonts w:eastAsia="Calibri"/>
          <w:sz w:val="22"/>
          <w:szCs w:val="22"/>
          <w:lang w:val="sr-Latn-ME"/>
        </w:rPr>
      </w:pPr>
      <w:r w:rsidRPr="00F85CA6">
        <w:rPr>
          <w:rFonts w:eastAsia="Calibri"/>
          <w:sz w:val="22"/>
          <w:szCs w:val="22"/>
          <w:lang w:val="sr-Latn-ME"/>
        </w:rPr>
        <w:t xml:space="preserve">Studije na životinjama </w:t>
      </w:r>
      <w:r w:rsidRPr="00F85CA6">
        <w:rPr>
          <w:rFonts w:eastAsia="Calibri"/>
          <w:i/>
          <w:iCs/>
          <w:sz w:val="22"/>
          <w:szCs w:val="22"/>
          <w:lang w:val="sr-Latn-ME"/>
        </w:rPr>
        <w:t>in vivo</w:t>
      </w:r>
      <w:r w:rsidRPr="00F85CA6">
        <w:rPr>
          <w:rFonts w:eastAsia="Calibri"/>
          <w:sz w:val="22"/>
          <w:szCs w:val="22"/>
          <w:lang w:val="sr-Latn-ME"/>
        </w:rPr>
        <w:t xml:space="preserve"> i </w:t>
      </w:r>
      <w:r w:rsidRPr="00F85CA6">
        <w:rPr>
          <w:rFonts w:eastAsia="Calibri"/>
          <w:i/>
          <w:iCs/>
          <w:sz w:val="22"/>
          <w:szCs w:val="22"/>
          <w:lang w:val="sr-Latn-ME"/>
        </w:rPr>
        <w:t>ex vivo</w:t>
      </w:r>
      <w:r w:rsidRPr="00F85CA6">
        <w:rPr>
          <w:rFonts w:eastAsia="Calibri"/>
          <w:sz w:val="22"/>
          <w:szCs w:val="22"/>
          <w:lang w:val="sr-Latn-ME"/>
        </w:rPr>
        <w:t xml:space="preserve"> pokazale su antitrombotičnu efikasnost i antikoagulantnu aktivnost dabigatrana nakon intravenske prim</w:t>
      </w:r>
      <w:r w:rsidR="002F42CD" w:rsidRPr="00F85CA6">
        <w:rPr>
          <w:rFonts w:eastAsia="Calibri"/>
          <w:sz w:val="22"/>
          <w:szCs w:val="22"/>
          <w:lang w:val="sr-Latn-ME"/>
        </w:rPr>
        <w:t>j</w:t>
      </w:r>
      <w:r w:rsidRPr="00F85CA6">
        <w:rPr>
          <w:rFonts w:eastAsia="Calibri"/>
          <w:sz w:val="22"/>
          <w:szCs w:val="22"/>
          <w:lang w:val="sr-Latn-ME"/>
        </w:rPr>
        <w:t>ene i dabigatraneteksilata nakon oralne prim</w:t>
      </w:r>
      <w:r w:rsidR="002F42CD" w:rsidRPr="00F85CA6">
        <w:rPr>
          <w:rFonts w:eastAsia="Calibri"/>
          <w:sz w:val="22"/>
          <w:szCs w:val="22"/>
          <w:lang w:val="sr-Latn-ME"/>
        </w:rPr>
        <w:t>j</w:t>
      </w:r>
      <w:r w:rsidRPr="00F85CA6">
        <w:rPr>
          <w:rFonts w:eastAsia="Calibri"/>
          <w:sz w:val="22"/>
          <w:szCs w:val="22"/>
          <w:lang w:val="sr-Latn-ME"/>
        </w:rPr>
        <w:t>ene na raznim životinjskim modelima tromboze.</w:t>
      </w:r>
    </w:p>
    <w:p w14:paraId="00706EAE" w14:textId="77777777" w:rsidR="00A30F42" w:rsidRPr="00F85CA6" w:rsidRDefault="00A30F42" w:rsidP="00A30F42">
      <w:pPr>
        <w:jc w:val="both"/>
        <w:rPr>
          <w:rFonts w:eastAsia="Calibri"/>
          <w:sz w:val="22"/>
          <w:szCs w:val="22"/>
          <w:lang w:val="sr-Latn-ME"/>
        </w:rPr>
      </w:pPr>
    </w:p>
    <w:p w14:paraId="7452BD6F" w14:textId="6CC28E8F" w:rsidR="00A30F42" w:rsidRPr="00F85CA6" w:rsidRDefault="00A30F42" w:rsidP="00A30F42">
      <w:pPr>
        <w:jc w:val="both"/>
        <w:rPr>
          <w:rFonts w:eastAsia="Calibri"/>
          <w:sz w:val="22"/>
          <w:szCs w:val="22"/>
          <w:lang w:val="sr-Latn-ME"/>
        </w:rPr>
      </w:pPr>
      <w:r w:rsidRPr="00F85CA6">
        <w:rPr>
          <w:rFonts w:eastAsia="Calibri"/>
          <w:sz w:val="22"/>
          <w:szCs w:val="22"/>
          <w:lang w:val="sr-Latn-ME"/>
        </w:rPr>
        <w:t>Postoji jasna korelacija između koncentracije dabigatrana u plazmi i stepena antikoagulantnog dejstva na osnovu podataka iz studija II faze. Dabigatran produžava trombinsko vr</w:t>
      </w:r>
      <w:r w:rsidR="002F42CD" w:rsidRPr="00F85CA6">
        <w:rPr>
          <w:rFonts w:eastAsia="Calibri"/>
          <w:sz w:val="22"/>
          <w:szCs w:val="22"/>
          <w:lang w:val="sr-Latn-ME"/>
        </w:rPr>
        <w:t>ij</w:t>
      </w:r>
      <w:r w:rsidRPr="00F85CA6">
        <w:rPr>
          <w:rFonts w:eastAsia="Calibri"/>
          <w:sz w:val="22"/>
          <w:szCs w:val="22"/>
          <w:lang w:val="sr-Latn-ME"/>
        </w:rPr>
        <w:t>eme (TT), ECT i aPTT.</w:t>
      </w:r>
    </w:p>
    <w:p w14:paraId="253A3C52" w14:textId="77777777" w:rsidR="00A30F42" w:rsidRPr="00F85CA6" w:rsidRDefault="00A30F42" w:rsidP="00A30F42">
      <w:pPr>
        <w:jc w:val="both"/>
        <w:rPr>
          <w:rFonts w:eastAsia="Calibri"/>
          <w:sz w:val="22"/>
          <w:szCs w:val="22"/>
          <w:lang w:val="sr-Latn-ME"/>
        </w:rPr>
      </w:pPr>
    </w:p>
    <w:p w14:paraId="4628D182" w14:textId="7EE4075F" w:rsidR="00A30F42" w:rsidRPr="00F85CA6" w:rsidRDefault="00A30F42" w:rsidP="00A30F42">
      <w:pPr>
        <w:jc w:val="both"/>
        <w:rPr>
          <w:rFonts w:eastAsia="Calibri"/>
          <w:sz w:val="22"/>
          <w:szCs w:val="22"/>
          <w:lang w:val="sr-Latn-ME"/>
        </w:rPr>
      </w:pPr>
      <w:r w:rsidRPr="00F85CA6">
        <w:rPr>
          <w:rFonts w:eastAsia="Calibri"/>
          <w:sz w:val="22"/>
          <w:szCs w:val="22"/>
          <w:lang w:val="sr-Latn-ME"/>
        </w:rPr>
        <w:t xml:space="preserve">Test kalibrisanog kvantitativnog razblaženog trombinskog vremena (dTT) obezbjeđuje procjenu koncentracije dabigatrana u plazmi koja može da se uporedi sa očekivanim koncentracijama dabigatrana u plazmi. Kada kalibrisano određivanje dTT daje rezultat koji je na ili ispod granice kvantifikacije, potrebno je razmotriti uvođenje dodatnog određivanja koagulacije kao što je TT, ECT ili aPTT. </w:t>
      </w:r>
    </w:p>
    <w:p w14:paraId="26FA3927" w14:textId="77777777" w:rsidR="00A30F42" w:rsidRPr="00F85CA6" w:rsidRDefault="00A30F42" w:rsidP="00A30F42">
      <w:pPr>
        <w:jc w:val="both"/>
        <w:rPr>
          <w:rFonts w:eastAsia="Calibri"/>
          <w:sz w:val="22"/>
          <w:szCs w:val="22"/>
          <w:lang w:val="sr-Latn-ME"/>
        </w:rPr>
      </w:pPr>
    </w:p>
    <w:p w14:paraId="686F473C" w14:textId="77692FB5" w:rsidR="00A30F42" w:rsidRPr="00F85CA6" w:rsidRDefault="00A30F42" w:rsidP="00A30F42">
      <w:pPr>
        <w:jc w:val="both"/>
        <w:rPr>
          <w:rFonts w:eastAsia="Calibri"/>
          <w:sz w:val="22"/>
          <w:szCs w:val="22"/>
          <w:lang w:val="sr-Latn-ME"/>
        </w:rPr>
      </w:pPr>
      <w:r w:rsidRPr="00F85CA6">
        <w:rPr>
          <w:rFonts w:eastAsia="Calibri"/>
          <w:sz w:val="22"/>
          <w:szCs w:val="22"/>
          <w:lang w:val="sr-Latn-ME"/>
        </w:rPr>
        <w:t xml:space="preserve">ECT test može da omogući direktno mjerenje aktivnosti direktnih inhibitora trombina. </w:t>
      </w:r>
    </w:p>
    <w:p w14:paraId="100CC03C" w14:textId="77777777" w:rsidR="00A30F42" w:rsidRPr="00F85CA6" w:rsidRDefault="00A30F42" w:rsidP="00A30F42">
      <w:pPr>
        <w:jc w:val="both"/>
        <w:rPr>
          <w:rFonts w:eastAsia="Calibri"/>
          <w:sz w:val="22"/>
          <w:szCs w:val="22"/>
          <w:lang w:val="sr-Latn-ME"/>
        </w:rPr>
      </w:pPr>
    </w:p>
    <w:p w14:paraId="543785CD" w14:textId="2FDF239C" w:rsidR="00A30F42" w:rsidRPr="00F85CA6" w:rsidRDefault="00A30F42" w:rsidP="00A30F42">
      <w:pPr>
        <w:jc w:val="both"/>
        <w:rPr>
          <w:rFonts w:eastAsia="Calibri"/>
          <w:sz w:val="22"/>
          <w:szCs w:val="22"/>
          <w:lang w:val="sr-Latn-ME"/>
        </w:rPr>
      </w:pPr>
      <w:r w:rsidRPr="00F85CA6">
        <w:rPr>
          <w:rFonts w:eastAsia="Calibri"/>
          <w:sz w:val="22"/>
          <w:szCs w:val="22"/>
          <w:lang w:val="sr-Latn-ME"/>
        </w:rPr>
        <w:t>Aktivirano parcijalno tromboplastinsko vr</w:t>
      </w:r>
      <w:r w:rsidR="002F42CD" w:rsidRPr="00F85CA6">
        <w:rPr>
          <w:rFonts w:eastAsia="Calibri"/>
          <w:sz w:val="22"/>
          <w:szCs w:val="22"/>
          <w:lang w:val="sr-Latn-ME"/>
        </w:rPr>
        <w:t>ij</w:t>
      </w:r>
      <w:r w:rsidRPr="00F85CA6">
        <w:rPr>
          <w:rFonts w:eastAsia="Calibri"/>
          <w:sz w:val="22"/>
          <w:szCs w:val="22"/>
          <w:lang w:val="sr-Latn-ME"/>
        </w:rPr>
        <w:t>eme (aPTT) je široko dostupan test koji pruža aproksimativnu indikaciju intenziteta antikoagulacije postignutog sa dabigatranom. Međutim, aPTT test ima ograničenu osjetljivost i nije pogodan za preciznu kvantifikaciju antikoagulantnog dejstva, naročito pri velikim koncentracijama dabigatrana u plazmi. Mada velike aPTT vrijednosti treba tumačiti sa oprezom, velike aPTT vrijednosti ukazuju na antikoagulaciju kod pacijenta.</w:t>
      </w:r>
    </w:p>
    <w:p w14:paraId="4C9480E0" w14:textId="19E968D9" w:rsidR="00A30F42" w:rsidRPr="00F85CA6" w:rsidRDefault="00A30F42" w:rsidP="00A30F42">
      <w:pPr>
        <w:jc w:val="both"/>
        <w:rPr>
          <w:rFonts w:eastAsia="Calibri"/>
          <w:sz w:val="22"/>
          <w:szCs w:val="22"/>
          <w:lang w:val="sr-Latn-ME"/>
        </w:rPr>
      </w:pPr>
      <w:r w:rsidRPr="00F85CA6">
        <w:rPr>
          <w:rFonts w:eastAsia="Calibri"/>
          <w:sz w:val="22"/>
          <w:szCs w:val="22"/>
          <w:lang w:val="sr-Latn-ME"/>
        </w:rPr>
        <w:lastRenderedPageBreak/>
        <w:t>Generalno se može pretpostaviti da ova mjerenja antikoagulacione aktivnosti mogu da odražavaju koncentracije dabigatrana i da mogu da daju smjernice u proc</w:t>
      </w:r>
      <w:r w:rsidR="007E482C" w:rsidRPr="00F85CA6">
        <w:rPr>
          <w:rFonts w:eastAsia="Calibri"/>
          <w:sz w:val="22"/>
          <w:szCs w:val="22"/>
          <w:lang w:val="sr-Latn-ME"/>
        </w:rPr>
        <w:t>j</w:t>
      </w:r>
      <w:r w:rsidRPr="00F85CA6">
        <w:rPr>
          <w:rFonts w:eastAsia="Calibri"/>
          <w:sz w:val="22"/>
          <w:szCs w:val="22"/>
          <w:lang w:val="sr-Latn-ME"/>
        </w:rPr>
        <w:t>eni rizika od krvarenja, tj. u slučaju da prelaze 90. percentil najmanjih koncentracija dabigatrana ili određivanje koagulacije kao što je aPTT mjereno pri najmanjoj koncentraciji l</w:t>
      </w:r>
      <w:r w:rsidR="00163AD3" w:rsidRPr="00F85CA6">
        <w:rPr>
          <w:rFonts w:eastAsia="Calibri"/>
          <w:sz w:val="22"/>
          <w:szCs w:val="22"/>
          <w:lang w:val="sr-Latn-ME"/>
        </w:rPr>
        <w:t>ij</w:t>
      </w:r>
      <w:r w:rsidRPr="00F85CA6">
        <w:rPr>
          <w:rFonts w:eastAsia="Calibri"/>
          <w:sz w:val="22"/>
          <w:szCs w:val="22"/>
          <w:lang w:val="sr-Latn-ME"/>
        </w:rPr>
        <w:t xml:space="preserve">eka (za aPTT granične vrijednosti vidjeti tabelu 6 u </w:t>
      </w:r>
      <w:r w:rsidR="00163AD3" w:rsidRPr="00F85CA6">
        <w:rPr>
          <w:rFonts w:eastAsia="Calibri"/>
          <w:sz w:val="22"/>
          <w:szCs w:val="22"/>
          <w:lang w:val="sr-Latn-ME"/>
        </w:rPr>
        <w:t>dijelu</w:t>
      </w:r>
      <w:r w:rsidRPr="00F85CA6">
        <w:rPr>
          <w:rFonts w:eastAsia="Calibri"/>
          <w:sz w:val="22"/>
          <w:szCs w:val="22"/>
          <w:lang w:val="sr-Latn-ME"/>
        </w:rPr>
        <w:t xml:space="preserve"> 4.4) i smatra se da su povezana sa povećanim rizikom od krvarenja.</w:t>
      </w:r>
    </w:p>
    <w:p w14:paraId="7820F999" w14:textId="77777777" w:rsidR="00A30F42" w:rsidRPr="00F85CA6" w:rsidRDefault="00A30F42" w:rsidP="00A30F42">
      <w:pPr>
        <w:jc w:val="both"/>
        <w:rPr>
          <w:rFonts w:eastAsia="Calibri"/>
          <w:sz w:val="22"/>
          <w:szCs w:val="22"/>
          <w:lang w:val="sr-Latn-ME"/>
        </w:rPr>
      </w:pPr>
    </w:p>
    <w:p w14:paraId="241455D3" w14:textId="77777777" w:rsidR="00A30F42" w:rsidRPr="00F85CA6" w:rsidRDefault="00A30F42" w:rsidP="00A30F42">
      <w:pPr>
        <w:jc w:val="both"/>
        <w:rPr>
          <w:rFonts w:eastAsia="Calibri"/>
          <w:i/>
          <w:sz w:val="22"/>
          <w:szCs w:val="22"/>
          <w:u w:val="single"/>
          <w:lang w:val="sr-Latn-ME"/>
        </w:rPr>
      </w:pPr>
      <w:r w:rsidRPr="00F85CA6">
        <w:rPr>
          <w:rFonts w:eastAsia="Calibri"/>
          <w:i/>
          <w:sz w:val="22"/>
          <w:szCs w:val="22"/>
          <w:u w:val="single"/>
          <w:lang w:val="sr-Latn-ME"/>
        </w:rPr>
        <w:t>Primarna prevencija VTE u ortopedskoj hirurgiji</w:t>
      </w:r>
    </w:p>
    <w:p w14:paraId="3B2D4137" w14:textId="77777777" w:rsidR="00A30F42" w:rsidRPr="00F85CA6" w:rsidRDefault="00A30F42" w:rsidP="00A30F42">
      <w:pPr>
        <w:jc w:val="both"/>
        <w:rPr>
          <w:rFonts w:eastAsia="Calibri"/>
          <w:i/>
          <w:sz w:val="22"/>
          <w:szCs w:val="22"/>
          <w:u w:val="single"/>
          <w:lang w:val="sr-Latn-ME"/>
        </w:rPr>
      </w:pPr>
    </w:p>
    <w:p w14:paraId="522BB259" w14:textId="1488C8DE" w:rsidR="00A30F42" w:rsidRPr="00F85CA6" w:rsidRDefault="00A30F42" w:rsidP="00A30F42">
      <w:pPr>
        <w:jc w:val="both"/>
        <w:rPr>
          <w:rFonts w:eastAsia="Calibri"/>
          <w:sz w:val="22"/>
          <w:szCs w:val="22"/>
          <w:lang w:val="sr-Latn-ME"/>
        </w:rPr>
      </w:pPr>
      <w:r w:rsidRPr="00F85CA6">
        <w:rPr>
          <w:rFonts w:eastAsia="Calibri"/>
          <w:sz w:val="22"/>
          <w:szCs w:val="22"/>
          <w:lang w:val="sr-Latn-ME"/>
        </w:rPr>
        <w:t xml:space="preserve">Geometrijska srednja vrijednost najveće koncentracije dabigatrana u plazmi u stanju </w:t>
      </w:r>
      <w:r w:rsidR="003339DC" w:rsidRPr="00F85CA6">
        <w:rPr>
          <w:rFonts w:eastAsia="Calibri"/>
          <w:sz w:val="22"/>
          <w:szCs w:val="22"/>
          <w:lang w:val="sr-Latn-ME"/>
        </w:rPr>
        <w:t xml:space="preserve">dinamičke </w:t>
      </w:r>
      <w:r w:rsidRPr="00F85CA6">
        <w:rPr>
          <w:rFonts w:eastAsia="Calibri"/>
          <w:sz w:val="22"/>
          <w:szCs w:val="22"/>
          <w:lang w:val="sr-Latn-ME"/>
        </w:rPr>
        <w:t>ravnoteže (posl</w:t>
      </w:r>
      <w:r w:rsidR="00163AD3" w:rsidRPr="00F85CA6">
        <w:rPr>
          <w:rFonts w:eastAsia="Calibri"/>
          <w:sz w:val="22"/>
          <w:szCs w:val="22"/>
          <w:lang w:val="sr-Latn-ME"/>
        </w:rPr>
        <w:t>ij</w:t>
      </w:r>
      <w:r w:rsidRPr="00F85CA6">
        <w:rPr>
          <w:rFonts w:eastAsia="Calibri"/>
          <w:sz w:val="22"/>
          <w:szCs w:val="22"/>
          <w:lang w:val="sr-Latn-ME"/>
        </w:rPr>
        <w:t>e 3. dana), mjerena oko 2 sata nakon prim</w:t>
      </w:r>
      <w:r w:rsidR="00163AD3" w:rsidRPr="00F85CA6">
        <w:rPr>
          <w:rFonts w:eastAsia="Calibri"/>
          <w:sz w:val="22"/>
          <w:szCs w:val="22"/>
          <w:lang w:val="sr-Latn-ME"/>
        </w:rPr>
        <w:t>j</w:t>
      </w:r>
      <w:r w:rsidRPr="00F85CA6">
        <w:rPr>
          <w:rFonts w:eastAsia="Calibri"/>
          <w:sz w:val="22"/>
          <w:szCs w:val="22"/>
          <w:lang w:val="sr-Latn-ME"/>
        </w:rPr>
        <w:t>ene 220 mg dabigatraneteksilata iznosila je 70,8 nanograma/m</w:t>
      </w:r>
      <w:r w:rsidR="003339DC" w:rsidRPr="00F85CA6">
        <w:rPr>
          <w:rFonts w:eastAsia="Calibri"/>
          <w:sz w:val="22"/>
          <w:szCs w:val="22"/>
          <w:lang w:val="sr-Latn-ME"/>
        </w:rPr>
        <w:t>l</w:t>
      </w:r>
      <w:r w:rsidRPr="00F85CA6">
        <w:rPr>
          <w:rFonts w:eastAsia="Calibri"/>
          <w:sz w:val="22"/>
          <w:szCs w:val="22"/>
          <w:lang w:val="sr-Latn-ME"/>
        </w:rPr>
        <w:t>, sa opsegom od 35,2 – 162 nanograma/m</w:t>
      </w:r>
      <w:r w:rsidR="003339DC" w:rsidRPr="00F85CA6">
        <w:rPr>
          <w:rFonts w:eastAsia="Calibri"/>
          <w:sz w:val="22"/>
          <w:szCs w:val="22"/>
          <w:lang w:val="sr-Latn-ME"/>
        </w:rPr>
        <w:t>l</w:t>
      </w:r>
      <w:r w:rsidRPr="00F85CA6">
        <w:rPr>
          <w:rFonts w:eastAsia="Calibri"/>
          <w:sz w:val="22"/>
          <w:szCs w:val="22"/>
          <w:lang w:val="sr-Latn-ME"/>
        </w:rPr>
        <w:t xml:space="preserve"> (25. – 75. opseg percentila). Geometrijska srednja vrijednost najmanje koncentracije dabigatrana, mjerena na kraju intervala doziranja (tj. 24 sata nakon doze dabigatrana od 220 mg) iznosila je u prosjeku oko 22,0 nanograma/m</w:t>
      </w:r>
      <w:r w:rsidR="003339DC" w:rsidRPr="00F85CA6">
        <w:rPr>
          <w:rFonts w:eastAsia="Calibri"/>
          <w:sz w:val="22"/>
          <w:szCs w:val="22"/>
          <w:lang w:val="sr-Latn-ME"/>
        </w:rPr>
        <w:t>l</w:t>
      </w:r>
      <w:r w:rsidRPr="00F85CA6">
        <w:rPr>
          <w:rFonts w:eastAsia="Calibri"/>
          <w:sz w:val="22"/>
          <w:szCs w:val="22"/>
          <w:lang w:val="sr-Latn-ME"/>
        </w:rPr>
        <w:t>, sa opsegom 13,0 – 35,7 nanograma/m</w:t>
      </w:r>
      <w:r w:rsidR="003339DC" w:rsidRPr="00F85CA6">
        <w:rPr>
          <w:rFonts w:eastAsia="Calibri"/>
          <w:sz w:val="22"/>
          <w:szCs w:val="22"/>
          <w:lang w:val="sr-Latn-ME"/>
        </w:rPr>
        <w:t>l</w:t>
      </w:r>
      <w:r w:rsidRPr="00F85CA6">
        <w:rPr>
          <w:rFonts w:eastAsia="Calibri"/>
          <w:sz w:val="22"/>
          <w:szCs w:val="22"/>
          <w:lang w:val="sr-Latn-ME"/>
        </w:rPr>
        <w:t xml:space="preserve"> (25. – 75. opseg percentila).</w:t>
      </w:r>
    </w:p>
    <w:p w14:paraId="7165D23A" w14:textId="77777777" w:rsidR="00A30F42" w:rsidRPr="00F85CA6" w:rsidRDefault="00A30F42" w:rsidP="00A30F42">
      <w:pPr>
        <w:jc w:val="both"/>
        <w:rPr>
          <w:rFonts w:eastAsia="Calibri"/>
          <w:sz w:val="22"/>
          <w:szCs w:val="22"/>
          <w:lang w:val="sr-Latn-ME"/>
        </w:rPr>
      </w:pPr>
    </w:p>
    <w:p w14:paraId="6A3EE95D" w14:textId="012C201C" w:rsidR="00A30F42" w:rsidRPr="00F85CA6" w:rsidRDefault="00A30F42" w:rsidP="00A30F42">
      <w:pPr>
        <w:jc w:val="both"/>
        <w:rPr>
          <w:rFonts w:eastAsia="Calibri"/>
          <w:bCs/>
          <w:sz w:val="22"/>
          <w:szCs w:val="22"/>
          <w:lang w:val="sr-Latn-ME"/>
        </w:rPr>
      </w:pPr>
      <w:r w:rsidRPr="00F85CA6">
        <w:rPr>
          <w:rFonts w:eastAsia="Calibri"/>
          <w:bCs/>
          <w:sz w:val="22"/>
          <w:szCs w:val="22"/>
          <w:lang w:val="sr-Latn-ME"/>
        </w:rPr>
        <w:t>U studiji sprovedenoj isključivo kod pacijenata sa umjerenim oštećenjem funkcije bubrega (klirens kreatinina, CrCl 30 – 50 m</w:t>
      </w:r>
      <w:r w:rsidR="003339DC" w:rsidRPr="00F85CA6">
        <w:rPr>
          <w:rFonts w:eastAsia="Calibri"/>
          <w:bCs/>
          <w:sz w:val="22"/>
          <w:szCs w:val="22"/>
          <w:lang w:val="sr-Latn-ME"/>
        </w:rPr>
        <w:t>l</w:t>
      </w:r>
      <w:r w:rsidRPr="00F85CA6">
        <w:rPr>
          <w:rFonts w:eastAsia="Calibri"/>
          <w:bCs/>
          <w:sz w:val="22"/>
          <w:szCs w:val="22"/>
          <w:lang w:val="sr-Latn-ME"/>
        </w:rPr>
        <w:t>/min) l</w:t>
      </w:r>
      <w:r w:rsidR="00163AD3" w:rsidRPr="00F85CA6">
        <w:rPr>
          <w:rFonts w:eastAsia="Calibri"/>
          <w:bCs/>
          <w:sz w:val="22"/>
          <w:szCs w:val="22"/>
          <w:lang w:val="sr-Latn-ME"/>
        </w:rPr>
        <w:t>ij</w:t>
      </w:r>
      <w:r w:rsidRPr="00F85CA6">
        <w:rPr>
          <w:rFonts w:eastAsia="Calibri"/>
          <w:bCs/>
          <w:sz w:val="22"/>
          <w:szCs w:val="22"/>
          <w:lang w:val="sr-Latn-ME"/>
        </w:rPr>
        <w:t>ečenih dabigatrane</w:t>
      </w:r>
      <w:r w:rsidR="003339DC" w:rsidRPr="00F85CA6">
        <w:rPr>
          <w:rFonts w:eastAsia="Calibri"/>
          <w:bCs/>
          <w:sz w:val="22"/>
          <w:szCs w:val="22"/>
          <w:lang w:val="sr-Latn-ME"/>
        </w:rPr>
        <w:t xml:space="preserve"> </w:t>
      </w:r>
      <w:r w:rsidRPr="00F85CA6">
        <w:rPr>
          <w:rFonts w:eastAsia="Calibri"/>
          <w:bCs/>
          <w:sz w:val="22"/>
          <w:szCs w:val="22"/>
          <w:lang w:val="sr-Latn-ME"/>
        </w:rPr>
        <w:t>teksilatom 150 mg jednom dnevno, geometrijska srednja vrijednost najmanje koncentracije dabigatrana mjerena na kraju intervala doziranja bila je u pros</w:t>
      </w:r>
      <w:r w:rsidR="001E6256" w:rsidRPr="00F85CA6">
        <w:rPr>
          <w:rFonts w:eastAsia="Calibri"/>
          <w:bCs/>
          <w:sz w:val="22"/>
          <w:szCs w:val="22"/>
          <w:lang w:val="sr-Latn-ME"/>
        </w:rPr>
        <w:t>j</w:t>
      </w:r>
      <w:r w:rsidRPr="00F85CA6">
        <w:rPr>
          <w:rFonts w:eastAsia="Calibri"/>
          <w:bCs/>
          <w:sz w:val="22"/>
          <w:szCs w:val="22"/>
          <w:lang w:val="sr-Latn-ME"/>
        </w:rPr>
        <w:t>eku 47,5 nanograma/m</w:t>
      </w:r>
      <w:r w:rsidR="003339DC" w:rsidRPr="00F85CA6">
        <w:rPr>
          <w:rFonts w:eastAsia="Calibri"/>
          <w:bCs/>
          <w:sz w:val="22"/>
          <w:szCs w:val="22"/>
          <w:lang w:val="sr-Latn-ME"/>
        </w:rPr>
        <w:t>l</w:t>
      </w:r>
      <w:r w:rsidRPr="00F85CA6">
        <w:rPr>
          <w:rFonts w:eastAsia="Calibri"/>
          <w:bCs/>
          <w:sz w:val="22"/>
          <w:szCs w:val="22"/>
          <w:lang w:val="sr-Latn-ME"/>
        </w:rPr>
        <w:t>, sa opsegom 29,6 – 72,2 nanograma/m</w:t>
      </w:r>
      <w:r w:rsidR="003339DC" w:rsidRPr="00F85CA6">
        <w:rPr>
          <w:rFonts w:eastAsia="Calibri"/>
          <w:bCs/>
          <w:sz w:val="22"/>
          <w:szCs w:val="22"/>
          <w:lang w:val="sr-Latn-ME"/>
        </w:rPr>
        <w:t>l</w:t>
      </w:r>
      <w:r w:rsidRPr="00F85CA6">
        <w:rPr>
          <w:rFonts w:eastAsia="Calibri"/>
          <w:bCs/>
          <w:sz w:val="22"/>
          <w:szCs w:val="22"/>
          <w:lang w:val="sr-Latn-ME"/>
        </w:rPr>
        <w:t xml:space="preserve"> (25.-75. opseg percentila).</w:t>
      </w:r>
    </w:p>
    <w:p w14:paraId="0A8B7D04" w14:textId="77777777" w:rsidR="00A30F42" w:rsidRPr="00F85CA6" w:rsidRDefault="00A30F42" w:rsidP="00A30F42">
      <w:pPr>
        <w:jc w:val="both"/>
        <w:rPr>
          <w:rFonts w:eastAsia="Calibri"/>
          <w:bCs/>
          <w:sz w:val="22"/>
          <w:szCs w:val="22"/>
          <w:lang w:val="sr-Latn-ME"/>
        </w:rPr>
      </w:pPr>
    </w:p>
    <w:p w14:paraId="2447A8F8" w14:textId="1A52B64A" w:rsidR="00A30F42" w:rsidRPr="00F85CA6" w:rsidRDefault="00A30F42" w:rsidP="00A30F42">
      <w:pPr>
        <w:jc w:val="both"/>
        <w:rPr>
          <w:rFonts w:eastAsia="Calibri"/>
          <w:sz w:val="22"/>
          <w:szCs w:val="22"/>
          <w:lang w:val="sr-Latn-ME"/>
        </w:rPr>
      </w:pPr>
      <w:r w:rsidRPr="00F85CA6">
        <w:rPr>
          <w:rFonts w:eastAsia="Calibri"/>
          <w:sz w:val="22"/>
          <w:szCs w:val="22"/>
          <w:lang w:val="sr-Latn-ME"/>
        </w:rPr>
        <w:t>Kod pacijenata na terapiji sa 220 mg dabigatraneteksilata jednom dnevno zbog prevencije VTE nakon hirurškog zahvata operacije zamjene kuka ili koljena,</w:t>
      </w:r>
    </w:p>
    <w:p w14:paraId="6C29F381" w14:textId="14D87B16" w:rsidR="00A30F42" w:rsidRPr="00F85CA6" w:rsidRDefault="00A30F42" w:rsidP="00A30F42">
      <w:pPr>
        <w:numPr>
          <w:ilvl w:val="0"/>
          <w:numId w:val="16"/>
        </w:numPr>
        <w:spacing w:after="160" w:line="259" w:lineRule="auto"/>
        <w:jc w:val="both"/>
        <w:rPr>
          <w:rFonts w:eastAsia="Calibri"/>
          <w:sz w:val="22"/>
          <w:szCs w:val="22"/>
          <w:lang w:val="sr-Latn-ME"/>
        </w:rPr>
      </w:pPr>
      <w:r w:rsidRPr="00F85CA6">
        <w:rPr>
          <w:rFonts w:eastAsia="Calibri"/>
          <w:sz w:val="22"/>
          <w:szCs w:val="22"/>
          <w:lang w:val="sr-Latn-ME"/>
        </w:rPr>
        <w:t>90. percentil koncentracije dabigatrana u plazmi iznosio je 67 nanograma/m</w:t>
      </w:r>
      <w:r w:rsidR="003339DC" w:rsidRPr="00F85CA6">
        <w:rPr>
          <w:rFonts w:eastAsia="Calibri"/>
          <w:sz w:val="22"/>
          <w:szCs w:val="22"/>
          <w:lang w:val="sr-Latn-ME"/>
        </w:rPr>
        <w:t>l</w:t>
      </w:r>
      <w:r w:rsidRPr="00F85CA6">
        <w:rPr>
          <w:rFonts w:eastAsia="Calibri"/>
          <w:sz w:val="22"/>
          <w:szCs w:val="22"/>
          <w:lang w:val="sr-Latn-ME"/>
        </w:rPr>
        <w:t xml:space="preserve">, mjereno pri najmanjoj koncentraciji (20 – 28 sati nakon prethodne doze) (vidjeti </w:t>
      </w:r>
      <w:r w:rsidR="00163AD3" w:rsidRPr="00F85CA6">
        <w:rPr>
          <w:rFonts w:eastAsia="Calibri"/>
          <w:sz w:val="22"/>
          <w:szCs w:val="22"/>
          <w:lang w:val="sr-Latn-ME"/>
        </w:rPr>
        <w:t>djelove</w:t>
      </w:r>
      <w:r w:rsidRPr="00F85CA6">
        <w:rPr>
          <w:rFonts w:eastAsia="Calibri"/>
          <w:sz w:val="22"/>
          <w:szCs w:val="22"/>
          <w:lang w:val="sr-Latn-ME"/>
        </w:rPr>
        <w:t xml:space="preserve"> 4.4 i 4.9),</w:t>
      </w:r>
    </w:p>
    <w:p w14:paraId="206F8BA9" w14:textId="0F24183E" w:rsidR="00A30F42" w:rsidRPr="00F85CA6" w:rsidRDefault="00A30F42" w:rsidP="00A30F42">
      <w:pPr>
        <w:numPr>
          <w:ilvl w:val="0"/>
          <w:numId w:val="16"/>
        </w:numPr>
        <w:spacing w:after="160" w:line="259" w:lineRule="auto"/>
        <w:jc w:val="both"/>
        <w:rPr>
          <w:rFonts w:eastAsia="Calibri"/>
          <w:sz w:val="22"/>
          <w:szCs w:val="22"/>
          <w:lang w:val="sr-Latn-ME"/>
        </w:rPr>
      </w:pPr>
      <w:r w:rsidRPr="00F85CA6">
        <w:rPr>
          <w:rFonts w:eastAsia="Calibri"/>
          <w:sz w:val="22"/>
          <w:szCs w:val="22"/>
          <w:lang w:val="sr-Latn-ME"/>
        </w:rPr>
        <w:t>90. percentil aPTT pri najmanjoj koncentraciji (20 – 28 sati nakon prethodne doze) iznosio je 51 sekundu, što predstavlja 1,3 puta povećanje u odnosu na gornju granicu normalne vrijednosti.</w:t>
      </w:r>
    </w:p>
    <w:p w14:paraId="724D862B" w14:textId="77777777" w:rsidR="00A30F42" w:rsidRPr="00F85CA6" w:rsidRDefault="00A30F42" w:rsidP="00A30F42">
      <w:pPr>
        <w:jc w:val="both"/>
        <w:rPr>
          <w:rFonts w:eastAsia="Calibri"/>
          <w:sz w:val="22"/>
          <w:szCs w:val="22"/>
          <w:lang w:val="sr-Latn-ME"/>
        </w:rPr>
      </w:pPr>
    </w:p>
    <w:p w14:paraId="23210D2B" w14:textId="6C1525E1" w:rsidR="00A30F42" w:rsidRPr="00F85CA6" w:rsidRDefault="00A30F42" w:rsidP="00A30F42">
      <w:pPr>
        <w:jc w:val="both"/>
        <w:rPr>
          <w:rFonts w:eastAsia="Calibri"/>
          <w:sz w:val="22"/>
          <w:szCs w:val="22"/>
          <w:lang w:val="sr-Latn-ME"/>
        </w:rPr>
      </w:pPr>
      <w:r w:rsidRPr="00F85CA6">
        <w:rPr>
          <w:rFonts w:eastAsia="Calibri"/>
          <w:sz w:val="22"/>
          <w:szCs w:val="22"/>
          <w:lang w:val="sr-Latn-ME"/>
        </w:rPr>
        <w:t xml:space="preserve">ECT nije mjeren kod pacijenata na terapiji sa 220 mg dabigatraneteksilata jednom dnevno zbog prevencije VTE nakon hirurškog zahvata zamjene kuka ili koljena. </w:t>
      </w:r>
    </w:p>
    <w:p w14:paraId="4602F3AD" w14:textId="77777777" w:rsidR="00A30F42" w:rsidRPr="00F85CA6" w:rsidRDefault="00A30F42" w:rsidP="00A30F42">
      <w:pPr>
        <w:jc w:val="both"/>
        <w:rPr>
          <w:rFonts w:eastAsia="Calibri"/>
          <w:sz w:val="22"/>
          <w:szCs w:val="22"/>
          <w:lang w:val="sr-Latn-ME"/>
        </w:rPr>
      </w:pPr>
    </w:p>
    <w:p w14:paraId="7A4B1181" w14:textId="77777777" w:rsidR="00A30F42" w:rsidRPr="00F85CA6" w:rsidRDefault="00A30F42" w:rsidP="00A30F42">
      <w:pPr>
        <w:jc w:val="both"/>
        <w:rPr>
          <w:rFonts w:eastAsia="Calibri"/>
          <w:i/>
          <w:iCs/>
          <w:sz w:val="22"/>
          <w:szCs w:val="22"/>
          <w:u w:val="single"/>
          <w:lang w:val="sr-Latn-ME"/>
        </w:rPr>
      </w:pPr>
      <w:r w:rsidRPr="00F85CA6">
        <w:rPr>
          <w:rFonts w:eastAsia="Calibri"/>
          <w:i/>
          <w:iCs/>
          <w:sz w:val="22"/>
          <w:szCs w:val="22"/>
          <w:u w:val="single"/>
          <w:lang w:val="sr-Latn-ME"/>
        </w:rPr>
        <w:t>Prevencija moždanog udara i sistemske embolije kod odraslih pacijenata sa nevalvularnom atrijalnom fibrilacijom sa jednim ili više faktora rizika (prevencija MU i SE kod AF)</w:t>
      </w:r>
    </w:p>
    <w:p w14:paraId="2CEB8404" w14:textId="77777777" w:rsidR="00A30F42" w:rsidRPr="00F85CA6" w:rsidRDefault="00A30F42" w:rsidP="00A30F42">
      <w:pPr>
        <w:jc w:val="both"/>
        <w:rPr>
          <w:rFonts w:eastAsia="Calibri"/>
          <w:sz w:val="22"/>
          <w:szCs w:val="22"/>
          <w:lang w:val="sr-Latn-ME"/>
        </w:rPr>
      </w:pPr>
    </w:p>
    <w:p w14:paraId="6234548F" w14:textId="533FA479" w:rsidR="00A30F42" w:rsidRPr="00F85CA6" w:rsidRDefault="00A30F42" w:rsidP="00A30F42">
      <w:pPr>
        <w:jc w:val="both"/>
        <w:rPr>
          <w:rFonts w:eastAsia="Calibri"/>
          <w:sz w:val="22"/>
          <w:szCs w:val="22"/>
          <w:lang w:val="sr-Latn-ME"/>
        </w:rPr>
      </w:pPr>
      <w:r w:rsidRPr="00F85CA6">
        <w:rPr>
          <w:rFonts w:eastAsia="Calibri"/>
          <w:sz w:val="22"/>
          <w:szCs w:val="22"/>
          <w:lang w:val="sr-Latn-ME"/>
        </w:rPr>
        <w:t>Geometrijska srednja vrijednost najveće koncetracije dabigatrana u plazmi u stanju ravnoteže, mjerena oko 2 sata nakon primjene 150 mg dabigatraneteksilata dva puta dnevno, iznosila je 175 nanograma/m</w:t>
      </w:r>
      <w:r w:rsidR="003339DC" w:rsidRPr="00F85CA6">
        <w:rPr>
          <w:rFonts w:eastAsia="Calibri"/>
          <w:sz w:val="22"/>
          <w:szCs w:val="22"/>
          <w:lang w:val="sr-Latn-ME"/>
        </w:rPr>
        <w:t>l</w:t>
      </w:r>
      <w:r w:rsidRPr="00F85CA6">
        <w:rPr>
          <w:rFonts w:eastAsia="Calibri"/>
          <w:sz w:val="22"/>
          <w:szCs w:val="22"/>
          <w:lang w:val="sr-Latn-ME"/>
        </w:rPr>
        <w:t>, sa opsegom 117 – 275 nanograma/m</w:t>
      </w:r>
      <w:r w:rsidR="003339DC" w:rsidRPr="00F85CA6">
        <w:rPr>
          <w:rFonts w:eastAsia="Calibri"/>
          <w:sz w:val="22"/>
          <w:szCs w:val="22"/>
          <w:lang w:val="sr-Latn-ME"/>
        </w:rPr>
        <w:t>l</w:t>
      </w:r>
      <w:r w:rsidRPr="00F85CA6">
        <w:rPr>
          <w:rFonts w:eastAsia="Calibri"/>
          <w:sz w:val="22"/>
          <w:szCs w:val="22"/>
          <w:lang w:val="sr-Latn-ME"/>
        </w:rPr>
        <w:t xml:space="preserve"> (25. – 75. opseg percentila). Geometrijska srednja vrijednost najmanje koncentracije dabigatrana mjerene ujutru, na kraju intervala doziranja (tj. 12 sati nakon večernje doze dabigatrana od 150 mg), iznosila je u prosjeku 91,0 nanograma/m</w:t>
      </w:r>
      <w:r w:rsidR="003339DC" w:rsidRPr="00F85CA6">
        <w:rPr>
          <w:rFonts w:eastAsia="Calibri"/>
          <w:sz w:val="22"/>
          <w:szCs w:val="22"/>
          <w:lang w:val="sr-Latn-ME"/>
        </w:rPr>
        <w:t>l</w:t>
      </w:r>
      <w:r w:rsidRPr="00F85CA6">
        <w:rPr>
          <w:rFonts w:eastAsia="Calibri"/>
          <w:sz w:val="22"/>
          <w:szCs w:val="22"/>
          <w:lang w:val="sr-Latn-ME"/>
        </w:rPr>
        <w:t>, sa opsegom 61,0 – 143 nanograma/m</w:t>
      </w:r>
      <w:r w:rsidR="003339DC" w:rsidRPr="00F85CA6">
        <w:rPr>
          <w:rFonts w:eastAsia="Calibri"/>
          <w:sz w:val="22"/>
          <w:szCs w:val="22"/>
          <w:lang w:val="sr-Latn-ME"/>
        </w:rPr>
        <w:t>l</w:t>
      </w:r>
      <w:r w:rsidRPr="00F85CA6">
        <w:rPr>
          <w:rFonts w:eastAsia="Calibri"/>
          <w:sz w:val="22"/>
          <w:szCs w:val="22"/>
          <w:lang w:val="sr-Latn-ME"/>
        </w:rPr>
        <w:t xml:space="preserve"> (25. – 75. opseg percentila).</w:t>
      </w:r>
    </w:p>
    <w:p w14:paraId="0C9CDA41" w14:textId="77777777" w:rsidR="00A30F42" w:rsidRPr="00F85CA6" w:rsidRDefault="00A30F42" w:rsidP="00A30F42">
      <w:pPr>
        <w:jc w:val="both"/>
        <w:rPr>
          <w:rFonts w:eastAsia="Calibri"/>
          <w:sz w:val="22"/>
          <w:szCs w:val="22"/>
          <w:lang w:val="sr-Latn-ME"/>
        </w:rPr>
      </w:pPr>
    </w:p>
    <w:p w14:paraId="786D9D17" w14:textId="3F33BEAB" w:rsidR="00A30F42" w:rsidRPr="00F85CA6" w:rsidRDefault="00A30F42" w:rsidP="00A30F42">
      <w:pPr>
        <w:jc w:val="both"/>
        <w:rPr>
          <w:rFonts w:eastAsia="Calibri"/>
          <w:sz w:val="22"/>
          <w:szCs w:val="22"/>
          <w:lang w:val="sr-Latn-ME"/>
        </w:rPr>
      </w:pPr>
      <w:r w:rsidRPr="00F85CA6">
        <w:rPr>
          <w:rFonts w:eastAsia="Calibri"/>
          <w:sz w:val="22"/>
          <w:szCs w:val="22"/>
          <w:lang w:val="sr-Latn-ME"/>
        </w:rPr>
        <w:t>Kod pacijenata sa atrijalnom nevalvularnom fibrilacijom na terapiji zbog prevencije moždanog udara i sistemske embolije sa 150 mg dabigatraneteksilata dva puta dnevno,</w:t>
      </w:r>
    </w:p>
    <w:p w14:paraId="20308560" w14:textId="4B95A00E" w:rsidR="00A30F42" w:rsidRPr="00F85CA6" w:rsidRDefault="00A30F42" w:rsidP="00A30F42">
      <w:pPr>
        <w:widowControl w:val="0"/>
        <w:numPr>
          <w:ilvl w:val="0"/>
          <w:numId w:val="16"/>
        </w:numPr>
        <w:tabs>
          <w:tab w:val="left" w:pos="562"/>
        </w:tabs>
        <w:spacing w:after="160" w:line="259" w:lineRule="auto"/>
        <w:ind w:left="567" w:hanging="567"/>
        <w:contextualSpacing/>
        <w:jc w:val="both"/>
        <w:rPr>
          <w:color w:val="000000"/>
          <w:sz w:val="22"/>
          <w:szCs w:val="22"/>
          <w:lang w:val="sr-Latn-ME" w:bidi="en-US"/>
        </w:rPr>
      </w:pPr>
      <w:r w:rsidRPr="00F85CA6">
        <w:rPr>
          <w:color w:val="000000"/>
          <w:sz w:val="22"/>
          <w:szCs w:val="22"/>
          <w:lang w:val="sr-Latn-ME" w:bidi="en-US"/>
        </w:rPr>
        <w:t>90. percentil koncentracije dabigatrana u plazmi iznosio je 200 nanograma/m</w:t>
      </w:r>
      <w:r w:rsidR="002C18DB" w:rsidRPr="00F85CA6">
        <w:rPr>
          <w:color w:val="000000"/>
          <w:sz w:val="22"/>
          <w:szCs w:val="22"/>
          <w:lang w:val="sr-Latn-ME" w:bidi="en-US"/>
        </w:rPr>
        <w:t>l</w:t>
      </w:r>
      <w:r w:rsidRPr="00F85CA6">
        <w:rPr>
          <w:color w:val="000000"/>
          <w:sz w:val="22"/>
          <w:szCs w:val="22"/>
          <w:lang w:val="sr-Latn-ME" w:bidi="en-US"/>
        </w:rPr>
        <w:t>, mjereno pri najmanjoj koncentraciji (10-16 sati nakon prethodne doze),</w:t>
      </w:r>
    </w:p>
    <w:p w14:paraId="00797DD5" w14:textId="7DD14335" w:rsidR="00A30F42" w:rsidRPr="00F85CA6" w:rsidRDefault="00A30F42" w:rsidP="00A30F42">
      <w:pPr>
        <w:widowControl w:val="0"/>
        <w:numPr>
          <w:ilvl w:val="0"/>
          <w:numId w:val="16"/>
        </w:numPr>
        <w:tabs>
          <w:tab w:val="left" w:pos="562"/>
        </w:tabs>
        <w:spacing w:after="160" w:line="259" w:lineRule="auto"/>
        <w:ind w:left="567" w:hanging="567"/>
        <w:contextualSpacing/>
        <w:jc w:val="both"/>
        <w:rPr>
          <w:color w:val="000000"/>
          <w:sz w:val="22"/>
          <w:szCs w:val="22"/>
          <w:lang w:val="sr-Latn-ME" w:bidi="en-US"/>
        </w:rPr>
      </w:pPr>
      <w:r w:rsidRPr="00F85CA6">
        <w:rPr>
          <w:color w:val="000000"/>
          <w:sz w:val="22"/>
          <w:szCs w:val="22"/>
          <w:lang w:val="sr-Latn-ME" w:bidi="en-US"/>
        </w:rPr>
        <w:t>vr</w:t>
      </w:r>
      <w:r w:rsidR="00163AD3" w:rsidRPr="00F85CA6">
        <w:rPr>
          <w:color w:val="000000"/>
          <w:sz w:val="22"/>
          <w:szCs w:val="22"/>
          <w:lang w:val="sr-Latn-ME" w:bidi="en-US"/>
        </w:rPr>
        <w:t>ij</w:t>
      </w:r>
      <w:r w:rsidRPr="00F85CA6">
        <w:rPr>
          <w:color w:val="000000"/>
          <w:sz w:val="22"/>
          <w:szCs w:val="22"/>
          <w:lang w:val="sr-Latn-ME" w:bidi="en-US"/>
        </w:rPr>
        <w:t>ednost ECT pri najmanjoj koncentraciji (10-16 sati nakon prethodne doze), bila je povećana otprilike 3 puta iznad gornje granice normalne vrijednosti, što je odgovaralo prim</w:t>
      </w:r>
      <w:r w:rsidR="00163AD3" w:rsidRPr="00F85CA6">
        <w:rPr>
          <w:color w:val="000000"/>
          <w:sz w:val="22"/>
          <w:szCs w:val="22"/>
          <w:lang w:val="sr-Latn-ME" w:bidi="en-US"/>
        </w:rPr>
        <w:t>i</w:t>
      </w:r>
      <w:r w:rsidRPr="00F85CA6">
        <w:rPr>
          <w:color w:val="000000"/>
          <w:sz w:val="22"/>
          <w:szCs w:val="22"/>
          <w:lang w:val="sr-Latn-ME" w:bidi="en-US"/>
        </w:rPr>
        <w:t>jećenom 90. percentilu produženja ECT od 103 sekunde,</w:t>
      </w:r>
    </w:p>
    <w:p w14:paraId="4FDD1292" w14:textId="5C88AABD" w:rsidR="00A30F42" w:rsidRPr="00F85CA6" w:rsidRDefault="00A30F42" w:rsidP="00A30F42">
      <w:pPr>
        <w:widowControl w:val="0"/>
        <w:numPr>
          <w:ilvl w:val="0"/>
          <w:numId w:val="16"/>
        </w:numPr>
        <w:tabs>
          <w:tab w:val="left" w:pos="562"/>
        </w:tabs>
        <w:spacing w:after="160" w:line="259" w:lineRule="auto"/>
        <w:ind w:left="567" w:hanging="567"/>
        <w:contextualSpacing/>
        <w:jc w:val="both"/>
        <w:rPr>
          <w:color w:val="000000"/>
          <w:sz w:val="22"/>
          <w:szCs w:val="22"/>
          <w:lang w:val="sr-Latn-ME" w:bidi="en-US"/>
        </w:rPr>
      </w:pPr>
      <w:r w:rsidRPr="00F85CA6">
        <w:rPr>
          <w:color w:val="000000"/>
          <w:sz w:val="22"/>
          <w:szCs w:val="22"/>
          <w:lang w:val="sr-Latn-ME" w:bidi="en-US"/>
        </w:rPr>
        <w:t>aPTT odnos dvostruko veći od GGN (produženje aPTT od oko 80 sekundi), pri najmanjoj koncentraciji (10-16 sati nakon prethodne doze) odgovarao je primijećenom 90. percentilu.</w:t>
      </w:r>
    </w:p>
    <w:p w14:paraId="6F1E3BBC" w14:textId="77777777" w:rsidR="00A30F42" w:rsidRPr="00F85CA6" w:rsidRDefault="00A30F42" w:rsidP="00A30F42">
      <w:pPr>
        <w:jc w:val="both"/>
        <w:rPr>
          <w:rFonts w:eastAsia="Calibri"/>
          <w:sz w:val="22"/>
          <w:szCs w:val="22"/>
          <w:lang w:val="sr-Latn-ME"/>
        </w:rPr>
      </w:pPr>
    </w:p>
    <w:p w14:paraId="75E698A6" w14:textId="77777777" w:rsidR="00A30F42" w:rsidRPr="00F85CA6" w:rsidRDefault="00A30F42" w:rsidP="00A30F42">
      <w:pPr>
        <w:jc w:val="both"/>
        <w:rPr>
          <w:rFonts w:eastAsia="Calibri"/>
          <w:i/>
          <w:iCs/>
          <w:sz w:val="22"/>
          <w:szCs w:val="22"/>
          <w:u w:val="single"/>
          <w:lang w:val="sr-Latn-ME"/>
        </w:rPr>
      </w:pPr>
      <w:r w:rsidRPr="00F85CA6">
        <w:rPr>
          <w:rFonts w:eastAsia="Calibri"/>
          <w:i/>
          <w:iCs/>
          <w:sz w:val="22"/>
          <w:szCs w:val="22"/>
          <w:u w:val="single"/>
          <w:lang w:val="sr-Latn-ME"/>
        </w:rPr>
        <w:t>Terapija DVT i PE i prevencija rekurentne DVT i PE kod odraslih (DVT/ PE)</w:t>
      </w:r>
    </w:p>
    <w:p w14:paraId="2A7B142A" w14:textId="77777777" w:rsidR="00A30F42" w:rsidRPr="00F85CA6" w:rsidRDefault="00A30F42" w:rsidP="00A30F42">
      <w:pPr>
        <w:jc w:val="both"/>
        <w:rPr>
          <w:rFonts w:eastAsia="Calibri"/>
          <w:sz w:val="22"/>
          <w:szCs w:val="22"/>
          <w:lang w:val="sr-Latn-ME"/>
        </w:rPr>
      </w:pPr>
    </w:p>
    <w:p w14:paraId="4EC14C79" w14:textId="584FD252" w:rsidR="00A30F42" w:rsidRPr="00F85CA6" w:rsidRDefault="00A30F42" w:rsidP="00A30F42">
      <w:pPr>
        <w:jc w:val="both"/>
        <w:rPr>
          <w:rFonts w:eastAsia="Calibri"/>
          <w:sz w:val="22"/>
          <w:szCs w:val="22"/>
          <w:lang w:val="sr-Latn-ME"/>
        </w:rPr>
      </w:pPr>
      <w:r w:rsidRPr="00F85CA6">
        <w:rPr>
          <w:rFonts w:eastAsia="Calibri"/>
          <w:sz w:val="22"/>
          <w:szCs w:val="22"/>
          <w:lang w:val="sr-Latn-ME"/>
        </w:rPr>
        <w:t>Kod pacijenata koji su na terapiji sa 150 mg dabigatraneteksilata dva puta dnevno zbog DVT i PE, geometrijska srednja vrijednost najmanje koncentracije dabigatrana, mjerena unutar</w:t>
      </w:r>
      <w:r w:rsidRPr="00F85CA6" w:rsidDel="00673072">
        <w:rPr>
          <w:rFonts w:eastAsia="Calibri"/>
          <w:sz w:val="22"/>
          <w:szCs w:val="22"/>
          <w:lang w:val="sr-Latn-ME"/>
        </w:rPr>
        <w:t xml:space="preserve"> </w:t>
      </w:r>
      <w:r w:rsidRPr="00F85CA6">
        <w:rPr>
          <w:rFonts w:eastAsia="Calibri"/>
          <w:sz w:val="22"/>
          <w:szCs w:val="22"/>
          <w:lang w:val="sr-Latn-ME"/>
        </w:rPr>
        <w:t xml:space="preserve">10−16 sati nakon primjene doze, na kraju intervala doziranja (tj. 12 sati nakon večernje doze 150 mg dabigatrana), bila je </w:t>
      </w:r>
      <w:r w:rsidRPr="00F85CA6">
        <w:rPr>
          <w:rFonts w:eastAsia="Calibri"/>
          <w:sz w:val="22"/>
          <w:szCs w:val="22"/>
          <w:lang w:val="sr-Latn-ME"/>
        </w:rPr>
        <w:lastRenderedPageBreak/>
        <w:t>59,7 nanograma/m</w:t>
      </w:r>
      <w:r w:rsidR="002C18DB" w:rsidRPr="00F85CA6">
        <w:rPr>
          <w:rFonts w:eastAsia="Calibri"/>
          <w:sz w:val="22"/>
          <w:szCs w:val="22"/>
          <w:lang w:val="sr-Latn-ME"/>
        </w:rPr>
        <w:t>l</w:t>
      </w:r>
      <w:r w:rsidRPr="00F85CA6">
        <w:rPr>
          <w:rFonts w:eastAsia="Calibri"/>
          <w:sz w:val="22"/>
          <w:szCs w:val="22"/>
          <w:lang w:val="sr-Latn-ME"/>
        </w:rPr>
        <w:t>, sa opsegom od 38,6 – 94,5 nanograma/m</w:t>
      </w:r>
      <w:r w:rsidR="002C18DB" w:rsidRPr="00F85CA6">
        <w:rPr>
          <w:rFonts w:eastAsia="Calibri"/>
          <w:sz w:val="22"/>
          <w:szCs w:val="22"/>
          <w:lang w:val="sr-Latn-ME"/>
        </w:rPr>
        <w:t>l</w:t>
      </w:r>
      <w:r w:rsidRPr="00F85CA6">
        <w:rPr>
          <w:rFonts w:eastAsia="Calibri"/>
          <w:sz w:val="22"/>
          <w:szCs w:val="22"/>
          <w:lang w:val="sr-Latn-ME"/>
        </w:rPr>
        <w:t xml:space="preserve"> (25.-75. opseg percentila). Za terapiju DVT i PE dabigatrane</w:t>
      </w:r>
      <w:r w:rsidR="002C18DB" w:rsidRPr="00F85CA6">
        <w:rPr>
          <w:rFonts w:eastAsia="Calibri"/>
          <w:sz w:val="22"/>
          <w:szCs w:val="22"/>
          <w:lang w:val="sr-Latn-ME"/>
        </w:rPr>
        <w:t xml:space="preserve"> </w:t>
      </w:r>
      <w:r w:rsidRPr="00F85CA6">
        <w:rPr>
          <w:rFonts w:eastAsia="Calibri"/>
          <w:sz w:val="22"/>
          <w:szCs w:val="22"/>
          <w:lang w:val="sr-Latn-ME"/>
        </w:rPr>
        <w:t>teksilatom 150 mg dva puta dnevno,</w:t>
      </w:r>
    </w:p>
    <w:p w14:paraId="689FA727" w14:textId="09446697" w:rsidR="00A30F42" w:rsidRPr="00F85CA6" w:rsidRDefault="00A30F42" w:rsidP="00A30F42">
      <w:pPr>
        <w:widowControl w:val="0"/>
        <w:numPr>
          <w:ilvl w:val="0"/>
          <w:numId w:val="16"/>
        </w:numPr>
        <w:tabs>
          <w:tab w:val="left" w:pos="562"/>
        </w:tabs>
        <w:spacing w:after="160" w:line="259" w:lineRule="auto"/>
        <w:ind w:left="567" w:hanging="567"/>
        <w:contextualSpacing/>
        <w:jc w:val="both"/>
        <w:rPr>
          <w:color w:val="000000"/>
          <w:sz w:val="22"/>
          <w:szCs w:val="22"/>
          <w:lang w:val="sr-Latn-ME" w:bidi="en-US"/>
        </w:rPr>
      </w:pPr>
      <w:r w:rsidRPr="00F85CA6">
        <w:rPr>
          <w:color w:val="000000"/>
          <w:sz w:val="22"/>
          <w:szCs w:val="22"/>
          <w:lang w:val="sr-Latn-ME" w:bidi="en-US"/>
        </w:rPr>
        <w:t>90. percentil koncentracije dabigatrana u plazmi mjerene pri najmanjoj koncentraciji (10-16 sati nakon prethodne doze) iznosio je oko 146 nanograma/m</w:t>
      </w:r>
      <w:r w:rsidR="002C18DB" w:rsidRPr="00F85CA6">
        <w:rPr>
          <w:color w:val="000000"/>
          <w:sz w:val="22"/>
          <w:szCs w:val="22"/>
          <w:lang w:val="sr-Latn-ME" w:bidi="en-US"/>
        </w:rPr>
        <w:t>l</w:t>
      </w:r>
      <w:r w:rsidRPr="00F85CA6">
        <w:rPr>
          <w:color w:val="000000"/>
          <w:sz w:val="22"/>
          <w:szCs w:val="22"/>
          <w:lang w:val="sr-Latn-ME" w:bidi="en-US"/>
        </w:rPr>
        <w:t>,</w:t>
      </w:r>
    </w:p>
    <w:p w14:paraId="4FDC8445" w14:textId="600C563E" w:rsidR="00A30F42" w:rsidRPr="00F85CA6" w:rsidRDefault="00A30F42" w:rsidP="00A30F42">
      <w:pPr>
        <w:widowControl w:val="0"/>
        <w:numPr>
          <w:ilvl w:val="0"/>
          <w:numId w:val="16"/>
        </w:numPr>
        <w:tabs>
          <w:tab w:val="left" w:pos="562"/>
        </w:tabs>
        <w:spacing w:after="160" w:line="259" w:lineRule="auto"/>
        <w:ind w:left="567" w:hanging="567"/>
        <w:contextualSpacing/>
        <w:jc w:val="both"/>
        <w:rPr>
          <w:color w:val="000000"/>
          <w:sz w:val="22"/>
          <w:szCs w:val="22"/>
          <w:lang w:val="sr-Latn-ME" w:bidi="en-US"/>
        </w:rPr>
      </w:pPr>
      <w:r w:rsidRPr="00F85CA6">
        <w:rPr>
          <w:color w:val="000000"/>
          <w:sz w:val="22"/>
          <w:szCs w:val="22"/>
          <w:lang w:val="sr-Latn-ME" w:bidi="en-US"/>
        </w:rPr>
        <w:t>ECT pri najmanjoj koncentraciji (10-16 sati nakon prethodne doze) povećan za oko 2,3 puta u poređenju sa početnom vrijednošću odnosi se na prim</w:t>
      </w:r>
      <w:r w:rsidR="00163AD3" w:rsidRPr="00F85CA6">
        <w:rPr>
          <w:color w:val="000000"/>
          <w:sz w:val="22"/>
          <w:szCs w:val="22"/>
          <w:lang w:val="sr-Latn-ME" w:bidi="en-US"/>
        </w:rPr>
        <w:t>i</w:t>
      </w:r>
      <w:r w:rsidRPr="00F85CA6">
        <w:rPr>
          <w:color w:val="000000"/>
          <w:sz w:val="22"/>
          <w:szCs w:val="22"/>
          <w:lang w:val="sr-Latn-ME" w:bidi="en-US"/>
        </w:rPr>
        <w:t>jećeni 90. percentil produženja ECT od 74 sekundi,</w:t>
      </w:r>
    </w:p>
    <w:p w14:paraId="59CB23A1" w14:textId="406A80C9" w:rsidR="00A30F42" w:rsidRPr="00F85CA6" w:rsidRDefault="00A30F42" w:rsidP="00A30F42">
      <w:pPr>
        <w:widowControl w:val="0"/>
        <w:numPr>
          <w:ilvl w:val="0"/>
          <w:numId w:val="16"/>
        </w:numPr>
        <w:tabs>
          <w:tab w:val="left" w:pos="562"/>
        </w:tabs>
        <w:spacing w:after="160" w:line="259" w:lineRule="auto"/>
        <w:ind w:left="567" w:hanging="567"/>
        <w:contextualSpacing/>
        <w:jc w:val="both"/>
        <w:rPr>
          <w:color w:val="000000"/>
          <w:sz w:val="22"/>
          <w:szCs w:val="22"/>
          <w:lang w:val="sr-Latn-ME" w:bidi="en-US"/>
        </w:rPr>
      </w:pPr>
      <w:r w:rsidRPr="00F85CA6">
        <w:rPr>
          <w:color w:val="000000"/>
          <w:sz w:val="22"/>
          <w:szCs w:val="22"/>
          <w:lang w:val="sr-Latn-ME" w:bidi="en-US"/>
        </w:rPr>
        <w:t>90. percentil aPTT pri najmanjoj koncentraciji (10-16 sati nakon prethodne doze) bio je 62 sekunde, što bi bilo 1,8 puta više u poređenju sa početnom vrijednošću.</w:t>
      </w:r>
    </w:p>
    <w:p w14:paraId="6122CC26" w14:textId="77777777" w:rsidR="00A30F42" w:rsidRPr="00F85CA6" w:rsidRDefault="00A30F42" w:rsidP="00A30F42">
      <w:pPr>
        <w:jc w:val="both"/>
        <w:rPr>
          <w:rFonts w:eastAsia="Calibri"/>
          <w:sz w:val="22"/>
          <w:szCs w:val="22"/>
          <w:lang w:val="sr-Latn-ME"/>
        </w:rPr>
      </w:pPr>
    </w:p>
    <w:p w14:paraId="0EFEC6E4" w14:textId="5096745B" w:rsidR="00A30F42" w:rsidRPr="00F85CA6" w:rsidRDefault="00A30F42" w:rsidP="00A30F42">
      <w:pPr>
        <w:jc w:val="both"/>
        <w:rPr>
          <w:rFonts w:eastAsia="Calibri"/>
          <w:sz w:val="22"/>
          <w:szCs w:val="22"/>
          <w:lang w:val="sr-Latn-ME"/>
        </w:rPr>
      </w:pPr>
      <w:r w:rsidRPr="00F85CA6">
        <w:rPr>
          <w:rFonts w:eastAsia="Calibri"/>
          <w:sz w:val="22"/>
          <w:szCs w:val="22"/>
          <w:lang w:val="sr-Latn-ME"/>
        </w:rPr>
        <w:t>Ni</w:t>
      </w:r>
      <w:r w:rsidR="002C18DB" w:rsidRPr="00F85CA6">
        <w:rPr>
          <w:rFonts w:eastAsia="Calibri"/>
          <w:sz w:val="22"/>
          <w:szCs w:val="22"/>
          <w:lang w:val="sr-Latn-ME"/>
        </w:rPr>
        <w:t>je</w:t>
      </w:r>
      <w:r w:rsidRPr="00F85CA6">
        <w:rPr>
          <w:rFonts w:eastAsia="Calibri"/>
          <w:sz w:val="22"/>
          <w:szCs w:val="22"/>
          <w:lang w:val="sr-Latn-ME"/>
        </w:rPr>
        <w:t xml:space="preserve">su dostupni farmakokinetički podaci za pacijente koji su na terapiji sa </w:t>
      </w:r>
      <w:r w:rsidRPr="00F85CA6">
        <w:rPr>
          <w:rFonts w:eastAsia="Calibri"/>
          <w:bCs/>
          <w:sz w:val="22"/>
          <w:szCs w:val="22"/>
          <w:lang w:val="sr-Latn-ME"/>
        </w:rPr>
        <w:t>150</w:t>
      </w:r>
      <w:r w:rsidRPr="00F85CA6">
        <w:rPr>
          <w:rFonts w:eastAsia="Calibri"/>
          <w:sz w:val="22"/>
          <w:szCs w:val="22"/>
          <w:lang w:val="sr-Latn-ME"/>
        </w:rPr>
        <w:t> mg dabigatraneteksilata dva puta dnevno zbog prevencije rekurentne DVT i PE.</w:t>
      </w:r>
    </w:p>
    <w:p w14:paraId="5F20E0AF" w14:textId="77777777" w:rsidR="00A30F42" w:rsidRPr="00F85CA6" w:rsidRDefault="00A30F42" w:rsidP="00A30F42">
      <w:pPr>
        <w:jc w:val="both"/>
        <w:rPr>
          <w:rFonts w:eastAsia="Calibri"/>
          <w:sz w:val="22"/>
          <w:szCs w:val="22"/>
          <w:lang w:val="sr-Latn-ME"/>
        </w:rPr>
      </w:pPr>
    </w:p>
    <w:p w14:paraId="0B587AD6" w14:textId="50DB85BF" w:rsidR="00A30F42" w:rsidRPr="00F85CA6" w:rsidRDefault="00A30F42" w:rsidP="00A30F42">
      <w:pPr>
        <w:jc w:val="both"/>
        <w:rPr>
          <w:rFonts w:eastAsia="Calibri"/>
          <w:sz w:val="22"/>
          <w:szCs w:val="22"/>
          <w:u w:val="single"/>
          <w:lang w:val="sr-Latn-ME"/>
        </w:rPr>
      </w:pPr>
      <w:r w:rsidRPr="00F85CA6">
        <w:rPr>
          <w:rFonts w:eastAsia="Calibri"/>
          <w:sz w:val="22"/>
          <w:szCs w:val="22"/>
          <w:u w:val="single"/>
          <w:lang w:val="sr-Latn-ME"/>
        </w:rPr>
        <w:t>Klinička efikasnost i bezbjednost</w:t>
      </w:r>
    </w:p>
    <w:p w14:paraId="5C6D0E60" w14:textId="77777777" w:rsidR="00A30F42" w:rsidRPr="00F85CA6" w:rsidRDefault="00A30F42" w:rsidP="00A30F42">
      <w:pPr>
        <w:jc w:val="both"/>
        <w:rPr>
          <w:rFonts w:eastAsia="Calibri"/>
          <w:sz w:val="22"/>
          <w:szCs w:val="22"/>
          <w:u w:val="single"/>
          <w:lang w:val="sr-Latn-ME"/>
        </w:rPr>
      </w:pPr>
    </w:p>
    <w:p w14:paraId="5ECD6046" w14:textId="5134A916" w:rsidR="00A30F42" w:rsidRPr="00F85CA6" w:rsidRDefault="00A30F42" w:rsidP="00A30F42">
      <w:pPr>
        <w:jc w:val="both"/>
        <w:rPr>
          <w:rFonts w:eastAsia="Calibri"/>
          <w:i/>
          <w:sz w:val="22"/>
          <w:szCs w:val="22"/>
          <w:lang w:val="sr-Latn-ME"/>
        </w:rPr>
      </w:pPr>
      <w:r w:rsidRPr="00F85CA6">
        <w:rPr>
          <w:rFonts w:eastAsia="Calibri"/>
          <w:i/>
          <w:sz w:val="22"/>
          <w:szCs w:val="22"/>
          <w:lang w:val="sr-Latn-ME"/>
        </w:rPr>
        <w:t>Etničko por</w:t>
      </w:r>
      <w:r w:rsidR="007E482C" w:rsidRPr="00F85CA6">
        <w:rPr>
          <w:rFonts w:eastAsia="Calibri"/>
          <w:i/>
          <w:sz w:val="22"/>
          <w:szCs w:val="22"/>
          <w:lang w:val="sr-Latn-ME"/>
        </w:rPr>
        <w:t>ij</w:t>
      </w:r>
      <w:r w:rsidRPr="00F85CA6">
        <w:rPr>
          <w:rFonts w:eastAsia="Calibri"/>
          <w:i/>
          <w:sz w:val="22"/>
          <w:szCs w:val="22"/>
          <w:lang w:val="sr-Latn-ME"/>
        </w:rPr>
        <w:t>eklo</w:t>
      </w:r>
    </w:p>
    <w:p w14:paraId="07F350C0" w14:textId="77777777" w:rsidR="00A30F42" w:rsidRPr="00F85CA6" w:rsidRDefault="00A30F42" w:rsidP="00A30F42">
      <w:pPr>
        <w:jc w:val="both"/>
        <w:rPr>
          <w:rFonts w:eastAsia="Calibri"/>
          <w:i/>
          <w:sz w:val="22"/>
          <w:szCs w:val="22"/>
          <w:lang w:val="sr-Latn-ME"/>
        </w:rPr>
      </w:pPr>
    </w:p>
    <w:p w14:paraId="1C6D77C5" w14:textId="53628ECF" w:rsidR="00A30F42" w:rsidRPr="00F85CA6" w:rsidRDefault="00A30F42" w:rsidP="00A30F42">
      <w:pPr>
        <w:jc w:val="both"/>
        <w:rPr>
          <w:rFonts w:eastAsia="Calibri"/>
          <w:sz w:val="22"/>
          <w:szCs w:val="22"/>
          <w:lang w:val="sr-Latn-ME"/>
        </w:rPr>
      </w:pPr>
      <w:r w:rsidRPr="00F85CA6">
        <w:rPr>
          <w:rFonts w:eastAsia="Calibri"/>
          <w:iCs/>
          <w:sz w:val="22"/>
          <w:szCs w:val="22"/>
          <w:lang w:val="sr-Latn-ME"/>
        </w:rPr>
        <w:t>Ni</w:t>
      </w:r>
      <w:r w:rsidR="002C18DB" w:rsidRPr="00F85CA6">
        <w:rPr>
          <w:rFonts w:eastAsia="Calibri"/>
          <w:iCs/>
          <w:sz w:val="22"/>
          <w:szCs w:val="22"/>
          <w:lang w:val="sr-Latn-ME"/>
        </w:rPr>
        <w:t>je</w:t>
      </w:r>
      <w:r w:rsidRPr="00F85CA6">
        <w:rPr>
          <w:rFonts w:eastAsia="Calibri"/>
          <w:iCs/>
          <w:sz w:val="22"/>
          <w:szCs w:val="22"/>
          <w:lang w:val="sr-Latn-ME"/>
        </w:rPr>
        <w:t xml:space="preserve">su uočene klinički značajne </w:t>
      </w:r>
      <w:r w:rsidRPr="00F85CA6">
        <w:rPr>
          <w:rFonts w:eastAsia="Calibri"/>
          <w:sz w:val="22"/>
          <w:szCs w:val="22"/>
          <w:lang w:val="sr-Latn-ME"/>
        </w:rPr>
        <w:t>etničke razlike među pripadnicima bijele rase, Afro-Amerikancima, Hispancima, Japancima ili Kinezima.</w:t>
      </w:r>
    </w:p>
    <w:p w14:paraId="2E9885E0" w14:textId="77777777" w:rsidR="00A30F42" w:rsidRPr="00F85CA6" w:rsidRDefault="00A30F42" w:rsidP="00A30F42">
      <w:pPr>
        <w:jc w:val="both"/>
        <w:rPr>
          <w:rFonts w:eastAsia="Calibri"/>
          <w:sz w:val="22"/>
          <w:szCs w:val="22"/>
          <w:lang w:val="sr-Latn-ME"/>
        </w:rPr>
      </w:pPr>
    </w:p>
    <w:p w14:paraId="2C54BCE4" w14:textId="4ED883D4" w:rsidR="00A30F42" w:rsidRPr="00F85CA6" w:rsidRDefault="00A30F42" w:rsidP="00A30F42">
      <w:pPr>
        <w:jc w:val="both"/>
        <w:rPr>
          <w:rFonts w:eastAsia="Calibri"/>
          <w:i/>
          <w:sz w:val="22"/>
          <w:szCs w:val="22"/>
          <w:u w:val="single"/>
          <w:lang w:val="sr-Latn-ME"/>
        </w:rPr>
      </w:pPr>
      <w:r w:rsidRPr="00F85CA6">
        <w:rPr>
          <w:rFonts w:eastAsia="Calibri"/>
          <w:i/>
          <w:sz w:val="22"/>
          <w:szCs w:val="22"/>
          <w:u w:val="single"/>
          <w:lang w:val="sr-Latn-ME"/>
        </w:rPr>
        <w:t>Klinička ispitivanja u profilaksi VTE posl</w:t>
      </w:r>
      <w:r w:rsidR="002C18DB" w:rsidRPr="00F85CA6">
        <w:rPr>
          <w:rFonts w:eastAsia="Calibri"/>
          <w:i/>
          <w:sz w:val="22"/>
          <w:szCs w:val="22"/>
          <w:u w:val="single"/>
          <w:lang w:val="sr-Latn-ME"/>
        </w:rPr>
        <w:t>ij</w:t>
      </w:r>
      <w:r w:rsidRPr="00F85CA6">
        <w:rPr>
          <w:rFonts w:eastAsia="Calibri"/>
          <w:i/>
          <w:sz w:val="22"/>
          <w:szCs w:val="22"/>
          <w:u w:val="single"/>
          <w:lang w:val="sr-Latn-ME"/>
        </w:rPr>
        <w:t>e velikih hirurških zahvata zamjene zgloba</w:t>
      </w:r>
    </w:p>
    <w:p w14:paraId="49DF3A7D" w14:textId="77777777" w:rsidR="00A30F42" w:rsidRPr="00F85CA6" w:rsidRDefault="00A30F42" w:rsidP="00A30F42">
      <w:pPr>
        <w:jc w:val="both"/>
        <w:rPr>
          <w:rFonts w:eastAsia="Calibri"/>
          <w:sz w:val="22"/>
          <w:szCs w:val="22"/>
          <w:lang w:val="sr-Latn-ME"/>
        </w:rPr>
      </w:pPr>
    </w:p>
    <w:p w14:paraId="13D3A814" w14:textId="151916B4" w:rsidR="00A30F42" w:rsidRPr="00F85CA6" w:rsidRDefault="00A30F42" w:rsidP="00A30F42">
      <w:pPr>
        <w:jc w:val="both"/>
        <w:rPr>
          <w:rFonts w:eastAsia="Calibri"/>
          <w:sz w:val="22"/>
          <w:szCs w:val="22"/>
          <w:lang w:val="sr-Latn-ME"/>
        </w:rPr>
      </w:pPr>
      <w:r w:rsidRPr="00F85CA6">
        <w:rPr>
          <w:rFonts w:eastAsia="Calibri"/>
          <w:sz w:val="22"/>
          <w:szCs w:val="22"/>
          <w:lang w:val="sr-Latn-ME"/>
        </w:rPr>
        <w:t>U 2 velika randomizovana, dvostruko sl</w:t>
      </w:r>
      <w:r w:rsidR="002C18DB" w:rsidRPr="00F85CA6">
        <w:rPr>
          <w:rFonts w:eastAsia="Calibri"/>
          <w:sz w:val="22"/>
          <w:szCs w:val="22"/>
          <w:lang w:val="sr-Latn-ME"/>
        </w:rPr>
        <w:t>ij</w:t>
      </w:r>
      <w:r w:rsidRPr="00F85CA6">
        <w:rPr>
          <w:rFonts w:eastAsia="Calibri"/>
          <w:sz w:val="22"/>
          <w:szCs w:val="22"/>
          <w:lang w:val="sr-Latn-ME"/>
        </w:rPr>
        <w:t>epa ispitivanja sa paralelnim grupama za potvrđivanje adekvatnosti doza, pacijenti koji su predviđeni za veliki elektivni ortopedski hirurški zahvat (jedna studija za hiruški zahvat zamjene koljena, a druga za hiruški zahvat zamjene kuka) primali su 75 mg ili 110 mg dabigatraneteksilata u roku od 1-4 sata nakon hiruškog zahvata, a zatim 150 mg ili 220 mg jednom dnevno, s tim da je hemostaza bila osigurana ili enoksaparin od 40 mg na dan prije hirurškog zahvata, a poslije toga svakog dana.</w:t>
      </w:r>
    </w:p>
    <w:p w14:paraId="53ED59CF" w14:textId="77777777" w:rsidR="002C18DB" w:rsidRPr="00F85CA6" w:rsidRDefault="002C18DB" w:rsidP="00A30F42">
      <w:pPr>
        <w:jc w:val="both"/>
        <w:rPr>
          <w:rFonts w:eastAsia="Calibri"/>
          <w:sz w:val="22"/>
          <w:szCs w:val="22"/>
          <w:lang w:val="sr-Latn-ME"/>
        </w:rPr>
      </w:pPr>
    </w:p>
    <w:p w14:paraId="39E3B280" w14:textId="4A2432B1" w:rsidR="00A30F42" w:rsidRPr="00F85CA6" w:rsidRDefault="00A30F42" w:rsidP="00A30F42">
      <w:pPr>
        <w:jc w:val="both"/>
        <w:rPr>
          <w:rFonts w:eastAsia="Calibri"/>
          <w:sz w:val="22"/>
          <w:szCs w:val="22"/>
          <w:lang w:val="sr-Latn-ME"/>
        </w:rPr>
      </w:pPr>
      <w:r w:rsidRPr="00F85CA6">
        <w:rPr>
          <w:rFonts w:eastAsia="Calibri"/>
          <w:sz w:val="22"/>
          <w:szCs w:val="22"/>
          <w:lang w:val="sr-Latn-ME"/>
        </w:rPr>
        <w:t>U studiji RE-MODEL (zamjena koljena), terapija je trajala 6</w:t>
      </w:r>
      <w:r w:rsidR="002C18DB" w:rsidRPr="00F85CA6">
        <w:rPr>
          <w:rFonts w:eastAsia="Calibri"/>
          <w:sz w:val="22"/>
          <w:szCs w:val="22"/>
          <w:lang w:val="sr-Latn-ME"/>
        </w:rPr>
        <w:t xml:space="preserve"> </w:t>
      </w:r>
      <w:r w:rsidRPr="00F85CA6">
        <w:rPr>
          <w:rFonts w:eastAsia="Calibri"/>
          <w:sz w:val="22"/>
          <w:szCs w:val="22"/>
          <w:lang w:val="sr-Latn-ME"/>
        </w:rPr>
        <w:t>-</w:t>
      </w:r>
      <w:r w:rsidR="002C18DB" w:rsidRPr="00F85CA6">
        <w:rPr>
          <w:rFonts w:eastAsia="Calibri"/>
          <w:sz w:val="22"/>
          <w:szCs w:val="22"/>
          <w:lang w:val="sr-Latn-ME"/>
        </w:rPr>
        <w:t xml:space="preserve"> </w:t>
      </w:r>
      <w:r w:rsidRPr="00F85CA6">
        <w:rPr>
          <w:rFonts w:eastAsia="Calibri"/>
          <w:sz w:val="22"/>
          <w:szCs w:val="22"/>
          <w:lang w:val="sr-Latn-ME"/>
        </w:rPr>
        <w:t>10 dana, a u studiji RE-NOVATE (zamjena kuka) 28</w:t>
      </w:r>
      <w:r w:rsidR="002C18DB" w:rsidRPr="00F85CA6">
        <w:rPr>
          <w:rFonts w:eastAsia="Calibri"/>
          <w:sz w:val="22"/>
          <w:szCs w:val="22"/>
          <w:lang w:val="sr-Latn-ME"/>
        </w:rPr>
        <w:t xml:space="preserve"> </w:t>
      </w:r>
      <w:r w:rsidRPr="00F85CA6">
        <w:rPr>
          <w:rFonts w:eastAsia="Calibri"/>
          <w:sz w:val="22"/>
          <w:szCs w:val="22"/>
          <w:lang w:val="sr-Latn-ME"/>
        </w:rPr>
        <w:t>-</w:t>
      </w:r>
      <w:r w:rsidR="002C18DB" w:rsidRPr="00F85CA6">
        <w:rPr>
          <w:rFonts w:eastAsia="Calibri"/>
          <w:sz w:val="22"/>
          <w:szCs w:val="22"/>
          <w:lang w:val="sr-Latn-ME"/>
        </w:rPr>
        <w:t xml:space="preserve"> </w:t>
      </w:r>
      <w:r w:rsidRPr="00F85CA6">
        <w:rPr>
          <w:rFonts w:eastAsia="Calibri"/>
          <w:sz w:val="22"/>
          <w:szCs w:val="22"/>
          <w:lang w:val="sr-Latn-ME"/>
        </w:rPr>
        <w:t xml:space="preserve">35 dana. Liječeno je ukupno 2076 pacijenata (koljeno) i 3494 pacijenta (kuk). </w:t>
      </w:r>
    </w:p>
    <w:p w14:paraId="6F43AAEB" w14:textId="77777777" w:rsidR="00A30F42" w:rsidRPr="00F85CA6" w:rsidRDefault="00A30F42" w:rsidP="00A30F42">
      <w:pPr>
        <w:jc w:val="both"/>
        <w:rPr>
          <w:rFonts w:eastAsia="Calibri"/>
          <w:sz w:val="22"/>
          <w:szCs w:val="22"/>
          <w:lang w:val="sr-Latn-ME"/>
        </w:rPr>
      </w:pPr>
    </w:p>
    <w:p w14:paraId="1200F215" w14:textId="54556A74" w:rsidR="00A30F42" w:rsidRPr="00F85CA6" w:rsidRDefault="00A30F42" w:rsidP="00A30F42">
      <w:pPr>
        <w:jc w:val="both"/>
        <w:rPr>
          <w:rFonts w:eastAsia="Calibri"/>
          <w:sz w:val="22"/>
          <w:szCs w:val="22"/>
          <w:lang w:val="sr-Latn-ME"/>
        </w:rPr>
      </w:pPr>
      <w:r w:rsidRPr="00F85CA6">
        <w:rPr>
          <w:rFonts w:eastAsia="Calibri"/>
          <w:sz w:val="22"/>
          <w:szCs w:val="22"/>
          <w:lang w:val="sr-Latn-ME"/>
        </w:rPr>
        <w:t>Primarni ishod za ob</w:t>
      </w:r>
      <w:r w:rsidR="00163AD3" w:rsidRPr="00F85CA6">
        <w:rPr>
          <w:rFonts w:eastAsia="Calibri"/>
          <w:sz w:val="22"/>
          <w:szCs w:val="22"/>
          <w:lang w:val="sr-Latn-ME"/>
        </w:rPr>
        <w:t>j</w:t>
      </w:r>
      <w:r w:rsidRPr="00F85CA6">
        <w:rPr>
          <w:rFonts w:eastAsia="Calibri"/>
          <w:sz w:val="22"/>
          <w:szCs w:val="22"/>
          <w:lang w:val="sr-Latn-ME"/>
        </w:rPr>
        <w:t xml:space="preserve">e studije je bio kompozitni i sastojao se iz ukupne VTE (uključujući PE, proksimalnu i distalnu DVT, bilo simptomatsku ili asimptomatsku detektovanu rutinskom venografijom) i mortaliteta zbog svih uzroka. Sekundarni ishod je bio kompozitni i sastojao se iz teške VTE (uključujući PE i proksimalnu DVT, bilo simptomatsku ili asimptomatsku detektovanu rutinskom venografijom) i mortaliteta povezanog sa VTE, a smatra se da ima veću kliničku relevantnost. </w:t>
      </w:r>
    </w:p>
    <w:p w14:paraId="4953DB15" w14:textId="618788A6" w:rsidR="00A30F42" w:rsidRPr="00F85CA6" w:rsidRDefault="00A30F42" w:rsidP="00A30F42">
      <w:pPr>
        <w:jc w:val="both"/>
        <w:rPr>
          <w:rFonts w:eastAsia="Calibri"/>
          <w:sz w:val="22"/>
          <w:szCs w:val="22"/>
          <w:lang w:val="sr-Latn-ME"/>
        </w:rPr>
      </w:pPr>
      <w:r w:rsidRPr="00F85CA6">
        <w:rPr>
          <w:rFonts w:eastAsia="Calibri"/>
          <w:sz w:val="22"/>
          <w:szCs w:val="22"/>
          <w:lang w:val="sr-Latn-ME"/>
        </w:rPr>
        <w:t>Rezultati ob</w:t>
      </w:r>
      <w:r w:rsidR="00A94651" w:rsidRPr="00F85CA6">
        <w:rPr>
          <w:rFonts w:eastAsia="Calibri"/>
          <w:sz w:val="22"/>
          <w:szCs w:val="22"/>
          <w:lang w:val="sr-Latn-ME"/>
        </w:rPr>
        <w:t>j</w:t>
      </w:r>
      <w:r w:rsidRPr="00F85CA6">
        <w:rPr>
          <w:rFonts w:eastAsia="Calibri"/>
          <w:sz w:val="22"/>
          <w:szCs w:val="22"/>
          <w:lang w:val="sr-Latn-ME"/>
        </w:rPr>
        <w:t>e studije su pokazali da je antitrombotično dejstvo 220 mg i 150 mg dabigatraneteksilata bilo statistički neinferiorno u odnosu na dejstvo enoksaparina na ukupnu VTE i mortalitet usl</w:t>
      </w:r>
      <w:r w:rsidR="00A94651" w:rsidRPr="00F85CA6">
        <w:rPr>
          <w:rFonts w:eastAsia="Calibri"/>
          <w:sz w:val="22"/>
          <w:szCs w:val="22"/>
          <w:lang w:val="sr-Latn-ME"/>
        </w:rPr>
        <w:t>j</w:t>
      </w:r>
      <w:r w:rsidRPr="00F85CA6">
        <w:rPr>
          <w:rFonts w:eastAsia="Calibri"/>
          <w:sz w:val="22"/>
          <w:szCs w:val="22"/>
          <w:lang w:val="sr-Latn-ME"/>
        </w:rPr>
        <w:t>ed svih uzroka. Proc</w:t>
      </w:r>
      <w:r w:rsidR="00A94651" w:rsidRPr="00F85CA6">
        <w:rPr>
          <w:rFonts w:eastAsia="Calibri"/>
          <w:sz w:val="22"/>
          <w:szCs w:val="22"/>
          <w:lang w:val="sr-Latn-ME"/>
        </w:rPr>
        <w:t>j</w:t>
      </w:r>
      <w:r w:rsidRPr="00F85CA6">
        <w:rPr>
          <w:rFonts w:eastAsia="Calibri"/>
          <w:sz w:val="22"/>
          <w:szCs w:val="22"/>
          <w:lang w:val="sr-Latn-ME"/>
        </w:rPr>
        <w:t>ena incidence teške VTE i mortaliteta povezanog sa VTE za dozu od 150 mg je bila nešto lošija nego kod prim</w:t>
      </w:r>
      <w:r w:rsidR="00A94651" w:rsidRPr="00F85CA6">
        <w:rPr>
          <w:rFonts w:eastAsia="Calibri"/>
          <w:sz w:val="22"/>
          <w:szCs w:val="22"/>
          <w:lang w:val="sr-Latn-ME"/>
        </w:rPr>
        <w:t>j</w:t>
      </w:r>
      <w:r w:rsidRPr="00F85CA6">
        <w:rPr>
          <w:rFonts w:eastAsia="Calibri"/>
          <w:sz w:val="22"/>
          <w:szCs w:val="22"/>
          <w:lang w:val="sr-Latn-ME"/>
        </w:rPr>
        <w:t>ene enoksaparina (tabela 19). Bolji rezultati su bili uočeni kod prim</w:t>
      </w:r>
      <w:r w:rsidR="00A94651" w:rsidRPr="00F85CA6">
        <w:rPr>
          <w:rFonts w:eastAsia="Calibri"/>
          <w:sz w:val="22"/>
          <w:szCs w:val="22"/>
          <w:lang w:val="sr-Latn-ME"/>
        </w:rPr>
        <w:t>j</w:t>
      </w:r>
      <w:r w:rsidRPr="00F85CA6">
        <w:rPr>
          <w:rFonts w:eastAsia="Calibri"/>
          <w:sz w:val="22"/>
          <w:szCs w:val="22"/>
          <w:lang w:val="sr-Latn-ME"/>
        </w:rPr>
        <w:t>ene doze od 220 mg gde je proc</w:t>
      </w:r>
      <w:r w:rsidR="00163AD3" w:rsidRPr="00F85CA6">
        <w:rPr>
          <w:rFonts w:eastAsia="Calibri"/>
          <w:sz w:val="22"/>
          <w:szCs w:val="22"/>
          <w:lang w:val="sr-Latn-ME"/>
        </w:rPr>
        <w:t>ij</w:t>
      </w:r>
      <w:r w:rsidRPr="00F85CA6">
        <w:rPr>
          <w:rFonts w:eastAsia="Calibri"/>
          <w:sz w:val="22"/>
          <w:szCs w:val="22"/>
          <w:lang w:val="sr-Latn-ME"/>
        </w:rPr>
        <w:t>enjeni rezultat za teške VTE bio nešto bolji nego kod prim</w:t>
      </w:r>
      <w:r w:rsidR="00A94651" w:rsidRPr="00F85CA6">
        <w:rPr>
          <w:rFonts w:eastAsia="Calibri"/>
          <w:sz w:val="22"/>
          <w:szCs w:val="22"/>
          <w:lang w:val="sr-Latn-ME"/>
        </w:rPr>
        <w:t>j</w:t>
      </w:r>
      <w:r w:rsidRPr="00F85CA6">
        <w:rPr>
          <w:rFonts w:eastAsia="Calibri"/>
          <w:sz w:val="22"/>
          <w:szCs w:val="22"/>
          <w:lang w:val="sr-Latn-ME"/>
        </w:rPr>
        <w:t>ene enoksaparina (tabela 19).</w:t>
      </w:r>
    </w:p>
    <w:p w14:paraId="31088B19" w14:textId="77777777" w:rsidR="00A30F42" w:rsidRPr="00F85CA6" w:rsidRDefault="00A30F42" w:rsidP="00A30F42">
      <w:pPr>
        <w:jc w:val="both"/>
        <w:rPr>
          <w:rFonts w:eastAsia="Calibri"/>
          <w:sz w:val="22"/>
          <w:szCs w:val="22"/>
          <w:lang w:val="sr-Latn-ME"/>
        </w:rPr>
      </w:pPr>
    </w:p>
    <w:p w14:paraId="2FCD0916" w14:textId="326CC678" w:rsidR="00A30F42" w:rsidRPr="00F85CA6" w:rsidRDefault="00A30F42" w:rsidP="00A30F42">
      <w:pPr>
        <w:jc w:val="both"/>
        <w:rPr>
          <w:rFonts w:eastAsia="Calibri"/>
          <w:sz w:val="22"/>
          <w:szCs w:val="22"/>
          <w:lang w:val="sr-Latn-ME"/>
        </w:rPr>
      </w:pPr>
      <w:r w:rsidRPr="00F85CA6">
        <w:rPr>
          <w:rFonts w:eastAsia="Calibri"/>
          <w:sz w:val="22"/>
          <w:szCs w:val="22"/>
          <w:lang w:val="sr-Latn-ME"/>
        </w:rPr>
        <w:t>Kliničke studije su bile sprovedene kod pacijenata sa srednjom vr</w:t>
      </w:r>
      <w:r w:rsidR="00163AD3" w:rsidRPr="00F85CA6">
        <w:rPr>
          <w:rFonts w:eastAsia="Calibri"/>
          <w:sz w:val="22"/>
          <w:szCs w:val="22"/>
          <w:lang w:val="sr-Latn-ME"/>
        </w:rPr>
        <w:t>ij</w:t>
      </w:r>
      <w:r w:rsidRPr="00F85CA6">
        <w:rPr>
          <w:rFonts w:eastAsia="Calibri"/>
          <w:sz w:val="22"/>
          <w:szCs w:val="22"/>
          <w:lang w:val="sr-Latn-ME"/>
        </w:rPr>
        <w:t>ednošću starosti &gt;</w:t>
      </w:r>
      <w:r w:rsidR="002C18DB" w:rsidRPr="00F85CA6">
        <w:rPr>
          <w:rFonts w:eastAsia="Calibri"/>
          <w:sz w:val="22"/>
          <w:szCs w:val="22"/>
          <w:lang w:val="sr-Latn-ME"/>
        </w:rPr>
        <w:t xml:space="preserve"> </w:t>
      </w:r>
      <w:r w:rsidRPr="00F85CA6">
        <w:rPr>
          <w:rFonts w:eastAsia="Calibri"/>
          <w:sz w:val="22"/>
          <w:szCs w:val="22"/>
          <w:lang w:val="sr-Latn-ME"/>
        </w:rPr>
        <w:t>65 godina.</w:t>
      </w:r>
    </w:p>
    <w:p w14:paraId="67E26403" w14:textId="77777777" w:rsidR="00A30F42" w:rsidRPr="00F85CA6" w:rsidRDefault="00A30F42" w:rsidP="00A30F42">
      <w:pPr>
        <w:jc w:val="both"/>
        <w:rPr>
          <w:rFonts w:eastAsia="Calibri"/>
          <w:sz w:val="22"/>
          <w:szCs w:val="22"/>
          <w:lang w:val="sr-Latn-ME"/>
        </w:rPr>
      </w:pPr>
      <w:r w:rsidRPr="00F85CA6">
        <w:rPr>
          <w:rFonts w:eastAsia="Calibri"/>
          <w:sz w:val="22"/>
          <w:szCs w:val="22"/>
          <w:lang w:val="sr-Latn-ME"/>
        </w:rPr>
        <w:t xml:space="preserve"> </w:t>
      </w:r>
    </w:p>
    <w:p w14:paraId="7323AAD1" w14:textId="3BF9C79C" w:rsidR="00A30F42" w:rsidRPr="00F85CA6" w:rsidRDefault="00A30F42" w:rsidP="00A30F42">
      <w:pPr>
        <w:jc w:val="both"/>
        <w:rPr>
          <w:rFonts w:eastAsia="Calibri"/>
          <w:sz w:val="22"/>
          <w:szCs w:val="22"/>
          <w:lang w:val="sr-Latn-ME"/>
        </w:rPr>
      </w:pPr>
      <w:r w:rsidRPr="00F85CA6">
        <w:rPr>
          <w:rFonts w:eastAsia="Calibri"/>
          <w:sz w:val="22"/>
          <w:szCs w:val="22"/>
          <w:lang w:val="sr-Latn-ME"/>
        </w:rPr>
        <w:t>Nije bilo razlika u podacima o efikasnosti i bezb</w:t>
      </w:r>
      <w:r w:rsidR="00A94651" w:rsidRPr="00F85CA6">
        <w:rPr>
          <w:rFonts w:eastAsia="Calibri"/>
          <w:sz w:val="22"/>
          <w:szCs w:val="22"/>
          <w:lang w:val="sr-Latn-ME"/>
        </w:rPr>
        <w:t>j</w:t>
      </w:r>
      <w:r w:rsidRPr="00F85CA6">
        <w:rPr>
          <w:rFonts w:eastAsia="Calibri"/>
          <w:sz w:val="22"/>
          <w:szCs w:val="22"/>
          <w:lang w:val="sr-Latn-ME"/>
        </w:rPr>
        <w:t xml:space="preserve">ednosti između muškaraca i žena u fazi III kliničkih studija. </w:t>
      </w:r>
    </w:p>
    <w:p w14:paraId="3A5D0B10" w14:textId="77777777" w:rsidR="00A30F42" w:rsidRPr="00F85CA6" w:rsidRDefault="00A30F42" w:rsidP="00A30F42">
      <w:pPr>
        <w:jc w:val="both"/>
        <w:rPr>
          <w:rFonts w:eastAsia="Calibri"/>
          <w:sz w:val="22"/>
          <w:szCs w:val="22"/>
          <w:lang w:val="sr-Latn-ME"/>
        </w:rPr>
      </w:pPr>
    </w:p>
    <w:p w14:paraId="1E7E3776" w14:textId="7141511A" w:rsidR="00A30F42" w:rsidRPr="00F85CA6" w:rsidRDefault="00A30F42" w:rsidP="00A30F42">
      <w:pPr>
        <w:jc w:val="both"/>
        <w:rPr>
          <w:rFonts w:eastAsia="Calibri"/>
          <w:sz w:val="22"/>
          <w:szCs w:val="22"/>
          <w:lang w:val="sr-Latn-ME"/>
        </w:rPr>
      </w:pPr>
      <w:r w:rsidRPr="00F85CA6">
        <w:rPr>
          <w:rFonts w:eastAsia="Calibri"/>
          <w:sz w:val="22"/>
          <w:szCs w:val="22"/>
          <w:lang w:val="sr-Latn-ME"/>
        </w:rPr>
        <w:t>U ispitivanoj populaciji pacijenata u studijama RE-MODEL i RE-NOVATE (5539 pacijenata l</w:t>
      </w:r>
      <w:r w:rsidR="00A94651" w:rsidRPr="00F85CA6">
        <w:rPr>
          <w:rFonts w:eastAsia="Calibri"/>
          <w:sz w:val="22"/>
          <w:szCs w:val="22"/>
          <w:lang w:val="sr-Latn-ME"/>
        </w:rPr>
        <w:t>ij</w:t>
      </w:r>
      <w:r w:rsidRPr="00F85CA6">
        <w:rPr>
          <w:rFonts w:eastAsia="Calibri"/>
          <w:sz w:val="22"/>
          <w:szCs w:val="22"/>
          <w:lang w:val="sr-Latn-ME"/>
        </w:rPr>
        <w:t xml:space="preserve">ečeno), 51% je imalo pridruženu hipertenziju, 9% dijabetes, 9% koronarnu arterijsku bolest i 20% je u istoriji bolesti imalo vensku insuficijenciju. Nijedna od ovih bolesti nije pokazala uticaj na dejstva dabigatrana na prevenciju VTE ili stope krvarenja. </w:t>
      </w:r>
    </w:p>
    <w:p w14:paraId="6B226AC1" w14:textId="77777777" w:rsidR="00A30F42" w:rsidRPr="00F85CA6" w:rsidRDefault="00A30F42" w:rsidP="00A30F42">
      <w:pPr>
        <w:jc w:val="both"/>
        <w:rPr>
          <w:rFonts w:eastAsia="Calibri"/>
          <w:sz w:val="22"/>
          <w:szCs w:val="22"/>
          <w:lang w:val="sr-Latn-ME"/>
        </w:rPr>
      </w:pPr>
    </w:p>
    <w:p w14:paraId="2266537E" w14:textId="77777777" w:rsidR="00A30F42" w:rsidRPr="00F85CA6" w:rsidRDefault="00A30F42" w:rsidP="00A30F42">
      <w:pPr>
        <w:jc w:val="both"/>
        <w:rPr>
          <w:rFonts w:eastAsia="Calibri"/>
          <w:sz w:val="22"/>
          <w:szCs w:val="22"/>
          <w:lang w:val="sr-Latn-ME"/>
        </w:rPr>
      </w:pPr>
      <w:r w:rsidRPr="00F85CA6">
        <w:rPr>
          <w:rFonts w:eastAsia="Calibri"/>
          <w:sz w:val="22"/>
          <w:szCs w:val="22"/>
          <w:lang w:val="sr-Latn-ME"/>
        </w:rPr>
        <w:t xml:space="preserve">Podaci za ishod teške VTE i mortaliteta povezanog sa VTE bili su homogeni u pogledu primarnog ishoda efikasnosti što je prikazano u tabeli 19. </w:t>
      </w:r>
    </w:p>
    <w:p w14:paraId="24ACC27D" w14:textId="679AAED6" w:rsidR="00A30F42" w:rsidRPr="00F85CA6" w:rsidRDefault="00A30F42" w:rsidP="00A30F42">
      <w:pPr>
        <w:jc w:val="both"/>
        <w:rPr>
          <w:rFonts w:eastAsia="Calibri"/>
          <w:sz w:val="22"/>
          <w:szCs w:val="22"/>
          <w:lang w:val="sr-Latn-ME"/>
        </w:rPr>
      </w:pPr>
      <w:r w:rsidRPr="00F85CA6">
        <w:rPr>
          <w:rFonts w:eastAsia="Calibri"/>
          <w:sz w:val="22"/>
          <w:szCs w:val="22"/>
          <w:lang w:val="sr-Latn-ME"/>
        </w:rPr>
        <w:lastRenderedPageBreak/>
        <w:t>Podaci o ishodu ukupne VTE i mortaliteta usl</w:t>
      </w:r>
      <w:r w:rsidR="001E6256" w:rsidRPr="00F85CA6">
        <w:rPr>
          <w:rFonts w:eastAsia="Calibri"/>
          <w:sz w:val="22"/>
          <w:szCs w:val="22"/>
          <w:lang w:val="sr-Latn-ME"/>
        </w:rPr>
        <w:t>j</w:t>
      </w:r>
      <w:r w:rsidRPr="00F85CA6">
        <w:rPr>
          <w:rFonts w:eastAsia="Calibri"/>
          <w:sz w:val="22"/>
          <w:szCs w:val="22"/>
          <w:lang w:val="sr-Latn-ME"/>
        </w:rPr>
        <w:t xml:space="preserve">ed svih uzroka su prikazani u tabeli 20. </w:t>
      </w:r>
    </w:p>
    <w:p w14:paraId="12ADEC7C" w14:textId="77777777" w:rsidR="00A30F42" w:rsidRPr="00F85CA6" w:rsidRDefault="00A30F42" w:rsidP="00A30F42">
      <w:pPr>
        <w:jc w:val="both"/>
        <w:rPr>
          <w:rFonts w:eastAsia="Calibri"/>
          <w:sz w:val="22"/>
          <w:szCs w:val="22"/>
          <w:lang w:val="sr-Latn-ME"/>
        </w:rPr>
      </w:pPr>
    </w:p>
    <w:p w14:paraId="355617EE" w14:textId="77777777" w:rsidR="00A30F42" w:rsidRPr="00F85CA6" w:rsidRDefault="00A30F42" w:rsidP="00A30F42">
      <w:pPr>
        <w:jc w:val="both"/>
        <w:rPr>
          <w:rFonts w:eastAsia="Calibri"/>
          <w:sz w:val="22"/>
          <w:szCs w:val="22"/>
          <w:lang w:val="sr-Latn-ME"/>
        </w:rPr>
      </w:pPr>
      <w:r w:rsidRPr="00F85CA6">
        <w:rPr>
          <w:rFonts w:eastAsia="Calibri"/>
          <w:sz w:val="22"/>
          <w:szCs w:val="22"/>
          <w:lang w:val="sr-Latn-ME"/>
        </w:rPr>
        <w:t>Podaci o ishodima obilnijih krvarenja su prikazani u tabeli 21 u nastavku.</w:t>
      </w:r>
    </w:p>
    <w:p w14:paraId="42E0D8DB" w14:textId="77777777" w:rsidR="00A30F42" w:rsidRPr="00F85CA6" w:rsidRDefault="00A30F42" w:rsidP="00A30F42">
      <w:pPr>
        <w:jc w:val="both"/>
        <w:rPr>
          <w:rFonts w:eastAsia="Calibri"/>
          <w:sz w:val="22"/>
          <w:szCs w:val="22"/>
          <w:lang w:val="sr-Latn-ME"/>
        </w:rPr>
      </w:pPr>
    </w:p>
    <w:p w14:paraId="46EC29C4" w14:textId="5C6EC96C" w:rsidR="00A30F42" w:rsidRPr="00F85CA6" w:rsidRDefault="00A30F42" w:rsidP="00685312">
      <w:pPr>
        <w:jc w:val="center"/>
        <w:rPr>
          <w:rFonts w:eastAsia="Calibri"/>
          <w:b/>
          <w:bCs/>
          <w:sz w:val="22"/>
          <w:szCs w:val="22"/>
          <w:lang w:val="sr-Latn-ME" w:bidi="en-US"/>
        </w:rPr>
      </w:pPr>
      <w:r w:rsidRPr="00F85CA6">
        <w:rPr>
          <w:rFonts w:eastAsia="Calibri"/>
          <w:b/>
          <w:bCs/>
          <w:sz w:val="22"/>
          <w:szCs w:val="22"/>
          <w:lang w:val="sr-Latn-ME" w:bidi="en-US"/>
        </w:rPr>
        <w:t>Tabela 19: Analiza teške VTE i mortaliteta povezanog sa VTE tokom terapijskog perioda u studijama ortopedske hirurgije RE-MODEL i RE-NOVATE.</w:t>
      </w:r>
    </w:p>
    <w:p w14:paraId="6D0B26BB" w14:textId="77777777" w:rsidR="00A30F42" w:rsidRPr="00F85CA6" w:rsidRDefault="00A30F42" w:rsidP="00A30F42">
      <w:pPr>
        <w:jc w:val="both"/>
        <w:rPr>
          <w:rFonts w:eastAsia="Calibri"/>
          <w:b/>
          <w:bCs/>
          <w:sz w:val="22"/>
          <w:szCs w:val="22"/>
          <w:lang w:val="sr-Latn-ME" w:bidi="en-US"/>
        </w:rPr>
      </w:pPr>
    </w:p>
    <w:tbl>
      <w:tblPr>
        <w:tblW w:w="5000" w:type="pct"/>
        <w:jc w:val="center"/>
        <w:tblBorders>
          <w:top w:val="nil"/>
          <w:left w:val="nil"/>
          <w:bottom w:val="nil"/>
          <w:right w:val="nil"/>
        </w:tblBorders>
        <w:tblCellMar>
          <w:left w:w="85" w:type="dxa"/>
          <w:right w:w="85" w:type="dxa"/>
        </w:tblCellMar>
        <w:tblLook w:val="0000" w:firstRow="0" w:lastRow="0" w:firstColumn="0" w:lastColumn="0" w:noHBand="0" w:noVBand="0"/>
      </w:tblPr>
      <w:tblGrid>
        <w:gridCol w:w="2266"/>
        <w:gridCol w:w="2265"/>
        <w:gridCol w:w="2265"/>
        <w:gridCol w:w="2265"/>
      </w:tblGrid>
      <w:tr w:rsidR="00A30F42" w:rsidRPr="00F85CA6" w14:paraId="0CB487D9" w14:textId="77777777" w:rsidTr="001239C3">
        <w:trPr>
          <w:trHeight w:val="20"/>
          <w:jc w:val="center"/>
        </w:trPr>
        <w:tc>
          <w:tcPr>
            <w:tcW w:w="1250" w:type="pct"/>
            <w:tcBorders>
              <w:top w:val="single" w:sz="5" w:space="0" w:color="000000"/>
              <w:left w:val="single" w:sz="5" w:space="0" w:color="000000"/>
              <w:bottom w:val="single" w:sz="5" w:space="0" w:color="000000"/>
              <w:right w:val="single" w:sz="5" w:space="0" w:color="000000"/>
            </w:tcBorders>
            <w:vAlign w:val="center"/>
          </w:tcPr>
          <w:p w14:paraId="5FD9CEAA" w14:textId="77777777" w:rsidR="00A30F42" w:rsidRPr="00F85CA6" w:rsidRDefault="00A30F42" w:rsidP="00A30F42">
            <w:pPr>
              <w:rPr>
                <w:rFonts w:eastAsia="Calibri"/>
                <w:sz w:val="22"/>
                <w:szCs w:val="22"/>
                <w:lang w:val="sr-Latn-ME"/>
              </w:rPr>
            </w:pPr>
            <w:r w:rsidRPr="00F85CA6">
              <w:rPr>
                <w:rFonts w:eastAsia="Calibri"/>
                <w:sz w:val="22"/>
                <w:szCs w:val="22"/>
                <w:lang w:val="sr-Latn-ME"/>
              </w:rPr>
              <w:t>Ispitivanje</w:t>
            </w:r>
          </w:p>
        </w:tc>
        <w:tc>
          <w:tcPr>
            <w:tcW w:w="1250" w:type="pct"/>
            <w:tcBorders>
              <w:top w:val="single" w:sz="5" w:space="0" w:color="000000"/>
              <w:left w:val="single" w:sz="5" w:space="0" w:color="000000"/>
              <w:bottom w:val="single" w:sz="5" w:space="0" w:color="000000"/>
              <w:right w:val="single" w:sz="5" w:space="0" w:color="000000"/>
            </w:tcBorders>
            <w:vAlign w:val="center"/>
          </w:tcPr>
          <w:p w14:paraId="41DA3DFA" w14:textId="5A931001" w:rsidR="00A30F42" w:rsidRPr="00F85CA6" w:rsidRDefault="00A30F42" w:rsidP="00A30F42">
            <w:pPr>
              <w:jc w:val="center"/>
              <w:rPr>
                <w:rFonts w:eastAsia="Calibri"/>
                <w:sz w:val="22"/>
                <w:szCs w:val="22"/>
                <w:lang w:val="sr-Latn-ME"/>
              </w:rPr>
            </w:pPr>
            <w:r w:rsidRPr="00F85CA6">
              <w:rPr>
                <w:rFonts w:eastAsia="Calibri"/>
                <w:sz w:val="22"/>
                <w:szCs w:val="22"/>
                <w:lang w:val="sr-Latn-ME"/>
              </w:rPr>
              <w:t>Dabigatrane</w:t>
            </w:r>
            <w:r w:rsidR="002C18DB" w:rsidRPr="00F85CA6">
              <w:rPr>
                <w:rFonts w:eastAsia="Calibri"/>
                <w:sz w:val="22"/>
                <w:szCs w:val="22"/>
                <w:lang w:val="sr-Latn-ME"/>
              </w:rPr>
              <w:t xml:space="preserve"> </w:t>
            </w:r>
            <w:r w:rsidRPr="00F85CA6">
              <w:rPr>
                <w:rFonts w:eastAsia="Calibri"/>
                <w:sz w:val="22"/>
                <w:szCs w:val="22"/>
                <w:lang w:val="sr-Latn-ME"/>
              </w:rPr>
              <w:t>teksilat 220 mg jednom dnevno</w:t>
            </w:r>
          </w:p>
        </w:tc>
        <w:tc>
          <w:tcPr>
            <w:tcW w:w="1250" w:type="pct"/>
            <w:tcBorders>
              <w:top w:val="single" w:sz="5" w:space="0" w:color="000000"/>
              <w:left w:val="single" w:sz="5" w:space="0" w:color="000000"/>
              <w:bottom w:val="single" w:sz="5" w:space="0" w:color="000000"/>
              <w:right w:val="single" w:sz="5" w:space="0" w:color="000000"/>
            </w:tcBorders>
            <w:vAlign w:val="center"/>
          </w:tcPr>
          <w:p w14:paraId="6C888113" w14:textId="486B3585" w:rsidR="00A30F42" w:rsidRPr="00F85CA6" w:rsidRDefault="00A30F42" w:rsidP="00A30F42">
            <w:pPr>
              <w:jc w:val="center"/>
              <w:rPr>
                <w:rFonts w:eastAsia="Calibri"/>
                <w:sz w:val="22"/>
                <w:szCs w:val="22"/>
                <w:lang w:val="sr-Latn-ME"/>
              </w:rPr>
            </w:pPr>
            <w:r w:rsidRPr="00F85CA6">
              <w:rPr>
                <w:rFonts w:eastAsia="Calibri"/>
                <w:sz w:val="22"/>
                <w:szCs w:val="22"/>
                <w:lang w:val="sr-Latn-ME"/>
              </w:rPr>
              <w:t>Dabigatrane</w:t>
            </w:r>
            <w:r w:rsidR="002C18DB" w:rsidRPr="00F85CA6">
              <w:rPr>
                <w:rFonts w:eastAsia="Calibri"/>
                <w:sz w:val="22"/>
                <w:szCs w:val="22"/>
                <w:lang w:val="sr-Latn-ME"/>
              </w:rPr>
              <w:t xml:space="preserve"> </w:t>
            </w:r>
            <w:r w:rsidRPr="00F85CA6">
              <w:rPr>
                <w:rFonts w:eastAsia="Calibri"/>
                <w:sz w:val="22"/>
                <w:szCs w:val="22"/>
                <w:lang w:val="sr-Latn-ME"/>
              </w:rPr>
              <w:t>teksilat 150 mg jednom dnevno</w:t>
            </w:r>
          </w:p>
        </w:tc>
        <w:tc>
          <w:tcPr>
            <w:tcW w:w="1250" w:type="pct"/>
            <w:tcBorders>
              <w:top w:val="single" w:sz="5" w:space="0" w:color="000000"/>
              <w:left w:val="single" w:sz="5" w:space="0" w:color="000000"/>
              <w:bottom w:val="single" w:sz="5" w:space="0" w:color="000000"/>
              <w:right w:val="single" w:sz="5" w:space="0" w:color="000000"/>
            </w:tcBorders>
            <w:vAlign w:val="center"/>
          </w:tcPr>
          <w:p w14:paraId="4BCCAD43"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Enoksaparin</w:t>
            </w:r>
          </w:p>
          <w:p w14:paraId="061FCAD2"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40 mg</w:t>
            </w:r>
          </w:p>
        </w:tc>
      </w:tr>
      <w:tr w:rsidR="00A30F42" w:rsidRPr="00F85CA6" w14:paraId="00487DDA" w14:textId="77777777" w:rsidTr="001239C3">
        <w:trPr>
          <w:trHeight w:val="20"/>
          <w:jc w:val="center"/>
        </w:trPr>
        <w:tc>
          <w:tcPr>
            <w:tcW w:w="1250" w:type="pct"/>
            <w:tcBorders>
              <w:top w:val="single" w:sz="5" w:space="0" w:color="000000"/>
              <w:left w:val="single" w:sz="5" w:space="0" w:color="000000"/>
              <w:bottom w:val="single" w:sz="5" w:space="0" w:color="000000"/>
            </w:tcBorders>
            <w:vAlign w:val="center"/>
          </w:tcPr>
          <w:p w14:paraId="04CC5418" w14:textId="77777777" w:rsidR="00A30F42" w:rsidRPr="00F85CA6" w:rsidRDefault="00A30F42" w:rsidP="00A30F42">
            <w:pPr>
              <w:rPr>
                <w:rFonts w:eastAsia="Calibri"/>
                <w:sz w:val="22"/>
                <w:szCs w:val="22"/>
                <w:lang w:val="sr-Latn-ME"/>
              </w:rPr>
            </w:pPr>
            <w:r w:rsidRPr="00F85CA6">
              <w:rPr>
                <w:rFonts w:eastAsia="Calibri"/>
                <w:sz w:val="22"/>
                <w:szCs w:val="22"/>
                <w:lang w:val="sr-Latn-ME"/>
              </w:rPr>
              <w:t xml:space="preserve">RE-NOVATE (kuk) </w:t>
            </w:r>
          </w:p>
        </w:tc>
        <w:tc>
          <w:tcPr>
            <w:tcW w:w="1250" w:type="pct"/>
            <w:tcBorders>
              <w:top w:val="single" w:sz="5" w:space="0" w:color="000000"/>
              <w:bottom w:val="single" w:sz="5" w:space="0" w:color="000000"/>
            </w:tcBorders>
            <w:vAlign w:val="center"/>
          </w:tcPr>
          <w:p w14:paraId="2DC2E267" w14:textId="77777777" w:rsidR="00A30F42" w:rsidRPr="00F85CA6" w:rsidRDefault="00A30F42" w:rsidP="00A30F42">
            <w:pPr>
              <w:jc w:val="center"/>
              <w:rPr>
                <w:rFonts w:eastAsia="Calibri"/>
                <w:sz w:val="22"/>
                <w:szCs w:val="22"/>
                <w:lang w:val="sr-Latn-ME"/>
              </w:rPr>
            </w:pPr>
          </w:p>
        </w:tc>
        <w:tc>
          <w:tcPr>
            <w:tcW w:w="1250" w:type="pct"/>
            <w:tcBorders>
              <w:top w:val="single" w:sz="5" w:space="0" w:color="000000"/>
              <w:bottom w:val="single" w:sz="5" w:space="0" w:color="000000"/>
            </w:tcBorders>
            <w:vAlign w:val="center"/>
          </w:tcPr>
          <w:p w14:paraId="28746069" w14:textId="77777777" w:rsidR="00A30F42" w:rsidRPr="00F85CA6" w:rsidRDefault="00A30F42" w:rsidP="00A30F42">
            <w:pPr>
              <w:jc w:val="center"/>
              <w:rPr>
                <w:rFonts w:eastAsia="Calibri"/>
                <w:sz w:val="22"/>
                <w:szCs w:val="22"/>
                <w:lang w:val="sr-Latn-ME"/>
              </w:rPr>
            </w:pPr>
          </w:p>
        </w:tc>
        <w:tc>
          <w:tcPr>
            <w:tcW w:w="1250" w:type="pct"/>
            <w:tcBorders>
              <w:top w:val="single" w:sz="5" w:space="0" w:color="000000"/>
              <w:bottom w:val="single" w:sz="5" w:space="0" w:color="000000"/>
              <w:right w:val="single" w:sz="5" w:space="0" w:color="000000"/>
            </w:tcBorders>
            <w:vAlign w:val="center"/>
          </w:tcPr>
          <w:p w14:paraId="13A37191" w14:textId="77777777" w:rsidR="00A30F42" w:rsidRPr="00F85CA6" w:rsidRDefault="00A30F42" w:rsidP="00A30F42">
            <w:pPr>
              <w:jc w:val="center"/>
              <w:rPr>
                <w:rFonts w:eastAsia="Calibri"/>
                <w:sz w:val="22"/>
                <w:szCs w:val="22"/>
                <w:lang w:val="sr-Latn-ME"/>
              </w:rPr>
            </w:pPr>
          </w:p>
        </w:tc>
      </w:tr>
      <w:tr w:rsidR="00A30F42" w:rsidRPr="00F85CA6" w14:paraId="47DFD9A4" w14:textId="77777777" w:rsidTr="001239C3">
        <w:trPr>
          <w:trHeight w:val="20"/>
          <w:jc w:val="center"/>
        </w:trPr>
        <w:tc>
          <w:tcPr>
            <w:tcW w:w="1250" w:type="pct"/>
            <w:tcBorders>
              <w:top w:val="single" w:sz="5" w:space="0" w:color="000000"/>
              <w:left w:val="single" w:sz="5" w:space="0" w:color="000000"/>
              <w:bottom w:val="single" w:sz="5" w:space="0" w:color="000000"/>
              <w:right w:val="single" w:sz="5" w:space="0" w:color="000000"/>
            </w:tcBorders>
            <w:vAlign w:val="center"/>
          </w:tcPr>
          <w:p w14:paraId="7810D42E" w14:textId="77777777" w:rsidR="00A30F42" w:rsidRPr="00F85CA6" w:rsidRDefault="00A30F42" w:rsidP="00A30F42">
            <w:pPr>
              <w:rPr>
                <w:rFonts w:eastAsia="Calibri"/>
                <w:sz w:val="22"/>
                <w:szCs w:val="22"/>
                <w:lang w:val="sr-Latn-ME"/>
              </w:rPr>
            </w:pPr>
            <w:r w:rsidRPr="00F85CA6">
              <w:rPr>
                <w:rFonts w:eastAsia="Calibri"/>
                <w:sz w:val="22"/>
                <w:szCs w:val="22"/>
                <w:lang w:val="sr-Latn-ME"/>
              </w:rPr>
              <w:t xml:space="preserve">N </w:t>
            </w:r>
          </w:p>
        </w:tc>
        <w:tc>
          <w:tcPr>
            <w:tcW w:w="1250" w:type="pct"/>
            <w:tcBorders>
              <w:top w:val="single" w:sz="5" w:space="0" w:color="000000"/>
              <w:left w:val="single" w:sz="5" w:space="0" w:color="000000"/>
              <w:bottom w:val="single" w:sz="5" w:space="0" w:color="000000"/>
              <w:right w:val="single" w:sz="5" w:space="0" w:color="000000"/>
            </w:tcBorders>
            <w:vAlign w:val="center"/>
          </w:tcPr>
          <w:p w14:paraId="38A8ED90"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909</w:t>
            </w:r>
          </w:p>
        </w:tc>
        <w:tc>
          <w:tcPr>
            <w:tcW w:w="1250" w:type="pct"/>
            <w:tcBorders>
              <w:top w:val="single" w:sz="5" w:space="0" w:color="000000"/>
              <w:left w:val="single" w:sz="5" w:space="0" w:color="000000"/>
              <w:bottom w:val="single" w:sz="5" w:space="0" w:color="000000"/>
              <w:right w:val="single" w:sz="5" w:space="0" w:color="000000"/>
            </w:tcBorders>
            <w:vAlign w:val="center"/>
          </w:tcPr>
          <w:p w14:paraId="43AE711F"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888</w:t>
            </w:r>
          </w:p>
        </w:tc>
        <w:tc>
          <w:tcPr>
            <w:tcW w:w="1250" w:type="pct"/>
            <w:tcBorders>
              <w:top w:val="single" w:sz="5" w:space="0" w:color="000000"/>
              <w:left w:val="single" w:sz="5" w:space="0" w:color="000000"/>
              <w:bottom w:val="single" w:sz="5" w:space="0" w:color="000000"/>
              <w:right w:val="single" w:sz="5" w:space="0" w:color="000000"/>
            </w:tcBorders>
            <w:vAlign w:val="center"/>
          </w:tcPr>
          <w:p w14:paraId="16369ADD"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917</w:t>
            </w:r>
          </w:p>
        </w:tc>
      </w:tr>
      <w:tr w:rsidR="00A30F42" w:rsidRPr="00F85CA6" w14:paraId="4FBC1F1A" w14:textId="77777777" w:rsidTr="001239C3">
        <w:trPr>
          <w:trHeight w:val="20"/>
          <w:jc w:val="center"/>
        </w:trPr>
        <w:tc>
          <w:tcPr>
            <w:tcW w:w="1250" w:type="pct"/>
            <w:tcBorders>
              <w:top w:val="single" w:sz="5" w:space="0" w:color="000000"/>
              <w:left w:val="single" w:sz="5" w:space="0" w:color="000000"/>
              <w:bottom w:val="single" w:sz="5" w:space="0" w:color="000000"/>
              <w:right w:val="single" w:sz="5" w:space="0" w:color="000000"/>
            </w:tcBorders>
            <w:vAlign w:val="center"/>
          </w:tcPr>
          <w:p w14:paraId="71AD3BBF" w14:textId="77777777" w:rsidR="00A30F42" w:rsidRPr="00F85CA6" w:rsidRDefault="00A30F42" w:rsidP="00A30F42">
            <w:pPr>
              <w:rPr>
                <w:rFonts w:eastAsia="Calibri"/>
                <w:sz w:val="22"/>
                <w:szCs w:val="22"/>
                <w:lang w:val="sr-Latn-ME"/>
              </w:rPr>
            </w:pPr>
            <w:r w:rsidRPr="00F85CA6">
              <w:rPr>
                <w:rFonts w:eastAsia="Calibri"/>
                <w:sz w:val="22"/>
                <w:szCs w:val="22"/>
                <w:lang w:val="sr-Latn-ME"/>
              </w:rPr>
              <w:t>Incidence %</w:t>
            </w:r>
          </w:p>
        </w:tc>
        <w:tc>
          <w:tcPr>
            <w:tcW w:w="1250" w:type="pct"/>
            <w:tcBorders>
              <w:top w:val="single" w:sz="5" w:space="0" w:color="000000"/>
              <w:left w:val="single" w:sz="5" w:space="0" w:color="000000"/>
              <w:bottom w:val="single" w:sz="5" w:space="0" w:color="000000"/>
              <w:right w:val="single" w:sz="5" w:space="0" w:color="000000"/>
            </w:tcBorders>
            <w:vAlign w:val="center"/>
          </w:tcPr>
          <w:p w14:paraId="1DDA000E"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28 (3,1)</w:t>
            </w:r>
          </w:p>
        </w:tc>
        <w:tc>
          <w:tcPr>
            <w:tcW w:w="1250" w:type="pct"/>
            <w:tcBorders>
              <w:top w:val="single" w:sz="5" w:space="0" w:color="000000"/>
              <w:left w:val="single" w:sz="5" w:space="0" w:color="000000"/>
              <w:bottom w:val="single" w:sz="5" w:space="0" w:color="000000"/>
              <w:right w:val="single" w:sz="5" w:space="0" w:color="000000"/>
            </w:tcBorders>
            <w:vAlign w:val="center"/>
          </w:tcPr>
          <w:p w14:paraId="4F40E1B1"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38 (4,3)</w:t>
            </w:r>
          </w:p>
        </w:tc>
        <w:tc>
          <w:tcPr>
            <w:tcW w:w="1250" w:type="pct"/>
            <w:tcBorders>
              <w:top w:val="single" w:sz="5" w:space="0" w:color="000000"/>
              <w:left w:val="single" w:sz="5" w:space="0" w:color="000000"/>
              <w:bottom w:val="single" w:sz="5" w:space="0" w:color="000000"/>
              <w:right w:val="single" w:sz="5" w:space="0" w:color="000000"/>
            </w:tcBorders>
            <w:vAlign w:val="center"/>
          </w:tcPr>
          <w:p w14:paraId="071F1D85"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36 (3,9)</w:t>
            </w:r>
          </w:p>
        </w:tc>
      </w:tr>
      <w:tr w:rsidR="00A30F42" w:rsidRPr="00F85CA6" w14:paraId="4EEC4B6C" w14:textId="77777777" w:rsidTr="001239C3">
        <w:trPr>
          <w:trHeight w:val="20"/>
          <w:jc w:val="center"/>
        </w:trPr>
        <w:tc>
          <w:tcPr>
            <w:tcW w:w="1250" w:type="pct"/>
            <w:tcBorders>
              <w:top w:val="single" w:sz="5" w:space="0" w:color="000000"/>
              <w:left w:val="single" w:sz="5" w:space="0" w:color="000000"/>
              <w:bottom w:val="single" w:sz="5" w:space="0" w:color="000000"/>
              <w:right w:val="single" w:sz="5" w:space="0" w:color="000000"/>
            </w:tcBorders>
            <w:vAlign w:val="center"/>
          </w:tcPr>
          <w:p w14:paraId="7F021397" w14:textId="77777777" w:rsidR="00A30F42" w:rsidRPr="00F85CA6" w:rsidRDefault="00A30F42" w:rsidP="00A30F42">
            <w:pPr>
              <w:rPr>
                <w:rFonts w:eastAsia="Calibri"/>
                <w:sz w:val="22"/>
                <w:szCs w:val="22"/>
                <w:lang w:val="sr-Latn-ME"/>
              </w:rPr>
            </w:pPr>
            <w:r w:rsidRPr="00F85CA6">
              <w:rPr>
                <w:rFonts w:eastAsia="Calibri"/>
                <w:i/>
                <w:sz w:val="22"/>
                <w:szCs w:val="22"/>
                <w:lang w:val="sr-Latn-ME"/>
              </w:rPr>
              <w:t>Risk ratio</w:t>
            </w:r>
            <w:r w:rsidRPr="00F85CA6">
              <w:rPr>
                <w:rFonts w:eastAsia="Calibri"/>
                <w:sz w:val="22"/>
                <w:szCs w:val="22"/>
                <w:lang w:val="sr-Latn-ME"/>
              </w:rPr>
              <w:t xml:space="preserve"> prema enoksaparinu </w:t>
            </w:r>
          </w:p>
        </w:tc>
        <w:tc>
          <w:tcPr>
            <w:tcW w:w="1250" w:type="pct"/>
            <w:tcBorders>
              <w:top w:val="single" w:sz="5" w:space="0" w:color="000000"/>
              <w:left w:val="single" w:sz="5" w:space="0" w:color="000000"/>
              <w:bottom w:val="single" w:sz="5" w:space="0" w:color="000000"/>
              <w:right w:val="single" w:sz="5" w:space="0" w:color="000000"/>
            </w:tcBorders>
            <w:vAlign w:val="center"/>
          </w:tcPr>
          <w:p w14:paraId="0DB67E52"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0,78</w:t>
            </w:r>
          </w:p>
        </w:tc>
        <w:tc>
          <w:tcPr>
            <w:tcW w:w="1250" w:type="pct"/>
            <w:tcBorders>
              <w:top w:val="single" w:sz="5" w:space="0" w:color="000000"/>
              <w:left w:val="single" w:sz="5" w:space="0" w:color="000000"/>
              <w:bottom w:val="single" w:sz="5" w:space="0" w:color="000000"/>
              <w:right w:val="single" w:sz="5" w:space="0" w:color="000000"/>
            </w:tcBorders>
            <w:vAlign w:val="center"/>
          </w:tcPr>
          <w:p w14:paraId="2D18CA03"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1,09</w:t>
            </w:r>
          </w:p>
        </w:tc>
        <w:tc>
          <w:tcPr>
            <w:tcW w:w="1250" w:type="pct"/>
            <w:tcBorders>
              <w:top w:val="single" w:sz="5" w:space="0" w:color="000000"/>
              <w:left w:val="single" w:sz="5" w:space="0" w:color="000000"/>
              <w:bottom w:val="single" w:sz="5" w:space="0" w:color="000000"/>
              <w:right w:val="single" w:sz="5" w:space="0" w:color="000000"/>
            </w:tcBorders>
            <w:vAlign w:val="center"/>
          </w:tcPr>
          <w:p w14:paraId="2B0A8DBD" w14:textId="77777777" w:rsidR="00A30F42" w:rsidRPr="00F85CA6" w:rsidRDefault="00A30F42" w:rsidP="00A30F42">
            <w:pPr>
              <w:jc w:val="center"/>
              <w:rPr>
                <w:rFonts w:eastAsia="Calibri"/>
                <w:sz w:val="22"/>
                <w:szCs w:val="22"/>
                <w:lang w:val="sr-Latn-ME"/>
              </w:rPr>
            </w:pPr>
          </w:p>
        </w:tc>
      </w:tr>
      <w:tr w:rsidR="00A30F42" w:rsidRPr="00F85CA6" w14:paraId="1ABCF911" w14:textId="77777777" w:rsidTr="001239C3">
        <w:trPr>
          <w:trHeight w:val="20"/>
          <w:jc w:val="center"/>
        </w:trPr>
        <w:tc>
          <w:tcPr>
            <w:tcW w:w="1250" w:type="pct"/>
            <w:tcBorders>
              <w:top w:val="single" w:sz="5" w:space="0" w:color="000000"/>
              <w:left w:val="single" w:sz="5" w:space="0" w:color="000000"/>
              <w:bottom w:val="single" w:sz="5" w:space="0" w:color="000000"/>
              <w:right w:val="single" w:sz="5" w:space="0" w:color="000000"/>
            </w:tcBorders>
            <w:vAlign w:val="center"/>
          </w:tcPr>
          <w:p w14:paraId="5A165E2D" w14:textId="77777777" w:rsidR="00A30F42" w:rsidRPr="00F85CA6" w:rsidRDefault="00A30F42" w:rsidP="00A30F42">
            <w:pPr>
              <w:rPr>
                <w:rFonts w:eastAsia="Calibri"/>
                <w:sz w:val="22"/>
                <w:szCs w:val="22"/>
                <w:lang w:val="sr-Latn-ME"/>
              </w:rPr>
            </w:pPr>
            <w:r w:rsidRPr="00F85CA6">
              <w:rPr>
                <w:rFonts w:eastAsia="Calibri"/>
                <w:sz w:val="22"/>
                <w:szCs w:val="22"/>
                <w:lang w:val="sr-Latn-ME"/>
              </w:rPr>
              <w:t xml:space="preserve">95% CI </w:t>
            </w:r>
          </w:p>
        </w:tc>
        <w:tc>
          <w:tcPr>
            <w:tcW w:w="1250" w:type="pct"/>
            <w:tcBorders>
              <w:top w:val="single" w:sz="5" w:space="0" w:color="000000"/>
              <w:left w:val="single" w:sz="5" w:space="0" w:color="000000"/>
              <w:bottom w:val="single" w:sz="5" w:space="0" w:color="000000"/>
              <w:right w:val="single" w:sz="5" w:space="0" w:color="000000"/>
            </w:tcBorders>
            <w:vAlign w:val="center"/>
          </w:tcPr>
          <w:p w14:paraId="2727CC6D"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0,48; 1,27</w:t>
            </w:r>
          </w:p>
        </w:tc>
        <w:tc>
          <w:tcPr>
            <w:tcW w:w="1250" w:type="pct"/>
            <w:tcBorders>
              <w:top w:val="single" w:sz="5" w:space="0" w:color="000000"/>
              <w:left w:val="single" w:sz="5" w:space="0" w:color="000000"/>
              <w:bottom w:val="single" w:sz="5" w:space="0" w:color="000000"/>
              <w:right w:val="single" w:sz="5" w:space="0" w:color="000000"/>
            </w:tcBorders>
            <w:vAlign w:val="center"/>
          </w:tcPr>
          <w:p w14:paraId="3CDA308A"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0,70; 1,70</w:t>
            </w:r>
          </w:p>
        </w:tc>
        <w:tc>
          <w:tcPr>
            <w:tcW w:w="1250" w:type="pct"/>
            <w:tcBorders>
              <w:top w:val="single" w:sz="5" w:space="0" w:color="000000"/>
              <w:left w:val="single" w:sz="5" w:space="0" w:color="000000"/>
              <w:bottom w:val="single" w:sz="5" w:space="0" w:color="000000"/>
              <w:right w:val="single" w:sz="5" w:space="0" w:color="000000"/>
            </w:tcBorders>
            <w:vAlign w:val="center"/>
          </w:tcPr>
          <w:p w14:paraId="1984E7CA" w14:textId="77777777" w:rsidR="00A30F42" w:rsidRPr="00F85CA6" w:rsidRDefault="00A30F42" w:rsidP="00A30F42">
            <w:pPr>
              <w:jc w:val="center"/>
              <w:rPr>
                <w:rFonts w:eastAsia="Calibri"/>
                <w:sz w:val="22"/>
                <w:szCs w:val="22"/>
                <w:lang w:val="sr-Latn-ME"/>
              </w:rPr>
            </w:pPr>
          </w:p>
        </w:tc>
      </w:tr>
      <w:tr w:rsidR="00A30F42" w:rsidRPr="00F85CA6" w14:paraId="1A274E13" w14:textId="77777777" w:rsidTr="001239C3">
        <w:trPr>
          <w:trHeight w:val="20"/>
          <w:jc w:val="center"/>
        </w:trPr>
        <w:tc>
          <w:tcPr>
            <w:tcW w:w="1250" w:type="pct"/>
            <w:tcBorders>
              <w:top w:val="single" w:sz="5" w:space="0" w:color="000000"/>
              <w:left w:val="single" w:sz="5" w:space="0" w:color="000000"/>
              <w:bottom w:val="single" w:sz="5" w:space="0" w:color="000000"/>
            </w:tcBorders>
            <w:vAlign w:val="center"/>
          </w:tcPr>
          <w:p w14:paraId="5EABBBFE" w14:textId="30F4D403" w:rsidR="00A30F42" w:rsidRPr="00F85CA6" w:rsidRDefault="00A30F42" w:rsidP="00A30F42">
            <w:pPr>
              <w:rPr>
                <w:rFonts w:eastAsia="Calibri"/>
                <w:sz w:val="22"/>
                <w:szCs w:val="22"/>
                <w:lang w:val="sr-Latn-ME"/>
              </w:rPr>
            </w:pPr>
            <w:r w:rsidRPr="00F85CA6">
              <w:rPr>
                <w:rFonts w:eastAsia="Calibri"/>
                <w:sz w:val="22"/>
                <w:szCs w:val="22"/>
                <w:lang w:val="sr-Latn-ME"/>
              </w:rPr>
              <w:t>RE-MODEL (kol</w:t>
            </w:r>
            <w:r w:rsidR="0047239C" w:rsidRPr="00F85CA6">
              <w:rPr>
                <w:rFonts w:eastAsia="Calibri"/>
                <w:sz w:val="22"/>
                <w:szCs w:val="22"/>
                <w:lang w:val="sr-Latn-ME"/>
              </w:rPr>
              <w:t>j</w:t>
            </w:r>
            <w:r w:rsidRPr="00F85CA6">
              <w:rPr>
                <w:rFonts w:eastAsia="Calibri"/>
                <w:sz w:val="22"/>
                <w:szCs w:val="22"/>
                <w:lang w:val="sr-Latn-ME"/>
              </w:rPr>
              <w:t xml:space="preserve">eno) </w:t>
            </w:r>
          </w:p>
        </w:tc>
        <w:tc>
          <w:tcPr>
            <w:tcW w:w="1250" w:type="pct"/>
            <w:tcBorders>
              <w:top w:val="single" w:sz="5" w:space="0" w:color="000000"/>
              <w:bottom w:val="single" w:sz="5" w:space="0" w:color="000000"/>
            </w:tcBorders>
            <w:vAlign w:val="center"/>
          </w:tcPr>
          <w:p w14:paraId="7D57EFAA" w14:textId="77777777" w:rsidR="00A30F42" w:rsidRPr="00F85CA6" w:rsidRDefault="00A30F42" w:rsidP="00A30F42">
            <w:pPr>
              <w:jc w:val="center"/>
              <w:rPr>
                <w:rFonts w:eastAsia="Calibri"/>
                <w:sz w:val="22"/>
                <w:szCs w:val="22"/>
                <w:lang w:val="sr-Latn-ME"/>
              </w:rPr>
            </w:pPr>
          </w:p>
        </w:tc>
        <w:tc>
          <w:tcPr>
            <w:tcW w:w="1250" w:type="pct"/>
            <w:tcBorders>
              <w:top w:val="single" w:sz="5" w:space="0" w:color="000000"/>
              <w:bottom w:val="single" w:sz="5" w:space="0" w:color="000000"/>
            </w:tcBorders>
            <w:vAlign w:val="center"/>
          </w:tcPr>
          <w:p w14:paraId="31923848" w14:textId="77777777" w:rsidR="00A30F42" w:rsidRPr="00F85CA6" w:rsidRDefault="00A30F42" w:rsidP="00A30F42">
            <w:pPr>
              <w:jc w:val="center"/>
              <w:rPr>
                <w:rFonts w:eastAsia="Calibri"/>
                <w:sz w:val="22"/>
                <w:szCs w:val="22"/>
                <w:lang w:val="sr-Latn-ME"/>
              </w:rPr>
            </w:pPr>
          </w:p>
        </w:tc>
        <w:tc>
          <w:tcPr>
            <w:tcW w:w="1250" w:type="pct"/>
            <w:tcBorders>
              <w:top w:val="single" w:sz="5" w:space="0" w:color="000000"/>
              <w:bottom w:val="single" w:sz="5" w:space="0" w:color="000000"/>
              <w:right w:val="single" w:sz="5" w:space="0" w:color="000000"/>
            </w:tcBorders>
            <w:vAlign w:val="center"/>
          </w:tcPr>
          <w:p w14:paraId="5185EECF" w14:textId="77777777" w:rsidR="00A30F42" w:rsidRPr="00F85CA6" w:rsidRDefault="00A30F42" w:rsidP="00A30F42">
            <w:pPr>
              <w:jc w:val="center"/>
              <w:rPr>
                <w:rFonts w:eastAsia="Calibri"/>
                <w:sz w:val="22"/>
                <w:szCs w:val="22"/>
                <w:lang w:val="sr-Latn-ME"/>
              </w:rPr>
            </w:pPr>
          </w:p>
        </w:tc>
      </w:tr>
      <w:tr w:rsidR="00A30F42" w:rsidRPr="00F85CA6" w14:paraId="7FE198E8" w14:textId="77777777" w:rsidTr="001239C3">
        <w:trPr>
          <w:trHeight w:val="20"/>
          <w:jc w:val="center"/>
        </w:trPr>
        <w:tc>
          <w:tcPr>
            <w:tcW w:w="1250" w:type="pct"/>
            <w:tcBorders>
              <w:top w:val="single" w:sz="5" w:space="0" w:color="000000"/>
              <w:left w:val="single" w:sz="5" w:space="0" w:color="000000"/>
              <w:bottom w:val="single" w:sz="5" w:space="0" w:color="000000"/>
              <w:right w:val="single" w:sz="5" w:space="0" w:color="000000"/>
            </w:tcBorders>
            <w:vAlign w:val="center"/>
          </w:tcPr>
          <w:p w14:paraId="70EADE54" w14:textId="77777777" w:rsidR="00A30F42" w:rsidRPr="00F85CA6" w:rsidRDefault="00A30F42" w:rsidP="00A30F42">
            <w:pPr>
              <w:rPr>
                <w:rFonts w:eastAsia="Calibri"/>
                <w:sz w:val="22"/>
                <w:szCs w:val="22"/>
                <w:lang w:val="sr-Latn-ME"/>
              </w:rPr>
            </w:pPr>
            <w:r w:rsidRPr="00F85CA6">
              <w:rPr>
                <w:rFonts w:eastAsia="Calibri"/>
                <w:sz w:val="22"/>
                <w:szCs w:val="22"/>
                <w:lang w:val="sr-Latn-ME"/>
              </w:rPr>
              <w:t xml:space="preserve">N </w:t>
            </w:r>
          </w:p>
        </w:tc>
        <w:tc>
          <w:tcPr>
            <w:tcW w:w="1250" w:type="pct"/>
            <w:tcBorders>
              <w:top w:val="single" w:sz="5" w:space="0" w:color="000000"/>
              <w:left w:val="single" w:sz="5" w:space="0" w:color="000000"/>
              <w:bottom w:val="single" w:sz="5" w:space="0" w:color="000000"/>
              <w:right w:val="single" w:sz="5" w:space="0" w:color="000000"/>
            </w:tcBorders>
            <w:vAlign w:val="center"/>
          </w:tcPr>
          <w:p w14:paraId="7D603BE4"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506</w:t>
            </w:r>
          </w:p>
        </w:tc>
        <w:tc>
          <w:tcPr>
            <w:tcW w:w="1250" w:type="pct"/>
            <w:tcBorders>
              <w:top w:val="single" w:sz="5" w:space="0" w:color="000000"/>
              <w:left w:val="single" w:sz="5" w:space="0" w:color="000000"/>
              <w:bottom w:val="single" w:sz="5" w:space="0" w:color="000000"/>
              <w:right w:val="single" w:sz="5" w:space="0" w:color="000000"/>
            </w:tcBorders>
            <w:vAlign w:val="center"/>
          </w:tcPr>
          <w:p w14:paraId="6FE691F0"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527</w:t>
            </w:r>
          </w:p>
        </w:tc>
        <w:tc>
          <w:tcPr>
            <w:tcW w:w="1250" w:type="pct"/>
            <w:tcBorders>
              <w:top w:val="single" w:sz="5" w:space="0" w:color="000000"/>
              <w:left w:val="single" w:sz="5" w:space="0" w:color="000000"/>
              <w:bottom w:val="single" w:sz="5" w:space="0" w:color="000000"/>
              <w:right w:val="single" w:sz="5" w:space="0" w:color="000000"/>
            </w:tcBorders>
            <w:vAlign w:val="center"/>
          </w:tcPr>
          <w:p w14:paraId="7B79849E"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511</w:t>
            </w:r>
          </w:p>
        </w:tc>
      </w:tr>
      <w:tr w:rsidR="00A30F42" w:rsidRPr="00F85CA6" w14:paraId="20343ED1" w14:textId="77777777" w:rsidTr="001239C3">
        <w:trPr>
          <w:trHeight w:val="20"/>
          <w:jc w:val="center"/>
        </w:trPr>
        <w:tc>
          <w:tcPr>
            <w:tcW w:w="1250" w:type="pct"/>
            <w:tcBorders>
              <w:top w:val="single" w:sz="5" w:space="0" w:color="000000"/>
              <w:left w:val="single" w:sz="5" w:space="0" w:color="000000"/>
              <w:bottom w:val="single" w:sz="5" w:space="0" w:color="000000"/>
              <w:right w:val="single" w:sz="5" w:space="0" w:color="000000"/>
            </w:tcBorders>
            <w:vAlign w:val="center"/>
          </w:tcPr>
          <w:p w14:paraId="0CB3F1B3" w14:textId="77777777" w:rsidR="00A30F42" w:rsidRPr="00F85CA6" w:rsidRDefault="00A30F42" w:rsidP="00A30F42">
            <w:pPr>
              <w:rPr>
                <w:rFonts w:eastAsia="Calibri"/>
                <w:sz w:val="22"/>
                <w:szCs w:val="22"/>
                <w:lang w:val="sr-Latn-ME"/>
              </w:rPr>
            </w:pPr>
            <w:r w:rsidRPr="00F85CA6">
              <w:rPr>
                <w:rFonts w:eastAsia="Calibri"/>
                <w:sz w:val="22"/>
                <w:szCs w:val="22"/>
                <w:lang w:val="sr-Latn-ME"/>
              </w:rPr>
              <w:t>Incidence %</w:t>
            </w:r>
          </w:p>
        </w:tc>
        <w:tc>
          <w:tcPr>
            <w:tcW w:w="1250" w:type="pct"/>
            <w:tcBorders>
              <w:top w:val="single" w:sz="5" w:space="0" w:color="000000"/>
              <w:left w:val="single" w:sz="5" w:space="0" w:color="000000"/>
              <w:bottom w:val="single" w:sz="5" w:space="0" w:color="000000"/>
              <w:right w:val="single" w:sz="5" w:space="0" w:color="000000"/>
            </w:tcBorders>
            <w:vAlign w:val="center"/>
          </w:tcPr>
          <w:p w14:paraId="6E4C056A"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13 (2,6)</w:t>
            </w:r>
          </w:p>
        </w:tc>
        <w:tc>
          <w:tcPr>
            <w:tcW w:w="1250" w:type="pct"/>
            <w:tcBorders>
              <w:top w:val="single" w:sz="5" w:space="0" w:color="000000"/>
              <w:left w:val="single" w:sz="5" w:space="0" w:color="000000"/>
              <w:bottom w:val="single" w:sz="5" w:space="0" w:color="000000"/>
              <w:right w:val="single" w:sz="5" w:space="0" w:color="000000"/>
            </w:tcBorders>
            <w:vAlign w:val="center"/>
          </w:tcPr>
          <w:p w14:paraId="7578A5D8"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20 (3,8)</w:t>
            </w:r>
          </w:p>
        </w:tc>
        <w:tc>
          <w:tcPr>
            <w:tcW w:w="1250" w:type="pct"/>
            <w:tcBorders>
              <w:top w:val="single" w:sz="5" w:space="0" w:color="000000"/>
              <w:left w:val="single" w:sz="5" w:space="0" w:color="000000"/>
              <w:bottom w:val="single" w:sz="5" w:space="0" w:color="000000"/>
              <w:right w:val="single" w:sz="5" w:space="0" w:color="000000"/>
            </w:tcBorders>
            <w:vAlign w:val="center"/>
          </w:tcPr>
          <w:p w14:paraId="307F56DE"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18 (3,5)</w:t>
            </w:r>
          </w:p>
        </w:tc>
      </w:tr>
      <w:tr w:rsidR="00A30F42" w:rsidRPr="00F85CA6" w14:paraId="3D87E1C7" w14:textId="77777777" w:rsidTr="001239C3">
        <w:trPr>
          <w:trHeight w:val="20"/>
          <w:jc w:val="center"/>
        </w:trPr>
        <w:tc>
          <w:tcPr>
            <w:tcW w:w="1250" w:type="pct"/>
            <w:tcBorders>
              <w:top w:val="single" w:sz="5" w:space="0" w:color="000000"/>
              <w:left w:val="single" w:sz="5" w:space="0" w:color="000000"/>
              <w:bottom w:val="single" w:sz="5" w:space="0" w:color="000000"/>
              <w:right w:val="single" w:sz="5" w:space="0" w:color="000000"/>
            </w:tcBorders>
            <w:vAlign w:val="center"/>
          </w:tcPr>
          <w:p w14:paraId="0F5AAC4C" w14:textId="77777777" w:rsidR="00A30F42" w:rsidRPr="00F85CA6" w:rsidRDefault="00A30F42" w:rsidP="00A30F42">
            <w:pPr>
              <w:rPr>
                <w:rFonts w:eastAsia="Calibri"/>
                <w:sz w:val="22"/>
                <w:szCs w:val="22"/>
                <w:lang w:val="sr-Latn-ME"/>
              </w:rPr>
            </w:pPr>
            <w:r w:rsidRPr="00F85CA6">
              <w:rPr>
                <w:rFonts w:eastAsia="Calibri"/>
                <w:i/>
                <w:sz w:val="22"/>
                <w:szCs w:val="22"/>
                <w:lang w:val="sr-Latn-ME"/>
              </w:rPr>
              <w:t>Risk ratio</w:t>
            </w:r>
            <w:r w:rsidRPr="00F85CA6">
              <w:rPr>
                <w:rFonts w:eastAsia="Calibri"/>
                <w:sz w:val="22"/>
                <w:szCs w:val="22"/>
                <w:lang w:val="sr-Latn-ME"/>
              </w:rPr>
              <w:t xml:space="preserve"> prema enoksaparinu </w:t>
            </w:r>
          </w:p>
        </w:tc>
        <w:tc>
          <w:tcPr>
            <w:tcW w:w="1250" w:type="pct"/>
            <w:tcBorders>
              <w:top w:val="single" w:sz="5" w:space="0" w:color="000000"/>
              <w:left w:val="single" w:sz="5" w:space="0" w:color="000000"/>
              <w:bottom w:val="single" w:sz="5" w:space="0" w:color="000000"/>
              <w:right w:val="single" w:sz="5" w:space="0" w:color="000000"/>
            </w:tcBorders>
            <w:vAlign w:val="center"/>
          </w:tcPr>
          <w:p w14:paraId="2490A751"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0,73</w:t>
            </w:r>
          </w:p>
        </w:tc>
        <w:tc>
          <w:tcPr>
            <w:tcW w:w="1250" w:type="pct"/>
            <w:tcBorders>
              <w:top w:val="single" w:sz="5" w:space="0" w:color="000000"/>
              <w:left w:val="single" w:sz="5" w:space="0" w:color="000000"/>
              <w:bottom w:val="single" w:sz="5" w:space="0" w:color="000000"/>
              <w:right w:val="single" w:sz="5" w:space="0" w:color="000000"/>
            </w:tcBorders>
            <w:vAlign w:val="center"/>
          </w:tcPr>
          <w:p w14:paraId="5C6FA1BF"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1,08</w:t>
            </w:r>
          </w:p>
        </w:tc>
        <w:tc>
          <w:tcPr>
            <w:tcW w:w="1250" w:type="pct"/>
            <w:tcBorders>
              <w:top w:val="single" w:sz="5" w:space="0" w:color="000000"/>
              <w:left w:val="single" w:sz="5" w:space="0" w:color="000000"/>
              <w:bottom w:val="single" w:sz="5" w:space="0" w:color="000000"/>
              <w:right w:val="single" w:sz="5" w:space="0" w:color="000000"/>
            </w:tcBorders>
            <w:vAlign w:val="center"/>
          </w:tcPr>
          <w:p w14:paraId="419CF5A0" w14:textId="77777777" w:rsidR="00A30F42" w:rsidRPr="00F85CA6" w:rsidRDefault="00A30F42" w:rsidP="00A30F42">
            <w:pPr>
              <w:jc w:val="center"/>
              <w:rPr>
                <w:rFonts w:eastAsia="Calibri"/>
                <w:sz w:val="22"/>
                <w:szCs w:val="22"/>
                <w:lang w:val="sr-Latn-ME"/>
              </w:rPr>
            </w:pPr>
          </w:p>
        </w:tc>
      </w:tr>
      <w:tr w:rsidR="00A30F42" w:rsidRPr="00F85CA6" w14:paraId="67B232D2" w14:textId="77777777" w:rsidTr="001239C3">
        <w:trPr>
          <w:trHeight w:val="20"/>
          <w:jc w:val="center"/>
        </w:trPr>
        <w:tc>
          <w:tcPr>
            <w:tcW w:w="1250" w:type="pct"/>
            <w:tcBorders>
              <w:top w:val="single" w:sz="5" w:space="0" w:color="000000"/>
              <w:left w:val="single" w:sz="5" w:space="0" w:color="000000"/>
              <w:bottom w:val="single" w:sz="5" w:space="0" w:color="000000"/>
              <w:right w:val="single" w:sz="5" w:space="0" w:color="000000"/>
            </w:tcBorders>
            <w:vAlign w:val="center"/>
          </w:tcPr>
          <w:p w14:paraId="20ED634A" w14:textId="77777777" w:rsidR="00A30F42" w:rsidRPr="00F85CA6" w:rsidRDefault="00A30F42" w:rsidP="00A30F42">
            <w:pPr>
              <w:rPr>
                <w:rFonts w:eastAsia="Calibri"/>
                <w:sz w:val="22"/>
                <w:szCs w:val="22"/>
                <w:lang w:val="sr-Latn-ME"/>
              </w:rPr>
            </w:pPr>
            <w:r w:rsidRPr="00F85CA6">
              <w:rPr>
                <w:rFonts w:eastAsia="Calibri"/>
                <w:sz w:val="22"/>
                <w:szCs w:val="22"/>
                <w:lang w:val="sr-Latn-ME"/>
              </w:rPr>
              <w:t xml:space="preserve">95% CI </w:t>
            </w:r>
          </w:p>
        </w:tc>
        <w:tc>
          <w:tcPr>
            <w:tcW w:w="1250" w:type="pct"/>
            <w:tcBorders>
              <w:top w:val="single" w:sz="5" w:space="0" w:color="000000"/>
              <w:left w:val="single" w:sz="5" w:space="0" w:color="000000"/>
              <w:bottom w:val="single" w:sz="5" w:space="0" w:color="000000"/>
              <w:right w:val="single" w:sz="5" w:space="0" w:color="000000"/>
            </w:tcBorders>
            <w:vAlign w:val="center"/>
          </w:tcPr>
          <w:p w14:paraId="4E06D91C"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0,36; 1,47</w:t>
            </w:r>
          </w:p>
        </w:tc>
        <w:tc>
          <w:tcPr>
            <w:tcW w:w="1250" w:type="pct"/>
            <w:tcBorders>
              <w:top w:val="single" w:sz="5" w:space="0" w:color="000000"/>
              <w:left w:val="single" w:sz="5" w:space="0" w:color="000000"/>
              <w:bottom w:val="single" w:sz="5" w:space="0" w:color="000000"/>
              <w:right w:val="single" w:sz="5" w:space="0" w:color="000000"/>
            </w:tcBorders>
            <w:vAlign w:val="center"/>
          </w:tcPr>
          <w:p w14:paraId="77C3EF18"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0,58; 2,01</w:t>
            </w:r>
          </w:p>
        </w:tc>
        <w:tc>
          <w:tcPr>
            <w:tcW w:w="1250" w:type="pct"/>
            <w:tcBorders>
              <w:top w:val="single" w:sz="5" w:space="0" w:color="000000"/>
              <w:left w:val="single" w:sz="5" w:space="0" w:color="000000"/>
              <w:bottom w:val="single" w:sz="5" w:space="0" w:color="000000"/>
              <w:right w:val="single" w:sz="5" w:space="0" w:color="000000"/>
            </w:tcBorders>
            <w:vAlign w:val="center"/>
          </w:tcPr>
          <w:p w14:paraId="32B86973" w14:textId="77777777" w:rsidR="00A30F42" w:rsidRPr="00F85CA6" w:rsidRDefault="00A30F42" w:rsidP="00A30F42">
            <w:pPr>
              <w:jc w:val="center"/>
              <w:rPr>
                <w:rFonts w:eastAsia="Calibri"/>
                <w:sz w:val="22"/>
                <w:szCs w:val="22"/>
                <w:lang w:val="sr-Latn-ME"/>
              </w:rPr>
            </w:pPr>
          </w:p>
        </w:tc>
      </w:tr>
    </w:tbl>
    <w:p w14:paraId="3A549E85" w14:textId="77777777" w:rsidR="00A30F42" w:rsidRPr="00F85CA6" w:rsidRDefault="00A30F42" w:rsidP="00A30F42">
      <w:pPr>
        <w:jc w:val="both"/>
        <w:rPr>
          <w:rFonts w:eastAsia="Calibri"/>
          <w:sz w:val="22"/>
          <w:szCs w:val="22"/>
          <w:lang w:val="sr-Latn-ME" w:bidi="en-US"/>
        </w:rPr>
      </w:pPr>
    </w:p>
    <w:p w14:paraId="5B52344C" w14:textId="0F9BA621" w:rsidR="00A30F42" w:rsidRPr="00F85CA6" w:rsidRDefault="00A30F42" w:rsidP="00685312">
      <w:pPr>
        <w:jc w:val="center"/>
        <w:rPr>
          <w:rFonts w:eastAsia="Calibri"/>
          <w:b/>
          <w:bCs/>
          <w:sz w:val="22"/>
          <w:szCs w:val="22"/>
          <w:lang w:val="sr-Latn-ME" w:bidi="en-US"/>
        </w:rPr>
      </w:pPr>
      <w:r w:rsidRPr="00F85CA6">
        <w:rPr>
          <w:rFonts w:eastAsia="Calibri"/>
          <w:b/>
          <w:bCs/>
          <w:sz w:val="22"/>
          <w:szCs w:val="22"/>
          <w:lang w:val="sr-Latn-ME" w:bidi="en-US"/>
        </w:rPr>
        <w:t>Tabela 20: Analiza ukupne VTE i mortaliteta usl</w:t>
      </w:r>
      <w:r w:rsidR="0047239C" w:rsidRPr="00F85CA6">
        <w:rPr>
          <w:rFonts w:eastAsia="Calibri"/>
          <w:b/>
          <w:bCs/>
          <w:sz w:val="22"/>
          <w:szCs w:val="22"/>
          <w:lang w:val="sr-Latn-ME" w:bidi="en-US"/>
        </w:rPr>
        <w:t>j</w:t>
      </w:r>
      <w:r w:rsidRPr="00F85CA6">
        <w:rPr>
          <w:rFonts w:eastAsia="Calibri"/>
          <w:b/>
          <w:bCs/>
          <w:sz w:val="22"/>
          <w:szCs w:val="22"/>
          <w:lang w:val="sr-Latn-ME" w:bidi="en-US"/>
        </w:rPr>
        <w:t>ed svih uzroka tokom terapijskog perioda u studijama ortopedske hirurgije RE-NOVATE i RE-MODEL.</w:t>
      </w:r>
    </w:p>
    <w:p w14:paraId="7BAD3B98" w14:textId="77777777" w:rsidR="00A30F42" w:rsidRPr="00F85CA6" w:rsidRDefault="00A30F42" w:rsidP="00A30F42">
      <w:pPr>
        <w:jc w:val="both"/>
        <w:rPr>
          <w:rFonts w:eastAsia="Calibri"/>
          <w:b/>
          <w:bCs/>
          <w:sz w:val="22"/>
          <w:szCs w:val="22"/>
          <w:lang w:val="sr-Latn-ME" w:bidi="en-US"/>
        </w:rPr>
      </w:pPr>
    </w:p>
    <w:tbl>
      <w:tblPr>
        <w:tblW w:w="5000" w:type="pct"/>
        <w:tblBorders>
          <w:top w:val="nil"/>
          <w:left w:val="nil"/>
          <w:bottom w:val="nil"/>
          <w:right w:val="nil"/>
        </w:tblBorders>
        <w:tblCellMar>
          <w:left w:w="85" w:type="dxa"/>
          <w:right w:w="85" w:type="dxa"/>
        </w:tblCellMar>
        <w:tblLook w:val="0000" w:firstRow="0" w:lastRow="0" w:firstColumn="0" w:lastColumn="0" w:noHBand="0" w:noVBand="0"/>
      </w:tblPr>
      <w:tblGrid>
        <w:gridCol w:w="2273"/>
        <w:gridCol w:w="2263"/>
        <w:gridCol w:w="2262"/>
        <w:gridCol w:w="2263"/>
      </w:tblGrid>
      <w:tr w:rsidR="00A30F42" w:rsidRPr="00F85CA6" w14:paraId="4195699F" w14:textId="77777777" w:rsidTr="001239C3">
        <w:trPr>
          <w:trHeight w:val="20"/>
        </w:trPr>
        <w:tc>
          <w:tcPr>
            <w:tcW w:w="1254" w:type="pct"/>
            <w:tcBorders>
              <w:top w:val="single" w:sz="5" w:space="0" w:color="000000"/>
              <w:left w:val="single" w:sz="5" w:space="0" w:color="000000"/>
              <w:bottom w:val="single" w:sz="5" w:space="0" w:color="000000"/>
              <w:right w:val="single" w:sz="5" w:space="0" w:color="000000"/>
            </w:tcBorders>
            <w:vAlign w:val="center"/>
          </w:tcPr>
          <w:p w14:paraId="3FD43D51" w14:textId="77777777" w:rsidR="00A30F42" w:rsidRPr="00F85CA6" w:rsidRDefault="00A30F42" w:rsidP="00A30F42">
            <w:pPr>
              <w:rPr>
                <w:rFonts w:eastAsia="Calibri"/>
                <w:sz w:val="22"/>
                <w:szCs w:val="22"/>
                <w:lang w:val="sr-Latn-ME"/>
              </w:rPr>
            </w:pPr>
            <w:r w:rsidRPr="00F85CA6">
              <w:rPr>
                <w:rFonts w:eastAsia="Calibri"/>
                <w:sz w:val="22"/>
                <w:szCs w:val="22"/>
                <w:lang w:val="sr-Latn-ME"/>
              </w:rPr>
              <w:t>Ispitivanje</w:t>
            </w:r>
          </w:p>
        </w:tc>
        <w:tc>
          <w:tcPr>
            <w:tcW w:w="1249" w:type="pct"/>
            <w:tcBorders>
              <w:top w:val="single" w:sz="5" w:space="0" w:color="000000"/>
              <w:left w:val="single" w:sz="5" w:space="0" w:color="000000"/>
              <w:bottom w:val="single" w:sz="5" w:space="0" w:color="000000"/>
              <w:right w:val="single" w:sz="5" w:space="0" w:color="000000"/>
            </w:tcBorders>
            <w:vAlign w:val="center"/>
          </w:tcPr>
          <w:p w14:paraId="4C411315" w14:textId="36C808A0" w:rsidR="00A30F42" w:rsidRPr="00F85CA6" w:rsidRDefault="00A30F42" w:rsidP="00A30F42">
            <w:pPr>
              <w:jc w:val="center"/>
              <w:rPr>
                <w:rFonts w:eastAsia="Calibri"/>
                <w:sz w:val="22"/>
                <w:szCs w:val="22"/>
                <w:lang w:val="sr-Latn-ME"/>
              </w:rPr>
            </w:pPr>
            <w:r w:rsidRPr="00F85CA6">
              <w:rPr>
                <w:rFonts w:eastAsia="Calibri"/>
                <w:sz w:val="22"/>
                <w:szCs w:val="22"/>
                <w:lang w:val="sr-Latn-ME"/>
              </w:rPr>
              <w:t>Dabigatrane</w:t>
            </w:r>
            <w:r w:rsidR="002C18DB" w:rsidRPr="00F85CA6">
              <w:rPr>
                <w:rFonts w:eastAsia="Calibri"/>
                <w:sz w:val="22"/>
                <w:szCs w:val="22"/>
                <w:lang w:val="sr-Latn-ME"/>
              </w:rPr>
              <w:t xml:space="preserve"> </w:t>
            </w:r>
            <w:r w:rsidRPr="00F85CA6">
              <w:rPr>
                <w:rFonts w:eastAsia="Calibri"/>
                <w:sz w:val="22"/>
                <w:szCs w:val="22"/>
                <w:lang w:val="sr-Latn-ME"/>
              </w:rPr>
              <w:t>teksilat 220 mg jednom dnevno</w:t>
            </w:r>
          </w:p>
        </w:tc>
        <w:tc>
          <w:tcPr>
            <w:tcW w:w="1248" w:type="pct"/>
            <w:tcBorders>
              <w:top w:val="single" w:sz="5" w:space="0" w:color="000000"/>
              <w:left w:val="single" w:sz="5" w:space="0" w:color="000000"/>
              <w:bottom w:val="single" w:sz="5" w:space="0" w:color="000000"/>
              <w:right w:val="single" w:sz="5" w:space="0" w:color="000000"/>
            </w:tcBorders>
            <w:vAlign w:val="center"/>
          </w:tcPr>
          <w:p w14:paraId="7785F17B" w14:textId="6FCDB006" w:rsidR="00A30F42" w:rsidRPr="00F85CA6" w:rsidRDefault="00A30F42" w:rsidP="00A30F42">
            <w:pPr>
              <w:jc w:val="center"/>
              <w:rPr>
                <w:rFonts w:eastAsia="Calibri"/>
                <w:sz w:val="22"/>
                <w:szCs w:val="22"/>
                <w:lang w:val="sr-Latn-ME"/>
              </w:rPr>
            </w:pPr>
            <w:r w:rsidRPr="00F85CA6">
              <w:rPr>
                <w:rFonts w:eastAsia="Calibri"/>
                <w:sz w:val="22"/>
                <w:szCs w:val="22"/>
                <w:lang w:val="sr-Latn-ME"/>
              </w:rPr>
              <w:t>Dabigatrane</w:t>
            </w:r>
            <w:r w:rsidR="002C18DB" w:rsidRPr="00F85CA6">
              <w:rPr>
                <w:rFonts w:eastAsia="Calibri"/>
                <w:sz w:val="22"/>
                <w:szCs w:val="22"/>
                <w:lang w:val="sr-Latn-ME"/>
              </w:rPr>
              <w:t xml:space="preserve"> </w:t>
            </w:r>
            <w:r w:rsidRPr="00F85CA6">
              <w:rPr>
                <w:rFonts w:eastAsia="Calibri"/>
                <w:sz w:val="22"/>
                <w:szCs w:val="22"/>
                <w:lang w:val="sr-Latn-ME"/>
              </w:rPr>
              <w:t>teksilat 150 mg jednom dnevno</w:t>
            </w:r>
          </w:p>
        </w:tc>
        <w:tc>
          <w:tcPr>
            <w:tcW w:w="1250" w:type="pct"/>
            <w:tcBorders>
              <w:top w:val="single" w:sz="5" w:space="0" w:color="000000"/>
              <w:left w:val="single" w:sz="5" w:space="0" w:color="000000"/>
              <w:bottom w:val="single" w:sz="5" w:space="0" w:color="000000"/>
              <w:right w:val="single" w:sz="5" w:space="0" w:color="000000"/>
            </w:tcBorders>
            <w:vAlign w:val="center"/>
          </w:tcPr>
          <w:p w14:paraId="688DE841"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Enoksaparin</w:t>
            </w:r>
          </w:p>
          <w:p w14:paraId="2713E719"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40 mg</w:t>
            </w:r>
          </w:p>
        </w:tc>
      </w:tr>
      <w:tr w:rsidR="00A30F42" w:rsidRPr="00F85CA6" w14:paraId="33DAAA54" w14:textId="77777777" w:rsidTr="001239C3">
        <w:trPr>
          <w:trHeight w:val="20"/>
        </w:trPr>
        <w:tc>
          <w:tcPr>
            <w:tcW w:w="1254" w:type="pct"/>
            <w:tcBorders>
              <w:top w:val="single" w:sz="5" w:space="0" w:color="000000"/>
              <w:left w:val="single" w:sz="5" w:space="0" w:color="000000"/>
              <w:bottom w:val="single" w:sz="5" w:space="0" w:color="000000"/>
            </w:tcBorders>
            <w:vAlign w:val="center"/>
          </w:tcPr>
          <w:p w14:paraId="1C01D3CD" w14:textId="77777777" w:rsidR="00A30F42" w:rsidRPr="00F85CA6" w:rsidRDefault="00A30F42" w:rsidP="00A30F42">
            <w:pPr>
              <w:rPr>
                <w:rFonts w:eastAsia="Calibri"/>
                <w:sz w:val="22"/>
                <w:szCs w:val="22"/>
                <w:lang w:val="sr-Latn-ME"/>
              </w:rPr>
            </w:pPr>
            <w:r w:rsidRPr="00F85CA6">
              <w:rPr>
                <w:rFonts w:eastAsia="Calibri"/>
                <w:sz w:val="22"/>
                <w:szCs w:val="22"/>
                <w:lang w:val="sr-Latn-ME"/>
              </w:rPr>
              <w:t xml:space="preserve">RE-NOVATE (kuk) </w:t>
            </w:r>
          </w:p>
        </w:tc>
        <w:tc>
          <w:tcPr>
            <w:tcW w:w="1249" w:type="pct"/>
            <w:tcBorders>
              <w:top w:val="single" w:sz="5" w:space="0" w:color="000000"/>
              <w:bottom w:val="single" w:sz="5" w:space="0" w:color="000000"/>
            </w:tcBorders>
            <w:vAlign w:val="center"/>
          </w:tcPr>
          <w:p w14:paraId="0D272D8D" w14:textId="77777777" w:rsidR="00A30F42" w:rsidRPr="00F85CA6" w:rsidRDefault="00A30F42" w:rsidP="00A30F42">
            <w:pPr>
              <w:jc w:val="center"/>
              <w:rPr>
                <w:rFonts w:eastAsia="Calibri"/>
                <w:sz w:val="22"/>
                <w:szCs w:val="22"/>
                <w:lang w:val="sr-Latn-ME"/>
              </w:rPr>
            </w:pPr>
          </w:p>
        </w:tc>
        <w:tc>
          <w:tcPr>
            <w:tcW w:w="1248" w:type="pct"/>
            <w:tcBorders>
              <w:top w:val="single" w:sz="5" w:space="0" w:color="000000"/>
              <w:bottom w:val="single" w:sz="5" w:space="0" w:color="000000"/>
            </w:tcBorders>
            <w:vAlign w:val="center"/>
          </w:tcPr>
          <w:p w14:paraId="330B380A" w14:textId="77777777" w:rsidR="00A30F42" w:rsidRPr="00F85CA6" w:rsidRDefault="00A30F42" w:rsidP="00A30F42">
            <w:pPr>
              <w:jc w:val="center"/>
              <w:rPr>
                <w:rFonts w:eastAsia="Calibri"/>
                <w:sz w:val="22"/>
                <w:szCs w:val="22"/>
                <w:lang w:val="sr-Latn-ME"/>
              </w:rPr>
            </w:pPr>
          </w:p>
        </w:tc>
        <w:tc>
          <w:tcPr>
            <w:tcW w:w="1250" w:type="pct"/>
            <w:tcBorders>
              <w:top w:val="single" w:sz="5" w:space="0" w:color="000000"/>
              <w:bottom w:val="single" w:sz="5" w:space="0" w:color="000000"/>
              <w:right w:val="single" w:sz="5" w:space="0" w:color="000000"/>
            </w:tcBorders>
            <w:vAlign w:val="center"/>
          </w:tcPr>
          <w:p w14:paraId="5071ABDA" w14:textId="77777777" w:rsidR="00A30F42" w:rsidRPr="00F85CA6" w:rsidRDefault="00A30F42" w:rsidP="00A30F42">
            <w:pPr>
              <w:jc w:val="center"/>
              <w:rPr>
                <w:rFonts w:eastAsia="Calibri"/>
                <w:sz w:val="22"/>
                <w:szCs w:val="22"/>
                <w:lang w:val="sr-Latn-ME"/>
              </w:rPr>
            </w:pPr>
          </w:p>
        </w:tc>
      </w:tr>
      <w:tr w:rsidR="00A30F42" w:rsidRPr="00F85CA6" w14:paraId="77E8617A" w14:textId="77777777" w:rsidTr="001239C3">
        <w:trPr>
          <w:trHeight w:val="20"/>
        </w:trPr>
        <w:tc>
          <w:tcPr>
            <w:tcW w:w="1254" w:type="pct"/>
            <w:tcBorders>
              <w:top w:val="single" w:sz="5" w:space="0" w:color="000000"/>
              <w:left w:val="single" w:sz="5" w:space="0" w:color="000000"/>
              <w:bottom w:val="single" w:sz="5" w:space="0" w:color="000000"/>
              <w:right w:val="single" w:sz="5" w:space="0" w:color="000000"/>
            </w:tcBorders>
            <w:vAlign w:val="center"/>
          </w:tcPr>
          <w:p w14:paraId="66C53413" w14:textId="77777777" w:rsidR="00A30F42" w:rsidRPr="00F85CA6" w:rsidRDefault="00A30F42" w:rsidP="00A30F42">
            <w:pPr>
              <w:rPr>
                <w:rFonts w:eastAsia="Calibri"/>
                <w:sz w:val="22"/>
                <w:szCs w:val="22"/>
                <w:lang w:val="sr-Latn-ME"/>
              </w:rPr>
            </w:pPr>
            <w:r w:rsidRPr="00F85CA6">
              <w:rPr>
                <w:rFonts w:eastAsia="Calibri"/>
                <w:sz w:val="22"/>
                <w:szCs w:val="22"/>
                <w:lang w:val="sr-Latn-ME"/>
              </w:rPr>
              <w:t xml:space="preserve">N </w:t>
            </w:r>
          </w:p>
        </w:tc>
        <w:tc>
          <w:tcPr>
            <w:tcW w:w="1249" w:type="pct"/>
            <w:tcBorders>
              <w:top w:val="single" w:sz="5" w:space="0" w:color="000000"/>
              <w:left w:val="single" w:sz="5" w:space="0" w:color="000000"/>
              <w:bottom w:val="single" w:sz="5" w:space="0" w:color="000000"/>
              <w:right w:val="single" w:sz="5" w:space="0" w:color="000000"/>
            </w:tcBorders>
            <w:vAlign w:val="center"/>
          </w:tcPr>
          <w:p w14:paraId="366BBBC2"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880</w:t>
            </w:r>
          </w:p>
        </w:tc>
        <w:tc>
          <w:tcPr>
            <w:tcW w:w="1248" w:type="pct"/>
            <w:tcBorders>
              <w:top w:val="single" w:sz="5" w:space="0" w:color="000000"/>
              <w:left w:val="single" w:sz="5" w:space="0" w:color="000000"/>
              <w:bottom w:val="single" w:sz="5" w:space="0" w:color="000000"/>
              <w:right w:val="single" w:sz="5" w:space="0" w:color="000000"/>
            </w:tcBorders>
            <w:vAlign w:val="center"/>
          </w:tcPr>
          <w:p w14:paraId="5E0EC8CF"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874</w:t>
            </w:r>
          </w:p>
        </w:tc>
        <w:tc>
          <w:tcPr>
            <w:tcW w:w="1250" w:type="pct"/>
            <w:tcBorders>
              <w:top w:val="single" w:sz="5" w:space="0" w:color="000000"/>
              <w:left w:val="single" w:sz="5" w:space="0" w:color="000000"/>
              <w:bottom w:val="single" w:sz="5" w:space="0" w:color="000000"/>
              <w:right w:val="single" w:sz="5" w:space="0" w:color="000000"/>
            </w:tcBorders>
            <w:vAlign w:val="center"/>
          </w:tcPr>
          <w:p w14:paraId="783A840A"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897</w:t>
            </w:r>
          </w:p>
        </w:tc>
      </w:tr>
      <w:tr w:rsidR="00A30F42" w:rsidRPr="00F85CA6" w14:paraId="6CC4510F" w14:textId="77777777" w:rsidTr="001239C3">
        <w:trPr>
          <w:trHeight w:val="20"/>
        </w:trPr>
        <w:tc>
          <w:tcPr>
            <w:tcW w:w="1254" w:type="pct"/>
            <w:tcBorders>
              <w:top w:val="single" w:sz="5" w:space="0" w:color="000000"/>
              <w:left w:val="single" w:sz="5" w:space="0" w:color="000000"/>
              <w:bottom w:val="single" w:sz="5" w:space="0" w:color="000000"/>
              <w:right w:val="single" w:sz="5" w:space="0" w:color="000000"/>
            </w:tcBorders>
            <w:vAlign w:val="center"/>
          </w:tcPr>
          <w:p w14:paraId="28F06A40" w14:textId="77777777" w:rsidR="00A30F42" w:rsidRPr="00F85CA6" w:rsidRDefault="00A30F42" w:rsidP="00A30F42">
            <w:pPr>
              <w:rPr>
                <w:rFonts w:eastAsia="Calibri"/>
                <w:sz w:val="22"/>
                <w:szCs w:val="22"/>
                <w:lang w:val="sr-Latn-ME"/>
              </w:rPr>
            </w:pPr>
            <w:r w:rsidRPr="00F85CA6">
              <w:rPr>
                <w:rFonts w:eastAsia="Calibri"/>
                <w:sz w:val="22"/>
                <w:szCs w:val="22"/>
                <w:lang w:val="sr-Latn-ME"/>
              </w:rPr>
              <w:t xml:space="preserve">Incidence (%) </w:t>
            </w:r>
          </w:p>
        </w:tc>
        <w:tc>
          <w:tcPr>
            <w:tcW w:w="1249" w:type="pct"/>
            <w:tcBorders>
              <w:top w:val="single" w:sz="5" w:space="0" w:color="000000"/>
              <w:left w:val="single" w:sz="5" w:space="0" w:color="000000"/>
              <w:bottom w:val="single" w:sz="5" w:space="0" w:color="000000"/>
              <w:right w:val="single" w:sz="5" w:space="0" w:color="000000"/>
            </w:tcBorders>
            <w:vAlign w:val="center"/>
          </w:tcPr>
          <w:p w14:paraId="2A28E681"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53 (6,0)</w:t>
            </w:r>
          </w:p>
        </w:tc>
        <w:tc>
          <w:tcPr>
            <w:tcW w:w="1248" w:type="pct"/>
            <w:tcBorders>
              <w:top w:val="single" w:sz="5" w:space="0" w:color="000000"/>
              <w:left w:val="single" w:sz="5" w:space="0" w:color="000000"/>
              <w:bottom w:val="single" w:sz="5" w:space="0" w:color="000000"/>
              <w:right w:val="single" w:sz="5" w:space="0" w:color="000000"/>
            </w:tcBorders>
            <w:vAlign w:val="center"/>
          </w:tcPr>
          <w:p w14:paraId="7E1FA0C0"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75 (8,6)</w:t>
            </w:r>
          </w:p>
        </w:tc>
        <w:tc>
          <w:tcPr>
            <w:tcW w:w="1250" w:type="pct"/>
            <w:tcBorders>
              <w:top w:val="single" w:sz="5" w:space="0" w:color="000000"/>
              <w:left w:val="single" w:sz="5" w:space="0" w:color="000000"/>
              <w:bottom w:val="single" w:sz="5" w:space="0" w:color="000000"/>
              <w:right w:val="single" w:sz="5" w:space="0" w:color="000000"/>
            </w:tcBorders>
            <w:vAlign w:val="center"/>
          </w:tcPr>
          <w:p w14:paraId="1E66E74E"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60 (6,7)</w:t>
            </w:r>
          </w:p>
        </w:tc>
      </w:tr>
      <w:tr w:rsidR="00A30F42" w:rsidRPr="00F85CA6" w14:paraId="165B4294" w14:textId="77777777" w:rsidTr="001239C3">
        <w:trPr>
          <w:trHeight w:val="20"/>
        </w:trPr>
        <w:tc>
          <w:tcPr>
            <w:tcW w:w="1254" w:type="pct"/>
            <w:tcBorders>
              <w:top w:val="single" w:sz="5" w:space="0" w:color="000000"/>
              <w:left w:val="single" w:sz="5" w:space="0" w:color="000000"/>
              <w:bottom w:val="single" w:sz="5" w:space="0" w:color="000000"/>
              <w:right w:val="single" w:sz="5" w:space="0" w:color="000000"/>
            </w:tcBorders>
            <w:vAlign w:val="center"/>
          </w:tcPr>
          <w:p w14:paraId="42668F5B" w14:textId="77777777" w:rsidR="00A30F42" w:rsidRPr="00F85CA6" w:rsidRDefault="00A30F42" w:rsidP="00A30F42">
            <w:pPr>
              <w:rPr>
                <w:rFonts w:eastAsia="Calibri"/>
                <w:sz w:val="22"/>
                <w:szCs w:val="22"/>
                <w:lang w:val="sr-Latn-ME"/>
              </w:rPr>
            </w:pPr>
            <w:r w:rsidRPr="00F85CA6">
              <w:rPr>
                <w:rFonts w:eastAsia="Calibri"/>
                <w:i/>
                <w:sz w:val="22"/>
                <w:szCs w:val="22"/>
                <w:lang w:val="sr-Latn-ME"/>
              </w:rPr>
              <w:t>Risk ratio</w:t>
            </w:r>
            <w:r w:rsidRPr="00F85CA6">
              <w:rPr>
                <w:rFonts w:eastAsia="Calibri"/>
                <w:sz w:val="22"/>
                <w:szCs w:val="22"/>
                <w:lang w:val="sr-Latn-ME"/>
              </w:rPr>
              <w:t xml:space="preserve"> prema enoksaparinu </w:t>
            </w:r>
          </w:p>
        </w:tc>
        <w:tc>
          <w:tcPr>
            <w:tcW w:w="1249" w:type="pct"/>
            <w:tcBorders>
              <w:top w:val="single" w:sz="5" w:space="0" w:color="000000"/>
              <w:left w:val="single" w:sz="5" w:space="0" w:color="000000"/>
              <w:bottom w:val="single" w:sz="5" w:space="0" w:color="000000"/>
              <w:right w:val="single" w:sz="5" w:space="0" w:color="000000"/>
            </w:tcBorders>
            <w:vAlign w:val="center"/>
          </w:tcPr>
          <w:p w14:paraId="739666E7"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0,9</w:t>
            </w:r>
          </w:p>
        </w:tc>
        <w:tc>
          <w:tcPr>
            <w:tcW w:w="1248" w:type="pct"/>
            <w:tcBorders>
              <w:top w:val="single" w:sz="5" w:space="0" w:color="000000"/>
              <w:left w:val="single" w:sz="5" w:space="0" w:color="000000"/>
              <w:bottom w:val="single" w:sz="5" w:space="0" w:color="000000"/>
              <w:right w:val="single" w:sz="5" w:space="0" w:color="000000"/>
            </w:tcBorders>
            <w:vAlign w:val="center"/>
          </w:tcPr>
          <w:p w14:paraId="6BF6ABBE"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1,28</w:t>
            </w:r>
          </w:p>
        </w:tc>
        <w:tc>
          <w:tcPr>
            <w:tcW w:w="1250" w:type="pct"/>
            <w:tcBorders>
              <w:top w:val="single" w:sz="5" w:space="0" w:color="000000"/>
              <w:left w:val="single" w:sz="5" w:space="0" w:color="000000"/>
              <w:bottom w:val="single" w:sz="5" w:space="0" w:color="000000"/>
              <w:right w:val="single" w:sz="5" w:space="0" w:color="000000"/>
            </w:tcBorders>
            <w:vAlign w:val="center"/>
          </w:tcPr>
          <w:p w14:paraId="712793BA" w14:textId="77777777" w:rsidR="00A30F42" w:rsidRPr="00F85CA6" w:rsidRDefault="00A30F42" w:rsidP="00A30F42">
            <w:pPr>
              <w:jc w:val="center"/>
              <w:rPr>
                <w:rFonts w:eastAsia="Calibri"/>
                <w:sz w:val="22"/>
                <w:szCs w:val="22"/>
                <w:lang w:val="sr-Latn-ME"/>
              </w:rPr>
            </w:pPr>
          </w:p>
        </w:tc>
      </w:tr>
      <w:tr w:rsidR="00A30F42" w:rsidRPr="00F85CA6" w14:paraId="28AC16EB" w14:textId="77777777" w:rsidTr="001239C3">
        <w:trPr>
          <w:trHeight w:val="20"/>
        </w:trPr>
        <w:tc>
          <w:tcPr>
            <w:tcW w:w="1254" w:type="pct"/>
            <w:tcBorders>
              <w:top w:val="single" w:sz="5" w:space="0" w:color="000000"/>
              <w:left w:val="single" w:sz="5" w:space="0" w:color="000000"/>
              <w:bottom w:val="single" w:sz="5" w:space="0" w:color="000000"/>
              <w:right w:val="single" w:sz="5" w:space="0" w:color="000000"/>
            </w:tcBorders>
            <w:vAlign w:val="center"/>
          </w:tcPr>
          <w:p w14:paraId="4615F2EB" w14:textId="77777777" w:rsidR="00A30F42" w:rsidRPr="00F85CA6" w:rsidRDefault="00A30F42" w:rsidP="00A30F42">
            <w:pPr>
              <w:rPr>
                <w:rFonts w:eastAsia="Calibri"/>
                <w:sz w:val="22"/>
                <w:szCs w:val="22"/>
                <w:lang w:val="sr-Latn-ME"/>
              </w:rPr>
            </w:pPr>
            <w:r w:rsidRPr="00F85CA6">
              <w:rPr>
                <w:rFonts w:eastAsia="Calibri"/>
                <w:sz w:val="22"/>
                <w:szCs w:val="22"/>
                <w:lang w:val="sr-Latn-ME"/>
              </w:rPr>
              <w:t xml:space="preserve">95% CI </w:t>
            </w:r>
          </w:p>
        </w:tc>
        <w:tc>
          <w:tcPr>
            <w:tcW w:w="1249" w:type="pct"/>
            <w:tcBorders>
              <w:top w:val="single" w:sz="5" w:space="0" w:color="000000"/>
              <w:left w:val="single" w:sz="5" w:space="0" w:color="000000"/>
              <w:bottom w:val="single" w:sz="5" w:space="0" w:color="000000"/>
              <w:right w:val="single" w:sz="5" w:space="0" w:color="000000"/>
            </w:tcBorders>
            <w:vAlign w:val="center"/>
          </w:tcPr>
          <w:p w14:paraId="53150254"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(0,63; 1,29)</w:t>
            </w:r>
          </w:p>
        </w:tc>
        <w:tc>
          <w:tcPr>
            <w:tcW w:w="1248" w:type="pct"/>
            <w:tcBorders>
              <w:top w:val="single" w:sz="5" w:space="0" w:color="000000"/>
              <w:left w:val="single" w:sz="5" w:space="0" w:color="000000"/>
              <w:bottom w:val="single" w:sz="5" w:space="0" w:color="000000"/>
              <w:right w:val="single" w:sz="5" w:space="0" w:color="000000"/>
            </w:tcBorders>
            <w:vAlign w:val="center"/>
          </w:tcPr>
          <w:p w14:paraId="68072C00"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(0,93; 1,78)</w:t>
            </w:r>
          </w:p>
        </w:tc>
        <w:tc>
          <w:tcPr>
            <w:tcW w:w="1250" w:type="pct"/>
            <w:tcBorders>
              <w:top w:val="single" w:sz="5" w:space="0" w:color="000000"/>
              <w:left w:val="single" w:sz="5" w:space="0" w:color="000000"/>
              <w:bottom w:val="single" w:sz="5" w:space="0" w:color="000000"/>
              <w:right w:val="single" w:sz="5" w:space="0" w:color="000000"/>
            </w:tcBorders>
            <w:vAlign w:val="center"/>
          </w:tcPr>
          <w:p w14:paraId="762FF3E2" w14:textId="77777777" w:rsidR="00A30F42" w:rsidRPr="00F85CA6" w:rsidRDefault="00A30F42" w:rsidP="00A30F42">
            <w:pPr>
              <w:jc w:val="center"/>
              <w:rPr>
                <w:rFonts w:eastAsia="Calibri"/>
                <w:sz w:val="22"/>
                <w:szCs w:val="22"/>
                <w:lang w:val="sr-Latn-ME"/>
              </w:rPr>
            </w:pPr>
          </w:p>
        </w:tc>
      </w:tr>
      <w:tr w:rsidR="00A30F42" w:rsidRPr="00F85CA6" w14:paraId="2F9F5A69" w14:textId="77777777" w:rsidTr="001239C3">
        <w:trPr>
          <w:trHeight w:val="20"/>
        </w:trPr>
        <w:tc>
          <w:tcPr>
            <w:tcW w:w="1254" w:type="pct"/>
            <w:tcBorders>
              <w:top w:val="single" w:sz="5" w:space="0" w:color="000000"/>
              <w:left w:val="single" w:sz="5" w:space="0" w:color="000000"/>
              <w:bottom w:val="single" w:sz="5" w:space="0" w:color="000000"/>
            </w:tcBorders>
            <w:vAlign w:val="center"/>
          </w:tcPr>
          <w:p w14:paraId="6CF80BE9" w14:textId="263DEE89" w:rsidR="00A30F42" w:rsidRPr="00F85CA6" w:rsidRDefault="00A30F42" w:rsidP="00A30F42">
            <w:pPr>
              <w:rPr>
                <w:rFonts w:eastAsia="Calibri"/>
                <w:sz w:val="22"/>
                <w:szCs w:val="22"/>
                <w:lang w:val="sr-Latn-ME"/>
              </w:rPr>
            </w:pPr>
            <w:r w:rsidRPr="00F85CA6">
              <w:rPr>
                <w:rFonts w:eastAsia="Calibri"/>
                <w:sz w:val="22"/>
                <w:szCs w:val="22"/>
                <w:lang w:val="sr-Latn-ME"/>
              </w:rPr>
              <w:t>RE-MODEL (kol</w:t>
            </w:r>
            <w:r w:rsidR="0047239C" w:rsidRPr="00F85CA6">
              <w:rPr>
                <w:rFonts w:eastAsia="Calibri"/>
                <w:sz w:val="22"/>
                <w:szCs w:val="22"/>
                <w:lang w:val="sr-Latn-ME"/>
              </w:rPr>
              <w:t>j</w:t>
            </w:r>
            <w:r w:rsidRPr="00F85CA6">
              <w:rPr>
                <w:rFonts w:eastAsia="Calibri"/>
                <w:sz w:val="22"/>
                <w:szCs w:val="22"/>
                <w:lang w:val="sr-Latn-ME"/>
              </w:rPr>
              <w:t xml:space="preserve">eno) </w:t>
            </w:r>
          </w:p>
        </w:tc>
        <w:tc>
          <w:tcPr>
            <w:tcW w:w="1249" w:type="pct"/>
            <w:tcBorders>
              <w:top w:val="single" w:sz="5" w:space="0" w:color="000000"/>
              <w:bottom w:val="single" w:sz="5" w:space="0" w:color="000000"/>
            </w:tcBorders>
            <w:vAlign w:val="center"/>
          </w:tcPr>
          <w:p w14:paraId="02EDE1FC" w14:textId="77777777" w:rsidR="00A30F42" w:rsidRPr="00F85CA6" w:rsidRDefault="00A30F42" w:rsidP="00A30F42">
            <w:pPr>
              <w:jc w:val="center"/>
              <w:rPr>
                <w:rFonts w:eastAsia="Calibri"/>
                <w:sz w:val="22"/>
                <w:szCs w:val="22"/>
                <w:lang w:val="sr-Latn-ME"/>
              </w:rPr>
            </w:pPr>
          </w:p>
        </w:tc>
        <w:tc>
          <w:tcPr>
            <w:tcW w:w="1248" w:type="pct"/>
            <w:tcBorders>
              <w:top w:val="single" w:sz="5" w:space="0" w:color="000000"/>
              <w:bottom w:val="single" w:sz="5" w:space="0" w:color="000000"/>
            </w:tcBorders>
            <w:vAlign w:val="center"/>
          </w:tcPr>
          <w:p w14:paraId="7B03293B" w14:textId="77777777" w:rsidR="00A30F42" w:rsidRPr="00F85CA6" w:rsidRDefault="00A30F42" w:rsidP="00A30F42">
            <w:pPr>
              <w:jc w:val="center"/>
              <w:rPr>
                <w:rFonts w:eastAsia="Calibri"/>
                <w:sz w:val="22"/>
                <w:szCs w:val="22"/>
                <w:lang w:val="sr-Latn-ME"/>
              </w:rPr>
            </w:pPr>
          </w:p>
        </w:tc>
        <w:tc>
          <w:tcPr>
            <w:tcW w:w="1250" w:type="pct"/>
            <w:tcBorders>
              <w:top w:val="single" w:sz="5" w:space="0" w:color="000000"/>
              <w:bottom w:val="single" w:sz="5" w:space="0" w:color="000000"/>
              <w:right w:val="single" w:sz="5" w:space="0" w:color="000000"/>
            </w:tcBorders>
            <w:vAlign w:val="center"/>
          </w:tcPr>
          <w:p w14:paraId="4351AE7A" w14:textId="77777777" w:rsidR="00A30F42" w:rsidRPr="00F85CA6" w:rsidRDefault="00A30F42" w:rsidP="00A30F42">
            <w:pPr>
              <w:jc w:val="center"/>
              <w:rPr>
                <w:rFonts w:eastAsia="Calibri"/>
                <w:sz w:val="22"/>
                <w:szCs w:val="22"/>
                <w:lang w:val="sr-Latn-ME"/>
              </w:rPr>
            </w:pPr>
          </w:p>
        </w:tc>
      </w:tr>
      <w:tr w:rsidR="00A30F42" w:rsidRPr="00F85CA6" w14:paraId="49788628" w14:textId="77777777" w:rsidTr="001239C3">
        <w:trPr>
          <w:trHeight w:val="20"/>
        </w:trPr>
        <w:tc>
          <w:tcPr>
            <w:tcW w:w="1254" w:type="pct"/>
            <w:tcBorders>
              <w:top w:val="single" w:sz="5" w:space="0" w:color="000000"/>
              <w:left w:val="single" w:sz="5" w:space="0" w:color="000000"/>
              <w:bottom w:val="single" w:sz="5" w:space="0" w:color="000000"/>
              <w:right w:val="single" w:sz="5" w:space="0" w:color="000000"/>
            </w:tcBorders>
            <w:vAlign w:val="center"/>
          </w:tcPr>
          <w:p w14:paraId="0F5C2AB1" w14:textId="77777777" w:rsidR="00A30F42" w:rsidRPr="00F85CA6" w:rsidRDefault="00A30F42" w:rsidP="00A30F42">
            <w:pPr>
              <w:rPr>
                <w:rFonts w:eastAsia="Calibri"/>
                <w:sz w:val="22"/>
                <w:szCs w:val="22"/>
                <w:lang w:val="sr-Latn-ME"/>
              </w:rPr>
            </w:pPr>
            <w:r w:rsidRPr="00F85CA6">
              <w:rPr>
                <w:rFonts w:eastAsia="Calibri"/>
                <w:sz w:val="22"/>
                <w:szCs w:val="22"/>
                <w:lang w:val="sr-Latn-ME"/>
              </w:rPr>
              <w:t xml:space="preserve">N </w:t>
            </w:r>
          </w:p>
        </w:tc>
        <w:tc>
          <w:tcPr>
            <w:tcW w:w="1249" w:type="pct"/>
            <w:tcBorders>
              <w:top w:val="single" w:sz="5" w:space="0" w:color="000000"/>
              <w:left w:val="single" w:sz="5" w:space="0" w:color="000000"/>
              <w:bottom w:val="single" w:sz="5" w:space="0" w:color="000000"/>
              <w:right w:val="single" w:sz="5" w:space="0" w:color="000000"/>
            </w:tcBorders>
            <w:vAlign w:val="center"/>
          </w:tcPr>
          <w:p w14:paraId="5DDE72C9"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503</w:t>
            </w:r>
          </w:p>
        </w:tc>
        <w:tc>
          <w:tcPr>
            <w:tcW w:w="1248" w:type="pct"/>
            <w:tcBorders>
              <w:top w:val="single" w:sz="5" w:space="0" w:color="000000"/>
              <w:left w:val="single" w:sz="5" w:space="0" w:color="000000"/>
              <w:bottom w:val="single" w:sz="5" w:space="0" w:color="000000"/>
              <w:right w:val="single" w:sz="5" w:space="0" w:color="000000"/>
            </w:tcBorders>
            <w:vAlign w:val="center"/>
          </w:tcPr>
          <w:p w14:paraId="39E6627C"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526</w:t>
            </w:r>
          </w:p>
        </w:tc>
        <w:tc>
          <w:tcPr>
            <w:tcW w:w="1250" w:type="pct"/>
            <w:tcBorders>
              <w:top w:val="single" w:sz="5" w:space="0" w:color="000000"/>
              <w:left w:val="single" w:sz="5" w:space="0" w:color="000000"/>
              <w:bottom w:val="single" w:sz="5" w:space="0" w:color="000000"/>
              <w:right w:val="single" w:sz="5" w:space="0" w:color="000000"/>
            </w:tcBorders>
            <w:vAlign w:val="center"/>
          </w:tcPr>
          <w:p w14:paraId="565D043D"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512</w:t>
            </w:r>
          </w:p>
        </w:tc>
      </w:tr>
      <w:tr w:rsidR="00A30F42" w:rsidRPr="00F85CA6" w14:paraId="6509CCD6" w14:textId="77777777" w:rsidTr="001239C3">
        <w:trPr>
          <w:trHeight w:val="20"/>
        </w:trPr>
        <w:tc>
          <w:tcPr>
            <w:tcW w:w="1254" w:type="pct"/>
            <w:tcBorders>
              <w:top w:val="single" w:sz="5" w:space="0" w:color="000000"/>
              <w:left w:val="single" w:sz="5" w:space="0" w:color="000000"/>
              <w:bottom w:val="single" w:sz="5" w:space="0" w:color="000000"/>
              <w:right w:val="single" w:sz="5" w:space="0" w:color="000000"/>
            </w:tcBorders>
            <w:vAlign w:val="center"/>
          </w:tcPr>
          <w:p w14:paraId="2FBF78E2" w14:textId="77777777" w:rsidR="00A30F42" w:rsidRPr="00F85CA6" w:rsidRDefault="00A30F42" w:rsidP="00A30F42">
            <w:pPr>
              <w:rPr>
                <w:rFonts w:eastAsia="Calibri"/>
                <w:sz w:val="22"/>
                <w:szCs w:val="22"/>
                <w:lang w:val="sr-Latn-ME"/>
              </w:rPr>
            </w:pPr>
            <w:r w:rsidRPr="00F85CA6">
              <w:rPr>
                <w:rFonts w:eastAsia="Calibri"/>
                <w:sz w:val="22"/>
                <w:szCs w:val="22"/>
                <w:lang w:val="sr-Latn-ME"/>
              </w:rPr>
              <w:t xml:space="preserve">Incidence (%) </w:t>
            </w:r>
          </w:p>
        </w:tc>
        <w:tc>
          <w:tcPr>
            <w:tcW w:w="1249" w:type="pct"/>
            <w:tcBorders>
              <w:top w:val="single" w:sz="5" w:space="0" w:color="000000"/>
              <w:left w:val="single" w:sz="5" w:space="0" w:color="000000"/>
              <w:bottom w:val="single" w:sz="5" w:space="0" w:color="000000"/>
              <w:right w:val="single" w:sz="5" w:space="0" w:color="000000"/>
            </w:tcBorders>
            <w:vAlign w:val="center"/>
          </w:tcPr>
          <w:p w14:paraId="5F8D5376"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183 (36,4)</w:t>
            </w:r>
          </w:p>
        </w:tc>
        <w:tc>
          <w:tcPr>
            <w:tcW w:w="1248" w:type="pct"/>
            <w:tcBorders>
              <w:top w:val="single" w:sz="5" w:space="0" w:color="000000"/>
              <w:left w:val="single" w:sz="5" w:space="0" w:color="000000"/>
              <w:bottom w:val="single" w:sz="5" w:space="0" w:color="000000"/>
              <w:right w:val="single" w:sz="5" w:space="0" w:color="000000"/>
            </w:tcBorders>
            <w:vAlign w:val="center"/>
          </w:tcPr>
          <w:p w14:paraId="4BC7BC25"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213 (40,5)</w:t>
            </w:r>
          </w:p>
        </w:tc>
        <w:tc>
          <w:tcPr>
            <w:tcW w:w="1250" w:type="pct"/>
            <w:tcBorders>
              <w:top w:val="single" w:sz="5" w:space="0" w:color="000000"/>
              <w:left w:val="single" w:sz="5" w:space="0" w:color="000000"/>
              <w:bottom w:val="single" w:sz="5" w:space="0" w:color="000000"/>
              <w:right w:val="single" w:sz="5" w:space="0" w:color="000000"/>
            </w:tcBorders>
            <w:vAlign w:val="center"/>
          </w:tcPr>
          <w:p w14:paraId="4889AEF5"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193 (37,7)</w:t>
            </w:r>
          </w:p>
        </w:tc>
      </w:tr>
      <w:tr w:rsidR="00A30F42" w:rsidRPr="00F85CA6" w14:paraId="34349391" w14:textId="77777777" w:rsidTr="001239C3">
        <w:trPr>
          <w:trHeight w:val="20"/>
        </w:trPr>
        <w:tc>
          <w:tcPr>
            <w:tcW w:w="1254" w:type="pct"/>
            <w:tcBorders>
              <w:top w:val="single" w:sz="5" w:space="0" w:color="000000"/>
              <w:left w:val="single" w:sz="5" w:space="0" w:color="000000"/>
              <w:bottom w:val="single" w:sz="5" w:space="0" w:color="000000"/>
              <w:right w:val="single" w:sz="5" w:space="0" w:color="000000"/>
            </w:tcBorders>
            <w:vAlign w:val="center"/>
          </w:tcPr>
          <w:p w14:paraId="440413CB" w14:textId="77777777" w:rsidR="00A30F42" w:rsidRPr="00F85CA6" w:rsidRDefault="00A30F42" w:rsidP="00A30F42">
            <w:pPr>
              <w:rPr>
                <w:rFonts w:eastAsia="Calibri"/>
                <w:sz w:val="22"/>
                <w:szCs w:val="22"/>
                <w:lang w:val="sr-Latn-ME"/>
              </w:rPr>
            </w:pPr>
            <w:r w:rsidRPr="00F85CA6">
              <w:rPr>
                <w:rFonts w:eastAsia="Calibri"/>
                <w:i/>
                <w:sz w:val="22"/>
                <w:szCs w:val="22"/>
                <w:lang w:val="sr-Latn-ME"/>
              </w:rPr>
              <w:t>Risk ratio</w:t>
            </w:r>
            <w:r w:rsidRPr="00F85CA6">
              <w:rPr>
                <w:rFonts w:eastAsia="Calibri"/>
                <w:sz w:val="22"/>
                <w:szCs w:val="22"/>
                <w:lang w:val="sr-Latn-ME"/>
              </w:rPr>
              <w:t xml:space="preserve"> prema enoksaparinu </w:t>
            </w:r>
          </w:p>
        </w:tc>
        <w:tc>
          <w:tcPr>
            <w:tcW w:w="1249" w:type="pct"/>
            <w:tcBorders>
              <w:top w:val="single" w:sz="5" w:space="0" w:color="000000"/>
              <w:left w:val="single" w:sz="5" w:space="0" w:color="000000"/>
              <w:bottom w:val="single" w:sz="5" w:space="0" w:color="000000"/>
              <w:right w:val="single" w:sz="5" w:space="0" w:color="000000"/>
            </w:tcBorders>
            <w:vAlign w:val="center"/>
          </w:tcPr>
          <w:p w14:paraId="6B783BB8"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0,97</w:t>
            </w:r>
          </w:p>
        </w:tc>
        <w:tc>
          <w:tcPr>
            <w:tcW w:w="1248" w:type="pct"/>
            <w:tcBorders>
              <w:top w:val="single" w:sz="5" w:space="0" w:color="000000"/>
              <w:left w:val="single" w:sz="5" w:space="0" w:color="000000"/>
              <w:bottom w:val="single" w:sz="5" w:space="0" w:color="000000"/>
              <w:right w:val="single" w:sz="5" w:space="0" w:color="000000"/>
            </w:tcBorders>
            <w:vAlign w:val="center"/>
          </w:tcPr>
          <w:p w14:paraId="7E97EE09"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1,07</w:t>
            </w:r>
          </w:p>
        </w:tc>
        <w:tc>
          <w:tcPr>
            <w:tcW w:w="1250" w:type="pct"/>
            <w:tcBorders>
              <w:top w:val="single" w:sz="5" w:space="0" w:color="000000"/>
              <w:left w:val="single" w:sz="5" w:space="0" w:color="000000"/>
              <w:bottom w:val="single" w:sz="5" w:space="0" w:color="000000"/>
              <w:right w:val="single" w:sz="5" w:space="0" w:color="000000"/>
            </w:tcBorders>
            <w:vAlign w:val="center"/>
          </w:tcPr>
          <w:p w14:paraId="2593DA90" w14:textId="77777777" w:rsidR="00A30F42" w:rsidRPr="00F85CA6" w:rsidRDefault="00A30F42" w:rsidP="00A30F42">
            <w:pPr>
              <w:jc w:val="center"/>
              <w:rPr>
                <w:rFonts w:eastAsia="Calibri"/>
                <w:sz w:val="22"/>
                <w:szCs w:val="22"/>
                <w:lang w:val="sr-Latn-ME"/>
              </w:rPr>
            </w:pPr>
          </w:p>
        </w:tc>
      </w:tr>
      <w:tr w:rsidR="00A30F42" w:rsidRPr="00F85CA6" w14:paraId="1616F4D5" w14:textId="77777777" w:rsidTr="001239C3">
        <w:trPr>
          <w:trHeight w:val="20"/>
        </w:trPr>
        <w:tc>
          <w:tcPr>
            <w:tcW w:w="1254" w:type="pct"/>
            <w:tcBorders>
              <w:top w:val="single" w:sz="5" w:space="0" w:color="000000"/>
              <w:left w:val="single" w:sz="5" w:space="0" w:color="000000"/>
              <w:bottom w:val="single" w:sz="5" w:space="0" w:color="000000"/>
              <w:right w:val="single" w:sz="5" w:space="0" w:color="000000"/>
            </w:tcBorders>
            <w:vAlign w:val="center"/>
          </w:tcPr>
          <w:p w14:paraId="600DDF91" w14:textId="77777777" w:rsidR="00A30F42" w:rsidRPr="00F85CA6" w:rsidRDefault="00A30F42" w:rsidP="00A30F42">
            <w:pPr>
              <w:rPr>
                <w:rFonts w:eastAsia="Calibri"/>
                <w:sz w:val="22"/>
                <w:szCs w:val="22"/>
                <w:lang w:val="sr-Latn-ME"/>
              </w:rPr>
            </w:pPr>
            <w:r w:rsidRPr="00F85CA6">
              <w:rPr>
                <w:rFonts w:eastAsia="Calibri"/>
                <w:sz w:val="22"/>
                <w:szCs w:val="22"/>
                <w:lang w:val="sr-Latn-ME"/>
              </w:rPr>
              <w:t xml:space="preserve">95% CI </w:t>
            </w:r>
          </w:p>
        </w:tc>
        <w:tc>
          <w:tcPr>
            <w:tcW w:w="1249" w:type="pct"/>
            <w:tcBorders>
              <w:top w:val="single" w:sz="5" w:space="0" w:color="000000"/>
              <w:left w:val="single" w:sz="5" w:space="0" w:color="000000"/>
              <w:bottom w:val="single" w:sz="5" w:space="0" w:color="000000"/>
              <w:right w:val="single" w:sz="5" w:space="0" w:color="000000"/>
            </w:tcBorders>
            <w:vAlign w:val="center"/>
          </w:tcPr>
          <w:p w14:paraId="0F4698DE"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(0,82; 1,13)</w:t>
            </w:r>
          </w:p>
        </w:tc>
        <w:tc>
          <w:tcPr>
            <w:tcW w:w="1248" w:type="pct"/>
            <w:tcBorders>
              <w:top w:val="single" w:sz="5" w:space="0" w:color="000000"/>
              <w:left w:val="single" w:sz="5" w:space="0" w:color="000000"/>
              <w:bottom w:val="single" w:sz="5" w:space="0" w:color="000000"/>
              <w:right w:val="single" w:sz="5" w:space="0" w:color="000000"/>
            </w:tcBorders>
            <w:vAlign w:val="center"/>
          </w:tcPr>
          <w:p w14:paraId="2263324D"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(0,92; 1,25)</w:t>
            </w:r>
          </w:p>
        </w:tc>
        <w:tc>
          <w:tcPr>
            <w:tcW w:w="1250" w:type="pct"/>
            <w:tcBorders>
              <w:top w:val="single" w:sz="5" w:space="0" w:color="000000"/>
              <w:left w:val="single" w:sz="5" w:space="0" w:color="000000"/>
              <w:bottom w:val="single" w:sz="5" w:space="0" w:color="000000"/>
              <w:right w:val="single" w:sz="5" w:space="0" w:color="000000"/>
            </w:tcBorders>
            <w:vAlign w:val="center"/>
          </w:tcPr>
          <w:p w14:paraId="528D698C" w14:textId="77777777" w:rsidR="00A30F42" w:rsidRPr="00F85CA6" w:rsidRDefault="00A30F42" w:rsidP="00A30F42">
            <w:pPr>
              <w:jc w:val="center"/>
              <w:rPr>
                <w:rFonts w:eastAsia="Calibri"/>
                <w:sz w:val="22"/>
                <w:szCs w:val="22"/>
                <w:lang w:val="sr-Latn-ME"/>
              </w:rPr>
            </w:pPr>
          </w:p>
        </w:tc>
      </w:tr>
    </w:tbl>
    <w:p w14:paraId="2C672BB6" w14:textId="77777777" w:rsidR="00F3529E" w:rsidRPr="00F85CA6" w:rsidRDefault="00F3529E" w:rsidP="00A30F42">
      <w:pPr>
        <w:jc w:val="both"/>
        <w:rPr>
          <w:rFonts w:eastAsia="Calibri"/>
          <w:b/>
          <w:bCs/>
          <w:sz w:val="22"/>
          <w:szCs w:val="22"/>
          <w:lang w:val="sr-Latn-ME" w:bidi="en-US"/>
        </w:rPr>
      </w:pPr>
    </w:p>
    <w:p w14:paraId="6FE3DE85" w14:textId="7124D0B2" w:rsidR="00A30F42" w:rsidRPr="00F85CA6" w:rsidRDefault="00A30F42" w:rsidP="00685312">
      <w:pPr>
        <w:jc w:val="center"/>
        <w:rPr>
          <w:rFonts w:eastAsia="Calibri"/>
          <w:b/>
          <w:bCs/>
          <w:sz w:val="22"/>
          <w:szCs w:val="22"/>
          <w:lang w:val="sr-Latn-ME" w:bidi="en-US"/>
        </w:rPr>
      </w:pPr>
      <w:r w:rsidRPr="00F85CA6">
        <w:rPr>
          <w:rFonts w:eastAsia="Calibri"/>
          <w:b/>
          <w:bCs/>
          <w:sz w:val="22"/>
          <w:szCs w:val="22"/>
          <w:lang w:val="sr-Latn-ME" w:bidi="en-US"/>
        </w:rPr>
        <w:t>Tabela 21: Događaji obilnijeg krvarenja prema terapiji u individualnim studijama RE-MODEL i RE-NOVATE.</w:t>
      </w:r>
    </w:p>
    <w:p w14:paraId="13DC96EB" w14:textId="77777777" w:rsidR="00A30F42" w:rsidRPr="00F85CA6" w:rsidRDefault="00A30F42" w:rsidP="00A30F42">
      <w:pPr>
        <w:jc w:val="both"/>
        <w:rPr>
          <w:rFonts w:eastAsia="Calibri"/>
          <w:b/>
          <w:bCs/>
          <w:sz w:val="22"/>
          <w:szCs w:val="22"/>
          <w:lang w:val="sr-Latn-ME" w:bidi="en-US"/>
        </w:rPr>
      </w:pPr>
    </w:p>
    <w:tbl>
      <w:tblPr>
        <w:tblW w:w="5000" w:type="pct"/>
        <w:tblBorders>
          <w:top w:val="nil"/>
          <w:left w:val="nil"/>
          <w:bottom w:val="nil"/>
          <w:right w:val="nil"/>
        </w:tblBorders>
        <w:tblCellMar>
          <w:left w:w="85" w:type="dxa"/>
          <w:right w:w="85" w:type="dxa"/>
        </w:tblCellMar>
        <w:tblLook w:val="0000" w:firstRow="0" w:lastRow="0" w:firstColumn="0" w:lastColumn="0" w:noHBand="0" w:noVBand="0"/>
      </w:tblPr>
      <w:tblGrid>
        <w:gridCol w:w="2273"/>
        <w:gridCol w:w="2263"/>
        <w:gridCol w:w="2262"/>
        <w:gridCol w:w="2263"/>
      </w:tblGrid>
      <w:tr w:rsidR="00A30F42" w:rsidRPr="00F85CA6" w14:paraId="13674AFA" w14:textId="77777777" w:rsidTr="001239C3">
        <w:trPr>
          <w:trHeight w:val="20"/>
        </w:trPr>
        <w:tc>
          <w:tcPr>
            <w:tcW w:w="1254" w:type="pct"/>
            <w:tcBorders>
              <w:top w:val="single" w:sz="5" w:space="0" w:color="000000"/>
              <w:left w:val="single" w:sz="5" w:space="0" w:color="000000"/>
              <w:bottom w:val="single" w:sz="5" w:space="0" w:color="000000"/>
              <w:right w:val="single" w:sz="5" w:space="0" w:color="000000"/>
            </w:tcBorders>
            <w:vAlign w:val="center"/>
          </w:tcPr>
          <w:p w14:paraId="10967FEE" w14:textId="77777777" w:rsidR="00A30F42" w:rsidRPr="00F85CA6" w:rsidRDefault="00A30F42" w:rsidP="00A30F42">
            <w:pPr>
              <w:rPr>
                <w:rFonts w:eastAsia="Calibri"/>
                <w:sz w:val="22"/>
                <w:szCs w:val="22"/>
                <w:lang w:val="sr-Latn-ME"/>
              </w:rPr>
            </w:pPr>
            <w:r w:rsidRPr="00F85CA6">
              <w:rPr>
                <w:rFonts w:eastAsia="Calibri"/>
                <w:sz w:val="22"/>
                <w:szCs w:val="22"/>
                <w:lang w:val="sr-Latn-ME"/>
              </w:rPr>
              <w:t>Ispitivanje</w:t>
            </w:r>
          </w:p>
        </w:tc>
        <w:tc>
          <w:tcPr>
            <w:tcW w:w="1249" w:type="pct"/>
            <w:tcBorders>
              <w:top w:val="single" w:sz="5" w:space="0" w:color="000000"/>
              <w:left w:val="single" w:sz="5" w:space="0" w:color="000000"/>
              <w:bottom w:val="single" w:sz="5" w:space="0" w:color="000000"/>
              <w:right w:val="single" w:sz="5" w:space="0" w:color="000000"/>
            </w:tcBorders>
            <w:vAlign w:val="center"/>
          </w:tcPr>
          <w:p w14:paraId="78B676AB" w14:textId="5C296C56" w:rsidR="00A30F42" w:rsidRPr="00F85CA6" w:rsidRDefault="00A30F42" w:rsidP="00A30F42">
            <w:pPr>
              <w:jc w:val="center"/>
              <w:rPr>
                <w:rFonts w:eastAsia="Calibri"/>
                <w:sz w:val="22"/>
                <w:szCs w:val="22"/>
                <w:lang w:val="sr-Latn-ME"/>
              </w:rPr>
            </w:pPr>
            <w:r w:rsidRPr="00F85CA6">
              <w:rPr>
                <w:rFonts w:eastAsia="Calibri"/>
                <w:sz w:val="22"/>
                <w:szCs w:val="22"/>
                <w:lang w:val="sr-Latn-ME"/>
              </w:rPr>
              <w:t>Dabigatrane</w:t>
            </w:r>
            <w:r w:rsidR="002C18DB" w:rsidRPr="00F85CA6">
              <w:rPr>
                <w:rFonts w:eastAsia="Calibri"/>
                <w:sz w:val="22"/>
                <w:szCs w:val="22"/>
                <w:lang w:val="sr-Latn-ME"/>
              </w:rPr>
              <w:t xml:space="preserve"> </w:t>
            </w:r>
            <w:r w:rsidRPr="00F85CA6">
              <w:rPr>
                <w:rFonts w:eastAsia="Calibri"/>
                <w:sz w:val="22"/>
                <w:szCs w:val="22"/>
                <w:lang w:val="sr-Latn-ME"/>
              </w:rPr>
              <w:t>teksilat 220 mg jednom dnevno</w:t>
            </w:r>
          </w:p>
        </w:tc>
        <w:tc>
          <w:tcPr>
            <w:tcW w:w="1248" w:type="pct"/>
            <w:tcBorders>
              <w:top w:val="single" w:sz="5" w:space="0" w:color="000000"/>
              <w:left w:val="single" w:sz="5" w:space="0" w:color="000000"/>
              <w:bottom w:val="single" w:sz="5" w:space="0" w:color="000000"/>
              <w:right w:val="single" w:sz="5" w:space="0" w:color="000000"/>
            </w:tcBorders>
            <w:vAlign w:val="center"/>
          </w:tcPr>
          <w:p w14:paraId="0AF37A95" w14:textId="023CF743" w:rsidR="00A30F42" w:rsidRPr="00F85CA6" w:rsidRDefault="00A30F42" w:rsidP="00A30F42">
            <w:pPr>
              <w:jc w:val="center"/>
              <w:rPr>
                <w:rFonts w:eastAsia="Calibri"/>
                <w:sz w:val="22"/>
                <w:szCs w:val="22"/>
                <w:lang w:val="sr-Latn-ME"/>
              </w:rPr>
            </w:pPr>
            <w:r w:rsidRPr="00F85CA6">
              <w:rPr>
                <w:rFonts w:eastAsia="Calibri"/>
                <w:sz w:val="22"/>
                <w:szCs w:val="22"/>
                <w:lang w:val="sr-Latn-ME"/>
              </w:rPr>
              <w:t>Dabigatrane</w:t>
            </w:r>
            <w:r w:rsidR="002C18DB" w:rsidRPr="00F85CA6">
              <w:rPr>
                <w:rFonts w:eastAsia="Calibri"/>
                <w:sz w:val="22"/>
                <w:szCs w:val="22"/>
                <w:lang w:val="sr-Latn-ME"/>
              </w:rPr>
              <w:t xml:space="preserve"> </w:t>
            </w:r>
            <w:r w:rsidRPr="00F85CA6">
              <w:rPr>
                <w:rFonts w:eastAsia="Calibri"/>
                <w:sz w:val="22"/>
                <w:szCs w:val="22"/>
                <w:lang w:val="sr-Latn-ME"/>
              </w:rPr>
              <w:t>teksilat 150 mg jednom dnevno</w:t>
            </w:r>
          </w:p>
        </w:tc>
        <w:tc>
          <w:tcPr>
            <w:tcW w:w="1250" w:type="pct"/>
            <w:tcBorders>
              <w:top w:val="single" w:sz="5" w:space="0" w:color="000000"/>
              <w:left w:val="single" w:sz="5" w:space="0" w:color="000000"/>
              <w:bottom w:val="single" w:sz="5" w:space="0" w:color="000000"/>
              <w:right w:val="single" w:sz="5" w:space="0" w:color="000000"/>
            </w:tcBorders>
            <w:vAlign w:val="center"/>
          </w:tcPr>
          <w:p w14:paraId="39B24E5E"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Enoksaparin</w:t>
            </w:r>
          </w:p>
          <w:p w14:paraId="08753462"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40 mg</w:t>
            </w:r>
          </w:p>
        </w:tc>
      </w:tr>
      <w:tr w:rsidR="00A30F42" w:rsidRPr="00F85CA6" w14:paraId="32CF738C" w14:textId="77777777" w:rsidTr="001239C3">
        <w:trPr>
          <w:trHeight w:val="20"/>
        </w:trPr>
        <w:tc>
          <w:tcPr>
            <w:tcW w:w="1254" w:type="pct"/>
            <w:tcBorders>
              <w:top w:val="single" w:sz="5" w:space="0" w:color="000000"/>
              <w:left w:val="single" w:sz="5" w:space="0" w:color="000000"/>
              <w:bottom w:val="single" w:sz="5" w:space="0" w:color="000000"/>
            </w:tcBorders>
            <w:vAlign w:val="center"/>
          </w:tcPr>
          <w:p w14:paraId="7CB41536" w14:textId="77777777" w:rsidR="00A30F42" w:rsidRPr="00F85CA6" w:rsidRDefault="00A30F42" w:rsidP="00A30F42">
            <w:pPr>
              <w:rPr>
                <w:rFonts w:eastAsia="Calibri"/>
                <w:sz w:val="22"/>
                <w:szCs w:val="22"/>
                <w:lang w:val="sr-Latn-ME"/>
              </w:rPr>
            </w:pPr>
            <w:r w:rsidRPr="00F85CA6">
              <w:rPr>
                <w:rFonts w:eastAsia="Calibri"/>
                <w:sz w:val="22"/>
                <w:szCs w:val="22"/>
                <w:lang w:val="sr-Latn-ME"/>
              </w:rPr>
              <w:t xml:space="preserve">RE-NOVATE (kuk) </w:t>
            </w:r>
          </w:p>
        </w:tc>
        <w:tc>
          <w:tcPr>
            <w:tcW w:w="1249" w:type="pct"/>
            <w:tcBorders>
              <w:top w:val="single" w:sz="5" w:space="0" w:color="000000"/>
              <w:bottom w:val="single" w:sz="5" w:space="0" w:color="000000"/>
            </w:tcBorders>
            <w:vAlign w:val="center"/>
          </w:tcPr>
          <w:p w14:paraId="239EA1E5" w14:textId="77777777" w:rsidR="00A30F42" w:rsidRPr="00F85CA6" w:rsidRDefault="00A30F42" w:rsidP="00A30F42">
            <w:pPr>
              <w:jc w:val="center"/>
              <w:rPr>
                <w:rFonts w:eastAsia="Calibri"/>
                <w:sz w:val="22"/>
                <w:szCs w:val="22"/>
                <w:lang w:val="sr-Latn-ME"/>
              </w:rPr>
            </w:pPr>
          </w:p>
        </w:tc>
        <w:tc>
          <w:tcPr>
            <w:tcW w:w="1248" w:type="pct"/>
            <w:tcBorders>
              <w:top w:val="single" w:sz="5" w:space="0" w:color="000000"/>
              <w:bottom w:val="single" w:sz="5" w:space="0" w:color="000000"/>
            </w:tcBorders>
            <w:vAlign w:val="center"/>
          </w:tcPr>
          <w:p w14:paraId="17B5899D" w14:textId="77777777" w:rsidR="00A30F42" w:rsidRPr="00F85CA6" w:rsidRDefault="00A30F42" w:rsidP="00A30F42">
            <w:pPr>
              <w:jc w:val="center"/>
              <w:rPr>
                <w:rFonts w:eastAsia="Calibri"/>
                <w:sz w:val="22"/>
                <w:szCs w:val="22"/>
                <w:lang w:val="sr-Latn-ME"/>
              </w:rPr>
            </w:pPr>
          </w:p>
        </w:tc>
        <w:tc>
          <w:tcPr>
            <w:tcW w:w="1250" w:type="pct"/>
            <w:tcBorders>
              <w:top w:val="single" w:sz="5" w:space="0" w:color="000000"/>
              <w:bottom w:val="single" w:sz="5" w:space="0" w:color="000000"/>
              <w:right w:val="single" w:sz="5" w:space="0" w:color="000000"/>
            </w:tcBorders>
            <w:vAlign w:val="center"/>
          </w:tcPr>
          <w:p w14:paraId="2A6D0116" w14:textId="77777777" w:rsidR="00A30F42" w:rsidRPr="00F85CA6" w:rsidRDefault="00A30F42" w:rsidP="00A30F42">
            <w:pPr>
              <w:jc w:val="center"/>
              <w:rPr>
                <w:rFonts w:eastAsia="Calibri"/>
                <w:sz w:val="22"/>
                <w:szCs w:val="22"/>
                <w:lang w:val="sr-Latn-ME"/>
              </w:rPr>
            </w:pPr>
          </w:p>
        </w:tc>
      </w:tr>
      <w:tr w:rsidR="00A30F42" w:rsidRPr="00F85CA6" w14:paraId="1BD52F49" w14:textId="77777777" w:rsidTr="001239C3">
        <w:trPr>
          <w:trHeight w:val="20"/>
        </w:trPr>
        <w:tc>
          <w:tcPr>
            <w:tcW w:w="1254" w:type="pct"/>
            <w:tcBorders>
              <w:top w:val="single" w:sz="5" w:space="0" w:color="000000"/>
              <w:left w:val="single" w:sz="5" w:space="0" w:color="000000"/>
              <w:bottom w:val="single" w:sz="5" w:space="0" w:color="000000"/>
              <w:right w:val="single" w:sz="5" w:space="0" w:color="000000"/>
            </w:tcBorders>
            <w:vAlign w:val="center"/>
          </w:tcPr>
          <w:p w14:paraId="5B90916F" w14:textId="77777777" w:rsidR="00A30F42" w:rsidRPr="00F85CA6" w:rsidRDefault="00A30F42" w:rsidP="00A30F42">
            <w:pPr>
              <w:rPr>
                <w:rFonts w:eastAsia="Calibri"/>
                <w:sz w:val="22"/>
                <w:szCs w:val="22"/>
                <w:lang w:val="sr-Latn-ME"/>
              </w:rPr>
            </w:pPr>
            <w:r w:rsidRPr="00F85CA6">
              <w:rPr>
                <w:rFonts w:eastAsia="Calibri"/>
                <w:sz w:val="22"/>
                <w:szCs w:val="22"/>
                <w:lang w:val="sr-Latn-ME"/>
              </w:rPr>
              <w:t xml:space="preserve">Broj pacijenata na terapiji N </w:t>
            </w:r>
          </w:p>
        </w:tc>
        <w:tc>
          <w:tcPr>
            <w:tcW w:w="1249" w:type="pct"/>
            <w:tcBorders>
              <w:top w:val="single" w:sz="5" w:space="0" w:color="000000"/>
              <w:left w:val="single" w:sz="5" w:space="0" w:color="000000"/>
              <w:bottom w:val="single" w:sz="5" w:space="0" w:color="000000"/>
              <w:right w:val="single" w:sz="5" w:space="0" w:color="000000"/>
            </w:tcBorders>
            <w:vAlign w:val="center"/>
          </w:tcPr>
          <w:p w14:paraId="5428256A"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1146</w:t>
            </w:r>
          </w:p>
        </w:tc>
        <w:tc>
          <w:tcPr>
            <w:tcW w:w="1248" w:type="pct"/>
            <w:tcBorders>
              <w:top w:val="single" w:sz="5" w:space="0" w:color="000000"/>
              <w:left w:val="single" w:sz="5" w:space="0" w:color="000000"/>
              <w:bottom w:val="single" w:sz="5" w:space="0" w:color="000000"/>
              <w:right w:val="single" w:sz="5" w:space="0" w:color="000000"/>
            </w:tcBorders>
            <w:vAlign w:val="center"/>
          </w:tcPr>
          <w:p w14:paraId="23304866"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1163</w:t>
            </w:r>
          </w:p>
        </w:tc>
        <w:tc>
          <w:tcPr>
            <w:tcW w:w="1250" w:type="pct"/>
            <w:tcBorders>
              <w:top w:val="single" w:sz="5" w:space="0" w:color="000000"/>
              <w:left w:val="single" w:sz="5" w:space="0" w:color="000000"/>
              <w:bottom w:val="single" w:sz="5" w:space="0" w:color="000000"/>
              <w:right w:val="single" w:sz="5" w:space="0" w:color="000000"/>
            </w:tcBorders>
            <w:vAlign w:val="center"/>
          </w:tcPr>
          <w:p w14:paraId="0E563252"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1154</w:t>
            </w:r>
          </w:p>
        </w:tc>
      </w:tr>
      <w:tr w:rsidR="00A30F42" w:rsidRPr="00F85CA6" w14:paraId="617D35F2" w14:textId="77777777" w:rsidTr="001239C3">
        <w:trPr>
          <w:trHeight w:val="20"/>
        </w:trPr>
        <w:tc>
          <w:tcPr>
            <w:tcW w:w="1254" w:type="pct"/>
            <w:tcBorders>
              <w:top w:val="single" w:sz="5" w:space="0" w:color="000000"/>
              <w:left w:val="single" w:sz="5" w:space="0" w:color="000000"/>
              <w:bottom w:val="single" w:sz="5" w:space="0" w:color="000000"/>
              <w:right w:val="single" w:sz="5" w:space="0" w:color="000000"/>
            </w:tcBorders>
            <w:vAlign w:val="center"/>
          </w:tcPr>
          <w:p w14:paraId="5C83BF89" w14:textId="77777777" w:rsidR="00A30F42" w:rsidRPr="00F85CA6" w:rsidRDefault="00A30F42" w:rsidP="00A30F42">
            <w:pPr>
              <w:rPr>
                <w:rFonts w:eastAsia="Calibri"/>
                <w:sz w:val="22"/>
                <w:szCs w:val="22"/>
                <w:lang w:val="sr-Latn-ME"/>
              </w:rPr>
            </w:pPr>
            <w:r w:rsidRPr="00F85CA6">
              <w:rPr>
                <w:rFonts w:eastAsia="Calibri"/>
                <w:sz w:val="22"/>
                <w:szCs w:val="22"/>
                <w:lang w:val="sr-Latn-ME"/>
              </w:rPr>
              <w:t xml:space="preserve">Broj događaja obilnijeg krvarenja N (%) </w:t>
            </w:r>
          </w:p>
        </w:tc>
        <w:tc>
          <w:tcPr>
            <w:tcW w:w="1249" w:type="pct"/>
            <w:tcBorders>
              <w:top w:val="single" w:sz="5" w:space="0" w:color="000000"/>
              <w:left w:val="single" w:sz="5" w:space="0" w:color="000000"/>
              <w:bottom w:val="single" w:sz="5" w:space="0" w:color="000000"/>
              <w:right w:val="single" w:sz="5" w:space="0" w:color="000000"/>
            </w:tcBorders>
            <w:vAlign w:val="center"/>
          </w:tcPr>
          <w:p w14:paraId="4557D791"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23 (2,0)</w:t>
            </w:r>
          </w:p>
        </w:tc>
        <w:tc>
          <w:tcPr>
            <w:tcW w:w="1248" w:type="pct"/>
            <w:tcBorders>
              <w:top w:val="single" w:sz="5" w:space="0" w:color="000000"/>
              <w:left w:val="single" w:sz="5" w:space="0" w:color="000000"/>
              <w:bottom w:val="single" w:sz="5" w:space="0" w:color="000000"/>
              <w:right w:val="single" w:sz="5" w:space="0" w:color="000000"/>
            </w:tcBorders>
            <w:vAlign w:val="center"/>
          </w:tcPr>
          <w:p w14:paraId="55F5A5A0"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15 (1,3)</w:t>
            </w:r>
          </w:p>
        </w:tc>
        <w:tc>
          <w:tcPr>
            <w:tcW w:w="1250" w:type="pct"/>
            <w:tcBorders>
              <w:top w:val="single" w:sz="5" w:space="0" w:color="000000"/>
              <w:left w:val="single" w:sz="5" w:space="0" w:color="000000"/>
              <w:bottom w:val="single" w:sz="5" w:space="0" w:color="000000"/>
              <w:right w:val="single" w:sz="5" w:space="0" w:color="000000"/>
            </w:tcBorders>
            <w:vAlign w:val="center"/>
          </w:tcPr>
          <w:p w14:paraId="4BDFBDB2"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18 (1,6)</w:t>
            </w:r>
          </w:p>
        </w:tc>
      </w:tr>
      <w:tr w:rsidR="00A30F42" w:rsidRPr="00F85CA6" w14:paraId="6A2C2562" w14:textId="77777777" w:rsidTr="001239C3">
        <w:trPr>
          <w:trHeight w:val="20"/>
        </w:trPr>
        <w:tc>
          <w:tcPr>
            <w:tcW w:w="1254" w:type="pct"/>
            <w:tcBorders>
              <w:top w:val="single" w:sz="5" w:space="0" w:color="000000"/>
              <w:left w:val="single" w:sz="5" w:space="0" w:color="000000"/>
              <w:bottom w:val="single" w:sz="5" w:space="0" w:color="000000"/>
            </w:tcBorders>
            <w:vAlign w:val="center"/>
          </w:tcPr>
          <w:p w14:paraId="1B8B6E6A" w14:textId="3B76538D" w:rsidR="00A30F42" w:rsidRPr="00F85CA6" w:rsidRDefault="00A30F42" w:rsidP="00A30F42">
            <w:pPr>
              <w:rPr>
                <w:rFonts w:eastAsia="Calibri"/>
                <w:sz w:val="22"/>
                <w:szCs w:val="22"/>
                <w:lang w:val="sr-Latn-ME"/>
              </w:rPr>
            </w:pPr>
            <w:r w:rsidRPr="00F85CA6">
              <w:rPr>
                <w:rFonts w:eastAsia="Calibri"/>
                <w:sz w:val="22"/>
                <w:szCs w:val="22"/>
                <w:lang w:val="sr-Latn-ME"/>
              </w:rPr>
              <w:t>RE-MODEL (kol</w:t>
            </w:r>
            <w:r w:rsidR="0047239C" w:rsidRPr="00F85CA6">
              <w:rPr>
                <w:rFonts w:eastAsia="Calibri"/>
                <w:sz w:val="22"/>
                <w:szCs w:val="22"/>
                <w:lang w:val="sr-Latn-ME"/>
              </w:rPr>
              <w:t>j</w:t>
            </w:r>
            <w:r w:rsidRPr="00F85CA6">
              <w:rPr>
                <w:rFonts w:eastAsia="Calibri"/>
                <w:sz w:val="22"/>
                <w:szCs w:val="22"/>
                <w:lang w:val="sr-Latn-ME"/>
              </w:rPr>
              <w:t xml:space="preserve">eno) </w:t>
            </w:r>
          </w:p>
        </w:tc>
        <w:tc>
          <w:tcPr>
            <w:tcW w:w="1249" w:type="pct"/>
            <w:tcBorders>
              <w:top w:val="single" w:sz="5" w:space="0" w:color="000000"/>
              <w:bottom w:val="single" w:sz="5" w:space="0" w:color="000000"/>
            </w:tcBorders>
            <w:vAlign w:val="center"/>
          </w:tcPr>
          <w:p w14:paraId="4F17A8C1" w14:textId="77777777" w:rsidR="00A30F42" w:rsidRPr="00F85CA6" w:rsidRDefault="00A30F42" w:rsidP="00A30F42">
            <w:pPr>
              <w:jc w:val="center"/>
              <w:rPr>
                <w:rFonts w:eastAsia="Calibri"/>
                <w:sz w:val="22"/>
                <w:szCs w:val="22"/>
                <w:lang w:val="sr-Latn-ME"/>
              </w:rPr>
            </w:pPr>
          </w:p>
        </w:tc>
        <w:tc>
          <w:tcPr>
            <w:tcW w:w="1248" w:type="pct"/>
            <w:tcBorders>
              <w:top w:val="single" w:sz="5" w:space="0" w:color="000000"/>
              <w:bottom w:val="single" w:sz="5" w:space="0" w:color="000000"/>
            </w:tcBorders>
            <w:vAlign w:val="center"/>
          </w:tcPr>
          <w:p w14:paraId="59B1E28E" w14:textId="77777777" w:rsidR="00A30F42" w:rsidRPr="00F85CA6" w:rsidRDefault="00A30F42" w:rsidP="00A30F42">
            <w:pPr>
              <w:jc w:val="center"/>
              <w:rPr>
                <w:rFonts w:eastAsia="Calibri"/>
                <w:sz w:val="22"/>
                <w:szCs w:val="22"/>
                <w:lang w:val="sr-Latn-ME"/>
              </w:rPr>
            </w:pPr>
          </w:p>
        </w:tc>
        <w:tc>
          <w:tcPr>
            <w:tcW w:w="1250" w:type="pct"/>
            <w:tcBorders>
              <w:top w:val="single" w:sz="5" w:space="0" w:color="000000"/>
              <w:bottom w:val="single" w:sz="5" w:space="0" w:color="000000"/>
              <w:right w:val="single" w:sz="5" w:space="0" w:color="000000"/>
            </w:tcBorders>
            <w:vAlign w:val="center"/>
          </w:tcPr>
          <w:p w14:paraId="184D57C0" w14:textId="77777777" w:rsidR="00A30F42" w:rsidRPr="00F85CA6" w:rsidRDefault="00A30F42" w:rsidP="00A30F42">
            <w:pPr>
              <w:jc w:val="center"/>
              <w:rPr>
                <w:rFonts w:eastAsia="Calibri"/>
                <w:sz w:val="22"/>
                <w:szCs w:val="22"/>
                <w:lang w:val="sr-Latn-ME"/>
              </w:rPr>
            </w:pPr>
          </w:p>
        </w:tc>
      </w:tr>
      <w:tr w:rsidR="00A30F42" w:rsidRPr="00F85CA6" w14:paraId="43EB2046" w14:textId="77777777" w:rsidTr="001239C3">
        <w:trPr>
          <w:trHeight w:val="20"/>
        </w:trPr>
        <w:tc>
          <w:tcPr>
            <w:tcW w:w="1254" w:type="pct"/>
            <w:tcBorders>
              <w:top w:val="single" w:sz="5" w:space="0" w:color="000000"/>
              <w:left w:val="single" w:sz="5" w:space="0" w:color="000000"/>
              <w:bottom w:val="single" w:sz="5" w:space="0" w:color="000000"/>
              <w:right w:val="single" w:sz="5" w:space="0" w:color="000000"/>
            </w:tcBorders>
            <w:vAlign w:val="center"/>
          </w:tcPr>
          <w:p w14:paraId="3AA30921" w14:textId="77777777" w:rsidR="00A30F42" w:rsidRPr="00F85CA6" w:rsidRDefault="00A30F42" w:rsidP="00A30F42">
            <w:pPr>
              <w:rPr>
                <w:rFonts w:eastAsia="Calibri"/>
                <w:sz w:val="22"/>
                <w:szCs w:val="22"/>
                <w:lang w:val="sr-Latn-ME"/>
              </w:rPr>
            </w:pPr>
            <w:r w:rsidRPr="00F85CA6">
              <w:rPr>
                <w:rFonts w:eastAsia="Calibri"/>
                <w:sz w:val="22"/>
                <w:szCs w:val="22"/>
                <w:lang w:val="sr-Latn-ME"/>
              </w:rPr>
              <w:t xml:space="preserve">Broj pacijenata na terapiji N </w:t>
            </w:r>
          </w:p>
        </w:tc>
        <w:tc>
          <w:tcPr>
            <w:tcW w:w="1249" w:type="pct"/>
            <w:tcBorders>
              <w:top w:val="single" w:sz="5" w:space="0" w:color="000000"/>
              <w:left w:val="single" w:sz="5" w:space="0" w:color="000000"/>
              <w:bottom w:val="single" w:sz="5" w:space="0" w:color="000000"/>
              <w:right w:val="single" w:sz="5" w:space="0" w:color="000000"/>
            </w:tcBorders>
            <w:vAlign w:val="center"/>
          </w:tcPr>
          <w:p w14:paraId="1BA1F961"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679</w:t>
            </w:r>
          </w:p>
        </w:tc>
        <w:tc>
          <w:tcPr>
            <w:tcW w:w="1248" w:type="pct"/>
            <w:tcBorders>
              <w:top w:val="single" w:sz="5" w:space="0" w:color="000000"/>
              <w:left w:val="single" w:sz="5" w:space="0" w:color="000000"/>
              <w:bottom w:val="single" w:sz="5" w:space="0" w:color="000000"/>
              <w:right w:val="single" w:sz="5" w:space="0" w:color="000000"/>
            </w:tcBorders>
            <w:vAlign w:val="center"/>
          </w:tcPr>
          <w:p w14:paraId="2FE8AF2B"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703</w:t>
            </w:r>
          </w:p>
        </w:tc>
        <w:tc>
          <w:tcPr>
            <w:tcW w:w="1250" w:type="pct"/>
            <w:tcBorders>
              <w:top w:val="single" w:sz="5" w:space="0" w:color="000000"/>
              <w:left w:val="single" w:sz="5" w:space="0" w:color="000000"/>
              <w:bottom w:val="single" w:sz="5" w:space="0" w:color="000000"/>
              <w:right w:val="single" w:sz="5" w:space="0" w:color="000000"/>
            </w:tcBorders>
            <w:vAlign w:val="center"/>
          </w:tcPr>
          <w:p w14:paraId="0C94CF8E"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694</w:t>
            </w:r>
          </w:p>
        </w:tc>
      </w:tr>
      <w:tr w:rsidR="00A30F42" w:rsidRPr="00F85CA6" w14:paraId="49494308" w14:textId="77777777" w:rsidTr="001239C3">
        <w:trPr>
          <w:trHeight w:val="20"/>
        </w:trPr>
        <w:tc>
          <w:tcPr>
            <w:tcW w:w="1254" w:type="pct"/>
            <w:tcBorders>
              <w:top w:val="single" w:sz="5" w:space="0" w:color="000000"/>
              <w:left w:val="single" w:sz="5" w:space="0" w:color="000000"/>
              <w:bottom w:val="single" w:sz="5" w:space="0" w:color="000000"/>
              <w:right w:val="single" w:sz="5" w:space="0" w:color="000000"/>
            </w:tcBorders>
            <w:vAlign w:val="center"/>
          </w:tcPr>
          <w:p w14:paraId="2E420548" w14:textId="77777777" w:rsidR="00A30F42" w:rsidRPr="00F85CA6" w:rsidRDefault="00A30F42" w:rsidP="00A30F42">
            <w:pPr>
              <w:rPr>
                <w:rFonts w:eastAsia="Calibri"/>
                <w:sz w:val="22"/>
                <w:szCs w:val="22"/>
                <w:lang w:val="sr-Latn-ME"/>
              </w:rPr>
            </w:pPr>
            <w:r w:rsidRPr="00F85CA6">
              <w:rPr>
                <w:rFonts w:eastAsia="Calibri"/>
                <w:sz w:val="22"/>
                <w:szCs w:val="22"/>
                <w:lang w:val="sr-Latn-ME"/>
              </w:rPr>
              <w:t xml:space="preserve">Broj događaja obilnijeg krvarenja N (%) </w:t>
            </w:r>
          </w:p>
        </w:tc>
        <w:tc>
          <w:tcPr>
            <w:tcW w:w="1249" w:type="pct"/>
            <w:tcBorders>
              <w:top w:val="single" w:sz="5" w:space="0" w:color="000000"/>
              <w:left w:val="single" w:sz="5" w:space="0" w:color="000000"/>
              <w:bottom w:val="single" w:sz="5" w:space="0" w:color="000000"/>
              <w:right w:val="single" w:sz="5" w:space="0" w:color="000000"/>
            </w:tcBorders>
            <w:vAlign w:val="center"/>
          </w:tcPr>
          <w:p w14:paraId="35D16B8E"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10 (1,5)</w:t>
            </w:r>
          </w:p>
        </w:tc>
        <w:tc>
          <w:tcPr>
            <w:tcW w:w="1248" w:type="pct"/>
            <w:tcBorders>
              <w:top w:val="single" w:sz="5" w:space="0" w:color="000000"/>
              <w:left w:val="single" w:sz="5" w:space="0" w:color="000000"/>
              <w:bottom w:val="single" w:sz="5" w:space="0" w:color="000000"/>
              <w:right w:val="single" w:sz="5" w:space="0" w:color="000000"/>
            </w:tcBorders>
            <w:vAlign w:val="center"/>
          </w:tcPr>
          <w:p w14:paraId="3E17FC9B"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9 (1,3)</w:t>
            </w:r>
          </w:p>
        </w:tc>
        <w:tc>
          <w:tcPr>
            <w:tcW w:w="1250" w:type="pct"/>
            <w:tcBorders>
              <w:top w:val="single" w:sz="5" w:space="0" w:color="000000"/>
              <w:left w:val="single" w:sz="5" w:space="0" w:color="000000"/>
              <w:bottom w:val="single" w:sz="5" w:space="0" w:color="000000"/>
              <w:right w:val="single" w:sz="5" w:space="0" w:color="000000"/>
            </w:tcBorders>
            <w:vAlign w:val="center"/>
          </w:tcPr>
          <w:p w14:paraId="39428DDE"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9 (1,3)</w:t>
            </w:r>
          </w:p>
        </w:tc>
      </w:tr>
    </w:tbl>
    <w:p w14:paraId="1A9D6B64" w14:textId="77777777" w:rsidR="00A30F42" w:rsidRPr="00F85CA6" w:rsidRDefault="00A30F42" w:rsidP="00A30F42">
      <w:pPr>
        <w:jc w:val="both"/>
        <w:rPr>
          <w:rFonts w:eastAsia="Calibri"/>
          <w:sz w:val="22"/>
          <w:szCs w:val="22"/>
          <w:lang w:val="sr-Latn-ME" w:bidi="en-US"/>
        </w:rPr>
      </w:pPr>
    </w:p>
    <w:p w14:paraId="242D9ADF" w14:textId="77777777" w:rsidR="00A30F42" w:rsidRPr="00F85CA6" w:rsidRDefault="00A30F42" w:rsidP="00A30F42">
      <w:pPr>
        <w:jc w:val="both"/>
        <w:rPr>
          <w:rFonts w:eastAsia="Calibri"/>
          <w:i/>
          <w:sz w:val="22"/>
          <w:szCs w:val="22"/>
          <w:u w:val="single"/>
          <w:lang w:val="sr-Latn-ME"/>
        </w:rPr>
      </w:pPr>
      <w:r w:rsidRPr="00F85CA6">
        <w:rPr>
          <w:rFonts w:eastAsia="Calibri"/>
          <w:i/>
          <w:sz w:val="22"/>
          <w:szCs w:val="22"/>
          <w:u w:val="single"/>
          <w:lang w:val="sr-Latn-ME"/>
        </w:rPr>
        <w:lastRenderedPageBreak/>
        <w:t xml:space="preserve">Prevencija moždanog udara i sistemske embolije kod odraslih pacijenata sa NVAF sa jednim ili više faktora rizika </w:t>
      </w:r>
    </w:p>
    <w:p w14:paraId="049B11B1" w14:textId="77777777" w:rsidR="00A30F42" w:rsidRPr="00F85CA6" w:rsidRDefault="00A30F42" w:rsidP="00A30F42">
      <w:pPr>
        <w:jc w:val="both"/>
        <w:rPr>
          <w:rFonts w:eastAsia="Calibri"/>
          <w:i/>
          <w:sz w:val="22"/>
          <w:szCs w:val="22"/>
          <w:u w:val="single"/>
          <w:lang w:val="sr-Latn-ME"/>
        </w:rPr>
      </w:pPr>
    </w:p>
    <w:p w14:paraId="4C025B03" w14:textId="0FF3AFCC" w:rsidR="00A30F42" w:rsidRPr="00F85CA6" w:rsidRDefault="00A30F42" w:rsidP="00A30F42">
      <w:pPr>
        <w:jc w:val="both"/>
        <w:rPr>
          <w:rFonts w:eastAsia="Calibri"/>
          <w:sz w:val="22"/>
          <w:szCs w:val="22"/>
          <w:lang w:val="sr-Latn-ME"/>
        </w:rPr>
      </w:pPr>
      <w:r w:rsidRPr="00F85CA6">
        <w:rPr>
          <w:rFonts w:eastAsia="Calibri"/>
          <w:sz w:val="22"/>
          <w:szCs w:val="22"/>
          <w:lang w:val="sr-Latn-ME"/>
        </w:rPr>
        <w:t>Klinički dokazi o efikasnosti dabigatraneteksilata izvode se iz studije RE-LY (randomizovana proc</w:t>
      </w:r>
      <w:r w:rsidR="00A94651" w:rsidRPr="00F85CA6">
        <w:rPr>
          <w:rFonts w:eastAsia="Calibri"/>
          <w:sz w:val="22"/>
          <w:szCs w:val="22"/>
          <w:lang w:val="sr-Latn-ME"/>
        </w:rPr>
        <w:t>j</w:t>
      </w:r>
      <w:r w:rsidRPr="00F85CA6">
        <w:rPr>
          <w:rFonts w:eastAsia="Calibri"/>
          <w:sz w:val="22"/>
          <w:szCs w:val="22"/>
          <w:lang w:val="sr-Latn-ME"/>
        </w:rPr>
        <w:t>ena dugotrajne terapije antikoagulansima), multicentrične, multinacionalne, randomizovane studije sa paralelnim grupama u kojoj su ispitivane dv</w:t>
      </w:r>
      <w:r w:rsidR="002C18DB" w:rsidRPr="00F85CA6">
        <w:rPr>
          <w:rFonts w:eastAsia="Calibri"/>
          <w:sz w:val="22"/>
          <w:szCs w:val="22"/>
          <w:lang w:val="sr-Latn-ME"/>
        </w:rPr>
        <w:t>ij</w:t>
      </w:r>
      <w:r w:rsidRPr="00F85CA6">
        <w:rPr>
          <w:rFonts w:eastAsia="Calibri"/>
          <w:sz w:val="22"/>
          <w:szCs w:val="22"/>
          <w:lang w:val="sr-Latn-ME"/>
        </w:rPr>
        <w:t>e maskirane doze dabigatraneteksilata (110 mg i 150 mg dva puta dnevno) u poređenju sa otvorenim davanjem varfarina kod pacijenata sa atrijalnom fibrilacijom pod um</w:t>
      </w:r>
      <w:r w:rsidR="0047239C" w:rsidRPr="00F85CA6">
        <w:rPr>
          <w:rFonts w:eastAsia="Calibri"/>
          <w:sz w:val="22"/>
          <w:szCs w:val="22"/>
          <w:lang w:val="sr-Latn-ME"/>
        </w:rPr>
        <w:t>j</w:t>
      </w:r>
      <w:r w:rsidRPr="00F85CA6">
        <w:rPr>
          <w:rFonts w:eastAsia="Calibri"/>
          <w:sz w:val="22"/>
          <w:szCs w:val="22"/>
          <w:lang w:val="sr-Latn-ME"/>
        </w:rPr>
        <w:t>erenim do visokim rizikom od moždanog udara i sistemske embolije. Primarni cilj ove studije bio je da se utvrdi da li je dabigatrane</w:t>
      </w:r>
      <w:r w:rsidR="001D548A" w:rsidRPr="00F85CA6">
        <w:rPr>
          <w:rFonts w:eastAsia="Calibri"/>
          <w:sz w:val="22"/>
          <w:szCs w:val="22"/>
          <w:lang w:val="sr-Latn-ME"/>
        </w:rPr>
        <w:t xml:space="preserve"> </w:t>
      </w:r>
      <w:r w:rsidRPr="00F85CA6">
        <w:rPr>
          <w:rFonts w:eastAsia="Calibri"/>
          <w:sz w:val="22"/>
          <w:szCs w:val="22"/>
          <w:lang w:val="sr-Latn-ME"/>
        </w:rPr>
        <w:t>teksilat neinferioran u odnosu na varfarin u smanjenju pojave m</w:t>
      </w:r>
      <w:r w:rsidR="007E482C" w:rsidRPr="00F85CA6">
        <w:rPr>
          <w:rFonts w:eastAsia="Calibri"/>
          <w:sz w:val="22"/>
          <w:szCs w:val="22"/>
          <w:lang w:val="sr-Latn-ME"/>
        </w:rPr>
        <w:t>j</w:t>
      </w:r>
      <w:r w:rsidRPr="00F85CA6">
        <w:rPr>
          <w:rFonts w:eastAsia="Calibri"/>
          <w:sz w:val="22"/>
          <w:szCs w:val="22"/>
          <w:lang w:val="sr-Latn-ME"/>
        </w:rPr>
        <w:t xml:space="preserve">ešovitog parametra praćenja, koji se sastoji od moždanog udara i sistemske embolije. Analizirana je i statistička superiornost. </w:t>
      </w:r>
    </w:p>
    <w:p w14:paraId="116A6646" w14:textId="77777777" w:rsidR="00A30F42" w:rsidRPr="00F85CA6" w:rsidRDefault="00A30F42" w:rsidP="00A30F42">
      <w:pPr>
        <w:jc w:val="both"/>
        <w:rPr>
          <w:rFonts w:eastAsia="Calibri"/>
          <w:sz w:val="22"/>
          <w:szCs w:val="22"/>
          <w:lang w:val="sr-Latn-ME"/>
        </w:rPr>
      </w:pPr>
    </w:p>
    <w:p w14:paraId="39E23949" w14:textId="7B2A9FA3" w:rsidR="00A30F42" w:rsidRPr="00F85CA6" w:rsidRDefault="00A30F42" w:rsidP="00A30F42">
      <w:pPr>
        <w:jc w:val="both"/>
        <w:rPr>
          <w:rFonts w:eastAsia="Calibri"/>
          <w:sz w:val="22"/>
          <w:szCs w:val="22"/>
          <w:lang w:val="sr-Latn-ME"/>
        </w:rPr>
      </w:pPr>
      <w:r w:rsidRPr="00F85CA6">
        <w:rPr>
          <w:rFonts w:eastAsia="Calibri"/>
          <w:sz w:val="22"/>
          <w:szCs w:val="22"/>
          <w:lang w:val="sr-Latn-ME"/>
        </w:rPr>
        <w:t>U studiji RE-LY, ukupno je randomizovano 18</w:t>
      </w:r>
      <w:r w:rsidR="001D548A" w:rsidRPr="00F85CA6">
        <w:rPr>
          <w:rFonts w:eastAsia="Calibri"/>
          <w:sz w:val="22"/>
          <w:szCs w:val="22"/>
          <w:lang w:val="sr-Latn-ME"/>
        </w:rPr>
        <w:t xml:space="preserve"> </w:t>
      </w:r>
      <w:r w:rsidRPr="00F85CA6">
        <w:rPr>
          <w:rFonts w:eastAsia="Calibri"/>
          <w:sz w:val="22"/>
          <w:szCs w:val="22"/>
          <w:lang w:val="sr-Latn-ME"/>
        </w:rPr>
        <w:t>113 pacijenata, kod kojih je srednja vr</w:t>
      </w:r>
      <w:r w:rsidR="00A94651" w:rsidRPr="00F85CA6">
        <w:rPr>
          <w:rFonts w:eastAsia="Calibri"/>
          <w:sz w:val="22"/>
          <w:szCs w:val="22"/>
          <w:lang w:val="sr-Latn-ME"/>
        </w:rPr>
        <w:t>ij</w:t>
      </w:r>
      <w:r w:rsidRPr="00F85CA6">
        <w:rPr>
          <w:rFonts w:eastAsia="Calibri"/>
          <w:sz w:val="22"/>
          <w:szCs w:val="22"/>
          <w:lang w:val="sr-Latn-ME"/>
        </w:rPr>
        <w:t>ednost godina starosti bila 71,5 godina i sa srednjom vr</w:t>
      </w:r>
      <w:r w:rsidR="00A94651" w:rsidRPr="00F85CA6">
        <w:rPr>
          <w:rFonts w:eastAsia="Calibri"/>
          <w:sz w:val="22"/>
          <w:szCs w:val="22"/>
          <w:lang w:val="sr-Latn-ME"/>
        </w:rPr>
        <w:t>ij</w:t>
      </w:r>
      <w:r w:rsidRPr="00F85CA6">
        <w:rPr>
          <w:rFonts w:eastAsia="Calibri"/>
          <w:sz w:val="22"/>
          <w:szCs w:val="22"/>
          <w:lang w:val="sr-Latn-ME"/>
        </w:rPr>
        <w:t>ednošću skora rizika od moždanog udara kod atrijalne fibrilacije (CHADS</w:t>
      </w:r>
      <w:r w:rsidRPr="00F85CA6">
        <w:rPr>
          <w:rFonts w:eastAsia="Calibri"/>
          <w:sz w:val="22"/>
          <w:szCs w:val="22"/>
          <w:vertAlign w:val="subscript"/>
          <w:lang w:val="sr-Latn-ME"/>
        </w:rPr>
        <w:t>2</w:t>
      </w:r>
      <w:r w:rsidRPr="00F85CA6">
        <w:rPr>
          <w:rFonts w:eastAsia="Calibri"/>
          <w:sz w:val="22"/>
          <w:szCs w:val="22"/>
          <w:lang w:val="sr-Latn-ME"/>
        </w:rPr>
        <w:t>) od 2,1. Populaciju pacijenata činilo je 64% muškaraca, 70% pripadnika b</w:t>
      </w:r>
      <w:r w:rsidR="00A94651" w:rsidRPr="00F85CA6">
        <w:rPr>
          <w:rFonts w:eastAsia="Calibri"/>
          <w:sz w:val="22"/>
          <w:szCs w:val="22"/>
          <w:lang w:val="sr-Latn-ME"/>
        </w:rPr>
        <w:t>ij</w:t>
      </w:r>
      <w:r w:rsidRPr="00F85CA6">
        <w:rPr>
          <w:rFonts w:eastAsia="Calibri"/>
          <w:sz w:val="22"/>
          <w:szCs w:val="22"/>
          <w:lang w:val="sr-Latn-ME"/>
        </w:rPr>
        <w:t xml:space="preserve">ele rase i 16% azijske. Kod pacijenata randomizovanih da primaju varfarin, srednji procenat vremena u terapijskom opsegu (engl. </w:t>
      </w:r>
      <w:r w:rsidRPr="00F85CA6">
        <w:rPr>
          <w:rFonts w:eastAsia="Calibri"/>
          <w:i/>
          <w:iCs/>
          <w:sz w:val="22"/>
          <w:szCs w:val="22"/>
          <w:lang w:val="sr-Latn-ME"/>
        </w:rPr>
        <w:t>time in therapeutic range</w:t>
      </w:r>
      <w:r w:rsidRPr="00F85CA6">
        <w:rPr>
          <w:rFonts w:eastAsia="Calibri"/>
          <w:sz w:val="22"/>
          <w:szCs w:val="22"/>
          <w:lang w:val="sr-Latn-ME"/>
        </w:rPr>
        <w:t>, TTR) (INR 2-3) iznosio je 64,4% (medijana TTR 67%).</w:t>
      </w:r>
    </w:p>
    <w:p w14:paraId="36BC85A7" w14:textId="77777777" w:rsidR="00A30F42" w:rsidRPr="00F85CA6" w:rsidRDefault="00A30F42" w:rsidP="00A30F42">
      <w:pPr>
        <w:jc w:val="both"/>
        <w:rPr>
          <w:rFonts w:eastAsia="Calibri"/>
          <w:sz w:val="22"/>
          <w:szCs w:val="22"/>
          <w:lang w:val="sr-Latn-ME"/>
        </w:rPr>
      </w:pPr>
    </w:p>
    <w:p w14:paraId="7960333A" w14:textId="08E71053" w:rsidR="00A30F42" w:rsidRPr="00F85CA6" w:rsidRDefault="00A30F42" w:rsidP="00A30F42">
      <w:pPr>
        <w:jc w:val="both"/>
        <w:rPr>
          <w:rFonts w:eastAsia="Calibri"/>
          <w:sz w:val="22"/>
          <w:szCs w:val="22"/>
          <w:lang w:val="sr-Latn-ME"/>
        </w:rPr>
      </w:pPr>
      <w:r w:rsidRPr="00F85CA6">
        <w:rPr>
          <w:rFonts w:eastAsia="Calibri"/>
          <w:sz w:val="22"/>
          <w:szCs w:val="22"/>
          <w:lang w:val="sr-Latn-ME"/>
        </w:rPr>
        <w:t>Studija RE-LY je pokazala da dabigatrane</w:t>
      </w:r>
      <w:r w:rsidR="001D548A" w:rsidRPr="00F85CA6">
        <w:rPr>
          <w:rFonts w:eastAsia="Calibri"/>
          <w:sz w:val="22"/>
          <w:szCs w:val="22"/>
          <w:lang w:val="sr-Latn-ME"/>
        </w:rPr>
        <w:t xml:space="preserve"> </w:t>
      </w:r>
      <w:r w:rsidRPr="00F85CA6">
        <w:rPr>
          <w:rFonts w:eastAsia="Calibri"/>
          <w:sz w:val="22"/>
          <w:szCs w:val="22"/>
          <w:lang w:val="sr-Latn-ME"/>
        </w:rPr>
        <w:t>teksilat, u dozi od 110 mg dva puta dnevno, nije inferioran u odnosu na varfarin za prevenciju moždanog udara i sistemske embolije kod ispitanika sa atrijalnom fibrilacijom, sa smanjenim rizikom od intrakranijalne hemoragije (IKH), ukupnog krvarenja i obilnijeg krvarenja. Doza od 150 mg dva puta dnevno značajno smanjuje rizik od ishemijskog i hemoragijskog moždanog udara, vaskularne smrti, IKH i ukupnog krvarenja u odnosu na varfarin. Stope obilnijih krvarenja sa ovom dozom bile su uporedive sa varfarinom. Stope infarkta miokarda su bile blago povećane sa dabigatrane</w:t>
      </w:r>
      <w:r w:rsidR="001D548A" w:rsidRPr="00F85CA6">
        <w:rPr>
          <w:rFonts w:eastAsia="Calibri"/>
          <w:sz w:val="22"/>
          <w:szCs w:val="22"/>
          <w:lang w:val="sr-Latn-ME"/>
        </w:rPr>
        <w:t xml:space="preserve"> </w:t>
      </w:r>
      <w:r w:rsidRPr="00F85CA6">
        <w:rPr>
          <w:rFonts w:eastAsia="Calibri"/>
          <w:sz w:val="22"/>
          <w:szCs w:val="22"/>
          <w:lang w:val="sr-Latn-ME"/>
        </w:rPr>
        <w:t>teksilatom 110 mg dva puta dnevno i 150 mg dva puta dnevno u poređenju sa varfarinom (</w:t>
      </w:r>
      <w:r w:rsidRPr="00F85CA6">
        <w:rPr>
          <w:rFonts w:eastAsia="Calibri"/>
          <w:i/>
          <w:sz w:val="22"/>
          <w:szCs w:val="22"/>
          <w:lang w:val="sr-Latn-ME"/>
        </w:rPr>
        <w:t>hazard ratio</w:t>
      </w:r>
      <w:r w:rsidRPr="00F85CA6">
        <w:rPr>
          <w:rFonts w:eastAsia="Calibri"/>
          <w:sz w:val="22"/>
          <w:szCs w:val="22"/>
          <w:lang w:val="sr-Latn-ME"/>
        </w:rPr>
        <w:t xml:space="preserve"> 1,29; p = 0,0929, odnosno </w:t>
      </w:r>
      <w:r w:rsidRPr="00F85CA6">
        <w:rPr>
          <w:rFonts w:eastAsia="Calibri"/>
          <w:i/>
          <w:sz w:val="22"/>
          <w:szCs w:val="22"/>
          <w:lang w:val="sr-Latn-ME"/>
        </w:rPr>
        <w:t>hazard ratio</w:t>
      </w:r>
      <w:r w:rsidRPr="00F85CA6">
        <w:rPr>
          <w:rFonts w:eastAsia="Calibri"/>
          <w:sz w:val="22"/>
          <w:szCs w:val="22"/>
          <w:lang w:val="sr-Latn-ME"/>
        </w:rPr>
        <w:t xml:space="preserve"> 1,27; p = 0,1240). Sa boljim praćenjem INR uočene koristi od dabigatraneteksilata u poređenju sa varfarinom se smanjuju. </w:t>
      </w:r>
    </w:p>
    <w:p w14:paraId="7A9A36EC" w14:textId="77777777" w:rsidR="00A30F42" w:rsidRPr="00F85CA6" w:rsidRDefault="00A30F42" w:rsidP="00A30F42">
      <w:pPr>
        <w:jc w:val="both"/>
        <w:rPr>
          <w:rFonts w:eastAsia="Calibri"/>
          <w:sz w:val="22"/>
          <w:szCs w:val="22"/>
          <w:lang w:val="sr-Latn-ME"/>
        </w:rPr>
      </w:pPr>
    </w:p>
    <w:p w14:paraId="0939E982" w14:textId="77777777" w:rsidR="00A30F42" w:rsidRPr="00F85CA6" w:rsidRDefault="00A30F42" w:rsidP="00A30F42">
      <w:pPr>
        <w:jc w:val="both"/>
        <w:rPr>
          <w:rFonts w:eastAsia="Calibri"/>
          <w:sz w:val="22"/>
          <w:szCs w:val="22"/>
          <w:lang w:val="sr-Latn-ME"/>
        </w:rPr>
      </w:pPr>
      <w:r w:rsidRPr="00F85CA6">
        <w:rPr>
          <w:rFonts w:eastAsia="Calibri"/>
          <w:sz w:val="22"/>
          <w:szCs w:val="22"/>
          <w:lang w:val="sr-Latn-ME"/>
        </w:rPr>
        <w:t>U tabelama 22-24 prikazani su detalji ključnih rezultata u ukupnoj populaciji:</w:t>
      </w:r>
    </w:p>
    <w:p w14:paraId="0DBFD7C0" w14:textId="77777777" w:rsidR="00A30F42" w:rsidRPr="00F85CA6" w:rsidRDefault="00A30F42" w:rsidP="00A30F42">
      <w:pPr>
        <w:jc w:val="both"/>
        <w:rPr>
          <w:rFonts w:eastAsia="Calibri"/>
          <w:sz w:val="22"/>
          <w:szCs w:val="22"/>
          <w:lang w:val="sr-Latn-ME"/>
        </w:rPr>
      </w:pPr>
    </w:p>
    <w:p w14:paraId="17C5E911" w14:textId="77777777" w:rsidR="00A30F42" w:rsidRPr="00F85CA6" w:rsidRDefault="00A30F42" w:rsidP="00685312">
      <w:pPr>
        <w:jc w:val="center"/>
        <w:rPr>
          <w:rFonts w:eastAsia="Calibri"/>
          <w:b/>
          <w:bCs/>
          <w:sz w:val="22"/>
          <w:szCs w:val="22"/>
          <w:lang w:val="sr-Latn-ME" w:bidi="en-US"/>
        </w:rPr>
      </w:pPr>
      <w:r w:rsidRPr="00F85CA6">
        <w:rPr>
          <w:rFonts w:eastAsia="Calibri"/>
          <w:b/>
          <w:bCs/>
          <w:sz w:val="22"/>
          <w:szCs w:val="22"/>
          <w:lang w:val="sr-Latn-ME" w:bidi="en-US"/>
        </w:rPr>
        <w:t>Tabela 22: Analiza prve pojave moždanog udara ili sistemske embolije (primarni ishod) tokom perioda ispitivanja u studiji RE-LY.</w:t>
      </w:r>
    </w:p>
    <w:p w14:paraId="1E8AFEBB" w14:textId="77777777" w:rsidR="00A30F42" w:rsidRPr="00F85CA6" w:rsidRDefault="00A30F42" w:rsidP="00A30F42">
      <w:pPr>
        <w:jc w:val="both"/>
        <w:rPr>
          <w:rFonts w:eastAsia="Calibri"/>
          <w:b/>
          <w:bCs/>
          <w:sz w:val="22"/>
          <w:szCs w:val="22"/>
          <w:lang w:val="sr-Latn-ME" w:bidi="en-US"/>
        </w:rPr>
      </w:pPr>
    </w:p>
    <w:tbl>
      <w:tblPr>
        <w:tblW w:w="5000" w:type="pct"/>
        <w:tblBorders>
          <w:top w:val="single" w:sz="4" w:space="0" w:color="auto"/>
          <w:left w:val="single" w:sz="4" w:space="0" w:color="auto"/>
          <w:bottom w:val="single" w:sz="4" w:space="0" w:color="auto"/>
          <w:right w:val="single" w:sz="4" w:space="0" w:color="auto"/>
        </w:tblBorders>
        <w:tblCellMar>
          <w:left w:w="85" w:type="dxa"/>
          <w:right w:w="85" w:type="dxa"/>
        </w:tblCellMar>
        <w:tblLook w:val="0000" w:firstRow="0" w:lastRow="0" w:firstColumn="0" w:lastColumn="0" w:noHBand="0" w:noVBand="0"/>
      </w:tblPr>
      <w:tblGrid>
        <w:gridCol w:w="2475"/>
        <w:gridCol w:w="2196"/>
        <w:gridCol w:w="2195"/>
        <w:gridCol w:w="2197"/>
      </w:tblGrid>
      <w:tr w:rsidR="00A30F42" w:rsidRPr="00F85CA6" w14:paraId="5F613B0D" w14:textId="77777777" w:rsidTr="001239C3">
        <w:trPr>
          <w:trHeight w:val="20"/>
        </w:trPr>
        <w:tc>
          <w:tcPr>
            <w:tcW w:w="1365" w:type="pct"/>
            <w:tcBorders>
              <w:top w:val="single" w:sz="4" w:space="0" w:color="auto"/>
              <w:bottom w:val="single" w:sz="4" w:space="0" w:color="auto"/>
              <w:right w:val="single" w:sz="4" w:space="0" w:color="auto"/>
            </w:tcBorders>
            <w:vAlign w:val="center"/>
          </w:tcPr>
          <w:p w14:paraId="555AFF55" w14:textId="77777777" w:rsidR="00A30F42" w:rsidRPr="00F85CA6" w:rsidRDefault="00A30F42" w:rsidP="00A30F42">
            <w:pPr>
              <w:rPr>
                <w:rFonts w:eastAsia="Calibri"/>
                <w:sz w:val="22"/>
                <w:szCs w:val="22"/>
                <w:lang w:val="sr-Latn-ME"/>
              </w:rPr>
            </w:pPr>
            <w:bookmarkStart w:id="21" w:name="_Hlk83118018"/>
          </w:p>
        </w:tc>
        <w:tc>
          <w:tcPr>
            <w:tcW w:w="1211" w:type="pct"/>
            <w:tcBorders>
              <w:top w:val="single" w:sz="4" w:space="0" w:color="auto"/>
              <w:bottom w:val="single" w:sz="4" w:space="0" w:color="auto"/>
              <w:right w:val="single" w:sz="4" w:space="0" w:color="auto"/>
            </w:tcBorders>
            <w:vAlign w:val="center"/>
          </w:tcPr>
          <w:p w14:paraId="1F0250F3" w14:textId="4672B8BA" w:rsidR="00A30F42" w:rsidRPr="00F85CA6" w:rsidRDefault="00A30F42" w:rsidP="00A30F42">
            <w:pPr>
              <w:jc w:val="center"/>
              <w:rPr>
                <w:rFonts w:eastAsia="Calibri"/>
                <w:sz w:val="22"/>
                <w:szCs w:val="22"/>
                <w:lang w:val="sr-Latn-ME"/>
              </w:rPr>
            </w:pPr>
            <w:r w:rsidRPr="00F85CA6">
              <w:rPr>
                <w:rFonts w:eastAsia="Calibri"/>
                <w:sz w:val="22"/>
                <w:szCs w:val="22"/>
                <w:lang w:val="sr-Latn-ME"/>
              </w:rPr>
              <w:t>Dabigatraneteksilat 110 mg dva puta dnevno</w:t>
            </w:r>
          </w:p>
        </w:tc>
        <w:tc>
          <w:tcPr>
            <w:tcW w:w="1211" w:type="pct"/>
            <w:tcBorders>
              <w:top w:val="single" w:sz="4" w:space="0" w:color="auto"/>
              <w:left w:val="single" w:sz="4" w:space="0" w:color="auto"/>
              <w:bottom w:val="single" w:sz="4" w:space="0" w:color="auto"/>
              <w:right w:val="single" w:sz="4" w:space="0" w:color="auto"/>
            </w:tcBorders>
            <w:vAlign w:val="center"/>
          </w:tcPr>
          <w:p w14:paraId="36E8316D" w14:textId="558CD4CB" w:rsidR="00A30F42" w:rsidRPr="00F85CA6" w:rsidRDefault="00A30F42" w:rsidP="00A30F42">
            <w:pPr>
              <w:jc w:val="center"/>
              <w:rPr>
                <w:rFonts w:eastAsia="Calibri"/>
                <w:sz w:val="22"/>
                <w:szCs w:val="22"/>
                <w:lang w:val="sr-Latn-ME"/>
              </w:rPr>
            </w:pPr>
            <w:r w:rsidRPr="00F85CA6">
              <w:rPr>
                <w:rFonts w:eastAsia="Calibri"/>
                <w:sz w:val="22"/>
                <w:szCs w:val="22"/>
                <w:lang w:val="sr-Latn-ME"/>
              </w:rPr>
              <w:t>Dabigatraneteksilat 150 mg dva puta dnevno</w:t>
            </w:r>
          </w:p>
        </w:tc>
        <w:tc>
          <w:tcPr>
            <w:tcW w:w="1212" w:type="pct"/>
            <w:tcBorders>
              <w:top w:val="single" w:sz="4" w:space="0" w:color="auto"/>
              <w:left w:val="single" w:sz="4" w:space="0" w:color="auto"/>
              <w:bottom w:val="single" w:sz="4" w:space="0" w:color="auto"/>
            </w:tcBorders>
            <w:vAlign w:val="center"/>
          </w:tcPr>
          <w:p w14:paraId="04BCF074"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Varfarin</w:t>
            </w:r>
          </w:p>
        </w:tc>
      </w:tr>
      <w:tr w:rsidR="00A30F42" w:rsidRPr="00F85CA6" w14:paraId="289A9679" w14:textId="77777777" w:rsidTr="001239C3">
        <w:trPr>
          <w:trHeight w:val="20"/>
        </w:trPr>
        <w:tc>
          <w:tcPr>
            <w:tcW w:w="1365" w:type="pct"/>
            <w:tcBorders>
              <w:top w:val="single" w:sz="4" w:space="0" w:color="auto"/>
              <w:bottom w:val="single" w:sz="4" w:space="0" w:color="auto"/>
              <w:right w:val="single" w:sz="4" w:space="0" w:color="auto"/>
            </w:tcBorders>
            <w:vAlign w:val="center"/>
          </w:tcPr>
          <w:p w14:paraId="3023424E" w14:textId="77777777" w:rsidR="00A30F42" w:rsidRPr="00F85CA6" w:rsidRDefault="00A30F42" w:rsidP="00A30F42">
            <w:pPr>
              <w:rPr>
                <w:rFonts w:eastAsia="Calibri"/>
                <w:sz w:val="22"/>
                <w:szCs w:val="22"/>
                <w:lang w:val="sr-Latn-ME"/>
              </w:rPr>
            </w:pPr>
            <w:r w:rsidRPr="00F85CA6">
              <w:rPr>
                <w:rFonts w:eastAsia="Calibri"/>
                <w:sz w:val="22"/>
                <w:szCs w:val="22"/>
                <w:lang w:val="sr-Latn-ME"/>
              </w:rPr>
              <w:t>Randomizovani ispitanici</w:t>
            </w:r>
          </w:p>
        </w:tc>
        <w:tc>
          <w:tcPr>
            <w:tcW w:w="1211" w:type="pct"/>
            <w:tcBorders>
              <w:top w:val="single" w:sz="4" w:space="0" w:color="auto"/>
              <w:bottom w:val="single" w:sz="4" w:space="0" w:color="auto"/>
              <w:right w:val="single" w:sz="4" w:space="0" w:color="auto"/>
            </w:tcBorders>
            <w:vAlign w:val="center"/>
          </w:tcPr>
          <w:p w14:paraId="53B38958"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6015</w:t>
            </w:r>
          </w:p>
        </w:tc>
        <w:tc>
          <w:tcPr>
            <w:tcW w:w="1211" w:type="pct"/>
            <w:tcBorders>
              <w:top w:val="single" w:sz="4" w:space="0" w:color="auto"/>
              <w:left w:val="single" w:sz="4" w:space="0" w:color="auto"/>
              <w:bottom w:val="single" w:sz="4" w:space="0" w:color="auto"/>
              <w:right w:val="single" w:sz="4" w:space="0" w:color="auto"/>
            </w:tcBorders>
            <w:vAlign w:val="center"/>
          </w:tcPr>
          <w:p w14:paraId="29A8DB19"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6076</w:t>
            </w:r>
          </w:p>
        </w:tc>
        <w:tc>
          <w:tcPr>
            <w:tcW w:w="1212" w:type="pct"/>
            <w:tcBorders>
              <w:top w:val="single" w:sz="4" w:space="0" w:color="auto"/>
              <w:left w:val="single" w:sz="4" w:space="0" w:color="auto"/>
              <w:bottom w:val="single" w:sz="4" w:space="0" w:color="auto"/>
            </w:tcBorders>
            <w:vAlign w:val="center"/>
          </w:tcPr>
          <w:p w14:paraId="4DEA17A9"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6022</w:t>
            </w:r>
          </w:p>
        </w:tc>
      </w:tr>
      <w:tr w:rsidR="00A30F42" w:rsidRPr="00F85CA6" w14:paraId="012B8C85" w14:textId="77777777" w:rsidTr="001239C3">
        <w:trPr>
          <w:trHeight w:val="20"/>
        </w:trPr>
        <w:tc>
          <w:tcPr>
            <w:tcW w:w="1365" w:type="pct"/>
            <w:tcBorders>
              <w:top w:val="single" w:sz="4" w:space="0" w:color="auto"/>
              <w:bottom w:val="single" w:sz="4" w:space="0" w:color="auto"/>
              <w:right w:val="single" w:sz="4" w:space="0" w:color="auto"/>
            </w:tcBorders>
            <w:vAlign w:val="center"/>
          </w:tcPr>
          <w:p w14:paraId="4D8B5EE5" w14:textId="77777777" w:rsidR="00A30F42" w:rsidRPr="00F85CA6" w:rsidRDefault="00A30F42" w:rsidP="00A30F42">
            <w:pPr>
              <w:rPr>
                <w:rFonts w:eastAsia="Calibri"/>
                <w:sz w:val="22"/>
                <w:szCs w:val="22"/>
                <w:lang w:val="sr-Latn-ME"/>
              </w:rPr>
            </w:pPr>
            <w:r w:rsidRPr="00F85CA6">
              <w:rPr>
                <w:rFonts w:eastAsia="Calibri"/>
                <w:sz w:val="22"/>
                <w:szCs w:val="22"/>
                <w:lang w:val="sr-Latn-ME"/>
              </w:rPr>
              <w:t>Moždani udar i/ili sistemska embolija</w:t>
            </w:r>
          </w:p>
        </w:tc>
        <w:tc>
          <w:tcPr>
            <w:tcW w:w="1211" w:type="pct"/>
            <w:tcBorders>
              <w:top w:val="single" w:sz="4" w:space="0" w:color="auto"/>
              <w:bottom w:val="single" w:sz="4" w:space="0" w:color="auto"/>
              <w:right w:val="single" w:sz="4" w:space="0" w:color="auto"/>
            </w:tcBorders>
            <w:vAlign w:val="center"/>
          </w:tcPr>
          <w:p w14:paraId="76C46735" w14:textId="77777777" w:rsidR="00A30F42" w:rsidRPr="00F85CA6" w:rsidRDefault="00A30F42" w:rsidP="00A30F42">
            <w:pPr>
              <w:jc w:val="center"/>
              <w:rPr>
                <w:rFonts w:eastAsia="Calibri"/>
                <w:sz w:val="22"/>
                <w:szCs w:val="22"/>
                <w:lang w:val="sr-Latn-ME"/>
              </w:rPr>
            </w:pPr>
          </w:p>
        </w:tc>
        <w:tc>
          <w:tcPr>
            <w:tcW w:w="1211" w:type="pct"/>
            <w:tcBorders>
              <w:top w:val="single" w:sz="4" w:space="0" w:color="auto"/>
              <w:left w:val="single" w:sz="4" w:space="0" w:color="auto"/>
              <w:bottom w:val="single" w:sz="4" w:space="0" w:color="auto"/>
              <w:right w:val="single" w:sz="4" w:space="0" w:color="auto"/>
            </w:tcBorders>
            <w:vAlign w:val="center"/>
          </w:tcPr>
          <w:p w14:paraId="67B84B4C" w14:textId="77777777" w:rsidR="00A30F42" w:rsidRPr="00F85CA6" w:rsidRDefault="00A30F42" w:rsidP="00A30F42">
            <w:pPr>
              <w:jc w:val="center"/>
              <w:rPr>
                <w:rFonts w:eastAsia="Calibri"/>
                <w:sz w:val="22"/>
                <w:szCs w:val="22"/>
                <w:lang w:val="sr-Latn-ME"/>
              </w:rPr>
            </w:pPr>
          </w:p>
        </w:tc>
        <w:tc>
          <w:tcPr>
            <w:tcW w:w="1212" w:type="pct"/>
            <w:tcBorders>
              <w:top w:val="single" w:sz="4" w:space="0" w:color="auto"/>
              <w:left w:val="single" w:sz="4" w:space="0" w:color="auto"/>
              <w:bottom w:val="single" w:sz="4" w:space="0" w:color="auto"/>
            </w:tcBorders>
            <w:vAlign w:val="center"/>
          </w:tcPr>
          <w:p w14:paraId="242D83F1" w14:textId="77777777" w:rsidR="00A30F42" w:rsidRPr="00F85CA6" w:rsidRDefault="00A30F42" w:rsidP="00A30F42">
            <w:pPr>
              <w:jc w:val="center"/>
              <w:rPr>
                <w:rFonts w:eastAsia="Calibri"/>
                <w:sz w:val="22"/>
                <w:szCs w:val="22"/>
                <w:lang w:val="sr-Latn-ME"/>
              </w:rPr>
            </w:pPr>
          </w:p>
        </w:tc>
      </w:tr>
      <w:tr w:rsidR="00A30F42" w:rsidRPr="00F85CA6" w14:paraId="5F976215" w14:textId="77777777" w:rsidTr="001239C3">
        <w:trPr>
          <w:trHeight w:val="20"/>
        </w:trPr>
        <w:tc>
          <w:tcPr>
            <w:tcW w:w="1365" w:type="pct"/>
            <w:tcBorders>
              <w:top w:val="single" w:sz="4" w:space="0" w:color="auto"/>
              <w:bottom w:val="single" w:sz="4" w:space="0" w:color="auto"/>
              <w:right w:val="single" w:sz="4" w:space="0" w:color="auto"/>
            </w:tcBorders>
            <w:vAlign w:val="center"/>
          </w:tcPr>
          <w:p w14:paraId="7EBA873B"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Incidence (%)</w:t>
            </w:r>
          </w:p>
        </w:tc>
        <w:tc>
          <w:tcPr>
            <w:tcW w:w="1211" w:type="pct"/>
            <w:tcBorders>
              <w:top w:val="single" w:sz="4" w:space="0" w:color="auto"/>
              <w:bottom w:val="single" w:sz="4" w:space="0" w:color="auto"/>
              <w:right w:val="single" w:sz="4" w:space="0" w:color="auto"/>
            </w:tcBorders>
            <w:vAlign w:val="center"/>
          </w:tcPr>
          <w:p w14:paraId="54E2D620"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183 (1,54)</w:t>
            </w:r>
          </w:p>
        </w:tc>
        <w:tc>
          <w:tcPr>
            <w:tcW w:w="1211" w:type="pct"/>
            <w:tcBorders>
              <w:top w:val="single" w:sz="4" w:space="0" w:color="auto"/>
              <w:left w:val="single" w:sz="4" w:space="0" w:color="auto"/>
              <w:bottom w:val="single" w:sz="4" w:space="0" w:color="auto"/>
              <w:right w:val="single" w:sz="4" w:space="0" w:color="auto"/>
            </w:tcBorders>
            <w:vAlign w:val="center"/>
          </w:tcPr>
          <w:p w14:paraId="1D3D5A07"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135 (1,12)</w:t>
            </w:r>
          </w:p>
        </w:tc>
        <w:tc>
          <w:tcPr>
            <w:tcW w:w="1212" w:type="pct"/>
            <w:tcBorders>
              <w:top w:val="single" w:sz="4" w:space="0" w:color="auto"/>
              <w:left w:val="single" w:sz="4" w:space="0" w:color="auto"/>
              <w:bottom w:val="single" w:sz="4" w:space="0" w:color="auto"/>
            </w:tcBorders>
            <w:vAlign w:val="center"/>
          </w:tcPr>
          <w:p w14:paraId="55B36E32"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203 (1,72)</w:t>
            </w:r>
          </w:p>
        </w:tc>
      </w:tr>
      <w:tr w:rsidR="00A30F42" w:rsidRPr="00F85CA6" w14:paraId="0A73F2DC" w14:textId="77777777" w:rsidTr="001239C3">
        <w:trPr>
          <w:trHeight w:val="20"/>
        </w:trPr>
        <w:tc>
          <w:tcPr>
            <w:tcW w:w="1365" w:type="pct"/>
            <w:tcBorders>
              <w:top w:val="single" w:sz="4" w:space="0" w:color="auto"/>
              <w:bottom w:val="single" w:sz="4" w:space="0" w:color="auto"/>
              <w:right w:val="single" w:sz="4" w:space="0" w:color="auto"/>
            </w:tcBorders>
            <w:vAlign w:val="center"/>
          </w:tcPr>
          <w:p w14:paraId="4D9AAB60" w14:textId="77777777" w:rsidR="00A30F42" w:rsidRPr="00F85CA6" w:rsidRDefault="00A30F42" w:rsidP="00A30F42">
            <w:pPr>
              <w:jc w:val="center"/>
              <w:rPr>
                <w:rFonts w:eastAsia="Calibri"/>
                <w:sz w:val="22"/>
                <w:szCs w:val="22"/>
                <w:lang w:val="sr-Latn-ME"/>
              </w:rPr>
            </w:pPr>
            <w:r w:rsidRPr="00F85CA6">
              <w:rPr>
                <w:rFonts w:eastAsia="Calibri"/>
                <w:i/>
                <w:sz w:val="22"/>
                <w:szCs w:val="22"/>
                <w:lang w:val="sr-Latn-ME"/>
              </w:rPr>
              <w:t>Hazard ratio</w:t>
            </w:r>
            <w:r w:rsidRPr="00F85CA6">
              <w:rPr>
                <w:rFonts w:eastAsia="Calibri"/>
                <w:sz w:val="22"/>
                <w:szCs w:val="22"/>
                <w:lang w:val="sr-Latn-ME"/>
              </w:rPr>
              <w:t xml:space="preserve"> prema varfarinu (95% CI)</w:t>
            </w:r>
          </w:p>
        </w:tc>
        <w:tc>
          <w:tcPr>
            <w:tcW w:w="1211" w:type="pct"/>
            <w:tcBorders>
              <w:top w:val="single" w:sz="4" w:space="0" w:color="auto"/>
              <w:bottom w:val="single" w:sz="4" w:space="0" w:color="auto"/>
              <w:right w:val="single" w:sz="4" w:space="0" w:color="auto"/>
            </w:tcBorders>
            <w:vAlign w:val="center"/>
          </w:tcPr>
          <w:p w14:paraId="41AD635B"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0,89 (0,73; 1,09)</w:t>
            </w:r>
          </w:p>
        </w:tc>
        <w:tc>
          <w:tcPr>
            <w:tcW w:w="1211" w:type="pct"/>
            <w:tcBorders>
              <w:top w:val="single" w:sz="4" w:space="0" w:color="auto"/>
              <w:left w:val="single" w:sz="4" w:space="0" w:color="auto"/>
              <w:bottom w:val="single" w:sz="4" w:space="0" w:color="auto"/>
              <w:right w:val="single" w:sz="4" w:space="0" w:color="auto"/>
            </w:tcBorders>
            <w:vAlign w:val="center"/>
          </w:tcPr>
          <w:p w14:paraId="33C97FF6"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0,65 (0,52; 0,81)</w:t>
            </w:r>
          </w:p>
        </w:tc>
        <w:tc>
          <w:tcPr>
            <w:tcW w:w="1212" w:type="pct"/>
            <w:tcBorders>
              <w:top w:val="single" w:sz="4" w:space="0" w:color="auto"/>
              <w:left w:val="single" w:sz="4" w:space="0" w:color="auto"/>
              <w:bottom w:val="single" w:sz="4" w:space="0" w:color="auto"/>
            </w:tcBorders>
            <w:vAlign w:val="center"/>
          </w:tcPr>
          <w:p w14:paraId="543EDB67" w14:textId="77777777" w:rsidR="00A30F42" w:rsidRPr="00F85CA6" w:rsidRDefault="00A30F42" w:rsidP="00A30F42">
            <w:pPr>
              <w:jc w:val="center"/>
              <w:rPr>
                <w:rFonts w:eastAsia="Calibri"/>
                <w:sz w:val="22"/>
                <w:szCs w:val="22"/>
                <w:lang w:val="sr-Latn-ME"/>
              </w:rPr>
            </w:pPr>
          </w:p>
        </w:tc>
      </w:tr>
      <w:tr w:rsidR="00A30F42" w:rsidRPr="00F85CA6" w14:paraId="42166A0B" w14:textId="77777777" w:rsidTr="001239C3">
        <w:trPr>
          <w:trHeight w:val="20"/>
        </w:trPr>
        <w:tc>
          <w:tcPr>
            <w:tcW w:w="1365" w:type="pct"/>
            <w:tcBorders>
              <w:top w:val="single" w:sz="4" w:space="0" w:color="auto"/>
              <w:bottom w:val="single" w:sz="4" w:space="0" w:color="auto"/>
              <w:right w:val="single" w:sz="4" w:space="0" w:color="auto"/>
            </w:tcBorders>
            <w:vAlign w:val="center"/>
          </w:tcPr>
          <w:p w14:paraId="1D389FBD" w14:textId="6B00C20E" w:rsidR="00A30F42" w:rsidRPr="00F85CA6" w:rsidRDefault="00A30F42" w:rsidP="00A30F42">
            <w:pPr>
              <w:jc w:val="center"/>
              <w:rPr>
                <w:rFonts w:eastAsia="Calibri"/>
                <w:sz w:val="22"/>
                <w:szCs w:val="22"/>
                <w:lang w:val="sr-Latn-ME"/>
              </w:rPr>
            </w:pPr>
            <w:r w:rsidRPr="00F85CA6">
              <w:rPr>
                <w:rFonts w:eastAsia="Calibri"/>
                <w:sz w:val="22"/>
                <w:szCs w:val="22"/>
                <w:lang w:val="sr-Latn-ME"/>
              </w:rPr>
              <w:t>p-vr</w:t>
            </w:r>
            <w:r w:rsidR="00A94651" w:rsidRPr="00F85CA6">
              <w:rPr>
                <w:rFonts w:eastAsia="Calibri"/>
                <w:sz w:val="22"/>
                <w:szCs w:val="22"/>
                <w:lang w:val="sr-Latn-ME"/>
              </w:rPr>
              <w:t>ij</w:t>
            </w:r>
            <w:r w:rsidRPr="00F85CA6">
              <w:rPr>
                <w:rFonts w:eastAsia="Calibri"/>
                <w:sz w:val="22"/>
                <w:szCs w:val="22"/>
                <w:lang w:val="sr-Latn-ME"/>
              </w:rPr>
              <w:t>ednost za superiornost</w:t>
            </w:r>
          </w:p>
        </w:tc>
        <w:tc>
          <w:tcPr>
            <w:tcW w:w="1211" w:type="pct"/>
            <w:tcBorders>
              <w:top w:val="single" w:sz="4" w:space="0" w:color="auto"/>
              <w:bottom w:val="single" w:sz="4" w:space="0" w:color="auto"/>
              <w:right w:val="single" w:sz="4" w:space="0" w:color="auto"/>
            </w:tcBorders>
            <w:vAlign w:val="center"/>
          </w:tcPr>
          <w:p w14:paraId="2054E9E2"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p=0,2721</w:t>
            </w:r>
          </w:p>
        </w:tc>
        <w:tc>
          <w:tcPr>
            <w:tcW w:w="1211" w:type="pct"/>
            <w:tcBorders>
              <w:top w:val="single" w:sz="4" w:space="0" w:color="auto"/>
              <w:left w:val="single" w:sz="4" w:space="0" w:color="auto"/>
              <w:bottom w:val="single" w:sz="4" w:space="0" w:color="auto"/>
              <w:right w:val="single" w:sz="4" w:space="0" w:color="auto"/>
            </w:tcBorders>
            <w:vAlign w:val="center"/>
          </w:tcPr>
          <w:p w14:paraId="749D3CDE"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p=0,0001</w:t>
            </w:r>
          </w:p>
        </w:tc>
        <w:tc>
          <w:tcPr>
            <w:tcW w:w="1212" w:type="pct"/>
            <w:tcBorders>
              <w:top w:val="single" w:sz="4" w:space="0" w:color="auto"/>
              <w:left w:val="single" w:sz="4" w:space="0" w:color="auto"/>
              <w:bottom w:val="single" w:sz="4" w:space="0" w:color="auto"/>
            </w:tcBorders>
            <w:vAlign w:val="center"/>
          </w:tcPr>
          <w:p w14:paraId="4F351293" w14:textId="77777777" w:rsidR="00A30F42" w:rsidRPr="00F85CA6" w:rsidRDefault="00A30F42" w:rsidP="00A30F42">
            <w:pPr>
              <w:jc w:val="center"/>
              <w:rPr>
                <w:rFonts w:eastAsia="Calibri"/>
                <w:sz w:val="22"/>
                <w:szCs w:val="22"/>
                <w:lang w:val="sr-Latn-ME"/>
              </w:rPr>
            </w:pPr>
          </w:p>
        </w:tc>
      </w:tr>
    </w:tbl>
    <w:bookmarkEnd w:id="21"/>
    <w:p w14:paraId="70EEFD43" w14:textId="77777777" w:rsidR="00A30F42" w:rsidRPr="00F85CA6" w:rsidRDefault="00A30F42" w:rsidP="00A30F42">
      <w:pPr>
        <w:jc w:val="both"/>
        <w:rPr>
          <w:rFonts w:eastAsia="Calibri"/>
          <w:b/>
          <w:bCs/>
          <w:sz w:val="22"/>
          <w:szCs w:val="22"/>
          <w:lang w:val="sr-Latn-ME" w:bidi="en-US"/>
        </w:rPr>
      </w:pPr>
      <w:r w:rsidRPr="00F85CA6">
        <w:rPr>
          <w:rFonts w:eastAsia="Calibri"/>
          <w:sz w:val="22"/>
          <w:szCs w:val="22"/>
          <w:lang w:val="sr-Latn-ME" w:bidi="en-US"/>
        </w:rPr>
        <w:t>% se odnosi na godišnju stopu događaja</w:t>
      </w:r>
    </w:p>
    <w:p w14:paraId="1B76E84E" w14:textId="77777777" w:rsidR="00A30F42" w:rsidRPr="00F85CA6" w:rsidRDefault="00A30F42" w:rsidP="00A30F42">
      <w:pPr>
        <w:jc w:val="both"/>
        <w:rPr>
          <w:rFonts w:eastAsia="Calibri"/>
          <w:sz w:val="22"/>
          <w:szCs w:val="22"/>
          <w:lang w:val="sr-Latn-ME" w:bidi="en-US"/>
        </w:rPr>
      </w:pPr>
    </w:p>
    <w:p w14:paraId="3BBAC0A4" w14:textId="77777777" w:rsidR="00A30F42" w:rsidRPr="00F85CA6" w:rsidRDefault="00A30F42" w:rsidP="00685312">
      <w:pPr>
        <w:jc w:val="center"/>
        <w:rPr>
          <w:rFonts w:eastAsia="Calibri"/>
          <w:b/>
          <w:bCs/>
          <w:sz w:val="22"/>
          <w:szCs w:val="22"/>
          <w:lang w:val="sr-Latn-ME" w:bidi="en-US"/>
        </w:rPr>
      </w:pPr>
      <w:r w:rsidRPr="00F85CA6">
        <w:rPr>
          <w:rFonts w:eastAsia="Calibri"/>
          <w:b/>
          <w:bCs/>
          <w:sz w:val="22"/>
          <w:szCs w:val="22"/>
          <w:lang w:val="sr-Latn-ME" w:bidi="en-US"/>
        </w:rPr>
        <w:t>Tabela 23: Analiza prve pojave ishemijskog ili hemoragijskog moždanog udara tokom perioda ispitivanja u studiji RE-LY.</w:t>
      </w:r>
    </w:p>
    <w:p w14:paraId="067D3849" w14:textId="77777777" w:rsidR="00A30F42" w:rsidRPr="00F85CA6" w:rsidRDefault="00A30F42" w:rsidP="00A30F42">
      <w:pPr>
        <w:jc w:val="both"/>
        <w:rPr>
          <w:rFonts w:eastAsia="Calibri"/>
          <w:b/>
          <w:bCs/>
          <w:sz w:val="22"/>
          <w:szCs w:val="22"/>
          <w:lang w:val="sr-Latn-ME" w:bidi="en-US"/>
        </w:rPr>
      </w:pPr>
    </w:p>
    <w:tbl>
      <w:tblPr>
        <w:tblW w:w="5000" w:type="pct"/>
        <w:tblBorders>
          <w:top w:val="single" w:sz="4" w:space="0" w:color="auto"/>
          <w:left w:val="single" w:sz="4" w:space="0" w:color="auto"/>
          <w:bottom w:val="single" w:sz="4" w:space="0" w:color="auto"/>
          <w:right w:val="single" w:sz="4" w:space="0" w:color="auto"/>
        </w:tblBorders>
        <w:tblCellMar>
          <w:left w:w="85" w:type="dxa"/>
          <w:right w:w="85" w:type="dxa"/>
        </w:tblCellMar>
        <w:tblLook w:val="0000" w:firstRow="0" w:lastRow="0" w:firstColumn="0" w:lastColumn="0" w:noHBand="0" w:noVBand="0"/>
      </w:tblPr>
      <w:tblGrid>
        <w:gridCol w:w="2433"/>
        <w:gridCol w:w="2210"/>
        <w:gridCol w:w="2210"/>
        <w:gridCol w:w="2210"/>
      </w:tblGrid>
      <w:tr w:rsidR="00A30F42" w:rsidRPr="00F85CA6" w14:paraId="583F7A7F" w14:textId="77777777" w:rsidTr="001239C3">
        <w:trPr>
          <w:trHeight w:val="20"/>
        </w:trPr>
        <w:tc>
          <w:tcPr>
            <w:tcW w:w="1343" w:type="pct"/>
            <w:tcBorders>
              <w:top w:val="single" w:sz="4" w:space="0" w:color="auto"/>
              <w:bottom w:val="single" w:sz="4" w:space="0" w:color="auto"/>
              <w:right w:val="single" w:sz="4" w:space="0" w:color="auto"/>
            </w:tcBorders>
            <w:vAlign w:val="center"/>
          </w:tcPr>
          <w:p w14:paraId="0CE500CB" w14:textId="77777777" w:rsidR="00A30F42" w:rsidRPr="00F85CA6" w:rsidRDefault="00A30F42" w:rsidP="00A30F42">
            <w:pPr>
              <w:rPr>
                <w:rFonts w:eastAsia="Calibri"/>
                <w:sz w:val="22"/>
                <w:szCs w:val="22"/>
                <w:lang w:val="sr-Latn-ME"/>
              </w:rPr>
            </w:pPr>
          </w:p>
        </w:tc>
        <w:tc>
          <w:tcPr>
            <w:tcW w:w="1219" w:type="pct"/>
            <w:tcBorders>
              <w:top w:val="single" w:sz="4" w:space="0" w:color="auto"/>
              <w:bottom w:val="single" w:sz="4" w:space="0" w:color="auto"/>
              <w:right w:val="single" w:sz="4" w:space="0" w:color="auto"/>
            </w:tcBorders>
            <w:vAlign w:val="center"/>
          </w:tcPr>
          <w:p w14:paraId="485C2F08" w14:textId="0269D7DF" w:rsidR="00A30F42" w:rsidRPr="00F85CA6" w:rsidRDefault="00A30F42" w:rsidP="00A30F42">
            <w:pPr>
              <w:jc w:val="center"/>
              <w:rPr>
                <w:rFonts w:eastAsia="Calibri"/>
                <w:sz w:val="22"/>
                <w:szCs w:val="22"/>
                <w:lang w:val="sr-Latn-ME"/>
              </w:rPr>
            </w:pPr>
            <w:r w:rsidRPr="00F85CA6">
              <w:rPr>
                <w:rFonts w:eastAsia="Calibri"/>
                <w:sz w:val="22"/>
                <w:szCs w:val="22"/>
                <w:lang w:val="sr-Latn-ME"/>
              </w:rPr>
              <w:t>Dabigatrane</w:t>
            </w:r>
            <w:r w:rsidR="001D548A" w:rsidRPr="00F85CA6">
              <w:rPr>
                <w:rFonts w:eastAsia="Calibri"/>
                <w:sz w:val="22"/>
                <w:szCs w:val="22"/>
                <w:lang w:val="sr-Latn-ME"/>
              </w:rPr>
              <w:t xml:space="preserve"> </w:t>
            </w:r>
            <w:r w:rsidRPr="00F85CA6">
              <w:rPr>
                <w:rFonts w:eastAsia="Calibri"/>
                <w:sz w:val="22"/>
                <w:szCs w:val="22"/>
                <w:lang w:val="sr-Latn-ME"/>
              </w:rPr>
              <w:t>teksilat 110 mg dva puta dnevno</w:t>
            </w:r>
          </w:p>
        </w:tc>
        <w:tc>
          <w:tcPr>
            <w:tcW w:w="1219" w:type="pct"/>
            <w:tcBorders>
              <w:top w:val="single" w:sz="4" w:space="0" w:color="auto"/>
              <w:left w:val="single" w:sz="4" w:space="0" w:color="auto"/>
              <w:bottom w:val="single" w:sz="4" w:space="0" w:color="auto"/>
              <w:right w:val="single" w:sz="4" w:space="0" w:color="auto"/>
            </w:tcBorders>
            <w:vAlign w:val="center"/>
          </w:tcPr>
          <w:p w14:paraId="13852418" w14:textId="56E83220" w:rsidR="00A30F42" w:rsidRPr="00F85CA6" w:rsidRDefault="00A30F42" w:rsidP="00A30F42">
            <w:pPr>
              <w:jc w:val="center"/>
              <w:rPr>
                <w:rFonts w:eastAsia="Calibri"/>
                <w:sz w:val="22"/>
                <w:szCs w:val="22"/>
                <w:lang w:val="sr-Latn-ME"/>
              </w:rPr>
            </w:pPr>
            <w:r w:rsidRPr="00F85CA6">
              <w:rPr>
                <w:rFonts w:eastAsia="Calibri"/>
                <w:sz w:val="22"/>
                <w:szCs w:val="22"/>
                <w:lang w:val="sr-Latn-ME"/>
              </w:rPr>
              <w:t>Dabigatrane</w:t>
            </w:r>
            <w:r w:rsidR="001D548A" w:rsidRPr="00F85CA6">
              <w:rPr>
                <w:rFonts w:eastAsia="Calibri"/>
                <w:sz w:val="22"/>
                <w:szCs w:val="22"/>
                <w:lang w:val="sr-Latn-ME"/>
              </w:rPr>
              <w:t xml:space="preserve"> </w:t>
            </w:r>
            <w:r w:rsidRPr="00F85CA6">
              <w:rPr>
                <w:rFonts w:eastAsia="Calibri"/>
                <w:sz w:val="22"/>
                <w:szCs w:val="22"/>
                <w:lang w:val="sr-Latn-ME"/>
              </w:rPr>
              <w:t>teksilat 150</w:t>
            </w:r>
            <w:bookmarkStart w:id="22" w:name="OLE_LINK9"/>
            <w:r w:rsidRPr="00F85CA6">
              <w:rPr>
                <w:rFonts w:eastAsia="Calibri"/>
                <w:sz w:val="22"/>
                <w:szCs w:val="22"/>
                <w:lang w:val="sr-Latn-ME"/>
              </w:rPr>
              <w:t> </w:t>
            </w:r>
            <w:bookmarkEnd w:id="22"/>
            <w:r w:rsidRPr="00F85CA6">
              <w:rPr>
                <w:rFonts w:eastAsia="Calibri"/>
                <w:sz w:val="22"/>
                <w:szCs w:val="22"/>
                <w:lang w:val="sr-Latn-ME"/>
              </w:rPr>
              <w:t>mg dva puta dnevno</w:t>
            </w:r>
          </w:p>
        </w:tc>
        <w:tc>
          <w:tcPr>
            <w:tcW w:w="1219" w:type="pct"/>
            <w:tcBorders>
              <w:top w:val="single" w:sz="4" w:space="0" w:color="auto"/>
              <w:left w:val="single" w:sz="4" w:space="0" w:color="auto"/>
              <w:bottom w:val="single" w:sz="4" w:space="0" w:color="auto"/>
            </w:tcBorders>
            <w:vAlign w:val="center"/>
          </w:tcPr>
          <w:p w14:paraId="75C66C8E"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Varfarin</w:t>
            </w:r>
          </w:p>
        </w:tc>
      </w:tr>
      <w:tr w:rsidR="00A30F42" w:rsidRPr="00F85CA6" w14:paraId="0755BDFD" w14:textId="77777777" w:rsidTr="001239C3">
        <w:trPr>
          <w:trHeight w:val="20"/>
        </w:trPr>
        <w:tc>
          <w:tcPr>
            <w:tcW w:w="1343" w:type="pct"/>
            <w:tcBorders>
              <w:top w:val="single" w:sz="4" w:space="0" w:color="auto"/>
              <w:bottom w:val="single" w:sz="4" w:space="0" w:color="auto"/>
              <w:right w:val="single" w:sz="4" w:space="0" w:color="auto"/>
            </w:tcBorders>
            <w:vAlign w:val="center"/>
          </w:tcPr>
          <w:p w14:paraId="164B3E2B" w14:textId="77777777" w:rsidR="00A30F42" w:rsidRPr="00F85CA6" w:rsidRDefault="00A30F42" w:rsidP="00A30F42">
            <w:pPr>
              <w:rPr>
                <w:rFonts w:eastAsia="Calibri"/>
                <w:sz w:val="22"/>
                <w:szCs w:val="22"/>
                <w:lang w:val="sr-Latn-ME"/>
              </w:rPr>
            </w:pPr>
            <w:r w:rsidRPr="00F85CA6">
              <w:rPr>
                <w:rFonts w:eastAsia="Calibri"/>
                <w:sz w:val="22"/>
                <w:szCs w:val="22"/>
                <w:lang w:val="sr-Latn-ME"/>
              </w:rPr>
              <w:t>Randomizovani ispitanici</w:t>
            </w:r>
          </w:p>
        </w:tc>
        <w:tc>
          <w:tcPr>
            <w:tcW w:w="1219" w:type="pct"/>
            <w:tcBorders>
              <w:top w:val="single" w:sz="4" w:space="0" w:color="auto"/>
              <w:bottom w:val="single" w:sz="4" w:space="0" w:color="auto"/>
              <w:right w:val="single" w:sz="4" w:space="0" w:color="auto"/>
            </w:tcBorders>
            <w:vAlign w:val="center"/>
          </w:tcPr>
          <w:p w14:paraId="5F9CBDE7"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6015</w:t>
            </w:r>
          </w:p>
        </w:tc>
        <w:tc>
          <w:tcPr>
            <w:tcW w:w="1219" w:type="pct"/>
            <w:tcBorders>
              <w:top w:val="single" w:sz="4" w:space="0" w:color="auto"/>
              <w:left w:val="single" w:sz="4" w:space="0" w:color="auto"/>
              <w:bottom w:val="single" w:sz="4" w:space="0" w:color="auto"/>
              <w:right w:val="single" w:sz="4" w:space="0" w:color="auto"/>
            </w:tcBorders>
            <w:vAlign w:val="center"/>
          </w:tcPr>
          <w:p w14:paraId="1B2E2F4C"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6076</w:t>
            </w:r>
          </w:p>
        </w:tc>
        <w:tc>
          <w:tcPr>
            <w:tcW w:w="1219" w:type="pct"/>
            <w:tcBorders>
              <w:top w:val="single" w:sz="4" w:space="0" w:color="auto"/>
              <w:left w:val="single" w:sz="4" w:space="0" w:color="auto"/>
              <w:bottom w:val="single" w:sz="4" w:space="0" w:color="auto"/>
            </w:tcBorders>
            <w:vAlign w:val="center"/>
          </w:tcPr>
          <w:p w14:paraId="55D92B0F"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6022</w:t>
            </w:r>
          </w:p>
        </w:tc>
      </w:tr>
      <w:tr w:rsidR="00A30F42" w:rsidRPr="00F85CA6" w14:paraId="13FC304C" w14:textId="77777777" w:rsidTr="001239C3">
        <w:trPr>
          <w:trHeight w:val="20"/>
        </w:trPr>
        <w:tc>
          <w:tcPr>
            <w:tcW w:w="1343" w:type="pct"/>
            <w:tcBorders>
              <w:top w:val="single" w:sz="4" w:space="0" w:color="auto"/>
              <w:bottom w:val="single" w:sz="4" w:space="0" w:color="auto"/>
              <w:right w:val="single" w:sz="4" w:space="0" w:color="auto"/>
            </w:tcBorders>
            <w:vAlign w:val="center"/>
          </w:tcPr>
          <w:p w14:paraId="7F6636B9" w14:textId="77777777" w:rsidR="00A30F42" w:rsidRPr="00F85CA6" w:rsidRDefault="00A30F42" w:rsidP="00A30F42">
            <w:pPr>
              <w:rPr>
                <w:rFonts w:eastAsia="Calibri"/>
                <w:sz w:val="22"/>
                <w:szCs w:val="22"/>
                <w:lang w:val="sr-Latn-ME"/>
              </w:rPr>
            </w:pPr>
            <w:r w:rsidRPr="00F85CA6">
              <w:rPr>
                <w:rFonts w:eastAsia="Calibri"/>
                <w:sz w:val="22"/>
                <w:szCs w:val="22"/>
                <w:lang w:val="sr-Latn-ME"/>
              </w:rPr>
              <w:t xml:space="preserve">Moždani udar </w:t>
            </w:r>
          </w:p>
        </w:tc>
        <w:tc>
          <w:tcPr>
            <w:tcW w:w="1219" w:type="pct"/>
            <w:tcBorders>
              <w:top w:val="single" w:sz="4" w:space="0" w:color="auto"/>
              <w:bottom w:val="single" w:sz="4" w:space="0" w:color="auto"/>
              <w:right w:val="single" w:sz="4" w:space="0" w:color="auto"/>
            </w:tcBorders>
            <w:vAlign w:val="center"/>
          </w:tcPr>
          <w:p w14:paraId="0F4E50AB" w14:textId="77777777" w:rsidR="00A30F42" w:rsidRPr="00F85CA6" w:rsidRDefault="00A30F42" w:rsidP="00A30F42">
            <w:pPr>
              <w:jc w:val="center"/>
              <w:rPr>
                <w:rFonts w:eastAsia="Calibri"/>
                <w:sz w:val="22"/>
                <w:szCs w:val="22"/>
                <w:lang w:val="sr-Latn-ME"/>
              </w:rPr>
            </w:pPr>
          </w:p>
        </w:tc>
        <w:tc>
          <w:tcPr>
            <w:tcW w:w="1219" w:type="pct"/>
            <w:tcBorders>
              <w:top w:val="single" w:sz="4" w:space="0" w:color="auto"/>
              <w:left w:val="single" w:sz="4" w:space="0" w:color="auto"/>
              <w:bottom w:val="single" w:sz="4" w:space="0" w:color="auto"/>
              <w:right w:val="single" w:sz="4" w:space="0" w:color="auto"/>
            </w:tcBorders>
            <w:vAlign w:val="center"/>
          </w:tcPr>
          <w:p w14:paraId="4A797488" w14:textId="77777777" w:rsidR="00A30F42" w:rsidRPr="00F85CA6" w:rsidRDefault="00A30F42" w:rsidP="00A30F42">
            <w:pPr>
              <w:jc w:val="center"/>
              <w:rPr>
                <w:rFonts w:eastAsia="Calibri"/>
                <w:sz w:val="22"/>
                <w:szCs w:val="22"/>
                <w:lang w:val="sr-Latn-ME"/>
              </w:rPr>
            </w:pPr>
          </w:p>
        </w:tc>
        <w:tc>
          <w:tcPr>
            <w:tcW w:w="1219" w:type="pct"/>
            <w:tcBorders>
              <w:top w:val="single" w:sz="4" w:space="0" w:color="auto"/>
              <w:left w:val="single" w:sz="4" w:space="0" w:color="auto"/>
              <w:bottom w:val="single" w:sz="4" w:space="0" w:color="auto"/>
            </w:tcBorders>
            <w:vAlign w:val="center"/>
          </w:tcPr>
          <w:p w14:paraId="30785907" w14:textId="77777777" w:rsidR="00A30F42" w:rsidRPr="00F85CA6" w:rsidRDefault="00A30F42" w:rsidP="00A30F42">
            <w:pPr>
              <w:jc w:val="center"/>
              <w:rPr>
                <w:rFonts w:eastAsia="Calibri"/>
                <w:sz w:val="22"/>
                <w:szCs w:val="22"/>
                <w:lang w:val="sr-Latn-ME"/>
              </w:rPr>
            </w:pPr>
          </w:p>
        </w:tc>
      </w:tr>
      <w:tr w:rsidR="00A30F42" w:rsidRPr="00F85CA6" w14:paraId="7CF83893" w14:textId="77777777" w:rsidTr="001239C3">
        <w:trPr>
          <w:trHeight w:val="20"/>
        </w:trPr>
        <w:tc>
          <w:tcPr>
            <w:tcW w:w="1343" w:type="pct"/>
            <w:tcBorders>
              <w:top w:val="single" w:sz="4" w:space="0" w:color="auto"/>
              <w:bottom w:val="single" w:sz="4" w:space="0" w:color="auto"/>
              <w:right w:val="single" w:sz="4" w:space="0" w:color="auto"/>
            </w:tcBorders>
            <w:vAlign w:val="center"/>
          </w:tcPr>
          <w:p w14:paraId="4CD5836A" w14:textId="77777777" w:rsidR="00A30F42" w:rsidRPr="00F85CA6" w:rsidRDefault="00A30F42" w:rsidP="00A30F42">
            <w:pPr>
              <w:rPr>
                <w:rFonts w:eastAsia="Calibri"/>
                <w:sz w:val="22"/>
                <w:szCs w:val="22"/>
                <w:lang w:val="sr-Latn-ME"/>
              </w:rPr>
            </w:pPr>
            <w:r w:rsidRPr="00F85CA6">
              <w:rPr>
                <w:rFonts w:eastAsia="Calibri"/>
                <w:sz w:val="22"/>
                <w:szCs w:val="22"/>
                <w:lang w:val="sr-Latn-ME"/>
              </w:rPr>
              <w:t xml:space="preserve">     Incidence (%)</w:t>
            </w:r>
          </w:p>
        </w:tc>
        <w:tc>
          <w:tcPr>
            <w:tcW w:w="1219" w:type="pct"/>
            <w:tcBorders>
              <w:top w:val="single" w:sz="4" w:space="0" w:color="auto"/>
              <w:bottom w:val="single" w:sz="4" w:space="0" w:color="auto"/>
              <w:right w:val="single" w:sz="4" w:space="0" w:color="auto"/>
            </w:tcBorders>
            <w:vAlign w:val="center"/>
          </w:tcPr>
          <w:p w14:paraId="361F4F00"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171 (1,44)</w:t>
            </w:r>
          </w:p>
        </w:tc>
        <w:tc>
          <w:tcPr>
            <w:tcW w:w="1219" w:type="pct"/>
            <w:tcBorders>
              <w:top w:val="single" w:sz="4" w:space="0" w:color="auto"/>
              <w:left w:val="single" w:sz="4" w:space="0" w:color="auto"/>
              <w:bottom w:val="single" w:sz="4" w:space="0" w:color="auto"/>
              <w:right w:val="single" w:sz="4" w:space="0" w:color="auto"/>
            </w:tcBorders>
            <w:vAlign w:val="center"/>
          </w:tcPr>
          <w:p w14:paraId="6A269681"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123 (1,02)</w:t>
            </w:r>
          </w:p>
        </w:tc>
        <w:tc>
          <w:tcPr>
            <w:tcW w:w="1219" w:type="pct"/>
            <w:tcBorders>
              <w:top w:val="single" w:sz="4" w:space="0" w:color="auto"/>
              <w:left w:val="single" w:sz="4" w:space="0" w:color="auto"/>
              <w:bottom w:val="single" w:sz="4" w:space="0" w:color="auto"/>
            </w:tcBorders>
            <w:vAlign w:val="center"/>
          </w:tcPr>
          <w:p w14:paraId="6568B518"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187 (1,59)</w:t>
            </w:r>
          </w:p>
        </w:tc>
      </w:tr>
      <w:tr w:rsidR="00A30F42" w:rsidRPr="00F85CA6" w14:paraId="25428754" w14:textId="77777777" w:rsidTr="001239C3">
        <w:trPr>
          <w:trHeight w:val="20"/>
        </w:trPr>
        <w:tc>
          <w:tcPr>
            <w:tcW w:w="1343" w:type="pct"/>
            <w:tcBorders>
              <w:top w:val="single" w:sz="4" w:space="0" w:color="auto"/>
              <w:bottom w:val="single" w:sz="4" w:space="0" w:color="auto"/>
              <w:right w:val="single" w:sz="4" w:space="0" w:color="auto"/>
            </w:tcBorders>
            <w:vAlign w:val="center"/>
          </w:tcPr>
          <w:p w14:paraId="599F5DF4" w14:textId="77777777" w:rsidR="00A30F42" w:rsidRPr="00F85CA6" w:rsidRDefault="00A30F42" w:rsidP="00A30F42">
            <w:pPr>
              <w:jc w:val="center"/>
              <w:rPr>
                <w:rFonts w:eastAsia="Calibri"/>
                <w:sz w:val="22"/>
                <w:szCs w:val="22"/>
                <w:lang w:val="sr-Latn-ME"/>
              </w:rPr>
            </w:pPr>
            <w:r w:rsidRPr="00F85CA6">
              <w:rPr>
                <w:rFonts w:eastAsia="Calibri"/>
                <w:i/>
                <w:sz w:val="22"/>
                <w:szCs w:val="22"/>
                <w:lang w:val="sr-Latn-ME"/>
              </w:rPr>
              <w:lastRenderedPageBreak/>
              <w:t>Hazard ratio</w:t>
            </w:r>
            <w:r w:rsidRPr="00F85CA6">
              <w:rPr>
                <w:rFonts w:eastAsia="Calibri"/>
                <w:sz w:val="22"/>
                <w:szCs w:val="22"/>
                <w:lang w:val="sr-Latn-ME"/>
              </w:rPr>
              <w:t xml:space="preserve"> prema varfarinu (95% CI)</w:t>
            </w:r>
          </w:p>
        </w:tc>
        <w:tc>
          <w:tcPr>
            <w:tcW w:w="1219" w:type="pct"/>
            <w:tcBorders>
              <w:top w:val="single" w:sz="4" w:space="0" w:color="auto"/>
              <w:bottom w:val="single" w:sz="4" w:space="0" w:color="auto"/>
              <w:right w:val="single" w:sz="4" w:space="0" w:color="auto"/>
            </w:tcBorders>
            <w:vAlign w:val="center"/>
          </w:tcPr>
          <w:p w14:paraId="51E451E6"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0,91 (0,74; 1,12)</w:t>
            </w:r>
          </w:p>
        </w:tc>
        <w:tc>
          <w:tcPr>
            <w:tcW w:w="1219" w:type="pct"/>
            <w:tcBorders>
              <w:top w:val="single" w:sz="4" w:space="0" w:color="auto"/>
              <w:left w:val="single" w:sz="4" w:space="0" w:color="auto"/>
              <w:bottom w:val="single" w:sz="4" w:space="0" w:color="auto"/>
              <w:right w:val="single" w:sz="4" w:space="0" w:color="auto"/>
            </w:tcBorders>
            <w:vAlign w:val="center"/>
          </w:tcPr>
          <w:p w14:paraId="3F26D2D9"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0,64 (0,51; 0,81)</w:t>
            </w:r>
          </w:p>
        </w:tc>
        <w:tc>
          <w:tcPr>
            <w:tcW w:w="1219" w:type="pct"/>
            <w:tcBorders>
              <w:top w:val="single" w:sz="4" w:space="0" w:color="auto"/>
              <w:left w:val="single" w:sz="4" w:space="0" w:color="auto"/>
              <w:bottom w:val="single" w:sz="4" w:space="0" w:color="auto"/>
            </w:tcBorders>
            <w:vAlign w:val="center"/>
          </w:tcPr>
          <w:p w14:paraId="4F73B70F" w14:textId="77777777" w:rsidR="00A30F42" w:rsidRPr="00F85CA6" w:rsidRDefault="00A30F42" w:rsidP="00A30F42">
            <w:pPr>
              <w:jc w:val="center"/>
              <w:rPr>
                <w:rFonts w:eastAsia="Calibri"/>
                <w:sz w:val="22"/>
                <w:szCs w:val="22"/>
                <w:lang w:val="sr-Latn-ME"/>
              </w:rPr>
            </w:pPr>
          </w:p>
        </w:tc>
      </w:tr>
      <w:tr w:rsidR="00A30F42" w:rsidRPr="00F85CA6" w14:paraId="68165EB2" w14:textId="77777777" w:rsidTr="001239C3">
        <w:trPr>
          <w:trHeight w:val="20"/>
        </w:trPr>
        <w:tc>
          <w:tcPr>
            <w:tcW w:w="1343" w:type="pct"/>
            <w:tcBorders>
              <w:top w:val="single" w:sz="4" w:space="0" w:color="auto"/>
              <w:bottom w:val="single" w:sz="4" w:space="0" w:color="auto"/>
              <w:right w:val="single" w:sz="4" w:space="0" w:color="auto"/>
            </w:tcBorders>
            <w:vAlign w:val="center"/>
          </w:tcPr>
          <w:p w14:paraId="044E62EF" w14:textId="7A8A38C1" w:rsidR="00A30F42" w:rsidRPr="00F85CA6" w:rsidRDefault="00A30F42" w:rsidP="00A30F42">
            <w:pPr>
              <w:rPr>
                <w:rFonts w:eastAsia="Calibri"/>
                <w:sz w:val="22"/>
                <w:szCs w:val="22"/>
                <w:lang w:val="sr-Latn-ME"/>
              </w:rPr>
            </w:pPr>
            <w:r w:rsidRPr="00F85CA6">
              <w:rPr>
                <w:rFonts w:eastAsia="Calibri"/>
                <w:sz w:val="22"/>
                <w:szCs w:val="22"/>
                <w:lang w:val="sr-Latn-ME"/>
              </w:rPr>
              <w:t xml:space="preserve">     p-vr</w:t>
            </w:r>
            <w:r w:rsidR="00A94651" w:rsidRPr="00F85CA6">
              <w:rPr>
                <w:rFonts w:eastAsia="Calibri"/>
                <w:sz w:val="22"/>
                <w:szCs w:val="22"/>
                <w:lang w:val="sr-Latn-ME"/>
              </w:rPr>
              <w:t>ij</w:t>
            </w:r>
            <w:r w:rsidRPr="00F85CA6">
              <w:rPr>
                <w:rFonts w:eastAsia="Calibri"/>
                <w:sz w:val="22"/>
                <w:szCs w:val="22"/>
                <w:lang w:val="sr-Latn-ME"/>
              </w:rPr>
              <w:t>ednost</w:t>
            </w:r>
          </w:p>
        </w:tc>
        <w:tc>
          <w:tcPr>
            <w:tcW w:w="1219" w:type="pct"/>
            <w:tcBorders>
              <w:top w:val="single" w:sz="4" w:space="0" w:color="auto"/>
              <w:bottom w:val="single" w:sz="4" w:space="0" w:color="auto"/>
              <w:right w:val="single" w:sz="4" w:space="0" w:color="auto"/>
            </w:tcBorders>
            <w:vAlign w:val="center"/>
          </w:tcPr>
          <w:p w14:paraId="4E360DE4"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0,3553</w:t>
            </w:r>
          </w:p>
        </w:tc>
        <w:tc>
          <w:tcPr>
            <w:tcW w:w="1219" w:type="pct"/>
            <w:tcBorders>
              <w:top w:val="single" w:sz="4" w:space="0" w:color="auto"/>
              <w:left w:val="single" w:sz="4" w:space="0" w:color="auto"/>
              <w:bottom w:val="single" w:sz="4" w:space="0" w:color="auto"/>
              <w:right w:val="single" w:sz="4" w:space="0" w:color="auto"/>
            </w:tcBorders>
            <w:vAlign w:val="center"/>
          </w:tcPr>
          <w:p w14:paraId="0ABFBDF8"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0,0001</w:t>
            </w:r>
          </w:p>
        </w:tc>
        <w:tc>
          <w:tcPr>
            <w:tcW w:w="1219" w:type="pct"/>
            <w:tcBorders>
              <w:top w:val="single" w:sz="4" w:space="0" w:color="auto"/>
              <w:left w:val="single" w:sz="4" w:space="0" w:color="auto"/>
              <w:bottom w:val="single" w:sz="4" w:space="0" w:color="auto"/>
            </w:tcBorders>
            <w:vAlign w:val="center"/>
          </w:tcPr>
          <w:p w14:paraId="78E79A46" w14:textId="77777777" w:rsidR="00A30F42" w:rsidRPr="00F85CA6" w:rsidRDefault="00A30F42" w:rsidP="00A30F42">
            <w:pPr>
              <w:jc w:val="center"/>
              <w:rPr>
                <w:rFonts w:eastAsia="Calibri"/>
                <w:sz w:val="22"/>
                <w:szCs w:val="22"/>
                <w:lang w:val="sr-Latn-ME"/>
              </w:rPr>
            </w:pPr>
          </w:p>
        </w:tc>
      </w:tr>
      <w:tr w:rsidR="00A30F42" w:rsidRPr="00F85CA6" w14:paraId="52920C7E" w14:textId="77777777" w:rsidTr="001239C3">
        <w:trPr>
          <w:trHeight w:val="20"/>
        </w:trPr>
        <w:tc>
          <w:tcPr>
            <w:tcW w:w="1343" w:type="pct"/>
            <w:tcBorders>
              <w:top w:val="single" w:sz="4" w:space="0" w:color="auto"/>
              <w:bottom w:val="single" w:sz="4" w:space="0" w:color="auto"/>
              <w:right w:val="single" w:sz="4" w:space="0" w:color="auto"/>
            </w:tcBorders>
            <w:vAlign w:val="center"/>
          </w:tcPr>
          <w:p w14:paraId="3D3BC8D4" w14:textId="77777777" w:rsidR="00A30F42" w:rsidRPr="00F85CA6" w:rsidRDefault="00A30F42" w:rsidP="00A30F42">
            <w:pPr>
              <w:rPr>
                <w:rFonts w:eastAsia="Calibri"/>
                <w:sz w:val="22"/>
                <w:szCs w:val="22"/>
                <w:lang w:val="sr-Latn-ME"/>
              </w:rPr>
            </w:pPr>
            <w:r w:rsidRPr="00F85CA6">
              <w:rPr>
                <w:rFonts w:eastAsia="Calibri"/>
                <w:sz w:val="22"/>
                <w:szCs w:val="22"/>
                <w:lang w:val="sr-Latn-ME"/>
              </w:rPr>
              <w:t>Sistemska embolija</w:t>
            </w:r>
          </w:p>
        </w:tc>
        <w:tc>
          <w:tcPr>
            <w:tcW w:w="1219" w:type="pct"/>
            <w:tcBorders>
              <w:top w:val="single" w:sz="4" w:space="0" w:color="auto"/>
              <w:bottom w:val="single" w:sz="4" w:space="0" w:color="auto"/>
              <w:right w:val="single" w:sz="4" w:space="0" w:color="auto"/>
            </w:tcBorders>
            <w:vAlign w:val="center"/>
          </w:tcPr>
          <w:p w14:paraId="399431A7" w14:textId="77777777" w:rsidR="00A30F42" w:rsidRPr="00F85CA6" w:rsidRDefault="00A30F42" w:rsidP="00A30F42">
            <w:pPr>
              <w:jc w:val="center"/>
              <w:rPr>
                <w:rFonts w:eastAsia="Calibri"/>
                <w:sz w:val="22"/>
                <w:szCs w:val="22"/>
                <w:lang w:val="sr-Latn-ME"/>
              </w:rPr>
            </w:pPr>
          </w:p>
        </w:tc>
        <w:tc>
          <w:tcPr>
            <w:tcW w:w="1219" w:type="pct"/>
            <w:tcBorders>
              <w:top w:val="single" w:sz="4" w:space="0" w:color="auto"/>
              <w:left w:val="single" w:sz="4" w:space="0" w:color="auto"/>
              <w:bottom w:val="single" w:sz="4" w:space="0" w:color="auto"/>
              <w:right w:val="single" w:sz="4" w:space="0" w:color="auto"/>
            </w:tcBorders>
            <w:vAlign w:val="center"/>
          </w:tcPr>
          <w:p w14:paraId="054195D5" w14:textId="77777777" w:rsidR="00A30F42" w:rsidRPr="00F85CA6" w:rsidRDefault="00A30F42" w:rsidP="00A30F42">
            <w:pPr>
              <w:jc w:val="center"/>
              <w:rPr>
                <w:rFonts w:eastAsia="Calibri"/>
                <w:sz w:val="22"/>
                <w:szCs w:val="22"/>
                <w:lang w:val="sr-Latn-ME"/>
              </w:rPr>
            </w:pPr>
          </w:p>
        </w:tc>
        <w:tc>
          <w:tcPr>
            <w:tcW w:w="1219" w:type="pct"/>
            <w:tcBorders>
              <w:top w:val="single" w:sz="4" w:space="0" w:color="auto"/>
              <w:left w:val="single" w:sz="4" w:space="0" w:color="auto"/>
              <w:bottom w:val="single" w:sz="4" w:space="0" w:color="auto"/>
            </w:tcBorders>
            <w:vAlign w:val="center"/>
          </w:tcPr>
          <w:p w14:paraId="401DCEC4" w14:textId="77777777" w:rsidR="00A30F42" w:rsidRPr="00F85CA6" w:rsidRDefault="00A30F42" w:rsidP="00A30F42">
            <w:pPr>
              <w:jc w:val="center"/>
              <w:rPr>
                <w:rFonts w:eastAsia="Calibri"/>
                <w:sz w:val="22"/>
                <w:szCs w:val="22"/>
                <w:lang w:val="sr-Latn-ME"/>
              </w:rPr>
            </w:pPr>
          </w:p>
        </w:tc>
      </w:tr>
      <w:tr w:rsidR="00A30F42" w:rsidRPr="00F85CA6" w14:paraId="7885135E" w14:textId="77777777" w:rsidTr="001239C3">
        <w:trPr>
          <w:trHeight w:val="20"/>
        </w:trPr>
        <w:tc>
          <w:tcPr>
            <w:tcW w:w="1343" w:type="pct"/>
            <w:tcBorders>
              <w:top w:val="single" w:sz="4" w:space="0" w:color="auto"/>
              <w:bottom w:val="single" w:sz="4" w:space="0" w:color="auto"/>
              <w:right w:val="single" w:sz="4" w:space="0" w:color="auto"/>
            </w:tcBorders>
            <w:vAlign w:val="center"/>
          </w:tcPr>
          <w:p w14:paraId="47F62F11" w14:textId="77777777" w:rsidR="00A30F42" w:rsidRPr="00F85CA6" w:rsidRDefault="00A30F42" w:rsidP="00A30F42">
            <w:pPr>
              <w:rPr>
                <w:rFonts w:eastAsia="Calibri"/>
                <w:sz w:val="22"/>
                <w:szCs w:val="22"/>
                <w:lang w:val="sr-Latn-ME"/>
              </w:rPr>
            </w:pPr>
            <w:r w:rsidRPr="00F85CA6">
              <w:rPr>
                <w:rFonts w:eastAsia="Calibri"/>
                <w:sz w:val="22"/>
                <w:szCs w:val="22"/>
                <w:lang w:val="sr-Latn-ME"/>
              </w:rPr>
              <w:t xml:space="preserve">     Incidence (%)</w:t>
            </w:r>
          </w:p>
        </w:tc>
        <w:tc>
          <w:tcPr>
            <w:tcW w:w="1219" w:type="pct"/>
            <w:tcBorders>
              <w:top w:val="single" w:sz="4" w:space="0" w:color="auto"/>
              <w:bottom w:val="single" w:sz="4" w:space="0" w:color="auto"/>
              <w:right w:val="single" w:sz="4" w:space="0" w:color="auto"/>
            </w:tcBorders>
            <w:vAlign w:val="center"/>
          </w:tcPr>
          <w:p w14:paraId="4A786B3A"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15 (0,13)</w:t>
            </w:r>
          </w:p>
        </w:tc>
        <w:tc>
          <w:tcPr>
            <w:tcW w:w="1219" w:type="pct"/>
            <w:tcBorders>
              <w:top w:val="single" w:sz="4" w:space="0" w:color="auto"/>
              <w:left w:val="single" w:sz="4" w:space="0" w:color="auto"/>
              <w:bottom w:val="single" w:sz="4" w:space="0" w:color="auto"/>
              <w:right w:val="single" w:sz="4" w:space="0" w:color="auto"/>
            </w:tcBorders>
            <w:vAlign w:val="center"/>
          </w:tcPr>
          <w:p w14:paraId="08B677ED"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13 (0,11)</w:t>
            </w:r>
          </w:p>
        </w:tc>
        <w:tc>
          <w:tcPr>
            <w:tcW w:w="1219" w:type="pct"/>
            <w:tcBorders>
              <w:top w:val="single" w:sz="4" w:space="0" w:color="auto"/>
              <w:left w:val="single" w:sz="4" w:space="0" w:color="auto"/>
              <w:bottom w:val="single" w:sz="4" w:space="0" w:color="auto"/>
            </w:tcBorders>
            <w:vAlign w:val="center"/>
          </w:tcPr>
          <w:p w14:paraId="5B236922"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21 (0,18)</w:t>
            </w:r>
          </w:p>
        </w:tc>
      </w:tr>
      <w:tr w:rsidR="00A30F42" w:rsidRPr="00F85CA6" w14:paraId="78D57C58" w14:textId="77777777" w:rsidTr="001239C3">
        <w:trPr>
          <w:trHeight w:val="20"/>
        </w:trPr>
        <w:tc>
          <w:tcPr>
            <w:tcW w:w="1343" w:type="pct"/>
            <w:tcBorders>
              <w:top w:val="single" w:sz="4" w:space="0" w:color="auto"/>
              <w:bottom w:val="single" w:sz="4" w:space="0" w:color="auto"/>
              <w:right w:val="single" w:sz="4" w:space="0" w:color="auto"/>
            </w:tcBorders>
            <w:vAlign w:val="center"/>
          </w:tcPr>
          <w:p w14:paraId="2444EB12" w14:textId="77777777" w:rsidR="00A30F42" w:rsidRPr="00F85CA6" w:rsidRDefault="00A30F42" w:rsidP="00A30F42">
            <w:pPr>
              <w:jc w:val="center"/>
              <w:rPr>
                <w:rFonts w:eastAsia="Calibri"/>
                <w:sz w:val="22"/>
                <w:szCs w:val="22"/>
                <w:lang w:val="sr-Latn-ME"/>
              </w:rPr>
            </w:pPr>
            <w:r w:rsidRPr="00F85CA6">
              <w:rPr>
                <w:rFonts w:eastAsia="Calibri"/>
                <w:i/>
                <w:sz w:val="22"/>
                <w:szCs w:val="22"/>
                <w:lang w:val="sr-Latn-ME"/>
              </w:rPr>
              <w:t>Hazard ratio</w:t>
            </w:r>
            <w:r w:rsidRPr="00F85CA6">
              <w:rPr>
                <w:rFonts w:eastAsia="Calibri"/>
                <w:sz w:val="22"/>
                <w:szCs w:val="22"/>
                <w:lang w:val="sr-Latn-ME"/>
              </w:rPr>
              <w:t xml:space="preserve"> prema varfarinu (95% CI)</w:t>
            </w:r>
          </w:p>
        </w:tc>
        <w:tc>
          <w:tcPr>
            <w:tcW w:w="1219" w:type="pct"/>
            <w:tcBorders>
              <w:top w:val="single" w:sz="4" w:space="0" w:color="auto"/>
              <w:bottom w:val="single" w:sz="4" w:space="0" w:color="auto"/>
              <w:right w:val="single" w:sz="4" w:space="0" w:color="auto"/>
            </w:tcBorders>
            <w:vAlign w:val="center"/>
          </w:tcPr>
          <w:p w14:paraId="02FAD700"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0,71 (0,37; 1,38)</w:t>
            </w:r>
          </w:p>
        </w:tc>
        <w:tc>
          <w:tcPr>
            <w:tcW w:w="1219" w:type="pct"/>
            <w:tcBorders>
              <w:top w:val="single" w:sz="4" w:space="0" w:color="auto"/>
              <w:left w:val="single" w:sz="4" w:space="0" w:color="auto"/>
              <w:bottom w:val="single" w:sz="4" w:space="0" w:color="auto"/>
              <w:right w:val="single" w:sz="4" w:space="0" w:color="auto"/>
            </w:tcBorders>
            <w:vAlign w:val="center"/>
          </w:tcPr>
          <w:p w14:paraId="6C16DD16"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0,61 (0,30; 1,21)</w:t>
            </w:r>
          </w:p>
        </w:tc>
        <w:tc>
          <w:tcPr>
            <w:tcW w:w="1219" w:type="pct"/>
            <w:tcBorders>
              <w:top w:val="single" w:sz="4" w:space="0" w:color="auto"/>
              <w:left w:val="single" w:sz="4" w:space="0" w:color="auto"/>
              <w:bottom w:val="single" w:sz="4" w:space="0" w:color="auto"/>
            </w:tcBorders>
            <w:vAlign w:val="center"/>
          </w:tcPr>
          <w:p w14:paraId="442C76C7" w14:textId="77777777" w:rsidR="00A30F42" w:rsidRPr="00F85CA6" w:rsidRDefault="00A30F42" w:rsidP="00A30F42">
            <w:pPr>
              <w:jc w:val="center"/>
              <w:rPr>
                <w:rFonts w:eastAsia="Calibri"/>
                <w:sz w:val="22"/>
                <w:szCs w:val="22"/>
                <w:lang w:val="sr-Latn-ME"/>
              </w:rPr>
            </w:pPr>
          </w:p>
        </w:tc>
      </w:tr>
      <w:tr w:rsidR="00A30F42" w:rsidRPr="00F85CA6" w14:paraId="0EB2581B" w14:textId="77777777" w:rsidTr="001239C3">
        <w:trPr>
          <w:trHeight w:val="20"/>
        </w:trPr>
        <w:tc>
          <w:tcPr>
            <w:tcW w:w="1343" w:type="pct"/>
            <w:tcBorders>
              <w:top w:val="single" w:sz="4" w:space="0" w:color="auto"/>
              <w:bottom w:val="single" w:sz="4" w:space="0" w:color="auto"/>
              <w:right w:val="single" w:sz="4" w:space="0" w:color="auto"/>
            </w:tcBorders>
            <w:vAlign w:val="center"/>
          </w:tcPr>
          <w:p w14:paraId="311023D2" w14:textId="385FB575" w:rsidR="00A30F42" w:rsidRPr="00F85CA6" w:rsidRDefault="00A30F42" w:rsidP="00A30F42">
            <w:pPr>
              <w:rPr>
                <w:rFonts w:eastAsia="Calibri"/>
                <w:sz w:val="22"/>
                <w:szCs w:val="22"/>
                <w:lang w:val="sr-Latn-ME"/>
              </w:rPr>
            </w:pPr>
            <w:r w:rsidRPr="00F85CA6">
              <w:rPr>
                <w:rFonts w:eastAsia="Calibri"/>
                <w:sz w:val="22"/>
                <w:szCs w:val="22"/>
                <w:lang w:val="sr-Latn-ME"/>
              </w:rPr>
              <w:t xml:space="preserve">     p-vr</w:t>
            </w:r>
            <w:r w:rsidR="00A94651" w:rsidRPr="00F85CA6">
              <w:rPr>
                <w:rFonts w:eastAsia="Calibri"/>
                <w:sz w:val="22"/>
                <w:szCs w:val="22"/>
                <w:lang w:val="sr-Latn-ME"/>
              </w:rPr>
              <w:t>ij</w:t>
            </w:r>
            <w:r w:rsidRPr="00F85CA6">
              <w:rPr>
                <w:rFonts w:eastAsia="Calibri"/>
                <w:sz w:val="22"/>
                <w:szCs w:val="22"/>
                <w:lang w:val="sr-Latn-ME"/>
              </w:rPr>
              <w:t>ednost</w:t>
            </w:r>
          </w:p>
        </w:tc>
        <w:tc>
          <w:tcPr>
            <w:tcW w:w="1219" w:type="pct"/>
            <w:tcBorders>
              <w:top w:val="single" w:sz="4" w:space="0" w:color="auto"/>
              <w:bottom w:val="single" w:sz="4" w:space="0" w:color="auto"/>
              <w:right w:val="single" w:sz="4" w:space="0" w:color="auto"/>
            </w:tcBorders>
            <w:vAlign w:val="center"/>
          </w:tcPr>
          <w:p w14:paraId="533AFFD6"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0,3099</w:t>
            </w:r>
          </w:p>
        </w:tc>
        <w:tc>
          <w:tcPr>
            <w:tcW w:w="1219" w:type="pct"/>
            <w:tcBorders>
              <w:top w:val="single" w:sz="4" w:space="0" w:color="auto"/>
              <w:left w:val="single" w:sz="4" w:space="0" w:color="auto"/>
              <w:bottom w:val="single" w:sz="4" w:space="0" w:color="auto"/>
              <w:right w:val="single" w:sz="4" w:space="0" w:color="auto"/>
            </w:tcBorders>
            <w:vAlign w:val="center"/>
          </w:tcPr>
          <w:p w14:paraId="197598B3"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0,1582</w:t>
            </w:r>
          </w:p>
        </w:tc>
        <w:tc>
          <w:tcPr>
            <w:tcW w:w="1219" w:type="pct"/>
            <w:tcBorders>
              <w:top w:val="single" w:sz="4" w:space="0" w:color="auto"/>
              <w:left w:val="single" w:sz="4" w:space="0" w:color="auto"/>
              <w:bottom w:val="single" w:sz="4" w:space="0" w:color="auto"/>
            </w:tcBorders>
            <w:vAlign w:val="center"/>
          </w:tcPr>
          <w:p w14:paraId="4F6FCA57" w14:textId="77777777" w:rsidR="00A30F42" w:rsidRPr="00F85CA6" w:rsidRDefault="00A30F42" w:rsidP="00A30F42">
            <w:pPr>
              <w:jc w:val="center"/>
              <w:rPr>
                <w:rFonts w:eastAsia="Calibri"/>
                <w:sz w:val="22"/>
                <w:szCs w:val="22"/>
                <w:lang w:val="sr-Latn-ME"/>
              </w:rPr>
            </w:pPr>
          </w:p>
        </w:tc>
      </w:tr>
      <w:tr w:rsidR="00A30F42" w:rsidRPr="00F85CA6" w14:paraId="50E5DF07" w14:textId="77777777" w:rsidTr="001239C3">
        <w:trPr>
          <w:trHeight w:val="20"/>
        </w:trPr>
        <w:tc>
          <w:tcPr>
            <w:tcW w:w="1343" w:type="pct"/>
            <w:tcBorders>
              <w:top w:val="single" w:sz="4" w:space="0" w:color="auto"/>
              <w:bottom w:val="single" w:sz="4" w:space="0" w:color="auto"/>
              <w:right w:val="single" w:sz="4" w:space="0" w:color="auto"/>
            </w:tcBorders>
            <w:vAlign w:val="center"/>
          </w:tcPr>
          <w:p w14:paraId="6AEAB7E2" w14:textId="77777777" w:rsidR="00A30F42" w:rsidRPr="00F85CA6" w:rsidRDefault="00A30F42" w:rsidP="00A30F42">
            <w:pPr>
              <w:rPr>
                <w:rFonts w:eastAsia="Calibri"/>
                <w:sz w:val="22"/>
                <w:szCs w:val="22"/>
                <w:lang w:val="sr-Latn-ME"/>
              </w:rPr>
            </w:pPr>
            <w:r w:rsidRPr="00F85CA6">
              <w:rPr>
                <w:rFonts w:eastAsia="Calibri"/>
                <w:sz w:val="22"/>
                <w:szCs w:val="22"/>
                <w:lang w:val="sr-Latn-ME"/>
              </w:rPr>
              <w:t>Ishemijski moždani udar</w:t>
            </w:r>
          </w:p>
        </w:tc>
        <w:tc>
          <w:tcPr>
            <w:tcW w:w="1219" w:type="pct"/>
            <w:tcBorders>
              <w:top w:val="single" w:sz="4" w:space="0" w:color="auto"/>
              <w:bottom w:val="single" w:sz="4" w:space="0" w:color="auto"/>
              <w:right w:val="single" w:sz="4" w:space="0" w:color="auto"/>
            </w:tcBorders>
            <w:vAlign w:val="center"/>
          </w:tcPr>
          <w:p w14:paraId="499D3C28" w14:textId="77777777" w:rsidR="00A30F42" w:rsidRPr="00F85CA6" w:rsidRDefault="00A30F42" w:rsidP="00A30F42">
            <w:pPr>
              <w:jc w:val="center"/>
              <w:rPr>
                <w:rFonts w:eastAsia="Calibri"/>
                <w:sz w:val="22"/>
                <w:szCs w:val="22"/>
                <w:lang w:val="sr-Latn-ME"/>
              </w:rPr>
            </w:pPr>
          </w:p>
        </w:tc>
        <w:tc>
          <w:tcPr>
            <w:tcW w:w="1219" w:type="pct"/>
            <w:tcBorders>
              <w:top w:val="single" w:sz="4" w:space="0" w:color="auto"/>
              <w:left w:val="single" w:sz="4" w:space="0" w:color="auto"/>
              <w:bottom w:val="single" w:sz="4" w:space="0" w:color="auto"/>
              <w:right w:val="single" w:sz="4" w:space="0" w:color="auto"/>
            </w:tcBorders>
            <w:vAlign w:val="center"/>
          </w:tcPr>
          <w:p w14:paraId="3019A977" w14:textId="77777777" w:rsidR="00A30F42" w:rsidRPr="00F85CA6" w:rsidRDefault="00A30F42" w:rsidP="00A30F42">
            <w:pPr>
              <w:jc w:val="center"/>
              <w:rPr>
                <w:rFonts w:eastAsia="Calibri"/>
                <w:sz w:val="22"/>
                <w:szCs w:val="22"/>
                <w:lang w:val="sr-Latn-ME"/>
              </w:rPr>
            </w:pPr>
          </w:p>
        </w:tc>
        <w:tc>
          <w:tcPr>
            <w:tcW w:w="1219" w:type="pct"/>
            <w:tcBorders>
              <w:top w:val="single" w:sz="4" w:space="0" w:color="auto"/>
              <w:left w:val="single" w:sz="4" w:space="0" w:color="auto"/>
              <w:bottom w:val="single" w:sz="4" w:space="0" w:color="auto"/>
            </w:tcBorders>
            <w:vAlign w:val="center"/>
          </w:tcPr>
          <w:p w14:paraId="63871963" w14:textId="77777777" w:rsidR="00A30F42" w:rsidRPr="00F85CA6" w:rsidRDefault="00A30F42" w:rsidP="00A30F42">
            <w:pPr>
              <w:jc w:val="center"/>
              <w:rPr>
                <w:rFonts w:eastAsia="Calibri"/>
                <w:sz w:val="22"/>
                <w:szCs w:val="22"/>
                <w:lang w:val="sr-Latn-ME"/>
              </w:rPr>
            </w:pPr>
          </w:p>
        </w:tc>
      </w:tr>
      <w:tr w:rsidR="00A30F42" w:rsidRPr="00F85CA6" w14:paraId="0C6DE8F9" w14:textId="77777777" w:rsidTr="001239C3">
        <w:trPr>
          <w:trHeight w:val="20"/>
        </w:trPr>
        <w:tc>
          <w:tcPr>
            <w:tcW w:w="1343" w:type="pct"/>
            <w:tcBorders>
              <w:top w:val="single" w:sz="4" w:space="0" w:color="auto"/>
              <w:bottom w:val="single" w:sz="4" w:space="0" w:color="auto"/>
              <w:right w:val="single" w:sz="4" w:space="0" w:color="auto"/>
            </w:tcBorders>
            <w:vAlign w:val="center"/>
          </w:tcPr>
          <w:p w14:paraId="1DA9F73F" w14:textId="77777777" w:rsidR="00A30F42" w:rsidRPr="00F85CA6" w:rsidRDefault="00A30F42" w:rsidP="00A30F42">
            <w:pPr>
              <w:rPr>
                <w:rFonts w:eastAsia="Calibri"/>
                <w:sz w:val="22"/>
                <w:szCs w:val="22"/>
                <w:lang w:val="sr-Latn-ME"/>
              </w:rPr>
            </w:pPr>
            <w:r w:rsidRPr="00F85CA6">
              <w:rPr>
                <w:rFonts w:eastAsia="Calibri"/>
                <w:sz w:val="22"/>
                <w:szCs w:val="22"/>
                <w:lang w:val="sr-Latn-ME"/>
              </w:rPr>
              <w:t xml:space="preserve">    Incidence (%)</w:t>
            </w:r>
          </w:p>
        </w:tc>
        <w:tc>
          <w:tcPr>
            <w:tcW w:w="1219" w:type="pct"/>
            <w:tcBorders>
              <w:top w:val="single" w:sz="4" w:space="0" w:color="auto"/>
              <w:bottom w:val="single" w:sz="4" w:space="0" w:color="auto"/>
              <w:right w:val="single" w:sz="4" w:space="0" w:color="auto"/>
            </w:tcBorders>
            <w:vAlign w:val="center"/>
          </w:tcPr>
          <w:p w14:paraId="1C7EEE5A"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152 (1,28)</w:t>
            </w:r>
          </w:p>
        </w:tc>
        <w:tc>
          <w:tcPr>
            <w:tcW w:w="1219" w:type="pct"/>
            <w:tcBorders>
              <w:top w:val="single" w:sz="4" w:space="0" w:color="auto"/>
              <w:left w:val="single" w:sz="4" w:space="0" w:color="auto"/>
              <w:bottom w:val="single" w:sz="4" w:space="0" w:color="auto"/>
              <w:right w:val="single" w:sz="4" w:space="0" w:color="auto"/>
            </w:tcBorders>
            <w:vAlign w:val="center"/>
          </w:tcPr>
          <w:p w14:paraId="4C8AAA97"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104 (0,86)</w:t>
            </w:r>
          </w:p>
        </w:tc>
        <w:tc>
          <w:tcPr>
            <w:tcW w:w="1219" w:type="pct"/>
            <w:tcBorders>
              <w:top w:val="single" w:sz="4" w:space="0" w:color="auto"/>
              <w:left w:val="single" w:sz="4" w:space="0" w:color="auto"/>
              <w:bottom w:val="single" w:sz="4" w:space="0" w:color="auto"/>
            </w:tcBorders>
            <w:vAlign w:val="center"/>
          </w:tcPr>
          <w:p w14:paraId="7EBF5006"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134 (1,14)</w:t>
            </w:r>
          </w:p>
        </w:tc>
      </w:tr>
      <w:tr w:rsidR="00A30F42" w:rsidRPr="00F85CA6" w14:paraId="35C11143" w14:textId="77777777" w:rsidTr="001239C3">
        <w:trPr>
          <w:trHeight w:val="20"/>
        </w:trPr>
        <w:tc>
          <w:tcPr>
            <w:tcW w:w="1343" w:type="pct"/>
            <w:tcBorders>
              <w:top w:val="single" w:sz="4" w:space="0" w:color="auto"/>
              <w:bottom w:val="single" w:sz="4" w:space="0" w:color="auto"/>
              <w:right w:val="single" w:sz="4" w:space="0" w:color="auto"/>
            </w:tcBorders>
            <w:vAlign w:val="center"/>
          </w:tcPr>
          <w:p w14:paraId="6F8F566C" w14:textId="77777777" w:rsidR="00A30F42" w:rsidRPr="00F85CA6" w:rsidRDefault="00A30F42" w:rsidP="00A30F42">
            <w:pPr>
              <w:jc w:val="center"/>
              <w:rPr>
                <w:rFonts w:eastAsia="Calibri"/>
                <w:sz w:val="22"/>
                <w:szCs w:val="22"/>
                <w:lang w:val="sr-Latn-ME"/>
              </w:rPr>
            </w:pPr>
            <w:r w:rsidRPr="00F85CA6">
              <w:rPr>
                <w:rFonts w:eastAsia="Calibri"/>
                <w:i/>
                <w:sz w:val="22"/>
                <w:szCs w:val="22"/>
                <w:lang w:val="sr-Latn-ME"/>
              </w:rPr>
              <w:t>Hazard ratio</w:t>
            </w:r>
            <w:r w:rsidRPr="00F85CA6">
              <w:rPr>
                <w:rFonts w:eastAsia="Calibri"/>
                <w:sz w:val="22"/>
                <w:szCs w:val="22"/>
                <w:lang w:val="sr-Latn-ME"/>
              </w:rPr>
              <w:t xml:space="preserve"> prema varfarinu (95% CI)</w:t>
            </w:r>
          </w:p>
        </w:tc>
        <w:tc>
          <w:tcPr>
            <w:tcW w:w="1219" w:type="pct"/>
            <w:tcBorders>
              <w:top w:val="single" w:sz="4" w:space="0" w:color="auto"/>
              <w:bottom w:val="single" w:sz="4" w:space="0" w:color="auto"/>
              <w:right w:val="single" w:sz="4" w:space="0" w:color="auto"/>
            </w:tcBorders>
            <w:vAlign w:val="center"/>
          </w:tcPr>
          <w:p w14:paraId="68F34F63"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1,13 (0,89; 1,42)</w:t>
            </w:r>
          </w:p>
        </w:tc>
        <w:tc>
          <w:tcPr>
            <w:tcW w:w="1219" w:type="pct"/>
            <w:tcBorders>
              <w:top w:val="single" w:sz="4" w:space="0" w:color="auto"/>
              <w:left w:val="single" w:sz="4" w:space="0" w:color="auto"/>
              <w:bottom w:val="single" w:sz="4" w:space="0" w:color="auto"/>
              <w:right w:val="single" w:sz="4" w:space="0" w:color="auto"/>
            </w:tcBorders>
            <w:vAlign w:val="center"/>
          </w:tcPr>
          <w:p w14:paraId="5939875E"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0,76 (0,59; 0,98)</w:t>
            </w:r>
          </w:p>
        </w:tc>
        <w:tc>
          <w:tcPr>
            <w:tcW w:w="1219" w:type="pct"/>
            <w:tcBorders>
              <w:top w:val="single" w:sz="4" w:space="0" w:color="auto"/>
              <w:left w:val="single" w:sz="4" w:space="0" w:color="auto"/>
              <w:bottom w:val="single" w:sz="4" w:space="0" w:color="auto"/>
            </w:tcBorders>
            <w:vAlign w:val="center"/>
          </w:tcPr>
          <w:p w14:paraId="0F0B0B66" w14:textId="77777777" w:rsidR="00A30F42" w:rsidRPr="00F85CA6" w:rsidRDefault="00A30F42" w:rsidP="00A30F42">
            <w:pPr>
              <w:jc w:val="center"/>
              <w:rPr>
                <w:rFonts w:eastAsia="Calibri"/>
                <w:sz w:val="22"/>
                <w:szCs w:val="22"/>
                <w:lang w:val="sr-Latn-ME"/>
              </w:rPr>
            </w:pPr>
          </w:p>
        </w:tc>
      </w:tr>
      <w:tr w:rsidR="00A30F42" w:rsidRPr="00F85CA6" w14:paraId="5C047CC7" w14:textId="77777777" w:rsidTr="001239C3">
        <w:trPr>
          <w:trHeight w:val="20"/>
        </w:trPr>
        <w:tc>
          <w:tcPr>
            <w:tcW w:w="1343" w:type="pct"/>
            <w:tcBorders>
              <w:top w:val="single" w:sz="4" w:space="0" w:color="auto"/>
              <w:bottom w:val="single" w:sz="4" w:space="0" w:color="auto"/>
              <w:right w:val="single" w:sz="4" w:space="0" w:color="auto"/>
            </w:tcBorders>
            <w:vAlign w:val="center"/>
          </w:tcPr>
          <w:p w14:paraId="4ABFFC93" w14:textId="6D8163A1" w:rsidR="00A30F42" w:rsidRPr="00F85CA6" w:rsidRDefault="00A30F42" w:rsidP="00A30F42">
            <w:pPr>
              <w:rPr>
                <w:rFonts w:eastAsia="Calibri"/>
                <w:sz w:val="22"/>
                <w:szCs w:val="22"/>
                <w:lang w:val="sr-Latn-ME"/>
              </w:rPr>
            </w:pPr>
            <w:r w:rsidRPr="00F85CA6">
              <w:rPr>
                <w:rFonts w:eastAsia="Calibri"/>
                <w:sz w:val="22"/>
                <w:szCs w:val="22"/>
                <w:lang w:val="sr-Latn-ME"/>
              </w:rPr>
              <w:t xml:space="preserve">    p-vr</w:t>
            </w:r>
            <w:r w:rsidR="00A94651" w:rsidRPr="00F85CA6">
              <w:rPr>
                <w:rFonts w:eastAsia="Calibri"/>
                <w:sz w:val="22"/>
                <w:szCs w:val="22"/>
                <w:lang w:val="sr-Latn-ME"/>
              </w:rPr>
              <w:t>ij</w:t>
            </w:r>
            <w:r w:rsidRPr="00F85CA6">
              <w:rPr>
                <w:rFonts w:eastAsia="Calibri"/>
                <w:sz w:val="22"/>
                <w:szCs w:val="22"/>
                <w:lang w:val="sr-Latn-ME"/>
              </w:rPr>
              <w:t>ednost</w:t>
            </w:r>
          </w:p>
        </w:tc>
        <w:tc>
          <w:tcPr>
            <w:tcW w:w="1219" w:type="pct"/>
            <w:tcBorders>
              <w:top w:val="single" w:sz="4" w:space="0" w:color="auto"/>
              <w:bottom w:val="single" w:sz="4" w:space="0" w:color="auto"/>
              <w:right w:val="single" w:sz="4" w:space="0" w:color="auto"/>
            </w:tcBorders>
            <w:vAlign w:val="center"/>
          </w:tcPr>
          <w:p w14:paraId="424966F3"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0,3138</w:t>
            </w:r>
          </w:p>
        </w:tc>
        <w:tc>
          <w:tcPr>
            <w:tcW w:w="1219" w:type="pct"/>
            <w:tcBorders>
              <w:top w:val="single" w:sz="4" w:space="0" w:color="auto"/>
              <w:left w:val="single" w:sz="4" w:space="0" w:color="auto"/>
              <w:bottom w:val="single" w:sz="4" w:space="0" w:color="auto"/>
              <w:right w:val="single" w:sz="4" w:space="0" w:color="auto"/>
            </w:tcBorders>
            <w:vAlign w:val="center"/>
          </w:tcPr>
          <w:p w14:paraId="14FF4010"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0,0351</w:t>
            </w:r>
          </w:p>
        </w:tc>
        <w:tc>
          <w:tcPr>
            <w:tcW w:w="1219" w:type="pct"/>
            <w:tcBorders>
              <w:top w:val="single" w:sz="4" w:space="0" w:color="auto"/>
              <w:left w:val="single" w:sz="4" w:space="0" w:color="auto"/>
              <w:bottom w:val="single" w:sz="4" w:space="0" w:color="auto"/>
            </w:tcBorders>
            <w:vAlign w:val="center"/>
          </w:tcPr>
          <w:p w14:paraId="1F4959BD" w14:textId="77777777" w:rsidR="00A30F42" w:rsidRPr="00F85CA6" w:rsidRDefault="00A30F42" w:rsidP="00A30F42">
            <w:pPr>
              <w:jc w:val="center"/>
              <w:rPr>
                <w:rFonts w:eastAsia="Calibri"/>
                <w:sz w:val="22"/>
                <w:szCs w:val="22"/>
                <w:lang w:val="sr-Latn-ME"/>
              </w:rPr>
            </w:pPr>
          </w:p>
        </w:tc>
      </w:tr>
      <w:tr w:rsidR="00A30F42" w:rsidRPr="00F85CA6" w14:paraId="10776167" w14:textId="77777777" w:rsidTr="001239C3">
        <w:trPr>
          <w:trHeight w:val="20"/>
        </w:trPr>
        <w:tc>
          <w:tcPr>
            <w:tcW w:w="1343" w:type="pct"/>
            <w:tcBorders>
              <w:top w:val="single" w:sz="4" w:space="0" w:color="auto"/>
              <w:bottom w:val="single" w:sz="4" w:space="0" w:color="auto"/>
              <w:right w:val="single" w:sz="4" w:space="0" w:color="auto"/>
            </w:tcBorders>
            <w:vAlign w:val="center"/>
          </w:tcPr>
          <w:p w14:paraId="3333C552" w14:textId="77777777" w:rsidR="00A30F42" w:rsidRPr="00F85CA6" w:rsidRDefault="00A30F42" w:rsidP="00A30F42">
            <w:pPr>
              <w:rPr>
                <w:rFonts w:eastAsia="Calibri"/>
                <w:sz w:val="22"/>
                <w:szCs w:val="22"/>
                <w:lang w:val="sr-Latn-ME"/>
              </w:rPr>
            </w:pPr>
            <w:r w:rsidRPr="00F85CA6">
              <w:rPr>
                <w:rFonts w:eastAsia="Calibri"/>
                <w:sz w:val="22"/>
                <w:szCs w:val="22"/>
                <w:lang w:val="sr-Latn-ME"/>
              </w:rPr>
              <w:t>Hemoragijski moždani udar</w:t>
            </w:r>
          </w:p>
        </w:tc>
        <w:tc>
          <w:tcPr>
            <w:tcW w:w="1219" w:type="pct"/>
            <w:tcBorders>
              <w:top w:val="single" w:sz="4" w:space="0" w:color="auto"/>
              <w:bottom w:val="single" w:sz="4" w:space="0" w:color="auto"/>
              <w:right w:val="single" w:sz="4" w:space="0" w:color="auto"/>
            </w:tcBorders>
            <w:vAlign w:val="center"/>
          </w:tcPr>
          <w:p w14:paraId="6425AB43" w14:textId="77777777" w:rsidR="00A30F42" w:rsidRPr="00F85CA6" w:rsidRDefault="00A30F42" w:rsidP="00A30F42">
            <w:pPr>
              <w:jc w:val="center"/>
              <w:rPr>
                <w:rFonts w:eastAsia="Calibri"/>
                <w:sz w:val="22"/>
                <w:szCs w:val="22"/>
                <w:lang w:val="sr-Latn-ME"/>
              </w:rPr>
            </w:pPr>
          </w:p>
        </w:tc>
        <w:tc>
          <w:tcPr>
            <w:tcW w:w="1219" w:type="pct"/>
            <w:tcBorders>
              <w:top w:val="single" w:sz="4" w:space="0" w:color="auto"/>
              <w:left w:val="single" w:sz="4" w:space="0" w:color="auto"/>
              <w:bottom w:val="single" w:sz="4" w:space="0" w:color="auto"/>
              <w:right w:val="single" w:sz="4" w:space="0" w:color="auto"/>
            </w:tcBorders>
            <w:vAlign w:val="center"/>
          </w:tcPr>
          <w:p w14:paraId="14280654" w14:textId="77777777" w:rsidR="00A30F42" w:rsidRPr="00F85CA6" w:rsidRDefault="00A30F42" w:rsidP="00A30F42">
            <w:pPr>
              <w:jc w:val="center"/>
              <w:rPr>
                <w:rFonts w:eastAsia="Calibri"/>
                <w:sz w:val="22"/>
                <w:szCs w:val="22"/>
                <w:lang w:val="sr-Latn-ME"/>
              </w:rPr>
            </w:pPr>
          </w:p>
        </w:tc>
        <w:tc>
          <w:tcPr>
            <w:tcW w:w="1219" w:type="pct"/>
            <w:tcBorders>
              <w:top w:val="single" w:sz="4" w:space="0" w:color="auto"/>
              <w:left w:val="single" w:sz="4" w:space="0" w:color="auto"/>
              <w:bottom w:val="single" w:sz="4" w:space="0" w:color="auto"/>
            </w:tcBorders>
            <w:vAlign w:val="center"/>
          </w:tcPr>
          <w:p w14:paraId="5E8787F3" w14:textId="77777777" w:rsidR="00A30F42" w:rsidRPr="00F85CA6" w:rsidRDefault="00A30F42" w:rsidP="00A30F42">
            <w:pPr>
              <w:jc w:val="center"/>
              <w:rPr>
                <w:rFonts w:eastAsia="Calibri"/>
                <w:sz w:val="22"/>
                <w:szCs w:val="22"/>
                <w:lang w:val="sr-Latn-ME"/>
              </w:rPr>
            </w:pPr>
          </w:p>
        </w:tc>
      </w:tr>
      <w:tr w:rsidR="00A30F42" w:rsidRPr="00F85CA6" w14:paraId="1FC600F4" w14:textId="77777777" w:rsidTr="001239C3">
        <w:trPr>
          <w:trHeight w:val="20"/>
        </w:trPr>
        <w:tc>
          <w:tcPr>
            <w:tcW w:w="1343" w:type="pct"/>
            <w:tcBorders>
              <w:top w:val="single" w:sz="4" w:space="0" w:color="auto"/>
              <w:bottom w:val="single" w:sz="4" w:space="0" w:color="auto"/>
              <w:right w:val="single" w:sz="4" w:space="0" w:color="auto"/>
            </w:tcBorders>
            <w:vAlign w:val="center"/>
          </w:tcPr>
          <w:p w14:paraId="4EE06404" w14:textId="77777777" w:rsidR="00A30F42" w:rsidRPr="00F85CA6" w:rsidRDefault="00A30F42" w:rsidP="00A30F42">
            <w:pPr>
              <w:rPr>
                <w:rFonts w:eastAsia="Calibri"/>
                <w:sz w:val="22"/>
                <w:szCs w:val="22"/>
                <w:lang w:val="sr-Latn-ME"/>
              </w:rPr>
            </w:pPr>
            <w:r w:rsidRPr="00F85CA6">
              <w:rPr>
                <w:rFonts w:eastAsia="Calibri"/>
                <w:sz w:val="22"/>
                <w:szCs w:val="22"/>
                <w:lang w:val="sr-Latn-ME"/>
              </w:rPr>
              <w:t xml:space="preserve">     Incidence (%)</w:t>
            </w:r>
          </w:p>
        </w:tc>
        <w:tc>
          <w:tcPr>
            <w:tcW w:w="1219" w:type="pct"/>
            <w:tcBorders>
              <w:top w:val="single" w:sz="4" w:space="0" w:color="auto"/>
              <w:bottom w:val="single" w:sz="4" w:space="0" w:color="auto"/>
              <w:right w:val="single" w:sz="4" w:space="0" w:color="auto"/>
            </w:tcBorders>
            <w:vAlign w:val="center"/>
          </w:tcPr>
          <w:p w14:paraId="1169BEC1"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14 (0,12)</w:t>
            </w:r>
          </w:p>
        </w:tc>
        <w:tc>
          <w:tcPr>
            <w:tcW w:w="1219" w:type="pct"/>
            <w:tcBorders>
              <w:top w:val="single" w:sz="4" w:space="0" w:color="auto"/>
              <w:left w:val="single" w:sz="4" w:space="0" w:color="auto"/>
              <w:bottom w:val="single" w:sz="4" w:space="0" w:color="auto"/>
              <w:right w:val="single" w:sz="4" w:space="0" w:color="auto"/>
            </w:tcBorders>
            <w:vAlign w:val="center"/>
          </w:tcPr>
          <w:p w14:paraId="20C7A8AA"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12 (0,10)</w:t>
            </w:r>
          </w:p>
        </w:tc>
        <w:tc>
          <w:tcPr>
            <w:tcW w:w="1219" w:type="pct"/>
            <w:tcBorders>
              <w:top w:val="single" w:sz="4" w:space="0" w:color="auto"/>
              <w:left w:val="single" w:sz="4" w:space="0" w:color="auto"/>
              <w:bottom w:val="single" w:sz="4" w:space="0" w:color="auto"/>
            </w:tcBorders>
            <w:vAlign w:val="center"/>
          </w:tcPr>
          <w:p w14:paraId="269E3E3A"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45 (0,38)</w:t>
            </w:r>
          </w:p>
        </w:tc>
      </w:tr>
      <w:tr w:rsidR="00A30F42" w:rsidRPr="00F85CA6" w14:paraId="266FED83" w14:textId="77777777" w:rsidTr="001239C3">
        <w:trPr>
          <w:trHeight w:val="20"/>
        </w:trPr>
        <w:tc>
          <w:tcPr>
            <w:tcW w:w="1343" w:type="pct"/>
            <w:tcBorders>
              <w:top w:val="single" w:sz="4" w:space="0" w:color="auto"/>
              <w:bottom w:val="single" w:sz="4" w:space="0" w:color="auto"/>
              <w:right w:val="single" w:sz="4" w:space="0" w:color="auto"/>
            </w:tcBorders>
            <w:vAlign w:val="center"/>
          </w:tcPr>
          <w:p w14:paraId="0A1F47DE" w14:textId="77777777" w:rsidR="00A30F42" w:rsidRPr="00F85CA6" w:rsidRDefault="00A30F42" w:rsidP="00A30F42">
            <w:pPr>
              <w:jc w:val="center"/>
              <w:rPr>
                <w:rFonts w:eastAsia="Calibri"/>
                <w:sz w:val="22"/>
                <w:szCs w:val="22"/>
                <w:lang w:val="sr-Latn-ME"/>
              </w:rPr>
            </w:pPr>
            <w:r w:rsidRPr="00F85CA6">
              <w:rPr>
                <w:rFonts w:eastAsia="Calibri"/>
                <w:i/>
                <w:sz w:val="22"/>
                <w:szCs w:val="22"/>
                <w:lang w:val="sr-Latn-ME"/>
              </w:rPr>
              <w:t>Hazard ratio</w:t>
            </w:r>
            <w:r w:rsidRPr="00F85CA6">
              <w:rPr>
                <w:rFonts w:eastAsia="Calibri"/>
                <w:sz w:val="22"/>
                <w:szCs w:val="22"/>
                <w:lang w:val="sr-Latn-ME"/>
              </w:rPr>
              <w:t xml:space="preserve"> prema varfarinu (95% CI)</w:t>
            </w:r>
          </w:p>
        </w:tc>
        <w:tc>
          <w:tcPr>
            <w:tcW w:w="1219" w:type="pct"/>
            <w:tcBorders>
              <w:top w:val="single" w:sz="4" w:space="0" w:color="auto"/>
              <w:bottom w:val="single" w:sz="4" w:space="0" w:color="auto"/>
              <w:right w:val="single" w:sz="4" w:space="0" w:color="auto"/>
            </w:tcBorders>
            <w:vAlign w:val="center"/>
          </w:tcPr>
          <w:p w14:paraId="6D14BE1A"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0,31 (0,17; 0,56)</w:t>
            </w:r>
          </w:p>
        </w:tc>
        <w:tc>
          <w:tcPr>
            <w:tcW w:w="1219" w:type="pct"/>
            <w:tcBorders>
              <w:top w:val="single" w:sz="4" w:space="0" w:color="auto"/>
              <w:left w:val="single" w:sz="4" w:space="0" w:color="auto"/>
              <w:bottom w:val="single" w:sz="4" w:space="0" w:color="auto"/>
              <w:right w:val="single" w:sz="4" w:space="0" w:color="auto"/>
            </w:tcBorders>
            <w:vAlign w:val="center"/>
          </w:tcPr>
          <w:p w14:paraId="4FCDDCF6"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0,26 (0,14; 0,49)</w:t>
            </w:r>
          </w:p>
        </w:tc>
        <w:tc>
          <w:tcPr>
            <w:tcW w:w="1219" w:type="pct"/>
            <w:tcBorders>
              <w:top w:val="single" w:sz="4" w:space="0" w:color="auto"/>
              <w:left w:val="single" w:sz="4" w:space="0" w:color="auto"/>
              <w:bottom w:val="single" w:sz="4" w:space="0" w:color="auto"/>
            </w:tcBorders>
            <w:vAlign w:val="center"/>
          </w:tcPr>
          <w:p w14:paraId="27A2AA67" w14:textId="77777777" w:rsidR="00A30F42" w:rsidRPr="00F85CA6" w:rsidRDefault="00A30F42" w:rsidP="00A30F42">
            <w:pPr>
              <w:jc w:val="center"/>
              <w:rPr>
                <w:rFonts w:eastAsia="Calibri"/>
                <w:sz w:val="22"/>
                <w:szCs w:val="22"/>
                <w:lang w:val="sr-Latn-ME"/>
              </w:rPr>
            </w:pPr>
          </w:p>
        </w:tc>
      </w:tr>
      <w:tr w:rsidR="00A30F42" w:rsidRPr="00F85CA6" w14:paraId="5DA1173F" w14:textId="77777777" w:rsidTr="001239C3">
        <w:trPr>
          <w:trHeight w:val="20"/>
        </w:trPr>
        <w:tc>
          <w:tcPr>
            <w:tcW w:w="1343" w:type="pct"/>
            <w:tcBorders>
              <w:top w:val="single" w:sz="4" w:space="0" w:color="auto"/>
              <w:bottom w:val="single" w:sz="4" w:space="0" w:color="auto"/>
              <w:right w:val="single" w:sz="4" w:space="0" w:color="auto"/>
            </w:tcBorders>
            <w:vAlign w:val="center"/>
          </w:tcPr>
          <w:p w14:paraId="2EF787FE" w14:textId="58C10B15" w:rsidR="00A30F42" w:rsidRPr="00F85CA6" w:rsidRDefault="00A30F42" w:rsidP="00A30F42">
            <w:pPr>
              <w:rPr>
                <w:rFonts w:eastAsia="Calibri"/>
                <w:sz w:val="22"/>
                <w:szCs w:val="22"/>
                <w:lang w:val="sr-Latn-ME"/>
              </w:rPr>
            </w:pPr>
            <w:r w:rsidRPr="00F85CA6">
              <w:rPr>
                <w:rFonts w:eastAsia="Calibri"/>
                <w:sz w:val="22"/>
                <w:szCs w:val="22"/>
                <w:lang w:val="sr-Latn-ME"/>
              </w:rPr>
              <w:t xml:space="preserve">     p-vr</w:t>
            </w:r>
            <w:r w:rsidR="00A94651" w:rsidRPr="00F85CA6">
              <w:rPr>
                <w:rFonts w:eastAsia="Calibri"/>
                <w:sz w:val="22"/>
                <w:szCs w:val="22"/>
                <w:lang w:val="sr-Latn-ME"/>
              </w:rPr>
              <w:t>ij</w:t>
            </w:r>
            <w:r w:rsidRPr="00F85CA6">
              <w:rPr>
                <w:rFonts w:eastAsia="Calibri"/>
                <w:sz w:val="22"/>
                <w:szCs w:val="22"/>
                <w:lang w:val="sr-Latn-ME"/>
              </w:rPr>
              <w:t>ednost</w:t>
            </w:r>
          </w:p>
        </w:tc>
        <w:tc>
          <w:tcPr>
            <w:tcW w:w="1219" w:type="pct"/>
            <w:tcBorders>
              <w:top w:val="single" w:sz="4" w:space="0" w:color="auto"/>
              <w:bottom w:val="single" w:sz="4" w:space="0" w:color="auto"/>
              <w:right w:val="single" w:sz="4" w:space="0" w:color="auto"/>
            </w:tcBorders>
            <w:vAlign w:val="center"/>
          </w:tcPr>
          <w:p w14:paraId="6928E719"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0,0001</w:t>
            </w:r>
          </w:p>
        </w:tc>
        <w:tc>
          <w:tcPr>
            <w:tcW w:w="1219" w:type="pct"/>
            <w:tcBorders>
              <w:top w:val="single" w:sz="4" w:space="0" w:color="auto"/>
              <w:left w:val="single" w:sz="4" w:space="0" w:color="auto"/>
              <w:bottom w:val="single" w:sz="4" w:space="0" w:color="auto"/>
              <w:right w:val="single" w:sz="4" w:space="0" w:color="auto"/>
            </w:tcBorders>
            <w:vAlign w:val="center"/>
          </w:tcPr>
          <w:p w14:paraId="6136A364"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&lt;0,0001</w:t>
            </w:r>
          </w:p>
        </w:tc>
        <w:tc>
          <w:tcPr>
            <w:tcW w:w="1219" w:type="pct"/>
            <w:tcBorders>
              <w:top w:val="single" w:sz="4" w:space="0" w:color="auto"/>
              <w:left w:val="single" w:sz="4" w:space="0" w:color="auto"/>
              <w:bottom w:val="single" w:sz="4" w:space="0" w:color="auto"/>
            </w:tcBorders>
            <w:vAlign w:val="center"/>
          </w:tcPr>
          <w:p w14:paraId="08271018" w14:textId="77777777" w:rsidR="00A30F42" w:rsidRPr="00F85CA6" w:rsidRDefault="00A30F42" w:rsidP="00A30F42">
            <w:pPr>
              <w:jc w:val="center"/>
              <w:rPr>
                <w:rFonts w:eastAsia="Calibri"/>
                <w:sz w:val="22"/>
                <w:szCs w:val="22"/>
                <w:lang w:val="sr-Latn-ME"/>
              </w:rPr>
            </w:pPr>
          </w:p>
        </w:tc>
      </w:tr>
    </w:tbl>
    <w:p w14:paraId="0805C460" w14:textId="77777777" w:rsidR="00A30F42" w:rsidRPr="00F85CA6" w:rsidRDefault="00A30F42" w:rsidP="00A30F42">
      <w:pPr>
        <w:jc w:val="both"/>
        <w:rPr>
          <w:rFonts w:eastAsia="Calibri"/>
          <w:b/>
          <w:bCs/>
          <w:sz w:val="22"/>
          <w:szCs w:val="22"/>
          <w:lang w:val="sr-Latn-ME" w:bidi="en-US"/>
        </w:rPr>
      </w:pPr>
      <w:r w:rsidRPr="00F85CA6">
        <w:rPr>
          <w:rFonts w:eastAsia="Calibri"/>
          <w:sz w:val="22"/>
          <w:szCs w:val="22"/>
          <w:lang w:val="sr-Latn-ME" w:bidi="en-US"/>
        </w:rPr>
        <w:t>% se odnosi na godišnju stopu događaja</w:t>
      </w:r>
    </w:p>
    <w:p w14:paraId="07304C49" w14:textId="77777777" w:rsidR="00F3529E" w:rsidRPr="00F85CA6" w:rsidRDefault="00F3529E" w:rsidP="00A30F42">
      <w:pPr>
        <w:jc w:val="both"/>
        <w:rPr>
          <w:rFonts w:eastAsia="Calibri"/>
          <w:b/>
          <w:bCs/>
          <w:sz w:val="22"/>
          <w:szCs w:val="22"/>
          <w:lang w:val="sr-Latn-ME" w:bidi="en-US"/>
        </w:rPr>
      </w:pPr>
    </w:p>
    <w:p w14:paraId="43E32B32" w14:textId="7BB26DEE" w:rsidR="00A30F42" w:rsidRPr="00F85CA6" w:rsidRDefault="00A30F42" w:rsidP="00685312">
      <w:pPr>
        <w:jc w:val="center"/>
        <w:rPr>
          <w:rFonts w:eastAsia="Calibri"/>
          <w:b/>
          <w:bCs/>
          <w:sz w:val="22"/>
          <w:szCs w:val="22"/>
          <w:lang w:val="sr-Latn-ME" w:bidi="en-US"/>
        </w:rPr>
      </w:pPr>
      <w:r w:rsidRPr="00F85CA6">
        <w:rPr>
          <w:rFonts w:eastAsia="Calibri"/>
          <w:b/>
          <w:bCs/>
          <w:sz w:val="22"/>
          <w:szCs w:val="22"/>
          <w:lang w:val="sr-Latn-ME" w:bidi="en-US"/>
        </w:rPr>
        <w:t>Tabela 24: Analiza mortaliteta usl</w:t>
      </w:r>
      <w:r w:rsidR="00A94651" w:rsidRPr="00F85CA6">
        <w:rPr>
          <w:rFonts w:eastAsia="Calibri"/>
          <w:b/>
          <w:bCs/>
          <w:sz w:val="22"/>
          <w:szCs w:val="22"/>
          <w:lang w:val="sr-Latn-ME" w:bidi="en-US"/>
        </w:rPr>
        <w:t>j</w:t>
      </w:r>
      <w:r w:rsidRPr="00F85CA6">
        <w:rPr>
          <w:rFonts w:eastAsia="Calibri"/>
          <w:b/>
          <w:bCs/>
          <w:sz w:val="22"/>
          <w:szCs w:val="22"/>
          <w:lang w:val="sr-Latn-ME" w:bidi="en-US"/>
        </w:rPr>
        <w:t>ed svih uzroka i kardiovaskularnog preživljavanja tokom ispitivanog perioda u studiji RE-LY.</w:t>
      </w:r>
    </w:p>
    <w:p w14:paraId="7CFCEB29" w14:textId="77777777" w:rsidR="00A30F42" w:rsidRPr="00F85CA6" w:rsidRDefault="00A30F42" w:rsidP="00685312">
      <w:pPr>
        <w:jc w:val="center"/>
        <w:rPr>
          <w:rFonts w:eastAsia="Calibri"/>
          <w:b/>
          <w:bCs/>
          <w:sz w:val="22"/>
          <w:szCs w:val="22"/>
          <w:lang w:val="sr-Latn-ME" w:bidi="en-US"/>
        </w:rPr>
      </w:pPr>
    </w:p>
    <w:tbl>
      <w:tblPr>
        <w:tblOverlap w:val="never"/>
        <w:tblW w:w="5000" w:type="pct"/>
        <w:jc w:val="center"/>
        <w:tblCellMar>
          <w:left w:w="85" w:type="dxa"/>
          <w:right w:w="85" w:type="dxa"/>
        </w:tblCellMar>
        <w:tblLook w:val="04A0" w:firstRow="1" w:lastRow="0" w:firstColumn="1" w:lastColumn="0" w:noHBand="0" w:noVBand="1"/>
      </w:tblPr>
      <w:tblGrid>
        <w:gridCol w:w="2404"/>
        <w:gridCol w:w="2307"/>
        <w:gridCol w:w="2307"/>
        <w:gridCol w:w="2045"/>
      </w:tblGrid>
      <w:tr w:rsidR="00A30F42" w:rsidRPr="00F85CA6" w14:paraId="090D7243" w14:textId="77777777" w:rsidTr="001239C3">
        <w:trPr>
          <w:trHeight w:val="20"/>
          <w:jc w:val="center"/>
        </w:trPr>
        <w:tc>
          <w:tcPr>
            <w:tcW w:w="1326" w:type="pct"/>
            <w:tcBorders>
              <w:top w:val="single" w:sz="4" w:space="0" w:color="auto"/>
              <w:left w:val="single" w:sz="4" w:space="0" w:color="auto"/>
            </w:tcBorders>
            <w:shd w:val="clear" w:color="auto" w:fill="auto"/>
            <w:vAlign w:val="center"/>
          </w:tcPr>
          <w:p w14:paraId="0DD68779" w14:textId="77777777" w:rsidR="00A30F42" w:rsidRPr="00F85CA6" w:rsidRDefault="00A30F42" w:rsidP="00A30F42">
            <w:pPr>
              <w:rPr>
                <w:rFonts w:eastAsia="Calibri"/>
                <w:sz w:val="22"/>
                <w:szCs w:val="22"/>
                <w:lang w:val="sr-Latn-ME" w:bidi="en-US"/>
              </w:rPr>
            </w:pPr>
            <w:bookmarkStart w:id="23" w:name="_Hlk83118075"/>
          </w:p>
        </w:tc>
        <w:tc>
          <w:tcPr>
            <w:tcW w:w="1273" w:type="pct"/>
            <w:tcBorders>
              <w:top w:val="single" w:sz="4" w:space="0" w:color="auto"/>
              <w:left w:val="single" w:sz="4" w:space="0" w:color="auto"/>
            </w:tcBorders>
            <w:shd w:val="clear" w:color="auto" w:fill="auto"/>
            <w:vAlign w:val="center"/>
          </w:tcPr>
          <w:p w14:paraId="7A17DEEE" w14:textId="2262FFAD"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Dabigatrane</w:t>
            </w:r>
            <w:r w:rsidR="001D548A" w:rsidRPr="00F85CA6">
              <w:rPr>
                <w:rFonts w:eastAsia="Calibri"/>
                <w:sz w:val="22"/>
                <w:szCs w:val="22"/>
                <w:lang w:val="sr-Latn-ME" w:bidi="en-US"/>
              </w:rPr>
              <w:t xml:space="preserve"> </w:t>
            </w:r>
            <w:r w:rsidRPr="00F85CA6">
              <w:rPr>
                <w:rFonts w:eastAsia="Calibri"/>
                <w:sz w:val="22"/>
                <w:szCs w:val="22"/>
                <w:lang w:val="sr-Latn-ME" w:bidi="en-US"/>
              </w:rPr>
              <w:t>teksilat 110 mg dva puta</w:t>
            </w:r>
          </w:p>
          <w:p w14:paraId="00D05696"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dnevno</w:t>
            </w:r>
          </w:p>
        </w:tc>
        <w:tc>
          <w:tcPr>
            <w:tcW w:w="1273" w:type="pct"/>
            <w:tcBorders>
              <w:top w:val="single" w:sz="4" w:space="0" w:color="auto"/>
              <w:left w:val="single" w:sz="4" w:space="0" w:color="auto"/>
            </w:tcBorders>
            <w:shd w:val="clear" w:color="auto" w:fill="auto"/>
            <w:vAlign w:val="center"/>
          </w:tcPr>
          <w:p w14:paraId="5396715D" w14:textId="5314EDD3"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Dabigatrane</w:t>
            </w:r>
            <w:r w:rsidR="001D548A" w:rsidRPr="00F85CA6">
              <w:rPr>
                <w:rFonts w:eastAsia="Calibri"/>
                <w:sz w:val="22"/>
                <w:szCs w:val="22"/>
                <w:lang w:val="sr-Latn-ME" w:bidi="en-US"/>
              </w:rPr>
              <w:t xml:space="preserve"> </w:t>
            </w:r>
            <w:r w:rsidRPr="00F85CA6">
              <w:rPr>
                <w:rFonts w:eastAsia="Calibri"/>
                <w:sz w:val="22"/>
                <w:szCs w:val="22"/>
                <w:lang w:val="sr-Latn-ME" w:bidi="en-US"/>
              </w:rPr>
              <w:t>teksilat 150 mg dva puta</w:t>
            </w:r>
          </w:p>
          <w:p w14:paraId="4D87D174"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dnevno</w:t>
            </w:r>
          </w:p>
        </w:tc>
        <w:tc>
          <w:tcPr>
            <w:tcW w:w="1128" w:type="pct"/>
            <w:tcBorders>
              <w:top w:val="single" w:sz="4" w:space="0" w:color="auto"/>
              <w:left w:val="single" w:sz="4" w:space="0" w:color="auto"/>
              <w:right w:val="single" w:sz="4" w:space="0" w:color="auto"/>
            </w:tcBorders>
            <w:shd w:val="clear" w:color="auto" w:fill="auto"/>
            <w:vAlign w:val="center"/>
          </w:tcPr>
          <w:p w14:paraId="6E7B3E2F"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Varfarin</w:t>
            </w:r>
          </w:p>
        </w:tc>
      </w:tr>
      <w:tr w:rsidR="00A30F42" w:rsidRPr="00F85CA6" w14:paraId="6C1E3BD6" w14:textId="77777777" w:rsidTr="001239C3">
        <w:trPr>
          <w:trHeight w:val="20"/>
          <w:jc w:val="center"/>
        </w:trPr>
        <w:tc>
          <w:tcPr>
            <w:tcW w:w="1326" w:type="pct"/>
            <w:tcBorders>
              <w:top w:val="single" w:sz="4" w:space="0" w:color="auto"/>
              <w:left w:val="single" w:sz="4" w:space="0" w:color="auto"/>
            </w:tcBorders>
            <w:shd w:val="clear" w:color="auto" w:fill="auto"/>
            <w:vAlign w:val="center"/>
          </w:tcPr>
          <w:p w14:paraId="63E51814" w14:textId="77777777" w:rsidR="00A30F42" w:rsidRPr="00F85CA6" w:rsidRDefault="00A30F42" w:rsidP="00A30F42">
            <w:pPr>
              <w:rPr>
                <w:rFonts w:eastAsia="Calibri"/>
                <w:sz w:val="22"/>
                <w:szCs w:val="22"/>
                <w:lang w:val="sr-Latn-ME" w:bidi="en-US"/>
              </w:rPr>
            </w:pPr>
            <w:r w:rsidRPr="00F85CA6">
              <w:rPr>
                <w:rFonts w:eastAsia="Calibri"/>
                <w:sz w:val="22"/>
                <w:szCs w:val="22"/>
                <w:lang w:val="sr-Latn-ME" w:bidi="en-US"/>
              </w:rPr>
              <w:t>Randomizovani ispitanici</w:t>
            </w:r>
          </w:p>
        </w:tc>
        <w:tc>
          <w:tcPr>
            <w:tcW w:w="1273" w:type="pct"/>
            <w:tcBorders>
              <w:top w:val="single" w:sz="4" w:space="0" w:color="auto"/>
              <w:left w:val="single" w:sz="4" w:space="0" w:color="auto"/>
            </w:tcBorders>
            <w:shd w:val="clear" w:color="auto" w:fill="auto"/>
            <w:vAlign w:val="center"/>
          </w:tcPr>
          <w:p w14:paraId="66D9A9C1"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6015</w:t>
            </w:r>
          </w:p>
        </w:tc>
        <w:tc>
          <w:tcPr>
            <w:tcW w:w="1273" w:type="pct"/>
            <w:tcBorders>
              <w:top w:val="single" w:sz="4" w:space="0" w:color="auto"/>
              <w:left w:val="single" w:sz="4" w:space="0" w:color="auto"/>
            </w:tcBorders>
            <w:shd w:val="clear" w:color="auto" w:fill="auto"/>
            <w:vAlign w:val="center"/>
          </w:tcPr>
          <w:p w14:paraId="47523FEF"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6076</w:t>
            </w:r>
          </w:p>
        </w:tc>
        <w:tc>
          <w:tcPr>
            <w:tcW w:w="1128" w:type="pct"/>
            <w:tcBorders>
              <w:top w:val="single" w:sz="4" w:space="0" w:color="auto"/>
              <w:left w:val="single" w:sz="4" w:space="0" w:color="auto"/>
              <w:right w:val="single" w:sz="4" w:space="0" w:color="auto"/>
            </w:tcBorders>
            <w:shd w:val="clear" w:color="auto" w:fill="auto"/>
            <w:vAlign w:val="center"/>
          </w:tcPr>
          <w:p w14:paraId="396B801A"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6022</w:t>
            </w:r>
          </w:p>
        </w:tc>
      </w:tr>
      <w:tr w:rsidR="00A30F42" w:rsidRPr="00F85CA6" w14:paraId="361421E4" w14:textId="77777777" w:rsidTr="001239C3">
        <w:trPr>
          <w:trHeight w:val="20"/>
          <w:jc w:val="center"/>
        </w:trPr>
        <w:tc>
          <w:tcPr>
            <w:tcW w:w="1326" w:type="pct"/>
            <w:tcBorders>
              <w:top w:val="single" w:sz="4" w:space="0" w:color="auto"/>
              <w:left w:val="single" w:sz="4" w:space="0" w:color="auto"/>
            </w:tcBorders>
            <w:shd w:val="clear" w:color="auto" w:fill="auto"/>
            <w:vAlign w:val="center"/>
          </w:tcPr>
          <w:p w14:paraId="5EEA6B24" w14:textId="3E4FB759" w:rsidR="00A30F42" w:rsidRPr="00F85CA6" w:rsidRDefault="00A30F42" w:rsidP="00A30F42">
            <w:pPr>
              <w:rPr>
                <w:rFonts w:eastAsia="Calibri"/>
                <w:sz w:val="22"/>
                <w:szCs w:val="22"/>
                <w:lang w:val="sr-Latn-ME" w:bidi="en-US"/>
              </w:rPr>
            </w:pPr>
            <w:r w:rsidRPr="00F85CA6">
              <w:rPr>
                <w:rFonts w:eastAsia="Calibri"/>
                <w:sz w:val="22"/>
                <w:szCs w:val="22"/>
                <w:lang w:val="sr-Latn-ME" w:bidi="en-US"/>
              </w:rPr>
              <w:t>Mortalitet usl</w:t>
            </w:r>
            <w:r w:rsidR="0047239C" w:rsidRPr="00F85CA6">
              <w:rPr>
                <w:rFonts w:eastAsia="Calibri"/>
                <w:sz w:val="22"/>
                <w:szCs w:val="22"/>
                <w:lang w:val="sr-Latn-ME" w:bidi="en-US"/>
              </w:rPr>
              <w:t>j</w:t>
            </w:r>
            <w:r w:rsidRPr="00F85CA6">
              <w:rPr>
                <w:rFonts w:eastAsia="Calibri"/>
                <w:sz w:val="22"/>
                <w:szCs w:val="22"/>
                <w:lang w:val="sr-Latn-ME" w:bidi="en-US"/>
              </w:rPr>
              <w:t>ed svih uzroka</w:t>
            </w:r>
          </w:p>
        </w:tc>
        <w:tc>
          <w:tcPr>
            <w:tcW w:w="1273" w:type="pct"/>
            <w:tcBorders>
              <w:top w:val="single" w:sz="4" w:space="0" w:color="auto"/>
              <w:left w:val="single" w:sz="4" w:space="0" w:color="auto"/>
            </w:tcBorders>
            <w:shd w:val="clear" w:color="auto" w:fill="auto"/>
            <w:vAlign w:val="center"/>
          </w:tcPr>
          <w:p w14:paraId="621D1B38" w14:textId="77777777" w:rsidR="00A30F42" w:rsidRPr="00F85CA6" w:rsidRDefault="00A30F42" w:rsidP="00A30F42">
            <w:pPr>
              <w:jc w:val="center"/>
              <w:rPr>
                <w:rFonts w:eastAsia="Calibri"/>
                <w:sz w:val="22"/>
                <w:szCs w:val="22"/>
                <w:lang w:val="sr-Latn-ME" w:bidi="en-US"/>
              </w:rPr>
            </w:pPr>
          </w:p>
        </w:tc>
        <w:tc>
          <w:tcPr>
            <w:tcW w:w="1273" w:type="pct"/>
            <w:tcBorders>
              <w:top w:val="single" w:sz="4" w:space="0" w:color="auto"/>
              <w:left w:val="single" w:sz="4" w:space="0" w:color="auto"/>
            </w:tcBorders>
            <w:shd w:val="clear" w:color="auto" w:fill="auto"/>
            <w:vAlign w:val="center"/>
          </w:tcPr>
          <w:p w14:paraId="11AA16B4" w14:textId="77777777" w:rsidR="00A30F42" w:rsidRPr="00F85CA6" w:rsidRDefault="00A30F42" w:rsidP="00A30F42">
            <w:pPr>
              <w:jc w:val="center"/>
              <w:rPr>
                <w:rFonts w:eastAsia="Calibri"/>
                <w:sz w:val="22"/>
                <w:szCs w:val="22"/>
                <w:lang w:val="sr-Latn-ME" w:bidi="en-US"/>
              </w:rPr>
            </w:pPr>
          </w:p>
        </w:tc>
        <w:tc>
          <w:tcPr>
            <w:tcW w:w="1128" w:type="pct"/>
            <w:tcBorders>
              <w:top w:val="single" w:sz="4" w:space="0" w:color="auto"/>
              <w:left w:val="single" w:sz="4" w:space="0" w:color="auto"/>
              <w:right w:val="single" w:sz="4" w:space="0" w:color="auto"/>
            </w:tcBorders>
            <w:shd w:val="clear" w:color="auto" w:fill="auto"/>
            <w:vAlign w:val="center"/>
          </w:tcPr>
          <w:p w14:paraId="4535A552" w14:textId="77777777" w:rsidR="00A30F42" w:rsidRPr="00F85CA6" w:rsidRDefault="00A30F42" w:rsidP="00A30F42">
            <w:pPr>
              <w:jc w:val="center"/>
              <w:rPr>
                <w:rFonts w:eastAsia="Calibri"/>
                <w:sz w:val="22"/>
                <w:szCs w:val="22"/>
                <w:lang w:val="sr-Latn-ME" w:bidi="en-US"/>
              </w:rPr>
            </w:pPr>
          </w:p>
        </w:tc>
      </w:tr>
      <w:tr w:rsidR="00A30F42" w:rsidRPr="00F85CA6" w14:paraId="223B8C7F" w14:textId="77777777" w:rsidTr="001239C3">
        <w:trPr>
          <w:trHeight w:val="20"/>
          <w:jc w:val="center"/>
        </w:trPr>
        <w:tc>
          <w:tcPr>
            <w:tcW w:w="1326" w:type="pct"/>
            <w:tcBorders>
              <w:top w:val="single" w:sz="4" w:space="0" w:color="auto"/>
              <w:left w:val="single" w:sz="4" w:space="0" w:color="auto"/>
            </w:tcBorders>
            <w:shd w:val="clear" w:color="auto" w:fill="auto"/>
            <w:vAlign w:val="center"/>
          </w:tcPr>
          <w:p w14:paraId="3D64FF45" w14:textId="77777777" w:rsidR="00A30F42" w:rsidRPr="00F85CA6" w:rsidRDefault="00A30F42" w:rsidP="00A30F42">
            <w:pPr>
              <w:rPr>
                <w:rFonts w:eastAsia="Calibri"/>
                <w:sz w:val="22"/>
                <w:szCs w:val="22"/>
                <w:lang w:val="sr-Latn-ME" w:bidi="en-US"/>
              </w:rPr>
            </w:pPr>
            <w:r w:rsidRPr="00F85CA6">
              <w:rPr>
                <w:rFonts w:eastAsia="Calibri"/>
                <w:sz w:val="22"/>
                <w:szCs w:val="22"/>
                <w:lang w:val="sr-Latn-ME" w:bidi="en-US"/>
              </w:rPr>
              <w:t xml:space="preserve">    Incidence (%)</w:t>
            </w:r>
          </w:p>
        </w:tc>
        <w:tc>
          <w:tcPr>
            <w:tcW w:w="1273" w:type="pct"/>
            <w:tcBorders>
              <w:top w:val="single" w:sz="4" w:space="0" w:color="auto"/>
              <w:left w:val="single" w:sz="4" w:space="0" w:color="auto"/>
            </w:tcBorders>
            <w:shd w:val="clear" w:color="auto" w:fill="auto"/>
            <w:vAlign w:val="center"/>
          </w:tcPr>
          <w:p w14:paraId="66A1D2EE"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446 (3,75)</w:t>
            </w:r>
          </w:p>
        </w:tc>
        <w:tc>
          <w:tcPr>
            <w:tcW w:w="1273" w:type="pct"/>
            <w:tcBorders>
              <w:top w:val="single" w:sz="4" w:space="0" w:color="auto"/>
              <w:left w:val="single" w:sz="4" w:space="0" w:color="auto"/>
            </w:tcBorders>
            <w:shd w:val="clear" w:color="auto" w:fill="auto"/>
            <w:vAlign w:val="center"/>
          </w:tcPr>
          <w:p w14:paraId="6925DEA2"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438 (3,64)</w:t>
            </w:r>
          </w:p>
        </w:tc>
        <w:tc>
          <w:tcPr>
            <w:tcW w:w="1128" w:type="pct"/>
            <w:tcBorders>
              <w:top w:val="single" w:sz="4" w:space="0" w:color="auto"/>
              <w:left w:val="single" w:sz="4" w:space="0" w:color="auto"/>
              <w:right w:val="single" w:sz="4" w:space="0" w:color="auto"/>
            </w:tcBorders>
            <w:shd w:val="clear" w:color="auto" w:fill="auto"/>
            <w:vAlign w:val="center"/>
          </w:tcPr>
          <w:p w14:paraId="6CDAD573"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487 (4,13)</w:t>
            </w:r>
          </w:p>
        </w:tc>
      </w:tr>
      <w:tr w:rsidR="00A30F42" w:rsidRPr="00F85CA6" w14:paraId="1230D534" w14:textId="77777777" w:rsidTr="001239C3">
        <w:trPr>
          <w:trHeight w:val="20"/>
          <w:jc w:val="center"/>
        </w:trPr>
        <w:tc>
          <w:tcPr>
            <w:tcW w:w="1326" w:type="pct"/>
            <w:tcBorders>
              <w:top w:val="single" w:sz="4" w:space="0" w:color="auto"/>
              <w:left w:val="single" w:sz="4" w:space="0" w:color="auto"/>
            </w:tcBorders>
            <w:shd w:val="clear" w:color="auto" w:fill="auto"/>
            <w:vAlign w:val="center"/>
          </w:tcPr>
          <w:p w14:paraId="6189B761" w14:textId="77777777" w:rsidR="00A30F42" w:rsidRPr="00F85CA6" w:rsidRDefault="00A30F42" w:rsidP="00A30F42">
            <w:pPr>
              <w:jc w:val="center"/>
              <w:rPr>
                <w:rFonts w:eastAsia="Calibri"/>
                <w:sz w:val="22"/>
                <w:szCs w:val="22"/>
                <w:lang w:val="sr-Latn-ME" w:bidi="en-US"/>
              </w:rPr>
            </w:pPr>
            <w:r w:rsidRPr="00F85CA6">
              <w:rPr>
                <w:rFonts w:eastAsia="Calibri"/>
                <w:i/>
                <w:sz w:val="22"/>
                <w:szCs w:val="22"/>
                <w:lang w:val="sr-Latn-ME" w:bidi="en-US"/>
              </w:rPr>
              <w:t>Hazard ratio</w:t>
            </w:r>
            <w:r w:rsidRPr="00F85CA6">
              <w:rPr>
                <w:rFonts w:eastAsia="Calibri"/>
                <w:sz w:val="22"/>
                <w:szCs w:val="22"/>
                <w:lang w:val="sr-Latn-ME" w:bidi="en-US"/>
              </w:rPr>
              <w:t xml:space="preserve"> prema varfarinu (95% CI)</w:t>
            </w:r>
          </w:p>
        </w:tc>
        <w:tc>
          <w:tcPr>
            <w:tcW w:w="1273" w:type="pct"/>
            <w:tcBorders>
              <w:top w:val="single" w:sz="4" w:space="0" w:color="auto"/>
              <w:left w:val="single" w:sz="4" w:space="0" w:color="auto"/>
            </w:tcBorders>
            <w:shd w:val="clear" w:color="auto" w:fill="auto"/>
            <w:vAlign w:val="center"/>
          </w:tcPr>
          <w:p w14:paraId="7B4CFCDF"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0,91 (0,80; 1,03)</w:t>
            </w:r>
          </w:p>
        </w:tc>
        <w:tc>
          <w:tcPr>
            <w:tcW w:w="1273" w:type="pct"/>
            <w:tcBorders>
              <w:top w:val="single" w:sz="4" w:space="0" w:color="auto"/>
              <w:left w:val="single" w:sz="4" w:space="0" w:color="auto"/>
            </w:tcBorders>
            <w:shd w:val="clear" w:color="auto" w:fill="auto"/>
            <w:vAlign w:val="center"/>
          </w:tcPr>
          <w:p w14:paraId="538DE1C9"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0,88 (0,77; 1,00)</w:t>
            </w:r>
          </w:p>
        </w:tc>
        <w:tc>
          <w:tcPr>
            <w:tcW w:w="1128" w:type="pct"/>
            <w:tcBorders>
              <w:top w:val="single" w:sz="4" w:space="0" w:color="auto"/>
              <w:left w:val="single" w:sz="4" w:space="0" w:color="auto"/>
              <w:right w:val="single" w:sz="4" w:space="0" w:color="auto"/>
            </w:tcBorders>
            <w:shd w:val="clear" w:color="auto" w:fill="auto"/>
            <w:vAlign w:val="center"/>
          </w:tcPr>
          <w:p w14:paraId="051BAFB8" w14:textId="77777777" w:rsidR="00A30F42" w:rsidRPr="00F85CA6" w:rsidRDefault="00A30F42" w:rsidP="00A30F42">
            <w:pPr>
              <w:jc w:val="center"/>
              <w:rPr>
                <w:rFonts w:eastAsia="Calibri"/>
                <w:sz w:val="22"/>
                <w:szCs w:val="22"/>
                <w:lang w:val="sr-Latn-ME" w:bidi="en-US"/>
              </w:rPr>
            </w:pPr>
          </w:p>
        </w:tc>
      </w:tr>
      <w:tr w:rsidR="00A30F42" w:rsidRPr="00F85CA6" w14:paraId="6A7DD1D8" w14:textId="77777777" w:rsidTr="001239C3">
        <w:trPr>
          <w:trHeight w:val="20"/>
          <w:jc w:val="center"/>
        </w:trPr>
        <w:tc>
          <w:tcPr>
            <w:tcW w:w="1326" w:type="pct"/>
            <w:tcBorders>
              <w:top w:val="single" w:sz="4" w:space="0" w:color="auto"/>
              <w:left w:val="single" w:sz="4" w:space="0" w:color="auto"/>
            </w:tcBorders>
            <w:shd w:val="clear" w:color="auto" w:fill="auto"/>
            <w:vAlign w:val="center"/>
          </w:tcPr>
          <w:p w14:paraId="766FD792" w14:textId="6D7BDC9F" w:rsidR="00A30F42" w:rsidRPr="00F85CA6" w:rsidRDefault="00A30F42" w:rsidP="00A30F42">
            <w:pPr>
              <w:rPr>
                <w:rFonts w:eastAsia="Calibri"/>
                <w:sz w:val="22"/>
                <w:szCs w:val="22"/>
                <w:lang w:val="sr-Latn-ME" w:bidi="en-US"/>
              </w:rPr>
            </w:pPr>
            <w:r w:rsidRPr="00F85CA6">
              <w:rPr>
                <w:rFonts w:eastAsia="Calibri"/>
                <w:sz w:val="22"/>
                <w:szCs w:val="22"/>
                <w:lang w:val="sr-Latn-ME" w:bidi="en-US"/>
              </w:rPr>
              <w:t xml:space="preserve">    p-vr</w:t>
            </w:r>
            <w:r w:rsidR="00A94651" w:rsidRPr="00F85CA6">
              <w:rPr>
                <w:rFonts w:eastAsia="Calibri"/>
                <w:sz w:val="22"/>
                <w:szCs w:val="22"/>
                <w:lang w:val="sr-Latn-ME" w:bidi="en-US"/>
              </w:rPr>
              <w:t>ij</w:t>
            </w:r>
            <w:r w:rsidRPr="00F85CA6">
              <w:rPr>
                <w:rFonts w:eastAsia="Calibri"/>
                <w:sz w:val="22"/>
                <w:szCs w:val="22"/>
                <w:lang w:val="sr-Latn-ME" w:bidi="en-US"/>
              </w:rPr>
              <w:t>ednost</w:t>
            </w:r>
          </w:p>
        </w:tc>
        <w:tc>
          <w:tcPr>
            <w:tcW w:w="1273" w:type="pct"/>
            <w:tcBorders>
              <w:top w:val="single" w:sz="4" w:space="0" w:color="auto"/>
              <w:left w:val="single" w:sz="4" w:space="0" w:color="auto"/>
            </w:tcBorders>
            <w:shd w:val="clear" w:color="auto" w:fill="auto"/>
            <w:vAlign w:val="center"/>
          </w:tcPr>
          <w:p w14:paraId="3BADF845"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0,1308</w:t>
            </w:r>
          </w:p>
        </w:tc>
        <w:tc>
          <w:tcPr>
            <w:tcW w:w="1273" w:type="pct"/>
            <w:tcBorders>
              <w:top w:val="single" w:sz="4" w:space="0" w:color="auto"/>
              <w:left w:val="single" w:sz="4" w:space="0" w:color="auto"/>
            </w:tcBorders>
            <w:shd w:val="clear" w:color="auto" w:fill="auto"/>
            <w:vAlign w:val="center"/>
          </w:tcPr>
          <w:p w14:paraId="1C1A4F34"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0,0517</w:t>
            </w:r>
          </w:p>
        </w:tc>
        <w:tc>
          <w:tcPr>
            <w:tcW w:w="1128" w:type="pct"/>
            <w:tcBorders>
              <w:top w:val="single" w:sz="4" w:space="0" w:color="auto"/>
              <w:left w:val="single" w:sz="4" w:space="0" w:color="auto"/>
              <w:right w:val="single" w:sz="4" w:space="0" w:color="auto"/>
            </w:tcBorders>
            <w:shd w:val="clear" w:color="auto" w:fill="auto"/>
            <w:vAlign w:val="center"/>
          </w:tcPr>
          <w:p w14:paraId="385D3317" w14:textId="77777777" w:rsidR="00A30F42" w:rsidRPr="00F85CA6" w:rsidRDefault="00A30F42" w:rsidP="00A30F42">
            <w:pPr>
              <w:jc w:val="center"/>
              <w:rPr>
                <w:rFonts w:eastAsia="Calibri"/>
                <w:sz w:val="22"/>
                <w:szCs w:val="22"/>
                <w:lang w:val="sr-Latn-ME" w:bidi="en-US"/>
              </w:rPr>
            </w:pPr>
          </w:p>
        </w:tc>
      </w:tr>
      <w:tr w:rsidR="00A30F42" w:rsidRPr="00F85CA6" w14:paraId="7002E7DE" w14:textId="77777777" w:rsidTr="001239C3">
        <w:trPr>
          <w:trHeight w:val="20"/>
          <w:jc w:val="center"/>
        </w:trPr>
        <w:tc>
          <w:tcPr>
            <w:tcW w:w="1326" w:type="pct"/>
            <w:tcBorders>
              <w:top w:val="single" w:sz="4" w:space="0" w:color="auto"/>
              <w:left w:val="single" w:sz="4" w:space="0" w:color="auto"/>
            </w:tcBorders>
            <w:shd w:val="clear" w:color="auto" w:fill="auto"/>
            <w:vAlign w:val="center"/>
          </w:tcPr>
          <w:p w14:paraId="77E83929" w14:textId="77777777" w:rsidR="00A30F42" w:rsidRPr="00F85CA6" w:rsidRDefault="00A30F42" w:rsidP="00A30F42">
            <w:pPr>
              <w:rPr>
                <w:rFonts w:eastAsia="Calibri"/>
                <w:sz w:val="22"/>
                <w:szCs w:val="22"/>
                <w:lang w:val="sr-Latn-ME" w:bidi="en-US"/>
              </w:rPr>
            </w:pPr>
            <w:r w:rsidRPr="00F85CA6">
              <w:rPr>
                <w:rFonts w:eastAsia="Calibri"/>
                <w:sz w:val="22"/>
                <w:szCs w:val="22"/>
                <w:lang w:val="sr-Latn-ME" w:bidi="en-US"/>
              </w:rPr>
              <w:t>Vaskularni mortalitet</w:t>
            </w:r>
          </w:p>
        </w:tc>
        <w:tc>
          <w:tcPr>
            <w:tcW w:w="1273" w:type="pct"/>
            <w:tcBorders>
              <w:top w:val="single" w:sz="4" w:space="0" w:color="auto"/>
              <w:left w:val="single" w:sz="4" w:space="0" w:color="auto"/>
            </w:tcBorders>
            <w:shd w:val="clear" w:color="auto" w:fill="auto"/>
            <w:vAlign w:val="center"/>
          </w:tcPr>
          <w:p w14:paraId="22E5D71A" w14:textId="77777777" w:rsidR="00A30F42" w:rsidRPr="00F85CA6" w:rsidRDefault="00A30F42" w:rsidP="00A30F42">
            <w:pPr>
              <w:jc w:val="center"/>
              <w:rPr>
                <w:rFonts w:eastAsia="Calibri"/>
                <w:sz w:val="22"/>
                <w:szCs w:val="22"/>
                <w:lang w:val="sr-Latn-ME" w:bidi="en-US"/>
              </w:rPr>
            </w:pPr>
          </w:p>
        </w:tc>
        <w:tc>
          <w:tcPr>
            <w:tcW w:w="1273" w:type="pct"/>
            <w:tcBorders>
              <w:top w:val="single" w:sz="4" w:space="0" w:color="auto"/>
              <w:left w:val="single" w:sz="4" w:space="0" w:color="auto"/>
            </w:tcBorders>
            <w:shd w:val="clear" w:color="auto" w:fill="auto"/>
            <w:vAlign w:val="center"/>
          </w:tcPr>
          <w:p w14:paraId="6679C800" w14:textId="77777777" w:rsidR="00A30F42" w:rsidRPr="00F85CA6" w:rsidRDefault="00A30F42" w:rsidP="00A30F42">
            <w:pPr>
              <w:jc w:val="center"/>
              <w:rPr>
                <w:rFonts w:eastAsia="Calibri"/>
                <w:sz w:val="22"/>
                <w:szCs w:val="22"/>
                <w:lang w:val="sr-Latn-ME" w:bidi="en-US"/>
              </w:rPr>
            </w:pPr>
          </w:p>
        </w:tc>
        <w:tc>
          <w:tcPr>
            <w:tcW w:w="1128" w:type="pct"/>
            <w:tcBorders>
              <w:top w:val="single" w:sz="4" w:space="0" w:color="auto"/>
              <w:left w:val="single" w:sz="4" w:space="0" w:color="auto"/>
              <w:right w:val="single" w:sz="4" w:space="0" w:color="auto"/>
            </w:tcBorders>
            <w:shd w:val="clear" w:color="auto" w:fill="auto"/>
            <w:vAlign w:val="center"/>
          </w:tcPr>
          <w:p w14:paraId="68FA93BF" w14:textId="77777777" w:rsidR="00A30F42" w:rsidRPr="00F85CA6" w:rsidRDefault="00A30F42" w:rsidP="00A30F42">
            <w:pPr>
              <w:jc w:val="center"/>
              <w:rPr>
                <w:rFonts w:eastAsia="Calibri"/>
                <w:sz w:val="22"/>
                <w:szCs w:val="22"/>
                <w:lang w:val="sr-Latn-ME" w:bidi="en-US"/>
              </w:rPr>
            </w:pPr>
          </w:p>
        </w:tc>
      </w:tr>
      <w:tr w:rsidR="00A30F42" w:rsidRPr="00F85CA6" w14:paraId="26DACB29" w14:textId="77777777" w:rsidTr="001239C3">
        <w:trPr>
          <w:trHeight w:val="20"/>
          <w:jc w:val="center"/>
        </w:trPr>
        <w:tc>
          <w:tcPr>
            <w:tcW w:w="1326" w:type="pct"/>
            <w:tcBorders>
              <w:top w:val="single" w:sz="4" w:space="0" w:color="auto"/>
              <w:left w:val="single" w:sz="4" w:space="0" w:color="auto"/>
            </w:tcBorders>
            <w:shd w:val="clear" w:color="auto" w:fill="auto"/>
            <w:vAlign w:val="center"/>
          </w:tcPr>
          <w:p w14:paraId="3A86158D" w14:textId="77777777" w:rsidR="00A30F42" w:rsidRPr="00F85CA6" w:rsidRDefault="00A30F42" w:rsidP="00A30F42">
            <w:pPr>
              <w:rPr>
                <w:rFonts w:eastAsia="Calibri"/>
                <w:sz w:val="22"/>
                <w:szCs w:val="22"/>
                <w:lang w:val="sr-Latn-ME" w:bidi="en-US"/>
              </w:rPr>
            </w:pPr>
            <w:r w:rsidRPr="00F85CA6">
              <w:rPr>
                <w:rFonts w:eastAsia="Calibri"/>
                <w:sz w:val="22"/>
                <w:szCs w:val="22"/>
                <w:lang w:val="sr-Latn-ME" w:bidi="en-US"/>
              </w:rPr>
              <w:t xml:space="preserve">    Incidence (%)</w:t>
            </w:r>
          </w:p>
        </w:tc>
        <w:tc>
          <w:tcPr>
            <w:tcW w:w="1273" w:type="pct"/>
            <w:tcBorders>
              <w:top w:val="single" w:sz="4" w:space="0" w:color="auto"/>
              <w:left w:val="single" w:sz="4" w:space="0" w:color="auto"/>
            </w:tcBorders>
            <w:shd w:val="clear" w:color="auto" w:fill="auto"/>
            <w:vAlign w:val="center"/>
          </w:tcPr>
          <w:p w14:paraId="44F59D43"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289 (2,43)</w:t>
            </w:r>
          </w:p>
        </w:tc>
        <w:tc>
          <w:tcPr>
            <w:tcW w:w="1273" w:type="pct"/>
            <w:tcBorders>
              <w:top w:val="single" w:sz="4" w:space="0" w:color="auto"/>
              <w:left w:val="single" w:sz="4" w:space="0" w:color="auto"/>
            </w:tcBorders>
            <w:shd w:val="clear" w:color="auto" w:fill="auto"/>
            <w:vAlign w:val="center"/>
          </w:tcPr>
          <w:p w14:paraId="1D9EE16B"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274 (2,28)</w:t>
            </w:r>
          </w:p>
        </w:tc>
        <w:tc>
          <w:tcPr>
            <w:tcW w:w="1128" w:type="pct"/>
            <w:tcBorders>
              <w:top w:val="single" w:sz="4" w:space="0" w:color="auto"/>
              <w:left w:val="single" w:sz="4" w:space="0" w:color="auto"/>
              <w:right w:val="single" w:sz="4" w:space="0" w:color="auto"/>
            </w:tcBorders>
            <w:shd w:val="clear" w:color="auto" w:fill="auto"/>
            <w:vAlign w:val="center"/>
          </w:tcPr>
          <w:p w14:paraId="733A83AF"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317 (2,69)</w:t>
            </w:r>
          </w:p>
        </w:tc>
      </w:tr>
      <w:tr w:rsidR="00A30F42" w:rsidRPr="00F85CA6" w14:paraId="3F8DC741" w14:textId="77777777" w:rsidTr="001239C3">
        <w:trPr>
          <w:trHeight w:val="20"/>
          <w:jc w:val="center"/>
        </w:trPr>
        <w:tc>
          <w:tcPr>
            <w:tcW w:w="1326" w:type="pct"/>
            <w:tcBorders>
              <w:top w:val="single" w:sz="4" w:space="0" w:color="auto"/>
              <w:left w:val="single" w:sz="4" w:space="0" w:color="auto"/>
            </w:tcBorders>
            <w:shd w:val="clear" w:color="auto" w:fill="auto"/>
            <w:vAlign w:val="center"/>
          </w:tcPr>
          <w:p w14:paraId="32B09DAA" w14:textId="77777777" w:rsidR="00A30F42" w:rsidRPr="00F85CA6" w:rsidRDefault="00A30F42" w:rsidP="00A30F42">
            <w:pPr>
              <w:jc w:val="center"/>
              <w:rPr>
                <w:rFonts w:eastAsia="Calibri"/>
                <w:sz w:val="22"/>
                <w:szCs w:val="22"/>
                <w:lang w:val="sr-Latn-ME" w:bidi="en-US"/>
              </w:rPr>
            </w:pPr>
            <w:r w:rsidRPr="00F85CA6">
              <w:rPr>
                <w:rFonts w:eastAsia="Calibri"/>
                <w:i/>
                <w:sz w:val="22"/>
                <w:szCs w:val="22"/>
                <w:lang w:val="sr-Latn-ME" w:bidi="en-US"/>
              </w:rPr>
              <w:t>Hazard ratio</w:t>
            </w:r>
            <w:r w:rsidRPr="00F85CA6">
              <w:rPr>
                <w:rFonts w:eastAsia="Calibri"/>
                <w:sz w:val="22"/>
                <w:szCs w:val="22"/>
                <w:lang w:val="sr-Latn-ME" w:bidi="en-US"/>
              </w:rPr>
              <w:t xml:space="preserve"> prema varfarinu (95% CI)</w:t>
            </w:r>
          </w:p>
        </w:tc>
        <w:tc>
          <w:tcPr>
            <w:tcW w:w="1273" w:type="pct"/>
            <w:tcBorders>
              <w:top w:val="single" w:sz="4" w:space="0" w:color="auto"/>
              <w:left w:val="single" w:sz="4" w:space="0" w:color="auto"/>
            </w:tcBorders>
            <w:shd w:val="clear" w:color="auto" w:fill="auto"/>
            <w:vAlign w:val="center"/>
          </w:tcPr>
          <w:p w14:paraId="3C9D5E52"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0,90 (0,77; 1,06)</w:t>
            </w:r>
          </w:p>
        </w:tc>
        <w:tc>
          <w:tcPr>
            <w:tcW w:w="1273" w:type="pct"/>
            <w:tcBorders>
              <w:top w:val="single" w:sz="4" w:space="0" w:color="auto"/>
              <w:left w:val="single" w:sz="4" w:space="0" w:color="auto"/>
            </w:tcBorders>
            <w:shd w:val="clear" w:color="auto" w:fill="auto"/>
            <w:vAlign w:val="center"/>
          </w:tcPr>
          <w:p w14:paraId="7C384847"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0,85 (0,72; 0,99)</w:t>
            </w:r>
          </w:p>
        </w:tc>
        <w:tc>
          <w:tcPr>
            <w:tcW w:w="1128" w:type="pct"/>
            <w:tcBorders>
              <w:top w:val="single" w:sz="4" w:space="0" w:color="auto"/>
              <w:left w:val="single" w:sz="4" w:space="0" w:color="auto"/>
              <w:right w:val="single" w:sz="4" w:space="0" w:color="auto"/>
            </w:tcBorders>
            <w:shd w:val="clear" w:color="auto" w:fill="auto"/>
            <w:vAlign w:val="center"/>
          </w:tcPr>
          <w:p w14:paraId="1639B97E" w14:textId="77777777" w:rsidR="00A30F42" w:rsidRPr="00F85CA6" w:rsidRDefault="00A30F42" w:rsidP="00A30F42">
            <w:pPr>
              <w:jc w:val="center"/>
              <w:rPr>
                <w:rFonts w:eastAsia="Calibri"/>
                <w:sz w:val="22"/>
                <w:szCs w:val="22"/>
                <w:lang w:val="sr-Latn-ME" w:bidi="en-US"/>
              </w:rPr>
            </w:pPr>
          </w:p>
        </w:tc>
      </w:tr>
      <w:tr w:rsidR="00A30F42" w:rsidRPr="00F85CA6" w14:paraId="3BACBDFF" w14:textId="77777777" w:rsidTr="001239C3">
        <w:trPr>
          <w:trHeight w:val="20"/>
          <w:jc w:val="center"/>
        </w:trPr>
        <w:tc>
          <w:tcPr>
            <w:tcW w:w="1326" w:type="pct"/>
            <w:tcBorders>
              <w:top w:val="single" w:sz="4" w:space="0" w:color="auto"/>
              <w:left w:val="single" w:sz="4" w:space="0" w:color="auto"/>
              <w:bottom w:val="single" w:sz="4" w:space="0" w:color="auto"/>
            </w:tcBorders>
            <w:shd w:val="clear" w:color="auto" w:fill="auto"/>
            <w:vAlign w:val="center"/>
          </w:tcPr>
          <w:p w14:paraId="3D21D018" w14:textId="7A4B3B94" w:rsidR="00A30F42" w:rsidRPr="00F85CA6" w:rsidRDefault="00A30F42" w:rsidP="00A30F42">
            <w:pPr>
              <w:rPr>
                <w:rFonts w:eastAsia="Calibri"/>
                <w:sz w:val="22"/>
                <w:szCs w:val="22"/>
                <w:lang w:val="sr-Latn-ME" w:bidi="en-US"/>
              </w:rPr>
            </w:pPr>
            <w:r w:rsidRPr="00F85CA6">
              <w:rPr>
                <w:rFonts w:eastAsia="Calibri"/>
                <w:sz w:val="22"/>
                <w:szCs w:val="22"/>
                <w:lang w:val="sr-Latn-ME" w:bidi="en-US"/>
              </w:rPr>
              <w:t xml:space="preserve">    p-vr</w:t>
            </w:r>
            <w:r w:rsidR="00A94651" w:rsidRPr="00F85CA6">
              <w:rPr>
                <w:rFonts w:eastAsia="Calibri"/>
                <w:sz w:val="22"/>
                <w:szCs w:val="22"/>
                <w:lang w:val="sr-Latn-ME" w:bidi="en-US"/>
              </w:rPr>
              <w:t>ij</w:t>
            </w:r>
            <w:r w:rsidRPr="00F85CA6">
              <w:rPr>
                <w:rFonts w:eastAsia="Calibri"/>
                <w:sz w:val="22"/>
                <w:szCs w:val="22"/>
                <w:lang w:val="sr-Latn-ME" w:bidi="en-US"/>
              </w:rPr>
              <w:t>ednost</w:t>
            </w:r>
          </w:p>
        </w:tc>
        <w:tc>
          <w:tcPr>
            <w:tcW w:w="1273" w:type="pct"/>
            <w:tcBorders>
              <w:top w:val="single" w:sz="4" w:space="0" w:color="auto"/>
              <w:left w:val="single" w:sz="4" w:space="0" w:color="auto"/>
              <w:bottom w:val="single" w:sz="4" w:space="0" w:color="auto"/>
            </w:tcBorders>
            <w:shd w:val="clear" w:color="auto" w:fill="auto"/>
            <w:vAlign w:val="center"/>
          </w:tcPr>
          <w:p w14:paraId="55390D7F"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0,2081</w:t>
            </w:r>
          </w:p>
        </w:tc>
        <w:tc>
          <w:tcPr>
            <w:tcW w:w="1273" w:type="pct"/>
            <w:tcBorders>
              <w:top w:val="single" w:sz="4" w:space="0" w:color="auto"/>
              <w:left w:val="single" w:sz="4" w:space="0" w:color="auto"/>
              <w:bottom w:val="single" w:sz="4" w:space="0" w:color="auto"/>
            </w:tcBorders>
            <w:shd w:val="clear" w:color="auto" w:fill="auto"/>
            <w:vAlign w:val="center"/>
          </w:tcPr>
          <w:p w14:paraId="08C7A6BE"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0,0430</w:t>
            </w:r>
          </w:p>
        </w:tc>
        <w:tc>
          <w:tcPr>
            <w:tcW w:w="1128" w:type="pct"/>
            <w:tcBorders>
              <w:top w:val="single" w:sz="4" w:space="0" w:color="auto"/>
              <w:left w:val="single" w:sz="4" w:space="0" w:color="auto"/>
              <w:bottom w:val="single" w:sz="4" w:space="0" w:color="auto"/>
              <w:right w:val="single" w:sz="4" w:space="0" w:color="auto"/>
            </w:tcBorders>
            <w:shd w:val="clear" w:color="auto" w:fill="auto"/>
            <w:vAlign w:val="center"/>
          </w:tcPr>
          <w:p w14:paraId="6E54862F" w14:textId="77777777" w:rsidR="00A30F42" w:rsidRPr="00F85CA6" w:rsidRDefault="00A30F42" w:rsidP="00A30F42">
            <w:pPr>
              <w:jc w:val="center"/>
              <w:rPr>
                <w:rFonts w:eastAsia="Calibri"/>
                <w:sz w:val="22"/>
                <w:szCs w:val="22"/>
                <w:lang w:val="sr-Latn-ME" w:bidi="en-US"/>
              </w:rPr>
            </w:pPr>
          </w:p>
        </w:tc>
      </w:tr>
    </w:tbl>
    <w:bookmarkEnd w:id="23"/>
    <w:p w14:paraId="6D01C277" w14:textId="77777777" w:rsidR="00A30F42" w:rsidRPr="00F85CA6" w:rsidRDefault="00A30F42" w:rsidP="00A30F42">
      <w:pPr>
        <w:jc w:val="both"/>
        <w:rPr>
          <w:rFonts w:eastAsia="Calibri"/>
          <w:b/>
          <w:bCs/>
          <w:sz w:val="22"/>
          <w:szCs w:val="22"/>
          <w:lang w:val="sr-Latn-ME" w:bidi="en-US"/>
        </w:rPr>
      </w:pPr>
      <w:r w:rsidRPr="00F85CA6">
        <w:rPr>
          <w:rFonts w:eastAsia="Calibri"/>
          <w:sz w:val="22"/>
          <w:szCs w:val="22"/>
          <w:lang w:val="sr-Latn-ME" w:bidi="en-US"/>
        </w:rPr>
        <w:t>% se odnosi na godišnju stopu događaja</w:t>
      </w:r>
    </w:p>
    <w:p w14:paraId="778E3F78" w14:textId="77777777" w:rsidR="00A30F42" w:rsidRPr="00F85CA6" w:rsidRDefault="00A30F42" w:rsidP="00A30F42">
      <w:pPr>
        <w:jc w:val="both"/>
        <w:rPr>
          <w:rFonts w:eastAsia="Calibri"/>
          <w:sz w:val="22"/>
          <w:szCs w:val="22"/>
          <w:lang w:val="sr-Latn-ME" w:bidi="en-US"/>
        </w:rPr>
      </w:pPr>
    </w:p>
    <w:p w14:paraId="2725E2B2" w14:textId="06702C34" w:rsidR="00A30F42" w:rsidRPr="00F85CA6" w:rsidRDefault="00A30F42" w:rsidP="00A30F42">
      <w:pPr>
        <w:jc w:val="both"/>
        <w:rPr>
          <w:rFonts w:eastAsia="Calibri"/>
          <w:sz w:val="22"/>
          <w:szCs w:val="22"/>
          <w:lang w:val="sr-Latn-ME"/>
        </w:rPr>
      </w:pPr>
      <w:r w:rsidRPr="00F85CA6">
        <w:rPr>
          <w:rFonts w:eastAsia="Calibri"/>
          <w:sz w:val="22"/>
          <w:szCs w:val="22"/>
          <w:lang w:val="sr-Latn-ME"/>
        </w:rPr>
        <w:t>U tabelama 25-26 prikazani su rezultati za primarni ishod efikasnosti i bezb</w:t>
      </w:r>
      <w:r w:rsidR="00F71160" w:rsidRPr="00F85CA6">
        <w:rPr>
          <w:rFonts w:eastAsia="Calibri"/>
          <w:sz w:val="22"/>
          <w:szCs w:val="22"/>
          <w:lang w:val="sr-Latn-ME"/>
        </w:rPr>
        <w:t>j</w:t>
      </w:r>
      <w:r w:rsidRPr="00F85CA6">
        <w:rPr>
          <w:rFonts w:eastAsia="Calibri"/>
          <w:sz w:val="22"/>
          <w:szCs w:val="22"/>
          <w:lang w:val="sr-Latn-ME"/>
        </w:rPr>
        <w:t>ednosti u relevantnim subpopulacijama:</w:t>
      </w:r>
    </w:p>
    <w:p w14:paraId="73768321" w14:textId="77777777" w:rsidR="00A30F42" w:rsidRPr="00F85CA6" w:rsidRDefault="00A30F42" w:rsidP="00A30F42">
      <w:pPr>
        <w:jc w:val="both"/>
        <w:rPr>
          <w:rFonts w:eastAsia="Calibri"/>
          <w:sz w:val="22"/>
          <w:szCs w:val="22"/>
          <w:lang w:val="sr-Latn-ME"/>
        </w:rPr>
      </w:pPr>
    </w:p>
    <w:p w14:paraId="2491793C" w14:textId="742B8084" w:rsidR="00A30F42" w:rsidRPr="00F85CA6" w:rsidRDefault="00A30F42" w:rsidP="00A30F42">
      <w:pPr>
        <w:jc w:val="both"/>
        <w:rPr>
          <w:rFonts w:eastAsia="Calibri"/>
          <w:sz w:val="22"/>
          <w:szCs w:val="22"/>
          <w:lang w:val="sr-Latn-ME" w:bidi="en-US"/>
        </w:rPr>
      </w:pPr>
      <w:r w:rsidRPr="00F85CA6">
        <w:rPr>
          <w:rFonts w:eastAsia="Calibri"/>
          <w:sz w:val="22"/>
          <w:szCs w:val="22"/>
          <w:lang w:val="sr-Latn-ME"/>
        </w:rPr>
        <w:t>Za primarni ishod, moždani udar i sistemsku emboliju, prim</w:t>
      </w:r>
      <w:r w:rsidR="00A94651" w:rsidRPr="00F85CA6">
        <w:rPr>
          <w:rFonts w:eastAsia="Calibri"/>
          <w:sz w:val="22"/>
          <w:szCs w:val="22"/>
          <w:lang w:val="sr-Latn-ME"/>
        </w:rPr>
        <w:t>ij</w:t>
      </w:r>
      <w:r w:rsidRPr="00F85CA6">
        <w:rPr>
          <w:rFonts w:eastAsia="Calibri"/>
          <w:sz w:val="22"/>
          <w:szCs w:val="22"/>
          <w:lang w:val="sr-Latn-ME"/>
        </w:rPr>
        <w:t>ećeno je da nijedna podgrupa (tj. prema godinama starosti, t</w:t>
      </w:r>
      <w:r w:rsidR="00A94651" w:rsidRPr="00F85CA6">
        <w:rPr>
          <w:rFonts w:eastAsia="Calibri"/>
          <w:sz w:val="22"/>
          <w:szCs w:val="22"/>
          <w:lang w:val="sr-Latn-ME"/>
        </w:rPr>
        <w:t>j</w:t>
      </w:r>
      <w:r w:rsidRPr="00F85CA6">
        <w:rPr>
          <w:rFonts w:eastAsia="Calibri"/>
          <w:sz w:val="22"/>
          <w:szCs w:val="22"/>
          <w:lang w:val="sr-Latn-ME"/>
        </w:rPr>
        <w:t>elesnoj masi, polu, funkciji bubrega, etničkom por</w:t>
      </w:r>
      <w:r w:rsidR="00A94651" w:rsidRPr="00F85CA6">
        <w:rPr>
          <w:rFonts w:eastAsia="Calibri"/>
          <w:sz w:val="22"/>
          <w:szCs w:val="22"/>
          <w:lang w:val="sr-Latn-ME"/>
        </w:rPr>
        <w:t>ij</w:t>
      </w:r>
      <w:r w:rsidRPr="00F85CA6">
        <w:rPr>
          <w:rFonts w:eastAsia="Calibri"/>
          <w:sz w:val="22"/>
          <w:szCs w:val="22"/>
          <w:lang w:val="sr-Latn-ME"/>
        </w:rPr>
        <w:t xml:space="preserve">eklu, itd.) nije imala različit </w:t>
      </w:r>
      <w:r w:rsidRPr="00F85CA6">
        <w:rPr>
          <w:rFonts w:eastAsia="Calibri"/>
          <w:i/>
          <w:sz w:val="22"/>
          <w:szCs w:val="22"/>
          <w:lang w:val="sr-Latn-ME"/>
        </w:rPr>
        <w:t>risk ratio</w:t>
      </w:r>
      <w:r w:rsidRPr="00F85CA6">
        <w:rPr>
          <w:rFonts w:eastAsia="Calibri"/>
          <w:sz w:val="22"/>
          <w:szCs w:val="22"/>
          <w:lang w:val="sr-Latn-ME"/>
        </w:rPr>
        <w:t xml:space="preserve"> u poređenju sa varfarinom.</w:t>
      </w:r>
    </w:p>
    <w:p w14:paraId="7BE4AA2A" w14:textId="1B6A42A4" w:rsidR="00A30F42" w:rsidRDefault="00A30F42" w:rsidP="00A30F42">
      <w:pPr>
        <w:jc w:val="both"/>
        <w:rPr>
          <w:rFonts w:eastAsia="Calibri"/>
          <w:sz w:val="22"/>
          <w:szCs w:val="22"/>
          <w:lang w:val="sr-Latn-ME" w:bidi="en-US"/>
        </w:rPr>
      </w:pPr>
    </w:p>
    <w:p w14:paraId="568B4420" w14:textId="2FE7CE56" w:rsidR="00F85CA6" w:rsidRDefault="00F85CA6" w:rsidP="00A30F42">
      <w:pPr>
        <w:jc w:val="both"/>
        <w:rPr>
          <w:rFonts w:eastAsia="Calibri"/>
          <w:sz w:val="22"/>
          <w:szCs w:val="22"/>
          <w:lang w:val="sr-Latn-ME" w:bidi="en-US"/>
        </w:rPr>
      </w:pPr>
    </w:p>
    <w:p w14:paraId="6AE37AA7" w14:textId="15D5F7BD" w:rsidR="00F85CA6" w:rsidRDefault="00F85CA6" w:rsidP="00A30F42">
      <w:pPr>
        <w:jc w:val="both"/>
        <w:rPr>
          <w:rFonts w:eastAsia="Calibri"/>
          <w:sz w:val="22"/>
          <w:szCs w:val="22"/>
          <w:lang w:val="sr-Latn-ME" w:bidi="en-US"/>
        </w:rPr>
      </w:pPr>
    </w:p>
    <w:p w14:paraId="4C8DDA63" w14:textId="0462FF7E" w:rsidR="00F85CA6" w:rsidRDefault="00F85CA6" w:rsidP="00A30F42">
      <w:pPr>
        <w:jc w:val="both"/>
        <w:rPr>
          <w:rFonts w:eastAsia="Calibri"/>
          <w:sz w:val="22"/>
          <w:szCs w:val="22"/>
          <w:lang w:val="sr-Latn-ME" w:bidi="en-US"/>
        </w:rPr>
      </w:pPr>
    </w:p>
    <w:p w14:paraId="64F03F71" w14:textId="35BEB5DA" w:rsidR="00F85CA6" w:rsidRDefault="00F85CA6" w:rsidP="00A30F42">
      <w:pPr>
        <w:jc w:val="both"/>
        <w:rPr>
          <w:rFonts w:eastAsia="Calibri"/>
          <w:sz w:val="22"/>
          <w:szCs w:val="22"/>
          <w:lang w:val="sr-Latn-ME" w:bidi="en-US"/>
        </w:rPr>
      </w:pPr>
    </w:p>
    <w:p w14:paraId="7053328D" w14:textId="3E301320" w:rsidR="00F85CA6" w:rsidRDefault="00F85CA6" w:rsidP="00A30F42">
      <w:pPr>
        <w:jc w:val="both"/>
        <w:rPr>
          <w:rFonts w:eastAsia="Calibri"/>
          <w:sz w:val="22"/>
          <w:szCs w:val="22"/>
          <w:lang w:val="sr-Latn-ME" w:bidi="en-US"/>
        </w:rPr>
      </w:pPr>
    </w:p>
    <w:p w14:paraId="555A75D6" w14:textId="6EE57C2C" w:rsidR="00F85CA6" w:rsidRDefault="00F85CA6" w:rsidP="00A30F42">
      <w:pPr>
        <w:jc w:val="both"/>
        <w:rPr>
          <w:rFonts w:eastAsia="Calibri"/>
          <w:sz w:val="22"/>
          <w:szCs w:val="22"/>
          <w:lang w:val="sr-Latn-ME" w:bidi="en-US"/>
        </w:rPr>
      </w:pPr>
    </w:p>
    <w:p w14:paraId="74D9A83B" w14:textId="77777777" w:rsidR="00F85CA6" w:rsidRPr="00F85CA6" w:rsidRDefault="00F85CA6" w:rsidP="00A30F42">
      <w:pPr>
        <w:jc w:val="both"/>
        <w:rPr>
          <w:rFonts w:eastAsia="Calibri"/>
          <w:sz w:val="22"/>
          <w:szCs w:val="22"/>
          <w:lang w:val="sr-Latn-ME" w:bidi="en-US"/>
        </w:rPr>
      </w:pPr>
    </w:p>
    <w:p w14:paraId="0E611661" w14:textId="77777777" w:rsidR="00A30F42" w:rsidRPr="00F85CA6" w:rsidRDefault="00A30F42" w:rsidP="00685312">
      <w:pPr>
        <w:jc w:val="center"/>
        <w:rPr>
          <w:rFonts w:eastAsia="Calibri"/>
          <w:b/>
          <w:bCs/>
          <w:sz w:val="22"/>
          <w:szCs w:val="22"/>
          <w:lang w:val="sr-Latn-ME" w:bidi="en-US"/>
        </w:rPr>
      </w:pPr>
      <w:r w:rsidRPr="00F85CA6">
        <w:rPr>
          <w:rFonts w:eastAsia="Calibri"/>
          <w:b/>
          <w:bCs/>
          <w:sz w:val="22"/>
          <w:szCs w:val="22"/>
          <w:lang w:val="sr-Latn-ME" w:bidi="en-US"/>
        </w:rPr>
        <w:lastRenderedPageBreak/>
        <w:t xml:space="preserve">Tabela 25: </w:t>
      </w:r>
      <w:r w:rsidRPr="00F85CA6">
        <w:rPr>
          <w:rFonts w:eastAsia="Calibri"/>
          <w:b/>
          <w:bCs/>
          <w:i/>
          <w:sz w:val="22"/>
          <w:szCs w:val="22"/>
          <w:lang w:val="sr-Latn-ME" w:bidi="en-US"/>
        </w:rPr>
        <w:t>Hazard ratio</w:t>
      </w:r>
      <w:r w:rsidRPr="00F85CA6">
        <w:rPr>
          <w:rFonts w:eastAsia="Calibri"/>
          <w:b/>
          <w:bCs/>
          <w:sz w:val="22"/>
          <w:szCs w:val="22"/>
          <w:lang w:val="sr-Latn-ME" w:bidi="en-US"/>
        </w:rPr>
        <w:t xml:space="preserve"> i 95% CI za moždani udar/sistemsku emboliju po podgrupama</w:t>
      </w:r>
    </w:p>
    <w:p w14:paraId="3DA44A4D" w14:textId="77777777" w:rsidR="00A30F42" w:rsidRPr="00F85CA6" w:rsidRDefault="00A30F42" w:rsidP="00A30F42">
      <w:pPr>
        <w:jc w:val="both"/>
        <w:rPr>
          <w:rFonts w:eastAsia="Calibri"/>
          <w:b/>
          <w:bCs/>
          <w:sz w:val="22"/>
          <w:szCs w:val="22"/>
          <w:lang w:val="sr-Latn-ME" w:bidi="en-US"/>
        </w:rPr>
      </w:pPr>
    </w:p>
    <w:tbl>
      <w:tblPr>
        <w:tblOverlap w:val="never"/>
        <w:tblW w:w="5000" w:type="pct"/>
        <w:jc w:val="center"/>
        <w:tblCellMar>
          <w:left w:w="85" w:type="dxa"/>
          <w:right w:w="85" w:type="dxa"/>
        </w:tblCellMar>
        <w:tblLook w:val="04A0" w:firstRow="1" w:lastRow="0" w:firstColumn="1" w:lastColumn="0" w:noHBand="0" w:noVBand="1"/>
      </w:tblPr>
      <w:tblGrid>
        <w:gridCol w:w="2772"/>
        <w:gridCol w:w="3198"/>
        <w:gridCol w:w="3093"/>
      </w:tblGrid>
      <w:tr w:rsidR="00A30F42" w:rsidRPr="00F85CA6" w14:paraId="4416DBDA" w14:textId="77777777" w:rsidTr="001239C3">
        <w:trPr>
          <w:trHeight w:val="20"/>
          <w:jc w:val="center"/>
        </w:trPr>
        <w:tc>
          <w:tcPr>
            <w:tcW w:w="1529" w:type="pct"/>
            <w:tcBorders>
              <w:top w:val="single" w:sz="4" w:space="0" w:color="auto"/>
              <w:left w:val="single" w:sz="4" w:space="0" w:color="auto"/>
            </w:tcBorders>
            <w:shd w:val="clear" w:color="auto" w:fill="auto"/>
            <w:vAlign w:val="center"/>
          </w:tcPr>
          <w:p w14:paraId="62C33540" w14:textId="77777777" w:rsidR="00A30F42" w:rsidRPr="00F85CA6" w:rsidRDefault="00A30F42" w:rsidP="00A30F42">
            <w:pPr>
              <w:rPr>
                <w:rFonts w:eastAsia="Calibri"/>
                <w:sz w:val="22"/>
                <w:szCs w:val="22"/>
                <w:lang w:val="sr-Latn-ME" w:bidi="en-US"/>
              </w:rPr>
            </w:pPr>
            <w:bookmarkStart w:id="24" w:name="_Hlk83118154"/>
            <w:r w:rsidRPr="00F85CA6">
              <w:rPr>
                <w:rFonts w:eastAsia="Calibri"/>
                <w:sz w:val="22"/>
                <w:szCs w:val="22"/>
                <w:lang w:val="sr-Latn-ME" w:bidi="en-US"/>
              </w:rPr>
              <w:t>Ishod</w:t>
            </w:r>
          </w:p>
        </w:tc>
        <w:tc>
          <w:tcPr>
            <w:tcW w:w="1764" w:type="pct"/>
            <w:tcBorders>
              <w:top w:val="single" w:sz="4" w:space="0" w:color="auto"/>
              <w:left w:val="single" w:sz="4" w:space="0" w:color="auto"/>
            </w:tcBorders>
            <w:shd w:val="clear" w:color="auto" w:fill="auto"/>
            <w:vAlign w:val="center"/>
          </w:tcPr>
          <w:p w14:paraId="75DECAD0" w14:textId="436D8EC0"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Dabigatrane</w:t>
            </w:r>
            <w:r w:rsidR="001D548A" w:rsidRPr="00F85CA6">
              <w:rPr>
                <w:rFonts w:eastAsia="Calibri"/>
                <w:sz w:val="22"/>
                <w:szCs w:val="22"/>
                <w:lang w:val="sr-Latn-ME" w:bidi="en-US"/>
              </w:rPr>
              <w:t xml:space="preserve"> </w:t>
            </w:r>
            <w:r w:rsidRPr="00F85CA6">
              <w:rPr>
                <w:rFonts w:eastAsia="Calibri"/>
                <w:sz w:val="22"/>
                <w:szCs w:val="22"/>
                <w:lang w:val="sr-Latn-ME" w:bidi="en-US"/>
              </w:rPr>
              <w:t>teksilat 110 mg dva puta dnevno prema varfarinu</w:t>
            </w:r>
          </w:p>
        </w:tc>
        <w:tc>
          <w:tcPr>
            <w:tcW w:w="1706" w:type="pct"/>
            <w:tcBorders>
              <w:top w:val="single" w:sz="4" w:space="0" w:color="auto"/>
              <w:left w:val="single" w:sz="4" w:space="0" w:color="auto"/>
              <w:right w:val="single" w:sz="4" w:space="0" w:color="auto"/>
            </w:tcBorders>
            <w:shd w:val="clear" w:color="auto" w:fill="auto"/>
            <w:vAlign w:val="center"/>
          </w:tcPr>
          <w:p w14:paraId="7F178359" w14:textId="0735D0AB"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Dabigatrane</w:t>
            </w:r>
            <w:r w:rsidR="001D548A" w:rsidRPr="00F85CA6">
              <w:rPr>
                <w:rFonts w:eastAsia="Calibri"/>
                <w:sz w:val="22"/>
                <w:szCs w:val="22"/>
                <w:lang w:val="sr-Latn-ME" w:bidi="en-US"/>
              </w:rPr>
              <w:t xml:space="preserve"> </w:t>
            </w:r>
            <w:r w:rsidRPr="00F85CA6">
              <w:rPr>
                <w:rFonts w:eastAsia="Calibri"/>
                <w:sz w:val="22"/>
                <w:szCs w:val="22"/>
                <w:lang w:val="sr-Latn-ME" w:bidi="en-US"/>
              </w:rPr>
              <w:t>teksilat 150 mg dva puta dnevno prema varfarinu</w:t>
            </w:r>
          </w:p>
        </w:tc>
      </w:tr>
      <w:tr w:rsidR="00A30F42" w:rsidRPr="00F85CA6" w14:paraId="25441FBE" w14:textId="77777777" w:rsidTr="001239C3">
        <w:trPr>
          <w:trHeight w:val="20"/>
          <w:jc w:val="center"/>
        </w:trPr>
        <w:tc>
          <w:tcPr>
            <w:tcW w:w="1529" w:type="pct"/>
            <w:tcBorders>
              <w:top w:val="single" w:sz="4" w:space="0" w:color="auto"/>
              <w:left w:val="single" w:sz="4" w:space="0" w:color="auto"/>
            </w:tcBorders>
            <w:shd w:val="clear" w:color="auto" w:fill="auto"/>
            <w:vAlign w:val="center"/>
          </w:tcPr>
          <w:p w14:paraId="3BFD110A" w14:textId="77777777" w:rsidR="00A30F42" w:rsidRPr="00F85CA6" w:rsidRDefault="00A30F42" w:rsidP="00A30F42">
            <w:pPr>
              <w:rPr>
                <w:rFonts w:eastAsia="Calibri"/>
                <w:sz w:val="22"/>
                <w:szCs w:val="22"/>
                <w:lang w:val="sr-Latn-ME" w:bidi="en-US"/>
              </w:rPr>
            </w:pPr>
            <w:r w:rsidRPr="00F85CA6">
              <w:rPr>
                <w:rFonts w:eastAsia="Calibri"/>
                <w:sz w:val="22"/>
                <w:szCs w:val="22"/>
                <w:lang w:val="sr-Latn-ME" w:bidi="en-US"/>
              </w:rPr>
              <w:t>Starost (godine)</w:t>
            </w:r>
          </w:p>
        </w:tc>
        <w:tc>
          <w:tcPr>
            <w:tcW w:w="1764" w:type="pct"/>
            <w:tcBorders>
              <w:top w:val="single" w:sz="4" w:space="0" w:color="auto"/>
              <w:left w:val="single" w:sz="4" w:space="0" w:color="auto"/>
            </w:tcBorders>
            <w:shd w:val="clear" w:color="auto" w:fill="auto"/>
            <w:vAlign w:val="center"/>
          </w:tcPr>
          <w:p w14:paraId="7683741D" w14:textId="77777777" w:rsidR="00A30F42" w:rsidRPr="00F85CA6" w:rsidRDefault="00A30F42" w:rsidP="00A30F42">
            <w:pPr>
              <w:jc w:val="center"/>
              <w:rPr>
                <w:rFonts w:eastAsia="Calibri"/>
                <w:sz w:val="22"/>
                <w:szCs w:val="22"/>
                <w:lang w:val="sr-Latn-ME" w:bidi="en-US"/>
              </w:rPr>
            </w:pPr>
          </w:p>
        </w:tc>
        <w:tc>
          <w:tcPr>
            <w:tcW w:w="1706" w:type="pct"/>
            <w:tcBorders>
              <w:top w:val="single" w:sz="4" w:space="0" w:color="auto"/>
              <w:left w:val="single" w:sz="4" w:space="0" w:color="auto"/>
              <w:right w:val="single" w:sz="4" w:space="0" w:color="auto"/>
            </w:tcBorders>
            <w:shd w:val="clear" w:color="auto" w:fill="auto"/>
            <w:vAlign w:val="center"/>
          </w:tcPr>
          <w:p w14:paraId="2C0A6151" w14:textId="77777777" w:rsidR="00A30F42" w:rsidRPr="00F85CA6" w:rsidRDefault="00A30F42" w:rsidP="00A30F42">
            <w:pPr>
              <w:jc w:val="center"/>
              <w:rPr>
                <w:rFonts w:eastAsia="Calibri"/>
                <w:sz w:val="22"/>
                <w:szCs w:val="22"/>
                <w:lang w:val="sr-Latn-ME" w:bidi="en-US"/>
              </w:rPr>
            </w:pPr>
          </w:p>
        </w:tc>
      </w:tr>
      <w:tr w:rsidR="00A30F42" w:rsidRPr="00F85CA6" w14:paraId="208F6B97" w14:textId="77777777" w:rsidTr="001239C3">
        <w:trPr>
          <w:trHeight w:val="20"/>
          <w:jc w:val="center"/>
        </w:trPr>
        <w:tc>
          <w:tcPr>
            <w:tcW w:w="1529" w:type="pct"/>
            <w:tcBorders>
              <w:top w:val="single" w:sz="4" w:space="0" w:color="auto"/>
              <w:left w:val="single" w:sz="4" w:space="0" w:color="auto"/>
            </w:tcBorders>
            <w:shd w:val="clear" w:color="auto" w:fill="auto"/>
            <w:vAlign w:val="center"/>
          </w:tcPr>
          <w:p w14:paraId="41828228"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&lt;65</w:t>
            </w:r>
          </w:p>
        </w:tc>
        <w:tc>
          <w:tcPr>
            <w:tcW w:w="1764" w:type="pct"/>
            <w:tcBorders>
              <w:top w:val="single" w:sz="4" w:space="0" w:color="auto"/>
              <w:left w:val="single" w:sz="4" w:space="0" w:color="auto"/>
            </w:tcBorders>
            <w:shd w:val="clear" w:color="auto" w:fill="auto"/>
            <w:vAlign w:val="center"/>
          </w:tcPr>
          <w:p w14:paraId="46C812F8"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1,10 (0,64</w:t>
            </w:r>
            <w:r w:rsidRPr="00F85CA6">
              <w:rPr>
                <w:rFonts w:eastAsia="Calibri"/>
                <w:sz w:val="22"/>
                <w:szCs w:val="22"/>
                <w:lang w:val="sr-Latn-ME"/>
              </w:rPr>
              <w:t>;</w:t>
            </w:r>
            <w:r w:rsidRPr="00F85CA6">
              <w:rPr>
                <w:rFonts w:eastAsia="Calibri"/>
                <w:sz w:val="22"/>
                <w:szCs w:val="22"/>
                <w:lang w:val="sr-Latn-ME" w:bidi="en-US"/>
              </w:rPr>
              <w:t xml:space="preserve"> 1,87)</w:t>
            </w:r>
          </w:p>
        </w:tc>
        <w:tc>
          <w:tcPr>
            <w:tcW w:w="1706" w:type="pct"/>
            <w:tcBorders>
              <w:top w:val="single" w:sz="4" w:space="0" w:color="auto"/>
              <w:left w:val="single" w:sz="4" w:space="0" w:color="auto"/>
              <w:right w:val="single" w:sz="4" w:space="0" w:color="auto"/>
            </w:tcBorders>
            <w:shd w:val="clear" w:color="auto" w:fill="auto"/>
            <w:vAlign w:val="center"/>
          </w:tcPr>
          <w:p w14:paraId="048C9727"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0,51 (0,26; 0,98)</w:t>
            </w:r>
          </w:p>
        </w:tc>
      </w:tr>
      <w:tr w:rsidR="00A30F42" w:rsidRPr="00F85CA6" w14:paraId="3C4B04C3" w14:textId="77777777" w:rsidTr="001239C3">
        <w:trPr>
          <w:trHeight w:val="20"/>
          <w:jc w:val="center"/>
        </w:trPr>
        <w:tc>
          <w:tcPr>
            <w:tcW w:w="1529" w:type="pct"/>
            <w:tcBorders>
              <w:top w:val="single" w:sz="4" w:space="0" w:color="auto"/>
              <w:left w:val="single" w:sz="4" w:space="0" w:color="auto"/>
            </w:tcBorders>
            <w:shd w:val="clear" w:color="auto" w:fill="auto"/>
            <w:vAlign w:val="center"/>
          </w:tcPr>
          <w:p w14:paraId="391F5114"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65≤ i &lt;75</w:t>
            </w:r>
          </w:p>
        </w:tc>
        <w:tc>
          <w:tcPr>
            <w:tcW w:w="1764" w:type="pct"/>
            <w:tcBorders>
              <w:top w:val="single" w:sz="4" w:space="0" w:color="auto"/>
              <w:left w:val="single" w:sz="4" w:space="0" w:color="auto"/>
            </w:tcBorders>
            <w:shd w:val="clear" w:color="auto" w:fill="auto"/>
            <w:vAlign w:val="center"/>
          </w:tcPr>
          <w:p w14:paraId="01764236"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0,86 (0,62; 1,19)</w:t>
            </w:r>
          </w:p>
        </w:tc>
        <w:tc>
          <w:tcPr>
            <w:tcW w:w="1706" w:type="pct"/>
            <w:tcBorders>
              <w:top w:val="single" w:sz="4" w:space="0" w:color="auto"/>
              <w:left w:val="single" w:sz="4" w:space="0" w:color="auto"/>
              <w:right w:val="single" w:sz="4" w:space="0" w:color="auto"/>
            </w:tcBorders>
            <w:shd w:val="clear" w:color="auto" w:fill="auto"/>
            <w:vAlign w:val="center"/>
          </w:tcPr>
          <w:p w14:paraId="30D6D235"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0,67 (0,47; 0,95)</w:t>
            </w:r>
          </w:p>
        </w:tc>
      </w:tr>
      <w:tr w:rsidR="00A30F42" w:rsidRPr="00F85CA6" w14:paraId="5C44AB07" w14:textId="77777777" w:rsidTr="001239C3">
        <w:trPr>
          <w:trHeight w:val="20"/>
          <w:jc w:val="center"/>
        </w:trPr>
        <w:tc>
          <w:tcPr>
            <w:tcW w:w="1529" w:type="pct"/>
            <w:tcBorders>
              <w:top w:val="single" w:sz="4" w:space="0" w:color="auto"/>
              <w:left w:val="single" w:sz="4" w:space="0" w:color="auto"/>
            </w:tcBorders>
            <w:shd w:val="clear" w:color="auto" w:fill="auto"/>
            <w:vAlign w:val="center"/>
          </w:tcPr>
          <w:p w14:paraId="25027316"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≥75</w:t>
            </w:r>
          </w:p>
        </w:tc>
        <w:tc>
          <w:tcPr>
            <w:tcW w:w="1764" w:type="pct"/>
            <w:tcBorders>
              <w:top w:val="single" w:sz="4" w:space="0" w:color="auto"/>
              <w:left w:val="single" w:sz="4" w:space="0" w:color="auto"/>
            </w:tcBorders>
            <w:shd w:val="clear" w:color="auto" w:fill="auto"/>
            <w:vAlign w:val="center"/>
          </w:tcPr>
          <w:p w14:paraId="6A05E4A9"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0,88 (0,66; 1,17)</w:t>
            </w:r>
          </w:p>
        </w:tc>
        <w:tc>
          <w:tcPr>
            <w:tcW w:w="1706" w:type="pct"/>
            <w:tcBorders>
              <w:top w:val="single" w:sz="4" w:space="0" w:color="auto"/>
              <w:left w:val="single" w:sz="4" w:space="0" w:color="auto"/>
              <w:right w:val="single" w:sz="4" w:space="0" w:color="auto"/>
            </w:tcBorders>
            <w:shd w:val="clear" w:color="auto" w:fill="auto"/>
            <w:vAlign w:val="center"/>
          </w:tcPr>
          <w:p w14:paraId="7F222725"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0,68 (0,50; 0,92)</w:t>
            </w:r>
          </w:p>
        </w:tc>
      </w:tr>
      <w:tr w:rsidR="00A30F42" w:rsidRPr="00F85CA6" w14:paraId="35A76836" w14:textId="77777777" w:rsidTr="001239C3">
        <w:trPr>
          <w:trHeight w:val="20"/>
          <w:jc w:val="center"/>
        </w:trPr>
        <w:tc>
          <w:tcPr>
            <w:tcW w:w="1529" w:type="pct"/>
            <w:tcBorders>
              <w:top w:val="single" w:sz="4" w:space="0" w:color="auto"/>
              <w:left w:val="single" w:sz="4" w:space="0" w:color="auto"/>
            </w:tcBorders>
            <w:shd w:val="clear" w:color="auto" w:fill="auto"/>
            <w:vAlign w:val="center"/>
          </w:tcPr>
          <w:p w14:paraId="51621DA8"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≥80</w:t>
            </w:r>
          </w:p>
        </w:tc>
        <w:tc>
          <w:tcPr>
            <w:tcW w:w="1764" w:type="pct"/>
            <w:tcBorders>
              <w:top w:val="single" w:sz="4" w:space="0" w:color="auto"/>
              <w:left w:val="single" w:sz="4" w:space="0" w:color="auto"/>
            </w:tcBorders>
            <w:shd w:val="clear" w:color="auto" w:fill="auto"/>
            <w:vAlign w:val="center"/>
          </w:tcPr>
          <w:p w14:paraId="3C18A85F"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0,68 (0,44; 1,05)</w:t>
            </w:r>
          </w:p>
        </w:tc>
        <w:tc>
          <w:tcPr>
            <w:tcW w:w="1706" w:type="pct"/>
            <w:tcBorders>
              <w:top w:val="single" w:sz="4" w:space="0" w:color="auto"/>
              <w:left w:val="single" w:sz="4" w:space="0" w:color="auto"/>
              <w:right w:val="single" w:sz="4" w:space="0" w:color="auto"/>
            </w:tcBorders>
            <w:shd w:val="clear" w:color="auto" w:fill="auto"/>
            <w:vAlign w:val="center"/>
          </w:tcPr>
          <w:p w14:paraId="19002566"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0,67 (0,44; 1,02)</w:t>
            </w:r>
          </w:p>
        </w:tc>
      </w:tr>
      <w:tr w:rsidR="00A30F42" w:rsidRPr="00F85CA6" w14:paraId="29807746" w14:textId="77777777" w:rsidTr="001239C3">
        <w:trPr>
          <w:trHeight w:val="20"/>
          <w:jc w:val="center"/>
        </w:trPr>
        <w:tc>
          <w:tcPr>
            <w:tcW w:w="1529" w:type="pct"/>
            <w:tcBorders>
              <w:top w:val="single" w:sz="4" w:space="0" w:color="auto"/>
              <w:left w:val="single" w:sz="4" w:space="0" w:color="auto"/>
            </w:tcBorders>
            <w:shd w:val="clear" w:color="auto" w:fill="auto"/>
            <w:vAlign w:val="center"/>
          </w:tcPr>
          <w:p w14:paraId="7255B542" w14:textId="66DE8174" w:rsidR="00A30F42" w:rsidRPr="00F85CA6" w:rsidRDefault="00A30F42" w:rsidP="00A30F42">
            <w:pPr>
              <w:rPr>
                <w:rFonts w:eastAsia="Calibri"/>
                <w:sz w:val="22"/>
                <w:szCs w:val="22"/>
                <w:lang w:val="sr-Latn-ME" w:bidi="en-US"/>
              </w:rPr>
            </w:pPr>
            <w:r w:rsidRPr="00F85CA6">
              <w:rPr>
                <w:rFonts w:eastAsia="Calibri"/>
                <w:sz w:val="22"/>
                <w:szCs w:val="22"/>
                <w:lang w:val="sr-Latn-ME" w:bidi="en-US"/>
              </w:rPr>
              <w:t>CrCL(m</w:t>
            </w:r>
            <w:r w:rsidR="001D548A" w:rsidRPr="00F85CA6">
              <w:rPr>
                <w:rFonts w:eastAsia="Calibri"/>
                <w:sz w:val="22"/>
                <w:szCs w:val="22"/>
                <w:lang w:val="sr-Latn-ME" w:bidi="en-US"/>
              </w:rPr>
              <w:t>l</w:t>
            </w:r>
            <w:r w:rsidRPr="00F85CA6">
              <w:rPr>
                <w:rFonts w:eastAsia="Calibri"/>
                <w:sz w:val="22"/>
                <w:szCs w:val="22"/>
                <w:lang w:val="sr-Latn-ME" w:bidi="en-US"/>
              </w:rPr>
              <w:t>/min)</w:t>
            </w:r>
          </w:p>
        </w:tc>
        <w:tc>
          <w:tcPr>
            <w:tcW w:w="1764" w:type="pct"/>
            <w:tcBorders>
              <w:top w:val="single" w:sz="4" w:space="0" w:color="auto"/>
              <w:left w:val="single" w:sz="4" w:space="0" w:color="auto"/>
            </w:tcBorders>
            <w:shd w:val="clear" w:color="auto" w:fill="auto"/>
            <w:vAlign w:val="center"/>
          </w:tcPr>
          <w:p w14:paraId="5D17966B" w14:textId="77777777" w:rsidR="00A30F42" w:rsidRPr="00F85CA6" w:rsidRDefault="00A30F42" w:rsidP="00A30F42">
            <w:pPr>
              <w:jc w:val="center"/>
              <w:rPr>
                <w:rFonts w:eastAsia="Calibri"/>
                <w:sz w:val="22"/>
                <w:szCs w:val="22"/>
                <w:lang w:val="sr-Latn-ME" w:bidi="en-US"/>
              </w:rPr>
            </w:pPr>
          </w:p>
        </w:tc>
        <w:tc>
          <w:tcPr>
            <w:tcW w:w="1706" w:type="pct"/>
            <w:tcBorders>
              <w:top w:val="single" w:sz="4" w:space="0" w:color="auto"/>
              <w:left w:val="single" w:sz="4" w:space="0" w:color="auto"/>
              <w:right w:val="single" w:sz="4" w:space="0" w:color="auto"/>
            </w:tcBorders>
            <w:shd w:val="clear" w:color="auto" w:fill="auto"/>
            <w:vAlign w:val="center"/>
          </w:tcPr>
          <w:p w14:paraId="6CF26102" w14:textId="77777777" w:rsidR="00A30F42" w:rsidRPr="00F85CA6" w:rsidRDefault="00A30F42" w:rsidP="00A30F42">
            <w:pPr>
              <w:jc w:val="center"/>
              <w:rPr>
                <w:rFonts w:eastAsia="Calibri"/>
                <w:sz w:val="22"/>
                <w:szCs w:val="22"/>
                <w:lang w:val="sr-Latn-ME" w:bidi="en-US"/>
              </w:rPr>
            </w:pPr>
          </w:p>
        </w:tc>
      </w:tr>
      <w:tr w:rsidR="00A30F42" w:rsidRPr="00F85CA6" w14:paraId="52AAD187" w14:textId="77777777" w:rsidTr="001239C3">
        <w:trPr>
          <w:trHeight w:val="20"/>
          <w:jc w:val="center"/>
        </w:trPr>
        <w:tc>
          <w:tcPr>
            <w:tcW w:w="1529" w:type="pct"/>
            <w:tcBorders>
              <w:top w:val="single" w:sz="4" w:space="0" w:color="auto"/>
              <w:left w:val="single" w:sz="4" w:space="0" w:color="auto"/>
            </w:tcBorders>
            <w:shd w:val="clear" w:color="auto" w:fill="auto"/>
            <w:vAlign w:val="center"/>
          </w:tcPr>
          <w:p w14:paraId="406C817C"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30≤ i &lt;50</w:t>
            </w:r>
          </w:p>
        </w:tc>
        <w:tc>
          <w:tcPr>
            <w:tcW w:w="1764" w:type="pct"/>
            <w:tcBorders>
              <w:top w:val="single" w:sz="4" w:space="0" w:color="auto"/>
              <w:left w:val="single" w:sz="4" w:space="0" w:color="auto"/>
            </w:tcBorders>
            <w:shd w:val="clear" w:color="auto" w:fill="auto"/>
            <w:vAlign w:val="center"/>
          </w:tcPr>
          <w:p w14:paraId="1DB04FB6"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0,89 (0,61; 1,31)</w:t>
            </w:r>
          </w:p>
        </w:tc>
        <w:tc>
          <w:tcPr>
            <w:tcW w:w="1706" w:type="pct"/>
            <w:tcBorders>
              <w:top w:val="single" w:sz="4" w:space="0" w:color="auto"/>
              <w:left w:val="single" w:sz="4" w:space="0" w:color="auto"/>
              <w:right w:val="single" w:sz="4" w:space="0" w:color="auto"/>
            </w:tcBorders>
            <w:shd w:val="clear" w:color="auto" w:fill="auto"/>
            <w:vAlign w:val="center"/>
          </w:tcPr>
          <w:p w14:paraId="0FEEAE8B"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0,48 (0,31; 0,76)</w:t>
            </w:r>
          </w:p>
        </w:tc>
      </w:tr>
      <w:tr w:rsidR="00A30F42" w:rsidRPr="00F85CA6" w14:paraId="25C9E909" w14:textId="77777777" w:rsidTr="001239C3">
        <w:trPr>
          <w:trHeight w:val="20"/>
          <w:jc w:val="center"/>
        </w:trPr>
        <w:tc>
          <w:tcPr>
            <w:tcW w:w="1529" w:type="pct"/>
            <w:tcBorders>
              <w:top w:val="single" w:sz="4" w:space="0" w:color="auto"/>
              <w:left w:val="single" w:sz="4" w:space="0" w:color="auto"/>
            </w:tcBorders>
            <w:shd w:val="clear" w:color="auto" w:fill="auto"/>
            <w:vAlign w:val="center"/>
          </w:tcPr>
          <w:p w14:paraId="7E35095F"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50≤ i &lt;80</w:t>
            </w:r>
          </w:p>
        </w:tc>
        <w:tc>
          <w:tcPr>
            <w:tcW w:w="1764" w:type="pct"/>
            <w:tcBorders>
              <w:top w:val="single" w:sz="4" w:space="0" w:color="auto"/>
              <w:left w:val="single" w:sz="4" w:space="0" w:color="auto"/>
            </w:tcBorders>
            <w:shd w:val="clear" w:color="auto" w:fill="auto"/>
            <w:vAlign w:val="center"/>
          </w:tcPr>
          <w:p w14:paraId="53B57FD7"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0,91 (0,68; 1,20)</w:t>
            </w:r>
          </w:p>
        </w:tc>
        <w:tc>
          <w:tcPr>
            <w:tcW w:w="1706" w:type="pct"/>
            <w:tcBorders>
              <w:top w:val="single" w:sz="4" w:space="0" w:color="auto"/>
              <w:left w:val="single" w:sz="4" w:space="0" w:color="auto"/>
              <w:right w:val="single" w:sz="4" w:space="0" w:color="auto"/>
            </w:tcBorders>
            <w:shd w:val="clear" w:color="auto" w:fill="auto"/>
            <w:vAlign w:val="center"/>
          </w:tcPr>
          <w:p w14:paraId="74F63E88"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0,65 (0,47; 0,88)</w:t>
            </w:r>
          </w:p>
        </w:tc>
      </w:tr>
      <w:tr w:rsidR="00A30F42" w:rsidRPr="00F85CA6" w14:paraId="1C62C57A" w14:textId="77777777" w:rsidTr="001239C3">
        <w:trPr>
          <w:trHeight w:val="20"/>
          <w:jc w:val="center"/>
        </w:trPr>
        <w:tc>
          <w:tcPr>
            <w:tcW w:w="1529" w:type="pct"/>
            <w:tcBorders>
              <w:top w:val="single" w:sz="4" w:space="0" w:color="auto"/>
              <w:left w:val="single" w:sz="4" w:space="0" w:color="auto"/>
              <w:bottom w:val="single" w:sz="4" w:space="0" w:color="auto"/>
            </w:tcBorders>
            <w:shd w:val="clear" w:color="auto" w:fill="auto"/>
            <w:vAlign w:val="center"/>
          </w:tcPr>
          <w:p w14:paraId="4DFDBB09"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≥80</w:t>
            </w:r>
          </w:p>
        </w:tc>
        <w:tc>
          <w:tcPr>
            <w:tcW w:w="1764" w:type="pct"/>
            <w:tcBorders>
              <w:top w:val="single" w:sz="4" w:space="0" w:color="auto"/>
              <w:left w:val="single" w:sz="4" w:space="0" w:color="auto"/>
              <w:bottom w:val="single" w:sz="4" w:space="0" w:color="auto"/>
            </w:tcBorders>
            <w:shd w:val="clear" w:color="auto" w:fill="auto"/>
            <w:vAlign w:val="center"/>
          </w:tcPr>
          <w:p w14:paraId="19FD2E06"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0,81 (0,51; 1,28)</w:t>
            </w: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20DB6948"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0,69 (0,43; 1,12)</w:t>
            </w:r>
          </w:p>
        </w:tc>
      </w:tr>
      <w:bookmarkEnd w:id="24"/>
    </w:tbl>
    <w:p w14:paraId="143E9664" w14:textId="77777777" w:rsidR="00A30F42" w:rsidRPr="00F85CA6" w:rsidRDefault="00A30F42" w:rsidP="00A30F42">
      <w:pPr>
        <w:jc w:val="both"/>
        <w:rPr>
          <w:rFonts w:eastAsia="Calibri"/>
          <w:sz w:val="22"/>
          <w:szCs w:val="22"/>
          <w:lang w:val="sr-Latn-ME" w:bidi="en-US"/>
        </w:rPr>
      </w:pPr>
    </w:p>
    <w:p w14:paraId="401C2F3A" w14:textId="38250668" w:rsidR="00A30F42" w:rsidRPr="00F85CA6" w:rsidRDefault="00A30F42" w:rsidP="00A30F42">
      <w:pPr>
        <w:jc w:val="both"/>
        <w:rPr>
          <w:rFonts w:eastAsia="Calibri"/>
          <w:sz w:val="22"/>
          <w:szCs w:val="22"/>
          <w:lang w:val="sr-Latn-ME"/>
        </w:rPr>
      </w:pPr>
      <w:r w:rsidRPr="00F85CA6">
        <w:rPr>
          <w:rFonts w:eastAsia="Calibri"/>
          <w:sz w:val="22"/>
          <w:szCs w:val="22"/>
          <w:lang w:val="sr-Latn-ME"/>
        </w:rPr>
        <w:t>Kod obilnijeg krvarenja kao primarnog ishoda bezb</w:t>
      </w:r>
      <w:r w:rsidR="00A94651" w:rsidRPr="00F85CA6">
        <w:rPr>
          <w:rFonts w:eastAsia="Calibri"/>
          <w:sz w:val="22"/>
          <w:szCs w:val="22"/>
          <w:lang w:val="sr-Latn-ME"/>
        </w:rPr>
        <w:t>j</w:t>
      </w:r>
      <w:r w:rsidRPr="00F85CA6">
        <w:rPr>
          <w:rFonts w:eastAsia="Calibri"/>
          <w:sz w:val="22"/>
          <w:szCs w:val="22"/>
          <w:lang w:val="sr-Latn-ME"/>
        </w:rPr>
        <w:t xml:space="preserve">ednosti, postojala je interakcija između dejstva terapije i godina starosti. Relativni rizik od krvarenja sa dabigatranom u poređenju sa varfarinom rastao je sa godinama. Relativni rizik bio je najveći kod pacijenata starosti ≥ 75 godina. Istovremena upotreba </w:t>
      </w:r>
      <w:r w:rsidRPr="00F85CA6">
        <w:rPr>
          <w:rFonts w:eastAsia="Calibri"/>
          <w:bCs/>
          <w:sz w:val="22"/>
          <w:szCs w:val="22"/>
          <w:lang w:val="sr-Latn-ME"/>
        </w:rPr>
        <w:t>antitrombocitne terapije,</w:t>
      </w:r>
      <w:r w:rsidRPr="00F85CA6">
        <w:rPr>
          <w:rFonts w:eastAsia="Calibri"/>
          <w:sz w:val="22"/>
          <w:szCs w:val="22"/>
          <w:lang w:val="sr-Latn-ME"/>
        </w:rPr>
        <w:t xml:space="preserve"> ASK ili klopidogrela približno udvostručuje stope obilnijih krvarenja </w:t>
      </w:r>
      <w:r w:rsidRPr="00F85CA6">
        <w:rPr>
          <w:rFonts w:eastAsia="Calibri"/>
          <w:bCs/>
          <w:sz w:val="22"/>
          <w:szCs w:val="22"/>
          <w:lang w:val="sr-Latn-ME"/>
        </w:rPr>
        <w:t>i sa dabigatrane</w:t>
      </w:r>
      <w:r w:rsidR="001D548A" w:rsidRPr="00F85CA6">
        <w:rPr>
          <w:rFonts w:eastAsia="Calibri"/>
          <w:bCs/>
          <w:sz w:val="22"/>
          <w:szCs w:val="22"/>
          <w:lang w:val="sr-Latn-ME"/>
        </w:rPr>
        <w:t xml:space="preserve"> </w:t>
      </w:r>
      <w:r w:rsidRPr="00F85CA6">
        <w:rPr>
          <w:rFonts w:eastAsia="Calibri"/>
          <w:bCs/>
          <w:sz w:val="22"/>
          <w:szCs w:val="22"/>
          <w:lang w:val="sr-Latn-ME"/>
        </w:rPr>
        <w:t>teksilatom i sa varfarinom</w:t>
      </w:r>
      <w:r w:rsidRPr="00F85CA6">
        <w:rPr>
          <w:rFonts w:eastAsia="Calibri"/>
          <w:sz w:val="22"/>
          <w:szCs w:val="22"/>
          <w:lang w:val="sr-Latn-ME"/>
        </w:rPr>
        <w:t>. Nije bilo značajne interakcije terapijskih dejstava sa podgrupama prema funkciji bubrega i skoru CHADS</w:t>
      </w:r>
      <w:r w:rsidRPr="00F85CA6">
        <w:rPr>
          <w:rFonts w:eastAsia="Calibri"/>
          <w:sz w:val="22"/>
          <w:szCs w:val="22"/>
          <w:vertAlign w:val="subscript"/>
          <w:lang w:val="sr-Latn-ME"/>
        </w:rPr>
        <w:t>2</w:t>
      </w:r>
      <w:r w:rsidRPr="00F85CA6">
        <w:rPr>
          <w:rFonts w:eastAsia="Calibri"/>
          <w:sz w:val="22"/>
          <w:szCs w:val="22"/>
          <w:lang w:val="sr-Latn-ME"/>
        </w:rPr>
        <w:t>.</w:t>
      </w:r>
    </w:p>
    <w:p w14:paraId="6A5CC85D" w14:textId="77777777" w:rsidR="001D548A" w:rsidRPr="00F85CA6" w:rsidRDefault="001D548A" w:rsidP="00A30F42">
      <w:pPr>
        <w:jc w:val="both"/>
        <w:rPr>
          <w:rFonts w:eastAsia="Calibri"/>
          <w:sz w:val="22"/>
          <w:szCs w:val="22"/>
          <w:lang w:val="sr-Latn-ME"/>
        </w:rPr>
      </w:pPr>
    </w:p>
    <w:p w14:paraId="5BB1758A" w14:textId="664EBCB5" w:rsidR="00A30F42" w:rsidRPr="00F85CA6" w:rsidRDefault="00A30F42" w:rsidP="00685312">
      <w:pPr>
        <w:jc w:val="center"/>
        <w:rPr>
          <w:rFonts w:eastAsia="Calibri"/>
          <w:b/>
          <w:bCs/>
          <w:sz w:val="22"/>
          <w:szCs w:val="22"/>
          <w:lang w:val="sr-Latn-ME" w:bidi="en-US"/>
        </w:rPr>
      </w:pPr>
      <w:r w:rsidRPr="00F85CA6">
        <w:rPr>
          <w:rFonts w:eastAsia="Calibri"/>
          <w:b/>
          <w:bCs/>
          <w:sz w:val="22"/>
          <w:szCs w:val="22"/>
          <w:lang w:val="sr-Latn-ME" w:bidi="en-US"/>
        </w:rPr>
        <w:t xml:space="preserve">Tabela 26: </w:t>
      </w:r>
      <w:r w:rsidRPr="00F85CA6">
        <w:rPr>
          <w:rFonts w:eastAsia="Calibri"/>
          <w:b/>
          <w:bCs/>
          <w:i/>
          <w:sz w:val="22"/>
          <w:szCs w:val="22"/>
          <w:lang w:val="sr-Latn-ME" w:bidi="en-US"/>
        </w:rPr>
        <w:t>Hazard ratio</w:t>
      </w:r>
      <w:r w:rsidRPr="00F85CA6">
        <w:rPr>
          <w:rFonts w:eastAsia="Calibri"/>
          <w:b/>
          <w:bCs/>
          <w:sz w:val="22"/>
          <w:szCs w:val="22"/>
          <w:lang w:val="sr-Latn-ME" w:bidi="en-US"/>
        </w:rPr>
        <w:t xml:space="preserve"> i 95% CI za obilnija krvarenja po podgrupama</w:t>
      </w:r>
    </w:p>
    <w:p w14:paraId="41F7047A" w14:textId="77777777" w:rsidR="00A30F42" w:rsidRPr="00F85CA6" w:rsidRDefault="00A30F42" w:rsidP="00A30F42">
      <w:pPr>
        <w:jc w:val="both"/>
        <w:rPr>
          <w:rFonts w:eastAsia="Calibri"/>
          <w:b/>
          <w:bCs/>
          <w:sz w:val="22"/>
          <w:szCs w:val="22"/>
          <w:lang w:val="sr-Latn-ME" w:bidi="en-US"/>
        </w:rPr>
      </w:pPr>
    </w:p>
    <w:tbl>
      <w:tblPr>
        <w:tblOverlap w:val="never"/>
        <w:tblW w:w="5000" w:type="pct"/>
        <w:jc w:val="center"/>
        <w:tblCellMar>
          <w:left w:w="85" w:type="dxa"/>
          <w:right w:w="85" w:type="dxa"/>
        </w:tblCellMar>
        <w:tblLook w:val="04A0" w:firstRow="1" w:lastRow="0" w:firstColumn="1" w:lastColumn="0" w:noHBand="0" w:noVBand="1"/>
      </w:tblPr>
      <w:tblGrid>
        <w:gridCol w:w="2763"/>
        <w:gridCol w:w="3208"/>
        <w:gridCol w:w="3092"/>
      </w:tblGrid>
      <w:tr w:rsidR="00A30F42" w:rsidRPr="00F85CA6" w14:paraId="458C56D8" w14:textId="77777777" w:rsidTr="001239C3">
        <w:trPr>
          <w:trHeight w:val="20"/>
          <w:jc w:val="center"/>
        </w:trPr>
        <w:tc>
          <w:tcPr>
            <w:tcW w:w="1524" w:type="pct"/>
            <w:tcBorders>
              <w:top w:val="single" w:sz="4" w:space="0" w:color="auto"/>
              <w:left w:val="single" w:sz="4" w:space="0" w:color="auto"/>
            </w:tcBorders>
            <w:shd w:val="clear" w:color="auto" w:fill="auto"/>
            <w:vAlign w:val="center"/>
          </w:tcPr>
          <w:p w14:paraId="3C7391E4" w14:textId="77777777" w:rsidR="00A30F42" w:rsidRPr="00F85CA6" w:rsidRDefault="00A30F42" w:rsidP="00A30F42">
            <w:pPr>
              <w:rPr>
                <w:rFonts w:eastAsia="Calibri"/>
                <w:sz w:val="22"/>
                <w:szCs w:val="22"/>
                <w:lang w:val="sr-Latn-ME" w:bidi="en-US"/>
              </w:rPr>
            </w:pPr>
            <w:bookmarkStart w:id="25" w:name="_Hlk83118238"/>
            <w:r w:rsidRPr="00F85CA6">
              <w:rPr>
                <w:rFonts w:eastAsia="Calibri"/>
                <w:sz w:val="22"/>
                <w:szCs w:val="22"/>
                <w:lang w:val="sr-Latn-ME" w:bidi="en-US"/>
              </w:rPr>
              <w:t>Ishod</w:t>
            </w:r>
          </w:p>
        </w:tc>
        <w:tc>
          <w:tcPr>
            <w:tcW w:w="1770" w:type="pct"/>
            <w:tcBorders>
              <w:top w:val="single" w:sz="4" w:space="0" w:color="auto"/>
              <w:left w:val="single" w:sz="4" w:space="0" w:color="auto"/>
            </w:tcBorders>
            <w:shd w:val="clear" w:color="auto" w:fill="auto"/>
            <w:vAlign w:val="center"/>
          </w:tcPr>
          <w:p w14:paraId="38B09BF0" w14:textId="1AB42B6B"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Dabigatrane</w:t>
            </w:r>
            <w:r w:rsidR="001D548A" w:rsidRPr="00F85CA6">
              <w:rPr>
                <w:rFonts w:eastAsia="Calibri"/>
                <w:sz w:val="22"/>
                <w:szCs w:val="22"/>
                <w:lang w:val="sr-Latn-ME" w:bidi="en-US"/>
              </w:rPr>
              <w:t xml:space="preserve"> </w:t>
            </w:r>
            <w:r w:rsidRPr="00F85CA6">
              <w:rPr>
                <w:rFonts w:eastAsia="Calibri"/>
                <w:sz w:val="22"/>
                <w:szCs w:val="22"/>
                <w:lang w:val="sr-Latn-ME" w:bidi="en-US"/>
              </w:rPr>
              <w:t>teksilat 110 mg dva puta dnevno prema varfarinu</w:t>
            </w:r>
          </w:p>
        </w:tc>
        <w:tc>
          <w:tcPr>
            <w:tcW w:w="1706" w:type="pct"/>
            <w:tcBorders>
              <w:top w:val="single" w:sz="4" w:space="0" w:color="auto"/>
              <w:left w:val="single" w:sz="4" w:space="0" w:color="auto"/>
              <w:right w:val="single" w:sz="4" w:space="0" w:color="auto"/>
            </w:tcBorders>
            <w:shd w:val="clear" w:color="auto" w:fill="auto"/>
            <w:vAlign w:val="center"/>
          </w:tcPr>
          <w:p w14:paraId="6A5B244C" w14:textId="3E1AB02E"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Dabigatrane</w:t>
            </w:r>
            <w:r w:rsidR="001D548A" w:rsidRPr="00F85CA6">
              <w:rPr>
                <w:rFonts w:eastAsia="Calibri"/>
                <w:sz w:val="22"/>
                <w:szCs w:val="22"/>
                <w:lang w:val="sr-Latn-ME" w:bidi="en-US"/>
              </w:rPr>
              <w:t xml:space="preserve"> </w:t>
            </w:r>
            <w:r w:rsidRPr="00F85CA6">
              <w:rPr>
                <w:rFonts w:eastAsia="Calibri"/>
                <w:sz w:val="22"/>
                <w:szCs w:val="22"/>
                <w:lang w:val="sr-Latn-ME" w:bidi="en-US"/>
              </w:rPr>
              <w:t>teksilat 150 mg dva puta dnevno prema varfarinu</w:t>
            </w:r>
          </w:p>
        </w:tc>
      </w:tr>
      <w:tr w:rsidR="00A30F42" w:rsidRPr="00F85CA6" w14:paraId="69C4A526" w14:textId="77777777" w:rsidTr="001239C3">
        <w:trPr>
          <w:trHeight w:val="20"/>
          <w:jc w:val="center"/>
        </w:trPr>
        <w:tc>
          <w:tcPr>
            <w:tcW w:w="1524" w:type="pct"/>
            <w:tcBorders>
              <w:top w:val="single" w:sz="4" w:space="0" w:color="auto"/>
              <w:left w:val="single" w:sz="4" w:space="0" w:color="auto"/>
            </w:tcBorders>
            <w:shd w:val="clear" w:color="auto" w:fill="auto"/>
            <w:vAlign w:val="center"/>
          </w:tcPr>
          <w:p w14:paraId="33EC7124" w14:textId="77777777" w:rsidR="00A30F42" w:rsidRPr="00F85CA6" w:rsidRDefault="00A30F42" w:rsidP="00A30F42">
            <w:pPr>
              <w:rPr>
                <w:rFonts w:eastAsia="Calibri"/>
                <w:sz w:val="22"/>
                <w:szCs w:val="22"/>
                <w:lang w:val="sr-Latn-ME" w:bidi="en-US"/>
              </w:rPr>
            </w:pPr>
            <w:r w:rsidRPr="00F85CA6">
              <w:rPr>
                <w:rFonts w:eastAsia="Calibri"/>
                <w:sz w:val="22"/>
                <w:szCs w:val="22"/>
                <w:lang w:val="sr-Latn-ME" w:bidi="en-US"/>
              </w:rPr>
              <w:t>Starost (godine)</w:t>
            </w:r>
          </w:p>
        </w:tc>
        <w:tc>
          <w:tcPr>
            <w:tcW w:w="1770" w:type="pct"/>
            <w:tcBorders>
              <w:top w:val="single" w:sz="4" w:space="0" w:color="auto"/>
              <w:left w:val="single" w:sz="4" w:space="0" w:color="auto"/>
            </w:tcBorders>
            <w:shd w:val="clear" w:color="auto" w:fill="auto"/>
            <w:vAlign w:val="center"/>
          </w:tcPr>
          <w:p w14:paraId="10BD2F4C" w14:textId="77777777" w:rsidR="00A30F42" w:rsidRPr="00F85CA6" w:rsidRDefault="00A30F42" w:rsidP="00A30F42">
            <w:pPr>
              <w:jc w:val="center"/>
              <w:rPr>
                <w:rFonts w:eastAsia="Calibri"/>
                <w:sz w:val="22"/>
                <w:szCs w:val="22"/>
                <w:lang w:val="sr-Latn-ME" w:bidi="en-US"/>
              </w:rPr>
            </w:pPr>
          </w:p>
        </w:tc>
        <w:tc>
          <w:tcPr>
            <w:tcW w:w="1706" w:type="pct"/>
            <w:tcBorders>
              <w:top w:val="single" w:sz="4" w:space="0" w:color="auto"/>
              <w:left w:val="single" w:sz="4" w:space="0" w:color="auto"/>
              <w:right w:val="single" w:sz="4" w:space="0" w:color="auto"/>
            </w:tcBorders>
            <w:shd w:val="clear" w:color="auto" w:fill="auto"/>
            <w:vAlign w:val="center"/>
          </w:tcPr>
          <w:p w14:paraId="44CC3972" w14:textId="77777777" w:rsidR="00A30F42" w:rsidRPr="00F85CA6" w:rsidRDefault="00A30F42" w:rsidP="00A30F42">
            <w:pPr>
              <w:jc w:val="center"/>
              <w:rPr>
                <w:rFonts w:eastAsia="Calibri"/>
                <w:sz w:val="22"/>
                <w:szCs w:val="22"/>
                <w:lang w:val="sr-Latn-ME" w:bidi="en-US"/>
              </w:rPr>
            </w:pPr>
          </w:p>
        </w:tc>
      </w:tr>
      <w:tr w:rsidR="00A30F42" w:rsidRPr="00F85CA6" w14:paraId="281EA732" w14:textId="77777777" w:rsidTr="001239C3">
        <w:trPr>
          <w:trHeight w:val="20"/>
          <w:jc w:val="center"/>
        </w:trPr>
        <w:tc>
          <w:tcPr>
            <w:tcW w:w="1524" w:type="pct"/>
            <w:tcBorders>
              <w:top w:val="single" w:sz="4" w:space="0" w:color="auto"/>
              <w:left w:val="single" w:sz="4" w:space="0" w:color="auto"/>
            </w:tcBorders>
            <w:shd w:val="clear" w:color="auto" w:fill="auto"/>
            <w:vAlign w:val="center"/>
          </w:tcPr>
          <w:p w14:paraId="3800A1BC"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&lt;65</w:t>
            </w:r>
          </w:p>
        </w:tc>
        <w:tc>
          <w:tcPr>
            <w:tcW w:w="1770" w:type="pct"/>
            <w:tcBorders>
              <w:top w:val="single" w:sz="4" w:space="0" w:color="auto"/>
              <w:left w:val="single" w:sz="4" w:space="0" w:color="auto"/>
            </w:tcBorders>
            <w:shd w:val="clear" w:color="auto" w:fill="auto"/>
            <w:vAlign w:val="center"/>
          </w:tcPr>
          <w:p w14:paraId="0B49779A"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0,32 (0,18; 0,57)</w:t>
            </w:r>
          </w:p>
        </w:tc>
        <w:tc>
          <w:tcPr>
            <w:tcW w:w="1706" w:type="pct"/>
            <w:tcBorders>
              <w:top w:val="single" w:sz="4" w:space="0" w:color="auto"/>
              <w:left w:val="single" w:sz="4" w:space="0" w:color="auto"/>
              <w:right w:val="single" w:sz="4" w:space="0" w:color="auto"/>
            </w:tcBorders>
            <w:shd w:val="clear" w:color="auto" w:fill="auto"/>
            <w:vAlign w:val="center"/>
          </w:tcPr>
          <w:p w14:paraId="1C7DFB4E"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0,35 (0,20; 0,61)</w:t>
            </w:r>
          </w:p>
        </w:tc>
      </w:tr>
      <w:tr w:rsidR="00A30F42" w:rsidRPr="00F85CA6" w14:paraId="7B40AEE0" w14:textId="77777777" w:rsidTr="001239C3">
        <w:trPr>
          <w:trHeight w:val="20"/>
          <w:jc w:val="center"/>
        </w:trPr>
        <w:tc>
          <w:tcPr>
            <w:tcW w:w="1524" w:type="pct"/>
            <w:tcBorders>
              <w:top w:val="single" w:sz="4" w:space="0" w:color="auto"/>
              <w:left w:val="single" w:sz="4" w:space="0" w:color="auto"/>
            </w:tcBorders>
            <w:shd w:val="clear" w:color="auto" w:fill="auto"/>
            <w:vAlign w:val="center"/>
          </w:tcPr>
          <w:p w14:paraId="3B00E40F"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65≤ i &lt;75</w:t>
            </w:r>
          </w:p>
        </w:tc>
        <w:tc>
          <w:tcPr>
            <w:tcW w:w="1770" w:type="pct"/>
            <w:tcBorders>
              <w:top w:val="single" w:sz="4" w:space="0" w:color="auto"/>
              <w:left w:val="single" w:sz="4" w:space="0" w:color="auto"/>
            </w:tcBorders>
            <w:shd w:val="clear" w:color="auto" w:fill="auto"/>
            <w:vAlign w:val="center"/>
          </w:tcPr>
          <w:p w14:paraId="2C39E473"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0,71 (0,56; 0,89)</w:t>
            </w:r>
          </w:p>
        </w:tc>
        <w:tc>
          <w:tcPr>
            <w:tcW w:w="1706" w:type="pct"/>
            <w:tcBorders>
              <w:top w:val="single" w:sz="4" w:space="0" w:color="auto"/>
              <w:left w:val="single" w:sz="4" w:space="0" w:color="auto"/>
              <w:right w:val="single" w:sz="4" w:space="0" w:color="auto"/>
            </w:tcBorders>
            <w:shd w:val="clear" w:color="auto" w:fill="auto"/>
            <w:vAlign w:val="center"/>
          </w:tcPr>
          <w:p w14:paraId="43FDD0D1"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0,82 (0,66; 1,03)</w:t>
            </w:r>
          </w:p>
        </w:tc>
      </w:tr>
      <w:tr w:rsidR="00A30F42" w:rsidRPr="00F85CA6" w14:paraId="6EB875E5" w14:textId="77777777" w:rsidTr="001239C3">
        <w:trPr>
          <w:trHeight w:val="20"/>
          <w:jc w:val="center"/>
        </w:trPr>
        <w:tc>
          <w:tcPr>
            <w:tcW w:w="1524" w:type="pct"/>
            <w:tcBorders>
              <w:top w:val="single" w:sz="4" w:space="0" w:color="auto"/>
              <w:left w:val="single" w:sz="4" w:space="0" w:color="auto"/>
            </w:tcBorders>
            <w:shd w:val="clear" w:color="auto" w:fill="auto"/>
            <w:vAlign w:val="center"/>
          </w:tcPr>
          <w:p w14:paraId="7B81B61E"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≥75</w:t>
            </w:r>
          </w:p>
        </w:tc>
        <w:tc>
          <w:tcPr>
            <w:tcW w:w="1770" w:type="pct"/>
            <w:tcBorders>
              <w:top w:val="single" w:sz="4" w:space="0" w:color="auto"/>
              <w:left w:val="single" w:sz="4" w:space="0" w:color="auto"/>
            </w:tcBorders>
            <w:shd w:val="clear" w:color="auto" w:fill="auto"/>
            <w:vAlign w:val="center"/>
          </w:tcPr>
          <w:p w14:paraId="3A3488B9"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1,01 (0,84; 1,23)</w:t>
            </w:r>
          </w:p>
        </w:tc>
        <w:tc>
          <w:tcPr>
            <w:tcW w:w="1706" w:type="pct"/>
            <w:tcBorders>
              <w:top w:val="single" w:sz="4" w:space="0" w:color="auto"/>
              <w:left w:val="single" w:sz="4" w:space="0" w:color="auto"/>
              <w:right w:val="single" w:sz="4" w:space="0" w:color="auto"/>
            </w:tcBorders>
            <w:shd w:val="clear" w:color="auto" w:fill="auto"/>
            <w:vAlign w:val="center"/>
          </w:tcPr>
          <w:p w14:paraId="0C6DE35F"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1,19 (0,99; 1,43)</w:t>
            </w:r>
          </w:p>
        </w:tc>
      </w:tr>
      <w:tr w:rsidR="00A30F42" w:rsidRPr="00F85CA6" w14:paraId="61BE0291" w14:textId="77777777" w:rsidTr="001239C3">
        <w:trPr>
          <w:trHeight w:val="20"/>
          <w:jc w:val="center"/>
        </w:trPr>
        <w:tc>
          <w:tcPr>
            <w:tcW w:w="1524" w:type="pct"/>
            <w:tcBorders>
              <w:top w:val="single" w:sz="4" w:space="0" w:color="auto"/>
              <w:left w:val="single" w:sz="4" w:space="0" w:color="auto"/>
            </w:tcBorders>
            <w:shd w:val="clear" w:color="auto" w:fill="auto"/>
            <w:vAlign w:val="center"/>
          </w:tcPr>
          <w:p w14:paraId="358FCFD9"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≥80</w:t>
            </w:r>
          </w:p>
        </w:tc>
        <w:tc>
          <w:tcPr>
            <w:tcW w:w="1770" w:type="pct"/>
            <w:tcBorders>
              <w:top w:val="single" w:sz="4" w:space="0" w:color="auto"/>
              <w:left w:val="single" w:sz="4" w:space="0" w:color="auto"/>
            </w:tcBorders>
            <w:shd w:val="clear" w:color="auto" w:fill="auto"/>
            <w:vAlign w:val="center"/>
          </w:tcPr>
          <w:p w14:paraId="692582D5"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1,14 (0,86; 1,51)</w:t>
            </w:r>
          </w:p>
        </w:tc>
        <w:tc>
          <w:tcPr>
            <w:tcW w:w="1706" w:type="pct"/>
            <w:tcBorders>
              <w:top w:val="single" w:sz="4" w:space="0" w:color="auto"/>
              <w:left w:val="single" w:sz="4" w:space="0" w:color="auto"/>
              <w:right w:val="single" w:sz="4" w:space="0" w:color="auto"/>
            </w:tcBorders>
            <w:shd w:val="clear" w:color="auto" w:fill="auto"/>
            <w:vAlign w:val="center"/>
          </w:tcPr>
          <w:p w14:paraId="5F191EC3"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1,35 (1,03; 1,76)</w:t>
            </w:r>
          </w:p>
        </w:tc>
      </w:tr>
      <w:tr w:rsidR="00A30F42" w:rsidRPr="00F85CA6" w14:paraId="03296377" w14:textId="77777777" w:rsidTr="001239C3">
        <w:trPr>
          <w:trHeight w:val="20"/>
          <w:jc w:val="center"/>
        </w:trPr>
        <w:tc>
          <w:tcPr>
            <w:tcW w:w="1524" w:type="pct"/>
            <w:tcBorders>
              <w:top w:val="single" w:sz="4" w:space="0" w:color="auto"/>
              <w:left w:val="single" w:sz="4" w:space="0" w:color="auto"/>
            </w:tcBorders>
            <w:shd w:val="clear" w:color="auto" w:fill="auto"/>
            <w:vAlign w:val="center"/>
          </w:tcPr>
          <w:p w14:paraId="51756BD0" w14:textId="77777777" w:rsidR="00A30F42" w:rsidRPr="00F85CA6" w:rsidRDefault="00A30F42" w:rsidP="00A30F42">
            <w:pPr>
              <w:rPr>
                <w:rFonts w:eastAsia="Calibri"/>
                <w:sz w:val="22"/>
                <w:szCs w:val="22"/>
                <w:lang w:val="sr-Latn-ME" w:bidi="en-US"/>
              </w:rPr>
            </w:pPr>
            <w:r w:rsidRPr="00F85CA6">
              <w:rPr>
                <w:rFonts w:eastAsia="Calibri"/>
                <w:sz w:val="22"/>
                <w:szCs w:val="22"/>
                <w:lang w:val="sr-Latn-ME" w:bidi="en-US"/>
              </w:rPr>
              <w:t>CrCL(mL/min)</w:t>
            </w:r>
          </w:p>
        </w:tc>
        <w:tc>
          <w:tcPr>
            <w:tcW w:w="1770" w:type="pct"/>
            <w:tcBorders>
              <w:top w:val="single" w:sz="4" w:space="0" w:color="auto"/>
              <w:left w:val="single" w:sz="4" w:space="0" w:color="auto"/>
            </w:tcBorders>
            <w:shd w:val="clear" w:color="auto" w:fill="auto"/>
            <w:vAlign w:val="center"/>
          </w:tcPr>
          <w:p w14:paraId="20B5DD10" w14:textId="77777777" w:rsidR="00A30F42" w:rsidRPr="00F85CA6" w:rsidRDefault="00A30F42" w:rsidP="00A30F42">
            <w:pPr>
              <w:jc w:val="center"/>
              <w:rPr>
                <w:rFonts w:eastAsia="Calibri"/>
                <w:sz w:val="22"/>
                <w:szCs w:val="22"/>
                <w:lang w:val="sr-Latn-ME" w:bidi="en-US"/>
              </w:rPr>
            </w:pPr>
          </w:p>
        </w:tc>
        <w:tc>
          <w:tcPr>
            <w:tcW w:w="1706" w:type="pct"/>
            <w:tcBorders>
              <w:top w:val="single" w:sz="4" w:space="0" w:color="auto"/>
              <w:left w:val="single" w:sz="4" w:space="0" w:color="auto"/>
              <w:right w:val="single" w:sz="4" w:space="0" w:color="auto"/>
            </w:tcBorders>
            <w:shd w:val="clear" w:color="auto" w:fill="auto"/>
            <w:vAlign w:val="center"/>
          </w:tcPr>
          <w:p w14:paraId="7BEE61C3" w14:textId="77777777" w:rsidR="00A30F42" w:rsidRPr="00F85CA6" w:rsidRDefault="00A30F42" w:rsidP="00A30F42">
            <w:pPr>
              <w:jc w:val="center"/>
              <w:rPr>
                <w:rFonts w:eastAsia="Calibri"/>
                <w:sz w:val="22"/>
                <w:szCs w:val="22"/>
                <w:lang w:val="sr-Latn-ME" w:bidi="en-US"/>
              </w:rPr>
            </w:pPr>
          </w:p>
        </w:tc>
      </w:tr>
      <w:tr w:rsidR="00A30F42" w:rsidRPr="00F85CA6" w14:paraId="4D7A3FAB" w14:textId="77777777" w:rsidTr="001239C3">
        <w:trPr>
          <w:trHeight w:val="20"/>
          <w:jc w:val="center"/>
        </w:trPr>
        <w:tc>
          <w:tcPr>
            <w:tcW w:w="1524" w:type="pct"/>
            <w:tcBorders>
              <w:top w:val="single" w:sz="4" w:space="0" w:color="auto"/>
              <w:left w:val="single" w:sz="4" w:space="0" w:color="auto"/>
            </w:tcBorders>
            <w:shd w:val="clear" w:color="auto" w:fill="auto"/>
            <w:vAlign w:val="center"/>
          </w:tcPr>
          <w:p w14:paraId="65D975D0"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30≤ i &lt;50</w:t>
            </w:r>
          </w:p>
        </w:tc>
        <w:tc>
          <w:tcPr>
            <w:tcW w:w="1770" w:type="pct"/>
            <w:tcBorders>
              <w:top w:val="single" w:sz="4" w:space="0" w:color="auto"/>
              <w:left w:val="single" w:sz="4" w:space="0" w:color="auto"/>
            </w:tcBorders>
            <w:shd w:val="clear" w:color="auto" w:fill="auto"/>
            <w:vAlign w:val="center"/>
          </w:tcPr>
          <w:p w14:paraId="6289A57F"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1,02 (0,79; 1,32)</w:t>
            </w:r>
          </w:p>
        </w:tc>
        <w:tc>
          <w:tcPr>
            <w:tcW w:w="1706" w:type="pct"/>
            <w:tcBorders>
              <w:top w:val="single" w:sz="4" w:space="0" w:color="auto"/>
              <w:left w:val="single" w:sz="4" w:space="0" w:color="auto"/>
              <w:right w:val="single" w:sz="4" w:space="0" w:color="auto"/>
            </w:tcBorders>
            <w:shd w:val="clear" w:color="auto" w:fill="auto"/>
            <w:vAlign w:val="center"/>
          </w:tcPr>
          <w:p w14:paraId="559EF06C"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0,94 (0,73; 1,22)</w:t>
            </w:r>
          </w:p>
        </w:tc>
      </w:tr>
      <w:tr w:rsidR="00A30F42" w:rsidRPr="00F85CA6" w14:paraId="493D94AE" w14:textId="77777777" w:rsidTr="001239C3">
        <w:trPr>
          <w:trHeight w:val="20"/>
          <w:jc w:val="center"/>
        </w:trPr>
        <w:tc>
          <w:tcPr>
            <w:tcW w:w="1524" w:type="pct"/>
            <w:tcBorders>
              <w:top w:val="single" w:sz="4" w:space="0" w:color="auto"/>
              <w:left w:val="single" w:sz="4" w:space="0" w:color="auto"/>
            </w:tcBorders>
            <w:shd w:val="clear" w:color="auto" w:fill="auto"/>
            <w:vAlign w:val="center"/>
          </w:tcPr>
          <w:p w14:paraId="65E95431"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50≤ i &lt;80</w:t>
            </w:r>
          </w:p>
        </w:tc>
        <w:tc>
          <w:tcPr>
            <w:tcW w:w="1770" w:type="pct"/>
            <w:tcBorders>
              <w:top w:val="single" w:sz="4" w:space="0" w:color="auto"/>
              <w:left w:val="single" w:sz="4" w:space="0" w:color="auto"/>
            </w:tcBorders>
            <w:shd w:val="clear" w:color="auto" w:fill="auto"/>
            <w:vAlign w:val="center"/>
          </w:tcPr>
          <w:p w14:paraId="434FCA2C"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0,75 (0,61; 0,92)</w:t>
            </w:r>
          </w:p>
        </w:tc>
        <w:tc>
          <w:tcPr>
            <w:tcW w:w="1706" w:type="pct"/>
            <w:tcBorders>
              <w:top w:val="single" w:sz="4" w:space="0" w:color="auto"/>
              <w:left w:val="single" w:sz="4" w:space="0" w:color="auto"/>
              <w:right w:val="single" w:sz="4" w:space="0" w:color="auto"/>
            </w:tcBorders>
            <w:shd w:val="clear" w:color="auto" w:fill="auto"/>
            <w:vAlign w:val="center"/>
          </w:tcPr>
          <w:p w14:paraId="670BC2D0"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0,90 (0,74; 1,09)</w:t>
            </w:r>
          </w:p>
        </w:tc>
      </w:tr>
      <w:tr w:rsidR="00A30F42" w:rsidRPr="00F85CA6" w14:paraId="4C9AAF95" w14:textId="77777777" w:rsidTr="001239C3">
        <w:trPr>
          <w:trHeight w:val="20"/>
          <w:jc w:val="center"/>
        </w:trPr>
        <w:tc>
          <w:tcPr>
            <w:tcW w:w="1524" w:type="pct"/>
            <w:tcBorders>
              <w:top w:val="single" w:sz="4" w:space="0" w:color="auto"/>
              <w:left w:val="single" w:sz="4" w:space="0" w:color="auto"/>
            </w:tcBorders>
            <w:shd w:val="clear" w:color="auto" w:fill="auto"/>
            <w:vAlign w:val="center"/>
          </w:tcPr>
          <w:p w14:paraId="5A7DBF5C"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≥80</w:t>
            </w:r>
          </w:p>
        </w:tc>
        <w:tc>
          <w:tcPr>
            <w:tcW w:w="1770" w:type="pct"/>
            <w:tcBorders>
              <w:top w:val="single" w:sz="4" w:space="0" w:color="auto"/>
              <w:left w:val="single" w:sz="4" w:space="0" w:color="auto"/>
            </w:tcBorders>
            <w:shd w:val="clear" w:color="auto" w:fill="auto"/>
            <w:vAlign w:val="center"/>
          </w:tcPr>
          <w:p w14:paraId="252318B2"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0,59 (0,43; 0,82)</w:t>
            </w:r>
          </w:p>
        </w:tc>
        <w:tc>
          <w:tcPr>
            <w:tcW w:w="1706" w:type="pct"/>
            <w:tcBorders>
              <w:top w:val="single" w:sz="4" w:space="0" w:color="auto"/>
              <w:left w:val="single" w:sz="4" w:space="0" w:color="auto"/>
              <w:right w:val="single" w:sz="4" w:space="0" w:color="auto"/>
            </w:tcBorders>
            <w:shd w:val="clear" w:color="auto" w:fill="auto"/>
            <w:vAlign w:val="center"/>
          </w:tcPr>
          <w:p w14:paraId="4E772A32"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0,87 (0,65; 1,17)</w:t>
            </w:r>
          </w:p>
        </w:tc>
      </w:tr>
      <w:tr w:rsidR="00A30F42" w:rsidRPr="00F85CA6" w14:paraId="2C14BAC9" w14:textId="77777777" w:rsidTr="001239C3">
        <w:trPr>
          <w:trHeight w:val="20"/>
          <w:jc w:val="center"/>
        </w:trPr>
        <w:tc>
          <w:tcPr>
            <w:tcW w:w="1524" w:type="pct"/>
            <w:tcBorders>
              <w:top w:val="single" w:sz="4" w:space="0" w:color="auto"/>
              <w:left w:val="single" w:sz="4" w:space="0" w:color="auto"/>
            </w:tcBorders>
            <w:shd w:val="clear" w:color="auto" w:fill="auto"/>
            <w:vAlign w:val="center"/>
          </w:tcPr>
          <w:p w14:paraId="654EC4CA" w14:textId="133994FF"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Prim</w:t>
            </w:r>
            <w:r w:rsidR="0047239C" w:rsidRPr="00F85CA6">
              <w:rPr>
                <w:rFonts w:eastAsia="Calibri"/>
                <w:sz w:val="22"/>
                <w:szCs w:val="22"/>
                <w:lang w:val="sr-Latn-ME" w:bidi="en-US"/>
              </w:rPr>
              <w:t>j</w:t>
            </w:r>
            <w:r w:rsidRPr="00F85CA6">
              <w:rPr>
                <w:rFonts w:eastAsia="Calibri"/>
                <w:sz w:val="22"/>
                <w:szCs w:val="22"/>
                <w:lang w:val="sr-Latn-ME" w:bidi="en-US"/>
              </w:rPr>
              <w:t>ena ASK</w:t>
            </w:r>
          </w:p>
        </w:tc>
        <w:tc>
          <w:tcPr>
            <w:tcW w:w="1770" w:type="pct"/>
            <w:tcBorders>
              <w:top w:val="single" w:sz="4" w:space="0" w:color="auto"/>
              <w:left w:val="single" w:sz="4" w:space="0" w:color="auto"/>
            </w:tcBorders>
            <w:shd w:val="clear" w:color="auto" w:fill="auto"/>
            <w:vAlign w:val="center"/>
          </w:tcPr>
          <w:p w14:paraId="19E0552C"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0,84 (0,69; 1,03)</w:t>
            </w:r>
          </w:p>
        </w:tc>
        <w:tc>
          <w:tcPr>
            <w:tcW w:w="1706" w:type="pct"/>
            <w:tcBorders>
              <w:top w:val="single" w:sz="4" w:space="0" w:color="auto"/>
              <w:left w:val="single" w:sz="4" w:space="0" w:color="auto"/>
              <w:right w:val="single" w:sz="4" w:space="0" w:color="auto"/>
            </w:tcBorders>
            <w:shd w:val="clear" w:color="auto" w:fill="auto"/>
            <w:vAlign w:val="center"/>
          </w:tcPr>
          <w:p w14:paraId="4E304004"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0,97 (0,79; 1,18)</w:t>
            </w:r>
          </w:p>
        </w:tc>
      </w:tr>
      <w:tr w:rsidR="00A30F42" w:rsidRPr="00F85CA6" w14:paraId="1F11FCD5" w14:textId="77777777" w:rsidTr="001239C3">
        <w:trPr>
          <w:trHeight w:val="20"/>
          <w:jc w:val="center"/>
        </w:trPr>
        <w:tc>
          <w:tcPr>
            <w:tcW w:w="1524" w:type="pct"/>
            <w:tcBorders>
              <w:top w:val="single" w:sz="4" w:space="0" w:color="auto"/>
              <w:left w:val="single" w:sz="4" w:space="0" w:color="auto"/>
              <w:bottom w:val="single" w:sz="4" w:space="0" w:color="auto"/>
            </w:tcBorders>
            <w:shd w:val="clear" w:color="auto" w:fill="auto"/>
            <w:vAlign w:val="center"/>
          </w:tcPr>
          <w:p w14:paraId="324E88FD" w14:textId="2315AEF0"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Prim</w:t>
            </w:r>
            <w:r w:rsidR="0047239C" w:rsidRPr="00F85CA6">
              <w:rPr>
                <w:rFonts w:eastAsia="Calibri"/>
                <w:sz w:val="22"/>
                <w:szCs w:val="22"/>
                <w:lang w:val="sr-Latn-ME" w:bidi="en-US"/>
              </w:rPr>
              <w:t>j</w:t>
            </w:r>
            <w:r w:rsidRPr="00F85CA6">
              <w:rPr>
                <w:rFonts w:eastAsia="Calibri"/>
                <w:sz w:val="22"/>
                <w:szCs w:val="22"/>
                <w:lang w:val="sr-Latn-ME" w:bidi="en-US"/>
              </w:rPr>
              <w:t>ena klopidogrela</w:t>
            </w:r>
          </w:p>
        </w:tc>
        <w:tc>
          <w:tcPr>
            <w:tcW w:w="1770" w:type="pct"/>
            <w:tcBorders>
              <w:top w:val="single" w:sz="4" w:space="0" w:color="auto"/>
              <w:left w:val="single" w:sz="4" w:space="0" w:color="auto"/>
              <w:bottom w:val="single" w:sz="4" w:space="0" w:color="auto"/>
            </w:tcBorders>
            <w:shd w:val="clear" w:color="auto" w:fill="auto"/>
            <w:vAlign w:val="center"/>
          </w:tcPr>
          <w:p w14:paraId="09EA0ED5"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0,89 (0,55; 1,45)</w:t>
            </w:r>
          </w:p>
        </w:tc>
        <w:tc>
          <w:tcPr>
            <w:tcW w:w="1706" w:type="pct"/>
            <w:tcBorders>
              <w:top w:val="single" w:sz="4" w:space="0" w:color="auto"/>
              <w:left w:val="single" w:sz="4" w:space="0" w:color="auto"/>
              <w:bottom w:val="single" w:sz="4" w:space="0" w:color="auto"/>
              <w:right w:val="single" w:sz="4" w:space="0" w:color="auto"/>
            </w:tcBorders>
            <w:shd w:val="clear" w:color="auto" w:fill="auto"/>
            <w:vAlign w:val="center"/>
          </w:tcPr>
          <w:p w14:paraId="7347A857" w14:textId="77777777" w:rsidR="00A30F42" w:rsidRPr="00F85CA6" w:rsidRDefault="00A30F42" w:rsidP="00A30F42">
            <w:pPr>
              <w:jc w:val="center"/>
              <w:rPr>
                <w:rFonts w:eastAsia="Calibri"/>
                <w:sz w:val="22"/>
                <w:szCs w:val="22"/>
                <w:lang w:val="sr-Latn-ME" w:bidi="en-US"/>
              </w:rPr>
            </w:pPr>
            <w:r w:rsidRPr="00F85CA6">
              <w:rPr>
                <w:rFonts w:eastAsia="Calibri"/>
                <w:sz w:val="22"/>
                <w:szCs w:val="22"/>
                <w:lang w:val="sr-Latn-ME" w:bidi="en-US"/>
              </w:rPr>
              <w:t>0,92 (0,57; 1,48)</w:t>
            </w:r>
          </w:p>
        </w:tc>
      </w:tr>
      <w:bookmarkEnd w:id="25"/>
    </w:tbl>
    <w:p w14:paraId="101D2829" w14:textId="77777777" w:rsidR="00A30F42" w:rsidRPr="00F85CA6" w:rsidRDefault="00A30F42" w:rsidP="00A30F42">
      <w:pPr>
        <w:jc w:val="both"/>
        <w:rPr>
          <w:rFonts w:eastAsia="Calibri"/>
          <w:sz w:val="22"/>
          <w:szCs w:val="22"/>
          <w:lang w:val="sr-Latn-ME" w:bidi="en-US"/>
        </w:rPr>
      </w:pPr>
    </w:p>
    <w:p w14:paraId="43DCFDC2" w14:textId="47C04472" w:rsidR="00A30F42" w:rsidRDefault="00A30F42" w:rsidP="00A30F42">
      <w:pPr>
        <w:jc w:val="both"/>
        <w:rPr>
          <w:rFonts w:eastAsia="Calibri"/>
          <w:bCs/>
          <w:i/>
          <w:iCs/>
          <w:sz w:val="22"/>
          <w:szCs w:val="22"/>
          <w:lang w:val="sr-Latn-ME"/>
        </w:rPr>
      </w:pPr>
      <w:r w:rsidRPr="00F85CA6">
        <w:rPr>
          <w:rFonts w:eastAsia="Calibri"/>
          <w:bCs/>
          <w:i/>
          <w:iCs/>
          <w:sz w:val="22"/>
          <w:szCs w:val="22"/>
          <w:lang w:val="sr-Latn-ME"/>
        </w:rPr>
        <w:t>RELY-ABLE (Dugotrajni, multicentrični produžetak terapije dabigatranom kod pacijenata sa atrijalnom fibrilacijom koji su završili učešće u ispitivanju RE-LY)</w:t>
      </w:r>
    </w:p>
    <w:p w14:paraId="360E9877" w14:textId="77777777" w:rsidR="00F85CA6" w:rsidRPr="00F85CA6" w:rsidRDefault="00F85CA6" w:rsidP="00A30F42">
      <w:pPr>
        <w:jc w:val="both"/>
        <w:rPr>
          <w:rFonts w:eastAsia="Calibri"/>
          <w:bCs/>
          <w:i/>
          <w:iCs/>
          <w:sz w:val="22"/>
          <w:szCs w:val="22"/>
          <w:lang w:val="sr-Latn-ME"/>
        </w:rPr>
      </w:pPr>
    </w:p>
    <w:p w14:paraId="0FFFE295" w14:textId="3D7BA878" w:rsidR="00A30F42" w:rsidRPr="00F85CA6" w:rsidRDefault="00A30F42" w:rsidP="00A30F42">
      <w:pPr>
        <w:jc w:val="both"/>
        <w:rPr>
          <w:rFonts w:eastAsia="Calibri"/>
          <w:bCs/>
          <w:sz w:val="22"/>
          <w:szCs w:val="22"/>
          <w:lang w:val="sr-Latn-ME"/>
        </w:rPr>
      </w:pPr>
      <w:r w:rsidRPr="00F85CA6">
        <w:rPr>
          <w:rFonts w:eastAsia="Calibri"/>
          <w:bCs/>
          <w:sz w:val="22"/>
          <w:szCs w:val="22"/>
          <w:lang w:val="sr-Latn-ME"/>
        </w:rPr>
        <w:t>Produžetak studije RE-LY (RELY-ABLE) pružio je dodatne bezb</w:t>
      </w:r>
      <w:r w:rsidR="00A94651" w:rsidRPr="00F85CA6">
        <w:rPr>
          <w:rFonts w:eastAsia="Calibri"/>
          <w:bCs/>
          <w:sz w:val="22"/>
          <w:szCs w:val="22"/>
          <w:lang w:val="sr-Latn-ME"/>
        </w:rPr>
        <w:t>j</w:t>
      </w:r>
      <w:r w:rsidRPr="00F85CA6">
        <w:rPr>
          <w:rFonts w:eastAsia="Calibri"/>
          <w:bCs/>
          <w:sz w:val="22"/>
          <w:szCs w:val="22"/>
          <w:lang w:val="sr-Latn-ME"/>
        </w:rPr>
        <w:t>ednosne informacije za kohortu pacijenata koja je nastavila da prima istu dozu dabigatraneteksilata kao onu koja im je bila određena u ispitivanju RE-LY. Pacijenti su bili pogodni za ispitivanje RELY-ABLE ako ni</w:t>
      </w:r>
      <w:r w:rsidR="0047239C" w:rsidRPr="00F85CA6">
        <w:rPr>
          <w:rFonts w:eastAsia="Calibri"/>
          <w:bCs/>
          <w:sz w:val="22"/>
          <w:szCs w:val="22"/>
          <w:lang w:val="sr-Latn-ME"/>
        </w:rPr>
        <w:t>je</w:t>
      </w:r>
      <w:r w:rsidRPr="00F85CA6">
        <w:rPr>
          <w:rFonts w:eastAsia="Calibri"/>
          <w:bCs/>
          <w:sz w:val="22"/>
          <w:szCs w:val="22"/>
          <w:lang w:val="sr-Latn-ME"/>
        </w:rPr>
        <w:t>su trajno prekinuli prim</w:t>
      </w:r>
      <w:r w:rsidR="00A94651" w:rsidRPr="00F85CA6">
        <w:rPr>
          <w:rFonts w:eastAsia="Calibri"/>
          <w:bCs/>
          <w:sz w:val="22"/>
          <w:szCs w:val="22"/>
          <w:lang w:val="sr-Latn-ME"/>
        </w:rPr>
        <w:t>j</w:t>
      </w:r>
      <w:r w:rsidRPr="00F85CA6">
        <w:rPr>
          <w:rFonts w:eastAsia="Calibri"/>
          <w:bCs/>
          <w:sz w:val="22"/>
          <w:szCs w:val="22"/>
          <w:lang w:val="sr-Latn-ME"/>
        </w:rPr>
        <w:t>enu ispitivanog l</w:t>
      </w:r>
      <w:r w:rsidR="00A94651" w:rsidRPr="00F85CA6">
        <w:rPr>
          <w:rFonts w:eastAsia="Calibri"/>
          <w:bCs/>
          <w:sz w:val="22"/>
          <w:szCs w:val="22"/>
          <w:lang w:val="sr-Latn-ME"/>
        </w:rPr>
        <w:t>ij</w:t>
      </w:r>
      <w:r w:rsidRPr="00F85CA6">
        <w:rPr>
          <w:rFonts w:eastAsia="Calibri"/>
          <w:bCs/>
          <w:sz w:val="22"/>
          <w:szCs w:val="22"/>
          <w:lang w:val="sr-Latn-ME"/>
        </w:rPr>
        <w:t>eka u vr</w:t>
      </w:r>
      <w:r w:rsidR="00A94651" w:rsidRPr="00F85CA6">
        <w:rPr>
          <w:rFonts w:eastAsia="Calibri"/>
          <w:bCs/>
          <w:sz w:val="22"/>
          <w:szCs w:val="22"/>
          <w:lang w:val="sr-Latn-ME"/>
        </w:rPr>
        <w:t>ij</w:t>
      </w:r>
      <w:r w:rsidRPr="00F85CA6">
        <w:rPr>
          <w:rFonts w:eastAsia="Calibri"/>
          <w:bCs/>
          <w:sz w:val="22"/>
          <w:szCs w:val="22"/>
          <w:lang w:val="sr-Latn-ME"/>
        </w:rPr>
        <w:t>eme njihove zaključne pos</w:t>
      </w:r>
      <w:r w:rsidR="00A94651" w:rsidRPr="00F85CA6">
        <w:rPr>
          <w:rFonts w:eastAsia="Calibri"/>
          <w:bCs/>
          <w:sz w:val="22"/>
          <w:szCs w:val="22"/>
          <w:lang w:val="sr-Latn-ME"/>
        </w:rPr>
        <w:t>j</w:t>
      </w:r>
      <w:r w:rsidRPr="00F85CA6">
        <w:rPr>
          <w:rFonts w:eastAsia="Calibri"/>
          <w:bCs/>
          <w:sz w:val="22"/>
          <w:szCs w:val="22"/>
          <w:lang w:val="sr-Latn-ME"/>
        </w:rPr>
        <w:t>ete u sklopu ispitivanja RE-LY. Uključeni pacijenti su nastavili da primaju istu dvostruko maskiranu dozu dabigatraneteksilata koja im je nasumično dod</w:t>
      </w:r>
      <w:r w:rsidR="00A94651" w:rsidRPr="00F85CA6">
        <w:rPr>
          <w:rFonts w:eastAsia="Calibri"/>
          <w:bCs/>
          <w:sz w:val="22"/>
          <w:szCs w:val="22"/>
          <w:lang w:val="sr-Latn-ME"/>
        </w:rPr>
        <w:t>ij</w:t>
      </w:r>
      <w:r w:rsidRPr="00F85CA6">
        <w:rPr>
          <w:rFonts w:eastAsia="Calibri"/>
          <w:bCs/>
          <w:sz w:val="22"/>
          <w:szCs w:val="22"/>
          <w:lang w:val="sr-Latn-ME"/>
        </w:rPr>
        <w:t>eljena u ispitivanju RE-LY, u trajanju do 43 m</w:t>
      </w:r>
      <w:r w:rsidR="00F71160" w:rsidRPr="00F85CA6">
        <w:rPr>
          <w:rFonts w:eastAsia="Calibri"/>
          <w:bCs/>
          <w:sz w:val="22"/>
          <w:szCs w:val="22"/>
          <w:lang w:val="sr-Latn-ME"/>
        </w:rPr>
        <w:t>j</w:t>
      </w:r>
      <w:r w:rsidRPr="00F85CA6">
        <w:rPr>
          <w:rFonts w:eastAsia="Calibri"/>
          <w:bCs/>
          <w:sz w:val="22"/>
          <w:szCs w:val="22"/>
          <w:lang w:val="sr-Latn-ME"/>
        </w:rPr>
        <w:t>eseca praćenja nakon ispitivanja RE-LY (ukupna srednja vr</w:t>
      </w:r>
      <w:r w:rsidR="00A94651" w:rsidRPr="00F85CA6">
        <w:rPr>
          <w:rFonts w:eastAsia="Calibri"/>
          <w:bCs/>
          <w:sz w:val="22"/>
          <w:szCs w:val="22"/>
          <w:lang w:val="sr-Latn-ME"/>
        </w:rPr>
        <w:t>ij</w:t>
      </w:r>
      <w:r w:rsidRPr="00F85CA6">
        <w:rPr>
          <w:rFonts w:eastAsia="Calibri"/>
          <w:bCs/>
          <w:sz w:val="22"/>
          <w:szCs w:val="22"/>
          <w:lang w:val="sr-Latn-ME"/>
        </w:rPr>
        <w:t>ednost praćenja za RE-LY + RELY-ABLE bila je 4,5 godine). Uključeno je bilo 5897 pacijenata, koji su predstavljali 49% pacijenata od prvobitno nasumično odabranih da primaju dabigatrane</w:t>
      </w:r>
      <w:r w:rsidR="001D548A" w:rsidRPr="00F85CA6">
        <w:rPr>
          <w:rFonts w:eastAsia="Calibri"/>
          <w:bCs/>
          <w:sz w:val="22"/>
          <w:szCs w:val="22"/>
          <w:lang w:val="sr-Latn-ME"/>
        </w:rPr>
        <w:t xml:space="preserve"> </w:t>
      </w:r>
      <w:r w:rsidRPr="00F85CA6">
        <w:rPr>
          <w:rFonts w:eastAsia="Calibri"/>
          <w:bCs/>
          <w:sz w:val="22"/>
          <w:szCs w:val="22"/>
          <w:lang w:val="sr-Latn-ME"/>
        </w:rPr>
        <w:t xml:space="preserve">teksilat u studiji RE-LY, kao i 86% pacijenata koji su bili pogodni za studiju RELY-ABLE. </w:t>
      </w:r>
    </w:p>
    <w:p w14:paraId="66A41F34" w14:textId="65504E74" w:rsidR="00A30F42" w:rsidRPr="00F85CA6" w:rsidRDefault="00A30F42" w:rsidP="00A30F42">
      <w:pPr>
        <w:jc w:val="both"/>
        <w:rPr>
          <w:rFonts w:eastAsia="Calibri"/>
          <w:bCs/>
          <w:sz w:val="22"/>
          <w:szCs w:val="22"/>
          <w:lang w:val="sr-Latn-ME"/>
        </w:rPr>
      </w:pPr>
      <w:r w:rsidRPr="00F85CA6">
        <w:rPr>
          <w:rFonts w:eastAsia="Calibri"/>
          <w:bCs/>
          <w:sz w:val="22"/>
          <w:szCs w:val="22"/>
          <w:lang w:val="sr-Latn-ME"/>
        </w:rPr>
        <w:t>Tokom dodatne 2,5 godine terapije u studiji RELY-ABLE, uz maksimalnu izloženost od preko 6 godina (ukupna izloženost u RELY + RELY-ABLE), dugo</w:t>
      </w:r>
      <w:r w:rsidR="001D548A" w:rsidRPr="00F85CA6">
        <w:rPr>
          <w:rFonts w:eastAsia="Calibri"/>
          <w:bCs/>
          <w:sz w:val="22"/>
          <w:szCs w:val="22"/>
          <w:lang w:val="sr-Latn-ME"/>
        </w:rPr>
        <w:t>trajan</w:t>
      </w:r>
      <w:r w:rsidRPr="00F85CA6">
        <w:rPr>
          <w:rFonts w:eastAsia="Calibri"/>
          <w:bCs/>
          <w:sz w:val="22"/>
          <w:szCs w:val="22"/>
          <w:lang w:val="sr-Latn-ME"/>
        </w:rPr>
        <w:t xml:space="preserve"> profil bezb</w:t>
      </w:r>
      <w:r w:rsidR="00A94651" w:rsidRPr="00F85CA6">
        <w:rPr>
          <w:rFonts w:eastAsia="Calibri"/>
          <w:bCs/>
          <w:sz w:val="22"/>
          <w:szCs w:val="22"/>
          <w:lang w:val="sr-Latn-ME"/>
        </w:rPr>
        <w:t>j</w:t>
      </w:r>
      <w:r w:rsidRPr="00F85CA6">
        <w:rPr>
          <w:rFonts w:eastAsia="Calibri"/>
          <w:bCs/>
          <w:sz w:val="22"/>
          <w:szCs w:val="22"/>
          <w:lang w:val="sr-Latn-ME"/>
        </w:rPr>
        <w:t>ednosti dabigatraneteksilata potvrđen je za ob</w:t>
      </w:r>
      <w:r w:rsidR="0047239C" w:rsidRPr="00F85CA6">
        <w:rPr>
          <w:rFonts w:eastAsia="Calibri"/>
          <w:bCs/>
          <w:sz w:val="22"/>
          <w:szCs w:val="22"/>
          <w:lang w:val="sr-Latn-ME"/>
        </w:rPr>
        <w:t>j</w:t>
      </w:r>
      <w:r w:rsidRPr="00F85CA6">
        <w:rPr>
          <w:rFonts w:eastAsia="Calibri"/>
          <w:bCs/>
          <w:sz w:val="22"/>
          <w:szCs w:val="22"/>
          <w:lang w:val="sr-Latn-ME"/>
        </w:rPr>
        <w:t>e ispitivane doze, 110 mg dva puta dnevno i 150 mg dva puta dnevno. Ni</w:t>
      </w:r>
      <w:r w:rsidR="001D548A" w:rsidRPr="00F85CA6">
        <w:rPr>
          <w:rFonts w:eastAsia="Calibri"/>
          <w:bCs/>
          <w:sz w:val="22"/>
          <w:szCs w:val="22"/>
          <w:lang w:val="sr-Latn-ME"/>
        </w:rPr>
        <w:t>je</w:t>
      </w:r>
      <w:r w:rsidRPr="00F85CA6">
        <w:rPr>
          <w:rFonts w:eastAsia="Calibri"/>
          <w:bCs/>
          <w:sz w:val="22"/>
          <w:szCs w:val="22"/>
          <w:lang w:val="sr-Latn-ME"/>
        </w:rPr>
        <w:t>su prim</w:t>
      </w:r>
      <w:r w:rsidR="00A94651" w:rsidRPr="00F85CA6">
        <w:rPr>
          <w:rFonts w:eastAsia="Calibri"/>
          <w:bCs/>
          <w:sz w:val="22"/>
          <w:szCs w:val="22"/>
          <w:lang w:val="sr-Latn-ME"/>
        </w:rPr>
        <w:t>ij</w:t>
      </w:r>
      <w:r w:rsidRPr="00F85CA6">
        <w:rPr>
          <w:rFonts w:eastAsia="Calibri"/>
          <w:bCs/>
          <w:sz w:val="22"/>
          <w:szCs w:val="22"/>
          <w:lang w:val="sr-Latn-ME"/>
        </w:rPr>
        <w:t>ećeni novi bezb</w:t>
      </w:r>
      <w:r w:rsidR="00A94651" w:rsidRPr="00F85CA6">
        <w:rPr>
          <w:rFonts w:eastAsia="Calibri"/>
          <w:bCs/>
          <w:sz w:val="22"/>
          <w:szCs w:val="22"/>
          <w:lang w:val="sr-Latn-ME"/>
        </w:rPr>
        <w:t>j</w:t>
      </w:r>
      <w:r w:rsidRPr="00F85CA6">
        <w:rPr>
          <w:rFonts w:eastAsia="Calibri"/>
          <w:bCs/>
          <w:sz w:val="22"/>
          <w:szCs w:val="22"/>
          <w:lang w:val="sr-Latn-ME"/>
        </w:rPr>
        <w:t xml:space="preserve">ednosni nalazi. </w:t>
      </w:r>
    </w:p>
    <w:p w14:paraId="414E0D1E" w14:textId="77777777" w:rsidR="00A30F42" w:rsidRPr="00F85CA6" w:rsidRDefault="00A30F42" w:rsidP="00A30F42">
      <w:pPr>
        <w:jc w:val="both"/>
        <w:rPr>
          <w:rFonts w:eastAsia="Calibri"/>
          <w:bCs/>
          <w:sz w:val="22"/>
          <w:szCs w:val="22"/>
          <w:lang w:val="sr-Latn-ME"/>
        </w:rPr>
      </w:pPr>
      <w:r w:rsidRPr="00F85CA6">
        <w:rPr>
          <w:rFonts w:eastAsia="Calibri"/>
          <w:bCs/>
          <w:sz w:val="22"/>
          <w:szCs w:val="22"/>
          <w:lang w:val="sr-Latn-ME"/>
        </w:rPr>
        <w:t>Stope ishoda događaja, uključujući obilnije krvarenje i druge događaje krvarenja, bile su u skladu sa onima zapaženim u ispitivanju RE-LY.</w:t>
      </w:r>
    </w:p>
    <w:p w14:paraId="6A5A2212" w14:textId="77777777" w:rsidR="00A30F42" w:rsidRPr="00F85CA6" w:rsidRDefault="00A30F42" w:rsidP="00A30F42">
      <w:pPr>
        <w:jc w:val="both"/>
        <w:rPr>
          <w:rFonts w:eastAsia="Calibri"/>
          <w:sz w:val="22"/>
          <w:szCs w:val="22"/>
          <w:lang w:val="sr-Latn-ME" w:bidi="en-US"/>
        </w:rPr>
      </w:pPr>
    </w:p>
    <w:p w14:paraId="2A9E2F6F" w14:textId="54DE97D3" w:rsidR="00A30F42" w:rsidRPr="00F85CA6" w:rsidRDefault="00A30F42" w:rsidP="00A30F42">
      <w:pPr>
        <w:jc w:val="both"/>
        <w:rPr>
          <w:rFonts w:eastAsia="Calibri"/>
          <w:bCs/>
          <w:i/>
          <w:sz w:val="22"/>
          <w:szCs w:val="22"/>
          <w:lang w:val="sr-Latn-ME"/>
        </w:rPr>
      </w:pPr>
      <w:r w:rsidRPr="00F85CA6">
        <w:rPr>
          <w:rFonts w:eastAsia="Calibri"/>
          <w:bCs/>
          <w:i/>
          <w:sz w:val="22"/>
          <w:szCs w:val="22"/>
          <w:lang w:val="sr-Latn-ME"/>
        </w:rPr>
        <w:lastRenderedPageBreak/>
        <w:t xml:space="preserve">Podaci iz neintervencijskih studija </w:t>
      </w:r>
    </w:p>
    <w:p w14:paraId="118E887F" w14:textId="18D00F14" w:rsidR="00A30F42" w:rsidRPr="00F85CA6" w:rsidRDefault="00A30F42" w:rsidP="00A30F42">
      <w:pPr>
        <w:jc w:val="both"/>
        <w:rPr>
          <w:rFonts w:eastAsia="Calibri"/>
          <w:sz w:val="22"/>
          <w:szCs w:val="22"/>
          <w:lang w:val="sr-Latn-ME"/>
        </w:rPr>
      </w:pPr>
      <w:r w:rsidRPr="00F85CA6">
        <w:rPr>
          <w:rFonts w:eastAsia="Calibri"/>
          <w:sz w:val="22"/>
          <w:szCs w:val="22"/>
          <w:lang w:val="sr-Latn-ME"/>
        </w:rPr>
        <w:t>Neintervencijska studija (GLORIA-AF) je prospektivno prikupila (u svojoj drugoj fazi) podatke o bezb</w:t>
      </w:r>
      <w:r w:rsidR="00A94651" w:rsidRPr="00F85CA6">
        <w:rPr>
          <w:rFonts w:eastAsia="Calibri"/>
          <w:sz w:val="22"/>
          <w:szCs w:val="22"/>
          <w:lang w:val="sr-Latn-ME"/>
        </w:rPr>
        <w:t>j</w:t>
      </w:r>
      <w:r w:rsidRPr="00F85CA6">
        <w:rPr>
          <w:rFonts w:eastAsia="Calibri"/>
          <w:sz w:val="22"/>
          <w:szCs w:val="22"/>
          <w:lang w:val="sr-Latn-ME"/>
        </w:rPr>
        <w:t>ednosti i efektivnosti dabigatraneteksilata u stvarnim uslovima l</w:t>
      </w:r>
      <w:r w:rsidR="00A94651" w:rsidRPr="00F85CA6">
        <w:rPr>
          <w:rFonts w:eastAsia="Calibri"/>
          <w:sz w:val="22"/>
          <w:szCs w:val="22"/>
          <w:lang w:val="sr-Latn-ME"/>
        </w:rPr>
        <w:t>ij</w:t>
      </w:r>
      <w:r w:rsidRPr="00F85CA6">
        <w:rPr>
          <w:rFonts w:eastAsia="Calibri"/>
          <w:sz w:val="22"/>
          <w:szCs w:val="22"/>
          <w:lang w:val="sr-Latn-ME"/>
        </w:rPr>
        <w:t>ečenja kod novodijagnostikovanih pacijenata sa NVAF. Studija je uključila 4859 pacijenata na dabigatrane</w:t>
      </w:r>
      <w:r w:rsidR="001D548A" w:rsidRPr="00F85CA6">
        <w:rPr>
          <w:rFonts w:eastAsia="Calibri"/>
          <w:sz w:val="22"/>
          <w:szCs w:val="22"/>
          <w:lang w:val="sr-Latn-ME"/>
        </w:rPr>
        <w:t xml:space="preserve"> </w:t>
      </w:r>
      <w:r w:rsidRPr="00F85CA6">
        <w:rPr>
          <w:rFonts w:eastAsia="Calibri"/>
          <w:sz w:val="22"/>
          <w:szCs w:val="22"/>
          <w:lang w:val="sr-Latn-ME"/>
        </w:rPr>
        <w:t>teksilatu (55% je bilo l</w:t>
      </w:r>
      <w:r w:rsidR="00A94651" w:rsidRPr="00F85CA6">
        <w:rPr>
          <w:rFonts w:eastAsia="Calibri"/>
          <w:sz w:val="22"/>
          <w:szCs w:val="22"/>
          <w:lang w:val="sr-Latn-ME"/>
        </w:rPr>
        <w:t>ij</w:t>
      </w:r>
      <w:r w:rsidRPr="00F85CA6">
        <w:rPr>
          <w:rFonts w:eastAsia="Calibri"/>
          <w:sz w:val="22"/>
          <w:szCs w:val="22"/>
          <w:lang w:val="sr-Latn-ME"/>
        </w:rPr>
        <w:t>ečeno dozom od 150 mg dva puta dnevno, 43% bilo je l</w:t>
      </w:r>
      <w:r w:rsidR="00A3012C" w:rsidRPr="00F85CA6">
        <w:rPr>
          <w:rFonts w:eastAsia="Calibri"/>
          <w:sz w:val="22"/>
          <w:szCs w:val="22"/>
          <w:lang w:val="sr-Latn-ME"/>
        </w:rPr>
        <w:t>ij</w:t>
      </w:r>
      <w:r w:rsidRPr="00F85CA6">
        <w:rPr>
          <w:rFonts w:eastAsia="Calibri"/>
          <w:sz w:val="22"/>
          <w:szCs w:val="22"/>
          <w:lang w:val="sr-Latn-ME"/>
        </w:rPr>
        <w:t>ečeno dozom od 110 mg dva puta dnevno, 2% bilo je l</w:t>
      </w:r>
      <w:r w:rsidR="00A3012C" w:rsidRPr="00F85CA6">
        <w:rPr>
          <w:rFonts w:eastAsia="Calibri"/>
          <w:sz w:val="22"/>
          <w:szCs w:val="22"/>
          <w:lang w:val="sr-Latn-ME"/>
        </w:rPr>
        <w:t>ij</w:t>
      </w:r>
      <w:r w:rsidRPr="00F85CA6">
        <w:rPr>
          <w:rFonts w:eastAsia="Calibri"/>
          <w:sz w:val="22"/>
          <w:szCs w:val="22"/>
          <w:lang w:val="sr-Latn-ME"/>
        </w:rPr>
        <w:t>ečeno dozom od 75 mg dva puta dnevno). Pacijenti su praćeni tokom 2 godine. Srednja vr</w:t>
      </w:r>
      <w:r w:rsidR="00F71160" w:rsidRPr="00F85CA6">
        <w:rPr>
          <w:rFonts w:eastAsia="Calibri"/>
          <w:sz w:val="22"/>
          <w:szCs w:val="22"/>
          <w:lang w:val="sr-Latn-ME"/>
        </w:rPr>
        <w:t>ij</w:t>
      </w:r>
      <w:r w:rsidRPr="00F85CA6">
        <w:rPr>
          <w:rFonts w:eastAsia="Calibri"/>
          <w:sz w:val="22"/>
          <w:szCs w:val="22"/>
          <w:lang w:val="sr-Latn-ME"/>
        </w:rPr>
        <w:t>ednost skorova CHADS</w:t>
      </w:r>
      <w:r w:rsidRPr="00F85CA6">
        <w:rPr>
          <w:rFonts w:eastAsia="Calibri"/>
          <w:sz w:val="22"/>
          <w:szCs w:val="22"/>
          <w:vertAlign w:val="subscript"/>
          <w:lang w:val="sr-Latn-ME"/>
        </w:rPr>
        <w:t>2</w:t>
      </w:r>
      <w:r w:rsidRPr="00F85CA6">
        <w:rPr>
          <w:rFonts w:eastAsia="Calibri"/>
          <w:sz w:val="22"/>
          <w:szCs w:val="22"/>
          <w:lang w:val="sr-Latn-ME"/>
        </w:rPr>
        <w:t xml:space="preserve"> i HAS-BLED bila je 1,9, odnosno 1,2. Srednja vr</w:t>
      </w:r>
      <w:r w:rsidR="00A3012C" w:rsidRPr="00F85CA6">
        <w:rPr>
          <w:rFonts w:eastAsia="Calibri"/>
          <w:sz w:val="22"/>
          <w:szCs w:val="22"/>
          <w:lang w:val="sr-Latn-ME"/>
        </w:rPr>
        <w:t>ij</w:t>
      </w:r>
      <w:r w:rsidRPr="00F85CA6">
        <w:rPr>
          <w:rFonts w:eastAsia="Calibri"/>
          <w:sz w:val="22"/>
          <w:szCs w:val="22"/>
          <w:lang w:val="sr-Latn-ME"/>
        </w:rPr>
        <w:t>ednost vremena praćenja tokom terapije bila je 18,3 m</w:t>
      </w:r>
      <w:r w:rsidR="00F71160" w:rsidRPr="00F85CA6">
        <w:rPr>
          <w:rFonts w:eastAsia="Calibri"/>
          <w:sz w:val="22"/>
          <w:szCs w:val="22"/>
          <w:lang w:val="sr-Latn-ME"/>
        </w:rPr>
        <w:t>j</w:t>
      </w:r>
      <w:r w:rsidRPr="00F85CA6">
        <w:rPr>
          <w:rFonts w:eastAsia="Calibri"/>
          <w:sz w:val="22"/>
          <w:szCs w:val="22"/>
          <w:lang w:val="sr-Latn-ME"/>
        </w:rPr>
        <w:t>esec</w:t>
      </w:r>
      <w:r w:rsidR="003376AE" w:rsidRPr="00F85CA6">
        <w:rPr>
          <w:rFonts w:eastAsia="Calibri"/>
          <w:sz w:val="22"/>
          <w:szCs w:val="22"/>
          <w:lang w:val="sr-Latn-ME"/>
        </w:rPr>
        <w:t>i</w:t>
      </w:r>
      <w:r w:rsidRPr="00F85CA6">
        <w:rPr>
          <w:rFonts w:eastAsia="Calibri"/>
          <w:sz w:val="22"/>
          <w:szCs w:val="22"/>
          <w:lang w:val="sr-Latn-ME"/>
        </w:rPr>
        <w:t>. Obilnije krvarenje javilo se kod 0,97 na 100 pacijent-godina. Krvarenje opasno po život je prijavljeno kod 0,46 na 100 pacijent-godina, intrakranijalna hemoragija kod 0,17 na 100 pacijent-godina i gastrointestinalno krvarenje kod 0,60 na 100 pacijent-godina. Moždani udar se javio kod 0,65 na 100 pacijent-godina.</w:t>
      </w:r>
    </w:p>
    <w:p w14:paraId="24173B71" w14:textId="77777777" w:rsidR="00A30F42" w:rsidRPr="00F85CA6" w:rsidRDefault="00A30F42" w:rsidP="00A30F42">
      <w:pPr>
        <w:jc w:val="both"/>
        <w:rPr>
          <w:rFonts w:eastAsia="Calibri"/>
          <w:sz w:val="22"/>
          <w:szCs w:val="22"/>
          <w:lang w:val="sr-Latn-ME"/>
        </w:rPr>
      </w:pPr>
    </w:p>
    <w:p w14:paraId="2A502695" w14:textId="2999143E" w:rsidR="00A30F42" w:rsidRPr="00F85CA6" w:rsidRDefault="00A30F42" w:rsidP="00A30F42">
      <w:pPr>
        <w:jc w:val="both"/>
        <w:rPr>
          <w:rFonts w:eastAsia="Calibri"/>
          <w:sz w:val="22"/>
          <w:szCs w:val="22"/>
          <w:lang w:val="sr-Latn-ME"/>
        </w:rPr>
      </w:pPr>
      <w:r w:rsidRPr="00F85CA6">
        <w:rPr>
          <w:rFonts w:eastAsia="Calibri"/>
          <w:bCs/>
          <w:sz w:val="22"/>
          <w:szCs w:val="22"/>
          <w:lang w:val="sr-Latn-ME"/>
        </w:rPr>
        <w:t xml:space="preserve">Pored toga, u neintervencijskoj studiji </w:t>
      </w:r>
      <w:r w:rsidRPr="00F85CA6">
        <w:rPr>
          <w:rFonts w:eastAsia="Calibri"/>
          <w:sz w:val="22"/>
          <w:szCs w:val="22"/>
          <w:lang w:val="sr-Latn-ME"/>
        </w:rPr>
        <w:t>[Graham DJ et al., Circulation. 2015;131:157-164] na više od 134</w:t>
      </w:r>
      <w:r w:rsidR="001D548A" w:rsidRPr="00F85CA6">
        <w:rPr>
          <w:rFonts w:eastAsia="Calibri"/>
          <w:sz w:val="22"/>
          <w:szCs w:val="22"/>
          <w:lang w:val="sr-Latn-ME"/>
        </w:rPr>
        <w:t xml:space="preserve"> </w:t>
      </w:r>
      <w:r w:rsidRPr="00F85CA6">
        <w:rPr>
          <w:rFonts w:eastAsia="Calibri"/>
          <w:sz w:val="22"/>
          <w:szCs w:val="22"/>
          <w:lang w:val="sr-Latn-ME"/>
        </w:rPr>
        <w:t>000 starijih pacijenata sa NVAF u Sjedinjenim Američkim Državama (što je rezultovalo vremenom praćenja od više od 37</w:t>
      </w:r>
      <w:r w:rsidR="001D548A" w:rsidRPr="00F85CA6">
        <w:rPr>
          <w:rFonts w:eastAsia="Calibri"/>
          <w:sz w:val="22"/>
          <w:szCs w:val="22"/>
          <w:lang w:val="sr-Latn-ME"/>
        </w:rPr>
        <w:t xml:space="preserve"> </w:t>
      </w:r>
      <w:r w:rsidRPr="00F85CA6">
        <w:rPr>
          <w:rFonts w:eastAsia="Calibri"/>
          <w:sz w:val="22"/>
          <w:szCs w:val="22"/>
          <w:lang w:val="sr-Latn-ME"/>
        </w:rPr>
        <w:t>500 pacijent-godina tokom terapije), dabigatrane</w:t>
      </w:r>
      <w:r w:rsidR="001D548A" w:rsidRPr="00F85CA6">
        <w:rPr>
          <w:rFonts w:eastAsia="Calibri"/>
          <w:sz w:val="22"/>
          <w:szCs w:val="22"/>
          <w:lang w:val="sr-Latn-ME"/>
        </w:rPr>
        <w:t xml:space="preserve"> </w:t>
      </w:r>
      <w:r w:rsidRPr="00F85CA6">
        <w:rPr>
          <w:rFonts w:eastAsia="Calibri"/>
          <w:sz w:val="22"/>
          <w:szCs w:val="22"/>
          <w:lang w:val="sr-Latn-ME"/>
        </w:rPr>
        <w:t>teksilat (84% pacijenata l</w:t>
      </w:r>
      <w:r w:rsidR="00A3012C" w:rsidRPr="00F85CA6">
        <w:rPr>
          <w:rFonts w:eastAsia="Calibri"/>
          <w:sz w:val="22"/>
          <w:szCs w:val="22"/>
          <w:lang w:val="sr-Latn-ME"/>
        </w:rPr>
        <w:t>ij</w:t>
      </w:r>
      <w:r w:rsidRPr="00F85CA6">
        <w:rPr>
          <w:rFonts w:eastAsia="Calibri"/>
          <w:sz w:val="22"/>
          <w:szCs w:val="22"/>
          <w:lang w:val="sr-Latn-ME"/>
        </w:rPr>
        <w:t>ečenih dozom od 150 mg dva puta dnevno, 16% pacijenata l</w:t>
      </w:r>
      <w:r w:rsidR="00A3012C" w:rsidRPr="00F85CA6">
        <w:rPr>
          <w:rFonts w:eastAsia="Calibri"/>
          <w:sz w:val="22"/>
          <w:szCs w:val="22"/>
          <w:lang w:val="sr-Latn-ME"/>
        </w:rPr>
        <w:t>ij</w:t>
      </w:r>
      <w:r w:rsidRPr="00F85CA6">
        <w:rPr>
          <w:rFonts w:eastAsia="Calibri"/>
          <w:sz w:val="22"/>
          <w:szCs w:val="22"/>
          <w:lang w:val="sr-Latn-ME"/>
        </w:rPr>
        <w:t>ečenih dozom od 75 mg dva puta dnevno) je bio povezan sa smanjenim rizikom od ishemijskog moždanog udara (</w:t>
      </w:r>
      <w:r w:rsidRPr="00F85CA6">
        <w:rPr>
          <w:rFonts w:eastAsia="Calibri"/>
          <w:i/>
          <w:sz w:val="22"/>
          <w:szCs w:val="22"/>
          <w:lang w:val="sr-Latn-ME"/>
        </w:rPr>
        <w:t>hazard ratio</w:t>
      </w:r>
      <w:r w:rsidRPr="00F85CA6">
        <w:rPr>
          <w:rFonts w:eastAsia="Calibri"/>
          <w:sz w:val="22"/>
          <w:szCs w:val="22"/>
          <w:lang w:val="sr-Latn-ME"/>
        </w:rPr>
        <w:t xml:space="preserve"> 0,80, 95% interval pouzdanosti [CI] 0,67 – 0,96), intrakranijalnog krvarenja (</w:t>
      </w:r>
      <w:r w:rsidRPr="00F85CA6">
        <w:rPr>
          <w:rFonts w:eastAsia="Calibri"/>
          <w:i/>
          <w:sz w:val="22"/>
          <w:szCs w:val="22"/>
          <w:lang w:val="sr-Latn-ME"/>
        </w:rPr>
        <w:t>hazard ratio</w:t>
      </w:r>
      <w:r w:rsidRPr="00F85CA6">
        <w:rPr>
          <w:rFonts w:eastAsia="Calibri"/>
          <w:sz w:val="22"/>
          <w:szCs w:val="22"/>
          <w:lang w:val="sr-Latn-ME"/>
        </w:rPr>
        <w:t> 0,34, CI 0,26 – 0,46) i mortaliteta (</w:t>
      </w:r>
      <w:r w:rsidRPr="00F85CA6">
        <w:rPr>
          <w:rFonts w:eastAsia="Calibri"/>
          <w:i/>
          <w:sz w:val="22"/>
          <w:szCs w:val="22"/>
          <w:lang w:val="sr-Latn-ME"/>
        </w:rPr>
        <w:t>hazadr ratio</w:t>
      </w:r>
      <w:r w:rsidRPr="00F85CA6">
        <w:rPr>
          <w:rFonts w:eastAsia="Calibri"/>
          <w:sz w:val="22"/>
          <w:szCs w:val="22"/>
          <w:lang w:val="sr-Latn-ME"/>
        </w:rPr>
        <w:t xml:space="preserve"> 0,86, CI 0,77 – 0,96) i sa povećanim rizikom od gastrointestinalnog krvarenja (</w:t>
      </w:r>
      <w:r w:rsidRPr="00F85CA6">
        <w:rPr>
          <w:rFonts w:eastAsia="Calibri"/>
          <w:i/>
          <w:sz w:val="22"/>
          <w:szCs w:val="22"/>
          <w:lang w:val="sr-Latn-ME"/>
        </w:rPr>
        <w:t>hazard ratio</w:t>
      </w:r>
      <w:r w:rsidRPr="00F85CA6">
        <w:rPr>
          <w:rFonts w:eastAsia="Calibri"/>
          <w:sz w:val="22"/>
          <w:szCs w:val="22"/>
          <w:lang w:val="sr-Latn-ME"/>
        </w:rPr>
        <w:t xml:space="preserve"> 1,28, CI 1,14 – 1,44) u poređenju sa varfarinom. Za obilnije krvarenje nije bila pronađena razlika (</w:t>
      </w:r>
      <w:r w:rsidRPr="00F85CA6">
        <w:rPr>
          <w:rFonts w:eastAsia="Calibri"/>
          <w:i/>
          <w:sz w:val="22"/>
          <w:szCs w:val="22"/>
          <w:lang w:val="sr-Latn-ME"/>
        </w:rPr>
        <w:t>hazard ratio</w:t>
      </w:r>
      <w:r w:rsidRPr="00F85CA6">
        <w:rPr>
          <w:rFonts w:eastAsia="Calibri"/>
          <w:sz w:val="22"/>
          <w:szCs w:val="22"/>
          <w:lang w:val="sr-Latn-ME"/>
        </w:rPr>
        <w:t xml:space="preserve"> 0,97, CI 0,88 – 1,07).</w:t>
      </w:r>
    </w:p>
    <w:p w14:paraId="5FE4F55F" w14:textId="77777777" w:rsidR="00A30F42" w:rsidRPr="00F85CA6" w:rsidRDefault="00A30F42" w:rsidP="00A30F42">
      <w:pPr>
        <w:jc w:val="both"/>
        <w:rPr>
          <w:rFonts w:eastAsia="Calibri"/>
          <w:sz w:val="22"/>
          <w:szCs w:val="22"/>
          <w:lang w:val="sr-Latn-ME"/>
        </w:rPr>
      </w:pPr>
    </w:p>
    <w:p w14:paraId="6DA63625" w14:textId="75C6F11E" w:rsidR="00A30F42" w:rsidRPr="00F85CA6" w:rsidRDefault="00A30F42" w:rsidP="00A30F42">
      <w:pPr>
        <w:jc w:val="both"/>
        <w:rPr>
          <w:rFonts w:eastAsia="Calibri"/>
          <w:sz w:val="22"/>
          <w:szCs w:val="22"/>
          <w:lang w:val="sr-Latn-ME"/>
        </w:rPr>
      </w:pPr>
      <w:r w:rsidRPr="00F85CA6">
        <w:rPr>
          <w:rFonts w:eastAsia="Calibri"/>
          <w:sz w:val="22"/>
          <w:szCs w:val="22"/>
          <w:lang w:val="sr-Latn-ME"/>
        </w:rPr>
        <w:t>Ova zapažanja u stvarnim uslovima l</w:t>
      </w:r>
      <w:r w:rsidR="00A3012C" w:rsidRPr="00F85CA6">
        <w:rPr>
          <w:rFonts w:eastAsia="Calibri"/>
          <w:sz w:val="22"/>
          <w:szCs w:val="22"/>
          <w:lang w:val="sr-Latn-ME"/>
        </w:rPr>
        <w:t>ij</w:t>
      </w:r>
      <w:r w:rsidRPr="00F85CA6">
        <w:rPr>
          <w:rFonts w:eastAsia="Calibri"/>
          <w:sz w:val="22"/>
          <w:szCs w:val="22"/>
          <w:lang w:val="sr-Latn-ME"/>
        </w:rPr>
        <w:t>ečenja su u skladu sa profilom bezb</w:t>
      </w:r>
      <w:r w:rsidR="00A3012C" w:rsidRPr="00F85CA6">
        <w:rPr>
          <w:rFonts w:eastAsia="Calibri"/>
          <w:sz w:val="22"/>
          <w:szCs w:val="22"/>
          <w:lang w:val="sr-Latn-ME"/>
        </w:rPr>
        <w:t>j</w:t>
      </w:r>
      <w:r w:rsidRPr="00F85CA6">
        <w:rPr>
          <w:rFonts w:eastAsia="Calibri"/>
          <w:sz w:val="22"/>
          <w:szCs w:val="22"/>
          <w:lang w:val="sr-Latn-ME"/>
        </w:rPr>
        <w:t>ednosti i efikasnosti dabigatraneteksilata ustanovljenim za ovu indikaciju u studiji RE-LY.</w:t>
      </w:r>
    </w:p>
    <w:p w14:paraId="7F5FA390" w14:textId="77777777" w:rsidR="00A30F42" w:rsidRPr="00F85CA6" w:rsidRDefault="00A30F42" w:rsidP="00A30F42">
      <w:pPr>
        <w:jc w:val="both"/>
        <w:rPr>
          <w:rFonts w:eastAsia="Calibri"/>
          <w:i/>
          <w:iCs/>
          <w:sz w:val="22"/>
          <w:szCs w:val="22"/>
          <w:lang w:val="sr-Latn-ME" w:bidi="en-US"/>
        </w:rPr>
      </w:pPr>
    </w:p>
    <w:p w14:paraId="51EB6626" w14:textId="7A7351C4" w:rsidR="00A30F42" w:rsidRPr="00F85CA6" w:rsidRDefault="00A30F42" w:rsidP="00A30F42">
      <w:pPr>
        <w:jc w:val="both"/>
        <w:rPr>
          <w:rFonts w:eastAsia="Calibri"/>
          <w:sz w:val="22"/>
          <w:szCs w:val="22"/>
          <w:lang w:val="sr-Latn-ME" w:bidi="en-US"/>
        </w:rPr>
      </w:pPr>
      <w:r w:rsidRPr="00F85CA6">
        <w:rPr>
          <w:rFonts w:eastAsia="Calibri"/>
          <w:i/>
          <w:iCs/>
          <w:sz w:val="22"/>
          <w:szCs w:val="22"/>
          <w:lang w:val="sr-Latn-ME" w:bidi="en-US"/>
        </w:rPr>
        <w:t>Pacijenti koji se podvrgavaju perkutanoj koronarnoj intervenciji (engl. percutaneous coronary intervention, PCI) sa ugradnjom stenta</w:t>
      </w:r>
    </w:p>
    <w:p w14:paraId="4EBAA6C1" w14:textId="53279865" w:rsidR="00A30F42" w:rsidRPr="00F85CA6" w:rsidRDefault="00A30F42" w:rsidP="00A30F42">
      <w:pPr>
        <w:jc w:val="both"/>
        <w:rPr>
          <w:rFonts w:eastAsia="Calibri"/>
          <w:sz w:val="22"/>
          <w:szCs w:val="22"/>
          <w:lang w:val="sr-Latn-ME"/>
        </w:rPr>
      </w:pPr>
      <w:r w:rsidRPr="00F85CA6">
        <w:rPr>
          <w:rFonts w:eastAsia="Calibri"/>
          <w:bCs/>
          <w:sz w:val="22"/>
          <w:szCs w:val="22"/>
          <w:lang w:val="sr-Latn-ME"/>
        </w:rPr>
        <w:t>Prospektivna, randomizovana, otvorena studija (faze IIIb) sa maskir</w:t>
      </w:r>
      <w:r w:rsidR="003376AE" w:rsidRPr="00F85CA6">
        <w:rPr>
          <w:rFonts w:eastAsia="Calibri"/>
          <w:bCs/>
          <w:sz w:val="22"/>
          <w:szCs w:val="22"/>
          <w:lang w:val="sr-Latn-ME"/>
        </w:rPr>
        <w:t>a</w:t>
      </w:r>
      <w:r w:rsidRPr="00F85CA6">
        <w:rPr>
          <w:rFonts w:eastAsia="Calibri"/>
          <w:bCs/>
          <w:sz w:val="22"/>
          <w:szCs w:val="22"/>
          <w:lang w:val="sr-Latn-ME"/>
        </w:rPr>
        <w:t>nim ishodom (PROBE) za proc</w:t>
      </w:r>
      <w:r w:rsidR="00A3012C" w:rsidRPr="00F85CA6">
        <w:rPr>
          <w:rFonts w:eastAsia="Calibri"/>
          <w:bCs/>
          <w:sz w:val="22"/>
          <w:szCs w:val="22"/>
          <w:lang w:val="sr-Latn-ME"/>
        </w:rPr>
        <w:t>j</w:t>
      </w:r>
      <w:r w:rsidRPr="00F85CA6">
        <w:rPr>
          <w:rFonts w:eastAsia="Calibri"/>
          <w:bCs/>
          <w:sz w:val="22"/>
          <w:szCs w:val="22"/>
          <w:lang w:val="sr-Latn-ME"/>
        </w:rPr>
        <w:t>enu dvojne terapije dabigatrane</w:t>
      </w:r>
      <w:r w:rsidR="001D548A" w:rsidRPr="00F85CA6">
        <w:rPr>
          <w:rFonts w:eastAsia="Calibri"/>
          <w:bCs/>
          <w:sz w:val="22"/>
          <w:szCs w:val="22"/>
          <w:lang w:val="sr-Latn-ME"/>
        </w:rPr>
        <w:t xml:space="preserve"> </w:t>
      </w:r>
      <w:r w:rsidRPr="00F85CA6">
        <w:rPr>
          <w:rFonts w:eastAsia="Calibri"/>
          <w:bCs/>
          <w:sz w:val="22"/>
          <w:szCs w:val="22"/>
          <w:lang w:val="sr-Latn-ME"/>
        </w:rPr>
        <w:t xml:space="preserve">teksilatom (110 mg ili 150 mg dva puta dnevno) plus klopidogrel ili tikagrelor (antagonisti receptora P2Y12) naspram trojne terapije varfarinom (uz prilagođeni INR 2,0 </w:t>
      </w:r>
      <w:r w:rsidRPr="00F85CA6">
        <w:rPr>
          <w:rFonts w:eastAsia="Calibri"/>
          <w:sz w:val="22"/>
          <w:szCs w:val="22"/>
          <w:lang w:val="sr-Latn-ME"/>
        </w:rPr>
        <w:t>– 3,0) plus klopidogrel ili tikagrelor i ASK, bila je sprovedena kod 2725 pacijenata sa nevalvularnom atrijalnom fibrilacijom koji su bili podvrgnuti zahvatu PCI sa ugradnjom stenta (RE</w:t>
      </w:r>
      <w:r w:rsidRPr="00F85CA6">
        <w:rPr>
          <w:rFonts w:eastAsia="Calibri"/>
          <w:sz w:val="22"/>
          <w:szCs w:val="22"/>
          <w:lang w:val="sr-Latn-ME"/>
        </w:rPr>
        <w:noBreakHyphen/>
        <w:t>DUAL PCI). Pacijenti su bili randominizovani u grupu koja je primala dvojnu terapiju dabigatrane</w:t>
      </w:r>
      <w:r w:rsidR="001D548A" w:rsidRPr="00F85CA6">
        <w:rPr>
          <w:rFonts w:eastAsia="Calibri"/>
          <w:sz w:val="22"/>
          <w:szCs w:val="22"/>
          <w:lang w:val="sr-Latn-ME"/>
        </w:rPr>
        <w:t xml:space="preserve"> </w:t>
      </w:r>
      <w:r w:rsidRPr="00F85CA6">
        <w:rPr>
          <w:rFonts w:eastAsia="Calibri"/>
          <w:sz w:val="22"/>
          <w:szCs w:val="22"/>
          <w:lang w:val="sr-Latn-ME"/>
        </w:rPr>
        <w:t>teksilatom 110 mg dva puta dnevno, grupu koja je primala dvojnu terapiju dabigatrane</w:t>
      </w:r>
      <w:r w:rsidR="001D548A" w:rsidRPr="00F85CA6">
        <w:rPr>
          <w:rFonts w:eastAsia="Calibri"/>
          <w:sz w:val="22"/>
          <w:szCs w:val="22"/>
          <w:lang w:val="sr-Latn-ME"/>
        </w:rPr>
        <w:t xml:space="preserve"> </w:t>
      </w:r>
      <w:r w:rsidRPr="00F85CA6">
        <w:rPr>
          <w:rFonts w:eastAsia="Calibri"/>
          <w:sz w:val="22"/>
          <w:szCs w:val="22"/>
          <w:lang w:val="sr-Latn-ME"/>
        </w:rPr>
        <w:t>teksilatom 150 mg dva puta dnevno ili grupu koja je primala trojnu terapiju varfarinom. Stariji pacijenti izvan Sjedinjenih Američkih Država (≥</w:t>
      </w:r>
      <w:r w:rsidR="001D548A" w:rsidRPr="00F85CA6">
        <w:rPr>
          <w:rFonts w:eastAsia="Calibri"/>
          <w:sz w:val="22"/>
          <w:szCs w:val="22"/>
          <w:lang w:val="sr-Latn-ME"/>
        </w:rPr>
        <w:t xml:space="preserve"> </w:t>
      </w:r>
      <w:r w:rsidRPr="00F85CA6">
        <w:rPr>
          <w:rFonts w:eastAsia="Calibri"/>
          <w:sz w:val="22"/>
          <w:szCs w:val="22"/>
          <w:lang w:val="sr-Latn-ME"/>
        </w:rPr>
        <w:t>80 godina starosti u svim državama, ≥</w:t>
      </w:r>
      <w:r w:rsidR="001D548A" w:rsidRPr="00F85CA6">
        <w:rPr>
          <w:rFonts w:eastAsia="Calibri"/>
          <w:sz w:val="22"/>
          <w:szCs w:val="22"/>
          <w:lang w:val="sr-Latn-ME"/>
        </w:rPr>
        <w:t xml:space="preserve"> </w:t>
      </w:r>
      <w:r w:rsidRPr="00F85CA6">
        <w:rPr>
          <w:rFonts w:eastAsia="Calibri"/>
          <w:sz w:val="22"/>
          <w:szCs w:val="22"/>
          <w:lang w:val="sr-Latn-ME"/>
        </w:rPr>
        <w:t>70 godina starosti za Japan) nasumično su bili dod</w:t>
      </w:r>
      <w:r w:rsidR="00C345DE" w:rsidRPr="00F85CA6">
        <w:rPr>
          <w:rFonts w:eastAsia="Calibri"/>
          <w:sz w:val="22"/>
          <w:szCs w:val="22"/>
          <w:lang w:val="sr-Latn-ME"/>
        </w:rPr>
        <w:t>ije</w:t>
      </w:r>
      <w:r w:rsidRPr="00F85CA6">
        <w:rPr>
          <w:rFonts w:eastAsia="Calibri"/>
          <w:sz w:val="22"/>
          <w:szCs w:val="22"/>
          <w:lang w:val="sr-Latn-ME"/>
        </w:rPr>
        <w:t>ljeni u grupu koja je primala dvojnu terapiju dabigatrane</w:t>
      </w:r>
      <w:r w:rsidR="001D548A" w:rsidRPr="00F85CA6">
        <w:rPr>
          <w:rFonts w:eastAsia="Calibri"/>
          <w:sz w:val="22"/>
          <w:szCs w:val="22"/>
          <w:lang w:val="sr-Latn-ME"/>
        </w:rPr>
        <w:t xml:space="preserve"> </w:t>
      </w:r>
      <w:r w:rsidRPr="00F85CA6">
        <w:rPr>
          <w:rFonts w:eastAsia="Calibri"/>
          <w:sz w:val="22"/>
          <w:szCs w:val="22"/>
          <w:lang w:val="sr-Latn-ME"/>
        </w:rPr>
        <w:t>teksilatom 110 mg ili grupu koja je primala trojnu terapiju sa varfarinom. Primarni ishod je bio kombinovan i uključivao je obilnija krvarenja na osnovu definicije ISTH ili klinički značajan događaj krvarenja koje nije bilo obilnije.</w:t>
      </w:r>
    </w:p>
    <w:p w14:paraId="699C29FB" w14:textId="77777777" w:rsidR="00A30F42" w:rsidRPr="00F85CA6" w:rsidRDefault="00A30F42" w:rsidP="00A30F42">
      <w:pPr>
        <w:jc w:val="both"/>
        <w:rPr>
          <w:rFonts w:eastAsia="Calibri"/>
          <w:sz w:val="22"/>
          <w:szCs w:val="22"/>
          <w:lang w:val="sr-Latn-ME"/>
        </w:rPr>
      </w:pPr>
    </w:p>
    <w:p w14:paraId="2703634B" w14:textId="76D74D8E" w:rsidR="00A30F42" w:rsidRPr="00F85CA6" w:rsidRDefault="00A30F42" w:rsidP="00A30F42">
      <w:pPr>
        <w:jc w:val="both"/>
        <w:rPr>
          <w:rFonts w:eastAsia="Calibri"/>
          <w:sz w:val="22"/>
          <w:szCs w:val="22"/>
          <w:lang w:val="sr-Latn-ME"/>
        </w:rPr>
      </w:pPr>
      <w:r w:rsidRPr="00F85CA6">
        <w:rPr>
          <w:rFonts w:eastAsia="Calibri"/>
          <w:bCs/>
          <w:sz w:val="22"/>
          <w:szCs w:val="22"/>
          <w:lang w:val="sr-Latn-ME"/>
        </w:rPr>
        <w:t>Incidenca primarnog ishoda bila je 15,4% (151 pacijent) u dvojno-terapijskoj grupi sa dabigatrane</w:t>
      </w:r>
      <w:r w:rsidR="001D548A" w:rsidRPr="00F85CA6">
        <w:rPr>
          <w:rFonts w:eastAsia="Calibri"/>
          <w:bCs/>
          <w:sz w:val="22"/>
          <w:szCs w:val="22"/>
          <w:lang w:val="sr-Latn-ME"/>
        </w:rPr>
        <w:t xml:space="preserve"> </w:t>
      </w:r>
      <w:r w:rsidRPr="00F85CA6">
        <w:rPr>
          <w:rFonts w:eastAsia="Calibri"/>
          <w:bCs/>
          <w:sz w:val="22"/>
          <w:szCs w:val="22"/>
          <w:lang w:val="sr-Latn-ME"/>
        </w:rPr>
        <w:t>teksilatom 110 mg u poređenju sa 26,9% (264 pacijenta) u trojno-terapijskoj grupi sa varfarinom (HR 0,52; 95% CI 0,42; 0,63; P&lt;</w:t>
      </w:r>
      <w:r w:rsidR="003A2ACB" w:rsidRPr="00F85CA6">
        <w:rPr>
          <w:rFonts w:eastAsia="Calibri"/>
          <w:bCs/>
          <w:sz w:val="22"/>
          <w:szCs w:val="22"/>
          <w:lang w:val="sr-Latn-ME"/>
        </w:rPr>
        <w:t xml:space="preserve"> </w:t>
      </w:r>
      <w:r w:rsidRPr="00F85CA6">
        <w:rPr>
          <w:rFonts w:eastAsia="Calibri"/>
          <w:bCs/>
          <w:sz w:val="22"/>
          <w:szCs w:val="22"/>
          <w:lang w:val="sr-Latn-ME"/>
        </w:rPr>
        <w:t>0,0001 za neinferiornost i P&lt;</w:t>
      </w:r>
      <w:r w:rsidR="003A2ACB" w:rsidRPr="00F85CA6">
        <w:rPr>
          <w:rFonts w:eastAsia="Calibri"/>
          <w:bCs/>
          <w:sz w:val="22"/>
          <w:szCs w:val="22"/>
          <w:lang w:val="sr-Latn-ME"/>
        </w:rPr>
        <w:t xml:space="preserve"> </w:t>
      </w:r>
      <w:r w:rsidRPr="00F85CA6">
        <w:rPr>
          <w:rFonts w:eastAsia="Calibri"/>
          <w:bCs/>
          <w:sz w:val="22"/>
          <w:szCs w:val="22"/>
          <w:lang w:val="sr-Latn-ME"/>
        </w:rPr>
        <w:t>0,0001 za superiornost) i 20,2% (154 pacijenta) u dvojno-terapijskoj grupi sa dabigatrane</w:t>
      </w:r>
      <w:r w:rsidR="003A2ACB" w:rsidRPr="00F85CA6">
        <w:rPr>
          <w:rFonts w:eastAsia="Calibri"/>
          <w:bCs/>
          <w:sz w:val="22"/>
          <w:szCs w:val="22"/>
          <w:lang w:val="sr-Latn-ME"/>
        </w:rPr>
        <w:t xml:space="preserve"> </w:t>
      </w:r>
      <w:r w:rsidRPr="00F85CA6">
        <w:rPr>
          <w:rFonts w:eastAsia="Calibri"/>
          <w:bCs/>
          <w:sz w:val="22"/>
          <w:szCs w:val="22"/>
          <w:lang w:val="sr-Latn-ME"/>
        </w:rPr>
        <w:t>teksilatom 150 mg u poređenju sa 25,7% (196 pacijenta) u odgovarajućoj trojno-terapijskoj grupi sa varfarinom (HR 0,72; 95% CI 0,58; 0,88; P&lt;</w:t>
      </w:r>
      <w:r w:rsidR="003A2ACB" w:rsidRPr="00F85CA6">
        <w:rPr>
          <w:rFonts w:eastAsia="Calibri"/>
          <w:bCs/>
          <w:sz w:val="22"/>
          <w:szCs w:val="22"/>
          <w:lang w:val="sr-Latn-ME"/>
        </w:rPr>
        <w:t xml:space="preserve"> </w:t>
      </w:r>
      <w:r w:rsidRPr="00F85CA6">
        <w:rPr>
          <w:rFonts w:eastAsia="Calibri"/>
          <w:bCs/>
          <w:sz w:val="22"/>
          <w:szCs w:val="22"/>
          <w:lang w:val="sr-Latn-ME"/>
        </w:rPr>
        <w:t>0,0001 za neinferiornost i P=</w:t>
      </w:r>
      <w:r w:rsidR="003A2ACB" w:rsidRPr="00F85CA6">
        <w:rPr>
          <w:rFonts w:eastAsia="Calibri"/>
          <w:bCs/>
          <w:sz w:val="22"/>
          <w:szCs w:val="22"/>
          <w:lang w:val="sr-Latn-ME"/>
        </w:rPr>
        <w:t xml:space="preserve"> </w:t>
      </w:r>
      <w:r w:rsidRPr="00F85CA6">
        <w:rPr>
          <w:rFonts w:eastAsia="Calibri"/>
          <w:bCs/>
          <w:sz w:val="22"/>
          <w:szCs w:val="22"/>
          <w:lang w:val="sr-Latn-ME"/>
        </w:rPr>
        <w:t>0,002 za superiornost). U deskriptivnom d</w:t>
      </w:r>
      <w:r w:rsidR="003A2ACB" w:rsidRPr="00F85CA6">
        <w:rPr>
          <w:rFonts w:eastAsia="Calibri"/>
          <w:bCs/>
          <w:sz w:val="22"/>
          <w:szCs w:val="22"/>
          <w:lang w:val="sr-Latn-ME"/>
        </w:rPr>
        <w:t>ij</w:t>
      </w:r>
      <w:r w:rsidRPr="00F85CA6">
        <w:rPr>
          <w:rFonts w:eastAsia="Calibri"/>
          <w:bCs/>
          <w:sz w:val="22"/>
          <w:szCs w:val="22"/>
          <w:lang w:val="sr-Latn-ME"/>
        </w:rPr>
        <w:t xml:space="preserve">elu analize, tromboliza u infarktu miokarda (eng. </w:t>
      </w:r>
      <w:r w:rsidRPr="00F85CA6">
        <w:rPr>
          <w:rFonts w:eastAsia="Calibri"/>
          <w:bCs/>
          <w:i/>
          <w:iCs/>
          <w:sz w:val="22"/>
          <w:szCs w:val="22"/>
          <w:lang w:val="sr-Latn-ME"/>
        </w:rPr>
        <w:t>Thrombolysis in Myocardial Infarction</w:t>
      </w:r>
      <w:r w:rsidRPr="00F85CA6">
        <w:rPr>
          <w:rFonts w:eastAsia="Calibri"/>
          <w:bCs/>
          <w:sz w:val="22"/>
          <w:szCs w:val="22"/>
          <w:lang w:val="sr-Latn-ME"/>
        </w:rPr>
        <w:t>, TIMI) kod događaja obilnijeg krvarenja je bila manja u ob</w:t>
      </w:r>
      <w:r w:rsidR="003A2ACB" w:rsidRPr="00F85CA6">
        <w:rPr>
          <w:rFonts w:eastAsia="Calibri"/>
          <w:bCs/>
          <w:sz w:val="22"/>
          <w:szCs w:val="22"/>
          <w:lang w:val="sr-Latn-ME"/>
        </w:rPr>
        <w:t>je</w:t>
      </w:r>
      <w:r w:rsidRPr="00F85CA6">
        <w:rPr>
          <w:rFonts w:eastAsia="Calibri"/>
          <w:bCs/>
          <w:sz w:val="22"/>
          <w:szCs w:val="22"/>
          <w:lang w:val="sr-Latn-ME"/>
        </w:rPr>
        <w:t>e dvojno-terapijske grupe sa dabigatrane</w:t>
      </w:r>
      <w:r w:rsidR="003A2ACB" w:rsidRPr="00F85CA6">
        <w:rPr>
          <w:rFonts w:eastAsia="Calibri"/>
          <w:bCs/>
          <w:sz w:val="22"/>
          <w:szCs w:val="22"/>
          <w:lang w:val="sr-Latn-ME"/>
        </w:rPr>
        <w:t xml:space="preserve"> </w:t>
      </w:r>
      <w:r w:rsidRPr="00F85CA6">
        <w:rPr>
          <w:rFonts w:eastAsia="Calibri"/>
          <w:bCs/>
          <w:sz w:val="22"/>
          <w:szCs w:val="22"/>
          <w:lang w:val="sr-Latn-ME"/>
        </w:rPr>
        <w:t>teksilatom nego u trojno-terapijskoj grupi sa varfarinom: 14 događaja (1,4%) u dvojno-terapijskoj grupi sa dabigatrane</w:t>
      </w:r>
      <w:r w:rsidR="003A2ACB" w:rsidRPr="00F85CA6">
        <w:rPr>
          <w:rFonts w:eastAsia="Calibri"/>
          <w:bCs/>
          <w:sz w:val="22"/>
          <w:szCs w:val="22"/>
          <w:lang w:val="sr-Latn-ME"/>
        </w:rPr>
        <w:t xml:space="preserve"> </w:t>
      </w:r>
      <w:r w:rsidRPr="00F85CA6">
        <w:rPr>
          <w:rFonts w:eastAsia="Calibri"/>
          <w:bCs/>
          <w:sz w:val="22"/>
          <w:szCs w:val="22"/>
          <w:lang w:val="sr-Latn-ME"/>
        </w:rPr>
        <w:t>teksilatom 110 mg u poređenju sa 37 događaja (3,8%) u trojno-terapijskoj grupi sa varfarinom (HR 0,37; 95% CI 0,20; 0,68; P=0,002) i 16 događaja (2,1%) u dvojno-terapijskoj grupi sa dabigatrane</w:t>
      </w:r>
      <w:r w:rsidR="003A2ACB" w:rsidRPr="00F85CA6">
        <w:rPr>
          <w:rFonts w:eastAsia="Calibri"/>
          <w:bCs/>
          <w:sz w:val="22"/>
          <w:szCs w:val="22"/>
          <w:lang w:val="sr-Latn-ME"/>
        </w:rPr>
        <w:t xml:space="preserve"> </w:t>
      </w:r>
      <w:r w:rsidRPr="00F85CA6">
        <w:rPr>
          <w:rFonts w:eastAsia="Calibri"/>
          <w:bCs/>
          <w:sz w:val="22"/>
          <w:szCs w:val="22"/>
          <w:lang w:val="sr-Latn-ME"/>
        </w:rPr>
        <w:t>teksilatom 150 mg u poređenju sa 30 događaja (3,9%) u odgovarajućoj trojno-terapijskoj grupi sa varfarinom (HR 0,51; 95% CI 0,28; 0,93; P=0,03). Ob</w:t>
      </w:r>
      <w:r w:rsidR="00A3012C" w:rsidRPr="00F85CA6">
        <w:rPr>
          <w:rFonts w:eastAsia="Calibri"/>
          <w:bCs/>
          <w:sz w:val="22"/>
          <w:szCs w:val="22"/>
          <w:lang w:val="sr-Latn-ME"/>
        </w:rPr>
        <w:t>j</w:t>
      </w:r>
      <w:r w:rsidRPr="00F85CA6">
        <w:rPr>
          <w:rFonts w:eastAsia="Calibri"/>
          <w:bCs/>
          <w:sz w:val="22"/>
          <w:szCs w:val="22"/>
          <w:lang w:val="sr-Latn-ME"/>
        </w:rPr>
        <w:t>e dvojno-terapijske grupe sa dabigatrane</w:t>
      </w:r>
      <w:r w:rsidR="003A2ACB" w:rsidRPr="00F85CA6">
        <w:rPr>
          <w:rFonts w:eastAsia="Calibri"/>
          <w:bCs/>
          <w:sz w:val="22"/>
          <w:szCs w:val="22"/>
          <w:lang w:val="sr-Latn-ME"/>
        </w:rPr>
        <w:t xml:space="preserve"> </w:t>
      </w:r>
      <w:r w:rsidRPr="00F85CA6">
        <w:rPr>
          <w:rFonts w:eastAsia="Calibri"/>
          <w:bCs/>
          <w:sz w:val="22"/>
          <w:szCs w:val="22"/>
          <w:lang w:val="sr-Latn-ME"/>
        </w:rPr>
        <w:t>teksilatom imale su manje stope intrakranijalne hemoragije od odgovarajuće trojno-terapijske grupe sa varfarinom: 3 događaja (0,3%) u dvojno-terapijskoj grupi sa dabigatrane</w:t>
      </w:r>
      <w:r w:rsidR="003A2ACB" w:rsidRPr="00F85CA6">
        <w:rPr>
          <w:rFonts w:eastAsia="Calibri"/>
          <w:bCs/>
          <w:sz w:val="22"/>
          <w:szCs w:val="22"/>
          <w:lang w:val="sr-Latn-ME"/>
        </w:rPr>
        <w:t xml:space="preserve"> </w:t>
      </w:r>
      <w:r w:rsidRPr="00F85CA6">
        <w:rPr>
          <w:rFonts w:eastAsia="Calibri"/>
          <w:bCs/>
          <w:sz w:val="22"/>
          <w:szCs w:val="22"/>
          <w:lang w:val="sr-Latn-ME"/>
        </w:rPr>
        <w:t>teksilatom 110 mg u poređenju sa 10 događaja (1,0%) u trojno-terapijskoj grupi sa varfarinom (</w:t>
      </w:r>
      <w:r w:rsidRPr="00F85CA6">
        <w:rPr>
          <w:rFonts w:eastAsia="Calibri"/>
          <w:sz w:val="22"/>
          <w:szCs w:val="22"/>
          <w:lang w:val="sr-Latn-ME"/>
        </w:rPr>
        <w:t>HR 0,30; 95% CI 0,08; 1,07; P=0,06) i 1 događaj (0,1%) u dvojno-terapijskoj grupi sa dabigatrane</w:t>
      </w:r>
      <w:r w:rsidR="003A2ACB" w:rsidRPr="00F85CA6">
        <w:rPr>
          <w:rFonts w:eastAsia="Calibri"/>
          <w:sz w:val="22"/>
          <w:szCs w:val="22"/>
          <w:lang w:val="sr-Latn-ME"/>
        </w:rPr>
        <w:t xml:space="preserve"> </w:t>
      </w:r>
      <w:r w:rsidRPr="00F85CA6">
        <w:rPr>
          <w:rFonts w:eastAsia="Calibri"/>
          <w:sz w:val="22"/>
          <w:szCs w:val="22"/>
          <w:lang w:val="sr-Latn-ME"/>
        </w:rPr>
        <w:t xml:space="preserve">teksilatom 150 mg u poređenju sa 8 događaja (1,0%) u odgovarajućoj </w:t>
      </w:r>
      <w:r w:rsidRPr="00F85CA6">
        <w:rPr>
          <w:rFonts w:eastAsia="Calibri"/>
          <w:sz w:val="22"/>
          <w:szCs w:val="22"/>
          <w:lang w:val="sr-Latn-ME"/>
        </w:rPr>
        <w:lastRenderedPageBreak/>
        <w:t>trojno-terapijskoj grupi sa varfarinom (HR 0,12; 95% CI 0,02; 0,98; P=0,047). Incidenca kompozitnog ishoda efikasnosti, u vidu smrti, tromboembolijskih događaja (infarkt miokarda, moždani udar ili sistemska embolija) ili neplanirane revaskularizacije u dv</w:t>
      </w:r>
      <w:r w:rsidR="00174263" w:rsidRPr="00F85CA6">
        <w:rPr>
          <w:rFonts w:eastAsia="Calibri"/>
          <w:sz w:val="22"/>
          <w:szCs w:val="22"/>
          <w:lang w:val="sr-Latn-ME"/>
        </w:rPr>
        <w:t>ij</w:t>
      </w:r>
      <w:r w:rsidRPr="00F85CA6">
        <w:rPr>
          <w:rFonts w:eastAsia="Calibri"/>
          <w:sz w:val="22"/>
          <w:szCs w:val="22"/>
          <w:lang w:val="sr-Latn-ME"/>
        </w:rPr>
        <w:t>e dvojno-terapijske grupe sa dabigatrane</w:t>
      </w:r>
      <w:r w:rsidR="003A2ACB" w:rsidRPr="00F85CA6">
        <w:rPr>
          <w:rFonts w:eastAsia="Calibri"/>
          <w:sz w:val="22"/>
          <w:szCs w:val="22"/>
          <w:lang w:val="sr-Latn-ME"/>
        </w:rPr>
        <w:t xml:space="preserve"> </w:t>
      </w:r>
      <w:r w:rsidRPr="00F85CA6">
        <w:rPr>
          <w:rFonts w:eastAsia="Calibri"/>
          <w:sz w:val="22"/>
          <w:szCs w:val="22"/>
          <w:lang w:val="sr-Latn-ME"/>
        </w:rPr>
        <w:t>teksilatom, bila je neinferiorna prema varfarinu u trojno-terapijskoj grupi (13,7% prema 13,4%; HR 1,04; 95% CI: 0,84; 1,29; P=0,0047 za neinferiornost). Nije bilo statističkih razlika u pojedinačnim komponentama kompozitnog ishoda efikasnosti između bilo koje dvojno-terapijske grupe sa dabigatrane</w:t>
      </w:r>
      <w:r w:rsidR="003A2ACB" w:rsidRPr="00F85CA6">
        <w:rPr>
          <w:rFonts w:eastAsia="Calibri"/>
          <w:sz w:val="22"/>
          <w:szCs w:val="22"/>
          <w:lang w:val="sr-Latn-ME"/>
        </w:rPr>
        <w:t xml:space="preserve"> </w:t>
      </w:r>
      <w:r w:rsidRPr="00F85CA6">
        <w:rPr>
          <w:rFonts w:eastAsia="Calibri"/>
          <w:sz w:val="22"/>
          <w:szCs w:val="22"/>
          <w:lang w:val="sr-Latn-ME"/>
        </w:rPr>
        <w:t>teksilatom i trojno-terapijske grupe sa varfarinom.</w:t>
      </w:r>
    </w:p>
    <w:p w14:paraId="4804F74F" w14:textId="77777777" w:rsidR="00A30F42" w:rsidRPr="00F85CA6" w:rsidRDefault="00A30F42" w:rsidP="00A30F42">
      <w:pPr>
        <w:jc w:val="both"/>
        <w:rPr>
          <w:rFonts w:eastAsia="Calibri"/>
          <w:sz w:val="22"/>
          <w:szCs w:val="22"/>
          <w:lang w:val="sr-Latn-ME"/>
        </w:rPr>
      </w:pPr>
    </w:p>
    <w:p w14:paraId="01905AFC" w14:textId="51D694C0" w:rsidR="00A30F42" w:rsidRPr="00F85CA6" w:rsidRDefault="00A30F42" w:rsidP="00A30F42">
      <w:pPr>
        <w:jc w:val="both"/>
        <w:rPr>
          <w:rFonts w:eastAsia="Calibri"/>
          <w:bCs/>
          <w:sz w:val="22"/>
          <w:szCs w:val="22"/>
          <w:lang w:val="sr-Latn-ME"/>
        </w:rPr>
      </w:pPr>
      <w:r w:rsidRPr="00F85CA6">
        <w:rPr>
          <w:rFonts w:eastAsia="Calibri"/>
          <w:bCs/>
          <w:sz w:val="22"/>
          <w:szCs w:val="22"/>
          <w:lang w:val="sr-Latn-ME"/>
        </w:rPr>
        <w:t>Ova studija je pokazala da je dvojna terapija dabigatrane</w:t>
      </w:r>
      <w:r w:rsidR="003A2ACB" w:rsidRPr="00F85CA6">
        <w:rPr>
          <w:rFonts w:eastAsia="Calibri"/>
          <w:bCs/>
          <w:sz w:val="22"/>
          <w:szCs w:val="22"/>
          <w:lang w:val="sr-Latn-ME"/>
        </w:rPr>
        <w:t xml:space="preserve"> </w:t>
      </w:r>
      <w:r w:rsidRPr="00F85CA6">
        <w:rPr>
          <w:rFonts w:eastAsia="Calibri"/>
          <w:bCs/>
          <w:sz w:val="22"/>
          <w:szCs w:val="22"/>
          <w:lang w:val="sr-Latn-ME"/>
        </w:rPr>
        <w:t>teksilatom i antagonistom P2Y12 značajno smanjila rizik od krvarenja naspram trojne terapije varfarinom, uz neinferiornost za kompozitni ishod u tromboembolijskim događajima kod pacijenata sa atrijalnom fibrilacijom koji su bili podvrgnuti zahvatu PCI sa ugradnjom stenta.</w:t>
      </w:r>
    </w:p>
    <w:p w14:paraId="19FF1B63" w14:textId="77777777" w:rsidR="00A30F42" w:rsidRPr="00F85CA6" w:rsidRDefault="00A30F42" w:rsidP="00A30F42">
      <w:pPr>
        <w:jc w:val="both"/>
        <w:rPr>
          <w:rFonts w:eastAsia="Calibri"/>
          <w:sz w:val="22"/>
          <w:szCs w:val="22"/>
          <w:lang w:val="sr-Latn-ME" w:bidi="en-US"/>
        </w:rPr>
      </w:pPr>
    </w:p>
    <w:p w14:paraId="73DFF3FC" w14:textId="3514BD6C" w:rsidR="00A30F42" w:rsidRPr="00F85CA6" w:rsidRDefault="00A30F42" w:rsidP="00A30F42">
      <w:pPr>
        <w:jc w:val="both"/>
        <w:rPr>
          <w:rFonts w:eastAsia="Calibri"/>
          <w:sz w:val="22"/>
          <w:szCs w:val="22"/>
          <w:u w:val="single"/>
          <w:lang w:val="sr-Latn-ME"/>
        </w:rPr>
      </w:pPr>
      <w:r w:rsidRPr="00F85CA6">
        <w:rPr>
          <w:rFonts w:eastAsia="Calibri"/>
          <w:i/>
          <w:sz w:val="22"/>
          <w:szCs w:val="22"/>
          <w:u w:val="single"/>
          <w:lang w:val="sr-Latn-ME"/>
        </w:rPr>
        <w:t>Terapija DVT i PE kod odraslih (terapija DVT/PE)</w:t>
      </w:r>
    </w:p>
    <w:p w14:paraId="719FF012" w14:textId="545DA3EB" w:rsidR="00A30F42" w:rsidRPr="00F85CA6" w:rsidRDefault="00A30F42" w:rsidP="00A30F42">
      <w:pPr>
        <w:jc w:val="both"/>
        <w:rPr>
          <w:rFonts w:eastAsia="Calibri"/>
          <w:sz w:val="22"/>
          <w:szCs w:val="22"/>
          <w:lang w:val="sr-Latn-ME"/>
        </w:rPr>
      </w:pPr>
      <w:r w:rsidRPr="00F85CA6">
        <w:rPr>
          <w:rFonts w:eastAsia="Calibri"/>
          <w:sz w:val="22"/>
          <w:szCs w:val="22"/>
          <w:lang w:val="sr-Latn-ME"/>
        </w:rPr>
        <w:t>Efikasnost i bezb</w:t>
      </w:r>
      <w:r w:rsidR="00A3012C" w:rsidRPr="00F85CA6">
        <w:rPr>
          <w:rFonts w:eastAsia="Calibri"/>
          <w:sz w:val="22"/>
          <w:szCs w:val="22"/>
          <w:lang w:val="sr-Latn-ME"/>
        </w:rPr>
        <w:t>j</w:t>
      </w:r>
      <w:r w:rsidRPr="00F85CA6">
        <w:rPr>
          <w:rFonts w:eastAsia="Calibri"/>
          <w:sz w:val="22"/>
          <w:szCs w:val="22"/>
          <w:lang w:val="sr-Latn-ME"/>
        </w:rPr>
        <w:t>ednost je ispitivana u dv</w:t>
      </w:r>
      <w:r w:rsidR="00C345DE" w:rsidRPr="00F85CA6">
        <w:rPr>
          <w:rFonts w:eastAsia="Calibri"/>
          <w:sz w:val="22"/>
          <w:szCs w:val="22"/>
          <w:lang w:val="sr-Latn-ME"/>
        </w:rPr>
        <w:t>ij</w:t>
      </w:r>
      <w:r w:rsidRPr="00F85CA6">
        <w:rPr>
          <w:rFonts w:eastAsia="Calibri"/>
          <w:sz w:val="22"/>
          <w:szCs w:val="22"/>
          <w:lang w:val="sr-Latn-ME"/>
        </w:rPr>
        <w:t>e multicentrične, randomizovane, dvostruko sl</w:t>
      </w:r>
      <w:r w:rsidR="00A3012C" w:rsidRPr="00F85CA6">
        <w:rPr>
          <w:rFonts w:eastAsia="Calibri"/>
          <w:sz w:val="22"/>
          <w:szCs w:val="22"/>
          <w:lang w:val="sr-Latn-ME"/>
        </w:rPr>
        <w:t>ij</w:t>
      </w:r>
      <w:r w:rsidRPr="00F85CA6">
        <w:rPr>
          <w:rFonts w:eastAsia="Calibri"/>
          <w:sz w:val="22"/>
          <w:szCs w:val="22"/>
          <w:lang w:val="sr-Latn-ME"/>
        </w:rPr>
        <w:t>epe, ponovljene studije sa paralelnim grupama, RE-COVER i RE-COVER II. Ove studije su upoređivale dabigatrane</w:t>
      </w:r>
      <w:r w:rsidR="003A2ACB" w:rsidRPr="00F85CA6">
        <w:rPr>
          <w:rFonts w:eastAsia="Calibri"/>
          <w:sz w:val="22"/>
          <w:szCs w:val="22"/>
          <w:lang w:val="sr-Latn-ME"/>
        </w:rPr>
        <w:t xml:space="preserve"> </w:t>
      </w:r>
      <w:r w:rsidRPr="00F85CA6">
        <w:rPr>
          <w:rFonts w:eastAsia="Calibri"/>
          <w:sz w:val="22"/>
          <w:szCs w:val="22"/>
          <w:lang w:val="sr-Latn-ME"/>
        </w:rPr>
        <w:t>teksilat (150 mg dva puta dnevno) sa varfarinom (ciljni INR 2,0-3,0) kod pacijenata sa akutnom DVT i/ili PE. Primarni cilj ovih studija bio je da se odredi da li je dabigatrane</w:t>
      </w:r>
      <w:r w:rsidR="003A2ACB" w:rsidRPr="00F85CA6">
        <w:rPr>
          <w:rFonts w:eastAsia="Calibri"/>
          <w:sz w:val="22"/>
          <w:szCs w:val="22"/>
          <w:lang w:val="sr-Latn-ME"/>
        </w:rPr>
        <w:t xml:space="preserve"> </w:t>
      </w:r>
      <w:r w:rsidRPr="00F85CA6">
        <w:rPr>
          <w:rFonts w:eastAsia="Calibri"/>
          <w:sz w:val="22"/>
          <w:szCs w:val="22"/>
          <w:lang w:val="sr-Latn-ME"/>
        </w:rPr>
        <w:t>teksilat neinferioran u odnosu na varfarin u smanjenju pojave kompozitnog primarnog ishoda koji se sastojao od</w:t>
      </w:r>
      <w:r w:rsidR="00A3012C" w:rsidRPr="00F85CA6">
        <w:rPr>
          <w:rFonts w:eastAsia="Calibri"/>
          <w:sz w:val="22"/>
          <w:szCs w:val="22"/>
          <w:lang w:val="sr-Latn-ME"/>
        </w:rPr>
        <w:t xml:space="preserve"> </w:t>
      </w:r>
      <w:r w:rsidRPr="00F85CA6">
        <w:rPr>
          <w:rFonts w:eastAsia="Calibri"/>
          <w:sz w:val="22"/>
          <w:szCs w:val="22"/>
          <w:lang w:val="sr-Latn-ME"/>
        </w:rPr>
        <w:t>rekurentne simptomatske DVT i/ili PE i povezanih smrti tokom perioda l</w:t>
      </w:r>
      <w:r w:rsidR="00A3012C" w:rsidRPr="00F85CA6">
        <w:rPr>
          <w:rFonts w:eastAsia="Calibri"/>
          <w:sz w:val="22"/>
          <w:szCs w:val="22"/>
          <w:lang w:val="sr-Latn-ME"/>
        </w:rPr>
        <w:t>ij</w:t>
      </w:r>
      <w:r w:rsidRPr="00F85CA6">
        <w:rPr>
          <w:rFonts w:eastAsia="Calibri"/>
          <w:sz w:val="22"/>
          <w:szCs w:val="22"/>
          <w:lang w:val="sr-Latn-ME"/>
        </w:rPr>
        <w:t>ečenja u trajanju od 6 m</w:t>
      </w:r>
      <w:r w:rsidR="00A3012C" w:rsidRPr="00F85CA6">
        <w:rPr>
          <w:rFonts w:eastAsia="Calibri"/>
          <w:sz w:val="22"/>
          <w:szCs w:val="22"/>
          <w:lang w:val="sr-Latn-ME"/>
        </w:rPr>
        <w:t>j</w:t>
      </w:r>
      <w:r w:rsidRPr="00F85CA6">
        <w:rPr>
          <w:rFonts w:eastAsia="Calibri"/>
          <w:sz w:val="22"/>
          <w:szCs w:val="22"/>
          <w:lang w:val="sr-Latn-ME"/>
        </w:rPr>
        <w:t xml:space="preserve">eseci. </w:t>
      </w:r>
    </w:p>
    <w:p w14:paraId="1FC9E78A" w14:textId="77777777" w:rsidR="00A30F42" w:rsidRPr="00F85CA6" w:rsidRDefault="00A30F42" w:rsidP="00A30F42">
      <w:pPr>
        <w:jc w:val="both"/>
        <w:rPr>
          <w:rFonts w:eastAsia="Calibri"/>
          <w:sz w:val="22"/>
          <w:szCs w:val="22"/>
          <w:lang w:val="sr-Latn-ME"/>
        </w:rPr>
      </w:pPr>
    </w:p>
    <w:p w14:paraId="1FC45C7F" w14:textId="4B788AB6" w:rsidR="00A30F42" w:rsidRPr="00F85CA6" w:rsidRDefault="00A30F42" w:rsidP="00A30F42">
      <w:pPr>
        <w:jc w:val="both"/>
        <w:rPr>
          <w:rFonts w:eastAsia="Calibri"/>
          <w:sz w:val="22"/>
          <w:szCs w:val="22"/>
          <w:lang w:val="sr-Latn-ME"/>
        </w:rPr>
      </w:pPr>
      <w:r w:rsidRPr="00F85CA6">
        <w:rPr>
          <w:rFonts w:eastAsia="Calibri"/>
          <w:sz w:val="22"/>
          <w:szCs w:val="22"/>
          <w:lang w:val="sr-Latn-ME"/>
        </w:rPr>
        <w:t>U objedinjenim studijama RE-COVER i RE-COVER II, ukupno je randomizovano 5153 pacijenta, a 5107 je l</w:t>
      </w:r>
      <w:r w:rsidR="00A3012C" w:rsidRPr="00F85CA6">
        <w:rPr>
          <w:rFonts w:eastAsia="Calibri"/>
          <w:sz w:val="22"/>
          <w:szCs w:val="22"/>
          <w:lang w:val="sr-Latn-ME"/>
        </w:rPr>
        <w:t>ij</w:t>
      </w:r>
      <w:r w:rsidRPr="00F85CA6">
        <w:rPr>
          <w:rFonts w:eastAsia="Calibri"/>
          <w:sz w:val="22"/>
          <w:szCs w:val="22"/>
          <w:lang w:val="sr-Latn-ME"/>
        </w:rPr>
        <w:t xml:space="preserve">ečeno. </w:t>
      </w:r>
    </w:p>
    <w:p w14:paraId="4B1D32ED" w14:textId="77777777" w:rsidR="00A30F42" w:rsidRPr="00F85CA6" w:rsidRDefault="00A30F42" w:rsidP="00A30F42">
      <w:pPr>
        <w:jc w:val="both"/>
        <w:rPr>
          <w:rFonts w:eastAsia="Calibri"/>
          <w:sz w:val="22"/>
          <w:szCs w:val="22"/>
          <w:lang w:val="sr-Latn-ME"/>
        </w:rPr>
      </w:pPr>
    </w:p>
    <w:p w14:paraId="3A37902E" w14:textId="77777777" w:rsidR="00A30F42" w:rsidRPr="00F85CA6" w:rsidRDefault="00A30F42" w:rsidP="00A30F42">
      <w:pPr>
        <w:jc w:val="both"/>
        <w:rPr>
          <w:rFonts w:eastAsia="Calibri"/>
          <w:sz w:val="22"/>
          <w:szCs w:val="22"/>
          <w:lang w:val="sr-Latn-ME"/>
        </w:rPr>
      </w:pPr>
      <w:r w:rsidRPr="00F85CA6">
        <w:rPr>
          <w:rFonts w:eastAsia="Calibri"/>
          <w:sz w:val="22"/>
          <w:szCs w:val="22"/>
          <w:lang w:val="sr-Latn-ME"/>
        </w:rPr>
        <w:t>Trajanje terapije fiksnom dozom dabigatrana bilo je 174,0 dana bez praćenja koagulacije. Kod pacijenata koji su bili randomizovani da primaju varfarin, medijana vremena u terapijskom opsegu (INR 2,0 do 3,0) bila je 60,6%.</w:t>
      </w:r>
    </w:p>
    <w:p w14:paraId="00A305A3" w14:textId="77777777" w:rsidR="00A30F42" w:rsidRPr="00F85CA6" w:rsidRDefault="00A30F42" w:rsidP="00A30F42">
      <w:pPr>
        <w:jc w:val="both"/>
        <w:rPr>
          <w:rFonts w:eastAsia="Calibri"/>
          <w:sz w:val="22"/>
          <w:szCs w:val="22"/>
          <w:lang w:val="sr-Latn-ME"/>
        </w:rPr>
      </w:pPr>
    </w:p>
    <w:p w14:paraId="091BF84A" w14:textId="7B13E824" w:rsidR="00A30F42" w:rsidRPr="00F85CA6" w:rsidRDefault="00A30F42" w:rsidP="00A30F42">
      <w:pPr>
        <w:jc w:val="both"/>
        <w:rPr>
          <w:rFonts w:eastAsia="Calibri"/>
          <w:sz w:val="22"/>
          <w:szCs w:val="22"/>
          <w:lang w:val="sr-Latn-ME"/>
        </w:rPr>
      </w:pPr>
      <w:r w:rsidRPr="00F85CA6">
        <w:rPr>
          <w:rFonts w:eastAsia="Calibri"/>
          <w:sz w:val="22"/>
          <w:szCs w:val="22"/>
          <w:lang w:val="sr-Latn-ME"/>
        </w:rPr>
        <w:t>Ispitivanja su pokazala da l</w:t>
      </w:r>
      <w:r w:rsidR="00A3012C" w:rsidRPr="00F85CA6">
        <w:rPr>
          <w:rFonts w:eastAsia="Calibri"/>
          <w:sz w:val="22"/>
          <w:szCs w:val="22"/>
          <w:lang w:val="sr-Latn-ME"/>
        </w:rPr>
        <w:t>ij</w:t>
      </w:r>
      <w:r w:rsidRPr="00F85CA6">
        <w:rPr>
          <w:rFonts w:eastAsia="Calibri"/>
          <w:sz w:val="22"/>
          <w:szCs w:val="22"/>
          <w:lang w:val="sr-Latn-ME"/>
        </w:rPr>
        <w:t>ečenje dabigatrane</w:t>
      </w:r>
      <w:r w:rsidR="003A2ACB" w:rsidRPr="00F85CA6">
        <w:rPr>
          <w:rFonts w:eastAsia="Calibri"/>
          <w:sz w:val="22"/>
          <w:szCs w:val="22"/>
          <w:lang w:val="sr-Latn-ME"/>
        </w:rPr>
        <w:t xml:space="preserve"> </w:t>
      </w:r>
      <w:r w:rsidRPr="00F85CA6">
        <w:rPr>
          <w:rFonts w:eastAsia="Calibri"/>
          <w:sz w:val="22"/>
          <w:szCs w:val="22"/>
          <w:lang w:val="sr-Latn-ME"/>
        </w:rPr>
        <w:t>teksilatom 150 mg dva puta dnevno nije bilo inferiorno u odnosu na l</w:t>
      </w:r>
      <w:r w:rsidR="00A3012C" w:rsidRPr="00F85CA6">
        <w:rPr>
          <w:rFonts w:eastAsia="Calibri"/>
          <w:sz w:val="22"/>
          <w:szCs w:val="22"/>
          <w:lang w:val="sr-Latn-ME"/>
        </w:rPr>
        <w:t>ij</w:t>
      </w:r>
      <w:r w:rsidRPr="00F85CA6">
        <w:rPr>
          <w:rFonts w:eastAsia="Calibri"/>
          <w:sz w:val="22"/>
          <w:szCs w:val="22"/>
          <w:lang w:val="sr-Latn-ME"/>
        </w:rPr>
        <w:t xml:space="preserve">ečenje varfarinom (granica neinferiornosti za RE-COVER i RE-COVER II: 3,6 za razliku rizika i 2,75 za </w:t>
      </w:r>
      <w:r w:rsidRPr="00F85CA6">
        <w:rPr>
          <w:rFonts w:eastAsia="Calibri"/>
          <w:i/>
          <w:sz w:val="22"/>
          <w:szCs w:val="22"/>
          <w:lang w:val="sr-Latn-ME"/>
        </w:rPr>
        <w:t>hazard ratio</w:t>
      </w:r>
      <w:r w:rsidRPr="00F85CA6">
        <w:rPr>
          <w:rFonts w:eastAsia="Calibri"/>
          <w:sz w:val="22"/>
          <w:szCs w:val="22"/>
          <w:lang w:val="sr-Latn-ME"/>
        </w:rPr>
        <w:t>).</w:t>
      </w:r>
    </w:p>
    <w:p w14:paraId="1110D999" w14:textId="77777777" w:rsidR="00A30F42" w:rsidRPr="00F85CA6" w:rsidRDefault="00A30F42" w:rsidP="00A30F42">
      <w:pPr>
        <w:jc w:val="both"/>
        <w:rPr>
          <w:rFonts w:eastAsia="Calibri"/>
          <w:sz w:val="22"/>
          <w:szCs w:val="22"/>
          <w:lang w:val="sr-Latn-ME"/>
        </w:rPr>
      </w:pPr>
    </w:p>
    <w:p w14:paraId="4E786FBA" w14:textId="6B3CBBB0" w:rsidR="00A30F42" w:rsidRPr="00F85CA6" w:rsidRDefault="00A30F42" w:rsidP="00685312">
      <w:pPr>
        <w:jc w:val="center"/>
        <w:rPr>
          <w:rFonts w:eastAsia="Calibri"/>
          <w:b/>
          <w:bCs/>
          <w:sz w:val="22"/>
          <w:szCs w:val="22"/>
          <w:lang w:val="sr-Latn-ME" w:bidi="en-US"/>
        </w:rPr>
      </w:pPr>
      <w:r w:rsidRPr="00F85CA6">
        <w:rPr>
          <w:rFonts w:eastAsia="Calibri"/>
          <w:b/>
          <w:bCs/>
          <w:sz w:val="22"/>
          <w:szCs w:val="22"/>
          <w:lang w:val="sr-Latn-ME" w:bidi="en-US"/>
        </w:rPr>
        <w:t>Tabela 27: Analiza primarnih i sekundarnih ishoda efikasnosti (VTE je sastavljena od DVT i/ili PE) do kraja perioda nakon l</w:t>
      </w:r>
      <w:r w:rsidR="00A3012C" w:rsidRPr="00F85CA6">
        <w:rPr>
          <w:rFonts w:eastAsia="Calibri"/>
          <w:b/>
          <w:bCs/>
          <w:sz w:val="22"/>
          <w:szCs w:val="22"/>
          <w:lang w:val="sr-Latn-ME" w:bidi="en-US"/>
        </w:rPr>
        <w:t>ij</w:t>
      </w:r>
      <w:r w:rsidRPr="00F85CA6">
        <w:rPr>
          <w:rFonts w:eastAsia="Calibri"/>
          <w:b/>
          <w:bCs/>
          <w:sz w:val="22"/>
          <w:szCs w:val="22"/>
          <w:lang w:val="sr-Latn-ME" w:bidi="en-US"/>
        </w:rPr>
        <w:t>ečenja iz objedinjenih studija RE</w:t>
      </w:r>
      <w:r w:rsidRPr="00F85CA6">
        <w:rPr>
          <w:rFonts w:eastAsia="Calibri"/>
          <w:b/>
          <w:bCs/>
          <w:sz w:val="22"/>
          <w:szCs w:val="22"/>
          <w:lang w:val="sr-Latn-ME" w:bidi="en-US"/>
        </w:rPr>
        <w:softHyphen/>
        <w:t>COVER i RE-COVER II</w:t>
      </w:r>
    </w:p>
    <w:p w14:paraId="7D630A0C" w14:textId="77777777" w:rsidR="00A30F42" w:rsidRPr="00F85CA6" w:rsidRDefault="00A30F42" w:rsidP="00A30F42">
      <w:pPr>
        <w:jc w:val="both"/>
        <w:rPr>
          <w:rFonts w:eastAsia="Calibri"/>
          <w:b/>
          <w:bCs/>
          <w:sz w:val="22"/>
          <w:szCs w:val="22"/>
          <w:lang w:val="sr-Latn-ME" w:bidi="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3408"/>
        <w:gridCol w:w="3087"/>
        <w:gridCol w:w="2568"/>
      </w:tblGrid>
      <w:tr w:rsidR="00A30F42" w:rsidRPr="00F85CA6" w14:paraId="5F5F0732" w14:textId="77777777" w:rsidTr="001239C3">
        <w:trPr>
          <w:trHeight w:val="20"/>
        </w:trPr>
        <w:tc>
          <w:tcPr>
            <w:tcW w:w="1880" w:type="pct"/>
            <w:shd w:val="clear" w:color="auto" w:fill="FFFFFF"/>
            <w:vAlign w:val="center"/>
          </w:tcPr>
          <w:p w14:paraId="5B855DDA" w14:textId="77777777" w:rsidR="00A30F42" w:rsidRPr="00F85CA6" w:rsidRDefault="00A30F42" w:rsidP="00A30F42">
            <w:pPr>
              <w:rPr>
                <w:rFonts w:eastAsia="Calibri"/>
                <w:sz w:val="22"/>
                <w:szCs w:val="22"/>
                <w:lang w:val="sr-Latn-ME"/>
              </w:rPr>
            </w:pPr>
            <w:bookmarkStart w:id="26" w:name="_Hlk83119044"/>
          </w:p>
        </w:tc>
        <w:tc>
          <w:tcPr>
            <w:tcW w:w="1703" w:type="pct"/>
            <w:shd w:val="clear" w:color="auto" w:fill="FFFFFF"/>
            <w:vAlign w:val="center"/>
          </w:tcPr>
          <w:p w14:paraId="266E58D3" w14:textId="1D8F4CE2" w:rsidR="00A30F42" w:rsidRPr="00F85CA6" w:rsidRDefault="00A30F42" w:rsidP="00A30F42">
            <w:pPr>
              <w:jc w:val="center"/>
              <w:rPr>
                <w:rFonts w:eastAsia="Calibri"/>
                <w:sz w:val="22"/>
                <w:szCs w:val="22"/>
                <w:lang w:val="sr-Latn-ME"/>
              </w:rPr>
            </w:pPr>
            <w:r w:rsidRPr="00F85CA6">
              <w:rPr>
                <w:rFonts w:eastAsia="Calibri"/>
                <w:sz w:val="22"/>
                <w:szCs w:val="22"/>
                <w:lang w:val="sr-Latn-ME"/>
              </w:rPr>
              <w:t>Dabigatrane</w:t>
            </w:r>
            <w:r w:rsidR="003A2ACB" w:rsidRPr="00F85CA6">
              <w:rPr>
                <w:rFonts w:eastAsia="Calibri"/>
                <w:sz w:val="22"/>
                <w:szCs w:val="22"/>
                <w:lang w:val="sr-Latn-ME"/>
              </w:rPr>
              <w:t xml:space="preserve"> </w:t>
            </w:r>
            <w:r w:rsidRPr="00F85CA6">
              <w:rPr>
                <w:rFonts w:eastAsia="Calibri"/>
                <w:sz w:val="22"/>
                <w:szCs w:val="22"/>
                <w:lang w:val="sr-Latn-ME"/>
              </w:rPr>
              <w:t>teksilat 150 mg dva puta dnevno</w:t>
            </w:r>
          </w:p>
        </w:tc>
        <w:tc>
          <w:tcPr>
            <w:tcW w:w="1417" w:type="pct"/>
            <w:shd w:val="clear" w:color="auto" w:fill="FFFFFF"/>
            <w:vAlign w:val="center"/>
          </w:tcPr>
          <w:p w14:paraId="72526E51"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Varfarin</w:t>
            </w:r>
          </w:p>
        </w:tc>
      </w:tr>
      <w:tr w:rsidR="00A30F42" w:rsidRPr="00F85CA6" w14:paraId="01A55D93" w14:textId="77777777" w:rsidTr="001239C3">
        <w:trPr>
          <w:trHeight w:val="20"/>
        </w:trPr>
        <w:tc>
          <w:tcPr>
            <w:tcW w:w="1880" w:type="pct"/>
            <w:shd w:val="clear" w:color="auto" w:fill="FFFFFF"/>
            <w:vAlign w:val="center"/>
          </w:tcPr>
          <w:p w14:paraId="5BA3E70C" w14:textId="5A981547" w:rsidR="00A30F42" w:rsidRPr="00F85CA6" w:rsidRDefault="00A30F42" w:rsidP="00A30F42">
            <w:pPr>
              <w:rPr>
                <w:rFonts w:eastAsia="Calibri"/>
                <w:sz w:val="22"/>
                <w:szCs w:val="22"/>
                <w:lang w:val="sr-Latn-ME"/>
              </w:rPr>
            </w:pPr>
            <w:r w:rsidRPr="00F85CA6">
              <w:rPr>
                <w:rFonts w:eastAsia="Calibri"/>
                <w:sz w:val="22"/>
                <w:szCs w:val="22"/>
                <w:lang w:val="sr-Latn-ME"/>
              </w:rPr>
              <w:t>L</w:t>
            </w:r>
            <w:r w:rsidR="00A3012C" w:rsidRPr="00F85CA6">
              <w:rPr>
                <w:rFonts w:eastAsia="Calibri"/>
                <w:sz w:val="22"/>
                <w:szCs w:val="22"/>
                <w:lang w:val="sr-Latn-ME"/>
              </w:rPr>
              <w:t>ij</w:t>
            </w:r>
            <w:r w:rsidRPr="00F85CA6">
              <w:rPr>
                <w:rFonts w:eastAsia="Calibri"/>
                <w:sz w:val="22"/>
                <w:szCs w:val="22"/>
                <w:lang w:val="sr-Latn-ME"/>
              </w:rPr>
              <w:t xml:space="preserve">ečeni pacijenti </w:t>
            </w:r>
          </w:p>
        </w:tc>
        <w:tc>
          <w:tcPr>
            <w:tcW w:w="1703" w:type="pct"/>
            <w:shd w:val="clear" w:color="auto" w:fill="FFFFFF"/>
            <w:vAlign w:val="center"/>
          </w:tcPr>
          <w:p w14:paraId="39E3A80D"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2553</w:t>
            </w:r>
          </w:p>
        </w:tc>
        <w:tc>
          <w:tcPr>
            <w:tcW w:w="1417" w:type="pct"/>
            <w:shd w:val="clear" w:color="auto" w:fill="FFFFFF"/>
            <w:vAlign w:val="center"/>
          </w:tcPr>
          <w:p w14:paraId="6DB2DBC1"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2554</w:t>
            </w:r>
          </w:p>
        </w:tc>
      </w:tr>
      <w:tr w:rsidR="00A30F42" w:rsidRPr="00F85CA6" w14:paraId="788E01F3" w14:textId="77777777" w:rsidTr="001239C3">
        <w:trPr>
          <w:trHeight w:val="20"/>
        </w:trPr>
        <w:tc>
          <w:tcPr>
            <w:tcW w:w="1880" w:type="pct"/>
            <w:shd w:val="clear" w:color="auto" w:fill="FFFFFF"/>
            <w:vAlign w:val="center"/>
          </w:tcPr>
          <w:p w14:paraId="40037797" w14:textId="77777777" w:rsidR="00A30F42" w:rsidRPr="00F85CA6" w:rsidRDefault="00A30F42" w:rsidP="00A30F42">
            <w:pPr>
              <w:rPr>
                <w:rFonts w:eastAsia="Calibri"/>
                <w:sz w:val="22"/>
                <w:szCs w:val="22"/>
                <w:lang w:val="sr-Latn-ME"/>
              </w:rPr>
            </w:pPr>
            <w:r w:rsidRPr="00F85CA6">
              <w:rPr>
                <w:rFonts w:eastAsia="Calibri"/>
                <w:sz w:val="22"/>
                <w:szCs w:val="22"/>
                <w:lang w:val="sr-Latn-ME"/>
              </w:rPr>
              <w:t>Rekurentna simptomatska VTE i smrt povezana sa VTE</w:t>
            </w:r>
          </w:p>
        </w:tc>
        <w:tc>
          <w:tcPr>
            <w:tcW w:w="1703" w:type="pct"/>
            <w:shd w:val="clear" w:color="auto" w:fill="FFFFFF"/>
            <w:vAlign w:val="center"/>
          </w:tcPr>
          <w:p w14:paraId="600FB59E"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68 ( 2,7%)</w:t>
            </w:r>
          </w:p>
        </w:tc>
        <w:tc>
          <w:tcPr>
            <w:tcW w:w="1417" w:type="pct"/>
            <w:shd w:val="clear" w:color="auto" w:fill="FFFFFF"/>
            <w:vAlign w:val="center"/>
          </w:tcPr>
          <w:p w14:paraId="55B76AEE"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62 ( 2,4%)</w:t>
            </w:r>
          </w:p>
        </w:tc>
      </w:tr>
      <w:tr w:rsidR="00A30F42" w:rsidRPr="00F85CA6" w14:paraId="58828307" w14:textId="77777777" w:rsidTr="001239C3">
        <w:trPr>
          <w:trHeight w:val="20"/>
        </w:trPr>
        <w:tc>
          <w:tcPr>
            <w:tcW w:w="1880" w:type="pct"/>
            <w:shd w:val="clear" w:color="auto" w:fill="FFFFFF"/>
            <w:vAlign w:val="center"/>
          </w:tcPr>
          <w:p w14:paraId="7AEDD124" w14:textId="77777777" w:rsidR="00A30F42" w:rsidRPr="00F85CA6" w:rsidRDefault="00A30F42" w:rsidP="00A30F42">
            <w:pPr>
              <w:rPr>
                <w:rFonts w:eastAsia="Calibri"/>
                <w:sz w:val="22"/>
                <w:szCs w:val="22"/>
                <w:lang w:val="sr-Latn-ME"/>
              </w:rPr>
            </w:pPr>
            <w:r w:rsidRPr="00F85CA6">
              <w:rPr>
                <w:rFonts w:eastAsia="Calibri"/>
                <w:i/>
                <w:sz w:val="22"/>
                <w:szCs w:val="22"/>
                <w:lang w:val="sr-Latn-ME"/>
              </w:rPr>
              <w:t>Hazard ratio</w:t>
            </w:r>
            <w:r w:rsidRPr="00F85CA6">
              <w:rPr>
                <w:rFonts w:eastAsia="Calibri"/>
                <w:sz w:val="22"/>
                <w:szCs w:val="22"/>
                <w:lang w:val="sr-Latn-ME"/>
              </w:rPr>
              <w:t xml:space="preserve"> prema varfarinu (interval pouzdanosti 95%)</w:t>
            </w:r>
          </w:p>
        </w:tc>
        <w:tc>
          <w:tcPr>
            <w:tcW w:w="1703" w:type="pct"/>
            <w:shd w:val="clear" w:color="auto" w:fill="FFFFFF"/>
            <w:vAlign w:val="center"/>
          </w:tcPr>
          <w:p w14:paraId="107D5AAD"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1,09 (0,77; 1,54)</w:t>
            </w:r>
          </w:p>
        </w:tc>
        <w:tc>
          <w:tcPr>
            <w:tcW w:w="1417" w:type="pct"/>
            <w:shd w:val="clear" w:color="auto" w:fill="FFFFFF"/>
            <w:vAlign w:val="center"/>
          </w:tcPr>
          <w:p w14:paraId="340C576B" w14:textId="77777777" w:rsidR="00A30F42" w:rsidRPr="00F85CA6" w:rsidRDefault="00A30F42" w:rsidP="00A30F42">
            <w:pPr>
              <w:jc w:val="center"/>
              <w:rPr>
                <w:rFonts w:eastAsia="Calibri"/>
                <w:sz w:val="22"/>
                <w:szCs w:val="22"/>
                <w:lang w:val="sr-Latn-ME"/>
              </w:rPr>
            </w:pPr>
          </w:p>
        </w:tc>
      </w:tr>
      <w:tr w:rsidR="00A30F42" w:rsidRPr="00F85CA6" w14:paraId="5BCCE57B" w14:textId="77777777" w:rsidTr="001239C3">
        <w:trPr>
          <w:trHeight w:val="20"/>
        </w:trPr>
        <w:tc>
          <w:tcPr>
            <w:tcW w:w="1880" w:type="pct"/>
            <w:shd w:val="clear" w:color="auto" w:fill="FFFFFF"/>
            <w:vAlign w:val="center"/>
          </w:tcPr>
          <w:p w14:paraId="21E9979C" w14:textId="77777777" w:rsidR="00A30F42" w:rsidRPr="00F85CA6" w:rsidRDefault="00A30F42" w:rsidP="00A30F42">
            <w:pPr>
              <w:rPr>
                <w:rFonts w:eastAsia="Calibri"/>
                <w:sz w:val="22"/>
                <w:szCs w:val="22"/>
                <w:lang w:val="sr-Latn-ME"/>
              </w:rPr>
            </w:pPr>
            <w:r w:rsidRPr="00F85CA6">
              <w:rPr>
                <w:rFonts w:eastAsia="Calibri"/>
                <w:sz w:val="22"/>
                <w:szCs w:val="22"/>
                <w:lang w:val="sr-Latn-ME"/>
              </w:rPr>
              <w:t xml:space="preserve">Sekundarni ishodi efikasnosti </w:t>
            </w:r>
          </w:p>
        </w:tc>
        <w:tc>
          <w:tcPr>
            <w:tcW w:w="1703" w:type="pct"/>
            <w:shd w:val="clear" w:color="auto" w:fill="FFFFFF"/>
            <w:vAlign w:val="center"/>
          </w:tcPr>
          <w:p w14:paraId="1969FD03" w14:textId="77777777" w:rsidR="00A30F42" w:rsidRPr="00F85CA6" w:rsidRDefault="00A30F42" w:rsidP="00A30F42">
            <w:pPr>
              <w:jc w:val="center"/>
              <w:rPr>
                <w:rFonts w:eastAsia="Calibri"/>
                <w:sz w:val="22"/>
                <w:szCs w:val="22"/>
                <w:lang w:val="sr-Latn-ME"/>
              </w:rPr>
            </w:pPr>
          </w:p>
        </w:tc>
        <w:tc>
          <w:tcPr>
            <w:tcW w:w="1417" w:type="pct"/>
            <w:shd w:val="clear" w:color="auto" w:fill="FFFFFF"/>
            <w:vAlign w:val="center"/>
          </w:tcPr>
          <w:p w14:paraId="121C1E8E" w14:textId="77777777" w:rsidR="00A30F42" w:rsidRPr="00F85CA6" w:rsidRDefault="00A30F42" w:rsidP="00A30F42">
            <w:pPr>
              <w:jc w:val="center"/>
              <w:rPr>
                <w:rFonts w:eastAsia="Calibri"/>
                <w:sz w:val="22"/>
                <w:szCs w:val="22"/>
                <w:lang w:val="sr-Latn-ME"/>
              </w:rPr>
            </w:pPr>
          </w:p>
        </w:tc>
      </w:tr>
      <w:tr w:rsidR="00A30F42" w:rsidRPr="00F85CA6" w14:paraId="32371F88" w14:textId="77777777" w:rsidTr="001239C3">
        <w:trPr>
          <w:trHeight w:val="20"/>
        </w:trPr>
        <w:tc>
          <w:tcPr>
            <w:tcW w:w="1880" w:type="pct"/>
            <w:shd w:val="clear" w:color="auto" w:fill="FFFFFF"/>
            <w:vAlign w:val="center"/>
          </w:tcPr>
          <w:p w14:paraId="5E8C8CDA" w14:textId="5E7B5A35" w:rsidR="00A30F42" w:rsidRPr="00F85CA6" w:rsidRDefault="00A30F42" w:rsidP="00A30F42">
            <w:pPr>
              <w:rPr>
                <w:rFonts w:eastAsia="Calibri"/>
                <w:sz w:val="22"/>
                <w:szCs w:val="22"/>
                <w:lang w:val="sr-Latn-ME"/>
              </w:rPr>
            </w:pPr>
            <w:r w:rsidRPr="00F85CA6">
              <w:rPr>
                <w:rFonts w:eastAsia="Calibri"/>
                <w:sz w:val="22"/>
                <w:szCs w:val="22"/>
                <w:lang w:val="sr-Latn-ME"/>
              </w:rPr>
              <w:t>Rekurentna simptomatska VTE i smrti usl</w:t>
            </w:r>
            <w:r w:rsidR="00C345DE" w:rsidRPr="00F85CA6">
              <w:rPr>
                <w:rFonts w:eastAsia="Calibri"/>
                <w:sz w:val="22"/>
                <w:szCs w:val="22"/>
                <w:lang w:val="sr-Latn-ME"/>
              </w:rPr>
              <w:t>j</w:t>
            </w:r>
            <w:r w:rsidRPr="00F85CA6">
              <w:rPr>
                <w:rFonts w:eastAsia="Calibri"/>
                <w:sz w:val="22"/>
                <w:szCs w:val="22"/>
                <w:lang w:val="sr-Latn-ME"/>
              </w:rPr>
              <w:t xml:space="preserve">ed svih uzroka </w:t>
            </w:r>
          </w:p>
        </w:tc>
        <w:tc>
          <w:tcPr>
            <w:tcW w:w="1703" w:type="pct"/>
            <w:shd w:val="clear" w:color="auto" w:fill="FFFFFF"/>
            <w:vAlign w:val="center"/>
          </w:tcPr>
          <w:p w14:paraId="510479FC"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109 (4,3%)</w:t>
            </w:r>
          </w:p>
        </w:tc>
        <w:tc>
          <w:tcPr>
            <w:tcW w:w="1417" w:type="pct"/>
            <w:shd w:val="clear" w:color="auto" w:fill="FFFFFF"/>
            <w:vAlign w:val="center"/>
          </w:tcPr>
          <w:p w14:paraId="33C89CE0"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104 (4,1%)</w:t>
            </w:r>
          </w:p>
        </w:tc>
      </w:tr>
      <w:tr w:rsidR="00A30F42" w:rsidRPr="00F85CA6" w14:paraId="53C2C58F" w14:textId="77777777" w:rsidTr="001239C3">
        <w:trPr>
          <w:trHeight w:val="20"/>
        </w:trPr>
        <w:tc>
          <w:tcPr>
            <w:tcW w:w="1880" w:type="pct"/>
            <w:shd w:val="clear" w:color="auto" w:fill="FFFFFF"/>
            <w:vAlign w:val="center"/>
          </w:tcPr>
          <w:p w14:paraId="07C17C4D" w14:textId="77777777" w:rsidR="00A30F42" w:rsidRPr="00F85CA6" w:rsidRDefault="00A30F42" w:rsidP="00A30F42">
            <w:pPr>
              <w:rPr>
                <w:rFonts w:eastAsia="Calibri"/>
                <w:sz w:val="22"/>
                <w:szCs w:val="22"/>
                <w:lang w:val="sr-Latn-ME"/>
              </w:rPr>
            </w:pPr>
            <w:r w:rsidRPr="00F85CA6">
              <w:rPr>
                <w:rFonts w:eastAsia="Calibri"/>
                <w:sz w:val="22"/>
                <w:szCs w:val="22"/>
                <w:lang w:val="sr-Latn-ME"/>
              </w:rPr>
              <w:t xml:space="preserve">Interval pouzdanosti 95% </w:t>
            </w:r>
          </w:p>
        </w:tc>
        <w:tc>
          <w:tcPr>
            <w:tcW w:w="1703" w:type="pct"/>
            <w:shd w:val="clear" w:color="auto" w:fill="FFFFFF"/>
            <w:vAlign w:val="center"/>
          </w:tcPr>
          <w:p w14:paraId="24CA4BEC"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3,52; 5,13</w:t>
            </w:r>
          </w:p>
        </w:tc>
        <w:tc>
          <w:tcPr>
            <w:tcW w:w="1417" w:type="pct"/>
            <w:shd w:val="clear" w:color="auto" w:fill="FFFFFF"/>
            <w:vAlign w:val="center"/>
          </w:tcPr>
          <w:p w14:paraId="7FCF6E2E"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3,34; 4,91</w:t>
            </w:r>
          </w:p>
        </w:tc>
      </w:tr>
      <w:tr w:rsidR="00A30F42" w:rsidRPr="00F85CA6" w14:paraId="504BC9B8" w14:textId="77777777" w:rsidTr="001239C3">
        <w:trPr>
          <w:trHeight w:val="20"/>
        </w:trPr>
        <w:tc>
          <w:tcPr>
            <w:tcW w:w="1880" w:type="pct"/>
            <w:shd w:val="clear" w:color="auto" w:fill="FFFFFF"/>
            <w:vAlign w:val="center"/>
          </w:tcPr>
          <w:p w14:paraId="7221D9AF" w14:textId="77777777" w:rsidR="00A30F42" w:rsidRPr="00F85CA6" w:rsidRDefault="00A30F42" w:rsidP="00A30F42">
            <w:pPr>
              <w:rPr>
                <w:rFonts w:eastAsia="Calibri"/>
                <w:sz w:val="22"/>
                <w:szCs w:val="22"/>
                <w:lang w:val="sr-Latn-ME"/>
              </w:rPr>
            </w:pPr>
            <w:r w:rsidRPr="00F85CA6">
              <w:rPr>
                <w:rFonts w:eastAsia="Calibri"/>
                <w:sz w:val="22"/>
                <w:szCs w:val="22"/>
                <w:lang w:val="sr-Latn-ME"/>
              </w:rPr>
              <w:t>Simptomatska DVT</w:t>
            </w:r>
          </w:p>
        </w:tc>
        <w:tc>
          <w:tcPr>
            <w:tcW w:w="1703" w:type="pct"/>
            <w:shd w:val="clear" w:color="auto" w:fill="FFFFFF"/>
            <w:vAlign w:val="center"/>
          </w:tcPr>
          <w:p w14:paraId="17A90D81"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45 (1,8%)</w:t>
            </w:r>
          </w:p>
        </w:tc>
        <w:tc>
          <w:tcPr>
            <w:tcW w:w="1417" w:type="pct"/>
            <w:shd w:val="clear" w:color="auto" w:fill="FFFFFF"/>
            <w:vAlign w:val="center"/>
          </w:tcPr>
          <w:p w14:paraId="4B77DC50"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39 (1,5%)</w:t>
            </w:r>
          </w:p>
        </w:tc>
      </w:tr>
      <w:tr w:rsidR="00A30F42" w:rsidRPr="00F85CA6" w14:paraId="7D25ECF0" w14:textId="77777777" w:rsidTr="001239C3">
        <w:trPr>
          <w:trHeight w:val="20"/>
        </w:trPr>
        <w:tc>
          <w:tcPr>
            <w:tcW w:w="1880" w:type="pct"/>
            <w:shd w:val="clear" w:color="auto" w:fill="FFFFFF"/>
            <w:vAlign w:val="center"/>
          </w:tcPr>
          <w:p w14:paraId="06867DD3" w14:textId="77777777" w:rsidR="00A30F42" w:rsidRPr="00F85CA6" w:rsidRDefault="00A30F42" w:rsidP="00A30F42">
            <w:pPr>
              <w:rPr>
                <w:rFonts w:eastAsia="Calibri"/>
                <w:sz w:val="22"/>
                <w:szCs w:val="22"/>
                <w:lang w:val="sr-Latn-ME"/>
              </w:rPr>
            </w:pPr>
            <w:r w:rsidRPr="00F85CA6">
              <w:rPr>
                <w:rFonts w:eastAsia="Calibri"/>
                <w:sz w:val="22"/>
                <w:szCs w:val="22"/>
                <w:lang w:val="sr-Latn-ME"/>
              </w:rPr>
              <w:t xml:space="preserve">Interval pouzdanosti 95% </w:t>
            </w:r>
          </w:p>
        </w:tc>
        <w:tc>
          <w:tcPr>
            <w:tcW w:w="1703" w:type="pct"/>
            <w:shd w:val="clear" w:color="auto" w:fill="FFFFFF"/>
            <w:vAlign w:val="center"/>
          </w:tcPr>
          <w:p w14:paraId="7095C34B"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1,29, 2,35</w:t>
            </w:r>
          </w:p>
        </w:tc>
        <w:tc>
          <w:tcPr>
            <w:tcW w:w="1417" w:type="pct"/>
            <w:shd w:val="clear" w:color="auto" w:fill="FFFFFF"/>
            <w:vAlign w:val="center"/>
          </w:tcPr>
          <w:p w14:paraId="3C720490"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1,09; 2,08</w:t>
            </w:r>
          </w:p>
        </w:tc>
      </w:tr>
      <w:tr w:rsidR="00A30F42" w:rsidRPr="00F85CA6" w14:paraId="21A59A75" w14:textId="77777777" w:rsidTr="001239C3">
        <w:trPr>
          <w:trHeight w:val="20"/>
        </w:trPr>
        <w:tc>
          <w:tcPr>
            <w:tcW w:w="1880" w:type="pct"/>
            <w:shd w:val="clear" w:color="auto" w:fill="FFFFFF"/>
            <w:vAlign w:val="center"/>
          </w:tcPr>
          <w:p w14:paraId="32FFB138" w14:textId="77777777" w:rsidR="00A30F42" w:rsidRPr="00F85CA6" w:rsidRDefault="00A30F42" w:rsidP="00A30F42">
            <w:pPr>
              <w:rPr>
                <w:rFonts w:eastAsia="Calibri"/>
                <w:sz w:val="22"/>
                <w:szCs w:val="22"/>
                <w:lang w:val="sr-Latn-ME"/>
              </w:rPr>
            </w:pPr>
            <w:r w:rsidRPr="00F85CA6">
              <w:rPr>
                <w:rFonts w:eastAsia="Calibri"/>
                <w:sz w:val="22"/>
                <w:szCs w:val="22"/>
                <w:lang w:val="sr-Latn-ME"/>
              </w:rPr>
              <w:t>Simptomatska PE</w:t>
            </w:r>
          </w:p>
        </w:tc>
        <w:tc>
          <w:tcPr>
            <w:tcW w:w="1703" w:type="pct"/>
            <w:shd w:val="clear" w:color="auto" w:fill="FFFFFF"/>
            <w:vAlign w:val="center"/>
          </w:tcPr>
          <w:p w14:paraId="163E78E7"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27 (1,1%)</w:t>
            </w:r>
          </w:p>
        </w:tc>
        <w:tc>
          <w:tcPr>
            <w:tcW w:w="1417" w:type="pct"/>
            <w:shd w:val="clear" w:color="auto" w:fill="FFFFFF"/>
            <w:vAlign w:val="center"/>
          </w:tcPr>
          <w:p w14:paraId="75B0FB4C"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26 (1,0%)</w:t>
            </w:r>
          </w:p>
        </w:tc>
      </w:tr>
      <w:tr w:rsidR="00A30F42" w:rsidRPr="00F85CA6" w14:paraId="1FF4FA5A" w14:textId="77777777" w:rsidTr="001239C3">
        <w:trPr>
          <w:trHeight w:val="20"/>
        </w:trPr>
        <w:tc>
          <w:tcPr>
            <w:tcW w:w="1880" w:type="pct"/>
            <w:shd w:val="clear" w:color="auto" w:fill="FFFFFF"/>
            <w:vAlign w:val="center"/>
          </w:tcPr>
          <w:p w14:paraId="69233A1E" w14:textId="77777777" w:rsidR="00A30F42" w:rsidRPr="00F85CA6" w:rsidRDefault="00A30F42" w:rsidP="00A30F42">
            <w:pPr>
              <w:rPr>
                <w:rFonts w:eastAsia="Calibri"/>
                <w:sz w:val="22"/>
                <w:szCs w:val="22"/>
                <w:lang w:val="sr-Latn-ME"/>
              </w:rPr>
            </w:pPr>
            <w:r w:rsidRPr="00F85CA6">
              <w:rPr>
                <w:rFonts w:eastAsia="Calibri"/>
                <w:sz w:val="22"/>
                <w:szCs w:val="22"/>
                <w:lang w:val="sr-Latn-ME"/>
              </w:rPr>
              <w:t xml:space="preserve">Interval pouzdanosti 95% </w:t>
            </w:r>
          </w:p>
        </w:tc>
        <w:tc>
          <w:tcPr>
            <w:tcW w:w="1703" w:type="pct"/>
            <w:shd w:val="clear" w:color="auto" w:fill="FFFFFF"/>
            <w:vAlign w:val="center"/>
          </w:tcPr>
          <w:p w14:paraId="077972E9"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0,70; 1,54</w:t>
            </w:r>
          </w:p>
        </w:tc>
        <w:tc>
          <w:tcPr>
            <w:tcW w:w="1417" w:type="pct"/>
            <w:shd w:val="clear" w:color="auto" w:fill="FFFFFF"/>
            <w:vAlign w:val="center"/>
          </w:tcPr>
          <w:p w14:paraId="5939F83C"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0,67; 1,49</w:t>
            </w:r>
          </w:p>
        </w:tc>
      </w:tr>
      <w:tr w:rsidR="00A30F42" w:rsidRPr="00F85CA6" w14:paraId="056ED58B" w14:textId="77777777" w:rsidTr="001239C3">
        <w:trPr>
          <w:trHeight w:val="20"/>
        </w:trPr>
        <w:tc>
          <w:tcPr>
            <w:tcW w:w="1880" w:type="pct"/>
            <w:shd w:val="clear" w:color="auto" w:fill="FFFFFF"/>
            <w:vAlign w:val="center"/>
          </w:tcPr>
          <w:p w14:paraId="14351F65" w14:textId="77777777" w:rsidR="00A30F42" w:rsidRPr="00F85CA6" w:rsidRDefault="00A30F42" w:rsidP="00A30F42">
            <w:pPr>
              <w:rPr>
                <w:rFonts w:eastAsia="Calibri"/>
                <w:sz w:val="22"/>
                <w:szCs w:val="22"/>
                <w:lang w:val="sr-Latn-ME"/>
              </w:rPr>
            </w:pPr>
            <w:r w:rsidRPr="00F85CA6">
              <w:rPr>
                <w:rFonts w:eastAsia="Calibri"/>
                <w:sz w:val="22"/>
                <w:szCs w:val="22"/>
                <w:lang w:val="sr-Latn-ME"/>
              </w:rPr>
              <w:t>Smrti povezane sa VTE</w:t>
            </w:r>
          </w:p>
        </w:tc>
        <w:tc>
          <w:tcPr>
            <w:tcW w:w="1703" w:type="pct"/>
            <w:shd w:val="clear" w:color="auto" w:fill="FFFFFF"/>
            <w:vAlign w:val="center"/>
          </w:tcPr>
          <w:p w14:paraId="55023138"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4 (0,2%)</w:t>
            </w:r>
          </w:p>
        </w:tc>
        <w:tc>
          <w:tcPr>
            <w:tcW w:w="1417" w:type="pct"/>
            <w:shd w:val="clear" w:color="auto" w:fill="FFFFFF"/>
            <w:vAlign w:val="center"/>
          </w:tcPr>
          <w:p w14:paraId="50270EC7"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3 (0,1%)</w:t>
            </w:r>
          </w:p>
        </w:tc>
      </w:tr>
      <w:tr w:rsidR="00A30F42" w:rsidRPr="00F85CA6" w14:paraId="59D65F19" w14:textId="77777777" w:rsidTr="001239C3">
        <w:trPr>
          <w:trHeight w:val="20"/>
        </w:trPr>
        <w:tc>
          <w:tcPr>
            <w:tcW w:w="1880" w:type="pct"/>
            <w:shd w:val="clear" w:color="auto" w:fill="FFFFFF"/>
            <w:vAlign w:val="center"/>
          </w:tcPr>
          <w:p w14:paraId="0802E288" w14:textId="77777777" w:rsidR="00A30F42" w:rsidRPr="00F85CA6" w:rsidRDefault="00A30F42" w:rsidP="00A30F42">
            <w:pPr>
              <w:rPr>
                <w:rFonts w:eastAsia="Calibri"/>
                <w:sz w:val="22"/>
                <w:szCs w:val="22"/>
                <w:lang w:val="sr-Latn-ME"/>
              </w:rPr>
            </w:pPr>
            <w:r w:rsidRPr="00F85CA6">
              <w:rPr>
                <w:rFonts w:eastAsia="Calibri"/>
                <w:sz w:val="22"/>
                <w:szCs w:val="22"/>
                <w:lang w:val="sr-Latn-ME"/>
              </w:rPr>
              <w:t xml:space="preserve">Interval pouzdanosti 95% </w:t>
            </w:r>
          </w:p>
        </w:tc>
        <w:tc>
          <w:tcPr>
            <w:tcW w:w="1703" w:type="pct"/>
            <w:shd w:val="clear" w:color="auto" w:fill="FFFFFF"/>
            <w:vAlign w:val="center"/>
          </w:tcPr>
          <w:p w14:paraId="71B93540"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0,04; 0,40</w:t>
            </w:r>
          </w:p>
        </w:tc>
        <w:tc>
          <w:tcPr>
            <w:tcW w:w="1417" w:type="pct"/>
            <w:shd w:val="clear" w:color="auto" w:fill="FFFFFF"/>
            <w:vAlign w:val="center"/>
          </w:tcPr>
          <w:p w14:paraId="693CBAC7"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0,02; 0,34</w:t>
            </w:r>
          </w:p>
        </w:tc>
      </w:tr>
      <w:tr w:rsidR="00A30F42" w:rsidRPr="00F85CA6" w14:paraId="14EEE0D1" w14:textId="77777777" w:rsidTr="001239C3">
        <w:trPr>
          <w:trHeight w:val="20"/>
        </w:trPr>
        <w:tc>
          <w:tcPr>
            <w:tcW w:w="1880" w:type="pct"/>
            <w:shd w:val="clear" w:color="auto" w:fill="FFFFFF"/>
            <w:vAlign w:val="center"/>
          </w:tcPr>
          <w:p w14:paraId="100B3720" w14:textId="3D4087F5" w:rsidR="00A30F42" w:rsidRPr="00F85CA6" w:rsidRDefault="00A30F42" w:rsidP="00A30F42">
            <w:pPr>
              <w:rPr>
                <w:rFonts w:eastAsia="Calibri"/>
                <w:sz w:val="22"/>
                <w:szCs w:val="22"/>
                <w:lang w:val="sr-Latn-ME"/>
              </w:rPr>
            </w:pPr>
            <w:r w:rsidRPr="00F85CA6">
              <w:rPr>
                <w:rFonts w:eastAsia="Calibri"/>
                <w:sz w:val="22"/>
                <w:szCs w:val="22"/>
                <w:lang w:val="sr-Latn-ME"/>
              </w:rPr>
              <w:t>Smrti usl</w:t>
            </w:r>
            <w:r w:rsidR="00C345DE" w:rsidRPr="00F85CA6">
              <w:rPr>
                <w:rFonts w:eastAsia="Calibri"/>
                <w:sz w:val="22"/>
                <w:szCs w:val="22"/>
                <w:lang w:val="sr-Latn-ME"/>
              </w:rPr>
              <w:t>j</w:t>
            </w:r>
            <w:r w:rsidRPr="00F85CA6">
              <w:rPr>
                <w:rFonts w:eastAsia="Calibri"/>
                <w:sz w:val="22"/>
                <w:szCs w:val="22"/>
                <w:lang w:val="sr-Latn-ME"/>
              </w:rPr>
              <w:t>ed svih uzroka</w:t>
            </w:r>
          </w:p>
        </w:tc>
        <w:tc>
          <w:tcPr>
            <w:tcW w:w="1703" w:type="pct"/>
            <w:shd w:val="clear" w:color="auto" w:fill="FFFFFF"/>
            <w:vAlign w:val="center"/>
          </w:tcPr>
          <w:p w14:paraId="194E6F77"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51 (2,0%)</w:t>
            </w:r>
          </w:p>
        </w:tc>
        <w:tc>
          <w:tcPr>
            <w:tcW w:w="1417" w:type="pct"/>
            <w:shd w:val="clear" w:color="auto" w:fill="FFFFFF"/>
            <w:vAlign w:val="center"/>
          </w:tcPr>
          <w:p w14:paraId="7116DB7B"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52 (2,0%)</w:t>
            </w:r>
          </w:p>
        </w:tc>
      </w:tr>
      <w:tr w:rsidR="00A30F42" w:rsidRPr="00F85CA6" w14:paraId="4CFDCF21" w14:textId="77777777" w:rsidTr="001239C3">
        <w:trPr>
          <w:trHeight w:val="20"/>
        </w:trPr>
        <w:tc>
          <w:tcPr>
            <w:tcW w:w="1880" w:type="pct"/>
            <w:shd w:val="clear" w:color="auto" w:fill="FFFFFF"/>
            <w:vAlign w:val="center"/>
          </w:tcPr>
          <w:p w14:paraId="2B337164" w14:textId="77777777" w:rsidR="00A30F42" w:rsidRPr="00F85CA6" w:rsidRDefault="00A30F42" w:rsidP="00A30F42">
            <w:pPr>
              <w:rPr>
                <w:rFonts w:eastAsia="Calibri"/>
                <w:sz w:val="22"/>
                <w:szCs w:val="22"/>
                <w:lang w:val="sr-Latn-ME"/>
              </w:rPr>
            </w:pPr>
            <w:r w:rsidRPr="00F85CA6">
              <w:rPr>
                <w:rFonts w:eastAsia="Calibri"/>
                <w:sz w:val="22"/>
                <w:szCs w:val="22"/>
                <w:lang w:val="sr-Latn-ME"/>
              </w:rPr>
              <w:t xml:space="preserve">Interval pouzdanosti 95% </w:t>
            </w:r>
          </w:p>
        </w:tc>
        <w:tc>
          <w:tcPr>
            <w:tcW w:w="1703" w:type="pct"/>
            <w:shd w:val="clear" w:color="auto" w:fill="FFFFFF"/>
            <w:vAlign w:val="center"/>
          </w:tcPr>
          <w:p w14:paraId="6F91DD65"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1,49; 2,62</w:t>
            </w:r>
          </w:p>
        </w:tc>
        <w:tc>
          <w:tcPr>
            <w:tcW w:w="1417" w:type="pct"/>
            <w:shd w:val="clear" w:color="auto" w:fill="FFFFFF"/>
            <w:vAlign w:val="center"/>
          </w:tcPr>
          <w:p w14:paraId="49E76440"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1,52; 2,66</w:t>
            </w:r>
          </w:p>
        </w:tc>
      </w:tr>
      <w:bookmarkEnd w:id="26"/>
    </w:tbl>
    <w:p w14:paraId="400003B3" w14:textId="77777777" w:rsidR="00A30F42" w:rsidRPr="00F85CA6" w:rsidRDefault="00A30F42" w:rsidP="00A30F42">
      <w:pPr>
        <w:jc w:val="both"/>
        <w:rPr>
          <w:rFonts w:eastAsia="Calibri"/>
          <w:i/>
          <w:iCs/>
          <w:sz w:val="22"/>
          <w:szCs w:val="22"/>
          <w:u w:val="single"/>
          <w:lang w:val="sr-Latn-ME" w:bidi="en-US"/>
        </w:rPr>
      </w:pPr>
    </w:p>
    <w:p w14:paraId="5B9AB448" w14:textId="77777777" w:rsidR="00A30F42" w:rsidRPr="00F85CA6" w:rsidRDefault="00A30F42" w:rsidP="00A30F42">
      <w:pPr>
        <w:jc w:val="both"/>
        <w:rPr>
          <w:rFonts w:eastAsia="Calibri"/>
          <w:sz w:val="22"/>
          <w:szCs w:val="22"/>
          <w:lang w:val="sr-Latn-ME" w:bidi="en-US"/>
        </w:rPr>
      </w:pPr>
      <w:r w:rsidRPr="00F85CA6">
        <w:rPr>
          <w:rFonts w:eastAsia="Calibri"/>
          <w:i/>
          <w:iCs/>
          <w:sz w:val="22"/>
          <w:szCs w:val="22"/>
          <w:u w:val="single"/>
          <w:lang w:val="sr-Latn-ME" w:bidi="en-US"/>
        </w:rPr>
        <w:lastRenderedPageBreak/>
        <w:t>Prevencija rekurentne DVT i PE kod odraslih (prevencija DVT/PE)</w:t>
      </w:r>
    </w:p>
    <w:p w14:paraId="59030838" w14:textId="77777777" w:rsidR="00A30F42" w:rsidRPr="00F85CA6" w:rsidRDefault="00A30F42" w:rsidP="00A30F42">
      <w:pPr>
        <w:jc w:val="both"/>
        <w:rPr>
          <w:rFonts w:eastAsia="Calibri"/>
          <w:sz w:val="22"/>
          <w:szCs w:val="22"/>
          <w:lang w:val="sr-Latn-ME" w:bidi="en-US"/>
        </w:rPr>
      </w:pPr>
    </w:p>
    <w:p w14:paraId="645F32EB" w14:textId="67944D64" w:rsidR="00A30F42" w:rsidRPr="00F85CA6" w:rsidRDefault="00A30F42" w:rsidP="00A30F42">
      <w:pPr>
        <w:jc w:val="both"/>
        <w:rPr>
          <w:rFonts w:eastAsia="Calibri"/>
          <w:sz w:val="22"/>
          <w:szCs w:val="22"/>
          <w:lang w:val="sr-Latn-ME"/>
        </w:rPr>
      </w:pPr>
      <w:r w:rsidRPr="00F85CA6">
        <w:rPr>
          <w:rFonts w:eastAsia="Calibri"/>
          <w:sz w:val="22"/>
          <w:szCs w:val="22"/>
          <w:lang w:val="sr-Latn-ME"/>
        </w:rPr>
        <w:t>Dv</w:t>
      </w:r>
      <w:r w:rsidR="00C345DE" w:rsidRPr="00F85CA6">
        <w:rPr>
          <w:rFonts w:eastAsia="Calibri"/>
          <w:sz w:val="22"/>
          <w:szCs w:val="22"/>
          <w:lang w:val="sr-Latn-ME"/>
        </w:rPr>
        <w:t>ij</w:t>
      </w:r>
      <w:r w:rsidRPr="00F85CA6">
        <w:rPr>
          <w:rFonts w:eastAsia="Calibri"/>
          <w:sz w:val="22"/>
          <w:szCs w:val="22"/>
          <w:lang w:val="sr-Latn-ME"/>
        </w:rPr>
        <w:t>e randomizovane, dvostruko sl</w:t>
      </w:r>
      <w:r w:rsidR="00A3012C" w:rsidRPr="00F85CA6">
        <w:rPr>
          <w:rFonts w:eastAsia="Calibri"/>
          <w:sz w:val="22"/>
          <w:szCs w:val="22"/>
          <w:lang w:val="sr-Latn-ME"/>
        </w:rPr>
        <w:t>ij</w:t>
      </w:r>
      <w:r w:rsidRPr="00F85CA6">
        <w:rPr>
          <w:rFonts w:eastAsia="Calibri"/>
          <w:sz w:val="22"/>
          <w:szCs w:val="22"/>
          <w:lang w:val="sr-Latn-ME"/>
        </w:rPr>
        <w:t>epe studije sa paralelnim grupama sprovedene su na pacijentima koji su prethodno bili l</w:t>
      </w:r>
      <w:r w:rsidR="00A3012C" w:rsidRPr="00F85CA6">
        <w:rPr>
          <w:rFonts w:eastAsia="Calibri"/>
          <w:sz w:val="22"/>
          <w:szCs w:val="22"/>
          <w:lang w:val="sr-Latn-ME"/>
        </w:rPr>
        <w:t>ij</w:t>
      </w:r>
      <w:r w:rsidRPr="00F85CA6">
        <w:rPr>
          <w:rFonts w:eastAsia="Calibri"/>
          <w:sz w:val="22"/>
          <w:szCs w:val="22"/>
          <w:lang w:val="sr-Latn-ME"/>
        </w:rPr>
        <w:t>ečeni antikoagulacionom terapijom. RE-MEDY, varfarinom kontrolisana studija, uključivala je pacijente koji su se već l</w:t>
      </w:r>
      <w:r w:rsidR="00C345DE" w:rsidRPr="00F85CA6">
        <w:rPr>
          <w:rFonts w:eastAsia="Calibri"/>
          <w:sz w:val="22"/>
          <w:szCs w:val="22"/>
          <w:lang w:val="sr-Latn-ME"/>
        </w:rPr>
        <w:t>ij</w:t>
      </w:r>
      <w:r w:rsidRPr="00F85CA6">
        <w:rPr>
          <w:rFonts w:eastAsia="Calibri"/>
          <w:sz w:val="22"/>
          <w:szCs w:val="22"/>
          <w:lang w:val="sr-Latn-ME"/>
        </w:rPr>
        <w:t>ečili od 3 do 12 m</w:t>
      </w:r>
      <w:r w:rsidR="00A3012C" w:rsidRPr="00F85CA6">
        <w:rPr>
          <w:rFonts w:eastAsia="Calibri"/>
          <w:sz w:val="22"/>
          <w:szCs w:val="22"/>
          <w:lang w:val="sr-Latn-ME"/>
        </w:rPr>
        <w:t>j</w:t>
      </w:r>
      <w:r w:rsidRPr="00F85CA6">
        <w:rPr>
          <w:rFonts w:eastAsia="Calibri"/>
          <w:sz w:val="22"/>
          <w:szCs w:val="22"/>
          <w:lang w:val="sr-Latn-ME"/>
        </w:rPr>
        <w:t>eseci sa potrebom daljnjeg antikoagulantnog l</w:t>
      </w:r>
      <w:r w:rsidR="00A3012C" w:rsidRPr="00F85CA6">
        <w:rPr>
          <w:rFonts w:eastAsia="Calibri"/>
          <w:sz w:val="22"/>
          <w:szCs w:val="22"/>
          <w:lang w:val="sr-Latn-ME"/>
        </w:rPr>
        <w:t>ij</w:t>
      </w:r>
      <w:r w:rsidRPr="00F85CA6">
        <w:rPr>
          <w:rFonts w:eastAsia="Calibri"/>
          <w:sz w:val="22"/>
          <w:szCs w:val="22"/>
          <w:lang w:val="sr-Latn-ME"/>
        </w:rPr>
        <w:t>ečenja, a RE-SONATE, placebom kontrolisana studija, uključivala je pacijente koji su se već l</w:t>
      </w:r>
      <w:r w:rsidR="00C345DE" w:rsidRPr="00F85CA6">
        <w:rPr>
          <w:rFonts w:eastAsia="Calibri"/>
          <w:sz w:val="22"/>
          <w:szCs w:val="22"/>
          <w:lang w:val="sr-Latn-ME"/>
        </w:rPr>
        <w:t>ij</w:t>
      </w:r>
      <w:r w:rsidRPr="00F85CA6">
        <w:rPr>
          <w:rFonts w:eastAsia="Calibri"/>
          <w:sz w:val="22"/>
          <w:szCs w:val="22"/>
          <w:lang w:val="sr-Latn-ME"/>
        </w:rPr>
        <w:t>ečili od 6 do 18 m</w:t>
      </w:r>
      <w:r w:rsidR="00A3012C" w:rsidRPr="00F85CA6">
        <w:rPr>
          <w:rFonts w:eastAsia="Calibri"/>
          <w:sz w:val="22"/>
          <w:szCs w:val="22"/>
          <w:lang w:val="sr-Latn-ME"/>
        </w:rPr>
        <w:t>j</w:t>
      </w:r>
      <w:r w:rsidRPr="00F85CA6">
        <w:rPr>
          <w:rFonts w:eastAsia="Calibri"/>
          <w:sz w:val="22"/>
          <w:szCs w:val="22"/>
          <w:lang w:val="sr-Latn-ME"/>
        </w:rPr>
        <w:t>eseci antagonistima vitamina K.</w:t>
      </w:r>
    </w:p>
    <w:p w14:paraId="333154C3" w14:textId="77777777" w:rsidR="00A30F42" w:rsidRPr="00F85CA6" w:rsidRDefault="00A30F42" w:rsidP="00A30F42">
      <w:pPr>
        <w:jc w:val="both"/>
        <w:rPr>
          <w:rFonts w:eastAsia="Calibri"/>
          <w:sz w:val="22"/>
          <w:szCs w:val="22"/>
          <w:lang w:val="sr-Latn-ME"/>
        </w:rPr>
      </w:pPr>
    </w:p>
    <w:p w14:paraId="068D8C31" w14:textId="558C5AD3" w:rsidR="00A30F42" w:rsidRPr="00F85CA6" w:rsidRDefault="00A30F42" w:rsidP="00A30F42">
      <w:pPr>
        <w:jc w:val="both"/>
        <w:rPr>
          <w:rFonts w:eastAsia="Calibri"/>
          <w:sz w:val="22"/>
          <w:szCs w:val="22"/>
          <w:lang w:val="sr-Latn-ME"/>
        </w:rPr>
      </w:pPr>
      <w:r w:rsidRPr="00F85CA6">
        <w:rPr>
          <w:rFonts w:eastAsia="Calibri"/>
          <w:sz w:val="22"/>
          <w:szCs w:val="22"/>
          <w:lang w:val="sr-Latn-ME"/>
        </w:rPr>
        <w:t xml:space="preserve">Cilj studije RE-MEDY bio je da se uporedi </w:t>
      </w:r>
      <w:r w:rsidRPr="00F85CA6">
        <w:rPr>
          <w:rFonts w:eastAsia="Calibri"/>
          <w:bCs/>
          <w:sz w:val="22"/>
          <w:szCs w:val="22"/>
          <w:lang w:val="sr-Latn-ME"/>
        </w:rPr>
        <w:t>bezb</w:t>
      </w:r>
      <w:r w:rsidR="00A3012C" w:rsidRPr="00F85CA6">
        <w:rPr>
          <w:rFonts w:eastAsia="Calibri"/>
          <w:bCs/>
          <w:sz w:val="22"/>
          <w:szCs w:val="22"/>
          <w:lang w:val="sr-Latn-ME"/>
        </w:rPr>
        <w:t>j</w:t>
      </w:r>
      <w:r w:rsidRPr="00F85CA6">
        <w:rPr>
          <w:rFonts w:eastAsia="Calibri"/>
          <w:bCs/>
          <w:sz w:val="22"/>
          <w:szCs w:val="22"/>
          <w:lang w:val="sr-Latn-ME"/>
        </w:rPr>
        <w:t>ednost</w:t>
      </w:r>
      <w:r w:rsidRPr="00F85CA6">
        <w:rPr>
          <w:rFonts w:eastAsia="Calibri"/>
          <w:sz w:val="22"/>
          <w:szCs w:val="22"/>
          <w:lang w:val="sr-Latn-ME"/>
        </w:rPr>
        <w:t xml:space="preserve"> i efikasnost oralno prim</w:t>
      </w:r>
      <w:r w:rsidR="00C345DE" w:rsidRPr="00F85CA6">
        <w:rPr>
          <w:rFonts w:eastAsia="Calibri"/>
          <w:sz w:val="22"/>
          <w:szCs w:val="22"/>
          <w:lang w:val="sr-Latn-ME"/>
        </w:rPr>
        <w:t>i</w:t>
      </w:r>
      <w:r w:rsidR="00A3012C" w:rsidRPr="00F85CA6">
        <w:rPr>
          <w:rFonts w:eastAsia="Calibri"/>
          <w:sz w:val="22"/>
          <w:szCs w:val="22"/>
          <w:lang w:val="sr-Latn-ME"/>
        </w:rPr>
        <w:t>j</w:t>
      </w:r>
      <w:r w:rsidRPr="00F85CA6">
        <w:rPr>
          <w:rFonts w:eastAsia="Calibri"/>
          <w:sz w:val="22"/>
          <w:szCs w:val="22"/>
          <w:lang w:val="sr-Latn-ME"/>
        </w:rPr>
        <w:t>enjenog dabigatraneteksilata (150 mg dva puta dnevno) sa varfarinom (ciljni INR 2,0-3,0) u dugotrajnoj terapiji i prevenciji rekurentne, simptomatske DVT i/ili PE. Ukupno je bilo randomizovano 2866 pacijenata, a 2856 pacijenata je bilo l</w:t>
      </w:r>
      <w:r w:rsidR="00A3012C" w:rsidRPr="00F85CA6">
        <w:rPr>
          <w:rFonts w:eastAsia="Calibri"/>
          <w:sz w:val="22"/>
          <w:szCs w:val="22"/>
          <w:lang w:val="sr-Latn-ME"/>
        </w:rPr>
        <w:t>ij</w:t>
      </w:r>
      <w:r w:rsidRPr="00F85CA6">
        <w:rPr>
          <w:rFonts w:eastAsia="Calibri"/>
          <w:sz w:val="22"/>
          <w:szCs w:val="22"/>
          <w:lang w:val="sr-Latn-ME"/>
        </w:rPr>
        <w:t>ečeno. Trajanje terapije dabigatraneteksilatom variralo je od 6 do 36 m</w:t>
      </w:r>
      <w:r w:rsidR="00A3012C" w:rsidRPr="00F85CA6">
        <w:rPr>
          <w:rFonts w:eastAsia="Calibri"/>
          <w:sz w:val="22"/>
          <w:szCs w:val="22"/>
          <w:lang w:val="sr-Latn-ME"/>
        </w:rPr>
        <w:t>j</w:t>
      </w:r>
      <w:r w:rsidRPr="00F85CA6">
        <w:rPr>
          <w:rFonts w:eastAsia="Calibri"/>
          <w:sz w:val="22"/>
          <w:szCs w:val="22"/>
          <w:lang w:val="sr-Latn-ME"/>
        </w:rPr>
        <w:t xml:space="preserve">eseci (medijana 534,0 dana). Kod pacijenta koji su bili randomizovani da primaju varfarin, medijana vremena u terapijskom opsegu (INR 2,0-3,0) bila je 64,9%. </w:t>
      </w:r>
    </w:p>
    <w:p w14:paraId="7F47F4FC" w14:textId="77777777" w:rsidR="00A30F42" w:rsidRPr="00F85CA6" w:rsidRDefault="00A30F42" w:rsidP="00A30F42">
      <w:pPr>
        <w:jc w:val="both"/>
        <w:rPr>
          <w:rFonts w:eastAsia="Calibri"/>
          <w:sz w:val="22"/>
          <w:szCs w:val="22"/>
          <w:lang w:val="sr-Latn-ME"/>
        </w:rPr>
      </w:pPr>
    </w:p>
    <w:p w14:paraId="068E68CD" w14:textId="15BFEE92" w:rsidR="00A30F42" w:rsidRPr="00F85CA6" w:rsidRDefault="00A30F42" w:rsidP="00A30F42">
      <w:pPr>
        <w:jc w:val="both"/>
        <w:rPr>
          <w:rFonts w:eastAsia="Calibri"/>
          <w:sz w:val="22"/>
          <w:szCs w:val="22"/>
          <w:lang w:val="sr-Latn-ME"/>
        </w:rPr>
      </w:pPr>
      <w:r w:rsidRPr="00F85CA6">
        <w:rPr>
          <w:rFonts w:eastAsia="Calibri"/>
          <w:sz w:val="22"/>
          <w:szCs w:val="22"/>
          <w:lang w:val="sr-Latn-ME"/>
        </w:rPr>
        <w:t>Studija RE-MEDY je pokazala da terapija dabigatrane</w:t>
      </w:r>
      <w:r w:rsidR="003A2ACB" w:rsidRPr="00F85CA6">
        <w:rPr>
          <w:rFonts w:eastAsia="Calibri"/>
          <w:sz w:val="22"/>
          <w:szCs w:val="22"/>
          <w:lang w:val="sr-Latn-ME"/>
        </w:rPr>
        <w:t xml:space="preserve"> </w:t>
      </w:r>
      <w:r w:rsidRPr="00F85CA6">
        <w:rPr>
          <w:rFonts w:eastAsia="Calibri"/>
          <w:sz w:val="22"/>
          <w:szCs w:val="22"/>
          <w:lang w:val="sr-Latn-ME"/>
        </w:rPr>
        <w:t xml:space="preserve">teksilatom 150 mg dva puta dnevno nije bila inferiorna u odnosu na varfarin (granica neinferiornosti: 2,85 za </w:t>
      </w:r>
      <w:r w:rsidRPr="00F85CA6">
        <w:rPr>
          <w:rFonts w:eastAsia="Calibri"/>
          <w:i/>
          <w:sz w:val="22"/>
          <w:szCs w:val="22"/>
          <w:lang w:val="sr-Latn-ME"/>
        </w:rPr>
        <w:t>hazard ratio</w:t>
      </w:r>
      <w:r w:rsidRPr="00F85CA6">
        <w:rPr>
          <w:rFonts w:eastAsia="Calibri"/>
          <w:sz w:val="22"/>
          <w:szCs w:val="22"/>
          <w:lang w:val="sr-Latn-ME"/>
        </w:rPr>
        <w:t xml:space="preserve"> i 2,8 za </w:t>
      </w:r>
      <w:r w:rsidRPr="00F85CA6">
        <w:rPr>
          <w:rFonts w:eastAsia="Calibri"/>
          <w:i/>
          <w:sz w:val="22"/>
          <w:szCs w:val="22"/>
          <w:lang w:val="sr-Latn-ME"/>
        </w:rPr>
        <w:t>risk difference</w:t>
      </w:r>
      <w:r w:rsidRPr="00F85CA6">
        <w:rPr>
          <w:rFonts w:eastAsia="Calibri"/>
          <w:sz w:val="22"/>
          <w:szCs w:val="22"/>
          <w:lang w:val="sr-Latn-ME"/>
        </w:rPr>
        <w:t xml:space="preserve">). </w:t>
      </w:r>
    </w:p>
    <w:p w14:paraId="205740B0" w14:textId="77777777" w:rsidR="00A30F42" w:rsidRPr="00F85CA6" w:rsidRDefault="00A30F42" w:rsidP="00A30F42">
      <w:pPr>
        <w:jc w:val="both"/>
        <w:rPr>
          <w:rFonts w:eastAsia="Calibri"/>
          <w:sz w:val="22"/>
          <w:szCs w:val="22"/>
          <w:lang w:val="sr-Latn-ME"/>
        </w:rPr>
      </w:pPr>
    </w:p>
    <w:p w14:paraId="4E596CF7" w14:textId="77777777" w:rsidR="00A30F42" w:rsidRPr="00F85CA6" w:rsidRDefault="00A30F42" w:rsidP="00685312">
      <w:pPr>
        <w:jc w:val="center"/>
        <w:rPr>
          <w:rFonts w:eastAsia="Calibri"/>
          <w:b/>
          <w:bCs/>
          <w:sz w:val="22"/>
          <w:szCs w:val="22"/>
          <w:lang w:val="sr-Latn-ME" w:bidi="en-US"/>
        </w:rPr>
      </w:pPr>
      <w:r w:rsidRPr="00F85CA6">
        <w:rPr>
          <w:rFonts w:eastAsia="Calibri"/>
          <w:b/>
          <w:bCs/>
          <w:sz w:val="22"/>
          <w:szCs w:val="22"/>
          <w:lang w:val="sr-Latn-ME" w:bidi="en-US"/>
        </w:rPr>
        <w:t>Tabela 28: Analiza primarnih i sekundarnih ishoda efikasnosti (VTE je sastavljena od DVT i/ili PE) do kraja perioda nakon terapije u studiji RE-MEDY</w:t>
      </w:r>
    </w:p>
    <w:p w14:paraId="57B60F14" w14:textId="77777777" w:rsidR="00A30F42" w:rsidRPr="00F85CA6" w:rsidRDefault="00A30F42" w:rsidP="00685312">
      <w:pPr>
        <w:jc w:val="center"/>
        <w:rPr>
          <w:rFonts w:eastAsia="Calibri"/>
          <w:b/>
          <w:bCs/>
          <w:sz w:val="22"/>
          <w:szCs w:val="22"/>
          <w:lang w:val="sr-Latn-ME" w:bidi="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4131"/>
        <w:gridCol w:w="2465"/>
        <w:gridCol w:w="2467"/>
      </w:tblGrid>
      <w:tr w:rsidR="00A30F42" w:rsidRPr="00F85CA6" w14:paraId="0B96051C" w14:textId="77777777" w:rsidTr="001239C3">
        <w:trPr>
          <w:trHeight w:val="20"/>
        </w:trPr>
        <w:tc>
          <w:tcPr>
            <w:tcW w:w="2279" w:type="pct"/>
          </w:tcPr>
          <w:p w14:paraId="7E6D59D0" w14:textId="77777777" w:rsidR="00A30F42" w:rsidRPr="00F85CA6" w:rsidRDefault="00A30F42" w:rsidP="00A30F42">
            <w:pPr>
              <w:rPr>
                <w:rFonts w:eastAsia="Calibri"/>
                <w:sz w:val="22"/>
                <w:szCs w:val="22"/>
                <w:lang w:val="sr-Latn-ME"/>
              </w:rPr>
            </w:pPr>
            <w:bookmarkStart w:id="27" w:name="_Hlk83119156"/>
          </w:p>
        </w:tc>
        <w:tc>
          <w:tcPr>
            <w:tcW w:w="1360" w:type="pct"/>
            <w:vAlign w:val="center"/>
          </w:tcPr>
          <w:p w14:paraId="441B81D0" w14:textId="2A702CC0" w:rsidR="00A30F42" w:rsidRPr="00F85CA6" w:rsidRDefault="00A30F42" w:rsidP="00A30F42">
            <w:pPr>
              <w:jc w:val="center"/>
              <w:rPr>
                <w:rFonts w:eastAsia="Calibri"/>
                <w:sz w:val="22"/>
                <w:szCs w:val="22"/>
                <w:lang w:val="sr-Latn-ME"/>
              </w:rPr>
            </w:pPr>
            <w:r w:rsidRPr="00F85CA6">
              <w:rPr>
                <w:rFonts w:eastAsia="Calibri"/>
                <w:sz w:val="22"/>
                <w:szCs w:val="22"/>
                <w:lang w:val="sr-Latn-ME"/>
              </w:rPr>
              <w:t>Dabigatrine</w:t>
            </w:r>
            <w:r w:rsidR="003A2ACB" w:rsidRPr="00F85CA6">
              <w:rPr>
                <w:rFonts w:eastAsia="Calibri"/>
                <w:sz w:val="22"/>
                <w:szCs w:val="22"/>
                <w:lang w:val="sr-Latn-ME"/>
              </w:rPr>
              <w:t xml:space="preserve"> </w:t>
            </w:r>
            <w:r w:rsidRPr="00F85CA6">
              <w:rPr>
                <w:rFonts w:eastAsia="Calibri"/>
                <w:sz w:val="22"/>
                <w:szCs w:val="22"/>
                <w:lang w:val="sr-Latn-ME"/>
              </w:rPr>
              <w:t>teksilat 150 mg dva puta dnevno</w:t>
            </w:r>
          </w:p>
        </w:tc>
        <w:tc>
          <w:tcPr>
            <w:tcW w:w="1361" w:type="pct"/>
            <w:vAlign w:val="center"/>
          </w:tcPr>
          <w:p w14:paraId="6E4FEF23"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Varfarin</w:t>
            </w:r>
          </w:p>
        </w:tc>
      </w:tr>
      <w:tr w:rsidR="00A30F42" w:rsidRPr="00F85CA6" w:rsidDel="007F2C5D" w14:paraId="447EA075" w14:textId="77777777" w:rsidTr="001239C3">
        <w:trPr>
          <w:trHeight w:val="20"/>
        </w:trPr>
        <w:tc>
          <w:tcPr>
            <w:tcW w:w="2279" w:type="pct"/>
          </w:tcPr>
          <w:p w14:paraId="154EAC29" w14:textId="143FC899" w:rsidR="00A30F42" w:rsidRPr="00F85CA6" w:rsidRDefault="00A30F42" w:rsidP="00A30F42">
            <w:pPr>
              <w:rPr>
                <w:rFonts w:eastAsia="Calibri"/>
                <w:sz w:val="22"/>
                <w:szCs w:val="22"/>
                <w:lang w:val="sr-Latn-ME"/>
              </w:rPr>
            </w:pPr>
            <w:r w:rsidRPr="00F85CA6">
              <w:rPr>
                <w:rFonts w:eastAsia="Calibri"/>
                <w:sz w:val="22"/>
                <w:szCs w:val="22"/>
                <w:lang w:val="sr-Latn-ME"/>
              </w:rPr>
              <w:t>L</w:t>
            </w:r>
            <w:r w:rsidR="00A3012C" w:rsidRPr="00F85CA6">
              <w:rPr>
                <w:rFonts w:eastAsia="Calibri"/>
                <w:sz w:val="22"/>
                <w:szCs w:val="22"/>
                <w:lang w:val="sr-Latn-ME"/>
              </w:rPr>
              <w:t>ij</w:t>
            </w:r>
            <w:r w:rsidRPr="00F85CA6">
              <w:rPr>
                <w:rFonts w:eastAsia="Calibri"/>
                <w:sz w:val="22"/>
                <w:szCs w:val="22"/>
                <w:lang w:val="sr-Latn-ME"/>
              </w:rPr>
              <w:t>ečeni pacijenti</w:t>
            </w:r>
          </w:p>
        </w:tc>
        <w:tc>
          <w:tcPr>
            <w:tcW w:w="1360" w:type="pct"/>
            <w:vAlign w:val="center"/>
          </w:tcPr>
          <w:p w14:paraId="062F6216" w14:textId="77777777" w:rsidR="00A30F42" w:rsidRPr="00F85CA6" w:rsidDel="007F2C5D" w:rsidRDefault="00A30F42" w:rsidP="00A30F42">
            <w:pPr>
              <w:jc w:val="center"/>
              <w:rPr>
                <w:rFonts w:eastAsia="Calibri"/>
                <w:sz w:val="22"/>
                <w:szCs w:val="22"/>
                <w:lang w:val="sr-Latn-ME"/>
              </w:rPr>
            </w:pPr>
            <w:r w:rsidRPr="00F85CA6">
              <w:rPr>
                <w:rFonts w:eastAsia="Calibri"/>
                <w:sz w:val="22"/>
                <w:szCs w:val="22"/>
                <w:lang w:val="sr-Latn-ME"/>
              </w:rPr>
              <w:t>1430</w:t>
            </w:r>
          </w:p>
        </w:tc>
        <w:tc>
          <w:tcPr>
            <w:tcW w:w="1361" w:type="pct"/>
            <w:vAlign w:val="center"/>
          </w:tcPr>
          <w:p w14:paraId="62D29A84" w14:textId="77777777" w:rsidR="00A30F42" w:rsidRPr="00F85CA6" w:rsidDel="007F2C5D" w:rsidRDefault="00A30F42" w:rsidP="00A30F42">
            <w:pPr>
              <w:jc w:val="center"/>
              <w:rPr>
                <w:rFonts w:eastAsia="Calibri"/>
                <w:sz w:val="22"/>
                <w:szCs w:val="22"/>
                <w:lang w:val="sr-Latn-ME"/>
              </w:rPr>
            </w:pPr>
            <w:r w:rsidRPr="00F85CA6">
              <w:rPr>
                <w:rFonts w:eastAsia="Calibri"/>
                <w:sz w:val="22"/>
                <w:szCs w:val="22"/>
                <w:lang w:val="sr-Latn-ME"/>
              </w:rPr>
              <w:t>1426</w:t>
            </w:r>
          </w:p>
        </w:tc>
      </w:tr>
      <w:tr w:rsidR="00A30F42" w:rsidRPr="00F85CA6" w14:paraId="402FD1CA" w14:textId="77777777" w:rsidTr="001239C3">
        <w:trPr>
          <w:trHeight w:val="20"/>
        </w:trPr>
        <w:tc>
          <w:tcPr>
            <w:tcW w:w="2279" w:type="pct"/>
          </w:tcPr>
          <w:p w14:paraId="48DE6E90" w14:textId="77777777" w:rsidR="00A30F42" w:rsidRPr="00F85CA6" w:rsidRDefault="00A30F42" w:rsidP="00A30F42">
            <w:pPr>
              <w:rPr>
                <w:rFonts w:eastAsia="Calibri"/>
                <w:sz w:val="22"/>
                <w:szCs w:val="22"/>
                <w:lang w:val="sr-Latn-ME"/>
              </w:rPr>
            </w:pPr>
            <w:r w:rsidRPr="00F85CA6">
              <w:rPr>
                <w:rFonts w:eastAsia="Calibri"/>
                <w:sz w:val="22"/>
                <w:szCs w:val="22"/>
                <w:lang w:val="sr-Latn-ME"/>
              </w:rPr>
              <w:t xml:space="preserve">Rekurentna simptomatska VTE i smrt povezana sa VTE </w:t>
            </w:r>
          </w:p>
        </w:tc>
        <w:tc>
          <w:tcPr>
            <w:tcW w:w="1360" w:type="pct"/>
            <w:vAlign w:val="center"/>
          </w:tcPr>
          <w:p w14:paraId="18445DC9"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26</w:t>
            </w:r>
            <w:r w:rsidRPr="00F85CA6" w:rsidDel="007F2C5D">
              <w:rPr>
                <w:rFonts w:eastAsia="Calibri"/>
                <w:sz w:val="22"/>
                <w:szCs w:val="22"/>
                <w:lang w:val="sr-Latn-ME"/>
              </w:rPr>
              <w:t xml:space="preserve"> </w:t>
            </w:r>
            <w:r w:rsidRPr="00F85CA6">
              <w:rPr>
                <w:rFonts w:eastAsia="Calibri"/>
                <w:sz w:val="22"/>
                <w:szCs w:val="22"/>
                <w:lang w:val="sr-Latn-ME"/>
              </w:rPr>
              <w:t>(1,8%)</w:t>
            </w:r>
          </w:p>
        </w:tc>
        <w:tc>
          <w:tcPr>
            <w:tcW w:w="1361" w:type="pct"/>
            <w:vAlign w:val="center"/>
          </w:tcPr>
          <w:p w14:paraId="11CEA8D6"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18 (1,3%)</w:t>
            </w:r>
          </w:p>
        </w:tc>
      </w:tr>
      <w:tr w:rsidR="00A30F42" w:rsidRPr="00F85CA6" w14:paraId="5A3FB2ED" w14:textId="77777777" w:rsidTr="001239C3">
        <w:trPr>
          <w:trHeight w:val="20"/>
        </w:trPr>
        <w:tc>
          <w:tcPr>
            <w:tcW w:w="2279" w:type="pct"/>
          </w:tcPr>
          <w:p w14:paraId="05900721" w14:textId="77777777" w:rsidR="00A30F42" w:rsidRPr="00F85CA6" w:rsidRDefault="00A30F42" w:rsidP="00A30F42">
            <w:pPr>
              <w:rPr>
                <w:rFonts w:eastAsia="Calibri"/>
                <w:sz w:val="22"/>
                <w:szCs w:val="22"/>
                <w:lang w:val="sr-Latn-ME"/>
              </w:rPr>
            </w:pPr>
            <w:r w:rsidRPr="00F85CA6">
              <w:rPr>
                <w:rFonts w:eastAsia="Calibri"/>
                <w:i/>
                <w:sz w:val="22"/>
                <w:szCs w:val="22"/>
                <w:lang w:val="sr-Latn-ME"/>
              </w:rPr>
              <w:t>Hazard ratio</w:t>
            </w:r>
            <w:r w:rsidRPr="00F85CA6">
              <w:rPr>
                <w:rFonts w:eastAsia="Calibri"/>
                <w:sz w:val="22"/>
                <w:szCs w:val="22"/>
                <w:lang w:val="sr-Latn-ME"/>
              </w:rPr>
              <w:t xml:space="preserve"> prema varfarinu (interval pouzdanosti 95%)</w:t>
            </w:r>
          </w:p>
        </w:tc>
        <w:tc>
          <w:tcPr>
            <w:tcW w:w="1360" w:type="pct"/>
            <w:vAlign w:val="center"/>
          </w:tcPr>
          <w:p w14:paraId="016E412D"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1,44 (0,78; 2,64)</w:t>
            </w:r>
          </w:p>
        </w:tc>
        <w:tc>
          <w:tcPr>
            <w:tcW w:w="1361" w:type="pct"/>
            <w:vAlign w:val="center"/>
          </w:tcPr>
          <w:p w14:paraId="7DC71A0F" w14:textId="77777777" w:rsidR="00A30F42" w:rsidRPr="00F85CA6" w:rsidRDefault="00A30F42" w:rsidP="00A30F42">
            <w:pPr>
              <w:jc w:val="center"/>
              <w:rPr>
                <w:rFonts w:eastAsia="Calibri"/>
                <w:sz w:val="22"/>
                <w:szCs w:val="22"/>
                <w:lang w:val="sr-Latn-ME"/>
              </w:rPr>
            </w:pPr>
          </w:p>
        </w:tc>
      </w:tr>
      <w:tr w:rsidR="00A30F42" w:rsidRPr="00F85CA6" w14:paraId="0BC5158A" w14:textId="77777777" w:rsidTr="001239C3">
        <w:trPr>
          <w:trHeight w:val="20"/>
        </w:trPr>
        <w:tc>
          <w:tcPr>
            <w:tcW w:w="2279" w:type="pct"/>
          </w:tcPr>
          <w:p w14:paraId="58C00EAE" w14:textId="77777777" w:rsidR="00A30F42" w:rsidRPr="00F85CA6" w:rsidRDefault="00A30F42" w:rsidP="00A30F42">
            <w:pPr>
              <w:rPr>
                <w:rFonts w:eastAsia="Calibri"/>
                <w:sz w:val="22"/>
                <w:szCs w:val="22"/>
                <w:lang w:val="sr-Latn-ME"/>
              </w:rPr>
            </w:pPr>
            <w:r w:rsidRPr="00F85CA6">
              <w:rPr>
                <w:rFonts w:eastAsia="Calibri"/>
                <w:sz w:val="22"/>
                <w:szCs w:val="22"/>
                <w:lang w:val="sr-Latn-ME"/>
              </w:rPr>
              <w:t>Granica neinferiornosti</w:t>
            </w:r>
          </w:p>
        </w:tc>
        <w:tc>
          <w:tcPr>
            <w:tcW w:w="1360" w:type="pct"/>
            <w:vAlign w:val="center"/>
          </w:tcPr>
          <w:p w14:paraId="5B000838"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2,85</w:t>
            </w:r>
          </w:p>
        </w:tc>
        <w:tc>
          <w:tcPr>
            <w:tcW w:w="1361" w:type="pct"/>
            <w:vAlign w:val="center"/>
          </w:tcPr>
          <w:p w14:paraId="2B483279" w14:textId="77777777" w:rsidR="00A30F42" w:rsidRPr="00F85CA6" w:rsidRDefault="00A30F42" w:rsidP="00A30F42">
            <w:pPr>
              <w:jc w:val="center"/>
              <w:rPr>
                <w:rFonts w:eastAsia="Calibri"/>
                <w:sz w:val="22"/>
                <w:szCs w:val="22"/>
                <w:lang w:val="sr-Latn-ME"/>
              </w:rPr>
            </w:pPr>
          </w:p>
        </w:tc>
      </w:tr>
      <w:tr w:rsidR="00A30F42" w:rsidRPr="00F85CA6" w14:paraId="2FA6AF2D" w14:textId="77777777" w:rsidTr="001239C3">
        <w:trPr>
          <w:trHeight w:val="20"/>
        </w:trPr>
        <w:tc>
          <w:tcPr>
            <w:tcW w:w="2279" w:type="pct"/>
          </w:tcPr>
          <w:p w14:paraId="22D810D9" w14:textId="23E6701F" w:rsidR="00A30F42" w:rsidRPr="00F85CA6" w:rsidRDefault="00A30F42" w:rsidP="00A30F42">
            <w:pPr>
              <w:rPr>
                <w:rFonts w:eastAsia="Calibri"/>
                <w:sz w:val="22"/>
                <w:szCs w:val="22"/>
                <w:lang w:val="sr-Latn-ME"/>
              </w:rPr>
            </w:pPr>
            <w:r w:rsidRPr="00F85CA6">
              <w:rPr>
                <w:rFonts w:eastAsia="Calibri"/>
                <w:sz w:val="22"/>
                <w:szCs w:val="22"/>
                <w:lang w:val="sr-Latn-ME"/>
              </w:rPr>
              <w:t>Pacijenti sa događajem nakon 18 m</w:t>
            </w:r>
            <w:r w:rsidR="00EA7BEC" w:rsidRPr="00F85CA6">
              <w:rPr>
                <w:rFonts w:eastAsia="Calibri"/>
                <w:sz w:val="22"/>
                <w:szCs w:val="22"/>
                <w:lang w:val="sr-Latn-ME"/>
              </w:rPr>
              <w:t>j</w:t>
            </w:r>
            <w:r w:rsidRPr="00F85CA6">
              <w:rPr>
                <w:rFonts w:eastAsia="Calibri"/>
                <w:sz w:val="22"/>
                <w:szCs w:val="22"/>
                <w:lang w:val="sr-Latn-ME"/>
              </w:rPr>
              <w:t xml:space="preserve">eseci </w:t>
            </w:r>
          </w:p>
        </w:tc>
        <w:tc>
          <w:tcPr>
            <w:tcW w:w="1360" w:type="pct"/>
            <w:vAlign w:val="center"/>
          </w:tcPr>
          <w:p w14:paraId="560B13C5"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22</w:t>
            </w:r>
          </w:p>
        </w:tc>
        <w:tc>
          <w:tcPr>
            <w:tcW w:w="1361" w:type="pct"/>
            <w:vAlign w:val="center"/>
          </w:tcPr>
          <w:p w14:paraId="02025C97"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17</w:t>
            </w:r>
          </w:p>
        </w:tc>
      </w:tr>
      <w:tr w:rsidR="00A30F42" w:rsidRPr="00F85CA6" w14:paraId="1C89DC07" w14:textId="77777777" w:rsidTr="001239C3">
        <w:trPr>
          <w:trHeight w:val="20"/>
        </w:trPr>
        <w:tc>
          <w:tcPr>
            <w:tcW w:w="2279" w:type="pct"/>
          </w:tcPr>
          <w:p w14:paraId="289B0C2C" w14:textId="5A68145A" w:rsidR="00A30F42" w:rsidRPr="00F85CA6" w:rsidRDefault="00A30F42" w:rsidP="00A30F42">
            <w:pPr>
              <w:rPr>
                <w:rFonts w:eastAsia="Calibri"/>
                <w:sz w:val="22"/>
                <w:szCs w:val="22"/>
                <w:lang w:val="sr-Latn-ME"/>
              </w:rPr>
            </w:pPr>
            <w:r w:rsidRPr="00F85CA6">
              <w:rPr>
                <w:rFonts w:eastAsia="Calibri"/>
                <w:sz w:val="22"/>
                <w:szCs w:val="22"/>
                <w:lang w:val="sr-Latn-ME"/>
              </w:rPr>
              <w:t>Kumulativni rizik nakon 18 m</w:t>
            </w:r>
            <w:r w:rsidR="00EA7BEC" w:rsidRPr="00F85CA6">
              <w:rPr>
                <w:rFonts w:eastAsia="Calibri"/>
                <w:sz w:val="22"/>
                <w:szCs w:val="22"/>
                <w:lang w:val="sr-Latn-ME"/>
              </w:rPr>
              <w:t>j</w:t>
            </w:r>
            <w:r w:rsidRPr="00F85CA6">
              <w:rPr>
                <w:rFonts w:eastAsia="Calibri"/>
                <w:sz w:val="22"/>
                <w:szCs w:val="22"/>
                <w:lang w:val="sr-Latn-ME"/>
              </w:rPr>
              <w:t>eseci (%)</w:t>
            </w:r>
          </w:p>
        </w:tc>
        <w:tc>
          <w:tcPr>
            <w:tcW w:w="1360" w:type="pct"/>
            <w:vAlign w:val="center"/>
          </w:tcPr>
          <w:p w14:paraId="5F2EAEA7"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1,7</w:t>
            </w:r>
          </w:p>
        </w:tc>
        <w:tc>
          <w:tcPr>
            <w:tcW w:w="1361" w:type="pct"/>
            <w:vAlign w:val="center"/>
          </w:tcPr>
          <w:p w14:paraId="1CEF1F20"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1,4</w:t>
            </w:r>
          </w:p>
        </w:tc>
      </w:tr>
      <w:tr w:rsidR="00A30F42" w:rsidRPr="00F85CA6" w14:paraId="0F8A3179" w14:textId="77777777" w:rsidTr="001239C3">
        <w:trPr>
          <w:trHeight w:val="20"/>
        </w:trPr>
        <w:tc>
          <w:tcPr>
            <w:tcW w:w="2279" w:type="pct"/>
          </w:tcPr>
          <w:p w14:paraId="6FCAC45E" w14:textId="57F62BDF" w:rsidR="00A30F42" w:rsidRPr="00F85CA6" w:rsidRDefault="001A43A8" w:rsidP="00A30F42">
            <w:pPr>
              <w:rPr>
                <w:rFonts w:eastAsia="Calibri"/>
                <w:sz w:val="22"/>
                <w:szCs w:val="22"/>
                <w:lang w:val="sr-Latn-ME"/>
              </w:rPr>
            </w:pPr>
            <w:r w:rsidRPr="00F85CA6">
              <w:rPr>
                <w:rFonts w:eastAsia="Calibri"/>
                <w:iCs/>
                <w:sz w:val="22"/>
                <w:szCs w:val="22"/>
                <w:lang w:val="sr-Latn-ME"/>
              </w:rPr>
              <w:t>Razlika rizika</w:t>
            </w:r>
            <w:r w:rsidR="00A30F42" w:rsidRPr="00F85CA6">
              <w:rPr>
                <w:rFonts w:eastAsia="Calibri"/>
                <w:sz w:val="22"/>
                <w:szCs w:val="22"/>
                <w:lang w:val="sr-Latn-ME"/>
              </w:rPr>
              <w:t xml:space="preserve"> u odnosu na varfarin (%)</w:t>
            </w:r>
          </w:p>
        </w:tc>
        <w:tc>
          <w:tcPr>
            <w:tcW w:w="1360" w:type="pct"/>
            <w:vAlign w:val="center"/>
          </w:tcPr>
          <w:p w14:paraId="50DC4375"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0,4</w:t>
            </w:r>
          </w:p>
        </w:tc>
        <w:tc>
          <w:tcPr>
            <w:tcW w:w="1361" w:type="pct"/>
            <w:vAlign w:val="center"/>
          </w:tcPr>
          <w:p w14:paraId="2D14BC57" w14:textId="77777777" w:rsidR="00A30F42" w:rsidRPr="00F85CA6" w:rsidRDefault="00A30F42" w:rsidP="00A30F42">
            <w:pPr>
              <w:jc w:val="center"/>
              <w:rPr>
                <w:rFonts w:eastAsia="Calibri"/>
                <w:sz w:val="22"/>
                <w:szCs w:val="22"/>
                <w:lang w:val="sr-Latn-ME"/>
              </w:rPr>
            </w:pPr>
          </w:p>
        </w:tc>
      </w:tr>
      <w:tr w:rsidR="00A30F42" w:rsidRPr="00F85CA6" w14:paraId="73729FBA" w14:textId="77777777" w:rsidTr="001239C3">
        <w:trPr>
          <w:trHeight w:val="20"/>
        </w:trPr>
        <w:tc>
          <w:tcPr>
            <w:tcW w:w="2279" w:type="pct"/>
          </w:tcPr>
          <w:p w14:paraId="43989698" w14:textId="77777777" w:rsidR="00A30F42" w:rsidRPr="00F85CA6" w:rsidRDefault="00A30F42" w:rsidP="00A30F42">
            <w:pPr>
              <w:rPr>
                <w:rFonts w:eastAsia="Calibri"/>
                <w:sz w:val="22"/>
                <w:szCs w:val="22"/>
                <w:lang w:val="sr-Latn-ME"/>
              </w:rPr>
            </w:pPr>
            <w:r w:rsidRPr="00F85CA6">
              <w:rPr>
                <w:rFonts w:eastAsia="Calibri"/>
                <w:sz w:val="22"/>
                <w:szCs w:val="22"/>
                <w:lang w:val="sr-Latn-ME"/>
              </w:rPr>
              <w:t xml:space="preserve">Interval pouzdanosti 95% </w:t>
            </w:r>
          </w:p>
        </w:tc>
        <w:tc>
          <w:tcPr>
            <w:tcW w:w="1360" w:type="pct"/>
            <w:vAlign w:val="center"/>
          </w:tcPr>
          <w:p w14:paraId="4FD6226E" w14:textId="77777777" w:rsidR="00A30F42" w:rsidRPr="00F85CA6" w:rsidRDefault="00A30F42" w:rsidP="00A30F42">
            <w:pPr>
              <w:jc w:val="center"/>
              <w:rPr>
                <w:rFonts w:eastAsia="Calibri"/>
                <w:sz w:val="22"/>
                <w:szCs w:val="22"/>
                <w:lang w:val="sr-Latn-ME"/>
              </w:rPr>
            </w:pPr>
          </w:p>
        </w:tc>
        <w:tc>
          <w:tcPr>
            <w:tcW w:w="1361" w:type="pct"/>
            <w:vAlign w:val="center"/>
          </w:tcPr>
          <w:p w14:paraId="64F3AE4D" w14:textId="77777777" w:rsidR="00A30F42" w:rsidRPr="00F85CA6" w:rsidRDefault="00A30F42" w:rsidP="00A30F42">
            <w:pPr>
              <w:jc w:val="center"/>
              <w:rPr>
                <w:rFonts w:eastAsia="Calibri"/>
                <w:sz w:val="22"/>
                <w:szCs w:val="22"/>
                <w:lang w:val="sr-Latn-ME"/>
              </w:rPr>
            </w:pPr>
          </w:p>
        </w:tc>
      </w:tr>
      <w:tr w:rsidR="00A30F42" w:rsidRPr="00F85CA6" w14:paraId="18AF718E" w14:textId="77777777" w:rsidTr="001239C3">
        <w:trPr>
          <w:trHeight w:val="20"/>
        </w:trPr>
        <w:tc>
          <w:tcPr>
            <w:tcW w:w="2279" w:type="pct"/>
          </w:tcPr>
          <w:p w14:paraId="0F66A805" w14:textId="77777777" w:rsidR="00A30F42" w:rsidRPr="00F85CA6" w:rsidRDefault="00A30F42" w:rsidP="00A30F42">
            <w:pPr>
              <w:rPr>
                <w:rFonts w:eastAsia="Calibri"/>
                <w:sz w:val="22"/>
                <w:szCs w:val="22"/>
                <w:lang w:val="sr-Latn-ME"/>
              </w:rPr>
            </w:pPr>
            <w:r w:rsidRPr="00F85CA6">
              <w:rPr>
                <w:rFonts w:eastAsia="Calibri"/>
                <w:sz w:val="22"/>
                <w:szCs w:val="22"/>
                <w:lang w:val="sr-Latn-ME"/>
              </w:rPr>
              <w:t>Granica neinferiornosti</w:t>
            </w:r>
          </w:p>
        </w:tc>
        <w:tc>
          <w:tcPr>
            <w:tcW w:w="1360" w:type="pct"/>
            <w:vAlign w:val="center"/>
          </w:tcPr>
          <w:p w14:paraId="70488E9F"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2,8</w:t>
            </w:r>
          </w:p>
        </w:tc>
        <w:tc>
          <w:tcPr>
            <w:tcW w:w="1361" w:type="pct"/>
            <w:vAlign w:val="center"/>
          </w:tcPr>
          <w:p w14:paraId="2A945C8E" w14:textId="77777777" w:rsidR="00A30F42" w:rsidRPr="00F85CA6" w:rsidRDefault="00A30F42" w:rsidP="00A30F42">
            <w:pPr>
              <w:jc w:val="center"/>
              <w:rPr>
                <w:rFonts w:eastAsia="Calibri"/>
                <w:sz w:val="22"/>
                <w:szCs w:val="22"/>
                <w:lang w:val="sr-Latn-ME"/>
              </w:rPr>
            </w:pPr>
          </w:p>
        </w:tc>
      </w:tr>
      <w:tr w:rsidR="00A30F42" w:rsidRPr="00F85CA6" w14:paraId="63F4AA6B" w14:textId="77777777" w:rsidTr="001239C3">
        <w:trPr>
          <w:trHeight w:val="20"/>
        </w:trPr>
        <w:tc>
          <w:tcPr>
            <w:tcW w:w="2279" w:type="pct"/>
          </w:tcPr>
          <w:p w14:paraId="1DA41062" w14:textId="77777777" w:rsidR="00A30F42" w:rsidRPr="00F85CA6" w:rsidRDefault="00A30F42" w:rsidP="00A30F42">
            <w:pPr>
              <w:rPr>
                <w:rFonts w:eastAsia="Calibri"/>
                <w:sz w:val="22"/>
                <w:szCs w:val="22"/>
                <w:lang w:val="sr-Latn-ME"/>
              </w:rPr>
            </w:pPr>
            <w:r w:rsidRPr="00F85CA6">
              <w:rPr>
                <w:rFonts w:eastAsia="Calibri"/>
                <w:sz w:val="22"/>
                <w:szCs w:val="22"/>
                <w:lang w:val="sr-Latn-ME"/>
              </w:rPr>
              <w:t>Sekundarni ishodi efikasnosti</w:t>
            </w:r>
          </w:p>
        </w:tc>
        <w:tc>
          <w:tcPr>
            <w:tcW w:w="1360" w:type="pct"/>
            <w:vAlign w:val="center"/>
          </w:tcPr>
          <w:p w14:paraId="3A153121" w14:textId="77777777" w:rsidR="00A30F42" w:rsidRPr="00F85CA6" w:rsidRDefault="00A30F42" w:rsidP="00A30F42">
            <w:pPr>
              <w:jc w:val="center"/>
              <w:rPr>
                <w:rFonts w:eastAsia="Calibri"/>
                <w:sz w:val="22"/>
                <w:szCs w:val="22"/>
                <w:lang w:val="sr-Latn-ME"/>
              </w:rPr>
            </w:pPr>
          </w:p>
        </w:tc>
        <w:tc>
          <w:tcPr>
            <w:tcW w:w="1361" w:type="pct"/>
            <w:vAlign w:val="center"/>
          </w:tcPr>
          <w:p w14:paraId="5A0A9B4C" w14:textId="77777777" w:rsidR="00A30F42" w:rsidRPr="00F85CA6" w:rsidRDefault="00A30F42" w:rsidP="00A30F42">
            <w:pPr>
              <w:jc w:val="center"/>
              <w:rPr>
                <w:rFonts w:eastAsia="Calibri"/>
                <w:sz w:val="22"/>
                <w:szCs w:val="22"/>
                <w:lang w:val="sr-Latn-ME"/>
              </w:rPr>
            </w:pPr>
          </w:p>
        </w:tc>
      </w:tr>
      <w:tr w:rsidR="00A30F42" w:rsidRPr="00F85CA6" w14:paraId="0AADC130" w14:textId="77777777" w:rsidTr="001239C3">
        <w:trPr>
          <w:trHeight w:val="20"/>
        </w:trPr>
        <w:tc>
          <w:tcPr>
            <w:tcW w:w="2279" w:type="pct"/>
          </w:tcPr>
          <w:p w14:paraId="3C3AB5B8" w14:textId="5E595B73" w:rsidR="00A30F42" w:rsidRPr="00F85CA6" w:rsidRDefault="00A30F42" w:rsidP="00A30F42">
            <w:pPr>
              <w:rPr>
                <w:rFonts w:eastAsia="Calibri"/>
                <w:sz w:val="22"/>
                <w:szCs w:val="22"/>
                <w:lang w:val="sr-Latn-ME"/>
              </w:rPr>
            </w:pPr>
            <w:r w:rsidRPr="00F85CA6">
              <w:rPr>
                <w:rFonts w:eastAsia="Calibri"/>
                <w:sz w:val="22"/>
                <w:szCs w:val="22"/>
                <w:lang w:val="sr-Latn-ME"/>
              </w:rPr>
              <w:t>Rekurentna simptomatska VTE i smrti usl</w:t>
            </w:r>
            <w:r w:rsidR="00C345DE" w:rsidRPr="00F85CA6">
              <w:rPr>
                <w:rFonts w:eastAsia="Calibri"/>
                <w:sz w:val="22"/>
                <w:szCs w:val="22"/>
                <w:lang w:val="sr-Latn-ME"/>
              </w:rPr>
              <w:t>j</w:t>
            </w:r>
            <w:r w:rsidRPr="00F85CA6">
              <w:rPr>
                <w:rFonts w:eastAsia="Calibri"/>
                <w:sz w:val="22"/>
                <w:szCs w:val="22"/>
                <w:lang w:val="sr-Latn-ME"/>
              </w:rPr>
              <w:t xml:space="preserve">ed svih uzroka </w:t>
            </w:r>
          </w:p>
        </w:tc>
        <w:tc>
          <w:tcPr>
            <w:tcW w:w="1360" w:type="pct"/>
            <w:vAlign w:val="center"/>
          </w:tcPr>
          <w:p w14:paraId="335A2E6F"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42 (2,9%)</w:t>
            </w:r>
          </w:p>
        </w:tc>
        <w:tc>
          <w:tcPr>
            <w:tcW w:w="1361" w:type="pct"/>
            <w:vAlign w:val="center"/>
          </w:tcPr>
          <w:p w14:paraId="25B422F4"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36 (2,5%)</w:t>
            </w:r>
          </w:p>
        </w:tc>
      </w:tr>
      <w:tr w:rsidR="00A30F42" w:rsidRPr="00F85CA6" w14:paraId="737A2FE1" w14:textId="77777777" w:rsidTr="001239C3">
        <w:trPr>
          <w:trHeight w:val="20"/>
        </w:trPr>
        <w:tc>
          <w:tcPr>
            <w:tcW w:w="2279" w:type="pct"/>
          </w:tcPr>
          <w:p w14:paraId="46D8FA0C" w14:textId="77777777" w:rsidR="00A30F42" w:rsidRPr="00F85CA6" w:rsidRDefault="00A30F42" w:rsidP="00A30F42">
            <w:pPr>
              <w:rPr>
                <w:rFonts w:eastAsia="Calibri"/>
                <w:sz w:val="22"/>
                <w:szCs w:val="22"/>
                <w:lang w:val="sr-Latn-ME"/>
              </w:rPr>
            </w:pPr>
            <w:r w:rsidRPr="00F85CA6">
              <w:rPr>
                <w:rFonts w:eastAsia="Calibri"/>
                <w:sz w:val="22"/>
                <w:szCs w:val="22"/>
                <w:lang w:val="sr-Latn-ME"/>
              </w:rPr>
              <w:t xml:space="preserve">Interval pouzdanosti 95% </w:t>
            </w:r>
          </w:p>
        </w:tc>
        <w:tc>
          <w:tcPr>
            <w:tcW w:w="1360" w:type="pct"/>
            <w:vAlign w:val="center"/>
          </w:tcPr>
          <w:p w14:paraId="0CFD6D43"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2,12; 3,95</w:t>
            </w:r>
          </w:p>
        </w:tc>
        <w:tc>
          <w:tcPr>
            <w:tcW w:w="1361" w:type="pct"/>
            <w:vAlign w:val="center"/>
          </w:tcPr>
          <w:p w14:paraId="71556114"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1,77; 3,48</w:t>
            </w:r>
          </w:p>
        </w:tc>
      </w:tr>
      <w:tr w:rsidR="00A30F42" w:rsidRPr="00F85CA6" w14:paraId="387958C5" w14:textId="77777777" w:rsidTr="001239C3">
        <w:trPr>
          <w:trHeight w:val="20"/>
        </w:trPr>
        <w:tc>
          <w:tcPr>
            <w:tcW w:w="2279" w:type="pct"/>
          </w:tcPr>
          <w:p w14:paraId="318BAF12" w14:textId="77777777" w:rsidR="00A30F42" w:rsidRPr="00F85CA6" w:rsidRDefault="00A30F42" w:rsidP="00A30F42">
            <w:pPr>
              <w:rPr>
                <w:rFonts w:eastAsia="Calibri"/>
                <w:sz w:val="22"/>
                <w:szCs w:val="22"/>
                <w:lang w:val="sr-Latn-ME"/>
              </w:rPr>
            </w:pPr>
            <w:r w:rsidRPr="00F85CA6">
              <w:rPr>
                <w:rFonts w:eastAsia="Calibri"/>
                <w:sz w:val="22"/>
                <w:szCs w:val="22"/>
                <w:lang w:val="sr-Latn-ME"/>
              </w:rPr>
              <w:t>Simptomatska DVT</w:t>
            </w:r>
          </w:p>
        </w:tc>
        <w:tc>
          <w:tcPr>
            <w:tcW w:w="1360" w:type="pct"/>
            <w:vAlign w:val="center"/>
          </w:tcPr>
          <w:p w14:paraId="56C80168"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17 (1,2%)</w:t>
            </w:r>
          </w:p>
        </w:tc>
        <w:tc>
          <w:tcPr>
            <w:tcW w:w="1361" w:type="pct"/>
            <w:vAlign w:val="center"/>
          </w:tcPr>
          <w:p w14:paraId="51EAD1A4"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13 (0,9%)</w:t>
            </w:r>
          </w:p>
        </w:tc>
      </w:tr>
      <w:tr w:rsidR="00A30F42" w:rsidRPr="00F85CA6" w14:paraId="07D5AAF0" w14:textId="77777777" w:rsidTr="001239C3">
        <w:trPr>
          <w:trHeight w:val="20"/>
        </w:trPr>
        <w:tc>
          <w:tcPr>
            <w:tcW w:w="2279" w:type="pct"/>
          </w:tcPr>
          <w:p w14:paraId="224F4F64" w14:textId="77777777" w:rsidR="00A30F42" w:rsidRPr="00F85CA6" w:rsidRDefault="00A30F42" w:rsidP="00A30F42">
            <w:pPr>
              <w:rPr>
                <w:rFonts w:eastAsia="Calibri"/>
                <w:sz w:val="22"/>
                <w:szCs w:val="22"/>
                <w:lang w:val="sr-Latn-ME"/>
              </w:rPr>
            </w:pPr>
            <w:r w:rsidRPr="00F85CA6">
              <w:rPr>
                <w:rFonts w:eastAsia="Calibri"/>
                <w:sz w:val="22"/>
                <w:szCs w:val="22"/>
                <w:lang w:val="sr-Latn-ME"/>
              </w:rPr>
              <w:t xml:space="preserve">Interval pouzdanosti 95% </w:t>
            </w:r>
          </w:p>
        </w:tc>
        <w:tc>
          <w:tcPr>
            <w:tcW w:w="1360" w:type="pct"/>
            <w:vAlign w:val="center"/>
          </w:tcPr>
          <w:p w14:paraId="57A5704A"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0,69; 1,90</w:t>
            </w:r>
          </w:p>
        </w:tc>
        <w:tc>
          <w:tcPr>
            <w:tcW w:w="1361" w:type="pct"/>
            <w:vAlign w:val="center"/>
          </w:tcPr>
          <w:p w14:paraId="00D1B33C"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0,49; 1,55</w:t>
            </w:r>
          </w:p>
        </w:tc>
      </w:tr>
      <w:tr w:rsidR="00A30F42" w:rsidRPr="00F85CA6" w14:paraId="4216A86B" w14:textId="77777777" w:rsidTr="001239C3">
        <w:trPr>
          <w:trHeight w:val="20"/>
        </w:trPr>
        <w:tc>
          <w:tcPr>
            <w:tcW w:w="2279" w:type="pct"/>
          </w:tcPr>
          <w:p w14:paraId="2B0B7E20" w14:textId="77777777" w:rsidR="00A30F42" w:rsidRPr="00F85CA6" w:rsidRDefault="00A30F42" w:rsidP="00A30F42">
            <w:pPr>
              <w:rPr>
                <w:rFonts w:eastAsia="Calibri"/>
                <w:sz w:val="22"/>
                <w:szCs w:val="22"/>
                <w:lang w:val="sr-Latn-ME"/>
              </w:rPr>
            </w:pPr>
            <w:r w:rsidRPr="00F85CA6">
              <w:rPr>
                <w:rFonts w:eastAsia="Calibri"/>
                <w:sz w:val="22"/>
                <w:szCs w:val="22"/>
                <w:lang w:val="sr-Latn-ME"/>
              </w:rPr>
              <w:t>Simptomatska PE</w:t>
            </w:r>
          </w:p>
        </w:tc>
        <w:tc>
          <w:tcPr>
            <w:tcW w:w="1360" w:type="pct"/>
            <w:vAlign w:val="center"/>
          </w:tcPr>
          <w:p w14:paraId="72F254CC"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10 (0,7%)</w:t>
            </w:r>
          </w:p>
        </w:tc>
        <w:tc>
          <w:tcPr>
            <w:tcW w:w="1361" w:type="pct"/>
            <w:vAlign w:val="center"/>
          </w:tcPr>
          <w:p w14:paraId="55ABFD06"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5 (0,4%)</w:t>
            </w:r>
          </w:p>
        </w:tc>
      </w:tr>
      <w:tr w:rsidR="00A30F42" w:rsidRPr="00F85CA6" w14:paraId="18F173B4" w14:textId="77777777" w:rsidTr="001239C3">
        <w:trPr>
          <w:trHeight w:val="20"/>
        </w:trPr>
        <w:tc>
          <w:tcPr>
            <w:tcW w:w="2279" w:type="pct"/>
          </w:tcPr>
          <w:p w14:paraId="7A47F785" w14:textId="77777777" w:rsidR="00A30F42" w:rsidRPr="00F85CA6" w:rsidRDefault="00A30F42" w:rsidP="00A30F42">
            <w:pPr>
              <w:rPr>
                <w:rFonts w:eastAsia="Calibri"/>
                <w:sz w:val="22"/>
                <w:szCs w:val="22"/>
                <w:lang w:val="sr-Latn-ME"/>
              </w:rPr>
            </w:pPr>
            <w:r w:rsidRPr="00F85CA6">
              <w:rPr>
                <w:rFonts w:eastAsia="Calibri"/>
                <w:sz w:val="22"/>
                <w:szCs w:val="22"/>
                <w:lang w:val="sr-Latn-ME"/>
              </w:rPr>
              <w:t xml:space="preserve">Interval pouzdanosti 95% </w:t>
            </w:r>
          </w:p>
        </w:tc>
        <w:tc>
          <w:tcPr>
            <w:tcW w:w="1360" w:type="pct"/>
            <w:vAlign w:val="center"/>
          </w:tcPr>
          <w:p w14:paraId="35EFA3AD"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0,34; 1,28</w:t>
            </w:r>
          </w:p>
        </w:tc>
        <w:tc>
          <w:tcPr>
            <w:tcW w:w="1361" w:type="pct"/>
            <w:vAlign w:val="center"/>
          </w:tcPr>
          <w:p w14:paraId="4566EF27"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0,11; 0,82</w:t>
            </w:r>
          </w:p>
        </w:tc>
      </w:tr>
      <w:tr w:rsidR="00A30F42" w:rsidRPr="00F85CA6" w14:paraId="0023741A" w14:textId="77777777" w:rsidTr="001239C3">
        <w:trPr>
          <w:trHeight w:val="20"/>
        </w:trPr>
        <w:tc>
          <w:tcPr>
            <w:tcW w:w="2279" w:type="pct"/>
          </w:tcPr>
          <w:p w14:paraId="01F06D47" w14:textId="77777777" w:rsidR="00A30F42" w:rsidRPr="00F85CA6" w:rsidRDefault="00A30F42" w:rsidP="00A30F42">
            <w:pPr>
              <w:rPr>
                <w:rFonts w:eastAsia="Calibri"/>
                <w:sz w:val="22"/>
                <w:szCs w:val="22"/>
                <w:lang w:val="sr-Latn-ME"/>
              </w:rPr>
            </w:pPr>
            <w:r w:rsidRPr="00F85CA6">
              <w:rPr>
                <w:rFonts w:eastAsia="Calibri"/>
                <w:sz w:val="22"/>
                <w:szCs w:val="22"/>
                <w:lang w:val="sr-Latn-ME"/>
              </w:rPr>
              <w:t>Smrti povezane sa VTE</w:t>
            </w:r>
          </w:p>
        </w:tc>
        <w:tc>
          <w:tcPr>
            <w:tcW w:w="1360" w:type="pct"/>
            <w:vAlign w:val="center"/>
          </w:tcPr>
          <w:p w14:paraId="7F9CE8B3"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1 (0,1%)</w:t>
            </w:r>
          </w:p>
        </w:tc>
        <w:tc>
          <w:tcPr>
            <w:tcW w:w="1361" w:type="pct"/>
            <w:vAlign w:val="center"/>
          </w:tcPr>
          <w:p w14:paraId="419805CD"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1 (0,1%)</w:t>
            </w:r>
          </w:p>
        </w:tc>
      </w:tr>
      <w:tr w:rsidR="00A30F42" w:rsidRPr="00F85CA6" w14:paraId="5B14CCB4" w14:textId="77777777" w:rsidTr="001239C3">
        <w:trPr>
          <w:trHeight w:val="20"/>
        </w:trPr>
        <w:tc>
          <w:tcPr>
            <w:tcW w:w="2279" w:type="pct"/>
          </w:tcPr>
          <w:p w14:paraId="6B29A8C3" w14:textId="77777777" w:rsidR="00A30F42" w:rsidRPr="00F85CA6" w:rsidRDefault="00A30F42" w:rsidP="00A30F42">
            <w:pPr>
              <w:rPr>
                <w:rFonts w:eastAsia="Calibri"/>
                <w:sz w:val="22"/>
                <w:szCs w:val="22"/>
                <w:lang w:val="sr-Latn-ME"/>
              </w:rPr>
            </w:pPr>
            <w:r w:rsidRPr="00F85CA6">
              <w:rPr>
                <w:rFonts w:eastAsia="Calibri"/>
                <w:sz w:val="22"/>
                <w:szCs w:val="22"/>
                <w:lang w:val="sr-Latn-ME"/>
              </w:rPr>
              <w:t xml:space="preserve">Interval pouzdanosti 95% </w:t>
            </w:r>
          </w:p>
        </w:tc>
        <w:tc>
          <w:tcPr>
            <w:tcW w:w="1360" w:type="pct"/>
            <w:vAlign w:val="center"/>
          </w:tcPr>
          <w:p w14:paraId="383C3E32"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0,00; 0,39</w:t>
            </w:r>
          </w:p>
        </w:tc>
        <w:tc>
          <w:tcPr>
            <w:tcW w:w="1361" w:type="pct"/>
            <w:vAlign w:val="center"/>
          </w:tcPr>
          <w:p w14:paraId="7A2AE80A"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0,00; 0,39</w:t>
            </w:r>
          </w:p>
        </w:tc>
      </w:tr>
      <w:tr w:rsidR="00A30F42" w:rsidRPr="00F85CA6" w14:paraId="7D493D77" w14:textId="77777777" w:rsidTr="001239C3">
        <w:trPr>
          <w:trHeight w:val="20"/>
        </w:trPr>
        <w:tc>
          <w:tcPr>
            <w:tcW w:w="2279" w:type="pct"/>
          </w:tcPr>
          <w:p w14:paraId="47FE0602" w14:textId="251628E4" w:rsidR="00A30F42" w:rsidRPr="00F85CA6" w:rsidRDefault="00A30F42" w:rsidP="00A30F42">
            <w:pPr>
              <w:rPr>
                <w:rFonts w:eastAsia="Calibri"/>
                <w:sz w:val="22"/>
                <w:szCs w:val="22"/>
                <w:lang w:val="sr-Latn-ME"/>
              </w:rPr>
            </w:pPr>
            <w:r w:rsidRPr="00F85CA6">
              <w:rPr>
                <w:rFonts w:eastAsia="Calibri"/>
                <w:sz w:val="22"/>
                <w:szCs w:val="22"/>
                <w:lang w:val="sr-Latn-ME"/>
              </w:rPr>
              <w:t>Smrti usl</w:t>
            </w:r>
            <w:r w:rsidR="00C345DE" w:rsidRPr="00F85CA6">
              <w:rPr>
                <w:rFonts w:eastAsia="Calibri"/>
                <w:sz w:val="22"/>
                <w:szCs w:val="22"/>
                <w:lang w:val="sr-Latn-ME"/>
              </w:rPr>
              <w:t>j</w:t>
            </w:r>
            <w:r w:rsidRPr="00F85CA6">
              <w:rPr>
                <w:rFonts w:eastAsia="Calibri"/>
                <w:sz w:val="22"/>
                <w:szCs w:val="22"/>
                <w:lang w:val="sr-Latn-ME"/>
              </w:rPr>
              <w:t xml:space="preserve">ed svih uzroka </w:t>
            </w:r>
          </w:p>
        </w:tc>
        <w:tc>
          <w:tcPr>
            <w:tcW w:w="1360" w:type="pct"/>
            <w:vAlign w:val="center"/>
          </w:tcPr>
          <w:p w14:paraId="773954CA"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17 (1,2%)</w:t>
            </w:r>
          </w:p>
        </w:tc>
        <w:tc>
          <w:tcPr>
            <w:tcW w:w="1361" w:type="pct"/>
            <w:vAlign w:val="center"/>
          </w:tcPr>
          <w:p w14:paraId="6D76AFF5"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19 (1,3%)</w:t>
            </w:r>
          </w:p>
        </w:tc>
      </w:tr>
      <w:tr w:rsidR="00A30F42" w:rsidRPr="00F85CA6" w14:paraId="49EBCC47" w14:textId="77777777" w:rsidTr="001239C3">
        <w:trPr>
          <w:trHeight w:val="20"/>
        </w:trPr>
        <w:tc>
          <w:tcPr>
            <w:tcW w:w="2279" w:type="pct"/>
          </w:tcPr>
          <w:p w14:paraId="7DC7FAFC" w14:textId="77777777" w:rsidR="00A30F42" w:rsidRPr="00F85CA6" w:rsidRDefault="00A30F42" w:rsidP="00A30F42">
            <w:pPr>
              <w:rPr>
                <w:rFonts w:eastAsia="Calibri"/>
                <w:sz w:val="22"/>
                <w:szCs w:val="22"/>
                <w:lang w:val="sr-Latn-ME"/>
              </w:rPr>
            </w:pPr>
            <w:r w:rsidRPr="00F85CA6">
              <w:rPr>
                <w:rFonts w:eastAsia="Calibri"/>
                <w:sz w:val="22"/>
                <w:szCs w:val="22"/>
                <w:lang w:val="sr-Latn-ME"/>
              </w:rPr>
              <w:t xml:space="preserve">Interval pouzdanosti 95% </w:t>
            </w:r>
          </w:p>
        </w:tc>
        <w:tc>
          <w:tcPr>
            <w:tcW w:w="1360" w:type="pct"/>
            <w:vAlign w:val="center"/>
          </w:tcPr>
          <w:p w14:paraId="7BF48004"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0,69; 1,90</w:t>
            </w:r>
          </w:p>
        </w:tc>
        <w:tc>
          <w:tcPr>
            <w:tcW w:w="1361" w:type="pct"/>
            <w:vAlign w:val="center"/>
          </w:tcPr>
          <w:p w14:paraId="6DE01E00"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0,80; 2,07</w:t>
            </w:r>
          </w:p>
        </w:tc>
      </w:tr>
      <w:bookmarkEnd w:id="27"/>
    </w:tbl>
    <w:p w14:paraId="76089762" w14:textId="77777777" w:rsidR="00A30F42" w:rsidRPr="00F85CA6" w:rsidRDefault="00A30F42" w:rsidP="00A30F42">
      <w:pPr>
        <w:jc w:val="both"/>
        <w:rPr>
          <w:rFonts w:eastAsia="Calibri"/>
          <w:b/>
          <w:bCs/>
          <w:sz w:val="22"/>
          <w:szCs w:val="22"/>
          <w:lang w:val="sr-Latn-ME" w:bidi="en-US"/>
        </w:rPr>
      </w:pPr>
    </w:p>
    <w:p w14:paraId="42A47167" w14:textId="323B29AA" w:rsidR="00A30F42" w:rsidRPr="00F85CA6" w:rsidRDefault="00A30F42" w:rsidP="00A30F42">
      <w:pPr>
        <w:jc w:val="both"/>
        <w:rPr>
          <w:rFonts w:eastAsia="Calibri"/>
          <w:sz w:val="22"/>
          <w:szCs w:val="22"/>
          <w:lang w:val="sr-Latn-ME"/>
        </w:rPr>
      </w:pPr>
      <w:r w:rsidRPr="00F85CA6">
        <w:rPr>
          <w:rFonts w:eastAsia="Calibri"/>
          <w:sz w:val="22"/>
          <w:szCs w:val="22"/>
          <w:lang w:val="sr-Latn-ME"/>
        </w:rPr>
        <w:t>Cilj studije RE-SONATE bio je proc</w:t>
      </w:r>
      <w:r w:rsidR="00A3012C" w:rsidRPr="00F85CA6">
        <w:rPr>
          <w:rFonts w:eastAsia="Calibri"/>
          <w:sz w:val="22"/>
          <w:szCs w:val="22"/>
          <w:lang w:val="sr-Latn-ME"/>
        </w:rPr>
        <w:t>j</w:t>
      </w:r>
      <w:r w:rsidRPr="00F85CA6">
        <w:rPr>
          <w:rFonts w:eastAsia="Calibri"/>
          <w:sz w:val="22"/>
          <w:szCs w:val="22"/>
          <w:lang w:val="sr-Latn-ME"/>
        </w:rPr>
        <w:t>ena superiornosti dabigatraneteksilata u odnosu na placebo radi prevencije rekurentne simptomatske DVT i/ili PE kod pacijenata koji su već završili od 6 do 18 m</w:t>
      </w:r>
      <w:r w:rsidR="00A3012C" w:rsidRPr="00F85CA6">
        <w:rPr>
          <w:rFonts w:eastAsia="Calibri"/>
          <w:sz w:val="22"/>
          <w:szCs w:val="22"/>
          <w:lang w:val="sr-Latn-ME"/>
        </w:rPr>
        <w:t>j</w:t>
      </w:r>
      <w:r w:rsidRPr="00F85CA6">
        <w:rPr>
          <w:rFonts w:eastAsia="Calibri"/>
          <w:sz w:val="22"/>
          <w:szCs w:val="22"/>
          <w:lang w:val="sr-Latn-ME"/>
        </w:rPr>
        <w:t>eseci l</w:t>
      </w:r>
      <w:r w:rsidR="00A3012C" w:rsidRPr="00F85CA6">
        <w:rPr>
          <w:rFonts w:eastAsia="Calibri"/>
          <w:sz w:val="22"/>
          <w:szCs w:val="22"/>
          <w:lang w:val="sr-Latn-ME"/>
        </w:rPr>
        <w:t>ij</w:t>
      </w:r>
      <w:r w:rsidRPr="00F85CA6">
        <w:rPr>
          <w:rFonts w:eastAsia="Calibri"/>
          <w:sz w:val="22"/>
          <w:szCs w:val="22"/>
          <w:lang w:val="sr-Latn-ME"/>
        </w:rPr>
        <w:t>ečenja sa VKA. Predviđena terapija je bila 6 m</w:t>
      </w:r>
      <w:r w:rsidR="00A3012C" w:rsidRPr="00F85CA6">
        <w:rPr>
          <w:rFonts w:eastAsia="Calibri"/>
          <w:sz w:val="22"/>
          <w:szCs w:val="22"/>
          <w:lang w:val="sr-Latn-ME"/>
        </w:rPr>
        <w:t>j</w:t>
      </w:r>
      <w:r w:rsidRPr="00F85CA6">
        <w:rPr>
          <w:rFonts w:eastAsia="Calibri"/>
          <w:sz w:val="22"/>
          <w:szCs w:val="22"/>
          <w:lang w:val="sr-Latn-ME"/>
        </w:rPr>
        <w:t>eseci prim</w:t>
      </w:r>
      <w:r w:rsidR="00A3012C" w:rsidRPr="00F85CA6">
        <w:rPr>
          <w:rFonts w:eastAsia="Calibri"/>
          <w:sz w:val="22"/>
          <w:szCs w:val="22"/>
          <w:lang w:val="sr-Latn-ME"/>
        </w:rPr>
        <w:t>j</w:t>
      </w:r>
      <w:r w:rsidRPr="00F85CA6">
        <w:rPr>
          <w:rFonts w:eastAsia="Calibri"/>
          <w:sz w:val="22"/>
          <w:szCs w:val="22"/>
          <w:lang w:val="sr-Latn-ME"/>
        </w:rPr>
        <w:t xml:space="preserve">ene dabigatraneteksilata 150 mg dva puta dnevno bez potrebe za praćenjem. </w:t>
      </w:r>
    </w:p>
    <w:p w14:paraId="399F5E5A" w14:textId="77777777" w:rsidR="00A30F42" w:rsidRPr="00F85CA6" w:rsidRDefault="00A30F42" w:rsidP="00A30F42">
      <w:pPr>
        <w:jc w:val="both"/>
        <w:rPr>
          <w:rFonts w:eastAsia="Calibri"/>
          <w:sz w:val="22"/>
          <w:szCs w:val="22"/>
          <w:lang w:val="sr-Latn-ME"/>
        </w:rPr>
      </w:pPr>
    </w:p>
    <w:p w14:paraId="31F365AF" w14:textId="460AB0DB" w:rsidR="00A30F42" w:rsidRPr="00F85CA6" w:rsidRDefault="00A30F42" w:rsidP="00A30F42">
      <w:pPr>
        <w:jc w:val="both"/>
        <w:rPr>
          <w:rFonts w:eastAsia="Calibri"/>
          <w:sz w:val="22"/>
          <w:szCs w:val="22"/>
          <w:lang w:val="sr-Latn-ME"/>
        </w:rPr>
      </w:pPr>
      <w:r w:rsidRPr="00F85CA6">
        <w:rPr>
          <w:rFonts w:eastAsia="Calibri"/>
          <w:sz w:val="22"/>
          <w:szCs w:val="22"/>
          <w:lang w:val="sr-Latn-ME"/>
        </w:rPr>
        <w:t xml:space="preserve">Studija RE-SONATE je pokazala da je dabigatraneteksilat bio superioran u odnosu na placebo u prevenciji rekurentnih simptomatskih događaja DVT/PE uključujući neobjašnjene smrti, uz smanjenje rizika sa 5,6% na 0,4% (smanjenje relativnog rizika 92% na osnovu </w:t>
      </w:r>
      <w:r w:rsidRPr="00F85CA6">
        <w:rPr>
          <w:rFonts w:eastAsia="Calibri"/>
          <w:i/>
          <w:sz w:val="22"/>
          <w:szCs w:val="22"/>
          <w:lang w:val="sr-Latn-ME"/>
        </w:rPr>
        <w:t>hazard ratio</w:t>
      </w:r>
      <w:r w:rsidRPr="00F85CA6">
        <w:rPr>
          <w:rFonts w:eastAsia="Calibri"/>
          <w:sz w:val="22"/>
          <w:szCs w:val="22"/>
          <w:lang w:val="sr-Latn-ME"/>
        </w:rPr>
        <w:t>) tokom perioda l</w:t>
      </w:r>
      <w:r w:rsidR="00A3012C" w:rsidRPr="00F85CA6">
        <w:rPr>
          <w:rFonts w:eastAsia="Calibri"/>
          <w:sz w:val="22"/>
          <w:szCs w:val="22"/>
          <w:lang w:val="sr-Latn-ME"/>
        </w:rPr>
        <w:t>ij</w:t>
      </w:r>
      <w:r w:rsidRPr="00F85CA6">
        <w:rPr>
          <w:rFonts w:eastAsia="Calibri"/>
          <w:sz w:val="22"/>
          <w:szCs w:val="22"/>
          <w:lang w:val="sr-Latn-ME"/>
        </w:rPr>
        <w:t>ečenja (p&lt;</w:t>
      </w:r>
      <w:r w:rsidR="003A2ACB" w:rsidRPr="00F85CA6">
        <w:rPr>
          <w:rFonts w:eastAsia="Calibri"/>
          <w:sz w:val="22"/>
          <w:szCs w:val="22"/>
          <w:lang w:val="sr-Latn-ME"/>
        </w:rPr>
        <w:t xml:space="preserve"> </w:t>
      </w:r>
      <w:r w:rsidRPr="00F85CA6">
        <w:rPr>
          <w:rFonts w:eastAsia="Calibri"/>
          <w:sz w:val="22"/>
          <w:szCs w:val="22"/>
          <w:lang w:val="sr-Latn-ME"/>
        </w:rPr>
        <w:t xml:space="preserve">0,0001). </w:t>
      </w:r>
    </w:p>
    <w:p w14:paraId="6190ACE2" w14:textId="37C57789" w:rsidR="00A30F42" w:rsidRPr="00F85CA6" w:rsidRDefault="00A30F42" w:rsidP="00A30F42">
      <w:pPr>
        <w:jc w:val="both"/>
        <w:rPr>
          <w:rFonts w:eastAsia="Calibri"/>
          <w:sz w:val="22"/>
          <w:szCs w:val="22"/>
          <w:lang w:val="sr-Latn-ME"/>
        </w:rPr>
      </w:pPr>
      <w:r w:rsidRPr="00F85CA6">
        <w:rPr>
          <w:rFonts w:eastAsia="Calibri"/>
          <w:sz w:val="22"/>
          <w:szCs w:val="22"/>
          <w:lang w:val="sr-Latn-ME"/>
        </w:rPr>
        <w:lastRenderedPageBreak/>
        <w:t>Sve sekundarne i analize os</w:t>
      </w:r>
      <w:r w:rsidR="00A3012C" w:rsidRPr="00F85CA6">
        <w:rPr>
          <w:rFonts w:eastAsia="Calibri"/>
          <w:sz w:val="22"/>
          <w:szCs w:val="22"/>
          <w:lang w:val="sr-Latn-ME"/>
        </w:rPr>
        <w:t>j</w:t>
      </w:r>
      <w:r w:rsidRPr="00F85CA6">
        <w:rPr>
          <w:rFonts w:eastAsia="Calibri"/>
          <w:sz w:val="22"/>
          <w:szCs w:val="22"/>
          <w:lang w:val="sr-Latn-ME"/>
        </w:rPr>
        <w:t xml:space="preserve">etljivosti primarnog ishoda i svih sekundarnih ishoda pokazale su superiornost dabigatraneteksilata u odnosu na placebo. </w:t>
      </w:r>
    </w:p>
    <w:p w14:paraId="064550CB" w14:textId="77777777" w:rsidR="00A30F42" w:rsidRPr="00F85CA6" w:rsidRDefault="00A30F42" w:rsidP="00A30F42">
      <w:pPr>
        <w:jc w:val="both"/>
        <w:rPr>
          <w:rFonts w:eastAsia="Calibri"/>
          <w:sz w:val="22"/>
          <w:szCs w:val="22"/>
          <w:lang w:val="sr-Latn-ME"/>
        </w:rPr>
      </w:pPr>
    </w:p>
    <w:p w14:paraId="6754DED8" w14:textId="668262CF" w:rsidR="00F3529E" w:rsidRPr="00F85CA6" w:rsidRDefault="00A30F42" w:rsidP="00A30F42">
      <w:pPr>
        <w:jc w:val="both"/>
        <w:rPr>
          <w:rFonts w:eastAsia="Calibri"/>
          <w:sz w:val="22"/>
          <w:szCs w:val="22"/>
          <w:lang w:val="sr-Latn-ME"/>
        </w:rPr>
      </w:pPr>
      <w:r w:rsidRPr="00F85CA6">
        <w:rPr>
          <w:rFonts w:eastAsia="Calibri"/>
          <w:sz w:val="22"/>
          <w:szCs w:val="22"/>
          <w:lang w:val="sr-Latn-ME"/>
        </w:rPr>
        <w:t>Studija je uključivala period opservacionog praćenja u trajanju 12 m</w:t>
      </w:r>
      <w:r w:rsidR="00A3012C" w:rsidRPr="00F85CA6">
        <w:rPr>
          <w:rFonts w:eastAsia="Calibri"/>
          <w:sz w:val="22"/>
          <w:szCs w:val="22"/>
          <w:lang w:val="sr-Latn-ME"/>
        </w:rPr>
        <w:t>j</w:t>
      </w:r>
      <w:r w:rsidRPr="00F85CA6">
        <w:rPr>
          <w:rFonts w:eastAsia="Calibri"/>
          <w:sz w:val="22"/>
          <w:szCs w:val="22"/>
          <w:lang w:val="sr-Latn-ME"/>
        </w:rPr>
        <w:t>eseci nakon završetka terapije. Nakon prekida prim</w:t>
      </w:r>
      <w:r w:rsidR="00F340D8" w:rsidRPr="00F85CA6">
        <w:rPr>
          <w:rFonts w:eastAsia="Calibri"/>
          <w:sz w:val="22"/>
          <w:szCs w:val="22"/>
          <w:lang w:val="sr-Latn-ME"/>
        </w:rPr>
        <w:t>j</w:t>
      </w:r>
      <w:r w:rsidRPr="00F85CA6">
        <w:rPr>
          <w:rFonts w:eastAsia="Calibri"/>
          <w:sz w:val="22"/>
          <w:szCs w:val="22"/>
          <w:lang w:val="sr-Latn-ME"/>
        </w:rPr>
        <w:t>ene ispitivanog l</w:t>
      </w:r>
      <w:r w:rsidR="00F340D8" w:rsidRPr="00F85CA6">
        <w:rPr>
          <w:rFonts w:eastAsia="Calibri"/>
          <w:sz w:val="22"/>
          <w:szCs w:val="22"/>
          <w:lang w:val="sr-Latn-ME"/>
        </w:rPr>
        <w:t>ij</w:t>
      </w:r>
      <w:r w:rsidRPr="00F85CA6">
        <w:rPr>
          <w:rFonts w:eastAsia="Calibri"/>
          <w:sz w:val="22"/>
          <w:szCs w:val="22"/>
          <w:lang w:val="sr-Latn-ME"/>
        </w:rPr>
        <w:t>eka dejstvo se održalo do kraja perioda praćenja, što ukazuje da je početno terapijsko dejstvo dabigatraneteksilata bilo održano. Nije bio prim</w:t>
      </w:r>
      <w:r w:rsidR="00A3012C" w:rsidRPr="00F85CA6">
        <w:rPr>
          <w:rFonts w:eastAsia="Calibri"/>
          <w:sz w:val="22"/>
          <w:szCs w:val="22"/>
          <w:lang w:val="sr-Latn-ME"/>
        </w:rPr>
        <w:t>ij</w:t>
      </w:r>
      <w:r w:rsidRPr="00F85CA6">
        <w:rPr>
          <w:rFonts w:eastAsia="Calibri"/>
          <w:sz w:val="22"/>
          <w:szCs w:val="22"/>
          <w:lang w:val="sr-Latn-ME"/>
        </w:rPr>
        <w:t xml:space="preserve">ećen povratni (engl. </w:t>
      </w:r>
      <w:r w:rsidRPr="00F85CA6">
        <w:rPr>
          <w:rFonts w:eastAsia="Calibri"/>
          <w:i/>
          <w:iCs/>
          <w:sz w:val="22"/>
          <w:szCs w:val="22"/>
          <w:lang w:val="sr-Latn-ME"/>
        </w:rPr>
        <w:t>rebound</w:t>
      </w:r>
      <w:r w:rsidRPr="00F85CA6">
        <w:rPr>
          <w:rFonts w:eastAsia="Calibri"/>
          <w:sz w:val="22"/>
          <w:szCs w:val="22"/>
          <w:lang w:val="sr-Latn-ME"/>
        </w:rPr>
        <w:t>) efekat. Na kraju praćenja stopa VTE događaja kod pacijenata l</w:t>
      </w:r>
      <w:r w:rsidR="00F340D8" w:rsidRPr="00F85CA6">
        <w:rPr>
          <w:rFonts w:eastAsia="Calibri"/>
          <w:sz w:val="22"/>
          <w:szCs w:val="22"/>
          <w:lang w:val="sr-Latn-ME"/>
        </w:rPr>
        <w:t>ij</w:t>
      </w:r>
      <w:r w:rsidRPr="00F85CA6">
        <w:rPr>
          <w:rFonts w:eastAsia="Calibri"/>
          <w:sz w:val="22"/>
          <w:szCs w:val="22"/>
          <w:lang w:val="sr-Latn-ME"/>
        </w:rPr>
        <w:t>ečenih dabigatraneteksilatom bila je 6,9% prema 10,7% u placebo grupi (</w:t>
      </w:r>
      <w:r w:rsidRPr="00F85CA6">
        <w:rPr>
          <w:rFonts w:eastAsia="Calibri"/>
          <w:i/>
          <w:sz w:val="22"/>
          <w:szCs w:val="22"/>
          <w:lang w:val="sr-Latn-ME"/>
        </w:rPr>
        <w:t>hazard ratio</w:t>
      </w:r>
      <w:r w:rsidRPr="00F85CA6">
        <w:rPr>
          <w:rFonts w:eastAsia="Calibri"/>
          <w:sz w:val="22"/>
          <w:szCs w:val="22"/>
          <w:lang w:val="sr-Latn-ME"/>
        </w:rPr>
        <w:t xml:space="preserve"> 0,61 (95% CI 0,42; 0,88), p=0,0082).</w:t>
      </w:r>
    </w:p>
    <w:p w14:paraId="27378201" w14:textId="77777777" w:rsidR="00A30F42" w:rsidRPr="00F85CA6" w:rsidRDefault="00A30F42" w:rsidP="00A30F42">
      <w:pPr>
        <w:jc w:val="both"/>
        <w:rPr>
          <w:rFonts w:eastAsia="Calibri"/>
          <w:sz w:val="22"/>
          <w:szCs w:val="22"/>
          <w:lang w:val="sr-Latn-ME" w:bidi="en-US"/>
        </w:rPr>
      </w:pPr>
    </w:p>
    <w:p w14:paraId="17832560" w14:textId="77777777" w:rsidR="00A30F42" w:rsidRPr="00F85CA6" w:rsidRDefault="00A30F42" w:rsidP="00685312">
      <w:pPr>
        <w:jc w:val="center"/>
        <w:rPr>
          <w:rFonts w:eastAsia="Calibri"/>
          <w:b/>
          <w:bCs/>
          <w:sz w:val="22"/>
          <w:szCs w:val="22"/>
          <w:lang w:val="sr-Latn-ME" w:bidi="en-US"/>
        </w:rPr>
      </w:pPr>
      <w:r w:rsidRPr="00F85CA6">
        <w:rPr>
          <w:rFonts w:eastAsia="Calibri"/>
          <w:b/>
          <w:bCs/>
          <w:sz w:val="22"/>
          <w:szCs w:val="22"/>
          <w:lang w:val="sr-Latn-ME" w:bidi="en-US"/>
        </w:rPr>
        <w:t>Tabela 29: Analiza primarnih i sekundarnih ishoda efikasnosti (VTE je sastavljena od DVT i/ili PE) do kraja perioda nakon terapije u studiji RE-SONATE.</w:t>
      </w:r>
    </w:p>
    <w:p w14:paraId="1D3D9284" w14:textId="77777777" w:rsidR="00A30F42" w:rsidRPr="00F85CA6" w:rsidRDefault="00A30F42" w:rsidP="00A30F42">
      <w:pPr>
        <w:jc w:val="both"/>
        <w:rPr>
          <w:rFonts w:eastAsia="Calibri"/>
          <w:b/>
          <w:bCs/>
          <w:sz w:val="22"/>
          <w:szCs w:val="22"/>
          <w:lang w:val="sr-Latn-ME" w:bidi="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3096"/>
        <w:gridCol w:w="3446"/>
        <w:gridCol w:w="2521"/>
      </w:tblGrid>
      <w:tr w:rsidR="00A30F42" w:rsidRPr="00F85CA6" w14:paraId="1B694C63" w14:textId="77777777" w:rsidTr="001239C3">
        <w:trPr>
          <w:trHeight w:val="20"/>
        </w:trPr>
        <w:tc>
          <w:tcPr>
            <w:tcW w:w="1708" w:type="pct"/>
          </w:tcPr>
          <w:p w14:paraId="5E2AA619" w14:textId="77777777" w:rsidR="00A30F42" w:rsidRPr="00F85CA6" w:rsidRDefault="00A30F42" w:rsidP="00A30F42">
            <w:pPr>
              <w:rPr>
                <w:rFonts w:eastAsia="Calibri"/>
                <w:sz w:val="22"/>
                <w:szCs w:val="22"/>
                <w:lang w:val="sr-Latn-ME"/>
              </w:rPr>
            </w:pPr>
            <w:bookmarkStart w:id="28" w:name="_Hlk83119289"/>
          </w:p>
        </w:tc>
        <w:tc>
          <w:tcPr>
            <w:tcW w:w="1901" w:type="pct"/>
            <w:vAlign w:val="center"/>
          </w:tcPr>
          <w:p w14:paraId="2532E640"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Dabigatraneteksilat</w:t>
            </w:r>
          </w:p>
          <w:p w14:paraId="2CB7DE92"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150 mg dva puta dnevno</w:t>
            </w:r>
          </w:p>
        </w:tc>
        <w:tc>
          <w:tcPr>
            <w:tcW w:w="1391" w:type="pct"/>
            <w:vAlign w:val="center"/>
          </w:tcPr>
          <w:p w14:paraId="24E25F28"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Placebo</w:t>
            </w:r>
          </w:p>
        </w:tc>
      </w:tr>
      <w:tr w:rsidR="00A30F42" w:rsidRPr="00F85CA6" w14:paraId="3AD2DE75" w14:textId="77777777" w:rsidTr="001239C3">
        <w:trPr>
          <w:trHeight w:val="20"/>
        </w:trPr>
        <w:tc>
          <w:tcPr>
            <w:tcW w:w="1708" w:type="pct"/>
          </w:tcPr>
          <w:p w14:paraId="31A4370D" w14:textId="1509BF49" w:rsidR="00A30F42" w:rsidRPr="00F85CA6" w:rsidRDefault="00A30F42" w:rsidP="00A30F42">
            <w:pPr>
              <w:rPr>
                <w:rFonts w:eastAsia="Calibri"/>
                <w:sz w:val="22"/>
                <w:szCs w:val="22"/>
                <w:lang w:val="sr-Latn-ME"/>
              </w:rPr>
            </w:pPr>
            <w:r w:rsidRPr="00F85CA6">
              <w:rPr>
                <w:rFonts w:eastAsia="Calibri"/>
                <w:sz w:val="22"/>
                <w:szCs w:val="22"/>
                <w:lang w:val="sr-Latn-ME"/>
              </w:rPr>
              <w:t>L</w:t>
            </w:r>
            <w:r w:rsidR="00EA7BEC" w:rsidRPr="00F85CA6">
              <w:rPr>
                <w:rFonts w:eastAsia="Calibri"/>
                <w:sz w:val="22"/>
                <w:szCs w:val="22"/>
                <w:lang w:val="sr-Latn-ME"/>
              </w:rPr>
              <w:t>ij</w:t>
            </w:r>
            <w:r w:rsidRPr="00F85CA6">
              <w:rPr>
                <w:rFonts w:eastAsia="Calibri"/>
                <w:sz w:val="22"/>
                <w:szCs w:val="22"/>
                <w:lang w:val="sr-Latn-ME"/>
              </w:rPr>
              <w:t>ečeni pacijenti</w:t>
            </w:r>
          </w:p>
        </w:tc>
        <w:tc>
          <w:tcPr>
            <w:tcW w:w="1901" w:type="pct"/>
            <w:vAlign w:val="center"/>
          </w:tcPr>
          <w:p w14:paraId="03E0B356"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681</w:t>
            </w:r>
          </w:p>
        </w:tc>
        <w:tc>
          <w:tcPr>
            <w:tcW w:w="1391" w:type="pct"/>
            <w:vAlign w:val="center"/>
          </w:tcPr>
          <w:p w14:paraId="5E4C93E7"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662</w:t>
            </w:r>
          </w:p>
        </w:tc>
      </w:tr>
      <w:tr w:rsidR="00A30F42" w:rsidRPr="00F85CA6" w14:paraId="4CD8DB9B" w14:textId="77777777" w:rsidTr="001239C3">
        <w:trPr>
          <w:trHeight w:val="20"/>
        </w:trPr>
        <w:tc>
          <w:tcPr>
            <w:tcW w:w="1708" w:type="pct"/>
          </w:tcPr>
          <w:p w14:paraId="46AD0AAA" w14:textId="77777777" w:rsidR="00A30F42" w:rsidRPr="00F85CA6" w:rsidRDefault="00A30F42" w:rsidP="00A30F42">
            <w:pPr>
              <w:rPr>
                <w:rFonts w:eastAsia="Calibri"/>
                <w:sz w:val="22"/>
                <w:szCs w:val="22"/>
                <w:lang w:val="sr-Latn-ME"/>
              </w:rPr>
            </w:pPr>
            <w:r w:rsidRPr="00F85CA6">
              <w:rPr>
                <w:rFonts w:eastAsia="Calibri"/>
                <w:sz w:val="22"/>
                <w:szCs w:val="22"/>
                <w:lang w:val="sr-Latn-ME"/>
              </w:rPr>
              <w:t>Rekurentna simptomatska VTE i povezane smrti</w:t>
            </w:r>
          </w:p>
        </w:tc>
        <w:tc>
          <w:tcPr>
            <w:tcW w:w="1901" w:type="pct"/>
            <w:vAlign w:val="center"/>
          </w:tcPr>
          <w:p w14:paraId="777F05A1"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3 (0,4%)</w:t>
            </w:r>
          </w:p>
        </w:tc>
        <w:tc>
          <w:tcPr>
            <w:tcW w:w="1391" w:type="pct"/>
            <w:vAlign w:val="center"/>
          </w:tcPr>
          <w:p w14:paraId="5F07E494"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37 (5,6%)</w:t>
            </w:r>
          </w:p>
        </w:tc>
      </w:tr>
      <w:tr w:rsidR="00A30F42" w:rsidRPr="00F85CA6" w14:paraId="669AF53D" w14:textId="77777777" w:rsidTr="001239C3">
        <w:trPr>
          <w:trHeight w:val="20"/>
        </w:trPr>
        <w:tc>
          <w:tcPr>
            <w:tcW w:w="1708" w:type="pct"/>
          </w:tcPr>
          <w:p w14:paraId="366D9AFB" w14:textId="77777777" w:rsidR="00A30F42" w:rsidRPr="00F85CA6" w:rsidRDefault="00A30F42" w:rsidP="00A30F42">
            <w:pPr>
              <w:rPr>
                <w:rFonts w:eastAsia="Calibri"/>
                <w:sz w:val="22"/>
                <w:szCs w:val="22"/>
                <w:lang w:val="sr-Latn-ME"/>
              </w:rPr>
            </w:pPr>
            <w:r w:rsidRPr="00F85CA6">
              <w:rPr>
                <w:rFonts w:eastAsia="Calibri"/>
                <w:i/>
                <w:sz w:val="22"/>
                <w:szCs w:val="22"/>
                <w:lang w:val="sr-Latn-ME"/>
              </w:rPr>
              <w:t>Hazard ratio</w:t>
            </w:r>
            <w:r w:rsidRPr="00F85CA6">
              <w:rPr>
                <w:rFonts w:eastAsia="Calibri"/>
                <w:sz w:val="22"/>
                <w:szCs w:val="22"/>
                <w:lang w:val="sr-Latn-ME"/>
              </w:rPr>
              <w:t xml:space="preserve"> prema placebu (interval pouzdanosti 95%)</w:t>
            </w:r>
          </w:p>
        </w:tc>
        <w:tc>
          <w:tcPr>
            <w:tcW w:w="1901" w:type="pct"/>
            <w:vAlign w:val="center"/>
          </w:tcPr>
          <w:p w14:paraId="25DF6893"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0,08 (0,02; 0,25)</w:t>
            </w:r>
          </w:p>
        </w:tc>
        <w:tc>
          <w:tcPr>
            <w:tcW w:w="1391" w:type="pct"/>
            <w:vAlign w:val="center"/>
          </w:tcPr>
          <w:p w14:paraId="06BB9DA2" w14:textId="77777777" w:rsidR="00A30F42" w:rsidRPr="00F85CA6" w:rsidRDefault="00A30F42" w:rsidP="00A30F42">
            <w:pPr>
              <w:jc w:val="center"/>
              <w:rPr>
                <w:rFonts w:eastAsia="Calibri"/>
                <w:sz w:val="22"/>
                <w:szCs w:val="22"/>
                <w:lang w:val="sr-Latn-ME"/>
              </w:rPr>
            </w:pPr>
          </w:p>
        </w:tc>
      </w:tr>
      <w:tr w:rsidR="00A30F42" w:rsidRPr="00F85CA6" w14:paraId="599AA8E7" w14:textId="77777777" w:rsidTr="001239C3">
        <w:trPr>
          <w:trHeight w:val="20"/>
        </w:trPr>
        <w:tc>
          <w:tcPr>
            <w:tcW w:w="1708" w:type="pct"/>
          </w:tcPr>
          <w:p w14:paraId="61BF1780" w14:textId="2DBC09C4" w:rsidR="00A30F42" w:rsidRPr="00F85CA6" w:rsidRDefault="00A30F42" w:rsidP="00A30F42">
            <w:pPr>
              <w:rPr>
                <w:rFonts w:eastAsia="Calibri"/>
                <w:sz w:val="22"/>
                <w:szCs w:val="22"/>
                <w:lang w:val="sr-Latn-ME"/>
              </w:rPr>
            </w:pPr>
            <w:r w:rsidRPr="00F85CA6">
              <w:rPr>
                <w:rFonts w:eastAsia="Calibri"/>
                <w:sz w:val="22"/>
                <w:szCs w:val="22"/>
                <w:lang w:val="sr-Latn-ME"/>
              </w:rPr>
              <w:t>p-vr</w:t>
            </w:r>
            <w:r w:rsidR="00EA7BEC" w:rsidRPr="00F85CA6">
              <w:rPr>
                <w:rFonts w:eastAsia="Calibri"/>
                <w:sz w:val="22"/>
                <w:szCs w:val="22"/>
                <w:lang w:val="sr-Latn-ME"/>
              </w:rPr>
              <w:t>ij</w:t>
            </w:r>
            <w:r w:rsidRPr="00F85CA6">
              <w:rPr>
                <w:rFonts w:eastAsia="Calibri"/>
                <w:sz w:val="22"/>
                <w:szCs w:val="22"/>
                <w:lang w:val="sr-Latn-ME"/>
              </w:rPr>
              <w:t xml:space="preserve">ednost za superiornost </w:t>
            </w:r>
          </w:p>
        </w:tc>
        <w:tc>
          <w:tcPr>
            <w:tcW w:w="1901" w:type="pct"/>
            <w:vAlign w:val="center"/>
          </w:tcPr>
          <w:p w14:paraId="7AF56A61"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&lt; 0,0001</w:t>
            </w:r>
          </w:p>
        </w:tc>
        <w:tc>
          <w:tcPr>
            <w:tcW w:w="1391" w:type="pct"/>
            <w:vAlign w:val="center"/>
          </w:tcPr>
          <w:p w14:paraId="33FF061F" w14:textId="77777777" w:rsidR="00A30F42" w:rsidRPr="00F85CA6" w:rsidRDefault="00A30F42" w:rsidP="00A30F42">
            <w:pPr>
              <w:jc w:val="center"/>
              <w:rPr>
                <w:rFonts w:eastAsia="Calibri"/>
                <w:sz w:val="22"/>
                <w:szCs w:val="22"/>
                <w:lang w:val="sr-Latn-ME"/>
              </w:rPr>
            </w:pPr>
          </w:p>
        </w:tc>
      </w:tr>
      <w:tr w:rsidR="00A30F42" w:rsidRPr="00F85CA6" w14:paraId="3051FA43" w14:textId="77777777" w:rsidTr="001239C3">
        <w:trPr>
          <w:trHeight w:val="20"/>
        </w:trPr>
        <w:tc>
          <w:tcPr>
            <w:tcW w:w="1708" w:type="pct"/>
          </w:tcPr>
          <w:p w14:paraId="1D4E975D" w14:textId="77777777" w:rsidR="00A30F42" w:rsidRPr="00F85CA6" w:rsidRDefault="00A30F42" w:rsidP="00A30F42">
            <w:pPr>
              <w:rPr>
                <w:rFonts w:eastAsia="Calibri"/>
                <w:sz w:val="22"/>
                <w:szCs w:val="22"/>
                <w:lang w:val="sr-Latn-ME"/>
              </w:rPr>
            </w:pPr>
            <w:r w:rsidRPr="00F85CA6">
              <w:rPr>
                <w:rFonts w:eastAsia="Calibri"/>
                <w:sz w:val="22"/>
                <w:szCs w:val="22"/>
                <w:lang w:val="sr-Latn-ME"/>
              </w:rPr>
              <w:t xml:space="preserve">Sekundarni ishodi </w:t>
            </w:r>
            <w:r w:rsidRPr="00F85CA6">
              <w:rPr>
                <w:rFonts w:eastAsia="Calibri"/>
                <w:bCs/>
                <w:sz w:val="22"/>
                <w:szCs w:val="22"/>
                <w:lang w:val="sr-Latn-ME"/>
              </w:rPr>
              <w:t>efikasnosti</w:t>
            </w:r>
          </w:p>
        </w:tc>
        <w:tc>
          <w:tcPr>
            <w:tcW w:w="1901" w:type="pct"/>
            <w:vAlign w:val="center"/>
          </w:tcPr>
          <w:p w14:paraId="6B117E69" w14:textId="77777777" w:rsidR="00A30F42" w:rsidRPr="00F85CA6" w:rsidRDefault="00A30F42" w:rsidP="00A30F42">
            <w:pPr>
              <w:jc w:val="center"/>
              <w:rPr>
                <w:rFonts w:eastAsia="Calibri"/>
                <w:sz w:val="22"/>
                <w:szCs w:val="22"/>
                <w:lang w:val="sr-Latn-ME"/>
              </w:rPr>
            </w:pPr>
          </w:p>
        </w:tc>
        <w:tc>
          <w:tcPr>
            <w:tcW w:w="1391" w:type="pct"/>
            <w:vAlign w:val="center"/>
          </w:tcPr>
          <w:p w14:paraId="192B61C1" w14:textId="77777777" w:rsidR="00A30F42" w:rsidRPr="00F85CA6" w:rsidRDefault="00A30F42" w:rsidP="00A30F42">
            <w:pPr>
              <w:jc w:val="center"/>
              <w:rPr>
                <w:rFonts w:eastAsia="Calibri"/>
                <w:sz w:val="22"/>
                <w:szCs w:val="22"/>
                <w:lang w:val="sr-Latn-ME"/>
              </w:rPr>
            </w:pPr>
          </w:p>
        </w:tc>
      </w:tr>
      <w:tr w:rsidR="00A30F42" w:rsidRPr="00F85CA6" w14:paraId="4A174D19" w14:textId="77777777" w:rsidTr="001239C3">
        <w:trPr>
          <w:trHeight w:val="20"/>
        </w:trPr>
        <w:tc>
          <w:tcPr>
            <w:tcW w:w="1708" w:type="pct"/>
          </w:tcPr>
          <w:p w14:paraId="53FAAB50" w14:textId="5E2B6BB2" w:rsidR="00A30F42" w:rsidRPr="00F85CA6" w:rsidRDefault="00A30F42" w:rsidP="00A30F42">
            <w:pPr>
              <w:rPr>
                <w:rFonts w:eastAsia="Calibri"/>
                <w:sz w:val="22"/>
                <w:szCs w:val="22"/>
                <w:lang w:val="sr-Latn-ME"/>
              </w:rPr>
            </w:pPr>
            <w:r w:rsidRPr="00F85CA6">
              <w:rPr>
                <w:rFonts w:eastAsia="Calibri"/>
                <w:sz w:val="22"/>
                <w:szCs w:val="22"/>
                <w:lang w:val="sr-Latn-ME"/>
              </w:rPr>
              <w:t>Rekurentna simptomatska VTE i smrti usl</w:t>
            </w:r>
            <w:r w:rsidR="00C345DE" w:rsidRPr="00F85CA6">
              <w:rPr>
                <w:rFonts w:eastAsia="Calibri"/>
                <w:sz w:val="22"/>
                <w:szCs w:val="22"/>
                <w:lang w:val="sr-Latn-ME"/>
              </w:rPr>
              <w:t>j</w:t>
            </w:r>
            <w:r w:rsidRPr="00F85CA6">
              <w:rPr>
                <w:rFonts w:eastAsia="Calibri"/>
                <w:sz w:val="22"/>
                <w:szCs w:val="22"/>
                <w:lang w:val="sr-Latn-ME"/>
              </w:rPr>
              <w:t>ed svih uzroka</w:t>
            </w:r>
          </w:p>
        </w:tc>
        <w:tc>
          <w:tcPr>
            <w:tcW w:w="1901" w:type="pct"/>
            <w:vAlign w:val="center"/>
          </w:tcPr>
          <w:p w14:paraId="528B0722"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3 (0,4%)</w:t>
            </w:r>
          </w:p>
        </w:tc>
        <w:tc>
          <w:tcPr>
            <w:tcW w:w="1391" w:type="pct"/>
            <w:vAlign w:val="center"/>
          </w:tcPr>
          <w:p w14:paraId="3A9D92D8"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37 (5,6%)</w:t>
            </w:r>
          </w:p>
        </w:tc>
      </w:tr>
      <w:tr w:rsidR="00A30F42" w:rsidRPr="00F85CA6" w14:paraId="0CDB3F34" w14:textId="77777777" w:rsidTr="001239C3">
        <w:trPr>
          <w:trHeight w:val="20"/>
        </w:trPr>
        <w:tc>
          <w:tcPr>
            <w:tcW w:w="1708" w:type="pct"/>
          </w:tcPr>
          <w:p w14:paraId="7AF58FBF" w14:textId="77777777" w:rsidR="00A30F42" w:rsidRPr="00F85CA6" w:rsidRDefault="00A30F42" w:rsidP="00A30F42">
            <w:pPr>
              <w:rPr>
                <w:rFonts w:eastAsia="Calibri"/>
                <w:sz w:val="22"/>
                <w:szCs w:val="22"/>
                <w:lang w:val="sr-Latn-ME"/>
              </w:rPr>
            </w:pPr>
            <w:r w:rsidRPr="00F85CA6">
              <w:rPr>
                <w:rFonts w:eastAsia="Calibri"/>
                <w:sz w:val="22"/>
                <w:szCs w:val="22"/>
                <w:lang w:val="sr-Latn-ME"/>
              </w:rPr>
              <w:t xml:space="preserve">Interval pouzdanosti 95% </w:t>
            </w:r>
          </w:p>
        </w:tc>
        <w:tc>
          <w:tcPr>
            <w:tcW w:w="1901" w:type="pct"/>
            <w:vAlign w:val="center"/>
          </w:tcPr>
          <w:p w14:paraId="39988028"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0,09; 1,28</w:t>
            </w:r>
          </w:p>
        </w:tc>
        <w:tc>
          <w:tcPr>
            <w:tcW w:w="1391" w:type="pct"/>
            <w:vAlign w:val="center"/>
          </w:tcPr>
          <w:p w14:paraId="2A795C6B"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3,97; 7,62</w:t>
            </w:r>
          </w:p>
        </w:tc>
      </w:tr>
      <w:tr w:rsidR="00A30F42" w:rsidRPr="00F85CA6" w14:paraId="41BCA5FA" w14:textId="77777777" w:rsidTr="001239C3">
        <w:trPr>
          <w:trHeight w:val="20"/>
        </w:trPr>
        <w:tc>
          <w:tcPr>
            <w:tcW w:w="1708" w:type="pct"/>
          </w:tcPr>
          <w:p w14:paraId="5214688F" w14:textId="77777777" w:rsidR="00A30F42" w:rsidRPr="00F85CA6" w:rsidRDefault="00A30F42" w:rsidP="00A30F42">
            <w:pPr>
              <w:rPr>
                <w:rFonts w:eastAsia="Calibri"/>
                <w:sz w:val="22"/>
                <w:szCs w:val="22"/>
                <w:lang w:val="sr-Latn-ME"/>
              </w:rPr>
            </w:pPr>
            <w:r w:rsidRPr="00F85CA6">
              <w:rPr>
                <w:rFonts w:eastAsia="Calibri"/>
                <w:sz w:val="22"/>
                <w:szCs w:val="22"/>
                <w:lang w:val="sr-Latn-ME"/>
              </w:rPr>
              <w:t>Simptomatska DVT</w:t>
            </w:r>
          </w:p>
        </w:tc>
        <w:tc>
          <w:tcPr>
            <w:tcW w:w="1901" w:type="pct"/>
            <w:vAlign w:val="center"/>
          </w:tcPr>
          <w:p w14:paraId="73FC1867"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2 (0,3%)</w:t>
            </w:r>
          </w:p>
        </w:tc>
        <w:tc>
          <w:tcPr>
            <w:tcW w:w="1391" w:type="pct"/>
            <w:vAlign w:val="center"/>
          </w:tcPr>
          <w:p w14:paraId="29411B2F"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23 (3,5%)</w:t>
            </w:r>
          </w:p>
        </w:tc>
      </w:tr>
      <w:tr w:rsidR="00A30F42" w:rsidRPr="00F85CA6" w14:paraId="492CBC0D" w14:textId="77777777" w:rsidTr="001239C3">
        <w:trPr>
          <w:trHeight w:val="20"/>
        </w:trPr>
        <w:tc>
          <w:tcPr>
            <w:tcW w:w="1708" w:type="pct"/>
          </w:tcPr>
          <w:p w14:paraId="7D3841BB" w14:textId="77777777" w:rsidR="00A30F42" w:rsidRPr="00F85CA6" w:rsidRDefault="00A30F42" w:rsidP="00A30F42">
            <w:pPr>
              <w:rPr>
                <w:rFonts w:eastAsia="Calibri"/>
                <w:sz w:val="22"/>
                <w:szCs w:val="22"/>
                <w:lang w:val="sr-Latn-ME"/>
              </w:rPr>
            </w:pPr>
            <w:r w:rsidRPr="00F85CA6">
              <w:rPr>
                <w:rFonts w:eastAsia="Calibri"/>
                <w:sz w:val="22"/>
                <w:szCs w:val="22"/>
                <w:lang w:val="sr-Latn-ME"/>
              </w:rPr>
              <w:t xml:space="preserve">Interval pouzdanosti 95% </w:t>
            </w:r>
          </w:p>
        </w:tc>
        <w:tc>
          <w:tcPr>
            <w:tcW w:w="1901" w:type="pct"/>
            <w:vAlign w:val="center"/>
          </w:tcPr>
          <w:p w14:paraId="723EA1EF"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0,04; 1,06</w:t>
            </w:r>
          </w:p>
        </w:tc>
        <w:tc>
          <w:tcPr>
            <w:tcW w:w="1391" w:type="pct"/>
            <w:vAlign w:val="center"/>
          </w:tcPr>
          <w:p w14:paraId="67D74987"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2,21; 5,17</w:t>
            </w:r>
          </w:p>
        </w:tc>
      </w:tr>
      <w:tr w:rsidR="00A30F42" w:rsidRPr="00F85CA6" w14:paraId="7B677E77" w14:textId="77777777" w:rsidTr="001239C3">
        <w:trPr>
          <w:trHeight w:val="20"/>
        </w:trPr>
        <w:tc>
          <w:tcPr>
            <w:tcW w:w="1708" w:type="pct"/>
          </w:tcPr>
          <w:p w14:paraId="543709CD" w14:textId="77777777" w:rsidR="00A30F42" w:rsidRPr="00F85CA6" w:rsidRDefault="00A30F42" w:rsidP="00A30F42">
            <w:pPr>
              <w:rPr>
                <w:rFonts w:eastAsia="Calibri"/>
                <w:sz w:val="22"/>
                <w:szCs w:val="22"/>
                <w:lang w:val="sr-Latn-ME"/>
              </w:rPr>
            </w:pPr>
            <w:r w:rsidRPr="00F85CA6">
              <w:rPr>
                <w:rFonts w:eastAsia="Calibri"/>
                <w:sz w:val="22"/>
                <w:szCs w:val="22"/>
                <w:lang w:val="sr-Latn-ME"/>
              </w:rPr>
              <w:t>Simptomatska PE</w:t>
            </w:r>
          </w:p>
        </w:tc>
        <w:tc>
          <w:tcPr>
            <w:tcW w:w="1901" w:type="pct"/>
            <w:vAlign w:val="center"/>
          </w:tcPr>
          <w:p w14:paraId="5E7FD776"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1 (0,1%)</w:t>
            </w:r>
          </w:p>
        </w:tc>
        <w:tc>
          <w:tcPr>
            <w:tcW w:w="1391" w:type="pct"/>
            <w:vAlign w:val="center"/>
          </w:tcPr>
          <w:p w14:paraId="6979A979"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14 (2,1%)</w:t>
            </w:r>
          </w:p>
        </w:tc>
      </w:tr>
      <w:tr w:rsidR="00A30F42" w:rsidRPr="00F85CA6" w14:paraId="34866326" w14:textId="77777777" w:rsidTr="001239C3">
        <w:trPr>
          <w:trHeight w:val="20"/>
        </w:trPr>
        <w:tc>
          <w:tcPr>
            <w:tcW w:w="1708" w:type="pct"/>
          </w:tcPr>
          <w:p w14:paraId="4C6B9091" w14:textId="77777777" w:rsidR="00A30F42" w:rsidRPr="00F85CA6" w:rsidRDefault="00A30F42" w:rsidP="00A30F42">
            <w:pPr>
              <w:rPr>
                <w:rFonts w:eastAsia="Calibri"/>
                <w:sz w:val="22"/>
                <w:szCs w:val="22"/>
                <w:lang w:val="sr-Latn-ME"/>
              </w:rPr>
            </w:pPr>
            <w:r w:rsidRPr="00F85CA6">
              <w:rPr>
                <w:rFonts w:eastAsia="Calibri"/>
                <w:sz w:val="22"/>
                <w:szCs w:val="22"/>
                <w:lang w:val="sr-Latn-ME"/>
              </w:rPr>
              <w:t xml:space="preserve">Interval pouzdanosti 95% </w:t>
            </w:r>
          </w:p>
        </w:tc>
        <w:tc>
          <w:tcPr>
            <w:tcW w:w="1901" w:type="pct"/>
            <w:vAlign w:val="center"/>
          </w:tcPr>
          <w:p w14:paraId="5595F5E6"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0,00; 0,82</w:t>
            </w:r>
          </w:p>
        </w:tc>
        <w:tc>
          <w:tcPr>
            <w:tcW w:w="1391" w:type="pct"/>
            <w:vAlign w:val="center"/>
          </w:tcPr>
          <w:p w14:paraId="75074F9E"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1,16; 3,52</w:t>
            </w:r>
          </w:p>
        </w:tc>
      </w:tr>
      <w:tr w:rsidR="00A30F42" w:rsidRPr="00F85CA6" w14:paraId="47D00D2D" w14:textId="77777777" w:rsidTr="001239C3">
        <w:trPr>
          <w:trHeight w:val="20"/>
        </w:trPr>
        <w:tc>
          <w:tcPr>
            <w:tcW w:w="1708" w:type="pct"/>
          </w:tcPr>
          <w:p w14:paraId="2296814C" w14:textId="77777777" w:rsidR="00A30F42" w:rsidRPr="00F85CA6" w:rsidRDefault="00A30F42" w:rsidP="00A30F42">
            <w:pPr>
              <w:rPr>
                <w:rFonts w:eastAsia="Calibri"/>
                <w:sz w:val="22"/>
                <w:szCs w:val="22"/>
                <w:lang w:val="sr-Latn-ME"/>
              </w:rPr>
            </w:pPr>
            <w:r w:rsidRPr="00F85CA6">
              <w:rPr>
                <w:rFonts w:eastAsia="Calibri"/>
                <w:sz w:val="22"/>
                <w:szCs w:val="22"/>
                <w:lang w:val="sr-Latn-ME"/>
              </w:rPr>
              <w:t xml:space="preserve">Smrti povezane sa VTE </w:t>
            </w:r>
          </w:p>
        </w:tc>
        <w:tc>
          <w:tcPr>
            <w:tcW w:w="1901" w:type="pct"/>
            <w:vAlign w:val="center"/>
          </w:tcPr>
          <w:p w14:paraId="02EB07F2"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0 (0)</w:t>
            </w:r>
          </w:p>
        </w:tc>
        <w:tc>
          <w:tcPr>
            <w:tcW w:w="1391" w:type="pct"/>
            <w:vAlign w:val="center"/>
          </w:tcPr>
          <w:p w14:paraId="0D9C7F65"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0 (0)</w:t>
            </w:r>
          </w:p>
        </w:tc>
      </w:tr>
      <w:tr w:rsidR="00A30F42" w:rsidRPr="00F85CA6" w14:paraId="0F83D594" w14:textId="77777777" w:rsidTr="001239C3">
        <w:trPr>
          <w:trHeight w:val="20"/>
        </w:trPr>
        <w:tc>
          <w:tcPr>
            <w:tcW w:w="1708" w:type="pct"/>
          </w:tcPr>
          <w:p w14:paraId="13964CC5" w14:textId="77777777" w:rsidR="00A30F42" w:rsidRPr="00F85CA6" w:rsidRDefault="00A30F42" w:rsidP="00A30F42">
            <w:pPr>
              <w:rPr>
                <w:rFonts w:eastAsia="Calibri"/>
                <w:sz w:val="22"/>
                <w:szCs w:val="22"/>
                <w:lang w:val="sr-Latn-ME"/>
              </w:rPr>
            </w:pPr>
            <w:r w:rsidRPr="00F85CA6">
              <w:rPr>
                <w:rFonts w:eastAsia="Calibri"/>
                <w:sz w:val="22"/>
                <w:szCs w:val="22"/>
                <w:lang w:val="sr-Latn-ME"/>
              </w:rPr>
              <w:t xml:space="preserve">Inteval pouzdanosti 95% </w:t>
            </w:r>
          </w:p>
        </w:tc>
        <w:tc>
          <w:tcPr>
            <w:tcW w:w="1901" w:type="pct"/>
            <w:vAlign w:val="center"/>
          </w:tcPr>
          <w:p w14:paraId="080BD7BE"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0,00; 0,54</w:t>
            </w:r>
          </w:p>
        </w:tc>
        <w:tc>
          <w:tcPr>
            <w:tcW w:w="1391" w:type="pct"/>
            <w:vAlign w:val="center"/>
          </w:tcPr>
          <w:p w14:paraId="49605403"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0,00; 0,56</w:t>
            </w:r>
          </w:p>
        </w:tc>
      </w:tr>
      <w:tr w:rsidR="00A30F42" w:rsidRPr="00F85CA6" w14:paraId="53B5CBE1" w14:textId="77777777" w:rsidTr="001239C3">
        <w:trPr>
          <w:trHeight w:val="20"/>
        </w:trPr>
        <w:tc>
          <w:tcPr>
            <w:tcW w:w="1708" w:type="pct"/>
          </w:tcPr>
          <w:p w14:paraId="4FA5441D" w14:textId="77777777" w:rsidR="00A30F42" w:rsidRPr="00F85CA6" w:rsidRDefault="00A30F42" w:rsidP="00A30F42">
            <w:pPr>
              <w:rPr>
                <w:rFonts w:eastAsia="Calibri"/>
                <w:sz w:val="22"/>
                <w:szCs w:val="22"/>
                <w:lang w:val="sr-Latn-ME"/>
              </w:rPr>
            </w:pPr>
            <w:r w:rsidRPr="00F85CA6">
              <w:rPr>
                <w:rFonts w:eastAsia="Calibri"/>
                <w:sz w:val="22"/>
                <w:szCs w:val="22"/>
                <w:lang w:val="sr-Latn-ME"/>
              </w:rPr>
              <w:t xml:space="preserve">Neobjašenjene smrti </w:t>
            </w:r>
          </w:p>
        </w:tc>
        <w:tc>
          <w:tcPr>
            <w:tcW w:w="1901" w:type="pct"/>
            <w:vAlign w:val="center"/>
          </w:tcPr>
          <w:p w14:paraId="1232F2F7"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0 (0)</w:t>
            </w:r>
          </w:p>
        </w:tc>
        <w:tc>
          <w:tcPr>
            <w:tcW w:w="1391" w:type="pct"/>
            <w:vAlign w:val="center"/>
          </w:tcPr>
          <w:p w14:paraId="479FACD2"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2 (0,3%)</w:t>
            </w:r>
          </w:p>
        </w:tc>
      </w:tr>
      <w:tr w:rsidR="00A30F42" w:rsidRPr="00F85CA6" w14:paraId="4377AFF5" w14:textId="77777777" w:rsidTr="001239C3">
        <w:trPr>
          <w:trHeight w:val="20"/>
        </w:trPr>
        <w:tc>
          <w:tcPr>
            <w:tcW w:w="1708" w:type="pct"/>
          </w:tcPr>
          <w:p w14:paraId="005B5D8B" w14:textId="77777777" w:rsidR="00A30F42" w:rsidRPr="00F85CA6" w:rsidRDefault="00A30F42" w:rsidP="00A30F42">
            <w:pPr>
              <w:rPr>
                <w:rFonts w:eastAsia="Calibri"/>
                <w:sz w:val="22"/>
                <w:szCs w:val="22"/>
                <w:lang w:val="sr-Latn-ME"/>
              </w:rPr>
            </w:pPr>
            <w:r w:rsidRPr="00F85CA6">
              <w:rPr>
                <w:rFonts w:eastAsia="Calibri"/>
                <w:sz w:val="22"/>
                <w:szCs w:val="22"/>
                <w:lang w:val="sr-Latn-ME"/>
              </w:rPr>
              <w:t xml:space="preserve">Interval pouzdanosti 95% </w:t>
            </w:r>
          </w:p>
        </w:tc>
        <w:tc>
          <w:tcPr>
            <w:tcW w:w="1901" w:type="pct"/>
            <w:vAlign w:val="center"/>
          </w:tcPr>
          <w:p w14:paraId="4C205910"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0,00; 0,54</w:t>
            </w:r>
          </w:p>
        </w:tc>
        <w:tc>
          <w:tcPr>
            <w:tcW w:w="1391" w:type="pct"/>
            <w:vAlign w:val="center"/>
          </w:tcPr>
          <w:p w14:paraId="1005A42B"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0,04; 1,09</w:t>
            </w:r>
          </w:p>
        </w:tc>
      </w:tr>
      <w:tr w:rsidR="00A30F42" w:rsidRPr="00F85CA6" w14:paraId="3F84D817" w14:textId="77777777" w:rsidTr="001239C3">
        <w:trPr>
          <w:trHeight w:val="20"/>
        </w:trPr>
        <w:tc>
          <w:tcPr>
            <w:tcW w:w="1708" w:type="pct"/>
          </w:tcPr>
          <w:p w14:paraId="61A61588" w14:textId="42CF86B2" w:rsidR="00A30F42" w:rsidRPr="00F85CA6" w:rsidRDefault="00A30F42" w:rsidP="00A30F42">
            <w:pPr>
              <w:rPr>
                <w:rFonts w:eastAsia="Calibri"/>
                <w:sz w:val="22"/>
                <w:szCs w:val="22"/>
                <w:lang w:val="sr-Latn-ME"/>
              </w:rPr>
            </w:pPr>
            <w:r w:rsidRPr="00F85CA6">
              <w:rPr>
                <w:rFonts w:eastAsia="Calibri"/>
                <w:sz w:val="22"/>
                <w:szCs w:val="22"/>
                <w:lang w:val="sr-Latn-ME"/>
              </w:rPr>
              <w:t>Smrti usl</w:t>
            </w:r>
            <w:r w:rsidR="00C345DE" w:rsidRPr="00F85CA6">
              <w:rPr>
                <w:rFonts w:eastAsia="Calibri"/>
                <w:sz w:val="22"/>
                <w:szCs w:val="22"/>
                <w:lang w:val="sr-Latn-ME"/>
              </w:rPr>
              <w:t>j</w:t>
            </w:r>
            <w:r w:rsidRPr="00F85CA6">
              <w:rPr>
                <w:rFonts w:eastAsia="Calibri"/>
                <w:sz w:val="22"/>
                <w:szCs w:val="22"/>
                <w:lang w:val="sr-Latn-ME"/>
              </w:rPr>
              <w:t xml:space="preserve">ed svih uzroka </w:t>
            </w:r>
          </w:p>
        </w:tc>
        <w:tc>
          <w:tcPr>
            <w:tcW w:w="1901" w:type="pct"/>
            <w:vAlign w:val="center"/>
          </w:tcPr>
          <w:p w14:paraId="3B94DFD8"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0 (0)</w:t>
            </w:r>
          </w:p>
        </w:tc>
        <w:tc>
          <w:tcPr>
            <w:tcW w:w="1391" w:type="pct"/>
            <w:vAlign w:val="center"/>
          </w:tcPr>
          <w:p w14:paraId="595C285A"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2 (0,3%)</w:t>
            </w:r>
          </w:p>
        </w:tc>
      </w:tr>
      <w:tr w:rsidR="00A30F42" w:rsidRPr="00F85CA6" w14:paraId="24EEC1F7" w14:textId="77777777" w:rsidTr="001239C3">
        <w:trPr>
          <w:trHeight w:val="20"/>
        </w:trPr>
        <w:tc>
          <w:tcPr>
            <w:tcW w:w="1708" w:type="pct"/>
          </w:tcPr>
          <w:p w14:paraId="6662CA90" w14:textId="77777777" w:rsidR="00A30F42" w:rsidRPr="00F85CA6" w:rsidRDefault="00A30F42" w:rsidP="00A30F42">
            <w:pPr>
              <w:rPr>
                <w:rFonts w:eastAsia="Calibri"/>
                <w:sz w:val="22"/>
                <w:szCs w:val="22"/>
                <w:lang w:val="sr-Latn-ME"/>
              </w:rPr>
            </w:pPr>
            <w:r w:rsidRPr="00F85CA6">
              <w:rPr>
                <w:rFonts w:eastAsia="Calibri"/>
                <w:sz w:val="22"/>
                <w:szCs w:val="22"/>
                <w:lang w:val="sr-Latn-ME"/>
              </w:rPr>
              <w:t xml:space="preserve">Interval pouzdanosti 95% </w:t>
            </w:r>
          </w:p>
        </w:tc>
        <w:tc>
          <w:tcPr>
            <w:tcW w:w="1901" w:type="pct"/>
            <w:vAlign w:val="center"/>
          </w:tcPr>
          <w:p w14:paraId="7701D8D7"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0,00; 0,54</w:t>
            </w:r>
          </w:p>
        </w:tc>
        <w:tc>
          <w:tcPr>
            <w:tcW w:w="1391" w:type="pct"/>
            <w:vAlign w:val="center"/>
          </w:tcPr>
          <w:p w14:paraId="1CE8AAD7" w14:textId="77777777" w:rsidR="00A30F42" w:rsidRPr="00F85CA6" w:rsidRDefault="00A30F42" w:rsidP="00A30F42">
            <w:pPr>
              <w:jc w:val="center"/>
              <w:rPr>
                <w:rFonts w:eastAsia="Calibri"/>
                <w:sz w:val="22"/>
                <w:szCs w:val="22"/>
                <w:lang w:val="sr-Latn-ME"/>
              </w:rPr>
            </w:pPr>
            <w:r w:rsidRPr="00F85CA6">
              <w:rPr>
                <w:rFonts w:eastAsia="Calibri"/>
                <w:sz w:val="22"/>
                <w:szCs w:val="22"/>
                <w:lang w:val="sr-Latn-ME"/>
              </w:rPr>
              <w:t>0,04; 1,09</w:t>
            </w:r>
          </w:p>
        </w:tc>
      </w:tr>
      <w:bookmarkEnd w:id="28"/>
    </w:tbl>
    <w:p w14:paraId="7693DB9F" w14:textId="77777777" w:rsidR="00A30F42" w:rsidRPr="00F85CA6" w:rsidRDefault="00A30F42" w:rsidP="00A30F42">
      <w:pPr>
        <w:jc w:val="both"/>
        <w:rPr>
          <w:rFonts w:eastAsia="Calibri"/>
          <w:sz w:val="22"/>
          <w:szCs w:val="22"/>
          <w:lang w:val="sr-Latn-ME" w:bidi="en-US"/>
        </w:rPr>
      </w:pPr>
    </w:p>
    <w:p w14:paraId="215D5A20" w14:textId="2033C2F4" w:rsidR="00A30F42" w:rsidRPr="00F85CA6" w:rsidRDefault="00A30F42" w:rsidP="00A30F42">
      <w:pPr>
        <w:jc w:val="both"/>
        <w:rPr>
          <w:rFonts w:eastAsia="Calibri"/>
          <w:i/>
          <w:sz w:val="22"/>
          <w:szCs w:val="22"/>
          <w:u w:val="single"/>
          <w:lang w:val="sr-Latn-ME"/>
        </w:rPr>
      </w:pPr>
      <w:r w:rsidRPr="00F85CA6">
        <w:rPr>
          <w:rFonts w:eastAsia="Calibri"/>
          <w:i/>
          <w:sz w:val="22"/>
          <w:szCs w:val="22"/>
          <w:u w:val="single"/>
          <w:lang w:val="sr-Latn-ME"/>
        </w:rPr>
        <w:t>Kliničke studije u prevenciji tromboembolije kod pacijenata sa v</w:t>
      </w:r>
      <w:r w:rsidR="001A43A8" w:rsidRPr="00F85CA6">
        <w:rPr>
          <w:rFonts w:eastAsia="Calibri"/>
          <w:i/>
          <w:sz w:val="22"/>
          <w:szCs w:val="22"/>
          <w:u w:val="single"/>
          <w:lang w:val="sr-Latn-ME"/>
        </w:rPr>
        <w:t>j</w:t>
      </w:r>
      <w:r w:rsidRPr="00F85CA6">
        <w:rPr>
          <w:rFonts w:eastAsia="Calibri"/>
          <w:i/>
          <w:sz w:val="22"/>
          <w:szCs w:val="22"/>
          <w:u w:val="single"/>
          <w:lang w:val="sr-Latn-ME"/>
        </w:rPr>
        <w:t>eštačkim srčanim zaliscima</w:t>
      </w:r>
    </w:p>
    <w:p w14:paraId="15573EBE" w14:textId="77777777" w:rsidR="00A30F42" w:rsidRPr="00F85CA6" w:rsidRDefault="00A30F42" w:rsidP="00A30F42">
      <w:pPr>
        <w:jc w:val="both"/>
        <w:rPr>
          <w:rFonts w:eastAsia="Calibri"/>
          <w:i/>
          <w:sz w:val="22"/>
          <w:szCs w:val="22"/>
          <w:u w:val="single"/>
          <w:lang w:val="sr-Latn-ME"/>
        </w:rPr>
      </w:pPr>
    </w:p>
    <w:p w14:paraId="4F0EAC94" w14:textId="0D8F8129" w:rsidR="00A30F42" w:rsidRPr="00F85CA6" w:rsidRDefault="00A30F42" w:rsidP="00A30F42">
      <w:pPr>
        <w:jc w:val="both"/>
        <w:rPr>
          <w:rFonts w:eastAsia="Calibri"/>
          <w:sz w:val="22"/>
          <w:szCs w:val="22"/>
          <w:lang w:val="sr-Latn-ME"/>
        </w:rPr>
      </w:pPr>
      <w:r w:rsidRPr="00F85CA6">
        <w:rPr>
          <w:rFonts w:eastAsia="Calibri"/>
          <w:sz w:val="22"/>
          <w:szCs w:val="22"/>
          <w:lang w:val="sr-Latn-ME"/>
        </w:rPr>
        <w:t>Klinička studija faze II ispitivala je dabigatraneteksilat i varfarin kod ukupno 252 pacijenta sa nedavno hirurški zam</w:t>
      </w:r>
      <w:r w:rsidR="00F340D8" w:rsidRPr="00F85CA6">
        <w:rPr>
          <w:rFonts w:eastAsia="Calibri"/>
          <w:sz w:val="22"/>
          <w:szCs w:val="22"/>
          <w:lang w:val="sr-Latn-ME"/>
        </w:rPr>
        <w:t>ij</w:t>
      </w:r>
      <w:r w:rsidRPr="00F85CA6">
        <w:rPr>
          <w:rFonts w:eastAsia="Calibri"/>
          <w:sz w:val="22"/>
          <w:szCs w:val="22"/>
          <w:lang w:val="sr-Latn-ME"/>
        </w:rPr>
        <w:t>enjenim mehaničkim srčanim zaliscima (tj. tokom trenutne hospitalizacije) i kod pacijenata kojima su mehanički srčani zalisci ugrađeni pr</w:t>
      </w:r>
      <w:r w:rsidR="00F340D8" w:rsidRPr="00F85CA6">
        <w:rPr>
          <w:rFonts w:eastAsia="Calibri"/>
          <w:sz w:val="22"/>
          <w:szCs w:val="22"/>
          <w:lang w:val="sr-Latn-ME"/>
        </w:rPr>
        <w:t>ij</w:t>
      </w:r>
      <w:r w:rsidRPr="00F85CA6">
        <w:rPr>
          <w:rFonts w:eastAsia="Calibri"/>
          <w:sz w:val="22"/>
          <w:szCs w:val="22"/>
          <w:lang w:val="sr-Latn-ME"/>
        </w:rPr>
        <w:t>e više od tri m</w:t>
      </w:r>
      <w:r w:rsidR="00F340D8" w:rsidRPr="00F85CA6">
        <w:rPr>
          <w:rFonts w:eastAsia="Calibri"/>
          <w:sz w:val="22"/>
          <w:szCs w:val="22"/>
          <w:lang w:val="sr-Latn-ME"/>
        </w:rPr>
        <w:t>j</w:t>
      </w:r>
      <w:r w:rsidRPr="00F85CA6">
        <w:rPr>
          <w:rFonts w:eastAsia="Calibri"/>
          <w:sz w:val="22"/>
          <w:szCs w:val="22"/>
          <w:lang w:val="sr-Latn-ME"/>
        </w:rPr>
        <w:t>eseca. Više tromboembolijskih događaja (uglavnom moždanih udara i simptomatske/asimptomatske tromboze v</w:t>
      </w:r>
      <w:r w:rsidR="001A43A8" w:rsidRPr="00F85CA6">
        <w:rPr>
          <w:rFonts w:eastAsia="Calibri"/>
          <w:sz w:val="22"/>
          <w:szCs w:val="22"/>
          <w:lang w:val="sr-Latn-ME"/>
        </w:rPr>
        <w:t>j</w:t>
      </w:r>
      <w:r w:rsidRPr="00F85CA6">
        <w:rPr>
          <w:rFonts w:eastAsia="Calibri"/>
          <w:sz w:val="22"/>
          <w:szCs w:val="22"/>
          <w:lang w:val="sr-Latn-ME"/>
        </w:rPr>
        <w:t>eštačkog zaliska) i više događaja krvarenja uočeno je sa dabigatraneteksilatom nego sa varfarinom. Kod pacijenata u ranoj postoperativnoj fazi, obilnije krvarenje se uglavnom manifestovalo kao hemoragijski perikardijalni izlivi, naročito kod pacijenata koji su rano započeli terapiju dabigatraneteksilatom (tj. trećeg dana) nakon hirurške zam</w:t>
      </w:r>
      <w:r w:rsidR="00F340D8" w:rsidRPr="00F85CA6">
        <w:rPr>
          <w:rFonts w:eastAsia="Calibri"/>
          <w:sz w:val="22"/>
          <w:szCs w:val="22"/>
          <w:lang w:val="sr-Latn-ME"/>
        </w:rPr>
        <w:t>j</w:t>
      </w:r>
      <w:r w:rsidRPr="00F85CA6">
        <w:rPr>
          <w:rFonts w:eastAsia="Calibri"/>
          <w:sz w:val="22"/>
          <w:szCs w:val="22"/>
          <w:lang w:val="sr-Latn-ME"/>
        </w:rPr>
        <w:t>ene srčanog zaliska (vid</w:t>
      </w:r>
      <w:r w:rsidR="00F340D8" w:rsidRPr="00F85CA6">
        <w:rPr>
          <w:rFonts w:eastAsia="Calibri"/>
          <w:sz w:val="22"/>
          <w:szCs w:val="22"/>
          <w:lang w:val="sr-Latn-ME"/>
        </w:rPr>
        <w:t>j</w:t>
      </w:r>
      <w:r w:rsidRPr="00F85CA6">
        <w:rPr>
          <w:rFonts w:eastAsia="Calibri"/>
          <w:sz w:val="22"/>
          <w:szCs w:val="22"/>
          <w:lang w:val="sr-Latn-ME"/>
        </w:rPr>
        <w:t xml:space="preserve">eti </w:t>
      </w:r>
      <w:r w:rsidR="00C345DE" w:rsidRPr="00F85CA6">
        <w:rPr>
          <w:rFonts w:eastAsia="Calibri"/>
          <w:sz w:val="22"/>
          <w:szCs w:val="22"/>
          <w:lang w:val="sr-Latn-ME"/>
        </w:rPr>
        <w:t>dio</w:t>
      </w:r>
      <w:r w:rsidRPr="00F85CA6">
        <w:rPr>
          <w:rFonts w:eastAsia="Calibri"/>
          <w:sz w:val="22"/>
          <w:szCs w:val="22"/>
          <w:lang w:val="sr-Latn-ME"/>
        </w:rPr>
        <w:t xml:space="preserve"> 4.3).</w:t>
      </w:r>
    </w:p>
    <w:p w14:paraId="00FF9465" w14:textId="77777777" w:rsidR="00A30F42" w:rsidRPr="00F85CA6" w:rsidRDefault="00A30F42" w:rsidP="00A30F42">
      <w:pPr>
        <w:jc w:val="both"/>
        <w:rPr>
          <w:rFonts w:eastAsia="Calibri"/>
          <w:sz w:val="22"/>
          <w:szCs w:val="22"/>
          <w:lang w:val="sr-Latn-ME"/>
        </w:rPr>
      </w:pPr>
    </w:p>
    <w:p w14:paraId="67EC8602" w14:textId="77777777" w:rsidR="00A30F42" w:rsidRPr="00F85CA6" w:rsidRDefault="00A30F42" w:rsidP="00A30F42">
      <w:pPr>
        <w:jc w:val="both"/>
        <w:rPr>
          <w:rFonts w:eastAsia="Calibri"/>
          <w:i/>
          <w:iCs/>
          <w:sz w:val="22"/>
          <w:szCs w:val="22"/>
          <w:u w:val="single"/>
          <w:lang w:val="sr-Latn-ME"/>
        </w:rPr>
      </w:pPr>
      <w:r w:rsidRPr="00F85CA6">
        <w:rPr>
          <w:rFonts w:eastAsia="Calibri"/>
          <w:i/>
          <w:iCs/>
          <w:sz w:val="22"/>
          <w:szCs w:val="22"/>
          <w:u w:val="single"/>
          <w:lang w:val="sr-Latn-ME"/>
        </w:rPr>
        <w:t xml:space="preserve">Pedijatrijska populacija </w:t>
      </w:r>
    </w:p>
    <w:p w14:paraId="77DDF814" w14:textId="77777777" w:rsidR="00A30F42" w:rsidRPr="00F85CA6" w:rsidRDefault="00A30F42" w:rsidP="00A30F42">
      <w:pPr>
        <w:jc w:val="both"/>
        <w:rPr>
          <w:rFonts w:eastAsia="Calibri"/>
          <w:i/>
          <w:iCs/>
          <w:sz w:val="22"/>
          <w:szCs w:val="22"/>
          <w:u w:val="single"/>
          <w:lang w:val="sr-Latn-ME"/>
        </w:rPr>
      </w:pPr>
    </w:p>
    <w:p w14:paraId="19831E84" w14:textId="1B83691A" w:rsidR="00A30F42" w:rsidRPr="00F85CA6" w:rsidRDefault="00A30F42" w:rsidP="00A30F42">
      <w:pPr>
        <w:jc w:val="both"/>
        <w:rPr>
          <w:rFonts w:eastAsia="Calibri"/>
          <w:i/>
          <w:iCs/>
          <w:sz w:val="22"/>
          <w:szCs w:val="22"/>
          <w:u w:val="single"/>
          <w:lang w:val="sr-Latn-ME"/>
        </w:rPr>
      </w:pPr>
      <w:r w:rsidRPr="00F85CA6">
        <w:rPr>
          <w:rFonts w:eastAsia="Calibri"/>
          <w:i/>
          <w:iCs/>
          <w:sz w:val="22"/>
          <w:szCs w:val="22"/>
          <w:u w:val="single"/>
          <w:lang w:val="sr-Latn-ME"/>
        </w:rPr>
        <w:t>Klinička ispitivanja u profilaksi VTE nakon velikog hirurškog zahvata zam</w:t>
      </w:r>
      <w:r w:rsidR="00F340D8" w:rsidRPr="00F85CA6">
        <w:rPr>
          <w:rFonts w:eastAsia="Calibri"/>
          <w:i/>
          <w:iCs/>
          <w:sz w:val="22"/>
          <w:szCs w:val="22"/>
          <w:u w:val="single"/>
          <w:lang w:val="sr-Latn-ME"/>
        </w:rPr>
        <w:t>j</w:t>
      </w:r>
      <w:r w:rsidRPr="00F85CA6">
        <w:rPr>
          <w:rFonts w:eastAsia="Calibri"/>
          <w:i/>
          <w:iCs/>
          <w:sz w:val="22"/>
          <w:szCs w:val="22"/>
          <w:u w:val="single"/>
          <w:lang w:val="sr-Latn-ME"/>
        </w:rPr>
        <w:t>ene zgloba</w:t>
      </w:r>
    </w:p>
    <w:p w14:paraId="56365C2F" w14:textId="77777777" w:rsidR="00A30F42" w:rsidRPr="00F85CA6" w:rsidRDefault="00A30F42" w:rsidP="00A30F42">
      <w:pPr>
        <w:jc w:val="both"/>
        <w:rPr>
          <w:rFonts w:eastAsia="Calibri"/>
          <w:i/>
          <w:iCs/>
          <w:sz w:val="22"/>
          <w:szCs w:val="22"/>
          <w:u w:val="single"/>
          <w:lang w:val="sr-Latn-ME"/>
        </w:rPr>
      </w:pPr>
      <w:r w:rsidRPr="00F85CA6">
        <w:rPr>
          <w:rFonts w:eastAsia="Calibri"/>
          <w:i/>
          <w:iCs/>
          <w:sz w:val="22"/>
          <w:szCs w:val="22"/>
          <w:u w:val="single"/>
          <w:lang w:val="sr-Latn-ME"/>
        </w:rPr>
        <w:t>Prevencija moždanog udara i sistemske embolije kod odraslih pacijenata sa NVAF sa jednim ili više faktora rizika</w:t>
      </w:r>
    </w:p>
    <w:p w14:paraId="7E7B53AF" w14:textId="77777777" w:rsidR="00A30F42" w:rsidRPr="00F85CA6" w:rsidRDefault="00A30F42" w:rsidP="00A30F42">
      <w:pPr>
        <w:jc w:val="both"/>
        <w:rPr>
          <w:rFonts w:eastAsia="Calibri"/>
          <w:sz w:val="22"/>
          <w:szCs w:val="22"/>
          <w:lang w:val="sr-Latn-ME"/>
        </w:rPr>
      </w:pPr>
    </w:p>
    <w:p w14:paraId="5C464DE5" w14:textId="7B968F67" w:rsidR="00A30F42" w:rsidRPr="00F85CA6" w:rsidRDefault="00A30F42" w:rsidP="00A30F42">
      <w:pPr>
        <w:jc w:val="both"/>
        <w:rPr>
          <w:rFonts w:eastAsia="Calibri"/>
          <w:sz w:val="22"/>
          <w:szCs w:val="22"/>
          <w:lang w:val="sr-Latn-ME"/>
        </w:rPr>
      </w:pPr>
      <w:r w:rsidRPr="00F85CA6">
        <w:rPr>
          <w:rFonts w:eastAsia="Calibri"/>
          <w:sz w:val="22"/>
          <w:szCs w:val="22"/>
          <w:lang w:val="sr-Latn-ME"/>
        </w:rPr>
        <w:t>Evropska Agencija za l</w:t>
      </w:r>
      <w:r w:rsidR="00F340D8" w:rsidRPr="00F85CA6">
        <w:rPr>
          <w:rFonts w:eastAsia="Calibri"/>
          <w:sz w:val="22"/>
          <w:szCs w:val="22"/>
          <w:lang w:val="sr-Latn-ME"/>
        </w:rPr>
        <w:t>j</w:t>
      </w:r>
      <w:r w:rsidRPr="00F85CA6">
        <w:rPr>
          <w:rFonts w:eastAsia="Calibri"/>
          <w:sz w:val="22"/>
          <w:szCs w:val="22"/>
          <w:lang w:val="sr-Latn-ME"/>
        </w:rPr>
        <w:t>ekove izuzela je od obaveze podnošenja rezultata ispitivanja sa referentnim l</w:t>
      </w:r>
      <w:r w:rsidR="00F340D8" w:rsidRPr="00F85CA6">
        <w:rPr>
          <w:rFonts w:eastAsia="Calibri"/>
          <w:sz w:val="22"/>
          <w:szCs w:val="22"/>
          <w:lang w:val="sr-Latn-ME"/>
        </w:rPr>
        <w:t>ij</w:t>
      </w:r>
      <w:r w:rsidRPr="00F85CA6">
        <w:rPr>
          <w:rFonts w:eastAsia="Calibri"/>
          <w:sz w:val="22"/>
          <w:szCs w:val="22"/>
          <w:lang w:val="sr-Latn-ME"/>
        </w:rPr>
        <w:t xml:space="preserve">ekom koji sadrži dabigatraneteksilat u svim podgrupama pedijatrijske populacije za indikaciju primarne prevencije VTE i kod pacijenata koji se podvrgavaju elektivnom hirurškom zahvatu totalne </w:t>
      </w:r>
      <w:r w:rsidRPr="00F85CA6">
        <w:rPr>
          <w:rFonts w:eastAsia="Calibri"/>
          <w:sz w:val="22"/>
          <w:szCs w:val="22"/>
          <w:lang w:val="sr-Latn-ME"/>
        </w:rPr>
        <w:lastRenderedPageBreak/>
        <w:t>zam</w:t>
      </w:r>
      <w:r w:rsidR="00F340D8" w:rsidRPr="00F85CA6">
        <w:rPr>
          <w:rFonts w:eastAsia="Calibri"/>
          <w:sz w:val="22"/>
          <w:szCs w:val="22"/>
          <w:lang w:val="sr-Latn-ME"/>
        </w:rPr>
        <w:t>j</w:t>
      </w:r>
      <w:r w:rsidRPr="00F85CA6">
        <w:rPr>
          <w:rFonts w:eastAsia="Calibri"/>
          <w:sz w:val="22"/>
          <w:szCs w:val="22"/>
          <w:lang w:val="sr-Latn-ME"/>
        </w:rPr>
        <w:t>ene kuka ili totalne zam</w:t>
      </w:r>
      <w:r w:rsidR="00F340D8" w:rsidRPr="00F85CA6">
        <w:rPr>
          <w:rFonts w:eastAsia="Calibri"/>
          <w:sz w:val="22"/>
          <w:szCs w:val="22"/>
          <w:lang w:val="sr-Latn-ME"/>
        </w:rPr>
        <w:t>j</w:t>
      </w:r>
      <w:r w:rsidRPr="00F85CA6">
        <w:rPr>
          <w:rFonts w:eastAsia="Calibri"/>
          <w:sz w:val="22"/>
          <w:szCs w:val="22"/>
          <w:lang w:val="sr-Latn-ME"/>
        </w:rPr>
        <w:t>ene kol</w:t>
      </w:r>
      <w:r w:rsidR="00F340D8" w:rsidRPr="00F85CA6">
        <w:rPr>
          <w:rFonts w:eastAsia="Calibri"/>
          <w:sz w:val="22"/>
          <w:szCs w:val="22"/>
          <w:lang w:val="sr-Latn-ME"/>
        </w:rPr>
        <w:t>j</w:t>
      </w:r>
      <w:r w:rsidRPr="00F85CA6">
        <w:rPr>
          <w:rFonts w:eastAsia="Calibri"/>
          <w:sz w:val="22"/>
          <w:szCs w:val="22"/>
          <w:lang w:val="sr-Latn-ME"/>
        </w:rPr>
        <w:t>ena i za indikaciju prevencije moždanog udara i sistemske embolije kod pacijenata sa NVAF (vid</w:t>
      </w:r>
      <w:r w:rsidR="00F340D8" w:rsidRPr="00F85CA6">
        <w:rPr>
          <w:rFonts w:eastAsia="Calibri"/>
          <w:sz w:val="22"/>
          <w:szCs w:val="22"/>
          <w:lang w:val="sr-Latn-ME"/>
        </w:rPr>
        <w:t>j</w:t>
      </w:r>
      <w:r w:rsidRPr="00F85CA6">
        <w:rPr>
          <w:rFonts w:eastAsia="Calibri"/>
          <w:sz w:val="22"/>
          <w:szCs w:val="22"/>
          <w:lang w:val="sr-Latn-ME"/>
        </w:rPr>
        <w:t xml:space="preserve">eti </w:t>
      </w:r>
      <w:r w:rsidR="00D03502" w:rsidRPr="00F85CA6">
        <w:rPr>
          <w:rFonts w:eastAsia="Calibri"/>
          <w:sz w:val="22"/>
          <w:szCs w:val="22"/>
          <w:lang w:val="sr-Latn-ME"/>
        </w:rPr>
        <w:t>dio</w:t>
      </w:r>
      <w:r w:rsidRPr="00F85CA6">
        <w:rPr>
          <w:rFonts w:eastAsia="Calibri"/>
          <w:sz w:val="22"/>
          <w:szCs w:val="22"/>
          <w:lang w:val="sr-Latn-ME"/>
        </w:rPr>
        <w:t xml:space="preserve"> 4.2 za informacije o upotrebi u pedijatrijskoj populaciji). </w:t>
      </w:r>
    </w:p>
    <w:p w14:paraId="102724A2" w14:textId="77777777" w:rsidR="00A30F42" w:rsidRPr="00F85CA6" w:rsidRDefault="00A30F42" w:rsidP="00A30F42">
      <w:pPr>
        <w:jc w:val="both"/>
        <w:rPr>
          <w:rFonts w:eastAsia="Calibri"/>
          <w:sz w:val="22"/>
          <w:szCs w:val="22"/>
          <w:lang w:val="sr-Latn-ME"/>
        </w:rPr>
      </w:pPr>
    </w:p>
    <w:p w14:paraId="48B5178B" w14:textId="77777777" w:rsidR="00A30F42" w:rsidRPr="00F85CA6" w:rsidRDefault="00A30F42" w:rsidP="00A30F42">
      <w:pPr>
        <w:jc w:val="both"/>
        <w:rPr>
          <w:rFonts w:eastAsia="Calibri"/>
          <w:i/>
          <w:iCs/>
          <w:sz w:val="22"/>
          <w:szCs w:val="22"/>
          <w:u w:val="single"/>
          <w:lang w:val="sr-Latn-ME"/>
        </w:rPr>
      </w:pPr>
      <w:r w:rsidRPr="00F85CA6">
        <w:rPr>
          <w:rFonts w:eastAsia="Calibri"/>
          <w:i/>
          <w:iCs/>
          <w:sz w:val="22"/>
          <w:szCs w:val="22"/>
          <w:u w:val="single"/>
          <w:lang w:val="sr-Latn-ME"/>
        </w:rPr>
        <w:t>Terapija VTE i prevencija rekurentne VTE kod pedijatrijskih pacijenata</w:t>
      </w:r>
    </w:p>
    <w:p w14:paraId="66550E47" w14:textId="77777777" w:rsidR="00A30F42" w:rsidRPr="00F85CA6" w:rsidRDefault="00A30F42" w:rsidP="00A30F42">
      <w:pPr>
        <w:jc w:val="both"/>
        <w:rPr>
          <w:rFonts w:eastAsia="Calibri"/>
          <w:i/>
          <w:iCs/>
          <w:sz w:val="22"/>
          <w:szCs w:val="22"/>
          <w:u w:val="single"/>
          <w:lang w:val="sr-Latn-ME"/>
        </w:rPr>
      </w:pPr>
    </w:p>
    <w:p w14:paraId="6811B160" w14:textId="49B931C7" w:rsidR="00A30F42" w:rsidRPr="00F85CA6" w:rsidRDefault="00A30F42" w:rsidP="00A30F42">
      <w:pPr>
        <w:jc w:val="both"/>
        <w:rPr>
          <w:rFonts w:eastAsia="Calibri"/>
          <w:sz w:val="22"/>
          <w:szCs w:val="22"/>
          <w:lang w:val="sr-Latn-ME"/>
        </w:rPr>
      </w:pPr>
      <w:r w:rsidRPr="00F85CA6">
        <w:rPr>
          <w:rFonts w:eastAsia="Calibri"/>
          <w:sz w:val="22"/>
          <w:szCs w:val="22"/>
          <w:lang w:val="sr-Latn-ME"/>
        </w:rPr>
        <w:t>Studija DIVERSITY bila je sprovedena kako bi se pokazala efikasnost i bezb</w:t>
      </w:r>
      <w:r w:rsidR="00F340D8" w:rsidRPr="00F85CA6">
        <w:rPr>
          <w:rFonts w:eastAsia="Calibri"/>
          <w:sz w:val="22"/>
          <w:szCs w:val="22"/>
          <w:lang w:val="sr-Latn-ME"/>
        </w:rPr>
        <w:t>j</w:t>
      </w:r>
      <w:r w:rsidRPr="00F85CA6">
        <w:rPr>
          <w:rFonts w:eastAsia="Calibri"/>
          <w:sz w:val="22"/>
          <w:szCs w:val="22"/>
          <w:lang w:val="sr-Latn-ME"/>
        </w:rPr>
        <w:t xml:space="preserve">ednost dabigatraneteksilata u poređenju sa standardnim zbrinjavanjem (engl. </w:t>
      </w:r>
      <w:r w:rsidRPr="00F85CA6">
        <w:rPr>
          <w:rFonts w:eastAsia="Calibri"/>
          <w:i/>
          <w:iCs/>
          <w:sz w:val="22"/>
          <w:szCs w:val="22"/>
          <w:lang w:val="sr-Latn-ME"/>
        </w:rPr>
        <w:t>Standard of Care</w:t>
      </w:r>
      <w:r w:rsidRPr="00F85CA6">
        <w:rPr>
          <w:rFonts w:eastAsia="Calibri"/>
          <w:sz w:val="22"/>
          <w:szCs w:val="22"/>
          <w:lang w:val="sr-Latn-ME"/>
        </w:rPr>
        <w:t>, SOC) VTE kod pedijatrijskih pacijenata od rođenja do uzrasta manje od 18 godina. Studija je bila osmišljena kao otvorena, randomizovana studija neinferiornosti sa paralelnim grupama. Uključeni pacijenti su bili randomizovani prema šemi 2:1 u grupu kojoj je prim</w:t>
      </w:r>
      <w:r w:rsidR="00F340D8" w:rsidRPr="00F85CA6">
        <w:rPr>
          <w:rFonts w:eastAsia="Calibri"/>
          <w:sz w:val="22"/>
          <w:szCs w:val="22"/>
          <w:lang w:val="sr-Latn-ME"/>
        </w:rPr>
        <w:t>ij</w:t>
      </w:r>
      <w:r w:rsidRPr="00F85CA6">
        <w:rPr>
          <w:rFonts w:eastAsia="Calibri"/>
          <w:sz w:val="22"/>
          <w:szCs w:val="22"/>
          <w:lang w:val="sr-Latn-ME"/>
        </w:rPr>
        <w:t>enjivana formulacija dabigatraneteksilata odgovarajuća za njihov uzrast (kapsule, obložene granule ili oralni rastvor) (doze prilagođene prema uzrastu i t</w:t>
      </w:r>
      <w:r w:rsidR="00F340D8" w:rsidRPr="00F85CA6">
        <w:rPr>
          <w:rFonts w:eastAsia="Calibri"/>
          <w:sz w:val="22"/>
          <w:szCs w:val="22"/>
          <w:lang w:val="sr-Latn-ME"/>
        </w:rPr>
        <w:t>j</w:t>
      </w:r>
      <w:r w:rsidRPr="00F85CA6">
        <w:rPr>
          <w:rFonts w:eastAsia="Calibri"/>
          <w:sz w:val="22"/>
          <w:szCs w:val="22"/>
          <w:lang w:val="sr-Latn-ME"/>
        </w:rPr>
        <w:t>elesnoj masi) ili u SOC grupu koja je obuhvatala prim</w:t>
      </w:r>
      <w:r w:rsidR="00C345DE" w:rsidRPr="00F85CA6">
        <w:rPr>
          <w:rFonts w:eastAsia="Calibri"/>
          <w:sz w:val="22"/>
          <w:szCs w:val="22"/>
          <w:lang w:val="sr-Latn-ME"/>
        </w:rPr>
        <w:t>j</w:t>
      </w:r>
      <w:r w:rsidRPr="00F85CA6">
        <w:rPr>
          <w:rFonts w:eastAsia="Calibri"/>
          <w:sz w:val="22"/>
          <w:szCs w:val="22"/>
          <w:lang w:val="sr-Latn-ME"/>
        </w:rPr>
        <w:t xml:space="preserve">enu niskomolekularnog heparina (engl. </w:t>
      </w:r>
      <w:r w:rsidRPr="00F85CA6">
        <w:rPr>
          <w:rFonts w:eastAsia="Calibri"/>
          <w:i/>
          <w:sz w:val="22"/>
          <w:szCs w:val="22"/>
          <w:lang w:val="sr-Latn-ME"/>
        </w:rPr>
        <w:t xml:space="preserve">low molecular weight heparins, </w:t>
      </w:r>
      <w:r w:rsidRPr="00F85CA6">
        <w:rPr>
          <w:rFonts w:eastAsia="Calibri"/>
          <w:sz w:val="22"/>
          <w:szCs w:val="22"/>
          <w:lang w:val="sr-Latn-ME"/>
        </w:rPr>
        <w:t>LMWH) ili antagonista vitamina K (VKA) ili fondaparinuksa (1 pacijent uzrasta 12 godina). Primarni ishod bio je kompozitni ishod koji se sastojao od pacijenata sa potpunim razlaganjem tromba, bez rekurentne VTE i bez mortaliteta povezanog sa VTE. Kriterijumi isključenja obuhvatali su aktivni meningitis, encefalitis i intrakranijalni apsces.</w:t>
      </w:r>
    </w:p>
    <w:p w14:paraId="60B78BB6" w14:textId="77777777" w:rsidR="003F04B6" w:rsidRPr="00F85CA6" w:rsidRDefault="003F04B6" w:rsidP="00A30F42">
      <w:pPr>
        <w:jc w:val="both"/>
        <w:rPr>
          <w:rFonts w:eastAsia="Calibri"/>
          <w:sz w:val="22"/>
          <w:szCs w:val="22"/>
          <w:lang w:val="sr-Latn-ME"/>
        </w:rPr>
      </w:pPr>
    </w:p>
    <w:p w14:paraId="09CEAC2F" w14:textId="76358D02" w:rsidR="00A30F42" w:rsidRPr="00F85CA6" w:rsidRDefault="00A30F42" w:rsidP="00A30F42">
      <w:pPr>
        <w:jc w:val="both"/>
        <w:rPr>
          <w:rFonts w:eastAsia="Calibri"/>
          <w:sz w:val="22"/>
          <w:szCs w:val="22"/>
          <w:lang w:val="sr-Latn-ME"/>
        </w:rPr>
      </w:pPr>
      <w:r w:rsidRPr="00F85CA6">
        <w:rPr>
          <w:rFonts w:eastAsia="Calibri"/>
          <w:sz w:val="22"/>
          <w:szCs w:val="22"/>
          <w:lang w:val="sr-Latn-ME"/>
        </w:rPr>
        <w:t>Ukupno je 267 pacijenata bilo randomizovano. Od toga je 176 pacijenata bilo l</w:t>
      </w:r>
      <w:r w:rsidR="00C345DE" w:rsidRPr="00F85CA6">
        <w:rPr>
          <w:rFonts w:eastAsia="Calibri"/>
          <w:sz w:val="22"/>
          <w:szCs w:val="22"/>
          <w:lang w:val="sr-Latn-ME"/>
        </w:rPr>
        <w:t>ij</w:t>
      </w:r>
      <w:r w:rsidRPr="00F85CA6">
        <w:rPr>
          <w:rFonts w:eastAsia="Calibri"/>
          <w:sz w:val="22"/>
          <w:szCs w:val="22"/>
          <w:lang w:val="sr-Latn-ME"/>
        </w:rPr>
        <w:t>ečeno dabigatraneteksilatom, a 90 pacijenata prema SOC (1 randomizovani pacijent nije bio l</w:t>
      </w:r>
      <w:r w:rsidR="00F340D8" w:rsidRPr="00F85CA6">
        <w:rPr>
          <w:rFonts w:eastAsia="Calibri"/>
          <w:sz w:val="22"/>
          <w:szCs w:val="22"/>
          <w:lang w:val="sr-Latn-ME"/>
        </w:rPr>
        <w:t>ij</w:t>
      </w:r>
      <w:r w:rsidRPr="00F85CA6">
        <w:rPr>
          <w:rFonts w:eastAsia="Calibri"/>
          <w:sz w:val="22"/>
          <w:szCs w:val="22"/>
          <w:lang w:val="sr-Latn-ME"/>
        </w:rPr>
        <w:t xml:space="preserve">ečen). 168 pacijenata je bilo uzrasta od 12 do manje od 18 godina, 64 pacijenta 2 do manje od 12 godina, a 35 pacijenata je bilo mlađe od 2 godine. </w:t>
      </w:r>
    </w:p>
    <w:p w14:paraId="7F6F6BB3" w14:textId="77777777" w:rsidR="003F04B6" w:rsidRPr="00F85CA6" w:rsidRDefault="003F04B6" w:rsidP="00A30F42">
      <w:pPr>
        <w:jc w:val="both"/>
        <w:rPr>
          <w:rFonts w:eastAsia="Calibri"/>
          <w:sz w:val="22"/>
          <w:szCs w:val="22"/>
          <w:lang w:val="sr-Latn-ME"/>
        </w:rPr>
      </w:pPr>
    </w:p>
    <w:p w14:paraId="58B047A9" w14:textId="70824B67" w:rsidR="00A30F42" w:rsidRPr="00F85CA6" w:rsidRDefault="00A30F42" w:rsidP="00A30F42">
      <w:pPr>
        <w:jc w:val="both"/>
        <w:rPr>
          <w:rFonts w:eastAsia="Calibri"/>
          <w:sz w:val="22"/>
          <w:szCs w:val="22"/>
          <w:lang w:val="sr-Latn-ME"/>
        </w:rPr>
      </w:pPr>
      <w:r w:rsidRPr="00F85CA6">
        <w:rPr>
          <w:rFonts w:eastAsia="Calibri"/>
          <w:sz w:val="22"/>
          <w:szCs w:val="22"/>
          <w:lang w:val="sr-Latn-ME"/>
        </w:rPr>
        <w:t>Od 267 randomizovanih pacijenata, 81 pacijent (45,8%) u grupi koja je primala dabigatraneteksilat i 38 pacijenata (42,2%) u SOC grupi, ispunilo je kriterijume za kompozitni primarni ishod (potpuno razlaganje tromba, bez rekurentne VTE i bez mortaliteta povezanog sa VTE). Odgovarajuća stopa razlike pokazala je neinferiornost dabigatraneteksilata u odnosu na SOC. Dosl</w:t>
      </w:r>
      <w:r w:rsidR="00F340D8" w:rsidRPr="00F85CA6">
        <w:rPr>
          <w:rFonts w:eastAsia="Calibri"/>
          <w:sz w:val="22"/>
          <w:szCs w:val="22"/>
          <w:lang w:val="sr-Latn-ME"/>
        </w:rPr>
        <w:t>j</w:t>
      </w:r>
      <w:r w:rsidRPr="00F85CA6">
        <w:rPr>
          <w:rFonts w:eastAsia="Calibri"/>
          <w:sz w:val="22"/>
          <w:szCs w:val="22"/>
          <w:lang w:val="sr-Latn-ME"/>
        </w:rPr>
        <w:t>edni rezultati takođe su generalno bili uočeni u svim podgrupama: nije bilo značajnih razlika u terapijskom dejstvu kod podgrupa prema uzrastu, polu, regionu i prisutnosti određenih faktora rizika. Kod 3 različite starosne klase, ud</w:t>
      </w:r>
      <w:r w:rsidR="00F340D8" w:rsidRPr="00F85CA6">
        <w:rPr>
          <w:rFonts w:eastAsia="Calibri"/>
          <w:sz w:val="22"/>
          <w:szCs w:val="22"/>
          <w:lang w:val="sr-Latn-ME"/>
        </w:rPr>
        <w:t>j</w:t>
      </w:r>
      <w:r w:rsidRPr="00F85CA6">
        <w:rPr>
          <w:rFonts w:eastAsia="Calibri"/>
          <w:sz w:val="22"/>
          <w:szCs w:val="22"/>
          <w:lang w:val="sr-Latn-ME"/>
        </w:rPr>
        <w:t>eli pacijenata koji su ispunili primarni ishod efikasnosti u grupi dabigatraneteksilata i SOC grupama bili su 13/22 (59,1%), odnosno 7/13 (53,8%) za pacijente od rođenja do &lt; 2 godine, 21/43 (48,8%), odnosno 12/21 (57,1%) za pacijente uzrasta od 2 do &lt; 12 godina i 47/112 (42,0%), odnosno 19/56 (33,9%) za pacijente uzrasta od 12 &lt; 18 godina.</w:t>
      </w:r>
    </w:p>
    <w:p w14:paraId="519392AC" w14:textId="77777777" w:rsidR="003F04B6" w:rsidRPr="00F85CA6" w:rsidRDefault="003F04B6" w:rsidP="00A30F42">
      <w:pPr>
        <w:jc w:val="both"/>
        <w:rPr>
          <w:rFonts w:eastAsia="Calibri"/>
          <w:sz w:val="22"/>
          <w:szCs w:val="22"/>
          <w:lang w:val="sr-Latn-ME"/>
        </w:rPr>
      </w:pPr>
    </w:p>
    <w:p w14:paraId="7DBA0E42" w14:textId="77777777" w:rsidR="00A30F42" w:rsidRPr="00F85CA6" w:rsidRDefault="00A30F42" w:rsidP="00A30F42">
      <w:pPr>
        <w:jc w:val="both"/>
        <w:rPr>
          <w:rFonts w:eastAsia="Calibri"/>
          <w:sz w:val="22"/>
          <w:szCs w:val="22"/>
          <w:lang w:val="sr-Latn-ME"/>
        </w:rPr>
      </w:pPr>
      <w:r w:rsidRPr="00F85CA6">
        <w:rPr>
          <w:rFonts w:eastAsia="Calibri"/>
          <w:sz w:val="22"/>
          <w:szCs w:val="22"/>
          <w:lang w:val="sr-Latn-ME"/>
        </w:rPr>
        <w:t>Pojava obilnijih krvarenja bila je prijavljena kod 4 pacijenta (2,3%) u grupi koja je primala dabigatraneteksilat i 2 pacijenta (2,2%) u SOC grupi. Nije bilo statistički značajne razlike u vremenu do prvog događaja obilnijeg krvarenja. Trideset i osam pacijenata (21,6%) u grupi koja je primala dabigatraneteksilat i 22 pacijenta (24,4%) u SOC grupi imalo je neki događaj krvarenja, većina njih je bila kategorisana kao manje krvarenje. Kombinovan ishod pojave događaja obilnijeg krvarenja ili klinički značajnog krvarenja koje nije obilno (tokom terapije) bio je prijavljen kod 6 (3,4%) pacijenata u grupi koja je primala dabigatraneteksilat i 3 (3,3%) pacijenta u SOC grupi.</w:t>
      </w:r>
    </w:p>
    <w:p w14:paraId="65C20172" w14:textId="77777777" w:rsidR="00A30F42" w:rsidRPr="00F85CA6" w:rsidRDefault="00A30F42" w:rsidP="00A30F42">
      <w:pPr>
        <w:jc w:val="both"/>
        <w:rPr>
          <w:rFonts w:eastAsia="Calibri"/>
          <w:sz w:val="22"/>
          <w:szCs w:val="22"/>
          <w:lang w:val="sr-Latn-ME"/>
        </w:rPr>
      </w:pPr>
    </w:p>
    <w:p w14:paraId="5EBE5BD6" w14:textId="20C71225" w:rsidR="00A30F42" w:rsidRPr="00F85CA6" w:rsidRDefault="00A30F42" w:rsidP="00A30F42">
      <w:pPr>
        <w:jc w:val="both"/>
        <w:rPr>
          <w:rFonts w:eastAsia="Calibri"/>
          <w:sz w:val="22"/>
          <w:szCs w:val="22"/>
          <w:lang w:val="sr-Latn-ME"/>
        </w:rPr>
      </w:pPr>
      <w:r w:rsidRPr="00F85CA6">
        <w:rPr>
          <w:rFonts w:eastAsia="Calibri"/>
          <w:sz w:val="22"/>
          <w:szCs w:val="22"/>
          <w:lang w:val="sr-Latn-ME"/>
        </w:rPr>
        <w:t>Otvorena, multicentrična studija faze III sa jednom grupom prospektivne kohorte (1160.108) sprovedena je radi proc</w:t>
      </w:r>
      <w:r w:rsidR="00D03502" w:rsidRPr="00F85CA6">
        <w:rPr>
          <w:rFonts w:eastAsia="Calibri"/>
          <w:sz w:val="22"/>
          <w:szCs w:val="22"/>
          <w:lang w:val="sr-Latn-ME"/>
        </w:rPr>
        <w:t>j</w:t>
      </w:r>
      <w:r w:rsidRPr="00F85CA6">
        <w:rPr>
          <w:rFonts w:eastAsia="Calibri"/>
          <w:sz w:val="22"/>
          <w:szCs w:val="22"/>
          <w:lang w:val="sr-Latn-ME"/>
        </w:rPr>
        <w:t>ene bezb</w:t>
      </w:r>
      <w:r w:rsidR="00F340D8" w:rsidRPr="00F85CA6">
        <w:rPr>
          <w:rFonts w:eastAsia="Calibri"/>
          <w:sz w:val="22"/>
          <w:szCs w:val="22"/>
          <w:lang w:val="sr-Latn-ME"/>
        </w:rPr>
        <w:t>j</w:t>
      </w:r>
      <w:r w:rsidRPr="00F85CA6">
        <w:rPr>
          <w:rFonts w:eastAsia="Calibri"/>
          <w:sz w:val="22"/>
          <w:szCs w:val="22"/>
          <w:lang w:val="sr-Latn-ME"/>
        </w:rPr>
        <w:t>ednosti prim</w:t>
      </w:r>
      <w:r w:rsidR="0078482C" w:rsidRPr="00F85CA6">
        <w:rPr>
          <w:rFonts w:eastAsia="Calibri"/>
          <w:sz w:val="22"/>
          <w:szCs w:val="22"/>
          <w:lang w:val="sr-Latn-ME"/>
        </w:rPr>
        <w:t>j</w:t>
      </w:r>
      <w:r w:rsidRPr="00F85CA6">
        <w:rPr>
          <w:rFonts w:eastAsia="Calibri"/>
          <w:sz w:val="22"/>
          <w:szCs w:val="22"/>
          <w:lang w:val="sr-Latn-ME"/>
        </w:rPr>
        <w:t>ene dabigatraneteksilata za prevenciju rekurentne VTE kod pedijatrijskih pacijenata od rođenja do manje od 18 godina. Pacijentima kojima je bila potrebna dalja antikoagulacija zbog prisutnosti kliničkog faktora rizika nakon završetka početne terapije za potvrđenu VTE (u trajanju od najmanje 3 m</w:t>
      </w:r>
      <w:r w:rsidR="0078482C" w:rsidRPr="00F85CA6">
        <w:rPr>
          <w:rFonts w:eastAsia="Calibri"/>
          <w:sz w:val="22"/>
          <w:szCs w:val="22"/>
          <w:lang w:val="sr-Latn-ME"/>
        </w:rPr>
        <w:t>j</w:t>
      </w:r>
      <w:r w:rsidRPr="00F85CA6">
        <w:rPr>
          <w:rFonts w:eastAsia="Calibri"/>
          <w:sz w:val="22"/>
          <w:szCs w:val="22"/>
          <w:lang w:val="sr-Latn-ME"/>
        </w:rPr>
        <w:t>eseca) ili nakon završetka studije DIVERSITY, bilo je dozvoljeno da budu uključeni u studiju. Pacijenti pogodni za uključivanje primali su dabigatraneteksilat u formulaciji prikladnoj za njihov uzrast (kapsule, obložene granule ili oralni rastvor) i u dozi prilagođenoj prema njihovom uzrastu i t</w:t>
      </w:r>
      <w:r w:rsidR="0078482C" w:rsidRPr="00F85CA6">
        <w:rPr>
          <w:rFonts w:eastAsia="Calibri"/>
          <w:sz w:val="22"/>
          <w:szCs w:val="22"/>
          <w:lang w:val="sr-Latn-ME"/>
        </w:rPr>
        <w:t>j</w:t>
      </w:r>
      <w:r w:rsidRPr="00F85CA6">
        <w:rPr>
          <w:rFonts w:eastAsia="Calibri"/>
          <w:sz w:val="22"/>
          <w:szCs w:val="22"/>
          <w:lang w:val="sr-Latn-ME"/>
        </w:rPr>
        <w:t>elesnoj masi, sve dok se klinički faktor rizika nije povukao, ili do maksimalno 12 m</w:t>
      </w:r>
      <w:r w:rsidR="0078482C" w:rsidRPr="00F85CA6">
        <w:rPr>
          <w:rFonts w:eastAsia="Calibri"/>
          <w:sz w:val="22"/>
          <w:szCs w:val="22"/>
          <w:lang w:val="sr-Latn-ME"/>
        </w:rPr>
        <w:t>j</w:t>
      </w:r>
      <w:r w:rsidRPr="00F85CA6">
        <w:rPr>
          <w:rFonts w:eastAsia="Calibri"/>
          <w:sz w:val="22"/>
          <w:szCs w:val="22"/>
          <w:lang w:val="sr-Latn-ME"/>
        </w:rPr>
        <w:t>eseci. Primarni ishodi studije uključivali su ponovnu pojavu VTE, događaje obilnijeg i manje obilnog krvarenja i mortalitet (ukupni i povezan sa trombotskim ili tromboembolijskim događajima) u 6. i 12. m</w:t>
      </w:r>
      <w:r w:rsidR="00F340D8" w:rsidRPr="00F85CA6">
        <w:rPr>
          <w:rFonts w:eastAsia="Calibri"/>
          <w:sz w:val="22"/>
          <w:szCs w:val="22"/>
          <w:lang w:val="sr-Latn-ME"/>
        </w:rPr>
        <w:t>j</w:t>
      </w:r>
      <w:r w:rsidRPr="00F85CA6">
        <w:rPr>
          <w:rFonts w:eastAsia="Calibri"/>
          <w:sz w:val="22"/>
          <w:szCs w:val="22"/>
          <w:lang w:val="sr-Latn-ME"/>
        </w:rPr>
        <w:t>esecu. O događajima ishoda odlučiva</w:t>
      </w:r>
      <w:r w:rsidR="00F340D8" w:rsidRPr="00F85CA6">
        <w:rPr>
          <w:rFonts w:eastAsia="Calibri"/>
          <w:sz w:val="22"/>
          <w:szCs w:val="22"/>
          <w:lang w:val="sr-Latn-ME"/>
        </w:rPr>
        <w:t>la</w:t>
      </w:r>
      <w:r w:rsidRPr="00F85CA6">
        <w:rPr>
          <w:rFonts w:eastAsia="Calibri"/>
          <w:sz w:val="22"/>
          <w:szCs w:val="22"/>
          <w:lang w:val="sr-Latn-ME"/>
        </w:rPr>
        <w:t xml:space="preserve"> je nezavisna sl</w:t>
      </w:r>
      <w:r w:rsidR="00F340D8" w:rsidRPr="00F85CA6">
        <w:rPr>
          <w:rFonts w:eastAsia="Calibri"/>
          <w:sz w:val="22"/>
          <w:szCs w:val="22"/>
          <w:lang w:val="sr-Latn-ME"/>
        </w:rPr>
        <w:t>ij</w:t>
      </w:r>
      <w:r w:rsidRPr="00F85CA6">
        <w:rPr>
          <w:rFonts w:eastAsia="Calibri"/>
          <w:sz w:val="22"/>
          <w:szCs w:val="22"/>
          <w:lang w:val="sr-Latn-ME"/>
        </w:rPr>
        <w:t>epa komisija za proc</w:t>
      </w:r>
      <w:r w:rsidR="00F340D8" w:rsidRPr="00F85CA6">
        <w:rPr>
          <w:rFonts w:eastAsia="Calibri"/>
          <w:sz w:val="22"/>
          <w:szCs w:val="22"/>
          <w:lang w:val="sr-Latn-ME"/>
        </w:rPr>
        <w:t>j</w:t>
      </w:r>
      <w:r w:rsidRPr="00F85CA6">
        <w:rPr>
          <w:rFonts w:eastAsia="Calibri"/>
          <w:sz w:val="22"/>
          <w:szCs w:val="22"/>
          <w:lang w:val="sr-Latn-ME"/>
        </w:rPr>
        <w:t>enu ishoda.</w:t>
      </w:r>
    </w:p>
    <w:p w14:paraId="100FCE04" w14:textId="77777777" w:rsidR="003F04B6" w:rsidRPr="00F85CA6" w:rsidRDefault="003F04B6" w:rsidP="00A30F42">
      <w:pPr>
        <w:jc w:val="both"/>
        <w:rPr>
          <w:rFonts w:eastAsia="Calibri"/>
          <w:sz w:val="22"/>
          <w:szCs w:val="22"/>
          <w:lang w:val="sr-Latn-ME"/>
        </w:rPr>
      </w:pPr>
    </w:p>
    <w:p w14:paraId="47D61063" w14:textId="4A4D1D0A" w:rsidR="00A30F42" w:rsidRPr="00F85CA6" w:rsidRDefault="00A30F42" w:rsidP="00A30F42">
      <w:pPr>
        <w:jc w:val="both"/>
        <w:rPr>
          <w:rFonts w:eastAsia="Calibri"/>
          <w:sz w:val="22"/>
          <w:szCs w:val="22"/>
          <w:lang w:val="sr-Latn-ME"/>
        </w:rPr>
      </w:pPr>
      <w:r w:rsidRPr="00F85CA6">
        <w:rPr>
          <w:rFonts w:eastAsia="Calibri"/>
          <w:sz w:val="22"/>
          <w:szCs w:val="22"/>
          <w:lang w:val="sr-Latn-ME"/>
        </w:rPr>
        <w:t xml:space="preserve">Ukupno je 214 pacijenta ušlo u studiju; od toga 162 pacijenta u uzrasnoj klasi 1 (uzrast od 12 do manje od 18 godina), 43 pacijenta u uzrasnoj klasi 2 (uzrast od 2 do manje od 12 godina) i 9 pacijenata u uzrasnoj klasi 3 (od rođenja do manje od 2 godine). Tokom perioda terapije, 3 pacijenta (1,4%) imalo </w:t>
      </w:r>
      <w:r w:rsidRPr="00F85CA6">
        <w:rPr>
          <w:rFonts w:eastAsia="Calibri"/>
          <w:sz w:val="22"/>
          <w:szCs w:val="22"/>
          <w:lang w:val="sr-Latn-ME"/>
        </w:rPr>
        <w:lastRenderedPageBreak/>
        <w:t>je potvrđenu pojavu rekurentne VTE unutar prvih 12 m</w:t>
      </w:r>
      <w:r w:rsidR="00654F22" w:rsidRPr="00F85CA6">
        <w:rPr>
          <w:rFonts w:eastAsia="Calibri"/>
          <w:sz w:val="22"/>
          <w:szCs w:val="22"/>
          <w:lang w:val="sr-Latn-ME"/>
        </w:rPr>
        <w:t>j</w:t>
      </w:r>
      <w:r w:rsidRPr="00F85CA6">
        <w:rPr>
          <w:rFonts w:eastAsia="Calibri"/>
          <w:sz w:val="22"/>
          <w:szCs w:val="22"/>
          <w:lang w:val="sr-Latn-ME"/>
        </w:rPr>
        <w:t>eseci nakon početka terapije. Potvrđena pojava događaja krvarenja tokom perioda terapije bila je prijavljena kod 48 pacijenata (22,5%) unutar prvih 12 meseci. Većina događaja krvarenja su bila manja krvarenja. Kod 3 pacijenta (1,4%) bila je prijavljena potvrđena pojava događaja obilnijeg krvarenja unutar prvih 12 m</w:t>
      </w:r>
      <w:r w:rsidR="0078482C" w:rsidRPr="00F85CA6">
        <w:rPr>
          <w:rFonts w:eastAsia="Calibri"/>
          <w:sz w:val="22"/>
          <w:szCs w:val="22"/>
          <w:lang w:val="sr-Latn-ME"/>
        </w:rPr>
        <w:t>j</w:t>
      </w:r>
      <w:r w:rsidRPr="00F85CA6">
        <w:rPr>
          <w:rFonts w:eastAsia="Calibri"/>
          <w:sz w:val="22"/>
          <w:szCs w:val="22"/>
          <w:lang w:val="sr-Latn-ME"/>
        </w:rPr>
        <w:t>eseci. Za 3 pacijenta (1,4%) prijavljena je potvrđena pojava klinički značajnog krvarenja koje nije bilo obilno unutar prvih 12 m</w:t>
      </w:r>
      <w:r w:rsidR="0078482C" w:rsidRPr="00F85CA6">
        <w:rPr>
          <w:rFonts w:eastAsia="Calibri"/>
          <w:sz w:val="22"/>
          <w:szCs w:val="22"/>
          <w:lang w:val="sr-Latn-ME"/>
        </w:rPr>
        <w:t>j</w:t>
      </w:r>
      <w:r w:rsidRPr="00F85CA6">
        <w:rPr>
          <w:rFonts w:eastAsia="Calibri"/>
          <w:sz w:val="22"/>
          <w:szCs w:val="22"/>
          <w:lang w:val="sr-Latn-ME"/>
        </w:rPr>
        <w:t>eseci. Tokom terapije nije bilo smrtnih slučajeva. Tokom perioda terapije, kod 3 pacijenta (1,4%) razvio se posttrombotski sindrom (PTS) ili pogoršanje PTS unutar prvih 12 m</w:t>
      </w:r>
      <w:r w:rsidR="0078482C" w:rsidRPr="00F85CA6">
        <w:rPr>
          <w:rFonts w:eastAsia="Calibri"/>
          <w:sz w:val="22"/>
          <w:szCs w:val="22"/>
          <w:lang w:val="sr-Latn-ME"/>
        </w:rPr>
        <w:t>j</w:t>
      </w:r>
      <w:r w:rsidRPr="00F85CA6">
        <w:rPr>
          <w:rFonts w:eastAsia="Calibri"/>
          <w:sz w:val="22"/>
          <w:szCs w:val="22"/>
          <w:lang w:val="sr-Latn-ME"/>
        </w:rPr>
        <w:t>eseci.</w:t>
      </w:r>
    </w:p>
    <w:p w14:paraId="6444BE86" w14:textId="77777777" w:rsidR="00A30F42" w:rsidRPr="00F85CA6" w:rsidRDefault="00A30F42" w:rsidP="00480FB1">
      <w:pPr>
        <w:tabs>
          <w:tab w:val="left" w:pos="540"/>
          <w:tab w:val="left" w:pos="569"/>
        </w:tabs>
        <w:rPr>
          <w:b/>
          <w:bCs/>
          <w:sz w:val="22"/>
          <w:szCs w:val="22"/>
          <w:lang w:val="sr-Latn-ME"/>
        </w:rPr>
      </w:pPr>
    </w:p>
    <w:p w14:paraId="169C5103" w14:textId="77777777" w:rsidR="0072020E" w:rsidRPr="00F85CA6" w:rsidRDefault="0072020E" w:rsidP="00480FB1">
      <w:pPr>
        <w:tabs>
          <w:tab w:val="left" w:pos="540"/>
          <w:tab w:val="left" w:pos="569"/>
        </w:tabs>
        <w:rPr>
          <w:b/>
          <w:bCs/>
          <w:sz w:val="22"/>
          <w:szCs w:val="22"/>
          <w:lang w:val="sr-Latn-ME"/>
        </w:rPr>
      </w:pPr>
      <w:r w:rsidRPr="00F85CA6">
        <w:rPr>
          <w:b/>
          <w:bCs/>
          <w:sz w:val="22"/>
          <w:szCs w:val="22"/>
          <w:lang w:val="sr-Latn-ME"/>
        </w:rPr>
        <w:t xml:space="preserve">5.2. </w:t>
      </w:r>
      <w:r w:rsidR="00480FB1" w:rsidRPr="00F85CA6">
        <w:rPr>
          <w:b/>
          <w:bCs/>
          <w:sz w:val="22"/>
          <w:szCs w:val="22"/>
          <w:lang w:val="sr-Latn-ME"/>
        </w:rPr>
        <w:tab/>
      </w:r>
      <w:r w:rsidRPr="00F85CA6">
        <w:rPr>
          <w:b/>
          <w:bCs/>
          <w:sz w:val="22"/>
          <w:szCs w:val="22"/>
          <w:lang w:val="sr-Latn-ME"/>
        </w:rPr>
        <w:t>Farmakokinetički podaci</w:t>
      </w:r>
      <w:r w:rsidR="003A7059" w:rsidRPr="00F85CA6">
        <w:rPr>
          <w:b/>
          <w:bCs/>
          <w:sz w:val="22"/>
          <w:szCs w:val="22"/>
          <w:lang w:val="sr-Latn-ME"/>
        </w:rPr>
        <w:t xml:space="preserve"> </w:t>
      </w:r>
    </w:p>
    <w:p w14:paraId="05DC8D93" w14:textId="77777777" w:rsidR="0072020E" w:rsidRPr="00F85CA6" w:rsidRDefault="0072020E" w:rsidP="00480FB1">
      <w:pPr>
        <w:tabs>
          <w:tab w:val="left" w:pos="540"/>
          <w:tab w:val="left" w:pos="569"/>
        </w:tabs>
        <w:rPr>
          <w:bCs/>
          <w:sz w:val="22"/>
          <w:szCs w:val="22"/>
          <w:lang w:val="sr-Latn-ME"/>
        </w:rPr>
      </w:pPr>
    </w:p>
    <w:p w14:paraId="5964DB07" w14:textId="77777777" w:rsidR="00654F22" w:rsidRPr="00F85CA6" w:rsidRDefault="00F340D8" w:rsidP="00F340D8">
      <w:pPr>
        <w:jc w:val="both"/>
        <w:rPr>
          <w:rFonts w:eastAsia="Calibri"/>
          <w:sz w:val="22"/>
          <w:szCs w:val="22"/>
          <w:lang w:val="sr-Latn-ME"/>
        </w:rPr>
      </w:pPr>
      <w:r w:rsidRPr="00F85CA6">
        <w:rPr>
          <w:rFonts w:eastAsia="Calibri"/>
          <w:sz w:val="22"/>
          <w:szCs w:val="22"/>
          <w:lang w:val="sr-Latn-ME"/>
        </w:rPr>
        <w:t>Nakon oralne prim</w:t>
      </w:r>
      <w:r w:rsidR="0078482C" w:rsidRPr="00F85CA6">
        <w:rPr>
          <w:rFonts w:eastAsia="Calibri"/>
          <w:sz w:val="22"/>
          <w:szCs w:val="22"/>
          <w:lang w:val="sr-Latn-ME"/>
        </w:rPr>
        <w:t>j</w:t>
      </w:r>
      <w:r w:rsidRPr="00F85CA6">
        <w:rPr>
          <w:rFonts w:eastAsia="Calibri"/>
          <w:sz w:val="22"/>
          <w:szCs w:val="22"/>
          <w:lang w:val="sr-Latn-ME"/>
        </w:rPr>
        <w:t>ene, dabigatraneteksilat se brzo i potpuno konvertuje u dabigatran, koji je aktivni oblik lijeka u plazmi. Razlaganje prolijeka dabigatraneteksilata hidrolizom katalizovanom esterazom u aktivni princip dabigatran je predominantno metabolička reakcija. Apsolutna bioraspoloživost dabigatrana nakon oralne prim</w:t>
      </w:r>
      <w:r w:rsidR="00BE25B8" w:rsidRPr="00F85CA6">
        <w:rPr>
          <w:rFonts w:eastAsia="Calibri"/>
          <w:sz w:val="22"/>
          <w:szCs w:val="22"/>
          <w:lang w:val="sr-Latn-ME"/>
        </w:rPr>
        <w:t>j</w:t>
      </w:r>
      <w:r w:rsidRPr="00F85CA6">
        <w:rPr>
          <w:rFonts w:eastAsia="Calibri"/>
          <w:sz w:val="22"/>
          <w:szCs w:val="22"/>
          <w:lang w:val="sr-Latn-ME"/>
        </w:rPr>
        <w:t>ene dabigatraneteksilata je približno 6,5%.</w:t>
      </w:r>
    </w:p>
    <w:p w14:paraId="6B34CFBF" w14:textId="5DEFF3B2" w:rsidR="00F340D8" w:rsidRPr="00F85CA6" w:rsidRDefault="00F340D8" w:rsidP="00F340D8">
      <w:pPr>
        <w:jc w:val="both"/>
        <w:rPr>
          <w:rFonts w:eastAsia="Calibri"/>
          <w:sz w:val="22"/>
          <w:szCs w:val="22"/>
          <w:lang w:val="sr-Latn-ME"/>
        </w:rPr>
      </w:pPr>
      <w:r w:rsidRPr="00F85CA6">
        <w:rPr>
          <w:rFonts w:eastAsia="Calibri"/>
          <w:sz w:val="22"/>
          <w:szCs w:val="22"/>
          <w:lang w:val="sr-Latn-ME"/>
        </w:rPr>
        <w:t xml:space="preserve"> </w:t>
      </w:r>
    </w:p>
    <w:p w14:paraId="6412B524" w14:textId="2705B147" w:rsidR="00F340D8" w:rsidRPr="00F85CA6" w:rsidRDefault="00F340D8" w:rsidP="00F340D8">
      <w:pPr>
        <w:jc w:val="both"/>
        <w:rPr>
          <w:rFonts w:eastAsia="Calibri"/>
          <w:sz w:val="22"/>
          <w:szCs w:val="22"/>
          <w:lang w:val="sr-Latn-ME"/>
        </w:rPr>
      </w:pPr>
      <w:r w:rsidRPr="00F85CA6">
        <w:rPr>
          <w:rFonts w:eastAsia="Calibri"/>
          <w:sz w:val="22"/>
          <w:szCs w:val="22"/>
          <w:lang w:val="sr-Latn-ME"/>
        </w:rPr>
        <w:t>Nakon oralne primjene dabigatraneteksilata kod zdravih dobrovoljaca, farmakokinetički profil dabigatrana u plazmi se karakteriše brzim povećanjem koncentracija u plazmi sa C</w:t>
      </w:r>
      <w:r w:rsidRPr="00F85CA6">
        <w:rPr>
          <w:rFonts w:eastAsia="Calibri"/>
          <w:sz w:val="22"/>
          <w:szCs w:val="22"/>
          <w:vertAlign w:val="subscript"/>
          <w:lang w:val="sr-Latn-ME"/>
        </w:rPr>
        <w:t>max</w:t>
      </w:r>
      <w:r w:rsidRPr="00F85CA6">
        <w:rPr>
          <w:rFonts w:eastAsia="Calibri"/>
          <w:sz w:val="22"/>
          <w:szCs w:val="22"/>
          <w:lang w:val="sr-Latn-ME"/>
        </w:rPr>
        <w:t xml:space="preserve"> koja se dostiže unutar 0,5 i 2,0 sata nakon primjene. </w:t>
      </w:r>
    </w:p>
    <w:p w14:paraId="3CBC0F81" w14:textId="77777777" w:rsidR="00F340D8" w:rsidRPr="00F85CA6" w:rsidRDefault="00F340D8" w:rsidP="00F340D8">
      <w:pPr>
        <w:jc w:val="both"/>
        <w:rPr>
          <w:rFonts w:eastAsia="Calibri"/>
          <w:sz w:val="22"/>
          <w:szCs w:val="22"/>
          <w:lang w:val="sr-Latn-ME"/>
        </w:rPr>
      </w:pPr>
    </w:p>
    <w:p w14:paraId="15AB9125" w14:textId="77777777" w:rsidR="00F340D8" w:rsidRPr="00F85CA6" w:rsidRDefault="00F340D8" w:rsidP="00F340D8">
      <w:pPr>
        <w:jc w:val="both"/>
        <w:rPr>
          <w:rFonts w:eastAsia="Calibri"/>
          <w:sz w:val="22"/>
          <w:szCs w:val="22"/>
          <w:u w:val="single"/>
          <w:lang w:val="sr-Latn-ME"/>
        </w:rPr>
      </w:pPr>
      <w:r w:rsidRPr="00F85CA6">
        <w:rPr>
          <w:rFonts w:eastAsia="Calibri"/>
          <w:sz w:val="22"/>
          <w:szCs w:val="22"/>
          <w:u w:val="single"/>
          <w:lang w:val="sr-Latn-ME"/>
        </w:rPr>
        <w:t xml:space="preserve">Resorpcija </w:t>
      </w:r>
    </w:p>
    <w:p w14:paraId="71EC04A4" w14:textId="77777777" w:rsidR="00F340D8" w:rsidRPr="00F85CA6" w:rsidRDefault="00F340D8" w:rsidP="00F340D8">
      <w:pPr>
        <w:jc w:val="both"/>
        <w:rPr>
          <w:rFonts w:eastAsia="Calibri"/>
          <w:sz w:val="22"/>
          <w:szCs w:val="22"/>
          <w:lang w:val="sr-Latn-ME"/>
        </w:rPr>
      </w:pPr>
    </w:p>
    <w:p w14:paraId="067AFD5F" w14:textId="1DD1C7DF" w:rsidR="00F340D8" w:rsidRPr="00F85CA6" w:rsidRDefault="00F340D8" w:rsidP="00F340D8">
      <w:pPr>
        <w:jc w:val="both"/>
        <w:rPr>
          <w:rFonts w:eastAsia="Calibri"/>
          <w:sz w:val="22"/>
          <w:szCs w:val="22"/>
          <w:lang w:val="sr-Latn-ME"/>
        </w:rPr>
      </w:pPr>
      <w:r w:rsidRPr="00F85CA6">
        <w:rPr>
          <w:rFonts w:eastAsia="Calibri"/>
          <w:sz w:val="22"/>
          <w:szCs w:val="22"/>
          <w:lang w:val="sr-Latn-ME"/>
        </w:rPr>
        <w:t>Studija za procjenu postoperativne resorpcije dabigatraneteksilata, 1-3 sata nakon hirurškog zahvata, pokazala je relativno sporu resorpciju u poređenju sa onom kod zdravih dobrovoljaca, pokazujući ravan profil koncentracije u plazmi u odnosu na vrijeme, bez velikih maksimalnih koncentracija u plazmi. Maksimalne koncentracije u plazmi dostižu se 6 sati posl</w:t>
      </w:r>
      <w:r w:rsidR="00BE25B8" w:rsidRPr="00F85CA6">
        <w:rPr>
          <w:rFonts w:eastAsia="Calibri"/>
          <w:sz w:val="22"/>
          <w:szCs w:val="22"/>
          <w:lang w:val="sr-Latn-ME"/>
        </w:rPr>
        <w:t>ij</w:t>
      </w:r>
      <w:r w:rsidRPr="00F85CA6">
        <w:rPr>
          <w:rFonts w:eastAsia="Calibri"/>
          <w:sz w:val="22"/>
          <w:szCs w:val="22"/>
          <w:lang w:val="sr-Latn-ME"/>
        </w:rPr>
        <w:t>e primjene u postoperativnom periodu usljed faktora koji tome doprinose, kao što su anestezija, GI pareza i hirurški efekti nezavisno od formulacije oralno prim</w:t>
      </w:r>
      <w:r w:rsidR="0078482C" w:rsidRPr="00F85CA6">
        <w:rPr>
          <w:rFonts w:eastAsia="Calibri"/>
          <w:sz w:val="22"/>
          <w:szCs w:val="22"/>
          <w:lang w:val="sr-Latn-ME"/>
        </w:rPr>
        <w:t>i</w:t>
      </w:r>
      <w:r w:rsidRPr="00F85CA6">
        <w:rPr>
          <w:rFonts w:eastAsia="Calibri"/>
          <w:sz w:val="22"/>
          <w:szCs w:val="22"/>
          <w:lang w:val="sr-Latn-ME"/>
        </w:rPr>
        <w:t>jenjenog lijeka. U daljnjoj studiji je pokazano da je spora i odložena resorpcija l</w:t>
      </w:r>
      <w:r w:rsidR="00D03502" w:rsidRPr="00F85CA6">
        <w:rPr>
          <w:rFonts w:eastAsia="Calibri"/>
          <w:sz w:val="22"/>
          <w:szCs w:val="22"/>
          <w:lang w:val="sr-Latn-ME"/>
        </w:rPr>
        <w:t>ij</w:t>
      </w:r>
      <w:r w:rsidRPr="00F85CA6">
        <w:rPr>
          <w:rFonts w:eastAsia="Calibri"/>
          <w:sz w:val="22"/>
          <w:szCs w:val="22"/>
          <w:lang w:val="sr-Latn-ME"/>
        </w:rPr>
        <w:t>eka obično prisutna samo na dan hirurškog zahvata. Tokom sljedećih dana resorpcija dabigatrana je brza i sa maksimalnim koncentracijama u plazmi koje se postižu 2 sata nakon primjene lijeka.</w:t>
      </w:r>
    </w:p>
    <w:p w14:paraId="3756C74E" w14:textId="77777777" w:rsidR="00F340D8" w:rsidRPr="00F85CA6" w:rsidRDefault="00F340D8" w:rsidP="00F340D8">
      <w:pPr>
        <w:jc w:val="both"/>
        <w:rPr>
          <w:rFonts w:eastAsia="Calibri"/>
          <w:sz w:val="22"/>
          <w:szCs w:val="22"/>
          <w:lang w:val="sr-Latn-ME"/>
        </w:rPr>
      </w:pPr>
    </w:p>
    <w:p w14:paraId="1728D21B" w14:textId="574EF09A" w:rsidR="00F340D8" w:rsidRPr="00F85CA6" w:rsidRDefault="00F340D8" w:rsidP="00F340D8">
      <w:pPr>
        <w:jc w:val="both"/>
        <w:rPr>
          <w:rFonts w:eastAsia="Calibri"/>
          <w:sz w:val="22"/>
          <w:szCs w:val="22"/>
          <w:lang w:val="sr-Latn-ME"/>
        </w:rPr>
      </w:pPr>
      <w:r w:rsidRPr="00F85CA6">
        <w:rPr>
          <w:rFonts w:eastAsia="Calibri"/>
          <w:sz w:val="22"/>
          <w:szCs w:val="22"/>
          <w:lang w:val="sr-Latn-ME"/>
        </w:rPr>
        <w:t>Hrana ne utiče na bioraspoloživost dabigatraneteksilata, ali odlaže vr</w:t>
      </w:r>
      <w:r w:rsidR="00E52ED5" w:rsidRPr="00F85CA6">
        <w:rPr>
          <w:rFonts w:eastAsia="Calibri"/>
          <w:sz w:val="22"/>
          <w:szCs w:val="22"/>
          <w:lang w:val="sr-Latn-ME"/>
        </w:rPr>
        <w:t>ij</w:t>
      </w:r>
      <w:r w:rsidRPr="00F85CA6">
        <w:rPr>
          <w:rFonts w:eastAsia="Calibri"/>
          <w:sz w:val="22"/>
          <w:szCs w:val="22"/>
          <w:lang w:val="sr-Latn-ME"/>
        </w:rPr>
        <w:t>eme do postizanja maksimalnih koncentracija u plazmi za 2 sata.</w:t>
      </w:r>
    </w:p>
    <w:p w14:paraId="14111653" w14:textId="77777777" w:rsidR="00F340D8" w:rsidRPr="00F85CA6" w:rsidRDefault="00F340D8" w:rsidP="00F340D8">
      <w:pPr>
        <w:jc w:val="both"/>
        <w:rPr>
          <w:rFonts w:eastAsia="Calibri"/>
          <w:sz w:val="22"/>
          <w:szCs w:val="22"/>
          <w:lang w:val="sr-Latn-ME"/>
        </w:rPr>
      </w:pPr>
    </w:p>
    <w:p w14:paraId="6E9230B0" w14:textId="7628D514" w:rsidR="00F340D8" w:rsidRPr="00F85CA6" w:rsidRDefault="00F340D8" w:rsidP="00F340D8">
      <w:pPr>
        <w:jc w:val="both"/>
        <w:rPr>
          <w:rFonts w:eastAsia="Calibri"/>
          <w:sz w:val="22"/>
          <w:szCs w:val="22"/>
          <w:lang w:val="sr-Latn-ME"/>
        </w:rPr>
      </w:pPr>
      <w:r w:rsidRPr="00F85CA6">
        <w:rPr>
          <w:rFonts w:eastAsia="Calibri"/>
          <w:sz w:val="22"/>
          <w:szCs w:val="22"/>
          <w:lang w:val="sr-Latn-ME"/>
        </w:rPr>
        <w:t>Vr</w:t>
      </w:r>
      <w:r w:rsidR="0078482C" w:rsidRPr="00F85CA6">
        <w:rPr>
          <w:rFonts w:eastAsia="Calibri"/>
          <w:sz w:val="22"/>
          <w:szCs w:val="22"/>
          <w:lang w:val="sr-Latn-ME"/>
        </w:rPr>
        <w:t>ij</w:t>
      </w:r>
      <w:r w:rsidRPr="00F85CA6">
        <w:rPr>
          <w:rFonts w:eastAsia="Calibri"/>
          <w:sz w:val="22"/>
          <w:szCs w:val="22"/>
          <w:lang w:val="sr-Latn-ME"/>
        </w:rPr>
        <w:t>ednosti C</w:t>
      </w:r>
      <w:r w:rsidRPr="00F85CA6">
        <w:rPr>
          <w:rFonts w:eastAsia="Calibri"/>
          <w:sz w:val="22"/>
          <w:szCs w:val="22"/>
          <w:vertAlign w:val="subscript"/>
          <w:lang w:val="sr-Latn-ME"/>
        </w:rPr>
        <w:t xml:space="preserve">max </w:t>
      </w:r>
      <w:r w:rsidRPr="00F85CA6">
        <w:rPr>
          <w:rFonts w:eastAsia="Calibri"/>
          <w:sz w:val="22"/>
          <w:szCs w:val="22"/>
          <w:lang w:val="sr-Latn-ME"/>
        </w:rPr>
        <w:t>i PIK bile su proporcionalne dozi.</w:t>
      </w:r>
    </w:p>
    <w:p w14:paraId="7962B52A" w14:textId="77777777" w:rsidR="00F340D8" w:rsidRPr="00F85CA6" w:rsidRDefault="00F340D8" w:rsidP="00F340D8">
      <w:pPr>
        <w:jc w:val="both"/>
        <w:rPr>
          <w:rFonts w:eastAsia="Calibri"/>
          <w:sz w:val="22"/>
          <w:szCs w:val="22"/>
          <w:lang w:val="sr-Latn-ME"/>
        </w:rPr>
      </w:pPr>
    </w:p>
    <w:p w14:paraId="5ACCF562" w14:textId="22D7CD75" w:rsidR="00F340D8" w:rsidRPr="00F85CA6" w:rsidRDefault="00F340D8" w:rsidP="00F340D8">
      <w:pPr>
        <w:jc w:val="both"/>
        <w:rPr>
          <w:rFonts w:eastAsia="Calibri"/>
          <w:sz w:val="22"/>
          <w:szCs w:val="22"/>
          <w:lang w:val="sr-Latn-ME"/>
        </w:rPr>
      </w:pPr>
      <w:r w:rsidRPr="00F85CA6">
        <w:rPr>
          <w:rFonts w:eastAsia="Calibri"/>
          <w:sz w:val="22"/>
          <w:szCs w:val="22"/>
          <w:lang w:val="sr-Latn-ME"/>
        </w:rPr>
        <w:t>Oralna bioraspoloživost može da bude povećana za 75% nakon pojedinačne doze i za 37% u stanju ravnoteže u poređenju sa referentnom formulacijom kapsula kada se pelete uzimaju bez omotača kapsule napravljenog od hidroksipropilmetilceluloze (HPMC). Stoga, integritet HPMC kapsule treba uv</w:t>
      </w:r>
      <w:r w:rsidR="00E52ED5" w:rsidRPr="00F85CA6">
        <w:rPr>
          <w:rFonts w:eastAsia="Calibri"/>
          <w:sz w:val="22"/>
          <w:szCs w:val="22"/>
          <w:lang w:val="sr-Latn-ME"/>
        </w:rPr>
        <w:t>ij</w:t>
      </w:r>
      <w:r w:rsidRPr="00F85CA6">
        <w:rPr>
          <w:rFonts w:eastAsia="Calibri"/>
          <w:sz w:val="22"/>
          <w:szCs w:val="22"/>
          <w:lang w:val="sr-Latn-ME"/>
        </w:rPr>
        <w:t>ek da bude očuvan tokom kliničke prim</w:t>
      </w:r>
      <w:r w:rsidR="00E52ED5" w:rsidRPr="00F85CA6">
        <w:rPr>
          <w:rFonts w:eastAsia="Calibri"/>
          <w:sz w:val="22"/>
          <w:szCs w:val="22"/>
          <w:lang w:val="sr-Latn-ME"/>
        </w:rPr>
        <w:t>j</w:t>
      </w:r>
      <w:r w:rsidRPr="00F85CA6">
        <w:rPr>
          <w:rFonts w:eastAsia="Calibri"/>
          <w:sz w:val="22"/>
          <w:szCs w:val="22"/>
          <w:lang w:val="sr-Latn-ME"/>
        </w:rPr>
        <w:t>ene kako bi se izb</w:t>
      </w:r>
      <w:r w:rsidR="00E52ED5" w:rsidRPr="00F85CA6">
        <w:rPr>
          <w:rFonts w:eastAsia="Calibri"/>
          <w:sz w:val="22"/>
          <w:szCs w:val="22"/>
          <w:lang w:val="sr-Latn-ME"/>
        </w:rPr>
        <w:t>j</w:t>
      </w:r>
      <w:r w:rsidRPr="00F85CA6">
        <w:rPr>
          <w:rFonts w:eastAsia="Calibri"/>
          <w:sz w:val="22"/>
          <w:szCs w:val="22"/>
          <w:lang w:val="sr-Latn-ME"/>
        </w:rPr>
        <w:t>eglo nenam</w:t>
      </w:r>
      <w:r w:rsidR="00BE25B8" w:rsidRPr="00F85CA6">
        <w:rPr>
          <w:rFonts w:eastAsia="Calibri"/>
          <w:sz w:val="22"/>
          <w:szCs w:val="22"/>
          <w:lang w:val="sr-Latn-ME"/>
        </w:rPr>
        <w:t>j</w:t>
      </w:r>
      <w:r w:rsidRPr="00F85CA6">
        <w:rPr>
          <w:rFonts w:eastAsia="Calibri"/>
          <w:sz w:val="22"/>
          <w:szCs w:val="22"/>
          <w:lang w:val="sr-Latn-ME"/>
        </w:rPr>
        <w:t>erno povećanje bioraspoloživosti dabigatraneteksilata (vid</w:t>
      </w:r>
      <w:r w:rsidR="00E52ED5" w:rsidRPr="00F85CA6">
        <w:rPr>
          <w:rFonts w:eastAsia="Calibri"/>
          <w:sz w:val="22"/>
          <w:szCs w:val="22"/>
          <w:lang w:val="sr-Latn-ME"/>
        </w:rPr>
        <w:t>j</w:t>
      </w:r>
      <w:r w:rsidRPr="00F85CA6">
        <w:rPr>
          <w:rFonts w:eastAsia="Calibri"/>
          <w:sz w:val="22"/>
          <w:szCs w:val="22"/>
          <w:lang w:val="sr-Latn-ME"/>
        </w:rPr>
        <w:t xml:space="preserve">eti </w:t>
      </w:r>
      <w:r w:rsidR="0078482C" w:rsidRPr="00F85CA6">
        <w:rPr>
          <w:rFonts w:eastAsia="Calibri"/>
          <w:sz w:val="22"/>
          <w:szCs w:val="22"/>
          <w:lang w:val="sr-Latn-ME"/>
        </w:rPr>
        <w:t>dio</w:t>
      </w:r>
      <w:r w:rsidRPr="00F85CA6">
        <w:rPr>
          <w:rFonts w:eastAsia="Calibri"/>
          <w:sz w:val="22"/>
          <w:szCs w:val="22"/>
          <w:lang w:val="sr-Latn-ME"/>
        </w:rPr>
        <w:t xml:space="preserve"> 4.2). </w:t>
      </w:r>
    </w:p>
    <w:p w14:paraId="03EE8473" w14:textId="77777777" w:rsidR="00F340D8" w:rsidRPr="00F85CA6" w:rsidRDefault="00F340D8" w:rsidP="00F340D8">
      <w:pPr>
        <w:jc w:val="both"/>
        <w:rPr>
          <w:rFonts w:eastAsia="Calibri"/>
          <w:sz w:val="22"/>
          <w:szCs w:val="22"/>
          <w:lang w:val="sr-Latn-ME"/>
        </w:rPr>
      </w:pPr>
    </w:p>
    <w:p w14:paraId="705BED11" w14:textId="77777777" w:rsidR="00F340D8" w:rsidRPr="00F85CA6" w:rsidRDefault="00F340D8" w:rsidP="00F340D8">
      <w:pPr>
        <w:jc w:val="both"/>
        <w:rPr>
          <w:rFonts w:eastAsia="Calibri"/>
          <w:sz w:val="22"/>
          <w:szCs w:val="22"/>
          <w:u w:val="single"/>
          <w:lang w:val="sr-Latn-ME"/>
        </w:rPr>
      </w:pPr>
      <w:r w:rsidRPr="00F85CA6">
        <w:rPr>
          <w:rFonts w:eastAsia="Calibri"/>
          <w:sz w:val="22"/>
          <w:szCs w:val="22"/>
          <w:u w:val="single"/>
          <w:lang w:val="sr-Latn-ME"/>
        </w:rPr>
        <w:t>Distribucija</w:t>
      </w:r>
    </w:p>
    <w:p w14:paraId="11A29559" w14:textId="77777777" w:rsidR="00F340D8" w:rsidRPr="00F85CA6" w:rsidRDefault="00F340D8" w:rsidP="00F340D8">
      <w:pPr>
        <w:jc w:val="both"/>
        <w:rPr>
          <w:rFonts w:eastAsia="Calibri"/>
          <w:sz w:val="22"/>
          <w:szCs w:val="22"/>
          <w:lang w:val="sr-Latn-ME"/>
        </w:rPr>
      </w:pPr>
    </w:p>
    <w:p w14:paraId="254827AA" w14:textId="33157BA9" w:rsidR="00F340D8" w:rsidRPr="00F85CA6" w:rsidRDefault="00F340D8" w:rsidP="00F340D8">
      <w:pPr>
        <w:jc w:val="both"/>
        <w:rPr>
          <w:rFonts w:eastAsia="Calibri"/>
          <w:sz w:val="22"/>
          <w:szCs w:val="22"/>
          <w:lang w:val="sr-Latn-ME"/>
        </w:rPr>
      </w:pPr>
      <w:r w:rsidRPr="00F85CA6">
        <w:rPr>
          <w:rFonts w:eastAsia="Calibri"/>
          <w:sz w:val="22"/>
          <w:szCs w:val="22"/>
          <w:lang w:val="sr-Latn-ME"/>
        </w:rPr>
        <w:t xml:space="preserve">Zapažena je mala (34-35%) koncentracija nezavisnog vezivanja dabigatrana za proteine plazme kod ljudi. Volumen distribucije dabigatrana od 60-70 </w:t>
      </w:r>
      <w:r w:rsidR="00654F22" w:rsidRPr="00F85CA6">
        <w:rPr>
          <w:rFonts w:eastAsia="Calibri"/>
          <w:sz w:val="22"/>
          <w:szCs w:val="22"/>
          <w:lang w:val="sr-Latn-ME"/>
        </w:rPr>
        <w:t>l</w:t>
      </w:r>
      <w:r w:rsidRPr="00F85CA6">
        <w:rPr>
          <w:rFonts w:eastAsia="Calibri"/>
          <w:sz w:val="22"/>
          <w:szCs w:val="22"/>
          <w:lang w:val="sr-Latn-ME"/>
        </w:rPr>
        <w:t xml:space="preserve"> je prevazilazio volumen ukupne t</w:t>
      </w:r>
      <w:r w:rsidR="00E52ED5" w:rsidRPr="00F85CA6">
        <w:rPr>
          <w:rFonts w:eastAsia="Calibri"/>
          <w:sz w:val="22"/>
          <w:szCs w:val="22"/>
          <w:lang w:val="sr-Latn-ME"/>
        </w:rPr>
        <w:t>j</w:t>
      </w:r>
      <w:r w:rsidRPr="00F85CA6">
        <w:rPr>
          <w:rFonts w:eastAsia="Calibri"/>
          <w:sz w:val="22"/>
          <w:szCs w:val="22"/>
          <w:lang w:val="sr-Latn-ME"/>
        </w:rPr>
        <w:t>elesne vode što ukazuje na um</w:t>
      </w:r>
      <w:r w:rsidR="0078482C" w:rsidRPr="00F85CA6">
        <w:rPr>
          <w:rFonts w:eastAsia="Calibri"/>
          <w:sz w:val="22"/>
          <w:szCs w:val="22"/>
          <w:lang w:val="sr-Latn-ME"/>
        </w:rPr>
        <w:t>j</w:t>
      </w:r>
      <w:r w:rsidRPr="00F85CA6">
        <w:rPr>
          <w:rFonts w:eastAsia="Calibri"/>
          <w:sz w:val="22"/>
          <w:szCs w:val="22"/>
          <w:lang w:val="sr-Latn-ME"/>
        </w:rPr>
        <w:t xml:space="preserve">erenu tkivnu distribuciju dabigatrana. </w:t>
      </w:r>
    </w:p>
    <w:p w14:paraId="5C265E4D" w14:textId="77777777" w:rsidR="00F340D8" w:rsidRPr="00F85CA6" w:rsidRDefault="00F340D8" w:rsidP="00F340D8">
      <w:pPr>
        <w:jc w:val="both"/>
        <w:rPr>
          <w:rFonts w:eastAsia="Calibri"/>
          <w:sz w:val="22"/>
          <w:szCs w:val="22"/>
          <w:u w:val="single"/>
          <w:lang w:val="sr-Latn-ME"/>
        </w:rPr>
      </w:pPr>
    </w:p>
    <w:p w14:paraId="46FC9CFE" w14:textId="77777777" w:rsidR="00F340D8" w:rsidRPr="00F85CA6" w:rsidRDefault="00F340D8" w:rsidP="00F340D8">
      <w:pPr>
        <w:jc w:val="both"/>
        <w:rPr>
          <w:rFonts w:eastAsia="Calibri"/>
          <w:sz w:val="22"/>
          <w:szCs w:val="22"/>
          <w:u w:val="single"/>
          <w:lang w:val="sr-Latn-ME"/>
        </w:rPr>
      </w:pPr>
      <w:r w:rsidRPr="00F85CA6">
        <w:rPr>
          <w:rFonts w:eastAsia="Calibri"/>
          <w:sz w:val="22"/>
          <w:szCs w:val="22"/>
          <w:u w:val="single"/>
          <w:lang w:val="sr-Latn-ME"/>
        </w:rPr>
        <w:t>Biotransformacija</w:t>
      </w:r>
    </w:p>
    <w:p w14:paraId="641FA120" w14:textId="77777777" w:rsidR="00F340D8" w:rsidRPr="00F85CA6" w:rsidRDefault="00F340D8" w:rsidP="00F340D8">
      <w:pPr>
        <w:jc w:val="both"/>
        <w:rPr>
          <w:rFonts w:eastAsia="Calibri"/>
          <w:sz w:val="22"/>
          <w:szCs w:val="22"/>
          <w:lang w:val="sr-Latn-ME"/>
        </w:rPr>
      </w:pPr>
    </w:p>
    <w:p w14:paraId="2C753533" w14:textId="719AE4C5" w:rsidR="00F340D8" w:rsidRPr="00F85CA6" w:rsidRDefault="00F340D8" w:rsidP="00F340D8">
      <w:pPr>
        <w:jc w:val="both"/>
        <w:rPr>
          <w:rFonts w:eastAsia="Calibri"/>
          <w:sz w:val="22"/>
          <w:szCs w:val="22"/>
          <w:lang w:val="sr-Latn-ME"/>
        </w:rPr>
      </w:pPr>
      <w:r w:rsidRPr="00F85CA6">
        <w:rPr>
          <w:rFonts w:eastAsia="Calibri"/>
          <w:sz w:val="22"/>
          <w:szCs w:val="22"/>
          <w:lang w:val="sr-Latn-ME"/>
        </w:rPr>
        <w:t>Metabolizam i izlučivanje dabigatrana ispitivani su na zdravim muškim ispitanicima nakon pojedinačne intravenske doze radioaktivno ob</w:t>
      </w:r>
      <w:r w:rsidR="0078482C" w:rsidRPr="00F85CA6">
        <w:rPr>
          <w:rFonts w:eastAsia="Calibri"/>
          <w:sz w:val="22"/>
          <w:szCs w:val="22"/>
          <w:lang w:val="sr-Latn-ME"/>
        </w:rPr>
        <w:t>ilježenog</w:t>
      </w:r>
      <w:r w:rsidRPr="00F85CA6">
        <w:rPr>
          <w:rFonts w:eastAsia="Calibri"/>
          <w:sz w:val="22"/>
          <w:szCs w:val="22"/>
          <w:lang w:val="sr-Latn-ME"/>
        </w:rPr>
        <w:t xml:space="preserve"> dabigatrana. Posl</w:t>
      </w:r>
      <w:r w:rsidR="00E52ED5" w:rsidRPr="00F85CA6">
        <w:rPr>
          <w:rFonts w:eastAsia="Calibri"/>
          <w:sz w:val="22"/>
          <w:szCs w:val="22"/>
          <w:lang w:val="sr-Latn-ME"/>
        </w:rPr>
        <w:t>ij</w:t>
      </w:r>
      <w:r w:rsidRPr="00F85CA6">
        <w:rPr>
          <w:rFonts w:eastAsia="Calibri"/>
          <w:sz w:val="22"/>
          <w:szCs w:val="22"/>
          <w:lang w:val="sr-Latn-ME"/>
        </w:rPr>
        <w:t>e intravenske doze, radioaktivnost koja potiče od dabigatrana primarno se eliminisala putem urina (85%). Izračunato je da je 6% od prim</w:t>
      </w:r>
      <w:r w:rsidR="00E52ED5" w:rsidRPr="00F85CA6">
        <w:rPr>
          <w:rFonts w:eastAsia="Calibri"/>
          <w:sz w:val="22"/>
          <w:szCs w:val="22"/>
          <w:lang w:val="sr-Latn-ME"/>
        </w:rPr>
        <w:t>ij</w:t>
      </w:r>
      <w:r w:rsidRPr="00F85CA6">
        <w:rPr>
          <w:rFonts w:eastAsia="Calibri"/>
          <w:sz w:val="22"/>
          <w:szCs w:val="22"/>
          <w:lang w:val="sr-Latn-ME"/>
        </w:rPr>
        <w:t>enjene doze izlučeno putem fecesa. Ukupna pronađena radioaktivnost se kretala od 88-94% od prim</w:t>
      </w:r>
      <w:r w:rsidR="00E52ED5" w:rsidRPr="00F85CA6">
        <w:rPr>
          <w:rFonts w:eastAsia="Calibri"/>
          <w:sz w:val="22"/>
          <w:szCs w:val="22"/>
          <w:lang w:val="sr-Latn-ME"/>
        </w:rPr>
        <w:t>ij</w:t>
      </w:r>
      <w:r w:rsidRPr="00F85CA6">
        <w:rPr>
          <w:rFonts w:eastAsia="Calibri"/>
          <w:sz w:val="22"/>
          <w:szCs w:val="22"/>
          <w:lang w:val="sr-Latn-ME"/>
        </w:rPr>
        <w:t xml:space="preserve">enjene doze do 168 sati nakon doze. </w:t>
      </w:r>
    </w:p>
    <w:p w14:paraId="5E474670" w14:textId="77777777" w:rsidR="00654F22" w:rsidRPr="00F85CA6" w:rsidRDefault="00654F22" w:rsidP="00F340D8">
      <w:pPr>
        <w:jc w:val="both"/>
        <w:rPr>
          <w:rFonts w:eastAsia="Calibri"/>
          <w:sz w:val="22"/>
          <w:szCs w:val="22"/>
          <w:lang w:val="sr-Latn-ME"/>
        </w:rPr>
      </w:pPr>
    </w:p>
    <w:p w14:paraId="2786A093" w14:textId="5A35E1C7" w:rsidR="00F340D8" w:rsidRPr="00F85CA6" w:rsidRDefault="00F340D8" w:rsidP="00F340D8">
      <w:pPr>
        <w:jc w:val="both"/>
        <w:rPr>
          <w:rFonts w:eastAsia="Calibri"/>
          <w:sz w:val="22"/>
          <w:szCs w:val="22"/>
          <w:lang w:val="sr-Latn-ME"/>
        </w:rPr>
      </w:pPr>
      <w:r w:rsidRPr="00F85CA6">
        <w:rPr>
          <w:rFonts w:eastAsia="Calibri"/>
          <w:sz w:val="22"/>
          <w:szCs w:val="22"/>
          <w:lang w:val="sr-Latn-ME"/>
        </w:rPr>
        <w:t>Dabigatran podl</w:t>
      </w:r>
      <w:r w:rsidR="00654F22" w:rsidRPr="00F85CA6">
        <w:rPr>
          <w:rFonts w:eastAsia="Calibri"/>
          <w:sz w:val="22"/>
          <w:szCs w:val="22"/>
          <w:lang w:val="sr-Latn-ME"/>
        </w:rPr>
        <w:t>ij</w:t>
      </w:r>
      <w:r w:rsidRPr="00F85CA6">
        <w:rPr>
          <w:rFonts w:eastAsia="Calibri"/>
          <w:sz w:val="22"/>
          <w:szCs w:val="22"/>
          <w:lang w:val="sr-Latn-ME"/>
        </w:rPr>
        <w:t xml:space="preserve">eže konjugaciji pri čemu se formiraju farmakološki aktivni acilglukuronidi. Postoje četiri poziciona izomera, 1-O, 2-O, 3-O, 4-O-acilglukuronid, a svaki iznosi manje od 10% od ukupnog </w:t>
      </w:r>
      <w:r w:rsidRPr="00F85CA6">
        <w:rPr>
          <w:rFonts w:eastAsia="Calibri"/>
          <w:sz w:val="22"/>
          <w:szCs w:val="22"/>
          <w:lang w:val="sr-Latn-ME"/>
        </w:rPr>
        <w:lastRenderedPageBreak/>
        <w:t>dabigatrana u plazmi. Tragovi drugih metabolita mogli su se otkriti samo uz pomoć visokoos</w:t>
      </w:r>
      <w:r w:rsidR="00E52ED5" w:rsidRPr="00F85CA6">
        <w:rPr>
          <w:rFonts w:eastAsia="Calibri"/>
          <w:sz w:val="22"/>
          <w:szCs w:val="22"/>
          <w:lang w:val="sr-Latn-ME"/>
        </w:rPr>
        <w:t>j</w:t>
      </w:r>
      <w:r w:rsidRPr="00F85CA6">
        <w:rPr>
          <w:rFonts w:eastAsia="Calibri"/>
          <w:sz w:val="22"/>
          <w:szCs w:val="22"/>
          <w:lang w:val="sr-Latn-ME"/>
        </w:rPr>
        <w:t>etljivih analitičkih metoda. Dabigatran se eliminiše uglavnom u neizm</w:t>
      </w:r>
      <w:r w:rsidR="0078482C" w:rsidRPr="00F85CA6">
        <w:rPr>
          <w:rFonts w:eastAsia="Calibri"/>
          <w:sz w:val="22"/>
          <w:szCs w:val="22"/>
          <w:lang w:val="sr-Latn-ME"/>
        </w:rPr>
        <w:t>i</w:t>
      </w:r>
      <w:r w:rsidR="00E52ED5" w:rsidRPr="00F85CA6">
        <w:rPr>
          <w:rFonts w:eastAsia="Calibri"/>
          <w:sz w:val="22"/>
          <w:szCs w:val="22"/>
          <w:lang w:val="sr-Latn-ME"/>
        </w:rPr>
        <w:t>j</w:t>
      </w:r>
      <w:r w:rsidRPr="00F85CA6">
        <w:rPr>
          <w:rFonts w:eastAsia="Calibri"/>
          <w:sz w:val="22"/>
          <w:szCs w:val="22"/>
          <w:lang w:val="sr-Latn-ME"/>
        </w:rPr>
        <w:t>enjenom obliku u urinu, brzinom od približno 100 m</w:t>
      </w:r>
      <w:r w:rsidR="00654F22" w:rsidRPr="00F85CA6">
        <w:rPr>
          <w:rFonts w:eastAsia="Calibri"/>
          <w:sz w:val="22"/>
          <w:szCs w:val="22"/>
          <w:lang w:val="sr-Latn-ME"/>
        </w:rPr>
        <w:t>l</w:t>
      </w:r>
      <w:r w:rsidRPr="00F85CA6">
        <w:rPr>
          <w:rFonts w:eastAsia="Calibri"/>
          <w:sz w:val="22"/>
          <w:szCs w:val="22"/>
          <w:lang w:val="sr-Latn-ME"/>
        </w:rPr>
        <w:t>/min što odgovara brzini glomerularne filtracije.</w:t>
      </w:r>
    </w:p>
    <w:p w14:paraId="72CADFF8" w14:textId="77777777" w:rsidR="00F340D8" w:rsidRPr="00F85CA6" w:rsidRDefault="00F340D8" w:rsidP="00F340D8">
      <w:pPr>
        <w:jc w:val="both"/>
        <w:rPr>
          <w:rFonts w:eastAsia="Calibri"/>
          <w:sz w:val="22"/>
          <w:szCs w:val="22"/>
          <w:lang w:val="sr-Latn-ME"/>
        </w:rPr>
      </w:pPr>
    </w:p>
    <w:p w14:paraId="6BFF329D" w14:textId="77777777" w:rsidR="00F340D8" w:rsidRPr="00F85CA6" w:rsidRDefault="00F340D8" w:rsidP="00F340D8">
      <w:pPr>
        <w:jc w:val="both"/>
        <w:rPr>
          <w:rFonts w:eastAsia="Calibri"/>
          <w:sz w:val="22"/>
          <w:szCs w:val="22"/>
          <w:u w:val="single"/>
          <w:lang w:val="sr-Latn-ME"/>
        </w:rPr>
      </w:pPr>
      <w:r w:rsidRPr="00F85CA6">
        <w:rPr>
          <w:rFonts w:eastAsia="Calibri"/>
          <w:sz w:val="22"/>
          <w:szCs w:val="22"/>
          <w:u w:val="single"/>
          <w:lang w:val="sr-Latn-ME"/>
        </w:rPr>
        <w:t>Eliminacija</w:t>
      </w:r>
    </w:p>
    <w:p w14:paraId="3845A540" w14:textId="77777777" w:rsidR="00F340D8" w:rsidRPr="00F85CA6" w:rsidRDefault="00F340D8" w:rsidP="00F340D8">
      <w:pPr>
        <w:jc w:val="both"/>
        <w:rPr>
          <w:rFonts w:eastAsia="Calibri"/>
          <w:bCs/>
          <w:iCs/>
          <w:sz w:val="22"/>
          <w:szCs w:val="22"/>
          <w:u w:val="single"/>
          <w:lang w:val="sr-Latn-ME"/>
        </w:rPr>
      </w:pPr>
    </w:p>
    <w:p w14:paraId="62E15799" w14:textId="6DD22821" w:rsidR="00F340D8" w:rsidRPr="00F85CA6" w:rsidRDefault="00F340D8" w:rsidP="00F340D8">
      <w:pPr>
        <w:jc w:val="both"/>
        <w:rPr>
          <w:rFonts w:eastAsia="Calibri"/>
          <w:sz w:val="22"/>
          <w:szCs w:val="22"/>
          <w:lang w:val="sr-Latn-ME"/>
        </w:rPr>
      </w:pPr>
      <w:r w:rsidRPr="00F85CA6">
        <w:rPr>
          <w:rFonts w:eastAsia="Calibri"/>
          <w:sz w:val="22"/>
          <w:szCs w:val="22"/>
          <w:lang w:val="sr-Latn-ME"/>
        </w:rPr>
        <w:t>Koncentracije dabigatrana u plazmi su pokazale bieksponencijalni pad sa srednjom vr</w:t>
      </w:r>
      <w:r w:rsidR="00E52ED5" w:rsidRPr="00F85CA6">
        <w:rPr>
          <w:rFonts w:eastAsia="Calibri"/>
          <w:sz w:val="22"/>
          <w:szCs w:val="22"/>
          <w:lang w:val="sr-Latn-ME"/>
        </w:rPr>
        <w:t>ij</w:t>
      </w:r>
      <w:r w:rsidRPr="00F85CA6">
        <w:rPr>
          <w:rFonts w:eastAsia="Calibri"/>
          <w:sz w:val="22"/>
          <w:szCs w:val="22"/>
          <w:lang w:val="sr-Latn-ME"/>
        </w:rPr>
        <w:t>ednošću terminalnog poluvremena eliminacije od 11 sati kod zdravih starijih ispitanika. Nakon višestrukih doza zapaženo je terminalno poluvr</w:t>
      </w:r>
      <w:r w:rsidR="00E52ED5" w:rsidRPr="00F85CA6">
        <w:rPr>
          <w:rFonts w:eastAsia="Calibri"/>
          <w:sz w:val="22"/>
          <w:szCs w:val="22"/>
          <w:lang w:val="sr-Latn-ME"/>
        </w:rPr>
        <w:t>ij</w:t>
      </w:r>
      <w:r w:rsidRPr="00F85CA6">
        <w:rPr>
          <w:rFonts w:eastAsia="Calibri"/>
          <w:sz w:val="22"/>
          <w:szCs w:val="22"/>
          <w:lang w:val="sr-Latn-ME"/>
        </w:rPr>
        <w:t>eme eliminacije od oko 12-14 sati. Poluvr</w:t>
      </w:r>
      <w:r w:rsidR="00E52ED5" w:rsidRPr="00F85CA6">
        <w:rPr>
          <w:rFonts w:eastAsia="Calibri"/>
          <w:sz w:val="22"/>
          <w:szCs w:val="22"/>
          <w:lang w:val="sr-Latn-ME"/>
        </w:rPr>
        <w:t>ij</w:t>
      </w:r>
      <w:r w:rsidRPr="00F85CA6">
        <w:rPr>
          <w:rFonts w:eastAsia="Calibri"/>
          <w:sz w:val="22"/>
          <w:szCs w:val="22"/>
          <w:lang w:val="sr-Latn-ME"/>
        </w:rPr>
        <w:t>eme eliminacije je bilo nezavisno od doze. Ukoliko je funkcija bubrega oštećena, poluvr</w:t>
      </w:r>
      <w:r w:rsidR="00E52ED5" w:rsidRPr="00F85CA6">
        <w:rPr>
          <w:rFonts w:eastAsia="Calibri"/>
          <w:sz w:val="22"/>
          <w:szCs w:val="22"/>
          <w:lang w:val="sr-Latn-ME"/>
        </w:rPr>
        <w:t>ij</w:t>
      </w:r>
      <w:r w:rsidRPr="00F85CA6">
        <w:rPr>
          <w:rFonts w:eastAsia="Calibri"/>
          <w:sz w:val="22"/>
          <w:szCs w:val="22"/>
          <w:lang w:val="sr-Latn-ME"/>
        </w:rPr>
        <w:t>eme eliminacije je produženo, kao što je prikazano u tabeli 30.</w:t>
      </w:r>
    </w:p>
    <w:p w14:paraId="79EA7021" w14:textId="77777777" w:rsidR="00F340D8" w:rsidRPr="00F85CA6" w:rsidRDefault="00F340D8" w:rsidP="00F340D8">
      <w:pPr>
        <w:jc w:val="both"/>
        <w:rPr>
          <w:rFonts w:eastAsia="Calibri"/>
          <w:sz w:val="22"/>
          <w:szCs w:val="22"/>
          <w:lang w:val="sr-Latn-ME"/>
        </w:rPr>
      </w:pPr>
    </w:p>
    <w:p w14:paraId="786F41BC" w14:textId="77777777" w:rsidR="00F340D8" w:rsidRPr="00F85CA6" w:rsidRDefault="00F340D8" w:rsidP="00F340D8">
      <w:pPr>
        <w:jc w:val="both"/>
        <w:rPr>
          <w:rFonts w:eastAsia="Calibri"/>
          <w:bCs/>
          <w:iCs/>
          <w:sz w:val="22"/>
          <w:szCs w:val="22"/>
          <w:u w:val="single"/>
          <w:lang w:val="sr-Latn-ME"/>
        </w:rPr>
      </w:pPr>
      <w:r w:rsidRPr="00F85CA6">
        <w:rPr>
          <w:rFonts w:eastAsia="Calibri"/>
          <w:bCs/>
          <w:iCs/>
          <w:sz w:val="22"/>
          <w:szCs w:val="22"/>
          <w:u w:val="single"/>
          <w:lang w:val="sr-Latn-ME"/>
        </w:rPr>
        <w:t xml:space="preserve">Posebne populacije </w:t>
      </w:r>
    </w:p>
    <w:p w14:paraId="5F39BCAF" w14:textId="77777777" w:rsidR="00F340D8" w:rsidRPr="00F85CA6" w:rsidRDefault="00F340D8" w:rsidP="00F340D8">
      <w:pPr>
        <w:jc w:val="both"/>
        <w:rPr>
          <w:rFonts w:eastAsia="Calibri"/>
          <w:bCs/>
          <w:iCs/>
          <w:sz w:val="22"/>
          <w:szCs w:val="22"/>
          <w:u w:val="single"/>
          <w:lang w:val="sr-Latn-ME"/>
        </w:rPr>
      </w:pPr>
    </w:p>
    <w:p w14:paraId="45087B49" w14:textId="77777777" w:rsidR="00F340D8" w:rsidRPr="00F85CA6" w:rsidRDefault="00F340D8" w:rsidP="00F340D8">
      <w:pPr>
        <w:jc w:val="both"/>
        <w:rPr>
          <w:rFonts w:eastAsia="Calibri"/>
          <w:i/>
          <w:iCs/>
          <w:sz w:val="22"/>
          <w:szCs w:val="22"/>
          <w:u w:val="single"/>
          <w:lang w:val="sr-Latn-ME"/>
        </w:rPr>
      </w:pPr>
      <w:r w:rsidRPr="00F85CA6">
        <w:rPr>
          <w:rFonts w:eastAsia="Calibri"/>
          <w:i/>
          <w:iCs/>
          <w:sz w:val="22"/>
          <w:szCs w:val="22"/>
          <w:u w:val="single"/>
          <w:lang w:val="sr-Latn-ME"/>
        </w:rPr>
        <w:t xml:space="preserve">Bubrežna insuficijencija </w:t>
      </w:r>
    </w:p>
    <w:p w14:paraId="716E8711" w14:textId="602371E6" w:rsidR="00F340D8" w:rsidRPr="00F85CA6" w:rsidRDefault="00F340D8" w:rsidP="00F340D8">
      <w:pPr>
        <w:jc w:val="both"/>
        <w:rPr>
          <w:rFonts w:eastAsia="Calibri"/>
          <w:sz w:val="22"/>
          <w:szCs w:val="22"/>
          <w:lang w:val="sr-Latn-ME"/>
        </w:rPr>
      </w:pPr>
      <w:r w:rsidRPr="00F85CA6">
        <w:rPr>
          <w:rFonts w:eastAsia="Calibri"/>
          <w:sz w:val="22"/>
          <w:szCs w:val="22"/>
          <w:lang w:val="sr-Latn-ME"/>
        </w:rPr>
        <w:t>U studijama faze I izloženost (PIK) dabigatrana posl</w:t>
      </w:r>
      <w:r w:rsidR="00654F22" w:rsidRPr="00F85CA6">
        <w:rPr>
          <w:rFonts w:eastAsia="Calibri"/>
          <w:sz w:val="22"/>
          <w:szCs w:val="22"/>
          <w:lang w:val="sr-Latn-ME"/>
        </w:rPr>
        <w:t>ij</w:t>
      </w:r>
      <w:r w:rsidRPr="00F85CA6">
        <w:rPr>
          <w:rFonts w:eastAsia="Calibri"/>
          <w:sz w:val="22"/>
          <w:szCs w:val="22"/>
          <w:lang w:val="sr-Latn-ME"/>
        </w:rPr>
        <w:t>e oralne prim</w:t>
      </w:r>
      <w:r w:rsidR="0078482C" w:rsidRPr="00F85CA6">
        <w:rPr>
          <w:rFonts w:eastAsia="Calibri"/>
          <w:sz w:val="22"/>
          <w:szCs w:val="22"/>
          <w:lang w:val="sr-Latn-ME"/>
        </w:rPr>
        <w:t>j</w:t>
      </w:r>
      <w:r w:rsidRPr="00F85CA6">
        <w:rPr>
          <w:rFonts w:eastAsia="Calibri"/>
          <w:sz w:val="22"/>
          <w:szCs w:val="22"/>
          <w:lang w:val="sr-Latn-ME"/>
        </w:rPr>
        <w:t>ene dabigatraneteksilata je približno 2,7 puta veća kod odraslih dobrovoljaca sa um</w:t>
      </w:r>
      <w:r w:rsidR="0078482C" w:rsidRPr="00F85CA6">
        <w:rPr>
          <w:rFonts w:eastAsia="Calibri"/>
          <w:sz w:val="22"/>
          <w:szCs w:val="22"/>
          <w:lang w:val="sr-Latn-ME"/>
        </w:rPr>
        <w:t>j</w:t>
      </w:r>
      <w:r w:rsidRPr="00F85CA6">
        <w:rPr>
          <w:rFonts w:eastAsia="Calibri"/>
          <w:sz w:val="22"/>
          <w:szCs w:val="22"/>
          <w:lang w:val="sr-Latn-ME"/>
        </w:rPr>
        <w:t>erenom bubrežnom insuficijencijom (CrCL između 30 i 50 m</w:t>
      </w:r>
      <w:r w:rsidR="00654F22" w:rsidRPr="00F85CA6">
        <w:rPr>
          <w:rFonts w:eastAsia="Calibri"/>
          <w:sz w:val="22"/>
          <w:szCs w:val="22"/>
          <w:lang w:val="sr-Latn-ME"/>
        </w:rPr>
        <w:t>l</w:t>
      </w:r>
      <w:r w:rsidRPr="00F85CA6">
        <w:rPr>
          <w:rFonts w:eastAsia="Calibri"/>
          <w:sz w:val="22"/>
          <w:szCs w:val="22"/>
          <w:lang w:val="sr-Latn-ME"/>
        </w:rPr>
        <w:t xml:space="preserve">/min) nego kod onih bez bubrežne insuficijencije. </w:t>
      </w:r>
    </w:p>
    <w:p w14:paraId="3840986E" w14:textId="77777777" w:rsidR="00F340D8" w:rsidRPr="00F85CA6" w:rsidRDefault="00F340D8" w:rsidP="00F340D8">
      <w:pPr>
        <w:jc w:val="both"/>
        <w:rPr>
          <w:rFonts w:eastAsia="Calibri"/>
          <w:sz w:val="22"/>
          <w:szCs w:val="22"/>
          <w:lang w:val="sr-Latn-ME"/>
        </w:rPr>
      </w:pPr>
    </w:p>
    <w:p w14:paraId="2124742D" w14:textId="4AD55FE4" w:rsidR="00F340D8" w:rsidRPr="00F85CA6" w:rsidRDefault="00F340D8" w:rsidP="00F340D8">
      <w:pPr>
        <w:jc w:val="both"/>
        <w:rPr>
          <w:rFonts w:eastAsia="Calibri"/>
          <w:sz w:val="22"/>
          <w:szCs w:val="22"/>
          <w:lang w:val="sr-Latn-ME"/>
        </w:rPr>
      </w:pPr>
      <w:r w:rsidRPr="00F85CA6">
        <w:rPr>
          <w:rFonts w:eastAsia="Calibri"/>
          <w:sz w:val="22"/>
          <w:szCs w:val="22"/>
          <w:lang w:val="sr-Latn-ME"/>
        </w:rPr>
        <w:t>Kod malog broja odraslih dobrovoljaca sa teškom bubrežnom insuficijencijom (CrCL 10-30 m</w:t>
      </w:r>
      <w:r w:rsidR="00654F22" w:rsidRPr="00F85CA6">
        <w:rPr>
          <w:rFonts w:eastAsia="Calibri"/>
          <w:sz w:val="22"/>
          <w:szCs w:val="22"/>
          <w:lang w:val="sr-Latn-ME"/>
        </w:rPr>
        <w:t>l</w:t>
      </w:r>
      <w:r w:rsidRPr="00F85CA6">
        <w:rPr>
          <w:rFonts w:eastAsia="Calibri"/>
          <w:sz w:val="22"/>
          <w:szCs w:val="22"/>
          <w:lang w:val="sr-Latn-ME"/>
        </w:rPr>
        <w:t>/min), izloženost (PIK) dabigatrana bila je približno 6 puta veća, a poluvr</w:t>
      </w:r>
      <w:r w:rsidR="00E52ED5" w:rsidRPr="00F85CA6">
        <w:rPr>
          <w:rFonts w:eastAsia="Calibri"/>
          <w:sz w:val="22"/>
          <w:szCs w:val="22"/>
          <w:lang w:val="sr-Latn-ME"/>
        </w:rPr>
        <w:t>ij</w:t>
      </w:r>
      <w:r w:rsidRPr="00F85CA6">
        <w:rPr>
          <w:rFonts w:eastAsia="Calibri"/>
          <w:sz w:val="22"/>
          <w:szCs w:val="22"/>
          <w:lang w:val="sr-Latn-ME"/>
        </w:rPr>
        <w:t>eme eliminacije približno 2 puta duže nego što je prim</w:t>
      </w:r>
      <w:r w:rsidR="0078482C" w:rsidRPr="00F85CA6">
        <w:rPr>
          <w:rFonts w:eastAsia="Calibri"/>
          <w:sz w:val="22"/>
          <w:szCs w:val="22"/>
          <w:lang w:val="sr-Latn-ME"/>
        </w:rPr>
        <w:t>i</w:t>
      </w:r>
      <w:r w:rsidR="00E52ED5" w:rsidRPr="00F85CA6">
        <w:rPr>
          <w:rFonts w:eastAsia="Calibri"/>
          <w:sz w:val="22"/>
          <w:szCs w:val="22"/>
          <w:lang w:val="sr-Latn-ME"/>
        </w:rPr>
        <w:t>j</w:t>
      </w:r>
      <w:r w:rsidRPr="00F85CA6">
        <w:rPr>
          <w:rFonts w:eastAsia="Calibri"/>
          <w:sz w:val="22"/>
          <w:szCs w:val="22"/>
          <w:lang w:val="sr-Latn-ME"/>
        </w:rPr>
        <w:t>ećeno u populaciji bez bubrežne insuficijencije (vid</w:t>
      </w:r>
      <w:r w:rsidR="00E52ED5" w:rsidRPr="00F85CA6">
        <w:rPr>
          <w:rFonts w:eastAsia="Calibri"/>
          <w:sz w:val="22"/>
          <w:szCs w:val="22"/>
          <w:lang w:val="sr-Latn-ME"/>
        </w:rPr>
        <w:t>j</w:t>
      </w:r>
      <w:r w:rsidRPr="00F85CA6">
        <w:rPr>
          <w:rFonts w:eastAsia="Calibri"/>
          <w:sz w:val="22"/>
          <w:szCs w:val="22"/>
          <w:lang w:val="sr-Latn-ME"/>
        </w:rPr>
        <w:t xml:space="preserve">eti </w:t>
      </w:r>
      <w:r w:rsidR="0078482C" w:rsidRPr="00F85CA6">
        <w:rPr>
          <w:rFonts w:eastAsia="Calibri"/>
          <w:sz w:val="22"/>
          <w:szCs w:val="22"/>
          <w:lang w:val="sr-Latn-ME"/>
        </w:rPr>
        <w:t>djelove</w:t>
      </w:r>
      <w:r w:rsidRPr="00F85CA6">
        <w:rPr>
          <w:rFonts w:eastAsia="Calibri"/>
          <w:sz w:val="22"/>
          <w:szCs w:val="22"/>
          <w:lang w:val="sr-Latn-ME"/>
        </w:rPr>
        <w:t xml:space="preserve"> 4.2, 4.3 i 4.4). </w:t>
      </w:r>
    </w:p>
    <w:p w14:paraId="0E89AF61" w14:textId="77777777" w:rsidR="00F340D8" w:rsidRPr="00F85CA6" w:rsidRDefault="00F340D8" w:rsidP="00F340D8">
      <w:pPr>
        <w:jc w:val="both"/>
        <w:rPr>
          <w:rFonts w:eastAsia="Calibri"/>
          <w:sz w:val="22"/>
          <w:szCs w:val="22"/>
          <w:lang w:val="sr-Latn-ME"/>
        </w:rPr>
      </w:pPr>
    </w:p>
    <w:p w14:paraId="5319C539" w14:textId="21B84D21" w:rsidR="00F340D8" w:rsidRPr="00F85CA6" w:rsidRDefault="00F340D8" w:rsidP="00685312">
      <w:pPr>
        <w:jc w:val="center"/>
        <w:rPr>
          <w:rFonts w:eastAsia="Calibri"/>
          <w:b/>
          <w:bCs/>
          <w:sz w:val="22"/>
          <w:szCs w:val="22"/>
          <w:lang w:val="sr-Latn-ME" w:bidi="en-US"/>
        </w:rPr>
      </w:pPr>
      <w:r w:rsidRPr="00F85CA6">
        <w:rPr>
          <w:rFonts w:eastAsia="Calibri"/>
          <w:b/>
          <w:bCs/>
          <w:sz w:val="22"/>
          <w:szCs w:val="22"/>
          <w:lang w:val="sr-Latn-ME" w:bidi="en-US"/>
        </w:rPr>
        <w:t>Tabela 30: Poluvr</w:t>
      </w:r>
      <w:r w:rsidR="00E52ED5" w:rsidRPr="00F85CA6">
        <w:rPr>
          <w:rFonts w:eastAsia="Calibri"/>
          <w:b/>
          <w:bCs/>
          <w:sz w:val="22"/>
          <w:szCs w:val="22"/>
          <w:lang w:val="sr-Latn-ME" w:bidi="en-US"/>
        </w:rPr>
        <w:t>ij</w:t>
      </w:r>
      <w:r w:rsidRPr="00F85CA6">
        <w:rPr>
          <w:rFonts w:eastAsia="Calibri"/>
          <w:b/>
          <w:bCs/>
          <w:sz w:val="22"/>
          <w:szCs w:val="22"/>
          <w:lang w:val="sr-Latn-ME" w:bidi="en-US"/>
        </w:rPr>
        <w:t>eme eliminacije ukupnog dabigatrana kod zdravih ispitanika i ispitanika sa oštećenom funkcijom bubrega</w:t>
      </w:r>
    </w:p>
    <w:p w14:paraId="1EB00343" w14:textId="77777777" w:rsidR="00F340D8" w:rsidRPr="00F85CA6" w:rsidRDefault="00F340D8" w:rsidP="00F340D8">
      <w:pPr>
        <w:jc w:val="both"/>
        <w:rPr>
          <w:rFonts w:eastAsia="Calibri"/>
          <w:b/>
          <w:bCs/>
          <w:sz w:val="22"/>
          <w:szCs w:val="22"/>
          <w:lang w:val="sr-Latn-ME" w:bidi="en-US"/>
        </w:rPr>
      </w:pPr>
    </w:p>
    <w:tbl>
      <w:tblPr>
        <w:tblOverlap w:val="never"/>
        <w:tblW w:w="5000" w:type="pct"/>
        <w:jc w:val="center"/>
        <w:tblCellMar>
          <w:left w:w="85" w:type="dxa"/>
          <w:right w:w="85" w:type="dxa"/>
        </w:tblCellMar>
        <w:tblLook w:val="04A0" w:firstRow="1" w:lastRow="0" w:firstColumn="1" w:lastColumn="0" w:noHBand="0" w:noVBand="1"/>
      </w:tblPr>
      <w:tblGrid>
        <w:gridCol w:w="2737"/>
        <w:gridCol w:w="6326"/>
      </w:tblGrid>
      <w:tr w:rsidR="00F340D8" w:rsidRPr="00F85CA6" w14:paraId="40151F2F" w14:textId="77777777" w:rsidTr="001239C3">
        <w:trPr>
          <w:trHeight w:val="20"/>
          <w:jc w:val="center"/>
        </w:trPr>
        <w:tc>
          <w:tcPr>
            <w:tcW w:w="1510" w:type="pct"/>
            <w:tcBorders>
              <w:top w:val="single" w:sz="4" w:space="0" w:color="auto"/>
              <w:left w:val="single" w:sz="4" w:space="0" w:color="auto"/>
            </w:tcBorders>
            <w:shd w:val="clear" w:color="auto" w:fill="auto"/>
            <w:vAlign w:val="bottom"/>
          </w:tcPr>
          <w:p w14:paraId="6179D5DD" w14:textId="77777777" w:rsidR="00F340D8" w:rsidRPr="00F85CA6" w:rsidRDefault="00F340D8" w:rsidP="00F340D8">
            <w:pPr>
              <w:jc w:val="center"/>
              <w:rPr>
                <w:rFonts w:eastAsia="Calibri"/>
                <w:sz w:val="22"/>
                <w:szCs w:val="22"/>
                <w:lang w:val="sr-Latn-ME" w:bidi="en-US"/>
              </w:rPr>
            </w:pPr>
            <w:bookmarkStart w:id="29" w:name="_Hlk83120314"/>
            <w:r w:rsidRPr="00F85CA6">
              <w:rPr>
                <w:rFonts w:eastAsia="Calibri"/>
                <w:sz w:val="22"/>
                <w:szCs w:val="22"/>
                <w:lang w:val="sr-Latn-ME" w:bidi="en-US"/>
              </w:rPr>
              <w:t>Brzina glomerularne filtracije (CrCL,)</w:t>
            </w:r>
          </w:p>
          <w:p w14:paraId="1A0E65CA" w14:textId="76CC97C6" w:rsidR="00F340D8" w:rsidRPr="00F85CA6" w:rsidRDefault="00F340D8" w:rsidP="00F340D8">
            <w:pPr>
              <w:jc w:val="center"/>
              <w:rPr>
                <w:rFonts w:eastAsia="Calibri"/>
                <w:sz w:val="22"/>
                <w:szCs w:val="22"/>
                <w:lang w:val="sr-Latn-ME" w:bidi="en-US"/>
              </w:rPr>
            </w:pPr>
            <w:r w:rsidRPr="00F85CA6">
              <w:rPr>
                <w:rFonts w:eastAsia="Calibri"/>
                <w:sz w:val="22"/>
                <w:szCs w:val="22"/>
                <w:lang w:val="sr-Latn-ME" w:bidi="en-US"/>
              </w:rPr>
              <w:t>[m</w:t>
            </w:r>
            <w:r w:rsidR="00654F22" w:rsidRPr="00F85CA6">
              <w:rPr>
                <w:rFonts w:eastAsia="Calibri"/>
                <w:sz w:val="22"/>
                <w:szCs w:val="22"/>
                <w:lang w:val="sr-Latn-ME" w:bidi="en-US"/>
              </w:rPr>
              <w:t>l</w:t>
            </w:r>
            <w:r w:rsidRPr="00F85CA6">
              <w:rPr>
                <w:rFonts w:eastAsia="Calibri"/>
                <w:sz w:val="22"/>
                <w:szCs w:val="22"/>
                <w:lang w:val="sr-Latn-ME" w:bidi="en-US"/>
              </w:rPr>
              <w:t>/min]</w:t>
            </w:r>
          </w:p>
        </w:tc>
        <w:tc>
          <w:tcPr>
            <w:tcW w:w="3490" w:type="pct"/>
            <w:tcBorders>
              <w:top w:val="single" w:sz="4" w:space="0" w:color="auto"/>
              <w:left w:val="single" w:sz="4" w:space="0" w:color="auto"/>
              <w:right w:val="single" w:sz="4" w:space="0" w:color="auto"/>
            </w:tcBorders>
            <w:shd w:val="clear" w:color="auto" w:fill="auto"/>
            <w:vAlign w:val="bottom"/>
          </w:tcPr>
          <w:p w14:paraId="3563BC71" w14:textId="109AFE7A" w:rsidR="00F340D8" w:rsidRPr="00F85CA6" w:rsidRDefault="00F340D8" w:rsidP="00F340D8">
            <w:pPr>
              <w:jc w:val="center"/>
              <w:rPr>
                <w:rFonts w:eastAsia="Calibri"/>
                <w:sz w:val="22"/>
                <w:szCs w:val="22"/>
                <w:lang w:val="sr-Latn-ME" w:bidi="en-US"/>
              </w:rPr>
            </w:pPr>
            <w:r w:rsidRPr="00F85CA6">
              <w:rPr>
                <w:rFonts w:eastAsia="Calibri"/>
                <w:sz w:val="22"/>
                <w:szCs w:val="22"/>
                <w:lang w:val="sr-Latn-ME" w:bidi="en-US"/>
              </w:rPr>
              <w:t>Geometrijska srednja vr</w:t>
            </w:r>
            <w:r w:rsidR="00E52ED5" w:rsidRPr="00F85CA6">
              <w:rPr>
                <w:rFonts w:eastAsia="Calibri"/>
                <w:sz w:val="22"/>
                <w:szCs w:val="22"/>
                <w:lang w:val="sr-Latn-ME" w:bidi="en-US"/>
              </w:rPr>
              <w:t>ij</w:t>
            </w:r>
            <w:r w:rsidRPr="00F85CA6">
              <w:rPr>
                <w:rFonts w:eastAsia="Calibri"/>
                <w:sz w:val="22"/>
                <w:szCs w:val="22"/>
                <w:lang w:val="sr-Latn-ME" w:bidi="en-US"/>
              </w:rPr>
              <w:t>ednost (gCV %; opseg)</w:t>
            </w:r>
          </w:p>
          <w:p w14:paraId="4E410E85" w14:textId="0A55C4B9" w:rsidR="00F340D8" w:rsidRPr="00F85CA6" w:rsidRDefault="00F340D8" w:rsidP="00F340D8">
            <w:pPr>
              <w:jc w:val="center"/>
              <w:rPr>
                <w:rFonts w:eastAsia="Calibri"/>
                <w:sz w:val="22"/>
                <w:szCs w:val="22"/>
                <w:lang w:val="sr-Latn-ME" w:bidi="en-US"/>
              </w:rPr>
            </w:pPr>
            <w:r w:rsidRPr="00F85CA6">
              <w:rPr>
                <w:rFonts w:eastAsia="Calibri"/>
                <w:sz w:val="22"/>
                <w:szCs w:val="22"/>
                <w:lang w:val="sr-Latn-ME" w:bidi="en-US"/>
              </w:rPr>
              <w:t>poluvr</w:t>
            </w:r>
            <w:r w:rsidR="00E52ED5" w:rsidRPr="00F85CA6">
              <w:rPr>
                <w:rFonts w:eastAsia="Calibri"/>
                <w:sz w:val="22"/>
                <w:szCs w:val="22"/>
                <w:lang w:val="sr-Latn-ME" w:bidi="en-US"/>
              </w:rPr>
              <w:t>ij</w:t>
            </w:r>
            <w:r w:rsidRPr="00F85CA6">
              <w:rPr>
                <w:rFonts w:eastAsia="Calibri"/>
                <w:sz w:val="22"/>
                <w:szCs w:val="22"/>
                <w:lang w:val="sr-Latn-ME" w:bidi="en-US"/>
              </w:rPr>
              <w:t>eme eliminacije</w:t>
            </w:r>
          </w:p>
          <w:p w14:paraId="30D6EB7E" w14:textId="77777777" w:rsidR="00F340D8" w:rsidRPr="00F85CA6" w:rsidRDefault="00F340D8" w:rsidP="00F340D8">
            <w:pPr>
              <w:jc w:val="center"/>
              <w:rPr>
                <w:rFonts w:eastAsia="Calibri"/>
                <w:sz w:val="22"/>
                <w:szCs w:val="22"/>
                <w:lang w:val="sr-Latn-ME" w:bidi="en-US"/>
              </w:rPr>
            </w:pPr>
            <w:r w:rsidRPr="00F85CA6">
              <w:rPr>
                <w:rFonts w:eastAsia="Calibri"/>
                <w:sz w:val="22"/>
                <w:szCs w:val="22"/>
                <w:lang w:val="sr-Latn-ME" w:bidi="en-US"/>
              </w:rPr>
              <w:t>[h]</w:t>
            </w:r>
          </w:p>
        </w:tc>
      </w:tr>
      <w:tr w:rsidR="00F340D8" w:rsidRPr="00F85CA6" w14:paraId="27F78509" w14:textId="77777777" w:rsidTr="001239C3">
        <w:trPr>
          <w:trHeight w:val="20"/>
          <w:jc w:val="center"/>
        </w:trPr>
        <w:tc>
          <w:tcPr>
            <w:tcW w:w="1510" w:type="pct"/>
            <w:tcBorders>
              <w:top w:val="single" w:sz="4" w:space="0" w:color="auto"/>
              <w:left w:val="single" w:sz="4" w:space="0" w:color="auto"/>
            </w:tcBorders>
            <w:shd w:val="clear" w:color="auto" w:fill="auto"/>
            <w:vAlign w:val="bottom"/>
          </w:tcPr>
          <w:p w14:paraId="055A22D2" w14:textId="77777777" w:rsidR="00F340D8" w:rsidRPr="00F85CA6" w:rsidRDefault="00F340D8" w:rsidP="00F340D8">
            <w:pPr>
              <w:jc w:val="center"/>
              <w:rPr>
                <w:rFonts w:eastAsia="Calibri"/>
                <w:sz w:val="22"/>
                <w:szCs w:val="22"/>
                <w:lang w:val="sr-Latn-ME" w:bidi="en-US"/>
              </w:rPr>
            </w:pPr>
            <w:r w:rsidRPr="00F85CA6">
              <w:rPr>
                <w:rFonts w:eastAsia="Calibri"/>
                <w:sz w:val="22"/>
                <w:szCs w:val="22"/>
                <w:lang w:val="sr-Latn-ME" w:bidi="en-US"/>
              </w:rPr>
              <w:t>≥80</w:t>
            </w:r>
          </w:p>
        </w:tc>
        <w:tc>
          <w:tcPr>
            <w:tcW w:w="3490" w:type="pct"/>
            <w:tcBorders>
              <w:top w:val="single" w:sz="4" w:space="0" w:color="auto"/>
              <w:left w:val="single" w:sz="4" w:space="0" w:color="auto"/>
              <w:right w:val="single" w:sz="4" w:space="0" w:color="auto"/>
            </w:tcBorders>
            <w:shd w:val="clear" w:color="auto" w:fill="auto"/>
            <w:vAlign w:val="bottom"/>
          </w:tcPr>
          <w:p w14:paraId="6DF69679" w14:textId="77777777" w:rsidR="00F340D8" w:rsidRPr="00F85CA6" w:rsidRDefault="00F340D8" w:rsidP="00F340D8">
            <w:pPr>
              <w:jc w:val="center"/>
              <w:rPr>
                <w:rFonts w:eastAsia="Calibri"/>
                <w:sz w:val="22"/>
                <w:szCs w:val="22"/>
                <w:lang w:val="sr-Latn-ME" w:bidi="en-US"/>
              </w:rPr>
            </w:pPr>
            <w:r w:rsidRPr="00F85CA6">
              <w:rPr>
                <w:rFonts w:eastAsia="Calibri"/>
                <w:sz w:val="22"/>
                <w:szCs w:val="22"/>
                <w:lang w:val="sr-Latn-ME" w:bidi="en-US"/>
              </w:rPr>
              <w:t>13,4 (25,7%; 11,0-21,6)</w:t>
            </w:r>
          </w:p>
        </w:tc>
      </w:tr>
      <w:tr w:rsidR="00F340D8" w:rsidRPr="00F85CA6" w14:paraId="454B64E4" w14:textId="77777777" w:rsidTr="001239C3">
        <w:trPr>
          <w:trHeight w:val="20"/>
          <w:jc w:val="center"/>
        </w:trPr>
        <w:tc>
          <w:tcPr>
            <w:tcW w:w="1510" w:type="pct"/>
            <w:tcBorders>
              <w:top w:val="single" w:sz="4" w:space="0" w:color="auto"/>
              <w:left w:val="single" w:sz="4" w:space="0" w:color="auto"/>
            </w:tcBorders>
            <w:shd w:val="clear" w:color="auto" w:fill="auto"/>
            <w:vAlign w:val="bottom"/>
          </w:tcPr>
          <w:p w14:paraId="5DB78575" w14:textId="77777777" w:rsidR="00F340D8" w:rsidRPr="00F85CA6" w:rsidRDefault="00F340D8" w:rsidP="00F340D8">
            <w:pPr>
              <w:jc w:val="center"/>
              <w:rPr>
                <w:rFonts w:eastAsia="Calibri"/>
                <w:sz w:val="22"/>
                <w:szCs w:val="22"/>
                <w:lang w:val="sr-Latn-ME" w:bidi="en-US"/>
              </w:rPr>
            </w:pPr>
            <w:r w:rsidRPr="00F85CA6">
              <w:rPr>
                <w:rFonts w:eastAsia="Calibri"/>
                <w:sz w:val="22"/>
                <w:szCs w:val="22"/>
                <w:lang w:val="sr-Latn-ME" w:bidi="en-US"/>
              </w:rPr>
              <w:t>≥50-&lt;80</w:t>
            </w:r>
          </w:p>
        </w:tc>
        <w:tc>
          <w:tcPr>
            <w:tcW w:w="3490" w:type="pct"/>
            <w:tcBorders>
              <w:top w:val="single" w:sz="4" w:space="0" w:color="auto"/>
              <w:left w:val="single" w:sz="4" w:space="0" w:color="auto"/>
              <w:right w:val="single" w:sz="4" w:space="0" w:color="auto"/>
            </w:tcBorders>
            <w:shd w:val="clear" w:color="auto" w:fill="auto"/>
            <w:vAlign w:val="bottom"/>
          </w:tcPr>
          <w:p w14:paraId="6487B584" w14:textId="77777777" w:rsidR="00F340D8" w:rsidRPr="00F85CA6" w:rsidRDefault="00F340D8" w:rsidP="00F340D8">
            <w:pPr>
              <w:jc w:val="center"/>
              <w:rPr>
                <w:rFonts w:eastAsia="Calibri"/>
                <w:sz w:val="22"/>
                <w:szCs w:val="22"/>
                <w:lang w:val="sr-Latn-ME" w:bidi="en-US"/>
              </w:rPr>
            </w:pPr>
            <w:r w:rsidRPr="00F85CA6">
              <w:rPr>
                <w:rFonts w:eastAsia="Calibri"/>
                <w:sz w:val="22"/>
                <w:szCs w:val="22"/>
                <w:lang w:val="sr-Latn-ME" w:bidi="en-US"/>
              </w:rPr>
              <w:t>15,3 (42,7%; 11,7-34,1)</w:t>
            </w:r>
          </w:p>
        </w:tc>
      </w:tr>
      <w:tr w:rsidR="00F340D8" w:rsidRPr="00F85CA6" w14:paraId="637E8751" w14:textId="77777777" w:rsidTr="001239C3">
        <w:trPr>
          <w:trHeight w:val="20"/>
          <w:jc w:val="center"/>
        </w:trPr>
        <w:tc>
          <w:tcPr>
            <w:tcW w:w="1510" w:type="pct"/>
            <w:tcBorders>
              <w:top w:val="single" w:sz="4" w:space="0" w:color="auto"/>
              <w:left w:val="single" w:sz="4" w:space="0" w:color="auto"/>
            </w:tcBorders>
            <w:shd w:val="clear" w:color="auto" w:fill="auto"/>
            <w:vAlign w:val="bottom"/>
          </w:tcPr>
          <w:p w14:paraId="786A53CB" w14:textId="77777777" w:rsidR="00F340D8" w:rsidRPr="00F85CA6" w:rsidRDefault="00F340D8" w:rsidP="00F340D8">
            <w:pPr>
              <w:jc w:val="center"/>
              <w:rPr>
                <w:rFonts w:eastAsia="Calibri"/>
                <w:sz w:val="22"/>
                <w:szCs w:val="22"/>
                <w:lang w:val="sr-Latn-ME" w:bidi="en-US"/>
              </w:rPr>
            </w:pPr>
            <w:r w:rsidRPr="00F85CA6">
              <w:rPr>
                <w:rFonts w:eastAsia="Calibri"/>
                <w:sz w:val="22"/>
                <w:szCs w:val="22"/>
                <w:lang w:val="sr-Latn-ME" w:bidi="en-US"/>
              </w:rPr>
              <w:t>≥30-&lt;50</w:t>
            </w:r>
          </w:p>
        </w:tc>
        <w:tc>
          <w:tcPr>
            <w:tcW w:w="3490" w:type="pct"/>
            <w:tcBorders>
              <w:top w:val="single" w:sz="4" w:space="0" w:color="auto"/>
              <w:left w:val="single" w:sz="4" w:space="0" w:color="auto"/>
              <w:right w:val="single" w:sz="4" w:space="0" w:color="auto"/>
            </w:tcBorders>
            <w:shd w:val="clear" w:color="auto" w:fill="auto"/>
            <w:vAlign w:val="bottom"/>
          </w:tcPr>
          <w:p w14:paraId="221D9234" w14:textId="77777777" w:rsidR="00F340D8" w:rsidRPr="00F85CA6" w:rsidRDefault="00F340D8" w:rsidP="00F340D8">
            <w:pPr>
              <w:jc w:val="center"/>
              <w:rPr>
                <w:rFonts w:eastAsia="Calibri"/>
                <w:sz w:val="22"/>
                <w:szCs w:val="22"/>
                <w:lang w:val="sr-Latn-ME" w:bidi="en-US"/>
              </w:rPr>
            </w:pPr>
            <w:r w:rsidRPr="00F85CA6">
              <w:rPr>
                <w:rFonts w:eastAsia="Calibri"/>
                <w:sz w:val="22"/>
                <w:szCs w:val="22"/>
                <w:lang w:val="sr-Latn-ME" w:bidi="en-US"/>
              </w:rPr>
              <w:t>18,4 (18,5%; 13,3-23,0)</w:t>
            </w:r>
          </w:p>
        </w:tc>
      </w:tr>
      <w:tr w:rsidR="00F340D8" w:rsidRPr="00F85CA6" w14:paraId="417CF299" w14:textId="77777777" w:rsidTr="001239C3">
        <w:trPr>
          <w:trHeight w:val="20"/>
          <w:jc w:val="center"/>
        </w:trPr>
        <w:tc>
          <w:tcPr>
            <w:tcW w:w="1510" w:type="pct"/>
            <w:tcBorders>
              <w:top w:val="single" w:sz="4" w:space="0" w:color="auto"/>
              <w:left w:val="single" w:sz="4" w:space="0" w:color="auto"/>
              <w:bottom w:val="single" w:sz="4" w:space="0" w:color="auto"/>
            </w:tcBorders>
            <w:shd w:val="clear" w:color="auto" w:fill="auto"/>
            <w:vAlign w:val="bottom"/>
          </w:tcPr>
          <w:p w14:paraId="081A11A2" w14:textId="77777777" w:rsidR="00F340D8" w:rsidRPr="00F85CA6" w:rsidRDefault="00F340D8" w:rsidP="00F340D8">
            <w:pPr>
              <w:jc w:val="center"/>
              <w:rPr>
                <w:rFonts w:eastAsia="Calibri"/>
                <w:sz w:val="22"/>
                <w:szCs w:val="22"/>
                <w:lang w:val="sr-Latn-ME" w:bidi="en-US"/>
              </w:rPr>
            </w:pPr>
            <w:r w:rsidRPr="00F85CA6">
              <w:rPr>
                <w:rFonts w:eastAsia="Calibri"/>
                <w:sz w:val="22"/>
                <w:szCs w:val="22"/>
                <w:lang w:val="sr-Latn-ME" w:bidi="en-US"/>
              </w:rPr>
              <w:t>&lt;30</w:t>
            </w:r>
          </w:p>
        </w:tc>
        <w:tc>
          <w:tcPr>
            <w:tcW w:w="3490" w:type="pct"/>
            <w:tcBorders>
              <w:top w:val="single" w:sz="4" w:space="0" w:color="auto"/>
              <w:left w:val="single" w:sz="4" w:space="0" w:color="auto"/>
              <w:bottom w:val="single" w:sz="4" w:space="0" w:color="auto"/>
              <w:right w:val="single" w:sz="4" w:space="0" w:color="auto"/>
            </w:tcBorders>
            <w:shd w:val="clear" w:color="auto" w:fill="auto"/>
            <w:vAlign w:val="bottom"/>
          </w:tcPr>
          <w:p w14:paraId="6B233A35" w14:textId="77777777" w:rsidR="00F340D8" w:rsidRPr="00F85CA6" w:rsidRDefault="00F340D8" w:rsidP="00F340D8">
            <w:pPr>
              <w:jc w:val="center"/>
              <w:rPr>
                <w:rFonts w:eastAsia="Calibri"/>
                <w:sz w:val="22"/>
                <w:szCs w:val="22"/>
                <w:lang w:val="sr-Latn-ME" w:bidi="en-US"/>
              </w:rPr>
            </w:pPr>
            <w:r w:rsidRPr="00F85CA6">
              <w:rPr>
                <w:rFonts w:eastAsia="Calibri"/>
                <w:sz w:val="22"/>
                <w:szCs w:val="22"/>
                <w:lang w:val="sr-Latn-ME" w:bidi="en-US"/>
              </w:rPr>
              <w:t>27,2 (15,3%; 21,6-35,0)</w:t>
            </w:r>
          </w:p>
        </w:tc>
      </w:tr>
      <w:bookmarkEnd w:id="29"/>
    </w:tbl>
    <w:p w14:paraId="7173AE6C" w14:textId="77777777" w:rsidR="00F340D8" w:rsidRPr="00F85CA6" w:rsidRDefault="00F340D8" w:rsidP="00F340D8">
      <w:pPr>
        <w:jc w:val="both"/>
        <w:rPr>
          <w:rFonts w:eastAsia="Calibri"/>
          <w:sz w:val="22"/>
          <w:szCs w:val="22"/>
          <w:lang w:val="sr-Latn-ME" w:bidi="en-US"/>
        </w:rPr>
      </w:pPr>
    </w:p>
    <w:p w14:paraId="7DF75313" w14:textId="18EC7086" w:rsidR="00F340D8" w:rsidRPr="00F85CA6" w:rsidRDefault="00F340D8" w:rsidP="00F340D8">
      <w:pPr>
        <w:jc w:val="both"/>
        <w:rPr>
          <w:rFonts w:eastAsia="Calibri"/>
          <w:sz w:val="22"/>
          <w:szCs w:val="22"/>
          <w:lang w:val="sr-Latn-ME"/>
        </w:rPr>
      </w:pPr>
      <w:r w:rsidRPr="00F85CA6">
        <w:rPr>
          <w:rFonts w:eastAsia="Calibri"/>
          <w:sz w:val="22"/>
          <w:szCs w:val="22"/>
          <w:lang w:val="sr-Latn-ME"/>
        </w:rPr>
        <w:t>Osim toga, izloženost dabigatranu (najmanja i maksimalna) bila je proc</w:t>
      </w:r>
      <w:r w:rsidR="00E52ED5" w:rsidRPr="00F85CA6">
        <w:rPr>
          <w:rFonts w:eastAsia="Calibri"/>
          <w:sz w:val="22"/>
          <w:szCs w:val="22"/>
          <w:lang w:val="sr-Latn-ME"/>
        </w:rPr>
        <w:t>ij</w:t>
      </w:r>
      <w:r w:rsidRPr="00F85CA6">
        <w:rPr>
          <w:rFonts w:eastAsia="Calibri"/>
          <w:sz w:val="22"/>
          <w:szCs w:val="22"/>
          <w:lang w:val="sr-Latn-ME"/>
        </w:rPr>
        <w:t>enjena u prospektivnoj, otvorenoj, randomizovanoj farmakokinetičkoj studiji kod pacijenata sa</w:t>
      </w:r>
      <w:r w:rsidRPr="00F85CA6">
        <w:rPr>
          <w:rFonts w:eastAsia="Calibri"/>
          <w:bCs/>
          <w:iCs/>
          <w:sz w:val="22"/>
          <w:szCs w:val="22"/>
          <w:lang w:val="sr-Latn-ME"/>
        </w:rPr>
        <w:t xml:space="preserve"> NVAF i teškim oštećenjem funkcije bubrega (definisanim kao klirens kreatinina </w:t>
      </w:r>
      <w:r w:rsidRPr="00F85CA6">
        <w:rPr>
          <w:rFonts w:eastAsia="Calibri"/>
          <w:sz w:val="22"/>
          <w:szCs w:val="22"/>
          <w:lang w:val="sr-Latn-ME"/>
        </w:rPr>
        <w:t>[CrCL] 15-30 m</w:t>
      </w:r>
      <w:r w:rsidR="00654F22" w:rsidRPr="00F85CA6">
        <w:rPr>
          <w:rFonts w:eastAsia="Calibri"/>
          <w:sz w:val="22"/>
          <w:szCs w:val="22"/>
          <w:lang w:val="sr-Latn-ME"/>
        </w:rPr>
        <w:t>l</w:t>
      </w:r>
      <w:r w:rsidRPr="00F85CA6">
        <w:rPr>
          <w:rFonts w:eastAsia="Calibri"/>
          <w:sz w:val="22"/>
          <w:szCs w:val="22"/>
          <w:lang w:val="sr-Latn-ME"/>
        </w:rPr>
        <w:t>/min) koji su primali 75 mg dabigatraneteksilata dva puta dnevno. Ovaj režim doveo je do geometrijske srednje vr</w:t>
      </w:r>
      <w:r w:rsidR="00E52ED5" w:rsidRPr="00F85CA6">
        <w:rPr>
          <w:rFonts w:eastAsia="Calibri"/>
          <w:sz w:val="22"/>
          <w:szCs w:val="22"/>
          <w:lang w:val="sr-Latn-ME"/>
        </w:rPr>
        <w:t>ij</w:t>
      </w:r>
      <w:r w:rsidRPr="00F85CA6">
        <w:rPr>
          <w:rFonts w:eastAsia="Calibri"/>
          <w:sz w:val="22"/>
          <w:szCs w:val="22"/>
          <w:lang w:val="sr-Latn-ME"/>
        </w:rPr>
        <w:t>ednosti najmanje koncentracije od 155 nanograma/m</w:t>
      </w:r>
      <w:r w:rsidR="00654F22" w:rsidRPr="00F85CA6">
        <w:rPr>
          <w:rFonts w:eastAsia="Calibri"/>
          <w:sz w:val="22"/>
          <w:szCs w:val="22"/>
          <w:lang w:val="sr-Latn-ME"/>
        </w:rPr>
        <w:t>l</w:t>
      </w:r>
      <w:r w:rsidRPr="00F85CA6">
        <w:rPr>
          <w:rFonts w:eastAsia="Calibri"/>
          <w:sz w:val="22"/>
          <w:szCs w:val="22"/>
          <w:lang w:val="sr-Latn-ME"/>
        </w:rPr>
        <w:t xml:space="preserve"> (gCV od 76,9%), izm</w:t>
      </w:r>
      <w:r w:rsidR="00E52ED5" w:rsidRPr="00F85CA6">
        <w:rPr>
          <w:rFonts w:eastAsia="Calibri"/>
          <w:sz w:val="22"/>
          <w:szCs w:val="22"/>
          <w:lang w:val="sr-Latn-ME"/>
        </w:rPr>
        <w:t>j</w:t>
      </w:r>
      <w:r w:rsidRPr="00F85CA6">
        <w:rPr>
          <w:rFonts w:eastAsia="Calibri"/>
          <w:sz w:val="22"/>
          <w:szCs w:val="22"/>
          <w:lang w:val="sr-Latn-ME"/>
        </w:rPr>
        <w:t>erene neposredno pr</w:t>
      </w:r>
      <w:r w:rsidR="00E52ED5" w:rsidRPr="00F85CA6">
        <w:rPr>
          <w:rFonts w:eastAsia="Calibri"/>
          <w:sz w:val="22"/>
          <w:szCs w:val="22"/>
          <w:lang w:val="sr-Latn-ME"/>
        </w:rPr>
        <w:t>ij</w:t>
      </w:r>
      <w:r w:rsidRPr="00F85CA6">
        <w:rPr>
          <w:rFonts w:eastAsia="Calibri"/>
          <w:sz w:val="22"/>
          <w:szCs w:val="22"/>
          <w:lang w:val="sr-Latn-ME"/>
        </w:rPr>
        <w:t>e prim</w:t>
      </w:r>
      <w:r w:rsidR="00E52ED5" w:rsidRPr="00F85CA6">
        <w:rPr>
          <w:rFonts w:eastAsia="Calibri"/>
          <w:sz w:val="22"/>
          <w:szCs w:val="22"/>
          <w:lang w:val="sr-Latn-ME"/>
        </w:rPr>
        <w:t>j</w:t>
      </w:r>
      <w:r w:rsidRPr="00F85CA6">
        <w:rPr>
          <w:rFonts w:eastAsia="Calibri"/>
          <w:sz w:val="22"/>
          <w:szCs w:val="22"/>
          <w:lang w:val="sr-Latn-ME"/>
        </w:rPr>
        <w:t>ene sl</w:t>
      </w:r>
      <w:r w:rsidR="00E52ED5" w:rsidRPr="00F85CA6">
        <w:rPr>
          <w:rFonts w:eastAsia="Calibri"/>
          <w:sz w:val="22"/>
          <w:szCs w:val="22"/>
          <w:lang w:val="sr-Latn-ME"/>
        </w:rPr>
        <w:t>j</w:t>
      </w:r>
      <w:r w:rsidRPr="00F85CA6">
        <w:rPr>
          <w:rFonts w:eastAsia="Calibri"/>
          <w:sz w:val="22"/>
          <w:szCs w:val="22"/>
          <w:lang w:val="sr-Latn-ME"/>
        </w:rPr>
        <w:t>edeće doze, i do geometrijske srednje vr</w:t>
      </w:r>
      <w:r w:rsidR="00E52ED5" w:rsidRPr="00F85CA6">
        <w:rPr>
          <w:rFonts w:eastAsia="Calibri"/>
          <w:sz w:val="22"/>
          <w:szCs w:val="22"/>
          <w:lang w:val="sr-Latn-ME"/>
        </w:rPr>
        <w:t>ij</w:t>
      </w:r>
      <w:r w:rsidRPr="00F85CA6">
        <w:rPr>
          <w:rFonts w:eastAsia="Calibri"/>
          <w:sz w:val="22"/>
          <w:szCs w:val="22"/>
          <w:lang w:val="sr-Latn-ME"/>
        </w:rPr>
        <w:t>ednosti maksimalne koncentracije od 202 nanograma</w:t>
      </w:r>
      <w:r w:rsidRPr="00F85CA6" w:rsidDel="00C71ED3">
        <w:rPr>
          <w:rFonts w:eastAsia="Calibri"/>
          <w:sz w:val="22"/>
          <w:szCs w:val="22"/>
          <w:lang w:val="sr-Latn-ME"/>
        </w:rPr>
        <w:t xml:space="preserve"> </w:t>
      </w:r>
      <w:r w:rsidRPr="00F85CA6">
        <w:rPr>
          <w:rFonts w:eastAsia="Calibri"/>
          <w:sz w:val="22"/>
          <w:szCs w:val="22"/>
          <w:lang w:val="sr-Latn-ME"/>
        </w:rPr>
        <w:t>/m</w:t>
      </w:r>
      <w:r w:rsidR="00654F22" w:rsidRPr="00F85CA6">
        <w:rPr>
          <w:rFonts w:eastAsia="Calibri"/>
          <w:sz w:val="22"/>
          <w:szCs w:val="22"/>
          <w:lang w:val="sr-Latn-ME"/>
        </w:rPr>
        <w:t>l</w:t>
      </w:r>
      <w:r w:rsidRPr="00F85CA6">
        <w:rPr>
          <w:rFonts w:eastAsia="Calibri"/>
          <w:sz w:val="22"/>
          <w:szCs w:val="22"/>
          <w:lang w:val="sr-Latn-ME"/>
        </w:rPr>
        <w:t xml:space="preserve"> (gCV od 70,6%) izm</w:t>
      </w:r>
      <w:r w:rsidR="00E52ED5" w:rsidRPr="00F85CA6">
        <w:rPr>
          <w:rFonts w:eastAsia="Calibri"/>
          <w:sz w:val="22"/>
          <w:szCs w:val="22"/>
          <w:lang w:val="sr-Latn-ME"/>
        </w:rPr>
        <w:t>j</w:t>
      </w:r>
      <w:r w:rsidRPr="00F85CA6">
        <w:rPr>
          <w:rFonts w:eastAsia="Calibri"/>
          <w:sz w:val="22"/>
          <w:szCs w:val="22"/>
          <w:lang w:val="sr-Latn-ME"/>
        </w:rPr>
        <w:t>erene dva sata nakon prim</w:t>
      </w:r>
      <w:r w:rsidR="00E52ED5" w:rsidRPr="00F85CA6">
        <w:rPr>
          <w:rFonts w:eastAsia="Calibri"/>
          <w:sz w:val="22"/>
          <w:szCs w:val="22"/>
          <w:lang w:val="sr-Latn-ME"/>
        </w:rPr>
        <w:t>j</w:t>
      </w:r>
      <w:r w:rsidRPr="00F85CA6">
        <w:rPr>
          <w:rFonts w:eastAsia="Calibri"/>
          <w:sz w:val="22"/>
          <w:szCs w:val="22"/>
          <w:lang w:val="sr-Latn-ME"/>
        </w:rPr>
        <w:t>ene posl</w:t>
      </w:r>
      <w:r w:rsidR="00E52ED5" w:rsidRPr="00F85CA6">
        <w:rPr>
          <w:rFonts w:eastAsia="Calibri"/>
          <w:sz w:val="22"/>
          <w:szCs w:val="22"/>
          <w:lang w:val="sr-Latn-ME"/>
        </w:rPr>
        <w:t>j</w:t>
      </w:r>
      <w:r w:rsidRPr="00F85CA6">
        <w:rPr>
          <w:rFonts w:eastAsia="Calibri"/>
          <w:sz w:val="22"/>
          <w:szCs w:val="22"/>
          <w:lang w:val="sr-Latn-ME"/>
        </w:rPr>
        <w:t>ednje doze.</w:t>
      </w:r>
    </w:p>
    <w:p w14:paraId="143B0B32" w14:textId="77777777" w:rsidR="00F340D8" w:rsidRPr="00F85CA6" w:rsidRDefault="00F340D8" w:rsidP="00F340D8">
      <w:pPr>
        <w:jc w:val="both"/>
        <w:rPr>
          <w:rFonts w:eastAsia="Calibri"/>
          <w:sz w:val="22"/>
          <w:szCs w:val="22"/>
          <w:lang w:val="sr-Latn-ME"/>
        </w:rPr>
      </w:pPr>
    </w:p>
    <w:p w14:paraId="38294A6A" w14:textId="0D9F374C" w:rsidR="00F340D8" w:rsidRPr="00F85CA6" w:rsidRDefault="00F340D8" w:rsidP="00F340D8">
      <w:pPr>
        <w:jc w:val="both"/>
        <w:rPr>
          <w:rFonts w:eastAsia="Calibri"/>
          <w:sz w:val="22"/>
          <w:szCs w:val="22"/>
          <w:lang w:val="sr-Latn-ME"/>
        </w:rPr>
      </w:pPr>
      <w:r w:rsidRPr="00F85CA6">
        <w:rPr>
          <w:rFonts w:eastAsia="Calibri"/>
          <w:sz w:val="22"/>
          <w:szCs w:val="22"/>
          <w:lang w:val="sr-Latn-ME"/>
        </w:rPr>
        <w:t xml:space="preserve">Klirens dabigatrana pri hemodijalizi bio je ispitivan kod 7 pacijenata sa terminalnim stadijumom oboljenja bubrega (engl. </w:t>
      </w:r>
      <w:r w:rsidRPr="00F85CA6">
        <w:rPr>
          <w:rFonts w:eastAsia="Calibri"/>
          <w:i/>
          <w:sz w:val="22"/>
          <w:szCs w:val="22"/>
          <w:lang w:val="sr-Latn-ME"/>
        </w:rPr>
        <w:t xml:space="preserve">end-stage renal disease, </w:t>
      </w:r>
      <w:r w:rsidRPr="00F85CA6">
        <w:rPr>
          <w:rFonts w:eastAsia="Calibri"/>
          <w:sz w:val="22"/>
          <w:szCs w:val="22"/>
          <w:lang w:val="sr-Latn-ME"/>
        </w:rPr>
        <w:t>ESRD) koji ni</w:t>
      </w:r>
      <w:r w:rsidR="00DA36AE" w:rsidRPr="00F85CA6">
        <w:rPr>
          <w:rFonts w:eastAsia="Calibri"/>
          <w:sz w:val="22"/>
          <w:szCs w:val="22"/>
          <w:lang w:val="sr-Latn-ME"/>
        </w:rPr>
        <w:t>je</w:t>
      </w:r>
      <w:r w:rsidRPr="00F85CA6">
        <w:rPr>
          <w:rFonts w:eastAsia="Calibri"/>
          <w:sz w:val="22"/>
          <w:szCs w:val="22"/>
          <w:lang w:val="sr-Latn-ME"/>
        </w:rPr>
        <w:t>su imali atrijalnu fibrilaciju. Dijaliza je sprovedena sa stopom protoka dijalizata od 700 m</w:t>
      </w:r>
      <w:r w:rsidR="00654F22" w:rsidRPr="00F85CA6">
        <w:rPr>
          <w:rFonts w:eastAsia="Calibri"/>
          <w:sz w:val="22"/>
          <w:szCs w:val="22"/>
          <w:lang w:val="sr-Latn-ME"/>
        </w:rPr>
        <w:t>l</w:t>
      </w:r>
      <w:r w:rsidRPr="00F85CA6">
        <w:rPr>
          <w:rFonts w:eastAsia="Calibri"/>
          <w:sz w:val="22"/>
          <w:szCs w:val="22"/>
          <w:lang w:val="sr-Latn-ME"/>
        </w:rPr>
        <w:t>/min, u trajanju od četiri sata, i sa stopom protoka krvi ili od 200 m</w:t>
      </w:r>
      <w:r w:rsidR="00654F22" w:rsidRPr="00F85CA6">
        <w:rPr>
          <w:rFonts w:eastAsia="Calibri"/>
          <w:sz w:val="22"/>
          <w:szCs w:val="22"/>
          <w:lang w:val="sr-Latn-ME"/>
        </w:rPr>
        <w:t>l</w:t>
      </w:r>
      <w:r w:rsidRPr="00F85CA6">
        <w:rPr>
          <w:rFonts w:eastAsia="Calibri"/>
          <w:sz w:val="22"/>
          <w:szCs w:val="22"/>
          <w:lang w:val="sr-Latn-ME"/>
        </w:rPr>
        <w:t>/min ili 350-390 m</w:t>
      </w:r>
      <w:r w:rsidR="00654F22" w:rsidRPr="00F85CA6">
        <w:rPr>
          <w:rFonts w:eastAsia="Calibri"/>
          <w:sz w:val="22"/>
          <w:szCs w:val="22"/>
          <w:lang w:val="sr-Latn-ME"/>
        </w:rPr>
        <w:t>l</w:t>
      </w:r>
      <w:r w:rsidRPr="00F85CA6">
        <w:rPr>
          <w:rFonts w:eastAsia="Calibri"/>
          <w:sz w:val="22"/>
          <w:szCs w:val="22"/>
          <w:lang w:val="sr-Latn-ME"/>
        </w:rPr>
        <w:t>/min. Ovo je imalo za posl</w:t>
      </w:r>
      <w:r w:rsidR="0078482C" w:rsidRPr="00F85CA6">
        <w:rPr>
          <w:rFonts w:eastAsia="Calibri"/>
          <w:sz w:val="22"/>
          <w:szCs w:val="22"/>
          <w:lang w:val="sr-Latn-ME"/>
        </w:rPr>
        <w:t>j</w:t>
      </w:r>
      <w:r w:rsidRPr="00F85CA6">
        <w:rPr>
          <w:rFonts w:eastAsia="Calibri"/>
          <w:sz w:val="22"/>
          <w:szCs w:val="22"/>
          <w:lang w:val="sr-Latn-ME"/>
        </w:rPr>
        <w:t>edicu uklanjanje 50% do 60% koncentracija dabigatrana. Količina supstance uklonjena dijalizom je bila proporcionalna stopi protoka krvi sve do stope protoka krvi od 300 m</w:t>
      </w:r>
      <w:r w:rsidR="00654F22" w:rsidRPr="00F85CA6">
        <w:rPr>
          <w:rFonts w:eastAsia="Calibri"/>
          <w:sz w:val="22"/>
          <w:szCs w:val="22"/>
          <w:lang w:val="sr-Latn-ME"/>
        </w:rPr>
        <w:t>l</w:t>
      </w:r>
      <w:r w:rsidRPr="00F85CA6">
        <w:rPr>
          <w:rFonts w:eastAsia="Calibri"/>
          <w:sz w:val="22"/>
          <w:szCs w:val="22"/>
          <w:lang w:val="sr-Latn-ME"/>
        </w:rPr>
        <w:t xml:space="preserve">/min. Antikoagulaciona aktivnost dabigatrana se smanjivala sa smanjenjem njegove koncentracije u plazmi, ali ovaj postupak nije uticao na </w:t>
      </w:r>
      <w:bookmarkStart w:id="30" w:name="_Hlk83120406"/>
      <w:r w:rsidRPr="00F85CA6">
        <w:rPr>
          <w:rFonts w:eastAsia="Calibri"/>
          <w:sz w:val="22"/>
          <w:szCs w:val="22"/>
          <w:lang w:val="sr-Latn-ME"/>
        </w:rPr>
        <w:t xml:space="preserve">farmakokinetički/farmakodinamički </w:t>
      </w:r>
      <w:bookmarkEnd w:id="30"/>
      <w:r w:rsidRPr="00F85CA6">
        <w:rPr>
          <w:rFonts w:eastAsia="Calibri"/>
          <w:sz w:val="22"/>
          <w:szCs w:val="22"/>
          <w:lang w:val="sr-Latn-ME"/>
        </w:rPr>
        <w:t xml:space="preserve">odnos (PK/PD). </w:t>
      </w:r>
    </w:p>
    <w:p w14:paraId="2318A8C4" w14:textId="77777777" w:rsidR="00F340D8" w:rsidRPr="00F85CA6" w:rsidRDefault="00F340D8" w:rsidP="00F340D8">
      <w:pPr>
        <w:jc w:val="both"/>
        <w:rPr>
          <w:rFonts w:eastAsia="Calibri"/>
          <w:sz w:val="22"/>
          <w:szCs w:val="22"/>
          <w:lang w:val="sr-Latn-ME"/>
        </w:rPr>
      </w:pPr>
    </w:p>
    <w:p w14:paraId="040F1C08" w14:textId="0ACC4951" w:rsidR="00F340D8" w:rsidRPr="00F85CA6" w:rsidRDefault="00F340D8" w:rsidP="00F340D8">
      <w:pPr>
        <w:jc w:val="both"/>
        <w:rPr>
          <w:rFonts w:eastAsia="Calibri"/>
          <w:sz w:val="22"/>
          <w:szCs w:val="22"/>
          <w:lang w:val="sr-Latn-ME"/>
        </w:rPr>
      </w:pPr>
      <w:r w:rsidRPr="00F85CA6">
        <w:rPr>
          <w:rFonts w:eastAsia="Calibri"/>
          <w:sz w:val="22"/>
          <w:szCs w:val="22"/>
          <w:lang w:val="sr-Latn-ME"/>
        </w:rPr>
        <w:t>Medijana CrCL u studiji RE-LY bila je 68,4 m</w:t>
      </w:r>
      <w:r w:rsidR="00654F22" w:rsidRPr="00F85CA6">
        <w:rPr>
          <w:rFonts w:eastAsia="Calibri"/>
          <w:sz w:val="22"/>
          <w:szCs w:val="22"/>
          <w:lang w:val="sr-Latn-ME"/>
        </w:rPr>
        <w:t>l</w:t>
      </w:r>
      <w:r w:rsidRPr="00F85CA6">
        <w:rPr>
          <w:rFonts w:eastAsia="Calibri"/>
          <w:sz w:val="22"/>
          <w:szCs w:val="22"/>
          <w:lang w:val="sr-Latn-ME"/>
        </w:rPr>
        <w:t>/min. Skoro polovina (45,8%) RE-LY pacijenata imala je CrCL &gt;</w:t>
      </w:r>
      <w:r w:rsidR="00654F22" w:rsidRPr="00F85CA6">
        <w:rPr>
          <w:rFonts w:eastAsia="Calibri"/>
          <w:sz w:val="22"/>
          <w:szCs w:val="22"/>
          <w:lang w:val="sr-Latn-ME"/>
        </w:rPr>
        <w:t xml:space="preserve"> </w:t>
      </w:r>
      <w:r w:rsidRPr="00F85CA6">
        <w:rPr>
          <w:rFonts w:eastAsia="Calibri"/>
          <w:sz w:val="22"/>
          <w:szCs w:val="22"/>
          <w:lang w:val="sr-Latn-ME"/>
        </w:rPr>
        <w:t>50 - &lt; 80 m</w:t>
      </w:r>
      <w:r w:rsidR="00654F22" w:rsidRPr="00F85CA6">
        <w:rPr>
          <w:rFonts w:eastAsia="Calibri"/>
          <w:sz w:val="22"/>
          <w:szCs w:val="22"/>
          <w:lang w:val="sr-Latn-ME"/>
        </w:rPr>
        <w:t>l</w:t>
      </w:r>
      <w:r w:rsidRPr="00F85CA6">
        <w:rPr>
          <w:rFonts w:eastAsia="Calibri"/>
          <w:sz w:val="22"/>
          <w:szCs w:val="22"/>
          <w:lang w:val="sr-Latn-ME"/>
        </w:rPr>
        <w:t>/min. Pacijenti sa um</w:t>
      </w:r>
      <w:r w:rsidR="0078482C" w:rsidRPr="00F85CA6">
        <w:rPr>
          <w:rFonts w:eastAsia="Calibri"/>
          <w:sz w:val="22"/>
          <w:szCs w:val="22"/>
          <w:lang w:val="sr-Latn-ME"/>
        </w:rPr>
        <w:t>j</w:t>
      </w:r>
      <w:r w:rsidRPr="00F85CA6">
        <w:rPr>
          <w:rFonts w:eastAsia="Calibri"/>
          <w:sz w:val="22"/>
          <w:szCs w:val="22"/>
          <w:lang w:val="sr-Latn-ME"/>
        </w:rPr>
        <w:t>erenim oštećenjem funkcije bubrega (CrCL između 30 i 50 m</w:t>
      </w:r>
      <w:r w:rsidR="00654F22" w:rsidRPr="00F85CA6">
        <w:rPr>
          <w:rFonts w:eastAsia="Calibri"/>
          <w:sz w:val="22"/>
          <w:szCs w:val="22"/>
          <w:lang w:val="sr-Latn-ME"/>
        </w:rPr>
        <w:t>l</w:t>
      </w:r>
      <w:r w:rsidRPr="00F85CA6">
        <w:rPr>
          <w:rFonts w:eastAsia="Calibri"/>
          <w:sz w:val="22"/>
          <w:szCs w:val="22"/>
          <w:lang w:val="sr-Latn-ME"/>
        </w:rPr>
        <w:t>/min) u pros</w:t>
      </w:r>
      <w:r w:rsidR="0078482C" w:rsidRPr="00F85CA6">
        <w:rPr>
          <w:rFonts w:eastAsia="Calibri"/>
          <w:sz w:val="22"/>
          <w:szCs w:val="22"/>
          <w:lang w:val="sr-Latn-ME"/>
        </w:rPr>
        <w:t>j</w:t>
      </w:r>
      <w:r w:rsidRPr="00F85CA6">
        <w:rPr>
          <w:rFonts w:eastAsia="Calibri"/>
          <w:sz w:val="22"/>
          <w:szCs w:val="22"/>
          <w:lang w:val="sr-Latn-ME"/>
        </w:rPr>
        <w:t>eku su imali 2,29 puta odnosno 1,81 puta veće koncentracije dabigatrana u plazmi pr</w:t>
      </w:r>
      <w:r w:rsidR="00DA36AE" w:rsidRPr="00F85CA6">
        <w:rPr>
          <w:rFonts w:eastAsia="Calibri"/>
          <w:sz w:val="22"/>
          <w:szCs w:val="22"/>
          <w:lang w:val="sr-Latn-ME"/>
        </w:rPr>
        <w:t>ij</w:t>
      </w:r>
      <w:r w:rsidRPr="00F85CA6">
        <w:rPr>
          <w:rFonts w:eastAsia="Calibri"/>
          <w:sz w:val="22"/>
          <w:szCs w:val="22"/>
          <w:lang w:val="sr-Latn-ME"/>
        </w:rPr>
        <w:t>e i posl</w:t>
      </w:r>
      <w:r w:rsidR="0078482C" w:rsidRPr="00F85CA6">
        <w:rPr>
          <w:rFonts w:eastAsia="Calibri"/>
          <w:sz w:val="22"/>
          <w:szCs w:val="22"/>
          <w:lang w:val="sr-Latn-ME"/>
        </w:rPr>
        <w:t>ij</w:t>
      </w:r>
      <w:r w:rsidRPr="00F85CA6">
        <w:rPr>
          <w:rFonts w:eastAsia="Calibri"/>
          <w:sz w:val="22"/>
          <w:szCs w:val="22"/>
          <w:lang w:val="sr-Latn-ME"/>
        </w:rPr>
        <w:t>e doze, u poređenju sa pacijentima bez oštećenja funkcije bubrega (CrCL ≥</w:t>
      </w:r>
      <w:r w:rsidR="00654F22" w:rsidRPr="00F85CA6">
        <w:rPr>
          <w:rFonts w:eastAsia="Calibri"/>
          <w:sz w:val="22"/>
          <w:szCs w:val="22"/>
          <w:lang w:val="sr-Latn-ME"/>
        </w:rPr>
        <w:t xml:space="preserve"> </w:t>
      </w:r>
      <w:r w:rsidRPr="00F85CA6">
        <w:rPr>
          <w:rFonts w:eastAsia="Calibri"/>
          <w:sz w:val="22"/>
          <w:szCs w:val="22"/>
          <w:lang w:val="sr-Latn-ME"/>
        </w:rPr>
        <w:t>80 m</w:t>
      </w:r>
      <w:r w:rsidR="00654F22" w:rsidRPr="00F85CA6">
        <w:rPr>
          <w:rFonts w:eastAsia="Calibri"/>
          <w:sz w:val="22"/>
          <w:szCs w:val="22"/>
          <w:lang w:val="sr-Latn-ME"/>
        </w:rPr>
        <w:t>l</w:t>
      </w:r>
      <w:r w:rsidRPr="00F85CA6">
        <w:rPr>
          <w:rFonts w:eastAsia="Calibri"/>
          <w:sz w:val="22"/>
          <w:szCs w:val="22"/>
          <w:lang w:val="sr-Latn-ME"/>
        </w:rPr>
        <w:t xml:space="preserve">/min). </w:t>
      </w:r>
    </w:p>
    <w:p w14:paraId="52B3148E" w14:textId="77777777" w:rsidR="00F340D8" w:rsidRPr="00F85CA6" w:rsidRDefault="00F340D8" w:rsidP="00F340D8">
      <w:pPr>
        <w:jc w:val="both"/>
        <w:rPr>
          <w:rFonts w:eastAsia="Calibri"/>
          <w:sz w:val="22"/>
          <w:szCs w:val="22"/>
          <w:lang w:val="sr-Latn-ME"/>
        </w:rPr>
      </w:pPr>
    </w:p>
    <w:p w14:paraId="3B286786" w14:textId="24D39C3D" w:rsidR="00F340D8" w:rsidRPr="00F85CA6" w:rsidRDefault="00F340D8" w:rsidP="00F340D8">
      <w:pPr>
        <w:jc w:val="both"/>
        <w:rPr>
          <w:rFonts w:eastAsia="Calibri"/>
          <w:sz w:val="22"/>
          <w:szCs w:val="22"/>
          <w:lang w:val="sr-Latn-ME"/>
        </w:rPr>
      </w:pPr>
      <w:r w:rsidRPr="00F85CA6">
        <w:rPr>
          <w:rFonts w:eastAsia="Calibri"/>
          <w:sz w:val="22"/>
          <w:szCs w:val="22"/>
          <w:lang w:val="sr-Latn-ME"/>
        </w:rPr>
        <w:lastRenderedPageBreak/>
        <w:t>Medijana CrCL u studiji RE-COVER bila je 100,4 m</w:t>
      </w:r>
      <w:r w:rsidR="00654F22" w:rsidRPr="00F85CA6">
        <w:rPr>
          <w:rFonts w:eastAsia="Calibri"/>
          <w:sz w:val="22"/>
          <w:szCs w:val="22"/>
          <w:lang w:val="sr-Latn-ME"/>
        </w:rPr>
        <w:t>l</w:t>
      </w:r>
      <w:r w:rsidRPr="00F85CA6">
        <w:rPr>
          <w:rFonts w:eastAsia="Calibri"/>
          <w:sz w:val="22"/>
          <w:szCs w:val="22"/>
          <w:lang w:val="sr-Latn-ME"/>
        </w:rPr>
        <w:t>/min. 21,7% pacijenata je imalo blago oštećenje funkcije bubrega (CrCL &gt; 50 - &lt;</w:t>
      </w:r>
      <w:r w:rsidR="00654F22" w:rsidRPr="00F85CA6">
        <w:rPr>
          <w:rFonts w:eastAsia="Calibri"/>
          <w:sz w:val="22"/>
          <w:szCs w:val="22"/>
          <w:lang w:val="sr-Latn-ME"/>
        </w:rPr>
        <w:t xml:space="preserve"> </w:t>
      </w:r>
      <w:r w:rsidRPr="00F85CA6">
        <w:rPr>
          <w:rFonts w:eastAsia="Calibri"/>
          <w:sz w:val="22"/>
          <w:szCs w:val="22"/>
          <w:lang w:val="sr-Latn-ME"/>
        </w:rPr>
        <w:t>80 m</w:t>
      </w:r>
      <w:r w:rsidR="00654F22" w:rsidRPr="00F85CA6">
        <w:rPr>
          <w:rFonts w:eastAsia="Calibri"/>
          <w:sz w:val="22"/>
          <w:szCs w:val="22"/>
          <w:lang w:val="sr-Latn-ME"/>
        </w:rPr>
        <w:t>l</w:t>
      </w:r>
      <w:r w:rsidRPr="00F85CA6">
        <w:rPr>
          <w:rFonts w:eastAsia="Calibri"/>
          <w:sz w:val="22"/>
          <w:szCs w:val="22"/>
          <w:lang w:val="sr-Latn-ME"/>
        </w:rPr>
        <w:t>/min) a 4,5% pacijenata imalo je um</w:t>
      </w:r>
      <w:r w:rsidR="00776E71" w:rsidRPr="00F85CA6">
        <w:rPr>
          <w:rFonts w:eastAsia="Calibri"/>
          <w:sz w:val="22"/>
          <w:szCs w:val="22"/>
          <w:lang w:val="sr-Latn-ME"/>
        </w:rPr>
        <w:t>j</w:t>
      </w:r>
      <w:r w:rsidRPr="00F85CA6">
        <w:rPr>
          <w:rFonts w:eastAsia="Calibri"/>
          <w:sz w:val="22"/>
          <w:szCs w:val="22"/>
          <w:lang w:val="sr-Latn-ME"/>
        </w:rPr>
        <w:t>ereno oštećenje funkcije bubrega (CrCL između 30 i 50 m</w:t>
      </w:r>
      <w:r w:rsidR="00654F22" w:rsidRPr="00F85CA6">
        <w:rPr>
          <w:rFonts w:eastAsia="Calibri"/>
          <w:sz w:val="22"/>
          <w:szCs w:val="22"/>
          <w:lang w:val="sr-Latn-ME"/>
        </w:rPr>
        <w:t>l</w:t>
      </w:r>
      <w:r w:rsidRPr="00F85CA6">
        <w:rPr>
          <w:rFonts w:eastAsia="Calibri"/>
          <w:sz w:val="22"/>
          <w:szCs w:val="22"/>
          <w:lang w:val="sr-Latn-ME"/>
        </w:rPr>
        <w:t>/min). Pacijenti sa blagim i um</w:t>
      </w:r>
      <w:r w:rsidR="00E86C27" w:rsidRPr="00F85CA6">
        <w:rPr>
          <w:rFonts w:eastAsia="Calibri"/>
          <w:sz w:val="22"/>
          <w:szCs w:val="22"/>
          <w:lang w:val="sr-Latn-ME"/>
        </w:rPr>
        <w:t>j</w:t>
      </w:r>
      <w:r w:rsidRPr="00F85CA6">
        <w:rPr>
          <w:rFonts w:eastAsia="Calibri"/>
          <w:sz w:val="22"/>
          <w:szCs w:val="22"/>
          <w:lang w:val="sr-Latn-ME"/>
        </w:rPr>
        <w:t>erenim oštećenjem funkcije bubrega imali su, u stanju ravnoteže, pros</w:t>
      </w:r>
      <w:r w:rsidR="00E86C27" w:rsidRPr="00F85CA6">
        <w:rPr>
          <w:rFonts w:eastAsia="Calibri"/>
          <w:sz w:val="22"/>
          <w:szCs w:val="22"/>
          <w:lang w:val="sr-Latn-ME"/>
        </w:rPr>
        <w:t>j</w:t>
      </w:r>
      <w:r w:rsidRPr="00F85CA6">
        <w:rPr>
          <w:rFonts w:eastAsia="Calibri"/>
          <w:sz w:val="22"/>
          <w:szCs w:val="22"/>
          <w:lang w:val="sr-Latn-ME"/>
        </w:rPr>
        <w:t>ečno 1,8 puta odnosno 3,6 puta veće koncentracije dabigatrana u plazmi pr</w:t>
      </w:r>
      <w:r w:rsidR="00776E71" w:rsidRPr="00F85CA6">
        <w:rPr>
          <w:rFonts w:eastAsia="Calibri"/>
          <w:sz w:val="22"/>
          <w:szCs w:val="22"/>
          <w:lang w:val="sr-Latn-ME"/>
        </w:rPr>
        <w:t>ij</w:t>
      </w:r>
      <w:r w:rsidRPr="00F85CA6">
        <w:rPr>
          <w:rFonts w:eastAsia="Calibri"/>
          <w:sz w:val="22"/>
          <w:szCs w:val="22"/>
          <w:lang w:val="sr-Latn-ME"/>
        </w:rPr>
        <w:t>e doziranja, u poređenju sa pacijentima sa CrCL &gt;80 m</w:t>
      </w:r>
      <w:r w:rsidR="00654F22" w:rsidRPr="00F85CA6">
        <w:rPr>
          <w:rFonts w:eastAsia="Calibri"/>
          <w:sz w:val="22"/>
          <w:szCs w:val="22"/>
          <w:lang w:val="sr-Latn-ME"/>
        </w:rPr>
        <w:t>l</w:t>
      </w:r>
      <w:r w:rsidRPr="00F85CA6">
        <w:rPr>
          <w:rFonts w:eastAsia="Calibri"/>
          <w:sz w:val="22"/>
          <w:szCs w:val="22"/>
          <w:lang w:val="sr-Latn-ME"/>
        </w:rPr>
        <w:t>/min. Slične vr</w:t>
      </w:r>
      <w:r w:rsidR="00776E71" w:rsidRPr="00F85CA6">
        <w:rPr>
          <w:rFonts w:eastAsia="Calibri"/>
          <w:sz w:val="22"/>
          <w:szCs w:val="22"/>
          <w:lang w:val="sr-Latn-ME"/>
        </w:rPr>
        <w:t>ij</w:t>
      </w:r>
      <w:r w:rsidRPr="00F85CA6">
        <w:rPr>
          <w:rFonts w:eastAsia="Calibri"/>
          <w:sz w:val="22"/>
          <w:szCs w:val="22"/>
          <w:lang w:val="sr-Latn-ME"/>
        </w:rPr>
        <w:t>ednosti za CrCL pronađene su i u studiji RE-COVER II.</w:t>
      </w:r>
    </w:p>
    <w:p w14:paraId="181854A7" w14:textId="77777777" w:rsidR="00F340D8" w:rsidRPr="00F85CA6" w:rsidRDefault="00F340D8" w:rsidP="00F340D8">
      <w:pPr>
        <w:jc w:val="both"/>
        <w:rPr>
          <w:rFonts w:eastAsia="Calibri"/>
          <w:sz w:val="22"/>
          <w:szCs w:val="22"/>
          <w:lang w:val="sr-Latn-ME"/>
        </w:rPr>
      </w:pPr>
    </w:p>
    <w:p w14:paraId="78743D64" w14:textId="4A54D195" w:rsidR="00F340D8" w:rsidRPr="00F85CA6" w:rsidRDefault="00F340D8" w:rsidP="00F340D8">
      <w:pPr>
        <w:jc w:val="both"/>
        <w:rPr>
          <w:rFonts w:eastAsia="Calibri"/>
          <w:sz w:val="22"/>
          <w:szCs w:val="22"/>
          <w:lang w:val="sr-Latn-ME"/>
        </w:rPr>
      </w:pPr>
      <w:r w:rsidRPr="00F85CA6">
        <w:rPr>
          <w:rFonts w:eastAsia="Calibri"/>
          <w:sz w:val="22"/>
          <w:szCs w:val="22"/>
          <w:lang w:val="sr-Latn-ME"/>
        </w:rPr>
        <w:t>Medijane CrCL u studijama RE-MEDY i RE-SONATE bile su 99,0 m</w:t>
      </w:r>
      <w:r w:rsidR="00654F22" w:rsidRPr="00F85CA6">
        <w:rPr>
          <w:rFonts w:eastAsia="Calibri"/>
          <w:sz w:val="22"/>
          <w:szCs w:val="22"/>
          <w:lang w:val="sr-Latn-ME"/>
        </w:rPr>
        <w:t>l</w:t>
      </w:r>
      <w:r w:rsidRPr="00F85CA6">
        <w:rPr>
          <w:rFonts w:eastAsia="Calibri"/>
          <w:sz w:val="22"/>
          <w:szCs w:val="22"/>
          <w:lang w:val="sr-Latn-ME"/>
        </w:rPr>
        <w:t>/min, odnosno 99,7 m</w:t>
      </w:r>
      <w:r w:rsidR="00654F22" w:rsidRPr="00F85CA6">
        <w:rPr>
          <w:rFonts w:eastAsia="Calibri"/>
          <w:sz w:val="22"/>
          <w:szCs w:val="22"/>
          <w:lang w:val="sr-Latn-ME"/>
        </w:rPr>
        <w:t>l</w:t>
      </w:r>
      <w:r w:rsidRPr="00F85CA6">
        <w:rPr>
          <w:rFonts w:eastAsia="Calibri"/>
          <w:sz w:val="22"/>
          <w:szCs w:val="22"/>
          <w:lang w:val="sr-Latn-ME"/>
        </w:rPr>
        <w:t>/min. 22,9 % i 22,5 % pacijenata imalo je CrCL &gt;</w:t>
      </w:r>
      <w:r w:rsidR="00654F22" w:rsidRPr="00F85CA6">
        <w:rPr>
          <w:rFonts w:eastAsia="Calibri"/>
          <w:sz w:val="22"/>
          <w:szCs w:val="22"/>
          <w:lang w:val="sr-Latn-ME"/>
        </w:rPr>
        <w:t xml:space="preserve"> </w:t>
      </w:r>
      <w:r w:rsidRPr="00F85CA6">
        <w:rPr>
          <w:rFonts w:eastAsia="Calibri"/>
          <w:sz w:val="22"/>
          <w:szCs w:val="22"/>
          <w:lang w:val="sr-Latn-ME"/>
        </w:rPr>
        <w:t>50 - &lt;</w:t>
      </w:r>
      <w:r w:rsidR="00654F22" w:rsidRPr="00F85CA6">
        <w:rPr>
          <w:rFonts w:eastAsia="Calibri"/>
          <w:sz w:val="22"/>
          <w:szCs w:val="22"/>
          <w:lang w:val="sr-Latn-ME"/>
        </w:rPr>
        <w:t xml:space="preserve"> </w:t>
      </w:r>
      <w:r w:rsidRPr="00F85CA6">
        <w:rPr>
          <w:rFonts w:eastAsia="Calibri"/>
          <w:sz w:val="22"/>
          <w:szCs w:val="22"/>
          <w:lang w:val="sr-Latn-ME"/>
        </w:rPr>
        <w:t>80 m</w:t>
      </w:r>
      <w:r w:rsidR="00654F22" w:rsidRPr="00F85CA6">
        <w:rPr>
          <w:rFonts w:eastAsia="Calibri"/>
          <w:sz w:val="22"/>
          <w:szCs w:val="22"/>
          <w:lang w:val="sr-Latn-ME"/>
        </w:rPr>
        <w:t>l</w:t>
      </w:r>
      <w:r w:rsidRPr="00F85CA6">
        <w:rPr>
          <w:rFonts w:eastAsia="Calibri"/>
          <w:sz w:val="22"/>
          <w:szCs w:val="22"/>
          <w:lang w:val="sr-Latn-ME"/>
        </w:rPr>
        <w:t>/min, a 4,1% i 4,8% imalo je CrCL između 30 i 50 m</w:t>
      </w:r>
      <w:r w:rsidR="00654F22" w:rsidRPr="00F85CA6">
        <w:rPr>
          <w:rFonts w:eastAsia="Calibri"/>
          <w:sz w:val="22"/>
          <w:szCs w:val="22"/>
          <w:lang w:val="sr-Latn-ME"/>
        </w:rPr>
        <w:t>l</w:t>
      </w:r>
      <w:r w:rsidRPr="00F85CA6">
        <w:rPr>
          <w:rFonts w:eastAsia="Calibri"/>
          <w:sz w:val="22"/>
          <w:szCs w:val="22"/>
          <w:lang w:val="sr-Latn-ME"/>
        </w:rPr>
        <w:t>/min u studijama RE-MEDY i RE-SONATE.</w:t>
      </w:r>
    </w:p>
    <w:p w14:paraId="1E642469" w14:textId="77777777" w:rsidR="00F340D8" w:rsidRPr="00F85CA6" w:rsidRDefault="00F340D8" w:rsidP="00F340D8">
      <w:pPr>
        <w:jc w:val="both"/>
        <w:rPr>
          <w:rFonts w:eastAsia="Calibri"/>
          <w:sz w:val="22"/>
          <w:szCs w:val="22"/>
          <w:lang w:val="sr-Latn-ME"/>
        </w:rPr>
      </w:pPr>
    </w:p>
    <w:p w14:paraId="02D58606" w14:textId="77777777" w:rsidR="00F340D8" w:rsidRPr="00F85CA6" w:rsidRDefault="00F340D8" w:rsidP="00F340D8">
      <w:pPr>
        <w:jc w:val="both"/>
        <w:rPr>
          <w:rFonts w:eastAsia="Calibri"/>
          <w:iCs/>
          <w:sz w:val="22"/>
          <w:szCs w:val="22"/>
          <w:lang w:val="sr-Latn-ME"/>
        </w:rPr>
      </w:pPr>
      <w:r w:rsidRPr="00F85CA6">
        <w:rPr>
          <w:rFonts w:eastAsia="Calibri"/>
          <w:i/>
          <w:iCs/>
          <w:sz w:val="22"/>
          <w:szCs w:val="22"/>
          <w:u w:val="single"/>
          <w:lang w:val="sr-Latn-ME"/>
        </w:rPr>
        <w:t xml:space="preserve">Stariji pacijenti </w:t>
      </w:r>
    </w:p>
    <w:p w14:paraId="5483384B" w14:textId="5DE7D6A0" w:rsidR="00F340D8" w:rsidRPr="00F85CA6" w:rsidRDefault="00F340D8" w:rsidP="00F340D8">
      <w:pPr>
        <w:jc w:val="both"/>
        <w:rPr>
          <w:rFonts w:eastAsia="Calibri"/>
          <w:sz w:val="22"/>
          <w:szCs w:val="22"/>
          <w:lang w:val="sr-Latn-ME"/>
        </w:rPr>
      </w:pPr>
      <w:r w:rsidRPr="00F85CA6">
        <w:rPr>
          <w:rFonts w:eastAsia="Calibri"/>
          <w:sz w:val="22"/>
          <w:szCs w:val="22"/>
          <w:lang w:val="sr-Latn-ME"/>
        </w:rPr>
        <w:t>Specifične farmakokinetičke studije faze I kod starijih ispitanika pokazale su povećanje PIK vr</w:t>
      </w:r>
      <w:r w:rsidR="00E86C27" w:rsidRPr="00F85CA6">
        <w:rPr>
          <w:rFonts w:eastAsia="Calibri"/>
          <w:sz w:val="22"/>
          <w:szCs w:val="22"/>
          <w:lang w:val="sr-Latn-ME"/>
        </w:rPr>
        <w:t>ij</w:t>
      </w:r>
      <w:r w:rsidRPr="00F85CA6">
        <w:rPr>
          <w:rFonts w:eastAsia="Calibri"/>
          <w:sz w:val="22"/>
          <w:szCs w:val="22"/>
          <w:lang w:val="sr-Latn-ME"/>
        </w:rPr>
        <w:t>ednosti od 40 do 60% i povećanje više od 25% za C</w:t>
      </w:r>
      <w:r w:rsidRPr="00F85CA6">
        <w:rPr>
          <w:rFonts w:eastAsia="Calibri"/>
          <w:sz w:val="22"/>
          <w:szCs w:val="22"/>
          <w:vertAlign w:val="subscript"/>
          <w:lang w:val="sr-Latn-ME"/>
        </w:rPr>
        <w:t>max</w:t>
      </w:r>
      <w:r w:rsidRPr="00F85CA6">
        <w:rPr>
          <w:rFonts w:eastAsia="Calibri"/>
          <w:sz w:val="22"/>
          <w:szCs w:val="22"/>
          <w:lang w:val="sr-Latn-ME"/>
        </w:rPr>
        <w:t xml:space="preserve"> u poređenju sa mladim ispitanicima.</w:t>
      </w:r>
    </w:p>
    <w:p w14:paraId="49138438" w14:textId="4EEDD26B" w:rsidR="00F340D8" w:rsidRPr="00F85CA6" w:rsidRDefault="00F340D8" w:rsidP="00F340D8">
      <w:pPr>
        <w:jc w:val="both"/>
        <w:rPr>
          <w:rFonts w:eastAsia="Calibri"/>
          <w:sz w:val="22"/>
          <w:szCs w:val="22"/>
          <w:lang w:val="sr-Latn-ME"/>
        </w:rPr>
      </w:pPr>
      <w:r w:rsidRPr="00F85CA6">
        <w:rPr>
          <w:rFonts w:eastAsia="Calibri"/>
          <w:sz w:val="22"/>
          <w:szCs w:val="22"/>
          <w:lang w:val="sr-Latn-ME"/>
        </w:rPr>
        <w:t>Uticaj životnog doba na izloženost dabigatranu je bio potvrđen u studiji RE-LY, sa oko 31% većom najmanjom koncentracijom kod ispitanika starih ≥</w:t>
      </w:r>
      <w:r w:rsidR="00654F22" w:rsidRPr="00F85CA6">
        <w:rPr>
          <w:rFonts w:eastAsia="Calibri"/>
          <w:sz w:val="22"/>
          <w:szCs w:val="22"/>
          <w:lang w:val="sr-Latn-ME"/>
        </w:rPr>
        <w:t xml:space="preserve"> </w:t>
      </w:r>
      <w:r w:rsidRPr="00F85CA6">
        <w:rPr>
          <w:rFonts w:eastAsia="Calibri"/>
          <w:sz w:val="22"/>
          <w:szCs w:val="22"/>
          <w:lang w:val="sr-Latn-ME"/>
        </w:rPr>
        <w:t>75 godina, a za oko 22% manjom najmanjom koncentracijom kod ispitanika &lt;</w:t>
      </w:r>
      <w:r w:rsidR="00654F22" w:rsidRPr="00F85CA6">
        <w:rPr>
          <w:rFonts w:eastAsia="Calibri"/>
          <w:sz w:val="22"/>
          <w:szCs w:val="22"/>
          <w:lang w:val="sr-Latn-ME"/>
        </w:rPr>
        <w:t xml:space="preserve"> </w:t>
      </w:r>
      <w:r w:rsidRPr="00F85CA6">
        <w:rPr>
          <w:rFonts w:eastAsia="Calibri"/>
          <w:sz w:val="22"/>
          <w:szCs w:val="22"/>
          <w:lang w:val="sr-Latn-ME"/>
        </w:rPr>
        <w:t>65 godina u poređenju sa ispitanicima između 65 i 75 godina starosti (vid</w:t>
      </w:r>
      <w:r w:rsidR="00776E71" w:rsidRPr="00F85CA6">
        <w:rPr>
          <w:rFonts w:eastAsia="Calibri"/>
          <w:sz w:val="22"/>
          <w:szCs w:val="22"/>
          <w:lang w:val="sr-Latn-ME"/>
        </w:rPr>
        <w:t>j</w:t>
      </w:r>
      <w:r w:rsidRPr="00F85CA6">
        <w:rPr>
          <w:rFonts w:eastAsia="Calibri"/>
          <w:sz w:val="22"/>
          <w:szCs w:val="22"/>
          <w:lang w:val="sr-Latn-ME"/>
        </w:rPr>
        <w:t xml:space="preserve">eti </w:t>
      </w:r>
      <w:r w:rsidR="00E86C27" w:rsidRPr="00F85CA6">
        <w:rPr>
          <w:rFonts w:eastAsia="Calibri"/>
          <w:sz w:val="22"/>
          <w:szCs w:val="22"/>
          <w:lang w:val="sr-Latn-ME"/>
        </w:rPr>
        <w:t>djelove</w:t>
      </w:r>
      <w:r w:rsidRPr="00F85CA6">
        <w:rPr>
          <w:rFonts w:eastAsia="Calibri"/>
          <w:sz w:val="22"/>
          <w:szCs w:val="22"/>
          <w:lang w:val="sr-Latn-ME"/>
        </w:rPr>
        <w:t xml:space="preserve"> 4.2 i 4.4).</w:t>
      </w:r>
    </w:p>
    <w:p w14:paraId="0CC42333" w14:textId="77777777" w:rsidR="00F340D8" w:rsidRPr="00F85CA6" w:rsidRDefault="00F340D8" w:rsidP="00F340D8">
      <w:pPr>
        <w:jc w:val="both"/>
        <w:rPr>
          <w:rFonts w:eastAsia="Calibri"/>
          <w:sz w:val="22"/>
          <w:szCs w:val="22"/>
          <w:lang w:val="sr-Latn-ME"/>
        </w:rPr>
      </w:pPr>
    </w:p>
    <w:p w14:paraId="5B87209C" w14:textId="77777777" w:rsidR="00F340D8" w:rsidRPr="00F85CA6" w:rsidRDefault="00F340D8" w:rsidP="00F340D8">
      <w:pPr>
        <w:jc w:val="both"/>
        <w:rPr>
          <w:rFonts w:eastAsia="Calibri"/>
          <w:i/>
          <w:iCs/>
          <w:sz w:val="22"/>
          <w:szCs w:val="22"/>
          <w:u w:val="single"/>
          <w:lang w:val="sr-Latn-ME"/>
        </w:rPr>
      </w:pPr>
      <w:r w:rsidRPr="00F85CA6">
        <w:rPr>
          <w:rFonts w:eastAsia="Calibri"/>
          <w:i/>
          <w:iCs/>
          <w:sz w:val="22"/>
          <w:szCs w:val="22"/>
          <w:u w:val="single"/>
          <w:lang w:val="sr-Latn-ME"/>
        </w:rPr>
        <w:t>Oštećenje funkcije jetre</w:t>
      </w:r>
    </w:p>
    <w:p w14:paraId="69FAECA4" w14:textId="60F7180F" w:rsidR="00F340D8" w:rsidRPr="00F85CA6" w:rsidRDefault="00F340D8" w:rsidP="00F340D8">
      <w:pPr>
        <w:jc w:val="both"/>
        <w:rPr>
          <w:rFonts w:eastAsia="Calibri"/>
          <w:sz w:val="22"/>
          <w:szCs w:val="22"/>
          <w:lang w:val="sr-Latn-ME"/>
        </w:rPr>
      </w:pPr>
      <w:r w:rsidRPr="00F85CA6">
        <w:rPr>
          <w:rFonts w:eastAsia="Calibri"/>
          <w:sz w:val="22"/>
          <w:szCs w:val="22"/>
          <w:lang w:val="sr-Latn-ME"/>
        </w:rPr>
        <w:t>Niije uočena prom</w:t>
      </w:r>
      <w:r w:rsidR="00DA36AE" w:rsidRPr="00F85CA6">
        <w:rPr>
          <w:rFonts w:eastAsia="Calibri"/>
          <w:sz w:val="22"/>
          <w:szCs w:val="22"/>
          <w:lang w:val="sr-Latn-ME"/>
        </w:rPr>
        <w:t>j</w:t>
      </w:r>
      <w:r w:rsidRPr="00F85CA6">
        <w:rPr>
          <w:rFonts w:eastAsia="Calibri"/>
          <w:sz w:val="22"/>
          <w:szCs w:val="22"/>
          <w:lang w:val="sr-Latn-ME"/>
        </w:rPr>
        <w:t>ena izloženosti dabigatrana kod 12 odraslih ispitanika sa um</w:t>
      </w:r>
      <w:r w:rsidR="00E86C27" w:rsidRPr="00F85CA6">
        <w:rPr>
          <w:rFonts w:eastAsia="Calibri"/>
          <w:sz w:val="22"/>
          <w:szCs w:val="22"/>
          <w:lang w:val="sr-Latn-ME"/>
        </w:rPr>
        <w:t>j</w:t>
      </w:r>
      <w:r w:rsidRPr="00F85CA6">
        <w:rPr>
          <w:rFonts w:eastAsia="Calibri"/>
          <w:sz w:val="22"/>
          <w:szCs w:val="22"/>
          <w:lang w:val="sr-Latn-ME"/>
        </w:rPr>
        <w:t>erenom insuficijencijom jetre (</w:t>
      </w:r>
      <w:r w:rsidRPr="00F85CA6">
        <w:rPr>
          <w:rFonts w:eastAsia="Calibri"/>
          <w:i/>
          <w:iCs/>
          <w:sz w:val="22"/>
          <w:szCs w:val="22"/>
          <w:lang w:val="sr-Latn-ME"/>
        </w:rPr>
        <w:t xml:space="preserve">Child Pugh </w:t>
      </w:r>
      <w:r w:rsidRPr="00F85CA6">
        <w:rPr>
          <w:rFonts w:eastAsia="Calibri"/>
          <w:iCs/>
          <w:sz w:val="22"/>
          <w:szCs w:val="22"/>
          <w:lang w:val="sr-Latn-ME"/>
        </w:rPr>
        <w:t>B</w:t>
      </w:r>
      <w:r w:rsidRPr="00F85CA6">
        <w:rPr>
          <w:rFonts w:eastAsia="Calibri"/>
          <w:sz w:val="22"/>
          <w:szCs w:val="22"/>
          <w:lang w:val="sr-Latn-ME"/>
        </w:rPr>
        <w:t xml:space="preserve">) u poređenju sa 12 kontrolnih ispitanika (videti </w:t>
      </w:r>
      <w:r w:rsidR="00E86C27" w:rsidRPr="00F85CA6">
        <w:rPr>
          <w:rFonts w:eastAsia="Calibri"/>
          <w:sz w:val="22"/>
          <w:szCs w:val="22"/>
          <w:lang w:val="sr-Latn-ME"/>
        </w:rPr>
        <w:t>djelove</w:t>
      </w:r>
      <w:r w:rsidRPr="00F85CA6">
        <w:rPr>
          <w:rFonts w:eastAsia="Calibri"/>
          <w:sz w:val="22"/>
          <w:szCs w:val="22"/>
          <w:lang w:val="sr-Latn-ME"/>
        </w:rPr>
        <w:t xml:space="preserve"> 4.2 i 4.4). </w:t>
      </w:r>
    </w:p>
    <w:p w14:paraId="5A5545F7" w14:textId="77777777" w:rsidR="00F340D8" w:rsidRPr="00F85CA6" w:rsidRDefault="00F340D8" w:rsidP="00F340D8">
      <w:pPr>
        <w:jc w:val="both"/>
        <w:rPr>
          <w:rFonts w:eastAsia="Calibri"/>
          <w:sz w:val="22"/>
          <w:szCs w:val="22"/>
          <w:lang w:val="sr-Latn-ME"/>
        </w:rPr>
      </w:pPr>
    </w:p>
    <w:p w14:paraId="1469EE46" w14:textId="0B37C3F7" w:rsidR="00F340D8" w:rsidRPr="00F85CA6" w:rsidRDefault="00F340D8" w:rsidP="00F340D8">
      <w:pPr>
        <w:jc w:val="both"/>
        <w:rPr>
          <w:rFonts w:eastAsia="Calibri"/>
          <w:i/>
          <w:iCs/>
          <w:sz w:val="22"/>
          <w:szCs w:val="22"/>
          <w:u w:val="single"/>
          <w:lang w:val="sr-Latn-ME"/>
        </w:rPr>
      </w:pPr>
      <w:r w:rsidRPr="00F85CA6">
        <w:rPr>
          <w:rFonts w:eastAsia="Calibri"/>
          <w:i/>
          <w:iCs/>
          <w:sz w:val="22"/>
          <w:szCs w:val="22"/>
          <w:u w:val="single"/>
          <w:lang w:val="sr-Latn-ME"/>
        </w:rPr>
        <w:t>T</w:t>
      </w:r>
      <w:r w:rsidR="00776E71" w:rsidRPr="00F85CA6">
        <w:rPr>
          <w:rFonts w:eastAsia="Calibri"/>
          <w:i/>
          <w:iCs/>
          <w:sz w:val="22"/>
          <w:szCs w:val="22"/>
          <w:u w:val="single"/>
          <w:lang w:val="sr-Latn-ME"/>
        </w:rPr>
        <w:t>j</w:t>
      </w:r>
      <w:r w:rsidRPr="00F85CA6">
        <w:rPr>
          <w:rFonts w:eastAsia="Calibri"/>
          <w:i/>
          <w:iCs/>
          <w:sz w:val="22"/>
          <w:szCs w:val="22"/>
          <w:u w:val="single"/>
          <w:lang w:val="sr-Latn-ME"/>
        </w:rPr>
        <w:t>elesna masa</w:t>
      </w:r>
    </w:p>
    <w:p w14:paraId="3EE6A93B" w14:textId="7E73BECC" w:rsidR="00F340D8" w:rsidRPr="00F85CA6" w:rsidRDefault="00F340D8" w:rsidP="00F340D8">
      <w:pPr>
        <w:jc w:val="both"/>
        <w:rPr>
          <w:rFonts w:eastAsia="Calibri"/>
          <w:sz w:val="22"/>
          <w:szCs w:val="22"/>
          <w:lang w:val="sr-Latn-ME"/>
        </w:rPr>
      </w:pPr>
      <w:r w:rsidRPr="00F85CA6">
        <w:rPr>
          <w:rFonts w:eastAsia="Calibri"/>
          <w:sz w:val="22"/>
          <w:szCs w:val="22"/>
          <w:lang w:val="sr-Latn-ME"/>
        </w:rPr>
        <w:t>Najmanje koncentracije dabigatrana su bile oko 20% manje kod odraslih pacijenata sa t</w:t>
      </w:r>
      <w:r w:rsidR="00E86C27" w:rsidRPr="00F85CA6">
        <w:rPr>
          <w:rFonts w:eastAsia="Calibri"/>
          <w:sz w:val="22"/>
          <w:szCs w:val="22"/>
          <w:lang w:val="sr-Latn-ME"/>
        </w:rPr>
        <w:t>j</w:t>
      </w:r>
      <w:r w:rsidRPr="00F85CA6">
        <w:rPr>
          <w:rFonts w:eastAsia="Calibri"/>
          <w:sz w:val="22"/>
          <w:szCs w:val="22"/>
          <w:lang w:val="sr-Latn-ME"/>
        </w:rPr>
        <w:t>elesnom masom &gt;</w:t>
      </w:r>
      <w:r w:rsidR="00654F22" w:rsidRPr="00F85CA6">
        <w:rPr>
          <w:rFonts w:eastAsia="Calibri"/>
          <w:sz w:val="22"/>
          <w:szCs w:val="22"/>
          <w:lang w:val="sr-Latn-ME"/>
        </w:rPr>
        <w:t xml:space="preserve"> </w:t>
      </w:r>
      <w:r w:rsidRPr="00F85CA6">
        <w:rPr>
          <w:rFonts w:eastAsia="Calibri"/>
          <w:sz w:val="22"/>
          <w:szCs w:val="22"/>
          <w:lang w:val="sr-Latn-ME"/>
        </w:rPr>
        <w:t>100 kg u poređenju sa pacijentima sa t</w:t>
      </w:r>
      <w:r w:rsidR="00776E71" w:rsidRPr="00F85CA6">
        <w:rPr>
          <w:rFonts w:eastAsia="Calibri"/>
          <w:sz w:val="22"/>
          <w:szCs w:val="22"/>
          <w:lang w:val="sr-Latn-ME"/>
        </w:rPr>
        <w:t>j</w:t>
      </w:r>
      <w:r w:rsidRPr="00F85CA6">
        <w:rPr>
          <w:rFonts w:eastAsia="Calibri"/>
          <w:sz w:val="22"/>
          <w:szCs w:val="22"/>
          <w:lang w:val="sr-Latn-ME"/>
        </w:rPr>
        <w:t>elesnom masom od 50-100 kg. Većina ispitanika (80,8%) je bila u kategoriji t</w:t>
      </w:r>
      <w:r w:rsidR="00776E71" w:rsidRPr="00F85CA6">
        <w:rPr>
          <w:rFonts w:eastAsia="Calibri"/>
          <w:sz w:val="22"/>
          <w:szCs w:val="22"/>
          <w:lang w:val="sr-Latn-ME"/>
        </w:rPr>
        <w:t>j</w:t>
      </w:r>
      <w:r w:rsidRPr="00F85CA6">
        <w:rPr>
          <w:rFonts w:eastAsia="Calibri"/>
          <w:sz w:val="22"/>
          <w:szCs w:val="22"/>
          <w:lang w:val="sr-Latn-ME"/>
        </w:rPr>
        <w:t>elesne mase ≥</w:t>
      </w:r>
      <w:r w:rsidR="00654F22" w:rsidRPr="00F85CA6">
        <w:rPr>
          <w:rFonts w:eastAsia="Calibri"/>
          <w:sz w:val="22"/>
          <w:szCs w:val="22"/>
          <w:lang w:val="sr-Latn-ME"/>
        </w:rPr>
        <w:t xml:space="preserve"> </w:t>
      </w:r>
      <w:r w:rsidRPr="00F85CA6">
        <w:rPr>
          <w:rFonts w:eastAsia="Calibri"/>
          <w:sz w:val="22"/>
          <w:szCs w:val="22"/>
          <w:lang w:val="sr-Latn-ME"/>
        </w:rPr>
        <w:t>50 kg i &lt;</w:t>
      </w:r>
      <w:r w:rsidR="00654F22" w:rsidRPr="00F85CA6">
        <w:rPr>
          <w:rFonts w:eastAsia="Calibri"/>
          <w:sz w:val="22"/>
          <w:szCs w:val="22"/>
          <w:lang w:val="sr-Latn-ME"/>
        </w:rPr>
        <w:t xml:space="preserve"> </w:t>
      </w:r>
      <w:r w:rsidRPr="00F85CA6">
        <w:rPr>
          <w:rFonts w:eastAsia="Calibri"/>
          <w:sz w:val="22"/>
          <w:szCs w:val="22"/>
          <w:lang w:val="sr-Latn-ME"/>
        </w:rPr>
        <w:t>100 kg, bez jasno vidljivih razlika (vid</w:t>
      </w:r>
      <w:r w:rsidR="00776E71" w:rsidRPr="00F85CA6">
        <w:rPr>
          <w:rFonts w:eastAsia="Calibri"/>
          <w:sz w:val="22"/>
          <w:szCs w:val="22"/>
          <w:lang w:val="sr-Latn-ME"/>
        </w:rPr>
        <w:t>j</w:t>
      </w:r>
      <w:r w:rsidRPr="00F85CA6">
        <w:rPr>
          <w:rFonts w:eastAsia="Calibri"/>
          <w:sz w:val="22"/>
          <w:szCs w:val="22"/>
          <w:lang w:val="sr-Latn-ME"/>
        </w:rPr>
        <w:t xml:space="preserve">eti </w:t>
      </w:r>
      <w:r w:rsidR="00E86C27" w:rsidRPr="00F85CA6">
        <w:rPr>
          <w:rFonts w:eastAsia="Calibri"/>
          <w:sz w:val="22"/>
          <w:szCs w:val="22"/>
          <w:lang w:val="sr-Latn-ME"/>
        </w:rPr>
        <w:t>djelove</w:t>
      </w:r>
      <w:r w:rsidRPr="00F85CA6">
        <w:rPr>
          <w:rFonts w:eastAsia="Calibri"/>
          <w:sz w:val="22"/>
          <w:szCs w:val="22"/>
          <w:lang w:val="sr-Latn-ME"/>
        </w:rPr>
        <w:t xml:space="preserve"> 4.2 i 4.4). Kliničko iskustvo sa odraslim pacijentima sa t</w:t>
      </w:r>
      <w:r w:rsidR="00776E71" w:rsidRPr="00F85CA6">
        <w:rPr>
          <w:rFonts w:eastAsia="Calibri"/>
          <w:sz w:val="22"/>
          <w:szCs w:val="22"/>
          <w:lang w:val="sr-Latn-ME"/>
        </w:rPr>
        <w:t>j</w:t>
      </w:r>
      <w:r w:rsidRPr="00F85CA6">
        <w:rPr>
          <w:rFonts w:eastAsia="Calibri"/>
          <w:sz w:val="22"/>
          <w:szCs w:val="22"/>
          <w:lang w:val="sr-Latn-ME"/>
        </w:rPr>
        <w:t>elesnom masom &lt;</w:t>
      </w:r>
      <w:r w:rsidR="00654F22" w:rsidRPr="00F85CA6">
        <w:rPr>
          <w:rFonts w:eastAsia="Calibri"/>
          <w:sz w:val="22"/>
          <w:szCs w:val="22"/>
          <w:lang w:val="sr-Latn-ME"/>
        </w:rPr>
        <w:t xml:space="preserve"> </w:t>
      </w:r>
      <w:r w:rsidRPr="00F85CA6">
        <w:rPr>
          <w:rFonts w:eastAsia="Calibri"/>
          <w:sz w:val="22"/>
          <w:szCs w:val="22"/>
          <w:lang w:val="sr-Latn-ME"/>
        </w:rPr>
        <w:t>50 kg je ograničeno.</w:t>
      </w:r>
    </w:p>
    <w:p w14:paraId="31F6FFF2" w14:textId="77777777" w:rsidR="00F340D8" w:rsidRPr="00F85CA6" w:rsidRDefault="00F340D8" w:rsidP="00F340D8">
      <w:pPr>
        <w:jc w:val="both"/>
        <w:rPr>
          <w:rFonts w:eastAsia="Calibri"/>
          <w:sz w:val="22"/>
          <w:szCs w:val="22"/>
          <w:lang w:val="sr-Latn-ME"/>
        </w:rPr>
      </w:pPr>
    </w:p>
    <w:p w14:paraId="6BC5B3A3" w14:textId="77777777" w:rsidR="00F340D8" w:rsidRPr="00F85CA6" w:rsidRDefault="00F340D8" w:rsidP="00F340D8">
      <w:pPr>
        <w:jc w:val="both"/>
        <w:rPr>
          <w:rFonts w:eastAsia="Calibri"/>
          <w:i/>
          <w:iCs/>
          <w:sz w:val="22"/>
          <w:szCs w:val="22"/>
          <w:u w:val="single"/>
          <w:lang w:val="sr-Latn-ME"/>
        </w:rPr>
      </w:pPr>
      <w:r w:rsidRPr="00F85CA6">
        <w:rPr>
          <w:rFonts w:eastAsia="Calibri"/>
          <w:i/>
          <w:iCs/>
          <w:sz w:val="22"/>
          <w:szCs w:val="22"/>
          <w:u w:val="single"/>
          <w:lang w:val="sr-Latn-ME"/>
        </w:rPr>
        <w:t>Pol</w:t>
      </w:r>
    </w:p>
    <w:p w14:paraId="1A89746B" w14:textId="436EC164" w:rsidR="00F340D8" w:rsidRPr="00F85CA6" w:rsidRDefault="00F340D8" w:rsidP="00F340D8">
      <w:pPr>
        <w:jc w:val="both"/>
        <w:rPr>
          <w:rFonts w:eastAsia="Calibri"/>
          <w:sz w:val="22"/>
          <w:szCs w:val="22"/>
          <w:lang w:val="sr-Latn-ME"/>
        </w:rPr>
      </w:pPr>
      <w:r w:rsidRPr="00F85CA6">
        <w:rPr>
          <w:rFonts w:eastAsia="Calibri"/>
          <w:sz w:val="22"/>
          <w:szCs w:val="22"/>
          <w:lang w:val="sr-Latn-ME"/>
        </w:rPr>
        <w:t>U studijama primarne prevencije VTE izloženost aktivne supstance kod pacijenata ženskog pola je bila oko 40% do 50% veća i ne preporučuje se prilagođavanje doze. Kod pacijenata sa atrijalnom fibrilacijom žene su u pros</w:t>
      </w:r>
      <w:r w:rsidR="00E86C27" w:rsidRPr="00F85CA6">
        <w:rPr>
          <w:rFonts w:eastAsia="Calibri"/>
          <w:sz w:val="22"/>
          <w:szCs w:val="22"/>
          <w:lang w:val="sr-Latn-ME"/>
        </w:rPr>
        <w:t>j</w:t>
      </w:r>
      <w:r w:rsidRPr="00F85CA6">
        <w:rPr>
          <w:rFonts w:eastAsia="Calibri"/>
          <w:sz w:val="22"/>
          <w:szCs w:val="22"/>
          <w:lang w:val="sr-Latn-ME"/>
        </w:rPr>
        <w:t>eku imale 30% veće najmanje koncentracije i koncentracije posl</w:t>
      </w:r>
      <w:r w:rsidR="00E86C27" w:rsidRPr="00F85CA6">
        <w:rPr>
          <w:rFonts w:eastAsia="Calibri"/>
          <w:sz w:val="22"/>
          <w:szCs w:val="22"/>
          <w:lang w:val="sr-Latn-ME"/>
        </w:rPr>
        <w:t>ij</w:t>
      </w:r>
      <w:r w:rsidRPr="00F85CA6">
        <w:rPr>
          <w:rFonts w:eastAsia="Calibri"/>
          <w:sz w:val="22"/>
          <w:szCs w:val="22"/>
          <w:lang w:val="sr-Latn-ME"/>
        </w:rPr>
        <w:t>e doze. Nije potrebno prilagođavanje doze (vid</w:t>
      </w:r>
      <w:r w:rsidR="00776E71" w:rsidRPr="00F85CA6">
        <w:rPr>
          <w:rFonts w:eastAsia="Calibri"/>
          <w:sz w:val="22"/>
          <w:szCs w:val="22"/>
          <w:lang w:val="sr-Latn-ME"/>
        </w:rPr>
        <w:t>j</w:t>
      </w:r>
      <w:r w:rsidRPr="00F85CA6">
        <w:rPr>
          <w:rFonts w:eastAsia="Calibri"/>
          <w:sz w:val="22"/>
          <w:szCs w:val="22"/>
          <w:lang w:val="sr-Latn-ME"/>
        </w:rPr>
        <w:t xml:space="preserve">eti </w:t>
      </w:r>
      <w:r w:rsidR="00E86C27" w:rsidRPr="00F85CA6">
        <w:rPr>
          <w:rFonts w:eastAsia="Calibri"/>
          <w:sz w:val="22"/>
          <w:szCs w:val="22"/>
          <w:lang w:val="sr-Latn-ME"/>
        </w:rPr>
        <w:t>dio</w:t>
      </w:r>
      <w:r w:rsidRPr="00F85CA6">
        <w:rPr>
          <w:rFonts w:eastAsia="Calibri"/>
          <w:sz w:val="22"/>
          <w:szCs w:val="22"/>
          <w:lang w:val="sr-Latn-ME"/>
        </w:rPr>
        <w:t xml:space="preserve"> 4.2).</w:t>
      </w:r>
    </w:p>
    <w:p w14:paraId="2643FE9F" w14:textId="77777777" w:rsidR="00F340D8" w:rsidRPr="00F85CA6" w:rsidRDefault="00F340D8" w:rsidP="00F340D8">
      <w:pPr>
        <w:jc w:val="both"/>
        <w:rPr>
          <w:rFonts w:eastAsia="Calibri"/>
          <w:sz w:val="22"/>
          <w:szCs w:val="22"/>
          <w:lang w:val="sr-Latn-ME"/>
        </w:rPr>
      </w:pPr>
    </w:p>
    <w:p w14:paraId="198BD3C2" w14:textId="218892E2" w:rsidR="00F340D8" w:rsidRPr="00F85CA6" w:rsidRDefault="00F340D8" w:rsidP="00F340D8">
      <w:pPr>
        <w:jc w:val="both"/>
        <w:rPr>
          <w:rFonts w:eastAsia="Calibri"/>
          <w:i/>
          <w:iCs/>
          <w:sz w:val="22"/>
          <w:szCs w:val="22"/>
          <w:u w:val="single"/>
          <w:lang w:val="sr-Latn-ME"/>
        </w:rPr>
      </w:pPr>
      <w:r w:rsidRPr="00F85CA6">
        <w:rPr>
          <w:rFonts w:eastAsia="Calibri"/>
          <w:i/>
          <w:iCs/>
          <w:sz w:val="22"/>
          <w:szCs w:val="22"/>
          <w:u w:val="single"/>
          <w:lang w:val="sr-Latn-ME"/>
        </w:rPr>
        <w:t>Etničko por</w:t>
      </w:r>
      <w:r w:rsidR="00F3529E" w:rsidRPr="00F85CA6">
        <w:rPr>
          <w:rFonts w:eastAsia="Calibri"/>
          <w:i/>
          <w:iCs/>
          <w:sz w:val="22"/>
          <w:szCs w:val="22"/>
          <w:u w:val="single"/>
          <w:lang w:val="sr-Latn-ME"/>
        </w:rPr>
        <w:t>ij</w:t>
      </w:r>
      <w:r w:rsidRPr="00F85CA6">
        <w:rPr>
          <w:rFonts w:eastAsia="Calibri"/>
          <w:i/>
          <w:iCs/>
          <w:sz w:val="22"/>
          <w:szCs w:val="22"/>
          <w:u w:val="single"/>
          <w:lang w:val="sr-Latn-ME"/>
        </w:rPr>
        <w:t xml:space="preserve">eklo </w:t>
      </w:r>
    </w:p>
    <w:p w14:paraId="24478395" w14:textId="33DE5F67" w:rsidR="00F340D8" w:rsidRPr="00F85CA6" w:rsidRDefault="00F340D8" w:rsidP="00F340D8">
      <w:pPr>
        <w:jc w:val="both"/>
        <w:rPr>
          <w:rFonts w:eastAsia="Calibri"/>
          <w:iCs/>
          <w:sz w:val="22"/>
          <w:szCs w:val="22"/>
          <w:lang w:val="sr-Latn-ME"/>
        </w:rPr>
      </w:pPr>
      <w:r w:rsidRPr="00F85CA6">
        <w:rPr>
          <w:rFonts w:eastAsia="Calibri"/>
          <w:iCs/>
          <w:sz w:val="22"/>
          <w:szCs w:val="22"/>
          <w:lang w:val="sr-Latn-ME"/>
        </w:rPr>
        <w:t>Ni</w:t>
      </w:r>
      <w:r w:rsidR="003663D5" w:rsidRPr="00F85CA6">
        <w:rPr>
          <w:rFonts w:eastAsia="Calibri"/>
          <w:iCs/>
          <w:sz w:val="22"/>
          <w:szCs w:val="22"/>
          <w:lang w:val="sr-Latn-ME"/>
        </w:rPr>
        <w:t>je</w:t>
      </w:r>
      <w:r w:rsidRPr="00F85CA6">
        <w:rPr>
          <w:rFonts w:eastAsia="Calibri"/>
          <w:iCs/>
          <w:sz w:val="22"/>
          <w:szCs w:val="22"/>
          <w:lang w:val="sr-Latn-ME"/>
        </w:rPr>
        <w:t>su uočene klinički značajne među</w:t>
      </w:r>
      <w:r w:rsidRPr="00F85CA6">
        <w:rPr>
          <w:rFonts w:eastAsia="Calibri"/>
          <w:sz w:val="22"/>
          <w:szCs w:val="22"/>
          <w:lang w:val="sr-Latn-ME"/>
        </w:rPr>
        <w:t>etničke</w:t>
      </w:r>
      <w:r w:rsidRPr="00F85CA6">
        <w:rPr>
          <w:rFonts w:eastAsia="Calibri"/>
          <w:iCs/>
          <w:sz w:val="22"/>
          <w:szCs w:val="22"/>
          <w:lang w:val="sr-Latn-ME"/>
        </w:rPr>
        <w:t xml:space="preserve"> razlike </w:t>
      </w:r>
      <w:r w:rsidRPr="00F85CA6">
        <w:rPr>
          <w:rFonts w:eastAsia="Calibri"/>
          <w:sz w:val="22"/>
          <w:szCs w:val="22"/>
          <w:lang w:val="sr-Latn-ME"/>
        </w:rPr>
        <w:t>među pacijentima b</w:t>
      </w:r>
      <w:r w:rsidR="00776E71" w:rsidRPr="00F85CA6">
        <w:rPr>
          <w:rFonts w:eastAsia="Calibri"/>
          <w:sz w:val="22"/>
          <w:szCs w:val="22"/>
          <w:lang w:val="sr-Latn-ME"/>
        </w:rPr>
        <w:t>ij</w:t>
      </w:r>
      <w:r w:rsidRPr="00F85CA6">
        <w:rPr>
          <w:rFonts w:eastAsia="Calibri"/>
          <w:sz w:val="22"/>
          <w:szCs w:val="22"/>
          <w:lang w:val="sr-Latn-ME"/>
        </w:rPr>
        <w:t>ele rase, Afro-Amerikanacima, Hispancima, Japancima ili Kinezima u</w:t>
      </w:r>
      <w:r w:rsidRPr="00F85CA6">
        <w:rPr>
          <w:rFonts w:eastAsia="Calibri"/>
          <w:iCs/>
          <w:sz w:val="22"/>
          <w:szCs w:val="22"/>
          <w:lang w:val="sr-Latn-ME"/>
        </w:rPr>
        <w:t xml:space="preserve"> pogledu farmakokinetike i farmakodinamike dabigatrana.</w:t>
      </w:r>
    </w:p>
    <w:p w14:paraId="668FB741" w14:textId="77777777" w:rsidR="00F340D8" w:rsidRPr="00F85CA6" w:rsidRDefault="00F340D8" w:rsidP="00F340D8">
      <w:pPr>
        <w:jc w:val="both"/>
        <w:rPr>
          <w:rFonts w:eastAsia="Calibri"/>
          <w:iCs/>
          <w:sz w:val="22"/>
          <w:szCs w:val="22"/>
          <w:lang w:val="sr-Latn-ME"/>
        </w:rPr>
      </w:pPr>
    </w:p>
    <w:p w14:paraId="3276276F" w14:textId="77777777" w:rsidR="00F340D8" w:rsidRPr="00F85CA6" w:rsidRDefault="00F340D8" w:rsidP="00F340D8">
      <w:pPr>
        <w:jc w:val="both"/>
        <w:rPr>
          <w:rFonts w:eastAsia="Calibri"/>
          <w:i/>
          <w:sz w:val="22"/>
          <w:szCs w:val="22"/>
          <w:u w:val="single"/>
          <w:lang w:val="sr-Latn-ME"/>
        </w:rPr>
      </w:pPr>
      <w:r w:rsidRPr="00F85CA6">
        <w:rPr>
          <w:rFonts w:eastAsia="Calibri"/>
          <w:i/>
          <w:sz w:val="22"/>
          <w:szCs w:val="22"/>
          <w:u w:val="single"/>
          <w:lang w:val="sr-Latn-ME"/>
        </w:rPr>
        <w:t>Pedijatrijska populacija</w:t>
      </w:r>
    </w:p>
    <w:p w14:paraId="79D39999" w14:textId="27DA7487" w:rsidR="00F340D8" w:rsidRPr="00F85CA6" w:rsidRDefault="00F340D8" w:rsidP="00F340D8">
      <w:pPr>
        <w:jc w:val="both"/>
        <w:rPr>
          <w:rFonts w:eastAsia="Calibri"/>
          <w:sz w:val="22"/>
          <w:szCs w:val="22"/>
          <w:lang w:val="sr-Latn-ME"/>
        </w:rPr>
      </w:pPr>
      <w:r w:rsidRPr="00F85CA6">
        <w:rPr>
          <w:rFonts w:eastAsia="Calibri"/>
          <w:sz w:val="22"/>
          <w:szCs w:val="22"/>
          <w:lang w:val="sr-Latn-ME"/>
        </w:rPr>
        <w:t>Oralna prim</w:t>
      </w:r>
      <w:r w:rsidR="00776E71" w:rsidRPr="00F85CA6">
        <w:rPr>
          <w:rFonts w:eastAsia="Calibri"/>
          <w:sz w:val="22"/>
          <w:szCs w:val="22"/>
          <w:lang w:val="sr-Latn-ME"/>
        </w:rPr>
        <w:t>j</w:t>
      </w:r>
      <w:r w:rsidRPr="00F85CA6">
        <w:rPr>
          <w:rFonts w:eastAsia="Calibri"/>
          <w:sz w:val="22"/>
          <w:szCs w:val="22"/>
          <w:lang w:val="sr-Latn-ME"/>
        </w:rPr>
        <w:t>ena dabigatraneteksilata prema algoritmu doziranja definisanom u protokolu rezultovala je izloženošću unutar opsega zapaženog kod odraslih sa DVT/PE. Na osnovu objedinjene analize farmakokinetičkih podataka iz studija DIVERSITY i 1160.108, zapažene geometrijske srednje vr</w:t>
      </w:r>
      <w:r w:rsidR="00776E71" w:rsidRPr="00F85CA6">
        <w:rPr>
          <w:rFonts w:eastAsia="Calibri"/>
          <w:sz w:val="22"/>
          <w:szCs w:val="22"/>
          <w:lang w:val="sr-Latn-ME"/>
        </w:rPr>
        <w:t>ij</w:t>
      </w:r>
      <w:r w:rsidRPr="00F85CA6">
        <w:rPr>
          <w:rFonts w:eastAsia="Calibri"/>
          <w:sz w:val="22"/>
          <w:szCs w:val="22"/>
          <w:lang w:val="sr-Latn-ME"/>
        </w:rPr>
        <w:t>ednosti najmanje izloženosti bile su 53,9 nanograma/m</w:t>
      </w:r>
      <w:r w:rsidR="003663D5" w:rsidRPr="00F85CA6">
        <w:rPr>
          <w:rFonts w:eastAsia="Calibri"/>
          <w:sz w:val="22"/>
          <w:szCs w:val="22"/>
          <w:lang w:val="sr-Latn-ME"/>
        </w:rPr>
        <w:t>l</w:t>
      </w:r>
      <w:r w:rsidRPr="00F85CA6">
        <w:rPr>
          <w:rFonts w:eastAsia="Calibri"/>
          <w:sz w:val="22"/>
          <w:szCs w:val="22"/>
          <w:lang w:val="sr-Latn-ME"/>
        </w:rPr>
        <w:t>, 63,0 nanograma/m</w:t>
      </w:r>
      <w:r w:rsidR="003663D5" w:rsidRPr="00F85CA6">
        <w:rPr>
          <w:rFonts w:eastAsia="Calibri"/>
          <w:sz w:val="22"/>
          <w:szCs w:val="22"/>
          <w:lang w:val="sr-Latn-ME"/>
        </w:rPr>
        <w:t>l</w:t>
      </w:r>
      <w:r w:rsidRPr="00F85CA6">
        <w:rPr>
          <w:rFonts w:eastAsia="Calibri"/>
          <w:sz w:val="22"/>
          <w:szCs w:val="22"/>
          <w:lang w:val="sr-Latn-ME"/>
        </w:rPr>
        <w:t>, odnosno 99,1 nanograma/m</w:t>
      </w:r>
      <w:r w:rsidR="003663D5" w:rsidRPr="00F85CA6">
        <w:rPr>
          <w:rFonts w:eastAsia="Calibri"/>
          <w:sz w:val="22"/>
          <w:szCs w:val="22"/>
          <w:lang w:val="sr-Latn-ME"/>
        </w:rPr>
        <w:t>l</w:t>
      </w:r>
      <w:r w:rsidRPr="00F85CA6">
        <w:rPr>
          <w:rFonts w:eastAsia="Calibri"/>
          <w:sz w:val="22"/>
          <w:szCs w:val="22"/>
          <w:lang w:val="sr-Latn-ME"/>
        </w:rPr>
        <w:t xml:space="preserve"> u grupama pedijatrijskih VTE pacijenata od 0 do 2 godine, 2 do &lt;</w:t>
      </w:r>
      <w:r w:rsidR="003663D5" w:rsidRPr="00F85CA6">
        <w:rPr>
          <w:rFonts w:eastAsia="Calibri"/>
          <w:sz w:val="22"/>
          <w:szCs w:val="22"/>
          <w:lang w:val="sr-Latn-ME"/>
        </w:rPr>
        <w:t xml:space="preserve"> </w:t>
      </w:r>
      <w:r w:rsidRPr="00F85CA6">
        <w:rPr>
          <w:rFonts w:eastAsia="Calibri"/>
          <w:sz w:val="22"/>
          <w:szCs w:val="22"/>
          <w:lang w:val="sr-Latn-ME"/>
        </w:rPr>
        <w:t>12 godina, odnosno 12 do &lt;</w:t>
      </w:r>
      <w:r w:rsidR="003663D5" w:rsidRPr="00F85CA6">
        <w:rPr>
          <w:rFonts w:eastAsia="Calibri"/>
          <w:sz w:val="22"/>
          <w:szCs w:val="22"/>
          <w:lang w:val="sr-Latn-ME"/>
        </w:rPr>
        <w:t xml:space="preserve"> </w:t>
      </w:r>
      <w:r w:rsidRPr="00F85CA6">
        <w:rPr>
          <w:rFonts w:eastAsia="Calibri"/>
          <w:sz w:val="22"/>
          <w:szCs w:val="22"/>
          <w:lang w:val="sr-Latn-ME"/>
        </w:rPr>
        <w:t>18 godina.</w:t>
      </w:r>
    </w:p>
    <w:p w14:paraId="45B87F56" w14:textId="77777777" w:rsidR="00F340D8" w:rsidRPr="00F85CA6" w:rsidRDefault="00F340D8" w:rsidP="00F340D8">
      <w:pPr>
        <w:jc w:val="both"/>
        <w:rPr>
          <w:rFonts w:eastAsia="Calibri"/>
          <w:iCs/>
          <w:sz w:val="22"/>
          <w:szCs w:val="22"/>
          <w:lang w:val="sr-Latn-ME"/>
        </w:rPr>
      </w:pPr>
    </w:p>
    <w:p w14:paraId="51F9F0B7" w14:textId="77777777" w:rsidR="00F340D8" w:rsidRPr="00F85CA6" w:rsidRDefault="00F340D8" w:rsidP="00F340D8">
      <w:pPr>
        <w:jc w:val="both"/>
        <w:rPr>
          <w:rFonts w:eastAsia="Calibri"/>
          <w:iCs/>
          <w:sz w:val="22"/>
          <w:szCs w:val="22"/>
          <w:u w:val="single"/>
          <w:lang w:val="sr-Latn-ME"/>
        </w:rPr>
      </w:pPr>
      <w:r w:rsidRPr="00F85CA6">
        <w:rPr>
          <w:rFonts w:eastAsia="Calibri"/>
          <w:iCs/>
          <w:sz w:val="22"/>
          <w:szCs w:val="22"/>
          <w:u w:val="single"/>
          <w:lang w:val="sr-Latn-ME"/>
        </w:rPr>
        <w:t>Farmakokinetičke interakcije</w:t>
      </w:r>
    </w:p>
    <w:p w14:paraId="7C947A96" w14:textId="77777777" w:rsidR="00F340D8" w:rsidRPr="00F85CA6" w:rsidRDefault="00F340D8" w:rsidP="00F340D8">
      <w:pPr>
        <w:jc w:val="both"/>
        <w:rPr>
          <w:rFonts w:eastAsia="Calibri"/>
          <w:sz w:val="22"/>
          <w:szCs w:val="22"/>
          <w:lang w:val="sr-Latn-ME"/>
        </w:rPr>
      </w:pPr>
    </w:p>
    <w:p w14:paraId="7E4A4FF8" w14:textId="53CAF1B4" w:rsidR="00F340D8" w:rsidRPr="00F85CA6" w:rsidRDefault="00F340D8" w:rsidP="00F340D8">
      <w:pPr>
        <w:jc w:val="both"/>
        <w:rPr>
          <w:rFonts w:eastAsia="Calibri"/>
          <w:sz w:val="22"/>
          <w:szCs w:val="22"/>
          <w:lang w:val="sr-Latn-ME"/>
        </w:rPr>
      </w:pPr>
      <w:r w:rsidRPr="00F85CA6">
        <w:rPr>
          <w:rFonts w:eastAsia="Calibri"/>
          <w:sz w:val="22"/>
          <w:szCs w:val="22"/>
          <w:lang w:val="sr-Latn-ME"/>
        </w:rPr>
        <w:t xml:space="preserve">Studije interakcija </w:t>
      </w:r>
      <w:r w:rsidRPr="00F85CA6">
        <w:rPr>
          <w:rFonts w:eastAsia="Calibri"/>
          <w:i/>
          <w:sz w:val="22"/>
          <w:szCs w:val="22"/>
          <w:lang w:val="sr-Latn-ME"/>
        </w:rPr>
        <w:t>in vitro</w:t>
      </w:r>
      <w:r w:rsidRPr="00F85CA6">
        <w:rPr>
          <w:rFonts w:eastAsia="Calibri"/>
          <w:sz w:val="22"/>
          <w:szCs w:val="22"/>
          <w:lang w:val="sr-Latn-ME"/>
        </w:rPr>
        <w:t xml:space="preserve"> ni</w:t>
      </w:r>
      <w:r w:rsidR="00E86C27" w:rsidRPr="00F85CA6">
        <w:rPr>
          <w:rFonts w:eastAsia="Calibri"/>
          <w:sz w:val="22"/>
          <w:szCs w:val="22"/>
          <w:lang w:val="sr-Latn-ME"/>
        </w:rPr>
        <w:t>je</w:t>
      </w:r>
      <w:r w:rsidRPr="00F85CA6">
        <w:rPr>
          <w:rFonts w:eastAsia="Calibri"/>
          <w:sz w:val="22"/>
          <w:szCs w:val="22"/>
          <w:lang w:val="sr-Latn-ME"/>
        </w:rPr>
        <w:t xml:space="preserve">su pokazale nikakvu inhibiciju ili indukciju glavnih izoenzima citohroma P450. To su potvrdile studije </w:t>
      </w:r>
      <w:r w:rsidRPr="00F85CA6">
        <w:rPr>
          <w:rFonts w:eastAsia="Calibri"/>
          <w:i/>
          <w:sz w:val="22"/>
          <w:szCs w:val="22"/>
          <w:lang w:val="sr-Latn-ME"/>
        </w:rPr>
        <w:t>in vivo</w:t>
      </w:r>
      <w:r w:rsidRPr="00F85CA6">
        <w:rPr>
          <w:rFonts w:eastAsia="Calibri"/>
          <w:sz w:val="22"/>
          <w:szCs w:val="22"/>
          <w:lang w:val="sr-Latn-ME"/>
        </w:rPr>
        <w:t xml:space="preserve"> sa zdravim dobrovoljcima, kod kojih nije bilo nikakve interakcije između ove terapije i sl</w:t>
      </w:r>
      <w:r w:rsidR="00776E71" w:rsidRPr="00F85CA6">
        <w:rPr>
          <w:rFonts w:eastAsia="Calibri"/>
          <w:sz w:val="22"/>
          <w:szCs w:val="22"/>
          <w:lang w:val="sr-Latn-ME"/>
        </w:rPr>
        <w:t>j</w:t>
      </w:r>
      <w:r w:rsidRPr="00F85CA6">
        <w:rPr>
          <w:rFonts w:eastAsia="Calibri"/>
          <w:sz w:val="22"/>
          <w:szCs w:val="22"/>
          <w:lang w:val="sr-Latn-ME"/>
        </w:rPr>
        <w:t xml:space="preserve">edećih aktivnih supstanci: atorvastatina (CYP3A4), digoksina (interakcija sa transportnim P-glikoproteinom) i diklofenaka (CYP2C9). </w:t>
      </w:r>
    </w:p>
    <w:p w14:paraId="621EF677" w14:textId="77777777" w:rsidR="00F340D8" w:rsidRPr="00F85CA6" w:rsidRDefault="00F340D8" w:rsidP="00480FB1">
      <w:pPr>
        <w:tabs>
          <w:tab w:val="left" w:pos="540"/>
          <w:tab w:val="left" w:pos="569"/>
        </w:tabs>
        <w:rPr>
          <w:bCs/>
          <w:sz w:val="22"/>
          <w:szCs w:val="22"/>
          <w:lang w:val="sr-Latn-ME"/>
        </w:rPr>
      </w:pPr>
    </w:p>
    <w:p w14:paraId="792FFDB1" w14:textId="71F97A61" w:rsidR="0072020E" w:rsidRPr="00F85CA6" w:rsidRDefault="0072020E" w:rsidP="00480FB1">
      <w:pPr>
        <w:tabs>
          <w:tab w:val="left" w:pos="540"/>
          <w:tab w:val="left" w:pos="569"/>
        </w:tabs>
        <w:rPr>
          <w:b/>
          <w:bCs/>
          <w:sz w:val="22"/>
          <w:szCs w:val="22"/>
          <w:lang w:val="sr-Latn-ME"/>
        </w:rPr>
      </w:pPr>
      <w:r w:rsidRPr="00F85CA6">
        <w:rPr>
          <w:b/>
          <w:bCs/>
          <w:sz w:val="22"/>
          <w:szCs w:val="22"/>
          <w:lang w:val="sr-Latn-ME"/>
        </w:rPr>
        <w:t xml:space="preserve">5.3. </w:t>
      </w:r>
      <w:r w:rsidR="00480FB1" w:rsidRPr="00F85CA6">
        <w:rPr>
          <w:b/>
          <w:bCs/>
          <w:sz w:val="22"/>
          <w:szCs w:val="22"/>
          <w:lang w:val="sr-Latn-ME"/>
        </w:rPr>
        <w:tab/>
      </w:r>
      <w:r w:rsidR="003E5AF3" w:rsidRPr="00F85CA6">
        <w:rPr>
          <w:b/>
          <w:bCs/>
          <w:sz w:val="22"/>
          <w:szCs w:val="22"/>
          <w:lang w:val="sr-Latn-ME"/>
        </w:rPr>
        <w:t>Pre</w:t>
      </w:r>
      <w:r w:rsidRPr="00F85CA6">
        <w:rPr>
          <w:b/>
          <w:bCs/>
          <w:sz w:val="22"/>
          <w:szCs w:val="22"/>
          <w:lang w:val="sr-Latn-ME"/>
        </w:rPr>
        <w:t xml:space="preserve">tklinički podaci o bezbjednosti </w:t>
      </w:r>
    </w:p>
    <w:p w14:paraId="41245F78" w14:textId="77777777" w:rsidR="00836B35" w:rsidRPr="00F85CA6" w:rsidRDefault="00836B35" w:rsidP="00480FB1">
      <w:pPr>
        <w:tabs>
          <w:tab w:val="left" w:pos="540"/>
          <w:tab w:val="left" w:pos="569"/>
        </w:tabs>
        <w:rPr>
          <w:bCs/>
          <w:sz w:val="22"/>
          <w:szCs w:val="22"/>
          <w:lang w:val="sr-Latn-ME"/>
        </w:rPr>
      </w:pPr>
    </w:p>
    <w:p w14:paraId="5AA1D26E" w14:textId="02B52E2C" w:rsidR="00776E71" w:rsidRPr="00F85CA6" w:rsidRDefault="00776E71" w:rsidP="00776E71">
      <w:pPr>
        <w:jc w:val="both"/>
        <w:rPr>
          <w:rFonts w:eastAsia="Calibri"/>
          <w:sz w:val="22"/>
          <w:szCs w:val="22"/>
          <w:lang w:val="sr-Latn-ME"/>
        </w:rPr>
      </w:pPr>
      <w:r w:rsidRPr="00F85CA6">
        <w:rPr>
          <w:rFonts w:eastAsia="Calibri"/>
          <w:sz w:val="22"/>
          <w:szCs w:val="22"/>
          <w:lang w:val="sr-Latn-ME"/>
        </w:rPr>
        <w:lastRenderedPageBreak/>
        <w:t xml:space="preserve">Pretklinički podaci dobijeni na osnovu konvencionalnih studija bezbjednosne farmakologije, toksičnosti ponovljenih doza i genotoksičnosti, ne ukazuju na posebne razlike pri primjeni lijeka kod ljudi. </w:t>
      </w:r>
    </w:p>
    <w:p w14:paraId="0D12B4B5" w14:textId="77777777" w:rsidR="00776E71" w:rsidRPr="00F85CA6" w:rsidRDefault="00776E71" w:rsidP="00776E71">
      <w:pPr>
        <w:jc w:val="both"/>
        <w:rPr>
          <w:rFonts w:eastAsia="Calibri"/>
          <w:sz w:val="22"/>
          <w:szCs w:val="22"/>
          <w:lang w:val="sr-Latn-ME"/>
        </w:rPr>
      </w:pPr>
    </w:p>
    <w:p w14:paraId="21AB4911" w14:textId="6C8E1806" w:rsidR="00776E71" w:rsidRPr="00F85CA6" w:rsidRDefault="003663D5" w:rsidP="00776E71">
      <w:pPr>
        <w:jc w:val="both"/>
        <w:rPr>
          <w:rFonts w:eastAsia="Calibri"/>
          <w:sz w:val="22"/>
          <w:szCs w:val="22"/>
          <w:lang w:val="sr-Latn-ME"/>
        </w:rPr>
      </w:pPr>
      <w:r w:rsidRPr="00F85CA6">
        <w:rPr>
          <w:rFonts w:eastAsia="Calibri"/>
          <w:sz w:val="22"/>
          <w:szCs w:val="22"/>
          <w:lang w:val="sr-Latn-ME"/>
        </w:rPr>
        <w:t>Efekti</w:t>
      </w:r>
      <w:r w:rsidR="00776E71" w:rsidRPr="00F85CA6">
        <w:rPr>
          <w:rFonts w:eastAsia="Calibri"/>
          <w:sz w:val="22"/>
          <w:szCs w:val="22"/>
          <w:lang w:val="sr-Latn-ME"/>
        </w:rPr>
        <w:t xml:space="preserve"> uočeni u studijama toksičnosti ponovljenih doza </w:t>
      </w:r>
      <w:r w:rsidRPr="00F85CA6">
        <w:rPr>
          <w:rFonts w:eastAsia="Calibri"/>
          <w:sz w:val="22"/>
          <w:szCs w:val="22"/>
          <w:lang w:val="sr-Latn-ME"/>
        </w:rPr>
        <w:t>bili su uzrokovani</w:t>
      </w:r>
      <w:r w:rsidR="00776E71" w:rsidRPr="00F85CA6">
        <w:rPr>
          <w:rFonts w:eastAsia="Calibri"/>
          <w:sz w:val="22"/>
          <w:szCs w:val="22"/>
          <w:lang w:val="sr-Latn-ME"/>
        </w:rPr>
        <w:t xml:space="preserve"> pret</w:t>
      </w:r>
      <w:r w:rsidR="00E86C27" w:rsidRPr="00F85CA6">
        <w:rPr>
          <w:rFonts w:eastAsia="Calibri"/>
          <w:sz w:val="22"/>
          <w:szCs w:val="22"/>
          <w:lang w:val="sr-Latn-ME"/>
        </w:rPr>
        <w:t>j</w:t>
      </w:r>
      <w:r w:rsidR="00776E71" w:rsidRPr="00F85CA6">
        <w:rPr>
          <w:rFonts w:eastAsia="Calibri"/>
          <w:sz w:val="22"/>
          <w:szCs w:val="22"/>
          <w:lang w:val="sr-Latn-ME"/>
        </w:rPr>
        <w:t>eran</w:t>
      </w:r>
      <w:r w:rsidRPr="00F85CA6">
        <w:rPr>
          <w:rFonts w:eastAsia="Calibri"/>
          <w:sz w:val="22"/>
          <w:szCs w:val="22"/>
          <w:lang w:val="sr-Latn-ME"/>
        </w:rPr>
        <w:t>im</w:t>
      </w:r>
      <w:r w:rsidR="00776E71" w:rsidRPr="00F85CA6">
        <w:rPr>
          <w:rFonts w:eastAsia="Calibri"/>
          <w:sz w:val="22"/>
          <w:szCs w:val="22"/>
          <w:lang w:val="sr-Latn-ME"/>
        </w:rPr>
        <w:t xml:space="preserve"> farmakodinams</w:t>
      </w:r>
      <w:r w:rsidRPr="00F85CA6">
        <w:rPr>
          <w:rFonts w:eastAsia="Calibri"/>
          <w:sz w:val="22"/>
          <w:szCs w:val="22"/>
          <w:lang w:val="sr-Latn-ME"/>
        </w:rPr>
        <w:t>kim</w:t>
      </w:r>
      <w:r w:rsidR="00776E71" w:rsidRPr="00F85CA6">
        <w:rPr>
          <w:rFonts w:eastAsia="Calibri"/>
          <w:sz w:val="22"/>
          <w:szCs w:val="22"/>
          <w:lang w:val="sr-Latn-ME"/>
        </w:rPr>
        <w:t xml:space="preserve"> dejstv</w:t>
      </w:r>
      <w:r w:rsidRPr="00F85CA6">
        <w:rPr>
          <w:rFonts w:eastAsia="Calibri"/>
          <w:sz w:val="22"/>
          <w:szCs w:val="22"/>
          <w:lang w:val="sr-Latn-ME"/>
        </w:rPr>
        <w:t>ima</w:t>
      </w:r>
      <w:r w:rsidR="00776E71" w:rsidRPr="00F85CA6">
        <w:rPr>
          <w:rFonts w:eastAsia="Calibri"/>
          <w:sz w:val="22"/>
          <w:szCs w:val="22"/>
          <w:lang w:val="sr-Latn-ME"/>
        </w:rPr>
        <w:t xml:space="preserve"> dabigatrana. </w:t>
      </w:r>
    </w:p>
    <w:p w14:paraId="431EC553" w14:textId="77777777" w:rsidR="00776E71" w:rsidRPr="00F85CA6" w:rsidRDefault="00776E71" w:rsidP="00776E71">
      <w:pPr>
        <w:jc w:val="both"/>
        <w:rPr>
          <w:rFonts w:eastAsia="Calibri"/>
          <w:sz w:val="22"/>
          <w:szCs w:val="22"/>
          <w:lang w:val="sr-Latn-ME"/>
        </w:rPr>
      </w:pPr>
    </w:p>
    <w:p w14:paraId="0E84EB2E" w14:textId="0AD8D7C6" w:rsidR="00776E71" w:rsidRPr="00F85CA6" w:rsidRDefault="00776E71" w:rsidP="00776E71">
      <w:pPr>
        <w:jc w:val="both"/>
        <w:rPr>
          <w:rFonts w:eastAsia="Calibri"/>
          <w:sz w:val="22"/>
          <w:szCs w:val="22"/>
          <w:lang w:val="sr-Latn-ME"/>
        </w:rPr>
      </w:pPr>
      <w:r w:rsidRPr="00F85CA6">
        <w:rPr>
          <w:rFonts w:eastAsia="Calibri"/>
          <w:sz w:val="22"/>
          <w:szCs w:val="22"/>
          <w:lang w:val="sr-Latn-ME"/>
        </w:rPr>
        <w:t>Uticaj na plodnost ženki primijećen je u obliku smanjenja broja implantacija embriona i u povećanju gubitka embriona u preimplantacionom periodu pri dozi od 70 mg/kg (5 puta veći stepen izloženosti nego u plazmi pacijenata). Pri dozama koje su bile toksične za majke (5-10 puta veća od izloženosti u plazmi kod pacijenata), smanjenje tjelesne mase fetusa i vijabilnosti, zajedno sa povećanjem fetalnih varijacija je uočeno kod pacova i kunića. U studijama pre- i postnatalne toksičnosti, povećanje mortaliteta fetusa je prim</w:t>
      </w:r>
      <w:r w:rsidR="00E86C27" w:rsidRPr="00F85CA6">
        <w:rPr>
          <w:rFonts w:eastAsia="Calibri"/>
          <w:sz w:val="22"/>
          <w:szCs w:val="22"/>
          <w:lang w:val="sr-Latn-ME"/>
        </w:rPr>
        <w:t>i</w:t>
      </w:r>
      <w:r w:rsidRPr="00F85CA6">
        <w:rPr>
          <w:rFonts w:eastAsia="Calibri"/>
          <w:sz w:val="22"/>
          <w:szCs w:val="22"/>
          <w:lang w:val="sr-Latn-ME"/>
        </w:rPr>
        <w:t>jećeno pri dozama koje su bile toksične za ženke (doza koja odgovara 4 puta većem nivou izloženosti u plazmi od onog kod pacijenata).</w:t>
      </w:r>
    </w:p>
    <w:p w14:paraId="1C3EF803" w14:textId="77777777" w:rsidR="00776E71" w:rsidRPr="00F85CA6" w:rsidRDefault="00776E71" w:rsidP="00776E71">
      <w:pPr>
        <w:jc w:val="both"/>
        <w:rPr>
          <w:rFonts w:eastAsia="Calibri"/>
          <w:sz w:val="22"/>
          <w:szCs w:val="22"/>
          <w:lang w:val="sr-Latn-ME"/>
        </w:rPr>
      </w:pPr>
    </w:p>
    <w:p w14:paraId="36BD5CB0" w14:textId="7CD50486" w:rsidR="00776E71" w:rsidRPr="00F85CA6" w:rsidRDefault="00776E71" w:rsidP="00776E71">
      <w:pPr>
        <w:jc w:val="both"/>
        <w:rPr>
          <w:rFonts w:eastAsia="Calibri"/>
          <w:sz w:val="22"/>
          <w:szCs w:val="22"/>
          <w:lang w:val="sr-Latn-ME"/>
        </w:rPr>
      </w:pPr>
      <w:r w:rsidRPr="00F85CA6">
        <w:rPr>
          <w:rFonts w:eastAsia="Calibri"/>
          <w:sz w:val="22"/>
          <w:szCs w:val="22"/>
          <w:lang w:val="sr-Latn-ME"/>
        </w:rPr>
        <w:t xml:space="preserve">U ispitivanjima juvenilne toksičnosti sprovedenom na pacovima </w:t>
      </w:r>
      <w:r w:rsidRPr="00F85CA6">
        <w:rPr>
          <w:rFonts w:eastAsia="Calibri"/>
          <w:i/>
          <w:iCs/>
          <w:sz w:val="22"/>
          <w:szCs w:val="22"/>
          <w:lang w:val="sr-Latn-ME"/>
        </w:rPr>
        <w:t>Han Wistar</w:t>
      </w:r>
      <w:r w:rsidRPr="00F85CA6">
        <w:rPr>
          <w:rFonts w:eastAsia="Calibri"/>
          <w:sz w:val="22"/>
          <w:szCs w:val="22"/>
          <w:lang w:val="sr-Latn-ME"/>
        </w:rPr>
        <w:t>, smrtnost je bila povezana sa događajima krvarenja pri sličnim izloženostima kod kojih je bilo zabilježeno krvarenje na odraslim životinjama. I kod odraslih i kod juvenilnih pacova smatra se da je smrtnost bila povezana sa pret</w:t>
      </w:r>
      <w:r w:rsidR="00E86C27" w:rsidRPr="00F85CA6">
        <w:rPr>
          <w:rFonts w:eastAsia="Calibri"/>
          <w:sz w:val="22"/>
          <w:szCs w:val="22"/>
          <w:lang w:val="sr-Latn-ME"/>
        </w:rPr>
        <w:t>j</w:t>
      </w:r>
      <w:r w:rsidRPr="00F85CA6">
        <w:rPr>
          <w:rFonts w:eastAsia="Calibri"/>
          <w:sz w:val="22"/>
          <w:szCs w:val="22"/>
          <w:lang w:val="sr-Latn-ME"/>
        </w:rPr>
        <w:t>eranom farmakološkom aktivnošću dabigatrana u kombinaciji sa djelovanjem mehaničkih sila tokom doziranja i rukovanja. Podaci ispitivanja juvenilne toksičnosti ni</w:t>
      </w:r>
      <w:r w:rsidR="00E86C27" w:rsidRPr="00F85CA6">
        <w:rPr>
          <w:rFonts w:eastAsia="Calibri"/>
          <w:sz w:val="22"/>
          <w:szCs w:val="22"/>
          <w:lang w:val="sr-Latn-ME"/>
        </w:rPr>
        <w:t>je</w:t>
      </w:r>
      <w:r w:rsidRPr="00F85CA6">
        <w:rPr>
          <w:rFonts w:eastAsia="Calibri"/>
          <w:sz w:val="22"/>
          <w:szCs w:val="22"/>
          <w:lang w:val="sr-Latn-ME"/>
        </w:rPr>
        <w:t>su ukazal</w:t>
      </w:r>
      <w:r w:rsidR="00E86C27" w:rsidRPr="00F85CA6">
        <w:rPr>
          <w:rFonts w:eastAsia="Calibri"/>
          <w:sz w:val="22"/>
          <w:szCs w:val="22"/>
          <w:lang w:val="sr-Latn-ME"/>
        </w:rPr>
        <w:t>i</w:t>
      </w:r>
      <w:r w:rsidRPr="00F85CA6">
        <w:rPr>
          <w:rFonts w:eastAsia="Calibri"/>
          <w:sz w:val="22"/>
          <w:szCs w:val="22"/>
          <w:lang w:val="sr-Latn-ME"/>
        </w:rPr>
        <w:t xml:space="preserve"> ni na povećanu osjetljivost na toksičnost, niti na bilo koju toksičnost specifičnu za juvenilne životinje. </w:t>
      </w:r>
    </w:p>
    <w:p w14:paraId="19999E5C" w14:textId="77777777" w:rsidR="00776E71" w:rsidRPr="00F85CA6" w:rsidRDefault="00776E71" w:rsidP="00776E71">
      <w:pPr>
        <w:jc w:val="both"/>
        <w:rPr>
          <w:rFonts w:eastAsia="Calibri"/>
          <w:sz w:val="22"/>
          <w:szCs w:val="22"/>
          <w:lang w:val="sr-Latn-ME"/>
        </w:rPr>
      </w:pPr>
    </w:p>
    <w:p w14:paraId="355D01C5" w14:textId="77777777" w:rsidR="00776E71" w:rsidRPr="00F85CA6" w:rsidRDefault="00776E71" w:rsidP="00776E71">
      <w:pPr>
        <w:jc w:val="both"/>
        <w:rPr>
          <w:rFonts w:eastAsia="Calibri"/>
          <w:sz w:val="22"/>
          <w:szCs w:val="22"/>
          <w:lang w:val="sr-Latn-ME"/>
        </w:rPr>
      </w:pPr>
      <w:r w:rsidRPr="00F85CA6">
        <w:rPr>
          <w:rFonts w:eastAsia="Calibri"/>
          <w:sz w:val="22"/>
          <w:szCs w:val="22"/>
          <w:lang w:val="sr-Latn-ME"/>
        </w:rPr>
        <w:t>U ispitivanjima doživotne toksičnosti na pacovima i miševima nije bilo dokaza tumorogenog potencijala dabigatrana pri maksimalnim dozama do 200 mg/kg.</w:t>
      </w:r>
    </w:p>
    <w:p w14:paraId="4C19ADF2" w14:textId="77777777" w:rsidR="00776E71" w:rsidRPr="00F85CA6" w:rsidRDefault="00776E71" w:rsidP="00776E71">
      <w:pPr>
        <w:jc w:val="both"/>
        <w:rPr>
          <w:rFonts w:eastAsia="Calibri"/>
          <w:sz w:val="22"/>
          <w:szCs w:val="22"/>
          <w:lang w:val="sr-Latn-ME"/>
        </w:rPr>
      </w:pPr>
    </w:p>
    <w:p w14:paraId="0CA46DA3" w14:textId="223C8AE7" w:rsidR="00776E71" w:rsidRPr="00F85CA6" w:rsidRDefault="00776E71" w:rsidP="00776E71">
      <w:pPr>
        <w:jc w:val="both"/>
        <w:rPr>
          <w:rFonts w:eastAsia="Calibri"/>
          <w:sz w:val="22"/>
          <w:szCs w:val="22"/>
          <w:lang w:val="sr-Latn-ME" w:bidi="en-US"/>
        </w:rPr>
      </w:pPr>
      <w:r w:rsidRPr="00F85CA6">
        <w:rPr>
          <w:rFonts w:eastAsia="Calibri"/>
          <w:sz w:val="22"/>
          <w:szCs w:val="22"/>
          <w:lang w:val="sr-Latn-ME"/>
        </w:rPr>
        <w:t>Dabigatran, aktivni d</w:t>
      </w:r>
      <w:r w:rsidR="003663D5" w:rsidRPr="00F85CA6">
        <w:rPr>
          <w:rFonts w:eastAsia="Calibri"/>
          <w:sz w:val="22"/>
          <w:szCs w:val="22"/>
          <w:lang w:val="sr-Latn-ME"/>
        </w:rPr>
        <w:t>i</w:t>
      </w:r>
      <w:r w:rsidRPr="00F85CA6">
        <w:rPr>
          <w:rFonts w:eastAsia="Calibri"/>
          <w:sz w:val="22"/>
          <w:szCs w:val="22"/>
          <w:lang w:val="sr-Latn-ME"/>
        </w:rPr>
        <w:t>o dabigatraneteksilat-mesilata, se zadržava u spoljašnjoj sredini.</w:t>
      </w:r>
    </w:p>
    <w:p w14:paraId="1B0EB280" w14:textId="77777777" w:rsidR="00776E71" w:rsidRPr="00F85CA6" w:rsidRDefault="00776E71" w:rsidP="00776E71">
      <w:pPr>
        <w:jc w:val="both"/>
        <w:rPr>
          <w:rFonts w:eastAsia="Calibri"/>
          <w:sz w:val="22"/>
          <w:szCs w:val="22"/>
          <w:lang w:val="sr-Latn-ME" w:bidi="en-US"/>
        </w:rPr>
      </w:pPr>
    </w:p>
    <w:p w14:paraId="2B6F554A" w14:textId="77777777" w:rsidR="00396DFD" w:rsidRPr="00F85CA6" w:rsidRDefault="00396DFD" w:rsidP="00480FB1">
      <w:pPr>
        <w:tabs>
          <w:tab w:val="left" w:pos="540"/>
          <w:tab w:val="left" w:pos="569"/>
        </w:tabs>
        <w:rPr>
          <w:b/>
          <w:bCs/>
          <w:sz w:val="22"/>
          <w:szCs w:val="22"/>
          <w:lang w:val="sr-Latn-ME"/>
        </w:rPr>
      </w:pPr>
    </w:p>
    <w:p w14:paraId="6927B16D" w14:textId="77777777" w:rsidR="0072020E" w:rsidRPr="00F85CA6" w:rsidRDefault="0072020E" w:rsidP="00480FB1">
      <w:pPr>
        <w:tabs>
          <w:tab w:val="left" w:pos="540"/>
          <w:tab w:val="left" w:pos="569"/>
        </w:tabs>
        <w:rPr>
          <w:b/>
          <w:bCs/>
          <w:sz w:val="22"/>
          <w:szCs w:val="22"/>
          <w:lang w:val="sr-Latn-ME"/>
        </w:rPr>
      </w:pPr>
      <w:r w:rsidRPr="00F85CA6">
        <w:rPr>
          <w:b/>
          <w:bCs/>
          <w:sz w:val="22"/>
          <w:szCs w:val="22"/>
          <w:lang w:val="sr-Latn-ME"/>
        </w:rPr>
        <w:t xml:space="preserve">6. </w:t>
      </w:r>
      <w:r w:rsidR="00480FB1" w:rsidRPr="00F85CA6">
        <w:rPr>
          <w:b/>
          <w:bCs/>
          <w:sz w:val="22"/>
          <w:szCs w:val="22"/>
          <w:lang w:val="sr-Latn-ME"/>
        </w:rPr>
        <w:tab/>
      </w:r>
      <w:r w:rsidRPr="00F85CA6">
        <w:rPr>
          <w:b/>
          <w:bCs/>
          <w:sz w:val="22"/>
          <w:szCs w:val="22"/>
          <w:lang w:val="sr-Latn-ME"/>
        </w:rPr>
        <w:t>FARMACEUTSKI PODACI</w:t>
      </w:r>
    </w:p>
    <w:p w14:paraId="32CE8F9F" w14:textId="77777777" w:rsidR="00836B35" w:rsidRPr="00F85CA6" w:rsidRDefault="00836B35" w:rsidP="00480FB1">
      <w:pPr>
        <w:tabs>
          <w:tab w:val="left" w:pos="540"/>
          <w:tab w:val="left" w:pos="569"/>
        </w:tabs>
        <w:rPr>
          <w:bCs/>
          <w:sz w:val="22"/>
          <w:szCs w:val="22"/>
          <w:lang w:val="sr-Latn-ME"/>
        </w:rPr>
      </w:pPr>
    </w:p>
    <w:p w14:paraId="39688541" w14:textId="77777777" w:rsidR="0072020E" w:rsidRPr="00F85CA6" w:rsidRDefault="0072020E" w:rsidP="00480FB1">
      <w:pPr>
        <w:tabs>
          <w:tab w:val="left" w:pos="540"/>
          <w:tab w:val="left" w:pos="569"/>
        </w:tabs>
        <w:rPr>
          <w:b/>
          <w:bCs/>
          <w:sz w:val="22"/>
          <w:szCs w:val="22"/>
          <w:lang w:val="sr-Latn-ME"/>
        </w:rPr>
      </w:pPr>
      <w:r w:rsidRPr="00F85CA6">
        <w:rPr>
          <w:b/>
          <w:bCs/>
          <w:sz w:val="22"/>
          <w:szCs w:val="22"/>
          <w:lang w:val="sr-Latn-ME"/>
        </w:rPr>
        <w:t xml:space="preserve">6.1. </w:t>
      </w:r>
      <w:r w:rsidR="00480FB1" w:rsidRPr="00F85CA6">
        <w:rPr>
          <w:b/>
          <w:bCs/>
          <w:sz w:val="22"/>
          <w:szCs w:val="22"/>
          <w:lang w:val="sr-Latn-ME"/>
        </w:rPr>
        <w:tab/>
      </w:r>
      <w:r w:rsidRPr="00F85CA6">
        <w:rPr>
          <w:b/>
          <w:bCs/>
          <w:sz w:val="22"/>
          <w:szCs w:val="22"/>
          <w:lang w:val="sr-Latn-ME"/>
        </w:rPr>
        <w:t>Lista pomoćnih supstanci</w:t>
      </w:r>
      <w:r w:rsidR="002E0135" w:rsidRPr="00F85CA6">
        <w:rPr>
          <w:b/>
          <w:bCs/>
          <w:sz w:val="22"/>
          <w:szCs w:val="22"/>
          <w:lang w:val="sr-Latn-ME"/>
        </w:rPr>
        <w:t xml:space="preserve"> (ekscipijenasa)</w:t>
      </w:r>
    </w:p>
    <w:p w14:paraId="79CCD4D1" w14:textId="77777777" w:rsidR="0072020E" w:rsidRPr="00F85CA6" w:rsidRDefault="0072020E" w:rsidP="00480FB1">
      <w:pPr>
        <w:tabs>
          <w:tab w:val="left" w:pos="540"/>
          <w:tab w:val="left" w:pos="569"/>
        </w:tabs>
        <w:rPr>
          <w:bCs/>
          <w:sz w:val="22"/>
          <w:szCs w:val="22"/>
          <w:lang w:val="sr-Latn-ME"/>
        </w:rPr>
      </w:pPr>
    </w:p>
    <w:p w14:paraId="6289C9B7" w14:textId="77777777" w:rsidR="00776E71" w:rsidRPr="00F85CA6" w:rsidRDefault="00776E71" w:rsidP="00776E71">
      <w:pPr>
        <w:jc w:val="both"/>
        <w:rPr>
          <w:rFonts w:eastAsia="Calibri"/>
          <w:sz w:val="22"/>
          <w:szCs w:val="22"/>
          <w:lang w:val="sr-Latn-ME" w:bidi="en-US"/>
        </w:rPr>
      </w:pPr>
      <w:r w:rsidRPr="00F85CA6">
        <w:rPr>
          <w:rFonts w:eastAsia="Calibri"/>
          <w:sz w:val="22"/>
          <w:szCs w:val="22"/>
          <w:u w:val="single"/>
          <w:lang w:val="sr-Latn-ME" w:bidi="en-US"/>
        </w:rPr>
        <w:t>Sadržaj kapsule</w:t>
      </w:r>
    </w:p>
    <w:p w14:paraId="5B0C5A9B" w14:textId="77777777" w:rsidR="00776E71" w:rsidRPr="00F85CA6" w:rsidRDefault="00776E71" w:rsidP="00776E71">
      <w:pPr>
        <w:jc w:val="both"/>
        <w:rPr>
          <w:rFonts w:eastAsia="Calibri"/>
          <w:sz w:val="22"/>
          <w:szCs w:val="22"/>
          <w:lang w:val="sr-Latn-ME" w:bidi="en-US"/>
        </w:rPr>
      </w:pPr>
      <w:r w:rsidRPr="00F85CA6">
        <w:rPr>
          <w:rFonts w:eastAsia="Calibri"/>
          <w:sz w:val="22"/>
          <w:szCs w:val="22"/>
          <w:lang w:val="sr-Latn-ME" w:bidi="en-US"/>
        </w:rPr>
        <w:t>Vinska kiselina, pelete</w:t>
      </w:r>
    </w:p>
    <w:p w14:paraId="03FCC015" w14:textId="77777777" w:rsidR="00776E71" w:rsidRPr="00F85CA6" w:rsidRDefault="00776E71" w:rsidP="00776E71">
      <w:pPr>
        <w:jc w:val="both"/>
        <w:rPr>
          <w:rFonts w:eastAsia="Calibri"/>
          <w:sz w:val="22"/>
          <w:szCs w:val="22"/>
          <w:lang w:val="sr-Latn-ME" w:bidi="en-US"/>
        </w:rPr>
      </w:pPr>
      <w:r w:rsidRPr="00F85CA6">
        <w:rPr>
          <w:rFonts w:eastAsia="Calibri"/>
          <w:sz w:val="22"/>
          <w:szCs w:val="22"/>
          <w:lang w:val="sr-Latn-ME" w:bidi="en-US"/>
        </w:rPr>
        <w:t>Hipromeloza 6cP</w:t>
      </w:r>
    </w:p>
    <w:p w14:paraId="12619BF4" w14:textId="77777777" w:rsidR="00776E71" w:rsidRPr="00F85CA6" w:rsidRDefault="00776E71" w:rsidP="00776E71">
      <w:pPr>
        <w:jc w:val="both"/>
        <w:rPr>
          <w:rFonts w:eastAsia="Calibri"/>
          <w:sz w:val="22"/>
          <w:szCs w:val="22"/>
          <w:lang w:val="sr-Latn-ME" w:bidi="en-US"/>
        </w:rPr>
      </w:pPr>
      <w:r w:rsidRPr="00F85CA6">
        <w:rPr>
          <w:rFonts w:eastAsia="Calibri"/>
          <w:sz w:val="22"/>
          <w:szCs w:val="22"/>
          <w:lang w:val="sr-Latn-ME" w:bidi="en-US"/>
        </w:rPr>
        <w:t>Dimetikon 350</w:t>
      </w:r>
    </w:p>
    <w:p w14:paraId="45A8AD91" w14:textId="77777777" w:rsidR="00776E71" w:rsidRPr="00F85CA6" w:rsidRDefault="00776E71" w:rsidP="00776E71">
      <w:pPr>
        <w:jc w:val="both"/>
        <w:rPr>
          <w:rFonts w:eastAsia="Calibri"/>
          <w:sz w:val="22"/>
          <w:szCs w:val="22"/>
          <w:lang w:val="sr-Latn-ME" w:bidi="en-US"/>
        </w:rPr>
      </w:pPr>
      <w:r w:rsidRPr="00F85CA6">
        <w:rPr>
          <w:rFonts w:eastAsia="Calibri"/>
          <w:sz w:val="22"/>
          <w:szCs w:val="22"/>
          <w:lang w:val="sr-Latn-ME" w:bidi="en-US"/>
        </w:rPr>
        <w:t>Talk</w:t>
      </w:r>
    </w:p>
    <w:p w14:paraId="731769EA" w14:textId="2D599715" w:rsidR="00776E71" w:rsidRPr="00F85CA6" w:rsidRDefault="00776E71" w:rsidP="00776E71">
      <w:pPr>
        <w:jc w:val="both"/>
        <w:rPr>
          <w:rFonts w:eastAsia="Calibri"/>
          <w:sz w:val="22"/>
          <w:szCs w:val="22"/>
          <w:lang w:val="sr-Latn-ME" w:bidi="en-US"/>
        </w:rPr>
      </w:pPr>
      <w:r w:rsidRPr="00F85CA6">
        <w:rPr>
          <w:rFonts w:eastAsia="Calibri"/>
          <w:sz w:val="22"/>
          <w:szCs w:val="22"/>
          <w:lang w:val="sr-Latn-ME" w:bidi="en-US"/>
        </w:rPr>
        <w:t>Hidroksipropil</w:t>
      </w:r>
      <w:r w:rsidR="00A06ACD" w:rsidRPr="00F85CA6">
        <w:rPr>
          <w:rFonts w:eastAsia="Calibri"/>
          <w:sz w:val="22"/>
          <w:szCs w:val="22"/>
          <w:lang w:val="sr-Latn-ME" w:bidi="en-US"/>
        </w:rPr>
        <w:t xml:space="preserve"> </w:t>
      </w:r>
      <w:r w:rsidRPr="00F85CA6">
        <w:rPr>
          <w:rFonts w:eastAsia="Calibri"/>
          <w:sz w:val="22"/>
          <w:szCs w:val="22"/>
          <w:lang w:val="sr-Latn-ME" w:bidi="en-US"/>
        </w:rPr>
        <w:t>celuloza (Klucel EXF)</w:t>
      </w:r>
    </w:p>
    <w:p w14:paraId="644738D5" w14:textId="77777777" w:rsidR="00776E71" w:rsidRPr="00F85CA6" w:rsidRDefault="00776E71" w:rsidP="00776E71">
      <w:pPr>
        <w:jc w:val="both"/>
        <w:rPr>
          <w:rFonts w:eastAsia="Calibri"/>
          <w:sz w:val="22"/>
          <w:szCs w:val="22"/>
          <w:lang w:val="sr-Latn-ME" w:bidi="en-US"/>
        </w:rPr>
      </w:pPr>
    </w:p>
    <w:p w14:paraId="1B5C22EA" w14:textId="77777777" w:rsidR="00776E71" w:rsidRPr="00F85CA6" w:rsidRDefault="00776E71" w:rsidP="00776E71">
      <w:pPr>
        <w:jc w:val="both"/>
        <w:rPr>
          <w:rFonts w:eastAsia="Calibri"/>
          <w:sz w:val="22"/>
          <w:szCs w:val="22"/>
          <w:lang w:val="sr-Latn-ME" w:bidi="en-US"/>
        </w:rPr>
      </w:pPr>
      <w:r w:rsidRPr="00F85CA6">
        <w:rPr>
          <w:rFonts w:eastAsia="Calibri"/>
          <w:sz w:val="22"/>
          <w:szCs w:val="22"/>
          <w:u w:val="single"/>
          <w:lang w:val="sr-Latn-ME" w:bidi="en-US"/>
        </w:rPr>
        <w:t>Omotač kapsule</w:t>
      </w:r>
    </w:p>
    <w:p w14:paraId="38B43530" w14:textId="77777777" w:rsidR="00776E71" w:rsidRPr="00F85CA6" w:rsidRDefault="00776E71" w:rsidP="00776E71">
      <w:pPr>
        <w:jc w:val="both"/>
        <w:rPr>
          <w:rFonts w:eastAsia="Calibri"/>
          <w:sz w:val="22"/>
          <w:szCs w:val="22"/>
          <w:lang w:val="sr-Latn-ME" w:bidi="en-US"/>
        </w:rPr>
      </w:pPr>
      <w:r w:rsidRPr="00F85CA6">
        <w:rPr>
          <w:rFonts w:eastAsia="Calibri"/>
          <w:sz w:val="22"/>
          <w:szCs w:val="22"/>
          <w:lang w:val="sr-Latn-ME" w:bidi="en-US"/>
        </w:rPr>
        <w:t>Karagenin (E407)</w:t>
      </w:r>
    </w:p>
    <w:p w14:paraId="74694588" w14:textId="07A988FA" w:rsidR="00776E71" w:rsidRPr="00F85CA6" w:rsidRDefault="00776E71" w:rsidP="00776E71">
      <w:pPr>
        <w:jc w:val="both"/>
        <w:rPr>
          <w:rFonts w:eastAsia="Calibri"/>
          <w:sz w:val="22"/>
          <w:szCs w:val="22"/>
          <w:lang w:val="sr-Latn-ME" w:bidi="en-US"/>
        </w:rPr>
      </w:pPr>
      <w:r w:rsidRPr="00F85CA6">
        <w:rPr>
          <w:rFonts w:eastAsia="Calibri"/>
          <w:sz w:val="22"/>
          <w:szCs w:val="22"/>
          <w:lang w:val="sr-Latn-ME" w:bidi="en-US"/>
        </w:rPr>
        <w:t>Kalijum</w:t>
      </w:r>
      <w:r w:rsidR="00A06ACD" w:rsidRPr="00F85CA6">
        <w:rPr>
          <w:rFonts w:eastAsia="Calibri"/>
          <w:sz w:val="22"/>
          <w:szCs w:val="22"/>
          <w:lang w:val="sr-Latn-ME" w:bidi="en-US"/>
        </w:rPr>
        <w:t xml:space="preserve"> </w:t>
      </w:r>
      <w:r w:rsidRPr="00F85CA6">
        <w:rPr>
          <w:rFonts w:eastAsia="Calibri"/>
          <w:sz w:val="22"/>
          <w:szCs w:val="22"/>
          <w:lang w:val="sr-Latn-ME" w:bidi="en-US"/>
        </w:rPr>
        <w:t>hlorid</w:t>
      </w:r>
    </w:p>
    <w:p w14:paraId="059D5D1C" w14:textId="0DF8961F" w:rsidR="00776E71" w:rsidRPr="00F85CA6" w:rsidRDefault="00776E71" w:rsidP="00776E71">
      <w:pPr>
        <w:jc w:val="both"/>
        <w:rPr>
          <w:rFonts w:eastAsia="Calibri"/>
          <w:sz w:val="22"/>
          <w:szCs w:val="22"/>
          <w:lang w:val="sr-Latn-ME" w:bidi="en-US"/>
        </w:rPr>
      </w:pPr>
      <w:r w:rsidRPr="00F85CA6">
        <w:rPr>
          <w:rFonts w:eastAsia="Calibri"/>
          <w:sz w:val="22"/>
          <w:szCs w:val="22"/>
          <w:lang w:val="sr-Latn-ME" w:bidi="en-US"/>
        </w:rPr>
        <w:t>Titan</w:t>
      </w:r>
      <w:r w:rsidR="00A06ACD" w:rsidRPr="00F85CA6">
        <w:rPr>
          <w:rFonts w:eastAsia="Calibri"/>
          <w:sz w:val="22"/>
          <w:szCs w:val="22"/>
          <w:lang w:val="sr-Latn-ME" w:bidi="en-US"/>
        </w:rPr>
        <w:t xml:space="preserve"> </w:t>
      </w:r>
      <w:r w:rsidRPr="00F85CA6">
        <w:rPr>
          <w:rFonts w:eastAsia="Calibri"/>
          <w:sz w:val="22"/>
          <w:szCs w:val="22"/>
          <w:lang w:val="sr-Latn-ME" w:bidi="en-US"/>
        </w:rPr>
        <w:t>dioksid (E171)</w:t>
      </w:r>
    </w:p>
    <w:p w14:paraId="0109A177" w14:textId="77777777" w:rsidR="00776E71" w:rsidRPr="00F85CA6" w:rsidRDefault="00776E71" w:rsidP="00776E71">
      <w:pPr>
        <w:jc w:val="both"/>
        <w:rPr>
          <w:rFonts w:eastAsia="Calibri"/>
          <w:sz w:val="22"/>
          <w:szCs w:val="22"/>
          <w:lang w:val="sr-Latn-ME" w:bidi="en-US"/>
        </w:rPr>
      </w:pPr>
      <w:r w:rsidRPr="00F85CA6">
        <w:rPr>
          <w:rFonts w:eastAsia="Calibri"/>
          <w:sz w:val="22"/>
          <w:szCs w:val="22"/>
          <w:lang w:val="sr-Latn-ME"/>
        </w:rPr>
        <w:t>Indigotin – FD&amp;C Plavo 2 (E132)</w:t>
      </w:r>
    </w:p>
    <w:p w14:paraId="6983FEBC" w14:textId="77777777" w:rsidR="00776E71" w:rsidRPr="00F85CA6" w:rsidRDefault="00776E71" w:rsidP="00776E71">
      <w:pPr>
        <w:jc w:val="both"/>
        <w:rPr>
          <w:rFonts w:eastAsia="Calibri"/>
          <w:sz w:val="22"/>
          <w:szCs w:val="22"/>
          <w:lang w:val="sr-Latn-ME" w:bidi="en-US"/>
        </w:rPr>
      </w:pPr>
      <w:r w:rsidRPr="00F85CA6">
        <w:rPr>
          <w:rFonts w:eastAsia="Calibri"/>
          <w:sz w:val="22"/>
          <w:szCs w:val="22"/>
          <w:lang w:val="sr-Latn-ME" w:bidi="en-US"/>
        </w:rPr>
        <w:t>Hipromeloza 2910</w:t>
      </w:r>
    </w:p>
    <w:p w14:paraId="07D06E75" w14:textId="77777777" w:rsidR="00776E71" w:rsidRPr="00F85CA6" w:rsidRDefault="00776E71" w:rsidP="00776E71">
      <w:pPr>
        <w:jc w:val="both"/>
        <w:rPr>
          <w:rFonts w:eastAsia="Calibri"/>
          <w:sz w:val="22"/>
          <w:szCs w:val="22"/>
          <w:lang w:val="sr-Latn-ME" w:bidi="en-US"/>
        </w:rPr>
      </w:pPr>
    </w:p>
    <w:p w14:paraId="622A3C9E" w14:textId="77777777" w:rsidR="00776E71" w:rsidRPr="00F85CA6" w:rsidRDefault="00776E71" w:rsidP="00776E71">
      <w:pPr>
        <w:jc w:val="both"/>
        <w:rPr>
          <w:rFonts w:eastAsia="Calibri"/>
          <w:sz w:val="22"/>
          <w:szCs w:val="22"/>
          <w:lang w:val="sr-Latn-ME" w:bidi="en-US"/>
        </w:rPr>
      </w:pPr>
      <w:r w:rsidRPr="00F85CA6">
        <w:rPr>
          <w:rFonts w:eastAsia="Calibri"/>
          <w:sz w:val="22"/>
          <w:szCs w:val="22"/>
          <w:u w:val="single"/>
          <w:lang w:val="sr-Latn-ME" w:bidi="en-US"/>
        </w:rPr>
        <w:t>Crno mastilo za štampu</w:t>
      </w:r>
    </w:p>
    <w:p w14:paraId="0964697F" w14:textId="77777777" w:rsidR="00776E71" w:rsidRPr="00F85CA6" w:rsidRDefault="00776E71" w:rsidP="00776E71">
      <w:pPr>
        <w:jc w:val="both"/>
        <w:rPr>
          <w:rFonts w:eastAsia="Calibri"/>
          <w:sz w:val="22"/>
          <w:szCs w:val="22"/>
          <w:lang w:val="sr-Latn-ME" w:bidi="en-US"/>
        </w:rPr>
      </w:pPr>
      <w:r w:rsidRPr="00F85CA6">
        <w:rPr>
          <w:rFonts w:eastAsia="Calibri"/>
          <w:sz w:val="22"/>
          <w:szCs w:val="22"/>
          <w:lang w:val="sr-Latn-ME" w:bidi="en-US"/>
        </w:rPr>
        <w:t>Šelak (E904)</w:t>
      </w:r>
    </w:p>
    <w:p w14:paraId="6C2FD66B" w14:textId="14A3D8B0" w:rsidR="00776E71" w:rsidRPr="00F85CA6" w:rsidRDefault="00776E71" w:rsidP="00776E71">
      <w:pPr>
        <w:jc w:val="both"/>
        <w:rPr>
          <w:rFonts w:eastAsia="Calibri"/>
          <w:sz w:val="22"/>
          <w:szCs w:val="22"/>
          <w:lang w:val="sr-Latn-ME" w:bidi="en-US"/>
        </w:rPr>
      </w:pPr>
      <w:r w:rsidRPr="00F85CA6">
        <w:rPr>
          <w:rFonts w:eastAsia="Calibri"/>
          <w:sz w:val="22"/>
          <w:szCs w:val="22"/>
          <w:lang w:val="sr-Latn-ME" w:bidi="en-US"/>
        </w:rPr>
        <w:t>Gvožđe</w:t>
      </w:r>
      <w:r w:rsidR="00A06ACD" w:rsidRPr="00F85CA6">
        <w:rPr>
          <w:rFonts w:eastAsia="Calibri"/>
          <w:sz w:val="22"/>
          <w:szCs w:val="22"/>
          <w:lang w:val="sr-Latn-ME" w:bidi="en-US"/>
        </w:rPr>
        <w:t xml:space="preserve"> </w:t>
      </w:r>
      <w:r w:rsidRPr="00F85CA6">
        <w:rPr>
          <w:rFonts w:eastAsia="Calibri"/>
          <w:sz w:val="22"/>
          <w:szCs w:val="22"/>
          <w:lang w:val="sr-Latn-ME" w:bidi="en-US"/>
        </w:rPr>
        <w:t>(III)</w:t>
      </w:r>
      <w:r w:rsidR="00A06ACD" w:rsidRPr="00F85CA6">
        <w:rPr>
          <w:rFonts w:eastAsia="Calibri"/>
          <w:sz w:val="22"/>
          <w:szCs w:val="22"/>
          <w:lang w:val="sr-Latn-ME" w:bidi="en-US"/>
        </w:rPr>
        <w:t xml:space="preserve"> </w:t>
      </w:r>
      <w:r w:rsidRPr="00F85CA6">
        <w:rPr>
          <w:rFonts w:eastAsia="Calibri"/>
          <w:sz w:val="22"/>
          <w:szCs w:val="22"/>
          <w:lang w:val="sr-Latn-ME" w:bidi="en-US"/>
        </w:rPr>
        <w:t>oksid, crni (E172)</w:t>
      </w:r>
    </w:p>
    <w:p w14:paraId="0241CA4D" w14:textId="6D11B313" w:rsidR="00776E71" w:rsidRPr="00F85CA6" w:rsidRDefault="00776E71" w:rsidP="00776E71">
      <w:pPr>
        <w:jc w:val="both"/>
        <w:rPr>
          <w:rFonts w:eastAsia="Calibri"/>
          <w:sz w:val="22"/>
          <w:szCs w:val="22"/>
          <w:lang w:val="sr-Latn-ME"/>
        </w:rPr>
      </w:pPr>
      <w:r w:rsidRPr="00F85CA6">
        <w:rPr>
          <w:rFonts w:eastAsia="Calibri"/>
          <w:sz w:val="22"/>
          <w:szCs w:val="22"/>
          <w:lang w:val="sr-Latn-ME"/>
        </w:rPr>
        <w:t>Propilen</w:t>
      </w:r>
      <w:r w:rsidR="00A06ACD" w:rsidRPr="00F85CA6">
        <w:rPr>
          <w:rFonts w:eastAsia="Calibri"/>
          <w:sz w:val="22"/>
          <w:szCs w:val="22"/>
          <w:lang w:val="sr-Latn-ME"/>
        </w:rPr>
        <w:t xml:space="preserve"> </w:t>
      </w:r>
      <w:r w:rsidRPr="00F85CA6">
        <w:rPr>
          <w:rFonts w:eastAsia="Calibri"/>
          <w:sz w:val="22"/>
          <w:szCs w:val="22"/>
          <w:lang w:val="sr-Latn-ME"/>
        </w:rPr>
        <w:t>glikol (E1520)</w:t>
      </w:r>
    </w:p>
    <w:p w14:paraId="30FA902A" w14:textId="77777777" w:rsidR="00776E71" w:rsidRPr="00F85CA6" w:rsidRDefault="00776E71" w:rsidP="00776E71">
      <w:pPr>
        <w:jc w:val="both"/>
        <w:rPr>
          <w:rFonts w:eastAsia="Calibri"/>
          <w:sz w:val="22"/>
          <w:szCs w:val="22"/>
          <w:lang w:val="sr-Latn-ME" w:bidi="en-US"/>
        </w:rPr>
      </w:pPr>
      <w:r w:rsidRPr="00F85CA6">
        <w:rPr>
          <w:rFonts w:eastAsia="Calibri"/>
          <w:sz w:val="22"/>
          <w:szCs w:val="22"/>
          <w:lang w:val="sr-Latn-ME"/>
        </w:rPr>
        <w:t>Amonijak, rastvor koncentrovani (E527)</w:t>
      </w:r>
    </w:p>
    <w:p w14:paraId="17796AD6" w14:textId="6CBC9EF8" w:rsidR="00776E71" w:rsidRPr="00F85CA6" w:rsidRDefault="00776E71" w:rsidP="00776E71">
      <w:pPr>
        <w:jc w:val="both"/>
        <w:rPr>
          <w:rFonts w:eastAsia="Calibri"/>
          <w:sz w:val="22"/>
          <w:szCs w:val="22"/>
          <w:lang w:val="sr-Latn-ME" w:bidi="en-US"/>
        </w:rPr>
      </w:pPr>
      <w:r w:rsidRPr="00F85CA6">
        <w:rPr>
          <w:rFonts w:eastAsia="Calibri"/>
          <w:sz w:val="22"/>
          <w:szCs w:val="22"/>
          <w:lang w:val="sr-Latn-ME" w:bidi="en-US"/>
        </w:rPr>
        <w:t>Kalijum</w:t>
      </w:r>
      <w:r w:rsidR="00A06ACD" w:rsidRPr="00F85CA6">
        <w:rPr>
          <w:rFonts w:eastAsia="Calibri"/>
          <w:sz w:val="22"/>
          <w:szCs w:val="22"/>
          <w:lang w:val="sr-Latn-ME" w:bidi="en-US"/>
        </w:rPr>
        <w:t xml:space="preserve"> </w:t>
      </w:r>
      <w:r w:rsidRPr="00F85CA6">
        <w:rPr>
          <w:rFonts w:eastAsia="Calibri"/>
          <w:sz w:val="22"/>
          <w:szCs w:val="22"/>
          <w:lang w:val="sr-Latn-ME" w:bidi="en-US"/>
        </w:rPr>
        <w:t>hidroksid (E525)</w:t>
      </w:r>
    </w:p>
    <w:p w14:paraId="7179A3B2" w14:textId="77777777" w:rsidR="00776E71" w:rsidRPr="00F85CA6" w:rsidRDefault="00776E71" w:rsidP="00480FB1">
      <w:pPr>
        <w:tabs>
          <w:tab w:val="left" w:pos="540"/>
          <w:tab w:val="left" w:pos="569"/>
        </w:tabs>
        <w:rPr>
          <w:bCs/>
          <w:sz w:val="22"/>
          <w:szCs w:val="22"/>
          <w:lang w:val="sr-Latn-ME"/>
        </w:rPr>
      </w:pPr>
    </w:p>
    <w:p w14:paraId="420D5DB2" w14:textId="77777777" w:rsidR="0072020E" w:rsidRPr="00F85CA6" w:rsidRDefault="0072020E" w:rsidP="00480FB1">
      <w:pPr>
        <w:tabs>
          <w:tab w:val="left" w:pos="540"/>
          <w:tab w:val="left" w:pos="569"/>
        </w:tabs>
        <w:rPr>
          <w:b/>
          <w:bCs/>
          <w:sz w:val="22"/>
          <w:szCs w:val="22"/>
          <w:lang w:val="sr-Latn-ME"/>
        </w:rPr>
      </w:pPr>
      <w:r w:rsidRPr="00F85CA6">
        <w:rPr>
          <w:b/>
          <w:bCs/>
          <w:sz w:val="22"/>
          <w:szCs w:val="22"/>
          <w:lang w:val="sr-Latn-ME"/>
        </w:rPr>
        <w:t xml:space="preserve">6.2. </w:t>
      </w:r>
      <w:r w:rsidR="00480FB1" w:rsidRPr="00F85CA6">
        <w:rPr>
          <w:b/>
          <w:bCs/>
          <w:sz w:val="22"/>
          <w:szCs w:val="22"/>
          <w:lang w:val="sr-Latn-ME"/>
        </w:rPr>
        <w:tab/>
      </w:r>
      <w:r w:rsidRPr="00F85CA6">
        <w:rPr>
          <w:b/>
          <w:bCs/>
          <w:sz w:val="22"/>
          <w:szCs w:val="22"/>
          <w:lang w:val="sr-Latn-ME"/>
        </w:rPr>
        <w:t>Inkompatibilnost</w:t>
      </w:r>
      <w:r w:rsidR="002846DB" w:rsidRPr="00F85CA6">
        <w:rPr>
          <w:b/>
          <w:bCs/>
          <w:sz w:val="22"/>
          <w:szCs w:val="22"/>
          <w:lang w:val="sr-Latn-ME"/>
        </w:rPr>
        <w:t>i</w:t>
      </w:r>
    </w:p>
    <w:p w14:paraId="15D0549A" w14:textId="77777777" w:rsidR="0072020E" w:rsidRPr="00F85CA6" w:rsidRDefault="0072020E" w:rsidP="00480FB1">
      <w:pPr>
        <w:tabs>
          <w:tab w:val="left" w:pos="540"/>
          <w:tab w:val="left" w:pos="569"/>
        </w:tabs>
        <w:rPr>
          <w:bCs/>
          <w:sz w:val="22"/>
          <w:szCs w:val="22"/>
          <w:lang w:val="sr-Latn-ME"/>
        </w:rPr>
      </w:pPr>
    </w:p>
    <w:p w14:paraId="3BB92E42" w14:textId="628BADAC" w:rsidR="00776E71" w:rsidRPr="00F85CA6" w:rsidRDefault="00776E71" w:rsidP="00776E71">
      <w:pPr>
        <w:jc w:val="both"/>
        <w:rPr>
          <w:rFonts w:eastAsia="Calibri"/>
          <w:sz w:val="22"/>
          <w:szCs w:val="22"/>
          <w:lang w:val="sr-Latn-ME" w:bidi="en-US"/>
        </w:rPr>
      </w:pPr>
      <w:r w:rsidRPr="00F85CA6">
        <w:rPr>
          <w:rFonts w:eastAsia="Calibri"/>
          <w:sz w:val="22"/>
          <w:szCs w:val="22"/>
          <w:lang w:val="sr-Latn-ME" w:bidi="en-US"/>
        </w:rPr>
        <w:t>Nije primjenljivo.</w:t>
      </w:r>
    </w:p>
    <w:p w14:paraId="3A21BF6B" w14:textId="77777777" w:rsidR="00776E71" w:rsidRPr="00F85CA6" w:rsidRDefault="00776E71" w:rsidP="00480FB1">
      <w:pPr>
        <w:tabs>
          <w:tab w:val="left" w:pos="540"/>
          <w:tab w:val="left" w:pos="569"/>
        </w:tabs>
        <w:rPr>
          <w:bCs/>
          <w:sz w:val="22"/>
          <w:szCs w:val="22"/>
          <w:lang w:val="sr-Latn-ME"/>
        </w:rPr>
      </w:pPr>
    </w:p>
    <w:p w14:paraId="0929150F" w14:textId="77777777" w:rsidR="00F85CA6" w:rsidRDefault="00F85CA6" w:rsidP="00480FB1">
      <w:pPr>
        <w:tabs>
          <w:tab w:val="left" w:pos="540"/>
          <w:tab w:val="left" w:pos="569"/>
        </w:tabs>
        <w:rPr>
          <w:b/>
          <w:bCs/>
          <w:sz w:val="22"/>
          <w:szCs w:val="22"/>
          <w:lang w:val="sr-Latn-ME"/>
        </w:rPr>
      </w:pPr>
    </w:p>
    <w:p w14:paraId="744A50BD" w14:textId="276FDAC9" w:rsidR="0072020E" w:rsidRPr="00F85CA6" w:rsidRDefault="0072020E" w:rsidP="00480FB1">
      <w:pPr>
        <w:tabs>
          <w:tab w:val="left" w:pos="540"/>
          <w:tab w:val="left" w:pos="569"/>
        </w:tabs>
        <w:rPr>
          <w:b/>
          <w:bCs/>
          <w:sz w:val="22"/>
          <w:szCs w:val="22"/>
          <w:lang w:val="sr-Latn-ME"/>
        </w:rPr>
      </w:pPr>
      <w:r w:rsidRPr="00F85CA6">
        <w:rPr>
          <w:b/>
          <w:bCs/>
          <w:sz w:val="22"/>
          <w:szCs w:val="22"/>
          <w:lang w:val="sr-Latn-ME"/>
        </w:rPr>
        <w:lastRenderedPageBreak/>
        <w:t>6.3.</w:t>
      </w:r>
      <w:r w:rsidR="00C05DF8" w:rsidRPr="00F85CA6">
        <w:rPr>
          <w:b/>
          <w:bCs/>
          <w:sz w:val="22"/>
          <w:szCs w:val="22"/>
          <w:lang w:val="sr-Latn-ME"/>
        </w:rPr>
        <w:t xml:space="preserve"> </w:t>
      </w:r>
      <w:r w:rsidR="00480FB1" w:rsidRPr="00F85CA6">
        <w:rPr>
          <w:b/>
          <w:bCs/>
          <w:sz w:val="22"/>
          <w:szCs w:val="22"/>
          <w:lang w:val="sr-Latn-ME"/>
        </w:rPr>
        <w:tab/>
      </w:r>
      <w:r w:rsidRPr="00F85CA6">
        <w:rPr>
          <w:b/>
          <w:bCs/>
          <w:sz w:val="22"/>
          <w:szCs w:val="22"/>
          <w:lang w:val="sr-Latn-ME"/>
        </w:rPr>
        <w:t>Rok upotrebe</w:t>
      </w:r>
    </w:p>
    <w:p w14:paraId="620856B9" w14:textId="77777777" w:rsidR="0072020E" w:rsidRPr="00F85CA6" w:rsidRDefault="0072020E" w:rsidP="00480FB1">
      <w:pPr>
        <w:tabs>
          <w:tab w:val="left" w:pos="540"/>
          <w:tab w:val="left" w:pos="569"/>
        </w:tabs>
        <w:rPr>
          <w:bCs/>
          <w:sz w:val="22"/>
          <w:szCs w:val="22"/>
          <w:lang w:val="sr-Latn-ME"/>
        </w:rPr>
      </w:pPr>
    </w:p>
    <w:p w14:paraId="0CF49515" w14:textId="77777777" w:rsidR="00776E71" w:rsidRPr="00F85CA6" w:rsidRDefault="00776E71" w:rsidP="00776E71">
      <w:pPr>
        <w:jc w:val="both"/>
        <w:rPr>
          <w:rFonts w:eastAsia="Calibri"/>
          <w:sz w:val="22"/>
          <w:szCs w:val="22"/>
          <w:lang w:val="sr-Latn-ME" w:bidi="en-US"/>
        </w:rPr>
      </w:pPr>
      <w:r w:rsidRPr="00F85CA6">
        <w:rPr>
          <w:rFonts w:eastAsia="Calibri"/>
          <w:sz w:val="22"/>
          <w:szCs w:val="22"/>
          <w:lang w:val="sr-Latn-ME" w:bidi="en-US"/>
        </w:rPr>
        <w:t>2 godine</w:t>
      </w:r>
    </w:p>
    <w:p w14:paraId="1AE98DE0" w14:textId="77777777" w:rsidR="00776E71" w:rsidRPr="00F85CA6" w:rsidRDefault="00776E71" w:rsidP="00480FB1">
      <w:pPr>
        <w:tabs>
          <w:tab w:val="left" w:pos="540"/>
          <w:tab w:val="left" w:pos="569"/>
        </w:tabs>
        <w:rPr>
          <w:bCs/>
          <w:sz w:val="22"/>
          <w:szCs w:val="22"/>
          <w:lang w:val="sr-Latn-ME"/>
        </w:rPr>
      </w:pPr>
    </w:p>
    <w:p w14:paraId="74F3DEFB" w14:textId="77777777" w:rsidR="0072020E" w:rsidRPr="00F85CA6" w:rsidRDefault="0072020E" w:rsidP="00480FB1">
      <w:pPr>
        <w:tabs>
          <w:tab w:val="left" w:pos="540"/>
          <w:tab w:val="left" w:pos="569"/>
        </w:tabs>
        <w:rPr>
          <w:b/>
          <w:bCs/>
          <w:sz w:val="22"/>
          <w:szCs w:val="22"/>
          <w:lang w:val="sr-Latn-ME"/>
        </w:rPr>
      </w:pPr>
      <w:r w:rsidRPr="00F85CA6">
        <w:rPr>
          <w:b/>
          <w:bCs/>
          <w:sz w:val="22"/>
          <w:szCs w:val="22"/>
          <w:lang w:val="sr-Latn-ME"/>
        </w:rPr>
        <w:t xml:space="preserve">6.4. </w:t>
      </w:r>
      <w:r w:rsidR="00480FB1" w:rsidRPr="00F85CA6">
        <w:rPr>
          <w:b/>
          <w:bCs/>
          <w:sz w:val="22"/>
          <w:szCs w:val="22"/>
          <w:lang w:val="sr-Latn-ME"/>
        </w:rPr>
        <w:tab/>
      </w:r>
      <w:r w:rsidRPr="00F85CA6">
        <w:rPr>
          <w:b/>
          <w:bCs/>
          <w:sz w:val="22"/>
          <w:szCs w:val="22"/>
          <w:lang w:val="sr-Latn-ME"/>
        </w:rPr>
        <w:t>Posebne mjere upozorenja pri čuvanju</w:t>
      </w:r>
      <w:r w:rsidR="00F8570A" w:rsidRPr="00F85CA6">
        <w:rPr>
          <w:b/>
          <w:bCs/>
          <w:sz w:val="22"/>
          <w:szCs w:val="22"/>
          <w:lang w:val="sr-Latn-ME"/>
        </w:rPr>
        <w:t xml:space="preserve"> lijeka</w:t>
      </w:r>
    </w:p>
    <w:p w14:paraId="4ABE32FA" w14:textId="77777777" w:rsidR="00EC2532" w:rsidRPr="00F85CA6" w:rsidRDefault="00EC2532" w:rsidP="00480FB1">
      <w:pPr>
        <w:tabs>
          <w:tab w:val="left" w:pos="540"/>
          <w:tab w:val="left" w:pos="569"/>
        </w:tabs>
        <w:rPr>
          <w:bCs/>
          <w:sz w:val="22"/>
          <w:szCs w:val="22"/>
          <w:lang w:val="sr-Latn-ME"/>
        </w:rPr>
      </w:pPr>
    </w:p>
    <w:p w14:paraId="7499F668" w14:textId="2751D812" w:rsidR="00776E71" w:rsidRPr="00F85CA6" w:rsidRDefault="00776E71" w:rsidP="00776E71">
      <w:pPr>
        <w:jc w:val="both"/>
        <w:rPr>
          <w:rFonts w:eastAsia="Calibri"/>
          <w:sz w:val="22"/>
          <w:szCs w:val="22"/>
          <w:lang w:val="sr-Latn-ME" w:bidi="en-US"/>
        </w:rPr>
      </w:pPr>
      <w:r w:rsidRPr="00F85CA6">
        <w:rPr>
          <w:rFonts w:eastAsia="Calibri"/>
          <w:sz w:val="22"/>
          <w:szCs w:val="22"/>
          <w:lang w:val="sr-Latn-ME" w:bidi="en-US"/>
        </w:rPr>
        <w:t>Ovaj lijek ne zaht</w:t>
      </w:r>
      <w:r w:rsidR="00F44266" w:rsidRPr="00F85CA6">
        <w:rPr>
          <w:rFonts w:eastAsia="Calibri"/>
          <w:sz w:val="22"/>
          <w:szCs w:val="22"/>
          <w:lang w:val="sr-Latn-ME" w:bidi="en-US"/>
        </w:rPr>
        <w:t>i</w:t>
      </w:r>
      <w:r w:rsidRPr="00F85CA6">
        <w:rPr>
          <w:rFonts w:eastAsia="Calibri"/>
          <w:sz w:val="22"/>
          <w:szCs w:val="22"/>
          <w:lang w:val="sr-Latn-ME" w:bidi="en-US"/>
        </w:rPr>
        <w:t>jeva posebne temp</w:t>
      </w:r>
      <w:r w:rsidR="00DD4666" w:rsidRPr="00F85CA6">
        <w:rPr>
          <w:rFonts w:eastAsia="Calibri"/>
          <w:sz w:val="22"/>
          <w:szCs w:val="22"/>
          <w:lang w:val="sr-Latn-ME" w:bidi="en-US"/>
        </w:rPr>
        <w:t>e</w:t>
      </w:r>
      <w:r w:rsidRPr="00F85CA6">
        <w:rPr>
          <w:rFonts w:eastAsia="Calibri"/>
          <w:sz w:val="22"/>
          <w:szCs w:val="22"/>
          <w:lang w:val="sr-Latn-ME" w:bidi="en-US"/>
        </w:rPr>
        <w:t>raturne uslove čuvanja. Čuvati u originalnom pakovanju radi zaštite od vlage.</w:t>
      </w:r>
    </w:p>
    <w:p w14:paraId="40FAE7C3" w14:textId="77777777" w:rsidR="00776E71" w:rsidRPr="00F85CA6" w:rsidRDefault="00776E71" w:rsidP="00480FB1">
      <w:pPr>
        <w:tabs>
          <w:tab w:val="left" w:pos="540"/>
          <w:tab w:val="left" w:pos="569"/>
        </w:tabs>
        <w:rPr>
          <w:bCs/>
          <w:sz w:val="22"/>
          <w:szCs w:val="22"/>
          <w:lang w:val="sr-Latn-ME"/>
        </w:rPr>
      </w:pPr>
    </w:p>
    <w:p w14:paraId="7DB67AF5" w14:textId="77777777" w:rsidR="0072020E" w:rsidRPr="00F85CA6" w:rsidRDefault="0072020E" w:rsidP="00480FB1">
      <w:pPr>
        <w:tabs>
          <w:tab w:val="left" w:pos="540"/>
          <w:tab w:val="left" w:pos="569"/>
        </w:tabs>
        <w:rPr>
          <w:b/>
          <w:bCs/>
          <w:sz w:val="22"/>
          <w:szCs w:val="22"/>
          <w:lang w:val="sr-Latn-ME"/>
        </w:rPr>
      </w:pPr>
      <w:r w:rsidRPr="00F85CA6">
        <w:rPr>
          <w:b/>
          <w:bCs/>
          <w:sz w:val="22"/>
          <w:szCs w:val="22"/>
          <w:lang w:val="sr-Latn-ME"/>
        </w:rPr>
        <w:t xml:space="preserve">6.5. </w:t>
      </w:r>
      <w:r w:rsidR="00480FB1" w:rsidRPr="00F85CA6">
        <w:rPr>
          <w:b/>
          <w:bCs/>
          <w:sz w:val="22"/>
          <w:szCs w:val="22"/>
          <w:lang w:val="sr-Latn-ME"/>
        </w:rPr>
        <w:tab/>
      </w:r>
      <w:r w:rsidR="002846DB" w:rsidRPr="00F85CA6">
        <w:rPr>
          <w:b/>
          <w:bCs/>
          <w:sz w:val="22"/>
          <w:szCs w:val="22"/>
          <w:lang w:val="sr-Latn-ME"/>
        </w:rPr>
        <w:t xml:space="preserve">Vrsta i sadržaj </w:t>
      </w:r>
      <w:r w:rsidR="00F8570A" w:rsidRPr="00F85CA6">
        <w:rPr>
          <w:b/>
          <w:bCs/>
          <w:sz w:val="22"/>
          <w:szCs w:val="22"/>
          <w:lang w:val="sr-Latn-ME"/>
        </w:rPr>
        <w:t>pakovanja</w:t>
      </w:r>
      <w:r w:rsidR="00C06864" w:rsidRPr="00F85CA6">
        <w:rPr>
          <w:b/>
          <w:bCs/>
          <w:sz w:val="22"/>
          <w:szCs w:val="22"/>
          <w:lang w:val="sr-Latn-ME"/>
        </w:rPr>
        <w:t xml:space="preserve"> </w:t>
      </w:r>
    </w:p>
    <w:p w14:paraId="11F9081F" w14:textId="77777777" w:rsidR="00FD03B2" w:rsidRPr="00F85CA6" w:rsidRDefault="00FD03B2" w:rsidP="00FD03B2">
      <w:pPr>
        <w:jc w:val="both"/>
        <w:rPr>
          <w:rFonts w:eastAsia="Calibri"/>
          <w:sz w:val="22"/>
          <w:szCs w:val="22"/>
          <w:lang w:val="sr-Latn-ME"/>
        </w:rPr>
      </w:pPr>
    </w:p>
    <w:p w14:paraId="73B8DB89" w14:textId="6A68E02D" w:rsidR="00FD03B2" w:rsidRDefault="00FD03B2" w:rsidP="00FD03B2">
      <w:pPr>
        <w:jc w:val="both"/>
        <w:rPr>
          <w:rFonts w:eastAsia="Calibri"/>
          <w:sz w:val="22"/>
          <w:szCs w:val="22"/>
          <w:lang w:val="sr-Latn-ME"/>
        </w:rPr>
      </w:pPr>
      <w:r w:rsidRPr="00F85CA6">
        <w:rPr>
          <w:rFonts w:eastAsia="Calibri"/>
          <w:sz w:val="22"/>
          <w:szCs w:val="22"/>
          <w:lang w:val="sr-Latn-ME"/>
        </w:rPr>
        <w:t xml:space="preserve">Unutrašnje pakovanje lijeka </w:t>
      </w:r>
      <w:r w:rsidR="00A06ACD" w:rsidRPr="00F85CA6">
        <w:rPr>
          <w:rFonts w:eastAsia="Calibri"/>
          <w:sz w:val="22"/>
          <w:szCs w:val="22"/>
          <w:lang w:val="sr-Latn-ME"/>
        </w:rPr>
        <w:t>su</w:t>
      </w:r>
      <w:r w:rsidRPr="00F85CA6">
        <w:rPr>
          <w:rFonts w:eastAsia="Calibri"/>
          <w:sz w:val="22"/>
          <w:szCs w:val="22"/>
          <w:lang w:val="sr-Latn-ME"/>
        </w:rPr>
        <w:t xml:space="preserve"> OPA/Al/PE //Al blisteri sa integrisanim desikantom (sredstvo za sušenje) koji sadrže </w:t>
      </w:r>
      <w:r w:rsidR="00A06ACD" w:rsidRPr="00F85CA6">
        <w:rPr>
          <w:rFonts w:eastAsia="Calibri"/>
          <w:sz w:val="22"/>
          <w:szCs w:val="22"/>
          <w:lang w:val="sr-Latn-ME"/>
        </w:rPr>
        <w:t xml:space="preserve">po </w:t>
      </w:r>
      <w:r w:rsidRPr="00F85CA6">
        <w:rPr>
          <w:rFonts w:eastAsia="Calibri"/>
          <w:sz w:val="22"/>
          <w:szCs w:val="22"/>
          <w:lang w:val="sr-Latn-ME"/>
        </w:rPr>
        <w:t xml:space="preserve">10 kapsula, tvrdih. </w:t>
      </w:r>
    </w:p>
    <w:p w14:paraId="546D0393" w14:textId="77777777" w:rsidR="00F85CA6" w:rsidRPr="00F85CA6" w:rsidRDefault="00F85CA6" w:rsidP="00FD03B2">
      <w:pPr>
        <w:jc w:val="both"/>
        <w:rPr>
          <w:rFonts w:eastAsia="Calibri"/>
          <w:sz w:val="22"/>
          <w:szCs w:val="22"/>
          <w:lang w:val="sr-Latn-ME"/>
        </w:rPr>
      </w:pPr>
    </w:p>
    <w:p w14:paraId="15CB0AD6" w14:textId="16A53080" w:rsidR="00FD03B2" w:rsidRPr="00F85CA6" w:rsidRDefault="00FD03B2" w:rsidP="00FD03B2">
      <w:pPr>
        <w:jc w:val="both"/>
        <w:rPr>
          <w:rFonts w:eastAsia="Calibri"/>
          <w:sz w:val="22"/>
          <w:szCs w:val="22"/>
          <w:lang w:val="sr-Latn-ME" w:bidi="en-US"/>
        </w:rPr>
      </w:pPr>
      <w:r w:rsidRPr="00F85CA6">
        <w:rPr>
          <w:rFonts w:eastAsia="Calibri"/>
          <w:sz w:val="22"/>
          <w:szCs w:val="22"/>
          <w:lang w:val="sr-Latn-ME"/>
        </w:rPr>
        <w:t xml:space="preserve">Spoljašnje pakovanje lijeka je složiva kartonska kutija u kojoj se nalazi 6 blistera </w:t>
      </w:r>
      <w:r w:rsidR="00A06ACD" w:rsidRPr="00F85CA6">
        <w:rPr>
          <w:rFonts w:eastAsia="Calibri"/>
          <w:sz w:val="22"/>
          <w:szCs w:val="22"/>
          <w:lang w:val="sr-Latn-ME"/>
        </w:rPr>
        <w:t xml:space="preserve">(ukupno 60 kapsula, tvrdih) </w:t>
      </w:r>
      <w:r w:rsidRPr="00F85CA6">
        <w:rPr>
          <w:rFonts w:eastAsia="Calibri"/>
          <w:sz w:val="22"/>
          <w:szCs w:val="22"/>
          <w:lang w:val="sr-Latn-ME"/>
        </w:rPr>
        <w:t>i Uputstvo za lijek.</w:t>
      </w:r>
    </w:p>
    <w:p w14:paraId="296B7528" w14:textId="77777777" w:rsidR="00FD03B2" w:rsidRPr="00F85CA6" w:rsidRDefault="00FD03B2" w:rsidP="00FD03B2">
      <w:pPr>
        <w:jc w:val="both"/>
        <w:rPr>
          <w:rFonts w:eastAsia="Calibri"/>
          <w:sz w:val="22"/>
          <w:szCs w:val="22"/>
          <w:lang w:val="sr-Latn-ME" w:bidi="en-US"/>
        </w:rPr>
      </w:pPr>
    </w:p>
    <w:p w14:paraId="1A7A48F7" w14:textId="3EC5B3AA" w:rsidR="00FD03B2" w:rsidRPr="00F85CA6" w:rsidRDefault="00FD03B2" w:rsidP="00FD03B2">
      <w:pPr>
        <w:jc w:val="both"/>
        <w:rPr>
          <w:rFonts w:eastAsia="Calibri"/>
          <w:b/>
          <w:bCs/>
          <w:sz w:val="22"/>
          <w:szCs w:val="22"/>
          <w:lang w:val="sr-Latn-ME"/>
        </w:rPr>
      </w:pPr>
      <w:r w:rsidRPr="00F85CA6">
        <w:rPr>
          <w:rFonts w:eastAsia="Calibri"/>
          <w:b/>
          <w:bCs/>
          <w:sz w:val="22"/>
          <w:szCs w:val="22"/>
          <w:lang w:val="sr-Latn-ME"/>
        </w:rPr>
        <w:t>6.6. Posebne m</w:t>
      </w:r>
      <w:r w:rsidR="002C1B23" w:rsidRPr="00F85CA6">
        <w:rPr>
          <w:rFonts w:eastAsia="Calibri"/>
          <w:b/>
          <w:bCs/>
          <w:sz w:val="22"/>
          <w:szCs w:val="22"/>
          <w:lang w:val="sr-Latn-ME"/>
        </w:rPr>
        <w:t>j</w:t>
      </w:r>
      <w:r w:rsidRPr="00F85CA6">
        <w:rPr>
          <w:rFonts w:eastAsia="Calibri"/>
          <w:b/>
          <w:bCs/>
          <w:sz w:val="22"/>
          <w:szCs w:val="22"/>
          <w:lang w:val="sr-Latn-ME"/>
        </w:rPr>
        <w:t>ere opreza pri odlaganju materijala koji treba odbaciti nakon prim</w:t>
      </w:r>
      <w:r w:rsidR="002C1B23" w:rsidRPr="00F85CA6">
        <w:rPr>
          <w:rFonts w:eastAsia="Calibri"/>
          <w:b/>
          <w:bCs/>
          <w:sz w:val="22"/>
          <w:szCs w:val="22"/>
          <w:lang w:val="sr-Latn-ME"/>
        </w:rPr>
        <w:t>j</w:t>
      </w:r>
      <w:r w:rsidRPr="00F85CA6">
        <w:rPr>
          <w:rFonts w:eastAsia="Calibri"/>
          <w:b/>
          <w:bCs/>
          <w:sz w:val="22"/>
          <w:szCs w:val="22"/>
          <w:lang w:val="sr-Latn-ME"/>
        </w:rPr>
        <w:t>ene l</w:t>
      </w:r>
      <w:r w:rsidR="002C1B23" w:rsidRPr="00F85CA6">
        <w:rPr>
          <w:rFonts w:eastAsia="Calibri"/>
          <w:b/>
          <w:bCs/>
          <w:sz w:val="22"/>
          <w:szCs w:val="22"/>
          <w:lang w:val="sr-Latn-ME"/>
        </w:rPr>
        <w:t>ij</w:t>
      </w:r>
      <w:r w:rsidRPr="00F85CA6">
        <w:rPr>
          <w:rFonts w:eastAsia="Calibri"/>
          <w:b/>
          <w:bCs/>
          <w:sz w:val="22"/>
          <w:szCs w:val="22"/>
          <w:lang w:val="sr-Latn-ME"/>
        </w:rPr>
        <w:t>eka (i druga uputstva za rukovanje l</w:t>
      </w:r>
      <w:r w:rsidR="002C1B23" w:rsidRPr="00F85CA6">
        <w:rPr>
          <w:rFonts w:eastAsia="Calibri"/>
          <w:b/>
          <w:bCs/>
          <w:sz w:val="22"/>
          <w:szCs w:val="22"/>
          <w:lang w:val="sr-Latn-ME"/>
        </w:rPr>
        <w:t>ij</w:t>
      </w:r>
      <w:r w:rsidRPr="00F85CA6">
        <w:rPr>
          <w:rFonts w:eastAsia="Calibri"/>
          <w:b/>
          <w:bCs/>
          <w:sz w:val="22"/>
          <w:szCs w:val="22"/>
          <w:lang w:val="sr-Latn-ME"/>
        </w:rPr>
        <w:t>ekom)</w:t>
      </w:r>
    </w:p>
    <w:p w14:paraId="604DDF81" w14:textId="77777777" w:rsidR="00FD03B2" w:rsidRPr="00F85CA6" w:rsidRDefault="00FD03B2" w:rsidP="00FD03B2">
      <w:pPr>
        <w:jc w:val="both"/>
        <w:rPr>
          <w:rFonts w:eastAsia="Calibri"/>
          <w:sz w:val="22"/>
          <w:szCs w:val="22"/>
          <w:lang w:val="sr-Latn-ME" w:bidi="en-US"/>
        </w:rPr>
      </w:pPr>
    </w:p>
    <w:p w14:paraId="26844569" w14:textId="478414A1" w:rsidR="00FD03B2" w:rsidRPr="00F85CA6" w:rsidRDefault="00FD03B2" w:rsidP="00FD03B2">
      <w:pPr>
        <w:jc w:val="both"/>
        <w:rPr>
          <w:rFonts w:eastAsia="Calibri"/>
          <w:sz w:val="22"/>
          <w:szCs w:val="22"/>
          <w:lang w:val="sr-Latn-ME" w:bidi="en-US"/>
        </w:rPr>
      </w:pPr>
      <w:r w:rsidRPr="00F85CA6">
        <w:rPr>
          <w:rFonts w:eastAsia="Calibri"/>
          <w:sz w:val="22"/>
          <w:szCs w:val="22"/>
          <w:lang w:val="sr-Latn-ME" w:bidi="en-US"/>
        </w:rPr>
        <w:t>Kada se kapsule l</w:t>
      </w:r>
      <w:r w:rsidR="00A06ACD" w:rsidRPr="00F85CA6">
        <w:rPr>
          <w:rFonts w:eastAsia="Calibri"/>
          <w:sz w:val="22"/>
          <w:szCs w:val="22"/>
          <w:lang w:val="sr-Latn-ME" w:bidi="en-US"/>
        </w:rPr>
        <w:t>ij</w:t>
      </w:r>
      <w:r w:rsidRPr="00F85CA6">
        <w:rPr>
          <w:rFonts w:eastAsia="Calibri"/>
          <w:sz w:val="22"/>
          <w:szCs w:val="22"/>
          <w:lang w:val="sr-Latn-ME" w:bidi="en-US"/>
        </w:rPr>
        <w:t>eka BEREVIN vade van blister pakovanja treba se pridržavati sl</w:t>
      </w:r>
      <w:r w:rsidR="002C1B23" w:rsidRPr="00F85CA6">
        <w:rPr>
          <w:rFonts w:eastAsia="Calibri"/>
          <w:sz w:val="22"/>
          <w:szCs w:val="22"/>
          <w:lang w:val="sr-Latn-ME" w:bidi="en-US"/>
        </w:rPr>
        <w:t>j</w:t>
      </w:r>
      <w:r w:rsidRPr="00F85CA6">
        <w:rPr>
          <w:rFonts w:eastAsia="Calibri"/>
          <w:sz w:val="22"/>
          <w:szCs w:val="22"/>
          <w:lang w:val="sr-Latn-ME" w:bidi="en-US"/>
        </w:rPr>
        <w:t>edećih uputstava:</w:t>
      </w:r>
    </w:p>
    <w:p w14:paraId="3B67960D" w14:textId="77777777" w:rsidR="00FD03B2" w:rsidRPr="00F85CA6" w:rsidRDefault="00FD03B2" w:rsidP="00FD03B2">
      <w:pPr>
        <w:widowControl w:val="0"/>
        <w:numPr>
          <w:ilvl w:val="0"/>
          <w:numId w:val="16"/>
        </w:numPr>
        <w:tabs>
          <w:tab w:val="left" w:pos="562"/>
        </w:tabs>
        <w:spacing w:after="160" w:line="259" w:lineRule="auto"/>
        <w:ind w:left="567" w:hanging="567"/>
        <w:contextualSpacing/>
        <w:jc w:val="both"/>
        <w:rPr>
          <w:color w:val="000000"/>
          <w:sz w:val="22"/>
          <w:szCs w:val="22"/>
          <w:lang w:val="sr-Latn-ME" w:bidi="en-US"/>
        </w:rPr>
      </w:pPr>
      <w:r w:rsidRPr="00F85CA6">
        <w:rPr>
          <w:color w:val="000000"/>
          <w:sz w:val="22"/>
          <w:szCs w:val="22"/>
          <w:lang w:val="sr-Latn-ME" w:bidi="en-US"/>
        </w:rPr>
        <w:t>U slučaju perforirane folije: jedan pojedinačni blister je potrebno otkinuti od blister kartice duž perforirane linije.</w:t>
      </w:r>
    </w:p>
    <w:p w14:paraId="0FF44073" w14:textId="77777777" w:rsidR="00FD03B2" w:rsidRPr="00F85CA6" w:rsidRDefault="00FD03B2" w:rsidP="00FD03B2">
      <w:pPr>
        <w:widowControl w:val="0"/>
        <w:numPr>
          <w:ilvl w:val="0"/>
          <w:numId w:val="16"/>
        </w:numPr>
        <w:tabs>
          <w:tab w:val="left" w:pos="562"/>
        </w:tabs>
        <w:spacing w:after="160" w:line="259" w:lineRule="auto"/>
        <w:ind w:left="567" w:hanging="567"/>
        <w:contextualSpacing/>
        <w:jc w:val="both"/>
        <w:rPr>
          <w:color w:val="000000"/>
          <w:sz w:val="22"/>
          <w:szCs w:val="22"/>
          <w:lang w:val="sr-Latn-ME" w:bidi="en-US"/>
        </w:rPr>
      </w:pPr>
      <w:r w:rsidRPr="00F85CA6">
        <w:rPr>
          <w:color w:val="000000"/>
          <w:sz w:val="22"/>
          <w:szCs w:val="22"/>
          <w:lang w:val="sr-Latn-ME" w:bidi="en-US"/>
        </w:rPr>
        <w:t>Kapsula, tvrda treba da se istisne kroz blister foliju.</w:t>
      </w:r>
    </w:p>
    <w:p w14:paraId="28593972" w14:textId="77777777" w:rsidR="00FD03B2" w:rsidRPr="00F85CA6" w:rsidRDefault="00FD03B2" w:rsidP="00FD03B2">
      <w:pPr>
        <w:jc w:val="both"/>
        <w:rPr>
          <w:rFonts w:eastAsia="Calibri"/>
          <w:sz w:val="22"/>
          <w:szCs w:val="22"/>
          <w:lang w:val="sr-Latn-ME" w:bidi="en-US"/>
        </w:rPr>
      </w:pPr>
    </w:p>
    <w:p w14:paraId="01FD90B3" w14:textId="4C65FC71" w:rsidR="00FD03B2" w:rsidRPr="00F85CA6" w:rsidRDefault="00FD03B2" w:rsidP="00FD03B2">
      <w:pPr>
        <w:jc w:val="both"/>
        <w:rPr>
          <w:rFonts w:eastAsia="Calibri"/>
          <w:sz w:val="22"/>
          <w:szCs w:val="22"/>
          <w:lang w:val="sr-Latn-ME" w:bidi="en-US"/>
        </w:rPr>
      </w:pPr>
      <w:r w:rsidRPr="00F85CA6">
        <w:rPr>
          <w:rFonts w:eastAsia="Calibri"/>
          <w:sz w:val="22"/>
          <w:szCs w:val="22"/>
          <w:lang w:val="sr-Latn-ME" w:bidi="en-US"/>
        </w:rPr>
        <w:t>Svu neiskorišćenu količinu l</w:t>
      </w:r>
      <w:r w:rsidR="002C1B23" w:rsidRPr="00F85CA6">
        <w:rPr>
          <w:rFonts w:eastAsia="Calibri"/>
          <w:sz w:val="22"/>
          <w:szCs w:val="22"/>
          <w:lang w:val="sr-Latn-ME" w:bidi="en-US"/>
        </w:rPr>
        <w:t>ij</w:t>
      </w:r>
      <w:r w:rsidRPr="00F85CA6">
        <w:rPr>
          <w:rFonts w:eastAsia="Calibri"/>
          <w:sz w:val="22"/>
          <w:szCs w:val="22"/>
          <w:lang w:val="sr-Latn-ME" w:bidi="en-US"/>
        </w:rPr>
        <w:t>eka ili otpadnog materijala nakon njegove upotrebe treba ukloniti, u skladu sa važećim propisima.</w:t>
      </w:r>
    </w:p>
    <w:p w14:paraId="0047B5C8" w14:textId="77777777" w:rsidR="00776E71" w:rsidRPr="00F85CA6" w:rsidRDefault="00776E71" w:rsidP="00480FB1">
      <w:pPr>
        <w:tabs>
          <w:tab w:val="left" w:pos="540"/>
          <w:tab w:val="left" w:pos="569"/>
        </w:tabs>
        <w:rPr>
          <w:bCs/>
          <w:sz w:val="22"/>
          <w:szCs w:val="22"/>
          <w:lang w:val="sr-Latn-ME"/>
        </w:rPr>
      </w:pPr>
    </w:p>
    <w:p w14:paraId="2658A2EE" w14:textId="77777777" w:rsidR="0072020E" w:rsidRPr="00F85CA6" w:rsidRDefault="0072020E" w:rsidP="00480FB1">
      <w:pPr>
        <w:tabs>
          <w:tab w:val="left" w:pos="540"/>
          <w:tab w:val="left" w:pos="569"/>
        </w:tabs>
        <w:rPr>
          <w:bCs/>
          <w:sz w:val="22"/>
          <w:szCs w:val="22"/>
          <w:lang w:val="sr-Latn-ME"/>
        </w:rPr>
      </w:pPr>
    </w:p>
    <w:p w14:paraId="316F4B92" w14:textId="77777777" w:rsidR="00F8570A" w:rsidRPr="00F85CA6" w:rsidRDefault="0072020E" w:rsidP="00480FB1">
      <w:pPr>
        <w:tabs>
          <w:tab w:val="left" w:pos="540"/>
          <w:tab w:val="left" w:pos="569"/>
        </w:tabs>
        <w:rPr>
          <w:b/>
          <w:bCs/>
          <w:sz w:val="22"/>
          <w:szCs w:val="22"/>
          <w:lang w:val="sr-Latn-ME"/>
        </w:rPr>
      </w:pPr>
      <w:r w:rsidRPr="00F85CA6">
        <w:rPr>
          <w:b/>
          <w:bCs/>
          <w:sz w:val="22"/>
          <w:szCs w:val="22"/>
          <w:lang w:val="sr-Latn-ME"/>
        </w:rPr>
        <w:t xml:space="preserve">7. </w:t>
      </w:r>
      <w:r w:rsidR="00480FB1" w:rsidRPr="00F85CA6">
        <w:rPr>
          <w:b/>
          <w:bCs/>
          <w:sz w:val="22"/>
          <w:szCs w:val="22"/>
          <w:lang w:val="sr-Latn-ME"/>
        </w:rPr>
        <w:tab/>
      </w:r>
      <w:r w:rsidRPr="00F85CA6">
        <w:rPr>
          <w:b/>
          <w:bCs/>
          <w:sz w:val="22"/>
          <w:szCs w:val="22"/>
          <w:lang w:val="sr-Latn-ME"/>
        </w:rPr>
        <w:t>NOSILAC DOZVOLE</w:t>
      </w:r>
      <w:r w:rsidR="00483928" w:rsidRPr="00F85CA6">
        <w:rPr>
          <w:b/>
          <w:bCs/>
          <w:sz w:val="22"/>
          <w:szCs w:val="22"/>
          <w:lang w:val="sr-Latn-ME"/>
        </w:rPr>
        <w:t xml:space="preserve"> </w:t>
      </w:r>
    </w:p>
    <w:p w14:paraId="15B2E1FB" w14:textId="77777777" w:rsidR="00C61BE0" w:rsidRPr="00F85CA6" w:rsidRDefault="00C61BE0" w:rsidP="00480FB1">
      <w:pPr>
        <w:tabs>
          <w:tab w:val="left" w:pos="540"/>
          <w:tab w:val="left" w:pos="569"/>
        </w:tabs>
        <w:rPr>
          <w:bCs/>
          <w:sz w:val="22"/>
          <w:szCs w:val="22"/>
          <w:lang w:val="sr-Latn-ME"/>
        </w:rPr>
      </w:pPr>
    </w:p>
    <w:p w14:paraId="4F058C4C" w14:textId="1B31C906" w:rsidR="00FD03B2" w:rsidRPr="00F85CA6" w:rsidRDefault="00A06ACD" w:rsidP="00480FB1">
      <w:pPr>
        <w:tabs>
          <w:tab w:val="left" w:pos="540"/>
          <w:tab w:val="left" w:pos="569"/>
        </w:tabs>
        <w:rPr>
          <w:bCs/>
          <w:sz w:val="22"/>
          <w:szCs w:val="22"/>
          <w:lang w:val="sr-Latn-ME"/>
        </w:rPr>
      </w:pPr>
      <w:bookmarkStart w:id="31" w:name="_Hlk158467332"/>
      <w:r w:rsidRPr="00F85CA6">
        <w:rPr>
          <w:bCs/>
          <w:sz w:val="22"/>
          <w:szCs w:val="22"/>
          <w:lang w:val="sr-Latn-ME"/>
        </w:rPr>
        <w:t>Glosarij</w:t>
      </w:r>
      <w:r w:rsidR="002C1B23" w:rsidRPr="00F85CA6">
        <w:rPr>
          <w:bCs/>
          <w:sz w:val="22"/>
          <w:szCs w:val="22"/>
          <w:lang w:val="sr-Latn-ME"/>
        </w:rPr>
        <w:t xml:space="preserve"> </w:t>
      </w:r>
      <w:r w:rsidRPr="00F85CA6">
        <w:rPr>
          <w:bCs/>
          <w:sz w:val="22"/>
          <w:szCs w:val="22"/>
          <w:lang w:val="sr-Latn-ME"/>
        </w:rPr>
        <w:t>d.o.o.</w:t>
      </w:r>
    </w:p>
    <w:p w14:paraId="773EDAC4" w14:textId="7FF56976" w:rsidR="002C1B23" w:rsidRPr="00F85CA6" w:rsidRDefault="002C1B23" w:rsidP="00480FB1">
      <w:pPr>
        <w:tabs>
          <w:tab w:val="left" w:pos="540"/>
          <w:tab w:val="left" w:pos="569"/>
        </w:tabs>
        <w:rPr>
          <w:bCs/>
          <w:sz w:val="22"/>
          <w:szCs w:val="22"/>
          <w:lang w:val="sr-Latn-ME"/>
        </w:rPr>
      </w:pPr>
      <w:r w:rsidRPr="00F85CA6">
        <w:rPr>
          <w:bCs/>
          <w:sz w:val="22"/>
          <w:szCs w:val="22"/>
          <w:lang w:val="sr-Latn-ME"/>
        </w:rPr>
        <w:t>Vojislavljevića 76, 81000 Podgorica, Crna Gora</w:t>
      </w:r>
    </w:p>
    <w:bookmarkEnd w:id="31"/>
    <w:p w14:paraId="0A9407AB" w14:textId="50227E5B" w:rsidR="00C37FD7" w:rsidRPr="00F85CA6" w:rsidRDefault="00C37FD7" w:rsidP="00480FB1">
      <w:pPr>
        <w:tabs>
          <w:tab w:val="left" w:pos="540"/>
          <w:tab w:val="left" w:pos="569"/>
        </w:tabs>
        <w:rPr>
          <w:bCs/>
          <w:sz w:val="22"/>
          <w:szCs w:val="22"/>
          <w:lang w:val="sr-Latn-ME"/>
        </w:rPr>
      </w:pPr>
    </w:p>
    <w:p w14:paraId="56565A33" w14:textId="77777777" w:rsidR="00A06ACD" w:rsidRPr="00F85CA6" w:rsidRDefault="00A06ACD" w:rsidP="00480FB1">
      <w:pPr>
        <w:tabs>
          <w:tab w:val="left" w:pos="540"/>
          <w:tab w:val="left" w:pos="569"/>
        </w:tabs>
        <w:rPr>
          <w:bCs/>
          <w:sz w:val="22"/>
          <w:szCs w:val="22"/>
          <w:lang w:val="sr-Latn-ME"/>
        </w:rPr>
      </w:pPr>
    </w:p>
    <w:p w14:paraId="6BF6E869" w14:textId="4D373A5F" w:rsidR="0072020E" w:rsidRPr="00F85CA6" w:rsidRDefault="0072020E" w:rsidP="00480FB1">
      <w:pPr>
        <w:tabs>
          <w:tab w:val="left" w:pos="540"/>
          <w:tab w:val="left" w:pos="569"/>
        </w:tabs>
        <w:rPr>
          <w:b/>
          <w:bCs/>
          <w:sz w:val="22"/>
          <w:szCs w:val="22"/>
          <w:lang w:val="sr-Latn-ME"/>
        </w:rPr>
      </w:pPr>
      <w:r w:rsidRPr="00F85CA6">
        <w:rPr>
          <w:b/>
          <w:bCs/>
          <w:sz w:val="22"/>
          <w:szCs w:val="22"/>
          <w:lang w:val="sr-Latn-ME"/>
        </w:rPr>
        <w:t xml:space="preserve">8. </w:t>
      </w:r>
      <w:r w:rsidR="00480FB1" w:rsidRPr="00F85CA6">
        <w:rPr>
          <w:b/>
          <w:bCs/>
          <w:sz w:val="22"/>
          <w:szCs w:val="22"/>
          <w:lang w:val="sr-Latn-ME"/>
        </w:rPr>
        <w:tab/>
      </w:r>
      <w:r w:rsidRPr="00F85CA6">
        <w:rPr>
          <w:b/>
          <w:bCs/>
          <w:sz w:val="22"/>
          <w:szCs w:val="22"/>
          <w:lang w:val="sr-Latn-ME"/>
        </w:rPr>
        <w:t xml:space="preserve">BROJ </w:t>
      </w:r>
      <w:r w:rsidR="00CF1910" w:rsidRPr="00F85CA6">
        <w:rPr>
          <w:b/>
          <w:bCs/>
          <w:sz w:val="22"/>
          <w:szCs w:val="22"/>
          <w:lang w:val="sr-Latn-ME"/>
        </w:rPr>
        <w:t>DOZVOLE ZA STAVLJANJE LIJEKA U PROMET</w:t>
      </w:r>
    </w:p>
    <w:p w14:paraId="7A3EF44F" w14:textId="77777777" w:rsidR="0072020E" w:rsidRPr="00F85CA6" w:rsidRDefault="0072020E" w:rsidP="00480FB1">
      <w:pPr>
        <w:tabs>
          <w:tab w:val="left" w:pos="540"/>
          <w:tab w:val="left" w:pos="569"/>
        </w:tabs>
        <w:rPr>
          <w:bCs/>
          <w:sz w:val="22"/>
          <w:szCs w:val="22"/>
          <w:lang w:val="sr-Latn-ME"/>
        </w:rPr>
      </w:pPr>
    </w:p>
    <w:p w14:paraId="5C2F77C1" w14:textId="48C83982" w:rsidR="00F45F77" w:rsidRDefault="00F85CA6" w:rsidP="00480FB1">
      <w:pPr>
        <w:tabs>
          <w:tab w:val="left" w:pos="540"/>
          <w:tab w:val="left" w:pos="569"/>
        </w:tabs>
        <w:rPr>
          <w:bCs/>
          <w:sz w:val="22"/>
          <w:szCs w:val="22"/>
          <w:lang w:val="sr-Latn-ME"/>
        </w:rPr>
      </w:pPr>
      <w:r>
        <w:rPr>
          <w:rFonts w:ascii="TimesNewRoman" w:hAnsi="TimesNewRoman" w:cs="TimesNewRoman"/>
          <w:sz w:val="22"/>
          <w:szCs w:val="22"/>
          <w:lang w:val="sr-Latn-ME" w:eastAsia="sr-Latn-ME"/>
        </w:rPr>
        <w:t>2030/24/5796 - 1396</w:t>
      </w:r>
    </w:p>
    <w:p w14:paraId="6E873592" w14:textId="4A12B5E1" w:rsidR="00F85CA6" w:rsidRDefault="00F85CA6" w:rsidP="00480FB1">
      <w:pPr>
        <w:tabs>
          <w:tab w:val="left" w:pos="540"/>
          <w:tab w:val="left" w:pos="569"/>
        </w:tabs>
        <w:rPr>
          <w:bCs/>
          <w:sz w:val="22"/>
          <w:szCs w:val="22"/>
          <w:lang w:val="sr-Latn-ME"/>
        </w:rPr>
      </w:pPr>
    </w:p>
    <w:p w14:paraId="4AD85EF1" w14:textId="77777777" w:rsidR="00F85CA6" w:rsidRPr="00F85CA6" w:rsidRDefault="00F85CA6" w:rsidP="00480FB1">
      <w:pPr>
        <w:tabs>
          <w:tab w:val="left" w:pos="540"/>
          <w:tab w:val="left" w:pos="569"/>
        </w:tabs>
        <w:rPr>
          <w:bCs/>
          <w:sz w:val="22"/>
          <w:szCs w:val="22"/>
          <w:lang w:val="sr-Latn-ME"/>
        </w:rPr>
      </w:pPr>
    </w:p>
    <w:p w14:paraId="5FE6DFF2" w14:textId="77777777" w:rsidR="00CF1910" w:rsidRPr="00F85CA6" w:rsidRDefault="0072020E" w:rsidP="00480FB1">
      <w:pPr>
        <w:tabs>
          <w:tab w:val="left" w:pos="540"/>
          <w:tab w:val="left" w:pos="569"/>
        </w:tabs>
        <w:rPr>
          <w:b/>
          <w:bCs/>
          <w:sz w:val="22"/>
          <w:szCs w:val="22"/>
          <w:lang w:val="sr-Latn-ME"/>
        </w:rPr>
      </w:pPr>
      <w:r w:rsidRPr="00F85CA6">
        <w:rPr>
          <w:b/>
          <w:bCs/>
          <w:sz w:val="22"/>
          <w:szCs w:val="22"/>
          <w:lang w:val="sr-Latn-ME"/>
        </w:rPr>
        <w:t xml:space="preserve">9. </w:t>
      </w:r>
      <w:r w:rsidR="00480FB1" w:rsidRPr="00F85CA6">
        <w:rPr>
          <w:b/>
          <w:bCs/>
          <w:sz w:val="22"/>
          <w:szCs w:val="22"/>
          <w:lang w:val="sr-Latn-ME"/>
        </w:rPr>
        <w:tab/>
      </w:r>
      <w:r w:rsidRPr="00F85CA6">
        <w:rPr>
          <w:b/>
          <w:bCs/>
          <w:sz w:val="22"/>
          <w:szCs w:val="22"/>
          <w:lang w:val="sr-Latn-ME"/>
        </w:rPr>
        <w:t xml:space="preserve">DATUM </w:t>
      </w:r>
      <w:r w:rsidR="00C05DF8" w:rsidRPr="00F85CA6">
        <w:rPr>
          <w:b/>
          <w:bCs/>
          <w:sz w:val="22"/>
          <w:szCs w:val="22"/>
          <w:lang w:val="sr-Latn-ME"/>
        </w:rPr>
        <w:t xml:space="preserve">PRVE </w:t>
      </w:r>
      <w:r w:rsidR="008A6D43" w:rsidRPr="00F85CA6">
        <w:rPr>
          <w:b/>
          <w:bCs/>
          <w:sz w:val="22"/>
          <w:szCs w:val="22"/>
          <w:lang w:val="sr-Latn-ME"/>
        </w:rPr>
        <w:t>DOZVOLE</w:t>
      </w:r>
      <w:r w:rsidR="00CF1910" w:rsidRPr="00F85CA6">
        <w:rPr>
          <w:b/>
          <w:bCs/>
          <w:sz w:val="22"/>
          <w:szCs w:val="22"/>
          <w:lang w:val="sr-Latn-ME"/>
        </w:rPr>
        <w:t>/</w:t>
      </w:r>
      <w:r w:rsidR="00C05DF8" w:rsidRPr="00F85CA6">
        <w:rPr>
          <w:b/>
          <w:bCs/>
          <w:sz w:val="22"/>
          <w:szCs w:val="22"/>
          <w:lang w:val="sr-Latn-ME"/>
        </w:rPr>
        <w:t>OBNOVE DOZVOLE</w:t>
      </w:r>
      <w:r w:rsidR="00CF1910" w:rsidRPr="00F85CA6">
        <w:rPr>
          <w:b/>
          <w:bCs/>
          <w:sz w:val="22"/>
          <w:szCs w:val="22"/>
          <w:lang w:val="sr-Latn-ME"/>
        </w:rPr>
        <w:t xml:space="preserve"> ZA STAVLJANJE LIJEKA U </w:t>
      </w:r>
    </w:p>
    <w:p w14:paraId="24120719" w14:textId="04870BDA" w:rsidR="0072020E" w:rsidRPr="00F85CA6" w:rsidRDefault="00CF1910" w:rsidP="00480FB1">
      <w:pPr>
        <w:tabs>
          <w:tab w:val="left" w:pos="540"/>
          <w:tab w:val="left" w:pos="569"/>
        </w:tabs>
        <w:rPr>
          <w:b/>
          <w:bCs/>
          <w:sz w:val="22"/>
          <w:szCs w:val="22"/>
          <w:lang w:val="sr-Latn-ME"/>
        </w:rPr>
      </w:pPr>
      <w:r w:rsidRPr="00F85CA6">
        <w:rPr>
          <w:b/>
          <w:bCs/>
          <w:sz w:val="22"/>
          <w:szCs w:val="22"/>
          <w:lang w:val="sr-Latn-ME"/>
        </w:rPr>
        <w:t xml:space="preserve">          PROMET</w:t>
      </w:r>
    </w:p>
    <w:p w14:paraId="62A717B5" w14:textId="77777777" w:rsidR="0072020E" w:rsidRPr="00F85CA6" w:rsidRDefault="0072020E" w:rsidP="00480FB1">
      <w:pPr>
        <w:tabs>
          <w:tab w:val="left" w:pos="540"/>
          <w:tab w:val="left" w:pos="569"/>
        </w:tabs>
        <w:rPr>
          <w:bCs/>
          <w:sz w:val="22"/>
          <w:szCs w:val="22"/>
          <w:lang w:val="sr-Latn-ME"/>
        </w:rPr>
      </w:pPr>
    </w:p>
    <w:p w14:paraId="3F455B7D" w14:textId="707E1577" w:rsidR="00836B35" w:rsidRDefault="00F85CA6" w:rsidP="00480FB1">
      <w:pPr>
        <w:tabs>
          <w:tab w:val="left" w:pos="540"/>
          <w:tab w:val="left" w:pos="569"/>
        </w:tabs>
        <w:rPr>
          <w:bCs/>
          <w:sz w:val="22"/>
          <w:szCs w:val="22"/>
          <w:lang w:val="sr-Latn-ME"/>
        </w:rPr>
      </w:pPr>
      <w:r>
        <w:rPr>
          <w:bCs/>
          <w:sz w:val="22"/>
          <w:szCs w:val="22"/>
          <w:lang w:val="sr-Latn-ME"/>
        </w:rPr>
        <w:t>04.11.2024. godine</w:t>
      </w:r>
    </w:p>
    <w:p w14:paraId="529425C9" w14:textId="389F8CD4" w:rsidR="00F85CA6" w:rsidRDefault="00F85CA6" w:rsidP="00480FB1">
      <w:pPr>
        <w:tabs>
          <w:tab w:val="left" w:pos="540"/>
          <w:tab w:val="left" w:pos="569"/>
        </w:tabs>
        <w:rPr>
          <w:bCs/>
          <w:sz w:val="22"/>
          <w:szCs w:val="22"/>
          <w:lang w:val="sr-Latn-ME"/>
        </w:rPr>
      </w:pPr>
    </w:p>
    <w:p w14:paraId="5BEA6E31" w14:textId="77777777" w:rsidR="00F85CA6" w:rsidRPr="00F85CA6" w:rsidRDefault="00F85CA6" w:rsidP="00480FB1">
      <w:pPr>
        <w:tabs>
          <w:tab w:val="left" w:pos="540"/>
          <w:tab w:val="left" w:pos="569"/>
        </w:tabs>
        <w:rPr>
          <w:bCs/>
          <w:sz w:val="22"/>
          <w:szCs w:val="22"/>
          <w:lang w:val="sr-Latn-ME"/>
        </w:rPr>
      </w:pPr>
    </w:p>
    <w:p w14:paraId="62D390FE" w14:textId="77777777" w:rsidR="003F6A59" w:rsidRPr="00F85CA6" w:rsidRDefault="0072020E" w:rsidP="00C05DF8">
      <w:pPr>
        <w:tabs>
          <w:tab w:val="left" w:pos="540"/>
          <w:tab w:val="left" w:pos="569"/>
        </w:tabs>
        <w:ind w:left="540" w:hanging="540"/>
        <w:rPr>
          <w:bCs/>
          <w:sz w:val="22"/>
          <w:szCs w:val="22"/>
          <w:lang w:val="sr-Latn-ME"/>
        </w:rPr>
      </w:pPr>
      <w:r w:rsidRPr="00F85CA6">
        <w:rPr>
          <w:b/>
          <w:bCs/>
          <w:sz w:val="22"/>
          <w:szCs w:val="22"/>
          <w:lang w:val="sr-Latn-ME"/>
        </w:rPr>
        <w:t xml:space="preserve">10. </w:t>
      </w:r>
      <w:r w:rsidR="00480FB1" w:rsidRPr="00F85CA6">
        <w:rPr>
          <w:b/>
          <w:bCs/>
          <w:sz w:val="22"/>
          <w:szCs w:val="22"/>
          <w:lang w:val="sr-Latn-ME"/>
        </w:rPr>
        <w:tab/>
      </w:r>
      <w:r w:rsidR="002846DB" w:rsidRPr="00F85CA6">
        <w:rPr>
          <w:b/>
          <w:bCs/>
          <w:sz w:val="22"/>
          <w:szCs w:val="22"/>
          <w:lang w:val="sr-Latn-ME"/>
        </w:rPr>
        <w:t>D</w:t>
      </w:r>
      <w:r w:rsidR="00EC2532" w:rsidRPr="00F85CA6">
        <w:rPr>
          <w:b/>
          <w:bCs/>
          <w:sz w:val="22"/>
          <w:szCs w:val="22"/>
          <w:lang w:val="sr-Latn-ME"/>
        </w:rPr>
        <w:t xml:space="preserve">ATUM REVIZIJE TEKSTA </w:t>
      </w:r>
    </w:p>
    <w:p w14:paraId="696E3E28" w14:textId="77777777" w:rsidR="003F6A59" w:rsidRPr="00F85CA6" w:rsidRDefault="003F6A59" w:rsidP="00480FB1">
      <w:pPr>
        <w:tabs>
          <w:tab w:val="left" w:pos="540"/>
          <w:tab w:val="left" w:pos="569"/>
        </w:tabs>
        <w:rPr>
          <w:bCs/>
          <w:sz w:val="22"/>
          <w:szCs w:val="22"/>
          <w:lang w:val="sr-Latn-ME"/>
        </w:rPr>
      </w:pPr>
    </w:p>
    <w:p w14:paraId="45537539" w14:textId="38F278D8" w:rsidR="008A6D43" w:rsidRPr="00F85CA6" w:rsidRDefault="00F85CA6" w:rsidP="00480FB1">
      <w:pPr>
        <w:tabs>
          <w:tab w:val="left" w:pos="540"/>
          <w:tab w:val="left" w:pos="569"/>
        </w:tabs>
        <w:rPr>
          <w:bCs/>
          <w:sz w:val="22"/>
          <w:szCs w:val="22"/>
          <w:lang w:val="sr-Latn-ME"/>
        </w:rPr>
      </w:pPr>
      <w:r>
        <w:rPr>
          <w:bCs/>
          <w:sz w:val="22"/>
          <w:szCs w:val="22"/>
          <w:lang w:val="sr-Latn-ME"/>
        </w:rPr>
        <w:t>Novembar, 2024. godine</w:t>
      </w:r>
      <w:bookmarkStart w:id="32" w:name="_GoBack"/>
      <w:bookmarkEnd w:id="32"/>
    </w:p>
    <w:p w14:paraId="09A5FBD8" w14:textId="40CB95DB" w:rsidR="003F6A59" w:rsidRPr="00F85CA6" w:rsidRDefault="003F6A59" w:rsidP="00DE3F5C">
      <w:pPr>
        <w:rPr>
          <w:sz w:val="22"/>
          <w:szCs w:val="22"/>
          <w:lang w:val="sr-Latn-ME"/>
        </w:rPr>
      </w:pPr>
    </w:p>
    <w:sectPr w:rsidR="003F6A59" w:rsidRPr="00F85CA6" w:rsidSect="00A27B00">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F98B8" w14:textId="77777777" w:rsidR="008B4E12" w:rsidRDefault="008B4E12">
      <w:r>
        <w:separator/>
      </w:r>
    </w:p>
  </w:endnote>
  <w:endnote w:type="continuationSeparator" w:id="0">
    <w:p w14:paraId="0AEDD1F2" w14:textId="77777777" w:rsidR="008B4E12" w:rsidRDefault="008B4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JOBOG I+ BI Logo">
    <w:altName w:val="Arial"/>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5C31F" w14:textId="150188AB" w:rsidR="00615398" w:rsidRPr="00B23F69" w:rsidRDefault="00615398" w:rsidP="00615398">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F85CA6">
      <w:rPr>
        <w:noProof/>
        <w:sz w:val="22"/>
        <w:szCs w:val="22"/>
      </w:rPr>
      <w:t>42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F85CA6">
      <w:rPr>
        <w:noProof/>
        <w:sz w:val="22"/>
        <w:szCs w:val="22"/>
      </w:rPr>
      <w:t>43</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9E550" w14:textId="77777777" w:rsidR="008B4E12" w:rsidRDefault="008B4E12">
      <w:r>
        <w:separator/>
      </w:r>
    </w:p>
  </w:footnote>
  <w:footnote w:type="continuationSeparator" w:id="0">
    <w:p w14:paraId="2AD2A7B6" w14:textId="77777777" w:rsidR="008B4E12" w:rsidRDefault="008B4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5.55pt;height:13.25pt;visibility:visible" o:bullet="t">
        <v:imagedata r:id="rId1" o:title="BT_1000x858px"/>
      </v:shape>
    </w:pict>
  </w:numPicBullet>
  <w:abstractNum w:abstractNumId="0" w15:restartNumberingAfterBreak="0">
    <w:nsid w:val="0BB4394E"/>
    <w:multiLevelType w:val="hybridMultilevel"/>
    <w:tmpl w:val="55147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3770187"/>
    <w:multiLevelType w:val="hybridMultilevel"/>
    <w:tmpl w:val="699E30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06E6294"/>
    <w:multiLevelType w:val="hybridMultilevel"/>
    <w:tmpl w:val="CB66C5E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54F036FC"/>
    <w:multiLevelType w:val="hybridMultilevel"/>
    <w:tmpl w:val="7C02DFCE"/>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2"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6DE5C34"/>
    <w:multiLevelType w:val="hybridMultilevel"/>
    <w:tmpl w:val="E1760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
  </w:num>
  <w:num w:numId="4">
    <w:abstractNumId w:val="12"/>
  </w:num>
  <w:num w:numId="5">
    <w:abstractNumId w:val="7"/>
  </w:num>
  <w:num w:numId="6">
    <w:abstractNumId w:val="2"/>
  </w:num>
  <w:num w:numId="7">
    <w:abstractNumId w:val="10"/>
  </w:num>
  <w:num w:numId="8">
    <w:abstractNumId w:val="6"/>
  </w:num>
  <w:num w:numId="9">
    <w:abstractNumId w:val="9"/>
  </w:num>
  <w:num w:numId="10">
    <w:abstractNumId w:val="15"/>
  </w:num>
  <w:num w:numId="11">
    <w:abstractNumId w:val="8"/>
  </w:num>
  <w:num w:numId="12">
    <w:abstractNumId w:val="0"/>
  </w:num>
  <w:num w:numId="13">
    <w:abstractNumId w:val="13"/>
  </w:num>
  <w:num w:numId="14">
    <w:abstractNumId w:val="11"/>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465"/>
    <w:rsid w:val="00000528"/>
    <w:rsid w:val="000176CA"/>
    <w:rsid w:val="00033469"/>
    <w:rsid w:val="00036FA0"/>
    <w:rsid w:val="0003793F"/>
    <w:rsid w:val="00045130"/>
    <w:rsid w:val="00055A87"/>
    <w:rsid w:val="00055F86"/>
    <w:rsid w:val="00057E35"/>
    <w:rsid w:val="0007543F"/>
    <w:rsid w:val="00075E28"/>
    <w:rsid w:val="00076726"/>
    <w:rsid w:val="00080303"/>
    <w:rsid w:val="00083762"/>
    <w:rsid w:val="00083D02"/>
    <w:rsid w:val="000A3F58"/>
    <w:rsid w:val="000A69CA"/>
    <w:rsid w:val="000C7DC7"/>
    <w:rsid w:val="000D2343"/>
    <w:rsid w:val="000D3449"/>
    <w:rsid w:val="000D425A"/>
    <w:rsid w:val="000D47A9"/>
    <w:rsid w:val="000D60CC"/>
    <w:rsid w:val="000E2084"/>
    <w:rsid w:val="000E2C56"/>
    <w:rsid w:val="000E6B2E"/>
    <w:rsid w:val="000E6F55"/>
    <w:rsid w:val="000F77FA"/>
    <w:rsid w:val="001072B3"/>
    <w:rsid w:val="00107BF7"/>
    <w:rsid w:val="001239C3"/>
    <w:rsid w:val="00126F53"/>
    <w:rsid w:val="00143607"/>
    <w:rsid w:val="0014766D"/>
    <w:rsid w:val="001536CC"/>
    <w:rsid w:val="00163AD3"/>
    <w:rsid w:val="00174263"/>
    <w:rsid w:val="00175E41"/>
    <w:rsid w:val="00194E92"/>
    <w:rsid w:val="001A1B39"/>
    <w:rsid w:val="001A3FBA"/>
    <w:rsid w:val="001A43A8"/>
    <w:rsid w:val="001A5518"/>
    <w:rsid w:val="001B1C6A"/>
    <w:rsid w:val="001B7CED"/>
    <w:rsid w:val="001C1263"/>
    <w:rsid w:val="001C1417"/>
    <w:rsid w:val="001D548A"/>
    <w:rsid w:val="001E16A9"/>
    <w:rsid w:val="001E390B"/>
    <w:rsid w:val="001E6256"/>
    <w:rsid w:val="001F42FB"/>
    <w:rsid w:val="001F719A"/>
    <w:rsid w:val="002031B3"/>
    <w:rsid w:val="00215931"/>
    <w:rsid w:val="00216E8E"/>
    <w:rsid w:val="00224C91"/>
    <w:rsid w:val="00227BDB"/>
    <w:rsid w:val="00234CB1"/>
    <w:rsid w:val="002352F8"/>
    <w:rsid w:val="00247560"/>
    <w:rsid w:val="0025051C"/>
    <w:rsid w:val="002510A5"/>
    <w:rsid w:val="00254A0A"/>
    <w:rsid w:val="00257976"/>
    <w:rsid w:val="00266046"/>
    <w:rsid w:val="002846DB"/>
    <w:rsid w:val="00284CCD"/>
    <w:rsid w:val="002A1B6B"/>
    <w:rsid w:val="002B1EF2"/>
    <w:rsid w:val="002B371E"/>
    <w:rsid w:val="002C18DB"/>
    <w:rsid w:val="002C1B23"/>
    <w:rsid w:val="002C6101"/>
    <w:rsid w:val="002C6637"/>
    <w:rsid w:val="002E0135"/>
    <w:rsid w:val="002E37A5"/>
    <w:rsid w:val="002E54BA"/>
    <w:rsid w:val="002F10AD"/>
    <w:rsid w:val="002F42CD"/>
    <w:rsid w:val="00300352"/>
    <w:rsid w:val="00306730"/>
    <w:rsid w:val="00310F03"/>
    <w:rsid w:val="003247D2"/>
    <w:rsid w:val="003339DC"/>
    <w:rsid w:val="003376AE"/>
    <w:rsid w:val="003445C1"/>
    <w:rsid w:val="00355B61"/>
    <w:rsid w:val="00362686"/>
    <w:rsid w:val="003663D5"/>
    <w:rsid w:val="00371510"/>
    <w:rsid w:val="00396DFD"/>
    <w:rsid w:val="003A2ACB"/>
    <w:rsid w:val="003A3757"/>
    <w:rsid w:val="003A7059"/>
    <w:rsid w:val="003B1B8B"/>
    <w:rsid w:val="003B7A36"/>
    <w:rsid w:val="003C17AB"/>
    <w:rsid w:val="003C7823"/>
    <w:rsid w:val="003E1DCC"/>
    <w:rsid w:val="003E5AF3"/>
    <w:rsid w:val="003F04B6"/>
    <w:rsid w:val="003F11A1"/>
    <w:rsid w:val="003F3434"/>
    <w:rsid w:val="003F6A59"/>
    <w:rsid w:val="004065C8"/>
    <w:rsid w:val="004109FA"/>
    <w:rsid w:val="00410EF8"/>
    <w:rsid w:val="00411B4B"/>
    <w:rsid w:val="00415BEE"/>
    <w:rsid w:val="00423EDE"/>
    <w:rsid w:val="004254E9"/>
    <w:rsid w:val="00427F85"/>
    <w:rsid w:val="0043168A"/>
    <w:rsid w:val="00436F42"/>
    <w:rsid w:val="004378B4"/>
    <w:rsid w:val="00451314"/>
    <w:rsid w:val="00452E9D"/>
    <w:rsid w:val="004534C7"/>
    <w:rsid w:val="00465864"/>
    <w:rsid w:val="004671AA"/>
    <w:rsid w:val="00471DF8"/>
    <w:rsid w:val="0047239C"/>
    <w:rsid w:val="00477009"/>
    <w:rsid w:val="00480FB1"/>
    <w:rsid w:val="00483928"/>
    <w:rsid w:val="004A2BBA"/>
    <w:rsid w:val="004B1CA0"/>
    <w:rsid w:val="004C331F"/>
    <w:rsid w:val="004D6103"/>
    <w:rsid w:val="004E3BCE"/>
    <w:rsid w:val="004E70AD"/>
    <w:rsid w:val="004F0E97"/>
    <w:rsid w:val="004F17E2"/>
    <w:rsid w:val="004F43BE"/>
    <w:rsid w:val="00501DD1"/>
    <w:rsid w:val="005061BA"/>
    <w:rsid w:val="00515C21"/>
    <w:rsid w:val="00523AA3"/>
    <w:rsid w:val="00530BD7"/>
    <w:rsid w:val="00545CD2"/>
    <w:rsid w:val="005476F3"/>
    <w:rsid w:val="005667DB"/>
    <w:rsid w:val="00572527"/>
    <w:rsid w:val="00573E40"/>
    <w:rsid w:val="00576348"/>
    <w:rsid w:val="00591372"/>
    <w:rsid w:val="005A0B2E"/>
    <w:rsid w:val="005A23D2"/>
    <w:rsid w:val="005A36CB"/>
    <w:rsid w:val="005B49B8"/>
    <w:rsid w:val="005C0741"/>
    <w:rsid w:val="005C5EF4"/>
    <w:rsid w:val="005C6F25"/>
    <w:rsid w:val="005E2E0B"/>
    <w:rsid w:val="005E67AD"/>
    <w:rsid w:val="005E7A7D"/>
    <w:rsid w:val="00602457"/>
    <w:rsid w:val="00615398"/>
    <w:rsid w:val="00627228"/>
    <w:rsid w:val="0063035D"/>
    <w:rsid w:val="00637A06"/>
    <w:rsid w:val="00644FC3"/>
    <w:rsid w:val="00646BD1"/>
    <w:rsid w:val="00654F22"/>
    <w:rsid w:val="006561C2"/>
    <w:rsid w:val="00671CB3"/>
    <w:rsid w:val="00674BAF"/>
    <w:rsid w:val="00682200"/>
    <w:rsid w:val="00685312"/>
    <w:rsid w:val="00692BF6"/>
    <w:rsid w:val="006A1351"/>
    <w:rsid w:val="006A1497"/>
    <w:rsid w:val="006B0BD1"/>
    <w:rsid w:val="006B5404"/>
    <w:rsid w:val="006D0E35"/>
    <w:rsid w:val="006D20A5"/>
    <w:rsid w:val="006D37BF"/>
    <w:rsid w:val="00702E22"/>
    <w:rsid w:val="0071439F"/>
    <w:rsid w:val="0072020E"/>
    <w:rsid w:val="00736A94"/>
    <w:rsid w:val="00742074"/>
    <w:rsid w:val="00754902"/>
    <w:rsid w:val="00765285"/>
    <w:rsid w:val="00776E71"/>
    <w:rsid w:val="0078482C"/>
    <w:rsid w:val="00786071"/>
    <w:rsid w:val="00786320"/>
    <w:rsid w:val="007904F4"/>
    <w:rsid w:val="00795E43"/>
    <w:rsid w:val="007A3ECB"/>
    <w:rsid w:val="007A5E0A"/>
    <w:rsid w:val="007B3116"/>
    <w:rsid w:val="007D7BB3"/>
    <w:rsid w:val="007E29AA"/>
    <w:rsid w:val="007E31E9"/>
    <w:rsid w:val="007E482C"/>
    <w:rsid w:val="007F0204"/>
    <w:rsid w:val="007F05E3"/>
    <w:rsid w:val="00824AB9"/>
    <w:rsid w:val="00836B35"/>
    <w:rsid w:val="00843BDE"/>
    <w:rsid w:val="00855D28"/>
    <w:rsid w:val="0087588C"/>
    <w:rsid w:val="0089705C"/>
    <w:rsid w:val="008A6D43"/>
    <w:rsid w:val="008B491E"/>
    <w:rsid w:val="008B4E12"/>
    <w:rsid w:val="008C1A28"/>
    <w:rsid w:val="008C2E98"/>
    <w:rsid w:val="008C44FD"/>
    <w:rsid w:val="008E49BD"/>
    <w:rsid w:val="008E53E9"/>
    <w:rsid w:val="008E5771"/>
    <w:rsid w:val="008F4ACF"/>
    <w:rsid w:val="00924166"/>
    <w:rsid w:val="00940B9B"/>
    <w:rsid w:val="00953573"/>
    <w:rsid w:val="0095676E"/>
    <w:rsid w:val="00956983"/>
    <w:rsid w:val="00963CF0"/>
    <w:rsid w:val="00964BB1"/>
    <w:rsid w:val="00972FA9"/>
    <w:rsid w:val="009775D9"/>
    <w:rsid w:val="009903FB"/>
    <w:rsid w:val="00997175"/>
    <w:rsid w:val="009A1847"/>
    <w:rsid w:val="009B062A"/>
    <w:rsid w:val="009D16CF"/>
    <w:rsid w:val="009E7C6F"/>
    <w:rsid w:val="009F1793"/>
    <w:rsid w:val="009F2D23"/>
    <w:rsid w:val="009F3C0D"/>
    <w:rsid w:val="00A01D69"/>
    <w:rsid w:val="00A02335"/>
    <w:rsid w:val="00A06ACD"/>
    <w:rsid w:val="00A27B00"/>
    <w:rsid w:val="00A3012C"/>
    <w:rsid w:val="00A30F42"/>
    <w:rsid w:val="00A4270C"/>
    <w:rsid w:val="00A42E97"/>
    <w:rsid w:val="00A45342"/>
    <w:rsid w:val="00A46C9A"/>
    <w:rsid w:val="00A619F3"/>
    <w:rsid w:val="00A62A73"/>
    <w:rsid w:val="00A87FF6"/>
    <w:rsid w:val="00A94651"/>
    <w:rsid w:val="00AA0A3B"/>
    <w:rsid w:val="00AA2763"/>
    <w:rsid w:val="00AA33B6"/>
    <w:rsid w:val="00AB50CA"/>
    <w:rsid w:val="00AB6D64"/>
    <w:rsid w:val="00AC2F37"/>
    <w:rsid w:val="00AC53CE"/>
    <w:rsid w:val="00AD2193"/>
    <w:rsid w:val="00AD5A64"/>
    <w:rsid w:val="00AF19F4"/>
    <w:rsid w:val="00AF2AC7"/>
    <w:rsid w:val="00AF74CE"/>
    <w:rsid w:val="00B12F0B"/>
    <w:rsid w:val="00B208DB"/>
    <w:rsid w:val="00B22B4F"/>
    <w:rsid w:val="00B23F69"/>
    <w:rsid w:val="00B27BDB"/>
    <w:rsid w:val="00B41249"/>
    <w:rsid w:val="00B54F13"/>
    <w:rsid w:val="00B60619"/>
    <w:rsid w:val="00B66A70"/>
    <w:rsid w:val="00B67366"/>
    <w:rsid w:val="00B80EE1"/>
    <w:rsid w:val="00B84135"/>
    <w:rsid w:val="00B85AF4"/>
    <w:rsid w:val="00B910A9"/>
    <w:rsid w:val="00B93D35"/>
    <w:rsid w:val="00BB4A93"/>
    <w:rsid w:val="00BD7460"/>
    <w:rsid w:val="00BE25B8"/>
    <w:rsid w:val="00BE381F"/>
    <w:rsid w:val="00BE4B9E"/>
    <w:rsid w:val="00C04D34"/>
    <w:rsid w:val="00C05DF8"/>
    <w:rsid w:val="00C06864"/>
    <w:rsid w:val="00C10F54"/>
    <w:rsid w:val="00C23D8D"/>
    <w:rsid w:val="00C274C1"/>
    <w:rsid w:val="00C31853"/>
    <w:rsid w:val="00C345DE"/>
    <w:rsid w:val="00C34BBF"/>
    <w:rsid w:val="00C37AA3"/>
    <w:rsid w:val="00C37FD7"/>
    <w:rsid w:val="00C43419"/>
    <w:rsid w:val="00C44CF3"/>
    <w:rsid w:val="00C61BE0"/>
    <w:rsid w:val="00C6707E"/>
    <w:rsid w:val="00C70B0E"/>
    <w:rsid w:val="00C773CA"/>
    <w:rsid w:val="00C83785"/>
    <w:rsid w:val="00C87FA8"/>
    <w:rsid w:val="00C94C0D"/>
    <w:rsid w:val="00C96D78"/>
    <w:rsid w:val="00CA1FEB"/>
    <w:rsid w:val="00CA2C47"/>
    <w:rsid w:val="00CB0B14"/>
    <w:rsid w:val="00CD1E14"/>
    <w:rsid w:val="00CD26E8"/>
    <w:rsid w:val="00CD4F85"/>
    <w:rsid w:val="00CD6F02"/>
    <w:rsid w:val="00CE246D"/>
    <w:rsid w:val="00CF07A0"/>
    <w:rsid w:val="00CF1910"/>
    <w:rsid w:val="00CF3E03"/>
    <w:rsid w:val="00D0082A"/>
    <w:rsid w:val="00D03502"/>
    <w:rsid w:val="00D21455"/>
    <w:rsid w:val="00D26851"/>
    <w:rsid w:val="00D313B4"/>
    <w:rsid w:val="00D47634"/>
    <w:rsid w:val="00D66267"/>
    <w:rsid w:val="00D709B3"/>
    <w:rsid w:val="00D74CB6"/>
    <w:rsid w:val="00D74CD2"/>
    <w:rsid w:val="00DA2ED6"/>
    <w:rsid w:val="00DA36AE"/>
    <w:rsid w:val="00DB1D55"/>
    <w:rsid w:val="00DB76B8"/>
    <w:rsid w:val="00DC2EA1"/>
    <w:rsid w:val="00DD4666"/>
    <w:rsid w:val="00DD6AAF"/>
    <w:rsid w:val="00DE3F5C"/>
    <w:rsid w:val="00DF1D20"/>
    <w:rsid w:val="00DF6AC6"/>
    <w:rsid w:val="00E13062"/>
    <w:rsid w:val="00E21324"/>
    <w:rsid w:val="00E246B9"/>
    <w:rsid w:val="00E31FEA"/>
    <w:rsid w:val="00E45169"/>
    <w:rsid w:val="00E45904"/>
    <w:rsid w:val="00E47787"/>
    <w:rsid w:val="00E51C30"/>
    <w:rsid w:val="00E52ED5"/>
    <w:rsid w:val="00E64180"/>
    <w:rsid w:val="00E7235D"/>
    <w:rsid w:val="00E74AEE"/>
    <w:rsid w:val="00E74FD6"/>
    <w:rsid w:val="00E868E5"/>
    <w:rsid w:val="00E869DB"/>
    <w:rsid w:val="00E86C27"/>
    <w:rsid w:val="00E9237A"/>
    <w:rsid w:val="00E939FA"/>
    <w:rsid w:val="00EA5765"/>
    <w:rsid w:val="00EA7BEC"/>
    <w:rsid w:val="00EC0807"/>
    <w:rsid w:val="00EC2532"/>
    <w:rsid w:val="00EC3E87"/>
    <w:rsid w:val="00ED7812"/>
    <w:rsid w:val="00EE51C2"/>
    <w:rsid w:val="00EF3B86"/>
    <w:rsid w:val="00F00680"/>
    <w:rsid w:val="00F317E9"/>
    <w:rsid w:val="00F340D8"/>
    <w:rsid w:val="00F34554"/>
    <w:rsid w:val="00F3529E"/>
    <w:rsid w:val="00F35B68"/>
    <w:rsid w:val="00F44266"/>
    <w:rsid w:val="00F45F77"/>
    <w:rsid w:val="00F5167F"/>
    <w:rsid w:val="00F52258"/>
    <w:rsid w:val="00F574B4"/>
    <w:rsid w:val="00F71160"/>
    <w:rsid w:val="00F7443D"/>
    <w:rsid w:val="00F8570A"/>
    <w:rsid w:val="00F85CA6"/>
    <w:rsid w:val="00F91C7B"/>
    <w:rsid w:val="00F92AE7"/>
    <w:rsid w:val="00FC0882"/>
    <w:rsid w:val="00FC0ECE"/>
    <w:rsid w:val="00FD03B2"/>
    <w:rsid w:val="00FE4BC5"/>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58893"/>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46B9"/>
    <w:pPr>
      <w:tabs>
        <w:tab w:val="center" w:pos="4320"/>
        <w:tab w:val="right" w:pos="8640"/>
      </w:tabs>
    </w:pPr>
  </w:style>
  <w:style w:type="paragraph" w:styleId="Footer">
    <w:name w:val="footer"/>
    <w:basedOn w:val="Normal"/>
    <w:link w:val="FooterChar"/>
    <w:uiPriority w:val="99"/>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uiPriority w:val="99"/>
    <w:semiHidden/>
    <w:rsid w:val="005A0B2E"/>
    <w:rPr>
      <w:sz w:val="16"/>
      <w:szCs w:val="16"/>
    </w:rPr>
  </w:style>
  <w:style w:type="paragraph" w:styleId="CommentText">
    <w:name w:val="annotation text"/>
    <w:basedOn w:val="Normal"/>
    <w:link w:val="CommentTextChar"/>
    <w:uiPriority w:val="99"/>
    <w:semiHidden/>
    <w:rsid w:val="005A0B2E"/>
    <w:rPr>
      <w:sz w:val="20"/>
      <w:szCs w:val="20"/>
    </w:rPr>
  </w:style>
  <w:style w:type="paragraph" w:styleId="CommentSubject">
    <w:name w:val="annotation subject"/>
    <w:basedOn w:val="CommentText"/>
    <w:next w:val="CommentText"/>
    <w:link w:val="CommentSubjectChar"/>
    <w:uiPriority w:val="99"/>
    <w:semiHidden/>
    <w:rsid w:val="005A0B2E"/>
    <w:rPr>
      <w:b/>
      <w:bCs/>
    </w:rPr>
  </w:style>
  <w:style w:type="paragraph" w:styleId="BalloonText">
    <w:name w:val="Balloon Text"/>
    <w:basedOn w:val="Normal"/>
    <w:link w:val="BalloonTextChar"/>
    <w:uiPriority w:val="99"/>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uiPriority w:val="99"/>
    <w:semiHidden/>
    <w:rsid w:val="008A6D43"/>
    <w:rPr>
      <w:lang w:val="en-US" w:eastAsia="en-US"/>
    </w:rPr>
  </w:style>
  <w:style w:type="character" w:styleId="Hyperlink">
    <w:name w:val="Hyperlink"/>
    <w:basedOn w:val="DefaultParagraphFont"/>
    <w:rsid w:val="004E70AD"/>
    <w:rPr>
      <w:color w:val="0563C1" w:themeColor="hyperlink"/>
      <w:u w:val="single"/>
    </w:rPr>
  </w:style>
  <w:style w:type="numbering" w:customStyle="1" w:styleId="NoList1">
    <w:name w:val="No List1"/>
    <w:next w:val="NoList"/>
    <w:uiPriority w:val="99"/>
    <w:semiHidden/>
    <w:unhideWhenUsed/>
    <w:rsid w:val="007E29AA"/>
  </w:style>
  <w:style w:type="numbering" w:customStyle="1" w:styleId="Nemlista1">
    <w:name w:val="Nem lista1"/>
    <w:next w:val="NoList"/>
    <w:uiPriority w:val="99"/>
    <w:semiHidden/>
    <w:unhideWhenUsed/>
    <w:rsid w:val="007E29AA"/>
  </w:style>
  <w:style w:type="character" w:customStyle="1" w:styleId="Szvegtrzs">
    <w:name w:val="Szövegtörzs_"/>
    <w:basedOn w:val="DefaultParagraphFont"/>
    <w:link w:val="Szvegtrzs1"/>
    <w:rsid w:val="007E29AA"/>
  </w:style>
  <w:style w:type="character" w:customStyle="1" w:styleId="Kpalrs">
    <w:name w:val="Képaláírás_"/>
    <w:basedOn w:val="DefaultParagraphFont"/>
    <w:link w:val="Kpalrs1"/>
    <w:rsid w:val="007E29AA"/>
  </w:style>
  <w:style w:type="character" w:customStyle="1" w:styleId="Cmsor1">
    <w:name w:val="Címsor #1_"/>
    <w:basedOn w:val="DefaultParagraphFont"/>
    <w:link w:val="Cmsor10"/>
    <w:rsid w:val="007E29AA"/>
    <w:rPr>
      <w:b/>
      <w:bCs/>
    </w:rPr>
  </w:style>
  <w:style w:type="character" w:customStyle="1" w:styleId="Fejlcvagylblc2">
    <w:name w:val="Fejléc vagy lábléc (2)_"/>
    <w:basedOn w:val="DefaultParagraphFont"/>
    <w:link w:val="Fejlcvagylblc20"/>
    <w:rsid w:val="007E29AA"/>
  </w:style>
  <w:style w:type="character" w:customStyle="1" w:styleId="Tblzatfelirata">
    <w:name w:val="Táblázat felirata_"/>
    <w:basedOn w:val="DefaultParagraphFont"/>
    <w:link w:val="Tblzatfelirata0"/>
    <w:rsid w:val="007E29AA"/>
    <w:rPr>
      <w:b/>
      <w:bCs/>
    </w:rPr>
  </w:style>
  <w:style w:type="character" w:customStyle="1" w:styleId="Egyb">
    <w:name w:val="Egyéb_"/>
    <w:basedOn w:val="DefaultParagraphFont"/>
    <w:link w:val="Egyb0"/>
    <w:rsid w:val="007E29AA"/>
  </w:style>
  <w:style w:type="character" w:customStyle="1" w:styleId="Fejlcvagylblc">
    <w:name w:val="Fejléc vagy lábléc_"/>
    <w:basedOn w:val="DefaultParagraphFont"/>
    <w:link w:val="Fejlcvagylblc0"/>
    <w:rsid w:val="007E29AA"/>
    <w:rPr>
      <w:rFonts w:ascii="Arial" w:eastAsia="Arial" w:hAnsi="Arial" w:cs="Arial"/>
      <w:sz w:val="16"/>
      <w:szCs w:val="16"/>
    </w:rPr>
  </w:style>
  <w:style w:type="character" w:customStyle="1" w:styleId="Szvegtrzs4">
    <w:name w:val="Szövegtörzs (4)_"/>
    <w:basedOn w:val="DefaultParagraphFont"/>
    <w:link w:val="Szvegtrzs40"/>
    <w:rsid w:val="007E29AA"/>
    <w:rPr>
      <w:rFonts w:ascii="Arial" w:eastAsia="Arial" w:hAnsi="Arial" w:cs="Arial"/>
      <w:color w:val="262225"/>
      <w:sz w:val="16"/>
      <w:szCs w:val="16"/>
    </w:rPr>
  </w:style>
  <w:style w:type="paragraph" w:customStyle="1" w:styleId="Szvegtrzs1">
    <w:name w:val="Szövegtörzs1"/>
    <w:basedOn w:val="Normal"/>
    <w:link w:val="Szvegtrzs"/>
    <w:rsid w:val="007E29AA"/>
    <w:pPr>
      <w:widowControl w:val="0"/>
      <w:spacing w:after="220"/>
    </w:pPr>
    <w:rPr>
      <w:sz w:val="20"/>
      <w:szCs w:val="20"/>
      <w:lang w:val="sr-Latn-ME" w:eastAsia="sr-Latn-ME"/>
    </w:rPr>
  </w:style>
  <w:style w:type="paragraph" w:customStyle="1" w:styleId="Kpalrs1">
    <w:name w:val="Képaláírás1"/>
    <w:basedOn w:val="Normal"/>
    <w:link w:val="Kpalrs"/>
    <w:rsid w:val="007E29AA"/>
    <w:pPr>
      <w:widowControl w:val="0"/>
      <w:jc w:val="center"/>
    </w:pPr>
    <w:rPr>
      <w:sz w:val="20"/>
      <w:szCs w:val="20"/>
      <w:lang w:val="sr-Latn-ME" w:eastAsia="sr-Latn-ME"/>
    </w:rPr>
  </w:style>
  <w:style w:type="paragraph" w:customStyle="1" w:styleId="Cmsor10">
    <w:name w:val="Címsor #1"/>
    <w:basedOn w:val="Normal"/>
    <w:link w:val="Cmsor1"/>
    <w:rsid w:val="007E29AA"/>
    <w:pPr>
      <w:widowControl w:val="0"/>
      <w:spacing w:before="5820" w:after="220"/>
      <w:jc w:val="center"/>
      <w:outlineLvl w:val="0"/>
    </w:pPr>
    <w:rPr>
      <w:b/>
      <w:bCs/>
      <w:sz w:val="20"/>
      <w:szCs w:val="20"/>
      <w:lang w:val="sr-Latn-ME" w:eastAsia="sr-Latn-ME"/>
    </w:rPr>
  </w:style>
  <w:style w:type="paragraph" w:customStyle="1" w:styleId="Fejlcvagylblc20">
    <w:name w:val="Fejléc vagy lábléc (2)"/>
    <w:basedOn w:val="Normal"/>
    <w:link w:val="Fejlcvagylblc2"/>
    <w:rsid w:val="007E29AA"/>
    <w:pPr>
      <w:widowControl w:val="0"/>
    </w:pPr>
    <w:rPr>
      <w:sz w:val="20"/>
      <w:szCs w:val="20"/>
      <w:lang w:val="sr-Latn-ME" w:eastAsia="sr-Latn-ME"/>
    </w:rPr>
  </w:style>
  <w:style w:type="paragraph" w:customStyle="1" w:styleId="Tblzatfelirata0">
    <w:name w:val="Táblázat felirata"/>
    <w:basedOn w:val="Normal"/>
    <w:link w:val="Tblzatfelirata"/>
    <w:rsid w:val="007E29AA"/>
    <w:pPr>
      <w:widowControl w:val="0"/>
    </w:pPr>
    <w:rPr>
      <w:b/>
      <w:bCs/>
      <w:sz w:val="20"/>
      <w:szCs w:val="20"/>
      <w:lang w:val="sr-Latn-ME" w:eastAsia="sr-Latn-ME"/>
    </w:rPr>
  </w:style>
  <w:style w:type="paragraph" w:customStyle="1" w:styleId="Egyb0">
    <w:name w:val="Egyéb"/>
    <w:basedOn w:val="Normal"/>
    <w:link w:val="Egyb"/>
    <w:rsid w:val="007E29AA"/>
    <w:pPr>
      <w:widowControl w:val="0"/>
      <w:spacing w:after="220"/>
    </w:pPr>
    <w:rPr>
      <w:sz w:val="20"/>
      <w:szCs w:val="20"/>
      <w:lang w:val="sr-Latn-ME" w:eastAsia="sr-Latn-ME"/>
    </w:rPr>
  </w:style>
  <w:style w:type="paragraph" w:customStyle="1" w:styleId="Fejlcvagylblc0">
    <w:name w:val="Fejléc vagy lábléc"/>
    <w:basedOn w:val="Normal"/>
    <w:link w:val="Fejlcvagylblc"/>
    <w:rsid w:val="007E29AA"/>
    <w:pPr>
      <w:widowControl w:val="0"/>
    </w:pPr>
    <w:rPr>
      <w:rFonts w:ascii="Arial" w:eastAsia="Arial" w:hAnsi="Arial" w:cs="Arial"/>
      <w:sz w:val="16"/>
      <w:szCs w:val="16"/>
      <w:lang w:val="sr-Latn-ME" w:eastAsia="sr-Latn-ME"/>
    </w:rPr>
  </w:style>
  <w:style w:type="paragraph" w:customStyle="1" w:styleId="Szvegtrzs40">
    <w:name w:val="Szövegtörzs (4)"/>
    <w:basedOn w:val="Normal"/>
    <w:link w:val="Szvegtrzs4"/>
    <w:rsid w:val="007E29AA"/>
    <w:pPr>
      <w:widowControl w:val="0"/>
      <w:spacing w:line="259" w:lineRule="auto"/>
      <w:jc w:val="center"/>
    </w:pPr>
    <w:rPr>
      <w:rFonts w:ascii="Arial" w:eastAsia="Arial" w:hAnsi="Arial" w:cs="Arial"/>
      <w:color w:val="262225"/>
      <w:sz w:val="16"/>
      <w:szCs w:val="16"/>
      <w:lang w:val="sr-Latn-ME" w:eastAsia="sr-Latn-ME"/>
    </w:rPr>
  </w:style>
  <w:style w:type="character" w:customStyle="1" w:styleId="BalloonTextChar">
    <w:name w:val="Balloon Text Char"/>
    <w:basedOn w:val="DefaultParagraphFont"/>
    <w:link w:val="BalloonText"/>
    <w:uiPriority w:val="99"/>
    <w:semiHidden/>
    <w:rsid w:val="007E29AA"/>
    <w:rPr>
      <w:rFonts w:ascii="Tahoma" w:hAnsi="Tahoma" w:cs="Tahoma"/>
      <w:sz w:val="16"/>
      <w:szCs w:val="16"/>
      <w:lang w:val="en-US" w:eastAsia="en-US"/>
    </w:rPr>
  </w:style>
  <w:style w:type="character" w:customStyle="1" w:styleId="CommentSubjectChar">
    <w:name w:val="Comment Subject Char"/>
    <w:basedOn w:val="CommentTextChar"/>
    <w:link w:val="CommentSubject"/>
    <w:uiPriority w:val="99"/>
    <w:semiHidden/>
    <w:rsid w:val="007E29AA"/>
    <w:rPr>
      <w:b/>
      <w:bCs/>
      <w:lang w:val="en-US" w:eastAsia="en-US"/>
    </w:rPr>
  </w:style>
  <w:style w:type="paragraph" w:styleId="ListParagraph">
    <w:name w:val="List Paragraph"/>
    <w:basedOn w:val="Normal"/>
    <w:uiPriority w:val="34"/>
    <w:qFormat/>
    <w:rsid w:val="007E29AA"/>
    <w:pPr>
      <w:spacing w:after="160" w:line="259" w:lineRule="auto"/>
      <w:ind w:left="720"/>
      <w:contextualSpacing/>
    </w:pPr>
    <w:rPr>
      <w:rFonts w:ascii="Calibri" w:eastAsia="Calibri" w:hAnsi="Calibri"/>
      <w:sz w:val="22"/>
      <w:szCs w:val="22"/>
      <w:lang w:val="hu-HU"/>
    </w:rPr>
  </w:style>
  <w:style w:type="paragraph" w:styleId="Revision">
    <w:name w:val="Revision"/>
    <w:hidden/>
    <w:uiPriority w:val="99"/>
    <w:semiHidden/>
    <w:rsid w:val="007E29AA"/>
    <w:rPr>
      <w:rFonts w:ascii="Calibri" w:eastAsia="Calibri" w:hAnsi="Calibri"/>
      <w:sz w:val="22"/>
      <w:szCs w:val="22"/>
      <w:lang w:val="hu-HU" w:eastAsia="en-US"/>
    </w:rPr>
  </w:style>
  <w:style w:type="table" w:styleId="TableGrid">
    <w:name w:val="Table Grid"/>
    <w:basedOn w:val="TableNormal"/>
    <w:uiPriority w:val="39"/>
    <w:rsid w:val="007E29AA"/>
    <w:rPr>
      <w:rFonts w:ascii="Calibri" w:eastAsia="Calibri" w:hAnsi="Calibri"/>
      <w:sz w:val="22"/>
      <w:szCs w:val="22"/>
      <w:lang w:val="hu-H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E29AA"/>
    <w:rPr>
      <w:sz w:val="24"/>
      <w:szCs w:val="24"/>
      <w:lang w:val="en-US" w:eastAsia="en-US"/>
    </w:rPr>
  </w:style>
  <w:style w:type="character" w:customStyle="1" w:styleId="FooterChar">
    <w:name w:val="Footer Char"/>
    <w:basedOn w:val="DefaultParagraphFont"/>
    <w:link w:val="Footer"/>
    <w:uiPriority w:val="99"/>
    <w:rsid w:val="007E29AA"/>
    <w:rPr>
      <w:sz w:val="24"/>
      <w:szCs w:val="24"/>
      <w:lang w:val="en-US" w:eastAsia="en-US"/>
    </w:rPr>
  </w:style>
  <w:style w:type="paragraph" w:customStyle="1" w:styleId="Default">
    <w:name w:val="Default"/>
    <w:rsid w:val="007E29AA"/>
    <w:pPr>
      <w:widowControl w:val="0"/>
      <w:autoSpaceDE w:val="0"/>
      <w:autoSpaceDN w:val="0"/>
      <w:adjustRightInd w:val="0"/>
    </w:pPr>
    <w:rPr>
      <w:rFonts w:ascii="JOBOG I+ BI Logo" w:hAnsi="JOBOG I+ BI Logo" w:cs="JOBOG I+ BI Logo"/>
      <w:color w:val="000000"/>
      <w:sz w:val="24"/>
      <w:szCs w:val="24"/>
      <w:lang w:val="en-US" w:eastAsia="en-US" w:bidi="ne-NP"/>
    </w:rPr>
  </w:style>
  <w:style w:type="character" w:customStyle="1" w:styleId="UnresolvedMention1">
    <w:name w:val="Unresolved Mention1"/>
    <w:basedOn w:val="DefaultParagraphFont"/>
    <w:uiPriority w:val="99"/>
    <w:semiHidden/>
    <w:unhideWhenUsed/>
    <w:rsid w:val="007E29AA"/>
    <w:rPr>
      <w:color w:val="605E5C"/>
      <w:shd w:val="clear" w:color="auto" w:fill="E1DFDD"/>
    </w:rPr>
  </w:style>
  <w:style w:type="numbering" w:customStyle="1" w:styleId="NoList2">
    <w:name w:val="No List2"/>
    <w:next w:val="NoList"/>
    <w:uiPriority w:val="99"/>
    <w:semiHidden/>
    <w:unhideWhenUsed/>
    <w:rsid w:val="00A30F42"/>
  </w:style>
  <w:style w:type="numbering" w:customStyle="1" w:styleId="Nemlista11">
    <w:name w:val="Nem lista11"/>
    <w:next w:val="NoList"/>
    <w:uiPriority w:val="99"/>
    <w:semiHidden/>
    <w:unhideWhenUsed/>
    <w:rsid w:val="00A30F42"/>
  </w:style>
  <w:style w:type="table" w:customStyle="1" w:styleId="TableGrid1">
    <w:name w:val="Table Grid1"/>
    <w:basedOn w:val="TableNormal"/>
    <w:next w:val="TableGrid"/>
    <w:uiPriority w:val="39"/>
    <w:rsid w:val="00A30F42"/>
    <w:rPr>
      <w:rFonts w:ascii="Calibri" w:eastAsia="Calibri" w:hAnsi="Calibri"/>
      <w:sz w:val="22"/>
      <w:szCs w:val="22"/>
      <w:lang w:val="hu-H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DE04D-0AF1-4A70-8968-EA22ED9D0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43</Pages>
  <Words>18910</Words>
  <Characters>107787</Characters>
  <Application>Microsoft Office Word</Application>
  <DocSecurity>0</DocSecurity>
  <Lines>898</Lines>
  <Paragraphs>252</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126445</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Gordana Boljević</cp:lastModifiedBy>
  <cp:revision>6</cp:revision>
  <cp:lastPrinted>2023-02-09T08:16:00Z</cp:lastPrinted>
  <dcterms:created xsi:type="dcterms:W3CDTF">2024-10-29T10:45:00Z</dcterms:created>
  <dcterms:modified xsi:type="dcterms:W3CDTF">2024-11-04T06:58:00Z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