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6B1A" w14:textId="7F9BBCFE" w:rsidR="00D67D34" w:rsidRPr="00314858" w:rsidRDefault="00D67D34" w:rsidP="00ED227D">
      <w:pPr>
        <w:spacing w:after="0" w:line="240" w:lineRule="auto"/>
        <w:jc w:val="center"/>
        <w:rPr>
          <w:rFonts w:ascii="Times New Roman" w:hAnsi="Times New Roman" w:cs="Times New Roman"/>
          <w:b/>
          <w:bCs/>
          <w:u w:val="single"/>
          <w:lang w:val="sr-Latn-ME"/>
        </w:rPr>
      </w:pPr>
      <w:r w:rsidRPr="00314858">
        <w:rPr>
          <w:rFonts w:ascii="Times New Roman" w:hAnsi="Times New Roman" w:cs="Times New Roman"/>
          <w:b/>
          <w:bCs/>
          <w:u w:val="single"/>
          <w:lang w:val="sr-Latn-ME"/>
        </w:rPr>
        <w:t>SAŽETAK KARAKTERISTIKA L</w:t>
      </w:r>
      <w:r w:rsidR="000D09B7" w:rsidRPr="00314858">
        <w:rPr>
          <w:rFonts w:ascii="Times New Roman" w:hAnsi="Times New Roman" w:cs="Times New Roman"/>
          <w:b/>
          <w:bCs/>
          <w:u w:val="single"/>
          <w:lang w:val="sr-Latn-ME"/>
        </w:rPr>
        <w:t>IJ</w:t>
      </w:r>
      <w:r w:rsidRPr="00314858">
        <w:rPr>
          <w:rFonts w:ascii="Times New Roman" w:hAnsi="Times New Roman" w:cs="Times New Roman"/>
          <w:b/>
          <w:bCs/>
          <w:u w:val="single"/>
          <w:lang w:val="sr-Latn-ME"/>
        </w:rPr>
        <w:t>EKA</w:t>
      </w:r>
    </w:p>
    <w:p w14:paraId="0ADF7993" w14:textId="77777777" w:rsidR="00D67D34" w:rsidRPr="00314858" w:rsidRDefault="00D67D34" w:rsidP="00D67D34">
      <w:pPr>
        <w:spacing w:after="0" w:line="240" w:lineRule="auto"/>
        <w:jc w:val="both"/>
        <w:rPr>
          <w:rFonts w:ascii="Times New Roman" w:hAnsi="Times New Roman" w:cs="Times New Roman"/>
          <w:b/>
          <w:bCs/>
          <w:u w:val="single"/>
          <w:lang w:val="sr-Latn-ME"/>
        </w:rPr>
      </w:pPr>
    </w:p>
    <w:p w14:paraId="3A47A790" w14:textId="77777777" w:rsidR="00D67D34" w:rsidRPr="00314858" w:rsidRDefault="00D67D34" w:rsidP="00D67D34">
      <w:pPr>
        <w:spacing w:after="0" w:line="240" w:lineRule="auto"/>
        <w:jc w:val="both"/>
        <w:rPr>
          <w:rFonts w:ascii="Times New Roman" w:hAnsi="Times New Roman" w:cs="Times New Roman"/>
          <w:lang w:val="sr-Latn-ME"/>
        </w:rPr>
      </w:pPr>
    </w:p>
    <w:p w14:paraId="69F40AC3" w14:textId="3B433390" w:rsidR="00D67D34" w:rsidRPr="00314858" w:rsidRDefault="00FC549A" w:rsidP="00FC549A">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1. </w:t>
      </w:r>
      <w:r w:rsidR="003A6E9F" w:rsidRPr="00314858">
        <w:rPr>
          <w:rFonts w:ascii="Times New Roman" w:hAnsi="Times New Roman" w:cs="Times New Roman"/>
          <w:b/>
          <w:bCs/>
          <w:lang w:val="sr-Latn-ME" w:bidi="en-US"/>
        </w:rPr>
        <w:t xml:space="preserve"> </w:t>
      </w:r>
      <w:r w:rsidR="00C67E1A" w:rsidRPr="00314858">
        <w:rPr>
          <w:rFonts w:ascii="Times New Roman" w:hAnsi="Times New Roman" w:cs="Times New Roman"/>
          <w:b/>
          <w:bCs/>
          <w:lang w:val="sr-Latn-ME"/>
        </w:rPr>
        <w:t>NAZIV LIJEKA</w:t>
      </w:r>
    </w:p>
    <w:p w14:paraId="524DD7AB" w14:textId="77777777" w:rsidR="00D67D34" w:rsidRPr="00314858" w:rsidRDefault="00D67D34" w:rsidP="00D67D34">
      <w:pPr>
        <w:spacing w:after="0" w:line="240" w:lineRule="auto"/>
        <w:jc w:val="both"/>
        <w:rPr>
          <w:rFonts w:ascii="Times New Roman" w:hAnsi="Times New Roman" w:cs="Times New Roman"/>
          <w:lang w:val="sr-Latn-ME" w:bidi="en-US"/>
        </w:rPr>
      </w:pPr>
    </w:p>
    <w:p w14:paraId="0F57AC7E" w14:textId="49EF04AE" w:rsidR="00D67D34" w:rsidRPr="00314858" w:rsidRDefault="00D67D34" w:rsidP="00D67D34">
      <w:pPr>
        <w:spacing w:after="0" w:line="240" w:lineRule="auto"/>
        <w:jc w:val="both"/>
        <w:rPr>
          <w:rFonts w:ascii="Times New Roman" w:hAnsi="Times New Roman" w:cs="Times New Roman"/>
          <w:bCs/>
          <w:lang w:val="sr-Latn-ME" w:bidi="en-US"/>
        </w:rPr>
      </w:pPr>
      <w:r w:rsidRPr="00314858">
        <w:rPr>
          <w:rFonts w:ascii="Times New Roman" w:hAnsi="Times New Roman" w:cs="Times New Roman"/>
          <w:bCs/>
          <w:lang w:val="sr-Latn-ME" w:bidi="en-US"/>
        </w:rPr>
        <w:t xml:space="preserve">BEREVIN, 150 mg, </w:t>
      </w:r>
      <w:r w:rsidR="00F57530" w:rsidRPr="00314858">
        <w:rPr>
          <w:rFonts w:ascii="Times New Roman" w:hAnsi="Times New Roman" w:cs="Times New Roman"/>
          <w:bCs/>
          <w:lang w:val="sr-Latn-ME" w:bidi="en-US"/>
        </w:rPr>
        <w:t>kapsula</w:t>
      </w:r>
      <w:r w:rsidRPr="00314858">
        <w:rPr>
          <w:rFonts w:ascii="Times New Roman" w:hAnsi="Times New Roman" w:cs="Times New Roman"/>
          <w:bCs/>
          <w:lang w:val="sr-Latn-ME" w:bidi="en-US"/>
        </w:rPr>
        <w:t xml:space="preserve">, </w:t>
      </w:r>
      <w:r w:rsidR="00F57530" w:rsidRPr="00314858">
        <w:rPr>
          <w:rFonts w:ascii="Times New Roman" w:hAnsi="Times New Roman" w:cs="Times New Roman"/>
          <w:bCs/>
          <w:lang w:val="sr-Latn-ME" w:bidi="en-US"/>
        </w:rPr>
        <w:t>tvrda</w:t>
      </w:r>
    </w:p>
    <w:p w14:paraId="31810A6F" w14:textId="5BBD9116" w:rsidR="00D67D34" w:rsidRPr="00314858" w:rsidRDefault="00D67D34" w:rsidP="00D67D34">
      <w:pPr>
        <w:tabs>
          <w:tab w:val="left" w:pos="1100"/>
        </w:tabs>
        <w:spacing w:after="0" w:line="240" w:lineRule="auto"/>
        <w:jc w:val="both"/>
        <w:rPr>
          <w:rFonts w:ascii="Times New Roman" w:hAnsi="Times New Roman" w:cs="Times New Roman"/>
          <w:bCs/>
          <w:lang w:val="sr-Latn-ME" w:bidi="en-US"/>
        </w:rPr>
      </w:pPr>
      <w:r w:rsidRPr="00314858">
        <w:rPr>
          <w:rFonts w:ascii="Times New Roman" w:hAnsi="Times New Roman" w:cs="Times New Roman"/>
          <w:bCs/>
          <w:lang w:val="sr-Latn-ME" w:bidi="en-US"/>
        </w:rPr>
        <w:tab/>
      </w:r>
    </w:p>
    <w:p w14:paraId="3E7A01B1" w14:textId="77777777" w:rsidR="00D67D34" w:rsidRPr="00314858" w:rsidRDefault="00D67D34" w:rsidP="00D67D34">
      <w:pPr>
        <w:spacing w:after="0" w:line="240" w:lineRule="auto"/>
        <w:jc w:val="both"/>
        <w:rPr>
          <w:rFonts w:ascii="Times New Roman" w:hAnsi="Times New Roman" w:cs="Times New Roman"/>
          <w:bCs/>
          <w:lang w:val="sr-Latn-ME" w:bidi="en-US"/>
        </w:rPr>
      </w:pPr>
      <w:r w:rsidRPr="00314858">
        <w:rPr>
          <w:rFonts w:ascii="Times New Roman" w:hAnsi="Times New Roman" w:cs="Times New Roman"/>
          <w:lang w:val="sr-Latn-ME" w:bidi="en-US"/>
        </w:rPr>
        <w:t xml:space="preserve">INN: </w:t>
      </w:r>
      <w:r w:rsidRPr="00314858">
        <w:rPr>
          <w:rFonts w:ascii="Times New Roman" w:hAnsi="Times New Roman" w:cs="Times New Roman"/>
          <w:bCs/>
          <w:lang w:val="sr-Latn-ME" w:bidi="en-US"/>
        </w:rPr>
        <w:t>dabigatraneteksilat</w:t>
      </w:r>
    </w:p>
    <w:p w14:paraId="699FB412" w14:textId="77777777" w:rsidR="00D67D34" w:rsidRPr="00314858" w:rsidRDefault="00D67D34" w:rsidP="00D67D34">
      <w:pPr>
        <w:spacing w:after="0" w:line="240" w:lineRule="auto"/>
        <w:jc w:val="both"/>
        <w:rPr>
          <w:rFonts w:ascii="Times New Roman" w:hAnsi="Times New Roman" w:cs="Times New Roman"/>
          <w:b/>
          <w:bCs/>
          <w:lang w:val="sr-Latn-ME" w:bidi="en-US"/>
        </w:rPr>
      </w:pPr>
    </w:p>
    <w:p w14:paraId="2ECC0F66" w14:textId="77777777" w:rsidR="00D67D34" w:rsidRPr="00314858" w:rsidRDefault="00D67D34" w:rsidP="00D67D34">
      <w:pPr>
        <w:spacing w:after="0" w:line="240" w:lineRule="auto"/>
        <w:jc w:val="both"/>
        <w:rPr>
          <w:rFonts w:ascii="Times New Roman" w:hAnsi="Times New Roman" w:cs="Times New Roman"/>
          <w:b/>
          <w:bCs/>
          <w:lang w:val="sr-Latn-ME" w:bidi="en-US"/>
        </w:rPr>
      </w:pPr>
    </w:p>
    <w:p w14:paraId="6577955E" w14:textId="1C1DE93E" w:rsidR="00D67D34" w:rsidRPr="00314858" w:rsidRDefault="00FC549A" w:rsidP="00FC549A">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2. </w:t>
      </w:r>
      <w:r w:rsidR="003A6E9F" w:rsidRPr="00314858">
        <w:rPr>
          <w:rFonts w:ascii="Times New Roman" w:hAnsi="Times New Roman" w:cs="Times New Roman"/>
          <w:b/>
          <w:bCs/>
          <w:lang w:val="sr-Latn-ME" w:bidi="en-US"/>
        </w:rPr>
        <w:t xml:space="preserve"> </w:t>
      </w:r>
      <w:r w:rsidR="00D67D34" w:rsidRPr="00314858">
        <w:rPr>
          <w:rFonts w:ascii="Times New Roman" w:hAnsi="Times New Roman" w:cs="Times New Roman"/>
          <w:b/>
          <w:bCs/>
          <w:lang w:val="sr-Latn-ME" w:bidi="en-US"/>
        </w:rPr>
        <w:t>KVALITATIVNI I KVANTITATIVNI SASTAV</w:t>
      </w:r>
    </w:p>
    <w:p w14:paraId="37AA24C5" w14:textId="77777777" w:rsidR="00D67D34" w:rsidRPr="00314858" w:rsidRDefault="00D67D34" w:rsidP="00D67D34">
      <w:pPr>
        <w:spacing w:after="0" w:line="240" w:lineRule="auto"/>
        <w:jc w:val="both"/>
        <w:rPr>
          <w:rFonts w:ascii="Times New Roman" w:hAnsi="Times New Roman" w:cs="Times New Roman"/>
          <w:lang w:val="sr-Latn-ME" w:bidi="en-US"/>
        </w:rPr>
      </w:pPr>
    </w:p>
    <w:p w14:paraId="15516971" w14:textId="71936FE2"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 xml:space="preserve">Jedna kapsula, tvrda sadrži 150 mg </w:t>
      </w:r>
      <w:bookmarkStart w:id="0" w:name="_Hlk142395982"/>
      <w:r w:rsidRPr="00314858">
        <w:rPr>
          <w:rFonts w:ascii="Times New Roman" w:hAnsi="Times New Roman" w:cs="Times New Roman"/>
          <w:lang w:val="sr-Latn-ME" w:bidi="en-US"/>
        </w:rPr>
        <w:t>dabigatraneteksilata</w:t>
      </w:r>
      <w:bookmarkEnd w:id="0"/>
      <w:r w:rsidRPr="00314858">
        <w:rPr>
          <w:rFonts w:ascii="Times New Roman" w:hAnsi="Times New Roman" w:cs="Times New Roman"/>
          <w:lang w:val="sr-Latn-ME" w:bidi="en-US"/>
        </w:rPr>
        <w:t xml:space="preserve"> (u obliku</w:t>
      </w:r>
      <w:r w:rsidR="002554FC" w:rsidRPr="00314858">
        <w:rPr>
          <w:rFonts w:ascii="Times New Roman" w:hAnsi="Times New Roman" w:cs="Times New Roman"/>
          <w:lang w:val="sr-Latn-ME" w:bidi="en-US"/>
        </w:rPr>
        <w:t xml:space="preserve"> dabigatraneteksilat</w:t>
      </w:r>
      <w:r w:rsidR="00F57530"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mesilata).</w:t>
      </w:r>
    </w:p>
    <w:p w14:paraId="6F46DFA7" w14:textId="77777777" w:rsidR="00D67D34" w:rsidRPr="00314858" w:rsidRDefault="00D67D34" w:rsidP="00D67D34">
      <w:pPr>
        <w:spacing w:after="0" w:line="240" w:lineRule="auto"/>
        <w:jc w:val="both"/>
        <w:rPr>
          <w:rFonts w:ascii="Times New Roman" w:hAnsi="Times New Roman" w:cs="Times New Roman"/>
          <w:lang w:val="sr-Latn-ME" w:bidi="en-US"/>
        </w:rPr>
      </w:pPr>
    </w:p>
    <w:p w14:paraId="25A1E1F5" w14:textId="403827CA" w:rsidR="00C67E1A" w:rsidRPr="00314858" w:rsidRDefault="00C67E1A" w:rsidP="00C67E1A">
      <w:pPr>
        <w:rPr>
          <w:rFonts w:ascii="Times New Roman" w:hAnsi="Times New Roman" w:cs="Times New Roman"/>
          <w:lang w:val="sr-Latn-ME"/>
        </w:rPr>
      </w:pPr>
      <w:r w:rsidRPr="00314858">
        <w:rPr>
          <w:rFonts w:ascii="Times New Roman" w:hAnsi="Times New Roman" w:cs="Times New Roman"/>
          <w:lang w:val="sr-Latn-ME"/>
        </w:rPr>
        <w:t xml:space="preserve">Za spisak svih ekscipijenasa, </w:t>
      </w:r>
      <w:r w:rsidR="00F57530" w:rsidRPr="00314858">
        <w:rPr>
          <w:rFonts w:ascii="Times New Roman" w:hAnsi="Times New Roman" w:cs="Times New Roman"/>
          <w:lang w:val="sr-Latn-ME"/>
        </w:rPr>
        <w:t xml:space="preserve">pogledati </w:t>
      </w:r>
      <w:r w:rsidRPr="00314858">
        <w:rPr>
          <w:rFonts w:ascii="Times New Roman" w:hAnsi="Times New Roman" w:cs="Times New Roman"/>
          <w:lang w:val="sr-Latn-ME"/>
        </w:rPr>
        <w:t>dio 6.1.</w:t>
      </w:r>
    </w:p>
    <w:p w14:paraId="2B0011AA" w14:textId="77777777" w:rsidR="00D67D34" w:rsidRPr="00314858" w:rsidRDefault="00D67D34" w:rsidP="00D67D34">
      <w:pPr>
        <w:spacing w:after="0" w:line="240" w:lineRule="auto"/>
        <w:jc w:val="both"/>
        <w:rPr>
          <w:rFonts w:ascii="Times New Roman" w:hAnsi="Times New Roman" w:cs="Times New Roman"/>
          <w:lang w:val="sr-Latn-ME" w:bidi="en-US"/>
        </w:rPr>
      </w:pPr>
    </w:p>
    <w:p w14:paraId="261369BB" w14:textId="42899F67" w:rsidR="00D67D34" w:rsidRPr="00314858" w:rsidRDefault="00FC549A" w:rsidP="00FC549A">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3. </w:t>
      </w:r>
      <w:r w:rsidR="003A6E9F" w:rsidRPr="00314858">
        <w:rPr>
          <w:rFonts w:ascii="Times New Roman" w:hAnsi="Times New Roman" w:cs="Times New Roman"/>
          <w:b/>
          <w:bCs/>
          <w:lang w:val="sr-Latn-ME" w:bidi="en-US"/>
        </w:rPr>
        <w:t xml:space="preserve"> </w:t>
      </w:r>
      <w:r w:rsidR="00D67D34" w:rsidRPr="00314858">
        <w:rPr>
          <w:rFonts w:ascii="Times New Roman" w:hAnsi="Times New Roman" w:cs="Times New Roman"/>
          <w:b/>
          <w:bCs/>
          <w:lang w:val="sr-Latn-ME" w:bidi="en-US"/>
        </w:rPr>
        <w:t>FARMACEUTSKI OBLIK</w:t>
      </w:r>
    </w:p>
    <w:p w14:paraId="51CBF8DC" w14:textId="77777777" w:rsidR="00D67D34" w:rsidRPr="00314858" w:rsidRDefault="00D67D34" w:rsidP="00D67D34">
      <w:pPr>
        <w:spacing w:after="0" w:line="240" w:lineRule="auto"/>
        <w:jc w:val="both"/>
        <w:rPr>
          <w:rFonts w:ascii="Times New Roman" w:hAnsi="Times New Roman" w:cs="Times New Roman"/>
          <w:lang w:val="sr-Latn-ME" w:bidi="en-US"/>
        </w:rPr>
      </w:pPr>
    </w:p>
    <w:p w14:paraId="1916E62B"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Kapsula, tvrda.</w:t>
      </w:r>
    </w:p>
    <w:p w14:paraId="1E88B5B9" w14:textId="77777777" w:rsidR="00D67D34" w:rsidRPr="00314858" w:rsidRDefault="00D67D34" w:rsidP="00D67D34">
      <w:pPr>
        <w:spacing w:after="0" w:line="240" w:lineRule="auto"/>
        <w:jc w:val="both"/>
        <w:rPr>
          <w:rFonts w:ascii="Times New Roman" w:hAnsi="Times New Roman" w:cs="Times New Roman"/>
          <w:lang w:val="sr-Latn-ME"/>
        </w:rPr>
      </w:pPr>
    </w:p>
    <w:p w14:paraId="7DB03339" w14:textId="4F99E53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Kapsule sa plavom kapom i b</w:t>
      </w:r>
      <w:r w:rsidR="00C67E1A" w:rsidRPr="00314858">
        <w:rPr>
          <w:rFonts w:ascii="Times New Roman" w:hAnsi="Times New Roman" w:cs="Times New Roman"/>
          <w:lang w:val="sr-Latn-ME"/>
        </w:rPr>
        <w:t>ij</w:t>
      </w:r>
      <w:r w:rsidRPr="00314858">
        <w:rPr>
          <w:rFonts w:ascii="Times New Roman" w:hAnsi="Times New Roman" w:cs="Times New Roman"/>
          <w:lang w:val="sr-Latn-ME"/>
        </w:rPr>
        <w:t>elim t</w:t>
      </w:r>
      <w:r w:rsidR="000D09B7" w:rsidRPr="00314858">
        <w:rPr>
          <w:rFonts w:ascii="Times New Roman" w:hAnsi="Times New Roman" w:cs="Times New Roman"/>
          <w:lang w:val="sr-Latn-ME"/>
        </w:rPr>
        <w:t>ij</w:t>
      </w:r>
      <w:r w:rsidRPr="00314858">
        <w:rPr>
          <w:rFonts w:ascii="Times New Roman" w:hAnsi="Times New Roman" w:cs="Times New Roman"/>
          <w:lang w:val="sr-Latn-ME"/>
        </w:rPr>
        <w:t>elom veličine 0 (</w:t>
      </w:r>
      <w:r w:rsidR="00F57530" w:rsidRPr="00314858">
        <w:rPr>
          <w:rFonts w:ascii="Times New Roman" w:hAnsi="Times New Roman" w:cs="Times New Roman"/>
          <w:lang w:val="sr-Latn-ME"/>
        </w:rPr>
        <w:t xml:space="preserve">dužine </w:t>
      </w:r>
      <w:r w:rsidR="00E54ED6" w:rsidRPr="00314858">
        <w:rPr>
          <w:rFonts w:ascii="Times New Roman" w:hAnsi="Times New Roman" w:cs="Times New Roman"/>
          <w:lang w:val="sr-Latn-ME"/>
        </w:rPr>
        <w:t>približno</w:t>
      </w:r>
      <w:r w:rsidRPr="00314858">
        <w:rPr>
          <w:rFonts w:ascii="Times New Roman" w:hAnsi="Times New Roman" w:cs="Times New Roman"/>
          <w:lang w:val="sr-Latn-ME"/>
        </w:rPr>
        <w:t xml:space="preserve"> 21,7 mm), napunjene žućkastim peletama. </w:t>
      </w:r>
      <w:r w:rsidR="00F57530" w:rsidRPr="00314858">
        <w:rPr>
          <w:rFonts w:ascii="Times New Roman" w:hAnsi="Times New Roman" w:cs="Times New Roman"/>
          <w:lang w:val="sr-Latn-ME"/>
        </w:rPr>
        <w:t>Na k</w:t>
      </w:r>
      <w:r w:rsidRPr="00314858">
        <w:rPr>
          <w:rFonts w:ascii="Times New Roman" w:hAnsi="Times New Roman" w:cs="Times New Roman"/>
          <w:lang w:val="sr-Latn-ME"/>
        </w:rPr>
        <w:t>ap</w:t>
      </w:r>
      <w:r w:rsidR="00F57530" w:rsidRPr="00314858">
        <w:rPr>
          <w:rFonts w:ascii="Times New Roman" w:hAnsi="Times New Roman" w:cs="Times New Roman"/>
          <w:lang w:val="sr-Latn-ME"/>
        </w:rPr>
        <w:t>i je</w:t>
      </w:r>
      <w:r w:rsidRPr="00314858">
        <w:rPr>
          <w:rFonts w:ascii="Times New Roman" w:hAnsi="Times New Roman" w:cs="Times New Roman"/>
          <w:lang w:val="sr-Latn-ME"/>
        </w:rPr>
        <w:t xml:space="preserve"> utisnut simbol kompanije </w:t>
      </w:r>
      <w:r w:rsidRPr="00314858">
        <w:rPr>
          <w:rFonts w:ascii="Times New Roman" w:hAnsi="Times New Roman" w:cs="Times New Roman"/>
          <w:lang w:val="sr-Latn-ME" w:bidi="en-US"/>
        </w:rPr>
        <w:t>Gedeon Richter</w:t>
      </w:r>
      <w:r w:rsidRPr="00314858">
        <w:rPr>
          <w:rFonts w:ascii="Times New Roman" w:hAnsi="Times New Roman" w:cs="Times New Roman"/>
          <w:lang w:val="sr-Latn-ME"/>
        </w:rPr>
        <w:t xml:space="preserve">, a </w:t>
      </w:r>
      <w:r w:rsidR="00F57530" w:rsidRPr="00314858">
        <w:rPr>
          <w:rFonts w:ascii="Times New Roman" w:hAnsi="Times New Roman" w:cs="Times New Roman"/>
          <w:lang w:val="sr-Latn-ME"/>
        </w:rPr>
        <w:t xml:space="preserve">na </w:t>
      </w:r>
      <w:r w:rsidRPr="00314858">
        <w:rPr>
          <w:rFonts w:ascii="Times New Roman" w:hAnsi="Times New Roman" w:cs="Times New Roman"/>
          <w:lang w:val="sr-Latn-ME"/>
        </w:rPr>
        <w:t>t</w:t>
      </w:r>
      <w:r w:rsidR="003344F5" w:rsidRPr="00314858">
        <w:rPr>
          <w:rFonts w:ascii="Times New Roman" w:hAnsi="Times New Roman" w:cs="Times New Roman"/>
          <w:lang w:val="sr-Latn-ME"/>
        </w:rPr>
        <w:t>ij</w:t>
      </w:r>
      <w:r w:rsidRPr="00314858">
        <w:rPr>
          <w:rFonts w:ascii="Times New Roman" w:hAnsi="Times New Roman" w:cs="Times New Roman"/>
          <w:lang w:val="sr-Latn-ME"/>
        </w:rPr>
        <w:t>el</w:t>
      </w:r>
      <w:r w:rsidR="00F57530" w:rsidRPr="00314858">
        <w:rPr>
          <w:rFonts w:ascii="Times New Roman" w:hAnsi="Times New Roman" w:cs="Times New Roman"/>
          <w:lang w:val="sr-Latn-ME"/>
        </w:rPr>
        <w:t>u</w:t>
      </w:r>
      <w:r w:rsidRPr="00314858">
        <w:rPr>
          <w:rFonts w:ascii="Times New Roman" w:hAnsi="Times New Roman" w:cs="Times New Roman"/>
          <w:lang w:val="sr-Latn-ME"/>
        </w:rPr>
        <w:t xml:space="preserve"> oznak</w:t>
      </w:r>
      <w:r w:rsidR="00F57530" w:rsidRPr="00314858">
        <w:rPr>
          <w:rFonts w:ascii="Times New Roman" w:hAnsi="Times New Roman" w:cs="Times New Roman"/>
          <w:lang w:val="sr-Latn-ME"/>
        </w:rPr>
        <w:t>a</w:t>
      </w:r>
      <w:r w:rsidRPr="00314858">
        <w:rPr>
          <w:rFonts w:ascii="Times New Roman" w:hAnsi="Times New Roman" w:cs="Times New Roman"/>
          <w:lang w:val="sr-Latn-ME"/>
        </w:rPr>
        <w:t xml:space="preserve"> „150</w:t>
      </w:r>
      <w:r w:rsidR="00DD1806" w:rsidRPr="00314858">
        <w:rPr>
          <w:rFonts w:ascii="Times New Roman" w:hAnsi="Times New Roman" w:cs="Times New Roman"/>
          <w:lang w:val="sr-Latn-ME"/>
        </w:rPr>
        <w:t>”</w:t>
      </w:r>
      <w:r w:rsidRPr="00314858">
        <w:rPr>
          <w:rFonts w:ascii="Times New Roman" w:hAnsi="Times New Roman" w:cs="Times New Roman"/>
          <w:lang w:val="sr-Latn-ME"/>
        </w:rPr>
        <w:t>.</w:t>
      </w:r>
    </w:p>
    <w:p w14:paraId="6BAA1AAC" w14:textId="3E7A8BED" w:rsidR="00D67D34" w:rsidRPr="00314858" w:rsidRDefault="00D67D34" w:rsidP="00D67D34">
      <w:pPr>
        <w:spacing w:after="0" w:line="240" w:lineRule="auto"/>
        <w:jc w:val="both"/>
        <w:rPr>
          <w:rFonts w:ascii="Times New Roman" w:hAnsi="Times New Roman" w:cs="Times New Roman"/>
          <w:lang w:val="sr-Latn-ME"/>
        </w:rPr>
      </w:pPr>
    </w:p>
    <w:p w14:paraId="7E56E03B" w14:textId="77777777" w:rsidR="00ED227D" w:rsidRPr="00314858" w:rsidRDefault="00ED227D" w:rsidP="00D67D34">
      <w:pPr>
        <w:spacing w:after="0" w:line="240" w:lineRule="auto"/>
        <w:jc w:val="both"/>
        <w:rPr>
          <w:rFonts w:ascii="Times New Roman" w:hAnsi="Times New Roman" w:cs="Times New Roman"/>
          <w:lang w:val="sr-Latn-ME"/>
        </w:rPr>
      </w:pPr>
    </w:p>
    <w:p w14:paraId="77CE3A2F" w14:textId="34B50EE1"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4. </w:t>
      </w:r>
      <w:r w:rsidR="003A6E9F" w:rsidRPr="00314858">
        <w:rPr>
          <w:rFonts w:ascii="Times New Roman" w:hAnsi="Times New Roman" w:cs="Times New Roman"/>
          <w:b/>
          <w:bCs/>
          <w:lang w:val="sr-Latn-ME" w:bidi="en-US"/>
        </w:rPr>
        <w:t xml:space="preserve"> </w:t>
      </w:r>
      <w:r w:rsidR="00D67D34" w:rsidRPr="00314858">
        <w:rPr>
          <w:rFonts w:ascii="Times New Roman" w:hAnsi="Times New Roman" w:cs="Times New Roman"/>
          <w:b/>
          <w:bCs/>
          <w:lang w:val="sr-Latn-ME" w:bidi="en-US"/>
        </w:rPr>
        <w:t>KLINIČKI PODACI</w:t>
      </w:r>
    </w:p>
    <w:p w14:paraId="3D9B0719" w14:textId="77777777" w:rsidR="00D67D34" w:rsidRPr="00314858" w:rsidRDefault="00D67D34" w:rsidP="00D67D34">
      <w:pPr>
        <w:spacing w:after="0" w:line="240" w:lineRule="auto"/>
        <w:jc w:val="both"/>
        <w:rPr>
          <w:rFonts w:ascii="Times New Roman" w:hAnsi="Times New Roman" w:cs="Times New Roman"/>
          <w:lang w:val="sr-Latn-ME" w:bidi="en-US"/>
        </w:rPr>
      </w:pPr>
    </w:p>
    <w:p w14:paraId="7F6C24D1" w14:textId="6C951FAD" w:rsidR="00D67D34" w:rsidRPr="00314858" w:rsidRDefault="00D67D34" w:rsidP="00A53009">
      <w:pPr>
        <w:pStyle w:val="ListParagraph"/>
        <w:numPr>
          <w:ilvl w:val="1"/>
          <w:numId w:val="5"/>
        </w:num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Terapijske indikacije</w:t>
      </w:r>
    </w:p>
    <w:p w14:paraId="72CD64DA" w14:textId="77777777" w:rsidR="00D67D34" w:rsidRPr="00314858" w:rsidRDefault="00D67D34" w:rsidP="00D67D34">
      <w:pPr>
        <w:spacing w:after="0" w:line="240" w:lineRule="auto"/>
        <w:jc w:val="both"/>
        <w:rPr>
          <w:rFonts w:ascii="Times New Roman" w:hAnsi="Times New Roman" w:cs="Times New Roman"/>
          <w:lang w:val="sr-Latn-ME" w:bidi="en-US"/>
        </w:rPr>
      </w:pPr>
    </w:p>
    <w:p w14:paraId="4CA2F402" w14:textId="01218A8C"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Prevencija moždanog udara i sistemske embolije kod odraslih pacijenata sa nevalvularnom atrijalnom fibrilacijom (</w:t>
      </w:r>
      <w:r w:rsidR="00C202AA" w:rsidRPr="00314858">
        <w:rPr>
          <w:rFonts w:ascii="Times New Roman" w:hAnsi="Times New Roman" w:cs="Times New Roman"/>
          <w:lang w:val="sr-Latn-ME"/>
        </w:rPr>
        <w:t xml:space="preserve">engl. </w:t>
      </w:r>
      <w:r w:rsidR="00C202AA" w:rsidRPr="00314858">
        <w:rPr>
          <w:rFonts w:ascii="Times New Roman" w:hAnsi="Times New Roman" w:cs="Times New Roman"/>
          <w:i/>
          <w:lang w:val="sr-Latn-ME"/>
        </w:rPr>
        <w:t>non valvular atrial fibrillation,</w:t>
      </w:r>
      <w:r w:rsidRPr="00314858">
        <w:rPr>
          <w:rFonts w:ascii="Times New Roman" w:hAnsi="Times New Roman" w:cs="Times New Roman"/>
          <w:lang w:val="sr-Latn-ME"/>
        </w:rPr>
        <w:t>NVAF), sa jednim ili više faktora rizika, kao što su prethodni moždani udar ili tranzitorni ishemijski atak (TIA); starost</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bidi="en-US"/>
        </w:rPr>
        <w:t>≥</w:t>
      </w:r>
      <w:r w:rsidR="00C202AA"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75 godina; srčana insuficijencija (NYHA klasa ≥</w:t>
      </w:r>
      <w:r w:rsidR="00C202AA"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II); dijabetes melitus; hipertenzija.</w:t>
      </w:r>
    </w:p>
    <w:p w14:paraId="2277D176" w14:textId="77777777" w:rsidR="00D67D34" w:rsidRPr="00314858" w:rsidRDefault="00D67D34" w:rsidP="00D67D34">
      <w:pPr>
        <w:spacing w:after="0" w:line="240" w:lineRule="auto"/>
        <w:jc w:val="both"/>
        <w:rPr>
          <w:rFonts w:ascii="Times New Roman" w:hAnsi="Times New Roman" w:cs="Times New Roman"/>
          <w:lang w:val="sr-Latn-ME" w:bidi="en-US"/>
        </w:rPr>
      </w:pPr>
    </w:p>
    <w:p w14:paraId="69AB6273" w14:textId="62E1BA4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L</w:t>
      </w:r>
      <w:r w:rsidR="00C67E1A" w:rsidRPr="00314858">
        <w:rPr>
          <w:rFonts w:ascii="Times New Roman" w:hAnsi="Times New Roman" w:cs="Times New Roman"/>
          <w:lang w:val="sr-Latn-ME"/>
        </w:rPr>
        <w:t>ij</w:t>
      </w:r>
      <w:r w:rsidRPr="00314858">
        <w:rPr>
          <w:rFonts w:ascii="Times New Roman" w:hAnsi="Times New Roman" w:cs="Times New Roman"/>
          <w:lang w:val="sr-Latn-ME"/>
        </w:rPr>
        <w:t>ečenje duboke venske tromboze (DVT) i plućne embolije (PE) i prevencija rekurentne DVT</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i PE kod odraslih osoba.</w:t>
      </w:r>
    </w:p>
    <w:p w14:paraId="2091508F" w14:textId="77777777" w:rsidR="00E71A62" w:rsidRPr="00314858" w:rsidRDefault="00E71A62" w:rsidP="00D67D34">
      <w:pPr>
        <w:spacing w:after="0" w:line="240" w:lineRule="auto"/>
        <w:jc w:val="both"/>
        <w:rPr>
          <w:rFonts w:ascii="Times New Roman" w:hAnsi="Times New Roman" w:cs="Times New Roman"/>
          <w:lang w:val="sr-Latn-ME"/>
        </w:rPr>
      </w:pPr>
    </w:p>
    <w:p w14:paraId="6EECB3A9" w14:textId="5DFC8D1C" w:rsidR="00D67D34" w:rsidRPr="00314858" w:rsidRDefault="00872311"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Terapija</w:t>
      </w:r>
      <w:r w:rsidR="00D67D34" w:rsidRPr="00314858">
        <w:rPr>
          <w:rFonts w:ascii="Times New Roman" w:hAnsi="Times New Roman" w:cs="Times New Roman"/>
          <w:lang w:val="sr-Latn-ME"/>
        </w:rPr>
        <w:t xml:space="preserve"> VTE i prevencija rekurentne VTE kod pedijatrijskih pacijenata </w:t>
      </w:r>
      <w:r w:rsidR="00C202AA" w:rsidRPr="00314858">
        <w:rPr>
          <w:rFonts w:ascii="Times New Roman" w:hAnsi="Times New Roman" w:cs="Times New Roman"/>
          <w:lang w:val="sr-Latn-ME"/>
        </w:rPr>
        <w:t>od trenutka kada dijete može progutati kašastu hranu</w:t>
      </w:r>
      <w:r w:rsidR="000B6434" w:rsidRPr="00314858">
        <w:rPr>
          <w:rFonts w:ascii="Times New Roman" w:hAnsi="Times New Roman" w:cs="Times New Roman"/>
          <w:lang w:val="sr-Latn-ME"/>
        </w:rPr>
        <w:t xml:space="preserve"> do manje od 18 godina starosti</w:t>
      </w:r>
      <w:r w:rsidR="00D67D34" w:rsidRPr="00314858">
        <w:rPr>
          <w:rFonts w:ascii="Times New Roman" w:hAnsi="Times New Roman" w:cs="Times New Roman"/>
          <w:lang w:val="sr-Latn-ME"/>
        </w:rPr>
        <w:t>.</w:t>
      </w:r>
    </w:p>
    <w:p w14:paraId="14FDACD4" w14:textId="77777777" w:rsidR="00E71A62" w:rsidRPr="00314858" w:rsidRDefault="00E71A62" w:rsidP="00D67D34">
      <w:pPr>
        <w:spacing w:after="0" w:line="240" w:lineRule="auto"/>
        <w:jc w:val="both"/>
        <w:rPr>
          <w:rFonts w:ascii="Times New Roman" w:hAnsi="Times New Roman" w:cs="Times New Roman"/>
          <w:lang w:val="sr-Latn-ME"/>
        </w:rPr>
      </w:pPr>
    </w:p>
    <w:p w14:paraId="435304A3" w14:textId="08B35AFC"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4.2. </w:t>
      </w:r>
      <w:r w:rsidR="00D67D34" w:rsidRPr="00314858">
        <w:rPr>
          <w:rFonts w:ascii="Times New Roman" w:hAnsi="Times New Roman" w:cs="Times New Roman"/>
          <w:b/>
          <w:bCs/>
          <w:lang w:val="sr-Latn-ME" w:bidi="en-US"/>
        </w:rPr>
        <w:t>Doziranje i način prim</w:t>
      </w:r>
      <w:r w:rsidR="00C67E1A" w:rsidRPr="00314858">
        <w:rPr>
          <w:rFonts w:ascii="Times New Roman" w:hAnsi="Times New Roman" w:cs="Times New Roman"/>
          <w:b/>
          <w:bCs/>
          <w:lang w:val="sr-Latn-ME" w:bidi="en-US"/>
        </w:rPr>
        <w:t>j</w:t>
      </w:r>
      <w:r w:rsidR="00D67D34" w:rsidRPr="00314858">
        <w:rPr>
          <w:rFonts w:ascii="Times New Roman" w:hAnsi="Times New Roman" w:cs="Times New Roman"/>
          <w:b/>
          <w:bCs/>
          <w:lang w:val="sr-Latn-ME" w:bidi="en-US"/>
        </w:rPr>
        <w:t>ene</w:t>
      </w:r>
    </w:p>
    <w:p w14:paraId="62E5AE9D" w14:textId="77777777" w:rsidR="00D67D34" w:rsidRPr="00314858" w:rsidRDefault="00D67D34" w:rsidP="00D67D34">
      <w:pPr>
        <w:spacing w:after="0" w:line="240" w:lineRule="auto"/>
        <w:jc w:val="both"/>
        <w:rPr>
          <w:rFonts w:ascii="Times New Roman" w:hAnsi="Times New Roman" w:cs="Times New Roman"/>
          <w:u w:val="single"/>
          <w:lang w:val="sr-Latn-ME" w:bidi="en-US"/>
        </w:rPr>
      </w:pPr>
    </w:p>
    <w:p w14:paraId="2068AF3A" w14:textId="77777777" w:rsidR="00D67D34" w:rsidRPr="00314858" w:rsidRDefault="00D67D34" w:rsidP="00D67D34">
      <w:pPr>
        <w:spacing w:after="0" w:line="240" w:lineRule="auto"/>
        <w:jc w:val="both"/>
        <w:rPr>
          <w:rFonts w:ascii="Times New Roman" w:hAnsi="Times New Roman" w:cs="Times New Roman"/>
          <w:u w:val="single"/>
          <w:lang w:val="sr-Latn-ME" w:bidi="en-US"/>
        </w:rPr>
      </w:pPr>
      <w:r w:rsidRPr="00314858">
        <w:rPr>
          <w:rFonts w:ascii="Times New Roman" w:hAnsi="Times New Roman" w:cs="Times New Roman"/>
          <w:u w:val="single"/>
          <w:lang w:val="sr-Latn-ME" w:bidi="en-US"/>
        </w:rPr>
        <w:t>Doziranje</w:t>
      </w:r>
    </w:p>
    <w:p w14:paraId="6B171703" w14:textId="77777777" w:rsidR="00D67D34" w:rsidRPr="00314858" w:rsidRDefault="00D67D34" w:rsidP="00D67D34">
      <w:pPr>
        <w:spacing w:after="0" w:line="240" w:lineRule="auto"/>
        <w:jc w:val="both"/>
        <w:rPr>
          <w:rFonts w:ascii="Times New Roman" w:hAnsi="Times New Roman" w:cs="Times New Roman"/>
          <w:lang w:val="sr-Latn-ME" w:bidi="en-US"/>
        </w:rPr>
      </w:pPr>
    </w:p>
    <w:p w14:paraId="6FDAD136" w14:textId="3612E94F" w:rsidR="00D67D34" w:rsidRPr="00314858" w:rsidRDefault="001179DE"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L</w:t>
      </w:r>
      <w:r w:rsidR="00C67E1A" w:rsidRPr="00314858">
        <w:rPr>
          <w:rFonts w:ascii="Times New Roman" w:hAnsi="Times New Roman" w:cs="Times New Roman"/>
          <w:lang w:val="sr-Latn-ME"/>
        </w:rPr>
        <w:t>ij</w:t>
      </w:r>
      <w:r w:rsidRPr="00314858">
        <w:rPr>
          <w:rFonts w:ascii="Times New Roman" w:hAnsi="Times New Roman" w:cs="Times New Roman"/>
          <w:lang w:val="sr-Latn-ME"/>
        </w:rPr>
        <w:t xml:space="preserve">ek </w:t>
      </w:r>
      <w:r w:rsidR="00D67D34" w:rsidRPr="00314858">
        <w:rPr>
          <w:rFonts w:ascii="Times New Roman" w:hAnsi="Times New Roman" w:cs="Times New Roman"/>
          <w:lang w:val="sr-Latn-ME"/>
        </w:rPr>
        <w:t>BEREVIN</w:t>
      </w:r>
      <w:r w:rsidRPr="00314858">
        <w:rPr>
          <w:rFonts w:ascii="Times New Roman" w:hAnsi="Times New Roman" w:cs="Times New Roman"/>
          <w:lang w:val="sr-Latn-ME"/>
        </w:rPr>
        <w:t>,</w:t>
      </w:r>
      <w:r w:rsidR="00D67D34" w:rsidRPr="00314858">
        <w:rPr>
          <w:rFonts w:ascii="Times New Roman" w:hAnsi="Times New Roman" w:cs="Times New Roman"/>
          <w:lang w:val="sr-Latn-ME"/>
        </w:rPr>
        <w:t xml:space="preserve"> kapsule mogu da se koriste kod odraslih i pedijatrijskih pacijenata </w:t>
      </w:r>
      <w:r w:rsidR="001347BD" w:rsidRPr="00314858">
        <w:rPr>
          <w:rFonts w:ascii="Times New Roman" w:hAnsi="Times New Roman" w:cs="Times New Roman"/>
          <w:lang w:val="sr-Latn-ME"/>
        </w:rPr>
        <w:t>uzrasta</w:t>
      </w:r>
      <w:r w:rsidR="00D67D34" w:rsidRPr="00314858">
        <w:rPr>
          <w:rFonts w:ascii="Times New Roman" w:hAnsi="Times New Roman" w:cs="Times New Roman"/>
          <w:lang w:val="sr-Latn-ME"/>
        </w:rPr>
        <w:t xml:space="preserve"> 8 godina ili starijih</w:t>
      </w:r>
      <w:r w:rsidRPr="00314858">
        <w:rPr>
          <w:rFonts w:ascii="Times New Roman" w:hAnsi="Times New Roman" w:cs="Times New Roman"/>
          <w:lang w:val="sr-Latn-ME"/>
        </w:rPr>
        <w:t>,</w:t>
      </w:r>
      <w:r w:rsidR="00D67D34" w:rsidRPr="00314858">
        <w:rPr>
          <w:rFonts w:ascii="Times New Roman" w:hAnsi="Times New Roman" w:cs="Times New Roman"/>
          <w:lang w:val="sr-Latn-ME"/>
        </w:rPr>
        <w:t xml:space="preserve"> koji mogu da progutaju c</w:t>
      </w:r>
      <w:r w:rsidR="00C67E1A" w:rsidRPr="00314858">
        <w:rPr>
          <w:rFonts w:ascii="Times New Roman" w:hAnsi="Times New Roman" w:cs="Times New Roman"/>
          <w:lang w:val="sr-Latn-ME"/>
        </w:rPr>
        <w:t>ij</w:t>
      </w:r>
      <w:r w:rsidR="00D67D34" w:rsidRPr="00314858">
        <w:rPr>
          <w:rFonts w:ascii="Times New Roman" w:hAnsi="Times New Roman" w:cs="Times New Roman"/>
          <w:lang w:val="sr-Latn-ME"/>
        </w:rPr>
        <w:t>el</w:t>
      </w:r>
      <w:r w:rsidRPr="00314858">
        <w:rPr>
          <w:rFonts w:ascii="Times New Roman" w:hAnsi="Times New Roman" w:cs="Times New Roman"/>
          <w:lang w:val="sr-Latn-ME"/>
        </w:rPr>
        <w:t>e</w:t>
      </w:r>
      <w:r w:rsidR="00D67D34" w:rsidRPr="00314858">
        <w:rPr>
          <w:rFonts w:ascii="Times New Roman" w:hAnsi="Times New Roman" w:cs="Times New Roman"/>
          <w:lang w:val="sr-Latn-ME"/>
        </w:rPr>
        <w:t xml:space="preserve"> kapsul</w:t>
      </w:r>
      <w:r w:rsidRPr="00314858">
        <w:rPr>
          <w:rFonts w:ascii="Times New Roman" w:hAnsi="Times New Roman" w:cs="Times New Roman"/>
          <w:lang w:val="sr-Latn-ME"/>
        </w:rPr>
        <w:t>e</w:t>
      </w:r>
      <w:r w:rsidR="00D67D34" w:rsidRPr="00314858">
        <w:rPr>
          <w:rFonts w:ascii="Times New Roman" w:hAnsi="Times New Roman" w:cs="Times New Roman"/>
          <w:lang w:val="sr-Latn-ME"/>
        </w:rPr>
        <w:t>.</w:t>
      </w:r>
    </w:p>
    <w:p w14:paraId="38990006" w14:textId="6E05964F" w:rsidR="00D67D34" w:rsidRPr="00314858" w:rsidRDefault="00D67D34" w:rsidP="00D67D34">
      <w:pPr>
        <w:spacing w:after="0" w:line="240" w:lineRule="auto"/>
        <w:jc w:val="both"/>
        <w:rPr>
          <w:rFonts w:ascii="Times New Roman" w:hAnsi="Times New Roman" w:cs="Times New Roman"/>
          <w:lang w:val="sr-Latn-ME" w:bidi="en-US"/>
        </w:rPr>
      </w:pPr>
    </w:p>
    <w:p w14:paraId="14926C2A" w14:textId="5CD87AAB" w:rsidR="001179DE" w:rsidRPr="00314858" w:rsidRDefault="001179DE" w:rsidP="001179DE">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Dozu navedenu u odgovarajućoj tabeli za doziranje potrebno je propisati na osnovu t</w:t>
      </w:r>
      <w:r w:rsidR="00C67E1A" w:rsidRPr="00314858">
        <w:rPr>
          <w:rFonts w:ascii="Times New Roman" w:hAnsi="Times New Roman" w:cs="Times New Roman"/>
          <w:lang w:val="sr-Latn-ME" w:bidi="en-US"/>
        </w:rPr>
        <w:t>j</w:t>
      </w:r>
      <w:r w:rsidRPr="00314858">
        <w:rPr>
          <w:rFonts w:ascii="Times New Roman" w:hAnsi="Times New Roman" w:cs="Times New Roman"/>
          <w:lang w:val="sr-Latn-ME" w:bidi="en-US"/>
        </w:rPr>
        <w:t>elesne mase i uzrasta d</w:t>
      </w:r>
      <w:r w:rsidR="00C67E1A" w:rsidRPr="00314858">
        <w:rPr>
          <w:rFonts w:ascii="Times New Roman" w:hAnsi="Times New Roman" w:cs="Times New Roman"/>
          <w:lang w:val="sr-Latn-ME" w:bidi="en-US"/>
        </w:rPr>
        <w:t>j</w:t>
      </w:r>
      <w:r w:rsidRPr="00314858">
        <w:rPr>
          <w:rFonts w:ascii="Times New Roman" w:hAnsi="Times New Roman" w:cs="Times New Roman"/>
          <w:lang w:val="sr-Latn-ME" w:bidi="en-US"/>
        </w:rPr>
        <w:t>eteta.</w:t>
      </w:r>
    </w:p>
    <w:p w14:paraId="676447C9" w14:textId="77777777" w:rsidR="001179DE" w:rsidRPr="00314858" w:rsidRDefault="001179DE" w:rsidP="00D67D34">
      <w:pPr>
        <w:spacing w:after="0" w:line="240" w:lineRule="auto"/>
        <w:jc w:val="both"/>
        <w:rPr>
          <w:rFonts w:ascii="Times New Roman" w:hAnsi="Times New Roman" w:cs="Times New Roman"/>
          <w:lang w:val="sr-Latn-ME" w:bidi="en-US"/>
        </w:rPr>
      </w:pPr>
    </w:p>
    <w:p w14:paraId="60A2C650" w14:textId="4525D617" w:rsidR="00D67D34" w:rsidRPr="00314858" w:rsidRDefault="00D67D34" w:rsidP="00D67D34">
      <w:pPr>
        <w:spacing w:after="0" w:line="240" w:lineRule="auto"/>
        <w:jc w:val="both"/>
        <w:rPr>
          <w:rFonts w:ascii="Times New Roman" w:hAnsi="Times New Roman" w:cs="Times New Roman"/>
          <w:b/>
          <w:bCs/>
          <w:i/>
          <w:iCs/>
          <w:u w:val="single"/>
          <w:lang w:val="sr-Latn-ME" w:bidi="en-US"/>
        </w:rPr>
      </w:pPr>
      <w:r w:rsidRPr="00314858">
        <w:rPr>
          <w:rFonts w:ascii="Times New Roman" w:hAnsi="Times New Roman" w:cs="Times New Roman"/>
          <w:b/>
          <w:bCs/>
          <w:i/>
          <w:iCs/>
          <w:u w:val="single"/>
          <w:lang w:val="sr-Latn-ME" w:bidi="en-US"/>
        </w:rPr>
        <w:t>Prevencija moždanog udara i sistemske embolije kod odraslih pacijenata sa NVAF sa jednim ili više faktora rizika (</w:t>
      </w:r>
      <w:r w:rsidR="00F036C7" w:rsidRPr="00314858">
        <w:rPr>
          <w:rFonts w:ascii="Times New Roman" w:hAnsi="Times New Roman" w:cs="Times New Roman"/>
          <w:b/>
          <w:bCs/>
          <w:i/>
          <w:iCs/>
          <w:u w:val="single"/>
          <w:lang w:val="sr-Latn-ME" w:bidi="en-US"/>
        </w:rPr>
        <w:t>prevencija MU i SE kod AF</w:t>
      </w:r>
      <w:r w:rsidRPr="00314858">
        <w:rPr>
          <w:rFonts w:ascii="Times New Roman" w:hAnsi="Times New Roman" w:cs="Times New Roman"/>
          <w:b/>
          <w:bCs/>
          <w:i/>
          <w:iCs/>
          <w:u w:val="single"/>
          <w:lang w:val="sr-Latn-ME" w:bidi="en-US"/>
        </w:rPr>
        <w:t>)</w:t>
      </w:r>
    </w:p>
    <w:p w14:paraId="57930CE4" w14:textId="77777777" w:rsidR="00210641" w:rsidRPr="00314858" w:rsidRDefault="00210641" w:rsidP="00D67D34">
      <w:pPr>
        <w:spacing w:after="0" w:line="240" w:lineRule="auto"/>
        <w:jc w:val="both"/>
        <w:rPr>
          <w:rFonts w:ascii="Times New Roman" w:hAnsi="Times New Roman" w:cs="Times New Roman"/>
          <w:lang w:val="sr-Latn-ME" w:bidi="en-US"/>
        </w:rPr>
      </w:pPr>
    </w:p>
    <w:p w14:paraId="5F9EC6A0" w14:textId="532DCE8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b/>
          <w:bCs/>
          <w:i/>
          <w:iCs/>
          <w:u w:val="single"/>
          <w:lang w:val="sr-Latn-ME" w:bidi="en-US"/>
        </w:rPr>
        <w:t>L</w:t>
      </w:r>
      <w:r w:rsidR="00F5339A" w:rsidRPr="00314858">
        <w:rPr>
          <w:rFonts w:ascii="Times New Roman" w:hAnsi="Times New Roman" w:cs="Times New Roman"/>
          <w:b/>
          <w:bCs/>
          <w:i/>
          <w:iCs/>
          <w:u w:val="single"/>
          <w:lang w:val="sr-Latn-ME" w:bidi="en-US"/>
        </w:rPr>
        <w:t>ij</w:t>
      </w:r>
      <w:r w:rsidRPr="00314858">
        <w:rPr>
          <w:rFonts w:ascii="Times New Roman" w:hAnsi="Times New Roman" w:cs="Times New Roman"/>
          <w:b/>
          <w:bCs/>
          <w:i/>
          <w:iCs/>
          <w:u w:val="single"/>
          <w:lang w:val="sr-Latn-ME" w:bidi="en-US"/>
        </w:rPr>
        <w:t xml:space="preserve">ečenje DVT i PE i prevencija rekurentne DVT i PE kod odraslih </w:t>
      </w:r>
      <w:r w:rsidR="00F036C7" w:rsidRPr="00314858">
        <w:rPr>
          <w:rFonts w:ascii="Times New Roman" w:hAnsi="Times New Roman" w:cs="Times New Roman"/>
          <w:b/>
          <w:bCs/>
          <w:i/>
          <w:iCs/>
          <w:u w:val="single"/>
          <w:lang w:val="sr-Latn-ME" w:bidi="en-US"/>
        </w:rPr>
        <w:t xml:space="preserve">osoba </w:t>
      </w:r>
      <w:r w:rsidRPr="00314858">
        <w:rPr>
          <w:rFonts w:ascii="Times New Roman" w:hAnsi="Times New Roman" w:cs="Times New Roman"/>
          <w:b/>
          <w:bCs/>
          <w:i/>
          <w:iCs/>
          <w:u w:val="single"/>
          <w:lang w:val="sr-Latn-ME" w:bidi="en-US"/>
        </w:rPr>
        <w:t>(DVT/PE)</w:t>
      </w:r>
    </w:p>
    <w:p w14:paraId="6936C09D" w14:textId="77777777" w:rsidR="00D67D34" w:rsidRPr="00314858" w:rsidRDefault="00D67D34" w:rsidP="00D67D34">
      <w:pPr>
        <w:spacing w:after="0" w:line="240" w:lineRule="auto"/>
        <w:jc w:val="both"/>
        <w:rPr>
          <w:rFonts w:ascii="Times New Roman" w:hAnsi="Times New Roman" w:cs="Times New Roman"/>
          <w:lang w:val="sr-Latn-ME" w:bidi="en-US"/>
        </w:rPr>
      </w:pPr>
    </w:p>
    <w:p w14:paraId="748834BA" w14:textId="643BF74A"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 xml:space="preserve">Preporučene doze dabigatraneteksilata u indikacijama </w:t>
      </w:r>
      <w:r w:rsidR="001F1A28" w:rsidRPr="00314858">
        <w:rPr>
          <w:rFonts w:ascii="Times New Roman" w:hAnsi="Times New Roman" w:cs="Times New Roman"/>
          <w:lang w:val="sr-Latn-ME" w:bidi="en-US"/>
        </w:rPr>
        <w:t>prevencije MU i SE kod AF</w:t>
      </w:r>
      <w:r w:rsidR="00D30F4D" w:rsidRPr="00314858">
        <w:rPr>
          <w:rFonts w:ascii="Times New Roman" w:hAnsi="Times New Roman" w:cs="Times New Roman"/>
          <w:lang w:val="sr-Latn-ME" w:bidi="en-US"/>
        </w:rPr>
        <w:t xml:space="preserve"> i indikaciji</w:t>
      </w:r>
      <w:r w:rsidRPr="00314858">
        <w:rPr>
          <w:rFonts w:ascii="Times New Roman" w:hAnsi="Times New Roman" w:cs="Times New Roman"/>
          <w:lang w:val="sr-Latn-ME" w:bidi="en-US"/>
        </w:rPr>
        <w:t xml:space="preserve"> DVT i PE su prikazane u </w:t>
      </w:r>
      <w:r w:rsidR="00D30F4D" w:rsidRPr="00314858">
        <w:rPr>
          <w:rFonts w:ascii="Times New Roman" w:hAnsi="Times New Roman" w:cs="Times New Roman"/>
          <w:lang w:val="sr-Latn-ME" w:bidi="en-US"/>
        </w:rPr>
        <w:t>t</w:t>
      </w:r>
      <w:r w:rsidRPr="00314858">
        <w:rPr>
          <w:rFonts w:ascii="Times New Roman" w:hAnsi="Times New Roman" w:cs="Times New Roman"/>
          <w:lang w:val="sr-Latn-ME" w:bidi="en-US"/>
        </w:rPr>
        <w:t>abeli 1.</w:t>
      </w:r>
    </w:p>
    <w:p w14:paraId="2526AD34" w14:textId="45296481"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lastRenderedPageBreak/>
        <w:t>Tabela 1</w:t>
      </w:r>
      <w:r w:rsidR="00D30F4D"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Preporučene doze za </w:t>
      </w:r>
      <w:r w:rsidR="00D30F4D" w:rsidRPr="00314858">
        <w:rPr>
          <w:rFonts w:ascii="Times New Roman" w:hAnsi="Times New Roman" w:cs="Times New Roman"/>
          <w:b/>
          <w:bCs/>
          <w:lang w:val="sr-Latn-ME" w:bidi="en-US"/>
        </w:rPr>
        <w:t>prevenciju MU i SE kod AF i preporučene doze za</w:t>
      </w:r>
      <w:r w:rsidRPr="00314858">
        <w:rPr>
          <w:rFonts w:ascii="Times New Roman" w:hAnsi="Times New Roman" w:cs="Times New Roman"/>
          <w:b/>
          <w:bCs/>
          <w:lang w:val="sr-Latn-ME" w:bidi="en-US"/>
        </w:rPr>
        <w:t xml:space="preserve"> DVT i PE</w:t>
      </w:r>
    </w:p>
    <w:p w14:paraId="6FAA3847" w14:textId="77777777" w:rsidR="00D30F4D" w:rsidRPr="00314858" w:rsidRDefault="00D30F4D"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4271"/>
        <w:gridCol w:w="4789"/>
      </w:tblGrid>
      <w:tr w:rsidR="00D67D34" w:rsidRPr="00314858" w14:paraId="7997B20A" w14:textId="77777777" w:rsidTr="00E71A62">
        <w:trPr>
          <w:trHeight w:val="20"/>
          <w:jc w:val="center"/>
        </w:trPr>
        <w:tc>
          <w:tcPr>
            <w:tcW w:w="2357" w:type="pct"/>
            <w:tcBorders>
              <w:top w:val="single" w:sz="4" w:space="0" w:color="auto"/>
              <w:left w:val="single" w:sz="4" w:space="0" w:color="auto"/>
              <w:bottom w:val="single" w:sz="4" w:space="0" w:color="auto"/>
            </w:tcBorders>
            <w:shd w:val="clear" w:color="auto" w:fill="auto"/>
          </w:tcPr>
          <w:p w14:paraId="57CF6214" w14:textId="77777777" w:rsidR="00D67D34" w:rsidRPr="00314858" w:rsidRDefault="00D67D34" w:rsidP="00D67D34">
            <w:pPr>
              <w:spacing w:after="0" w:line="240" w:lineRule="auto"/>
              <w:jc w:val="both"/>
              <w:rPr>
                <w:rFonts w:ascii="Times New Roman" w:hAnsi="Times New Roman" w:cs="Times New Roman"/>
                <w:lang w:val="sr-Latn-ME" w:bidi="en-US"/>
              </w:rPr>
            </w:pPr>
          </w:p>
        </w:tc>
        <w:tc>
          <w:tcPr>
            <w:tcW w:w="2643" w:type="pct"/>
            <w:tcBorders>
              <w:top w:val="single" w:sz="4" w:space="0" w:color="auto"/>
              <w:left w:val="single" w:sz="4" w:space="0" w:color="auto"/>
              <w:bottom w:val="single" w:sz="4" w:space="0" w:color="auto"/>
              <w:right w:val="single" w:sz="4" w:space="0" w:color="auto"/>
            </w:tcBorders>
            <w:shd w:val="clear" w:color="auto" w:fill="auto"/>
          </w:tcPr>
          <w:p w14:paraId="49F29054" w14:textId="77777777" w:rsidR="00D67D34" w:rsidRPr="00314858" w:rsidRDefault="00D67D34" w:rsidP="00BA378B">
            <w:pPr>
              <w:spacing w:after="0" w:line="240" w:lineRule="auto"/>
              <w:jc w:val="center"/>
              <w:rPr>
                <w:rFonts w:ascii="Times New Roman" w:hAnsi="Times New Roman" w:cs="Times New Roman"/>
                <w:lang w:val="sr-Latn-ME" w:bidi="en-US"/>
              </w:rPr>
            </w:pPr>
            <w:r w:rsidRPr="00314858">
              <w:rPr>
                <w:rFonts w:ascii="Times New Roman" w:hAnsi="Times New Roman" w:cs="Times New Roman"/>
                <w:b/>
                <w:bCs/>
                <w:lang w:val="sr-Latn-ME" w:bidi="en-US"/>
              </w:rPr>
              <w:t>Preporučena doza</w:t>
            </w:r>
          </w:p>
        </w:tc>
      </w:tr>
      <w:tr w:rsidR="00D67D34" w:rsidRPr="00314858" w14:paraId="1D7F1E86" w14:textId="77777777" w:rsidTr="00E71A62">
        <w:trPr>
          <w:trHeight w:val="20"/>
          <w:jc w:val="center"/>
        </w:trPr>
        <w:tc>
          <w:tcPr>
            <w:tcW w:w="2357" w:type="pct"/>
            <w:tcBorders>
              <w:top w:val="single" w:sz="4" w:space="0" w:color="auto"/>
              <w:left w:val="single" w:sz="4" w:space="0" w:color="auto"/>
              <w:bottom w:val="single" w:sz="4" w:space="0" w:color="auto"/>
            </w:tcBorders>
            <w:shd w:val="clear" w:color="auto" w:fill="auto"/>
          </w:tcPr>
          <w:p w14:paraId="4B962D6E" w14:textId="34AF88AF" w:rsidR="00D67D34" w:rsidRPr="00314858" w:rsidRDefault="00D67D34"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Prevencija moždanog udara i sistemske embolije kod odraslih pacijenata sa NVAF sa jednim ili više faktora rizika (</w:t>
            </w:r>
            <w:r w:rsidR="004731E1" w:rsidRPr="00314858">
              <w:rPr>
                <w:rFonts w:ascii="Times New Roman" w:hAnsi="Times New Roman" w:cs="Times New Roman"/>
                <w:lang w:val="sr-Latn-ME" w:bidi="en-US"/>
              </w:rPr>
              <w:t>prevencija MU i SE kod AF</w:t>
            </w:r>
            <w:r w:rsidRPr="00314858">
              <w:rPr>
                <w:rFonts w:ascii="Times New Roman" w:hAnsi="Times New Roman" w:cs="Times New Roman"/>
                <w:lang w:val="sr-Latn-ME" w:bidi="en-US"/>
              </w:rPr>
              <w:t>)</w:t>
            </w:r>
          </w:p>
        </w:tc>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14:paraId="5B59C248" w14:textId="740EE151" w:rsidR="00D67D34" w:rsidRPr="00314858" w:rsidRDefault="00D67D34"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 xml:space="preserve">300 mg dabigatraneteksilata </w:t>
            </w:r>
            <w:r w:rsidR="004731E1" w:rsidRPr="00314858">
              <w:rPr>
                <w:rFonts w:ascii="Times New Roman" w:hAnsi="Times New Roman" w:cs="Times New Roman"/>
                <w:lang w:val="sr-Latn-ME" w:bidi="en-US"/>
              </w:rPr>
              <w:t>uzetog u obliku jedne</w:t>
            </w:r>
            <w:r w:rsidRPr="00314858">
              <w:rPr>
                <w:rFonts w:ascii="Times New Roman" w:hAnsi="Times New Roman" w:cs="Times New Roman"/>
                <w:lang w:val="sr-Latn-ME" w:bidi="en-US"/>
              </w:rPr>
              <w:t xml:space="preserve"> kapsule od 150 mg</w:t>
            </w:r>
            <w:r w:rsidRPr="00314858">
              <w:rPr>
                <w:rFonts w:ascii="Times New Roman" w:hAnsi="Times New Roman" w:cs="Times New Roman"/>
                <w:bCs/>
                <w:iCs/>
                <w:lang w:val="sr-Latn-ME"/>
              </w:rPr>
              <w:t xml:space="preserve"> dva puta dnevno</w:t>
            </w:r>
          </w:p>
        </w:tc>
      </w:tr>
      <w:tr w:rsidR="00D67D34" w:rsidRPr="00314858" w14:paraId="7D5B3AFF" w14:textId="77777777" w:rsidTr="00E71A62">
        <w:trPr>
          <w:trHeight w:val="20"/>
          <w:jc w:val="center"/>
        </w:trPr>
        <w:tc>
          <w:tcPr>
            <w:tcW w:w="2357" w:type="pct"/>
            <w:tcBorders>
              <w:top w:val="single" w:sz="4" w:space="0" w:color="auto"/>
              <w:left w:val="single" w:sz="4" w:space="0" w:color="auto"/>
              <w:bottom w:val="single" w:sz="4" w:space="0" w:color="auto"/>
            </w:tcBorders>
            <w:shd w:val="clear" w:color="auto" w:fill="auto"/>
          </w:tcPr>
          <w:p w14:paraId="30C2B068" w14:textId="17B96891" w:rsidR="00D67D34" w:rsidRPr="00314858" w:rsidRDefault="00D67D34"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L</w:t>
            </w:r>
            <w:r w:rsidR="00C67E1A" w:rsidRPr="00314858">
              <w:rPr>
                <w:rFonts w:ascii="Times New Roman" w:hAnsi="Times New Roman" w:cs="Times New Roman"/>
                <w:lang w:val="sr-Latn-ME" w:bidi="en-US"/>
              </w:rPr>
              <w:t>ij</w:t>
            </w:r>
            <w:r w:rsidRPr="00314858">
              <w:rPr>
                <w:rFonts w:ascii="Times New Roman" w:hAnsi="Times New Roman" w:cs="Times New Roman"/>
                <w:lang w:val="sr-Latn-ME" w:bidi="en-US"/>
              </w:rPr>
              <w:t xml:space="preserve">ečenje DVT i PE i prevencija rekurentne DVT i PE kod odraslih </w:t>
            </w:r>
            <w:r w:rsidR="004731E1" w:rsidRPr="00314858">
              <w:rPr>
                <w:rFonts w:ascii="Times New Roman" w:hAnsi="Times New Roman" w:cs="Times New Roman"/>
                <w:lang w:val="sr-Latn-ME" w:bidi="en-US"/>
              </w:rPr>
              <w:t xml:space="preserve">osoba </w:t>
            </w:r>
            <w:r w:rsidRPr="00314858">
              <w:rPr>
                <w:rFonts w:ascii="Times New Roman" w:hAnsi="Times New Roman" w:cs="Times New Roman"/>
                <w:lang w:val="sr-Latn-ME" w:bidi="en-US"/>
              </w:rPr>
              <w:t>(DVT/PE)</w:t>
            </w:r>
          </w:p>
        </w:tc>
        <w:tc>
          <w:tcPr>
            <w:tcW w:w="2643" w:type="pct"/>
            <w:tcBorders>
              <w:top w:val="single" w:sz="4" w:space="0" w:color="auto"/>
              <w:left w:val="single" w:sz="4" w:space="0" w:color="auto"/>
              <w:bottom w:val="single" w:sz="4" w:space="0" w:color="auto"/>
              <w:right w:val="single" w:sz="4" w:space="0" w:color="auto"/>
            </w:tcBorders>
            <w:shd w:val="clear" w:color="auto" w:fill="auto"/>
          </w:tcPr>
          <w:p w14:paraId="37F64253" w14:textId="358B53E2" w:rsidR="00D67D34" w:rsidRPr="00314858" w:rsidRDefault="00D67D34"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 xml:space="preserve">300 mg dabigatraneteksilata </w:t>
            </w:r>
            <w:r w:rsidR="004731E1" w:rsidRPr="00314858">
              <w:rPr>
                <w:rFonts w:ascii="Times New Roman" w:hAnsi="Times New Roman" w:cs="Times New Roman"/>
                <w:lang w:val="sr-Latn-ME" w:bidi="en-US"/>
              </w:rPr>
              <w:t>uzetog u obliku jedne</w:t>
            </w:r>
            <w:r w:rsidRPr="00314858">
              <w:rPr>
                <w:rFonts w:ascii="Times New Roman" w:hAnsi="Times New Roman" w:cs="Times New Roman"/>
                <w:lang w:val="sr-Latn-ME" w:bidi="en-US"/>
              </w:rPr>
              <w:t xml:space="preserve"> kapsule od 150 mg dva puta dnevno nakon terapij</w:t>
            </w:r>
            <w:r w:rsidR="004731E1" w:rsidRPr="00314858">
              <w:rPr>
                <w:rFonts w:ascii="Times New Roman" w:hAnsi="Times New Roman" w:cs="Times New Roman"/>
                <w:lang w:val="sr-Latn-ME" w:bidi="en-US"/>
              </w:rPr>
              <w:t>e</w:t>
            </w:r>
            <w:r w:rsidRPr="00314858">
              <w:rPr>
                <w:rFonts w:ascii="Times New Roman" w:hAnsi="Times New Roman" w:cs="Times New Roman"/>
                <w:lang w:val="sr-Latn-ME" w:bidi="en-US"/>
              </w:rPr>
              <w:t xml:space="preserve"> parenteralnim antikoagulansom </w:t>
            </w:r>
            <w:r w:rsidR="004731E1" w:rsidRPr="00314858">
              <w:rPr>
                <w:rFonts w:ascii="Times New Roman" w:hAnsi="Times New Roman" w:cs="Times New Roman"/>
                <w:lang w:val="sr-Latn-ME" w:bidi="en-US"/>
              </w:rPr>
              <w:t xml:space="preserve">u trajanju od </w:t>
            </w:r>
            <w:r w:rsidRPr="00314858">
              <w:rPr>
                <w:rFonts w:ascii="Times New Roman" w:hAnsi="Times New Roman" w:cs="Times New Roman"/>
                <w:lang w:val="sr-Latn-ME" w:bidi="en-US"/>
              </w:rPr>
              <w:t>najmanje 5 dana</w:t>
            </w:r>
          </w:p>
        </w:tc>
      </w:tr>
      <w:tr w:rsidR="00D67D34" w:rsidRPr="00314858" w14:paraId="7CAE26F8" w14:textId="77777777" w:rsidTr="00E71A62">
        <w:trPr>
          <w:trHeight w:val="20"/>
          <w:jc w:val="center"/>
        </w:trPr>
        <w:tc>
          <w:tcPr>
            <w:tcW w:w="2357" w:type="pct"/>
            <w:tcBorders>
              <w:top w:val="single" w:sz="4" w:space="0" w:color="auto"/>
              <w:left w:val="single" w:sz="4" w:space="0" w:color="auto"/>
            </w:tcBorders>
            <w:shd w:val="clear" w:color="auto" w:fill="auto"/>
            <w:vAlign w:val="center"/>
          </w:tcPr>
          <w:p w14:paraId="2FF34877"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b/>
                <w:bCs/>
                <w:i/>
                <w:iCs/>
                <w:u w:val="single"/>
                <w:lang w:val="sr-Latn-ME" w:bidi="en-US"/>
              </w:rPr>
              <w:t>Preporučeno smanjenje doze</w:t>
            </w:r>
          </w:p>
        </w:tc>
        <w:tc>
          <w:tcPr>
            <w:tcW w:w="2643" w:type="pct"/>
            <w:tcBorders>
              <w:top w:val="single" w:sz="4" w:space="0" w:color="auto"/>
              <w:left w:val="single" w:sz="4" w:space="0" w:color="auto"/>
              <w:right w:val="single" w:sz="4" w:space="0" w:color="auto"/>
            </w:tcBorders>
            <w:shd w:val="clear" w:color="auto" w:fill="auto"/>
          </w:tcPr>
          <w:p w14:paraId="232FD293" w14:textId="77777777" w:rsidR="00D67D34" w:rsidRPr="00314858" w:rsidRDefault="00D67D34" w:rsidP="001347BD">
            <w:pPr>
              <w:spacing w:after="0" w:line="240" w:lineRule="auto"/>
              <w:rPr>
                <w:rFonts w:ascii="Times New Roman" w:hAnsi="Times New Roman" w:cs="Times New Roman"/>
                <w:lang w:val="sr-Latn-ME" w:bidi="en-US"/>
              </w:rPr>
            </w:pPr>
          </w:p>
        </w:tc>
      </w:tr>
      <w:tr w:rsidR="00D67D34" w:rsidRPr="00314858" w14:paraId="277B8820" w14:textId="77777777" w:rsidTr="00E71A62">
        <w:trPr>
          <w:trHeight w:val="20"/>
          <w:jc w:val="center"/>
        </w:trPr>
        <w:tc>
          <w:tcPr>
            <w:tcW w:w="2357" w:type="pct"/>
            <w:tcBorders>
              <w:top w:val="single" w:sz="4" w:space="0" w:color="auto"/>
              <w:left w:val="single" w:sz="4" w:space="0" w:color="auto"/>
            </w:tcBorders>
            <w:shd w:val="clear" w:color="auto" w:fill="auto"/>
          </w:tcPr>
          <w:p w14:paraId="4019E291" w14:textId="399736A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Pacijenti starosti ≥</w:t>
            </w:r>
            <w:r w:rsidR="00210641"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80 godina</w:t>
            </w:r>
          </w:p>
        </w:tc>
        <w:tc>
          <w:tcPr>
            <w:tcW w:w="2643" w:type="pct"/>
            <w:vMerge w:val="restart"/>
            <w:tcBorders>
              <w:top w:val="single" w:sz="4" w:space="0" w:color="auto"/>
              <w:left w:val="single" w:sz="4" w:space="0" w:color="auto"/>
              <w:right w:val="single" w:sz="4" w:space="0" w:color="auto"/>
            </w:tcBorders>
            <w:shd w:val="clear" w:color="auto" w:fill="auto"/>
            <w:vAlign w:val="center"/>
          </w:tcPr>
          <w:p w14:paraId="3C15B2DC" w14:textId="2109091C" w:rsidR="00D67D34" w:rsidRPr="00314858" w:rsidRDefault="00891B16"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d</w:t>
            </w:r>
            <w:r w:rsidR="00D67D34" w:rsidRPr="00314858">
              <w:rPr>
                <w:rFonts w:ascii="Times New Roman" w:hAnsi="Times New Roman" w:cs="Times New Roman"/>
                <w:lang w:val="sr-Latn-ME" w:bidi="en-US"/>
              </w:rPr>
              <w:t xml:space="preserve">nevna doza od 220 mg dabigatraneteksilata </w:t>
            </w:r>
            <w:r w:rsidRPr="00314858">
              <w:rPr>
                <w:rFonts w:ascii="Times New Roman" w:hAnsi="Times New Roman" w:cs="Times New Roman"/>
                <w:lang w:val="sr-Latn-ME" w:bidi="en-US"/>
              </w:rPr>
              <w:t>uzeta u obliku jedne</w:t>
            </w:r>
            <w:r w:rsidR="00D67D34" w:rsidRPr="00314858">
              <w:rPr>
                <w:rFonts w:ascii="Times New Roman" w:hAnsi="Times New Roman" w:cs="Times New Roman"/>
                <w:lang w:val="sr-Latn-ME" w:bidi="en-US"/>
              </w:rPr>
              <w:t xml:space="preserve"> kapsule od 110 mg dva puta dnevno</w:t>
            </w:r>
          </w:p>
        </w:tc>
      </w:tr>
      <w:tr w:rsidR="00D67D34" w:rsidRPr="00314858" w14:paraId="5A2FAFDD" w14:textId="77777777" w:rsidTr="00E71A62">
        <w:trPr>
          <w:trHeight w:val="20"/>
          <w:jc w:val="center"/>
        </w:trPr>
        <w:tc>
          <w:tcPr>
            <w:tcW w:w="2357" w:type="pct"/>
            <w:tcBorders>
              <w:top w:val="single" w:sz="4" w:space="0" w:color="auto"/>
              <w:left w:val="single" w:sz="4" w:space="0" w:color="auto"/>
            </w:tcBorders>
            <w:shd w:val="clear" w:color="auto" w:fill="auto"/>
          </w:tcPr>
          <w:p w14:paraId="4922042C"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Pacijenti koji istovremeno primaju verapamil</w:t>
            </w:r>
          </w:p>
        </w:tc>
        <w:tc>
          <w:tcPr>
            <w:tcW w:w="2643" w:type="pct"/>
            <w:vMerge/>
            <w:tcBorders>
              <w:left w:val="single" w:sz="4" w:space="0" w:color="auto"/>
              <w:right w:val="single" w:sz="4" w:space="0" w:color="auto"/>
            </w:tcBorders>
            <w:shd w:val="clear" w:color="auto" w:fill="auto"/>
            <w:vAlign w:val="center"/>
          </w:tcPr>
          <w:p w14:paraId="3906EFF1" w14:textId="77777777" w:rsidR="00D67D34" w:rsidRPr="00314858" w:rsidRDefault="00D67D34" w:rsidP="001347BD">
            <w:pPr>
              <w:spacing w:after="0" w:line="240" w:lineRule="auto"/>
              <w:rPr>
                <w:rFonts w:ascii="Times New Roman" w:hAnsi="Times New Roman" w:cs="Times New Roman"/>
                <w:lang w:val="sr-Latn-ME" w:bidi="en-US"/>
              </w:rPr>
            </w:pPr>
          </w:p>
        </w:tc>
      </w:tr>
      <w:tr w:rsidR="00D67D34" w:rsidRPr="00314858" w14:paraId="601F67D9" w14:textId="77777777" w:rsidTr="00E71A62">
        <w:trPr>
          <w:trHeight w:val="20"/>
          <w:jc w:val="center"/>
        </w:trPr>
        <w:tc>
          <w:tcPr>
            <w:tcW w:w="2357" w:type="pct"/>
            <w:tcBorders>
              <w:top w:val="single" w:sz="4" w:space="0" w:color="auto"/>
              <w:left w:val="single" w:sz="4" w:space="0" w:color="auto"/>
            </w:tcBorders>
            <w:shd w:val="clear" w:color="auto" w:fill="auto"/>
            <w:vAlign w:val="center"/>
          </w:tcPr>
          <w:p w14:paraId="727A9DC7" w14:textId="4679A32A" w:rsidR="00D67D34" w:rsidRPr="00314858" w:rsidRDefault="005A3013"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b/>
                <w:bCs/>
                <w:i/>
                <w:iCs/>
                <w:u w:val="single"/>
                <w:lang w:val="sr-Latn-ME" w:bidi="en-US"/>
              </w:rPr>
              <w:t>Razmotriti s</w:t>
            </w:r>
            <w:r w:rsidR="00D67D34" w:rsidRPr="00314858">
              <w:rPr>
                <w:rFonts w:ascii="Times New Roman" w:hAnsi="Times New Roman" w:cs="Times New Roman"/>
                <w:b/>
                <w:bCs/>
                <w:i/>
                <w:iCs/>
                <w:u w:val="single"/>
                <w:lang w:val="sr-Latn-ME" w:bidi="en-US"/>
              </w:rPr>
              <w:t>manjenje doze</w:t>
            </w:r>
          </w:p>
        </w:tc>
        <w:tc>
          <w:tcPr>
            <w:tcW w:w="2643" w:type="pct"/>
            <w:tcBorders>
              <w:top w:val="single" w:sz="4" w:space="0" w:color="auto"/>
              <w:left w:val="single" w:sz="4" w:space="0" w:color="auto"/>
              <w:right w:val="single" w:sz="4" w:space="0" w:color="auto"/>
            </w:tcBorders>
            <w:shd w:val="clear" w:color="auto" w:fill="auto"/>
          </w:tcPr>
          <w:p w14:paraId="6503DC18" w14:textId="77777777" w:rsidR="00D67D34" w:rsidRPr="00314858" w:rsidRDefault="00D67D34" w:rsidP="001347BD">
            <w:pPr>
              <w:spacing w:after="0" w:line="240" w:lineRule="auto"/>
              <w:rPr>
                <w:rFonts w:ascii="Times New Roman" w:hAnsi="Times New Roman" w:cs="Times New Roman"/>
                <w:lang w:val="sr-Latn-ME" w:bidi="en-US"/>
              </w:rPr>
            </w:pPr>
          </w:p>
        </w:tc>
      </w:tr>
      <w:tr w:rsidR="00D67D34" w:rsidRPr="00314858" w14:paraId="757DA589" w14:textId="77777777" w:rsidTr="00E71A62">
        <w:trPr>
          <w:trHeight w:val="20"/>
          <w:jc w:val="center"/>
        </w:trPr>
        <w:tc>
          <w:tcPr>
            <w:tcW w:w="2357" w:type="pct"/>
            <w:tcBorders>
              <w:top w:val="single" w:sz="4" w:space="0" w:color="auto"/>
              <w:left w:val="single" w:sz="4" w:space="0" w:color="auto"/>
            </w:tcBorders>
            <w:shd w:val="clear" w:color="auto" w:fill="auto"/>
          </w:tcPr>
          <w:p w14:paraId="2FDFD596" w14:textId="7FBEA5DC" w:rsidR="00D67D34" w:rsidRPr="00314858" w:rsidRDefault="00D67D34"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Pacijenti između 75</w:t>
            </w:r>
            <w:r w:rsidR="00210641"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w:t>
            </w:r>
            <w:r w:rsidR="00210641"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80 godina</w:t>
            </w:r>
          </w:p>
        </w:tc>
        <w:tc>
          <w:tcPr>
            <w:tcW w:w="2643" w:type="pct"/>
            <w:vMerge w:val="restart"/>
            <w:tcBorders>
              <w:top w:val="single" w:sz="4" w:space="0" w:color="auto"/>
              <w:left w:val="single" w:sz="4" w:space="0" w:color="auto"/>
              <w:right w:val="single" w:sz="4" w:space="0" w:color="auto"/>
            </w:tcBorders>
            <w:shd w:val="clear" w:color="auto" w:fill="auto"/>
            <w:vAlign w:val="center"/>
          </w:tcPr>
          <w:p w14:paraId="3911A898" w14:textId="3EED388D" w:rsidR="00D67D34" w:rsidRPr="00314858" w:rsidRDefault="005A3013"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d</w:t>
            </w:r>
            <w:r w:rsidR="00D67D34" w:rsidRPr="00314858">
              <w:rPr>
                <w:rFonts w:ascii="Times New Roman" w:hAnsi="Times New Roman" w:cs="Times New Roman"/>
                <w:lang w:val="sr-Latn-ME" w:bidi="en-US"/>
              </w:rPr>
              <w:t>nevna doza dabigatraneteksilata od 300 mg ili 220 mg treba da se izabere na osnovu individualne proc</w:t>
            </w:r>
            <w:r w:rsidR="00C67E1A" w:rsidRPr="00314858">
              <w:rPr>
                <w:rFonts w:ascii="Times New Roman" w:hAnsi="Times New Roman" w:cs="Times New Roman"/>
                <w:lang w:val="sr-Latn-ME" w:bidi="en-US"/>
              </w:rPr>
              <w:t>j</w:t>
            </w:r>
            <w:r w:rsidR="00D67D34" w:rsidRPr="00314858">
              <w:rPr>
                <w:rFonts w:ascii="Times New Roman" w:hAnsi="Times New Roman" w:cs="Times New Roman"/>
                <w:lang w:val="sr-Latn-ME" w:bidi="en-US"/>
              </w:rPr>
              <w:t>ene rizika</w:t>
            </w:r>
            <w:r w:rsidR="00E71A62" w:rsidRPr="00314858">
              <w:rPr>
                <w:rFonts w:ascii="Times New Roman" w:hAnsi="Times New Roman" w:cs="Times New Roman"/>
                <w:lang w:val="sr-Latn-ME" w:bidi="en-US"/>
              </w:rPr>
              <w:t xml:space="preserve"> </w:t>
            </w:r>
            <w:r w:rsidR="00D67D34" w:rsidRPr="00314858">
              <w:rPr>
                <w:rFonts w:ascii="Times New Roman" w:hAnsi="Times New Roman" w:cs="Times New Roman"/>
                <w:lang w:val="sr-Latn-ME" w:bidi="en-US"/>
              </w:rPr>
              <w:t>od tromboembolije i rizika od krvarenja</w:t>
            </w:r>
          </w:p>
        </w:tc>
      </w:tr>
      <w:tr w:rsidR="00D67D34" w:rsidRPr="00314858" w14:paraId="3E12674F" w14:textId="77777777" w:rsidTr="00E71A62">
        <w:trPr>
          <w:trHeight w:val="20"/>
          <w:jc w:val="center"/>
        </w:trPr>
        <w:tc>
          <w:tcPr>
            <w:tcW w:w="2357" w:type="pct"/>
            <w:tcBorders>
              <w:top w:val="single" w:sz="4" w:space="0" w:color="auto"/>
              <w:left w:val="single" w:sz="4" w:space="0" w:color="auto"/>
            </w:tcBorders>
            <w:shd w:val="clear" w:color="auto" w:fill="auto"/>
          </w:tcPr>
          <w:p w14:paraId="70445C32" w14:textId="3CBE423D" w:rsidR="00D67D34" w:rsidRPr="00314858" w:rsidRDefault="00D67D34"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Pacijenti sa um</w:t>
            </w:r>
            <w:r w:rsidR="00C67E1A" w:rsidRPr="00314858">
              <w:rPr>
                <w:rFonts w:ascii="Times New Roman" w:hAnsi="Times New Roman" w:cs="Times New Roman"/>
                <w:lang w:val="sr-Latn-ME" w:bidi="en-US"/>
              </w:rPr>
              <w:t>j</w:t>
            </w:r>
            <w:r w:rsidRPr="00314858">
              <w:rPr>
                <w:rFonts w:ascii="Times New Roman" w:hAnsi="Times New Roman" w:cs="Times New Roman"/>
                <w:lang w:val="sr-Latn-ME" w:bidi="en-US"/>
              </w:rPr>
              <w:t>erenim oštećenjem funkcije bubrega (CrCL 30-50 m</w:t>
            </w:r>
            <w:r w:rsidR="00210641" w:rsidRPr="00314858">
              <w:rPr>
                <w:rFonts w:ascii="Times New Roman" w:hAnsi="Times New Roman" w:cs="Times New Roman"/>
                <w:lang w:val="sr-Latn-ME" w:bidi="en-US"/>
              </w:rPr>
              <w:t>l</w:t>
            </w:r>
            <w:r w:rsidRPr="00314858">
              <w:rPr>
                <w:rFonts w:ascii="Times New Roman" w:hAnsi="Times New Roman" w:cs="Times New Roman"/>
                <w:lang w:val="sr-Latn-ME" w:bidi="en-US"/>
              </w:rPr>
              <w:t>/min)</w:t>
            </w:r>
          </w:p>
        </w:tc>
        <w:tc>
          <w:tcPr>
            <w:tcW w:w="2643" w:type="pct"/>
            <w:vMerge/>
            <w:tcBorders>
              <w:left w:val="single" w:sz="4" w:space="0" w:color="auto"/>
              <w:right w:val="single" w:sz="4" w:space="0" w:color="auto"/>
            </w:tcBorders>
            <w:shd w:val="clear" w:color="auto" w:fill="auto"/>
            <w:vAlign w:val="center"/>
          </w:tcPr>
          <w:p w14:paraId="0991EBDE" w14:textId="77777777" w:rsidR="00D67D34" w:rsidRPr="00314858" w:rsidRDefault="00D67D34" w:rsidP="00D67D34">
            <w:pPr>
              <w:spacing w:after="0" w:line="240" w:lineRule="auto"/>
              <w:jc w:val="both"/>
              <w:rPr>
                <w:rFonts w:ascii="Times New Roman" w:hAnsi="Times New Roman" w:cs="Times New Roman"/>
                <w:lang w:val="sr-Latn-ME" w:bidi="en-US"/>
              </w:rPr>
            </w:pPr>
          </w:p>
        </w:tc>
      </w:tr>
      <w:tr w:rsidR="00D67D34" w:rsidRPr="00314858" w14:paraId="785D9B05" w14:textId="77777777" w:rsidTr="00E71A62">
        <w:trPr>
          <w:trHeight w:val="20"/>
          <w:jc w:val="center"/>
        </w:trPr>
        <w:tc>
          <w:tcPr>
            <w:tcW w:w="2357" w:type="pct"/>
            <w:tcBorders>
              <w:top w:val="single" w:sz="4" w:space="0" w:color="auto"/>
              <w:left w:val="single" w:sz="4" w:space="0" w:color="auto"/>
            </w:tcBorders>
            <w:shd w:val="clear" w:color="auto" w:fill="auto"/>
          </w:tcPr>
          <w:p w14:paraId="63121C5C" w14:textId="02D167EC" w:rsidR="00D67D34" w:rsidRPr="00314858" w:rsidRDefault="00D67D34"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Pacijenti sa gastritisom, ezofagitisom ili gastroezofag</w:t>
            </w:r>
            <w:r w:rsidR="005A3013" w:rsidRPr="00314858">
              <w:rPr>
                <w:rFonts w:ascii="Times New Roman" w:hAnsi="Times New Roman" w:cs="Times New Roman"/>
                <w:lang w:val="sr-Latn-ME" w:bidi="en-US"/>
              </w:rPr>
              <w:t>e</w:t>
            </w:r>
            <w:r w:rsidRPr="00314858">
              <w:rPr>
                <w:rFonts w:ascii="Times New Roman" w:hAnsi="Times New Roman" w:cs="Times New Roman"/>
                <w:lang w:val="sr-Latn-ME" w:bidi="en-US"/>
              </w:rPr>
              <w:t>alnim refluksom</w:t>
            </w:r>
          </w:p>
        </w:tc>
        <w:tc>
          <w:tcPr>
            <w:tcW w:w="2643" w:type="pct"/>
            <w:vMerge/>
            <w:tcBorders>
              <w:left w:val="single" w:sz="4" w:space="0" w:color="auto"/>
              <w:right w:val="single" w:sz="4" w:space="0" w:color="auto"/>
            </w:tcBorders>
            <w:shd w:val="clear" w:color="auto" w:fill="auto"/>
            <w:vAlign w:val="center"/>
          </w:tcPr>
          <w:p w14:paraId="48D6ED62" w14:textId="77777777" w:rsidR="00D67D34" w:rsidRPr="00314858" w:rsidRDefault="00D67D34" w:rsidP="00D67D34">
            <w:pPr>
              <w:spacing w:after="0" w:line="240" w:lineRule="auto"/>
              <w:jc w:val="both"/>
              <w:rPr>
                <w:rFonts w:ascii="Times New Roman" w:hAnsi="Times New Roman" w:cs="Times New Roman"/>
                <w:lang w:val="sr-Latn-ME" w:bidi="en-US"/>
              </w:rPr>
            </w:pPr>
          </w:p>
        </w:tc>
      </w:tr>
      <w:tr w:rsidR="00D67D34" w:rsidRPr="00314858" w14:paraId="3F8C8B9B" w14:textId="77777777" w:rsidTr="00E71A62">
        <w:trPr>
          <w:trHeight w:val="20"/>
          <w:jc w:val="center"/>
        </w:trPr>
        <w:tc>
          <w:tcPr>
            <w:tcW w:w="2357" w:type="pct"/>
            <w:tcBorders>
              <w:top w:val="single" w:sz="4" w:space="0" w:color="auto"/>
              <w:left w:val="single" w:sz="4" w:space="0" w:color="auto"/>
              <w:bottom w:val="single" w:sz="4" w:space="0" w:color="auto"/>
            </w:tcBorders>
            <w:shd w:val="clear" w:color="auto" w:fill="auto"/>
          </w:tcPr>
          <w:p w14:paraId="3A110787" w14:textId="087D7B35" w:rsidR="00D67D34" w:rsidRPr="00314858" w:rsidRDefault="00D67D34" w:rsidP="001347BD">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Ostali pacijenti pod pov</w:t>
            </w:r>
            <w:r w:rsidR="005A3013" w:rsidRPr="00314858">
              <w:rPr>
                <w:rFonts w:ascii="Times New Roman" w:hAnsi="Times New Roman" w:cs="Times New Roman"/>
                <w:lang w:val="sr-Latn-ME" w:bidi="en-US"/>
              </w:rPr>
              <w:t>ećanim</w:t>
            </w:r>
            <w:r w:rsidRPr="00314858">
              <w:rPr>
                <w:rFonts w:ascii="Times New Roman" w:hAnsi="Times New Roman" w:cs="Times New Roman"/>
                <w:lang w:val="sr-Latn-ME" w:bidi="en-US"/>
              </w:rPr>
              <w:t xml:space="preserve"> rizikom od krvarenja</w:t>
            </w:r>
          </w:p>
        </w:tc>
        <w:tc>
          <w:tcPr>
            <w:tcW w:w="2643" w:type="pct"/>
            <w:vMerge/>
            <w:tcBorders>
              <w:left w:val="single" w:sz="4" w:space="0" w:color="auto"/>
              <w:bottom w:val="single" w:sz="4" w:space="0" w:color="auto"/>
              <w:right w:val="single" w:sz="4" w:space="0" w:color="auto"/>
            </w:tcBorders>
            <w:shd w:val="clear" w:color="auto" w:fill="auto"/>
            <w:vAlign w:val="center"/>
          </w:tcPr>
          <w:p w14:paraId="3A5A917F" w14:textId="77777777" w:rsidR="00D67D34" w:rsidRPr="00314858" w:rsidRDefault="00D67D34" w:rsidP="00D67D34">
            <w:pPr>
              <w:spacing w:after="0" w:line="240" w:lineRule="auto"/>
              <w:jc w:val="both"/>
              <w:rPr>
                <w:rFonts w:ascii="Times New Roman" w:hAnsi="Times New Roman" w:cs="Times New Roman"/>
                <w:lang w:val="sr-Latn-ME" w:bidi="en-US"/>
              </w:rPr>
            </w:pPr>
          </w:p>
        </w:tc>
      </w:tr>
    </w:tbl>
    <w:p w14:paraId="6761D58A" w14:textId="77777777" w:rsidR="00210641" w:rsidRPr="00314858" w:rsidRDefault="00210641" w:rsidP="00D67D34">
      <w:pPr>
        <w:spacing w:after="0" w:line="240" w:lineRule="auto"/>
        <w:jc w:val="both"/>
        <w:rPr>
          <w:rFonts w:ascii="Times New Roman" w:hAnsi="Times New Roman" w:cs="Times New Roman"/>
          <w:lang w:val="sr-Latn-ME" w:bidi="en-US"/>
        </w:rPr>
      </w:pPr>
    </w:p>
    <w:p w14:paraId="2CE4C416" w14:textId="33CD55D0" w:rsidR="00D67D34" w:rsidRPr="00314858" w:rsidRDefault="005A3013" w:rsidP="00D67D34">
      <w:pPr>
        <w:spacing w:after="0" w:line="240" w:lineRule="auto"/>
        <w:jc w:val="both"/>
        <w:rPr>
          <w:rFonts w:ascii="Times New Roman" w:hAnsi="Times New Roman" w:cs="Times New Roman"/>
          <w:b/>
          <w:bCs/>
          <w:lang w:val="sr-Latn-ME" w:bidi="en-US"/>
        </w:rPr>
      </w:pPr>
      <w:r w:rsidRPr="00314858">
        <w:rPr>
          <w:rFonts w:ascii="Times New Roman" w:hAnsi="Times New Roman" w:cs="Times New Roman"/>
          <w:lang w:val="sr-Latn-ME" w:bidi="en-US"/>
        </w:rPr>
        <w:t xml:space="preserve">Kod DVT/PE, preporuka </w:t>
      </w:r>
      <w:r w:rsidR="00D67D34" w:rsidRPr="00314858">
        <w:rPr>
          <w:rFonts w:ascii="Times New Roman" w:hAnsi="Times New Roman" w:cs="Times New Roman"/>
          <w:lang w:val="sr-Latn-ME" w:bidi="en-US"/>
        </w:rPr>
        <w:t>za prim</w:t>
      </w:r>
      <w:r w:rsidR="00C67E1A" w:rsidRPr="00314858">
        <w:rPr>
          <w:rFonts w:ascii="Times New Roman" w:hAnsi="Times New Roman" w:cs="Times New Roman"/>
          <w:lang w:val="sr-Latn-ME" w:bidi="en-US"/>
        </w:rPr>
        <w:t>j</w:t>
      </w:r>
      <w:r w:rsidR="00D67D34" w:rsidRPr="00314858">
        <w:rPr>
          <w:rFonts w:ascii="Times New Roman" w:hAnsi="Times New Roman" w:cs="Times New Roman"/>
          <w:lang w:val="sr-Latn-ME" w:bidi="en-US"/>
        </w:rPr>
        <w:t>enu 220 mg dabigatraneteksilata u obliku jedne kapsule od 110 mg dva puta dnevno je zasnovana na farmakokinetičkim i farmakodinamskim analizama i nije ispitivana u kliničkim uslovima. Vid</w:t>
      </w:r>
      <w:r w:rsidR="00C9027B" w:rsidRPr="00314858">
        <w:rPr>
          <w:rFonts w:ascii="Times New Roman" w:hAnsi="Times New Roman" w:cs="Times New Roman"/>
          <w:lang w:val="sr-Latn-ME" w:bidi="en-US"/>
        </w:rPr>
        <w:t>j</w:t>
      </w:r>
      <w:r w:rsidR="00D67D34" w:rsidRPr="00314858">
        <w:rPr>
          <w:rFonts w:ascii="Times New Roman" w:hAnsi="Times New Roman" w:cs="Times New Roman"/>
          <w:lang w:val="sr-Latn-ME" w:bidi="en-US"/>
        </w:rPr>
        <w:t xml:space="preserve">eti u nastavku </w:t>
      </w:r>
      <w:r w:rsidR="00907F6A" w:rsidRPr="00314858">
        <w:rPr>
          <w:rFonts w:ascii="Times New Roman" w:hAnsi="Times New Roman" w:cs="Times New Roman"/>
          <w:lang w:val="sr-Latn-ME" w:bidi="en-US"/>
        </w:rPr>
        <w:t xml:space="preserve">teksta i </w:t>
      </w:r>
      <w:r w:rsidR="00C67E1A" w:rsidRPr="00314858">
        <w:rPr>
          <w:rFonts w:ascii="Times New Roman" w:hAnsi="Times New Roman" w:cs="Times New Roman"/>
          <w:lang w:val="sr-Latn-ME" w:bidi="en-US"/>
        </w:rPr>
        <w:t xml:space="preserve">djelove </w:t>
      </w:r>
      <w:r w:rsidR="00D67D34" w:rsidRPr="00314858">
        <w:rPr>
          <w:rFonts w:ascii="Times New Roman" w:hAnsi="Times New Roman" w:cs="Times New Roman"/>
          <w:lang w:val="sr-Latn-ME" w:bidi="en-US"/>
        </w:rPr>
        <w:t>4.4, 4.5, 5.1 i 5.2.</w:t>
      </w:r>
    </w:p>
    <w:p w14:paraId="5F433D5B" w14:textId="77777777" w:rsidR="00D67D34" w:rsidRPr="00314858" w:rsidRDefault="00D67D34" w:rsidP="00D67D34">
      <w:pPr>
        <w:spacing w:after="0" w:line="240" w:lineRule="auto"/>
        <w:jc w:val="both"/>
        <w:rPr>
          <w:rFonts w:ascii="Times New Roman" w:hAnsi="Times New Roman" w:cs="Times New Roman"/>
          <w:lang w:val="sr-Latn-ME" w:bidi="en-US"/>
        </w:rPr>
      </w:pPr>
    </w:p>
    <w:p w14:paraId="3195C332" w14:textId="6C5E2A1C"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U slučaju nepodnoš</w:t>
      </w:r>
      <w:r w:rsidR="00975CCB" w:rsidRPr="00314858">
        <w:rPr>
          <w:rFonts w:ascii="Times New Roman" w:hAnsi="Times New Roman" w:cs="Times New Roman"/>
          <w:lang w:val="sr-Latn-ME" w:bidi="en-US"/>
        </w:rPr>
        <w:t>ljivosti</w:t>
      </w:r>
      <w:r w:rsidRPr="00314858">
        <w:rPr>
          <w:rFonts w:ascii="Times New Roman" w:hAnsi="Times New Roman" w:cs="Times New Roman"/>
          <w:lang w:val="sr-Latn-ME" w:bidi="en-US"/>
        </w:rPr>
        <w:t xml:space="preserve"> dabigatraneteksilata, pacijente treba uputiti da se odmah konsultuju sa ordinirajućim l</w:t>
      </w:r>
      <w:r w:rsidR="00C67E1A"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ekarom sa ciljem da pređu na druge prihvatljive terapijske opcije za </w:t>
      </w:r>
      <w:r w:rsidR="00975CCB" w:rsidRPr="00314858">
        <w:rPr>
          <w:rFonts w:ascii="Times New Roman" w:hAnsi="Times New Roman" w:cs="Times New Roman"/>
          <w:lang w:val="sr-Latn-ME" w:bidi="en-US"/>
        </w:rPr>
        <w:t>prevenciju</w:t>
      </w:r>
      <w:r w:rsidRPr="00314858">
        <w:rPr>
          <w:rFonts w:ascii="Times New Roman" w:hAnsi="Times New Roman" w:cs="Times New Roman"/>
          <w:lang w:val="sr-Latn-ME" w:bidi="en-US"/>
        </w:rPr>
        <w:t xml:space="preserve"> moždanog udara i sistemske embolije povezanih sa atrijalnom fibrilacijom ili </w:t>
      </w:r>
      <w:r w:rsidR="00975CCB" w:rsidRPr="00314858">
        <w:rPr>
          <w:rFonts w:ascii="Times New Roman" w:hAnsi="Times New Roman" w:cs="Times New Roman"/>
          <w:lang w:val="sr-Latn-ME" w:bidi="en-US"/>
        </w:rPr>
        <w:t>z</w:t>
      </w:r>
      <w:r w:rsidRPr="00314858">
        <w:rPr>
          <w:rFonts w:ascii="Times New Roman" w:hAnsi="Times New Roman" w:cs="Times New Roman"/>
          <w:lang w:val="sr-Latn-ME" w:bidi="en-US"/>
        </w:rPr>
        <w:t>a DVT/PE.</w:t>
      </w:r>
    </w:p>
    <w:p w14:paraId="596E27A9" w14:textId="77777777" w:rsidR="00D67D34" w:rsidRPr="00314858" w:rsidRDefault="00D67D34" w:rsidP="00D67D34">
      <w:pPr>
        <w:spacing w:after="0" w:line="240" w:lineRule="auto"/>
        <w:jc w:val="both"/>
        <w:rPr>
          <w:rFonts w:ascii="Times New Roman" w:hAnsi="Times New Roman" w:cs="Times New Roman"/>
          <w:lang w:val="sr-Latn-ME" w:bidi="en-US"/>
        </w:rPr>
      </w:pPr>
    </w:p>
    <w:p w14:paraId="71F457B5" w14:textId="3161F251"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u w:val="single"/>
          <w:lang w:val="sr-Latn-ME" w:bidi="en-US"/>
        </w:rPr>
        <w:t>Proc</w:t>
      </w:r>
      <w:r w:rsidR="000D09B7" w:rsidRPr="00314858">
        <w:rPr>
          <w:rFonts w:ascii="Times New Roman" w:hAnsi="Times New Roman" w:cs="Times New Roman"/>
          <w:i/>
          <w:iCs/>
          <w:u w:val="single"/>
          <w:lang w:val="sr-Latn-ME" w:bidi="en-US"/>
        </w:rPr>
        <w:t>j</w:t>
      </w:r>
      <w:r w:rsidRPr="00314858">
        <w:rPr>
          <w:rFonts w:ascii="Times New Roman" w:hAnsi="Times New Roman" w:cs="Times New Roman"/>
          <w:i/>
          <w:iCs/>
          <w:u w:val="single"/>
          <w:lang w:val="sr-Latn-ME" w:bidi="en-US"/>
        </w:rPr>
        <w:t xml:space="preserve">ena funkcije </w:t>
      </w:r>
      <w:r w:rsidR="00975CCB" w:rsidRPr="00314858">
        <w:rPr>
          <w:rFonts w:ascii="Times New Roman" w:hAnsi="Times New Roman" w:cs="Times New Roman"/>
          <w:i/>
          <w:iCs/>
          <w:u w:val="single"/>
          <w:lang w:val="sr-Latn-ME" w:bidi="en-US"/>
        </w:rPr>
        <w:t xml:space="preserve">bubrega </w:t>
      </w:r>
      <w:r w:rsidRPr="00314858">
        <w:rPr>
          <w:rFonts w:ascii="Times New Roman" w:hAnsi="Times New Roman" w:cs="Times New Roman"/>
          <w:i/>
          <w:iCs/>
          <w:u w:val="single"/>
          <w:lang w:val="sr-Latn-ME" w:bidi="en-US"/>
        </w:rPr>
        <w:t>pr</w:t>
      </w:r>
      <w:r w:rsidR="00C67E1A" w:rsidRPr="00314858">
        <w:rPr>
          <w:rFonts w:ascii="Times New Roman" w:hAnsi="Times New Roman" w:cs="Times New Roman"/>
          <w:i/>
          <w:iCs/>
          <w:u w:val="single"/>
          <w:lang w:val="sr-Latn-ME" w:bidi="en-US"/>
        </w:rPr>
        <w:t>ij</w:t>
      </w:r>
      <w:r w:rsidRPr="00314858">
        <w:rPr>
          <w:rFonts w:ascii="Times New Roman" w:hAnsi="Times New Roman" w:cs="Times New Roman"/>
          <w:i/>
          <w:iCs/>
          <w:u w:val="single"/>
          <w:lang w:val="sr-Latn-ME" w:bidi="en-US"/>
        </w:rPr>
        <w:t>e i tokom terapije dabigatraneteksilatom</w:t>
      </w:r>
    </w:p>
    <w:p w14:paraId="45D5A860" w14:textId="77777777" w:rsidR="00D67D34" w:rsidRPr="00314858" w:rsidRDefault="00D67D34" w:rsidP="00D67D34">
      <w:pPr>
        <w:spacing w:after="0" w:line="240" w:lineRule="auto"/>
        <w:jc w:val="both"/>
        <w:rPr>
          <w:rFonts w:ascii="Times New Roman" w:hAnsi="Times New Roman" w:cs="Times New Roman"/>
          <w:lang w:val="sr-Latn-ME" w:bidi="en-US"/>
        </w:rPr>
      </w:pPr>
    </w:p>
    <w:p w14:paraId="30A93AD3" w14:textId="50A1DFC0"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Kod svih pacijenata, a posebno kod starijih osoba (&gt;</w:t>
      </w:r>
      <w:r w:rsidR="00210641"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 xml:space="preserve">75 godina), jer oštećenje </w:t>
      </w:r>
      <w:r w:rsidR="00975CCB" w:rsidRPr="00314858">
        <w:rPr>
          <w:rFonts w:ascii="Times New Roman" w:hAnsi="Times New Roman" w:cs="Times New Roman"/>
          <w:lang w:val="sr-Latn-ME" w:bidi="en-US"/>
        </w:rPr>
        <w:t xml:space="preserve">funkcije </w:t>
      </w:r>
      <w:r w:rsidRPr="00314858">
        <w:rPr>
          <w:rFonts w:ascii="Times New Roman" w:hAnsi="Times New Roman" w:cs="Times New Roman"/>
          <w:lang w:val="sr-Latn-ME" w:bidi="en-US"/>
        </w:rPr>
        <w:t xml:space="preserve">bubrega </w:t>
      </w:r>
      <w:r w:rsidR="00975CCB" w:rsidRPr="00314858">
        <w:rPr>
          <w:rFonts w:ascii="Times New Roman" w:hAnsi="Times New Roman" w:cs="Times New Roman"/>
          <w:lang w:val="sr-Latn-ME" w:bidi="en-US"/>
        </w:rPr>
        <w:t xml:space="preserve">može biti </w:t>
      </w:r>
      <w:r w:rsidRPr="00314858">
        <w:rPr>
          <w:rFonts w:ascii="Times New Roman" w:hAnsi="Times New Roman" w:cs="Times New Roman"/>
          <w:lang w:val="sr-Latn-ME" w:bidi="en-US"/>
        </w:rPr>
        <w:t>često u toj starosnoj grupi:</w:t>
      </w:r>
    </w:p>
    <w:p w14:paraId="67428339" w14:textId="69FFFA8B"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Bubrežnu funkciju treba proc</w:t>
      </w:r>
      <w:r w:rsidR="000D09B7"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enjivati izračunavanjem klirensa kreatinina (CrCL) p</w:t>
      </w:r>
      <w:r w:rsidR="000D09B7" w:rsidRPr="00314858">
        <w:rPr>
          <w:rFonts w:ascii="Times New Roman" w:eastAsia="Times New Roman" w:hAnsi="Times New Roman" w:cs="Times New Roman"/>
          <w:color w:val="000000" w:themeColor="text1"/>
          <w:lang w:val="sr-Latn-ME" w:bidi="en-US"/>
        </w:rPr>
        <w:t>rije</w:t>
      </w:r>
      <w:r w:rsidRPr="00314858">
        <w:rPr>
          <w:rFonts w:ascii="Times New Roman" w:eastAsia="Times New Roman" w:hAnsi="Times New Roman" w:cs="Times New Roman"/>
          <w:color w:val="000000" w:themeColor="text1"/>
          <w:lang w:val="sr-Latn-ME" w:bidi="en-US"/>
        </w:rPr>
        <w:t xml:space="preserve"> početka terapije dabigatraneteksilatom </w:t>
      </w:r>
      <w:r w:rsidR="00E71A62" w:rsidRPr="00314858">
        <w:rPr>
          <w:rFonts w:ascii="Times New Roman" w:eastAsia="Times New Roman" w:hAnsi="Times New Roman" w:cs="Times New Roman"/>
          <w:color w:val="000000" w:themeColor="text1"/>
          <w:lang w:val="sr-Latn-ME" w:bidi="en-US"/>
        </w:rPr>
        <w:t>kako bi</w:t>
      </w:r>
      <w:r w:rsidRPr="00314858">
        <w:rPr>
          <w:rFonts w:ascii="Times New Roman" w:eastAsia="Times New Roman" w:hAnsi="Times New Roman" w:cs="Times New Roman"/>
          <w:color w:val="000000" w:themeColor="text1"/>
          <w:lang w:val="sr-Latn-ME" w:bidi="en-US"/>
        </w:rPr>
        <w:t xml:space="preserve"> se isključ</w:t>
      </w:r>
      <w:r w:rsidR="00E71A62" w:rsidRPr="00314858">
        <w:rPr>
          <w:rFonts w:ascii="Times New Roman" w:eastAsia="Times New Roman" w:hAnsi="Times New Roman" w:cs="Times New Roman"/>
          <w:color w:val="000000" w:themeColor="text1"/>
          <w:lang w:val="sr-Latn-ME" w:bidi="en-US"/>
        </w:rPr>
        <w:t>ili</w:t>
      </w:r>
      <w:r w:rsidRPr="00314858">
        <w:rPr>
          <w:rFonts w:ascii="Times New Roman" w:eastAsia="Times New Roman" w:hAnsi="Times New Roman" w:cs="Times New Roman"/>
          <w:color w:val="000000" w:themeColor="text1"/>
          <w:lang w:val="sr-Latn-ME" w:bidi="en-US"/>
        </w:rPr>
        <w:t xml:space="preserve"> pacijenti sa teškim oštećenjem funkcije bubrega (</w:t>
      </w:r>
      <w:r w:rsidR="00E71A62" w:rsidRPr="00314858">
        <w:rPr>
          <w:rFonts w:ascii="Times New Roman" w:eastAsia="Times New Roman" w:hAnsi="Times New Roman" w:cs="Times New Roman"/>
          <w:color w:val="000000" w:themeColor="text1"/>
          <w:lang w:val="sr-Latn-ME" w:bidi="en-US"/>
        </w:rPr>
        <w:t>tj.</w:t>
      </w:r>
      <w:r w:rsidRPr="00314858">
        <w:rPr>
          <w:rFonts w:ascii="Times New Roman" w:eastAsia="Times New Roman" w:hAnsi="Times New Roman" w:cs="Times New Roman"/>
          <w:color w:val="000000" w:themeColor="text1"/>
          <w:lang w:val="sr-Latn-ME" w:bidi="en-US"/>
        </w:rPr>
        <w:t xml:space="preserve"> CrCL &lt;30 m</w:t>
      </w:r>
      <w:r w:rsidR="00210641" w:rsidRPr="00314858">
        <w:rPr>
          <w:rFonts w:ascii="Times New Roman" w:eastAsia="Times New Roman" w:hAnsi="Times New Roman" w:cs="Times New Roman"/>
          <w:color w:val="000000" w:themeColor="text1"/>
          <w:lang w:val="sr-Latn-ME" w:bidi="en-US"/>
        </w:rPr>
        <w:t>l</w:t>
      </w:r>
      <w:r w:rsidRPr="00314858">
        <w:rPr>
          <w:rFonts w:ascii="Times New Roman" w:eastAsia="Times New Roman" w:hAnsi="Times New Roman" w:cs="Times New Roman"/>
          <w:color w:val="000000" w:themeColor="text1"/>
          <w:lang w:val="sr-Latn-ME" w:bidi="en-US"/>
        </w:rPr>
        <w:t>/min) (vid</w:t>
      </w:r>
      <w:r w:rsidR="000D09B7"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 xml:space="preserve">eti </w:t>
      </w:r>
      <w:r w:rsidR="000D09B7" w:rsidRPr="00314858">
        <w:rPr>
          <w:rFonts w:ascii="Times New Roman" w:eastAsia="Times New Roman" w:hAnsi="Times New Roman" w:cs="Times New Roman"/>
          <w:color w:val="000000" w:themeColor="text1"/>
          <w:lang w:val="sr-Latn-ME" w:bidi="en-US"/>
        </w:rPr>
        <w:t>djelove</w:t>
      </w:r>
      <w:r w:rsidRPr="00314858">
        <w:rPr>
          <w:rFonts w:ascii="Times New Roman" w:eastAsia="Times New Roman" w:hAnsi="Times New Roman" w:cs="Times New Roman"/>
          <w:color w:val="000000" w:themeColor="text1"/>
          <w:lang w:val="sr-Latn-ME" w:bidi="en-US"/>
        </w:rPr>
        <w:t xml:space="preserve"> 4.3, 4.4 i 5.2).</w:t>
      </w:r>
    </w:p>
    <w:p w14:paraId="7DB101FD" w14:textId="05045FB6"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Bubrežnu funkciju takođe treba proc</w:t>
      </w:r>
      <w:r w:rsidR="000D09B7"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 xml:space="preserve">enjivati kada se posumnja na slabljenje funkcije </w:t>
      </w:r>
      <w:r w:rsidR="00975CCB" w:rsidRPr="00314858">
        <w:rPr>
          <w:rFonts w:ascii="Times New Roman" w:eastAsia="Times New Roman" w:hAnsi="Times New Roman" w:cs="Times New Roman"/>
          <w:color w:val="000000" w:themeColor="text1"/>
          <w:lang w:val="sr-Latn-ME" w:bidi="en-US"/>
        </w:rPr>
        <w:t xml:space="preserve">bubrega </w:t>
      </w:r>
      <w:r w:rsidRPr="00314858">
        <w:rPr>
          <w:rFonts w:ascii="Times New Roman" w:eastAsia="Times New Roman" w:hAnsi="Times New Roman" w:cs="Times New Roman"/>
          <w:color w:val="000000" w:themeColor="text1"/>
          <w:lang w:val="sr-Latn-ME" w:bidi="en-US"/>
        </w:rPr>
        <w:t>tokom terapije (npr. hipovolemija, dehidra</w:t>
      </w:r>
      <w:r w:rsidR="00975CCB" w:rsidRPr="00314858">
        <w:rPr>
          <w:rFonts w:ascii="Times New Roman" w:eastAsia="Times New Roman" w:hAnsi="Times New Roman" w:cs="Times New Roman"/>
          <w:color w:val="000000" w:themeColor="text1"/>
          <w:lang w:val="sr-Latn-ME" w:bidi="en-US"/>
        </w:rPr>
        <w:t>ta</w:t>
      </w:r>
      <w:r w:rsidRPr="00314858">
        <w:rPr>
          <w:rFonts w:ascii="Times New Roman" w:eastAsia="Times New Roman" w:hAnsi="Times New Roman" w:cs="Times New Roman"/>
          <w:color w:val="000000" w:themeColor="text1"/>
          <w:lang w:val="sr-Latn-ME" w:bidi="en-US"/>
        </w:rPr>
        <w:t>cija i u slučaju istovremene prim</w:t>
      </w:r>
      <w:r w:rsidR="000D09B7"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ene određenih l</w:t>
      </w:r>
      <w:r w:rsidR="000D09B7"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ekova).</w:t>
      </w:r>
    </w:p>
    <w:p w14:paraId="0AA6306A" w14:textId="77777777" w:rsidR="00D67D34" w:rsidRPr="00314858" w:rsidRDefault="00D67D34" w:rsidP="00D67D34">
      <w:pPr>
        <w:spacing w:after="0" w:line="240" w:lineRule="auto"/>
        <w:jc w:val="both"/>
        <w:rPr>
          <w:rFonts w:ascii="Times New Roman" w:hAnsi="Times New Roman" w:cs="Times New Roman"/>
          <w:lang w:val="sr-Latn-ME" w:bidi="en-US"/>
        </w:rPr>
      </w:pPr>
    </w:p>
    <w:p w14:paraId="249BFC65" w14:textId="13D884FD"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Dodatni zaht</w:t>
      </w:r>
      <w:r w:rsidR="000D09B7" w:rsidRPr="00314858">
        <w:rPr>
          <w:rFonts w:ascii="Times New Roman" w:hAnsi="Times New Roman" w:cs="Times New Roman"/>
          <w:lang w:val="sr-Latn-ME" w:bidi="en-US"/>
        </w:rPr>
        <w:t>j</w:t>
      </w:r>
      <w:r w:rsidRPr="00314858">
        <w:rPr>
          <w:rFonts w:ascii="Times New Roman" w:hAnsi="Times New Roman" w:cs="Times New Roman"/>
          <w:lang w:val="sr-Latn-ME" w:bidi="en-US"/>
        </w:rPr>
        <w:t>evi kod pacijenata sa blagim do um</w:t>
      </w:r>
      <w:r w:rsidR="00CD1131"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erenim oštećenjem funkcije </w:t>
      </w:r>
      <w:r w:rsidR="003D7B9C" w:rsidRPr="00314858">
        <w:rPr>
          <w:rFonts w:ascii="Times New Roman" w:hAnsi="Times New Roman" w:cs="Times New Roman"/>
          <w:lang w:val="sr-Latn-ME" w:bidi="en-US"/>
        </w:rPr>
        <w:t xml:space="preserve">bubrega i </w:t>
      </w:r>
      <w:r w:rsidRPr="00314858">
        <w:rPr>
          <w:rFonts w:ascii="Times New Roman" w:hAnsi="Times New Roman" w:cs="Times New Roman"/>
          <w:lang w:val="sr-Latn-ME" w:bidi="en-US"/>
        </w:rPr>
        <w:t>kod pacijenata starosti preko 75 godina:</w:t>
      </w:r>
    </w:p>
    <w:p w14:paraId="0F2E76C7" w14:textId="1C3BA547"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Bubrežnu funkciju treba proc</w:t>
      </w:r>
      <w:r w:rsidR="000D09B7"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 xml:space="preserve">enjivati </w:t>
      </w:r>
      <w:r w:rsidR="00E71A62" w:rsidRPr="00314858">
        <w:rPr>
          <w:rFonts w:ascii="Times New Roman" w:eastAsia="Times New Roman" w:hAnsi="Times New Roman" w:cs="Times New Roman"/>
          <w:color w:val="000000" w:themeColor="text1"/>
          <w:lang w:val="sr-Latn-ME" w:bidi="en-US"/>
        </w:rPr>
        <w:t xml:space="preserve">tokom </w:t>
      </w:r>
      <w:r w:rsidR="006250A0" w:rsidRPr="00314858">
        <w:rPr>
          <w:rFonts w:ascii="Times New Roman" w:eastAsia="Times New Roman" w:hAnsi="Times New Roman" w:cs="Times New Roman"/>
          <w:color w:val="000000" w:themeColor="text1"/>
          <w:lang w:val="sr-Latn-ME" w:bidi="en-US"/>
        </w:rPr>
        <w:t>terapije</w:t>
      </w:r>
      <w:r w:rsidR="00E71A62" w:rsidRPr="00314858">
        <w:rPr>
          <w:rFonts w:ascii="Times New Roman" w:eastAsia="Times New Roman" w:hAnsi="Times New Roman" w:cs="Times New Roman"/>
          <w:color w:val="000000" w:themeColor="text1"/>
          <w:lang w:val="sr-Latn-ME" w:bidi="en-US"/>
        </w:rPr>
        <w:t xml:space="preserve"> dabigatraneteksilatom </w:t>
      </w:r>
      <w:r w:rsidRPr="00314858">
        <w:rPr>
          <w:rFonts w:ascii="Times New Roman" w:eastAsia="Times New Roman" w:hAnsi="Times New Roman" w:cs="Times New Roman"/>
          <w:color w:val="000000" w:themeColor="text1"/>
          <w:lang w:val="sr-Latn-ME" w:bidi="en-US"/>
        </w:rPr>
        <w:t>najmanje jednom godišnje</w:t>
      </w:r>
      <w:r w:rsidR="00E71A62"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ili češće</w:t>
      </w:r>
      <w:r w:rsidR="003D7B9C" w:rsidRPr="00314858">
        <w:rPr>
          <w:rFonts w:ascii="Times New Roman" w:eastAsia="Times New Roman" w:hAnsi="Times New Roman" w:cs="Times New Roman"/>
          <w:color w:val="000000" w:themeColor="text1"/>
          <w:lang w:val="sr-Latn-ME" w:bidi="en-US"/>
        </w:rPr>
        <w:t>,</w:t>
      </w:r>
      <w:r w:rsidRPr="00314858">
        <w:rPr>
          <w:rFonts w:ascii="Times New Roman" w:eastAsia="Times New Roman" w:hAnsi="Times New Roman" w:cs="Times New Roman"/>
          <w:color w:val="000000" w:themeColor="text1"/>
          <w:lang w:val="sr-Latn-ME" w:bidi="en-US"/>
        </w:rPr>
        <w:t xml:space="preserve"> po potrebi</w:t>
      </w:r>
      <w:r w:rsidR="003D7B9C" w:rsidRPr="00314858">
        <w:rPr>
          <w:rFonts w:ascii="Times New Roman" w:eastAsia="Times New Roman" w:hAnsi="Times New Roman" w:cs="Times New Roman"/>
          <w:color w:val="000000" w:themeColor="text1"/>
          <w:lang w:val="sr-Latn-ME" w:bidi="en-US"/>
        </w:rPr>
        <w:t>,</w:t>
      </w:r>
      <w:r w:rsidRPr="00314858">
        <w:rPr>
          <w:rFonts w:ascii="Times New Roman" w:eastAsia="Times New Roman" w:hAnsi="Times New Roman" w:cs="Times New Roman"/>
          <w:color w:val="000000" w:themeColor="text1"/>
          <w:lang w:val="sr-Latn-ME" w:bidi="en-US"/>
        </w:rPr>
        <w:t xml:space="preserve"> u određenim kliničkim situacijama kada se sumnja da funkcija bubrega može da oslabi ili da se pogorša (npr. hipovolemija, dehidra</w:t>
      </w:r>
      <w:r w:rsidR="003D7B9C" w:rsidRPr="00314858">
        <w:rPr>
          <w:rFonts w:ascii="Times New Roman" w:eastAsia="Times New Roman" w:hAnsi="Times New Roman" w:cs="Times New Roman"/>
          <w:color w:val="000000" w:themeColor="text1"/>
          <w:lang w:val="sr-Latn-ME" w:bidi="en-US"/>
        </w:rPr>
        <w:t>ta</w:t>
      </w:r>
      <w:r w:rsidRPr="00314858">
        <w:rPr>
          <w:rFonts w:ascii="Times New Roman" w:eastAsia="Times New Roman" w:hAnsi="Times New Roman" w:cs="Times New Roman"/>
          <w:color w:val="000000" w:themeColor="text1"/>
          <w:lang w:val="sr-Latn-ME" w:bidi="en-US"/>
        </w:rPr>
        <w:t>cija i u slučaju istovremene prim</w:t>
      </w:r>
      <w:r w:rsidR="00210641"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ene određenih l</w:t>
      </w:r>
      <w:r w:rsidR="000D09B7"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ekova).</w:t>
      </w:r>
    </w:p>
    <w:p w14:paraId="048F59BB" w14:textId="77777777" w:rsidR="00D67D34" w:rsidRPr="00314858" w:rsidRDefault="00D67D34" w:rsidP="00D67D34">
      <w:pPr>
        <w:spacing w:after="0" w:line="240" w:lineRule="auto"/>
        <w:jc w:val="both"/>
        <w:rPr>
          <w:rFonts w:ascii="Times New Roman" w:hAnsi="Times New Roman" w:cs="Times New Roman"/>
          <w:lang w:val="sr-Latn-ME" w:bidi="en-US"/>
        </w:rPr>
      </w:pPr>
    </w:p>
    <w:p w14:paraId="0A721F92" w14:textId="37405528"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Za proc</w:t>
      </w:r>
      <w:r w:rsidR="000D09B7"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enu funkcije </w:t>
      </w:r>
      <w:r w:rsidR="00157872" w:rsidRPr="00314858">
        <w:rPr>
          <w:rFonts w:ascii="Times New Roman" w:hAnsi="Times New Roman" w:cs="Times New Roman"/>
          <w:lang w:val="sr-Latn-ME" w:bidi="en-US"/>
        </w:rPr>
        <w:t xml:space="preserve">bubrega </w:t>
      </w:r>
      <w:r w:rsidRPr="00314858">
        <w:rPr>
          <w:rFonts w:ascii="Times New Roman" w:hAnsi="Times New Roman" w:cs="Times New Roman"/>
          <w:lang w:val="sr-Latn-ME" w:bidi="en-US"/>
        </w:rPr>
        <w:t>(CrCL u m</w:t>
      </w:r>
      <w:r w:rsidR="00210641" w:rsidRPr="00314858">
        <w:rPr>
          <w:rFonts w:ascii="Times New Roman" w:hAnsi="Times New Roman" w:cs="Times New Roman"/>
          <w:lang w:val="sr-Latn-ME" w:bidi="en-US"/>
        </w:rPr>
        <w:t>l</w:t>
      </w:r>
      <w:r w:rsidRPr="00314858">
        <w:rPr>
          <w:rFonts w:ascii="Times New Roman" w:hAnsi="Times New Roman" w:cs="Times New Roman"/>
          <w:lang w:val="sr-Latn-ME" w:bidi="en-US"/>
        </w:rPr>
        <w:t xml:space="preserve">/min) se koristi </w:t>
      </w:r>
      <w:r w:rsidRPr="00314858">
        <w:rPr>
          <w:rFonts w:ascii="Times New Roman" w:hAnsi="Times New Roman" w:cs="Times New Roman"/>
          <w:i/>
          <w:iCs/>
          <w:lang w:val="sr-Latn-ME" w:bidi="en-US"/>
        </w:rPr>
        <w:t>Cockcroft-Gault</w:t>
      </w:r>
      <w:r w:rsidRPr="00314858">
        <w:rPr>
          <w:rFonts w:ascii="Times New Roman" w:hAnsi="Times New Roman" w:cs="Times New Roman"/>
          <w:lang w:val="sr-Latn-ME" w:bidi="en-US"/>
        </w:rPr>
        <w:t>-ova metoda.</w:t>
      </w:r>
    </w:p>
    <w:p w14:paraId="036041CA" w14:textId="77777777" w:rsidR="00D67D34" w:rsidRPr="00314858" w:rsidRDefault="00D67D34" w:rsidP="00D67D34">
      <w:pPr>
        <w:spacing w:after="0" w:line="240" w:lineRule="auto"/>
        <w:jc w:val="both"/>
        <w:rPr>
          <w:rFonts w:ascii="Times New Roman" w:hAnsi="Times New Roman" w:cs="Times New Roman"/>
          <w:i/>
          <w:iCs/>
          <w:u w:val="single"/>
          <w:lang w:val="sr-Latn-ME" w:bidi="en-US"/>
        </w:rPr>
      </w:pPr>
    </w:p>
    <w:p w14:paraId="1EC8A3DF" w14:textId="7C59498D" w:rsidR="00D67D34" w:rsidRPr="00314858" w:rsidRDefault="00D67D34" w:rsidP="00D67D34">
      <w:pPr>
        <w:spacing w:after="0" w:line="240" w:lineRule="auto"/>
        <w:jc w:val="both"/>
        <w:rPr>
          <w:rFonts w:ascii="Times New Roman" w:hAnsi="Times New Roman" w:cs="Times New Roman"/>
          <w:i/>
          <w:iCs/>
          <w:u w:val="single"/>
          <w:lang w:val="sr-Latn-ME" w:bidi="en-US"/>
        </w:rPr>
      </w:pPr>
      <w:r w:rsidRPr="00314858">
        <w:rPr>
          <w:rFonts w:ascii="Times New Roman" w:hAnsi="Times New Roman" w:cs="Times New Roman"/>
          <w:i/>
          <w:iCs/>
          <w:u w:val="single"/>
          <w:lang w:val="sr-Latn-ME" w:bidi="en-US"/>
        </w:rPr>
        <w:t>Trajanje prim</w:t>
      </w:r>
      <w:r w:rsidR="000D09B7" w:rsidRPr="00314858">
        <w:rPr>
          <w:rFonts w:ascii="Times New Roman" w:hAnsi="Times New Roman" w:cs="Times New Roman"/>
          <w:i/>
          <w:iCs/>
          <w:u w:val="single"/>
          <w:lang w:val="sr-Latn-ME" w:bidi="en-US"/>
        </w:rPr>
        <w:t>j</w:t>
      </w:r>
      <w:r w:rsidRPr="00314858">
        <w:rPr>
          <w:rFonts w:ascii="Times New Roman" w:hAnsi="Times New Roman" w:cs="Times New Roman"/>
          <w:i/>
          <w:iCs/>
          <w:u w:val="single"/>
          <w:lang w:val="sr-Latn-ME" w:bidi="en-US"/>
        </w:rPr>
        <w:t>ene</w:t>
      </w:r>
    </w:p>
    <w:p w14:paraId="1243726A" w14:textId="77777777" w:rsidR="00D67D34" w:rsidRPr="00314858" w:rsidRDefault="00D67D34" w:rsidP="00D67D34">
      <w:pPr>
        <w:spacing w:after="0" w:line="240" w:lineRule="auto"/>
        <w:jc w:val="both"/>
        <w:rPr>
          <w:rFonts w:ascii="Times New Roman" w:hAnsi="Times New Roman" w:cs="Times New Roman"/>
          <w:lang w:val="sr-Latn-ME" w:bidi="en-US"/>
        </w:rPr>
      </w:pPr>
    </w:p>
    <w:p w14:paraId="4088FC2A" w14:textId="0867A096"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Trajanja prim</w:t>
      </w:r>
      <w:r w:rsidR="000D09B7"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ene dabigatraneteksilata u indikacijama </w:t>
      </w:r>
      <w:r w:rsidR="00157872" w:rsidRPr="00314858">
        <w:rPr>
          <w:rFonts w:ascii="Times New Roman" w:hAnsi="Times New Roman" w:cs="Times New Roman"/>
          <w:lang w:val="sr-Latn-ME" w:bidi="en-US"/>
        </w:rPr>
        <w:t>prevencije MU i SE kod AF i indikaciji</w:t>
      </w:r>
      <w:r w:rsidRPr="00314858">
        <w:rPr>
          <w:rFonts w:ascii="Times New Roman" w:hAnsi="Times New Roman" w:cs="Times New Roman"/>
          <w:lang w:val="sr-Latn-ME" w:bidi="en-US"/>
        </w:rPr>
        <w:t xml:space="preserve"> DVT i PE prikazan</w:t>
      </w:r>
      <w:r w:rsidR="00157872" w:rsidRPr="00314858">
        <w:rPr>
          <w:rFonts w:ascii="Times New Roman" w:hAnsi="Times New Roman" w:cs="Times New Roman"/>
          <w:lang w:val="sr-Latn-ME" w:bidi="en-US"/>
        </w:rPr>
        <w:t>o je</w:t>
      </w:r>
      <w:r w:rsidRPr="00314858">
        <w:rPr>
          <w:rFonts w:ascii="Times New Roman" w:hAnsi="Times New Roman" w:cs="Times New Roman"/>
          <w:lang w:val="sr-Latn-ME" w:bidi="en-US"/>
        </w:rPr>
        <w:t xml:space="preserve"> u </w:t>
      </w:r>
      <w:r w:rsidR="00157872" w:rsidRPr="00314858">
        <w:rPr>
          <w:rFonts w:ascii="Times New Roman" w:hAnsi="Times New Roman" w:cs="Times New Roman"/>
          <w:lang w:val="sr-Latn-ME" w:bidi="en-US"/>
        </w:rPr>
        <w:t>t</w:t>
      </w:r>
      <w:r w:rsidRPr="00314858">
        <w:rPr>
          <w:rFonts w:ascii="Times New Roman" w:hAnsi="Times New Roman" w:cs="Times New Roman"/>
          <w:lang w:val="sr-Latn-ME" w:bidi="en-US"/>
        </w:rPr>
        <w:t>abeli 2.</w:t>
      </w:r>
    </w:p>
    <w:p w14:paraId="623E9ED0" w14:textId="77777777" w:rsidR="00D67D34" w:rsidRPr="00314858" w:rsidRDefault="00D67D34" w:rsidP="00D67D34">
      <w:pPr>
        <w:spacing w:after="0" w:line="240" w:lineRule="auto"/>
        <w:jc w:val="both"/>
        <w:rPr>
          <w:rFonts w:ascii="Times New Roman" w:hAnsi="Times New Roman" w:cs="Times New Roman"/>
          <w:lang w:val="sr-Latn-ME" w:bidi="en-US"/>
        </w:rPr>
      </w:pPr>
    </w:p>
    <w:p w14:paraId="4557212E" w14:textId="70E90B94"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lastRenderedPageBreak/>
        <w:t>Tabela 2</w:t>
      </w:r>
      <w:r w:rsidR="00157872"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Trajanje prim</w:t>
      </w:r>
      <w:r w:rsidR="00CB5BED" w:rsidRPr="00314858">
        <w:rPr>
          <w:rFonts w:ascii="Times New Roman" w:hAnsi="Times New Roman" w:cs="Times New Roman"/>
          <w:b/>
          <w:bCs/>
          <w:lang w:val="sr-Latn-ME" w:bidi="en-US"/>
        </w:rPr>
        <w:t>j</w:t>
      </w:r>
      <w:r w:rsidRPr="00314858">
        <w:rPr>
          <w:rFonts w:ascii="Times New Roman" w:hAnsi="Times New Roman" w:cs="Times New Roman"/>
          <w:b/>
          <w:bCs/>
          <w:lang w:val="sr-Latn-ME" w:bidi="en-US"/>
        </w:rPr>
        <w:t xml:space="preserve">ene </w:t>
      </w:r>
      <w:r w:rsidR="00157872" w:rsidRPr="00314858">
        <w:rPr>
          <w:rFonts w:ascii="Times New Roman" w:hAnsi="Times New Roman" w:cs="Times New Roman"/>
          <w:b/>
          <w:bCs/>
          <w:lang w:val="sr-Latn-ME" w:bidi="en-US"/>
        </w:rPr>
        <w:t>u prevenciji MU i SE kod AF</w:t>
      </w:r>
      <w:r w:rsidRPr="00314858">
        <w:rPr>
          <w:rFonts w:ascii="Times New Roman" w:hAnsi="Times New Roman" w:cs="Times New Roman"/>
          <w:b/>
          <w:bCs/>
          <w:lang w:val="sr-Latn-ME" w:bidi="en-US"/>
        </w:rPr>
        <w:t xml:space="preserve"> i </w:t>
      </w:r>
      <w:r w:rsidR="00157872" w:rsidRPr="00314858">
        <w:rPr>
          <w:rFonts w:ascii="Times New Roman" w:hAnsi="Times New Roman" w:cs="Times New Roman"/>
          <w:b/>
          <w:bCs/>
          <w:lang w:val="sr-Latn-ME" w:bidi="en-US"/>
        </w:rPr>
        <w:t xml:space="preserve">kod </w:t>
      </w:r>
      <w:r w:rsidRPr="00314858">
        <w:rPr>
          <w:rFonts w:ascii="Times New Roman" w:hAnsi="Times New Roman" w:cs="Times New Roman"/>
          <w:b/>
          <w:bCs/>
          <w:lang w:val="sr-Latn-ME" w:bidi="en-US"/>
        </w:rPr>
        <w:t>DVT/PE</w:t>
      </w:r>
    </w:p>
    <w:p w14:paraId="5C5FF912" w14:textId="77777777" w:rsidR="00157872" w:rsidRPr="00314858" w:rsidRDefault="00157872"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355"/>
        <w:gridCol w:w="7705"/>
      </w:tblGrid>
      <w:tr w:rsidR="00D67D34" w:rsidRPr="00314858" w14:paraId="11FA7FFB" w14:textId="77777777" w:rsidTr="00E71A62">
        <w:trPr>
          <w:trHeight w:val="20"/>
          <w:jc w:val="center"/>
        </w:trPr>
        <w:tc>
          <w:tcPr>
            <w:tcW w:w="748" w:type="pct"/>
            <w:tcBorders>
              <w:top w:val="single" w:sz="4" w:space="0" w:color="auto"/>
              <w:left w:val="single" w:sz="4" w:space="0" w:color="auto"/>
              <w:bottom w:val="single" w:sz="4" w:space="0" w:color="auto"/>
            </w:tcBorders>
            <w:shd w:val="clear" w:color="auto" w:fill="auto"/>
          </w:tcPr>
          <w:p w14:paraId="3AA0C79D" w14:textId="77777777" w:rsidR="00D67D34" w:rsidRPr="00314858" w:rsidRDefault="00D67D34" w:rsidP="00BA378B">
            <w:pPr>
              <w:spacing w:after="0" w:line="240" w:lineRule="auto"/>
              <w:jc w:val="center"/>
              <w:rPr>
                <w:rFonts w:ascii="Times New Roman" w:hAnsi="Times New Roman" w:cs="Times New Roman"/>
                <w:lang w:val="sr-Latn-ME" w:bidi="en-US"/>
              </w:rPr>
            </w:pPr>
            <w:r w:rsidRPr="00314858">
              <w:rPr>
                <w:rFonts w:ascii="Times New Roman" w:hAnsi="Times New Roman" w:cs="Times New Roman"/>
                <w:b/>
                <w:bCs/>
                <w:lang w:val="sr-Latn-ME" w:bidi="en-US"/>
              </w:rPr>
              <w:t>Indikacija</w:t>
            </w:r>
          </w:p>
        </w:tc>
        <w:tc>
          <w:tcPr>
            <w:tcW w:w="4252" w:type="pct"/>
            <w:tcBorders>
              <w:top w:val="single" w:sz="4" w:space="0" w:color="auto"/>
              <w:left w:val="single" w:sz="4" w:space="0" w:color="auto"/>
              <w:bottom w:val="single" w:sz="4" w:space="0" w:color="auto"/>
              <w:right w:val="single" w:sz="4" w:space="0" w:color="auto"/>
            </w:tcBorders>
            <w:shd w:val="clear" w:color="auto" w:fill="auto"/>
          </w:tcPr>
          <w:p w14:paraId="4516AD13" w14:textId="0A883F6F" w:rsidR="00D67D34" w:rsidRPr="00314858" w:rsidRDefault="00D67D34" w:rsidP="00BA378B">
            <w:pPr>
              <w:spacing w:after="0" w:line="240" w:lineRule="auto"/>
              <w:jc w:val="center"/>
              <w:rPr>
                <w:rFonts w:ascii="Times New Roman" w:hAnsi="Times New Roman" w:cs="Times New Roman"/>
                <w:lang w:val="sr-Latn-ME" w:bidi="en-US"/>
              </w:rPr>
            </w:pPr>
            <w:r w:rsidRPr="00314858">
              <w:rPr>
                <w:rFonts w:ascii="Times New Roman" w:hAnsi="Times New Roman" w:cs="Times New Roman"/>
                <w:b/>
                <w:bCs/>
                <w:lang w:val="sr-Latn-ME" w:bidi="en-US"/>
              </w:rPr>
              <w:t>Trajanje prim</w:t>
            </w:r>
            <w:r w:rsidR="000D09B7" w:rsidRPr="00314858">
              <w:rPr>
                <w:rFonts w:ascii="Times New Roman" w:hAnsi="Times New Roman" w:cs="Times New Roman"/>
                <w:b/>
                <w:bCs/>
                <w:lang w:val="sr-Latn-ME" w:bidi="en-US"/>
              </w:rPr>
              <w:t>j</w:t>
            </w:r>
            <w:r w:rsidRPr="00314858">
              <w:rPr>
                <w:rFonts w:ascii="Times New Roman" w:hAnsi="Times New Roman" w:cs="Times New Roman"/>
                <w:b/>
                <w:bCs/>
                <w:lang w:val="sr-Latn-ME" w:bidi="en-US"/>
              </w:rPr>
              <w:t>ene</w:t>
            </w:r>
          </w:p>
        </w:tc>
      </w:tr>
      <w:tr w:rsidR="00D67D34" w:rsidRPr="00314858" w14:paraId="7D0B3679" w14:textId="77777777" w:rsidTr="00E71A62">
        <w:trPr>
          <w:trHeight w:val="20"/>
          <w:jc w:val="center"/>
        </w:trPr>
        <w:tc>
          <w:tcPr>
            <w:tcW w:w="748" w:type="pct"/>
            <w:tcBorders>
              <w:top w:val="single" w:sz="4" w:space="0" w:color="auto"/>
              <w:left w:val="single" w:sz="4" w:space="0" w:color="auto"/>
              <w:bottom w:val="single" w:sz="4" w:space="0" w:color="auto"/>
              <w:right w:val="single" w:sz="4" w:space="0" w:color="auto"/>
            </w:tcBorders>
            <w:shd w:val="clear" w:color="auto" w:fill="auto"/>
          </w:tcPr>
          <w:p w14:paraId="520C7E00" w14:textId="74521D7B" w:rsidR="00D67D34" w:rsidRPr="00314858" w:rsidRDefault="0015787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Prevencija MU i SE kod AF</w:t>
            </w:r>
          </w:p>
        </w:tc>
        <w:tc>
          <w:tcPr>
            <w:tcW w:w="4252" w:type="pct"/>
            <w:tcBorders>
              <w:top w:val="single" w:sz="4" w:space="0" w:color="auto"/>
              <w:left w:val="single" w:sz="4" w:space="0" w:color="auto"/>
              <w:bottom w:val="single" w:sz="4" w:space="0" w:color="auto"/>
              <w:right w:val="single" w:sz="4" w:space="0" w:color="auto"/>
            </w:tcBorders>
            <w:shd w:val="clear" w:color="auto" w:fill="auto"/>
          </w:tcPr>
          <w:p w14:paraId="444A9A38" w14:textId="77777777" w:rsidR="00D67D34" w:rsidRPr="00314858" w:rsidRDefault="00D67D34" w:rsidP="00BA378B">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Terapija treba da bude dugotrajna.</w:t>
            </w:r>
          </w:p>
        </w:tc>
      </w:tr>
      <w:tr w:rsidR="00D67D34" w:rsidRPr="00314858" w14:paraId="4F32A910" w14:textId="77777777" w:rsidTr="00E71A62">
        <w:trPr>
          <w:trHeight w:val="20"/>
          <w:jc w:val="center"/>
        </w:trPr>
        <w:tc>
          <w:tcPr>
            <w:tcW w:w="748" w:type="pct"/>
            <w:tcBorders>
              <w:top w:val="single" w:sz="4" w:space="0" w:color="auto"/>
              <w:left w:val="single" w:sz="4" w:space="0" w:color="auto"/>
              <w:bottom w:val="single" w:sz="4" w:space="0" w:color="auto"/>
            </w:tcBorders>
            <w:shd w:val="clear" w:color="auto" w:fill="auto"/>
          </w:tcPr>
          <w:p w14:paraId="3235C1E2"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DVT/PE</w:t>
            </w:r>
          </w:p>
        </w:tc>
        <w:tc>
          <w:tcPr>
            <w:tcW w:w="4252" w:type="pct"/>
            <w:tcBorders>
              <w:top w:val="single" w:sz="4" w:space="0" w:color="auto"/>
              <w:left w:val="single" w:sz="4" w:space="0" w:color="auto"/>
              <w:bottom w:val="single" w:sz="4" w:space="0" w:color="auto"/>
              <w:right w:val="single" w:sz="4" w:space="0" w:color="auto"/>
            </w:tcBorders>
            <w:shd w:val="clear" w:color="auto" w:fill="auto"/>
          </w:tcPr>
          <w:p w14:paraId="535BD3BE" w14:textId="772B9DF4" w:rsidR="00D67D34" w:rsidRPr="00314858" w:rsidRDefault="00157872" w:rsidP="00BA378B">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Trajanje terapije mora da se prilagodi individualnim potrebama nakon pažljive proc</w:t>
            </w:r>
            <w:r w:rsidR="000D09B7" w:rsidRPr="00314858">
              <w:rPr>
                <w:rFonts w:ascii="Times New Roman" w:hAnsi="Times New Roman" w:cs="Times New Roman"/>
                <w:lang w:val="sr-Latn-ME" w:bidi="en-US"/>
              </w:rPr>
              <w:t>j</w:t>
            </w:r>
            <w:r w:rsidRPr="00314858">
              <w:rPr>
                <w:rFonts w:ascii="Times New Roman" w:hAnsi="Times New Roman" w:cs="Times New Roman"/>
                <w:lang w:val="sr-Latn-ME" w:bidi="en-US"/>
              </w:rPr>
              <w:t>ene koristi l</w:t>
            </w:r>
            <w:r w:rsidR="000D09B7" w:rsidRPr="00314858">
              <w:rPr>
                <w:rFonts w:ascii="Times New Roman" w:hAnsi="Times New Roman" w:cs="Times New Roman"/>
                <w:lang w:val="sr-Latn-ME" w:bidi="en-US"/>
              </w:rPr>
              <w:t>ij</w:t>
            </w:r>
            <w:r w:rsidRPr="00314858">
              <w:rPr>
                <w:rFonts w:ascii="Times New Roman" w:hAnsi="Times New Roman" w:cs="Times New Roman"/>
                <w:lang w:val="sr-Latn-ME" w:bidi="en-US"/>
              </w:rPr>
              <w:t>ečenja u odnosu na rizik od krvarenja (vid</w:t>
            </w:r>
            <w:r w:rsidR="000D09B7"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eti </w:t>
            </w:r>
            <w:r w:rsidR="000D09B7" w:rsidRPr="00314858">
              <w:rPr>
                <w:rFonts w:ascii="Times New Roman" w:hAnsi="Times New Roman" w:cs="Times New Roman"/>
                <w:lang w:val="sr-Latn-ME" w:bidi="en-US"/>
              </w:rPr>
              <w:t>dio</w:t>
            </w:r>
            <w:r w:rsidRPr="00314858">
              <w:rPr>
                <w:rFonts w:ascii="Times New Roman" w:hAnsi="Times New Roman" w:cs="Times New Roman"/>
                <w:lang w:val="sr-Latn-ME" w:bidi="en-US"/>
              </w:rPr>
              <w:t xml:space="preserve"> 4.4).</w:t>
            </w:r>
          </w:p>
          <w:p w14:paraId="04D6F54C" w14:textId="77777777" w:rsidR="00D67D34" w:rsidRPr="00314858" w:rsidRDefault="00D67D34" w:rsidP="006250A0">
            <w:pPr>
              <w:spacing w:after="0" w:line="240" w:lineRule="auto"/>
              <w:rPr>
                <w:rFonts w:ascii="Times New Roman" w:hAnsi="Times New Roman" w:cs="Times New Roman"/>
                <w:lang w:val="sr-Latn-ME" w:bidi="en-US"/>
              </w:rPr>
            </w:pPr>
          </w:p>
          <w:p w14:paraId="458D0CD9" w14:textId="17FC80A3" w:rsidR="00D67D34" w:rsidRPr="00314858" w:rsidRDefault="00D67D34" w:rsidP="00BA378B">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Kratkotrajna terapija (najmanje 3 m</w:t>
            </w:r>
            <w:r w:rsidR="00CB5BED"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eseca) treba da se zasniva na prolaznim faktorima rizika (npr. </w:t>
            </w:r>
            <w:r w:rsidR="00157872" w:rsidRPr="00314858">
              <w:rPr>
                <w:rFonts w:ascii="Times New Roman" w:hAnsi="Times New Roman" w:cs="Times New Roman"/>
                <w:lang w:val="sr-Latn-ME" w:bidi="en-US"/>
              </w:rPr>
              <w:t>nedavni</w:t>
            </w:r>
            <w:r w:rsidRPr="00314858">
              <w:rPr>
                <w:rFonts w:ascii="Times New Roman" w:hAnsi="Times New Roman" w:cs="Times New Roman"/>
                <w:lang w:val="sr-Latn-ME" w:bidi="en-US"/>
              </w:rPr>
              <w:t xml:space="preserve"> hirurški zahvat, trauma, imobilizacija), a duže trajanje treba da se zasniva na trajnim faktorima rizika ili na idiopatskoj DVT ili PE.</w:t>
            </w:r>
          </w:p>
        </w:tc>
      </w:tr>
    </w:tbl>
    <w:p w14:paraId="658CA88C" w14:textId="77777777" w:rsidR="00D67D34" w:rsidRPr="00314858" w:rsidRDefault="00D67D34" w:rsidP="00D67D34">
      <w:pPr>
        <w:spacing w:after="0" w:line="240" w:lineRule="auto"/>
        <w:jc w:val="both"/>
        <w:rPr>
          <w:rFonts w:ascii="Times New Roman" w:hAnsi="Times New Roman" w:cs="Times New Roman"/>
          <w:lang w:val="sr-Latn-ME" w:bidi="en-US"/>
        </w:rPr>
      </w:pPr>
    </w:p>
    <w:p w14:paraId="602AE59D" w14:textId="77777777" w:rsidR="00D67D34" w:rsidRPr="00314858" w:rsidRDefault="00D67D34" w:rsidP="00D67D34">
      <w:pPr>
        <w:spacing w:after="0" w:line="240" w:lineRule="auto"/>
        <w:jc w:val="both"/>
        <w:rPr>
          <w:rFonts w:ascii="Times New Roman" w:hAnsi="Times New Roman" w:cs="Times New Roman"/>
          <w:b/>
          <w:bCs/>
          <w:lang w:val="sr-Latn-ME" w:bidi="en-US"/>
        </w:rPr>
      </w:pPr>
      <w:r w:rsidRPr="00314858">
        <w:rPr>
          <w:rFonts w:ascii="Times New Roman" w:hAnsi="Times New Roman" w:cs="Times New Roman"/>
          <w:i/>
          <w:iCs/>
          <w:u w:val="single"/>
          <w:lang w:val="sr-Latn-ME" w:bidi="en-US"/>
        </w:rPr>
        <w:t>Propuštena doza</w:t>
      </w:r>
    </w:p>
    <w:p w14:paraId="68B7A14F" w14:textId="77777777" w:rsidR="00D67D34" w:rsidRPr="00314858" w:rsidRDefault="00D67D34" w:rsidP="00D67D34">
      <w:pPr>
        <w:spacing w:after="0" w:line="240" w:lineRule="auto"/>
        <w:jc w:val="both"/>
        <w:rPr>
          <w:rFonts w:ascii="Times New Roman" w:hAnsi="Times New Roman" w:cs="Times New Roman"/>
          <w:lang w:val="sr-Latn-ME" w:bidi="en-US"/>
        </w:rPr>
      </w:pPr>
    </w:p>
    <w:p w14:paraId="67B43567" w14:textId="3A0FBA7F"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Propuštena doza dabigatraneteksilata se i dalje može uzeti do 6 sati pr</w:t>
      </w:r>
      <w:r w:rsidR="000D09B7" w:rsidRPr="00314858">
        <w:rPr>
          <w:rFonts w:ascii="Times New Roman" w:hAnsi="Times New Roman" w:cs="Times New Roman"/>
          <w:lang w:val="sr-Latn-ME" w:bidi="en-US"/>
        </w:rPr>
        <w:t>ij</w:t>
      </w:r>
      <w:r w:rsidRPr="00314858">
        <w:rPr>
          <w:rFonts w:ascii="Times New Roman" w:hAnsi="Times New Roman" w:cs="Times New Roman"/>
          <w:lang w:val="sr-Latn-ME" w:bidi="en-US"/>
        </w:rPr>
        <w:t xml:space="preserve">e vremena za narednu </w:t>
      </w:r>
      <w:r w:rsidR="00252F2B" w:rsidRPr="00314858">
        <w:rPr>
          <w:rFonts w:ascii="Times New Roman" w:hAnsi="Times New Roman" w:cs="Times New Roman"/>
          <w:lang w:val="sr-Latn-ME" w:bidi="en-US"/>
        </w:rPr>
        <w:t xml:space="preserve">redovnu </w:t>
      </w:r>
      <w:r w:rsidRPr="00314858">
        <w:rPr>
          <w:rFonts w:ascii="Times New Roman" w:hAnsi="Times New Roman" w:cs="Times New Roman"/>
          <w:lang w:val="sr-Latn-ME" w:bidi="en-US"/>
        </w:rPr>
        <w:t xml:space="preserve">dozu. </w:t>
      </w:r>
      <w:r w:rsidR="00252F2B" w:rsidRPr="00314858">
        <w:rPr>
          <w:rFonts w:ascii="Times New Roman" w:hAnsi="Times New Roman" w:cs="Times New Roman"/>
          <w:lang w:val="sr-Latn-ME" w:bidi="en-US"/>
        </w:rPr>
        <w:t xml:space="preserve">Ako je do naredne doze ostalo manje od 6 sati, propuštenu dozu treba </w:t>
      </w:r>
      <w:r w:rsidR="00210641" w:rsidRPr="00314858">
        <w:rPr>
          <w:rFonts w:ascii="Times New Roman" w:hAnsi="Times New Roman" w:cs="Times New Roman"/>
          <w:lang w:val="sr-Latn-ME" w:bidi="en-US"/>
        </w:rPr>
        <w:t>preskočiti</w:t>
      </w:r>
      <w:r w:rsidR="00252F2B" w:rsidRPr="00314858">
        <w:rPr>
          <w:rFonts w:ascii="Times New Roman" w:hAnsi="Times New Roman" w:cs="Times New Roman"/>
          <w:lang w:val="sr-Latn-ME" w:bidi="en-US"/>
        </w:rPr>
        <w:t>.</w:t>
      </w:r>
    </w:p>
    <w:p w14:paraId="0771AB3B" w14:textId="77777777" w:rsidR="00D67D34" w:rsidRPr="00314858" w:rsidRDefault="00D67D34" w:rsidP="00D67D34">
      <w:pPr>
        <w:spacing w:after="0" w:line="240" w:lineRule="auto"/>
        <w:jc w:val="both"/>
        <w:rPr>
          <w:rFonts w:ascii="Times New Roman" w:hAnsi="Times New Roman" w:cs="Times New Roman"/>
          <w:lang w:val="sr-Latn-ME" w:bidi="en-US"/>
        </w:rPr>
      </w:pPr>
    </w:p>
    <w:p w14:paraId="2EC29EBF"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Ne treba uzimati dvostruku dozu da bi se nadoknadila propuštena pojedinačna doza</w:t>
      </w:r>
    </w:p>
    <w:p w14:paraId="7B50D495" w14:textId="77777777" w:rsidR="00D67D34" w:rsidRPr="00314858" w:rsidRDefault="00D67D34" w:rsidP="00D67D34">
      <w:pPr>
        <w:spacing w:after="0" w:line="240" w:lineRule="auto"/>
        <w:jc w:val="both"/>
        <w:rPr>
          <w:rFonts w:ascii="Times New Roman" w:hAnsi="Times New Roman" w:cs="Times New Roman"/>
          <w:lang w:val="sr-Latn-ME" w:bidi="en-US"/>
        </w:rPr>
      </w:pPr>
    </w:p>
    <w:p w14:paraId="66F8581B" w14:textId="668C0D03"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u w:val="single"/>
          <w:lang w:val="sr-Latn-ME" w:bidi="en-US"/>
        </w:rPr>
        <w:t>Prekid prim</w:t>
      </w:r>
      <w:r w:rsidR="000D09B7" w:rsidRPr="00314858">
        <w:rPr>
          <w:rFonts w:ascii="Times New Roman" w:hAnsi="Times New Roman" w:cs="Times New Roman"/>
          <w:i/>
          <w:iCs/>
          <w:u w:val="single"/>
          <w:lang w:val="sr-Latn-ME" w:bidi="en-US"/>
        </w:rPr>
        <w:t>j</w:t>
      </w:r>
      <w:r w:rsidRPr="00314858">
        <w:rPr>
          <w:rFonts w:ascii="Times New Roman" w:hAnsi="Times New Roman" w:cs="Times New Roman"/>
          <w:i/>
          <w:iCs/>
          <w:u w:val="single"/>
          <w:lang w:val="sr-Latn-ME" w:bidi="en-US"/>
        </w:rPr>
        <w:t>ene dabigatraneteksilata</w:t>
      </w:r>
    </w:p>
    <w:p w14:paraId="6058E6F0" w14:textId="77777777" w:rsidR="00D67D34" w:rsidRPr="00314858" w:rsidRDefault="00D67D34" w:rsidP="00D67D34">
      <w:pPr>
        <w:spacing w:after="0" w:line="240" w:lineRule="auto"/>
        <w:jc w:val="both"/>
        <w:rPr>
          <w:rFonts w:ascii="Times New Roman" w:hAnsi="Times New Roman" w:cs="Times New Roman"/>
          <w:lang w:val="sr-Latn-ME" w:bidi="en-US"/>
        </w:rPr>
      </w:pPr>
    </w:p>
    <w:p w14:paraId="4DA06AF1" w14:textId="17B26ACC"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Terapiju dabigatraneteksilatom ne treba prekidati bez l</w:t>
      </w:r>
      <w:r w:rsidR="000D09B7" w:rsidRPr="00314858">
        <w:rPr>
          <w:rFonts w:ascii="Times New Roman" w:hAnsi="Times New Roman" w:cs="Times New Roman"/>
          <w:lang w:val="sr-Latn-ME"/>
        </w:rPr>
        <w:t>j</w:t>
      </w:r>
      <w:r w:rsidRPr="00314858">
        <w:rPr>
          <w:rFonts w:ascii="Times New Roman" w:hAnsi="Times New Roman" w:cs="Times New Roman"/>
          <w:lang w:val="sr-Latn-ME"/>
        </w:rPr>
        <w:t>ekarskog sav</w:t>
      </w:r>
      <w:r w:rsidR="000D09B7" w:rsidRPr="00314858">
        <w:rPr>
          <w:rFonts w:ascii="Times New Roman" w:hAnsi="Times New Roman" w:cs="Times New Roman"/>
          <w:lang w:val="sr-Latn-ME"/>
        </w:rPr>
        <w:t>j</w:t>
      </w:r>
      <w:r w:rsidRPr="00314858">
        <w:rPr>
          <w:rFonts w:ascii="Times New Roman" w:hAnsi="Times New Roman" w:cs="Times New Roman"/>
          <w:lang w:val="sr-Latn-ME"/>
        </w:rPr>
        <w:t>eta. Pacijente je potrebno uputiti da se obrate ordinirajućem l</w:t>
      </w:r>
      <w:r w:rsidR="000D09B7" w:rsidRPr="00314858">
        <w:rPr>
          <w:rFonts w:ascii="Times New Roman" w:hAnsi="Times New Roman" w:cs="Times New Roman"/>
          <w:lang w:val="sr-Latn-ME"/>
        </w:rPr>
        <w:t>j</w:t>
      </w:r>
      <w:r w:rsidRPr="00314858">
        <w:rPr>
          <w:rFonts w:ascii="Times New Roman" w:hAnsi="Times New Roman" w:cs="Times New Roman"/>
          <w:lang w:val="sr-Latn-ME"/>
        </w:rPr>
        <w:t>ekaru ako razviju gastrointestinalne simptome, kao što je dispepsija (vid</w:t>
      </w:r>
      <w:r w:rsidR="000D09B7"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0D09B7" w:rsidRPr="00314858">
        <w:rPr>
          <w:rFonts w:ascii="Times New Roman" w:hAnsi="Times New Roman" w:cs="Times New Roman"/>
          <w:lang w:val="sr-Latn-ME"/>
        </w:rPr>
        <w:t>dio</w:t>
      </w:r>
      <w:r w:rsidRPr="00314858">
        <w:rPr>
          <w:rFonts w:ascii="Times New Roman" w:hAnsi="Times New Roman" w:cs="Times New Roman"/>
          <w:lang w:val="sr-Latn-ME"/>
        </w:rPr>
        <w:t xml:space="preserve"> 4.8).</w:t>
      </w:r>
    </w:p>
    <w:p w14:paraId="66D5463F" w14:textId="77777777" w:rsidR="00E309EC" w:rsidRPr="00314858" w:rsidRDefault="00E309EC" w:rsidP="00D67D34">
      <w:pPr>
        <w:spacing w:after="0" w:line="240" w:lineRule="auto"/>
        <w:jc w:val="both"/>
        <w:rPr>
          <w:rFonts w:ascii="Times New Roman" w:hAnsi="Times New Roman" w:cs="Times New Roman"/>
          <w:lang w:val="sr-Latn-ME"/>
        </w:rPr>
      </w:pPr>
    </w:p>
    <w:p w14:paraId="1E336CA8" w14:textId="32B7C0B1"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u w:val="single"/>
          <w:lang w:val="sr-Latn-ME" w:bidi="en-US"/>
        </w:rPr>
        <w:t>Prom</w:t>
      </w:r>
      <w:r w:rsidR="000D09B7" w:rsidRPr="00314858">
        <w:rPr>
          <w:rFonts w:ascii="Times New Roman" w:hAnsi="Times New Roman" w:cs="Times New Roman"/>
          <w:i/>
          <w:iCs/>
          <w:u w:val="single"/>
          <w:lang w:val="sr-Latn-ME" w:bidi="en-US"/>
        </w:rPr>
        <w:t>j</w:t>
      </w:r>
      <w:r w:rsidRPr="00314858">
        <w:rPr>
          <w:rFonts w:ascii="Times New Roman" w:hAnsi="Times New Roman" w:cs="Times New Roman"/>
          <w:i/>
          <w:iCs/>
          <w:u w:val="single"/>
          <w:lang w:val="sr-Latn-ME" w:bidi="en-US"/>
        </w:rPr>
        <w:t>ena terapije</w:t>
      </w:r>
    </w:p>
    <w:p w14:paraId="35DC18FC" w14:textId="77777777" w:rsidR="00D67D34" w:rsidRPr="00314858" w:rsidRDefault="00D67D34" w:rsidP="00D67D34">
      <w:pPr>
        <w:spacing w:after="0" w:line="240" w:lineRule="auto"/>
        <w:jc w:val="both"/>
        <w:rPr>
          <w:rFonts w:ascii="Times New Roman" w:hAnsi="Times New Roman" w:cs="Times New Roman"/>
          <w:lang w:val="sr-Latn-ME" w:bidi="en-US"/>
        </w:rPr>
      </w:pPr>
    </w:p>
    <w:p w14:paraId="57B75EFA" w14:textId="74D8EF89"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Prelaz</w:t>
      </w:r>
      <w:r w:rsidR="00E54ED6" w:rsidRPr="00314858">
        <w:rPr>
          <w:rFonts w:ascii="Times New Roman" w:hAnsi="Times New Roman" w:cs="Times New Roman"/>
          <w:lang w:val="sr-Latn-ME" w:bidi="en-US"/>
        </w:rPr>
        <w:t>ak</w:t>
      </w:r>
      <w:r w:rsidRPr="00314858">
        <w:rPr>
          <w:rFonts w:ascii="Times New Roman" w:hAnsi="Times New Roman" w:cs="Times New Roman"/>
          <w:lang w:val="sr-Latn-ME" w:bidi="en-US"/>
        </w:rPr>
        <w:t xml:space="preserve"> sa terapije dabigatraneteksilatom na parenteralni antikoagulans:</w:t>
      </w:r>
    </w:p>
    <w:p w14:paraId="30C37816" w14:textId="09575A3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Preporučuje se da se sačeka </w:t>
      </w:r>
      <w:r w:rsidR="001762B9" w:rsidRPr="00314858">
        <w:rPr>
          <w:rFonts w:ascii="Times New Roman" w:hAnsi="Times New Roman" w:cs="Times New Roman"/>
          <w:lang w:val="sr-Latn-ME"/>
        </w:rPr>
        <w:t>12</w:t>
      </w:r>
      <w:r w:rsidRPr="00314858">
        <w:rPr>
          <w:rFonts w:ascii="Times New Roman" w:hAnsi="Times New Roman" w:cs="Times New Roman"/>
          <w:lang w:val="sr-Latn-ME"/>
        </w:rPr>
        <w:t xml:space="preserve"> sat</w:t>
      </w:r>
      <w:r w:rsidR="001762B9" w:rsidRPr="00314858">
        <w:rPr>
          <w:rFonts w:ascii="Times New Roman" w:hAnsi="Times New Roman" w:cs="Times New Roman"/>
          <w:lang w:val="sr-Latn-ME"/>
        </w:rPr>
        <w:t>i</w:t>
      </w:r>
      <w:r w:rsidRPr="00314858">
        <w:rPr>
          <w:rFonts w:ascii="Times New Roman" w:hAnsi="Times New Roman" w:cs="Times New Roman"/>
          <w:lang w:val="sr-Latn-ME"/>
        </w:rPr>
        <w:t xml:space="preserve"> nakon posl</w:t>
      </w:r>
      <w:r w:rsidR="000D09B7" w:rsidRPr="00314858">
        <w:rPr>
          <w:rFonts w:ascii="Times New Roman" w:hAnsi="Times New Roman" w:cs="Times New Roman"/>
          <w:lang w:val="sr-Latn-ME"/>
        </w:rPr>
        <w:t>j</w:t>
      </w:r>
      <w:r w:rsidRPr="00314858">
        <w:rPr>
          <w:rFonts w:ascii="Times New Roman" w:hAnsi="Times New Roman" w:cs="Times New Roman"/>
          <w:lang w:val="sr-Latn-ME"/>
        </w:rPr>
        <w:t>ednje doze, pr</w:t>
      </w:r>
      <w:r w:rsidR="000D09B7" w:rsidRPr="00314858">
        <w:rPr>
          <w:rFonts w:ascii="Times New Roman" w:hAnsi="Times New Roman" w:cs="Times New Roman"/>
          <w:lang w:val="sr-Latn-ME"/>
        </w:rPr>
        <w:t>ij</w:t>
      </w:r>
      <w:r w:rsidRPr="00314858">
        <w:rPr>
          <w:rFonts w:ascii="Times New Roman" w:hAnsi="Times New Roman" w:cs="Times New Roman"/>
          <w:lang w:val="sr-Latn-ME"/>
        </w:rPr>
        <w:t xml:space="preserve">e </w:t>
      </w:r>
      <w:r w:rsidR="006250A0" w:rsidRPr="00314858">
        <w:rPr>
          <w:rFonts w:ascii="Times New Roman" w:hAnsi="Times New Roman" w:cs="Times New Roman"/>
          <w:lang w:val="sr-Latn-ME"/>
        </w:rPr>
        <w:t>nego što se pređe</w:t>
      </w:r>
      <w:r w:rsidRPr="00314858">
        <w:rPr>
          <w:rFonts w:ascii="Times New Roman" w:hAnsi="Times New Roman" w:cs="Times New Roman"/>
          <w:lang w:val="sr-Latn-ME"/>
        </w:rPr>
        <w:t xml:space="preserve"> sa dabigatraneteksilata na parenteralni antikoagulans (vid</w:t>
      </w:r>
      <w:r w:rsidR="000D09B7"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0D09B7" w:rsidRPr="00314858">
        <w:rPr>
          <w:rFonts w:ascii="Times New Roman" w:hAnsi="Times New Roman" w:cs="Times New Roman"/>
          <w:lang w:val="sr-Latn-ME"/>
        </w:rPr>
        <w:t>dio</w:t>
      </w:r>
      <w:r w:rsidRPr="00314858">
        <w:rPr>
          <w:rFonts w:ascii="Times New Roman" w:hAnsi="Times New Roman" w:cs="Times New Roman"/>
          <w:lang w:val="sr-Latn-ME"/>
        </w:rPr>
        <w:t xml:space="preserve"> 4.5).</w:t>
      </w:r>
    </w:p>
    <w:p w14:paraId="1ED81C37" w14:textId="77777777" w:rsidR="006250A0" w:rsidRPr="00314858" w:rsidRDefault="006250A0" w:rsidP="00D67D34">
      <w:pPr>
        <w:spacing w:after="0" w:line="240" w:lineRule="auto"/>
        <w:jc w:val="both"/>
        <w:rPr>
          <w:rFonts w:ascii="Times New Roman" w:hAnsi="Times New Roman" w:cs="Times New Roman"/>
          <w:lang w:val="sr-Latn-ME"/>
        </w:rPr>
      </w:pPr>
    </w:p>
    <w:p w14:paraId="55E2A09C" w14:textId="25DAEF1B"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Prelaz</w:t>
      </w:r>
      <w:r w:rsidR="00E54ED6" w:rsidRPr="00314858">
        <w:rPr>
          <w:rFonts w:ascii="Times New Roman" w:hAnsi="Times New Roman" w:cs="Times New Roman"/>
          <w:lang w:val="sr-Latn-ME" w:bidi="en-US"/>
        </w:rPr>
        <w:t>ak</w:t>
      </w:r>
      <w:r w:rsidRPr="00314858">
        <w:rPr>
          <w:rFonts w:ascii="Times New Roman" w:hAnsi="Times New Roman" w:cs="Times New Roman"/>
          <w:lang w:val="sr-Latn-ME" w:bidi="en-US"/>
        </w:rPr>
        <w:t xml:space="preserve"> sa parenteralnih antikoagulanasa na dabigatraneteksilat:</w:t>
      </w:r>
    </w:p>
    <w:p w14:paraId="7238587C" w14:textId="0872613F" w:rsidR="00D67D34" w:rsidRPr="00314858" w:rsidRDefault="00D67D34" w:rsidP="0071722B">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Potrebno je prekinuti prim</w:t>
      </w:r>
      <w:r w:rsidR="000D09B7" w:rsidRPr="00314858">
        <w:rPr>
          <w:rFonts w:ascii="Times New Roman" w:hAnsi="Times New Roman" w:cs="Times New Roman"/>
          <w:lang w:val="sr-Latn-ME"/>
        </w:rPr>
        <w:t>j</w:t>
      </w:r>
      <w:r w:rsidRPr="00314858">
        <w:rPr>
          <w:rFonts w:ascii="Times New Roman" w:hAnsi="Times New Roman" w:cs="Times New Roman"/>
          <w:lang w:val="sr-Latn-ME"/>
        </w:rPr>
        <w:t>enu parenteralnog antikoagulansa i započeti sa dabigatraneteksilatom 0</w:t>
      </w:r>
      <w:r w:rsidR="00210641" w:rsidRPr="00314858">
        <w:rPr>
          <w:rFonts w:ascii="Times New Roman" w:hAnsi="Times New Roman" w:cs="Times New Roman"/>
          <w:lang w:val="sr-Latn-ME"/>
        </w:rPr>
        <w:t xml:space="preserve"> </w:t>
      </w:r>
      <w:r w:rsidRPr="00314858">
        <w:rPr>
          <w:rFonts w:ascii="Times New Roman" w:hAnsi="Times New Roman" w:cs="Times New Roman"/>
          <w:lang w:val="sr-Latn-ME"/>
        </w:rPr>
        <w:t>-</w:t>
      </w:r>
      <w:r w:rsidR="00210641" w:rsidRPr="00314858">
        <w:rPr>
          <w:rFonts w:ascii="Times New Roman" w:hAnsi="Times New Roman" w:cs="Times New Roman"/>
          <w:lang w:val="sr-Latn-ME"/>
        </w:rPr>
        <w:t xml:space="preserve"> </w:t>
      </w:r>
      <w:r w:rsidRPr="00314858">
        <w:rPr>
          <w:rFonts w:ascii="Times New Roman" w:hAnsi="Times New Roman" w:cs="Times New Roman"/>
          <w:lang w:val="sr-Latn-ME"/>
        </w:rPr>
        <w:t>2 sata pr</w:t>
      </w:r>
      <w:r w:rsidR="000D09B7" w:rsidRPr="00314858">
        <w:rPr>
          <w:rFonts w:ascii="Times New Roman" w:hAnsi="Times New Roman" w:cs="Times New Roman"/>
          <w:lang w:val="sr-Latn-ME"/>
        </w:rPr>
        <w:t>ij</w:t>
      </w:r>
      <w:r w:rsidRPr="00314858">
        <w:rPr>
          <w:rFonts w:ascii="Times New Roman" w:hAnsi="Times New Roman" w:cs="Times New Roman"/>
          <w:lang w:val="sr-Latn-ME"/>
        </w:rPr>
        <w:t xml:space="preserve">e vremena </w:t>
      </w:r>
      <w:r w:rsidR="00210641" w:rsidRPr="00314858">
        <w:rPr>
          <w:rFonts w:ascii="Times New Roman" w:hAnsi="Times New Roman" w:cs="Times New Roman"/>
          <w:lang w:val="sr-Latn-ME"/>
        </w:rPr>
        <w:t>predviđenog za</w:t>
      </w:r>
      <w:r w:rsidRPr="00314858">
        <w:rPr>
          <w:rFonts w:ascii="Times New Roman" w:hAnsi="Times New Roman" w:cs="Times New Roman"/>
          <w:lang w:val="sr-Latn-ME"/>
        </w:rPr>
        <w:t xml:space="preserve"> sl</w:t>
      </w:r>
      <w:r w:rsidR="000D09B7" w:rsidRPr="00314858">
        <w:rPr>
          <w:rFonts w:ascii="Times New Roman" w:hAnsi="Times New Roman" w:cs="Times New Roman"/>
          <w:lang w:val="sr-Latn-ME"/>
        </w:rPr>
        <w:t>j</w:t>
      </w:r>
      <w:r w:rsidRPr="00314858">
        <w:rPr>
          <w:rFonts w:ascii="Times New Roman" w:hAnsi="Times New Roman" w:cs="Times New Roman"/>
          <w:lang w:val="sr-Latn-ME"/>
        </w:rPr>
        <w:t xml:space="preserve">edeću dozu </w:t>
      </w:r>
      <w:r w:rsidR="00E309EC" w:rsidRPr="00314858">
        <w:rPr>
          <w:rFonts w:ascii="Times New Roman" w:hAnsi="Times New Roman" w:cs="Times New Roman"/>
          <w:lang w:val="sr-Latn-ME"/>
        </w:rPr>
        <w:t xml:space="preserve">dosadašnje </w:t>
      </w:r>
      <w:r w:rsidRPr="00314858">
        <w:rPr>
          <w:rFonts w:ascii="Times New Roman" w:hAnsi="Times New Roman" w:cs="Times New Roman"/>
          <w:lang w:val="sr-Latn-ME"/>
        </w:rPr>
        <w:t>terapije ili u trenutku prekida u slučaju kontinuirane terapije (npr. intravenski nefrakcioni</w:t>
      </w:r>
      <w:r w:rsidR="00E309EC" w:rsidRPr="00314858">
        <w:rPr>
          <w:rFonts w:ascii="Times New Roman" w:hAnsi="Times New Roman" w:cs="Times New Roman"/>
          <w:lang w:val="sr-Latn-ME"/>
        </w:rPr>
        <w:t>s</w:t>
      </w:r>
      <w:r w:rsidRPr="00314858">
        <w:rPr>
          <w:rFonts w:ascii="Times New Roman" w:hAnsi="Times New Roman" w:cs="Times New Roman"/>
          <w:lang w:val="sr-Latn-ME"/>
        </w:rPr>
        <w:t>ani heparin (</w:t>
      </w:r>
      <w:r w:rsidR="0071722B" w:rsidRPr="00314858">
        <w:rPr>
          <w:rFonts w:ascii="Times New Roman" w:hAnsi="Times New Roman" w:cs="Times New Roman"/>
          <w:lang w:val="sr-Latn-ME"/>
        </w:rPr>
        <w:t xml:space="preserve">engl. </w:t>
      </w:r>
      <w:r w:rsidR="0071722B" w:rsidRPr="00314858">
        <w:rPr>
          <w:rFonts w:ascii="Times New Roman" w:hAnsi="Times New Roman" w:cs="Times New Roman"/>
          <w:i/>
          <w:lang w:val="sr-Latn-ME"/>
        </w:rPr>
        <w:t>Unfractionated Heparin,</w:t>
      </w:r>
      <w:r w:rsidR="0071722B" w:rsidRPr="00314858">
        <w:rPr>
          <w:rFonts w:ascii="Times New Roman" w:hAnsi="Times New Roman" w:cs="Times New Roman"/>
          <w:lang w:val="sr-Latn-ME"/>
        </w:rPr>
        <w:t xml:space="preserve"> </w:t>
      </w:r>
      <w:r w:rsidR="00E309EC" w:rsidRPr="00314858">
        <w:rPr>
          <w:rFonts w:ascii="Times New Roman" w:hAnsi="Times New Roman" w:cs="Times New Roman"/>
          <w:lang w:val="sr-Latn-ME"/>
        </w:rPr>
        <w:t>N</w:t>
      </w:r>
      <w:r w:rsidRPr="00314858">
        <w:rPr>
          <w:rFonts w:ascii="Times New Roman" w:hAnsi="Times New Roman" w:cs="Times New Roman"/>
          <w:lang w:val="sr-Latn-ME"/>
        </w:rPr>
        <w:t>FH) (vid</w:t>
      </w:r>
      <w:r w:rsidR="000D09B7"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0D09B7" w:rsidRPr="00314858">
        <w:rPr>
          <w:rFonts w:ascii="Times New Roman" w:hAnsi="Times New Roman" w:cs="Times New Roman"/>
          <w:lang w:val="sr-Latn-ME"/>
        </w:rPr>
        <w:t xml:space="preserve">dio </w:t>
      </w:r>
      <w:r w:rsidRPr="00314858">
        <w:rPr>
          <w:rFonts w:ascii="Times New Roman" w:hAnsi="Times New Roman" w:cs="Times New Roman"/>
          <w:lang w:val="sr-Latn-ME"/>
        </w:rPr>
        <w:t>4.5).</w:t>
      </w:r>
    </w:p>
    <w:p w14:paraId="027356F0" w14:textId="77777777" w:rsidR="00E309EC" w:rsidRPr="00314858" w:rsidRDefault="00E309EC" w:rsidP="00D67D34">
      <w:pPr>
        <w:spacing w:after="0" w:line="240" w:lineRule="auto"/>
        <w:jc w:val="both"/>
        <w:rPr>
          <w:rFonts w:ascii="Times New Roman" w:hAnsi="Times New Roman" w:cs="Times New Roman"/>
          <w:lang w:val="sr-Latn-ME"/>
        </w:rPr>
      </w:pPr>
    </w:p>
    <w:p w14:paraId="76A788C0" w14:textId="4C0B3534"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Prelaz</w:t>
      </w:r>
      <w:r w:rsidR="00151E79" w:rsidRPr="00314858">
        <w:rPr>
          <w:rFonts w:ascii="Times New Roman" w:hAnsi="Times New Roman" w:cs="Times New Roman"/>
          <w:lang w:val="sr-Latn-ME" w:bidi="en-US"/>
        </w:rPr>
        <w:t>ak</w:t>
      </w:r>
      <w:r w:rsidRPr="00314858">
        <w:rPr>
          <w:rFonts w:ascii="Times New Roman" w:hAnsi="Times New Roman" w:cs="Times New Roman"/>
          <w:lang w:val="sr-Latn-ME" w:bidi="en-US"/>
        </w:rPr>
        <w:t xml:space="preserve"> sa dabigatraneteksilata na antagoniste vitamina K (</w:t>
      </w:r>
      <w:r w:rsidR="00E309EC" w:rsidRPr="00314858">
        <w:rPr>
          <w:rFonts w:ascii="Times New Roman" w:hAnsi="Times New Roman" w:cs="Times New Roman"/>
          <w:lang w:val="sr-Latn-ME" w:bidi="en-US"/>
        </w:rPr>
        <w:t xml:space="preserve">engl. </w:t>
      </w:r>
      <w:r w:rsidR="00E309EC" w:rsidRPr="00314858">
        <w:rPr>
          <w:rFonts w:ascii="Times New Roman" w:hAnsi="Times New Roman" w:cs="Times New Roman"/>
          <w:i/>
          <w:iCs/>
          <w:lang w:val="sr-Latn-ME" w:bidi="en-US"/>
        </w:rPr>
        <w:t>vitamin K antagonists</w:t>
      </w:r>
      <w:r w:rsidR="00E309EC"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VKA):</w:t>
      </w:r>
    </w:p>
    <w:p w14:paraId="143629C2" w14:textId="3CDEF88C"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Početak prim</w:t>
      </w:r>
      <w:r w:rsidR="00CB5BED"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ene VKA treba da se </w:t>
      </w:r>
      <w:r w:rsidR="009D7A34" w:rsidRPr="00314858">
        <w:rPr>
          <w:rFonts w:ascii="Times New Roman" w:hAnsi="Times New Roman" w:cs="Times New Roman"/>
          <w:lang w:val="sr-Latn-ME" w:bidi="en-US"/>
        </w:rPr>
        <w:t>prilagodi</w:t>
      </w:r>
      <w:r w:rsidRPr="00314858">
        <w:rPr>
          <w:rFonts w:ascii="Times New Roman" w:hAnsi="Times New Roman" w:cs="Times New Roman"/>
          <w:lang w:val="sr-Latn-ME" w:bidi="en-US"/>
        </w:rPr>
        <w:t xml:space="preserve"> na osnovu CrCL </w:t>
      </w:r>
      <w:r w:rsidR="009D7A34" w:rsidRPr="00314858">
        <w:rPr>
          <w:rFonts w:ascii="Times New Roman" w:hAnsi="Times New Roman" w:cs="Times New Roman"/>
          <w:lang w:val="sr-Latn-ME" w:bidi="en-US"/>
        </w:rPr>
        <w:t>na sl</w:t>
      </w:r>
      <w:r w:rsidR="00CB5BED" w:rsidRPr="00314858">
        <w:rPr>
          <w:rFonts w:ascii="Times New Roman" w:hAnsi="Times New Roman" w:cs="Times New Roman"/>
          <w:lang w:val="sr-Latn-ME" w:bidi="en-US"/>
        </w:rPr>
        <w:t>j</w:t>
      </w:r>
      <w:r w:rsidR="009D7A34" w:rsidRPr="00314858">
        <w:rPr>
          <w:rFonts w:ascii="Times New Roman" w:hAnsi="Times New Roman" w:cs="Times New Roman"/>
          <w:lang w:val="sr-Latn-ME" w:bidi="en-US"/>
        </w:rPr>
        <w:t>edeći način</w:t>
      </w:r>
      <w:r w:rsidRPr="00314858">
        <w:rPr>
          <w:rFonts w:ascii="Times New Roman" w:hAnsi="Times New Roman" w:cs="Times New Roman"/>
          <w:lang w:val="sr-Latn-ME" w:bidi="en-US"/>
        </w:rPr>
        <w:t>:</w:t>
      </w:r>
    </w:p>
    <w:p w14:paraId="7CECC2A0" w14:textId="27096FD3"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CrCL ≥</w:t>
      </w:r>
      <w:r w:rsidR="0071722B"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50 m</w:t>
      </w:r>
      <w:r w:rsidR="0071722B" w:rsidRPr="00314858">
        <w:rPr>
          <w:rFonts w:ascii="Times New Roman" w:eastAsia="Times New Roman" w:hAnsi="Times New Roman" w:cs="Times New Roman"/>
          <w:color w:val="000000" w:themeColor="text1"/>
          <w:lang w:val="sr-Latn-ME" w:bidi="en-US"/>
        </w:rPr>
        <w:t>l</w:t>
      </w:r>
      <w:r w:rsidRPr="00314858">
        <w:rPr>
          <w:rFonts w:ascii="Times New Roman" w:eastAsia="Times New Roman" w:hAnsi="Times New Roman" w:cs="Times New Roman"/>
          <w:color w:val="000000" w:themeColor="text1"/>
          <w:lang w:val="sr-Latn-ME" w:bidi="en-US"/>
        </w:rPr>
        <w:t xml:space="preserve">/min, </w:t>
      </w:r>
      <w:r w:rsidR="00E309EC" w:rsidRPr="00314858">
        <w:rPr>
          <w:rFonts w:ascii="Times New Roman" w:eastAsia="Times New Roman" w:hAnsi="Times New Roman" w:cs="Times New Roman"/>
          <w:color w:val="000000" w:themeColor="text1"/>
          <w:lang w:val="sr-Latn-ME" w:bidi="en-US"/>
        </w:rPr>
        <w:t>prim</w:t>
      </w:r>
      <w:r w:rsidR="00CB5BED" w:rsidRPr="00314858">
        <w:rPr>
          <w:rFonts w:ascii="Times New Roman" w:eastAsia="Times New Roman" w:hAnsi="Times New Roman" w:cs="Times New Roman"/>
          <w:color w:val="000000" w:themeColor="text1"/>
          <w:lang w:val="sr-Latn-ME" w:bidi="en-US"/>
        </w:rPr>
        <w:t>j</w:t>
      </w:r>
      <w:r w:rsidR="00E309EC" w:rsidRPr="00314858">
        <w:rPr>
          <w:rFonts w:ascii="Times New Roman" w:eastAsia="Times New Roman" w:hAnsi="Times New Roman" w:cs="Times New Roman"/>
          <w:color w:val="000000" w:themeColor="text1"/>
          <w:lang w:val="sr-Latn-ME" w:bidi="en-US"/>
        </w:rPr>
        <w:t xml:space="preserve">enu </w:t>
      </w:r>
      <w:r w:rsidRPr="00314858">
        <w:rPr>
          <w:rFonts w:ascii="Times New Roman" w:eastAsia="Times New Roman" w:hAnsi="Times New Roman" w:cs="Times New Roman"/>
          <w:color w:val="000000" w:themeColor="text1"/>
          <w:lang w:val="sr-Latn-ME" w:bidi="en-US"/>
        </w:rPr>
        <w:t>VKA treba započeti 3 dana pr</w:t>
      </w:r>
      <w:r w:rsidR="00CB5BED"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 prekida prim</w:t>
      </w:r>
      <w:r w:rsidR="00CB5BED"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ene dabigatraneteksilata</w:t>
      </w:r>
      <w:r w:rsidR="009D7A34" w:rsidRPr="00314858">
        <w:rPr>
          <w:rFonts w:ascii="Times New Roman" w:eastAsia="Times New Roman" w:hAnsi="Times New Roman" w:cs="Times New Roman"/>
          <w:color w:val="000000" w:themeColor="text1"/>
          <w:lang w:val="sr-Latn-ME" w:bidi="en-US"/>
        </w:rPr>
        <w:t>,</w:t>
      </w:r>
    </w:p>
    <w:p w14:paraId="21F37B73" w14:textId="3013C580"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CrCL ≥</w:t>
      </w:r>
      <w:r w:rsidR="0071722B"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30-</w:t>
      </w:r>
      <w:r w:rsidR="0071722B"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&lt;50 m</w:t>
      </w:r>
      <w:r w:rsidR="0071722B" w:rsidRPr="00314858">
        <w:rPr>
          <w:rFonts w:ascii="Times New Roman" w:eastAsia="Times New Roman" w:hAnsi="Times New Roman" w:cs="Times New Roman"/>
          <w:color w:val="000000" w:themeColor="text1"/>
          <w:lang w:val="sr-Latn-ME" w:bidi="en-US"/>
        </w:rPr>
        <w:t>l</w:t>
      </w:r>
      <w:r w:rsidRPr="00314858">
        <w:rPr>
          <w:rFonts w:ascii="Times New Roman" w:eastAsia="Times New Roman" w:hAnsi="Times New Roman" w:cs="Times New Roman"/>
          <w:color w:val="000000" w:themeColor="text1"/>
          <w:lang w:val="sr-Latn-ME" w:bidi="en-US"/>
        </w:rPr>
        <w:t xml:space="preserve">/min, </w:t>
      </w:r>
      <w:r w:rsidR="00E309EC" w:rsidRPr="00314858">
        <w:rPr>
          <w:rFonts w:ascii="Times New Roman" w:eastAsia="Times New Roman" w:hAnsi="Times New Roman" w:cs="Times New Roman"/>
          <w:color w:val="000000" w:themeColor="text1"/>
          <w:lang w:val="sr-Latn-ME" w:bidi="en-US"/>
        </w:rPr>
        <w:t>prim</w:t>
      </w:r>
      <w:r w:rsidR="00CB5BED" w:rsidRPr="00314858">
        <w:rPr>
          <w:rFonts w:ascii="Times New Roman" w:eastAsia="Times New Roman" w:hAnsi="Times New Roman" w:cs="Times New Roman"/>
          <w:color w:val="000000" w:themeColor="text1"/>
          <w:lang w:val="sr-Latn-ME" w:bidi="en-US"/>
        </w:rPr>
        <w:t>j</w:t>
      </w:r>
      <w:r w:rsidR="00E309EC" w:rsidRPr="00314858">
        <w:rPr>
          <w:rFonts w:ascii="Times New Roman" w:eastAsia="Times New Roman" w:hAnsi="Times New Roman" w:cs="Times New Roman"/>
          <w:color w:val="000000" w:themeColor="text1"/>
          <w:lang w:val="sr-Latn-ME" w:bidi="en-US"/>
        </w:rPr>
        <w:t xml:space="preserve">enu </w:t>
      </w:r>
      <w:r w:rsidRPr="00314858">
        <w:rPr>
          <w:rFonts w:ascii="Times New Roman" w:eastAsia="Times New Roman" w:hAnsi="Times New Roman" w:cs="Times New Roman"/>
          <w:color w:val="000000" w:themeColor="text1"/>
          <w:lang w:val="sr-Latn-ME" w:bidi="en-US"/>
        </w:rPr>
        <w:t>VKA treba započeti 2 dana pr</w:t>
      </w:r>
      <w:r w:rsidR="00CB5BED"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 prekida prim</w:t>
      </w:r>
      <w:r w:rsidR="00CB5BED"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ene dabigatraneteksilata</w:t>
      </w:r>
      <w:r w:rsidR="006250A0" w:rsidRPr="00314858">
        <w:rPr>
          <w:rFonts w:ascii="Times New Roman" w:eastAsia="Times New Roman" w:hAnsi="Times New Roman" w:cs="Times New Roman"/>
          <w:color w:val="000000" w:themeColor="text1"/>
          <w:lang w:val="sr-Latn-ME" w:bidi="en-US"/>
        </w:rPr>
        <w:t>.</w:t>
      </w:r>
    </w:p>
    <w:p w14:paraId="14D3A00E" w14:textId="77777777" w:rsidR="00D67D34" w:rsidRPr="00314858" w:rsidRDefault="00D67D34" w:rsidP="00D67D34">
      <w:pPr>
        <w:spacing w:after="0" w:line="240" w:lineRule="auto"/>
        <w:jc w:val="both"/>
        <w:rPr>
          <w:rFonts w:ascii="Times New Roman" w:hAnsi="Times New Roman" w:cs="Times New Roman"/>
          <w:lang w:val="sr-Latn-ME" w:bidi="en-US"/>
        </w:rPr>
      </w:pPr>
    </w:p>
    <w:p w14:paraId="15AFF22F" w14:textId="140CF28C"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Zbog toga što dabigatraneteksilat može da utiče na vr</w:t>
      </w:r>
      <w:r w:rsidR="00CB5BED" w:rsidRPr="00314858">
        <w:rPr>
          <w:rFonts w:ascii="Times New Roman" w:hAnsi="Times New Roman" w:cs="Times New Roman"/>
          <w:lang w:val="sr-Latn-ME" w:bidi="en-US"/>
        </w:rPr>
        <w:t>ij</w:t>
      </w:r>
      <w:r w:rsidRPr="00314858">
        <w:rPr>
          <w:rFonts w:ascii="Times New Roman" w:hAnsi="Times New Roman" w:cs="Times New Roman"/>
          <w:lang w:val="sr-Latn-ME" w:bidi="en-US"/>
        </w:rPr>
        <w:t xml:space="preserve">ednost internacionalnog normalizovanog odnosa (engl. </w:t>
      </w:r>
      <w:r w:rsidRPr="00314858">
        <w:rPr>
          <w:rFonts w:ascii="Times New Roman" w:hAnsi="Times New Roman" w:cs="Times New Roman"/>
          <w:i/>
          <w:iCs/>
          <w:lang w:val="sr-Latn-ME" w:bidi="en-US"/>
        </w:rPr>
        <w:t>International Normalised Ratio</w:t>
      </w:r>
      <w:r w:rsidRPr="00314858">
        <w:rPr>
          <w:rFonts w:ascii="Times New Roman" w:hAnsi="Times New Roman" w:cs="Times New Roman"/>
          <w:lang w:val="sr-Latn-ME" w:bidi="en-US"/>
        </w:rPr>
        <w:t>, INR), INR će bolje odražavati dejstvo VKA tek nakon što je prošlo najmanje 2 dana od prekida prim</w:t>
      </w:r>
      <w:r w:rsidR="00CB5BED" w:rsidRPr="00314858">
        <w:rPr>
          <w:rFonts w:ascii="Times New Roman" w:hAnsi="Times New Roman" w:cs="Times New Roman"/>
          <w:lang w:val="sr-Latn-ME" w:bidi="en-US"/>
        </w:rPr>
        <w:t>j</w:t>
      </w:r>
      <w:r w:rsidRPr="00314858">
        <w:rPr>
          <w:rFonts w:ascii="Times New Roman" w:hAnsi="Times New Roman" w:cs="Times New Roman"/>
          <w:lang w:val="sr-Latn-ME" w:bidi="en-US"/>
        </w:rPr>
        <w:t>ene dabigatraneteksilata. Do tada, INR vr</w:t>
      </w:r>
      <w:r w:rsidR="00CB5BED" w:rsidRPr="00314858">
        <w:rPr>
          <w:rFonts w:ascii="Times New Roman" w:hAnsi="Times New Roman" w:cs="Times New Roman"/>
          <w:lang w:val="sr-Latn-ME" w:bidi="en-US"/>
        </w:rPr>
        <w:t>ij</w:t>
      </w:r>
      <w:r w:rsidRPr="00314858">
        <w:rPr>
          <w:rFonts w:ascii="Times New Roman" w:hAnsi="Times New Roman" w:cs="Times New Roman"/>
          <w:lang w:val="sr-Latn-ME" w:bidi="en-US"/>
        </w:rPr>
        <w:t>ednosti treba interpretirati sa oprezom.</w:t>
      </w:r>
    </w:p>
    <w:p w14:paraId="19EAB84A" w14:textId="77777777" w:rsidR="00D67D34" w:rsidRPr="00314858" w:rsidRDefault="00D67D34" w:rsidP="00D67D34">
      <w:pPr>
        <w:spacing w:after="0" w:line="240" w:lineRule="auto"/>
        <w:jc w:val="both"/>
        <w:rPr>
          <w:rFonts w:ascii="Times New Roman" w:hAnsi="Times New Roman" w:cs="Times New Roman"/>
          <w:lang w:val="sr-Latn-ME" w:bidi="en-US"/>
        </w:rPr>
      </w:pPr>
    </w:p>
    <w:p w14:paraId="5CAC9FBC" w14:textId="0869A30C"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Prelaz</w:t>
      </w:r>
      <w:r w:rsidR="00151E79" w:rsidRPr="00314858">
        <w:rPr>
          <w:rFonts w:ascii="Times New Roman" w:hAnsi="Times New Roman" w:cs="Times New Roman"/>
          <w:lang w:val="sr-Latn-ME" w:bidi="en-US"/>
        </w:rPr>
        <w:t>ak</w:t>
      </w:r>
      <w:r w:rsidRPr="00314858">
        <w:rPr>
          <w:rFonts w:ascii="Times New Roman" w:hAnsi="Times New Roman" w:cs="Times New Roman"/>
          <w:lang w:val="sr-Latn-ME" w:bidi="en-US"/>
        </w:rPr>
        <w:t xml:space="preserve"> sa VKA na dabigatraneteksilat:</w:t>
      </w:r>
    </w:p>
    <w:p w14:paraId="6578D99E" w14:textId="6F43DD71" w:rsidR="00D67D34" w:rsidRPr="00314858" w:rsidRDefault="00E309EC"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Prim</w:t>
      </w:r>
      <w:r w:rsidR="00CB5BED"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enu </w:t>
      </w:r>
      <w:r w:rsidR="00D67D34" w:rsidRPr="00314858">
        <w:rPr>
          <w:rFonts w:ascii="Times New Roman" w:hAnsi="Times New Roman" w:cs="Times New Roman"/>
          <w:lang w:val="sr-Latn-ME" w:bidi="en-US"/>
        </w:rPr>
        <w:t xml:space="preserve">VKA treba prekinuti. Dabigatraneteksilat </w:t>
      </w:r>
      <w:r w:rsidR="00B7703F" w:rsidRPr="00314858">
        <w:rPr>
          <w:rFonts w:ascii="Times New Roman" w:hAnsi="Times New Roman" w:cs="Times New Roman"/>
          <w:lang w:val="sr-Latn-ME" w:bidi="en-US"/>
        </w:rPr>
        <w:t xml:space="preserve">se </w:t>
      </w:r>
      <w:r w:rsidR="00D67D34" w:rsidRPr="00314858">
        <w:rPr>
          <w:rFonts w:ascii="Times New Roman" w:hAnsi="Times New Roman" w:cs="Times New Roman"/>
          <w:lang w:val="sr-Latn-ME" w:bidi="en-US"/>
        </w:rPr>
        <w:t>može da</w:t>
      </w:r>
      <w:r w:rsidR="00B7703F" w:rsidRPr="00314858">
        <w:rPr>
          <w:rFonts w:ascii="Times New Roman" w:hAnsi="Times New Roman" w:cs="Times New Roman"/>
          <w:lang w:val="sr-Latn-ME" w:bidi="en-US"/>
        </w:rPr>
        <w:t>vati</w:t>
      </w:r>
      <w:r w:rsidR="00D67D34" w:rsidRPr="00314858">
        <w:rPr>
          <w:rFonts w:ascii="Times New Roman" w:hAnsi="Times New Roman" w:cs="Times New Roman"/>
          <w:lang w:val="sr-Latn-ME" w:bidi="en-US"/>
        </w:rPr>
        <w:t xml:space="preserve"> čim INR bude &lt;</w:t>
      </w:r>
      <w:r w:rsidR="0071722B" w:rsidRPr="00314858">
        <w:rPr>
          <w:rFonts w:ascii="Times New Roman" w:hAnsi="Times New Roman" w:cs="Times New Roman"/>
          <w:lang w:val="sr-Latn-ME" w:bidi="en-US"/>
        </w:rPr>
        <w:t xml:space="preserve"> </w:t>
      </w:r>
      <w:r w:rsidR="00D67D34" w:rsidRPr="00314858">
        <w:rPr>
          <w:rFonts w:ascii="Times New Roman" w:hAnsi="Times New Roman" w:cs="Times New Roman"/>
          <w:lang w:val="sr-Latn-ME" w:bidi="en-US"/>
        </w:rPr>
        <w:t>2</w:t>
      </w:r>
      <w:r w:rsidRPr="00314858">
        <w:rPr>
          <w:rFonts w:ascii="Times New Roman" w:hAnsi="Times New Roman" w:cs="Times New Roman"/>
          <w:lang w:val="sr-Latn-ME" w:bidi="en-US"/>
        </w:rPr>
        <w:t>,</w:t>
      </w:r>
      <w:r w:rsidR="00D67D34" w:rsidRPr="00314858">
        <w:rPr>
          <w:rFonts w:ascii="Times New Roman" w:hAnsi="Times New Roman" w:cs="Times New Roman"/>
          <w:lang w:val="sr-Latn-ME" w:bidi="en-US"/>
        </w:rPr>
        <w:t>0.</w:t>
      </w:r>
    </w:p>
    <w:p w14:paraId="684178EF" w14:textId="77777777" w:rsidR="00D67D34" w:rsidRPr="00314858" w:rsidRDefault="00D67D34" w:rsidP="00D67D34">
      <w:pPr>
        <w:spacing w:after="0" w:line="240" w:lineRule="auto"/>
        <w:jc w:val="both"/>
        <w:rPr>
          <w:rFonts w:ascii="Times New Roman" w:hAnsi="Times New Roman" w:cs="Times New Roman"/>
          <w:i/>
          <w:iCs/>
          <w:lang w:val="sr-Latn-ME" w:bidi="en-US"/>
        </w:rPr>
      </w:pPr>
    </w:p>
    <w:p w14:paraId="32C9504D" w14:textId="2F625AE9"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u w:val="single"/>
          <w:lang w:val="sr-Latn-ME" w:bidi="en-US"/>
        </w:rPr>
        <w:t>Kardioverzija (</w:t>
      </w:r>
      <w:r w:rsidR="00B7703F" w:rsidRPr="00314858">
        <w:rPr>
          <w:rFonts w:ascii="Times New Roman" w:hAnsi="Times New Roman" w:cs="Times New Roman"/>
          <w:i/>
          <w:iCs/>
          <w:u w:val="single"/>
          <w:lang w:val="sr-Latn-ME" w:bidi="en-US"/>
        </w:rPr>
        <w:t>prevencija MU i SE kod AF</w:t>
      </w:r>
      <w:r w:rsidRPr="00314858">
        <w:rPr>
          <w:rFonts w:ascii="Times New Roman" w:hAnsi="Times New Roman" w:cs="Times New Roman"/>
          <w:i/>
          <w:iCs/>
          <w:u w:val="single"/>
          <w:lang w:val="sr-Latn-ME" w:bidi="en-US"/>
        </w:rPr>
        <w:t>)</w:t>
      </w:r>
    </w:p>
    <w:p w14:paraId="701A6DE4" w14:textId="77777777" w:rsidR="00D67D34" w:rsidRPr="00314858" w:rsidRDefault="00D67D34" w:rsidP="00D67D34">
      <w:pPr>
        <w:spacing w:after="0" w:line="240" w:lineRule="auto"/>
        <w:jc w:val="both"/>
        <w:rPr>
          <w:rFonts w:ascii="Times New Roman" w:hAnsi="Times New Roman" w:cs="Times New Roman"/>
          <w:lang w:val="sr-Latn-ME" w:bidi="en-US"/>
        </w:rPr>
      </w:pPr>
    </w:p>
    <w:p w14:paraId="40F6AE74"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Pacijenti mogu da ostanu na terapiji dabigatraneteksilatom dok su na kardioverziji.</w:t>
      </w:r>
    </w:p>
    <w:p w14:paraId="12CAE2BA" w14:textId="07AF9692"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u w:val="single"/>
          <w:lang w:val="sr-Latn-ME" w:bidi="en-US"/>
        </w:rPr>
        <w:lastRenderedPageBreak/>
        <w:t xml:space="preserve">Kateterska ablacija </w:t>
      </w:r>
      <w:r w:rsidR="007A4011" w:rsidRPr="00314858">
        <w:rPr>
          <w:rFonts w:ascii="Times New Roman" w:hAnsi="Times New Roman" w:cs="Times New Roman"/>
          <w:i/>
          <w:iCs/>
          <w:u w:val="single"/>
          <w:lang w:val="sr-Latn-ME" w:bidi="en-US"/>
        </w:rPr>
        <w:t>kod</w:t>
      </w:r>
      <w:r w:rsidRPr="00314858">
        <w:rPr>
          <w:rFonts w:ascii="Times New Roman" w:hAnsi="Times New Roman" w:cs="Times New Roman"/>
          <w:i/>
          <w:iCs/>
          <w:u w:val="single"/>
          <w:lang w:val="sr-Latn-ME" w:bidi="en-US"/>
        </w:rPr>
        <w:t xml:space="preserve"> atrijalne fibrilacije (</w:t>
      </w:r>
      <w:r w:rsidR="007A4011" w:rsidRPr="00314858">
        <w:rPr>
          <w:rFonts w:ascii="Times New Roman" w:hAnsi="Times New Roman" w:cs="Times New Roman"/>
          <w:i/>
          <w:iCs/>
          <w:u w:val="single"/>
          <w:lang w:val="sr-Latn-ME" w:bidi="en-US"/>
        </w:rPr>
        <w:t>prevencija MU i SE kod AF</w:t>
      </w:r>
      <w:r w:rsidRPr="00314858">
        <w:rPr>
          <w:rFonts w:ascii="Times New Roman" w:hAnsi="Times New Roman" w:cs="Times New Roman"/>
          <w:i/>
          <w:iCs/>
          <w:u w:val="single"/>
          <w:lang w:val="sr-Latn-ME" w:bidi="en-US"/>
        </w:rPr>
        <w:t>)</w:t>
      </w:r>
    </w:p>
    <w:p w14:paraId="0C68C374" w14:textId="77777777" w:rsidR="00D67D34" w:rsidRPr="00314858" w:rsidRDefault="00D67D34" w:rsidP="00D67D34">
      <w:pPr>
        <w:spacing w:after="0" w:line="240" w:lineRule="auto"/>
        <w:jc w:val="both"/>
        <w:rPr>
          <w:rFonts w:ascii="Times New Roman" w:hAnsi="Times New Roman" w:cs="Times New Roman"/>
          <w:lang w:val="sr-Latn-ME" w:bidi="en-US"/>
        </w:rPr>
      </w:pPr>
    </w:p>
    <w:p w14:paraId="61BD7ECC" w14:textId="76300B52" w:rsidR="007A4011"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Kateterska ablacija se može </w:t>
      </w:r>
      <w:r w:rsidR="007A4011" w:rsidRPr="00314858">
        <w:rPr>
          <w:rFonts w:ascii="Times New Roman" w:hAnsi="Times New Roman" w:cs="Times New Roman"/>
          <w:lang w:val="sr-Latn-ME"/>
        </w:rPr>
        <w:t>sprovesti</w:t>
      </w:r>
      <w:r w:rsidRPr="00314858">
        <w:rPr>
          <w:rFonts w:ascii="Times New Roman" w:hAnsi="Times New Roman" w:cs="Times New Roman"/>
          <w:lang w:val="sr-Latn-ME"/>
        </w:rPr>
        <w:t xml:space="preserve"> kod pacijenata koji su na terapiji sa dabigatraneteksilatom od 150 mg dva puta dnevno. </w:t>
      </w:r>
    </w:p>
    <w:p w14:paraId="2A1EF05D" w14:textId="52CEF4E5"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Nije potrebno da se prekine terapija dabigatraneteksilatom (vid</w:t>
      </w:r>
      <w:r w:rsidR="00CB5BED"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CB5BED" w:rsidRPr="00314858">
        <w:rPr>
          <w:rFonts w:ascii="Times New Roman" w:hAnsi="Times New Roman" w:cs="Times New Roman"/>
          <w:lang w:val="sr-Latn-ME"/>
        </w:rPr>
        <w:t>dio</w:t>
      </w:r>
      <w:r w:rsidRPr="00314858">
        <w:rPr>
          <w:rFonts w:ascii="Times New Roman" w:hAnsi="Times New Roman" w:cs="Times New Roman"/>
          <w:lang w:val="sr-Latn-ME"/>
        </w:rPr>
        <w:t xml:space="preserve"> 5.1).</w:t>
      </w:r>
    </w:p>
    <w:p w14:paraId="26D1DC4E" w14:textId="77777777" w:rsidR="00E309EC" w:rsidRPr="00314858" w:rsidRDefault="00E309EC" w:rsidP="00D67D34">
      <w:pPr>
        <w:spacing w:after="0" w:line="240" w:lineRule="auto"/>
        <w:jc w:val="both"/>
        <w:rPr>
          <w:rFonts w:ascii="Times New Roman" w:hAnsi="Times New Roman" w:cs="Times New Roman"/>
          <w:lang w:val="sr-Latn-ME" w:bidi="en-US"/>
        </w:rPr>
      </w:pPr>
    </w:p>
    <w:p w14:paraId="7FF7F49A" w14:textId="2C2F300B" w:rsidR="00D67D34" w:rsidRPr="00314858" w:rsidRDefault="00D67D34" w:rsidP="00D67D34">
      <w:pPr>
        <w:spacing w:after="0" w:line="240" w:lineRule="auto"/>
        <w:jc w:val="both"/>
        <w:rPr>
          <w:rFonts w:ascii="Times New Roman" w:hAnsi="Times New Roman" w:cs="Times New Roman"/>
          <w:i/>
          <w:iCs/>
          <w:u w:val="single"/>
          <w:lang w:val="sr-Latn-ME" w:bidi="en-US"/>
        </w:rPr>
      </w:pPr>
      <w:r w:rsidRPr="00314858">
        <w:rPr>
          <w:rFonts w:ascii="Times New Roman" w:hAnsi="Times New Roman" w:cs="Times New Roman"/>
          <w:i/>
          <w:iCs/>
          <w:u w:val="single"/>
          <w:lang w:val="sr-Latn-ME" w:bidi="en-US"/>
        </w:rPr>
        <w:t>Perkutana koronarna intervencija (</w:t>
      </w:r>
      <w:r w:rsidR="00E309EC" w:rsidRPr="00314858">
        <w:rPr>
          <w:rFonts w:ascii="Times New Roman" w:eastAsia="Times New Roman" w:hAnsi="Times New Roman" w:cs="Times New Roman"/>
          <w:i/>
          <w:iCs/>
          <w:color w:val="000000" w:themeColor="text1"/>
          <w:u w:val="single"/>
          <w:lang w:val="sr-Latn-ME" w:bidi="en-US"/>
        </w:rPr>
        <w:t>engl. percutaneous coronary intervention,</w:t>
      </w:r>
      <w:r w:rsidR="00E309EC" w:rsidRPr="00314858">
        <w:rPr>
          <w:rFonts w:ascii="Times New Roman" w:hAnsi="Times New Roman" w:cs="Times New Roman"/>
          <w:i/>
          <w:iCs/>
          <w:u w:val="single"/>
          <w:lang w:val="sr-Latn-ME" w:bidi="en-US"/>
        </w:rPr>
        <w:t xml:space="preserve"> </w:t>
      </w:r>
      <w:r w:rsidRPr="00314858">
        <w:rPr>
          <w:rFonts w:ascii="Times New Roman" w:hAnsi="Times New Roman" w:cs="Times New Roman"/>
          <w:i/>
          <w:iCs/>
          <w:u w:val="single"/>
          <w:lang w:val="sr-Latn-ME" w:bidi="en-US"/>
        </w:rPr>
        <w:t>PCI) sa ugradnjom stenta (</w:t>
      </w:r>
      <w:r w:rsidR="00E7262D" w:rsidRPr="00314858">
        <w:rPr>
          <w:rFonts w:ascii="Times New Roman" w:hAnsi="Times New Roman" w:cs="Times New Roman"/>
          <w:i/>
          <w:iCs/>
          <w:u w:val="single"/>
          <w:lang w:val="sr-Latn-ME" w:bidi="en-US"/>
        </w:rPr>
        <w:t>prevencija MU i SE kod AF</w:t>
      </w:r>
      <w:r w:rsidRPr="00314858">
        <w:rPr>
          <w:rFonts w:ascii="Times New Roman" w:hAnsi="Times New Roman" w:cs="Times New Roman"/>
          <w:i/>
          <w:iCs/>
          <w:u w:val="single"/>
          <w:lang w:val="sr-Latn-ME" w:bidi="en-US"/>
        </w:rPr>
        <w:t>)</w:t>
      </w:r>
    </w:p>
    <w:p w14:paraId="3BB18FDF" w14:textId="77777777" w:rsidR="006250A0" w:rsidRPr="00314858" w:rsidRDefault="006250A0" w:rsidP="00D67D34">
      <w:pPr>
        <w:spacing w:after="0" w:line="240" w:lineRule="auto"/>
        <w:jc w:val="both"/>
        <w:rPr>
          <w:rFonts w:ascii="Times New Roman" w:hAnsi="Times New Roman" w:cs="Times New Roman"/>
          <w:lang w:val="sr-Latn-ME" w:bidi="en-US"/>
        </w:rPr>
      </w:pPr>
    </w:p>
    <w:p w14:paraId="666FA976" w14:textId="56068DD4"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Pacijenti sa nevalvularnom atrijalnom fibrilacijom koji se podvrgavaju PCI postupku sa ugradnjom stenta mogu da budu l</w:t>
      </w:r>
      <w:r w:rsidR="00CB5BED" w:rsidRPr="00314858">
        <w:rPr>
          <w:rFonts w:ascii="Times New Roman" w:hAnsi="Times New Roman" w:cs="Times New Roman"/>
          <w:lang w:val="sr-Latn-ME" w:bidi="en-US"/>
        </w:rPr>
        <w:t>ij</w:t>
      </w:r>
      <w:r w:rsidRPr="00314858">
        <w:rPr>
          <w:rFonts w:ascii="Times New Roman" w:hAnsi="Times New Roman" w:cs="Times New Roman"/>
          <w:lang w:val="sr-Latn-ME" w:bidi="en-US"/>
        </w:rPr>
        <w:t>ečeni dabigatraneteksilatom u kombinaciji sa antitrombocitnim l</w:t>
      </w:r>
      <w:r w:rsidR="00C9027B" w:rsidRPr="00314858">
        <w:rPr>
          <w:rFonts w:ascii="Times New Roman" w:hAnsi="Times New Roman" w:cs="Times New Roman"/>
          <w:lang w:val="sr-Latn-ME" w:bidi="en-US"/>
        </w:rPr>
        <w:t>j</w:t>
      </w:r>
      <w:r w:rsidRPr="00314858">
        <w:rPr>
          <w:rFonts w:ascii="Times New Roman" w:hAnsi="Times New Roman" w:cs="Times New Roman"/>
          <w:lang w:val="sr-Latn-ME" w:bidi="en-US"/>
        </w:rPr>
        <w:t>ekovima nakon što se postigne hemostaza (vid</w:t>
      </w:r>
      <w:r w:rsidR="00CB5BED"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eti </w:t>
      </w:r>
      <w:r w:rsidR="00CB5BED" w:rsidRPr="00314858">
        <w:rPr>
          <w:rFonts w:ascii="Times New Roman" w:hAnsi="Times New Roman" w:cs="Times New Roman"/>
          <w:lang w:val="sr-Latn-ME" w:bidi="en-US"/>
        </w:rPr>
        <w:t>dio</w:t>
      </w:r>
      <w:r w:rsidRPr="00314858">
        <w:rPr>
          <w:rFonts w:ascii="Times New Roman" w:hAnsi="Times New Roman" w:cs="Times New Roman"/>
          <w:lang w:val="sr-Latn-ME" w:bidi="en-US"/>
        </w:rPr>
        <w:t xml:space="preserve"> 5.1).</w:t>
      </w:r>
    </w:p>
    <w:p w14:paraId="64C4F4E6" w14:textId="77777777" w:rsidR="00D67D34" w:rsidRPr="00314858" w:rsidRDefault="00D67D34" w:rsidP="00D67D34">
      <w:pPr>
        <w:spacing w:after="0" w:line="240" w:lineRule="auto"/>
        <w:jc w:val="both"/>
        <w:rPr>
          <w:rFonts w:ascii="Times New Roman" w:hAnsi="Times New Roman" w:cs="Times New Roman"/>
          <w:lang w:val="sr-Latn-ME" w:bidi="en-US"/>
        </w:rPr>
      </w:pPr>
    </w:p>
    <w:p w14:paraId="72F3FE02" w14:textId="77777777" w:rsidR="00D67D34" w:rsidRPr="00314858" w:rsidRDefault="00D67D34" w:rsidP="00D67D34">
      <w:pPr>
        <w:spacing w:after="0" w:line="240" w:lineRule="auto"/>
        <w:jc w:val="both"/>
        <w:rPr>
          <w:rFonts w:ascii="Times New Roman" w:hAnsi="Times New Roman" w:cs="Times New Roman"/>
          <w:i/>
          <w:iCs/>
          <w:u w:val="single"/>
          <w:lang w:val="sr-Latn-ME" w:bidi="en-US"/>
        </w:rPr>
      </w:pPr>
      <w:r w:rsidRPr="00314858">
        <w:rPr>
          <w:rFonts w:ascii="Times New Roman" w:hAnsi="Times New Roman" w:cs="Times New Roman"/>
          <w:i/>
          <w:iCs/>
          <w:u w:val="single"/>
          <w:lang w:val="sr-Latn-ME" w:bidi="en-US"/>
        </w:rPr>
        <w:t>Posebne populacije</w:t>
      </w:r>
    </w:p>
    <w:p w14:paraId="1564867E" w14:textId="77777777" w:rsidR="00D67D34" w:rsidRPr="00314858" w:rsidRDefault="00D67D34" w:rsidP="00D67D34">
      <w:pPr>
        <w:spacing w:after="0" w:line="240" w:lineRule="auto"/>
        <w:jc w:val="both"/>
        <w:rPr>
          <w:rFonts w:ascii="Times New Roman" w:hAnsi="Times New Roman" w:cs="Times New Roman"/>
          <w:lang w:val="sr-Latn-ME" w:bidi="en-US"/>
        </w:rPr>
      </w:pPr>
    </w:p>
    <w:p w14:paraId="4C885BAD" w14:textId="4BEDAA8E"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lang w:val="sr-Latn-ME" w:bidi="en-US"/>
        </w:rPr>
        <w:t>Stariji</w:t>
      </w:r>
      <w:r w:rsidR="000F5274" w:rsidRPr="00314858">
        <w:rPr>
          <w:rFonts w:ascii="Times New Roman" w:hAnsi="Times New Roman" w:cs="Times New Roman"/>
          <w:i/>
          <w:iCs/>
          <w:lang w:val="sr-Latn-ME" w:bidi="en-US"/>
        </w:rPr>
        <w:t xml:space="preserve"> pacijenti</w:t>
      </w:r>
    </w:p>
    <w:p w14:paraId="60E2727A" w14:textId="61FC09D1"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 xml:space="preserve">Za </w:t>
      </w:r>
      <w:r w:rsidR="000F5274" w:rsidRPr="00314858">
        <w:rPr>
          <w:rFonts w:ascii="Times New Roman" w:hAnsi="Times New Roman" w:cs="Times New Roman"/>
          <w:lang w:val="sr-Latn-ME" w:bidi="en-US"/>
        </w:rPr>
        <w:t>modifikaciju</w:t>
      </w:r>
      <w:r w:rsidRPr="00314858">
        <w:rPr>
          <w:rFonts w:ascii="Times New Roman" w:hAnsi="Times New Roman" w:cs="Times New Roman"/>
          <w:lang w:val="sr-Latn-ME" w:bidi="en-US"/>
        </w:rPr>
        <w:t xml:space="preserve"> doz</w:t>
      </w:r>
      <w:r w:rsidR="000F5274" w:rsidRPr="00314858">
        <w:rPr>
          <w:rFonts w:ascii="Times New Roman" w:hAnsi="Times New Roman" w:cs="Times New Roman"/>
          <w:lang w:val="sr-Latn-ME" w:bidi="en-US"/>
        </w:rPr>
        <w:t>e</w:t>
      </w:r>
      <w:r w:rsidRPr="00314858">
        <w:rPr>
          <w:rFonts w:ascii="Times New Roman" w:hAnsi="Times New Roman" w:cs="Times New Roman"/>
          <w:lang w:val="sr-Latn-ME" w:bidi="en-US"/>
        </w:rPr>
        <w:t xml:space="preserve"> u ovoj populaciji</w:t>
      </w:r>
      <w:r w:rsidR="000F5274" w:rsidRPr="00314858">
        <w:rPr>
          <w:rFonts w:ascii="Times New Roman" w:hAnsi="Times New Roman" w:cs="Times New Roman"/>
          <w:lang w:val="sr-Latn-ME" w:bidi="en-US"/>
        </w:rPr>
        <w:t>,</w:t>
      </w:r>
      <w:r w:rsidRPr="00314858">
        <w:rPr>
          <w:rFonts w:ascii="Times New Roman" w:hAnsi="Times New Roman" w:cs="Times New Roman"/>
          <w:lang w:val="sr-Latn-ME" w:bidi="en-US"/>
        </w:rPr>
        <w:t xml:space="preserve"> vid</w:t>
      </w:r>
      <w:r w:rsidR="00C9027B"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eti </w:t>
      </w:r>
      <w:r w:rsidR="000F5274" w:rsidRPr="00314858">
        <w:rPr>
          <w:rFonts w:ascii="Times New Roman" w:hAnsi="Times New Roman" w:cs="Times New Roman"/>
          <w:lang w:val="sr-Latn-ME" w:bidi="en-US"/>
        </w:rPr>
        <w:t>t</w:t>
      </w:r>
      <w:r w:rsidRPr="00314858">
        <w:rPr>
          <w:rFonts w:ascii="Times New Roman" w:hAnsi="Times New Roman" w:cs="Times New Roman"/>
          <w:lang w:val="sr-Latn-ME" w:bidi="en-US"/>
        </w:rPr>
        <w:t xml:space="preserve">abelu 1 </w:t>
      </w:r>
      <w:r w:rsidR="000F5274" w:rsidRPr="00314858">
        <w:rPr>
          <w:rFonts w:ascii="Times New Roman" w:hAnsi="Times New Roman" w:cs="Times New Roman"/>
          <w:lang w:val="sr-Latn-ME" w:bidi="en-US"/>
        </w:rPr>
        <w:t>iznad</w:t>
      </w:r>
      <w:r w:rsidRPr="00314858">
        <w:rPr>
          <w:rFonts w:ascii="Times New Roman" w:hAnsi="Times New Roman" w:cs="Times New Roman"/>
          <w:lang w:val="sr-Latn-ME" w:bidi="en-US"/>
        </w:rPr>
        <w:t>.</w:t>
      </w:r>
    </w:p>
    <w:p w14:paraId="6A4EADF3" w14:textId="77777777" w:rsidR="00D67D34" w:rsidRPr="00314858" w:rsidRDefault="00D67D34" w:rsidP="00D67D34">
      <w:pPr>
        <w:spacing w:after="0" w:line="240" w:lineRule="auto"/>
        <w:jc w:val="both"/>
        <w:rPr>
          <w:rFonts w:ascii="Times New Roman" w:hAnsi="Times New Roman" w:cs="Times New Roman"/>
          <w:lang w:val="sr-Latn-ME" w:bidi="en-US"/>
        </w:rPr>
      </w:pPr>
    </w:p>
    <w:p w14:paraId="6774383D" w14:textId="5A6BF923"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lang w:val="sr-Latn-ME" w:bidi="en-US"/>
        </w:rPr>
        <w:t>Pacijenti pod rizikom od krvarenja</w:t>
      </w:r>
    </w:p>
    <w:p w14:paraId="08724BDA" w14:textId="65B4FE91"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Pacijenti sa povećanim rizikom od krvarenja (vid</w:t>
      </w:r>
      <w:r w:rsidR="00C9027B"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eti </w:t>
      </w:r>
      <w:r w:rsidR="00C9027B" w:rsidRPr="00314858">
        <w:rPr>
          <w:rFonts w:ascii="Times New Roman" w:hAnsi="Times New Roman" w:cs="Times New Roman"/>
          <w:lang w:val="sr-Latn-ME" w:bidi="en-US"/>
        </w:rPr>
        <w:t>djelove</w:t>
      </w:r>
      <w:r w:rsidRPr="00314858">
        <w:rPr>
          <w:rFonts w:ascii="Times New Roman" w:hAnsi="Times New Roman" w:cs="Times New Roman"/>
          <w:lang w:val="sr-Latn-ME" w:bidi="en-US"/>
        </w:rPr>
        <w:t xml:space="preserve"> 4.4, 4.5, 5.1 i 5.2) treba da budu klinički pažljivo praćeni (tražeći znakove krvarenja ili anemije). Odluku o prilagođavanju doze donosi l</w:t>
      </w:r>
      <w:r w:rsidR="00C9027B" w:rsidRPr="00314858">
        <w:rPr>
          <w:rFonts w:ascii="Times New Roman" w:hAnsi="Times New Roman" w:cs="Times New Roman"/>
          <w:lang w:val="sr-Latn-ME" w:bidi="en-US"/>
        </w:rPr>
        <w:t>j</w:t>
      </w:r>
      <w:r w:rsidRPr="00314858">
        <w:rPr>
          <w:rFonts w:ascii="Times New Roman" w:hAnsi="Times New Roman" w:cs="Times New Roman"/>
          <w:lang w:val="sr-Latn-ME" w:bidi="en-US"/>
        </w:rPr>
        <w:t>ekar, nakon proc</w:t>
      </w:r>
      <w:r w:rsidR="00C9027B" w:rsidRPr="00314858">
        <w:rPr>
          <w:rFonts w:ascii="Times New Roman" w:hAnsi="Times New Roman" w:cs="Times New Roman"/>
          <w:lang w:val="sr-Latn-ME" w:bidi="en-US"/>
        </w:rPr>
        <w:t>j</w:t>
      </w:r>
      <w:r w:rsidRPr="00314858">
        <w:rPr>
          <w:rFonts w:ascii="Times New Roman" w:hAnsi="Times New Roman" w:cs="Times New Roman"/>
          <w:lang w:val="sr-Latn-ME" w:bidi="en-US"/>
        </w:rPr>
        <w:t>ene potencijalne koristi i rizika za svakog pojedinačnog pacijenta (vid</w:t>
      </w:r>
      <w:r w:rsidR="00C9027B"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eti </w:t>
      </w:r>
      <w:r w:rsidR="00FD4D7F" w:rsidRPr="00314858">
        <w:rPr>
          <w:rFonts w:ascii="Times New Roman" w:hAnsi="Times New Roman" w:cs="Times New Roman"/>
          <w:lang w:val="sr-Latn-ME" w:bidi="en-US"/>
        </w:rPr>
        <w:t>t</w:t>
      </w:r>
      <w:r w:rsidRPr="00314858">
        <w:rPr>
          <w:rFonts w:ascii="Times New Roman" w:hAnsi="Times New Roman" w:cs="Times New Roman"/>
          <w:lang w:val="sr-Latn-ME" w:bidi="en-US"/>
        </w:rPr>
        <w:t xml:space="preserve">abelu 1 </w:t>
      </w:r>
      <w:r w:rsidR="006250A0" w:rsidRPr="00314858">
        <w:rPr>
          <w:rFonts w:ascii="Times New Roman" w:hAnsi="Times New Roman" w:cs="Times New Roman"/>
          <w:lang w:val="sr-Latn-ME" w:bidi="en-US"/>
        </w:rPr>
        <w:t>iznad</w:t>
      </w:r>
      <w:r w:rsidRPr="00314858">
        <w:rPr>
          <w:rFonts w:ascii="Times New Roman" w:hAnsi="Times New Roman" w:cs="Times New Roman"/>
          <w:lang w:val="sr-Latn-ME" w:bidi="en-US"/>
        </w:rPr>
        <w:t>). Test koagulacije (vid</w:t>
      </w:r>
      <w:r w:rsidR="00C9027B"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eti </w:t>
      </w:r>
      <w:r w:rsidR="00C9027B" w:rsidRPr="00314858">
        <w:rPr>
          <w:rFonts w:ascii="Times New Roman" w:hAnsi="Times New Roman" w:cs="Times New Roman"/>
          <w:lang w:val="sr-Latn-ME" w:bidi="en-US"/>
        </w:rPr>
        <w:t>dio</w:t>
      </w:r>
      <w:r w:rsidRPr="00314858">
        <w:rPr>
          <w:rFonts w:ascii="Times New Roman" w:hAnsi="Times New Roman" w:cs="Times New Roman"/>
          <w:lang w:val="sr-Latn-ME" w:bidi="en-US"/>
        </w:rPr>
        <w:t xml:space="preserve"> 4.4) može </w:t>
      </w:r>
      <w:r w:rsidR="00FD4D7F" w:rsidRPr="00314858">
        <w:rPr>
          <w:rFonts w:ascii="Times New Roman" w:hAnsi="Times New Roman" w:cs="Times New Roman"/>
          <w:lang w:val="sr-Latn-ME" w:bidi="en-US"/>
        </w:rPr>
        <w:t xml:space="preserve">da </w:t>
      </w:r>
      <w:r w:rsidRPr="00314858">
        <w:rPr>
          <w:rFonts w:ascii="Times New Roman" w:hAnsi="Times New Roman" w:cs="Times New Roman"/>
          <w:lang w:val="sr-Latn-ME" w:bidi="en-US"/>
        </w:rPr>
        <w:t>pomo</w:t>
      </w:r>
      <w:r w:rsidR="00FD4D7F" w:rsidRPr="00314858">
        <w:rPr>
          <w:rFonts w:ascii="Times New Roman" w:hAnsi="Times New Roman" w:cs="Times New Roman"/>
          <w:lang w:val="sr-Latn-ME" w:bidi="en-US"/>
        </w:rPr>
        <w:t>gne</w:t>
      </w:r>
      <w:r w:rsidRPr="00314858">
        <w:rPr>
          <w:rFonts w:ascii="Times New Roman" w:hAnsi="Times New Roman" w:cs="Times New Roman"/>
          <w:lang w:val="sr-Latn-ME" w:bidi="en-US"/>
        </w:rPr>
        <w:t xml:space="preserve"> da se prepoznaju pacijenti sa povećanim rizikom od krvarenja izazvanim prevelikom izlaganju dabigatran</w:t>
      </w:r>
      <w:r w:rsidR="00FD4D7F" w:rsidRPr="00314858">
        <w:rPr>
          <w:rFonts w:ascii="Times New Roman" w:hAnsi="Times New Roman" w:cs="Times New Roman"/>
          <w:lang w:val="sr-Latn-ME" w:bidi="en-US"/>
        </w:rPr>
        <w:t>u</w:t>
      </w:r>
      <w:r w:rsidRPr="00314858">
        <w:rPr>
          <w:rFonts w:ascii="Times New Roman" w:hAnsi="Times New Roman" w:cs="Times New Roman"/>
          <w:lang w:val="sr-Latn-ME" w:bidi="en-US"/>
        </w:rPr>
        <w:t xml:space="preserve">. Kada se prepozna prevelika izloženost dabigatranu kod pacijenata pod visokim rizikom od krvarenja, preporučuje se da se uzima smanjena doza od 220 mg u obliku </w:t>
      </w:r>
      <w:r w:rsidR="006D5242" w:rsidRPr="00314858">
        <w:rPr>
          <w:rFonts w:ascii="Times New Roman" w:hAnsi="Times New Roman" w:cs="Times New Roman"/>
          <w:lang w:val="sr-Latn-ME" w:bidi="en-US"/>
        </w:rPr>
        <w:t xml:space="preserve">jedne </w:t>
      </w:r>
      <w:r w:rsidRPr="00314858">
        <w:rPr>
          <w:rFonts w:ascii="Times New Roman" w:hAnsi="Times New Roman" w:cs="Times New Roman"/>
          <w:lang w:val="sr-Latn-ME" w:bidi="en-US"/>
        </w:rPr>
        <w:t xml:space="preserve">kapsule od 110 mg dva puta dnevno. Kada se pojavi klinički </w:t>
      </w:r>
      <w:r w:rsidR="00FD4D7F" w:rsidRPr="00314858">
        <w:rPr>
          <w:rFonts w:ascii="Times New Roman" w:hAnsi="Times New Roman" w:cs="Times New Roman"/>
          <w:lang w:val="sr-Latn-ME" w:bidi="en-US"/>
        </w:rPr>
        <w:t>značajno</w:t>
      </w:r>
      <w:r w:rsidRPr="00314858">
        <w:rPr>
          <w:rFonts w:ascii="Times New Roman" w:hAnsi="Times New Roman" w:cs="Times New Roman"/>
          <w:lang w:val="sr-Latn-ME" w:bidi="en-US"/>
        </w:rPr>
        <w:t xml:space="preserve"> krvarenje, terapiju treba prekinuti.</w:t>
      </w:r>
    </w:p>
    <w:p w14:paraId="23D4A6AA" w14:textId="77777777" w:rsidR="00D67D34" w:rsidRPr="00314858" w:rsidRDefault="00D67D34" w:rsidP="00D67D34">
      <w:pPr>
        <w:spacing w:after="0" w:line="240" w:lineRule="auto"/>
        <w:jc w:val="both"/>
        <w:rPr>
          <w:rFonts w:ascii="Times New Roman" w:hAnsi="Times New Roman" w:cs="Times New Roman"/>
          <w:lang w:val="sr-Latn-ME" w:bidi="en-US"/>
        </w:rPr>
      </w:pPr>
    </w:p>
    <w:p w14:paraId="300A91A3" w14:textId="57D85A76" w:rsidR="00D67D34" w:rsidRPr="00314858" w:rsidRDefault="00FD4D7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Kod</w:t>
      </w:r>
      <w:r w:rsidR="00D67D34" w:rsidRPr="00314858">
        <w:rPr>
          <w:rFonts w:ascii="Times New Roman" w:hAnsi="Times New Roman" w:cs="Times New Roman"/>
          <w:lang w:val="sr-Latn-ME" w:bidi="en-US"/>
        </w:rPr>
        <w:t xml:space="preserve"> osob</w:t>
      </w:r>
      <w:r w:rsidRPr="00314858">
        <w:rPr>
          <w:rFonts w:ascii="Times New Roman" w:hAnsi="Times New Roman" w:cs="Times New Roman"/>
          <w:lang w:val="sr-Latn-ME" w:bidi="en-US"/>
        </w:rPr>
        <w:t>a</w:t>
      </w:r>
      <w:r w:rsidR="00D67D34" w:rsidRPr="00314858">
        <w:rPr>
          <w:rFonts w:ascii="Times New Roman" w:hAnsi="Times New Roman" w:cs="Times New Roman"/>
          <w:lang w:val="sr-Latn-ME" w:bidi="en-US"/>
        </w:rPr>
        <w:t xml:space="preserve"> sa gastritisom, ezofagitisom ili gastroezofagealnim refluksom, može se razmotriti smanjenje doze zbog povećanog rizika od </w:t>
      </w:r>
      <w:r w:rsidRPr="00314858">
        <w:rPr>
          <w:rFonts w:ascii="Times New Roman" w:hAnsi="Times New Roman" w:cs="Times New Roman"/>
          <w:lang w:val="sr-Latn-ME" w:bidi="en-US"/>
        </w:rPr>
        <w:t>obilnog</w:t>
      </w:r>
      <w:r w:rsidR="00D67D34" w:rsidRPr="00314858">
        <w:rPr>
          <w:rFonts w:ascii="Times New Roman" w:hAnsi="Times New Roman" w:cs="Times New Roman"/>
          <w:lang w:val="sr-Latn-ME" w:bidi="en-US"/>
        </w:rPr>
        <w:t xml:space="preserve"> gastrointestinalnog krvarenja (vid</w:t>
      </w:r>
      <w:r w:rsidR="00C9027B" w:rsidRPr="00314858">
        <w:rPr>
          <w:rFonts w:ascii="Times New Roman" w:hAnsi="Times New Roman" w:cs="Times New Roman"/>
          <w:lang w:val="sr-Latn-ME" w:bidi="en-US"/>
        </w:rPr>
        <w:t>j</w:t>
      </w:r>
      <w:r w:rsidR="00D67D34" w:rsidRPr="00314858">
        <w:rPr>
          <w:rFonts w:ascii="Times New Roman" w:hAnsi="Times New Roman" w:cs="Times New Roman"/>
          <w:lang w:val="sr-Latn-ME" w:bidi="en-US"/>
        </w:rPr>
        <w:t xml:space="preserve">eti </w:t>
      </w:r>
      <w:r w:rsidRPr="00314858">
        <w:rPr>
          <w:rFonts w:ascii="Times New Roman" w:hAnsi="Times New Roman" w:cs="Times New Roman"/>
          <w:lang w:val="sr-Latn-ME" w:bidi="en-US"/>
        </w:rPr>
        <w:t>t</w:t>
      </w:r>
      <w:r w:rsidR="00D67D34" w:rsidRPr="00314858">
        <w:rPr>
          <w:rFonts w:ascii="Times New Roman" w:hAnsi="Times New Roman" w:cs="Times New Roman"/>
          <w:lang w:val="sr-Latn-ME" w:bidi="en-US"/>
        </w:rPr>
        <w:t xml:space="preserve">abelu 1 iznad i </w:t>
      </w:r>
      <w:r w:rsidR="00C9027B" w:rsidRPr="00314858">
        <w:rPr>
          <w:rFonts w:ascii="Times New Roman" w:hAnsi="Times New Roman" w:cs="Times New Roman"/>
          <w:lang w:val="sr-Latn-ME" w:bidi="en-US"/>
        </w:rPr>
        <w:t>dio</w:t>
      </w:r>
      <w:r w:rsidR="00D67D34" w:rsidRPr="00314858">
        <w:rPr>
          <w:rFonts w:ascii="Times New Roman" w:hAnsi="Times New Roman" w:cs="Times New Roman"/>
          <w:lang w:val="sr-Latn-ME" w:bidi="en-US"/>
        </w:rPr>
        <w:t xml:space="preserve"> 4.4).</w:t>
      </w:r>
    </w:p>
    <w:p w14:paraId="2081F7CD" w14:textId="77777777" w:rsidR="00D67D34" w:rsidRPr="00314858" w:rsidRDefault="00D67D34" w:rsidP="00D67D34">
      <w:pPr>
        <w:spacing w:after="0" w:line="240" w:lineRule="auto"/>
        <w:jc w:val="both"/>
        <w:rPr>
          <w:rFonts w:ascii="Times New Roman" w:hAnsi="Times New Roman" w:cs="Times New Roman"/>
          <w:lang w:val="sr-Latn-ME" w:bidi="en-US"/>
        </w:rPr>
      </w:pPr>
    </w:p>
    <w:p w14:paraId="6B6355B1" w14:textId="018C7CCC" w:rsidR="003C7B11"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i/>
          <w:iCs/>
          <w:lang w:val="sr-Latn-ME"/>
        </w:rPr>
        <w:t xml:space="preserve">Oštećenje funkcije bubrega </w:t>
      </w:r>
    </w:p>
    <w:p w14:paraId="333E3066" w14:textId="568B94D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Terapija dabigatraneteksilatom kod pacijenata sa teškim oštećenjem funkcije bubrega (CrCL &lt;</w:t>
      </w:r>
      <w:r w:rsidR="00E719FF" w:rsidRPr="00314858">
        <w:rPr>
          <w:rFonts w:ascii="Times New Roman" w:hAnsi="Times New Roman" w:cs="Times New Roman"/>
          <w:lang w:val="sr-Latn-ME"/>
        </w:rPr>
        <w:t xml:space="preserve"> </w:t>
      </w:r>
      <w:r w:rsidRPr="00314858">
        <w:rPr>
          <w:rFonts w:ascii="Times New Roman" w:hAnsi="Times New Roman" w:cs="Times New Roman"/>
          <w:lang w:val="sr-Latn-ME"/>
        </w:rPr>
        <w:t>30 m</w:t>
      </w:r>
      <w:r w:rsidR="00E719FF" w:rsidRPr="00314858">
        <w:rPr>
          <w:rFonts w:ascii="Times New Roman" w:hAnsi="Times New Roman" w:cs="Times New Roman"/>
          <w:lang w:val="sr-Latn-ME"/>
        </w:rPr>
        <w:t>l</w:t>
      </w:r>
      <w:r w:rsidRPr="00314858">
        <w:rPr>
          <w:rFonts w:ascii="Times New Roman" w:hAnsi="Times New Roman" w:cs="Times New Roman"/>
          <w:lang w:val="sr-Latn-ME"/>
        </w:rPr>
        <w:t xml:space="preserve">/min) je kontraindikovana (videti </w:t>
      </w:r>
      <w:r w:rsidR="00E719FF" w:rsidRPr="00314858">
        <w:rPr>
          <w:rFonts w:ascii="Times New Roman" w:hAnsi="Times New Roman" w:cs="Times New Roman"/>
          <w:lang w:val="sr-Latn-ME"/>
        </w:rPr>
        <w:t xml:space="preserve">dio </w:t>
      </w:r>
      <w:r w:rsidRPr="00314858">
        <w:rPr>
          <w:rFonts w:ascii="Times New Roman" w:hAnsi="Times New Roman" w:cs="Times New Roman"/>
          <w:lang w:val="sr-Latn-ME"/>
        </w:rPr>
        <w:t>4.3).</w:t>
      </w:r>
    </w:p>
    <w:p w14:paraId="66D9C04C" w14:textId="77777777" w:rsidR="003C7B11" w:rsidRPr="00314858" w:rsidRDefault="003C7B11" w:rsidP="00D67D34">
      <w:pPr>
        <w:spacing w:after="0" w:line="240" w:lineRule="auto"/>
        <w:jc w:val="both"/>
        <w:rPr>
          <w:rFonts w:ascii="Times New Roman" w:hAnsi="Times New Roman" w:cs="Times New Roman"/>
          <w:lang w:val="sr-Latn-ME"/>
        </w:rPr>
      </w:pPr>
    </w:p>
    <w:p w14:paraId="73D39A02" w14:textId="1888065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Nije potrebno prilagođavanje doze kod pacijenata sa blagim oštećenjem funkcije bubrega (CrCL 5</w:t>
      </w:r>
      <w:r w:rsidR="006250A0" w:rsidRPr="00314858">
        <w:rPr>
          <w:rFonts w:ascii="Times New Roman" w:hAnsi="Times New Roman" w:cs="Times New Roman"/>
          <w:lang w:val="sr-Latn-ME"/>
        </w:rPr>
        <w:t xml:space="preserve">0 </w:t>
      </w:r>
      <w:r w:rsidRPr="00314858">
        <w:rPr>
          <w:rFonts w:ascii="Times New Roman" w:hAnsi="Times New Roman" w:cs="Times New Roman"/>
          <w:lang w:val="sr-Latn-ME"/>
        </w:rPr>
        <w:t>-</w:t>
      </w:r>
      <w:r w:rsidR="006250A0" w:rsidRPr="00314858">
        <w:rPr>
          <w:rFonts w:ascii="Times New Roman" w:hAnsi="Times New Roman" w:cs="Times New Roman"/>
          <w:lang w:val="sr-Latn-ME"/>
        </w:rPr>
        <w:t xml:space="preserve"> </w:t>
      </w:r>
      <w:r w:rsidRPr="00314858">
        <w:rPr>
          <w:rFonts w:ascii="Times New Roman" w:hAnsi="Times New Roman" w:cs="Times New Roman"/>
          <w:lang w:val="sr-Latn-ME"/>
        </w:rPr>
        <w:t>≤80 m</w:t>
      </w:r>
      <w:r w:rsidR="00E719FF" w:rsidRPr="00314858">
        <w:rPr>
          <w:rFonts w:ascii="Times New Roman" w:hAnsi="Times New Roman" w:cs="Times New Roman"/>
          <w:lang w:val="sr-Latn-ME"/>
        </w:rPr>
        <w:t>l</w:t>
      </w:r>
      <w:r w:rsidRPr="00314858">
        <w:rPr>
          <w:rFonts w:ascii="Times New Roman" w:hAnsi="Times New Roman" w:cs="Times New Roman"/>
          <w:lang w:val="sr-Latn-ME"/>
        </w:rPr>
        <w:t>/min). Kod pacijenata sa um</w:t>
      </w:r>
      <w:r w:rsidR="00C9027B" w:rsidRPr="00314858">
        <w:rPr>
          <w:rFonts w:ascii="Times New Roman" w:hAnsi="Times New Roman" w:cs="Times New Roman"/>
          <w:lang w:val="sr-Latn-ME"/>
        </w:rPr>
        <w:t>j</w:t>
      </w:r>
      <w:r w:rsidRPr="00314858">
        <w:rPr>
          <w:rFonts w:ascii="Times New Roman" w:hAnsi="Times New Roman" w:cs="Times New Roman"/>
          <w:lang w:val="sr-Latn-ME"/>
        </w:rPr>
        <w:t>erenim oštećenjem funkcije bubrega (CrCL 30-50 m</w:t>
      </w:r>
      <w:r w:rsidR="00E719FF" w:rsidRPr="00314858">
        <w:rPr>
          <w:rFonts w:ascii="Times New Roman" w:hAnsi="Times New Roman" w:cs="Times New Roman"/>
          <w:lang w:val="sr-Latn-ME"/>
        </w:rPr>
        <w:t>l</w:t>
      </w:r>
      <w:r w:rsidRPr="00314858">
        <w:rPr>
          <w:rFonts w:ascii="Times New Roman" w:hAnsi="Times New Roman" w:cs="Times New Roman"/>
          <w:lang w:val="sr-Latn-ME"/>
        </w:rPr>
        <w:t xml:space="preserve">/min) preporučena doza dabigatraneteksilata je takođe 300 mg, </w:t>
      </w:r>
      <w:r w:rsidR="00785656" w:rsidRPr="00314858">
        <w:rPr>
          <w:rFonts w:ascii="Times New Roman" w:hAnsi="Times New Roman" w:cs="Times New Roman"/>
          <w:lang w:val="sr-Latn-ME"/>
        </w:rPr>
        <w:t xml:space="preserve">uzeta </w:t>
      </w:r>
      <w:r w:rsidRPr="00314858">
        <w:rPr>
          <w:rFonts w:ascii="Times New Roman" w:hAnsi="Times New Roman" w:cs="Times New Roman"/>
          <w:lang w:val="sr-Latn-ME"/>
        </w:rPr>
        <w:t xml:space="preserve">u obliku jedne kapsule od 150 mg dva puta dnevno. Međutim, kod pacijenata sa visokim rizikom od krvarenja treba uzeti u obzir mogućnost smanjivanja doze dabigatraneteksilata na 220 mg, </w:t>
      </w:r>
      <w:r w:rsidR="00785656" w:rsidRPr="00314858">
        <w:rPr>
          <w:rFonts w:ascii="Times New Roman" w:hAnsi="Times New Roman" w:cs="Times New Roman"/>
          <w:lang w:val="sr-Latn-ME"/>
        </w:rPr>
        <w:t xml:space="preserve">uzeta </w:t>
      </w:r>
      <w:r w:rsidRPr="00314858">
        <w:rPr>
          <w:rFonts w:ascii="Times New Roman" w:hAnsi="Times New Roman" w:cs="Times New Roman"/>
          <w:lang w:val="sr-Latn-ME"/>
        </w:rPr>
        <w:t>u obliku jedne kapsule od 110 mg dva puta dnevno (vid</w:t>
      </w:r>
      <w:r w:rsidR="00C9027B"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C9027B" w:rsidRPr="00314858">
        <w:rPr>
          <w:rFonts w:ascii="Times New Roman" w:hAnsi="Times New Roman" w:cs="Times New Roman"/>
          <w:lang w:val="sr-Latn-ME"/>
        </w:rPr>
        <w:t>djelove</w:t>
      </w:r>
      <w:r w:rsidRPr="00314858">
        <w:rPr>
          <w:rFonts w:ascii="Times New Roman" w:hAnsi="Times New Roman" w:cs="Times New Roman"/>
          <w:lang w:val="sr-Latn-ME"/>
        </w:rPr>
        <w:t xml:space="preserve"> 4.4 i 5.2). Kod pacijenata sa oštećenjem funkcije bubrega preporučuje se pažljivo kliničko praćenje.</w:t>
      </w:r>
    </w:p>
    <w:p w14:paraId="6A9EA5FC" w14:textId="77777777" w:rsidR="003C7B11" w:rsidRPr="00314858" w:rsidRDefault="003C7B11" w:rsidP="00D67D34">
      <w:pPr>
        <w:spacing w:after="0" w:line="240" w:lineRule="auto"/>
        <w:jc w:val="both"/>
        <w:rPr>
          <w:rFonts w:ascii="Times New Roman" w:hAnsi="Times New Roman" w:cs="Times New Roman"/>
          <w:lang w:val="sr-Latn-ME"/>
        </w:rPr>
      </w:pPr>
    </w:p>
    <w:p w14:paraId="17C84094" w14:textId="356738C1" w:rsidR="00D67D34"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i/>
          <w:lang w:val="sr-Latn-ME"/>
        </w:rPr>
        <w:t>Istovremena prim</w:t>
      </w:r>
      <w:r w:rsidR="00C9027B" w:rsidRPr="00314858">
        <w:rPr>
          <w:rFonts w:ascii="Times New Roman" w:hAnsi="Times New Roman" w:cs="Times New Roman"/>
          <w:i/>
          <w:lang w:val="sr-Latn-ME"/>
        </w:rPr>
        <w:t>j</w:t>
      </w:r>
      <w:r w:rsidRPr="00314858">
        <w:rPr>
          <w:rFonts w:ascii="Times New Roman" w:hAnsi="Times New Roman" w:cs="Times New Roman"/>
          <w:i/>
          <w:lang w:val="sr-Latn-ME"/>
        </w:rPr>
        <w:t>ena dabigatraneteksilata sa blagim do um</w:t>
      </w:r>
      <w:r w:rsidR="00E719FF" w:rsidRPr="00314858">
        <w:rPr>
          <w:rFonts w:ascii="Times New Roman" w:hAnsi="Times New Roman" w:cs="Times New Roman"/>
          <w:i/>
          <w:lang w:val="sr-Latn-ME"/>
        </w:rPr>
        <w:t>j</w:t>
      </w:r>
      <w:r w:rsidRPr="00314858">
        <w:rPr>
          <w:rFonts w:ascii="Times New Roman" w:hAnsi="Times New Roman" w:cs="Times New Roman"/>
          <w:i/>
          <w:lang w:val="sr-Latn-ME"/>
        </w:rPr>
        <w:t>erenim inhibitorima P-glikoproteina (P-gp) tj. amjodaronom, hinidinom ili verapamilom</w:t>
      </w:r>
    </w:p>
    <w:p w14:paraId="78623F5C" w14:textId="102BC29C"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Nije potrebno prilagođavanje doze kada se dabigatraneteksilat uzima istovremeno sa amjodaronom ili hinidinom (vid</w:t>
      </w:r>
      <w:r w:rsidR="00C9027B"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C9027B" w:rsidRPr="00314858">
        <w:rPr>
          <w:rFonts w:ascii="Times New Roman" w:hAnsi="Times New Roman" w:cs="Times New Roman"/>
          <w:lang w:val="sr-Latn-ME"/>
        </w:rPr>
        <w:t>djelove</w:t>
      </w:r>
      <w:r w:rsidRPr="00314858">
        <w:rPr>
          <w:rFonts w:ascii="Times New Roman" w:hAnsi="Times New Roman" w:cs="Times New Roman"/>
          <w:lang w:val="sr-Latn-ME"/>
        </w:rPr>
        <w:t xml:space="preserve"> 4.4, 4.5 i 5.2).</w:t>
      </w:r>
    </w:p>
    <w:p w14:paraId="77A1F57C" w14:textId="77777777" w:rsidR="00870378" w:rsidRPr="00314858" w:rsidRDefault="00870378" w:rsidP="00D67D34">
      <w:pPr>
        <w:spacing w:after="0" w:line="240" w:lineRule="auto"/>
        <w:jc w:val="both"/>
        <w:rPr>
          <w:rFonts w:ascii="Times New Roman" w:hAnsi="Times New Roman" w:cs="Times New Roman"/>
          <w:lang w:val="sr-Latn-ME"/>
        </w:rPr>
      </w:pPr>
    </w:p>
    <w:p w14:paraId="6C25A534" w14:textId="561A62C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Preporučuje se s</w:t>
      </w:r>
      <w:r w:rsidR="006250A0" w:rsidRPr="00314858">
        <w:rPr>
          <w:rFonts w:ascii="Times New Roman" w:hAnsi="Times New Roman" w:cs="Times New Roman"/>
          <w:lang w:val="sr-Latn-ME"/>
        </w:rPr>
        <w:t>manjenje</w:t>
      </w:r>
      <w:r w:rsidRPr="00314858">
        <w:rPr>
          <w:rFonts w:ascii="Times New Roman" w:hAnsi="Times New Roman" w:cs="Times New Roman"/>
          <w:lang w:val="sr-Latn-ME"/>
        </w:rPr>
        <w:t xml:space="preserve"> doze kod pacijenata koji istovremeno primaju i verapamil (vid</w:t>
      </w:r>
      <w:r w:rsidR="00C9027B"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870378" w:rsidRPr="00314858">
        <w:rPr>
          <w:rFonts w:ascii="Times New Roman" w:hAnsi="Times New Roman" w:cs="Times New Roman"/>
          <w:lang w:val="sr-Latn-ME"/>
        </w:rPr>
        <w:t>t</w:t>
      </w:r>
      <w:r w:rsidRPr="00314858">
        <w:rPr>
          <w:rFonts w:ascii="Times New Roman" w:hAnsi="Times New Roman" w:cs="Times New Roman"/>
          <w:lang w:val="sr-Latn-ME"/>
        </w:rPr>
        <w:t xml:space="preserve">abelu </w:t>
      </w:r>
      <w:r w:rsidR="00870378" w:rsidRPr="00314858">
        <w:rPr>
          <w:rFonts w:ascii="Times New Roman" w:hAnsi="Times New Roman" w:cs="Times New Roman"/>
          <w:lang w:val="sr-Latn-ME"/>
        </w:rPr>
        <w:t>1</w:t>
      </w:r>
      <w:r w:rsidRPr="00314858">
        <w:rPr>
          <w:rFonts w:ascii="Times New Roman" w:hAnsi="Times New Roman" w:cs="Times New Roman"/>
          <w:lang w:val="sr-Latn-ME"/>
        </w:rPr>
        <w:t xml:space="preserve"> </w:t>
      </w:r>
      <w:r w:rsidR="003C7B11" w:rsidRPr="00314858">
        <w:rPr>
          <w:rFonts w:ascii="Times New Roman" w:hAnsi="Times New Roman" w:cs="Times New Roman"/>
          <w:lang w:val="sr-Latn-ME"/>
        </w:rPr>
        <w:t xml:space="preserve">iznad </w:t>
      </w:r>
      <w:r w:rsidRPr="00314858">
        <w:rPr>
          <w:rFonts w:ascii="Times New Roman" w:hAnsi="Times New Roman" w:cs="Times New Roman"/>
          <w:lang w:val="sr-Latn-ME"/>
        </w:rPr>
        <w:t xml:space="preserve">i </w:t>
      </w:r>
      <w:r w:rsidR="00C9027B" w:rsidRPr="00314858">
        <w:rPr>
          <w:rFonts w:ascii="Times New Roman" w:hAnsi="Times New Roman" w:cs="Times New Roman"/>
          <w:lang w:val="sr-Latn-ME"/>
        </w:rPr>
        <w:t>djelove</w:t>
      </w:r>
      <w:r w:rsidRPr="00314858">
        <w:rPr>
          <w:rFonts w:ascii="Times New Roman" w:hAnsi="Times New Roman" w:cs="Times New Roman"/>
          <w:lang w:val="sr-Latn-ME"/>
        </w:rPr>
        <w:t xml:space="preserve"> 4.4 i 4.5). U toj situaciji dabigatraneteksilat i verapamil bi trebalo uzimati istovremeno.</w:t>
      </w:r>
    </w:p>
    <w:p w14:paraId="1D6A4CD9" w14:textId="77777777" w:rsidR="003C7B11" w:rsidRPr="00314858" w:rsidRDefault="003C7B11" w:rsidP="00D67D34">
      <w:pPr>
        <w:spacing w:after="0" w:line="240" w:lineRule="auto"/>
        <w:jc w:val="both"/>
        <w:rPr>
          <w:rFonts w:ascii="Times New Roman" w:hAnsi="Times New Roman" w:cs="Times New Roman"/>
          <w:i/>
          <w:lang w:val="sr-Latn-ME"/>
        </w:rPr>
      </w:pPr>
    </w:p>
    <w:p w14:paraId="79AC523E" w14:textId="53F90A18" w:rsidR="003C7B11"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i/>
          <w:lang w:val="sr-Latn-ME"/>
        </w:rPr>
        <w:t>T</w:t>
      </w:r>
      <w:r w:rsidR="00C9027B" w:rsidRPr="00314858">
        <w:rPr>
          <w:rFonts w:ascii="Times New Roman" w:hAnsi="Times New Roman" w:cs="Times New Roman"/>
          <w:i/>
          <w:lang w:val="sr-Latn-ME"/>
        </w:rPr>
        <w:t>j</w:t>
      </w:r>
      <w:r w:rsidRPr="00314858">
        <w:rPr>
          <w:rFonts w:ascii="Times New Roman" w:hAnsi="Times New Roman" w:cs="Times New Roman"/>
          <w:i/>
          <w:lang w:val="sr-Latn-ME"/>
        </w:rPr>
        <w:t xml:space="preserve">elesna masa </w:t>
      </w:r>
    </w:p>
    <w:p w14:paraId="56004366" w14:textId="02F6664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Nije potrebno prilagođavanje doze (vid</w:t>
      </w:r>
      <w:r w:rsidR="00C9027B"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C9027B" w:rsidRPr="00314858">
        <w:rPr>
          <w:rFonts w:ascii="Times New Roman" w:hAnsi="Times New Roman" w:cs="Times New Roman"/>
          <w:lang w:val="sr-Latn-ME"/>
        </w:rPr>
        <w:t>dio</w:t>
      </w:r>
      <w:r w:rsidRPr="00314858">
        <w:rPr>
          <w:rFonts w:ascii="Times New Roman" w:hAnsi="Times New Roman" w:cs="Times New Roman"/>
          <w:lang w:val="sr-Latn-ME"/>
        </w:rPr>
        <w:t xml:space="preserve"> 5.2), ali se preporučuje pažljivo kliničko praćenje kod pacijenata čija je t</w:t>
      </w:r>
      <w:r w:rsidR="00C9027B" w:rsidRPr="00314858">
        <w:rPr>
          <w:rFonts w:ascii="Times New Roman" w:hAnsi="Times New Roman" w:cs="Times New Roman"/>
          <w:lang w:val="sr-Latn-ME"/>
        </w:rPr>
        <w:t>j</w:t>
      </w:r>
      <w:r w:rsidRPr="00314858">
        <w:rPr>
          <w:rFonts w:ascii="Times New Roman" w:hAnsi="Times New Roman" w:cs="Times New Roman"/>
          <w:lang w:val="sr-Latn-ME"/>
        </w:rPr>
        <w:t>elesna masa &lt;</w:t>
      </w:r>
      <w:r w:rsidR="00E719FF" w:rsidRPr="00314858">
        <w:rPr>
          <w:rFonts w:ascii="Times New Roman" w:hAnsi="Times New Roman" w:cs="Times New Roman"/>
          <w:lang w:val="sr-Latn-ME"/>
        </w:rPr>
        <w:t xml:space="preserve"> </w:t>
      </w:r>
      <w:r w:rsidRPr="00314858">
        <w:rPr>
          <w:rFonts w:ascii="Times New Roman" w:hAnsi="Times New Roman" w:cs="Times New Roman"/>
          <w:lang w:val="sr-Latn-ME"/>
        </w:rPr>
        <w:t>50 kg (vid</w:t>
      </w:r>
      <w:r w:rsidR="00C9027B"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C9027B" w:rsidRPr="00314858">
        <w:rPr>
          <w:rFonts w:ascii="Times New Roman" w:hAnsi="Times New Roman" w:cs="Times New Roman"/>
          <w:lang w:val="sr-Latn-ME"/>
        </w:rPr>
        <w:t>dio</w:t>
      </w:r>
      <w:r w:rsidRPr="00314858">
        <w:rPr>
          <w:rFonts w:ascii="Times New Roman" w:hAnsi="Times New Roman" w:cs="Times New Roman"/>
          <w:lang w:val="sr-Latn-ME"/>
        </w:rPr>
        <w:t xml:space="preserve"> 4.4).</w:t>
      </w:r>
    </w:p>
    <w:p w14:paraId="675F4467" w14:textId="77777777" w:rsidR="003C7B11" w:rsidRPr="00314858" w:rsidRDefault="003C7B11" w:rsidP="00D67D34">
      <w:pPr>
        <w:spacing w:after="0" w:line="240" w:lineRule="auto"/>
        <w:jc w:val="both"/>
        <w:rPr>
          <w:rFonts w:ascii="Times New Roman" w:hAnsi="Times New Roman" w:cs="Times New Roman"/>
          <w:i/>
          <w:lang w:val="sr-Latn-ME"/>
        </w:rPr>
      </w:pPr>
    </w:p>
    <w:p w14:paraId="21329A86" w14:textId="77777777" w:rsidR="00314858" w:rsidRDefault="00314858" w:rsidP="00D67D34">
      <w:pPr>
        <w:spacing w:after="0" w:line="240" w:lineRule="auto"/>
        <w:jc w:val="both"/>
        <w:rPr>
          <w:rFonts w:ascii="Times New Roman" w:hAnsi="Times New Roman" w:cs="Times New Roman"/>
          <w:i/>
          <w:lang w:val="sr-Latn-ME"/>
        </w:rPr>
      </w:pPr>
    </w:p>
    <w:p w14:paraId="55A09D8D" w14:textId="325C7CF5"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i/>
          <w:lang w:val="sr-Latn-ME"/>
        </w:rPr>
        <w:lastRenderedPageBreak/>
        <w:t xml:space="preserve">Pol </w:t>
      </w:r>
    </w:p>
    <w:p w14:paraId="0DC91F7D" w14:textId="33724544"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Nije potrebno prilagođavanje doze (vid</w:t>
      </w:r>
      <w:r w:rsidR="00C9027B"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C9027B" w:rsidRPr="00314858">
        <w:rPr>
          <w:rFonts w:ascii="Times New Roman" w:hAnsi="Times New Roman" w:cs="Times New Roman"/>
          <w:lang w:val="sr-Latn-ME"/>
        </w:rPr>
        <w:t>dio</w:t>
      </w:r>
      <w:r w:rsidRPr="00314858">
        <w:rPr>
          <w:rFonts w:ascii="Times New Roman" w:hAnsi="Times New Roman" w:cs="Times New Roman"/>
          <w:lang w:val="sr-Latn-ME"/>
        </w:rPr>
        <w:t xml:space="preserve"> 5.2).</w:t>
      </w:r>
    </w:p>
    <w:p w14:paraId="628F9A82" w14:textId="77777777" w:rsidR="003C7B11" w:rsidRPr="00314858" w:rsidRDefault="003C7B11" w:rsidP="00D67D34">
      <w:pPr>
        <w:spacing w:after="0" w:line="240" w:lineRule="auto"/>
        <w:jc w:val="both"/>
        <w:rPr>
          <w:rFonts w:ascii="Times New Roman" w:hAnsi="Times New Roman" w:cs="Times New Roman"/>
          <w:i/>
          <w:iCs/>
          <w:lang w:val="sr-Latn-ME"/>
        </w:rPr>
      </w:pPr>
    </w:p>
    <w:p w14:paraId="1308C461" w14:textId="25B2986E" w:rsidR="003C7B11"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i/>
          <w:iCs/>
          <w:lang w:val="sr-Latn-ME"/>
        </w:rPr>
        <w:t xml:space="preserve">Pedijatrijska populacija </w:t>
      </w:r>
    </w:p>
    <w:p w14:paraId="1143F16C" w14:textId="69CE2D34"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Nema relevantne prim</w:t>
      </w:r>
      <w:r w:rsidR="001B0482" w:rsidRPr="00314858">
        <w:rPr>
          <w:rFonts w:ascii="Times New Roman" w:hAnsi="Times New Roman" w:cs="Times New Roman"/>
          <w:lang w:val="sr-Latn-ME"/>
        </w:rPr>
        <w:t>j</w:t>
      </w:r>
      <w:r w:rsidRPr="00314858">
        <w:rPr>
          <w:rFonts w:ascii="Times New Roman" w:hAnsi="Times New Roman" w:cs="Times New Roman"/>
          <w:lang w:val="sr-Latn-ME"/>
        </w:rPr>
        <w:t>ene dabigatraneteksilata u pedijatrijskoj populaciji u indikaciji prevencij</w:t>
      </w:r>
      <w:r w:rsidR="001B0482" w:rsidRPr="00314858">
        <w:rPr>
          <w:rFonts w:ascii="Times New Roman" w:hAnsi="Times New Roman" w:cs="Times New Roman"/>
          <w:lang w:val="sr-Latn-ME"/>
        </w:rPr>
        <w:t>e</w:t>
      </w:r>
      <w:r w:rsidRPr="00314858">
        <w:rPr>
          <w:rFonts w:ascii="Times New Roman" w:hAnsi="Times New Roman" w:cs="Times New Roman"/>
          <w:lang w:val="sr-Latn-ME"/>
        </w:rPr>
        <w:t xml:space="preserve"> moždanog udara i sistemske embolije kod pacijenata sa NVAF.</w:t>
      </w:r>
    </w:p>
    <w:p w14:paraId="298A401D" w14:textId="77777777" w:rsidR="003C7B11" w:rsidRPr="00314858" w:rsidRDefault="003C7B11" w:rsidP="00D67D34">
      <w:pPr>
        <w:spacing w:after="0" w:line="240" w:lineRule="auto"/>
        <w:jc w:val="both"/>
        <w:rPr>
          <w:rFonts w:ascii="Times New Roman" w:hAnsi="Times New Roman" w:cs="Times New Roman"/>
          <w:lang w:val="sr-Latn-ME"/>
        </w:rPr>
      </w:pPr>
    </w:p>
    <w:p w14:paraId="76917A32" w14:textId="77777777" w:rsidR="00D67D34" w:rsidRPr="00314858" w:rsidRDefault="00D67D34" w:rsidP="00D67D34">
      <w:pPr>
        <w:spacing w:after="0" w:line="240" w:lineRule="auto"/>
        <w:jc w:val="both"/>
        <w:rPr>
          <w:rFonts w:ascii="Times New Roman" w:hAnsi="Times New Roman" w:cs="Times New Roman"/>
          <w:b/>
          <w:bCs/>
          <w:i/>
          <w:iCs/>
          <w:u w:val="single"/>
          <w:lang w:val="sr-Latn-ME" w:bidi="en-US"/>
        </w:rPr>
      </w:pPr>
      <w:r w:rsidRPr="00314858">
        <w:rPr>
          <w:rFonts w:ascii="Times New Roman" w:hAnsi="Times New Roman" w:cs="Times New Roman"/>
          <w:b/>
          <w:bCs/>
          <w:i/>
          <w:iCs/>
          <w:u w:val="single"/>
          <w:lang w:val="sr-Latn-ME" w:bidi="en-US"/>
        </w:rPr>
        <w:t>Terapija VTE i prevencija rekurentne VTE kod pedijatrijskih pacijenata</w:t>
      </w:r>
    </w:p>
    <w:p w14:paraId="4609D8AF" w14:textId="77777777" w:rsidR="00D67D34" w:rsidRPr="00314858" w:rsidRDefault="00D67D34" w:rsidP="00D67D34">
      <w:pPr>
        <w:spacing w:after="0" w:line="240" w:lineRule="auto"/>
        <w:jc w:val="both"/>
        <w:rPr>
          <w:rFonts w:ascii="Times New Roman" w:hAnsi="Times New Roman" w:cs="Times New Roman"/>
          <w:b/>
          <w:bCs/>
          <w:i/>
          <w:iCs/>
          <w:u w:val="single"/>
          <w:lang w:val="sr-Latn-ME" w:bidi="en-US"/>
        </w:rPr>
      </w:pPr>
    </w:p>
    <w:p w14:paraId="02CA899E" w14:textId="505B65EC" w:rsidR="00D67D34" w:rsidRPr="00314858" w:rsidRDefault="00576E42"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Terapiju</w:t>
      </w:r>
      <w:r w:rsidR="00D67D34" w:rsidRPr="00314858">
        <w:rPr>
          <w:rFonts w:ascii="Times New Roman" w:hAnsi="Times New Roman" w:cs="Times New Roman"/>
          <w:lang w:val="sr-Latn-ME"/>
        </w:rPr>
        <w:t xml:space="preserve"> VTE kod pedijatrijskih pacijenata potrebno </w:t>
      </w:r>
      <w:r w:rsidRPr="00314858">
        <w:rPr>
          <w:rFonts w:ascii="Times New Roman" w:hAnsi="Times New Roman" w:cs="Times New Roman"/>
          <w:lang w:val="sr-Latn-ME"/>
        </w:rPr>
        <w:t xml:space="preserve">je </w:t>
      </w:r>
      <w:r w:rsidR="00D67D34" w:rsidRPr="00314858">
        <w:rPr>
          <w:rFonts w:ascii="Times New Roman" w:hAnsi="Times New Roman" w:cs="Times New Roman"/>
          <w:lang w:val="sr-Latn-ME"/>
        </w:rPr>
        <w:t xml:space="preserve">započeti nakon </w:t>
      </w:r>
      <w:r w:rsidRPr="00314858">
        <w:rPr>
          <w:rFonts w:ascii="Times New Roman" w:hAnsi="Times New Roman" w:cs="Times New Roman"/>
          <w:lang w:val="sr-Latn-ME"/>
        </w:rPr>
        <w:t>terapije</w:t>
      </w:r>
      <w:r w:rsidR="00D67D34" w:rsidRPr="00314858">
        <w:rPr>
          <w:rFonts w:ascii="Times New Roman" w:hAnsi="Times New Roman" w:cs="Times New Roman"/>
          <w:lang w:val="sr-Latn-ME"/>
        </w:rPr>
        <w:t xml:space="preserve"> parenteralnim antikoagulansom u trajanju od najmanje 5 dana. Za prevenciju rekurentne VTE</w:t>
      </w:r>
      <w:r w:rsidRPr="00314858">
        <w:rPr>
          <w:rFonts w:ascii="Times New Roman" w:hAnsi="Times New Roman" w:cs="Times New Roman"/>
          <w:lang w:val="sr-Latn-ME"/>
        </w:rPr>
        <w:t>,</w:t>
      </w:r>
      <w:r w:rsidR="00D67D34" w:rsidRPr="00314858">
        <w:rPr>
          <w:rFonts w:ascii="Times New Roman" w:hAnsi="Times New Roman" w:cs="Times New Roman"/>
          <w:lang w:val="sr-Latn-ME"/>
        </w:rPr>
        <w:t xml:space="preserve"> terapiju je potrebno započeti nakon prethodn</w:t>
      </w:r>
      <w:r w:rsidRPr="00314858">
        <w:rPr>
          <w:rFonts w:ascii="Times New Roman" w:hAnsi="Times New Roman" w:cs="Times New Roman"/>
          <w:lang w:val="sr-Latn-ME"/>
        </w:rPr>
        <w:t>e terapije</w:t>
      </w:r>
      <w:r w:rsidR="00D67D34" w:rsidRPr="00314858">
        <w:rPr>
          <w:rFonts w:ascii="Times New Roman" w:hAnsi="Times New Roman" w:cs="Times New Roman"/>
          <w:lang w:val="sr-Latn-ME"/>
        </w:rPr>
        <w:t>.</w:t>
      </w:r>
    </w:p>
    <w:p w14:paraId="2B0D08E3" w14:textId="77777777" w:rsidR="006250A0" w:rsidRPr="00314858" w:rsidRDefault="006250A0" w:rsidP="00D67D34">
      <w:pPr>
        <w:spacing w:after="0" w:line="240" w:lineRule="auto"/>
        <w:jc w:val="both"/>
        <w:rPr>
          <w:rFonts w:ascii="Times New Roman" w:hAnsi="Times New Roman" w:cs="Times New Roman"/>
          <w:lang w:val="sr-Latn-ME"/>
        </w:rPr>
      </w:pPr>
    </w:p>
    <w:p w14:paraId="2F0E3649" w14:textId="64C93F2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b/>
          <w:lang w:val="sr-Latn-ME"/>
        </w:rPr>
        <w:t>Dabigatraneteksilat kapsule potrebno je uzimati dva puta dnevno</w:t>
      </w:r>
      <w:r w:rsidRPr="00314858">
        <w:rPr>
          <w:rFonts w:ascii="Times New Roman" w:hAnsi="Times New Roman" w:cs="Times New Roman"/>
          <w:lang w:val="sr-Latn-ME"/>
        </w:rPr>
        <w:t>, jednu dozu ujutro i jednu dozu uveče, približno u isto vr</w:t>
      </w:r>
      <w:r w:rsidR="001B0482" w:rsidRPr="00314858">
        <w:rPr>
          <w:rFonts w:ascii="Times New Roman" w:hAnsi="Times New Roman" w:cs="Times New Roman"/>
          <w:lang w:val="sr-Latn-ME"/>
        </w:rPr>
        <w:t>ij</w:t>
      </w:r>
      <w:r w:rsidRPr="00314858">
        <w:rPr>
          <w:rFonts w:ascii="Times New Roman" w:hAnsi="Times New Roman" w:cs="Times New Roman"/>
          <w:lang w:val="sr-Latn-ME"/>
        </w:rPr>
        <w:t>eme svakog dana. Potrebno je da interval doziranja iznosi što je moguće bliže periodu od 12 sati.</w:t>
      </w:r>
    </w:p>
    <w:p w14:paraId="55EB2FDA" w14:textId="77777777" w:rsidR="006250A0" w:rsidRPr="00314858" w:rsidRDefault="006250A0" w:rsidP="00D67D34">
      <w:pPr>
        <w:spacing w:after="0" w:line="240" w:lineRule="auto"/>
        <w:jc w:val="both"/>
        <w:rPr>
          <w:rFonts w:ascii="Times New Roman" w:hAnsi="Times New Roman" w:cs="Times New Roman"/>
          <w:lang w:val="sr-Latn-ME"/>
        </w:rPr>
      </w:pPr>
    </w:p>
    <w:p w14:paraId="4F4557BA" w14:textId="02ABCEDB" w:rsidR="00D67D34" w:rsidRPr="00314858" w:rsidRDefault="00576E42"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Preporučena doza dabigatraneteksilat kapsula se zasniva na t</w:t>
      </w:r>
      <w:r w:rsidR="001B0482" w:rsidRPr="00314858">
        <w:rPr>
          <w:rFonts w:ascii="Times New Roman" w:hAnsi="Times New Roman" w:cs="Times New Roman"/>
          <w:lang w:val="sr-Latn-ME"/>
        </w:rPr>
        <w:t>j</w:t>
      </w:r>
      <w:r w:rsidRPr="00314858">
        <w:rPr>
          <w:rFonts w:ascii="Times New Roman" w:hAnsi="Times New Roman" w:cs="Times New Roman"/>
          <w:lang w:val="sr-Latn-ME"/>
        </w:rPr>
        <w:t>elesnoj masi i uzrastu pacijenta, kao što je prikazano u tabeli 3. Sa napredovanjem terapije potrebno je prilagoditi dozu prema t</w:t>
      </w:r>
      <w:r w:rsidR="001B0482" w:rsidRPr="00314858">
        <w:rPr>
          <w:rFonts w:ascii="Times New Roman" w:hAnsi="Times New Roman" w:cs="Times New Roman"/>
          <w:lang w:val="sr-Latn-ME"/>
        </w:rPr>
        <w:t>j</w:t>
      </w:r>
      <w:r w:rsidRPr="00314858">
        <w:rPr>
          <w:rFonts w:ascii="Times New Roman" w:hAnsi="Times New Roman" w:cs="Times New Roman"/>
          <w:lang w:val="sr-Latn-ME"/>
        </w:rPr>
        <w:t>elesnoj masi i uzrastu.</w:t>
      </w:r>
    </w:p>
    <w:p w14:paraId="324356CF" w14:textId="17087F24" w:rsidR="00D67D34" w:rsidRPr="00314858" w:rsidRDefault="00D67D34" w:rsidP="00D67D34">
      <w:pPr>
        <w:spacing w:after="0" w:line="240" w:lineRule="auto"/>
        <w:jc w:val="both"/>
        <w:rPr>
          <w:rFonts w:ascii="Times New Roman" w:hAnsi="Times New Roman" w:cs="Times New Roman"/>
          <w:lang w:val="sr-Latn-ME" w:bidi="en-US"/>
        </w:rPr>
      </w:pPr>
    </w:p>
    <w:p w14:paraId="7F1C63B7" w14:textId="00A5890E" w:rsidR="00576E42" w:rsidRPr="00314858" w:rsidRDefault="00576E42" w:rsidP="00576E42">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Za kombinacije t</w:t>
      </w:r>
      <w:r w:rsidR="001B0482" w:rsidRPr="00314858">
        <w:rPr>
          <w:rFonts w:ascii="Times New Roman" w:hAnsi="Times New Roman" w:cs="Times New Roman"/>
          <w:lang w:val="sr-Latn-ME" w:bidi="en-US"/>
        </w:rPr>
        <w:t>j</w:t>
      </w:r>
      <w:r w:rsidRPr="00314858">
        <w:rPr>
          <w:rFonts w:ascii="Times New Roman" w:hAnsi="Times New Roman" w:cs="Times New Roman"/>
          <w:lang w:val="sr-Latn-ME" w:bidi="en-US"/>
        </w:rPr>
        <w:t>elesne mase i uzrasta koje ni</w:t>
      </w:r>
      <w:r w:rsidR="00E719FF" w:rsidRPr="00314858">
        <w:rPr>
          <w:rFonts w:ascii="Times New Roman" w:hAnsi="Times New Roman" w:cs="Times New Roman"/>
          <w:lang w:val="sr-Latn-ME" w:bidi="en-US"/>
        </w:rPr>
        <w:t>je</w:t>
      </w:r>
      <w:r w:rsidRPr="00314858">
        <w:rPr>
          <w:rFonts w:ascii="Times New Roman" w:hAnsi="Times New Roman" w:cs="Times New Roman"/>
          <w:lang w:val="sr-Latn-ME" w:bidi="en-US"/>
        </w:rPr>
        <w:t>su navedene u tabeli doziranja, ne mogu se dati preporuke za doziranje.</w:t>
      </w:r>
    </w:p>
    <w:p w14:paraId="3C023662" w14:textId="77777777" w:rsidR="00576E42" w:rsidRPr="00314858" w:rsidRDefault="00576E42" w:rsidP="00D67D34">
      <w:pPr>
        <w:spacing w:after="0" w:line="240" w:lineRule="auto"/>
        <w:jc w:val="both"/>
        <w:rPr>
          <w:rFonts w:ascii="Times New Roman" w:hAnsi="Times New Roman" w:cs="Times New Roman"/>
          <w:lang w:val="sr-Latn-ME" w:bidi="en-US"/>
        </w:rPr>
      </w:pPr>
    </w:p>
    <w:p w14:paraId="522794D1" w14:textId="5F5E6DC9" w:rsidR="00D67D34" w:rsidRPr="00314858" w:rsidRDefault="00D67D34" w:rsidP="00BA378B">
      <w:pPr>
        <w:spacing w:after="0" w:line="240" w:lineRule="auto"/>
        <w:jc w:val="center"/>
        <w:rPr>
          <w:rFonts w:ascii="Times New Roman" w:hAnsi="Times New Roman" w:cs="Times New Roman"/>
          <w:b/>
          <w:bCs/>
          <w:lang w:val="sr-Latn-ME" w:bidi="en-US"/>
        </w:rPr>
      </w:pPr>
      <w:bookmarkStart w:id="1" w:name="_Hlk65853371"/>
      <w:r w:rsidRPr="00314858">
        <w:rPr>
          <w:rFonts w:ascii="Times New Roman" w:hAnsi="Times New Roman" w:cs="Times New Roman"/>
          <w:b/>
          <w:bCs/>
          <w:lang w:val="sr-Latn-ME" w:bidi="en-US"/>
        </w:rPr>
        <w:t>Tabela 3</w:t>
      </w:r>
      <w:r w:rsidR="00576E42"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w:t>
      </w:r>
      <w:r w:rsidR="0098794E" w:rsidRPr="00314858">
        <w:rPr>
          <w:rFonts w:ascii="Times New Roman" w:hAnsi="Times New Roman" w:cs="Times New Roman"/>
          <w:b/>
          <w:bCs/>
          <w:lang w:val="sr-Latn-ME" w:bidi="en-US"/>
        </w:rPr>
        <w:t>Pojedinačne i ukupne dnevne doze dabigatraneteksilata u miligramima (mg) po t</w:t>
      </w:r>
      <w:r w:rsidR="001B0482" w:rsidRPr="00314858">
        <w:rPr>
          <w:rFonts w:ascii="Times New Roman" w:hAnsi="Times New Roman" w:cs="Times New Roman"/>
          <w:b/>
          <w:bCs/>
          <w:lang w:val="sr-Latn-ME" w:bidi="en-US"/>
        </w:rPr>
        <w:t>j</w:t>
      </w:r>
      <w:r w:rsidR="0098794E" w:rsidRPr="00314858">
        <w:rPr>
          <w:rFonts w:ascii="Times New Roman" w:hAnsi="Times New Roman" w:cs="Times New Roman"/>
          <w:b/>
          <w:bCs/>
          <w:lang w:val="sr-Latn-ME" w:bidi="en-US"/>
        </w:rPr>
        <w:t>elesnoj masi pacijenta u kilogramima (kg) i njegovoj starosnoj dobi u godinama</w:t>
      </w:r>
      <w:bookmarkEnd w:id="1"/>
    </w:p>
    <w:p w14:paraId="5ECC0DCA" w14:textId="77777777" w:rsidR="009C2223" w:rsidRPr="00314858" w:rsidRDefault="009C2223" w:rsidP="00D67D34">
      <w:pPr>
        <w:spacing w:after="0" w:line="240" w:lineRule="auto"/>
        <w:jc w:val="both"/>
        <w:rPr>
          <w:rFonts w:ascii="Times New Roman" w:hAnsi="Times New Roman" w:cs="Times New Roman"/>
          <w:lang w:val="sr-Latn-ME"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4"/>
        <w:gridCol w:w="2257"/>
        <w:gridCol w:w="2253"/>
      </w:tblGrid>
      <w:tr w:rsidR="009C2223" w:rsidRPr="00314858" w14:paraId="1A6DFBAD" w14:textId="77777777" w:rsidTr="00496E8B">
        <w:tc>
          <w:tcPr>
            <w:tcW w:w="4506" w:type="dxa"/>
            <w:gridSpan w:val="2"/>
          </w:tcPr>
          <w:p w14:paraId="211A18C6" w14:textId="44A6A4AA" w:rsidR="009C2223" w:rsidRPr="00314858" w:rsidRDefault="009C2223" w:rsidP="00496E8B">
            <w:pPr>
              <w:jc w:val="center"/>
              <w:rPr>
                <w:rFonts w:ascii="Times New Roman" w:hAnsi="Times New Roman" w:cs="Times New Roman"/>
                <w:b/>
                <w:bCs/>
                <w:noProof/>
                <w:lang w:val="sr-Latn-ME"/>
              </w:rPr>
            </w:pPr>
            <w:r w:rsidRPr="00314858">
              <w:rPr>
                <w:rFonts w:ascii="Times New Roman" w:hAnsi="Times New Roman" w:cs="Times New Roman"/>
                <w:b/>
                <w:bCs/>
                <w:noProof/>
                <w:lang w:val="sr-Latn-ME"/>
              </w:rPr>
              <w:t>Kombinacija t</w:t>
            </w:r>
            <w:r w:rsidR="001B0482" w:rsidRPr="00314858">
              <w:rPr>
                <w:rFonts w:ascii="Times New Roman" w:hAnsi="Times New Roman" w:cs="Times New Roman"/>
                <w:b/>
                <w:bCs/>
                <w:noProof/>
                <w:lang w:val="sr-Latn-ME"/>
              </w:rPr>
              <w:t>j</w:t>
            </w:r>
            <w:r w:rsidRPr="00314858">
              <w:rPr>
                <w:rFonts w:ascii="Times New Roman" w:hAnsi="Times New Roman" w:cs="Times New Roman"/>
                <w:b/>
                <w:bCs/>
                <w:noProof/>
                <w:lang w:val="sr-Latn-ME"/>
              </w:rPr>
              <w:t>elesna masa/starosna dob</w:t>
            </w:r>
          </w:p>
        </w:tc>
        <w:tc>
          <w:tcPr>
            <w:tcW w:w="2257" w:type="dxa"/>
            <w:vMerge w:val="restart"/>
          </w:tcPr>
          <w:p w14:paraId="01351F5A" w14:textId="77777777" w:rsidR="009C2223" w:rsidRPr="00314858" w:rsidRDefault="009C2223" w:rsidP="00496E8B">
            <w:pPr>
              <w:jc w:val="center"/>
              <w:rPr>
                <w:rFonts w:ascii="Times New Roman" w:hAnsi="Times New Roman" w:cs="Times New Roman"/>
                <w:b/>
                <w:bCs/>
                <w:noProof/>
                <w:lang w:val="sr-Latn-ME"/>
              </w:rPr>
            </w:pPr>
            <w:r w:rsidRPr="00314858">
              <w:rPr>
                <w:rFonts w:ascii="Times New Roman" w:hAnsi="Times New Roman" w:cs="Times New Roman"/>
                <w:b/>
                <w:bCs/>
                <w:noProof/>
                <w:lang w:val="sr-Latn-ME"/>
              </w:rPr>
              <w:t>Pojedinačna doza</w:t>
            </w:r>
          </w:p>
          <w:p w14:paraId="6E0074BE" w14:textId="77777777" w:rsidR="009C2223" w:rsidRPr="00314858" w:rsidRDefault="009C2223" w:rsidP="00496E8B">
            <w:pPr>
              <w:jc w:val="center"/>
              <w:rPr>
                <w:rFonts w:ascii="Times New Roman" w:hAnsi="Times New Roman" w:cs="Times New Roman"/>
                <w:b/>
                <w:bCs/>
                <w:noProof/>
                <w:lang w:val="sr-Latn-ME"/>
              </w:rPr>
            </w:pPr>
            <w:r w:rsidRPr="00314858">
              <w:rPr>
                <w:rFonts w:ascii="Times New Roman" w:hAnsi="Times New Roman" w:cs="Times New Roman"/>
                <w:b/>
                <w:bCs/>
                <w:noProof/>
                <w:lang w:val="sr-Latn-ME"/>
              </w:rPr>
              <w:t>u mg</w:t>
            </w:r>
          </w:p>
        </w:tc>
        <w:tc>
          <w:tcPr>
            <w:tcW w:w="2253" w:type="dxa"/>
            <w:vMerge w:val="restart"/>
          </w:tcPr>
          <w:p w14:paraId="228B8DF2" w14:textId="77777777" w:rsidR="009C2223" w:rsidRPr="00314858" w:rsidRDefault="009C2223" w:rsidP="00496E8B">
            <w:pPr>
              <w:jc w:val="center"/>
              <w:rPr>
                <w:rFonts w:ascii="Times New Roman" w:hAnsi="Times New Roman" w:cs="Times New Roman"/>
                <w:b/>
                <w:bCs/>
                <w:noProof/>
                <w:lang w:val="sr-Latn-ME"/>
              </w:rPr>
            </w:pPr>
            <w:r w:rsidRPr="00314858">
              <w:rPr>
                <w:rFonts w:ascii="Times New Roman" w:hAnsi="Times New Roman" w:cs="Times New Roman"/>
                <w:b/>
                <w:bCs/>
                <w:noProof/>
                <w:lang w:val="sr-Latn-ME"/>
              </w:rPr>
              <w:t>Ukupna dnevna doza</w:t>
            </w:r>
          </w:p>
          <w:p w14:paraId="5ED131BD" w14:textId="77777777" w:rsidR="009C2223" w:rsidRPr="00314858" w:rsidRDefault="009C2223" w:rsidP="00496E8B">
            <w:pPr>
              <w:jc w:val="center"/>
              <w:rPr>
                <w:rFonts w:ascii="Times New Roman" w:hAnsi="Times New Roman" w:cs="Times New Roman"/>
                <w:b/>
                <w:bCs/>
                <w:noProof/>
                <w:lang w:val="sr-Latn-ME"/>
              </w:rPr>
            </w:pPr>
            <w:r w:rsidRPr="00314858">
              <w:rPr>
                <w:rFonts w:ascii="Times New Roman" w:hAnsi="Times New Roman" w:cs="Times New Roman"/>
                <w:b/>
                <w:bCs/>
                <w:noProof/>
                <w:lang w:val="sr-Latn-ME"/>
              </w:rPr>
              <w:t>u mg</w:t>
            </w:r>
          </w:p>
        </w:tc>
      </w:tr>
      <w:tr w:rsidR="009C2223" w:rsidRPr="00314858" w14:paraId="60FE64A9" w14:textId="77777777" w:rsidTr="00496E8B">
        <w:tc>
          <w:tcPr>
            <w:tcW w:w="2252" w:type="dxa"/>
          </w:tcPr>
          <w:p w14:paraId="085CD16D" w14:textId="4807F622" w:rsidR="009C2223" w:rsidRPr="00314858" w:rsidRDefault="009C2223" w:rsidP="00496E8B">
            <w:pPr>
              <w:rPr>
                <w:rFonts w:ascii="Times New Roman" w:hAnsi="Times New Roman" w:cs="Times New Roman"/>
                <w:b/>
                <w:bCs/>
                <w:noProof/>
                <w:lang w:val="sr-Latn-ME"/>
              </w:rPr>
            </w:pPr>
            <w:r w:rsidRPr="00314858">
              <w:rPr>
                <w:rFonts w:ascii="Times New Roman" w:hAnsi="Times New Roman" w:cs="Times New Roman"/>
                <w:b/>
                <w:bCs/>
                <w:noProof/>
                <w:lang w:val="sr-Latn-ME"/>
              </w:rPr>
              <w:t>T</w:t>
            </w:r>
            <w:r w:rsidR="001B0482" w:rsidRPr="00314858">
              <w:rPr>
                <w:rFonts w:ascii="Times New Roman" w:hAnsi="Times New Roman" w:cs="Times New Roman"/>
                <w:b/>
                <w:bCs/>
                <w:noProof/>
                <w:lang w:val="sr-Latn-ME"/>
              </w:rPr>
              <w:t>j</w:t>
            </w:r>
            <w:r w:rsidRPr="00314858">
              <w:rPr>
                <w:rFonts w:ascii="Times New Roman" w:hAnsi="Times New Roman" w:cs="Times New Roman"/>
                <w:b/>
                <w:bCs/>
                <w:noProof/>
                <w:lang w:val="sr-Latn-ME"/>
              </w:rPr>
              <w:t>elesna masa u kg</w:t>
            </w:r>
          </w:p>
        </w:tc>
        <w:tc>
          <w:tcPr>
            <w:tcW w:w="2254" w:type="dxa"/>
          </w:tcPr>
          <w:p w14:paraId="6BDAF133" w14:textId="77777777" w:rsidR="009C2223" w:rsidRPr="00314858" w:rsidRDefault="009C2223" w:rsidP="00496E8B">
            <w:pPr>
              <w:jc w:val="center"/>
              <w:rPr>
                <w:rFonts w:ascii="Times New Roman" w:hAnsi="Times New Roman" w:cs="Times New Roman"/>
                <w:b/>
                <w:bCs/>
                <w:noProof/>
                <w:lang w:val="sr-Latn-ME"/>
              </w:rPr>
            </w:pPr>
            <w:r w:rsidRPr="00314858">
              <w:rPr>
                <w:rFonts w:ascii="Times New Roman" w:hAnsi="Times New Roman" w:cs="Times New Roman"/>
                <w:b/>
                <w:bCs/>
                <w:noProof/>
                <w:lang w:val="sr-Latn-ME"/>
              </w:rPr>
              <w:t>Starosna dob u godinama</w:t>
            </w:r>
          </w:p>
        </w:tc>
        <w:tc>
          <w:tcPr>
            <w:tcW w:w="2257" w:type="dxa"/>
            <w:vMerge/>
          </w:tcPr>
          <w:p w14:paraId="496430FB" w14:textId="77777777" w:rsidR="009C2223" w:rsidRPr="00314858" w:rsidRDefault="009C2223" w:rsidP="00496E8B">
            <w:pPr>
              <w:rPr>
                <w:rFonts w:ascii="Times New Roman" w:hAnsi="Times New Roman" w:cs="Times New Roman"/>
                <w:bCs/>
                <w:noProof/>
                <w:lang w:val="sr-Latn-ME"/>
              </w:rPr>
            </w:pPr>
          </w:p>
        </w:tc>
        <w:tc>
          <w:tcPr>
            <w:tcW w:w="2253" w:type="dxa"/>
            <w:vMerge/>
          </w:tcPr>
          <w:p w14:paraId="23B7E5FA" w14:textId="77777777" w:rsidR="009C2223" w:rsidRPr="00314858" w:rsidRDefault="009C2223" w:rsidP="00496E8B">
            <w:pPr>
              <w:rPr>
                <w:rFonts w:ascii="Times New Roman" w:hAnsi="Times New Roman" w:cs="Times New Roman"/>
                <w:bCs/>
                <w:noProof/>
                <w:lang w:val="sr-Latn-ME"/>
              </w:rPr>
            </w:pPr>
          </w:p>
        </w:tc>
      </w:tr>
      <w:tr w:rsidR="009C2223" w:rsidRPr="00314858" w14:paraId="2778F5AC" w14:textId="77777777" w:rsidTr="00496E8B">
        <w:tc>
          <w:tcPr>
            <w:tcW w:w="2252" w:type="dxa"/>
          </w:tcPr>
          <w:p w14:paraId="1A68941E" w14:textId="77777777" w:rsidR="009C2223" w:rsidRPr="00314858" w:rsidRDefault="009C2223" w:rsidP="00496E8B">
            <w:pPr>
              <w:rPr>
                <w:rFonts w:ascii="Times New Roman" w:hAnsi="Times New Roman" w:cs="Times New Roman"/>
                <w:noProof/>
                <w:lang w:val="sr-Latn-ME"/>
              </w:rPr>
            </w:pPr>
            <w:r w:rsidRPr="00314858">
              <w:rPr>
                <w:rFonts w:ascii="Times New Roman" w:hAnsi="Times New Roman" w:cs="Times New Roman"/>
                <w:noProof/>
                <w:lang w:val="sr-Latn-ME"/>
              </w:rPr>
              <w:t>11 do &lt; 13</w:t>
            </w:r>
          </w:p>
        </w:tc>
        <w:tc>
          <w:tcPr>
            <w:tcW w:w="2254" w:type="dxa"/>
          </w:tcPr>
          <w:p w14:paraId="39070BE1"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9</w:t>
            </w:r>
          </w:p>
        </w:tc>
        <w:tc>
          <w:tcPr>
            <w:tcW w:w="2257" w:type="dxa"/>
          </w:tcPr>
          <w:p w14:paraId="5E5F8D6E"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75</w:t>
            </w:r>
            <w:r w:rsidRPr="00314858">
              <w:rPr>
                <w:rFonts w:ascii="Times New Roman" w:hAnsi="Times New Roman" w:cs="Times New Roman"/>
                <w:lang w:val="sr-Latn-ME" w:bidi="en-US"/>
              </w:rPr>
              <w:t>*</w:t>
            </w:r>
          </w:p>
        </w:tc>
        <w:tc>
          <w:tcPr>
            <w:tcW w:w="2253" w:type="dxa"/>
          </w:tcPr>
          <w:p w14:paraId="12C194DF"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150</w:t>
            </w:r>
          </w:p>
        </w:tc>
      </w:tr>
      <w:tr w:rsidR="009C2223" w:rsidRPr="00314858" w14:paraId="42D256C7" w14:textId="77777777" w:rsidTr="00496E8B">
        <w:tc>
          <w:tcPr>
            <w:tcW w:w="2252" w:type="dxa"/>
          </w:tcPr>
          <w:p w14:paraId="667585F9"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13 do &lt; 16</w:t>
            </w:r>
          </w:p>
        </w:tc>
        <w:tc>
          <w:tcPr>
            <w:tcW w:w="2254" w:type="dxa"/>
          </w:tcPr>
          <w:p w14:paraId="45A18E07"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11</w:t>
            </w:r>
          </w:p>
        </w:tc>
        <w:tc>
          <w:tcPr>
            <w:tcW w:w="2257" w:type="dxa"/>
          </w:tcPr>
          <w:p w14:paraId="61D283F3"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110</w:t>
            </w:r>
          </w:p>
        </w:tc>
        <w:tc>
          <w:tcPr>
            <w:tcW w:w="2253" w:type="dxa"/>
          </w:tcPr>
          <w:p w14:paraId="641CE036"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220</w:t>
            </w:r>
          </w:p>
        </w:tc>
      </w:tr>
      <w:tr w:rsidR="009C2223" w:rsidRPr="00314858" w14:paraId="54C5D8D4" w14:textId="77777777" w:rsidTr="00496E8B">
        <w:tc>
          <w:tcPr>
            <w:tcW w:w="2252" w:type="dxa"/>
          </w:tcPr>
          <w:p w14:paraId="1A57DDFF"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16 do &lt; 21</w:t>
            </w:r>
          </w:p>
        </w:tc>
        <w:tc>
          <w:tcPr>
            <w:tcW w:w="2254" w:type="dxa"/>
          </w:tcPr>
          <w:p w14:paraId="37EC40FA"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14</w:t>
            </w:r>
          </w:p>
        </w:tc>
        <w:tc>
          <w:tcPr>
            <w:tcW w:w="2257" w:type="dxa"/>
          </w:tcPr>
          <w:p w14:paraId="7D857947"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110</w:t>
            </w:r>
          </w:p>
        </w:tc>
        <w:tc>
          <w:tcPr>
            <w:tcW w:w="2253" w:type="dxa"/>
          </w:tcPr>
          <w:p w14:paraId="048A9D6C"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220</w:t>
            </w:r>
          </w:p>
        </w:tc>
      </w:tr>
      <w:tr w:rsidR="009C2223" w:rsidRPr="00314858" w14:paraId="58BAF813" w14:textId="77777777" w:rsidTr="00496E8B">
        <w:tc>
          <w:tcPr>
            <w:tcW w:w="2252" w:type="dxa"/>
          </w:tcPr>
          <w:p w14:paraId="451C1761"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21 do &lt; 26</w:t>
            </w:r>
          </w:p>
        </w:tc>
        <w:tc>
          <w:tcPr>
            <w:tcW w:w="2254" w:type="dxa"/>
          </w:tcPr>
          <w:p w14:paraId="61B9C053"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16</w:t>
            </w:r>
          </w:p>
        </w:tc>
        <w:tc>
          <w:tcPr>
            <w:tcW w:w="2257" w:type="dxa"/>
          </w:tcPr>
          <w:p w14:paraId="2E14130F"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150</w:t>
            </w:r>
          </w:p>
        </w:tc>
        <w:tc>
          <w:tcPr>
            <w:tcW w:w="2253" w:type="dxa"/>
          </w:tcPr>
          <w:p w14:paraId="532BF74C"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300</w:t>
            </w:r>
          </w:p>
        </w:tc>
      </w:tr>
      <w:tr w:rsidR="009C2223" w:rsidRPr="00314858" w14:paraId="7815FCCE" w14:textId="77777777" w:rsidTr="00496E8B">
        <w:tc>
          <w:tcPr>
            <w:tcW w:w="2252" w:type="dxa"/>
          </w:tcPr>
          <w:p w14:paraId="17CBC619"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26 do &lt; 31</w:t>
            </w:r>
          </w:p>
        </w:tc>
        <w:tc>
          <w:tcPr>
            <w:tcW w:w="2254" w:type="dxa"/>
          </w:tcPr>
          <w:p w14:paraId="7F7B74B6"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18</w:t>
            </w:r>
          </w:p>
        </w:tc>
        <w:tc>
          <w:tcPr>
            <w:tcW w:w="2257" w:type="dxa"/>
          </w:tcPr>
          <w:p w14:paraId="3E395CD5"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150</w:t>
            </w:r>
          </w:p>
        </w:tc>
        <w:tc>
          <w:tcPr>
            <w:tcW w:w="2253" w:type="dxa"/>
          </w:tcPr>
          <w:p w14:paraId="39AB34D1"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300</w:t>
            </w:r>
          </w:p>
        </w:tc>
      </w:tr>
      <w:tr w:rsidR="009C2223" w:rsidRPr="00314858" w14:paraId="1D171839" w14:textId="77777777" w:rsidTr="00496E8B">
        <w:tc>
          <w:tcPr>
            <w:tcW w:w="2252" w:type="dxa"/>
          </w:tcPr>
          <w:p w14:paraId="7E906497"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31 do &lt; 41</w:t>
            </w:r>
          </w:p>
        </w:tc>
        <w:tc>
          <w:tcPr>
            <w:tcW w:w="2254" w:type="dxa"/>
          </w:tcPr>
          <w:p w14:paraId="046FFB81"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18</w:t>
            </w:r>
          </w:p>
        </w:tc>
        <w:tc>
          <w:tcPr>
            <w:tcW w:w="2257" w:type="dxa"/>
          </w:tcPr>
          <w:p w14:paraId="57104713"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185</w:t>
            </w:r>
            <w:r w:rsidRPr="00314858">
              <w:rPr>
                <w:rFonts w:ascii="Times New Roman" w:hAnsi="Times New Roman" w:cs="Times New Roman"/>
                <w:lang w:val="sr-Latn-ME" w:bidi="en-US"/>
              </w:rPr>
              <w:t>*</w:t>
            </w:r>
          </w:p>
        </w:tc>
        <w:tc>
          <w:tcPr>
            <w:tcW w:w="2253" w:type="dxa"/>
          </w:tcPr>
          <w:p w14:paraId="26837B1F"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370</w:t>
            </w:r>
          </w:p>
        </w:tc>
      </w:tr>
      <w:tr w:rsidR="009C2223" w:rsidRPr="00314858" w14:paraId="2CB46A78" w14:textId="77777777" w:rsidTr="00496E8B">
        <w:tc>
          <w:tcPr>
            <w:tcW w:w="2252" w:type="dxa"/>
          </w:tcPr>
          <w:p w14:paraId="1A0912E2"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41 do &lt; 51</w:t>
            </w:r>
          </w:p>
        </w:tc>
        <w:tc>
          <w:tcPr>
            <w:tcW w:w="2254" w:type="dxa"/>
          </w:tcPr>
          <w:p w14:paraId="69262936"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18</w:t>
            </w:r>
          </w:p>
        </w:tc>
        <w:tc>
          <w:tcPr>
            <w:tcW w:w="2257" w:type="dxa"/>
          </w:tcPr>
          <w:p w14:paraId="7807F6E6"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220</w:t>
            </w:r>
          </w:p>
        </w:tc>
        <w:tc>
          <w:tcPr>
            <w:tcW w:w="2253" w:type="dxa"/>
          </w:tcPr>
          <w:p w14:paraId="6497C02D"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440</w:t>
            </w:r>
          </w:p>
        </w:tc>
      </w:tr>
      <w:tr w:rsidR="009C2223" w:rsidRPr="00314858" w14:paraId="532C9E9D" w14:textId="77777777" w:rsidTr="00496E8B">
        <w:tc>
          <w:tcPr>
            <w:tcW w:w="2252" w:type="dxa"/>
          </w:tcPr>
          <w:p w14:paraId="20655B8E"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51 do &lt; 61</w:t>
            </w:r>
          </w:p>
        </w:tc>
        <w:tc>
          <w:tcPr>
            <w:tcW w:w="2254" w:type="dxa"/>
          </w:tcPr>
          <w:p w14:paraId="6B7627E1"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18</w:t>
            </w:r>
          </w:p>
        </w:tc>
        <w:tc>
          <w:tcPr>
            <w:tcW w:w="2257" w:type="dxa"/>
          </w:tcPr>
          <w:p w14:paraId="2EE4E604"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260</w:t>
            </w:r>
          </w:p>
        </w:tc>
        <w:tc>
          <w:tcPr>
            <w:tcW w:w="2253" w:type="dxa"/>
          </w:tcPr>
          <w:p w14:paraId="1E58E3EC"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520</w:t>
            </w:r>
          </w:p>
        </w:tc>
      </w:tr>
      <w:tr w:rsidR="009C2223" w:rsidRPr="00314858" w14:paraId="6BC4BBE4" w14:textId="77777777" w:rsidTr="00496E8B">
        <w:tc>
          <w:tcPr>
            <w:tcW w:w="2252" w:type="dxa"/>
          </w:tcPr>
          <w:p w14:paraId="71CDCA9E"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61 do &lt; 71</w:t>
            </w:r>
          </w:p>
        </w:tc>
        <w:tc>
          <w:tcPr>
            <w:tcW w:w="2254" w:type="dxa"/>
          </w:tcPr>
          <w:p w14:paraId="7EE30A94"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18</w:t>
            </w:r>
          </w:p>
        </w:tc>
        <w:tc>
          <w:tcPr>
            <w:tcW w:w="2257" w:type="dxa"/>
          </w:tcPr>
          <w:p w14:paraId="6719C148"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300</w:t>
            </w:r>
          </w:p>
        </w:tc>
        <w:tc>
          <w:tcPr>
            <w:tcW w:w="2253" w:type="dxa"/>
          </w:tcPr>
          <w:p w14:paraId="6218C830"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600</w:t>
            </w:r>
          </w:p>
        </w:tc>
      </w:tr>
      <w:tr w:rsidR="009C2223" w:rsidRPr="00314858" w14:paraId="6EE2DA11" w14:textId="77777777" w:rsidTr="00496E8B">
        <w:tc>
          <w:tcPr>
            <w:tcW w:w="2252" w:type="dxa"/>
          </w:tcPr>
          <w:p w14:paraId="75690D97"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71 do &lt; 81</w:t>
            </w:r>
          </w:p>
        </w:tc>
        <w:tc>
          <w:tcPr>
            <w:tcW w:w="2254" w:type="dxa"/>
          </w:tcPr>
          <w:p w14:paraId="5A3B4C1F"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8 do &lt; 18</w:t>
            </w:r>
          </w:p>
        </w:tc>
        <w:tc>
          <w:tcPr>
            <w:tcW w:w="2257" w:type="dxa"/>
          </w:tcPr>
          <w:p w14:paraId="2FE41B40"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300</w:t>
            </w:r>
          </w:p>
        </w:tc>
        <w:tc>
          <w:tcPr>
            <w:tcW w:w="2253" w:type="dxa"/>
          </w:tcPr>
          <w:p w14:paraId="5CF645DB"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600</w:t>
            </w:r>
          </w:p>
        </w:tc>
      </w:tr>
      <w:tr w:rsidR="009C2223" w:rsidRPr="00314858" w14:paraId="7FC12687" w14:textId="77777777" w:rsidTr="00496E8B">
        <w:tc>
          <w:tcPr>
            <w:tcW w:w="2252" w:type="dxa"/>
          </w:tcPr>
          <w:p w14:paraId="0FD4B384"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&gt; 81</w:t>
            </w:r>
          </w:p>
        </w:tc>
        <w:tc>
          <w:tcPr>
            <w:tcW w:w="2254" w:type="dxa"/>
          </w:tcPr>
          <w:p w14:paraId="6DF793CF" w14:textId="77777777" w:rsidR="009C2223" w:rsidRPr="00314858" w:rsidRDefault="009C2223" w:rsidP="00496E8B">
            <w:pPr>
              <w:rPr>
                <w:rFonts w:ascii="Times New Roman" w:hAnsi="Times New Roman" w:cs="Times New Roman"/>
                <w:bCs/>
                <w:noProof/>
                <w:lang w:val="sr-Latn-ME"/>
              </w:rPr>
            </w:pPr>
            <w:r w:rsidRPr="00314858">
              <w:rPr>
                <w:rFonts w:ascii="Times New Roman" w:hAnsi="Times New Roman" w:cs="Times New Roman"/>
                <w:bCs/>
                <w:noProof/>
                <w:lang w:val="sr-Latn-ME"/>
              </w:rPr>
              <w:t>10 do &lt; 18</w:t>
            </w:r>
          </w:p>
        </w:tc>
        <w:tc>
          <w:tcPr>
            <w:tcW w:w="2257" w:type="dxa"/>
          </w:tcPr>
          <w:p w14:paraId="4DEE69A1"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300</w:t>
            </w:r>
          </w:p>
        </w:tc>
        <w:tc>
          <w:tcPr>
            <w:tcW w:w="2253" w:type="dxa"/>
          </w:tcPr>
          <w:p w14:paraId="4E572206" w14:textId="77777777" w:rsidR="009C2223" w:rsidRPr="00314858" w:rsidRDefault="009C2223" w:rsidP="00496E8B">
            <w:pPr>
              <w:jc w:val="center"/>
              <w:rPr>
                <w:rFonts w:ascii="Times New Roman" w:hAnsi="Times New Roman" w:cs="Times New Roman"/>
                <w:bCs/>
                <w:noProof/>
                <w:lang w:val="sr-Latn-ME"/>
              </w:rPr>
            </w:pPr>
            <w:r w:rsidRPr="00314858">
              <w:rPr>
                <w:rFonts w:ascii="Times New Roman" w:hAnsi="Times New Roman" w:cs="Times New Roman"/>
                <w:bCs/>
                <w:noProof/>
                <w:lang w:val="sr-Latn-ME"/>
              </w:rPr>
              <w:t>600</w:t>
            </w:r>
          </w:p>
        </w:tc>
      </w:tr>
    </w:tbl>
    <w:p w14:paraId="57ED31BF" w14:textId="77777777" w:rsidR="008C2AA0" w:rsidRPr="00314858" w:rsidRDefault="008C2AA0" w:rsidP="008C2AA0">
      <w:pPr>
        <w:spacing w:after="0" w:line="240" w:lineRule="auto"/>
        <w:jc w:val="both"/>
        <w:rPr>
          <w:rFonts w:ascii="Times New Roman" w:hAnsi="Times New Roman" w:cs="Times New Roman"/>
          <w:bCs/>
          <w:lang w:val="sr-Latn-ME" w:bidi="en-US"/>
        </w:rPr>
      </w:pPr>
      <w:r w:rsidRPr="00314858">
        <w:rPr>
          <w:rFonts w:ascii="Times New Roman" w:hAnsi="Times New Roman" w:cs="Times New Roman"/>
          <w:bCs/>
          <w:lang w:val="sr-Latn-ME" w:bidi="en-US"/>
        </w:rPr>
        <w:t>Pojedinačne doze za koje su potrebne kombinacije više od jedne kapsule:</w:t>
      </w:r>
    </w:p>
    <w:p w14:paraId="419A51B1" w14:textId="0FDECB16" w:rsidR="008C2AA0" w:rsidRPr="00314858" w:rsidRDefault="008C2AA0" w:rsidP="008C2AA0">
      <w:pPr>
        <w:spacing w:after="0" w:line="240" w:lineRule="auto"/>
        <w:jc w:val="both"/>
        <w:rPr>
          <w:rFonts w:ascii="Times New Roman" w:hAnsi="Times New Roman" w:cs="Times New Roman"/>
          <w:bCs/>
          <w:lang w:val="sr-Latn-ME" w:bidi="en-US"/>
        </w:rPr>
      </w:pPr>
      <w:r w:rsidRPr="00314858">
        <w:rPr>
          <w:rFonts w:ascii="Times New Roman" w:hAnsi="Times New Roman" w:cs="Times New Roman"/>
          <w:bCs/>
          <w:lang w:val="sr-Latn-ME" w:bidi="en-US"/>
        </w:rPr>
        <w:t>300 mg: dv</w:t>
      </w:r>
      <w:r w:rsidR="001B0482" w:rsidRPr="00314858">
        <w:rPr>
          <w:rFonts w:ascii="Times New Roman" w:hAnsi="Times New Roman" w:cs="Times New Roman"/>
          <w:bCs/>
          <w:lang w:val="sr-Latn-ME" w:bidi="en-US"/>
        </w:rPr>
        <w:t>ij</w:t>
      </w:r>
      <w:r w:rsidRPr="00314858">
        <w:rPr>
          <w:rFonts w:ascii="Times New Roman" w:hAnsi="Times New Roman" w:cs="Times New Roman"/>
          <w:bCs/>
          <w:lang w:val="sr-Latn-ME" w:bidi="en-US"/>
        </w:rPr>
        <w:t>e kapsule od 150 mg ili</w:t>
      </w:r>
    </w:p>
    <w:p w14:paraId="583CBCF4" w14:textId="25050EFC" w:rsidR="008C2AA0" w:rsidRPr="00314858" w:rsidRDefault="008C2AA0" w:rsidP="008C2AA0">
      <w:pPr>
        <w:spacing w:after="0" w:line="240" w:lineRule="auto"/>
        <w:ind w:left="720"/>
        <w:jc w:val="both"/>
        <w:rPr>
          <w:rFonts w:ascii="Times New Roman" w:hAnsi="Times New Roman" w:cs="Times New Roman"/>
          <w:bCs/>
          <w:lang w:val="sr-Latn-ME" w:bidi="en-US"/>
        </w:rPr>
      </w:pPr>
      <w:r w:rsidRPr="00314858">
        <w:rPr>
          <w:rFonts w:ascii="Times New Roman" w:hAnsi="Times New Roman" w:cs="Times New Roman"/>
          <w:bCs/>
          <w:lang w:val="sr-Latn-ME" w:bidi="en-US"/>
        </w:rPr>
        <w:t xml:space="preserve"> četiri kapsule od 75 mg</w:t>
      </w:r>
      <w:r w:rsidR="00825BEB" w:rsidRPr="00314858">
        <w:rPr>
          <w:rFonts w:ascii="Times New Roman" w:hAnsi="Times New Roman" w:cs="Times New Roman"/>
          <w:lang w:val="sr-Latn-ME" w:bidi="en-US"/>
        </w:rPr>
        <w:t>*</w:t>
      </w:r>
    </w:p>
    <w:p w14:paraId="2D29CBB0" w14:textId="77777777" w:rsidR="008C2AA0" w:rsidRPr="00314858" w:rsidRDefault="008C2AA0" w:rsidP="008C2AA0">
      <w:pPr>
        <w:spacing w:after="0" w:line="240" w:lineRule="auto"/>
        <w:jc w:val="both"/>
        <w:rPr>
          <w:rFonts w:ascii="Times New Roman" w:hAnsi="Times New Roman" w:cs="Times New Roman"/>
          <w:bCs/>
          <w:lang w:val="sr-Latn-ME" w:bidi="en-US"/>
        </w:rPr>
      </w:pPr>
      <w:r w:rsidRPr="00314858">
        <w:rPr>
          <w:rFonts w:ascii="Times New Roman" w:hAnsi="Times New Roman" w:cs="Times New Roman"/>
          <w:bCs/>
          <w:lang w:val="sr-Latn-ME" w:bidi="en-US"/>
        </w:rPr>
        <w:t>260 mg: jedna kapsula od 110 mg plus jedna kapsula od 150 mg ili</w:t>
      </w:r>
    </w:p>
    <w:p w14:paraId="3777D9C2" w14:textId="6CE0C112" w:rsidR="008C2AA0" w:rsidRPr="00314858" w:rsidRDefault="008C2AA0" w:rsidP="008C2AA0">
      <w:pPr>
        <w:spacing w:after="0" w:line="240" w:lineRule="auto"/>
        <w:ind w:firstLine="720"/>
        <w:jc w:val="both"/>
        <w:rPr>
          <w:rFonts w:ascii="Times New Roman" w:hAnsi="Times New Roman" w:cs="Times New Roman"/>
          <w:bCs/>
          <w:lang w:val="sr-Latn-ME" w:bidi="en-US"/>
        </w:rPr>
      </w:pPr>
      <w:r w:rsidRPr="00314858">
        <w:rPr>
          <w:rFonts w:ascii="Times New Roman" w:hAnsi="Times New Roman" w:cs="Times New Roman"/>
          <w:bCs/>
          <w:lang w:val="sr-Latn-ME" w:bidi="en-US"/>
        </w:rPr>
        <w:t xml:space="preserve"> jedna kapsula od 110 mg plus dv</w:t>
      </w:r>
      <w:r w:rsidR="001B0482" w:rsidRPr="00314858">
        <w:rPr>
          <w:rFonts w:ascii="Times New Roman" w:hAnsi="Times New Roman" w:cs="Times New Roman"/>
          <w:bCs/>
          <w:lang w:val="sr-Latn-ME" w:bidi="en-US"/>
        </w:rPr>
        <w:t>ij</w:t>
      </w:r>
      <w:r w:rsidRPr="00314858">
        <w:rPr>
          <w:rFonts w:ascii="Times New Roman" w:hAnsi="Times New Roman" w:cs="Times New Roman"/>
          <w:bCs/>
          <w:lang w:val="sr-Latn-ME" w:bidi="en-US"/>
        </w:rPr>
        <w:t>e kapsule od 75 mg</w:t>
      </w:r>
      <w:r w:rsidR="00825BEB" w:rsidRPr="00314858">
        <w:rPr>
          <w:rFonts w:ascii="Times New Roman" w:hAnsi="Times New Roman" w:cs="Times New Roman"/>
          <w:lang w:val="sr-Latn-ME" w:bidi="en-US"/>
        </w:rPr>
        <w:t>*</w:t>
      </w:r>
    </w:p>
    <w:p w14:paraId="0BE9B182" w14:textId="2A6C29BE" w:rsidR="008C2AA0" w:rsidRPr="00314858" w:rsidRDefault="008C2AA0" w:rsidP="008C2AA0">
      <w:pPr>
        <w:spacing w:after="0" w:line="240" w:lineRule="auto"/>
        <w:jc w:val="both"/>
        <w:rPr>
          <w:rFonts w:ascii="Times New Roman" w:hAnsi="Times New Roman" w:cs="Times New Roman"/>
          <w:bCs/>
          <w:lang w:val="sr-Latn-ME" w:bidi="en-US"/>
        </w:rPr>
      </w:pPr>
      <w:r w:rsidRPr="00314858">
        <w:rPr>
          <w:rFonts w:ascii="Times New Roman" w:hAnsi="Times New Roman" w:cs="Times New Roman"/>
          <w:bCs/>
          <w:lang w:val="sr-Latn-ME" w:bidi="en-US"/>
        </w:rPr>
        <w:lastRenderedPageBreak/>
        <w:t>220 mg: dv</w:t>
      </w:r>
      <w:r w:rsidR="001B0482" w:rsidRPr="00314858">
        <w:rPr>
          <w:rFonts w:ascii="Times New Roman" w:hAnsi="Times New Roman" w:cs="Times New Roman"/>
          <w:bCs/>
          <w:lang w:val="sr-Latn-ME" w:bidi="en-US"/>
        </w:rPr>
        <w:t>ij</w:t>
      </w:r>
      <w:r w:rsidRPr="00314858">
        <w:rPr>
          <w:rFonts w:ascii="Times New Roman" w:hAnsi="Times New Roman" w:cs="Times New Roman"/>
          <w:bCs/>
          <w:lang w:val="sr-Latn-ME" w:bidi="en-US"/>
        </w:rPr>
        <w:t>e kapsule od 110 mg</w:t>
      </w:r>
    </w:p>
    <w:p w14:paraId="1F4B8D63" w14:textId="6B0C8F8C" w:rsidR="008C2AA0" w:rsidRPr="00314858" w:rsidRDefault="008C2AA0" w:rsidP="008C2AA0">
      <w:pPr>
        <w:spacing w:after="0" w:line="240" w:lineRule="auto"/>
        <w:jc w:val="both"/>
        <w:rPr>
          <w:rFonts w:ascii="Times New Roman" w:hAnsi="Times New Roman" w:cs="Times New Roman"/>
          <w:bCs/>
          <w:lang w:val="sr-Latn-ME" w:bidi="en-US"/>
        </w:rPr>
      </w:pPr>
      <w:r w:rsidRPr="00314858">
        <w:rPr>
          <w:rFonts w:ascii="Times New Roman" w:hAnsi="Times New Roman" w:cs="Times New Roman"/>
          <w:bCs/>
          <w:lang w:val="sr-Latn-ME" w:bidi="en-US"/>
        </w:rPr>
        <w:t>185 mg</w:t>
      </w:r>
      <w:r w:rsidR="00825BEB" w:rsidRPr="00314858">
        <w:rPr>
          <w:rFonts w:ascii="Times New Roman" w:hAnsi="Times New Roman" w:cs="Times New Roman"/>
          <w:lang w:val="sr-Latn-ME" w:bidi="en-US"/>
        </w:rPr>
        <w:t>*</w:t>
      </w:r>
      <w:r w:rsidRPr="00314858">
        <w:rPr>
          <w:rFonts w:ascii="Times New Roman" w:hAnsi="Times New Roman" w:cs="Times New Roman"/>
          <w:bCs/>
          <w:lang w:val="sr-Latn-ME" w:bidi="en-US"/>
        </w:rPr>
        <w:t>: jedna kapsula od 75 mg</w:t>
      </w:r>
      <w:r w:rsidR="00825BEB" w:rsidRPr="00314858">
        <w:rPr>
          <w:rFonts w:ascii="Times New Roman" w:hAnsi="Times New Roman" w:cs="Times New Roman"/>
          <w:lang w:val="sr-Latn-ME" w:bidi="en-US"/>
        </w:rPr>
        <w:t>*</w:t>
      </w:r>
      <w:r w:rsidRPr="00314858">
        <w:rPr>
          <w:rFonts w:ascii="Times New Roman" w:hAnsi="Times New Roman" w:cs="Times New Roman"/>
          <w:bCs/>
          <w:lang w:val="sr-Latn-ME" w:bidi="en-US"/>
        </w:rPr>
        <w:t xml:space="preserve"> plus jedna kapsula od 110 mg</w:t>
      </w:r>
    </w:p>
    <w:p w14:paraId="307BDB8B" w14:textId="77777777" w:rsidR="008C2AA0" w:rsidRPr="00314858" w:rsidRDefault="008C2AA0" w:rsidP="008C2AA0">
      <w:pPr>
        <w:spacing w:after="0" w:line="240" w:lineRule="auto"/>
        <w:jc w:val="both"/>
        <w:rPr>
          <w:rFonts w:ascii="Times New Roman" w:hAnsi="Times New Roman" w:cs="Times New Roman"/>
          <w:bCs/>
          <w:lang w:val="sr-Latn-ME" w:bidi="en-US"/>
        </w:rPr>
      </w:pPr>
      <w:r w:rsidRPr="00314858">
        <w:rPr>
          <w:rFonts w:ascii="Times New Roman" w:hAnsi="Times New Roman" w:cs="Times New Roman"/>
          <w:bCs/>
          <w:lang w:val="sr-Latn-ME" w:bidi="en-US"/>
        </w:rPr>
        <w:t xml:space="preserve">150 mg: jedna kapsula od 150 mg ili </w:t>
      </w:r>
    </w:p>
    <w:p w14:paraId="6C195DA6" w14:textId="59CA9F43" w:rsidR="009C2223" w:rsidRPr="00314858" w:rsidRDefault="008C2AA0" w:rsidP="00A95A46">
      <w:pPr>
        <w:spacing w:after="0" w:line="240" w:lineRule="auto"/>
        <w:ind w:firstLine="720"/>
        <w:jc w:val="both"/>
        <w:rPr>
          <w:rFonts w:ascii="Times New Roman" w:hAnsi="Times New Roman" w:cs="Times New Roman"/>
          <w:bCs/>
          <w:lang w:val="sr-Latn-ME" w:bidi="en-US"/>
        </w:rPr>
      </w:pPr>
      <w:r w:rsidRPr="00314858">
        <w:rPr>
          <w:rFonts w:ascii="Times New Roman" w:hAnsi="Times New Roman" w:cs="Times New Roman"/>
          <w:bCs/>
          <w:lang w:val="sr-Latn-ME" w:bidi="en-US"/>
        </w:rPr>
        <w:t xml:space="preserve"> dv</w:t>
      </w:r>
      <w:r w:rsidR="001B0482" w:rsidRPr="00314858">
        <w:rPr>
          <w:rFonts w:ascii="Times New Roman" w:hAnsi="Times New Roman" w:cs="Times New Roman"/>
          <w:bCs/>
          <w:lang w:val="sr-Latn-ME" w:bidi="en-US"/>
        </w:rPr>
        <w:t>ij</w:t>
      </w:r>
      <w:r w:rsidRPr="00314858">
        <w:rPr>
          <w:rFonts w:ascii="Times New Roman" w:hAnsi="Times New Roman" w:cs="Times New Roman"/>
          <w:bCs/>
          <w:lang w:val="sr-Latn-ME" w:bidi="en-US"/>
        </w:rPr>
        <w:t>e kapsule od 75 mg</w:t>
      </w:r>
      <w:bookmarkStart w:id="2" w:name="_Hlk158445728"/>
      <w:r w:rsidR="00825BEB" w:rsidRPr="00314858">
        <w:rPr>
          <w:rFonts w:ascii="Times New Roman" w:hAnsi="Times New Roman" w:cs="Times New Roman"/>
          <w:lang w:val="sr-Latn-ME" w:bidi="en-US"/>
        </w:rPr>
        <w:t>*</w:t>
      </w:r>
      <w:bookmarkEnd w:id="2"/>
    </w:p>
    <w:p w14:paraId="0AA008B2" w14:textId="77777777" w:rsidR="008C2AA0" w:rsidRPr="00314858" w:rsidRDefault="008C2AA0" w:rsidP="00D67D34">
      <w:pPr>
        <w:spacing w:after="0" w:line="240" w:lineRule="auto"/>
        <w:jc w:val="both"/>
        <w:rPr>
          <w:rFonts w:ascii="Times New Roman" w:hAnsi="Times New Roman" w:cs="Times New Roman"/>
          <w:lang w:val="sr-Latn-ME" w:bidi="en-US"/>
        </w:rPr>
      </w:pPr>
    </w:p>
    <w:p w14:paraId="1648F6EB" w14:textId="6BDD277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*Doza l</w:t>
      </w:r>
      <w:r w:rsidR="001B0482" w:rsidRPr="00314858">
        <w:rPr>
          <w:rFonts w:ascii="Times New Roman" w:hAnsi="Times New Roman" w:cs="Times New Roman"/>
          <w:lang w:val="sr-Latn-ME" w:bidi="en-US"/>
        </w:rPr>
        <w:t>ij</w:t>
      </w:r>
      <w:r w:rsidRPr="00314858">
        <w:rPr>
          <w:rFonts w:ascii="Times New Roman" w:hAnsi="Times New Roman" w:cs="Times New Roman"/>
          <w:lang w:val="sr-Latn-ME" w:bidi="en-US"/>
        </w:rPr>
        <w:t>eka BEREVIN od 75 mg nije dostupna, stoga to nije pogodno za gore</w:t>
      </w:r>
      <w:r w:rsidR="00E719FF"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navedene grupe pacijenata. Za te pacijente treba koristiti druge l</w:t>
      </w:r>
      <w:r w:rsidR="001B0482" w:rsidRPr="00314858">
        <w:rPr>
          <w:rFonts w:ascii="Times New Roman" w:hAnsi="Times New Roman" w:cs="Times New Roman"/>
          <w:lang w:val="sr-Latn-ME" w:bidi="en-US"/>
        </w:rPr>
        <w:t>j</w:t>
      </w:r>
      <w:r w:rsidRPr="00314858">
        <w:rPr>
          <w:rFonts w:ascii="Times New Roman" w:hAnsi="Times New Roman" w:cs="Times New Roman"/>
          <w:lang w:val="sr-Latn-ME" w:bidi="en-US"/>
        </w:rPr>
        <w:t>ekove koji sadrže 75 mg dabigatraneteksilata.</w:t>
      </w:r>
    </w:p>
    <w:p w14:paraId="083561E0" w14:textId="77777777" w:rsidR="00D67D34" w:rsidRPr="00314858" w:rsidRDefault="00D67D34" w:rsidP="00D67D34">
      <w:pPr>
        <w:spacing w:after="0" w:line="240" w:lineRule="auto"/>
        <w:jc w:val="both"/>
        <w:rPr>
          <w:rFonts w:ascii="Times New Roman" w:hAnsi="Times New Roman" w:cs="Times New Roman"/>
          <w:lang w:val="sr-Latn-ME" w:bidi="en-US"/>
        </w:rPr>
      </w:pPr>
    </w:p>
    <w:p w14:paraId="02F89350" w14:textId="6ECD34A6"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Proc</w:t>
      </w:r>
      <w:r w:rsidR="001B0482" w:rsidRPr="00314858">
        <w:rPr>
          <w:rFonts w:ascii="Times New Roman" w:hAnsi="Times New Roman" w:cs="Times New Roman"/>
          <w:i/>
          <w:u w:val="single"/>
          <w:lang w:val="sr-Latn-ME"/>
        </w:rPr>
        <w:t>j</w:t>
      </w:r>
      <w:r w:rsidRPr="00314858">
        <w:rPr>
          <w:rFonts w:ascii="Times New Roman" w:hAnsi="Times New Roman" w:cs="Times New Roman"/>
          <w:i/>
          <w:u w:val="single"/>
          <w:lang w:val="sr-Latn-ME"/>
        </w:rPr>
        <w:t>ena funkcije</w:t>
      </w:r>
      <w:r w:rsidR="00732C12" w:rsidRPr="00314858">
        <w:rPr>
          <w:rFonts w:ascii="Times New Roman" w:hAnsi="Times New Roman" w:cs="Times New Roman"/>
          <w:i/>
          <w:u w:val="single"/>
          <w:lang w:val="sr-Latn-ME"/>
        </w:rPr>
        <w:t xml:space="preserve"> bubrega</w:t>
      </w:r>
      <w:r w:rsidRPr="00314858">
        <w:rPr>
          <w:rFonts w:ascii="Times New Roman" w:hAnsi="Times New Roman" w:cs="Times New Roman"/>
          <w:i/>
          <w:u w:val="single"/>
          <w:lang w:val="sr-Latn-ME"/>
        </w:rPr>
        <w:t xml:space="preserve"> pr</w:t>
      </w:r>
      <w:r w:rsidR="001B0482" w:rsidRPr="00314858">
        <w:rPr>
          <w:rFonts w:ascii="Times New Roman" w:hAnsi="Times New Roman" w:cs="Times New Roman"/>
          <w:i/>
          <w:u w:val="single"/>
          <w:lang w:val="sr-Latn-ME"/>
        </w:rPr>
        <w:t>ij</w:t>
      </w:r>
      <w:r w:rsidRPr="00314858">
        <w:rPr>
          <w:rFonts w:ascii="Times New Roman" w:hAnsi="Times New Roman" w:cs="Times New Roman"/>
          <w:i/>
          <w:u w:val="single"/>
          <w:lang w:val="sr-Latn-ME"/>
        </w:rPr>
        <w:t xml:space="preserve">e i tokom </w:t>
      </w:r>
      <w:r w:rsidR="00732C12" w:rsidRPr="00314858">
        <w:rPr>
          <w:rFonts w:ascii="Times New Roman" w:hAnsi="Times New Roman" w:cs="Times New Roman"/>
          <w:i/>
          <w:u w:val="single"/>
          <w:lang w:val="sr-Latn-ME"/>
        </w:rPr>
        <w:t>terapije</w:t>
      </w:r>
    </w:p>
    <w:p w14:paraId="6FB154B3" w14:textId="77777777" w:rsidR="003C7B11" w:rsidRPr="00314858" w:rsidRDefault="003C7B11" w:rsidP="00D67D34">
      <w:pPr>
        <w:spacing w:after="0" w:line="240" w:lineRule="auto"/>
        <w:jc w:val="both"/>
        <w:rPr>
          <w:rFonts w:ascii="Times New Roman" w:hAnsi="Times New Roman" w:cs="Times New Roman"/>
          <w:i/>
          <w:u w:val="single"/>
          <w:lang w:val="sr-Latn-ME"/>
        </w:rPr>
      </w:pPr>
    </w:p>
    <w:p w14:paraId="39CB0C8D" w14:textId="6DE415D7" w:rsidR="0047333F"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w:t>
      </w:r>
      <w:r w:rsidR="001B0482" w:rsidRPr="00314858">
        <w:rPr>
          <w:rFonts w:ascii="Times New Roman" w:hAnsi="Times New Roman" w:cs="Times New Roman"/>
          <w:lang w:val="sr-Latn-ME"/>
        </w:rPr>
        <w:t>ij</w:t>
      </w:r>
      <w:r w:rsidRPr="00314858">
        <w:rPr>
          <w:rFonts w:ascii="Times New Roman" w:hAnsi="Times New Roman" w:cs="Times New Roman"/>
          <w:lang w:val="sr-Latn-ME"/>
        </w:rPr>
        <w:t>e početka terapije potrebno je odrediti proc</w:t>
      </w:r>
      <w:r w:rsidR="001B0482" w:rsidRPr="00314858">
        <w:rPr>
          <w:rFonts w:ascii="Times New Roman" w:hAnsi="Times New Roman" w:cs="Times New Roman"/>
          <w:lang w:val="sr-Latn-ME"/>
        </w:rPr>
        <w:t>ij</w:t>
      </w:r>
      <w:r w:rsidRPr="00314858">
        <w:rPr>
          <w:rFonts w:ascii="Times New Roman" w:hAnsi="Times New Roman" w:cs="Times New Roman"/>
          <w:lang w:val="sr-Latn-ME"/>
        </w:rPr>
        <w:t>enjenu brzinu glomerularne filtracije (</w:t>
      </w:r>
      <w:r w:rsidR="003C7B11" w:rsidRPr="00314858">
        <w:rPr>
          <w:rFonts w:ascii="Times New Roman" w:eastAsia="Times New Roman" w:hAnsi="Times New Roman" w:cs="Times New Roman"/>
          <w:lang w:val="sr-Latn-ME"/>
        </w:rPr>
        <w:t xml:space="preserve">engl. </w:t>
      </w:r>
      <w:r w:rsidR="003C7B11" w:rsidRPr="00314858">
        <w:rPr>
          <w:rFonts w:ascii="Times New Roman" w:eastAsia="Times New Roman" w:hAnsi="Times New Roman" w:cs="Times New Roman"/>
          <w:i/>
          <w:iCs/>
          <w:lang w:val="sr-Latn-ME"/>
        </w:rPr>
        <w:t>estimated glomerular filtration rate</w:t>
      </w:r>
      <w:r w:rsidR="003C7B11" w:rsidRPr="00314858">
        <w:rPr>
          <w:rFonts w:ascii="Times New Roman" w:eastAsia="Times New Roman" w:hAnsi="Times New Roman" w:cs="Times New Roman"/>
          <w:lang w:val="sr-Latn-ME"/>
        </w:rPr>
        <w:t>,</w:t>
      </w:r>
      <w:r w:rsidR="003C7B11" w:rsidRPr="00314858">
        <w:rPr>
          <w:rFonts w:ascii="Times New Roman" w:hAnsi="Times New Roman" w:cs="Times New Roman"/>
          <w:lang w:val="sr-Latn-ME"/>
        </w:rPr>
        <w:t xml:space="preserve"> eGFR</w:t>
      </w:r>
      <w:r w:rsidRPr="00314858">
        <w:rPr>
          <w:rFonts w:ascii="Times New Roman" w:hAnsi="Times New Roman" w:cs="Times New Roman"/>
          <w:lang w:val="sr-Latn-ME"/>
        </w:rPr>
        <w:t>) prim</w:t>
      </w:r>
      <w:r w:rsidR="002C012A" w:rsidRPr="00314858">
        <w:rPr>
          <w:rFonts w:ascii="Times New Roman" w:hAnsi="Times New Roman" w:cs="Times New Roman"/>
          <w:lang w:val="sr-Latn-ME"/>
        </w:rPr>
        <w:t>j</w:t>
      </w:r>
      <w:r w:rsidRPr="00314858">
        <w:rPr>
          <w:rFonts w:ascii="Times New Roman" w:hAnsi="Times New Roman" w:cs="Times New Roman"/>
          <w:lang w:val="sr-Latn-ME"/>
        </w:rPr>
        <w:t xml:space="preserve">enom </w:t>
      </w:r>
      <w:r w:rsidRPr="00314858">
        <w:rPr>
          <w:rFonts w:ascii="Times New Roman" w:hAnsi="Times New Roman" w:cs="Times New Roman"/>
          <w:i/>
          <w:iCs/>
          <w:lang w:val="sr-Latn-ME"/>
        </w:rPr>
        <w:t>Schwartz-</w:t>
      </w:r>
      <w:r w:rsidRPr="00314858">
        <w:rPr>
          <w:rFonts w:ascii="Times New Roman" w:hAnsi="Times New Roman" w:cs="Times New Roman"/>
          <w:lang w:val="sr-Latn-ME"/>
        </w:rPr>
        <w:t>ove formule</w:t>
      </w:r>
      <w:r w:rsidR="00732C12" w:rsidRPr="00314858">
        <w:rPr>
          <w:rFonts w:ascii="Times New Roman" w:hAnsi="Times New Roman" w:cs="Times New Roman"/>
          <w:lang w:val="sr-Latn-ME"/>
        </w:rPr>
        <w:t xml:space="preserve"> </w:t>
      </w:r>
      <w:r w:rsidR="00732C12" w:rsidRPr="00314858">
        <w:rPr>
          <w:rFonts w:ascii="Times New Roman" w:hAnsi="Times New Roman" w:cs="Times New Roman"/>
          <w:bCs/>
          <w:lang w:val="sr-Latn-ME"/>
        </w:rPr>
        <w:t>(prov</w:t>
      </w:r>
      <w:r w:rsidR="002C012A" w:rsidRPr="00314858">
        <w:rPr>
          <w:rFonts w:ascii="Times New Roman" w:hAnsi="Times New Roman" w:cs="Times New Roman"/>
          <w:bCs/>
          <w:lang w:val="sr-Latn-ME"/>
        </w:rPr>
        <w:t>j</w:t>
      </w:r>
      <w:r w:rsidR="00732C12" w:rsidRPr="00314858">
        <w:rPr>
          <w:rFonts w:ascii="Times New Roman" w:hAnsi="Times New Roman" w:cs="Times New Roman"/>
          <w:bCs/>
          <w:lang w:val="sr-Latn-ME"/>
        </w:rPr>
        <w:t>eriti u nadležnoj laboratoriji koja se metoda koristi za proc</w:t>
      </w:r>
      <w:r w:rsidR="002C012A" w:rsidRPr="00314858">
        <w:rPr>
          <w:rFonts w:ascii="Times New Roman" w:hAnsi="Times New Roman" w:cs="Times New Roman"/>
          <w:bCs/>
          <w:lang w:val="sr-Latn-ME"/>
        </w:rPr>
        <w:t>j</w:t>
      </w:r>
      <w:r w:rsidR="00732C12" w:rsidRPr="00314858">
        <w:rPr>
          <w:rFonts w:ascii="Times New Roman" w:hAnsi="Times New Roman" w:cs="Times New Roman"/>
          <w:bCs/>
          <w:lang w:val="sr-Latn-ME"/>
        </w:rPr>
        <w:t>enu kreatinina)</w:t>
      </w:r>
      <w:r w:rsidR="00732C12" w:rsidRPr="00314858">
        <w:rPr>
          <w:rFonts w:ascii="Times New Roman" w:hAnsi="Times New Roman" w:cs="Times New Roman"/>
          <w:lang w:val="sr-Latn-ME"/>
        </w:rPr>
        <w:t>.</w:t>
      </w:r>
    </w:p>
    <w:p w14:paraId="3A377D6C" w14:textId="77777777" w:rsidR="0047333F" w:rsidRPr="00314858" w:rsidRDefault="0047333F" w:rsidP="00D67D34">
      <w:pPr>
        <w:spacing w:after="0" w:line="240" w:lineRule="auto"/>
        <w:jc w:val="both"/>
        <w:rPr>
          <w:rFonts w:ascii="Times New Roman" w:hAnsi="Times New Roman" w:cs="Times New Roman"/>
          <w:lang w:val="sr-Latn-ME"/>
        </w:rPr>
      </w:pPr>
    </w:p>
    <w:p w14:paraId="2D8B84F3" w14:textId="4F8E6BA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Terapija dabigatraneteksilatom kod pedijatrijskih pacijenata sa eGFR &lt;</w:t>
      </w:r>
      <w:r w:rsidR="00E719FF" w:rsidRPr="00314858">
        <w:rPr>
          <w:rFonts w:ascii="Times New Roman" w:hAnsi="Times New Roman" w:cs="Times New Roman"/>
          <w:lang w:val="sr-Latn-ME"/>
        </w:rPr>
        <w:t xml:space="preserve"> </w:t>
      </w:r>
      <w:r w:rsidRPr="00314858">
        <w:rPr>
          <w:rFonts w:ascii="Times New Roman" w:hAnsi="Times New Roman" w:cs="Times New Roman"/>
          <w:lang w:val="sr-Latn-ME"/>
        </w:rPr>
        <w:t>50 m</w:t>
      </w:r>
      <w:r w:rsidR="00E719FF" w:rsidRPr="00314858">
        <w:rPr>
          <w:rFonts w:ascii="Times New Roman" w:hAnsi="Times New Roman" w:cs="Times New Roman"/>
          <w:lang w:val="sr-Latn-ME"/>
        </w:rPr>
        <w:t>l</w:t>
      </w:r>
      <w:r w:rsidRPr="00314858">
        <w:rPr>
          <w:rFonts w:ascii="Times New Roman" w:hAnsi="Times New Roman" w:cs="Times New Roman"/>
          <w:lang w:val="sr-Latn-ME"/>
        </w:rPr>
        <w:t>/min/</w:t>
      </w:r>
      <w:r w:rsidR="0047333F" w:rsidRPr="00314858">
        <w:rPr>
          <w:rFonts w:ascii="Times New Roman" w:hAnsi="Times New Roman" w:cs="Times New Roman"/>
          <w:lang w:val="sr-Latn-ME"/>
        </w:rPr>
        <w:t>1</w:t>
      </w:r>
      <w:r w:rsidRPr="00314858">
        <w:rPr>
          <w:rFonts w:ascii="Times New Roman" w:hAnsi="Times New Roman" w:cs="Times New Roman"/>
          <w:lang w:val="sr-Latn-ME"/>
        </w:rPr>
        <w:t>,73 m</w:t>
      </w:r>
      <w:r w:rsidRPr="00314858">
        <w:rPr>
          <w:rFonts w:ascii="Times New Roman" w:hAnsi="Times New Roman" w:cs="Times New Roman"/>
          <w:vertAlign w:val="superscript"/>
          <w:lang w:val="sr-Latn-ME"/>
        </w:rPr>
        <w:t>2</w:t>
      </w:r>
      <w:r w:rsidRPr="00314858">
        <w:rPr>
          <w:rFonts w:ascii="Times New Roman" w:hAnsi="Times New Roman" w:cs="Times New Roman"/>
          <w:lang w:val="sr-Latn-ME"/>
        </w:rPr>
        <w:t xml:space="preserve"> je kontraindikovana (vid</w:t>
      </w:r>
      <w:r w:rsidR="002C012A"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2C012A" w:rsidRPr="00314858">
        <w:rPr>
          <w:rFonts w:ascii="Times New Roman" w:hAnsi="Times New Roman" w:cs="Times New Roman"/>
          <w:lang w:val="sr-Latn-ME"/>
        </w:rPr>
        <w:t>dio</w:t>
      </w:r>
      <w:r w:rsidRPr="00314858">
        <w:rPr>
          <w:rFonts w:ascii="Times New Roman" w:hAnsi="Times New Roman" w:cs="Times New Roman"/>
          <w:lang w:val="sr-Latn-ME"/>
        </w:rPr>
        <w:t xml:space="preserve"> 4.3).</w:t>
      </w:r>
    </w:p>
    <w:p w14:paraId="64E45587" w14:textId="77777777" w:rsidR="0047333F" w:rsidRPr="00314858" w:rsidRDefault="0047333F" w:rsidP="00D67D34">
      <w:pPr>
        <w:spacing w:after="0" w:line="240" w:lineRule="auto"/>
        <w:jc w:val="both"/>
        <w:rPr>
          <w:rFonts w:ascii="Times New Roman" w:hAnsi="Times New Roman" w:cs="Times New Roman"/>
          <w:lang w:val="sr-Latn-ME"/>
        </w:rPr>
      </w:pPr>
    </w:p>
    <w:p w14:paraId="5C782575" w14:textId="25C3FE1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bidi="en-US"/>
        </w:rPr>
        <w:t xml:space="preserve">Pacijente sa </w:t>
      </w:r>
      <w:r w:rsidRPr="00314858">
        <w:rPr>
          <w:rFonts w:ascii="Times New Roman" w:hAnsi="Times New Roman" w:cs="Times New Roman"/>
          <w:lang w:val="sr-Latn-ME"/>
        </w:rPr>
        <w:t>eGFR ≥</w:t>
      </w:r>
      <w:r w:rsidR="00E719FF" w:rsidRPr="00314858">
        <w:rPr>
          <w:rFonts w:ascii="Times New Roman" w:hAnsi="Times New Roman" w:cs="Times New Roman"/>
          <w:lang w:val="sr-Latn-ME"/>
        </w:rPr>
        <w:t xml:space="preserve"> </w:t>
      </w:r>
      <w:r w:rsidRPr="00314858">
        <w:rPr>
          <w:rFonts w:ascii="Times New Roman" w:hAnsi="Times New Roman" w:cs="Times New Roman"/>
          <w:lang w:val="sr-Latn-ME"/>
        </w:rPr>
        <w:t>50 m</w:t>
      </w:r>
      <w:r w:rsidR="00E719FF" w:rsidRPr="00314858">
        <w:rPr>
          <w:rFonts w:ascii="Times New Roman" w:hAnsi="Times New Roman" w:cs="Times New Roman"/>
          <w:lang w:val="sr-Latn-ME"/>
        </w:rPr>
        <w:t>l</w:t>
      </w:r>
      <w:r w:rsidRPr="00314858">
        <w:rPr>
          <w:rFonts w:ascii="Times New Roman" w:hAnsi="Times New Roman" w:cs="Times New Roman"/>
          <w:lang w:val="sr-Latn-ME"/>
        </w:rPr>
        <w:t>/min/1,73 m</w:t>
      </w:r>
      <w:r w:rsidRPr="00314858">
        <w:rPr>
          <w:rFonts w:ascii="Times New Roman" w:hAnsi="Times New Roman" w:cs="Times New Roman"/>
          <w:vertAlign w:val="superscript"/>
          <w:lang w:val="sr-Latn-ME"/>
        </w:rPr>
        <w:t>2</w:t>
      </w:r>
      <w:r w:rsidRPr="00314858">
        <w:rPr>
          <w:rFonts w:ascii="Times New Roman" w:hAnsi="Times New Roman" w:cs="Times New Roman"/>
          <w:lang w:val="sr-Latn-ME"/>
        </w:rPr>
        <w:t xml:space="preserve"> potrebno je l</w:t>
      </w:r>
      <w:r w:rsidR="002C012A" w:rsidRPr="00314858">
        <w:rPr>
          <w:rFonts w:ascii="Times New Roman" w:hAnsi="Times New Roman" w:cs="Times New Roman"/>
          <w:lang w:val="sr-Latn-ME"/>
        </w:rPr>
        <w:t>ij</w:t>
      </w:r>
      <w:r w:rsidRPr="00314858">
        <w:rPr>
          <w:rFonts w:ascii="Times New Roman" w:hAnsi="Times New Roman" w:cs="Times New Roman"/>
          <w:lang w:val="sr-Latn-ME"/>
        </w:rPr>
        <w:t xml:space="preserve">ečiti dozom prema </w:t>
      </w:r>
      <w:r w:rsidR="00732C12" w:rsidRPr="00314858">
        <w:rPr>
          <w:rFonts w:ascii="Times New Roman" w:hAnsi="Times New Roman" w:cs="Times New Roman"/>
          <w:lang w:val="sr-Latn-ME"/>
        </w:rPr>
        <w:t>t</w:t>
      </w:r>
      <w:r w:rsidRPr="00314858">
        <w:rPr>
          <w:rFonts w:ascii="Times New Roman" w:hAnsi="Times New Roman" w:cs="Times New Roman"/>
          <w:lang w:val="sr-Latn-ME"/>
        </w:rPr>
        <w:t>abeli 3.</w:t>
      </w:r>
    </w:p>
    <w:p w14:paraId="0EDC7B67" w14:textId="77777777" w:rsidR="0047333F" w:rsidRPr="00314858" w:rsidRDefault="0047333F" w:rsidP="00D67D34">
      <w:pPr>
        <w:spacing w:after="0" w:line="240" w:lineRule="auto"/>
        <w:jc w:val="both"/>
        <w:rPr>
          <w:rFonts w:ascii="Times New Roman" w:hAnsi="Times New Roman" w:cs="Times New Roman"/>
          <w:lang w:val="sr-Latn-ME"/>
        </w:rPr>
      </w:pPr>
    </w:p>
    <w:p w14:paraId="0841E8C7" w14:textId="240B4706"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Tokom terapije potrebno je proc</w:t>
      </w:r>
      <w:r w:rsidR="002C012A" w:rsidRPr="00314858">
        <w:rPr>
          <w:rFonts w:ascii="Times New Roman" w:hAnsi="Times New Roman" w:cs="Times New Roman"/>
          <w:lang w:val="sr-Latn-ME"/>
        </w:rPr>
        <w:t>j</w:t>
      </w:r>
      <w:r w:rsidRPr="00314858">
        <w:rPr>
          <w:rFonts w:ascii="Times New Roman" w:hAnsi="Times New Roman" w:cs="Times New Roman"/>
          <w:lang w:val="sr-Latn-ME"/>
        </w:rPr>
        <w:t xml:space="preserve">eniti funkciju </w:t>
      </w:r>
      <w:r w:rsidR="00732C12" w:rsidRPr="00314858">
        <w:rPr>
          <w:rFonts w:ascii="Times New Roman" w:hAnsi="Times New Roman" w:cs="Times New Roman"/>
          <w:lang w:val="sr-Latn-ME"/>
        </w:rPr>
        <w:t xml:space="preserve">bubrega </w:t>
      </w:r>
      <w:r w:rsidRPr="00314858">
        <w:rPr>
          <w:rFonts w:ascii="Times New Roman" w:hAnsi="Times New Roman" w:cs="Times New Roman"/>
          <w:lang w:val="sr-Latn-ME"/>
        </w:rPr>
        <w:t xml:space="preserve">u određenim kliničkim situacijama kada se sumnja na mogućnost slabljenja ili pogoršanja funkcije </w:t>
      </w:r>
      <w:r w:rsidR="00732C12" w:rsidRPr="00314858">
        <w:rPr>
          <w:rFonts w:ascii="Times New Roman" w:hAnsi="Times New Roman" w:cs="Times New Roman"/>
          <w:lang w:val="sr-Latn-ME"/>
        </w:rPr>
        <w:t xml:space="preserve">bubrega </w:t>
      </w:r>
      <w:r w:rsidRPr="00314858">
        <w:rPr>
          <w:rFonts w:ascii="Times New Roman" w:hAnsi="Times New Roman" w:cs="Times New Roman"/>
          <w:lang w:val="sr-Latn-ME"/>
        </w:rPr>
        <w:t>(kao kod hipovolemije, dehidra</w:t>
      </w:r>
      <w:r w:rsidR="00732C12" w:rsidRPr="00314858">
        <w:rPr>
          <w:rFonts w:ascii="Times New Roman" w:hAnsi="Times New Roman" w:cs="Times New Roman"/>
          <w:lang w:val="sr-Latn-ME"/>
        </w:rPr>
        <w:t>ta</w:t>
      </w:r>
      <w:r w:rsidRPr="00314858">
        <w:rPr>
          <w:rFonts w:ascii="Times New Roman" w:hAnsi="Times New Roman" w:cs="Times New Roman"/>
          <w:lang w:val="sr-Latn-ME"/>
        </w:rPr>
        <w:t>cije i istovremene prim</w:t>
      </w:r>
      <w:r w:rsidR="00E719FF" w:rsidRPr="00314858">
        <w:rPr>
          <w:rFonts w:ascii="Times New Roman" w:hAnsi="Times New Roman" w:cs="Times New Roman"/>
          <w:lang w:val="sr-Latn-ME"/>
        </w:rPr>
        <w:t>j</w:t>
      </w:r>
      <w:r w:rsidRPr="00314858">
        <w:rPr>
          <w:rFonts w:ascii="Times New Roman" w:hAnsi="Times New Roman" w:cs="Times New Roman"/>
          <w:lang w:val="sr-Latn-ME"/>
        </w:rPr>
        <w:t>ene određenih l</w:t>
      </w:r>
      <w:r w:rsidR="002C012A" w:rsidRPr="00314858">
        <w:rPr>
          <w:rFonts w:ascii="Times New Roman" w:hAnsi="Times New Roman" w:cs="Times New Roman"/>
          <w:lang w:val="sr-Latn-ME"/>
        </w:rPr>
        <w:t>j</w:t>
      </w:r>
      <w:r w:rsidRPr="00314858">
        <w:rPr>
          <w:rFonts w:ascii="Times New Roman" w:hAnsi="Times New Roman" w:cs="Times New Roman"/>
          <w:lang w:val="sr-Latn-ME"/>
        </w:rPr>
        <w:t>ekova, itd).</w:t>
      </w:r>
    </w:p>
    <w:p w14:paraId="43D9A652" w14:textId="77777777" w:rsidR="0047333F" w:rsidRPr="00314858" w:rsidRDefault="0047333F" w:rsidP="00D67D34">
      <w:pPr>
        <w:spacing w:after="0" w:line="240" w:lineRule="auto"/>
        <w:jc w:val="both"/>
        <w:rPr>
          <w:rFonts w:ascii="Times New Roman" w:hAnsi="Times New Roman" w:cs="Times New Roman"/>
          <w:lang w:val="sr-Latn-ME"/>
        </w:rPr>
      </w:pPr>
    </w:p>
    <w:p w14:paraId="638BC3A7" w14:textId="3E9F85F2"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Trajanje prim</w:t>
      </w:r>
      <w:r w:rsidR="006012CF" w:rsidRPr="00314858">
        <w:rPr>
          <w:rFonts w:ascii="Times New Roman" w:hAnsi="Times New Roman" w:cs="Times New Roman"/>
          <w:i/>
          <w:u w:val="single"/>
          <w:lang w:val="sr-Latn-ME"/>
        </w:rPr>
        <w:t>j</w:t>
      </w:r>
      <w:r w:rsidRPr="00314858">
        <w:rPr>
          <w:rFonts w:ascii="Times New Roman" w:hAnsi="Times New Roman" w:cs="Times New Roman"/>
          <w:i/>
          <w:u w:val="single"/>
          <w:lang w:val="sr-Latn-ME"/>
        </w:rPr>
        <w:t>ene</w:t>
      </w:r>
    </w:p>
    <w:p w14:paraId="7A8F788E" w14:textId="77777777" w:rsidR="0047333F" w:rsidRPr="00314858" w:rsidRDefault="0047333F" w:rsidP="00D67D34">
      <w:pPr>
        <w:spacing w:after="0" w:line="240" w:lineRule="auto"/>
        <w:jc w:val="both"/>
        <w:rPr>
          <w:rFonts w:ascii="Times New Roman" w:hAnsi="Times New Roman" w:cs="Times New Roman"/>
          <w:i/>
          <w:lang w:val="sr-Latn-ME"/>
        </w:rPr>
      </w:pPr>
    </w:p>
    <w:p w14:paraId="2528B46E" w14:textId="5FA7AD90" w:rsidR="00033267" w:rsidRPr="00314858" w:rsidRDefault="00033267" w:rsidP="00033267">
      <w:pPr>
        <w:spacing w:after="0" w:line="240" w:lineRule="auto"/>
        <w:jc w:val="both"/>
        <w:rPr>
          <w:rFonts w:ascii="Times New Roman" w:hAnsi="Times New Roman" w:cs="Times New Roman"/>
          <w:bCs/>
          <w:lang w:val="sr-Latn-ME"/>
        </w:rPr>
      </w:pPr>
      <w:r w:rsidRPr="00314858">
        <w:rPr>
          <w:rFonts w:ascii="Times New Roman" w:hAnsi="Times New Roman" w:cs="Times New Roman"/>
          <w:bCs/>
          <w:lang w:val="sr-Latn-ME"/>
        </w:rPr>
        <w:t>Trajanje terapije treba da se prilagodi individualnim potrebama na osnovu proc</w:t>
      </w:r>
      <w:r w:rsidR="002C012A" w:rsidRPr="00314858">
        <w:rPr>
          <w:rFonts w:ascii="Times New Roman" w:hAnsi="Times New Roman" w:cs="Times New Roman"/>
          <w:bCs/>
          <w:lang w:val="sr-Latn-ME"/>
        </w:rPr>
        <w:t>j</w:t>
      </w:r>
      <w:r w:rsidRPr="00314858">
        <w:rPr>
          <w:rFonts w:ascii="Times New Roman" w:hAnsi="Times New Roman" w:cs="Times New Roman"/>
          <w:bCs/>
          <w:lang w:val="sr-Latn-ME"/>
        </w:rPr>
        <w:t>ene odnosa koristi i rizika.</w:t>
      </w:r>
    </w:p>
    <w:p w14:paraId="5767DAFC" w14:textId="77777777" w:rsidR="0047333F" w:rsidRPr="00314858" w:rsidRDefault="0047333F" w:rsidP="00D67D34">
      <w:pPr>
        <w:spacing w:after="0" w:line="240" w:lineRule="auto"/>
        <w:jc w:val="both"/>
        <w:rPr>
          <w:rFonts w:ascii="Times New Roman" w:hAnsi="Times New Roman" w:cs="Times New Roman"/>
          <w:lang w:val="sr-Latn-ME"/>
        </w:rPr>
      </w:pPr>
    </w:p>
    <w:p w14:paraId="6D5CB64F" w14:textId="4648D814"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Propuštena doza</w:t>
      </w:r>
    </w:p>
    <w:p w14:paraId="3952E407" w14:textId="77777777" w:rsidR="006250A0" w:rsidRPr="00314858" w:rsidRDefault="006250A0" w:rsidP="00D67D34">
      <w:pPr>
        <w:spacing w:after="0" w:line="240" w:lineRule="auto"/>
        <w:jc w:val="both"/>
        <w:rPr>
          <w:rFonts w:ascii="Times New Roman" w:hAnsi="Times New Roman" w:cs="Times New Roman"/>
          <w:i/>
          <w:u w:val="single"/>
          <w:lang w:val="sr-Latn-ME"/>
        </w:rPr>
      </w:pPr>
    </w:p>
    <w:p w14:paraId="166089D8" w14:textId="0021FCC3" w:rsidR="006B7B8C" w:rsidRPr="00314858" w:rsidRDefault="006B7B8C"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Zaboravljena doza dabigatraneteksilata može se i dalje uzeti do 6 sati pr</w:t>
      </w:r>
      <w:r w:rsidR="002C012A" w:rsidRPr="00314858">
        <w:rPr>
          <w:rFonts w:ascii="Times New Roman" w:hAnsi="Times New Roman" w:cs="Times New Roman"/>
          <w:lang w:val="sr-Latn-ME"/>
        </w:rPr>
        <w:t>ij</w:t>
      </w:r>
      <w:r w:rsidRPr="00314858">
        <w:rPr>
          <w:rFonts w:ascii="Times New Roman" w:hAnsi="Times New Roman" w:cs="Times New Roman"/>
          <w:lang w:val="sr-Latn-ME"/>
        </w:rPr>
        <w:t>e sl</w:t>
      </w:r>
      <w:r w:rsidR="002C012A" w:rsidRPr="00314858">
        <w:rPr>
          <w:rFonts w:ascii="Times New Roman" w:hAnsi="Times New Roman" w:cs="Times New Roman"/>
          <w:lang w:val="sr-Latn-ME"/>
        </w:rPr>
        <w:t>j</w:t>
      </w:r>
      <w:r w:rsidRPr="00314858">
        <w:rPr>
          <w:rFonts w:ascii="Times New Roman" w:hAnsi="Times New Roman" w:cs="Times New Roman"/>
          <w:lang w:val="sr-Latn-ME"/>
        </w:rPr>
        <w:t xml:space="preserve">edeće planirane doze prema rasporedu doziranja. </w:t>
      </w:r>
      <w:r w:rsidRPr="00314858">
        <w:rPr>
          <w:rFonts w:ascii="Times New Roman" w:hAnsi="Times New Roman" w:cs="Times New Roman"/>
          <w:bCs/>
          <w:lang w:val="sr-Latn-ME"/>
        </w:rPr>
        <w:t>Ako je preostalo vr</w:t>
      </w:r>
      <w:r w:rsidR="002C012A" w:rsidRPr="00314858">
        <w:rPr>
          <w:rFonts w:ascii="Times New Roman" w:hAnsi="Times New Roman" w:cs="Times New Roman"/>
          <w:bCs/>
          <w:lang w:val="sr-Latn-ME"/>
        </w:rPr>
        <w:t>ij</w:t>
      </w:r>
      <w:r w:rsidRPr="00314858">
        <w:rPr>
          <w:rFonts w:ascii="Times New Roman" w:hAnsi="Times New Roman" w:cs="Times New Roman"/>
          <w:bCs/>
          <w:lang w:val="sr-Latn-ME"/>
        </w:rPr>
        <w:t>eme do sl</w:t>
      </w:r>
      <w:r w:rsidR="002C012A" w:rsidRPr="00314858">
        <w:rPr>
          <w:rFonts w:ascii="Times New Roman" w:hAnsi="Times New Roman" w:cs="Times New Roman"/>
          <w:bCs/>
          <w:lang w:val="sr-Latn-ME"/>
        </w:rPr>
        <w:t>j</w:t>
      </w:r>
      <w:r w:rsidRPr="00314858">
        <w:rPr>
          <w:rFonts w:ascii="Times New Roman" w:hAnsi="Times New Roman" w:cs="Times New Roman"/>
          <w:bCs/>
          <w:lang w:val="sr-Latn-ME"/>
        </w:rPr>
        <w:t>edeće planirane doze kraće od 6 sati, propuštena doza se preskače.</w:t>
      </w:r>
      <w:r w:rsidRPr="00314858">
        <w:rPr>
          <w:rFonts w:ascii="Times New Roman" w:hAnsi="Times New Roman" w:cs="Times New Roman"/>
          <w:lang w:val="sr-Latn-ME"/>
        </w:rPr>
        <w:t xml:space="preserve"> </w:t>
      </w:r>
    </w:p>
    <w:p w14:paraId="18CADD14" w14:textId="79CA749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Nikad se ne sm</w:t>
      </w:r>
      <w:r w:rsidR="00237B78" w:rsidRPr="00314858">
        <w:rPr>
          <w:rFonts w:ascii="Times New Roman" w:hAnsi="Times New Roman" w:cs="Times New Roman"/>
          <w:lang w:val="sr-Latn-ME"/>
        </w:rPr>
        <w:t>ij</w:t>
      </w:r>
      <w:r w:rsidRPr="00314858">
        <w:rPr>
          <w:rFonts w:ascii="Times New Roman" w:hAnsi="Times New Roman" w:cs="Times New Roman"/>
          <w:lang w:val="sr-Latn-ME"/>
        </w:rPr>
        <w:t>e uzeti dvostruka doza kako bi se nadoknadile propuštene pojedinačne doze.</w:t>
      </w:r>
    </w:p>
    <w:p w14:paraId="36FB951B" w14:textId="77777777" w:rsidR="0047333F" w:rsidRPr="00314858" w:rsidRDefault="0047333F" w:rsidP="00D67D34">
      <w:pPr>
        <w:spacing w:after="0" w:line="240" w:lineRule="auto"/>
        <w:jc w:val="both"/>
        <w:rPr>
          <w:rFonts w:ascii="Times New Roman" w:hAnsi="Times New Roman" w:cs="Times New Roman"/>
          <w:lang w:val="sr-Latn-ME"/>
        </w:rPr>
      </w:pPr>
    </w:p>
    <w:p w14:paraId="398FFCCB" w14:textId="65482BDA"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 xml:space="preserve">Prekid </w:t>
      </w:r>
      <w:r w:rsidR="006B7B8C" w:rsidRPr="00314858">
        <w:rPr>
          <w:rFonts w:ascii="Times New Roman" w:hAnsi="Times New Roman" w:cs="Times New Roman"/>
          <w:i/>
          <w:u w:val="single"/>
          <w:lang w:val="sr-Latn-ME"/>
        </w:rPr>
        <w:t>terapije</w:t>
      </w:r>
      <w:r w:rsidRPr="00314858">
        <w:rPr>
          <w:rFonts w:ascii="Times New Roman" w:hAnsi="Times New Roman" w:cs="Times New Roman"/>
          <w:i/>
          <w:u w:val="single"/>
          <w:lang w:val="sr-Latn-ME"/>
        </w:rPr>
        <w:t xml:space="preserve"> dabigatraneteksilat</w:t>
      </w:r>
      <w:r w:rsidR="006B7B8C" w:rsidRPr="00314858">
        <w:rPr>
          <w:rFonts w:ascii="Times New Roman" w:hAnsi="Times New Roman" w:cs="Times New Roman"/>
          <w:i/>
          <w:u w:val="single"/>
          <w:lang w:val="sr-Latn-ME"/>
        </w:rPr>
        <w:t>om</w:t>
      </w:r>
    </w:p>
    <w:p w14:paraId="01FBAC15" w14:textId="77777777" w:rsidR="0047333F" w:rsidRPr="00314858" w:rsidRDefault="0047333F" w:rsidP="00D67D34">
      <w:pPr>
        <w:spacing w:after="0" w:line="240" w:lineRule="auto"/>
        <w:jc w:val="both"/>
        <w:rPr>
          <w:rFonts w:ascii="Times New Roman" w:hAnsi="Times New Roman" w:cs="Times New Roman"/>
          <w:i/>
          <w:u w:val="single"/>
          <w:lang w:val="sr-Latn-ME"/>
        </w:rPr>
      </w:pPr>
    </w:p>
    <w:p w14:paraId="63E1B7E2" w14:textId="798A84C5" w:rsidR="00D67D34" w:rsidRPr="00314858" w:rsidRDefault="006B7B8C"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Terapija</w:t>
      </w:r>
      <w:r w:rsidR="00D67D34" w:rsidRPr="00314858">
        <w:rPr>
          <w:rFonts w:ascii="Times New Roman" w:hAnsi="Times New Roman" w:cs="Times New Roman"/>
          <w:lang w:val="sr-Latn-ME"/>
        </w:rPr>
        <w:t xml:space="preserve"> dabigatraneteksilatom se ne sm</w:t>
      </w:r>
      <w:r w:rsidR="007B403A" w:rsidRPr="00314858">
        <w:rPr>
          <w:rFonts w:ascii="Times New Roman" w:hAnsi="Times New Roman" w:cs="Times New Roman"/>
          <w:lang w:val="sr-Latn-ME"/>
        </w:rPr>
        <w:t>ij</w:t>
      </w:r>
      <w:r w:rsidR="00D67D34" w:rsidRPr="00314858">
        <w:rPr>
          <w:rFonts w:ascii="Times New Roman" w:hAnsi="Times New Roman" w:cs="Times New Roman"/>
          <w:lang w:val="sr-Latn-ME"/>
        </w:rPr>
        <w:t>e prekinuti bez l</w:t>
      </w:r>
      <w:r w:rsidR="007B403A" w:rsidRPr="00314858">
        <w:rPr>
          <w:rFonts w:ascii="Times New Roman" w:hAnsi="Times New Roman" w:cs="Times New Roman"/>
          <w:lang w:val="sr-Latn-ME"/>
        </w:rPr>
        <w:t>j</w:t>
      </w:r>
      <w:r w:rsidR="00D67D34" w:rsidRPr="00314858">
        <w:rPr>
          <w:rFonts w:ascii="Times New Roman" w:hAnsi="Times New Roman" w:cs="Times New Roman"/>
          <w:lang w:val="sr-Latn-ME"/>
        </w:rPr>
        <w:t>ekarskog sav</w:t>
      </w:r>
      <w:r w:rsidR="007B403A" w:rsidRPr="00314858">
        <w:rPr>
          <w:rFonts w:ascii="Times New Roman" w:hAnsi="Times New Roman" w:cs="Times New Roman"/>
          <w:lang w:val="sr-Latn-ME"/>
        </w:rPr>
        <w:t>j</w:t>
      </w:r>
      <w:r w:rsidR="00D67D34" w:rsidRPr="00314858">
        <w:rPr>
          <w:rFonts w:ascii="Times New Roman" w:hAnsi="Times New Roman" w:cs="Times New Roman"/>
          <w:lang w:val="sr-Latn-ME"/>
        </w:rPr>
        <w:t>eta. Pacijente ili njihove negovatelje je potrebno uputiti da se obrate ordinirajućem l</w:t>
      </w:r>
      <w:r w:rsidR="007B403A" w:rsidRPr="00314858">
        <w:rPr>
          <w:rFonts w:ascii="Times New Roman" w:hAnsi="Times New Roman" w:cs="Times New Roman"/>
          <w:lang w:val="sr-Latn-ME"/>
        </w:rPr>
        <w:t>j</w:t>
      </w:r>
      <w:r w:rsidR="00D67D34" w:rsidRPr="00314858">
        <w:rPr>
          <w:rFonts w:ascii="Times New Roman" w:hAnsi="Times New Roman" w:cs="Times New Roman"/>
          <w:lang w:val="sr-Latn-ME"/>
        </w:rPr>
        <w:t>ekaru ako razviju gastrointestinalne simptome, kao što je dispepsija (vid</w:t>
      </w:r>
      <w:r w:rsidR="007B403A"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eti </w:t>
      </w:r>
      <w:r w:rsidR="007B403A" w:rsidRPr="00314858">
        <w:rPr>
          <w:rFonts w:ascii="Times New Roman" w:hAnsi="Times New Roman" w:cs="Times New Roman"/>
          <w:lang w:val="sr-Latn-ME"/>
        </w:rPr>
        <w:t>dio</w:t>
      </w:r>
      <w:r w:rsidR="00D67D34" w:rsidRPr="00314858">
        <w:rPr>
          <w:rFonts w:ascii="Times New Roman" w:hAnsi="Times New Roman" w:cs="Times New Roman"/>
          <w:lang w:val="sr-Latn-ME"/>
        </w:rPr>
        <w:t xml:space="preserve"> 4.8).</w:t>
      </w:r>
    </w:p>
    <w:p w14:paraId="78711792" w14:textId="77777777" w:rsidR="0047333F" w:rsidRPr="00314858" w:rsidRDefault="0047333F" w:rsidP="00D67D34">
      <w:pPr>
        <w:spacing w:after="0" w:line="240" w:lineRule="auto"/>
        <w:jc w:val="both"/>
        <w:rPr>
          <w:rFonts w:ascii="Times New Roman" w:hAnsi="Times New Roman" w:cs="Times New Roman"/>
          <w:lang w:val="sr-Latn-ME"/>
        </w:rPr>
      </w:pPr>
    </w:p>
    <w:p w14:paraId="65584585" w14:textId="757C58BA" w:rsidR="00D67D34" w:rsidRPr="00314858" w:rsidRDefault="009057F7"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Prelazak na drugi l</w:t>
      </w:r>
      <w:r w:rsidR="007B403A" w:rsidRPr="00314858">
        <w:rPr>
          <w:rFonts w:ascii="Times New Roman" w:hAnsi="Times New Roman" w:cs="Times New Roman"/>
          <w:i/>
          <w:u w:val="single"/>
          <w:lang w:val="sr-Latn-ME"/>
        </w:rPr>
        <w:t>ij</w:t>
      </w:r>
      <w:r w:rsidRPr="00314858">
        <w:rPr>
          <w:rFonts w:ascii="Times New Roman" w:hAnsi="Times New Roman" w:cs="Times New Roman"/>
          <w:i/>
          <w:u w:val="single"/>
          <w:lang w:val="sr-Latn-ME"/>
        </w:rPr>
        <w:t>ek</w:t>
      </w:r>
    </w:p>
    <w:p w14:paraId="58A3AE3D" w14:textId="77777777" w:rsidR="0047333F" w:rsidRPr="00314858" w:rsidRDefault="0047333F" w:rsidP="00D67D34">
      <w:pPr>
        <w:spacing w:after="0" w:line="240" w:lineRule="auto"/>
        <w:jc w:val="both"/>
        <w:rPr>
          <w:rFonts w:ascii="Times New Roman" w:hAnsi="Times New Roman" w:cs="Times New Roman"/>
          <w:i/>
          <w:u w:val="single"/>
          <w:lang w:val="sr-Latn-ME"/>
        </w:rPr>
      </w:pPr>
    </w:p>
    <w:p w14:paraId="066FF927" w14:textId="5BC50B5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Prelaz</w:t>
      </w:r>
      <w:r w:rsidR="00151E79" w:rsidRPr="00314858">
        <w:rPr>
          <w:rFonts w:ascii="Times New Roman" w:hAnsi="Times New Roman" w:cs="Times New Roman"/>
          <w:lang w:val="sr-Latn-ME"/>
        </w:rPr>
        <w:t>ak</w:t>
      </w:r>
      <w:r w:rsidRPr="00314858">
        <w:rPr>
          <w:rFonts w:ascii="Times New Roman" w:hAnsi="Times New Roman" w:cs="Times New Roman"/>
          <w:lang w:val="sr-Latn-ME"/>
        </w:rPr>
        <w:t xml:space="preserve"> sa </w:t>
      </w:r>
      <w:r w:rsidR="00E43EC9" w:rsidRPr="00314858">
        <w:rPr>
          <w:rFonts w:ascii="Times New Roman" w:hAnsi="Times New Roman" w:cs="Times New Roman"/>
          <w:lang w:val="sr-Latn-ME"/>
        </w:rPr>
        <w:t>terapije</w:t>
      </w:r>
      <w:r w:rsidRPr="00314858">
        <w:rPr>
          <w:rFonts w:ascii="Times New Roman" w:hAnsi="Times New Roman" w:cs="Times New Roman"/>
          <w:lang w:val="sr-Latn-ME"/>
        </w:rPr>
        <w:t xml:space="preserve"> dabigatraneteksilatom na parenteralni antikoagulans:</w:t>
      </w:r>
    </w:p>
    <w:p w14:paraId="10B60DFC" w14:textId="07233E6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Preporučuje se da se sačeka 12 sati nakon posl</w:t>
      </w:r>
      <w:r w:rsidR="007B403A" w:rsidRPr="00314858">
        <w:rPr>
          <w:rFonts w:ascii="Times New Roman" w:hAnsi="Times New Roman" w:cs="Times New Roman"/>
          <w:lang w:val="sr-Latn-ME"/>
        </w:rPr>
        <w:t>j</w:t>
      </w:r>
      <w:r w:rsidRPr="00314858">
        <w:rPr>
          <w:rFonts w:ascii="Times New Roman" w:hAnsi="Times New Roman" w:cs="Times New Roman"/>
          <w:lang w:val="sr-Latn-ME"/>
        </w:rPr>
        <w:t>ednje doze, pr</w:t>
      </w:r>
      <w:r w:rsidR="007B403A" w:rsidRPr="00314858">
        <w:rPr>
          <w:rFonts w:ascii="Times New Roman" w:hAnsi="Times New Roman" w:cs="Times New Roman"/>
          <w:lang w:val="sr-Latn-ME"/>
        </w:rPr>
        <w:t>ij</w:t>
      </w:r>
      <w:r w:rsidRPr="00314858">
        <w:rPr>
          <w:rFonts w:ascii="Times New Roman" w:hAnsi="Times New Roman" w:cs="Times New Roman"/>
          <w:lang w:val="sr-Latn-ME"/>
        </w:rPr>
        <w:t xml:space="preserve">e </w:t>
      </w:r>
      <w:r w:rsidR="0047333F" w:rsidRPr="00314858">
        <w:rPr>
          <w:rFonts w:ascii="Times New Roman" w:hAnsi="Times New Roman" w:cs="Times New Roman"/>
          <w:lang w:val="sr-Latn-ME"/>
        </w:rPr>
        <w:t xml:space="preserve">nego što se pređe </w:t>
      </w:r>
      <w:r w:rsidRPr="00314858">
        <w:rPr>
          <w:rFonts w:ascii="Times New Roman" w:hAnsi="Times New Roman" w:cs="Times New Roman"/>
          <w:lang w:val="sr-Latn-ME"/>
        </w:rPr>
        <w:t>sa dabigatraneteksilata na parenteralni antikoagulans (vid</w:t>
      </w:r>
      <w:r w:rsidR="007B403A"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7B403A" w:rsidRPr="00314858">
        <w:rPr>
          <w:rFonts w:ascii="Times New Roman" w:hAnsi="Times New Roman" w:cs="Times New Roman"/>
          <w:lang w:val="sr-Latn-ME"/>
        </w:rPr>
        <w:t>dio</w:t>
      </w:r>
      <w:r w:rsidRPr="00314858">
        <w:rPr>
          <w:rFonts w:ascii="Times New Roman" w:hAnsi="Times New Roman" w:cs="Times New Roman"/>
          <w:lang w:val="sr-Latn-ME"/>
        </w:rPr>
        <w:t xml:space="preserve"> 4.5).</w:t>
      </w:r>
    </w:p>
    <w:p w14:paraId="33433498" w14:textId="77777777" w:rsidR="00D67D34" w:rsidRPr="00314858" w:rsidRDefault="00D67D34" w:rsidP="00D67D34">
      <w:pPr>
        <w:spacing w:after="0" w:line="240" w:lineRule="auto"/>
        <w:jc w:val="both"/>
        <w:rPr>
          <w:rFonts w:ascii="Times New Roman" w:hAnsi="Times New Roman" w:cs="Times New Roman"/>
          <w:lang w:val="sr-Latn-ME"/>
        </w:rPr>
      </w:pPr>
    </w:p>
    <w:p w14:paraId="34457FF7" w14:textId="44E1341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Prelaz</w:t>
      </w:r>
      <w:r w:rsidR="00151E79" w:rsidRPr="00314858">
        <w:rPr>
          <w:rFonts w:ascii="Times New Roman" w:hAnsi="Times New Roman" w:cs="Times New Roman"/>
          <w:lang w:val="sr-Latn-ME"/>
        </w:rPr>
        <w:t>ak</w:t>
      </w:r>
      <w:r w:rsidRPr="00314858">
        <w:rPr>
          <w:rFonts w:ascii="Times New Roman" w:hAnsi="Times New Roman" w:cs="Times New Roman"/>
          <w:lang w:val="sr-Latn-ME"/>
        </w:rPr>
        <w:t xml:space="preserve"> sa parenteralnih antikoagulansa na dabigatraneteksilat:</w:t>
      </w:r>
    </w:p>
    <w:p w14:paraId="694AEAEA" w14:textId="6AF89DB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Potrebno je prekinuti prim</w:t>
      </w:r>
      <w:r w:rsidR="007B403A" w:rsidRPr="00314858">
        <w:rPr>
          <w:rFonts w:ascii="Times New Roman" w:hAnsi="Times New Roman" w:cs="Times New Roman"/>
          <w:lang w:val="sr-Latn-ME"/>
        </w:rPr>
        <w:t>j</w:t>
      </w:r>
      <w:r w:rsidRPr="00314858">
        <w:rPr>
          <w:rFonts w:ascii="Times New Roman" w:hAnsi="Times New Roman" w:cs="Times New Roman"/>
          <w:lang w:val="sr-Latn-ME"/>
        </w:rPr>
        <w:t>enu parenteralnog antikoagulansa i započeti sa dabigatraneteksilatom 0</w:t>
      </w:r>
      <w:r w:rsidR="00E719FF" w:rsidRPr="00314858">
        <w:rPr>
          <w:rFonts w:ascii="Times New Roman" w:hAnsi="Times New Roman" w:cs="Times New Roman"/>
          <w:lang w:val="sr-Latn-ME"/>
        </w:rPr>
        <w:t xml:space="preserve"> </w:t>
      </w:r>
      <w:r w:rsidRPr="00314858">
        <w:rPr>
          <w:rFonts w:ascii="Times New Roman" w:hAnsi="Times New Roman" w:cs="Times New Roman"/>
          <w:lang w:val="sr-Latn-ME"/>
        </w:rPr>
        <w:t>-</w:t>
      </w:r>
      <w:r w:rsidR="00E719FF" w:rsidRPr="00314858">
        <w:rPr>
          <w:rFonts w:ascii="Times New Roman" w:hAnsi="Times New Roman" w:cs="Times New Roman"/>
          <w:lang w:val="sr-Latn-ME"/>
        </w:rPr>
        <w:t xml:space="preserve"> </w:t>
      </w:r>
      <w:r w:rsidRPr="00314858">
        <w:rPr>
          <w:rFonts w:ascii="Times New Roman" w:hAnsi="Times New Roman" w:cs="Times New Roman"/>
          <w:lang w:val="sr-Latn-ME"/>
        </w:rPr>
        <w:t>2 sata pr</w:t>
      </w:r>
      <w:r w:rsidR="007B403A" w:rsidRPr="00314858">
        <w:rPr>
          <w:rFonts w:ascii="Times New Roman" w:hAnsi="Times New Roman" w:cs="Times New Roman"/>
          <w:lang w:val="sr-Latn-ME"/>
        </w:rPr>
        <w:t>ij</w:t>
      </w:r>
      <w:r w:rsidRPr="00314858">
        <w:rPr>
          <w:rFonts w:ascii="Times New Roman" w:hAnsi="Times New Roman" w:cs="Times New Roman"/>
          <w:lang w:val="sr-Latn-ME"/>
        </w:rPr>
        <w:t xml:space="preserve">e vremena </w:t>
      </w:r>
      <w:r w:rsidR="00E719FF" w:rsidRPr="00314858">
        <w:rPr>
          <w:rFonts w:ascii="Times New Roman" w:hAnsi="Times New Roman" w:cs="Times New Roman"/>
          <w:lang w:val="sr-Latn-ME"/>
        </w:rPr>
        <w:t>predviđenog za</w:t>
      </w:r>
      <w:r w:rsidRPr="00314858">
        <w:rPr>
          <w:rFonts w:ascii="Times New Roman" w:hAnsi="Times New Roman" w:cs="Times New Roman"/>
          <w:lang w:val="sr-Latn-ME"/>
        </w:rPr>
        <w:t xml:space="preserve"> sl</w:t>
      </w:r>
      <w:r w:rsidR="007B403A" w:rsidRPr="00314858">
        <w:rPr>
          <w:rFonts w:ascii="Times New Roman" w:hAnsi="Times New Roman" w:cs="Times New Roman"/>
          <w:lang w:val="sr-Latn-ME"/>
        </w:rPr>
        <w:t>j</w:t>
      </w:r>
      <w:r w:rsidRPr="00314858">
        <w:rPr>
          <w:rFonts w:ascii="Times New Roman" w:hAnsi="Times New Roman" w:cs="Times New Roman"/>
          <w:lang w:val="sr-Latn-ME"/>
        </w:rPr>
        <w:t>edeću dozu parenteralne terapije ili u trenutku prekida u slučaju kontinuirane terapije (npr. intravenski nefrakcioni</w:t>
      </w:r>
      <w:r w:rsidR="0047333F" w:rsidRPr="00314858">
        <w:rPr>
          <w:rFonts w:ascii="Times New Roman" w:hAnsi="Times New Roman" w:cs="Times New Roman"/>
          <w:lang w:val="sr-Latn-ME"/>
        </w:rPr>
        <w:t>s</w:t>
      </w:r>
      <w:r w:rsidRPr="00314858">
        <w:rPr>
          <w:rFonts w:ascii="Times New Roman" w:hAnsi="Times New Roman" w:cs="Times New Roman"/>
          <w:lang w:val="sr-Latn-ME"/>
        </w:rPr>
        <w:t>ani heparin (</w:t>
      </w:r>
      <w:r w:rsidR="003A1EC8" w:rsidRPr="00314858">
        <w:rPr>
          <w:rFonts w:ascii="Times New Roman" w:hAnsi="Times New Roman" w:cs="Times New Roman"/>
          <w:lang w:val="sr-Latn-ME"/>
        </w:rPr>
        <w:t xml:space="preserve">engl. </w:t>
      </w:r>
      <w:r w:rsidR="003A1EC8" w:rsidRPr="00314858">
        <w:rPr>
          <w:rFonts w:ascii="Times New Roman" w:hAnsi="Times New Roman" w:cs="Times New Roman"/>
          <w:i/>
          <w:lang w:val="sr-Latn-ME"/>
        </w:rPr>
        <w:t xml:space="preserve">Unfractionated Heparin, </w:t>
      </w:r>
      <w:r w:rsidRPr="00314858">
        <w:rPr>
          <w:rFonts w:ascii="Times New Roman" w:hAnsi="Times New Roman" w:cs="Times New Roman"/>
          <w:lang w:val="sr-Latn-ME"/>
        </w:rPr>
        <w:t>NFH)</w:t>
      </w:r>
      <w:r w:rsidR="006250A0" w:rsidRPr="00314858">
        <w:rPr>
          <w:rFonts w:ascii="Times New Roman" w:hAnsi="Times New Roman" w:cs="Times New Roman"/>
          <w:lang w:val="sr-Latn-ME"/>
        </w:rPr>
        <w:t>)</w:t>
      </w:r>
      <w:r w:rsidRPr="00314858">
        <w:rPr>
          <w:rFonts w:ascii="Times New Roman" w:hAnsi="Times New Roman" w:cs="Times New Roman"/>
          <w:lang w:val="sr-Latn-ME"/>
        </w:rPr>
        <w:t xml:space="preserve"> (vid</w:t>
      </w:r>
      <w:r w:rsidR="007B403A"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7B403A" w:rsidRPr="00314858">
        <w:rPr>
          <w:rFonts w:ascii="Times New Roman" w:hAnsi="Times New Roman" w:cs="Times New Roman"/>
          <w:lang w:val="sr-Latn-ME"/>
        </w:rPr>
        <w:t>dio</w:t>
      </w:r>
      <w:r w:rsidRPr="00314858">
        <w:rPr>
          <w:rFonts w:ascii="Times New Roman" w:hAnsi="Times New Roman" w:cs="Times New Roman"/>
          <w:lang w:val="sr-Latn-ME"/>
        </w:rPr>
        <w:t xml:space="preserve"> 4.5).</w:t>
      </w:r>
    </w:p>
    <w:p w14:paraId="7A22F815" w14:textId="77777777" w:rsidR="00D67D34" w:rsidRPr="00314858" w:rsidRDefault="00D67D34" w:rsidP="00D67D34">
      <w:pPr>
        <w:spacing w:after="0" w:line="240" w:lineRule="auto"/>
        <w:jc w:val="both"/>
        <w:rPr>
          <w:rFonts w:ascii="Times New Roman" w:hAnsi="Times New Roman" w:cs="Times New Roman"/>
          <w:lang w:val="sr-Latn-ME"/>
        </w:rPr>
      </w:pPr>
    </w:p>
    <w:p w14:paraId="2A943F1B" w14:textId="1F117125"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Prelaz</w:t>
      </w:r>
      <w:r w:rsidR="00151E79" w:rsidRPr="00314858">
        <w:rPr>
          <w:rFonts w:ascii="Times New Roman" w:hAnsi="Times New Roman" w:cs="Times New Roman"/>
          <w:lang w:val="sr-Latn-ME"/>
        </w:rPr>
        <w:t>ak</w:t>
      </w:r>
      <w:r w:rsidRPr="00314858">
        <w:rPr>
          <w:rFonts w:ascii="Times New Roman" w:hAnsi="Times New Roman" w:cs="Times New Roman"/>
          <w:lang w:val="sr-Latn-ME"/>
        </w:rPr>
        <w:t xml:space="preserve"> sa </w:t>
      </w:r>
      <w:r w:rsidR="00E43EC9" w:rsidRPr="00314858">
        <w:rPr>
          <w:rFonts w:ascii="Times New Roman" w:hAnsi="Times New Roman" w:cs="Times New Roman"/>
          <w:lang w:val="sr-Latn-ME"/>
        </w:rPr>
        <w:t>terapije</w:t>
      </w:r>
      <w:r w:rsidRPr="00314858">
        <w:rPr>
          <w:rFonts w:ascii="Times New Roman" w:hAnsi="Times New Roman" w:cs="Times New Roman"/>
          <w:lang w:val="sr-Latn-ME"/>
        </w:rPr>
        <w:t xml:space="preserve"> dabigatraneteksilatom na antagoniste vitamina K (</w:t>
      </w:r>
      <w:r w:rsidR="003A1EC8" w:rsidRPr="00314858">
        <w:rPr>
          <w:rFonts w:ascii="Times New Roman" w:hAnsi="Times New Roman" w:cs="Times New Roman"/>
          <w:lang w:val="sr-Latn-ME"/>
        </w:rPr>
        <w:t xml:space="preserve">engl. </w:t>
      </w:r>
      <w:r w:rsidR="003A1EC8" w:rsidRPr="00314858">
        <w:rPr>
          <w:rFonts w:ascii="Times New Roman" w:hAnsi="Times New Roman" w:cs="Times New Roman"/>
          <w:i/>
          <w:lang w:val="sr-Latn-ME"/>
        </w:rPr>
        <w:t xml:space="preserve">vitamin K antagonists, </w:t>
      </w:r>
      <w:r w:rsidRPr="00314858">
        <w:rPr>
          <w:rFonts w:ascii="Times New Roman" w:hAnsi="Times New Roman" w:cs="Times New Roman"/>
          <w:lang w:val="sr-Latn-ME"/>
        </w:rPr>
        <w:t>VKA):</w:t>
      </w:r>
    </w:p>
    <w:p w14:paraId="1445C3DB" w14:textId="68EE43F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Pacijenti treba da započnu prim</w:t>
      </w:r>
      <w:r w:rsidR="007B403A" w:rsidRPr="00314858">
        <w:rPr>
          <w:rFonts w:ascii="Times New Roman" w:hAnsi="Times New Roman" w:cs="Times New Roman"/>
          <w:lang w:val="sr-Latn-ME"/>
        </w:rPr>
        <w:t>j</w:t>
      </w:r>
      <w:r w:rsidRPr="00314858">
        <w:rPr>
          <w:rFonts w:ascii="Times New Roman" w:hAnsi="Times New Roman" w:cs="Times New Roman"/>
          <w:lang w:val="sr-Latn-ME"/>
        </w:rPr>
        <w:t>enu VKA 3 dana pr</w:t>
      </w:r>
      <w:r w:rsidR="007B403A" w:rsidRPr="00314858">
        <w:rPr>
          <w:rFonts w:ascii="Times New Roman" w:hAnsi="Times New Roman" w:cs="Times New Roman"/>
          <w:lang w:val="sr-Latn-ME"/>
        </w:rPr>
        <w:t>ij</w:t>
      </w:r>
      <w:r w:rsidRPr="00314858">
        <w:rPr>
          <w:rFonts w:ascii="Times New Roman" w:hAnsi="Times New Roman" w:cs="Times New Roman"/>
          <w:lang w:val="sr-Latn-ME"/>
        </w:rPr>
        <w:t>e prekida prim</w:t>
      </w:r>
      <w:r w:rsidR="007B403A" w:rsidRPr="00314858">
        <w:rPr>
          <w:rFonts w:ascii="Times New Roman" w:hAnsi="Times New Roman" w:cs="Times New Roman"/>
          <w:lang w:val="sr-Latn-ME"/>
        </w:rPr>
        <w:t>j</w:t>
      </w:r>
      <w:r w:rsidRPr="00314858">
        <w:rPr>
          <w:rFonts w:ascii="Times New Roman" w:hAnsi="Times New Roman" w:cs="Times New Roman"/>
          <w:lang w:val="sr-Latn-ME"/>
        </w:rPr>
        <w:t>ene dabigatraneteksilata.</w:t>
      </w:r>
    </w:p>
    <w:p w14:paraId="53776241" w14:textId="6E58BAF8" w:rsidR="00D67D34" w:rsidRPr="00314858" w:rsidRDefault="0047333F"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lastRenderedPageBreak/>
        <w:t>Zbog toga što</w:t>
      </w:r>
      <w:r w:rsidR="00D67D34" w:rsidRPr="00314858">
        <w:rPr>
          <w:rFonts w:ascii="Times New Roman" w:hAnsi="Times New Roman" w:cs="Times New Roman"/>
          <w:lang w:val="sr-Latn-ME"/>
        </w:rPr>
        <w:t xml:space="preserve"> dabigatraneteksilat može </w:t>
      </w:r>
      <w:r w:rsidRPr="00314858">
        <w:rPr>
          <w:rFonts w:ascii="Times New Roman" w:hAnsi="Times New Roman" w:cs="Times New Roman"/>
          <w:lang w:val="sr-Latn-ME"/>
        </w:rPr>
        <w:t>da utiče</w:t>
      </w:r>
      <w:r w:rsidR="00D67D34" w:rsidRPr="00314858">
        <w:rPr>
          <w:rFonts w:ascii="Times New Roman" w:hAnsi="Times New Roman" w:cs="Times New Roman"/>
          <w:lang w:val="sr-Latn-ME"/>
        </w:rPr>
        <w:t xml:space="preserve"> na vr</w:t>
      </w:r>
      <w:r w:rsidR="007B403A" w:rsidRPr="00314858">
        <w:rPr>
          <w:rFonts w:ascii="Times New Roman" w:hAnsi="Times New Roman" w:cs="Times New Roman"/>
          <w:lang w:val="sr-Latn-ME"/>
        </w:rPr>
        <w:t>ij</w:t>
      </w:r>
      <w:r w:rsidR="00D67D34" w:rsidRPr="00314858">
        <w:rPr>
          <w:rFonts w:ascii="Times New Roman" w:hAnsi="Times New Roman" w:cs="Times New Roman"/>
          <w:lang w:val="sr-Latn-ME"/>
        </w:rPr>
        <w:t>ednost internacionalnog normaliz</w:t>
      </w:r>
      <w:r w:rsidR="00EF0BD5" w:rsidRPr="00314858">
        <w:rPr>
          <w:rFonts w:ascii="Times New Roman" w:hAnsi="Times New Roman" w:cs="Times New Roman"/>
          <w:lang w:val="sr-Latn-ME"/>
        </w:rPr>
        <w:t>ovanog</w:t>
      </w:r>
      <w:r w:rsidR="00D67D34" w:rsidRPr="00314858">
        <w:rPr>
          <w:rFonts w:ascii="Times New Roman" w:hAnsi="Times New Roman" w:cs="Times New Roman"/>
          <w:lang w:val="sr-Latn-ME"/>
        </w:rPr>
        <w:t xml:space="preserve"> odnosa (INR), INR će bolje odražavati dejstvo VKA tek nakon što je prošlo najmanje 2 dana od prekida prim</w:t>
      </w:r>
      <w:r w:rsidR="007B403A"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ene dabigatraneteksilata. Do tada, </w:t>
      </w:r>
      <w:r w:rsidRPr="00314858">
        <w:rPr>
          <w:rFonts w:ascii="Times New Roman" w:hAnsi="Times New Roman" w:cs="Times New Roman"/>
          <w:lang w:val="sr-Latn-ME"/>
        </w:rPr>
        <w:t>INR vr</w:t>
      </w:r>
      <w:r w:rsidR="006012CF" w:rsidRPr="00314858">
        <w:rPr>
          <w:rFonts w:ascii="Times New Roman" w:hAnsi="Times New Roman" w:cs="Times New Roman"/>
          <w:lang w:val="sr-Latn-ME"/>
        </w:rPr>
        <w:t>ij</w:t>
      </w:r>
      <w:r w:rsidRPr="00314858">
        <w:rPr>
          <w:rFonts w:ascii="Times New Roman" w:hAnsi="Times New Roman" w:cs="Times New Roman"/>
          <w:lang w:val="sr-Latn-ME"/>
        </w:rPr>
        <w:t>ednosti treba interpretirati sa oprezom.</w:t>
      </w:r>
    </w:p>
    <w:p w14:paraId="5B8E7230" w14:textId="77777777" w:rsidR="0047333F" w:rsidRPr="00314858" w:rsidRDefault="0047333F" w:rsidP="00D67D34">
      <w:pPr>
        <w:spacing w:after="0" w:line="240" w:lineRule="auto"/>
        <w:jc w:val="both"/>
        <w:rPr>
          <w:rFonts w:ascii="Times New Roman" w:hAnsi="Times New Roman" w:cs="Times New Roman"/>
          <w:lang w:val="sr-Latn-ME"/>
        </w:rPr>
      </w:pPr>
    </w:p>
    <w:p w14:paraId="26012C36" w14:textId="3E1DE16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Prelaz</w:t>
      </w:r>
      <w:r w:rsidR="00151E79" w:rsidRPr="00314858">
        <w:rPr>
          <w:rFonts w:ascii="Times New Roman" w:hAnsi="Times New Roman" w:cs="Times New Roman"/>
          <w:lang w:val="sr-Latn-ME"/>
        </w:rPr>
        <w:t>ak</w:t>
      </w:r>
      <w:r w:rsidRPr="00314858">
        <w:rPr>
          <w:rFonts w:ascii="Times New Roman" w:hAnsi="Times New Roman" w:cs="Times New Roman"/>
          <w:lang w:val="sr-Latn-ME"/>
        </w:rPr>
        <w:t xml:space="preserve"> sa VKA na dabigatraneteksilat:</w:t>
      </w:r>
    </w:p>
    <w:p w14:paraId="1609C9DE" w14:textId="07D85F68"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Prim</w:t>
      </w:r>
      <w:r w:rsidR="007B403A" w:rsidRPr="00314858">
        <w:rPr>
          <w:rFonts w:ascii="Times New Roman" w:hAnsi="Times New Roman" w:cs="Times New Roman"/>
          <w:lang w:val="sr-Latn-ME"/>
        </w:rPr>
        <w:t>j</w:t>
      </w:r>
      <w:r w:rsidRPr="00314858">
        <w:rPr>
          <w:rFonts w:ascii="Times New Roman" w:hAnsi="Times New Roman" w:cs="Times New Roman"/>
          <w:lang w:val="sr-Latn-ME"/>
        </w:rPr>
        <w:t>en</w:t>
      </w:r>
      <w:r w:rsidR="0047333F" w:rsidRPr="00314858">
        <w:rPr>
          <w:rFonts w:ascii="Times New Roman" w:hAnsi="Times New Roman" w:cs="Times New Roman"/>
          <w:lang w:val="sr-Latn-ME"/>
        </w:rPr>
        <w:t>u</w:t>
      </w:r>
      <w:r w:rsidRPr="00314858">
        <w:rPr>
          <w:rFonts w:ascii="Times New Roman" w:hAnsi="Times New Roman" w:cs="Times New Roman"/>
          <w:lang w:val="sr-Latn-ME"/>
        </w:rPr>
        <w:t xml:space="preserve"> VKA</w:t>
      </w:r>
      <w:r w:rsidR="0047333F"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treba </w:t>
      </w:r>
      <w:r w:rsidR="0047333F" w:rsidRPr="00314858">
        <w:rPr>
          <w:rFonts w:ascii="Times New Roman" w:hAnsi="Times New Roman" w:cs="Times New Roman"/>
          <w:lang w:val="sr-Latn-ME"/>
        </w:rPr>
        <w:t>prekinuti</w:t>
      </w:r>
      <w:r w:rsidRPr="00314858">
        <w:rPr>
          <w:rFonts w:ascii="Times New Roman" w:hAnsi="Times New Roman" w:cs="Times New Roman"/>
          <w:lang w:val="sr-Latn-ME"/>
        </w:rPr>
        <w:t xml:space="preserve">. Dabigatraneteksilat </w:t>
      </w:r>
      <w:r w:rsidR="00EF0BD5" w:rsidRPr="00314858">
        <w:rPr>
          <w:rFonts w:ascii="Times New Roman" w:hAnsi="Times New Roman" w:cs="Times New Roman"/>
          <w:lang w:val="sr-Latn-ME"/>
        </w:rPr>
        <w:t xml:space="preserve">se </w:t>
      </w:r>
      <w:r w:rsidR="006C3D9A" w:rsidRPr="00314858">
        <w:rPr>
          <w:rFonts w:ascii="Times New Roman" w:hAnsi="Times New Roman" w:cs="Times New Roman"/>
          <w:lang w:val="sr-Latn-ME"/>
        </w:rPr>
        <w:t>može da</w:t>
      </w:r>
      <w:r w:rsidR="00EF0BD5" w:rsidRPr="00314858">
        <w:rPr>
          <w:rFonts w:ascii="Times New Roman" w:hAnsi="Times New Roman" w:cs="Times New Roman"/>
          <w:lang w:val="sr-Latn-ME"/>
        </w:rPr>
        <w:t>vati</w:t>
      </w:r>
      <w:r w:rsidRPr="00314858">
        <w:rPr>
          <w:rFonts w:ascii="Times New Roman" w:hAnsi="Times New Roman" w:cs="Times New Roman"/>
          <w:lang w:val="sr-Latn-ME"/>
        </w:rPr>
        <w:t xml:space="preserve"> čim INR </w:t>
      </w:r>
      <w:r w:rsidR="00EF0BD5" w:rsidRPr="00314858">
        <w:rPr>
          <w:rFonts w:ascii="Times New Roman" w:hAnsi="Times New Roman" w:cs="Times New Roman"/>
          <w:lang w:val="sr-Latn-ME"/>
        </w:rPr>
        <w:t>dostigne vr</w:t>
      </w:r>
      <w:r w:rsidR="006012CF" w:rsidRPr="00314858">
        <w:rPr>
          <w:rFonts w:ascii="Times New Roman" w:hAnsi="Times New Roman" w:cs="Times New Roman"/>
          <w:lang w:val="sr-Latn-ME"/>
        </w:rPr>
        <w:t>ij</w:t>
      </w:r>
      <w:r w:rsidR="00EF0BD5" w:rsidRPr="00314858">
        <w:rPr>
          <w:rFonts w:ascii="Times New Roman" w:hAnsi="Times New Roman" w:cs="Times New Roman"/>
          <w:lang w:val="sr-Latn-ME"/>
        </w:rPr>
        <w:t>ednost</w:t>
      </w:r>
      <w:r w:rsidRPr="00314858">
        <w:rPr>
          <w:rFonts w:ascii="Times New Roman" w:hAnsi="Times New Roman" w:cs="Times New Roman"/>
          <w:lang w:val="sr-Latn-ME"/>
        </w:rPr>
        <w:t xml:space="preserve"> &lt;</w:t>
      </w:r>
      <w:r w:rsidR="00E719FF" w:rsidRPr="00314858">
        <w:rPr>
          <w:rFonts w:ascii="Times New Roman" w:hAnsi="Times New Roman" w:cs="Times New Roman"/>
          <w:lang w:val="sr-Latn-ME"/>
        </w:rPr>
        <w:t xml:space="preserve"> </w:t>
      </w:r>
      <w:r w:rsidRPr="00314858">
        <w:rPr>
          <w:rFonts w:ascii="Times New Roman" w:hAnsi="Times New Roman" w:cs="Times New Roman"/>
          <w:lang w:val="sr-Latn-ME"/>
        </w:rPr>
        <w:t>2,0.</w:t>
      </w:r>
    </w:p>
    <w:p w14:paraId="1092109C" w14:textId="77777777" w:rsidR="00D67D34" w:rsidRPr="00314858" w:rsidRDefault="00D67D34" w:rsidP="00D67D34">
      <w:pPr>
        <w:spacing w:after="0" w:line="240" w:lineRule="auto"/>
        <w:jc w:val="both"/>
        <w:rPr>
          <w:rFonts w:ascii="Times New Roman" w:hAnsi="Times New Roman" w:cs="Times New Roman"/>
          <w:lang w:val="sr-Latn-ME"/>
        </w:rPr>
      </w:pPr>
    </w:p>
    <w:p w14:paraId="4E93E4AC" w14:textId="637E8728"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Način prim</w:t>
      </w:r>
      <w:r w:rsidR="007B403A" w:rsidRPr="00314858">
        <w:rPr>
          <w:rFonts w:ascii="Times New Roman" w:hAnsi="Times New Roman" w:cs="Times New Roman"/>
          <w:u w:val="single"/>
          <w:lang w:val="sr-Latn-ME"/>
        </w:rPr>
        <w:t>j</w:t>
      </w:r>
      <w:r w:rsidRPr="00314858">
        <w:rPr>
          <w:rFonts w:ascii="Times New Roman" w:hAnsi="Times New Roman" w:cs="Times New Roman"/>
          <w:u w:val="single"/>
          <w:lang w:val="sr-Latn-ME"/>
        </w:rPr>
        <w:t>ene</w:t>
      </w:r>
    </w:p>
    <w:p w14:paraId="149C95EE" w14:textId="77777777" w:rsidR="006C3D9A" w:rsidRPr="00314858" w:rsidRDefault="006C3D9A" w:rsidP="00D67D34">
      <w:pPr>
        <w:spacing w:after="0" w:line="240" w:lineRule="auto"/>
        <w:jc w:val="both"/>
        <w:rPr>
          <w:rFonts w:ascii="Times New Roman" w:hAnsi="Times New Roman" w:cs="Times New Roman"/>
          <w:bCs/>
          <w:i/>
          <w:u w:val="single"/>
          <w:lang w:val="sr-Latn-ME"/>
        </w:rPr>
      </w:pPr>
    </w:p>
    <w:p w14:paraId="1AB87693" w14:textId="3FC264C3" w:rsidR="00D67D34" w:rsidRPr="00314858" w:rsidRDefault="00D67D34" w:rsidP="00D67D34">
      <w:pPr>
        <w:spacing w:after="0" w:line="240" w:lineRule="auto"/>
        <w:jc w:val="both"/>
        <w:rPr>
          <w:rFonts w:ascii="Times New Roman" w:hAnsi="Times New Roman" w:cs="Times New Roman"/>
          <w:bCs/>
          <w:lang w:val="sr-Latn-ME"/>
        </w:rPr>
      </w:pPr>
      <w:r w:rsidRPr="00314858">
        <w:rPr>
          <w:rFonts w:ascii="Times New Roman" w:hAnsi="Times New Roman" w:cs="Times New Roman"/>
          <w:bCs/>
          <w:lang w:val="sr-Latn-ME"/>
        </w:rPr>
        <w:t>Ovaj l</w:t>
      </w:r>
      <w:r w:rsidR="007B403A" w:rsidRPr="00314858">
        <w:rPr>
          <w:rFonts w:ascii="Times New Roman" w:hAnsi="Times New Roman" w:cs="Times New Roman"/>
          <w:bCs/>
          <w:lang w:val="sr-Latn-ME"/>
        </w:rPr>
        <w:t>ij</w:t>
      </w:r>
      <w:r w:rsidRPr="00314858">
        <w:rPr>
          <w:rFonts w:ascii="Times New Roman" w:hAnsi="Times New Roman" w:cs="Times New Roman"/>
          <w:bCs/>
          <w:lang w:val="sr-Latn-ME"/>
        </w:rPr>
        <w:t>ek je nam</w:t>
      </w:r>
      <w:r w:rsidR="007B403A" w:rsidRPr="00314858">
        <w:rPr>
          <w:rFonts w:ascii="Times New Roman" w:hAnsi="Times New Roman" w:cs="Times New Roman"/>
          <w:bCs/>
          <w:lang w:val="sr-Latn-ME"/>
        </w:rPr>
        <w:t>ij</w:t>
      </w:r>
      <w:r w:rsidRPr="00314858">
        <w:rPr>
          <w:rFonts w:ascii="Times New Roman" w:hAnsi="Times New Roman" w:cs="Times New Roman"/>
          <w:bCs/>
          <w:lang w:val="sr-Latn-ME"/>
        </w:rPr>
        <w:t xml:space="preserve">enjen za oralnu </w:t>
      </w:r>
      <w:r w:rsidR="00EF0BD5" w:rsidRPr="00314858">
        <w:rPr>
          <w:rFonts w:ascii="Times New Roman" w:hAnsi="Times New Roman" w:cs="Times New Roman"/>
          <w:bCs/>
          <w:lang w:val="sr-Latn-ME"/>
        </w:rPr>
        <w:t>upotrebu</w:t>
      </w:r>
      <w:r w:rsidRPr="00314858">
        <w:rPr>
          <w:rFonts w:ascii="Times New Roman" w:hAnsi="Times New Roman" w:cs="Times New Roman"/>
          <w:bCs/>
          <w:lang w:val="sr-Latn-ME"/>
        </w:rPr>
        <w:t>.</w:t>
      </w:r>
    </w:p>
    <w:p w14:paraId="1FA06C73" w14:textId="77777777" w:rsidR="00E719FF" w:rsidRPr="00314858" w:rsidRDefault="00E719FF" w:rsidP="00D67D34">
      <w:pPr>
        <w:spacing w:after="0" w:line="240" w:lineRule="auto"/>
        <w:jc w:val="both"/>
        <w:rPr>
          <w:rFonts w:ascii="Times New Roman" w:hAnsi="Times New Roman" w:cs="Times New Roman"/>
          <w:lang w:val="sr-Latn-ME"/>
        </w:rPr>
      </w:pPr>
    </w:p>
    <w:p w14:paraId="31A9A1F2" w14:textId="5863860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Kapsule se mogu uzeti sa hran</w:t>
      </w:r>
      <w:r w:rsidR="00EF0BD5" w:rsidRPr="00314858">
        <w:rPr>
          <w:rFonts w:ascii="Times New Roman" w:hAnsi="Times New Roman" w:cs="Times New Roman"/>
          <w:lang w:val="sr-Latn-ME"/>
        </w:rPr>
        <w:t>om ili bez nje</w:t>
      </w:r>
      <w:r w:rsidRPr="00314858">
        <w:rPr>
          <w:rFonts w:ascii="Times New Roman" w:hAnsi="Times New Roman" w:cs="Times New Roman"/>
          <w:lang w:val="sr-Latn-ME"/>
        </w:rPr>
        <w:t>. Kapsule treba progutati c</w:t>
      </w:r>
      <w:r w:rsidR="006012CF" w:rsidRPr="00314858">
        <w:rPr>
          <w:rFonts w:ascii="Times New Roman" w:hAnsi="Times New Roman" w:cs="Times New Roman"/>
          <w:lang w:val="sr-Latn-ME"/>
        </w:rPr>
        <w:t>ij</w:t>
      </w:r>
      <w:r w:rsidRPr="00314858">
        <w:rPr>
          <w:rFonts w:ascii="Times New Roman" w:hAnsi="Times New Roman" w:cs="Times New Roman"/>
          <w:lang w:val="sr-Latn-ME"/>
        </w:rPr>
        <w:t>ele</w:t>
      </w:r>
      <w:r w:rsidR="00E06BD5" w:rsidRPr="00314858">
        <w:rPr>
          <w:rFonts w:ascii="Times New Roman" w:hAnsi="Times New Roman" w:cs="Times New Roman"/>
          <w:lang w:val="sr-Latn-ME"/>
        </w:rPr>
        <w:t>,</w:t>
      </w:r>
      <w:r w:rsidRPr="00314858">
        <w:rPr>
          <w:rFonts w:ascii="Times New Roman" w:hAnsi="Times New Roman" w:cs="Times New Roman"/>
          <w:lang w:val="sr-Latn-ME"/>
        </w:rPr>
        <w:t xml:space="preserve"> sa čašom vode</w:t>
      </w:r>
      <w:r w:rsidR="00E06BD5" w:rsidRPr="00314858">
        <w:rPr>
          <w:rFonts w:ascii="Times New Roman" w:hAnsi="Times New Roman" w:cs="Times New Roman"/>
          <w:lang w:val="sr-Latn-ME"/>
        </w:rPr>
        <w:t>,</w:t>
      </w:r>
      <w:r w:rsidRPr="00314858">
        <w:rPr>
          <w:rFonts w:ascii="Times New Roman" w:hAnsi="Times New Roman" w:cs="Times New Roman"/>
          <w:lang w:val="sr-Latn-ME"/>
        </w:rPr>
        <w:t xml:space="preserve"> kako bi se olakšalo da </w:t>
      </w:r>
      <w:r w:rsidR="00EF0BD5" w:rsidRPr="00314858">
        <w:rPr>
          <w:rFonts w:ascii="Times New Roman" w:hAnsi="Times New Roman" w:cs="Times New Roman"/>
          <w:lang w:val="sr-Latn-ME"/>
        </w:rPr>
        <w:t>dospeju</w:t>
      </w:r>
      <w:r w:rsidRPr="00314858">
        <w:rPr>
          <w:rFonts w:ascii="Times New Roman" w:hAnsi="Times New Roman" w:cs="Times New Roman"/>
          <w:lang w:val="sr-Latn-ME"/>
        </w:rPr>
        <w:t xml:space="preserve"> do želuca.</w:t>
      </w:r>
    </w:p>
    <w:p w14:paraId="7D1AB228" w14:textId="77777777" w:rsidR="004B1D33" w:rsidRPr="00314858" w:rsidRDefault="004B1D33" w:rsidP="00D67D34">
      <w:pPr>
        <w:spacing w:after="0" w:line="240" w:lineRule="auto"/>
        <w:jc w:val="both"/>
        <w:rPr>
          <w:rFonts w:ascii="Times New Roman" w:hAnsi="Times New Roman" w:cs="Times New Roman"/>
          <w:lang w:val="sr-Latn-ME"/>
        </w:rPr>
      </w:pPr>
    </w:p>
    <w:p w14:paraId="53B691C3" w14:textId="5D680B65"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Pacijente treba uputiti da ne otvaraju kapsule jer to može da poveća rizik od krvarenja (vid</w:t>
      </w:r>
      <w:r w:rsidR="007B403A"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7B403A" w:rsidRPr="00314858">
        <w:rPr>
          <w:rFonts w:ascii="Times New Roman" w:hAnsi="Times New Roman" w:cs="Times New Roman"/>
          <w:lang w:val="sr-Latn-ME"/>
        </w:rPr>
        <w:t>djelove</w:t>
      </w:r>
      <w:r w:rsidRPr="00314858">
        <w:rPr>
          <w:rFonts w:ascii="Times New Roman" w:hAnsi="Times New Roman" w:cs="Times New Roman"/>
          <w:lang w:val="sr-Latn-ME"/>
        </w:rPr>
        <w:t xml:space="preserve"> 5.2 i 6.6).</w:t>
      </w:r>
    </w:p>
    <w:p w14:paraId="1E02BF4E" w14:textId="77777777" w:rsidR="00D67D34" w:rsidRPr="00314858" w:rsidRDefault="00D67D34" w:rsidP="00D67D34">
      <w:pPr>
        <w:spacing w:after="0" w:line="240" w:lineRule="auto"/>
        <w:jc w:val="both"/>
        <w:rPr>
          <w:rFonts w:ascii="Times New Roman" w:hAnsi="Times New Roman" w:cs="Times New Roman"/>
          <w:b/>
          <w:bCs/>
          <w:lang w:val="sr-Latn-ME"/>
        </w:rPr>
      </w:pPr>
    </w:p>
    <w:p w14:paraId="6A71E887" w14:textId="60E51995" w:rsidR="00D67D34" w:rsidRPr="00314858" w:rsidRDefault="00D67D34" w:rsidP="00D67D34">
      <w:pPr>
        <w:spacing w:after="0" w:line="240" w:lineRule="auto"/>
        <w:jc w:val="both"/>
        <w:rPr>
          <w:rFonts w:ascii="Times New Roman" w:hAnsi="Times New Roman" w:cs="Times New Roman"/>
          <w:b/>
          <w:bCs/>
          <w:lang w:val="sr-Latn-ME"/>
        </w:rPr>
      </w:pPr>
      <w:r w:rsidRPr="00314858">
        <w:rPr>
          <w:rFonts w:ascii="Times New Roman" w:hAnsi="Times New Roman" w:cs="Times New Roman"/>
          <w:b/>
          <w:bCs/>
          <w:lang w:val="sr-Latn-ME"/>
        </w:rPr>
        <w:t>4.3</w:t>
      </w:r>
      <w:r w:rsidR="001347BD" w:rsidRPr="00314858">
        <w:rPr>
          <w:rFonts w:ascii="Times New Roman" w:hAnsi="Times New Roman" w:cs="Times New Roman"/>
          <w:b/>
          <w:bCs/>
          <w:lang w:val="sr-Latn-ME"/>
        </w:rPr>
        <w:t>.</w:t>
      </w:r>
      <w:r w:rsidRPr="00314858">
        <w:rPr>
          <w:rFonts w:ascii="Times New Roman" w:hAnsi="Times New Roman" w:cs="Times New Roman"/>
          <w:b/>
          <w:bCs/>
          <w:lang w:val="sr-Latn-ME"/>
        </w:rPr>
        <w:t xml:space="preserve"> Kontraindikacije</w:t>
      </w:r>
    </w:p>
    <w:p w14:paraId="7FA6003A" w14:textId="77777777" w:rsidR="00EF0BD5" w:rsidRPr="00314858" w:rsidRDefault="00EF0BD5" w:rsidP="00D67D34">
      <w:pPr>
        <w:spacing w:after="0" w:line="240" w:lineRule="auto"/>
        <w:jc w:val="both"/>
        <w:rPr>
          <w:rFonts w:ascii="Times New Roman" w:hAnsi="Times New Roman" w:cs="Times New Roman"/>
          <w:b/>
          <w:bCs/>
          <w:lang w:val="sr-Latn-ME"/>
        </w:rPr>
      </w:pPr>
    </w:p>
    <w:p w14:paraId="2EF2710A" w14:textId="58A623A0"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Preos</w:t>
      </w:r>
      <w:r w:rsidR="007B403A"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etljivost na aktivnu supstancu ili na bilo koju od pomoćnih supstanci l</w:t>
      </w:r>
      <w:r w:rsidR="007B403A"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eka navedenih u odeljku 6.1</w:t>
      </w:r>
      <w:r w:rsidR="002326A2" w:rsidRPr="00314858">
        <w:rPr>
          <w:rFonts w:ascii="Times New Roman" w:eastAsia="Times New Roman" w:hAnsi="Times New Roman" w:cs="Times New Roman"/>
          <w:color w:val="000000" w:themeColor="text1"/>
          <w:lang w:val="sr-Latn-ME" w:bidi="en-US"/>
        </w:rPr>
        <w:t>,</w:t>
      </w:r>
    </w:p>
    <w:p w14:paraId="25E758FD" w14:textId="5EC64C24" w:rsidR="00D67D34" w:rsidRPr="00314858" w:rsidRDefault="002326A2"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o</w:t>
      </w:r>
      <w:r w:rsidR="00D67D34" w:rsidRPr="00314858">
        <w:rPr>
          <w:rFonts w:ascii="Times New Roman" w:eastAsia="Times New Roman" w:hAnsi="Times New Roman" w:cs="Times New Roman"/>
          <w:color w:val="000000" w:themeColor="text1"/>
          <w:lang w:val="sr-Latn-ME" w:bidi="en-US"/>
        </w:rPr>
        <w:t>drasli pacijenti sa teškim oštećenjem funkcije bubrega (CrC</w:t>
      </w:r>
      <w:r w:rsidR="006250A0" w:rsidRPr="00314858">
        <w:rPr>
          <w:rFonts w:ascii="Times New Roman" w:eastAsia="Times New Roman" w:hAnsi="Times New Roman" w:cs="Times New Roman"/>
          <w:color w:val="000000" w:themeColor="text1"/>
          <w:lang w:val="sr-Latn-ME" w:bidi="en-US"/>
        </w:rPr>
        <w:t>L</w:t>
      </w:r>
      <w:r w:rsidR="00D67D34" w:rsidRPr="00314858">
        <w:rPr>
          <w:rFonts w:ascii="Times New Roman" w:eastAsia="Times New Roman" w:hAnsi="Times New Roman" w:cs="Times New Roman"/>
          <w:color w:val="000000" w:themeColor="text1"/>
          <w:lang w:val="sr-Latn-ME" w:bidi="en-US"/>
        </w:rPr>
        <w:t xml:space="preserve"> &lt;</w:t>
      </w:r>
      <w:r w:rsidR="004B1D33" w:rsidRPr="00314858">
        <w:rPr>
          <w:rFonts w:ascii="Times New Roman" w:eastAsia="Times New Roman" w:hAnsi="Times New Roman" w:cs="Times New Roman"/>
          <w:color w:val="000000" w:themeColor="text1"/>
          <w:lang w:val="sr-Latn-ME" w:bidi="en-US"/>
        </w:rPr>
        <w:t xml:space="preserve"> </w:t>
      </w:r>
      <w:r w:rsidR="00D67D34" w:rsidRPr="00314858">
        <w:rPr>
          <w:rFonts w:ascii="Times New Roman" w:eastAsia="Times New Roman" w:hAnsi="Times New Roman" w:cs="Times New Roman"/>
          <w:color w:val="000000" w:themeColor="text1"/>
          <w:lang w:val="sr-Latn-ME" w:bidi="en-US"/>
        </w:rPr>
        <w:t>30 m</w:t>
      </w:r>
      <w:r w:rsidR="004B1D33" w:rsidRPr="00314858">
        <w:rPr>
          <w:rFonts w:ascii="Times New Roman" w:eastAsia="Times New Roman" w:hAnsi="Times New Roman" w:cs="Times New Roman"/>
          <w:color w:val="000000" w:themeColor="text1"/>
          <w:lang w:val="sr-Latn-ME" w:bidi="en-US"/>
        </w:rPr>
        <w:t>l</w:t>
      </w:r>
      <w:r w:rsidR="00D67D34" w:rsidRPr="00314858">
        <w:rPr>
          <w:rFonts w:ascii="Times New Roman" w:eastAsia="Times New Roman" w:hAnsi="Times New Roman" w:cs="Times New Roman"/>
          <w:color w:val="000000" w:themeColor="text1"/>
          <w:lang w:val="sr-Latn-ME" w:bidi="en-US"/>
        </w:rPr>
        <w:t>/min)</w:t>
      </w:r>
      <w:r w:rsidRPr="00314858">
        <w:rPr>
          <w:rFonts w:ascii="Times New Roman" w:eastAsia="Times New Roman" w:hAnsi="Times New Roman" w:cs="Times New Roman"/>
          <w:color w:val="000000" w:themeColor="text1"/>
          <w:lang w:val="sr-Latn-ME" w:bidi="en-US"/>
        </w:rPr>
        <w:t>,</w:t>
      </w:r>
      <w:r w:rsidR="00D67D34" w:rsidRPr="00314858">
        <w:rPr>
          <w:rFonts w:ascii="Times New Roman" w:eastAsia="Times New Roman" w:hAnsi="Times New Roman" w:cs="Times New Roman"/>
          <w:color w:val="000000" w:themeColor="text1"/>
          <w:lang w:val="sr-Latn-ME" w:bidi="en-US"/>
        </w:rPr>
        <w:t xml:space="preserve"> </w:t>
      </w:r>
    </w:p>
    <w:p w14:paraId="374D98E9" w14:textId="7863EDCC" w:rsidR="00D67D34" w:rsidRPr="00314858" w:rsidRDefault="002326A2"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v</w:t>
      </w:r>
      <w:r w:rsidR="00D67D34" w:rsidRPr="00314858">
        <w:rPr>
          <w:rFonts w:ascii="Times New Roman" w:eastAsia="Times New Roman" w:hAnsi="Times New Roman" w:cs="Times New Roman"/>
          <w:color w:val="000000" w:themeColor="text1"/>
          <w:lang w:val="sr-Latn-ME" w:bidi="en-US"/>
        </w:rPr>
        <w:t>r</w:t>
      </w:r>
      <w:r w:rsidR="007B403A" w:rsidRPr="00314858">
        <w:rPr>
          <w:rFonts w:ascii="Times New Roman" w:eastAsia="Times New Roman" w:hAnsi="Times New Roman" w:cs="Times New Roman"/>
          <w:color w:val="000000" w:themeColor="text1"/>
          <w:lang w:val="sr-Latn-ME" w:bidi="en-US"/>
        </w:rPr>
        <w:t>ij</w:t>
      </w:r>
      <w:r w:rsidR="00D67D34" w:rsidRPr="00314858">
        <w:rPr>
          <w:rFonts w:ascii="Times New Roman" w:eastAsia="Times New Roman" w:hAnsi="Times New Roman" w:cs="Times New Roman"/>
          <w:color w:val="000000" w:themeColor="text1"/>
          <w:lang w:val="sr-Latn-ME" w:bidi="en-US"/>
        </w:rPr>
        <w:t>ednost eGFR &lt;</w:t>
      </w:r>
      <w:r w:rsidR="004B1D33" w:rsidRPr="00314858">
        <w:rPr>
          <w:rFonts w:ascii="Times New Roman" w:eastAsia="Times New Roman" w:hAnsi="Times New Roman" w:cs="Times New Roman"/>
          <w:color w:val="000000" w:themeColor="text1"/>
          <w:lang w:val="sr-Latn-ME" w:bidi="en-US"/>
        </w:rPr>
        <w:t xml:space="preserve"> </w:t>
      </w:r>
      <w:r w:rsidR="00D67D34" w:rsidRPr="00314858">
        <w:rPr>
          <w:rFonts w:ascii="Times New Roman" w:eastAsia="Times New Roman" w:hAnsi="Times New Roman" w:cs="Times New Roman"/>
          <w:color w:val="000000" w:themeColor="text1"/>
          <w:lang w:val="sr-Latn-ME" w:bidi="en-US"/>
        </w:rPr>
        <w:t>50 m</w:t>
      </w:r>
      <w:r w:rsidR="004B1D33" w:rsidRPr="00314858">
        <w:rPr>
          <w:rFonts w:ascii="Times New Roman" w:eastAsia="Times New Roman" w:hAnsi="Times New Roman" w:cs="Times New Roman"/>
          <w:color w:val="000000" w:themeColor="text1"/>
          <w:lang w:val="sr-Latn-ME" w:bidi="en-US"/>
        </w:rPr>
        <w:t>l</w:t>
      </w:r>
      <w:r w:rsidR="00D67D34" w:rsidRPr="00314858">
        <w:rPr>
          <w:rFonts w:ascii="Times New Roman" w:eastAsia="Times New Roman" w:hAnsi="Times New Roman" w:cs="Times New Roman"/>
          <w:color w:val="000000" w:themeColor="text1"/>
          <w:lang w:val="sr-Latn-ME" w:bidi="en-US"/>
        </w:rPr>
        <w:t>/min/1</w:t>
      </w:r>
      <w:r w:rsidR="00E06BD5" w:rsidRPr="00314858">
        <w:rPr>
          <w:rFonts w:ascii="Times New Roman" w:eastAsia="Times New Roman" w:hAnsi="Times New Roman" w:cs="Times New Roman"/>
          <w:color w:val="000000" w:themeColor="text1"/>
          <w:lang w:val="sr-Latn-ME" w:bidi="en-US"/>
        </w:rPr>
        <w:t>,</w:t>
      </w:r>
      <w:r w:rsidR="00D67D34" w:rsidRPr="00314858">
        <w:rPr>
          <w:rFonts w:ascii="Times New Roman" w:eastAsia="Times New Roman" w:hAnsi="Times New Roman" w:cs="Times New Roman"/>
          <w:color w:val="000000" w:themeColor="text1"/>
          <w:lang w:val="sr-Latn-ME" w:bidi="en-US"/>
        </w:rPr>
        <w:t>73</w:t>
      </w:r>
      <w:r w:rsidRPr="00314858">
        <w:rPr>
          <w:rFonts w:ascii="Times New Roman" w:eastAsia="Times New Roman" w:hAnsi="Times New Roman" w:cs="Times New Roman"/>
          <w:color w:val="000000" w:themeColor="text1"/>
          <w:lang w:val="sr-Latn-ME" w:bidi="en-US"/>
        </w:rPr>
        <w:t xml:space="preserve"> </w:t>
      </w:r>
      <w:r w:rsidR="00D67D34" w:rsidRPr="00314858">
        <w:rPr>
          <w:rFonts w:ascii="Times New Roman" w:eastAsia="Times New Roman" w:hAnsi="Times New Roman" w:cs="Times New Roman"/>
          <w:color w:val="000000" w:themeColor="text1"/>
          <w:lang w:val="sr-Latn-ME" w:bidi="en-US"/>
        </w:rPr>
        <w:t>m</w:t>
      </w:r>
      <w:r w:rsidR="00D67D34" w:rsidRPr="00314858">
        <w:rPr>
          <w:rFonts w:ascii="Times New Roman" w:eastAsia="Times New Roman" w:hAnsi="Times New Roman" w:cs="Times New Roman"/>
          <w:color w:val="000000" w:themeColor="text1"/>
          <w:vertAlign w:val="superscript"/>
          <w:lang w:val="sr-Latn-ME" w:bidi="en-US"/>
        </w:rPr>
        <w:t>2</w:t>
      </w:r>
      <w:r w:rsidR="00D67D34" w:rsidRPr="00314858">
        <w:rPr>
          <w:rFonts w:ascii="Times New Roman" w:eastAsia="Times New Roman" w:hAnsi="Times New Roman" w:cs="Times New Roman"/>
          <w:color w:val="000000" w:themeColor="text1"/>
          <w:lang w:val="sr-Latn-ME" w:bidi="en-US"/>
        </w:rPr>
        <w:t xml:space="preserve"> kod pedijatrijskih pacijenata</w:t>
      </w:r>
      <w:r w:rsidRPr="00314858">
        <w:rPr>
          <w:rFonts w:ascii="Times New Roman" w:eastAsia="Times New Roman" w:hAnsi="Times New Roman" w:cs="Times New Roman"/>
          <w:color w:val="000000" w:themeColor="text1"/>
          <w:lang w:val="sr-Latn-ME" w:bidi="en-US"/>
        </w:rPr>
        <w:t>,</w:t>
      </w:r>
    </w:p>
    <w:p w14:paraId="36EFE28F" w14:textId="4C309178" w:rsidR="00D67D34" w:rsidRPr="00314858" w:rsidRDefault="002326A2"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a</w:t>
      </w:r>
      <w:r w:rsidR="00D67D34" w:rsidRPr="00314858">
        <w:rPr>
          <w:rFonts w:ascii="Times New Roman" w:eastAsia="Times New Roman" w:hAnsi="Times New Roman" w:cs="Times New Roman"/>
          <w:color w:val="000000" w:themeColor="text1"/>
          <w:lang w:val="sr-Latn-ME" w:bidi="en-US"/>
        </w:rPr>
        <w:t>ktivno, klinički značajno krvarenje</w:t>
      </w:r>
      <w:r w:rsidRPr="00314858">
        <w:rPr>
          <w:rFonts w:ascii="Times New Roman" w:eastAsia="Times New Roman" w:hAnsi="Times New Roman" w:cs="Times New Roman"/>
          <w:color w:val="000000" w:themeColor="text1"/>
          <w:lang w:val="sr-Latn-ME" w:bidi="en-US"/>
        </w:rPr>
        <w:t>,</w:t>
      </w:r>
      <w:r w:rsidR="00D67D34" w:rsidRPr="00314858">
        <w:rPr>
          <w:rFonts w:ascii="Times New Roman" w:eastAsia="Times New Roman" w:hAnsi="Times New Roman" w:cs="Times New Roman"/>
          <w:color w:val="000000" w:themeColor="text1"/>
          <w:lang w:val="sr-Latn-ME" w:bidi="en-US"/>
        </w:rPr>
        <w:t xml:space="preserve"> </w:t>
      </w:r>
    </w:p>
    <w:p w14:paraId="2BD35F78" w14:textId="686AC7F9" w:rsidR="00D67D34" w:rsidRPr="00314858" w:rsidRDefault="002326A2"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l</w:t>
      </w:r>
      <w:r w:rsidR="00D67D34" w:rsidRPr="00314858">
        <w:rPr>
          <w:rFonts w:ascii="Times New Roman" w:eastAsia="Times New Roman" w:hAnsi="Times New Roman" w:cs="Times New Roman"/>
          <w:color w:val="000000" w:themeColor="text1"/>
          <w:lang w:val="sr-Latn-ME" w:bidi="en-US"/>
        </w:rPr>
        <w:t xml:space="preserve">ezija ili stanje, ako se smatra značajnim faktorom rizika za </w:t>
      </w:r>
      <w:r w:rsidRPr="00314858">
        <w:rPr>
          <w:rFonts w:ascii="Times New Roman" w:eastAsia="Times New Roman" w:hAnsi="Times New Roman" w:cs="Times New Roman"/>
          <w:color w:val="000000" w:themeColor="text1"/>
          <w:lang w:val="sr-Latn-ME" w:bidi="en-US"/>
        </w:rPr>
        <w:t>obilnije</w:t>
      </w:r>
      <w:r w:rsidR="006C3D9A" w:rsidRPr="00314858">
        <w:rPr>
          <w:rFonts w:ascii="Times New Roman" w:eastAsia="Times New Roman" w:hAnsi="Times New Roman" w:cs="Times New Roman"/>
          <w:color w:val="000000" w:themeColor="text1"/>
          <w:lang w:val="sr-Latn-ME" w:bidi="en-US"/>
        </w:rPr>
        <w:t xml:space="preserve"> </w:t>
      </w:r>
      <w:r w:rsidR="00D67D34" w:rsidRPr="00314858">
        <w:rPr>
          <w:rFonts w:ascii="Times New Roman" w:eastAsia="Times New Roman" w:hAnsi="Times New Roman" w:cs="Times New Roman"/>
          <w:color w:val="000000" w:themeColor="text1"/>
          <w:lang w:val="sr-Latn-ME" w:bidi="en-US"/>
        </w:rPr>
        <w:t>krvarenje.</w:t>
      </w:r>
      <w:r w:rsidR="00ED227D" w:rsidRPr="00314858">
        <w:rPr>
          <w:rFonts w:ascii="Times New Roman" w:eastAsia="Times New Roman" w:hAnsi="Times New Roman" w:cs="Times New Roman"/>
          <w:color w:val="000000" w:themeColor="text1"/>
          <w:lang w:val="sr-Latn-ME" w:bidi="en-US"/>
        </w:rPr>
        <w:t xml:space="preserve"> </w:t>
      </w:r>
      <w:r w:rsidR="00D67D34" w:rsidRPr="00314858">
        <w:rPr>
          <w:rFonts w:ascii="Times New Roman" w:eastAsia="Times New Roman" w:hAnsi="Times New Roman" w:cs="Times New Roman"/>
          <w:color w:val="000000" w:themeColor="text1"/>
          <w:lang w:val="sr-Latn-ME" w:bidi="en-US"/>
        </w:rPr>
        <w:t>Ovo može da</w:t>
      </w:r>
      <w:r w:rsidR="00ED227D" w:rsidRPr="00314858">
        <w:rPr>
          <w:rFonts w:ascii="Times New Roman" w:eastAsia="Times New Roman" w:hAnsi="Times New Roman" w:cs="Times New Roman"/>
          <w:color w:val="000000" w:themeColor="text1"/>
          <w:lang w:val="sr-Latn-ME" w:bidi="en-US"/>
        </w:rPr>
        <w:t xml:space="preserve"> </w:t>
      </w:r>
      <w:r w:rsidR="00D67D34" w:rsidRPr="00314858">
        <w:rPr>
          <w:rFonts w:ascii="Times New Roman" w:eastAsia="Times New Roman" w:hAnsi="Times New Roman" w:cs="Times New Roman"/>
          <w:color w:val="000000" w:themeColor="text1"/>
          <w:lang w:val="sr-Latn-ME" w:bidi="en-US"/>
        </w:rPr>
        <w:t xml:space="preserve">uključuje postojeću ili nedavnu gastrointestinalnu ulceraciju, prisustvo malignih neoplazmi </w:t>
      </w:r>
      <w:r w:rsidR="006C3D9A" w:rsidRPr="00314858">
        <w:rPr>
          <w:rFonts w:ascii="Times New Roman" w:eastAsia="Times New Roman" w:hAnsi="Times New Roman" w:cs="Times New Roman"/>
          <w:color w:val="000000" w:themeColor="text1"/>
          <w:lang w:val="sr-Latn-ME" w:bidi="en-US"/>
        </w:rPr>
        <w:t>sa</w:t>
      </w:r>
      <w:r w:rsidR="00D67D34" w:rsidRPr="00314858">
        <w:rPr>
          <w:rFonts w:ascii="Times New Roman" w:eastAsia="Times New Roman" w:hAnsi="Times New Roman" w:cs="Times New Roman"/>
          <w:color w:val="000000" w:themeColor="text1"/>
          <w:lang w:val="sr-Latn-ME" w:bidi="en-US"/>
        </w:rPr>
        <w:t xml:space="preserve"> visok</w:t>
      </w:r>
      <w:r w:rsidR="006C3D9A" w:rsidRPr="00314858">
        <w:rPr>
          <w:rFonts w:ascii="Times New Roman" w:eastAsia="Times New Roman" w:hAnsi="Times New Roman" w:cs="Times New Roman"/>
          <w:color w:val="000000" w:themeColor="text1"/>
          <w:lang w:val="sr-Latn-ME" w:bidi="en-US"/>
        </w:rPr>
        <w:t>i</w:t>
      </w:r>
      <w:r w:rsidR="00D67D34" w:rsidRPr="00314858">
        <w:rPr>
          <w:rFonts w:ascii="Times New Roman" w:eastAsia="Times New Roman" w:hAnsi="Times New Roman" w:cs="Times New Roman"/>
          <w:color w:val="000000" w:themeColor="text1"/>
          <w:lang w:val="sr-Latn-ME" w:bidi="en-US"/>
        </w:rPr>
        <w:t>m rizik</w:t>
      </w:r>
      <w:r w:rsidR="006C3D9A" w:rsidRPr="00314858">
        <w:rPr>
          <w:rFonts w:ascii="Times New Roman" w:eastAsia="Times New Roman" w:hAnsi="Times New Roman" w:cs="Times New Roman"/>
          <w:color w:val="000000" w:themeColor="text1"/>
          <w:lang w:val="sr-Latn-ME" w:bidi="en-US"/>
        </w:rPr>
        <w:t>om</w:t>
      </w:r>
      <w:r w:rsidR="00D67D34" w:rsidRPr="00314858">
        <w:rPr>
          <w:rFonts w:ascii="Times New Roman" w:eastAsia="Times New Roman" w:hAnsi="Times New Roman" w:cs="Times New Roman"/>
          <w:color w:val="000000" w:themeColor="text1"/>
          <w:lang w:val="sr-Latn-ME" w:bidi="en-US"/>
        </w:rPr>
        <w:t xml:space="preserve"> od krvarenja, nedavnu povredu mozga ili kičmene moždine, nedavni hiru</w:t>
      </w:r>
      <w:r w:rsidRPr="00314858">
        <w:rPr>
          <w:rFonts w:ascii="Times New Roman" w:eastAsia="Times New Roman" w:hAnsi="Times New Roman" w:cs="Times New Roman"/>
          <w:color w:val="000000" w:themeColor="text1"/>
          <w:lang w:val="sr-Latn-ME" w:bidi="en-US"/>
        </w:rPr>
        <w:t>r</w:t>
      </w:r>
      <w:r w:rsidR="00D67D34" w:rsidRPr="00314858">
        <w:rPr>
          <w:rFonts w:ascii="Times New Roman" w:eastAsia="Times New Roman" w:hAnsi="Times New Roman" w:cs="Times New Roman"/>
          <w:color w:val="000000" w:themeColor="text1"/>
          <w:lang w:val="sr-Latn-ME" w:bidi="en-US"/>
        </w:rPr>
        <w:t>ški zahvat na mozgu, kičmenoj moždini ili očima, nedavnu intrakranijalnu hemoragiju, prisustvo ezofagealnih variksa ili sumnja na njih, arteriovenske malformacije, vaskularne aneurizme ili veće intraspinalne ili intracerebralne vaskularne abnormalnosti</w:t>
      </w:r>
      <w:r w:rsidRPr="00314858">
        <w:rPr>
          <w:rFonts w:ascii="Times New Roman" w:eastAsia="Times New Roman" w:hAnsi="Times New Roman" w:cs="Times New Roman"/>
          <w:color w:val="000000" w:themeColor="text1"/>
          <w:lang w:val="sr-Latn-ME" w:bidi="en-US"/>
        </w:rPr>
        <w:t>,</w:t>
      </w:r>
    </w:p>
    <w:p w14:paraId="67023810" w14:textId="0C076E09" w:rsidR="00D67D34" w:rsidRPr="00314858" w:rsidRDefault="002326A2"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i</w:t>
      </w:r>
      <w:r w:rsidR="00D67D34" w:rsidRPr="00314858">
        <w:rPr>
          <w:rFonts w:ascii="Times New Roman" w:eastAsia="Times New Roman" w:hAnsi="Times New Roman" w:cs="Times New Roman"/>
          <w:color w:val="000000" w:themeColor="text1"/>
          <w:lang w:val="sr-Latn-ME" w:bidi="en-US"/>
        </w:rPr>
        <w:t xml:space="preserve">stovremena terapija </w:t>
      </w:r>
      <w:r w:rsidRPr="00314858">
        <w:rPr>
          <w:rFonts w:ascii="Times New Roman" w:eastAsia="Times New Roman" w:hAnsi="Times New Roman" w:cs="Times New Roman"/>
          <w:color w:val="000000" w:themeColor="text1"/>
          <w:lang w:val="sr-Latn-ME" w:bidi="en-US"/>
        </w:rPr>
        <w:t xml:space="preserve">sa </w:t>
      </w:r>
      <w:r w:rsidR="00D67D34" w:rsidRPr="00314858">
        <w:rPr>
          <w:rFonts w:ascii="Times New Roman" w:eastAsia="Times New Roman" w:hAnsi="Times New Roman" w:cs="Times New Roman"/>
          <w:color w:val="000000" w:themeColor="text1"/>
          <w:lang w:val="sr-Latn-ME" w:bidi="en-US"/>
        </w:rPr>
        <w:t>bilo kojim drugim antikoagulansom npr. nefrakcionisani heparin</w:t>
      </w:r>
      <w:r w:rsidRPr="00314858">
        <w:rPr>
          <w:rFonts w:ascii="Times New Roman" w:eastAsia="Times New Roman" w:hAnsi="Times New Roman" w:cs="Times New Roman"/>
          <w:color w:val="000000" w:themeColor="text1"/>
          <w:lang w:val="sr-Latn-ME" w:bidi="en-US"/>
        </w:rPr>
        <w:t xml:space="preserve"> (engl. </w:t>
      </w:r>
      <w:r w:rsidRPr="00314858">
        <w:rPr>
          <w:rFonts w:ascii="Times New Roman" w:eastAsia="Times New Roman" w:hAnsi="Times New Roman" w:cs="Times New Roman"/>
          <w:i/>
          <w:color w:val="000000" w:themeColor="text1"/>
          <w:lang w:val="sr-Latn-ME" w:bidi="en-US"/>
        </w:rPr>
        <w:t>unfractionated heparin</w:t>
      </w:r>
      <w:r w:rsidRPr="00314858">
        <w:rPr>
          <w:rFonts w:ascii="Times New Roman" w:eastAsia="Times New Roman" w:hAnsi="Times New Roman" w:cs="Times New Roman"/>
          <w:color w:val="000000" w:themeColor="text1"/>
          <w:lang w:val="sr-Latn-ME" w:bidi="en-US"/>
        </w:rPr>
        <w:t>, UFH)</w:t>
      </w:r>
      <w:r w:rsidR="00D67D34" w:rsidRPr="00314858">
        <w:rPr>
          <w:rFonts w:ascii="Times New Roman" w:eastAsia="Times New Roman" w:hAnsi="Times New Roman" w:cs="Times New Roman"/>
          <w:color w:val="000000" w:themeColor="text1"/>
          <w:lang w:val="sr-Latn-ME" w:bidi="en-US"/>
        </w:rPr>
        <w:t>, heparini niske molekulske mase (enoksaparin, dalteparin itd.), derivati heparina (fondaparinuks, itd.), oralni antikoagulansi (varfarin, rivaroksaban, apiksaban itd.), osim u specifičnim okolnostima. To su prela</w:t>
      </w:r>
      <w:r w:rsidR="00151E79" w:rsidRPr="00314858">
        <w:rPr>
          <w:rFonts w:ascii="Times New Roman" w:eastAsia="Times New Roman" w:hAnsi="Times New Roman" w:cs="Times New Roman"/>
          <w:color w:val="000000" w:themeColor="text1"/>
          <w:lang w:val="sr-Latn-ME" w:bidi="en-US"/>
        </w:rPr>
        <w:t>sci</w:t>
      </w:r>
      <w:r w:rsidR="00D67D34" w:rsidRPr="00314858">
        <w:rPr>
          <w:rFonts w:ascii="Times New Roman" w:eastAsia="Times New Roman" w:hAnsi="Times New Roman" w:cs="Times New Roman"/>
          <w:color w:val="000000" w:themeColor="text1"/>
          <w:lang w:val="sr-Latn-ME" w:bidi="en-US"/>
        </w:rPr>
        <w:t xml:space="preserve"> sa jedne na drugu antikoagulacionu terapiju (vid</w:t>
      </w:r>
      <w:r w:rsidR="007B403A" w:rsidRPr="00314858">
        <w:rPr>
          <w:rFonts w:ascii="Times New Roman" w:eastAsia="Times New Roman" w:hAnsi="Times New Roman" w:cs="Times New Roman"/>
          <w:color w:val="000000" w:themeColor="text1"/>
          <w:lang w:val="sr-Latn-ME" w:bidi="en-US"/>
        </w:rPr>
        <w:t>j</w:t>
      </w:r>
      <w:r w:rsidR="00D67D34" w:rsidRPr="00314858">
        <w:rPr>
          <w:rFonts w:ascii="Times New Roman" w:eastAsia="Times New Roman" w:hAnsi="Times New Roman" w:cs="Times New Roman"/>
          <w:color w:val="000000" w:themeColor="text1"/>
          <w:lang w:val="sr-Latn-ME" w:bidi="en-US"/>
        </w:rPr>
        <w:t xml:space="preserve">eti </w:t>
      </w:r>
      <w:r w:rsidR="007B403A" w:rsidRPr="00314858">
        <w:rPr>
          <w:rFonts w:ascii="Times New Roman" w:eastAsia="Times New Roman" w:hAnsi="Times New Roman" w:cs="Times New Roman"/>
          <w:color w:val="000000" w:themeColor="text1"/>
          <w:lang w:val="sr-Latn-ME" w:bidi="en-US"/>
        </w:rPr>
        <w:t>dio</w:t>
      </w:r>
      <w:r w:rsidR="00D67D34" w:rsidRPr="00314858">
        <w:rPr>
          <w:rFonts w:ascii="Times New Roman" w:eastAsia="Times New Roman" w:hAnsi="Times New Roman" w:cs="Times New Roman"/>
          <w:color w:val="000000" w:themeColor="text1"/>
          <w:lang w:val="sr-Latn-ME" w:bidi="en-US"/>
        </w:rPr>
        <w:t xml:space="preserve"> 4.2),</w:t>
      </w:r>
      <w:r w:rsidR="00ED227D" w:rsidRPr="00314858">
        <w:rPr>
          <w:rFonts w:ascii="Times New Roman" w:eastAsia="Times New Roman" w:hAnsi="Times New Roman" w:cs="Times New Roman"/>
          <w:color w:val="000000" w:themeColor="text1"/>
          <w:lang w:val="sr-Latn-ME" w:bidi="en-US"/>
        </w:rPr>
        <w:t xml:space="preserve"> </w:t>
      </w:r>
      <w:r w:rsidR="00D67D34" w:rsidRPr="00314858">
        <w:rPr>
          <w:rFonts w:ascii="Times New Roman" w:eastAsia="Times New Roman" w:hAnsi="Times New Roman" w:cs="Times New Roman"/>
          <w:color w:val="000000" w:themeColor="text1"/>
          <w:lang w:val="sr-Latn-ME" w:bidi="en-US"/>
        </w:rPr>
        <w:t xml:space="preserve">kada se </w:t>
      </w:r>
      <w:r w:rsidRPr="00314858">
        <w:rPr>
          <w:rFonts w:ascii="Times New Roman" w:eastAsia="Times New Roman" w:hAnsi="Times New Roman" w:cs="Times New Roman"/>
          <w:color w:val="000000" w:themeColor="text1"/>
          <w:lang w:val="sr-Latn-ME" w:bidi="en-US"/>
        </w:rPr>
        <w:t>UFH</w:t>
      </w:r>
      <w:r w:rsidR="00D67D34" w:rsidRPr="00314858">
        <w:rPr>
          <w:rFonts w:ascii="Times New Roman" w:eastAsia="Times New Roman" w:hAnsi="Times New Roman" w:cs="Times New Roman"/>
          <w:color w:val="000000" w:themeColor="text1"/>
          <w:lang w:val="sr-Latn-ME" w:bidi="en-US"/>
        </w:rPr>
        <w:t xml:space="preserve"> prim</w:t>
      </w:r>
      <w:r w:rsidR="004B1D33" w:rsidRPr="00314858">
        <w:rPr>
          <w:rFonts w:ascii="Times New Roman" w:eastAsia="Times New Roman" w:hAnsi="Times New Roman" w:cs="Times New Roman"/>
          <w:color w:val="000000" w:themeColor="text1"/>
          <w:lang w:val="sr-Latn-ME" w:bidi="en-US"/>
        </w:rPr>
        <w:t>j</w:t>
      </w:r>
      <w:r w:rsidR="00D67D34" w:rsidRPr="00314858">
        <w:rPr>
          <w:rFonts w:ascii="Times New Roman" w:eastAsia="Times New Roman" w:hAnsi="Times New Roman" w:cs="Times New Roman"/>
          <w:color w:val="000000" w:themeColor="text1"/>
          <w:lang w:val="sr-Latn-ME" w:bidi="en-US"/>
        </w:rPr>
        <w:t xml:space="preserve">enjuje u dozi koja je neophodna za održavanje prohodnosti centralnog venskog ili arterijskog katetera ili kada se </w:t>
      </w:r>
      <w:r w:rsidRPr="00314858">
        <w:rPr>
          <w:rFonts w:ascii="Times New Roman" w:eastAsia="Times New Roman" w:hAnsi="Times New Roman" w:cs="Times New Roman"/>
          <w:color w:val="000000" w:themeColor="text1"/>
          <w:lang w:val="sr-Latn-ME" w:bidi="en-US"/>
        </w:rPr>
        <w:t>UFH</w:t>
      </w:r>
      <w:r w:rsidR="00D67D34" w:rsidRPr="00314858">
        <w:rPr>
          <w:rFonts w:ascii="Times New Roman" w:eastAsia="Times New Roman" w:hAnsi="Times New Roman" w:cs="Times New Roman"/>
          <w:color w:val="000000" w:themeColor="text1"/>
          <w:lang w:val="sr-Latn-ME" w:bidi="en-US"/>
        </w:rPr>
        <w:t xml:space="preserve"> daje tokom kateterske ablacije zbog atrijalne fibrilacije (vid</w:t>
      </w:r>
      <w:r w:rsidR="007B403A" w:rsidRPr="00314858">
        <w:rPr>
          <w:rFonts w:ascii="Times New Roman" w:eastAsia="Times New Roman" w:hAnsi="Times New Roman" w:cs="Times New Roman"/>
          <w:color w:val="000000" w:themeColor="text1"/>
          <w:lang w:val="sr-Latn-ME" w:bidi="en-US"/>
        </w:rPr>
        <w:t>j</w:t>
      </w:r>
      <w:r w:rsidR="00D67D34" w:rsidRPr="00314858">
        <w:rPr>
          <w:rFonts w:ascii="Times New Roman" w:eastAsia="Times New Roman" w:hAnsi="Times New Roman" w:cs="Times New Roman"/>
          <w:color w:val="000000" w:themeColor="text1"/>
          <w:lang w:val="sr-Latn-ME" w:bidi="en-US"/>
        </w:rPr>
        <w:t xml:space="preserve">eti </w:t>
      </w:r>
      <w:r w:rsidR="007B403A" w:rsidRPr="00314858">
        <w:rPr>
          <w:rFonts w:ascii="Times New Roman" w:eastAsia="Times New Roman" w:hAnsi="Times New Roman" w:cs="Times New Roman"/>
          <w:color w:val="000000" w:themeColor="text1"/>
          <w:lang w:val="sr-Latn-ME" w:bidi="en-US"/>
        </w:rPr>
        <w:t>dio</w:t>
      </w:r>
      <w:r w:rsidR="00D67D34" w:rsidRPr="00314858">
        <w:rPr>
          <w:rFonts w:ascii="Times New Roman" w:eastAsia="Times New Roman" w:hAnsi="Times New Roman" w:cs="Times New Roman"/>
          <w:color w:val="000000" w:themeColor="text1"/>
          <w:lang w:val="sr-Latn-ME" w:bidi="en-US"/>
        </w:rPr>
        <w:t xml:space="preserve"> 4.5)</w:t>
      </w:r>
      <w:r w:rsidRPr="00314858">
        <w:rPr>
          <w:rFonts w:ascii="Times New Roman" w:eastAsia="Times New Roman" w:hAnsi="Times New Roman" w:cs="Times New Roman"/>
          <w:color w:val="000000" w:themeColor="text1"/>
          <w:lang w:val="sr-Latn-ME" w:bidi="en-US"/>
        </w:rPr>
        <w:t>,</w:t>
      </w:r>
    </w:p>
    <w:p w14:paraId="5B2DA3DD" w14:textId="4C7AA27F" w:rsidR="00D67D34" w:rsidRPr="00314858" w:rsidRDefault="002326A2"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o</w:t>
      </w:r>
      <w:r w:rsidR="00D67D34" w:rsidRPr="00314858">
        <w:rPr>
          <w:rFonts w:ascii="Times New Roman" w:eastAsia="Times New Roman" w:hAnsi="Times New Roman" w:cs="Times New Roman"/>
          <w:color w:val="000000" w:themeColor="text1"/>
          <w:lang w:val="sr-Latn-ME" w:bidi="en-US"/>
        </w:rPr>
        <w:t xml:space="preserve">štećenje funkcije jetre ili </w:t>
      </w:r>
      <w:r w:rsidRPr="00314858">
        <w:rPr>
          <w:rFonts w:ascii="Times New Roman" w:eastAsia="Times New Roman" w:hAnsi="Times New Roman" w:cs="Times New Roman"/>
          <w:color w:val="000000" w:themeColor="text1"/>
          <w:lang w:val="sr-Latn-ME" w:bidi="en-US"/>
        </w:rPr>
        <w:t>oboljenje</w:t>
      </w:r>
      <w:r w:rsidR="00D67D34" w:rsidRPr="00314858">
        <w:rPr>
          <w:rFonts w:ascii="Times New Roman" w:eastAsia="Times New Roman" w:hAnsi="Times New Roman" w:cs="Times New Roman"/>
          <w:color w:val="000000" w:themeColor="text1"/>
          <w:lang w:val="sr-Latn-ME" w:bidi="en-US"/>
        </w:rPr>
        <w:t xml:space="preserve"> jetre koje može da ima uticaj na preživljavanje pacijenta</w:t>
      </w:r>
      <w:r w:rsidRPr="00314858">
        <w:rPr>
          <w:rFonts w:ascii="Times New Roman" w:eastAsia="Times New Roman" w:hAnsi="Times New Roman" w:cs="Times New Roman"/>
          <w:color w:val="000000" w:themeColor="text1"/>
          <w:lang w:val="sr-Latn-ME" w:bidi="en-US"/>
        </w:rPr>
        <w:t>,</w:t>
      </w:r>
      <w:r w:rsidR="00D67D34" w:rsidRPr="00314858">
        <w:rPr>
          <w:rFonts w:ascii="Times New Roman" w:eastAsia="Times New Roman" w:hAnsi="Times New Roman" w:cs="Times New Roman"/>
          <w:color w:val="000000" w:themeColor="text1"/>
          <w:lang w:val="sr-Latn-ME" w:bidi="en-US"/>
        </w:rPr>
        <w:t xml:space="preserve"> </w:t>
      </w:r>
    </w:p>
    <w:p w14:paraId="00F43E44" w14:textId="089F7AF3" w:rsidR="00D67D34" w:rsidRPr="00314858" w:rsidRDefault="002326A2"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i</w:t>
      </w:r>
      <w:r w:rsidR="00D67D34" w:rsidRPr="00314858">
        <w:rPr>
          <w:rFonts w:ascii="Times New Roman" w:eastAsia="Times New Roman" w:hAnsi="Times New Roman" w:cs="Times New Roman"/>
          <w:color w:val="000000" w:themeColor="text1"/>
          <w:lang w:val="sr-Latn-ME" w:bidi="en-US"/>
        </w:rPr>
        <w:t>stovremena prim</w:t>
      </w:r>
      <w:r w:rsidR="007B403A" w:rsidRPr="00314858">
        <w:rPr>
          <w:rFonts w:ascii="Times New Roman" w:eastAsia="Times New Roman" w:hAnsi="Times New Roman" w:cs="Times New Roman"/>
          <w:color w:val="000000" w:themeColor="text1"/>
          <w:lang w:val="sr-Latn-ME" w:bidi="en-US"/>
        </w:rPr>
        <w:t>j</w:t>
      </w:r>
      <w:r w:rsidR="00D67D34" w:rsidRPr="00314858">
        <w:rPr>
          <w:rFonts w:ascii="Times New Roman" w:eastAsia="Times New Roman" w:hAnsi="Times New Roman" w:cs="Times New Roman"/>
          <w:color w:val="000000" w:themeColor="text1"/>
          <w:lang w:val="sr-Latn-ME" w:bidi="en-US"/>
        </w:rPr>
        <w:t>ena sa sl</w:t>
      </w:r>
      <w:r w:rsidR="007B403A" w:rsidRPr="00314858">
        <w:rPr>
          <w:rFonts w:ascii="Times New Roman" w:eastAsia="Times New Roman" w:hAnsi="Times New Roman" w:cs="Times New Roman"/>
          <w:color w:val="000000" w:themeColor="text1"/>
          <w:lang w:val="sr-Latn-ME" w:bidi="en-US"/>
        </w:rPr>
        <w:t>j</w:t>
      </w:r>
      <w:r w:rsidR="00D67D34" w:rsidRPr="00314858">
        <w:rPr>
          <w:rFonts w:ascii="Times New Roman" w:eastAsia="Times New Roman" w:hAnsi="Times New Roman" w:cs="Times New Roman"/>
          <w:color w:val="000000" w:themeColor="text1"/>
          <w:lang w:val="sr-Latn-ME" w:bidi="en-US"/>
        </w:rPr>
        <w:t>edećim snažnim P-gp inhibitorima: sistemski prim</w:t>
      </w:r>
      <w:r w:rsidR="007B403A" w:rsidRPr="00314858">
        <w:rPr>
          <w:rFonts w:ascii="Times New Roman" w:eastAsia="Times New Roman" w:hAnsi="Times New Roman" w:cs="Times New Roman"/>
          <w:color w:val="000000" w:themeColor="text1"/>
          <w:lang w:val="sr-Latn-ME" w:bidi="en-US"/>
        </w:rPr>
        <w:t>ij</w:t>
      </w:r>
      <w:r w:rsidR="00D67D34" w:rsidRPr="00314858">
        <w:rPr>
          <w:rFonts w:ascii="Times New Roman" w:eastAsia="Times New Roman" w:hAnsi="Times New Roman" w:cs="Times New Roman"/>
          <w:color w:val="000000" w:themeColor="text1"/>
          <w:lang w:val="sr-Latn-ME" w:bidi="en-US"/>
        </w:rPr>
        <w:t>enjenim ketokonazolom, ciklosporinom, itrakonazolom</w:t>
      </w:r>
      <w:r w:rsidR="006C3D9A" w:rsidRPr="00314858">
        <w:rPr>
          <w:rFonts w:ascii="Times New Roman" w:eastAsia="Times New Roman" w:hAnsi="Times New Roman" w:cs="Times New Roman"/>
          <w:color w:val="000000" w:themeColor="text1"/>
          <w:lang w:val="sr-Latn-ME" w:bidi="en-US"/>
        </w:rPr>
        <w:t>,</w:t>
      </w:r>
      <w:r w:rsidR="00D67D34" w:rsidRPr="00314858">
        <w:rPr>
          <w:rFonts w:ascii="Times New Roman" w:eastAsia="Times New Roman" w:hAnsi="Times New Roman" w:cs="Times New Roman"/>
          <w:color w:val="000000" w:themeColor="text1"/>
          <w:lang w:val="sr-Latn-ME" w:bidi="en-US"/>
        </w:rPr>
        <w:t xml:space="preserve"> dronedaronom</w:t>
      </w:r>
      <w:r w:rsidR="006C3D9A" w:rsidRPr="00314858">
        <w:rPr>
          <w:rFonts w:ascii="Times New Roman" w:eastAsia="Times New Roman" w:hAnsi="Times New Roman" w:cs="Times New Roman"/>
          <w:color w:val="000000" w:themeColor="text1"/>
          <w:lang w:val="sr-Latn-ME" w:bidi="en-US"/>
        </w:rPr>
        <w:t xml:space="preserve"> i fiksnom kombinacijom glekaprevir/pibrentasvir</w:t>
      </w:r>
      <w:r w:rsidR="00D67D34" w:rsidRPr="00314858">
        <w:rPr>
          <w:rFonts w:ascii="Times New Roman" w:eastAsia="Times New Roman" w:hAnsi="Times New Roman" w:cs="Times New Roman"/>
          <w:color w:val="000000" w:themeColor="text1"/>
          <w:lang w:val="sr-Latn-ME" w:bidi="en-US"/>
        </w:rPr>
        <w:t xml:space="preserve"> (vid</w:t>
      </w:r>
      <w:r w:rsidR="007B403A" w:rsidRPr="00314858">
        <w:rPr>
          <w:rFonts w:ascii="Times New Roman" w:eastAsia="Times New Roman" w:hAnsi="Times New Roman" w:cs="Times New Roman"/>
          <w:color w:val="000000" w:themeColor="text1"/>
          <w:lang w:val="sr-Latn-ME" w:bidi="en-US"/>
        </w:rPr>
        <w:t>j</w:t>
      </w:r>
      <w:r w:rsidR="00D67D34" w:rsidRPr="00314858">
        <w:rPr>
          <w:rFonts w:ascii="Times New Roman" w:eastAsia="Times New Roman" w:hAnsi="Times New Roman" w:cs="Times New Roman"/>
          <w:color w:val="000000" w:themeColor="text1"/>
          <w:lang w:val="sr-Latn-ME" w:bidi="en-US"/>
        </w:rPr>
        <w:t xml:space="preserve">eti </w:t>
      </w:r>
      <w:r w:rsidR="007B403A" w:rsidRPr="00314858">
        <w:rPr>
          <w:rFonts w:ascii="Times New Roman" w:eastAsia="Times New Roman" w:hAnsi="Times New Roman" w:cs="Times New Roman"/>
          <w:color w:val="000000" w:themeColor="text1"/>
          <w:lang w:val="sr-Latn-ME" w:bidi="en-US"/>
        </w:rPr>
        <w:t>dio</w:t>
      </w:r>
      <w:r w:rsidR="00D67D34" w:rsidRPr="00314858">
        <w:rPr>
          <w:rFonts w:ascii="Times New Roman" w:eastAsia="Times New Roman" w:hAnsi="Times New Roman" w:cs="Times New Roman"/>
          <w:color w:val="000000" w:themeColor="text1"/>
          <w:lang w:val="sr-Latn-ME" w:bidi="en-US"/>
        </w:rPr>
        <w:t xml:space="preserve"> 4.5)</w:t>
      </w:r>
      <w:r w:rsidRPr="00314858">
        <w:rPr>
          <w:rFonts w:ascii="Times New Roman" w:eastAsia="Times New Roman" w:hAnsi="Times New Roman" w:cs="Times New Roman"/>
          <w:color w:val="000000" w:themeColor="text1"/>
          <w:lang w:val="sr-Latn-ME" w:bidi="en-US"/>
        </w:rPr>
        <w:t>,</w:t>
      </w:r>
    </w:p>
    <w:p w14:paraId="3505562D" w14:textId="6138A338" w:rsidR="00D67D34" w:rsidRPr="00314858" w:rsidRDefault="002326A2"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p</w:t>
      </w:r>
      <w:r w:rsidR="00D67D34" w:rsidRPr="00314858">
        <w:rPr>
          <w:rFonts w:ascii="Times New Roman" w:eastAsia="Times New Roman" w:hAnsi="Times New Roman" w:cs="Times New Roman"/>
          <w:color w:val="000000" w:themeColor="text1"/>
          <w:lang w:val="sr-Latn-ME" w:bidi="en-US"/>
        </w:rPr>
        <w:t xml:space="preserve">risustvo </w:t>
      </w:r>
      <w:r w:rsidR="009133B9" w:rsidRPr="00314858">
        <w:rPr>
          <w:rFonts w:ascii="Times New Roman" w:eastAsia="Times New Roman" w:hAnsi="Times New Roman" w:cs="Times New Roman"/>
          <w:color w:val="000000" w:themeColor="text1"/>
          <w:lang w:val="sr-Latn-ME" w:bidi="en-US"/>
        </w:rPr>
        <w:t>v</w:t>
      </w:r>
      <w:r w:rsidR="006012CF" w:rsidRPr="00314858">
        <w:rPr>
          <w:rFonts w:ascii="Times New Roman" w:eastAsia="Times New Roman" w:hAnsi="Times New Roman" w:cs="Times New Roman"/>
          <w:color w:val="000000" w:themeColor="text1"/>
          <w:lang w:val="sr-Latn-ME" w:bidi="en-US"/>
        </w:rPr>
        <w:t>j</w:t>
      </w:r>
      <w:r w:rsidR="009133B9" w:rsidRPr="00314858">
        <w:rPr>
          <w:rFonts w:ascii="Times New Roman" w:eastAsia="Times New Roman" w:hAnsi="Times New Roman" w:cs="Times New Roman"/>
          <w:color w:val="000000" w:themeColor="text1"/>
          <w:lang w:val="sr-Latn-ME" w:bidi="en-US"/>
        </w:rPr>
        <w:t>eštačkih</w:t>
      </w:r>
      <w:r w:rsidR="00D67D34" w:rsidRPr="00314858">
        <w:rPr>
          <w:rFonts w:ascii="Times New Roman" w:eastAsia="Times New Roman" w:hAnsi="Times New Roman" w:cs="Times New Roman"/>
          <w:color w:val="000000" w:themeColor="text1"/>
          <w:lang w:val="sr-Latn-ME" w:bidi="en-US"/>
        </w:rPr>
        <w:t xml:space="preserve"> srčanih zalistaka kod kojih je potrebna antikoagulantna terapija (vid</w:t>
      </w:r>
      <w:r w:rsidR="007B403A" w:rsidRPr="00314858">
        <w:rPr>
          <w:rFonts w:ascii="Times New Roman" w:eastAsia="Times New Roman" w:hAnsi="Times New Roman" w:cs="Times New Roman"/>
          <w:color w:val="000000" w:themeColor="text1"/>
          <w:lang w:val="sr-Latn-ME" w:bidi="en-US"/>
        </w:rPr>
        <w:t>j</w:t>
      </w:r>
      <w:r w:rsidR="00D67D34" w:rsidRPr="00314858">
        <w:rPr>
          <w:rFonts w:ascii="Times New Roman" w:eastAsia="Times New Roman" w:hAnsi="Times New Roman" w:cs="Times New Roman"/>
          <w:color w:val="000000" w:themeColor="text1"/>
          <w:lang w:val="sr-Latn-ME" w:bidi="en-US"/>
        </w:rPr>
        <w:t xml:space="preserve">eti </w:t>
      </w:r>
      <w:r w:rsidR="007B403A" w:rsidRPr="00314858">
        <w:rPr>
          <w:rFonts w:ascii="Times New Roman" w:eastAsia="Times New Roman" w:hAnsi="Times New Roman" w:cs="Times New Roman"/>
          <w:color w:val="000000" w:themeColor="text1"/>
          <w:lang w:val="sr-Latn-ME" w:bidi="en-US"/>
        </w:rPr>
        <w:t>dio</w:t>
      </w:r>
      <w:r w:rsidR="00D67D34" w:rsidRPr="00314858">
        <w:rPr>
          <w:rFonts w:ascii="Times New Roman" w:eastAsia="Times New Roman" w:hAnsi="Times New Roman" w:cs="Times New Roman"/>
          <w:color w:val="000000" w:themeColor="text1"/>
          <w:lang w:val="sr-Latn-ME" w:bidi="en-US"/>
        </w:rPr>
        <w:t xml:space="preserve"> 5.1)</w:t>
      </w:r>
      <w:r w:rsidRPr="00314858">
        <w:rPr>
          <w:rFonts w:ascii="Times New Roman" w:eastAsia="Times New Roman" w:hAnsi="Times New Roman" w:cs="Times New Roman"/>
          <w:color w:val="000000" w:themeColor="text1"/>
          <w:lang w:val="sr-Latn-ME" w:bidi="en-US"/>
        </w:rPr>
        <w:t>.</w:t>
      </w:r>
    </w:p>
    <w:p w14:paraId="28C7BAEA" w14:textId="77777777" w:rsidR="00D67D34" w:rsidRPr="00314858" w:rsidRDefault="00D67D34" w:rsidP="00D67D34">
      <w:pPr>
        <w:spacing w:after="0" w:line="240" w:lineRule="auto"/>
        <w:jc w:val="both"/>
        <w:rPr>
          <w:rFonts w:ascii="Times New Roman" w:hAnsi="Times New Roman" w:cs="Times New Roman"/>
          <w:lang w:val="sr-Latn-ME" w:bidi="en-US"/>
        </w:rPr>
      </w:pPr>
    </w:p>
    <w:p w14:paraId="115A7BB0" w14:textId="10B907A2"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4.4</w:t>
      </w:r>
      <w:r w:rsidR="001347BD"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Posebna upozorenja i m</w:t>
      </w:r>
      <w:r w:rsidR="007B403A" w:rsidRPr="00314858">
        <w:rPr>
          <w:rFonts w:ascii="Times New Roman" w:hAnsi="Times New Roman" w:cs="Times New Roman"/>
          <w:b/>
          <w:bCs/>
          <w:lang w:val="sr-Latn-ME" w:bidi="en-US"/>
        </w:rPr>
        <w:t>j</w:t>
      </w:r>
      <w:r w:rsidRPr="00314858">
        <w:rPr>
          <w:rFonts w:ascii="Times New Roman" w:hAnsi="Times New Roman" w:cs="Times New Roman"/>
          <w:b/>
          <w:bCs/>
          <w:lang w:val="sr-Latn-ME" w:bidi="en-US"/>
        </w:rPr>
        <w:t>ere opreza pri upotrebi l</w:t>
      </w:r>
      <w:r w:rsidR="007B403A" w:rsidRPr="00314858">
        <w:rPr>
          <w:rFonts w:ascii="Times New Roman" w:hAnsi="Times New Roman" w:cs="Times New Roman"/>
          <w:b/>
          <w:bCs/>
          <w:lang w:val="sr-Latn-ME" w:bidi="en-US"/>
        </w:rPr>
        <w:t>ij</w:t>
      </w:r>
      <w:r w:rsidRPr="00314858">
        <w:rPr>
          <w:rFonts w:ascii="Times New Roman" w:hAnsi="Times New Roman" w:cs="Times New Roman"/>
          <w:b/>
          <w:bCs/>
          <w:lang w:val="sr-Latn-ME" w:bidi="en-US"/>
        </w:rPr>
        <w:t>eka</w:t>
      </w:r>
    </w:p>
    <w:p w14:paraId="5747D482" w14:textId="77777777" w:rsidR="00D67D34" w:rsidRPr="00314858" w:rsidRDefault="00D67D34" w:rsidP="00D67D34">
      <w:pPr>
        <w:spacing w:after="0" w:line="240" w:lineRule="auto"/>
        <w:jc w:val="both"/>
        <w:rPr>
          <w:rFonts w:ascii="Times New Roman" w:hAnsi="Times New Roman" w:cs="Times New Roman"/>
          <w:u w:val="single"/>
          <w:lang w:val="sr-Latn-ME" w:bidi="en-US"/>
        </w:rPr>
      </w:pPr>
    </w:p>
    <w:p w14:paraId="79B05EF2" w14:textId="50E6C0A5" w:rsidR="00D67D34" w:rsidRPr="00314858" w:rsidRDefault="00D67D34" w:rsidP="00D67D34">
      <w:pPr>
        <w:spacing w:after="0" w:line="240" w:lineRule="auto"/>
        <w:jc w:val="both"/>
        <w:rPr>
          <w:rFonts w:ascii="Times New Roman" w:hAnsi="Times New Roman" w:cs="Times New Roman"/>
          <w:bCs/>
          <w:iCs/>
          <w:u w:val="single"/>
          <w:lang w:val="sr-Latn-ME"/>
        </w:rPr>
      </w:pPr>
      <w:r w:rsidRPr="00314858">
        <w:rPr>
          <w:rFonts w:ascii="Times New Roman" w:hAnsi="Times New Roman" w:cs="Times New Roman"/>
          <w:bCs/>
          <w:iCs/>
          <w:u w:val="single"/>
          <w:lang w:val="sr-Latn-ME"/>
        </w:rPr>
        <w:t xml:space="preserve">Rizik od </w:t>
      </w:r>
      <w:r w:rsidR="008903D0" w:rsidRPr="00314858">
        <w:rPr>
          <w:rFonts w:ascii="Times New Roman" w:hAnsi="Times New Roman" w:cs="Times New Roman"/>
          <w:bCs/>
          <w:iCs/>
          <w:u w:val="single"/>
          <w:lang w:val="sr-Latn-ME"/>
        </w:rPr>
        <w:t>krvarenja</w:t>
      </w:r>
    </w:p>
    <w:p w14:paraId="7EDF2DA8" w14:textId="77777777" w:rsidR="006C3D9A" w:rsidRPr="00314858" w:rsidRDefault="006C3D9A" w:rsidP="00D67D34">
      <w:pPr>
        <w:spacing w:after="0" w:line="240" w:lineRule="auto"/>
        <w:jc w:val="both"/>
        <w:rPr>
          <w:rFonts w:ascii="Times New Roman" w:hAnsi="Times New Roman" w:cs="Times New Roman"/>
          <w:bCs/>
          <w:iCs/>
          <w:u w:val="single"/>
          <w:lang w:val="sr-Latn-ME"/>
        </w:rPr>
      </w:pPr>
    </w:p>
    <w:p w14:paraId="5BFC9B42" w14:textId="77777777" w:rsidR="004B1D33" w:rsidRPr="00314858" w:rsidRDefault="00D67D34" w:rsidP="00D67D34">
      <w:pPr>
        <w:spacing w:after="0" w:line="240" w:lineRule="auto"/>
        <w:jc w:val="both"/>
        <w:rPr>
          <w:rFonts w:ascii="Times New Roman" w:hAnsi="Times New Roman" w:cs="Times New Roman"/>
          <w:bCs/>
          <w:iCs/>
          <w:lang w:val="sr-Latn-ME"/>
        </w:rPr>
      </w:pPr>
      <w:r w:rsidRPr="00314858">
        <w:rPr>
          <w:rFonts w:ascii="Times New Roman" w:hAnsi="Times New Roman" w:cs="Times New Roman"/>
          <w:bCs/>
          <w:iCs/>
          <w:lang w:val="sr-Latn-ME"/>
        </w:rPr>
        <w:t>Dabigatraneteksilat treba sa oprezom koristiti u stanjima sa povećanim rizikom od krvarenja</w:t>
      </w:r>
      <w:r w:rsidRPr="00314858">
        <w:rPr>
          <w:rFonts w:ascii="Times New Roman" w:hAnsi="Times New Roman" w:cs="Times New Roman"/>
          <w:lang w:val="sr-Latn-ME"/>
        </w:rPr>
        <w:t xml:space="preserve"> ili kada se istovremeno koriste l</w:t>
      </w:r>
      <w:r w:rsidR="007B403A" w:rsidRPr="00314858">
        <w:rPr>
          <w:rFonts w:ascii="Times New Roman" w:hAnsi="Times New Roman" w:cs="Times New Roman"/>
          <w:lang w:val="sr-Latn-ME"/>
        </w:rPr>
        <w:t>j</w:t>
      </w:r>
      <w:r w:rsidRPr="00314858">
        <w:rPr>
          <w:rFonts w:ascii="Times New Roman" w:hAnsi="Times New Roman" w:cs="Times New Roman"/>
          <w:lang w:val="sr-Latn-ME"/>
        </w:rPr>
        <w:t>ekovi koji utiču na hemostazu putem inhibicije agregacije trombocita</w:t>
      </w:r>
      <w:r w:rsidRPr="00314858">
        <w:rPr>
          <w:rFonts w:ascii="Times New Roman" w:hAnsi="Times New Roman" w:cs="Times New Roman"/>
          <w:bCs/>
          <w:iCs/>
          <w:lang w:val="sr-Latn-ME"/>
        </w:rPr>
        <w:t xml:space="preserve">. </w:t>
      </w:r>
    </w:p>
    <w:p w14:paraId="73052766" w14:textId="77777777" w:rsidR="004B1D33" w:rsidRPr="00314858" w:rsidRDefault="004B1D33" w:rsidP="00D67D34">
      <w:pPr>
        <w:spacing w:after="0" w:line="240" w:lineRule="auto"/>
        <w:jc w:val="both"/>
        <w:rPr>
          <w:rFonts w:ascii="Times New Roman" w:hAnsi="Times New Roman" w:cs="Times New Roman"/>
          <w:bCs/>
          <w:iCs/>
          <w:lang w:val="sr-Latn-ME"/>
        </w:rPr>
      </w:pPr>
    </w:p>
    <w:p w14:paraId="7E3758A8" w14:textId="7998B92F" w:rsidR="00D67D34" w:rsidRPr="00314858" w:rsidRDefault="00D67D34" w:rsidP="00D67D34">
      <w:pPr>
        <w:spacing w:after="0" w:line="240" w:lineRule="auto"/>
        <w:jc w:val="both"/>
        <w:rPr>
          <w:rFonts w:ascii="Times New Roman" w:hAnsi="Times New Roman" w:cs="Times New Roman"/>
          <w:bCs/>
          <w:iCs/>
          <w:lang w:val="sr-Latn-ME"/>
        </w:rPr>
      </w:pPr>
      <w:r w:rsidRPr="00314858">
        <w:rPr>
          <w:rFonts w:ascii="Times New Roman" w:hAnsi="Times New Roman" w:cs="Times New Roman"/>
          <w:bCs/>
          <w:iCs/>
          <w:lang w:val="sr-Latn-ME"/>
        </w:rPr>
        <w:t>Krvarenje može da se desi na bilo kom m</w:t>
      </w:r>
      <w:r w:rsidR="007B403A" w:rsidRPr="00314858">
        <w:rPr>
          <w:rFonts w:ascii="Times New Roman" w:hAnsi="Times New Roman" w:cs="Times New Roman"/>
          <w:bCs/>
          <w:iCs/>
          <w:lang w:val="sr-Latn-ME"/>
        </w:rPr>
        <w:t>j</w:t>
      </w:r>
      <w:r w:rsidRPr="00314858">
        <w:rPr>
          <w:rFonts w:ascii="Times New Roman" w:hAnsi="Times New Roman" w:cs="Times New Roman"/>
          <w:bCs/>
          <w:iCs/>
          <w:lang w:val="sr-Latn-ME"/>
        </w:rPr>
        <w:t>estu tokom terapije. Kod neobjašnjenog pada hemoglobina i/ili hematokrita ili krvnog pritiska treba potražiti m</w:t>
      </w:r>
      <w:r w:rsidR="007B403A" w:rsidRPr="00314858">
        <w:rPr>
          <w:rFonts w:ascii="Times New Roman" w:hAnsi="Times New Roman" w:cs="Times New Roman"/>
          <w:bCs/>
          <w:iCs/>
          <w:lang w:val="sr-Latn-ME"/>
        </w:rPr>
        <w:t>j</w:t>
      </w:r>
      <w:r w:rsidRPr="00314858">
        <w:rPr>
          <w:rFonts w:ascii="Times New Roman" w:hAnsi="Times New Roman" w:cs="Times New Roman"/>
          <w:bCs/>
          <w:iCs/>
          <w:lang w:val="sr-Latn-ME"/>
        </w:rPr>
        <w:t>esto krvarenja.</w:t>
      </w:r>
    </w:p>
    <w:p w14:paraId="1657C615" w14:textId="77777777" w:rsidR="006C3D9A" w:rsidRPr="00314858" w:rsidRDefault="006C3D9A" w:rsidP="00D67D34">
      <w:pPr>
        <w:spacing w:after="0" w:line="240" w:lineRule="auto"/>
        <w:jc w:val="both"/>
        <w:rPr>
          <w:rFonts w:ascii="Times New Roman" w:hAnsi="Times New Roman" w:cs="Times New Roman"/>
          <w:bCs/>
          <w:iCs/>
          <w:lang w:val="sr-Latn-ME"/>
        </w:rPr>
      </w:pPr>
    </w:p>
    <w:p w14:paraId="084F7A2C" w14:textId="77777777" w:rsidR="004B1D33" w:rsidRPr="00314858" w:rsidRDefault="006C3D9A"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Kod odraslih pacijenata, u</w:t>
      </w:r>
      <w:r w:rsidR="00D67D34" w:rsidRPr="00314858">
        <w:rPr>
          <w:rFonts w:ascii="Times New Roman" w:hAnsi="Times New Roman" w:cs="Times New Roman"/>
          <w:lang w:val="sr-Latn-ME"/>
        </w:rPr>
        <w:t xml:space="preserve"> situacijama po život opasnog ili nekontrolisanog krvarenja, kada je potrebno brzo poništenje antikoagulantnog dejstva dabigatrana, dostupan je specifičan antagonist idarucizumab.</w:t>
      </w:r>
    </w:p>
    <w:p w14:paraId="72CAFD23" w14:textId="2CA69A74" w:rsidR="004B1D33"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lastRenderedPageBreak/>
        <w:t>Nije ustanovljena efikasnost i bezb</w:t>
      </w:r>
      <w:r w:rsidR="007B403A" w:rsidRPr="00314858">
        <w:rPr>
          <w:rFonts w:ascii="Times New Roman" w:hAnsi="Times New Roman" w:cs="Times New Roman"/>
          <w:lang w:val="sr-Latn-ME"/>
        </w:rPr>
        <w:t>j</w:t>
      </w:r>
      <w:r w:rsidRPr="00314858">
        <w:rPr>
          <w:rFonts w:ascii="Times New Roman" w:hAnsi="Times New Roman" w:cs="Times New Roman"/>
          <w:lang w:val="sr-Latn-ME"/>
        </w:rPr>
        <w:t xml:space="preserve">ednost idarucizumaba kod pedijatrijskih pacijenata. </w:t>
      </w:r>
    </w:p>
    <w:p w14:paraId="462C538A" w14:textId="77777777" w:rsidR="004B1D33" w:rsidRPr="00314858" w:rsidRDefault="004B1D33" w:rsidP="00D67D34">
      <w:pPr>
        <w:spacing w:after="0" w:line="240" w:lineRule="auto"/>
        <w:jc w:val="both"/>
        <w:rPr>
          <w:rFonts w:ascii="Times New Roman" w:hAnsi="Times New Roman" w:cs="Times New Roman"/>
          <w:lang w:val="sr-Latn-ME"/>
        </w:rPr>
      </w:pPr>
    </w:p>
    <w:p w14:paraId="2C5110DB" w14:textId="27496820" w:rsidR="00D67D34" w:rsidRPr="00314858" w:rsidRDefault="00E06BD5"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Dabigatran se može ukloniti </w:t>
      </w:r>
      <w:r w:rsidR="00471F8D" w:rsidRPr="00314858">
        <w:rPr>
          <w:rFonts w:ascii="Times New Roman" w:hAnsi="Times New Roman" w:cs="Times New Roman"/>
          <w:lang w:val="sr-Latn-ME"/>
        </w:rPr>
        <w:t>hemo</w:t>
      </w:r>
      <w:r w:rsidRPr="00314858">
        <w:rPr>
          <w:rFonts w:ascii="Times New Roman" w:hAnsi="Times New Roman" w:cs="Times New Roman"/>
          <w:lang w:val="sr-Latn-ME"/>
        </w:rPr>
        <w:t xml:space="preserve">dijalizom. </w:t>
      </w:r>
      <w:r w:rsidR="00D67D34" w:rsidRPr="00314858">
        <w:rPr>
          <w:rFonts w:ascii="Times New Roman" w:hAnsi="Times New Roman" w:cs="Times New Roman"/>
          <w:lang w:val="sr-Latn-ME"/>
        </w:rPr>
        <w:t>Za odrasle pacijente</w:t>
      </w:r>
      <w:r w:rsidR="00471F8D" w:rsidRPr="00314858">
        <w:rPr>
          <w:rFonts w:ascii="Times New Roman" w:hAnsi="Times New Roman" w:cs="Times New Roman"/>
          <w:lang w:val="sr-Latn-ME"/>
        </w:rPr>
        <w:t>,</w:t>
      </w:r>
      <w:r w:rsidR="00D67D34" w:rsidRPr="00314858">
        <w:rPr>
          <w:rFonts w:ascii="Times New Roman" w:hAnsi="Times New Roman" w:cs="Times New Roman"/>
          <w:lang w:val="sr-Latn-ME"/>
        </w:rPr>
        <w:t xml:space="preserve"> druge moguće opcije su sv</w:t>
      </w:r>
      <w:r w:rsidR="007B403A" w:rsidRPr="00314858">
        <w:rPr>
          <w:rFonts w:ascii="Times New Roman" w:hAnsi="Times New Roman" w:cs="Times New Roman"/>
          <w:lang w:val="sr-Latn-ME"/>
        </w:rPr>
        <w:t>j</w:t>
      </w:r>
      <w:r w:rsidR="00D67D34" w:rsidRPr="00314858">
        <w:rPr>
          <w:rFonts w:ascii="Times New Roman" w:hAnsi="Times New Roman" w:cs="Times New Roman"/>
          <w:lang w:val="sr-Latn-ME"/>
        </w:rPr>
        <w:t>eža puna krv ili sv</w:t>
      </w:r>
      <w:r w:rsidR="007B403A"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eža smrznuta plazma, koncentrati faktora </w:t>
      </w:r>
      <w:r w:rsidR="00471F8D" w:rsidRPr="00314858">
        <w:rPr>
          <w:rFonts w:ascii="Times New Roman" w:hAnsi="Times New Roman" w:cs="Times New Roman"/>
          <w:lang w:val="sr-Latn-ME"/>
        </w:rPr>
        <w:t xml:space="preserve">koagulacije </w:t>
      </w:r>
      <w:r w:rsidR="00D67D34" w:rsidRPr="00314858">
        <w:rPr>
          <w:rFonts w:ascii="Times New Roman" w:hAnsi="Times New Roman" w:cs="Times New Roman"/>
          <w:lang w:val="sr-Latn-ME"/>
        </w:rPr>
        <w:t>(aktivirani ili neaktivirani), rekombinantni faktor VIIa ili koncentrati trombocita (vid</w:t>
      </w:r>
      <w:r w:rsidR="007B403A" w:rsidRPr="00314858">
        <w:rPr>
          <w:rFonts w:ascii="Times New Roman" w:hAnsi="Times New Roman" w:cs="Times New Roman"/>
          <w:lang w:val="sr-Latn-ME"/>
        </w:rPr>
        <w:t>j</w:t>
      </w:r>
      <w:r w:rsidR="00C724E6" w:rsidRPr="00314858">
        <w:rPr>
          <w:rFonts w:ascii="Times New Roman" w:hAnsi="Times New Roman" w:cs="Times New Roman"/>
          <w:lang w:val="sr-Latn-ME"/>
        </w:rPr>
        <w:t>e</w:t>
      </w:r>
      <w:r w:rsidR="00D67D34" w:rsidRPr="00314858">
        <w:rPr>
          <w:rFonts w:ascii="Times New Roman" w:hAnsi="Times New Roman" w:cs="Times New Roman"/>
          <w:lang w:val="sr-Latn-ME"/>
        </w:rPr>
        <w:t xml:space="preserve">ti takođe </w:t>
      </w:r>
      <w:r w:rsidR="007B403A" w:rsidRPr="00314858">
        <w:rPr>
          <w:rFonts w:ascii="Times New Roman" w:hAnsi="Times New Roman" w:cs="Times New Roman"/>
          <w:lang w:val="sr-Latn-ME"/>
        </w:rPr>
        <w:t>dio</w:t>
      </w:r>
      <w:r w:rsidR="00D67D34" w:rsidRPr="00314858">
        <w:rPr>
          <w:rFonts w:ascii="Times New Roman" w:hAnsi="Times New Roman" w:cs="Times New Roman"/>
          <w:lang w:val="sr-Latn-ME"/>
        </w:rPr>
        <w:t xml:space="preserve"> 4.9).</w:t>
      </w:r>
    </w:p>
    <w:p w14:paraId="5D9F7747" w14:textId="77777777" w:rsidR="006C3D9A" w:rsidRPr="00314858" w:rsidRDefault="006C3D9A" w:rsidP="00D67D34">
      <w:pPr>
        <w:spacing w:after="0" w:line="240" w:lineRule="auto"/>
        <w:jc w:val="both"/>
        <w:rPr>
          <w:rFonts w:ascii="Times New Roman" w:hAnsi="Times New Roman" w:cs="Times New Roman"/>
          <w:lang w:val="sr-Latn-ME"/>
        </w:rPr>
      </w:pPr>
    </w:p>
    <w:p w14:paraId="3D0063B9" w14:textId="51A223A3" w:rsidR="00D67D34" w:rsidRPr="00314858" w:rsidRDefault="00D67D34" w:rsidP="00D67D34">
      <w:pPr>
        <w:spacing w:after="0" w:line="240" w:lineRule="auto"/>
        <w:jc w:val="both"/>
        <w:rPr>
          <w:rFonts w:ascii="Times New Roman" w:hAnsi="Times New Roman" w:cs="Times New Roman"/>
          <w:bCs/>
          <w:iCs/>
          <w:lang w:val="sr-Latn-ME"/>
        </w:rPr>
      </w:pPr>
      <w:r w:rsidRPr="00314858">
        <w:rPr>
          <w:rFonts w:ascii="Times New Roman" w:hAnsi="Times New Roman" w:cs="Times New Roman"/>
          <w:bCs/>
          <w:iCs/>
          <w:lang w:val="sr-Latn-ME"/>
        </w:rPr>
        <w:t xml:space="preserve">U kliničkim ispitivanjima dabigatraneteksilat je bio povezan sa </w:t>
      </w:r>
      <w:r w:rsidR="00E23C53" w:rsidRPr="00314858">
        <w:rPr>
          <w:rFonts w:ascii="Times New Roman" w:hAnsi="Times New Roman" w:cs="Times New Roman"/>
          <w:bCs/>
          <w:iCs/>
          <w:lang w:val="sr-Latn-ME"/>
        </w:rPr>
        <w:t>većom</w:t>
      </w:r>
      <w:r w:rsidRPr="00314858">
        <w:rPr>
          <w:rFonts w:ascii="Times New Roman" w:hAnsi="Times New Roman" w:cs="Times New Roman"/>
          <w:bCs/>
          <w:iCs/>
          <w:lang w:val="sr-Latn-ME"/>
        </w:rPr>
        <w:t xml:space="preserve"> stopom </w:t>
      </w:r>
      <w:r w:rsidR="00E23C53" w:rsidRPr="00314858">
        <w:rPr>
          <w:rFonts w:ascii="Times New Roman" w:hAnsi="Times New Roman" w:cs="Times New Roman"/>
          <w:bCs/>
          <w:iCs/>
          <w:lang w:val="sr-Latn-ME"/>
        </w:rPr>
        <w:t>obilnijeg</w:t>
      </w:r>
      <w:r w:rsidRPr="00314858">
        <w:rPr>
          <w:rFonts w:ascii="Times New Roman" w:hAnsi="Times New Roman" w:cs="Times New Roman"/>
          <w:bCs/>
          <w:iCs/>
          <w:lang w:val="sr-Latn-ME"/>
        </w:rPr>
        <w:t xml:space="preserve"> gastrointestinaln</w:t>
      </w:r>
      <w:r w:rsidR="00E23C53" w:rsidRPr="00314858">
        <w:rPr>
          <w:rFonts w:ascii="Times New Roman" w:hAnsi="Times New Roman" w:cs="Times New Roman"/>
          <w:bCs/>
          <w:iCs/>
          <w:lang w:val="sr-Latn-ME"/>
        </w:rPr>
        <w:t>og</w:t>
      </w:r>
      <w:r w:rsidRPr="00314858">
        <w:rPr>
          <w:rFonts w:ascii="Times New Roman" w:hAnsi="Times New Roman" w:cs="Times New Roman"/>
          <w:bCs/>
          <w:iCs/>
          <w:lang w:val="sr-Latn-ME"/>
        </w:rPr>
        <w:t xml:space="preserve"> (GI) krvarenja.</w:t>
      </w:r>
      <w:r w:rsidR="00ED227D" w:rsidRPr="00314858">
        <w:rPr>
          <w:rFonts w:ascii="Times New Roman" w:hAnsi="Times New Roman" w:cs="Times New Roman"/>
          <w:bCs/>
          <w:iCs/>
          <w:lang w:val="sr-Latn-ME"/>
        </w:rPr>
        <w:t xml:space="preserve"> </w:t>
      </w:r>
      <w:r w:rsidRPr="00314858">
        <w:rPr>
          <w:rFonts w:ascii="Times New Roman" w:hAnsi="Times New Roman" w:cs="Times New Roman"/>
          <w:bCs/>
          <w:iCs/>
          <w:lang w:val="sr-Latn-ME"/>
        </w:rPr>
        <w:t>Ovaj povećani rizik je bio uočen kod starijih osoba (≥</w:t>
      </w:r>
      <w:r w:rsidR="004B1D33" w:rsidRPr="00314858">
        <w:rPr>
          <w:rFonts w:ascii="Times New Roman" w:hAnsi="Times New Roman" w:cs="Times New Roman"/>
          <w:bCs/>
          <w:iCs/>
          <w:lang w:val="sr-Latn-ME"/>
        </w:rPr>
        <w:t xml:space="preserve"> </w:t>
      </w:r>
      <w:r w:rsidRPr="00314858">
        <w:rPr>
          <w:rFonts w:ascii="Times New Roman" w:hAnsi="Times New Roman" w:cs="Times New Roman"/>
          <w:bCs/>
          <w:iCs/>
          <w:lang w:val="sr-Latn-ME"/>
        </w:rPr>
        <w:t>75 godina) pri režimu doziranja od 150 mg dva puta dnevno. Dodatni faktori rizika (vid</w:t>
      </w:r>
      <w:r w:rsidR="007B403A" w:rsidRPr="00314858">
        <w:rPr>
          <w:rFonts w:ascii="Times New Roman" w:hAnsi="Times New Roman" w:cs="Times New Roman"/>
          <w:bCs/>
          <w:iCs/>
          <w:lang w:val="sr-Latn-ME"/>
        </w:rPr>
        <w:t>j</w:t>
      </w:r>
      <w:r w:rsidRPr="00314858">
        <w:rPr>
          <w:rFonts w:ascii="Times New Roman" w:hAnsi="Times New Roman" w:cs="Times New Roman"/>
          <w:bCs/>
          <w:iCs/>
          <w:lang w:val="sr-Latn-ME"/>
        </w:rPr>
        <w:t xml:space="preserve">eti takođe </w:t>
      </w:r>
      <w:r w:rsidR="00E23C53" w:rsidRPr="00314858">
        <w:rPr>
          <w:rFonts w:ascii="Times New Roman" w:hAnsi="Times New Roman" w:cs="Times New Roman"/>
          <w:bCs/>
          <w:iCs/>
          <w:lang w:val="sr-Latn-ME"/>
        </w:rPr>
        <w:t>t</w:t>
      </w:r>
      <w:r w:rsidRPr="00314858">
        <w:rPr>
          <w:rFonts w:ascii="Times New Roman" w:hAnsi="Times New Roman" w:cs="Times New Roman"/>
          <w:bCs/>
          <w:iCs/>
          <w:lang w:val="sr-Latn-ME"/>
        </w:rPr>
        <w:t>abelu 4) uključuju istovremenu terapiju sa inhibitorima agregacije trombocita kao što su klopidogrel i acetilsalic</w:t>
      </w:r>
      <w:r w:rsidR="006C3D9A" w:rsidRPr="00314858">
        <w:rPr>
          <w:rFonts w:ascii="Times New Roman" w:hAnsi="Times New Roman" w:cs="Times New Roman"/>
          <w:bCs/>
          <w:iCs/>
          <w:lang w:val="sr-Latn-ME"/>
        </w:rPr>
        <w:t>il</w:t>
      </w:r>
      <w:r w:rsidRPr="00314858">
        <w:rPr>
          <w:rFonts w:ascii="Times New Roman" w:hAnsi="Times New Roman" w:cs="Times New Roman"/>
          <w:bCs/>
          <w:iCs/>
          <w:lang w:val="sr-Latn-ME"/>
        </w:rPr>
        <w:t>na kiselina (ASK) ili nesteroidni antiinflamatorni l</w:t>
      </w:r>
      <w:r w:rsidR="004B1D33" w:rsidRPr="00314858">
        <w:rPr>
          <w:rFonts w:ascii="Times New Roman" w:hAnsi="Times New Roman" w:cs="Times New Roman"/>
          <w:bCs/>
          <w:iCs/>
          <w:lang w:val="sr-Latn-ME"/>
        </w:rPr>
        <w:t>j</w:t>
      </w:r>
      <w:r w:rsidRPr="00314858">
        <w:rPr>
          <w:rFonts w:ascii="Times New Roman" w:hAnsi="Times New Roman" w:cs="Times New Roman"/>
          <w:bCs/>
          <w:iCs/>
          <w:lang w:val="sr-Latn-ME"/>
        </w:rPr>
        <w:t>ekovi (NSAIL),</w:t>
      </w:r>
      <w:r w:rsidRPr="00314858" w:rsidDel="0024585B">
        <w:rPr>
          <w:rFonts w:ascii="Times New Roman" w:hAnsi="Times New Roman" w:cs="Times New Roman"/>
          <w:bCs/>
          <w:iCs/>
          <w:lang w:val="sr-Latn-ME"/>
        </w:rPr>
        <w:t xml:space="preserve"> </w:t>
      </w:r>
      <w:r w:rsidRPr="00314858">
        <w:rPr>
          <w:rFonts w:ascii="Times New Roman" w:hAnsi="Times New Roman" w:cs="Times New Roman"/>
          <w:bCs/>
          <w:iCs/>
          <w:lang w:val="sr-Latn-ME"/>
        </w:rPr>
        <w:t xml:space="preserve">kao i prisustvo ezofagitisa, gastritisa ili gastroezofagealnog refluksa. </w:t>
      </w:r>
    </w:p>
    <w:p w14:paraId="7952E218" w14:textId="77777777" w:rsidR="006C3D9A" w:rsidRPr="00314858" w:rsidRDefault="006C3D9A" w:rsidP="00D67D34">
      <w:pPr>
        <w:spacing w:after="0" w:line="240" w:lineRule="auto"/>
        <w:jc w:val="both"/>
        <w:rPr>
          <w:rFonts w:ascii="Times New Roman" w:hAnsi="Times New Roman" w:cs="Times New Roman"/>
          <w:bCs/>
          <w:iCs/>
          <w:lang w:val="sr-Latn-ME"/>
        </w:rPr>
      </w:pPr>
    </w:p>
    <w:p w14:paraId="52FE7298" w14:textId="149BB38C" w:rsidR="00D67D34" w:rsidRPr="00314858" w:rsidRDefault="00D67D34" w:rsidP="00D67D34">
      <w:pPr>
        <w:spacing w:after="0" w:line="240" w:lineRule="auto"/>
        <w:jc w:val="both"/>
        <w:rPr>
          <w:rFonts w:ascii="Times New Roman" w:hAnsi="Times New Roman" w:cs="Times New Roman"/>
          <w:bCs/>
          <w:i/>
          <w:u w:val="single"/>
          <w:lang w:val="sr-Latn-ME"/>
        </w:rPr>
      </w:pPr>
      <w:r w:rsidRPr="00314858">
        <w:rPr>
          <w:rFonts w:ascii="Times New Roman" w:hAnsi="Times New Roman" w:cs="Times New Roman"/>
          <w:bCs/>
          <w:i/>
          <w:u w:val="single"/>
          <w:lang w:val="sr-Latn-ME"/>
        </w:rPr>
        <w:t>Faktori rizika</w:t>
      </w:r>
    </w:p>
    <w:p w14:paraId="3443B124" w14:textId="77777777" w:rsidR="006C3D9A" w:rsidRPr="00314858" w:rsidRDefault="006C3D9A" w:rsidP="00D67D34">
      <w:pPr>
        <w:spacing w:after="0" w:line="240" w:lineRule="auto"/>
        <w:jc w:val="both"/>
        <w:rPr>
          <w:rFonts w:ascii="Times New Roman" w:hAnsi="Times New Roman" w:cs="Times New Roman"/>
          <w:bCs/>
          <w:i/>
          <w:u w:val="single"/>
          <w:lang w:val="sr-Latn-ME"/>
        </w:rPr>
      </w:pPr>
    </w:p>
    <w:p w14:paraId="067F0884" w14:textId="7D0D713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bCs/>
          <w:iCs/>
          <w:lang w:val="sr-Latn-ME"/>
        </w:rPr>
        <w:t xml:space="preserve">U </w:t>
      </w:r>
      <w:r w:rsidR="00E23C53" w:rsidRPr="00314858">
        <w:rPr>
          <w:rFonts w:ascii="Times New Roman" w:hAnsi="Times New Roman" w:cs="Times New Roman"/>
          <w:bCs/>
          <w:iCs/>
          <w:lang w:val="sr-Latn-ME"/>
        </w:rPr>
        <w:t>t</w:t>
      </w:r>
      <w:r w:rsidRPr="00314858">
        <w:rPr>
          <w:rFonts w:ascii="Times New Roman" w:hAnsi="Times New Roman" w:cs="Times New Roman"/>
          <w:bCs/>
          <w:iCs/>
          <w:lang w:val="sr-Latn-ME"/>
        </w:rPr>
        <w:t xml:space="preserve">abeli 4 prikazani su faktori koji mogu da povećaju rizik od </w:t>
      </w:r>
      <w:r w:rsidR="00E23C53" w:rsidRPr="00314858">
        <w:rPr>
          <w:rFonts w:ascii="Times New Roman" w:hAnsi="Times New Roman" w:cs="Times New Roman"/>
          <w:bCs/>
          <w:iCs/>
          <w:lang w:val="sr-Latn-ME"/>
        </w:rPr>
        <w:t>krvarenja</w:t>
      </w:r>
      <w:r w:rsidRPr="00314858">
        <w:rPr>
          <w:rFonts w:ascii="Times New Roman" w:hAnsi="Times New Roman" w:cs="Times New Roman"/>
          <w:bCs/>
          <w:iCs/>
          <w:lang w:val="sr-Latn-ME"/>
        </w:rPr>
        <w:t>.</w:t>
      </w:r>
      <w:r w:rsidRPr="00314858">
        <w:rPr>
          <w:rFonts w:ascii="Times New Roman" w:hAnsi="Times New Roman" w:cs="Times New Roman"/>
          <w:lang w:val="sr-Latn-ME"/>
        </w:rPr>
        <w:t xml:space="preserve"> </w:t>
      </w:r>
    </w:p>
    <w:p w14:paraId="52765484" w14:textId="77777777" w:rsidR="00D67D34" w:rsidRPr="00314858" w:rsidRDefault="00D67D34" w:rsidP="00D67D34">
      <w:pPr>
        <w:spacing w:after="0" w:line="240" w:lineRule="auto"/>
        <w:jc w:val="both"/>
        <w:rPr>
          <w:rFonts w:ascii="Times New Roman" w:hAnsi="Times New Roman" w:cs="Times New Roman"/>
          <w:lang w:val="sr-Latn-ME" w:bidi="en-US"/>
        </w:rPr>
      </w:pPr>
    </w:p>
    <w:p w14:paraId="18868400" w14:textId="1F43D53B"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4</w:t>
      </w:r>
      <w:r w:rsidR="00E23C53"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Faktori koji mogu da povećaju rizik od </w:t>
      </w:r>
      <w:r w:rsidR="00E23C53" w:rsidRPr="00314858">
        <w:rPr>
          <w:rFonts w:ascii="Times New Roman" w:hAnsi="Times New Roman" w:cs="Times New Roman"/>
          <w:b/>
          <w:bCs/>
          <w:lang w:val="sr-Latn-ME" w:bidi="en-US"/>
        </w:rPr>
        <w:t>krvarenja.</w:t>
      </w:r>
    </w:p>
    <w:p w14:paraId="736D4132" w14:textId="77777777" w:rsidR="00E23C53" w:rsidRPr="00314858" w:rsidRDefault="00E23C53" w:rsidP="00BA378B">
      <w:pPr>
        <w:spacing w:after="0" w:line="240" w:lineRule="auto"/>
        <w:jc w:val="center"/>
        <w:rPr>
          <w:rFonts w:ascii="Times New Roman" w:hAnsi="Times New Roman" w:cs="Times New Roman"/>
          <w:b/>
          <w:bCs/>
          <w:lang w:val="sr-Latn-M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3988"/>
        <w:gridCol w:w="5072"/>
      </w:tblGrid>
      <w:tr w:rsidR="006C3D9A" w:rsidRPr="00314858" w14:paraId="6140C775" w14:textId="77777777" w:rsidTr="006C3D9A">
        <w:trPr>
          <w:trHeight w:val="20"/>
        </w:trPr>
        <w:tc>
          <w:tcPr>
            <w:tcW w:w="2201" w:type="pct"/>
          </w:tcPr>
          <w:p w14:paraId="7B82C465" w14:textId="77777777" w:rsidR="00D67D34" w:rsidRPr="00314858" w:rsidRDefault="00D67D34" w:rsidP="00D67D34">
            <w:pPr>
              <w:spacing w:after="0" w:line="240" w:lineRule="auto"/>
              <w:jc w:val="both"/>
              <w:rPr>
                <w:rFonts w:ascii="Times New Roman" w:hAnsi="Times New Roman" w:cs="Times New Roman"/>
                <w:bCs/>
                <w:iCs/>
                <w:lang w:val="sr-Latn-ME"/>
              </w:rPr>
            </w:pPr>
          </w:p>
        </w:tc>
        <w:tc>
          <w:tcPr>
            <w:tcW w:w="2799" w:type="pct"/>
          </w:tcPr>
          <w:p w14:paraId="62B55312" w14:textId="77777777" w:rsidR="00D67D34" w:rsidRPr="00314858" w:rsidRDefault="00D67D34" w:rsidP="00D67D34">
            <w:pPr>
              <w:spacing w:after="0" w:line="240" w:lineRule="auto"/>
              <w:jc w:val="both"/>
              <w:rPr>
                <w:rFonts w:ascii="Times New Roman" w:hAnsi="Times New Roman" w:cs="Times New Roman"/>
                <w:bCs/>
                <w:iCs/>
                <w:lang w:val="sr-Latn-ME"/>
              </w:rPr>
            </w:pPr>
            <w:r w:rsidRPr="00314858">
              <w:rPr>
                <w:rFonts w:ascii="Times New Roman" w:hAnsi="Times New Roman" w:cs="Times New Roman"/>
                <w:bCs/>
                <w:iCs/>
                <w:lang w:val="sr-Latn-ME"/>
              </w:rPr>
              <w:t>Faktor rizika</w:t>
            </w:r>
          </w:p>
        </w:tc>
      </w:tr>
      <w:tr w:rsidR="006C3D9A" w:rsidRPr="00314858" w14:paraId="216B7AD7" w14:textId="77777777" w:rsidTr="006C3D9A">
        <w:trPr>
          <w:trHeight w:val="20"/>
        </w:trPr>
        <w:tc>
          <w:tcPr>
            <w:tcW w:w="2201" w:type="pct"/>
          </w:tcPr>
          <w:p w14:paraId="0D30BF41" w14:textId="77777777" w:rsidR="00D67D34" w:rsidRPr="00314858" w:rsidRDefault="00D67D34" w:rsidP="007B403A">
            <w:pPr>
              <w:spacing w:after="0" w:line="240" w:lineRule="auto"/>
              <w:rPr>
                <w:rFonts w:ascii="Times New Roman" w:hAnsi="Times New Roman" w:cs="Times New Roman"/>
                <w:bCs/>
                <w:iCs/>
                <w:lang w:val="sr-Latn-ME"/>
              </w:rPr>
            </w:pPr>
            <w:r w:rsidRPr="00314858">
              <w:rPr>
                <w:rFonts w:ascii="Times New Roman" w:hAnsi="Times New Roman" w:cs="Times New Roman"/>
                <w:bCs/>
                <w:iCs/>
                <w:lang w:val="sr-Latn-ME"/>
              </w:rPr>
              <w:t>Farmakodinamski i farmakokinetički faktori</w:t>
            </w:r>
          </w:p>
        </w:tc>
        <w:tc>
          <w:tcPr>
            <w:tcW w:w="2799" w:type="pct"/>
          </w:tcPr>
          <w:p w14:paraId="2225DBBC" w14:textId="480C0653" w:rsidR="00D67D34" w:rsidRPr="00314858" w:rsidRDefault="00D67D34" w:rsidP="00D67D34">
            <w:pPr>
              <w:spacing w:after="0" w:line="240" w:lineRule="auto"/>
              <w:jc w:val="both"/>
              <w:rPr>
                <w:rFonts w:ascii="Times New Roman" w:hAnsi="Times New Roman" w:cs="Times New Roman"/>
                <w:bCs/>
                <w:iCs/>
                <w:lang w:val="sr-Latn-ME"/>
              </w:rPr>
            </w:pPr>
            <w:r w:rsidRPr="00314858">
              <w:rPr>
                <w:rFonts w:ascii="Times New Roman" w:hAnsi="Times New Roman" w:cs="Times New Roman"/>
                <w:bCs/>
                <w:iCs/>
                <w:lang w:val="sr-Latn-ME"/>
              </w:rPr>
              <w:t>Starost ≥</w:t>
            </w:r>
            <w:r w:rsidR="004B1D33" w:rsidRPr="00314858">
              <w:rPr>
                <w:rFonts w:ascii="Times New Roman" w:hAnsi="Times New Roman" w:cs="Times New Roman"/>
                <w:bCs/>
                <w:iCs/>
                <w:lang w:val="sr-Latn-ME"/>
              </w:rPr>
              <w:t xml:space="preserve"> </w:t>
            </w:r>
            <w:r w:rsidRPr="00314858">
              <w:rPr>
                <w:rFonts w:ascii="Times New Roman" w:hAnsi="Times New Roman" w:cs="Times New Roman"/>
                <w:bCs/>
                <w:iCs/>
                <w:lang w:val="sr-Latn-ME"/>
              </w:rPr>
              <w:t>75 godina</w:t>
            </w:r>
          </w:p>
        </w:tc>
      </w:tr>
      <w:tr w:rsidR="006C3D9A" w:rsidRPr="00314858" w14:paraId="439973C4" w14:textId="77777777" w:rsidTr="006C3D9A">
        <w:trPr>
          <w:trHeight w:val="20"/>
        </w:trPr>
        <w:tc>
          <w:tcPr>
            <w:tcW w:w="2201" w:type="pct"/>
          </w:tcPr>
          <w:p w14:paraId="33543EC8" w14:textId="7EBFF2C3" w:rsidR="00D67D34" w:rsidRPr="00314858" w:rsidRDefault="00D67D34" w:rsidP="00B80B75">
            <w:pPr>
              <w:spacing w:after="0" w:line="240" w:lineRule="auto"/>
              <w:rPr>
                <w:rFonts w:ascii="Times New Roman" w:hAnsi="Times New Roman" w:cs="Times New Roman"/>
                <w:bCs/>
                <w:iCs/>
                <w:lang w:val="sr-Latn-ME"/>
              </w:rPr>
            </w:pPr>
            <w:r w:rsidRPr="00314858">
              <w:rPr>
                <w:rFonts w:ascii="Times New Roman" w:hAnsi="Times New Roman" w:cs="Times New Roman"/>
                <w:bCs/>
                <w:iCs/>
                <w:lang w:val="sr-Latn-ME"/>
              </w:rPr>
              <w:t xml:space="preserve">Faktori koji povećavaju </w:t>
            </w:r>
            <w:r w:rsidR="002D1557" w:rsidRPr="00314858">
              <w:rPr>
                <w:rFonts w:ascii="Times New Roman" w:hAnsi="Times New Roman" w:cs="Times New Roman"/>
                <w:bCs/>
                <w:iCs/>
                <w:lang w:val="sr-Latn-ME"/>
              </w:rPr>
              <w:t>koncentracije</w:t>
            </w:r>
            <w:r w:rsidRPr="00314858">
              <w:rPr>
                <w:rFonts w:ascii="Times New Roman" w:hAnsi="Times New Roman" w:cs="Times New Roman"/>
                <w:bCs/>
                <w:iCs/>
                <w:lang w:val="sr-Latn-ME"/>
              </w:rPr>
              <w:t xml:space="preserve"> dabigatrana u plazmi </w:t>
            </w:r>
          </w:p>
        </w:tc>
        <w:tc>
          <w:tcPr>
            <w:tcW w:w="2799" w:type="pct"/>
          </w:tcPr>
          <w:p w14:paraId="41F94CBB" w14:textId="77777777" w:rsidR="00D67D34" w:rsidRPr="00314858" w:rsidRDefault="00D67D34" w:rsidP="006C3D9A">
            <w:pPr>
              <w:spacing w:after="0" w:line="240" w:lineRule="auto"/>
              <w:contextualSpacing/>
              <w:rPr>
                <w:rFonts w:ascii="Times New Roman" w:hAnsi="Times New Roman" w:cs="Times New Roman"/>
                <w:bCs/>
                <w:iCs/>
                <w:u w:val="single"/>
                <w:lang w:val="sr-Latn-ME"/>
              </w:rPr>
            </w:pPr>
            <w:r w:rsidRPr="00314858">
              <w:rPr>
                <w:rFonts w:ascii="Times New Roman" w:hAnsi="Times New Roman" w:cs="Times New Roman"/>
                <w:bCs/>
                <w:iCs/>
                <w:u w:val="single"/>
                <w:lang w:val="sr-Latn-ME"/>
              </w:rPr>
              <w:t>Značajni:</w:t>
            </w:r>
          </w:p>
          <w:p w14:paraId="1401861E" w14:textId="0E802AFC"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Um</w:t>
            </w:r>
            <w:r w:rsidR="00B80B75" w:rsidRPr="00314858">
              <w:rPr>
                <w:rFonts w:ascii="Times New Roman" w:hAnsi="Times New Roman" w:cs="Times New Roman"/>
                <w:bCs/>
                <w:iCs/>
                <w:lang w:val="sr-Latn-ME"/>
              </w:rPr>
              <w:t>j</w:t>
            </w:r>
            <w:r w:rsidRPr="00314858">
              <w:rPr>
                <w:rFonts w:ascii="Times New Roman" w:hAnsi="Times New Roman" w:cs="Times New Roman"/>
                <w:bCs/>
                <w:iCs/>
                <w:lang w:val="sr-Latn-ME"/>
              </w:rPr>
              <w:t>ereno oštećenje funkcije bubrega kod odraslih pacijenata (30-50 m</w:t>
            </w:r>
            <w:r w:rsidR="004B1D33" w:rsidRPr="00314858">
              <w:rPr>
                <w:rFonts w:ascii="Times New Roman" w:hAnsi="Times New Roman" w:cs="Times New Roman"/>
                <w:bCs/>
                <w:iCs/>
                <w:lang w:val="sr-Latn-ME"/>
              </w:rPr>
              <w:t>l</w:t>
            </w:r>
            <w:r w:rsidRPr="00314858">
              <w:rPr>
                <w:rFonts w:ascii="Times New Roman" w:hAnsi="Times New Roman" w:cs="Times New Roman"/>
                <w:bCs/>
                <w:iCs/>
                <w:lang w:val="sr-Latn-ME"/>
              </w:rPr>
              <w:t>/min CrCL)</w:t>
            </w:r>
          </w:p>
          <w:p w14:paraId="1982DAC2" w14:textId="2725926E"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Snažni P-gp inhibitori (vid</w:t>
            </w:r>
            <w:r w:rsidR="00B80B75" w:rsidRPr="00314858">
              <w:rPr>
                <w:rFonts w:ascii="Times New Roman" w:hAnsi="Times New Roman" w:cs="Times New Roman"/>
                <w:bCs/>
                <w:iCs/>
                <w:lang w:val="sr-Latn-ME"/>
              </w:rPr>
              <w:t>j</w:t>
            </w:r>
            <w:r w:rsidRPr="00314858">
              <w:rPr>
                <w:rFonts w:ascii="Times New Roman" w:hAnsi="Times New Roman" w:cs="Times New Roman"/>
                <w:bCs/>
                <w:iCs/>
                <w:lang w:val="sr-Latn-ME"/>
              </w:rPr>
              <w:t xml:space="preserve">eti </w:t>
            </w:r>
            <w:r w:rsidR="00B80B75" w:rsidRPr="00314858">
              <w:rPr>
                <w:rFonts w:ascii="Times New Roman" w:hAnsi="Times New Roman" w:cs="Times New Roman"/>
                <w:bCs/>
                <w:iCs/>
                <w:lang w:val="sr-Latn-ME"/>
              </w:rPr>
              <w:t>djelove</w:t>
            </w:r>
            <w:r w:rsidRPr="00314858">
              <w:rPr>
                <w:rFonts w:ascii="Times New Roman" w:hAnsi="Times New Roman" w:cs="Times New Roman"/>
                <w:bCs/>
                <w:iCs/>
                <w:lang w:val="sr-Latn-ME"/>
              </w:rPr>
              <w:t xml:space="preserve"> 4.3 i 4.5)</w:t>
            </w:r>
          </w:p>
          <w:p w14:paraId="4C0EFE3F" w14:textId="08E57E24"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Istovremena prim</w:t>
            </w:r>
            <w:r w:rsidR="00B80B75" w:rsidRPr="00314858">
              <w:rPr>
                <w:rFonts w:ascii="Times New Roman" w:hAnsi="Times New Roman" w:cs="Times New Roman"/>
                <w:bCs/>
                <w:iCs/>
                <w:lang w:val="sr-Latn-ME"/>
              </w:rPr>
              <w:t>j</w:t>
            </w:r>
            <w:r w:rsidRPr="00314858">
              <w:rPr>
                <w:rFonts w:ascii="Times New Roman" w:hAnsi="Times New Roman" w:cs="Times New Roman"/>
                <w:bCs/>
                <w:iCs/>
                <w:lang w:val="sr-Latn-ME"/>
              </w:rPr>
              <w:t>ena blagih do um</w:t>
            </w:r>
            <w:r w:rsidR="00B80B75" w:rsidRPr="00314858">
              <w:rPr>
                <w:rFonts w:ascii="Times New Roman" w:hAnsi="Times New Roman" w:cs="Times New Roman"/>
                <w:bCs/>
                <w:iCs/>
                <w:lang w:val="sr-Latn-ME"/>
              </w:rPr>
              <w:t>j</w:t>
            </w:r>
            <w:r w:rsidRPr="00314858">
              <w:rPr>
                <w:rFonts w:ascii="Times New Roman" w:hAnsi="Times New Roman" w:cs="Times New Roman"/>
                <w:bCs/>
                <w:iCs/>
                <w:lang w:val="sr-Latn-ME"/>
              </w:rPr>
              <w:t>erenih P-gp inhibitora (npr. amjodaron, verapamil, hinidin i tikagrelor; vid</w:t>
            </w:r>
            <w:r w:rsidR="00B80B75" w:rsidRPr="00314858">
              <w:rPr>
                <w:rFonts w:ascii="Times New Roman" w:hAnsi="Times New Roman" w:cs="Times New Roman"/>
                <w:bCs/>
                <w:iCs/>
                <w:lang w:val="sr-Latn-ME"/>
              </w:rPr>
              <w:t>j</w:t>
            </w:r>
            <w:r w:rsidRPr="00314858">
              <w:rPr>
                <w:rFonts w:ascii="Times New Roman" w:hAnsi="Times New Roman" w:cs="Times New Roman"/>
                <w:bCs/>
                <w:iCs/>
                <w:lang w:val="sr-Latn-ME"/>
              </w:rPr>
              <w:t xml:space="preserve">eti </w:t>
            </w:r>
            <w:r w:rsidR="00B80B75" w:rsidRPr="00314858">
              <w:rPr>
                <w:rFonts w:ascii="Times New Roman" w:hAnsi="Times New Roman" w:cs="Times New Roman"/>
                <w:bCs/>
                <w:iCs/>
                <w:lang w:val="sr-Latn-ME"/>
              </w:rPr>
              <w:t>dio</w:t>
            </w:r>
            <w:r w:rsidRPr="00314858">
              <w:rPr>
                <w:rFonts w:ascii="Times New Roman" w:hAnsi="Times New Roman" w:cs="Times New Roman"/>
                <w:bCs/>
                <w:iCs/>
                <w:lang w:val="sr-Latn-ME"/>
              </w:rPr>
              <w:t xml:space="preserve"> 4.5)</w:t>
            </w:r>
          </w:p>
          <w:p w14:paraId="068ED574" w14:textId="77777777" w:rsidR="006C3D9A" w:rsidRPr="00314858" w:rsidRDefault="006C3D9A" w:rsidP="006C3D9A">
            <w:pPr>
              <w:spacing w:after="0" w:line="240" w:lineRule="auto"/>
              <w:contextualSpacing/>
              <w:rPr>
                <w:rFonts w:ascii="Times New Roman" w:hAnsi="Times New Roman" w:cs="Times New Roman"/>
                <w:bCs/>
                <w:iCs/>
                <w:lang w:val="sr-Latn-ME"/>
              </w:rPr>
            </w:pPr>
          </w:p>
          <w:p w14:paraId="0CCB1E45" w14:textId="6AC0EE9C" w:rsidR="00D67D34" w:rsidRPr="00314858" w:rsidRDefault="00D67D34" w:rsidP="006C3D9A">
            <w:pPr>
              <w:spacing w:after="0" w:line="240" w:lineRule="auto"/>
              <w:contextualSpacing/>
              <w:rPr>
                <w:rFonts w:ascii="Times New Roman" w:hAnsi="Times New Roman" w:cs="Times New Roman"/>
                <w:bCs/>
                <w:iCs/>
                <w:u w:val="single"/>
                <w:lang w:val="sr-Latn-ME"/>
              </w:rPr>
            </w:pPr>
            <w:r w:rsidRPr="00314858">
              <w:rPr>
                <w:rFonts w:ascii="Times New Roman" w:hAnsi="Times New Roman" w:cs="Times New Roman"/>
                <w:bCs/>
                <w:iCs/>
                <w:u w:val="single"/>
                <w:lang w:val="sr-Latn-ME"/>
              </w:rPr>
              <w:t>Manje značajni:</w:t>
            </w:r>
          </w:p>
          <w:p w14:paraId="67550479" w14:textId="595FFE3B"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Mala t</w:t>
            </w:r>
            <w:r w:rsidR="00B80B75" w:rsidRPr="00314858">
              <w:rPr>
                <w:rFonts w:ascii="Times New Roman" w:hAnsi="Times New Roman" w:cs="Times New Roman"/>
                <w:bCs/>
                <w:iCs/>
                <w:lang w:val="sr-Latn-ME"/>
              </w:rPr>
              <w:t>j</w:t>
            </w:r>
            <w:r w:rsidRPr="00314858">
              <w:rPr>
                <w:rFonts w:ascii="Times New Roman" w:hAnsi="Times New Roman" w:cs="Times New Roman"/>
                <w:bCs/>
                <w:iCs/>
                <w:lang w:val="sr-Latn-ME"/>
              </w:rPr>
              <w:t xml:space="preserve">elesna masa </w:t>
            </w:r>
            <w:r w:rsidR="002D1557" w:rsidRPr="00314858">
              <w:rPr>
                <w:rFonts w:ascii="Times New Roman" w:hAnsi="Times New Roman" w:cs="Times New Roman"/>
                <w:bCs/>
                <w:iCs/>
                <w:lang w:val="sr-Latn-ME"/>
              </w:rPr>
              <w:t>(&lt;</w:t>
            </w:r>
            <w:r w:rsidR="004B1D33" w:rsidRPr="00314858">
              <w:rPr>
                <w:rFonts w:ascii="Times New Roman" w:hAnsi="Times New Roman" w:cs="Times New Roman"/>
                <w:bCs/>
                <w:iCs/>
                <w:lang w:val="sr-Latn-ME"/>
              </w:rPr>
              <w:t xml:space="preserve"> </w:t>
            </w:r>
            <w:r w:rsidR="002D1557" w:rsidRPr="00314858">
              <w:rPr>
                <w:rFonts w:ascii="Times New Roman" w:hAnsi="Times New Roman" w:cs="Times New Roman"/>
                <w:bCs/>
                <w:iCs/>
                <w:lang w:val="sr-Latn-ME"/>
              </w:rPr>
              <w:t xml:space="preserve">50 kg) </w:t>
            </w:r>
            <w:r w:rsidRPr="00314858">
              <w:rPr>
                <w:rFonts w:ascii="Times New Roman" w:hAnsi="Times New Roman" w:cs="Times New Roman"/>
                <w:bCs/>
                <w:iCs/>
                <w:lang w:val="sr-Latn-ME"/>
              </w:rPr>
              <w:t>kod odraslih pacijenata</w:t>
            </w:r>
          </w:p>
        </w:tc>
      </w:tr>
      <w:tr w:rsidR="006C3D9A" w:rsidRPr="00314858" w14:paraId="178ADB94" w14:textId="77777777" w:rsidTr="006C3D9A">
        <w:trPr>
          <w:trHeight w:val="20"/>
        </w:trPr>
        <w:tc>
          <w:tcPr>
            <w:tcW w:w="2201" w:type="pct"/>
          </w:tcPr>
          <w:p w14:paraId="70FB0FED" w14:textId="08160109" w:rsidR="00D67D34" w:rsidRPr="00314858" w:rsidRDefault="00D67D34" w:rsidP="00D67D34">
            <w:pPr>
              <w:spacing w:after="0" w:line="240" w:lineRule="auto"/>
              <w:jc w:val="both"/>
              <w:rPr>
                <w:rFonts w:ascii="Times New Roman" w:hAnsi="Times New Roman" w:cs="Times New Roman"/>
                <w:bCs/>
                <w:iCs/>
                <w:lang w:val="sr-Latn-ME"/>
              </w:rPr>
            </w:pPr>
            <w:r w:rsidRPr="00314858">
              <w:rPr>
                <w:rFonts w:ascii="Times New Roman" w:hAnsi="Times New Roman" w:cs="Times New Roman"/>
                <w:bCs/>
                <w:iCs/>
                <w:lang w:val="sr-Latn-ME"/>
              </w:rPr>
              <w:t>Farmakodinamske interakcije (vid</w:t>
            </w:r>
            <w:r w:rsidR="00B80B75" w:rsidRPr="00314858">
              <w:rPr>
                <w:rFonts w:ascii="Times New Roman" w:hAnsi="Times New Roman" w:cs="Times New Roman"/>
                <w:bCs/>
                <w:iCs/>
                <w:lang w:val="sr-Latn-ME"/>
              </w:rPr>
              <w:t>j</w:t>
            </w:r>
            <w:r w:rsidRPr="00314858">
              <w:rPr>
                <w:rFonts w:ascii="Times New Roman" w:hAnsi="Times New Roman" w:cs="Times New Roman"/>
                <w:bCs/>
                <w:iCs/>
                <w:lang w:val="sr-Latn-ME"/>
              </w:rPr>
              <w:t xml:space="preserve">eti </w:t>
            </w:r>
            <w:r w:rsidR="00B80B75" w:rsidRPr="00314858">
              <w:rPr>
                <w:rFonts w:ascii="Times New Roman" w:hAnsi="Times New Roman" w:cs="Times New Roman"/>
                <w:bCs/>
                <w:iCs/>
                <w:lang w:val="sr-Latn-ME"/>
              </w:rPr>
              <w:t>dio</w:t>
            </w:r>
            <w:r w:rsidRPr="00314858">
              <w:rPr>
                <w:rFonts w:ascii="Times New Roman" w:hAnsi="Times New Roman" w:cs="Times New Roman"/>
                <w:bCs/>
                <w:iCs/>
                <w:lang w:val="sr-Latn-ME"/>
              </w:rPr>
              <w:t xml:space="preserve"> 4.5)</w:t>
            </w:r>
          </w:p>
        </w:tc>
        <w:tc>
          <w:tcPr>
            <w:tcW w:w="2799" w:type="pct"/>
          </w:tcPr>
          <w:p w14:paraId="6A9EDC40" w14:textId="77777777"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ASK i drugi inhibitori agregacije trombocita kao što je klopidogrel</w:t>
            </w:r>
          </w:p>
          <w:p w14:paraId="6B74657B" w14:textId="77777777"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NSAIL</w:t>
            </w:r>
          </w:p>
          <w:p w14:paraId="6B65FE8A" w14:textId="77777777" w:rsidR="00D67D34" w:rsidRPr="00314858" w:rsidRDefault="00D67D34" w:rsidP="00A53009">
            <w:pPr>
              <w:numPr>
                <w:ilvl w:val="0"/>
                <w:numId w:val="3"/>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SSRI ili SNRI</w:t>
            </w:r>
          </w:p>
          <w:p w14:paraId="42E2F2D6" w14:textId="4F325DE8"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Ostali l</w:t>
            </w:r>
            <w:r w:rsidR="00B80B75" w:rsidRPr="00314858">
              <w:rPr>
                <w:rFonts w:ascii="Times New Roman" w:hAnsi="Times New Roman" w:cs="Times New Roman"/>
                <w:bCs/>
                <w:iCs/>
                <w:lang w:val="sr-Latn-ME"/>
              </w:rPr>
              <w:t>j</w:t>
            </w:r>
            <w:r w:rsidRPr="00314858">
              <w:rPr>
                <w:rFonts w:ascii="Times New Roman" w:hAnsi="Times New Roman" w:cs="Times New Roman"/>
                <w:bCs/>
                <w:iCs/>
                <w:lang w:val="sr-Latn-ME"/>
              </w:rPr>
              <w:t>ekovi koji mogu narušiti hemostazu</w:t>
            </w:r>
          </w:p>
        </w:tc>
      </w:tr>
      <w:tr w:rsidR="006C3D9A" w:rsidRPr="00314858" w14:paraId="3CA2B77A" w14:textId="77777777" w:rsidTr="006C3D9A">
        <w:trPr>
          <w:trHeight w:val="20"/>
        </w:trPr>
        <w:tc>
          <w:tcPr>
            <w:tcW w:w="2201" w:type="pct"/>
          </w:tcPr>
          <w:p w14:paraId="45167C74" w14:textId="69A22707" w:rsidR="00D67D34" w:rsidRPr="00314858" w:rsidRDefault="00D67D34" w:rsidP="00D67D34">
            <w:pPr>
              <w:spacing w:after="0" w:line="240" w:lineRule="auto"/>
              <w:jc w:val="both"/>
              <w:rPr>
                <w:rFonts w:ascii="Times New Roman" w:hAnsi="Times New Roman" w:cs="Times New Roman"/>
                <w:bCs/>
                <w:iCs/>
                <w:lang w:val="sr-Latn-ME"/>
              </w:rPr>
            </w:pPr>
            <w:r w:rsidRPr="00314858">
              <w:rPr>
                <w:rFonts w:ascii="Times New Roman" w:hAnsi="Times New Roman" w:cs="Times New Roman"/>
                <w:bCs/>
                <w:iCs/>
                <w:lang w:val="sr-Latn-ME"/>
              </w:rPr>
              <w:t xml:space="preserve">Bolesti/postupci sa posebnim rizikom od </w:t>
            </w:r>
            <w:r w:rsidR="00D57354" w:rsidRPr="00314858">
              <w:rPr>
                <w:rFonts w:ascii="Times New Roman" w:hAnsi="Times New Roman" w:cs="Times New Roman"/>
                <w:bCs/>
                <w:iCs/>
                <w:lang w:val="sr-Latn-ME"/>
              </w:rPr>
              <w:t>krvarenja</w:t>
            </w:r>
          </w:p>
        </w:tc>
        <w:tc>
          <w:tcPr>
            <w:tcW w:w="2799" w:type="pct"/>
          </w:tcPr>
          <w:p w14:paraId="0AB1571E" w14:textId="77777777"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Kongenitalni ili stečeni poremećaji koagulacije</w:t>
            </w:r>
          </w:p>
          <w:p w14:paraId="5067DFBB" w14:textId="0C50DD09"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Trombocitopenija ili funkcionalni trombocitni deficit</w:t>
            </w:r>
            <w:r w:rsidR="00D57354" w:rsidRPr="00314858">
              <w:rPr>
                <w:rFonts w:ascii="Times New Roman" w:hAnsi="Times New Roman" w:cs="Times New Roman"/>
                <w:bCs/>
                <w:iCs/>
                <w:lang w:val="sr-Latn-ME"/>
              </w:rPr>
              <w:t>i</w:t>
            </w:r>
          </w:p>
          <w:p w14:paraId="3BFEEDDD" w14:textId="0CC019A1" w:rsidR="00D67D34" w:rsidRPr="00314858" w:rsidRDefault="00D5735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Nedavna</w:t>
            </w:r>
            <w:r w:rsidR="00D67D34" w:rsidRPr="00314858">
              <w:rPr>
                <w:rFonts w:ascii="Times New Roman" w:hAnsi="Times New Roman" w:cs="Times New Roman"/>
                <w:bCs/>
                <w:iCs/>
                <w:lang w:val="sr-Latn-ME"/>
              </w:rPr>
              <w:t xml:space="preserve"> biopsija, velika trauma</w:t>
            </w:r>
          </w:p>
          <w:p w14:paraId="3DF80476" w14:textId="77777777"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Bakterijski endokarditis</w:t>
            </w:r>
          </w:p>
          <w:p w14:paraId="6ED00026" w14:textId="77777777" w:rsidR="00D67D34" w:rsidRPr="00314858" w:rsidRDefault="00D67D34" w:rsidP="00A53009">
            <w:pPr>
              <w:numPr>
                <w:ilvl w:val="0"/>
                <w:numId w:val="2"/>
              </w:numPr>
              <w:spacing w:after="0" w:line="240" w:lineRule="auto"/>
              <w:ind w:left="605" w:hanging="567"/>
              <w:contextualSpacing/>
              <w:rPr>
                <w:rFonts w:ascii="Times New Roman" w:hAnsi="Times New Roman" w:cs="Times New Roman"/>
                <w:bCs/>
                <w:iCs/>
                <w:lang w:val="sr-Latn-ME"/>
              </w:rPr>
            </w:pPr>
            <w:r w:rsidRPr="00314858">
              <w:rPr>
                <w:rFonts w:ascii="Times New Roman" w:hAnsi="Times New Roman" w:cs="Times New Roman"/>
                <w:bCs/>
                <w:iCs/>
                <w:lang w:val="sr-Latn-ME"/>
              </w:rPr>
              <w:t>Ezofagitis, gastritis ili gastroezofagealni refluks</w:t>
            </w:r>
          </w:p>
        </w:tc>
      </w:tr>
    </w:tbl>
    <w:p w14:paraId="5A8FFC76" w14:textId="77777777" w:rsidR="00D67D34" w:rsidRPr="00314858" w:rsidRDefault="00D67D34" w:rsidP="00D67D34">
      <w:pPr>
        <w:spacing w:after="0" w:line="240" w:lineRule="auto"/>
        <w:jc w:val="both"/>
        <w:rPr>
          <w:rFonts w:ascii="Times New Roman" w:hAnsi="Times New Roman" w:cs="Times New Roman"/>
          <w:lang w:val="sr-Latn-ME" w:bidi="en-US"/>
        </w:rPr>
      </w:pPr>
    </w:p>
    <w:p w14:paraId="60D52471" w14:textId="5148BF6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Podaci za odrasle pacijente t</w:t>
      </w:r>
      <w:r w:rsidR="00B80B75" w:rsidRPr="00314858">
        <w:rPr>
          <w:rFonts w:ascii="Times New Roman" w:hAnsi="Times New Roman" w:cs="Times New Roman"/>
          <w:lang w:val="sr-Latn-ME"/>
        </w:rPr>
        <w:t>j</w:t>
      </w:r>
      <w:r w:rsidRPr="00314858">
        <w:rPr>
          <w:rFonts w:ascii="Times New Roman" w:hAnsi="Times New Roman" w:cs="Times New Roman"/>
          <w:lang w:val="sr-Latn-ME"/>
        </w:rPr>
        <w:t>elesne mase &lt;</w:t>
      </w:r>
      <w:r w:rsidR="004B1D33" w:rsidRPr="00314858">
        <w:rPr>
          <w:rFonts w:ascii="Times New Roman" w:hAnsi="Times New Roman" w:cs="Times New Roman"/>
          <w:lang w:val="sr-Latn-ME"/>
        </w:rPr>
        <w:t xml:space="preserve"> </w:t>
      </w:r>
      <w:r w:rsidRPr="00314858">
        <w:rPr>
          <w:rFonts w:ascii="Times New Roman" w:hAnsi="Times New Roman" w:cs="Times New Roman"/>
          <w:lang w:val="sr-Latn-ME"/>
        </w:rPr>
        <w:t>50</w:t>
      </w:r>
      <w:r w:rsidRPr="00314858">
        <w:rPr>
          <w:rFonts w:ascii="Times New Roman" w:hAnsi="Times New Roman" w:cs="Times New Roman"/>
          <w:bCs/>
          <w:lang w:val="sr-Latn-ME"/>
        </w:rPr>
        <w:t> </w:t>
      </w:r>
      <w:r w:rsidRPr="00314858">
        <w:rPr>
          <w:rFonts w:ascii="Times New Roman" w:hAnsi="Times New Roman" w:cs="Times New Roman"/>
          <w:lang w:val="sr-Latn-ME"/>
        </w:rPr>
        <w:t>kg su ograničeni (vid</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B80B75" w:rsidRPr="00314858">
        <w:rPr>
          <w:rFonts w:ascii="Times New Roman" w:hAnsi="Times New Roman" w:cs="Times New Roman"/>
          <w:lang w:val="sr-Latn-ME"/>
        </w:rPr>
        <w:t>dio</w:t>
      </w:r>
      <w:r w:rsidRPr="00314858">
        <w:rPr>
          <w:rFonts w:ascii="Times New Roman" w:hAnsi="Times New Roman" w:cs="Times New Roman"/>
          <w:lang w:val="sr-Latn-ME"/>
        </w:rPr>
        <w:t> 5.2).</w:t>
      </w:r>
    </w:p>
    <w:p w14:paraId="0C47E556" w14:textId="77777777" w:rsidR="006C3D9A" w:rsidRPr="00314858" w:rsidRDefault="006C3D9A" w:rsidP="00D67D34">
      <w:pPr>
        <w:spacing w:after="0" w:line="240" w:lineRule="auto"/>
        <w:jc w:val="both"/>
        <w:rPr>
          <w:rFonts w:ascii="Times New Roman" w:hAnsi="Times New Roman" w:cs="Times New Roman"/>
          <w:lang w:val="sr-Latn-ME"/>
        </w:rPr>
      </w:pPr>
    </w:p>
    <w:p w14:paraId="6BE3DA44" w14:textId="3F9BFDB4"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Nije ispitana istovremena prim</w:t>
      </w:r>
      <w:r w:rsidR="00B80B75" w:rsidRPr="00314858">
        <w:rPr>
          <w:rFonts w:ascii="Times New Roman" w:hAnsi="Times New Roman" w:cs="Times New Roman"/>
          <w:lang w:val="sr-Latn-ME"/>
        </w:rPr>
        <w:t>j</w:t>
      </w:r>
      <w:r w:rsidRPr="00314858">
        <w:rPr>
          <w:rFonts w:ascii="Times New Roman" w:hAnsi="Times New Roman" w:cs="Times New Roman"/>
          <w:lang w:val="sr-Latn-ME"/>
        </w:rPr>
        <w:t>ena dabigatraneteksilata i P-gp inhibitora kod pedijatrijskih pacijenata, ali može povećati rizik od krvarenja (vi</w:t>
      </w:r>
      <w:r w:rsidR="006C3D9A" w:rsidRPr="00314858">
        <w:rPr>
          <w:rFonts w:ascii="Times New Roman" w:hAnsi="Times New Roman" w:cs="Times New Roman"/>
          <w:lang w:val="sr-Latn-ME"/>
        </w:rPr>
        <w:t>d</w:t>
      </w:r>
      <w:r w:rsidR="0055728B"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55728B" w:rsidRPr="00314858">
        <w:rPr>
          <w:rFonts w:ascii="Times New Roman" w:hAnsi="Times New Roman" w:cs="Times New Roman"/>
          <w:lang w:val="sr-Latn-ME"/>
        </w:rPr>
        <w:t>dio</w:t>
      </w:r>
      <w:r w:rsidRPr="00314858">
        <w:rPr>
          <w:rFonts w:ascii="Times New Roman" w:hAnsi="Times New Roman" w:cs="Times New Roman"/>
          <w:lang w:val="sr-Latn-ME"/>
        </w:rPr>
        <w:t xml:space="preserve"> 4.5).</w:t>
      </w:r>
    </w:p>
    <w:p w14:paraId="18DCD7A2" w14:textId="77777777" w:rsidR="006C3D9A" w:rsidRPr="00314858" w:rsidRDefault="006C3D9A" w:rsidP="00D67D34">
      <w:pPr>
        <w:spacing w:after="0" w:line="240" w:lineRule="auto"/>
        <w:jc w:val="both"/>
        <w:rPr>
          <w:rFonts w:ascii="Times New Roman" w:hAnsi="Times New Roman" w:cs="Times New Roman"/>
          <w:lang w:val="sr-Latn-ME"/>
        </w:rPr>
      </w:pPr>
    </w:p>
    <w:p w14:paraId="1F394D07" w14:textId="50578F4A"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M</w:t>
      </w:r>
      <w:r w:rsidR="00B80B75" w:rsidRPr="00314858">
        <w:rPr>
          <w:rFonts w:ascii="Times New Roman" w:hAnsi="Times New Roman" w:cs="Times New Roman"/>
          <w:i/>
          <w:u w:val="single"/>
          <w:lang w:val="sr-Latn-ME"/>
        </w:rPr>
        <w:t>j</w:t>
      </w:r>
      <w:r w:rsidRPr="00314858">
        <w:rPr>
          <w:rFonts w:ascii="Times New Roman" w:hAnsi="Times New Roman" w:cs="Times New Roman"/>
          <w:i/>
          <w:u w:val="single"/>
          <w:lang w:val="sr-Latn-ME"/>
        </w:rPr>
        <w:t xml:space="preserve">ere opreza i zbrinjavanje rizika od </w:t>
      </w:r>
      <w:r w:rsidR="00D57354" w:rsidRPr="00314858">
        <w:rPr>
          <w:rFonts w:ascii="Times New Roman" w:hAnsi="Times New Roman" w:cs="Times New Roman"/>
          <w:i/>
          <w:u w:val="single"/>
          <w:lang w:val="sr-Latn-ME"/>
        </w:rPr>
        <w:t>krvarenja</w:t>
      </w:r>
    </w:p>
    <w:p w14:paraId="43C05982" w14:textId="77777777" w:rsidR="006C3D9A" w:rsidRPr="00314858" w:rsidRDefault="006C3D9A" w:rsidP="00D67D34">
      <w:pPr>
        <w:spacing w:after="0" w:line="240" w:lineRule="auto"/>
        <w:jc w:val="both"/>
        <w:rPr>
          <w:rFonts w:ascii="Times New Roman" w:hAnsi="Times New Roman" w:cs="Times New Roman"/>
          <w:i/>
          <w:u w:val="single"/>
          <w:lang w:val="sr-Latn-ME"/>
        </w:rPr>
      </w:pPr>
    </w:p>
    <w:p w14:paraId="744CD5CA" w14:textId="5E60BCF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Za zbrinjavanje komplikacija krvarenja, vid</w:t>
      </w:r>
      <w:r w:rsidR="0055728B" w:rsidRPr="00314858">
        <w:rPr>
          <w:rFonts w:ascii="Times New Roman" w:hAnsi="Times New Roman" w:cs="Times New Roman"/>
          <w:lang w:val="sr-Latn-ME"/>
        </w:rPr>
        <w:t>j</w:t>
      </w:r>
      <w:r w:rsidRPr="00314858">
        <w:rPr>
          <w:rFonts w:ascii="Times New Roman" w:hAnsi="Times New Roman" w:cs="Times New Roman"/>
          <w:lang w:val="sr-Latn-ME"/>
        </w:rPr>
        <w:t xml:space="preserve">eti takođe </w:t>
      </w:r>
      <w:r w:rsidR="00B80B75" w:rsidRPr="00314858">
        <w:rPr>
          <w:rFonts w:ascii="Times New Roman" w:hAnsi="Times New Roman" w:cs="Times New Roman"/>
          <w:lang w:val="sr-Latn-ME"/>
        </w:rPr>
        <w:t>dio</w:t>
      </w:r>
      <w:r w:rsidRPr="00314858">
        <w:rPr>
          <w:rFonts w:ascii="Times New Roman" w:hAnsi="Times New Roman" w:cs="Times New Roman"/>
          <w:lang w:val="sr-Latn-ME"/>
        </w:rPr>
        <w:t> 4.9.</w:t>
      </w:r>
    </w:p>
    <w:p w14:paraId="5EEA6B8B" w14:textId="77777777" w:rsidR="006C3D9A" w:rsidRPr="00314858" w:rsidRDefault="006C3D9A" w:rsidP="00D67D34">
      <w:pPr>
        <w:spacing w:after="0" w:line="240" w:lineRule="auto"/>
        <w:jc w:val="both"/>
        <w:rPr>
          <w:rFonts w:ascii="Times New Roman" w:hAnsi="Times New Roman" w:cs="Times New Roman"/>
          <w:lang w:val="sr-Latn-ME"/>
        </w:rPr>
      </w:pPr>
    </w:p>
    <w:p w14:paraId="42BE1A87" w14:textId="77777777" w:rsidR="00314858" w:rsidRDefault="00314858" w:rsidP="00D67D34">
      <w:pPr>
        <w:spacing w:after="0" w:line="240" w:lineRule="auto"/>
        <w:jc w:val="both"/>
        <w:rPr>
          <w:rFonts w:ascii="Times New Roman" w:hAnsi="Times New Roman" w:cs="Times New Roman"/>
          <w:i/>
          <w:lang w:val="sr-Latn-ME"/>
        </w:rPr>
      </w:pPr>
    </w:p>
    <w:p w14:paraId="62EC05C4" w14:textId="535A1AAC" w:rsidR="006C3D9A"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i/>
          <w:lang w:val="sr-Latn-ME"/>
        </w:rPr>
        <w:lastRenderedPageBreak/>
        <w:t>Proc</w:t>
      </w:r>
      <w:r w:rsidR="00B80B75" w:rsidRPr="00314858">
        <w:rPr>
          <w:rFonts w:ascii="Times New Roman" w:hAnsi="Times New Roman" w:cs="Times New Roman"/>
          <w:i/>
          <w:lang w:val="sr-Latn-ME"/>
        </w:rPr>
        <w:t>j</w:t>
      </w:r>
      <w:r w:rsidRPr="00314858">
        <w:rPr>
          <w:rFonts w:ascii="Times New Roman" w:hAnsi="Times New Roman" w:cs="Times New Roman"/>
          <w:i/>
          <w:lang w:val="sr-Latn-ME"/>
        </w:rPr>
        <w:t>ena odnosa koristi i rizika</w:t>
      </w:r>
    </w:p>
    <w:p w14:paraId="580458F7" w14:textId="0FFE846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Prisustvo lezija, stanja, postupaka i/ili farmakoloških terapija (kao što su NSAIL, inhibitori agregacije trombocita, SSRI i SNRI, vid</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B80B75" w:rsidRPr="00314858">
        <w:rPr>
          <w:rFonts w:ascii="Times New Roman" w:hAnsi="Times New Roman" w:cs="Times New Roman"/>
          <w:lang w:val="sr-Latn-ME"/>
        </w:rPr>
        <w:t>dio</w:t>
      </w:r>
      <w:r w:rsidRPr="00314858">
        <w:rPr>
          <w:rFonts w:ascii="Times New Roman" w:hAnsi="Times New Roman" w:cs="Times New Roman"/>
          <w:lang w:val="sr-Latn-ME"/>
        </w:rPr>
        <w:t xml:space="preserve"> 4.5), koji značajno povećavaju rizik od </w:t>
      </w:r>
      <w:r w:rsidR="00496E8B" w:rsidRPr="00314858">
        <w:rPr>
          <w:rFonts w:ascii="Times New Roman" w:hAnsi="Times New Roman" w:cs="Times New Roman"/>
          <w:lang w:val="sr-Latn-ME"/>
        </w:rPr>
        <w:t>obilnijeg</w:t>
      </w:r>
      <w:r w:rsidRPr="00314858">
        <w:rPr>
          <w:rFonts w:ascii="Times New Roman" w:hAnsi="Times New Roman" w:cs="Times New Roman"/>
          <w:lang w:val="sr-Latn-ME"/>
        </w:rPr>
        <w:t xml:space="preserve"> krvarenja</w:t>
      </w:r>
      <w:r w:rsidR="00496E8B" w:rsidRPr="00314858">
        <w:rPr>
          <w:rFonts w:ascii="Times New Roman" w:hAnsi="Times New Roman" w:cs="Times New Roman"/>
          <w:lang w:val="sr-Latn-ME"/>
        </w:rPr>
        <w:t>,</w:t>
      </w:r>
      <w:r w:rsidRPr="00314858">
        <w:rPr>
          <w:rFonts w:ascii="Times New Roman" w:hAnsi="Times New Roman" w:cs="Times New Roman"/>
          <w:lang w:val="sr-Latn-ME"/>
        </w:rPr>
        <w:t xml:space="preserve"> iziskuju pažljivu proc</w:t>
      </w:r>
      <w:r w:rsidR="00B80B75" w:rsidRPr="00314858">
        <w:rPr>
          <w:rFonts w:ascii="Times New Roman" w:hAnsi="Times New Roman" w:cs="Times New Roman"/>
          <w:lang w:val="sr-Latn-ME"/>
        </w:rPr>
        <w:t>j</w:t>
      </w:r>
      <w:r w:rsidRPr="00314858">
        <w:rPr>
          <w:rFonts w:ascii="Times New Roman" w:hAnsi="Times New Roman" w:cs="Times New Roman"/>
          <w:lang w:val="sr-Latn-ME"/>
        </w:rPr>
        <w:t>enu odnosa koristi i rizika. Dabigatraneteksilat treba prim</w:t>
      </w:r>
      <w:r w:rsidR="00B80B75" w:rsidRPr="00314858">
        <w:rPr>
          <w:rFonts w:ascii="Times New Roman" w:hAnsi="Times New Roman" w:cs="Times New Roman"/>
          <w:lang w:val="sr-Latn-ME"/>
        </w:rPr>
        <w:t>ij</w:t>
      </w:r>
      <w:r w:rsidRPr="00314858">
        <w:rPr>
          <w:rFonts w:ascii="Times New Roman" w:hAnsi="Times New Roman" w:cs="Times New Roman"/>
          <w:lang w:val="sr-Latn-ME"/>
        </w:rPr>
        <w:t>eniti samo ako korist prevazilazi rizike od krvarenja.</w:t>
      </w:r>
    </w:p>
    <w:p w14:paraId="6520EB0D" w14:textId="77777777" w:rsidR="006C3D9A" w:rsidRPr="00314858" w:rsidRDefault="006C3D9A" w:rsidP="00D67D34">
      <w:pPr>
        <w:spacing w:after="0" w:line="240" w:lineRule="auto"/>
        <w:jc w:val="both"/>
        <w:rPr>
          <w:rFonts w:ascii="Times New Roman" w:hAnsi="Times New Roman" w:cs="Times New Roman"/>
          <w:lang w:val="sr-Latn-ME"/>
        </w:rPr>
      </w:pPr>
    </w:p>
    <w:p w14:paraId="39D5CE4D" w14:textId="37A1AFE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Za pedijatrijske pacijente sa faktorima rizika, uključujući pacijente sa aktivnim meningitisom, encefalitisom i intrakranijalnim apscesom, dostupni su ograničeni klinički podaci (vid</w:t>
      </w:r>
      <w:r w:rsidR="0055728B"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55728B" w:rsidRPr="00314858">
        <w:rPr>
          <w:rFonts w:ascii="Times New Roman" w:hAnsi="Times New Roman" w:cs="Times New Roman"/>
          <w:lang w:val="sr-Latn-ME"/>
        </w:rPr>
        <w:t>dio</w:t>
      </w:r>
      <w:r w:rsidRPr="00314858">
        <w:rPr>
          <w:rFonts w:ascii="Times New Roman" w:hAnsi="Times New Roman" w:cs="Times New Roman"/>
          <w:lang w:val="sr-Latn-ME"/>
        </w:rPr>
        <w:t xml:space="preserve"> 5.1). Kod tih pacijenata</w:t>
      </w:r>
      <w:r w:rsidR="00496E8B" w:rsidRPr="00314858">
        <w:rPr>
          <w:rFonts w:ascii="Times New Roman" w:hAnsi="Times New Roman" w:cs="Times New Roman"/>
          <w:lang w:val="sr-Latn-ME"/>
        </w:rPr>
        <w:t>,</w:t>
      </w:r>
      <w:r w:rsidRPr="00314858">
        <w:rPr>
          <w:rFonts w:ascii="Times New Roman" w:hAnsi="Times New Roman" w:cs="Times New Roman"/>
          <w:lang w:val="sr-Latn-ME"/>
        </w:rPr>
        <w:t xml:space="preserve"> dabigatraneteksilat treba dati samo ako očekivana korist prevazilazi rizike od krvarenja.</w:t>
      </w:r>
    </w:p>
    <w:p w14:paraId="30046CBB" w14:textId="77777777" w:rsidR="006C3D9A" w:rsidRPr="00314858" w:rsidRDefault="006C3D9A" w:rsidP="00D67D34">
      <w:pPr>
        <w:spacing w:after="0" w:line="240" w:lineRule="auto"/>
        <w:jc w:val="both"/>
        <w:rPr>
          <w:rFonts w:ascii="Times New Roman" w:hAnsi="Times New Roman" w:cs="Times New Roman"/>
          <w:lang w:val="sr-Latn-ME"/>
        </w:rPr>
      </w:pPr>
    </w:p>
    <w:p w14:paraId="58159A38" w14:textId="54AF6A52" w:rsidR="00621142"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i/>
          <w:lang w:val="sr-Latn-ME"/>
        </w:rPr>
        <w:t>Pažljivo kliničko praćenje</w:t>
      </w:r>
    </w:p>
    <w:p w14:paraId="06A5E71E" w14:textId="0E64400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Preporučuje se pažljiv</w:t>
      </w:r>
      <w:r w:rsidR="007D35E0" w:rsidRPr="00314858">
        <w:rPr>
          <w:rFonts w:ascii="Times New Roman" w:hAnsi="Times New Roman" w:cs="Times New Roman"/>
          <w:lang w:val="sr-Latn-ME"/>
        </w:rPr>
        <w:t>o praćenje</w:t>
      </w:r>
      <w:r w:rsidRPr="00314858">
        <w:rPr>
          <w:rFonts w:ascii="Times New Roman" w:hAnsi="Times New Roman" w:cs="Times New Roman"/>
          <w:lang w:val="sr-Latn-ME"/>
        </w:rPr>
        <w:t xml:space="preserve"> na znakove krvarenja ili anemij</w:t>
      </w:r>
      <w:r w:rsidR="007D35E0" w:rsidRPr="00314858">
        <w:rPr>
          <w:rFonts w:ascii="Times New Roman" w:hAnsi="Times New Roman" w:cs="Times New Roman"/>
          <w:lang w:val="sr-Latn-ME"/>
        </w:rPr>
        <w:t>u</w:t>
      </w:r>
      <w:r w:rsidRPr="00314858">
        <w:rPr>
          <w:rFonts w:ascii="Times New Roman" w:hAnsi="Times New Roman" w:cs="Times New Roman"/>
          <w:lang w:val="sr-Latn-ME"/>
        </w:rPr>
        <w:t xml:space="preserve"> tokom trajanja terapije, posebno u slučaju kombinacije faktora rizika (vid</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7D35E0" w:rsidRPr="00314858">
        <w:rPr>
          <w:rFonts w:ascii="Times New Roman" w:hAnsi="Times New Roman" w:cs="Times New Roman"/>
          <w:lang w:val="sr-Latn-ME"/>
        </w:rPr>
        <w:t>t</w:t>
      </w:r>
      <w:r w:rsidRPr="00314858">
        <w:rPr>
          <w:rFonts w:ascii="Times New Roman" w:hAnsi="Times New Roman" w:cs="Times New Roman"/>
          <w:lang w:val="sr-Latn-ME"/>
        </w:rPr>
        <w:t>abelu </w:t>
      </w:r>
      <w:r w:rsidR="007D35E0" w:rsidRPr="00314858">
        <w:rPr>
          <w:rFonts w:ascii="Times New Roman" w:hAnsi="Times New Roman" w:cs="Times New Roman"/>
          <w:lang w:val="sr-Latn-ME"/>
        </w:rPr>
        <w:t>4</w:t>
      </w:r>
      <w:r w:rsidRPr="00314858">
        <w:rPr>
          <w:rFonts w:ascii="Times New Roman" w:hAnsi="Times New Roman" w:cs="Times New Roman"/>
          <w:lang w:val="sr-Latn-ME"/>
        </w:rPr>
        <w:t xml:space="preserve"> </w:t>
      </w:r>
      <w:r w:rsidR="007D35E0" w:rsidRPr="00314858">
        <w:rPr>
          <w:rFonts w:ascii="Times New Roman" w:hAnsi="Times New Roman" w:cs="Times New Roman"/>
          <w:lang w:val="sr-Latn-ME"/>
        </w:rPr>
        <w:t>iznad</w:t>
      </w:r>
      <w:r w:rsidRPr="00314858">
        <w:rPr>
          <w:rFonts w:ascii="Times New Roman" w:hAnsi="Times New Roman" w:cs="Times New Roman"/>
          <w:lang w:val="sr-Latn-ME"/>
        </w:rPr>
        <w:t>). Poseban oprez je potreban kada se dabigatraneteksilat prim</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enjuje istovremeno sa verapamilom, amjodaronom, hinidinom ili klaritromicinom (P-gp inhibitori), posebno u slučaju krvarenja, naročito kod pacijenta koji imaju </w:t>
      </w:r>
      <w:r w:rsidR="007D35E0" w:rsidRPr="00314858">
        <w:rPr>
          <w:rFonts w:ascii="Times New Roman" w:hAnsi="Times New Roman" w:cs="Times New Roman"/>
          <w:lang w:val="sr-Latn-ME"/>
        </w:rPr>
        <w:t>smanjenu</w:t>
      </w:r>
      <w:r w:rsidRPr="00314858">
        <w:rPr>
          <w:rFonts w:ascii="Times New Roman" w:hAnsi="Times New Roman" w:cs="Times New Roman"/>
          <w:lang w:val="sr-Latn-ME"/>
        </w:rPr>
        <w:t xml:space="preserve"> funkcij</w:t>
      </w:r>
      <w:r w:rsidR="007D35E0" w:rsidRPr="00314858">
        <w:rPr>
          <w:rFonts w:ascii="Times New Roman" w:hAnsi="Times New Roman" w:cs="Times New Roman"/>
          <w:lang w:val="sr-Latn-ME"/>
        </w:rPr>
        <w:t>u</w:t>
      </w:r>
      <w:r w:rsidRPr="00314858">
        <w:rPr>
          <w:rFonts w:ascii="Times New Roman" w:hAnsi="Times New Roman" w:cs="Times New Roman"/>
          <w:lang w:val="sr-Latn-ME"/>
        </w:rPr>
        <w:t xml:space="preserve"> bubrega (vid</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B80B75" w:rsidRPr="00314858">
        <w:rPr>
          <w:rFonts w:ascii="Times New Roman" w:hAnsi="Times New Roman" w:cs="Times New Roman"/>
          <w:lang w:val="sr-Latn-ME"/>
        </w:rPr>
        <w:t>dio</w:t>
      </w:r>
      <w:r w:rsidRPr="00314858">
        <w:rPr>
          <w:rFonts w:ascii="Times New Roman" w:hAnsi="Times New Roman" w:cs="Times New Roman"/>
          <w:lang w:val="sr-Latn-ME"/>
        </w:rPr>
        <w:t> 4.5).</w:t>
      </w:r>
    </w:p>
    <w:p w14:paraId="36F84A05" w14:textId="77777777" w:rsidR="004B1D33" w:rsidRPr="00314858" w:rsidRDefault="004B1D33" w:rsidP="00D67D34">
      <w:pPr>
        <w:spacing w:after="0" w:line="240" w:lineRule="auto"/>
        <w:jc w:val="both"/>
        <w:rPr>
          <w:rFonts w:ascii="Times New Roman" w:hAnsi="Times New Roman" w:cs="Times New Roman"/>
          <w:lang w:val="sr-Latn-ME"/>
        </w:rPr>
      </w:pPr>
    </w:p>
    <w:p w14:paraId="25A013C9" w14:textId="3969C81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Preporučuje se pažljiv</w:t>
      </w:r>
      <w:r w:rsidR="007D35E0" w:rsidRPr="00314858">
        <w:rPr>
          <w:rFonts w:ascii="Times New Roman" w:hAnsi="Times New Roman" w:cs="Times New Roman"/>
          <w:lang w:val="sr-Latn-ME"/>
        </w:rPr>
        <w:t>o praćenje</w:t>
      </w:r>
      <w:r w:rsidRPr="00314858">
        <w:rPr>
          <w:rFonts w:ascii="Times New Roman" w:hAnsi="Times New Roman" w:cs="Times New Roman"/>
          <w:lang w:val="sr-Latn-ME"/>
        </w:rPr>
        <w:t xml:space="preserve"> na znakove krvarenja kod pacijenata koji istovremeno primaju NSAIL (vid</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B80B75" w:rsidRPr="00314858">
        <w:rPr>
          <w:rFonts w:ascii="Times New Roman" w:hAnsi="Times New Roman" w:cs="Times New Roman"/>
          <w:lang w:val="sr-Latn-ME"/>
        </w:rPr>
        <w:t>dio</w:t>
      </w:r>
      <w:r w:rsidR="00621142" w:rsidRPr="00314858">
        <w:rPr>
          <w:rFonts w:ascii="Times New Roman" w:hAnsi="Times New Roman" w:cs="Times New Roman"/>
          <w:lang w:val="sr-Latn-ME"/>
        </w:rPr>
        <w:t xml:space="preserve"> </w:t>
      </w:r>
      <w:r w:rsidRPr="00314858">
        <w:rPr>
          <w:rFonts w:ascii="Times New Roman" w:hAnsi="Times New Roman" w:cs="Times New Roman"/>
          <w:lang w:val="sr-Latn-ME"/>
        </w:rPr>
        <w:t>4.5).</w:t>
      </w:r>
    </w:p>
    <w:p w14:paraId="0923CE1B" w14:textId="77777777" w:rsidR="00D67D34" w:rsidRPr="00314858" w:rsidRDefault="00D67D34" w:rsidP="00D67D34">
      <w:pPr>
        <w:spacing w:after="0" w:line="240" w:lineRule="auto"/>
        <w:jc w:val="both"/>
        <w:rPr>
          <w:rFonts w:ascii="Times New Roman" w:hAnsi="Times New Roman" w:cs="Times New Roman"/>
          <w:lang w:val="sr-Latn-ME"/>
        </w:rPr>
      </w:pPr>
    </w:p>
    <w:p w14:paraId="1A246287" w14:textId="688EB164" w:rsidR="00621142"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i/>
          <w:lang w:val="sr-Latn-ME"/>
        </w:rPr>
        <w:t>Prekid prim</w:t>
      </w:r>
      <w:r w:rsidR="00B80B75" w:rsidRPr="00314858">
        <w:rPr>
          <w:rFonts w:ascii="Times New Roman" w:hAnsi="Times New Roman" w:cs="Times New Roman"/>
          <w:i/>
          <w:lang w:val="sr-Latn-ME"/>
        </w:rPr>
        <w:t>j</w:t>
      </w:r>
      <w:r w:rsidRPr="00314858">
        <w:rPr>
          <w:rFonts w:ascii="Times New Roman" w:hAnsi="Times New Roman" w:cs="Times New Roman"/>
          <w:i/>
          <w:lang w:val="sr-Latn-ME"/>
        </w:rPr>
        <w:t>ene dabigatraneteksila</w:t>
      </w:r>
      <w:r w:rsidR="002366DD" w:rsidRPr="00314858">
        <w:rPr>
          <w:rFonts w:ascii="Times New Roman" w:hAnsi="Times New Roman" w:cs="Times New Roman"/>
          <w:i/>
          <w:lang w:val="sr-Latn-ME"/>
        </w:rPr>
        <w:t>ta</w:t>
      </w:r>
    </w:p>
    <w:p w14:paraId="3938B486" w14:textId="70AC8C8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Pacijenti kod kojih dođe do razvoja akutne bubrežne insuficijencije moraju da prekinu prim</w:t>
      </w:r>
      <w:r w:rsidR="00B80B75" w:rsidRPr="00314858">
        <w:rPr>
          <w:rFonts w:ascii="Times New Roman" w:hAnsi="Times New Roman" w:cs="Times New Roman"/>
          <w:lang w:val="sr-Latn-ME"/>
        </w:rPr>
        <w:t>j</w:t>
      </w:r>
      <w:r w:rsidRPr="00314858">
        <w:rPr>
          <w:rFonts w:ascii="Times New Roman" w:hAnsi="Times New Roman" w:cs="Times New Roman"/>
          <w:lang w:val="sr-Latn-ME"/>
        </w:rPr>
        <w:t>enu dabigatraneteksilata (vid</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eti takođe </w:t>
      </w:r>
      <w:r w:rsidR="00B80B75" w:rsidRPr="00314858">
        <w:rPr>
          <w:rFonts w:ascii="Times New Roman" w:hAnsi="Times New Roman" w:cs="Times New Roman"/>
          <w:lang w:val="sr-Latn-ME"/>
        </w:rPr>
        <w:t>dio</w:t>
      </w:r>
      <w:r w:rsidRPr="00314858">
        <w:rPr>
          <w:rFonts w:ascii="Times New Roman" w:hAnsi="Times New Roman" w:cs="Times New Roman"/>
          <w:lang w:val="sr-Latn-ME"/>
        </w:rPr>
        <w:t> 4.3).</w:t>
      </w:r>
    </w:p>
    <w:p w14:paraId="5D9202BE" w14:textId="77777777" w:rsidR="00621142" w:rsidRPr="00314858" w:rsidRDefault="00621142" w:rsidP="00D67D34">
      <w:pPr>
        <w:spacing w:after="0" w:line="240" w:lineRule="auto"/>
        <w:jc w:val="both"/>
        <w:rPr>
          <w:rFonts w:ascii="Times New Roman" w:hAnsi="Times New Roman" w:cs="Times New Roman"/>
          <w:lang w:val="sr-Latn-ME"/>
        </w:rPr>
      </w:pPr>
    </w:p>
    <w:p w14:paraId="4F723AD7" w14:textId="57CE9E71"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Ukoliko nastupi teško krvarenje, terapiju treba prekinuti i istražiti izvor krvarenja, a može se razmotriti i prim</w:t>
      </w:r>
      <w:r w:rsidR="00B80B75" w:rsidRPr="00314858">
        <w:rPr>
          <w:rFonts w:ascii="Times New Roman" w:hAnsi="Times New Roman" w:cs="Times New Roman"/>
          <w:lang w:val="sr-Latn-ME"/>
        </w:rPr>
        <w:t>j</w:t>
      </w:r>
      <w:r w:rsidRPr="00314858">
        <w:rPr>
          <w:rFonts w:ascii="Times New Roman" w:hAnsi="Times New Roman" w:cs="Times New Roman"/>
          <w:lang w:val="sr-Latn-ME"/>
        </w:rPr>
        <w:t>ena specifičnog antagoniste (idarucizumab) kod odraslih pacijenata. Efikasnost i bezb</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ednost idarucizumaba nije ustanovljena kod pedijatrijskih pacijenata. </w:t>
      </w:r>
      <w:r w:rsidR="002366DD" w:rsidRPr="00314858">
        <w:rPr>
          <w:rFonts w:ascii="Times New Roman" w:hAnsi="Times New Roman" w:cs="Times New Roman"/>
          <w:lang w:val="sr-Latn-ME"/>
        </w:rPr>
        <w:t>Dabigatran se može ukloniti hemodijalizom.</w:t>
      </w:r>
    </w:p>
    <w:p w14:paraId="5CC5140F" w14:textId="77777777" w:rsidR="00621142" w:rsidRPr="00314858" w:rsidRDefault="00621142" w:rsidP="00D67D34">
      <w:pPr>
        <w:spacing w:after="0" w:line="240" w:lineRule="auto"/>
        <w:jc w:val="both"/>
        <w:rPr>
          <w:rFonts w:ascii="Times New Roman" w:hAnsi="Times New Roman" w:cs="Times New Roman"/>
          <w:lang w:val="sr-Latn-ME"/>
        </w:rPr>
      </w:pPr>
    </w:p>
    <w:p w14:paraId="1BD0C907" w14:textId="45382EDB" w:rsidR="00403DC5"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i/>
          <w:lang w:val="sr-Latn-ME"/>
        </w:rPr>
        <w:t>Prim</w:t>
      </w:r>
      <w:r w:rsidR="00B80B75" w:rsidRPr="00314858">
        <w:rPr>
          <w:rFonts w:ascii="Times New Roman" w:hAnsi="Times New Roman" w:cs="Times New Roman"/>
          <w:i/>
          <w:lang w:val="sr-Latn-ME"/>
        </w:rPr>
        <w:t>j</w:t>
      </w:r>
      <w:r w:rsidRPr="00314858">
        <w:rPr>
          <w:rFonts w:ascii="Times New Roman" w:hAnsi="Times New Roman" w:cs="Times New Roman"/>
          <w:i/>
          <w:lang w:val="sr-Latn-ME"/>
        </w:rPr>
        <w:t>ena inhibitora protonske pumpe</w:t>
      </w:r>
    </w:p>
    <w:p w14:paraId="28D3D2DA" w14:textId="234DB8D1"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Da bi se sprečilo gastrointestinalno krvarenje, može se razmotriti prim</w:t>
      </w:r>
      <w:r w:rsidR="00B80B75" w:rsidRPr="00314858">
        <w:rPr>
          <w:rFonts w:ascii="Times New Roman" w:hAnsi="Times New Roman" w:cs="Times New Roman"/>
          <w:lang w:val="sr-Latn-ME"/>
        </w:rPr>
        <w:t>j</w:t>
      </w:r>
      <w:r w:rsidRPr="00314858">
        <w:rPr>
          <w:rFonts w:ascii="Times New Roman" w:hAnsi="Times New Roman" w:cs="Times New Roman"/>
          <w:lang w:val="sr-Latn-ME"/>
        </w:rPr>
        <w:t>ena inhibitora protonske pumpe (</w:t>
      </w:r>
      <w:r w:rsidR="00403DC5" w:rsidRPr="00314858">
        <w:rPr>
          <w:rFonts w:ascii="Times New Roman" w:hAnsi="Times New Roman" w:cs="Times New Roman"/>
          <w:lang w:val="sr-Latn-ME"/>
        </w:rPr>
        <w:t xml:space="preserve">engl. </w:t>
      </w:r>
      <w:r w:rsidR="00403DC5" w:rsidRPr="00314858">
        <w:rPr>
          <w:rFonts w:ascii="Times New Roman" w:hAnsi="Times New Roman" w:cs="Times New Roman"/>
          <w:i/>
          <w:iCs/>
          <w:lang w:val="sr-Latn-ME"/>
        </w:rPr>
        <w:t>proton-pump inhibitor</w:t>
      </w:r>
      <w:r w:rsidR="00403DC5" w:rsidRPr="00314858">
        <w:rPr>
          <w:rFonts w:ascii="Times New Roman" w:hAnsi="Times New Roman" w:cs="Times New Roman"/>
          <w:lang w:val="sr-Latn-ME"/>
        </w:rPr>
        <w:t xml:space="preserve">, </w:t>
      </w:r>
      <w:r w:rsidRPr="00314858">
        <w:rPr>
          <w:rFonts w:ascii="Times New Roman" w:hAnsi="Times New Roman" w:cs="Times New Roman"/>
          <w:lang w:val="sr-Latn-ME"/>
        </w:rPr>
        <w:t>PPI). U slučaju pedijatrijskih pacijenata moraju se sl</w:t>
      </w:r>
      <w:r w:rsidR="00B80B75" w:rsidRPr="00314858">
        <w:rPr>
          <w:rFonts w:ascii="Times New Roman" w:hAnsi="Times New Roman" w:cs="Times New Roman"/>
          <w:lang w:val="sr-Latn-ME"/>
        </w:rPr>
        <w:t>ij</w:t>
      </w:r>
      <w:r w:rsidRPr="00314858">
        <w:rPr>
          <w:rFonts w:ascii="Times New Roman" w:hAnsi="Times New Roman" w:cs="Times New Roman"/>
          <w:lang w:val="sr-Latn-ME"/>
        </w:rPr>
        <w:t xml:space="preserve">editi </w:t>
      </w:r>
      <w:r w:rsidR="00E60180" w:rsidRPr="00314858">
        <w:rPr>
          <w:rFonts w:ascii="Times New Roman" w:hAnsi="Times New Roman" w:cs="Times New Roman"/>
          <w:lang w:val="sr-Latn-ME"/>
        </w:rPr>
        <w:t>preporuke koje se nalaze u lokalnim informacijama o l</w:t>
      </w:r>
      <w:r w:rsidR="00B80B75" w:rsidRPr="00314858">
        <w:rPr>
          <w:rFonts w:ascii="Times New Roman" w:hAnsi="Times New Roman" w:cs="Times New Roman"/>
          <w:lang w:val="sr-Latn-ME"/>
        </w:rPr>
        <w:t>ij</w:t>
      </w:r>
      <w:r w:rsidR="00E60180" w:rsidRPr="00314858">
        <w:rPr>
          <w:rFonts w:ascii="Times New Roman" w:hAnsi="Times New Roman" w:cs="Times New Roman"/>
          <w:lang w:val="sr-Latn-ME"/>
        </w:rPr>
        <w:t>eku za inhibitore protonske pumpe.</w:t>
      </w:r>
    </w:p>
    <w:p w14:paraId="569CA2D9" w14:textId="77777777" w:rsidR="00403DC5" w:rsidRPr="00314858" w:rsidRDefault="00403DC5" w:rsidP="00D67D34">
      <w:pPr>
        <w:spacing w:after="0" w:line="240" w:lineRule="auto"/>
        <w:jc w:val="both"/>
        <w:rPr>
          <w:rFonts w:ascii="Times New Roman" w:hAnsi="Times New Roman" w:cs="Times New Roman"/>
          <w:lang w:val="sr-Latn-ME"/>
        </w:rPr>
      </w:pPr>
    </w:p>
    <w:p w14:paraId="10E57711" w14:textId="176A661F" w:rsidR="00C724E6"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i/>
          <w:lang w:val="sr-Latn-ME"/>
        </w:rPr>
        <w:t>Laboratorijski parametri koagulacije</w:t>
      </w:r>
    </w:p>
    <w:p w14:paraId="5876378C" w14:textId="0F26EDB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Iako ovaj l</w:t>
      </w:r>
      <w:r w:rsidR="00B80B75" w:rsidRPr="00314858">
        <w:rPr>
          <w:rFonts w:ascii="Times New Roman" w:hAnsi="Times New Roman" w:cs="Times New Roman"/>
          <w:lang w:val="sr-Latn-ME"/>
        </w:rPr>
        <w:t>ij</w:t>
      </w:r>
      <w:r w:rsidRPr="00314858">
        <w:rPr>
          <w:rFonts w:ascii="Times New Roman" w:hAnsi="Times New Roman" w:cs="Times New Roman"/>
          <w:lang w:val="sr-Latn-ME"/>
        </w:rPr>
        <w:t>ek generalno ne zaht</w:t>
      </w:r>
      <w:r w:rsidR="00B80B75" w:rsidRPr="00314858">
        <w:rPr>
          <w:rFonts w:ascii="Times New Roman" w:hAnsi="Times New Roman" w:cs="Times New Roman"/>
          <w:lang w:val="sr-Latn-ME"/>
        </w:rPr>
        <w:t>ij</w:t>
      </w:r>
      <w:r w:rsidRPr="00314858">
        <w:rPr>
          <w:rFonts w:ascii="Times New Roman" w:hAnsi="Times New Roman" w:cs="Times New Roman"/>
          <w:lang w:val="sr-Latn-ME"/>
        </w:rPr>
        <w:t xml:space="preserve">eva </w:t>
      </w:r>
      <w:r w:rsidR="007A1FD6" w:rsidRPr="00314858">
        <w:rPr>
          <w:rFonts w:ascii="Times New Roman" w:hAnsi="Times New Roman" w:cs="Times New Roman"/>
          <w:lang w:val="sr-Latn-ME"/>
        </w:rPr>
        <w:t>rutinsko praćenje antikoagulantnog dejstva</w:t>
      </w:r>
      <w:r w:rsidRPr="00314858">
        <w:rPr>
          <w:rFonts w:ascii="Times New Roman" w:hAnsi="Times New Roman" w:cs="Times New Roman"/>
          <w:lang w:val="sr-Latn-ME"/>
        </w:rPr>
        <w:t>, m</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erenje antikoagulantnog dejstva koje se odnosi na dabigatran može </w:t>
      </w:r>
      <w:r w:rsidR="007A1FD6" w:rsidRPr="00314858">
        <w:rPr>
          <w:rFonts w:ascii="Times New Roman" w:hAnsi="Times New Roman" w:cs="Times New Roman"/>
          <w:lang w:val="sr-Latn-ME"/>
        </w:rPr>
        <w:t>da bude</w:t>
      </w:r>
      <w:r w:rsidRPr="00314858">
        <w:rPr>
          <w:rFonts w:ascii="Times New Roman" w:hAnsi="Times New Roman" w:cs="Times New Roman"/>
          <w:lang w:val="sr-Latn-ME"/>
        </w:rPr>
        <w:t xml:space="preserve"> od pomoći u otkrivanju pre</w:t>
      </w:r>
      <w:r w:rsidR="007A1FD6" w:rsidRPr="00314858">
        <w:rPr>
          <w:rFonts w:ascii="Times New Roman" w:hAnsi="Times New Roman" w:cs="Times New Roman"/>
          <w:lang w:val="sr-Latn-ME"/>
        </w:rPr>
        <w:t>kom</w:t>
      </w:r>
      <w:r w:rsidR="00B80B75" w:rsidRPr="00314858">
        <w:rPr>
          <w:rFonts w:ascii="Times New Roman" w:hAnsi="Times New Roman" w:cs="Times New Roman"/>
          <w:lang w:val="sr-Latn-ME"/>
        </w:rPr>
        <w:t>j</w:t>
      </w:r>
      <w:r w:rsidR="007A1FD6" w:rsidRPr="00314858">
        <w:rPr>
          <w:rFonts w:ascii="Times New Roman" w:hAnsi="Times New Roman" w:cs="Times New Roman"/>
          <w:lang w:val="sr-Latn-ME"/>
        </w:rPr>
        <w:t>erno velike</w:t>
      </w:r>
      <w:r w:rsidRPr="00314858">
        <w:rPr>
          <w:rFonts w:ascii="Times New Roman" w:hAnsi="Times New Roman" w:cs="Times New Roman"/>
          <w:lang w:val="sr-Latn-ME"/>
        </w:rPr>
        <w:t xml:space="preserve"> izloženosti dabigatranu u prisustvu dodatnih faktora rizika. </w:t>
      </w:r>
    </w:p>
    <w:p w14:paraId="637AB470" w14:textId="77777777" w:rsidR="004B1D33" w:rsidRPr="00314858" w:rsidRDefault="004B1D33" w:rsidP="00D67D34">
      <w:pPr>
        <w:spacing w:after="0" w:line="240" w:lineRule="auto"/>
        <w:jc w:val="both"/>
        <w:rPr>
          <w:rFonts w:ascii="Times New Roman" w:hAnsi="Times New Roman" w:cs="Times New Roman"/>
          <w:lang w:val="sr-Latn-ME"/>
        </w:rPr>
      </w:pPr>
    </w:p>
    <w:p w14:paraId="4A3DD997" w14:textId="672DC22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Raz</w:t>
      </w:r>
      <w:r w:rsidR="007A1FD6" w:rsidRPr="00314858">
        <w:rPr>
          <w:rFonts w:ascii="Times New Roman" w:hAnsi="Times New Roman" w:cs="Times New Roman"/>
          <w:lang w:val="sr-Latn-ME"/>
        </w:rPr>
        <w:t>blaženo</w:t>
      </w:r>
      <w:r w:rsidRPr="00314858">
        <w:rPr>
          <w:rFonts w:ascii="Times New Roman" w:hAnsi="Times New Roman" w:cs="Times New Roman"/>
          <w:lang w:val="sr-Latn-ME"/>
        </w:rPr>
        <w:t xml:space="preserve"> trombinsko vr</w:t>
      </w:r>
      <w:r w:rsidR="00B80B75" w:rsidRPr="00314858">
        <w:rPr>
          <w:rFonts w:ascii="Times New Roman" w:hAnsi="Times New Roman" w:cs="Times New Roman"/>
          <w:lang w:val="sr-Latn-ME"/>
        </w:rPr>
        <w:t>ij</w:t>
      </w:r>
      <w:r w:rsidRPr="00314858">
        <w:rPr>
          <w:rFonts w:ascii="Times New Roman" w:hAnsi="Times New Roman" w:cs="Times New Roman"/>
          <w:lang w:val="sr-Latn-ME"/>
        </w:rPr>
        <w:t xml:space="preserve">eme (engl. </w:t>
      </w:r>
      <w:r w:rsidRPr="00314858">
        <w:rPr>
          <w:rFonts w:ascii="Times New Roman" w:hAnsi="Times New Roman" w:cs="Times New Roman"/>
          <w:i/>
          <w:lang w:val="sr-Latn-ME"/>
        </w:rPr>
        <w:t>diluted thrombin time</w:t>
      </w:r>
      <w:r w:rsidRPr="00314858">
        <w:rPr>
          <w:rFonts w:ascii="Times New Roman" w:hAnsi="Times New Roman" w:cs="Times New Roman"/>
          <w:lang w:val="sr-Latn-ME"/>
        </w:rPr>
        <w:t>, dTT), ekarinsko vr</w:t>
      </w:r>
      <w:r w:rsidR="0055728B" w:rsidRPr="00314858">
        <w:rPr>
          <w:rFonts w:ascii="Times New Roman" w:hAnsi="Times New Roman" w:cs="Times New Roman"/>
          <w:lang w:val="sr-Latn-ME"/>
        </w:rPr>
        <w:t>ij</w:t>
      </w:r>
      <w:r w:rsidRPr="00314858">
        <w:rPr>
          <w:rFonts w:ascii="Times New Roman" w:hAnsi="Times New Roman" w:cs="Times New Roman"/>
          <w:lang w:val="sr-Latn-ME"/>
        </w:rPr>
        <w:t xml:space="preserve">eme zgrušavanja (engl. </w:t>
      </w:r>
      <w:r w:rsidRPr="00314858">
        <w:rPr>
          <w:rFonts w:ascii="Times New Roman" w:hAnsi="Times New Roman" w:cs="Times New Roman"/>
          <w:i/>
          <w:lang w:val="sr-Latn-ME"/>
        </w:rPr>
        <w:t>ecarin clotting time</w:t>
      </w:r>
      <w:r w:rsidRPr="00314858">
        <w:rPr>
          <w:rFonts w:ascii="Times New Roman" w:hAnsi="Times New Roman" w:cs="Times New Roman"/>
          <w:lang w:val="sr-Latn-ME"/>
        </w:rPr>
        <w:t>, ECT) i aktivirano parcijalno tromboplastinsko vr</w:t>
      </w:r>
      <w:r w:rsidR="00B80B75" w:rsidRPr="00314858">
        <w:rPr>
          <w:rFonts w:ascii="Times New Roman" w:hAnsi="Times New Roman" w:cs="Times New Roman"/>
          <w:lang w:val="sr-Latn-ME"/>
        </w:rPr>
        <w:t>ij</w:t>
      </w:r>
      <w:r w:rsidRPr="00314858">
        <w:rPr>
          <w:rFonts w:ascii="Times New Roman" w:hAnsi="Times New Roman" w:cs="Times New Roman"/>
          <w:lang w:val="sr-Latn-ME"/>
        </w:rPr>
        <w:t>eme (</w:t>
      </w:r>
      <w:r w:rsidR="007A1FD6" w:rsidRPr="00314858">
        <w:rPr>
          <w:rFonts w:ascii="Times New Roman" w:hAnsi="Times New Roman" w:cs="Times New Roman"/>
          <w:lang w:val="sr-Latn-ME"/>
        </w:rPr>
        <w:t xml:space="preserve">engl. </w:t>
      </w:r>
      <w:r w:rsidR="007A1FD6" w:rsidRPr="00314858">
        <w:rPr>
          <w:rFonts w:ascii="Times New Roman" w:hAnsi="Times New Roman" w:cs="Times New Roman"/>
          <w:i/>
          <w:lang w:val="sr-Latn-ME"/>
        </w:rPr>
        <w:t xml:space="preserve">activated partial thromboplastin time, </w:t>
      </w:r>
      <w:r w:rsidRPr="00314858">
        <w:rPr>
          <w:rFonts w:ascii="Times New Roman" w:hAnsi="Times New Roman" w:cs="Times New Roman"/>
          <w:lang w:val="sr-Latn-ME"/>
        </w:rPr>
        <w:t>aPTT) mogu da obezb</w:t>
      </w:r>
      <w:r w:rsidR="00B80B75" w:rsidRPr="00314858">
        <w:rPr>
          <w:rFonts w:ascii="Times New Roman" w:hAnsi="Times New Roman" w:cs="Times New Roman"/>
          <w:lang w:val="sr-Latn-ME"/>
        </w:rPr>
        <w:t>j</w:t>
      </w:r>
      <w:r w:rsidRPr="00314858">
        <w:rPr>
          <w:rFonts w:ascii="Times New Roman" w:hAnsi="Times New Roman" w:cs="Times New Roman"/>
          <w:lang w:val="sr-Latn-ME"/>
        </w:rPr>
        <w:t>ede korisne informacije, ali njihove rezultate treba tumačiti sa oprezom zbog varijabilnosti između testova (vid</w:t>
      </w:r>
      <w:r w:rsidR="00B80B75"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B80B75" w:rsidRPr="00314858">
        <w:rPr>
          <w:rFonts w:ascii="Times New Roman" w:hAnsi="Times New Roman" w:cs="Times New Roman"/>
          <w:lang w:val="sr-Latn-ME"/>
        </w:rPr>
        <w:t>dio</w:t>
      </w:r>
      <w:r w:rsidRPr="00314858">
        <w:rPr>
          <w:rFonts w:ascii="Times New Roman" w:hAnsi="Times New Roman" w:cs="Times New Roman"/>
          <w:lang w:val="sr-Latn-ME"/>
        </w:rPr>
        <w:t xml:space="preserve"> 5.1). </w:t>
      </w:r>
    </w:p>
    <w:p w14:paraId="41D146A1" w14:textId="525B385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Test za internacionalni normalizovani odnos (engl. </w:t>
      </w:r>
      <w:r w:rsidRPr="00314858">
        <w:rPr>
          <w:rFonts w:ascii="Times New Roman" w:hAnsi="Times New Roman" w:cs="Times New Roman"/>
          <w:i/>
          <w:lang w:val="sr-Latn-ME"/>
        </w:rPr>
        <w:t>international normalised ratio</w:t>
      </w:r>
      <w:r w:rsidRPr="00314858">
        <w:rPr>
          <w:rFonts w:ascii="Times New Roman" w:hAnsi="Times New Roman" w:cs="Times New Roman"/>
          <w:lang w:val="sr-Latn-ME"/>
        </w:rPr>
        <w:t>, INR)</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je nepouzdan kod pacijenata </w:t>
      </w:r>
      <w:r w:rsidR="007A1FD6" w:rsidRPr="00314858">
        <w:rPr>
          <w:rFonts w:ascii="Times New Roman" w:hAnsi="Times New Roman" w:cs="Times New Roman"/>
          <w:lang w:val="sr-Latn-ME"/>
        </w:rPr>
        <w:t>koji primaju</w:t>
      </w:r>
      <w:r w:rsidRPr="00314858">
        <w:rPr>
          <w:rFonts w:ascii="Times New Roman" w:hAnsi="Times New Roman" w:cs="Times New Roman"/>
          <w:lang w:val="sr-Latn-ME"/>
        </w:rPr>
        <w:t xml:space="preserve"> dabigatraneteksilat i prijavljivana su lažno pozitivna povećanja INR vr</w:t>
      </w:r>
      <w:r w:rsidR="00B80B75" w:rsidRPr="00314858">
        <w:rPr>
          <w:rFonts w:ascii="Times New Roman" w:hAnsi="Times New Roman" w:cs="Times New Roman"/>
          <w:lang w:val="sr-Latn-ME"/>
        </w:rPr>
        <w:t>ij</w:t>
      </w:r>
      <w:r w:rsidRPr="00314858">
        <w:rPr>
          <w:rFonts w:ascii="Times New Roman" w:hAnsi="Times New Roman" w:cs="Times New Roman"/>
          <w:lang w:val="sr-Latn-ME"/>
        </w:rPr>
        <w:t>ednosti. Zbog toga INR ne treba raditi.</w:t>
      </w:r>
    </w:p>
    <w:p w14:paraId="148F60FD" w14:textId="77777777" w:rsidR="00D67D34" w:rsidRPr="00314858" w:rsidRDefault="00D67D34" w:rsidP="00D67D34">
      <w:pPr>
        <w:spacing w:after="0" w:line="240" w:lineRule="auto"/>
        <w:jc w:val="both"/>
        <w:rPr>
          <w:rFonts w:ascii="Times New Roman" w:hAnsi="Times New Roman" w:cs="Times New Roman"/>
          <w:lang w:val="sr-Latn-ME"/>
        </w:rPr>
      </w:pPr>
    </w:p>
    <w:p w14:paraId="5B887CDC" w14:textId="428FE33B" w:rsidR="00D67D34" w:rsidRPr="00314858" w:rsidRDefault="00C724E6"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tabeli 5 su</w:t>
      </w:r>
      <w:r w:rsidR="00D67D34" w:rsidRPr="00314858">
        <w:rPr>
          <w:rFonts w:ascii="Times New Roman" w:hAnsi="Times New Roman" w:cs="Times New Roman"/>
          <w:lang w:val="sr-Latn-ME"/>
        </w:rPr>
        <w:t xml:space="preserve"> p</w:t>
      </w:r>
      <w:r w:rsidRPr="00314858">
        <w:rPr>
          <w:rFonts w:ascii="Times New Roman" w:hAnsi="Times New Roman" w:cs="Times New Roman"/>
          <w:lang w:val="sr-Latn-ME"/>
        </w:rPr>
        <w:t>redstavljene</w:t>
      </w:r>
      <w:r w:rsidR="00D67D34" w:rsidRPr="00314858">
        <w:rPr>
          <w:rFonts w:ascii="Times New Roman" w:hAnsi="Times New Roman" w:cs="Times New Roman"/>
          <w:lang w:val="sr-Latn-ME"/>
        </w:rPr>
        <w:t xml:space="preserve"> granične vr</w:t>
      </w:r>
      <w:r w:rsidR="00B80B75" w:rsidRPr="00314858">
        <w:rPr>
          <w:rFonts w:ascii="Times New Roman" w:hAnsi="Times New Roman" w:cs="Times New Roman"/>
          <w:lang w:val="sr-Latn-ME"/>
        </w:rPr>
        <w:t>ij</w:t>
      </w:r>
      <w:r w:rsidR="00D67D34" w:rsidRPr="00314858">
        <w:rPr>
          <w:rFonts w:ascii="Times New Roman" w:hAnsi="Times New Roman" w:cs="Times New Roman"/>
          <w:lang w:val="sr-Latn-ME"/>
        </w:rPr>
        <w:t>ednosti test</w:t>
      </w:r>
      <w:r w:rsidR="00F11F82" w:rsidRPr="00314858">
        <w:rPr>
          <w:rFonts w:ascii="Times New Roman" w:hAnsi="Times New Roman" w:cs="Times New Roman"/>
          <w:lang w:val="sr-Latn-ME"/>
        </w:rPr>
        <w:t>a</w:t>
      </w:r>
      <w:r w:rsidR="00D67D34" w:rsidRPr="00314858">
        <w:rPr>
          <w:rFonts w:ascii="Times New Roman" w:hAnsi="Times New Roman" w:cs="Times New Roman"/>
          <w:lang w:val="sr-Latn-ME"/>
        </w:rPr>
        <w:t xml:space="preserve"> koagulacije na kraju intervala doziranja za odrasle pacijente koji mogu biti povezani sa povećanim rizikom od krvarenja. Odgovarajuće granične vr</w:t>
      </w:r>
      <w:r w:rsidR="00605C22" w:rsidRPr="00314858">
        <w:rPr>
          <w:rFonts w:ascii="Times New Roman" w:hAnsi="Times New Roman" w:cs="Times New Roman"/>
          <w:lang w:val="sr-Latn-ME"/>
        </w:rPr>
        <w:t>ij</w:t>
      </w:r>
      <w:r w:rsidR="00D67D34" w:rsidRPr="00314858">
        <w:rPr>
          <w:rFonts w:ascii="Times New Roman" w:hAnsi="Times New Roman" w:cs="Times New Roman"/>
          <w:lang w:val="sr-Latn-ME"/>
        </w:rPr>
        <w:t>ednosti za pedijatrijske pacijente ni</w:t>
      </w:r>
      <w:r w:rsidR="004B1D33" w:rsidRPr="00314858">
        <w:rPr>
          <w:rFonts w:ascii="Times New Roman" w:hAnsi="Times New Roman" w:cs="Times New Roman"/>
          <w:lang w:val="sr-Latn-ME"/>
        </w:rPr>
        <w:t>ke</w:t>
      </w:r>
      <w:r w:rsidR="00D67D34" w:rsidRPr="00314858">
        <w:rPr>
          <w:rFonts w:ascii="Times New Roman" w:hAnsi="Times New Roman" w:cs="Times New Roman"/>
          <w:lang w:val="sr-Latn-ME"/>
        </w:rPr>
        <w:t>su poznate (vid</w:t>
      </w:r>
      <w:r w:rsidR="00605C22"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eti </w:t>
      </w:r>
      <w:r w:rsidR="00605C22" w:rsidRPr="00314858">
        <w:rPr>
          <w:rFonts w:ascii="Times New Roman" w:hAnsi="Times New Roman" w:cs="Times New Roman"/>
          <w:lang w:val="sr-Latn-ME"/>
        </w:rPr>
        <w:t>dio</w:t>
      </w:r>
      <w:r w:rsidR="00D67D34" w:rsidRPr="00314858">
        <w:rPr>
          <w:rFonts w:ascii="Times New Roman" w:hAnsi="Times New Roman" w:cs="Times New Roman"/>
          <w:lang w:val="sr-Latn-ME"/>
        </w:rPr>
        <w:t xml:space="preserve"> 5.1).</w:t>
      </w:r>
    </w:p>
    <w:p w14:paraId="38E03385" w14:textId="77777777" w:rsidR="00403DC5" w:rsidRPr="00314858" w:rsidRDefault="00403DC5" w:rsidP="00D67D34">
      <w:pPr>
        <w:spacing w:after="0" w:line="240" w:lineRule="auto"/>
        <w:jc w:val="both"/>
        <w:rPr>
          <w:rFonts w:ascii="Times New Roman" w:hAnsi="Times New Roman" w:cs="Times New Roman"/>
          <w:lang w:val="sr-Latn-ME"/>
        </w:rPr>
      </w:pPr>
    </w:p>
    <w:p w14:paraId="5B25E6A0" w14:textId="77777777" w:rsidR="00314858" w:rsidRDefault="00314858" w:rsidP="00BA378B">
      <w:pPr>
        <w:spacing w:after="0" w:line="240" w:lineRule="auto"/>
        <w:jc w:val="center"/>
        <w:rPr>
          <w:rFonts w:ascii="Times New Roman" w:hAnsi="Times New Roman" w:cs="Times New Roman"/>
          <w:b/>
          <w:bCs/>
          <w:lang w:val="sr-Latn-ME" w:bidi="en-US"/>
        </w:rPr>
      </w:pPr>
    </w:p>
    <w:p w14:paraId="2E24AAE2" w14:textId="77777777" w:rsidR="00314858" w:rsidRDefault="00314858" w:rsidP="00BA378B">
      <w:pPr>
        <w:spacing w:after="0" w:line="240" w:lineRule="auto"/>
        <w:jc w:val="center"/>
        <w:rPr>
          <w:rFonts w:ascii="Times New Roman" w:hAnsi="Times New Roman" w:cs="Times New Roman"/>
          <w:b/>
          <w:bCs/>
          <w:lang w:val="sr-Latn-ME" w:bidi="en-US"/>
        </w:rPr>
      </w:pPr>
    </w:p>
    <w:p w14:paraId="45F9A8B8" w14:textId="77777777" w:rsidR="00314858" w:rsidRDefault="00314858" w:rsidP="00BA378B">
      <w:pPr>
        <w:spacing w:after="0" w:line="240" w:lineRule="auto"/>
        <w:jc w:val="center"/>
        <w:rPr>
          <w:rFonts w:ascii="Times New Roman" w:hAnsi="Times New Roman" w:cs="Times New Roman"/>
          <w:b/>
          <w:bCs/>
          <w:lang w:val="sr-Latn-ME" w:bidi="en-US"/>
        </w:rPr>
      </w:pPr>
    </w:p>
    <w:p w14:paraId="2817FA77" w14:textId="77777777" w:rsidR="00314858" w:rsidRDefault="00314858" w:rsidP="00BA378B">
      <w:pPr>
        <w:spacing w:after="0" w:line="240" w:lineRule="auto"/>
        <w:jc w:val="center"/>
        <w:rPr>
          <w:rFonts w:ascii="Times New Roman" w:hAnsi="Times New Roman" w:cs="Times New Roman"/>
          <w:b/>
          <w:bCs/>
          <w:lang w:val="sr-Latn-ME" w:bidi="en-US"/>
        </w:rPr>
      </w:pPr>
    </w:p>
    <w:p w14:paraId="39613FD2" w14:textId="77777777" w:rsidR="00314858" w:rsidRDefault="00314858" w:rsidP="00BA378B">
      <w:pPr>
        <w:spacing w:after="0" w:line="240" w:lineRule="auto"/>
        <w:jc w:val="center"/>
        <w:rPr>
          <w:rFonts w:ascii="Times New Roman" w:hAnsi="Times New Roman" w:cs="Times New Roman"/>
          <w:b/>
          <w:bCs/>
          <w:lang w:val="sr-Latn-ME" w:bidi="en-US"/>
        </w:rPr>
      </w:pPr>
    </w:p>
    <w:p w14:paraId="7081315E" w14:textId="0B4A385F"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lastRenderedPageBreak/>
        <w:t>Tabela 5</w:t>
      </w:r>
      <w:r w:rsidR="00F11F82"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Granične vr</w:t>
      </w:r>
      <w:r w:rsidR="00605C22" w:rsidRPr="00314858">
        <w:rPr>
          <w:rFonts w:ascii="Times New Roman" w:hAnsi="Times New Roman" w:cs="Times New Roman"/>
          <w:b/>
          <w:bCs/>
          <w:lang w:val="sr-Latn-ME" w:bidi="en-US"/>
        </w:rPr>
        <w:t>ij</w:t>
      </w:r>
      <w:r w:rsidRPr="00314858">
        <w:rPr>
          <w:rFonts w:ascii="Times New Roman" w:hAnsi="Times New Roman" w:cs="Times New Roman"/>
          <w:b/>
          <w:bCs/>
          <w:lang w:val="sr-Latn-ME" w:bidi="en-US"/>
        </w:rPr>
        <w:t>ednosti test</w:t>
      </w:r>
      <w:r w:rsidR="00F11F82" w:rsidRPr="00314858">
        <w:rPr>
          <w:rFonts w:ascii="Times New Roman" w:hAnsi="Times New Roman" w:cs="Times New Roman"/>
          <w:b/>
          <w:bCs/>
          <w:lang w:val="sr-Latn-ME" w:bidi="en-US"/>
        </w:rPr>
        <w:t>a</w:t>
      </w:r>
      <w:r w:rsidRPr="00314858">
        <w:rPr>
          <w:rFonts w:ascii="Times New Roman" w:hAnsi="Times New Roman" w:cs="Times New Roman"/>
          <w:b/>
          <w:bCs/>
          <w:lang w:val="sr-Latn-ME" w:bidi="en-US"/>
        </w:rPr>
        <w:t xml:space="preserve"> koagulacije na kraju intervala doziranja za odrasle pacijente koje mogu biti povezane sa povećanim rizikom od krvarenja</w:t>
      </w:r>
      <w:r w:rsidR="00F11F82" w:rsidRPr="00314858">
        <w:rPr>
          <w:rFonts w:ascii="Times New Roman" w:hAnsi="Times New Roman" w:cs="Times New Roman"/>
          <w:b/>
          <w:bCs/>
          <w:lang w:val="sr-Latn-ME" w:bidi="en-US"/>
        </w:rPr>
        <w:t>.</w:t>
      </w:r>
    </w:p>
    <w:p w14:paraId="4EE1BA44" w14:textId="77777777" w:rsidR="00F11F82" w:rsidRPr="00314858" w:rsidRDefault="00F11F82" w:rsidP="00BA378B">
      <w:pPr>
        <w:spacing w:after="0" w:line="240" w:lineRule="auto"/>
        <w:jc w:val="center"/>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4843"/>
        <w:gridCol w:w="4217"/>
      </w:tblGrid>
      <w:tr w:rsidR="00D67D34" w:rsidRPr="00314858" w14:paraId="384DC92F" w14:textId="77777777" w:rsidTr="00403DC5">
        <w:trPr>
          <w:trHeight w:val="20"/>
          <w:jc w:val="center"/>
        </w:trPr>
        <w:tc>
          <w:tcPr>
            <w:tcW w:w="2673" w:type="pct"/>
            <w:tcBorders>
              <w:top w:val="single" w:sz="4" w:space="0" w:color="auto"/>
              <w:left w:val="single" w:sz="4" w:space="0" w:color="auto"/>
            </w:tcBorders>
            <w:shd w:val="clear" w:color="auto" w:fill="auto"/>
            <w:vAlign w:val="bottom"/>
          </w:tcPr>
          <w:p w14:paraId="274FD51E" w14:textId="77777777" w:rsidR="00D67D34" w:rsidRPr="00314858" w:rsidRDefault="00D67D34" w:rsidP="00A95A46">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Test (na kraju intervala doziranja)</w:t>
            </w:r>
          </w:p>
        </w:tc>
        <w:tc>
          <w:tcPr>
            <w:tcW w:w="2327" w:type="pct"/>
            <w:tcBorders>
              <w:top w:val="single" w:sz="4" w:space="0" w:color="auto"/>
              <w:left w:val="single" w:sz="4" w:space="0" w:color="auto"/>
              <w:right w:val="single" w:sz="4" w:space="0" w:color="auto"/>
            </w:tcBorders>
            <w:shd w:val="clear" w:color="auto" w:fill="auto"/>
            <w:vAlign w:val="bottom"/>
          </w:tcPr>
          <w:p w14:paraId="3CAF9E04" w14:textId="77777777" w:rsidR="00D67D34" w:rsidRPr="00314858" w:rsidRDefault="00D67D34" w:rsidP="00A95A46">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Indikacija</w:t>
            </w:r>
          </w:p>
        </w:tc>
      </w:tr>
      <w:tr w:rsidR="00D67D34" w:rsidRPr="00314858" w14:paraId="192EB679" w14:textId="77777777" w:rsidTr="00403DC5">
        <w:trPr>
          <w:trHeight w:val="20"/>
          <w:jc w:val="center"/>
        </w:trPr>
        <w:tc>
          <w:tcPr>
            <w:tcW w:w="2673" w:type="pct"/>
            <w:tcBorders>
              <w:top w:val="single" w:sz="4" w:space="0" w:color="auto"/>
              <w:left w:val="single" w:sz="4" w:space="0" w:color="auto"/>
            </w:tcBorders>
            <w:shd w:val="clear" w:color="auto" w:fill="auto"/>
          </w:tcPr>
          <w:p w14:paraId="1B2BDFBA" w14:textId="77777777" w:rsidR="00D67D34" w:rsidRPr="00314858" w:rsidRDefault="00D67D34" w:rsidP="00D67D34">
            <w:pPr>
              <w:spacing w:after="0" w:line="240" w:lineRule="auto"/>
              <w:jc w:val="both"/>
              <w:rPr>
                <w:rFonts w:ascii="Times New Roman" w:hAnsi="Times New Roman" w:cs="Times New Roman"/>
                <w:lang w:val="sr-Latn-ME" w:bidi="en-US"/>
              </w:rPr>
            </w:pPr>
          </w:p>
        </w:tc>
        <w:tc>
          <w:tcPr>
            <w:tcW w:w="2327" w:type="pct"/>
            <w:tcBorders>
              <w:top w:val="single" w:sz="4" w:space="0" w:color="auto"/>
              <w:left w:val="single" w:sz="4" w:space="0" w:color="auto"/>
              <w:right w:val="single" w:sz="4" w:space="0" w:color="auto"/>
            </w:tcBorders>
            <w:shd w:val="clear" w:color="auto" w:fill="auto"/>
          </w:tcPr>
          <w:p w14:paraId="7D329944" w14:textId="112925BF" w:rsidR="00D67D34" w:rsidRPr="00314858" w:rsidRDefault="00F11F8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Prevencija MU i SE kod AF</w:t>
            </w:r>
            <w:r w:rsidR="00D67D34" w:rsidRPr="00314858">
              <w:rPr>
                <w:rFonts w:ascii="Times New Roman" w:hAnsi="Times New Roman" w:cs="Times New Roman"/>
                <w:lang w:val="sr-Latn-ME" w:bidi="en-US"/>
              </w:rPr>
              <w:t xml:space="preserve"> i DVT/PE</w:t>
            </w:r>
          </w:p>
        </w:tc>
      </w:tr>
      <w:tr w:rsidR="00D67D34" w:rsidRPr="00314858" w14:paraId="23CA3941" w14:textId="77777777" w:rsidTr="00403DC5">
        <w:trPr>
          <w:trHeight w:val="20"/>
          <w:jc w:val="center"/>
        </w:trPr>
        <w:tc>
          <w:tcPr>
            <w:tcW w:w="2673" w:type="pct"/>
            <w:tcBorders>
              <w:top w:val="single" w:sz="4" w:space="0" w:color="auto"/>
              <w:left w:val="single" w:sz="4" w:space="0" w:color="auto"/>
            </w:tcBorders>
            <w:shd w:val="clear" w:color="auto" w:fill="auto"/>
            <w:vAlign w:val="bottom"/>
          </w:tcPr>
          <w:p w14:paraId="301B01AC" w14:textId="67DC6F94"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dTT [nanograma/m</w:t>
            </w:r>
            <w:r w:rsidR="004B1D33" w:rsidRPr="00314858">
              <w:rPr>
                <w:rFonts w:ascii="Times New Roman" w:hAnsi="Times New Roman" w:cs="Times New Roman"/>
                <w:lang w:val="sr-Latn-ME" w:bidi="en-US"/>
              </w:rPr>
              <w:t>l</w:t>
            </w:r>
            <w:r w:rsidRPr="00314858">
              <w:rPr>
                <w:rFonts w:ascii="Times New Roman" w:hAnsi="Times New Roman" w:cs="Times New Roman"/>
                <w:lang w:val="sr-Latn-ME" w:bidi="en-US"/>
              </w:rPr>
              <w:t>]</w:t>
            </w:r>
          </w:p>
        </w:tc>
        <w:tc>
          <w:tcPr>
            <w:tcW w:w="2327" w:type="pct"/>
            <w:tcBorders>
              <w:top w:val="single" w:sz="4" w:space="0" w:color="auto"/>
              <w:left w:val="single" w:sz="4" w:space="0" w:color="auto"/>
              <w:right w:val="single" w:sz="4" w:space="0" w:color="auto"/>
            </w:tcBorders>
            <w:shd w:val="clear" w:color="auto" w:fill="auto"/>
            <w:vAlign w:val="bottom"/>
          </w:tcPr>
          <w:p w14:paraId="171BE26D" w14:textId="0EB16313" w:rsidR="00D67D34" w:rsidRPr="00314858" w:rsidRDefault="004B1D33" w:rsidP="004B1D33">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&gt;</w:t>
            </w:r>
            <w:r w:rsidR="00D67D34" w:rsidRPr="00314858">
              <w:rPr>
                <w:rFonts w:ascii="Times New Roman" w:hAnsi="Times New Roman" w:cs="Times New Roman"/>
                <w:lang w:val="sr-Latn-ME" w:bidi="en-US"/>
              </w:rPr>
              <w:t>200</w:t>
            </w:r>
          </w:p>
        </w:tc>
      </w:tr>
      <w:tr w:rsidR="00D67D34" w:rsidRPr="00314858" w14:paraId="116C7EFE" w14:textId="77777777" w:rsidTr="00403DC5">
        <w:trPr>
          <w:trHeight w:val="20"/>
          <w:jc w:val="center"/>
        </w:trPr>
        <w:tc>
          <w:tcPr>
            <w:tcW w:w="2673" w:type="pct"/>
            <w:tcBorders>
              <w:top w:val="single" w:sz="4" w:space="0" w:color="auto"/>
              <w:left w:val="single" w:sz="4" w:space="0" w:color="auto"/>
            </w:tcBorders>
            <w:shd w:val="clear" w:color="auto" w:fill="auto"/>
            <w:vAlign w:val="bottom"/>
          </w:tcPr>
          <w:p w14:paraId="20033B4C" w14:textId="4AE9082B"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ECT [x-puta od gornje granice normal</w:t>
            </w:r>
            <w:r w:rsidR="00F11F82" w:rsidRPr="00314858">
              <w:rPr>
                <w:rFonts w:ascii="Times New Roman" w:hAnsi="Times New Roman" w:cs="Times New Roman"/>
                <w:lang w:val="sr-Latn-ME" w:bidi="en-US"/>
              </w:rPr>
              <w:t>ne vr</w:t>
            </w:r>
            <w:r w:rsidR="00605C22" w:rsidRPr="00314858">
              <w:rPr>
                <w:rFonts w:ascii="Times New Roman" w:hAnsi="Times New Roman" w:cs="Times New Roman"/>
                <w:lang w:val="sr-Latn-ME" w:bidi="en-US"/>
              </w:rPr>
              <w:t>ij</w:t>
            </w:r>
            <w:r w:rsidR="00F11F82" w:rsidRPr="00314858">
              <w:rPr>
                <w:rFonts w:ascii="Times New Roman" w:hAnsi="Times New Roman" w:cs="Times New Roman"/>
                <w:lang w:val="sr-Latn-ME" w:bidi="en-US"/>
              </w:rPr>
              <w:t>ednosti</w:t>
            </w:r>
            <w:r w:rsidRPr="00314858">
              <w:rPr>
                <w:rFonts w:ascii="Times New Roman" w:hAnsi="Times New Roman" w:cs="Times New Roman"/>
                <w:lang w:val="sr-Latn-ME" w:bidi="en-US"/>
              </w:rPr>
              <w:t>]</w:t>
            </w:r>
          </w:p>
        </w:tc>
        <w:tc>
          <w:tcPr>
            <w:tcW w:w="2327" w:type="pct"/>
            <w:tcBorders>
              <w:top w:val="single" w:sz="4" w:space="0" w:color="auto"/>
              <w:left w:val="single" w:sz="4" w:space="0" w:color="auto"/>
              <w:right w:val="single" w:sz="4" w:space="0" w:color="auto"/>
            </w:tcBorders>
            <w:shd w:val="clear" w:color="auto" w:fill="auto"/>
            <w:vAlign w:val="bottom"/>
          </w:tcPr>
          <w:p w14:paraId="37068D6E"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&gt;3</w:t>
            </w:r>
          </w:p>
        </w:tc>
      </w:tr>
      <w:tr w:rsidR="00D67D34" w:rsidRPr="00314858" w14:paraId="13ED12D3" w14:textId="77777777" w:rsidTr="00403DC5">
        <w:trPr>
          <w:trHeight w:val="20"/>
          <w:jc w:val="center"/>
        </w:trPr>
        <w:tc>
          <w:tcPr>
            <w:tcW w:w="2673" w:type="pct"/>
            <w:tcBorders>
              <w:top w:val="single" w:sz="4" w:space="0" w:color="auto"/>
              <w:left w:val="single" w:sz="4" w:space="0" w:color="auto"/>
            </w:tcBorders>
            <w:shd w:val="clear" w:color="auto" w:fill="auto"/>
            <w:vAlign w:val="bottom"/>
          </w:tcPr>
          <w:p w14:paraId="0A509B70" w14:textId="24F3871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aPTT [x-puta od gornje granice normal</w:t>
            </w:r>
            <w:r w:rsidR="00F11F82" w:rsidRPr="00314858">
              <w:rPr>
                <w:rFonts w:ascii="Times New Roman" w:hAnsi="Times New Roman" w:cs="Times New Roman"/>
                <w:lang w:val="sr-Latn-ME" w:bidi="en-US"/>
              </w:rPr>
              <w:t>ne vr</w:t>
            </w:r>
            <w:r w:rsidR="00605C22" w:rsidRPr="00314858">
              <w:rPr>
                <w:rFonts w:ascii="Times New Roman" w:hAnsi="Times New Roman" w:cs="Times New Roman"/>
                <w:lang w:val="sr-Latn-ME" w:bidi="en-US"/>
              </w:rPr>
              <w:t>ij</w:t>
            </w:r>
            <w:r w:rsidR="00F11F82" w:rsidRPr="00314858">
              <w:rPr>
                <w:rFonts w:ascii="Times New Roman" w:hAnsi="Times New Roman" w:cs="Times New Roman"/>
                <w:lang w:val="sr-Latn-ME" w:bidi="en-US"/>
              </w:rPr>
              <w:t>ednosti</w:t>
            </w:r>
            <w:r w:rsidRPr="00314858">
              <w:rPr>
                <w:rFonts w:ascii="Times New Roman" w:hAnsi="Times New Roman" w:cs="Times New Roman"/>
                <w:lang w:val="sr-Latn-ME" w:bidi="en-US"/>
              </w:rPr>
              <w:t>]</w:t>
            </w:r>
          </w:p>
        </w:tc>
        <w:tc>
          <w:tcPr>
            <w:tcW w:w="2327" w:type="pct"/>
            <w:tcBorders>
              <w:top w:val="single" w:sz="4" w:space="0" w:color="auto"/>
              <w:left w:val="single" w:sz="4" w:space="0" w:color="auto"/>
              <w:right w:val="single" w:sz="4" w:space="0" w:color="auto"/>
            </w:tcBorders>
            <w:shd w:val="clear" w:color="auto" w:fill="auto"/>
            <w:vAlign w:val="bottom"/>
          </w:tcPr>
          <w:p w14:paraId="5167BDE6"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&gt;2</w:t>
            </w:r>
          </w:p>
        </w:tc>
      </w:tr>
      <w:tr w:rsidR="00D67D34" w:rsidRPr="00314858" w14:paraId="2DDA29AD" w14:textId="77777777" w:rsidTr="00403DC5">
        <w:trPr>
          <w:trHeight w:val="20"/>
          <w:jc w:val="center"/>
        </w:trPr>
        <w:tc>
          <w:tcPr>
            <w:tcW w:w="2673" w:type="pct"/>
            <w:tcBorders>
              <w:top w:val="single" w:sz="4" w:space="0" w:color="auto"/>
              <w:left w:val="single" w:sz="4" w:space="0" w:color="auto"/>
              <w:bottom w:val="single" w:sz="4" w:space="0" w:color="auto"/>
            </w:tcBorders>
            <w:shd w:val="clear" w:color="auto" w:fill="auto"/>
            <w:vAlign w:val="bottom"/>
          </w:tcPr>
          <w:p w14:paraId="08F7DC35"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INR</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bottom"/>
          </w:tcPr>
          <w:p w14:paraId="27C78F88" w14:textId="1F491487" w:rsidR="00D67D34" w:rsidRPr="00314858" w:rsidRDefault="00F11F8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w:t>
            </w:r>
            <w:r w:rsidR="00D67D34" w:rsidRPr="00314858">
              <w:rPr>
                <w:rFonts w:ascii="Times New Roman" w:hAnsi="Times New Roman" w:cs="Times New Roman"/>
                <w:lang w:val="sr-Latn-ME" w:bidi="en-US"/>
              </w:rPr>
              <w:t>e treba raditi</w:t>
            </w:r>
          </w:p>
        </w:tc>
      </w:tr>
    </w:tbl>
    <w:p w14:paraId="5F812402" w14:textId="77777777" w:rsidR="00D67D34" w:rsidRPr="00314858" w:rsidRDefault="00D67D34" w:rsidP="00D67D34">
      <w:pPr>
        <w:spacing w:after="0" w:line="240" w:lineRule="auto"/>
        <w:jc w:val="both"/>
        <w:rPr>
          <w:rFonts w:ascii="Times New Roman" w:hAnsi="Times New Roman" w:cs="Times New Roman"/>
          <w:lang w:val="sr-Latn-ME" w:bidi="en-US"/>
        </w:rPr>
      </w:pPr>
    </w:p>
    <w:p w14:paraId="784F3E75" w14:textId="437B5BC9"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Prim</w:t>
      </w:r>
      <w:r w:rsidR="00605C22" w:rsidRPr="00314858">
        <w:rPr>
          <w:rFonts w:ascii="Times New Roman" w:hAnsi="Times New Roman" w:cs="Times New Roman"/>
          <w:u w:val="single"/>
          <w:lang w:val="sr-Latn-ME"/>
        </w:rPr>
        <w:t>j</w:t>
      </w:r>
      <w:r w:rsidRPr="00314858">
        <w:rPr>
          <w:rFonts w:ascii="Times New Roman" w:hAnsi="Times New Roman" w:cs="Times New Roman"/>
          <w:u w:val="single"/>
          <w:lang w:val="sr-Latn-ME"/>
        </w:rPr>
        <w:t>ena fibrinolitičkih l</w:t>
      </w:r>
      <w:r w:rsidR="00605C22" w:rsidRPr="00314858">
        <w:rPr>
          <w:rFonts w:ascii="Times New Roman" w:hAnsi="Times New Roman" w:cs="Times New Roman"/>
          <w:u w:val="single"/>
          <w:lang w:val="sr-Latn-ME"/>
        </w:rPr>
        <w:t>j</w:t>
      </w:r>
      <w:r w:rsidRPr="00314858">
        <w:rPr>
          <w:rFonts w:ascii="Times New Roman" w:hAnsi="Times New Roman" w:cs="Times New Roman"/>
          <w:u w:val="single"/>
          <w:lang w:val="sr-Latn-ME"/>
        </w:rPr>
        <w:t>ekova u terapiji akutnog ishemijskog moždanog udara</w:t>
      </w:r>
    </w:p>
    <w:p w14:paraId="6044CD07" w14:textId="77777777" w:rsidR="00403DC5" w:rsidRPr="00314858" w:rsidRDefault="00403DC5" w:rsidP="00D67D34">
      <w:pPr>
        <w:spacing w:after="0" w:line="240" w:lineRule="auto"/>
        <w:jc w:val="both"/>
        <w:rPr>
          <w:rFonts w:ascii="Times New Roman" w:hAnsi="Times New Roman" w:cs="Times New Roman"/>
          <w:u w:val="single"/>
          <w:lang w:val="sr-Latn-ME"/>
        </w:rPr>
      </w:pPr>
    </w:p>
    <w:p w14:paraId="131C17A0" w14:textId="0BD343C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Prim</w:t>
      </w:r>
      <w:r w:rsidR="00605C22" w:rsidRPr="00314858">
        <w:rPr>
          <w:rFonts w:ascii="Times New Roman" w:hAnsi="Times New Roman" w:cs="Times New Roman"/>
          <w:lang w:val="sr-Latn-ME"/>
        </w:rPr>
        <w:t>j</w:t>
      </w:r>
      <w:r w:rsidRPr="00314858">
        <w:rPr>
          <w:rFonts w:ascii="Times New Roman" w:hAnsi="Times New Roman" w:cs="Times New Roman"/>
          <w:lang w:val="sr-Latn-ME"/>
        </w:rPr>
        <w:t>ena fibrinolitičkih l</w:t>
      </w:r>
      <w:r w:rsidR="00605C22" w:rsidRPr="00314858">
        <w:rPr>
          <w:rFonts w:ascii="Times New Roman" w:hAnsi="Times New Roman" w:cs="Times New Roman"/>
          <w:lang w:val="sr-Latn-ME"/>
        </w:rPr>
        <w:t>j</w:t>
      </w:r>
      <w:r w:rsidRPr="00314858">
        <w:rPr>
          <w:rFonts w:ascii="Times New Roman" w:hAnsi="Times New Roman" w:cs="Times New Roman"/>
          <w:lang w:val="sr-Latn-ME"/>
        </w:rPr>
        <w:t>ekova u terapiji akutnog ishemijskog moždanog udara se može razmotriti kod pacijenata čije vr</w:t>
      </w:r>
      <w:r w:rsidR="00605C22" w:rsidRPr="00314858">
        <w:rPr>
          <w:rFonts w:ascii="Times New Roman" w:hAnsi="Times New Roman" w:cs="Times New Roman"/>
          <w:lang w:val="sr-Latn-ME"/>
        </w:rPr>
        <w:t>ij</w:t>
      </w:r>
      <w:r w:rsidRPr="00314858">
        <w:rPr>
          <w:rFonts w:ascii="Times New Roman" w:hAnsi="Times New Roman" w:cs="Times New Roman"/>
          <w:lang w:val="sr-Latn-ME"/>
        </w:rPr>
        <w:t xml:space="preserve">ednosti dTT, ECT ili aPTT ne prelaze </w:t>
      </w:r>
      <w:r w:rsidR="00403DC5" w:rsidRPr="00314858">
        <w:rPr>
          <w:rFonts w:ascii="Times New Roman" w:hAnsi="Times New Roman" w:cs="Times New Roman"/>
          <w:lang w:val="sr-Latn-ME"/>
        </w:rPr>
        <w:t>gornju granicu normal</w:t>
      </w:r>
      <w:r w:rsidR="00874C49" w:rsidRPr="00314858">
        <w:rPr>
          <w:rFonts w:ascii="Times New Roman" w:hAnsi="Times New Roman" w:cs="Times New Roman"/>
          <w:lang w:val="sr-Latn-ME"/>
        </w:rPr>
        <w:t>ne vr</w:t>
      </w:r>
      <w:r w:rsidR="00605C22" w:rsidRPr="00314858">
        <w:rPr>
          <w:rFonts w:ascii="Times New Roman" w:hAnsi="Times New Roman" w:cs="Times New Roman"/>
          <w:lang w:val="sr-Latn-ME"/>
        </w:rPr>
        <w:t>ij</w:t>
      </w:r>
      <w:r w:rsidR="00874C49" w:rsidRPr="00314858">
        <w:rPr>
          <w:rFonts w:ascii="Times New Roman" w:hAnsi="Times New Roman" w:cs="Times New Roman"/>
          <w:lang w:val="sr-Latn-ME"/>
        </w:rPr>
        <w:t>ednosti</w:t>
      </w:r>
      <w:r w:rsidR="00403DC5" w:rsidRPr="00314858">
        <w:rPr>
          <w:rFonts w:ascii="Times New Roman" w:hAnsi="Times New Roman" w:cs="Times New Roman"/>
          <w:lang w:val="sr-Latn-ME"/>
        </w:rPr>
        <w:t xml:space="preserve"> (</w:t>
      </w:r>
      <w:r w:rsidRPr="00314858">
        <w:rPr>
          <w:rFonts w:ascii="Times New Roman" w:hAnsi="Times New Roman" w:cs="Times New Roman"/>
          <w:lang w:val="sr-Latn-ME"/>
        </w:rPr>
        <w:t>GGN</w:t>
      </w:r>
      <w:r w:rsidR="00403DC5" w:rsidRPr="00314858">
        <w:rPr>
          <w:rFonts w:ascii="Times New Roman" w:hAnsi="Times New Roman" w:cs="Times New Roman"/>
          <w:lang w:val="sr-Latn-ME"/>
        </w:rPr>
        <w:t>)</w:t>
      </w:r>
      <w:r w:rsidRPr="00314858">
        <w:rPr>
          <w:rFonts w:ascii="Times New Roman" w:hAnsi="Times New Roman" w:cs="Times New Roman"/>
          <w:lang w:val="sr-Latn-ME"/>
        </w:rPr>
        <w:t xml:space="preserve"> prema lokalnim referentnim vr</w:t>
      </w:r>
      <w:r w:rsidR="00605C22" w:rsidRPr="00314858">
        <w:rPr>
          <w:rFonts w:ascii="Times New Roman" w:hAnsi="Times New Roman" w:cs="Times New Roman"/>
          <w:lang w:val="sr-Latn-ME"/>
        </w:rPr>
        <w:t>ij</w:t>
      </w:r>
      <w:r w:rsidRPr="00314858">
        <w:rPr>
          <w:rFonts w:ascii="Times New Roman" w:hAnsi="Times New Roman" w:cs="Times New Roman"/>
          <w:lang w:val="sr-Latn-ME"/>
        </w:rPr>
        <w:t>ednostima.</w:t>
      </w:r>
    </w:p>
    <w:p w14:paraId="3012AB46" w14:textId="77777777" w:rsidR="00403DC5" w:rsidRPr="00314858" w:rsidRDefault="00403DC5" w:rsidP="00D67D34">
      <w:pPr>
        <w:spacing w:after="0" w:line="240" w:lineRule="auto"/>
        <w:jc w:val="both"/>
        <w:rPr>
          <w:rFonts w:ascii="Times New Roman" w:hAnsi="Times New Roman" w:cs="Times New Roman"/>
          <w:lang w:val="sr-Latn-ME"/>
        </w:rPr>
      </w:pPr>
    </w:p>
    <w:p w14:paraId="37C31830" w14:textId="49A9C8D3"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Hiruršk</w:t>
      </w:r>
      <w:r w:rsidR="00874C49" w:rsidRPr="00314858">
        <w:rPr>
          <w:rFonts w:ascii="Times New Roman" w:hAnsi="Times New Roman" w:cs="Times New Roman"/>
          <w:u w:val="single"/>
          <w:lang w:val="sr-Latn-ME"/>
        </w:rPr>
        <w:t>e</w:t>
      </w:r>
      <w:r w:rsidRPr="00314858">
        <w:rPr>
          <w:rFonts w:ascii="Times New Roman" w:hAnsi="Times New Roman" w:cs="Times New Roman"/>
          <w:u w:val="single"/>
          <w:lang w:val="sr-Latn-ME"/>
        </w:rPr>
        <w:t xml:space="preserve"> i </w:t>
      </w:r>
      <w:r w:rsidR="00874C49" w:rsidRPr="00314858">
        <w:rPr>
          <w:rFonts w:ascii="Times New Roman" w:hAnsi="Times New Roman" w:cs="Times New Roman"/>
          <w:u w:val="single"/>
          <w:lang w:val="sr-Latn-ME"/>
        </w:rPr>
        <w:t xml:space="preserve">druge </w:t>
      </w:r>
      <w:r w:rsidRPr="00314858">
        <w:rPr>
          <w:rFonts w:ascii="Times New Roman" w:hAnsi="Times New Roman" w:cs="Times New Roman"/>
          <w:u w:val="single"/>
          <w:lang w:val="sr-Latn-ME"/>
        </w:rPr>
        <w:t>intervencije</w:t>
      </w:r>
    </w:p>
    <w:p w14:paraId="03F3174C" w14:textId="77777777" w:rsidR="00403DC5" w:rsidRPr="00314858" w:rsidRDefault="00403DC5" w:rsidP="00D67D34">
      <w:pPr>
        <w:spacing w:after="0" w:line="240" w:lineRule="auto"/>
        <w:jc w:val="both"/>
        <w:rPr>
          <w:rFonts w:ascii="Times New Roman" w:hAnsi="Times New Roman" w:cs="Times New Roman"/>
          <w:u w:val="single"/>
          <w:lang w:val="sr-Latn-ME"/>
        </w:rPr>
      </w:pPr>
    </w:p>
    <w:p w14:paraId="5283B2B7" w14:textId="1FD1680C"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Pacijenti koji primaju dabigatrineteksilat i podvrgavaju se hirurškim ili drugim invazivnim postupcima su u povećanom riziku od krvarenja. Zbog toga, hirurške intervencije mogu da iziskuju privremenu obustavu dabigatrineteksilata.</w:t>
      </w:r>
    </w:p>
    <w:p w14:paraId="3F9158FE" w14:textId="77777777" w:rsidR="00403DC5" w:rsidRPr="00314858" w:rsidRDefault="00403DC5" w:rsidP="00D67D34">
      <w:pPr>
        <w:spacing w:after="0" w:line="240" w:lineRule="auto"/>
        <w:jc w:val="both"/>
        <w:rPr>
          <w:rFonts w:ascii="Times New Roman" w:hAnsi="Times New Roman" w:cs="Times New Roman"/>
          <w:lang w:val="sr-Latn-ME"/>
        </w:rPr>
      </w:pPr>
    </w:p>
    <w:p w14:paraId="216C090C" w14:textId="408EDC7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slučaju kardioverzije, pacijenti mogu </w:t>
      </w:r>
      <w:r w:rsidR="00874C49" w:rsidRPr="00314858">
        <w:rPr>
          <w:rFonts w:ascii="Times New Roman" w:hAnsi="Times New Roman" w:cs="Times New Roman"/>
          <w:lang w:val="sr-Latn-ME"/>
        </w:rPr>
        <w:t>da ostanu</w:t>
      </w:r>
      <w:r w:rsidRPr="00314858">
        <w:rPr>
          <w:rFonts w:ascii="Times New Roman" w:hAnsi="Times New Roman" w:cs="Times New Roman"/>
          <w:lang w:val="sr-Latn-ME"/>
        </w:rPr>
        <w:t xml:space="preserve"> na terapiji dabigatrineteksilatom. Nema potrebe da se terapija dabigatrineteksilatom (150 mg dva puta dnevno) prekida kod pacijenata podvrgnutih kateterskoj ablaciji </w:t>
      </w:r>
      <w:r w:rsidR="00C724E6" w:rsidRPr="00314858">
        <w:rPr>
          <w:rFonts w:ascii="Times New Roman" w:hAnsi="Times New Roman" w:cs="Times New Roman"/>
          <w:lang w:val="sr-Latn-ME"/>
        </w:rPr>
        <w:t>zbog</w:t>
      </w:r>
      <w:r w:rsidRPr="00314858">
        <w:rPr>
          <w:rFonts w:ascii="Times New Roman" w:hAnsi="Times New Roman" w:cs="Times New Roman"/>
          <w:lang w:val="sr-Latn-ME"/>
        </w:rPr>
        <w:t xml:space="preserve"> atrijalne fibrilacije (vid</w:t>
      </w:r>
      <w:r w:rsidR="00605C22"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605C22" w:rsidRPr="00314858">
        <w:rPr>
          <w:rFonts w:ascii="Times New Roman" w:hAnsi="Times New Roman" w:cs="Times New Roman"/>
          <w:lang w:val="sr-Latn-ME"/>
        </w:rPr>
        <w:t>dio</w:t>
      </w:r>
      <w:r w:rsidRPr="00314858">
        <w:rPr>
          <w:rFonts w:ascii="Times New Roman" w:hAnsi="Times New Roman" w:cs="Times New Roman"/>
          <w:lang w:val="sr-Latn-ME"/>
        </w:rPr>
        <w:t xml:space="preserve"> 4.2).</w:t>
      </w:r>
    </w:p>
    <w:p w14:paraId="48A3E0C8" w14:textId="77777777" w:rsidR="00D67D34" w:rsidRPr="00314858" w:rsidRDefault="00D67D34" w:rsidP="00D67D34">
      <w:pPr>
        <w:spacing w:after="0" w:line="240" w:lineRule="auto"/>
        <w:jc w:val="both"/>
        <w:rPr>
          <w:rFonts w:ascii="Times New Roman" w:hAnsi="Times New Roman" w:cs="Times New Roman"/>
          <w:lang w:val="sr-Latn-ME"/>
        </w:rPr>
      </w:pPr>
    </w:p>
    <w:p w14:paraId="51F3472D" w14:textId="37AC57C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Kada se terapija privremeno obustavi zbog intervencije, potreban je oprez i opravdano je praćenje antikoagulansa. Kod pacijenata sa bubrežnom insuficijencijom</w:t>
      </w:r>
      <w:r w:rsidR="00F75A58" w:rsidRPr="00314858">
        <w:rPr>
          <w:rFonts w:ascii="Times New Roman" w:hAnsi="Times New Roman" w:cs="Times New Roman"/>
          <w:lang w:val="sr-Latn-ME"/>
        </w:rPr>
        <w:t>,</w:t>
      </w:r>
      <w:r w:rsidRPr="00314858">
        <w:rPr>
          <w:rFonts w:ascii="Times New Roman" w:hAnsi="Times New Roman" w:cs="Times New Roman"/>
          <w:lang w:val="sr-Latn-ME"/>
        </w:rPr>
        <w:t xml:space="preserve"> klirens dabigatrana može da potraje duže (vid</w:t>
      </w:r>
      <w:r w:rsidR="00605C22"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605C22" w:rsidRPr="00314858">
        <w:rPr>
          <w:rFonts w:ascii="Times New Roman" w:hAnsi="Times New Roman" w:cs="Times New Roman"/>
          <w:lang w:val="sr-Latn-ME"/>
        </w:rPr>
        <w:t>dio</w:t>
      </w:r>
      <w:r w:rsidRPr="00314858">
        <w:rPr>
          <w:rFonts w:ascii="Times New Roman" w:hAnsi="Times New Roman" w:cs="Times New Roman"/>
          <w:lang w:val="sr-Latn-ME"/>
        </w:rPr>
        <w:t xml:space="preserve"> 5.2). Ovo treba uzeti u obzir pr</w:t>
      </w:r>
      <w:r w:rsidR="00605C22" w:rsidRPr="00314858">
        <w:rPr>
          <w:rFonts w:ascii="Times New Roman" w:hAnsi="Times New Roman" w:cs="Times New Roman"/>
          <w:lang w:val="sr-Latn-ME"/>
        </w:rPr>
        <w:t>ij</w:t>
      </w:r>
      <w:r w:rsidRPr="00314858">
        <w:rPr>
          <w:rFonts w:ascii="Times New Roman" w:hAnsi="Times New Roman" w:cs="Times New Roman"/>
          <w:lang w:val="sr-Latn-ME"/>
        </w:rPr>
        <w:t>e svakog postupka. U takvim slučajevima test koagulacije (vid</w:t>
      </w:r>
      <w:r w:rsidR="00605C22"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605C22" w:rsidRPr="00314858">
        <w:rPr>
          <w:rFonts w:ascii="Times New Roman" w:hAnsi="Times New Roman" w:cs="Times New Roman"/>
          <w:lang w:val="sr-Latn-ME"/>
        </w:rPr>
        <w:t>djelove</w:t>
      </w:r>
      <w:r w:rsidRPr="00314858">
        <w:rPr>
          <w:rFonts w:ascii="Times New Roman" w:hAnsi="Times New Roman" w:cs="Times New Roman"/>
          <w:lang w:val="sr-Latn-ME"/>
        </w:rPr>
        <w:t xml:space="preserve"> 4.4 i 5.1) može da pomogne da se utvrdi da li je hemostaza i dalje pogoršana.</w:t>
      </w:r>
    </w:p>
    <w:p w14:paraId="6C95AADB" w14:textId="77777777" w:rsidR="00403DC5" w:rsidRPr="00314858" w:rsidRDefault="00403DC5" w:rsidP="00D67D34">
      <w:pPr>
        <w:spacing w:after="0" w:line="240" w:lineRule="auto"/>
        <w:jc w:val="both"/>
        <w:rPr>
          <w:rFonts w:ascii="Times New Roman" w:hAnsi="Times New Roman" w:cs="Times New Roman"/>
          <w:lang w:val="sr-Latn-ME"/>
        </w:rPr>
      </w:pPr>
    </w:p>
    <w:p w14:paraId="7CFE601C" w14:textId="44C89137"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Hitni hirurški zahvati ili hitni postupci</w:t>
      </w:r>
    </w:p>
    <w:p w14:paraId="5D77B5FB" w14:textId="77777777" w:rsidR="00403DC5" w:rsidRPr="00314858" w:rsidRDefault="00403DC5" w:rsidP="00D67D34">
      <w:pPr>
        <w:spacing w:after="0" w:line="240" w:lineRule="auto"/>
        <w:jc w:val="both"/>
        <w:rPr>
          <w:rFonts w:ascii="Times New Roman" w:hAnsi="Times New Roman" w:cs="Times New Roman"/>
          <w:i/>
          <w:iCs/>
          <w:u w:val="single"/>
          <w:lang w:val="sr-Latn-ME"/>
        </w:rPr>
      </w:pPr>
    </w:p>
    <w:p w14:paraId="22CAA878" w14:textId="77777777" w:rsidR="00946B7A" w:rsidRPr="00314858" w:rsidRDefault="00F75A58"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Prim</w:t>
      </w:r>
      <w:r w:rsidR="00605C22" w:rsidRPr="00314858">
        <w:rPr>
          <w:rFonts w:ascii="Times New Roman" w:hAnsi="Times New Roman" w:cs="Times New Roman"/>
          <w:lang w:val="sr-Latn-ME"/>
        </w:rPr>
        <w:t>j</w:t>
      </w:r>
      <w:r w:rsidRPr="00314858">
        <w:rPr>
          <w:rFonts w:ascii="Times New Roman" w:hAnsi="Times New Roman" w:cs="Times New Roman"/>
          <w:lang w:val="sr-Latn-ME"/>
        </w:rPr>
        <w:t>enu dabigatraneteksilata</w:t>
      </w:r>
      <w:r w:rsidR="00D67D34" w:rsidRPr="00314858">
        <w:rPr>
          <w:rFonts w:ascii="Times New Roman" w:hAnsi="Times New Roman" w:cs="Times New Roman"/>
          <w:lang w:val="sr-Latn-ME"/>
        </w:rPr>
        <w:t xml:space="preserve"> treba privremeno prekinuti. U slučajevima kada je potrebno brzo poništenje antikoagulantnog dejstva, dostupan je specifičan antagonist za dabigatran (idarucizumab) za odrasle pacijente. Nije ustanovljena efikasnosti i bezb</w:t>
      </w:r>
      <w:r w:rsidR="00605C22" w:rsidRPr="00314858">
        <w:rPr>
          <w:rFonts w:ascii="Times New Roman" w:hAnsi="Times New Roman" w:cs="Times New Roman"/>
          <w:lang w:val="sr-Latn-ME"/>
        </w:rPr>
        <w:t>j</w:t>
      </w:r>
      <w:r w:rsidR="00D67D34" w:rsidRPr="00314858">
        <w:rPr>
          <w:rFonts w:ascii="Times New Roman" w:hAnsi="Times New Roman" w:cs="Times New Roman"/>
          <w:lang w:val="sr-Latn-ME"/>
        </w:rPr>
        <w:t>ednost idarucizuma</w:t>
      </w:r>
      <w:r w:rsidRPr="00314858">
        <w:rPr>
          <w:rFonts w:ascii="Times New Roman" w:hAnsi="Times New Roman" w:cs="Times New Roman"/>
          <w:lang w:val="sr-Latn-ME"/>
        </w:rPr>
        <w:t>b</w:t>
      </w:r>
      <w:r w:rsidR="00D67D34" w:rsidRPr="00314858">
        <w:rPr>
          <w:rFonts w:ascii="Times New Roman" w:hAnsi="Times New Roman" w:cs="Times New Roman"/>
          <w:lang w:val="sr-Latn-ME"/>
        </w:rPr>
        <w:t xml:space="preserve">a kod pedijatrijskih pacijenata. </w:t>
      </w:r>
    </w:p>
    <w:p w14:paraId="4E7DA1F3" w14:textId="77777777" w:rsidR="00946B7A" w:rsidRPr="00314858" w:rsidRDefault="00946B7A" w:rsidP="00D67D34">
      <w:pPr>
        <w:spacing w:after="0" w:line="240" w:lineRule="auto"/>
        <w:jc w:val="both"/>
        <w:rPr>
          <w:rFonts w:ascii="Times New Roman" w:hAnsi="Times New Roman" w:cs="Times New Roman"/>
          <w:lang w:val="sr-Latn-ME"/>
        </w:rPr>
      </w:pPr>
    </w:p>
    <w:p w14:paraId="45BA1F69" w14:textId="3F0218C9" w:rsidR="00D67D34" w:rsidRPr="00314858" w:rsidRDefault="00F75A58"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Dabigatran se može ukloniti hemodijalizom.</w:t>
      </w:r>
    </w:p>
    <w:p w14:paraId="4D653968" w14:textId="77777777" w:rsidR="00403DC5" w:rsidRPr="00314858" w:rsidRDefault="00403DC5" w:rsidP="00D67D34">
      <w:pPr>
        <w:spacing w:after="0" w:line="240" w:lineRule="auto"/>
        <w:jc w:val="both"/>
        <w:rPr>
          <w:rFonts w:ascii="Times New Roman" w:hAnsi="Times New Roman" w:cs="Times New Roman"/>
          <w:lang w:val="sr-Latn-ME"/>
        </w:rPr>
      </w:pPr>
    </w:p>
    <w:p w14:paraId="1053E81F"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Poništenje terapije dabigatranom izlaže pacijente riziku od tromboze zbog njihove osnovne bolesti.</w:t>
      </w:r>
    </w:p>
    <w:p w14:paraId="7DFCB317" w14:textId="2D97B5A2" w:rsidR="00D67D34"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lang w:val="sr-Latn-ME"/>
        </w:rPr>
        <w:t>Terapija dabigatraneteksilatom može se ponovo započeti 24 sata nakon prim</w:t>
      </w:r>
      <w:r w:rsidR="00605C22" w:rsidRPr="00314858">
        <w:rPr>
          <w:rFonts w:ascii="Times New Roman" w:hAnsi="Times New Roman" w:cs="Times New Roman"/>
          <w:lang w:val="sr-Latn-ME"/>
        </w:rPr>
        <w:t>j</w:t>
      </w:r>
      <w:r w:rsidRPr="00314858">
        <w:rPr>
          <w:rFonts w:ascii="Times New Roman" w:hAnsi="Times New Roman" w:cs="Times New Roman"/>
          <w:lang w:val="sr-Latn-ME"/>
        </w:rPr>
        <w:t>ene idarucizumaba, ako je pacijent klinički stabilan i ako je postignuta odgovarajuća hemostaza.</w:t>
      </w:r>
    </w:p>
    <w:p w14:paraId="6C05DDFC" w14:textId="77777777" w:rsidR="001E7E1D" w:rsidRPr="00314858" w:rsidRDefault="001E7E1D" w:rsidP="00D67D34">
      <w:pPr>
        <w:spacing w:after="0" w:line="240" w:lineRule="auto"/>
        <w:jc w:val="both"/>
        <w:rPr>
          <w:rFonts w:ascii="Times New Roman" w:hAnsi="Times New Roman" w:cs="Times New Roman"/>
          <w:i/>
          <w:iCs/>
          <w:u w:val="single"/>
          <w:lang w:val="sr-Latn-ME" w:bidi="en-US"/>
        </w:rPr>
      </w:pPr>
    </w:p>
    <w:p w14:paraId="6B40A18E" w14:textId="051404B9" w:rsidR="00D67D34" w:rsidRPr="00314858" w:rsidRDefault="00D67D34" w:rsidP="00D67D34">
      <w:pPr>
        <w:spacing w:after="0" w:line="240" w:lineRule="auto"/>
        <w:jc w:val="both"/>
        <w:rPr>
          <w:rFonts w:ascii="Times New Roman" w:hAnsi="Times New Roman" w:cs="Times New Roman"/>
          <w:i/>
          <w:iCs/>
          <w:u w:val="single"/>
          <w:lang w:val="sr-Latn-ME" w:bidi="en-US"/>
        </w:rPr>
      </w:pPr>
      <w:r w:rsidRPr="00314858">
        <w:rPr>
          <w:rFonts w:ascii="Times New Roman" w:hAnsi="Times New Roman" w:cs="Times New Roman"/>
          <w:i/>
          <w:iCs/>
          <w:u w:val="single"/>
          <w:lang w:val="sr-Latn-ME" w:bidi="en-US"/>
        </w:rPr>
        <w:t>Subakutni hirurški zahvati/intervencije</w:t>
      </w:r>
    </w:p>
    <w:p w14:paraId="3225E915" w14:textId="77777777" w:rsidR="00403DC5" w:rsidRPr="00314858" w:rsidRDefault="00403DC5" w:rsidP="00D67D34">
      <w:pPr>
        <w:spacing w:after="0" w:line="240" w:lineRule="auto"/>
        <w:jc w:val="both"/>
        <w:rPr>
          <w:rFonts w:ascii="Times New Roman" w:hAnsi="Times New Roman" w:cs="Times New Roman"/>
          <w:i/>
          <w:iCs/>
          <w:u w:val="single"/>
          <w:lang w:val="sr-Latn-ME" w:bidi="en-US"/>
        </w:rPr>
      </w:pPr>
    </w:p>
    <w:p w14:paraId="2982A8D7" w14:textId="7AFF9CD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Prim</w:t>
      </w:r>
      <w:r w:rsidR="00605C22" w:rsidRPr="00314858">
        <w:rPr>
          <w:rFonts w:ascii="Times New Roman" w:hAnsi="Times New Roman" w:cs="Times New Roman"/>
          <w:lang w:val="sr-Latn-ME"/>
        </w:rPr>
        <w:t>j</w:t>
      </w:r>
      <w:r w:rsidRPr="00314858">
        <w:rPr>
          <w:rFonts w:ascii="Times New Roman" w:hAnsi="Times New Roman" w:cs="Times New Roman"/>
          <w:lang w:val="sr-Latn-ME"/>
        </w:rPr>
        <w:t>enu dabigatraneteksilata potrebno je privremeno prekinuti. Hirurški zahvat/intervenciju je potrebno, ako je moguće, odložiti za najmanje 12 sati nakon posl</w:t>
      </w:r>
      <w:r w:rsidR="005D3B0A" w:rsidRPr="00314858">
        <w:rPr>
          <w:rFonts w:ascii="Times New Roman" w:hAnsi="Times New Roman" w:cs="Times New Roman"/>
          <w:lang w:val="sr-Latn-ME"/>
        </w:rPr>
        <w:t>j</w:t>
      </w:r>
      <w:r w:rsidRPr="00314858">
        <w:rPr>
          <w:rFonts w:ascii="Times New Roman" w:hAnsi="Times New Roman" w:cs="Times New Roman"/>
          <w:lang w:val="sr-Latn-ME"/>
        </w:rPr>
        <w:t xml:space="preserve">ednje doze. Ako se hirurški zahvat ne može odložiti, rizik od krvarenja se može povećati. Potrebno je </w:t>
      </w:r>
      <w:r w:rsidR="00C724E6" w:rsidRPr="00314858">
        <w:rPr>
          <w:rFonts w:ascii="Times New Roman" w:hAnsi="Times New Roman" w:cs="Times New Roman"/>
          <w:lang w:val="sr-Latn-ME"/>
        </w:rPr>
        <w:t>proc</w:t>
      </w:r>
      <w:r w:rsidR="005D3B0A" w:rsidRPr="00314858">
        <w:rPr>
          <w:rFonts w:ascii="Times New Roman" w:hAnsi="Times New Roman" w:cs="Times New Roman"/>
          <w:lang w:val="sr-Latn-ME"/>
        </w:rPr>
        <w:t>j</w:t>
      </w:r>
      <w:r w:rsidR="00C724E6" w:rsidRPr="00314858">
        <w:rPr>
          <w:rFonts w:ascii="Times New Roman" w:hAnsi="Times New Roman" w:cs="Times New Roman"/>
          <w:lang w:val="sr-Latn-ME"/>
        </w:rPr>
        <w:t>eniti</w:t>
      </w:r>
      <w:r w:rsidRPr="00314858">
        <w:rPr>
          <w:rFonts w:ascii="Times New Roman" w:hAnsi="Times New Roman" w:cs="Times New Roman"/>
          <w:lang w:val="sr-Latn-ME"/>
        </w:rPr>
        <w:t xml:space="preserve"> rizik od krvarenja u odnosu na hitnost intervencije.</w:t>
      </w:r>
    </w:p>
    <w:p w14:paraId="037D422D" w14:textId="77777777" w:rsidR="00403DC5" w:rsidRPr="00314858" w:rsidRDefault="00403DC5" w:rsidP="00D67D34">
      <w:pPr>
        <w:spacing w:after="0" w:line="240" w:lineRule="auto"/>
        <w:jc w:val="both"/>
        <w:rPr>
          <w:rFonts w:ascii="Times New Roman" w:hAnsi="Times New Roman" w:cs="Times New Roman"/>
          <w:i/>
          <w:lang w:val="sr-Latn-ME"/>
        </w:rPr>
      </w:pPr>
    </w:p>
    <w:p w14:paraId="14941B72" w14:textId="776061EE"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Elektivni hirurški zahvati</w:t>
      </w:r>
    </w:p>
    <w:p w14:paraId="4799E065" w14:textId="77777777" w:rsidR="00403DC5" w:rsidRPr="00314858" w:rsidRDefault="00403DC5" w:rsidP="00D67D34">
      <w:pPr>
        <w:spacing w:after="0" w:line="240" w:lineRule="auto"/>
        <w:jc w:val="both"/>
        <w:rPr>
          <w:rFonts w:ascii="Times New Roman" w:hAnsi="Times New Roman" w:cs="Times New Roman"/>
          <w:i/>
          <w:iCs/>
          <w:u w:val="single"/>
          <w:lang w:val="sr-Latn-ME"/>
        </w:rPr>
      </w:pPr>
    </w:p>
    <w:p w14:paraId="10EDA801" w14:textId="42BFDE4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Ako je moguće, prim</w:t>
      </w:r>
      <w:r w:rsidR="005D3B0A" w:rsidRPr="00314858">
        <w:rPr>
          <w:rFonts w:ascii="Times New Roman" w:hAnsi="Times New Roman" w:cs="Times New Roman"/>
          <w:lang w:val="sr-Latn-ME"/>
        </w:rPr>
        <w:t>j</w:t>
      </w:r>
      <w:r w:rsidRPr="00314858">
        <w:rPr>
          <w:rFonts w:ascii="Times New Roman" w:hAnsi="Times New Roman" w:cs="Times New Roman"/>
          <w:lang w:val="sr-Latn-ME"/>
        </w:rPr>
        <w:t xml:space="preserve">enu dabigatraneteksilata je potrebno prekinuti najmanje 24 </w:t>
      </w:r>
      <w:r w:rsidR="00646F3C" w:rsidRPr="00314858">
        <w:rPr>
          <w:rFonts w:ascii="Times New Roman" w:hAnsi="Times New Roman" w:cs="Times New Roman"/>
          <w:lang w:val="sr-Latn-ME"/>
        </w:rPr>
        <w:t>sat</w:t>
      </w:r>
      <w:r w:rsidRPr="00314858">
        <w:rPr>
          <w:rFonts w:ascii="Times New Roman" w:hAnsi="Times New Roman" w:cs="Times New Roman"/>
          <w:lang w:val="sr-Latn-ME"/>
        </w:rPr>
        <w:t>a pr</w:t>
      </w:r>
      <w:r w:rsidR="005D3B0A" w:rsidRPr="00314858">
        <w:rPr>
          <w:rFonts w:ascii="Times New Roman" w:hAnsi="Times New Roman" w:cs="Times New Roman"/>
          <w:lang w:val="sr-Latn-ME"/>
        </w:rPr>
        <w:t>ij</w:t>
      </w:r>
      <w:r w:rsidRPr="00314858">
        <w:rPr>
          <w:rFonts w:ascii="Times New Roman" w:hAnsi="Times New Roman" w:cs="Times New Roman"/>
          <w:lang w:val="sr-Latn-ME"/>
        </w:rPr>
        <w:t xml:space="preserve">e invazivnih ili hirurških postupaka. Kod pacijenata sa povećanim rizikom od krvarenja ili u slučaju velikog </w:t>
      </w:r>
      <w:r w:rsidRPr="00314858">
        <w:rPr>
          <w:rFonts w:ascii="Times New Roman" w:hAnsi="Times New Roman" w:cs="Times New Roman"/>
          <w:lang w:val="sr-Latn-ME"/>
        </w:rPr>
        <w:lastRenderedPageBreak/>
        <w:t>hirurškog zahvata u kome može biti potrebna potpuna hemostaza, razmotriti prekid prim</w:t>
      </w:r>
      <w:r w:rsidR="005D3B0A" w:rsidRPr="00314858">
        <w:rPr>
          <w:rFonts w:ascii="Times New Roman" w:hAnsi="Times New Roman" w:cs="Times New Roman"/>
          <w:lang w:val="sr-Latn-ME"/>
        </w:rPr>
        <w:t>j</w:t>
      </w:r>
      <w:r w:rsidRPr="00314858">
        <w:rPr>
          <w:rFonts w:ascii="Times New Roman" w:hAnsi="Times New Roman" w:cs="Times New Roman"/>
          <w:lang w:val="sr-Latn-ME"/>
        </w:rPr>
        <w:t>ene dabigatrineteksilata 2</w:t>
      </w:r>
      <w:r w:rsidR="00946B7A" w:rsidRPr="00314858">
        <w:rPr>
          <w:rFonts w:ascii="Times New Roman" w:hAnsi="Times New Roman" w:cs="Times New Roman"/>
          <w:lang w:val="sr-Latn-ME"/>
        </w:rPr>
        <w:t xml:space="preserve"> </w:t>
      </w:r>
      <w:r w:rsidRPr="00314858">
        <w:rPr>
          <w:rFonts w:ascii="Times New Roman" w:hAnsi="Times New Roman" w:cs="Times New Roman"/>
          <w:lang w:val="sr-Latn-ME"/>
        </w:rPr>
        <w:t>-</w:t>
      </w:r>
      <w:r w:rsidR="00946B7A" w:rsidRPr="00314858">
        <w:rPr>
          <w:rFonts w:ascii="Times New Roman" w:hAnsi="Times New Roman" w:cs="Times New Roman"/>
          <w:lang w:val="sr-Latn-ME"/>
        </w:rPr>
        <w:t xml:space="preserve"> </w:t>
      </w:r>
      <w:r w:rsidRPr="00314858">
        <w:rPr>
          <w:rFonts w:ascii="Times New Roman" w:hAnsi="Times New Roman" w:cs="Times New Roman"/>
          <w:lang w:val="sr-Latn-ME"/>
        </w:rPr>
        <w:t>4 dana pr</w:t>
      </w:r>
      <w:r w:rsidR="005D3B0A" w:rsidRPr="00314858">
        <w:rPr>
          <w:rFonts w:ascii="Times New Roman" w:hAnsi="Times New Roman" w:cs="Times New Roman"/>
          <w:lang w:val="sr-Latn-ME"/>
        </w:rPr>
        <w:t>ij</w:t>
      </w:r>
      <w:r w:rsidRPr="00314858">
        <w:rPr>
          <w:rFonts w:ascii="Times New Roman" w:hAnsi="Times New Roman" w:cs="Times New Roman"/>
          <w:lang w:val="sr-Latn-ME"/>
        </w:rPr>
        <w:t xml:space="preserve">e hirurškog zahvata. </w:t>
      </w:r>
    </w:p>
    <w:p w14:paraId="00933AB3" w14:textId="77777777" w:rsidR="00403DC5" w:rsidRPr="00314858" w:rsidRDefault="00403DC5" w:rsidP="00D67D34">
      <w:pPr>
        <w:spacing w:after="0" w:line="240" w:lineRule="auto"/>
        <w:jc w:val="both"/>
        <w:rPr>
          <w:rFonts w:ascii="Times New Roman" w:hAnsi="Times New Roman" w:cs="Times New Roman"/>
          <w:i/>
          <w:lang w:val="sr-Latn-ME"/>
        </w:rPr>
      </w:pPr>
    </w:p>
    <w:p w14:paraId="0852DBB3" w14:textId="4A1E654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w:t>
      </w:r>
      <w:r w:rsidR="00F75A58" w:rsidRPr="00314858">
        <w:rPr>
          <w:rFonts w:ascii="Times New Roman" w:hAnsi="Times New Roman" w:cs="Times New Roman"/>
          <w:lang w:val="sr-Latn-ME"/>
        </w:rPr>
        <w:t>t</w:t>
      </w:r>
      <w:r w:rsidRPr="00314858">
        <w:rPr>
          <w:rFonts w:ascii="Times New Roman" w:hAnsi="Times New Roman" w:cs="Times New Roman"/>
          <w:lang w:val="sr-Latn-ME"/>
        </w:rPr>
        <w:t>abeli 6 su sažeta pravila za prekid terapije pr</w:t>
      </w:r>
      <w:r w:rsidR="005D3B0A" w:rsidRPr="00314858">
        <w:rPr>
          <w:rFonts w:ascii="Times New Roman" w:hAnsi="Times New Roman" w:cs="Times New Roman"/>
          <w:lang w:val="sr-Latn-ME"/>
        </w:rPr>
        <w:t>ij</w:t>
      </w:r>
      <w:r w:rsidRPr="00314858">
        <w:rPr>
          <w:rFonts w:ascii="Times New Roman" w:hAnsi="Times New Roman" w:cs="Times New Roman"/>
          <w:lang w:val="sr-Latn-ME"/>
        </w:rPr>
        <w:t xml:space="preserve">e invazivnih ili hirurških </w:t>
      </w:r>
      <w:r w:rsidR="00403DC5" w:rsidRPr="00314858">
        <w:rPr>
          <w:rFonts w:ascii="Times New Roman" w:hAnsi="Times New Roman" w:cs="Times New Roman"/>
          <w:lang w:val="sr-Latn-ME"/>
        </w:rPr>
        <w:t xml:space="preserve">postupaka </w:t>
      </w:r>
      <w:r w:rsidR="00646F3C" w:rsidRPr="00314858">
        <w:rPr>
          <w:rFonts w:ascii="Times New Roman" w:hAnsi="Times New Roman" w:cs="Times New Roman"/>
          <w:lang w:val="sr-Latn-ME"/>
        </w:rPr>
        <w:t>kod</w:t>
      </w:r>
      <w:r w:rsidRPr="00314858">
        <w:rPr>
          <w:rFonts w:ascii="Times New Roman" w:hAnsi="Times New Roman" w:cs="Times New Roman"/>
          <w:lang w:val="sr-Latn-ME"/>
        </w:rPr>
        <w:t xml:space="preserve"> odrasl</w:t>
      </w:r>
      <w:r w:rsidR="00646F3C" w:rsidRPr="00314858">
        <w:rPr>
          <w:rFonts w:ascii="Times New Roman" w:hAnsi="Times New Roman" w:cs="Times New Roman"/>
          <w:lang w:val="sr-Latn-ME"/>
        </w:rPr>
        <w:t>ih</w:t>
      </w:r>
      <w:r w:rsidRPr="00314858">
        <w:rPr>
          <w:rFonts w:ascii="Times New Roman" w:hAnsi="Times New Roman" w:cs="Times New Roman"/>
          <w:lang w:val="sr-Latn-ME"/>
        </w:rPr>
        <w:t xml:space="preserve"> pacijen</w:t>
      </w:r>
      <w:r w:rsidR="00646F3C" w:rsidRPr="00314858">
        <w:rPr>
          <w:rFonts w:ascii="Times New Roman" w:hAnsi="Times New Roman" w:cs="Times New Roman"/>
          <w:lang w:val="sr-Latn-ME"/>
        </w:rPr>
        <w:t>ata</w:t>
      </w:r>
      <w:r w:rsidRPr="00314858">
        <w:rPr>
          <w:rFonts w:ascii="Times New Roman" w:hAnsi="Times New Roman" w:cs="Times New Roman"/>
          <w:lang w:val="sr-Latn-ME"/>
        </w:rPr>
        <w:t>.</w:t>
      </w:r>
    </w:p>
    <w:p w14:paraId="407CED8A" w14:textId="77777777" w:rsidR="00403DC5" w:rsidRPr="00314858" w:rsidRDefault="00403DC5" w:rsidP="00D67D34">
      <w:pPr>
        <w:spacing w:after="0" w:line="240" w:lineRule="auto"/>
        <w:jc w:val="both"/>
        <w:rPr>
          <w:rFonts w:ascii="Times New Roman" w:hAnsi="Times New Roman" w:cs="Times New Roman"/>
          <w:lang w:val="sr-Latn-ME"/>
        </w:rPr>
      </w:pPr>
    </w:p>
    <w:p w14:paraId="6F7EAEA5" w14:textId="4DB4D313"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6</w:t>
      </w:r>
      <w:r w:rsidR="00F75A58"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Pravila za prekid terapije pr</w:t>
      </w:r>
      <w:r w:rsidR="005D3B0A" w:rsidRPr="00314858">
        <w:rPr>
          <w:rFonts w:ascii="Times New Roman" w:hAnsi="Times New Roman" w:cs="Times New Roman"/>
          <w:b/>
          <w:bCs/>
          <w:lang w:val="sr-Latn-ME" w:bidi="en-US"/>
        </w:rPr>
        <w:t>ij</w:t>
      </w:r>
      <w:r w:rsidRPr="00314858">
        <w:rPr>
          <w:rFonts w:ascii="Times New Roman" w:hAnsi="Times New Roman" w:cs="Times New Roman"/>
          <w:b/>
          <w:bCs/>
          <w:lang w:val="sr-Latn-ME" w:bidi="en-US"/>
        </w:rPr>
        <w:t>e invazivnih ili hirurških postupaka kod odraslih pacijenata</w:t>
      </w:r>
    </w:p>
    <w:p w14:paraId="4948DBFD" w14:textId="77777777" w:rsidR="00F75A58" w:rsidRPr="00314858" w:rsidRDefault="00F75A58"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589"/>
        <w:gridCol w:w="1861"/>
        <w:gridCol w:w="2823"/>
        <w:gridCol w:w="2787"/>
      </w:tblGrid>
      <w:tr w:rsidR="00D67D34" w:rsidRPr="00314858" w14:paraId="0109F3D3" w14:textId="77777777" w:rsidTr="00737992">
        <w:trPr>
          <w:trHeight w:val="20"/>
          <w:jc w:val="center"/>
        </w:trPr>
        <w:tc>
          <w:tcPr>
            <w:tcW w:w="877" w:type="pct"/>
            <w:vMerge w:val="restart"/>
            <w:tcBorders>
              <w:top w:val="single" w:sz="4" w:space="0" w:color="auto"/>
              <w:left w:val="single" w:sz="4" w:space="0" w:color="auto"/>
            </w:tcBorders>
            <w:shd w:val="clear" w:color="auto" w:fill="auto"/>
            <w:vAlign w:val="center"/>
          </w:tcPr>
          <w:p w14:paraId="69FEEC3F" w14:textId="46328F5E" w:rsidR="00D67D34" w:rsidRPr="00314858" w:rsidRDefault="00F75A58" w:rsidP="00737992">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Funkcija bubrega</w:t>
            </w:r>
            <w:r w:rsidR="00D67D34" w:rsidRPr="00314858">
              <w:rPr>
                <w:rFonts w:ascii="Times New Roman" w:hAnsi="Times New Roman" w:cs="Times New Roman"/>
                <w:lang w:val="sr-Latn-ME" w:bidi="en-US"/>
              </w:rPr>
              <w:t xml:space="preserve"> (CrCL u m</w:t>
            </w:r>
            <w:r w:rsidR="00946B7A" w:rsidRPr="00314858">
              <w:rPr>
                <w:rFonts w:ascii="Times New Roman" w:hAnsi="Times New Roman" w:cs="Times New Roman"/>
                <w:lang w:val="sr-Latn-ME" w:bidi="en-US"/>
              </w:rPr>
              <w:t>l</w:t>
            </w:r>
            <w:r w:rsidR="00D67D34" w:rsidRPr="00314858">
              <w:rPr>
                <w:rFonts w:ascii="Times New Roman" w:hAnsi="Times New Roman" w:cs="Times New Roman"/>
                <w:lang w:val="sr-Latn-ME" w:bidi="en-US"/>
              </w:rPr>
              <w:t>/min)</w:t>
            </w:r>
          </w:p>
        </w:tc>
        <w:tc>
          <w:tcPr>
            <w:tcW w:w="1027" w:type="pct"/>
            <w:vMerge w:val="restart"/>
            <w:tcBorders>
              <w:top w:val="single" w:sz="4" w:space="0" w:color="auto"/>
              <w:left w:val="single" w:sz="4" w:space="0" w:color="auto"/>
            </w:tcBorders>
            <w:shd w:val="clear" w:color="auto" w:fill="auto"/>
            <w:vAlign w:val="center"/>
          </w:tcPr>
          <w:p w14:paraId="73BA13E9" w14:textId="59E5C55B" w:rsidR="00D67D34" w:rsidRPr="00314858" w:rsidRDefault="00D67D34" w:rsidP="00737992">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Proc</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enjeno poluvr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eme eliminacije (sati)</w:t>
            </w:r>
          </w:p>
        </w:tc>
        <w:tc>
          <w:tcPr>
            <w:tcW w:w="3096" w:type="pct"/>
            <w:gridSpan w:val="2"/>
            <w:tcBorders>
              <w:top w:val="single" w:sz="4" w:space="0" w:color="auto"/>
              <w:left w:val="single" w:sz="4" w:space="0" w:color="auto"/>
              <w:right w:val="single" w:sz="4" w:space="0" w:color="auto"/>
            </w:tcBorders>
            <w:shd w:val="clear" w:color="auto" w:fill="auto"/>
            <w:vAlign w:val="center"/>
          </w:tcPr>
          <w:p w14:paraId="449AC87B" w14:textId="1B6E22A3" w:rsidR="00D67D34" w:rsidRPr="00314858" w:rsidRDefault="00F75A58" w:rsidP="00737992">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Prim</w:t>
            </w:r>
            <w:r w:rsidR="005D3B0A" w:rsidRPr="00314858">
              <w:rPr>
                <w:rFonts w:ascii="Times New Roman" w:hAnsi="Times New Roman" w:cs="Times New Roman"/>
                <w:lang w:val="sr-Latn-ME" w:bidi="en-US"/>
              </w:rPr>
              <w:t>j</w:t>
            </w:r>
            <w:r w:rsidRPr="00314858">
              <w:rPr>
                <w:rFonts w:ascii="Times New Roman" w:hAnsi="Times New Roman" w:cs="Times New Roman"/>
                <w:lang w:val="sr-Latn-ME" w:bidi="en-US"/>
              </w:rPr>
              <w:t>enu dabigatraneteksilata</w:t>
            </w:r>
            <w:r w:rsidR="00D67D34" w:rsidRPr="00314858">
              <w:rPr>
                <w:rFonts w:ascii="Times New Roman" w:hAnsi="Times New Roman" w:cs="Times New Roman"/>
                <w:lang w:val="sr-Latn-ME" w:bidi="en-US"/>
              </w:rPr>
              <w:t xml:space="preserve"> treba prekinuti pr</w:t>
            </w:r>
            <w:r w:rsidR="005D3B0A"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 elektivnog hirurškog zahvata</w:t>
            </w:r>
          </w:p>
        </w:tc>
      </w:tr>
      <w:tr w:rsidR="00D67D34" w:rsidRPr="00314858" w14:paraId="577BBCFF" w14:textId="77777777" w:rsidTr="00737992">
        <w:trPr>
          <w:trHeight w:val="20"/>
          <w:jc w:val="center"/>
        </w:trPr>
        <w:tc>
          <w:tcPr>
            <w:tcW w:w="877" w:type="pct"/>
            <w:vMerge/>
            <w:tcBorders>
              <w:left w:val="single" w:sz="4" w:space="0" w:color="auto"/>
            </w:tcBorders>
            <w:shd w:val="clear" w:color="auto" w:fill="auto"/>
            <w:vAlign w:val="center"/>
          </w:tcPr>
          <w:p w14:paraId="75DB90A9" w14:textId="77777777" w:rsidR="00D67D34" w:rsidRPr="00314858" w:rsidRDefault="00D67D34" w:rsidP="00737992">
            <w:pPr>
              <w:spacing w:after="0" w:line="240" w:lineRule="auto"/>
              <w:jc w:val="center"/>
              <w:rPr>
                <w:rFonts w:ascii="Times New Roman" w:hAnsi="Times New Roman" w:cs="Times New Roman"/>
                <w:lang w:val="sr-Latn-ME" w:bidi="en-US"/>
              </w:rPr>
            </w:pPr>
          </w:p>
        </w:tc>
        <w:tc>
          <w:tcPr>
            <w:tcW w:w="1027" w:type="pct"/>
            <w:vMerge/>
            <w:tcBorders>
              <w:left w:val="single" w:sz="4" w:space="0" w:color="auto"/>
            </w:tcBorders>
            <w:shd w:val="clear" w:color="auto" w:fill="auto"/>
            <w:vAlign w:val="center"/>
          </w:tcPr>
          <w:p w14:paraId="03498747" w14:textId="77777777" w:rsidR="00D67D34" w:rsidRPr="00314858" w:rsidRDefault="00D67D34" w:rsidP="00737992">
            <w:pPr>
              <w:spacing w:after="0" w:line="240" w:lineRule="auto"/>
              <w:jc w:val="center"/>
              <w:rPr>
                <w:rFonts w:ascii="Times New Roman" w:hAnsi="Times New Roman" w:cs="Times New Roman"/>
                <w:lang w:val="sr-Latn-ME" w:bidi="en-US"/>
              </w:rPr>
            </w:pPr>
          </w:p>
        </w:tc>
        <w:tc>
          <w:tcPr>
            <w:tcW w:w="1558" w:type="pct"/>
            <w:tcBorders>
              <w:top w:val="single" w:sz="4" w:space="0" w:color="auto"/>
              <w:left w:val="single" w:sz="4" w:space="0" w:color="auto"/>
            </w:tcBorders>
            <w:shd w:val="clear" w:color="auto" w:fill="auto"/>
            <w:vAlign w:val="center"/>
          </w:tcPr>
          <w:p w14:paraId="36D772C1" w14:textId="77777777" w:rsidR="00D67D34" w:rsidRPr="00314858" w:rsidRDefault="00D67D34" w:rsidP="00A95A46">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Visok rizik od krvarenja ili veliki hirurški zahvat</w:t>
            </w:r>
          </w:p>
        </w:tc>
        <w:tc>
          <w:tcPr>
            <w:tcW w:w="1538" w:type="pct"/>
            <w:tcBorders>
              <w:top w:val="single" w:sz="4" w:space="0" w:color="auto"/>
              <w:left w:val="single" w:sz="4" w:space="0" w:color="auto"/>
              <w:right w:val="single" w:sz="4" w:space="0" w:color="auto"/>
            </w:tcBorders>
            <w:shd w:val="clear" w:color="auto" w:fill="auto"/>
            <w:vAlign w:val="center"/>
          </w:tcPr>
          <w:p w14:paraId="025A264B" w14:textId="77777777" w:rsidR="00D67D34" w:rsidRPr="00314858" w:rsidRDefault="00D67D34" w:rsidP="00A95A46">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Standardni rizik</w:t>
            </w:r>
          </w:p>
        </w:tc>
      </w:tr>
      <w:tr w:rsidR="00D67D34" w:rsidRPr="00314858" w14:paraId="490D8DAD" w14:textId="77777777" w:rsidTr="00403DC5">
        <w:trPr>
          <w:trHeight w:val="20"/>
          <w:jc w:val="center"/>
        </w:trPr>
        <w:tc>
          <w:tcPr>
            <w:tcW w:w="877" w:type="pct"/>
            <w:tcBorders>
              <w:top w:val="single" w:sz="4" w:space="0" w:color="auto"/>
              <w:left w:val="single" w:sz="4" w:space="0" w:color="auto"/>
            </w:tcBorders>
            <w:shd w:val="clear" w:color="auto" w:fill="auto"/>
            <w:vAlign w:val="bottom"/>
          </w:tcPr>
          <w:p w14:paraId="410E73DB"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≥80</w:t>
            </w:r>
          </w:p>
        </w:tc>
        <w:tc>
          <w:tcPr>
            <w:tcW w:w="1027" w:type="pct"/>
            <w:tcBorders>
              <w:top w:val="single" w:sz="4" w:space="0" w:color="auto"/>
              <w:left w:val="single" w:sz="4" w:space="0" w:color="auto"/>
            </w:tcBorders>
            <w:shd w:val="clear" w:color="auto" w:fill="auto"/>
            <w:vAlign w:val="bottom"/>
          </w:tcPr>
          <w:p w14:paraId="627F74A5"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 13</w:t>
            </w:r>
          </w:p>
        </w:tc>
        <w:tc>
          <w:tcPr>
            <w:tcW w:w="1558" w:type="pct"/>
            <w:tcBorders>
              <w:top w:val="single" w:sz="4" w:space="0" w:color="auto"/>
              <w:left w:val="single" w:sz="4" w:space="0" w:color="auto"/>
            </w:tcBorders>
            <w:shd w:val="clear" w:color="auto" w:fill="auto"/>
            <w:vAlign w:val="bottom"/>
          </w:tcPr>
          <w:p w14:paraId="4EAAC0D9" w14:textId="16DA2F13" w:rsidR="00D67D34" w:rsidRPr="00314858" w:rsidRDefault="00D67D34" w:rsidP="00737992">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2 dana pr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w:t>
            </w:r>
          </w:p>
        </w:tc>
        <w:tc>
          <w:tcPr>
            <w:tcW w:w="1538" w:type="pct"/>
            <w:tcBorders>
              <w:top w:val="single" w:sz="4" w:space="0" w:color="auto"/>
              <w:left w:val="single" w:sz="4" w:space="0" w:color="auto"/>
              <w:right w:val="single" w:sz="4" w:space="0" w:color="auto"/>
            </w:tcBorders>
            <w:shd w:val="clear" w:color="auto" w:fill="auto"/>
            <w:vAlign w:val="bottom"/>
          </w:tcPr>
          <w:p w14:paraId="07B515AF" w14:textId="4A7097D9" w:rsidR="00D67D34" w:rsidRPr="00314858" w:rsidRDefault="00D67D34" w:rsidP="00737992">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24 sata pr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w:t>
            </w:r>
          </w:p>
        </w:tc>
      </w:tr>
      <w:tr w:rsidR="00D67D34" w:rsidRPr="00314858" w14:paraId="6310B4A8" w14:textId="77777777" w:rsidTr="00403DC5">
        <w:trPr>
          <w:trHeight w:val="20"/>
          <w:jc w:val="center"/>
        </w:trPr>
        <w:tc>
          <w:tcPr>
            <w:tcW w:w="877" w:type="pct"/>
            <w:tcBorders>
              <w:top w:val="single" w:sz="4" w:space="0" w:color="auto"/>
              <w:left w:val="single" w:sz="4" w:space="0" w:color="auto"/>
            </w:tcBorders>
            <w:shd w:val="clear" w:color="auto" w:fill="auto"/>
            <w:vAlign w:val="bottom"/>
          </w:tcPr>
          <w:p w14:paraId="2800FB0B" w14:textId="5EA606FA"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≥50</w:t>
            </w:r>
            <w:r w:rsidR="00403DC5"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w:t>
            </w:r>
            <w:r w:rsidR="00403DC5"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&lt;80</w:t>
            </w:r>
          </w:p>
        </w:tc>
        <w:tc>
          <w:tcPr>
            <w:tcW w:w="1027" w:type="pct"/>
            <w:tcBorders>
              <w:top w:val="single" w:sz="4" w:space="0" w:color="auto"/>
              <w:left w:val="single" w:sz="4" w:space="0" w:color="auto"/>
            </w:tcBorders>
            <w:shd w:val="clear" w:color="auto" w:fill="auto"/>
            <w:vAlign w:val="bottom"/>
          </w:tcPr>
          <w:p w14:paraId="48AB9CA1"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 15</w:t>
            </w:r>
          </w:p>
        </w:tc>
        <w:tc>
          <w:tcPr>
            <w:tcW w:w="1558" w:type="pct"/>
            <w:tcBorders>
              <w:top w:val="single" w:sz="4" w:space="0" w:color="auto"/>
              <w:left w:val="single" w:sz="4" w:space="0" w:color="auto"/>
            </w:tcBorders>
            <w:shd w:val="clear" w:color="auto" w:fill="auto"/>
            <w:vAlign w:val="bottom"/>
          </w:tcPr>
          <w:p w14:paraId="7AA498D6" w14:textId="5623770E" w:rsidR="00D67D34" w:rsidRPr="00314858" w:rsidRDefault="00D67D34" w:rsidP="00737992">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2-3 dana pr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w:t>
            </w:r>
          </w:p>
        </w:tc>
        <w:tc>
          <w:tcPr>
            <w:tcW w:w="1538" w:type="pct"/>
            <w:tcBorders>
              <w:top w:val="single" w:sz="4" w:space="0" w:color="auto"/>
              <w:left w:val="single" w:sz="4" w:space="0" w:color="auto"/>
              <w:right w:val="single" w:sz="4" w:space="0" w:color="auto"/>
            </w:tcBorders>
            <w:shd w:val="clear" w:color="auto" w:fill="auto"/>
            <w:vAlign w:val="bottom"/>
          </w:tcPr>
          <w:p w14:paraId="17884D78" w14:textId="7027134A" w:rsidR="00D67D34" w:rsidRPr="00314858" w:rsidRDefault="00D67D34" w:rsidP="00737992">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1-2 dana pr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w:t>
            </w:r>
          </w:p>
        </w:tc>
      </w:tr>
      <w:tr w:rsidR="00D67D34" w:rsidRPr="00314858" w14:paraId="208CADF4" w14:textId="77777777" w:rsidTr="00403DC5">
        <w:trPr>
          <w:trHeight w:val="20"/>
          <w:jc w:val="center"/>
        </w:trPr>
        <w:tc>
          <w:tcPr>
            <w:tcW w:w="877" w:type="pct"/>
            <w:tcBorders>
              <w:top w:val="single" w:sz="4" w:space="0" w:color="auto"/>
              <w:left w:val="single" w:sz="4" w:space="0" w:color="auto"/>
              <w:bottom w:val="single" w:sz="4" w:space="0" w:color="auto"/>
            </w:tcBorders>
            <w:shd w:val="clear" w:color="auto" w:fill="auto"/>
            <w:vAlign w:val="bottom"/>
          </w:tcPr>
          <w:p w14:paraId="12EF767D" w14:textId="5409E90E"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≥30</w:t>
            </w:r>
            <w:r w:rsidR="00403DC5"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w:t>
            </w:r>
            <w:r w:rsidR="00403DC5"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&lt;50</w:t>
            </w:r>
          </w:p>
        </w:tc>
        <w:tc>
          <w:tcPr>
            <w:tcW w:w="1027" w:type="pct"/>
            <w:tcBorders>
              <w:top w:val="single" w:sz="4" w:space="0" w:color="auto"/>
              <w:left w:val="single" w:sz="4" w:space="0" w:color="auto"/>
              <w:bottom w:val="single" w:sz="4" w:space="0" w:color="auto"/>
            </w:tcBorders>
            <w:shd w:val="clear" w:color="auto" w:fill="auto"/>
            <w:vAlign w:val="bottom"/>
          </w:tcPr>
          <w:p w14:paraId="07A14AA4"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 18</w:t>
            </w:r>
          </w:p>
        </w:tc>
        <w:tc>
          <w:tcPr>
            <w:tcW w:w="1558" w:type="pct"/>
            <w:tcBorders>
              <w:top w:val="single" w:sz="4" w:space="0" w:color="auto"/>
              <w:left w:val="single" w:sz="4" w:space="0" w:color="auto"/>
              <w:bottom w:val="single" w:sz="4" w:space="0" w:color="auto"/>
            </w:tcBorders>
            <w:shd w:val="clear" w:color="auto" w:fill="auto"/>
            <w:vAlign w:val="bottom"/>
          </w:tcPr>
          <w:p w14:paraId="51B93604" w14:textId="42EFBB3E" w:rsidR="00D67D34" w:rsidRPr="00314858" w:rsidRDefault="00D67D34" w:rsidP="00737992">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4 dana pr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bottom"/>
          </w:tcPr>
          <w:p w14:paraId="495A1962" w14:textId="170710BF" w:rsidR="00D67D34" w:rsidRPr="00314858" w:rsidRDefault="00D67D34" w:rsidP="00737992">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2-3 dana pr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 (&gt;48 sati)</w:t>
            </w:r>
          </w:p>
        </w:tc>
      </w:tr>
    </w:tbl>
    <w:p w14:paraId="4FFA2BF4" w14:textId="77777777" w:rsidR="00D67D34" w:rsidRPr="00314858" w:rsidRDefault="00D67D34" w:rsidP="00D67D34">
      <w:pPr>
        <w:spacing w:after="0" w:line="240" w:lineRule="auto"/>
        <w:jc w:val="both"/>
        <w:rPr>
          <w:rFonts w:ascii="Times New Roman" w:hAnsi="Times New Roman" w:cs="Times New Roman"/>
          <w:lang w:val="sr-Latn-ME" w:bidi="en-US"/>
        </w:rPr>
      </w:pPr>
    </w:p>
    <w:p w14:paraId="4B74FFF7" w14:textId="18703B4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Pravila za prekid terapije pr</w:t>
      </w:r>
      <w:r w:rsidR="005D3B0A" w:rsidRPr="00314858">
        <w:rPr>
          <w:rFonts w:ascii="Times New Roman" w:hAnsi="Times New Roman" w:cs="Times New Roman"/>
          <w:lang w:val="sr-Latn-ME"/>
        </w:rPr>
        <w:t>ij</w:t>
      </w:r>
      <w:r w:rsidRPr="00314858">
        <w:rPr>
          <w:rFonts w:ascii="Times New Roman" w:hAnsi="Times New Roman" w:cs="Times New Roman"/>
          <w:lang w:val="sr-Latn-ME"/>
        </w:rPr>
        <w:t xml:space="preserve">e invazivnih ili hirurških postupaka </w:t>
      </w:r>
      <w:r w:rsidR="00646F3C" w:rsidRPr="00314858">
        <w:rPr>
          <w:rFonts w:ascii="Times New Roman" w:hAnsi="Times New Roman" w:cs="Times New Roman"/>
          <w:lang w:val="sr-Latn-ME"/>
        </w:rPr>
        <w:t>kod</w:t>
      </w:r>
      <w:r w:rsidRPr="00314858">
        <w:rPr>
          <w:rFonts w:ascii="Times New Roman" w:hAnsi="Times New Roman" w:cs="Times New Roman"/>
          <w:lang w:val="sr-Latn-ME"/>
        </w:rPr>
        <w:t xml:space="preserve"> pedijatrijsk</w:t>
      </w:r>
      <w:r w:rsidR="00646F3C" w:rsidRPr="00314858">
        <w:rPr>
          <w:rFonts w:ascii="Times New Roman" w:hAnsi="Times New Roman" w:cs="Times New Roman"/>
          <w:lang w:val="sr-Latn-ME"/>
        </w:rPr>
        <w:t>ih</w:t>
      </w:r>
      <w:r w:rsidRPr="00314858">
        <w:rPr>
          <w:rFonts w:ascii="Times New Roman" w:hAnsi="Times New Roman" w:cs="Times New Roman"/>
          <w:lang w:val="sr-Latn-ME"/>
        </w:rPr>
        <w:t xml:space="preserve"> pacijen</w:t>
      </w:r>
      <w:r w:rsidR="00646F3C" w:rsidRPr="00314858">
        <w:rPr>
          <w:rFonts w:ascii="Times New Roman" w:hAnsi="Times New Roman" w:cs="Times New Roman"/>
          <w:lang w:val="sr-Latn-ME"/>
        </w:rPr>
        <w:t>ata</w:t>
      </w:r>
      <w:r w:rsidRPr="00314858">
        <w:rPr>
          <w:rFonts w:ascii="Times New Roman" w:hAnsi="Times New Roman" w:cs="Times New Roman"/>
          <w:lang w:val="sr-Latn-ME"/>
        </w:rPr>
        <w:t xml:space="preserve"> sažeta su u </w:t>
      </w:r>
      <w:r w:rsidR="00F75A58" w:rsidRPr="00314858">
        <w:rPr>
          <w:rFonts w:ascii="Times New Roman" w:hAnsi="Times New Roman" w:cs="Times New Roman"/>
          <w:lang w:val="sr-Latn-ME"/>
        </w:rPr>
        <w:t>t</w:t>
      </w:r>
      <w:r w:rsidRPr="00314858">
        <w:rPr>
          <w:rFonts w:ascii="Times New Roman" w:hAnsi="Times New Roman" w:cs="Times New Roman"/>
          <w:lang w:val="sr-Latn-ME"/>
        </w:rPr>
        <w:t>abeli 7.</w:t>
      </w:r>
    </w:p>
    <w:p w14:paraId="36C3A959" w14:textId="77777777" w:rsidR="00403DC5" w:rsidRPr="00314858" w:rsidRDefault="00403DC5" w:rsidP="00BA378B">
      <w:pPr>
        <w:spacing w:after="0" w:line="240" w:lineRule="auto"/>
        <w:jc w:val="center"/>
        <w:rPr>
          <w:rFonts w:ascii="Times New Roman" w:hAnsi="Times New Roman" w:cs="Times New Roman"/>
          <w:lang w:val="sr-Latn-ME"/>
        </w:rPr>
      </w:pPr>
    </w:p>
    <w:p w14:paraId="418F4556" w14:textId="206A7E21"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7</w:t>
      </w:r>
      <w:r w:rsidR="00B83853"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Pravila za prekid terapije pr</w:t>
      </w:r>
      <w:r w:rsidR="005D3B0A" w:rsidRPr="00314858">
        <w:rPr>
          <w:rFonts w:ascii="Times New Roman" w:hAnsi="Times New Roman" w:cs="Times New Roman"/>
          <w:b/>
          <w:bCs/>
          <w:lang w:val="sr-Latn-ME" w:bidi="en-US"/>
        </w:rPr>
        <w:t>ij</w:t>
      </w:r>
      <w:r w:rsidRPr="00314858">
        <w:rPr>
          <w:rFonts w:ascii="Times New Roman" w:hAnsi="Times New Roman" w:cs="Times New Roman"/>
          <w:b/>
          <w:bCs/>
          <w:lang w:val="sr-Latn-ME" w:bidi="en-US"/>
        </w:rPr>
        <w:t>e invazivnih ili hirurških postupaka kod pedijatrijskih pacijenata</w:t>
      </w:r>
    </w:p>
    <w:p w14:paraId="38A190A3" w14:textId="77777777" w:rsidR="00A96EC8" w:rsidRPr="00314858" w:rsidRDefault="00A96EC8"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3419"/>
        <w:gridCol w:w="5641"/>
      </w:tblGrid>
      <w:tr w:rsidR="00D67D34" w:rsidRPr="00314858" w14:paraId="039091B8" w14:textId="77777777" w:rsidTr="00403DC5">
        <w:trPr>
          <w:trHeight w:val="20"/>
          <w:jc w:val="center"/>
        </w:trPr>
        <w:tc>
          <w:tcPr>
            <w:tcW w:w="1887" w:type="pct"/>
            <w:tcBorders>
              <w:top w:val="single" w:sz="4" w:space="0" w:color="auto"/>
              <w:left w:val="single" w:sz="4" w:space="0" w:color="auto"/>
            </w:tcBorders>
            <w:shd w:val="clear" w:color="auto" w:fill="auto"/>
            <w:vAlign w:val="bottom"/>
          </w:tcPr>
          <w:p w14:paraId="3063B941" w14:textId="1CB2DD38" w:rsidR="00D67D34" w:rsidRPr="00314858" w:rsidRDefault="00A96EC8" w:rsidP="005D3B0A">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Funkcija bubrega</w:t>
            </w:r>
            <w:r w:rsidR="00D67D34" w:rsidRPr="00314858">
              <w:rPr>
                <w:rFonts w:ascii="Times New Roman" w:hAnsi="Times New Roman" w:cs="Times New Roman"/>
                <w:lang w:val="sr-Latn-ME" w:bidi="en-US"/>
              </w:rPr>
              <w:t xml:space="preserve"> (eGFR u m</w:t>
            </w:r>
            <w:r w:rsidR="00946B7A" w:rsidRPr="00314858">
              <w:rPr>
                <w:rFonts w:ascii="Times New Roman" w:hAnsi="Times New Roman" w:cs="Times New Roman"/>
                <w:lang w:val="sr-Latn-ME" w:bidi="en-US"/>
              </w:rPr>
              <w:t>l</w:t>
            </w:r>
            <w:r w:rsidR="00D67D34" w:rsidRPr="00314858">
              <w:rPr>
                <w:rFonts w:ascii="Times New Roman" w:hAnsi="Times New Roman" w:cs="Times New Roman"/>
                <w:lang w:val="sr-Latn-ME" w:bidi="en-US"/>
              </w:rPr>
              <w:t>/min/1</w:t>
            </w:r>
            <w:r w:rsidR="00403DC5" w:rsidRPr="00314858">
              <w:rPr>
                <w:rFonts w:ascii="Times New Roman" w:hAnsi="Times New Roman" w:cs="Times New Roman"/>
                <w:lang w:val="sr-Latn-ME" w:bidi="en-US"/>
              </w:rPr>
              <w:t>,</w:t>
            </w:r>
            <w:r w:rsidR="00D67D34" w:rsidRPr="00314858">
              <w:rPr>
                <w:rFonts w:ascii="Times New Roman" w:hAnsi="Times New Roman" w:cs="Times New Roman"/>
                <w:lang w:val="sr-Latn-ME" w:bidi="en-US"/>
              </w:rPr>
              <w:t>73</w:t>
            </w:r>
            <w:r w:rsidRPr="00314858">
              <w:rPr>
                <w:rFonts w:ascii="Times New Roman" w:hAnsi="Times New Roman" w:cs="Times New Roman"/>
                <w:lang w:val="sr-Latn-ME" w:bidi="en-US"/>
              </w:rPr>
              <w:t xml:space="preserve"> </w:t>
            </w:r>
            <w:r w:rsidR="00D67D34" w:rsidRPr="00314858">
              <w:rPr>
                <w:rFonts w:ascii="Times New Roman" w:hAnsi="Times New Roman" w:cs="Times New Roman"/>
                <w:lang w:val="sr-Latn-ME" w:bidi="en-US"/>
              </w:rPr>
              <w:t>m</w:t>
            </w:r>
            <w:r w:rsidR="00D67D34" w:rsidRPr="00314858">
              <w:rPr>
                <w:rFonts w:ascii="Times New Roman" w:hAnsi="Times New Roman" w:cs="Times New Roman"/>
                <w:vertAlign w:val="superscript"/>
                <w:lang w:val="sr-Latn-ME" w:bidi="en-US"/>
              </w:rPr>
              <w:t>2</w:t>
            </w:r>
            <w:r w:rsidR="00D67D34" w:rsidRPr="00314858">
              <w:rPr>
                <w:rFonts w:ascii="Times New Roman" w:hAnsi="Times New Roman" w:cs="Times New Roman"/>
                <w:lang w:val="sr-Latn-ME" w:bidi="en-US"/>
              </w:rPr>
              <w:t>)</w:t>
            </w:r>
          </w:p>
        </w:tc>
        <w:tc>
          <w:tcPr>
            <w:tcW w:w="3113" w:type="pct"/>
            <w:tcBorders>
              <w:top w:val="single" w:sz="4" w:space="0" w:color="auto"/>
              <w:left w:val="single" w:sz="4" w:space="0" w:color="auto"/>
              <w:right w:val="single" w:sz="4" w:space="0" w:color="auto"/>
            </w:tcBorders>
            <w:shd w:val="clear" w:color="auto" w:fill="auto"/>
          </w:tcPr>
          <w:p w14:paraId="7CC6B140" w14:textId="016C3234" w:rsidR="00D67D34" w:rsidRPr="00314858" w:rsidRDefault="00D67D34" w:rsidP="00737992">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Prekinuti prim</w:t>
            </w:r>
            <w:r w:rsidR="005D3B0A" w:rsidRPr="00314858">
              <w:rPr>
                <w:rFonts w:ascii="Times New Roman" w:hAnsi="Times New Roman" w:cs="Times New Roman"/>
                <w:lang w:val="sr-Latn-ME" w:bidi="en-US"/>
              </w:rPr>
              <w:t>j</w:t>
            </w:r>
            <w:r w:rsidRPr="00314858">
              <w:rPr>
                <w:rFonts w:ascii="Times New Roman" w:hAnsi="Times New Roman" w:cs="Times New Roman"/>
                <w:lang w:val="sr-Latn-ME" w:bidi="en-US"/>
              </w:rPr>
              <w:t>enu dabigatrana pr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 elektivnog hirurškog</w:t>
            </w:r>
          </w:p>
          <w:p w14:paraId="6D8ADEC1" w14:textId="77777777" w:rsidR="00D67D34" w:rsidRPr="00314858" w:rsidRDefault="00D67D34" w:rsidP="00737992">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zahvata</w:t>
            </w:r>
          </w:p>
        </w:tc>
      </w:tr>
      <w:tr w:rsidR="00D67D34" w:rsidRPr="00314858" w14:paraId="12F64774" w14:textId="77777777" w:rsidTr="00403DC5">
        <w:trPr>
          <w:trHeight w:val="20"/>
          <w:jc w:val="center"/>
        </w:trPr>
        <w:tc>
          <w:tcPr>
            <w:tcW w:w="1887" w:type="pct"/>
            <w:tcBorders>
              <w:top w:val="single" w:sz="4" w:space="0" w:color="auto"/>
              <w:left w:val="single" w:sz="4" w:space="0" w:color="auto"/>
            </w:tcBorders>
            <w:shd w:val="clear" w:color="auto" w:fill="auto"/>
            <w:vAlign w:val="bottom"/>
          </w:tcPr>
          <w:p w14:paraId="5C330035"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&gt;80</w:t>
            </w:r>
          </w:p>
        </w:tc>
        <w:tc>
          <w:tcPr>
            <w:tcW w:w="3113" w:type="pct"/>
            <w:tcBorders>
              <w:top w:val="single" w:sz="4" w:space="0" w:color="auto"/>
              <w:left w:val="single" w:sz="4" w:space="0" w:color="auto"/>
              <w:right w:val="single" w:sz="4" w:space="0" w:color="auto"/>
            </w:tcBorders>
            <w:shd w:val="clear" w:color="auto" w:fill="auto"/>
            <w:vAlign w:val="bottom"/>
          </w:tcPr>
          <w:p w14:paraId="2B9BCC38" w14:textId="476EC338" w:rsidR="00D67D34" w:rsidRPr="00314858" w:rsidRDefault="00D67D34" w:rsidP="00A95A46">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24 sata pr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w:t>
            </w:r>
          </w:p>
        </w:tc>
      </w:tr>
      <w:tr w:rsidR="00D67D34" w:rsidRPr="00314858" w14:paraId="7BA863D3" w14:textId="77777777" w:rsidTr="00403DC5">
        <w:trPr>
          <w:trHeight w:val="20"/>
          <w:jc w:val="center"/>
        </w:trPr>
        <w:tc>
          <w:tcPr>
            <w:tcW w:w="1887" w:type="pct"/>
            <w:tcBorders>
              <w:top w:val="single" w:sz="4" w:space="0" w:color="auto"/>
              <w:left w:val="single" w:sz="4" w:space="0" w:color="auto"/>
            </w:tcBorders>
            <w:shd w:val="clear" w:color="auto" w:fill="auto"/>
            <w:vAlign w:val="bottom"/>
          </w:tcPr>
          <w:p w14:paraId="0D1FEF15" w14:textId="23C0BB7D"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50</w:t>
            </w:r>
            <w:r w:rsidR="00946B7A"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w:t>
            </w:r>
            <w:r w:rsidR="00946B7A"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80</w:t>
            </w:r>
          </w:p>
        </w:tc>
        <w:tc>
          <w:tcPr>
            <w:tcW w:w="3113" w:type="pct"/>
            <w:tcBorders>
              <w:top w:val="single" w:sz="4" w:space="0" w:color="auto"/>
              <w:left w:val="single" w:sz="4" w:space="0" w:color="auto"/>
              <w:right w:val="single" w:sz="4" w:space="0" w:color="auto"/>
            </w:tcBorders>
            <w:shd w:val="clear" w:color="auto" w:fill="auto"/>
            <w:vAlign w:val="bottom"/>
          </w:tcPr>
          <w:p w14:paraId="1D23A61D" w14:textId="743C3334" w:rsidR="00D67D34" w:rsidRPr="00314858" w:rsidRDefault="00D67D34" w:rsidP="00A95A46">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2 dana pr</w:t>
            </w:r>
            <w:r w:rsidR="005D3B0A" w:rsidRPr="00314858">
              <w:rPr>
                <w:rFonts w:ascii="Times New Roman" w:hAnsi="Times New Roman" w:cs="Times New Roman"/>
                <w:lang w:val="sr-Latn-ME" w:bidi="en-US"/>
              </w:rPr>
              <w:t>ij</w:t>
            </w:r>
            <w:r w:rsidRPr="00314858">
              <w:rPr>
                <w:rFonts w:ascii="Times New Roman" w:hAnsi="Times New Roman" w:cs="Times New Roman"/>
                <w:lang w:val="sr-Latn-ME" w:bidi="en-US"/>
              </w:rPr>
              <w:t>e</w:t>
            </w:r>
          </w:p>
        </w:tc>
      </w:tr>
      <w:tr w:rsidR="00D67D34" w:rsidRPr="00314858" w14:paraId="4B524017" w14:textId="77777777" w:rsidTr="00403DC5">
        <w:trPr>
          <w:trHeight w:val="20"/>
          <w:jc w:val="center"/>
        </w:trPr>
        <w:tc>
          <w:tcPr>
            <w:tcW w:w="1887" w:type="pct"/>
            <w:tcBorders>
              <w:top w:val="single" w:sz="4" w:space="0" w:color="auto"/>
              <w:left w:val="single" w:sz="4" w:space="0" w:color="auto"/>
              <w:bottom w:val="single" w:sz="4" w:space="0" w:color="auto"/>
            </w:tcBorders>
            <w:shd w:val="clear" w:color="auto" w:fill="auto"/>
            <w:vAlign w:val="bottom"/>
          </w:tcPr>
          <w:p w14:paraId="060A85D3"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&lt;50</w:t>
            </w:r>
          </w:p>
        </w:tc>
        <w:tc>
          <w:tcPr>
            <w:tcW w:w="3113" w:type="pct"/>
            <w:tcBorders>
              <w:top w:val="single" w:sz="4" w:space="0" w:color="auto"/>
              <w:left w:val="single" w:sz="4" w:space="0" w:color="auto"/>
              <w:bottom w:val="single" w:sz="4" w:space="0" w:color="auto"/>
              <w:right w:val="single" w:sz="4" w:space="0" w:color="auto"/>
            </w:tcBorders>
            <w:shd w:val="clear" w:color="auto" w:fill="auto"/>
            <w:vAlign w:val="bottom"/>
          </w:tcPr>
          <w:p w14:paraId="5CBC9FFB" w14:textId="3AC4A667" w:rsidR="00D67D34" w:rsidRPr="00314858" w:rsidRDefault="00646F3C" w:rsidP="00A95A46">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 xml:space="preserve">Ovi </w:t>
            </w:r>
            <w:r w:rsidR="00D67D34" w:rsidRPr="00314858">
              <w:rPr>
                <w:rFonts w:ascii="Times New Roman" w:hAnsi="Times New Roman" w:cs="Times New Roman"/>
                <w:lang w:val="sr-Latn-ME" w:bidi="en-US"/>
              </w:rPr>
              <w:t>pacijenti ni</w:t>
            </w:r>
            <w:r w:rsidR="00804782" w:rsidRPr="00314858">
              <w:rPr>
                <w:rFonts w:ascii="Times New Roman" w:hAnsi="Times New Roman" w:cs="Times New Roman"/>
                <w:lang w:val="sr-Latn-ME" w:bidi="en-US"/>
              </w:rPr>
              <w:t>je</w:t>
            </w:r>
            <w:r w:rsidR="00D67D34" w:rsidRPr="00314858">
              <w:rPr>
                <w:rFonts w:ascii="Times New Roman" w:hAnsi="Times New Roman" w:cs="Times New Roman"/>
                <w:lang w:val="sr-Latn-ME" w:bidi="en-US"/>
              </w:rPr>
              <w:t>su bili ispit</w:t>
            </w:r>
            <w:r w:rsidRPr="00314858">
              <w:rPr>
                <w:rFonts w:ascii="Times New Roman" w:hAnsi="Times New Roman" w:cs="Times New Roman"/>
                <w:lang w:val="sr-Latn-ME" w:bidi="en-US"/>
              </w:rPr>
              <w:t>iv</w:t>
            </w:r>
            <w:r w:rsidR="00D67D34" w:rsidRPr="00314858">
              <w:rPr>
                <w:rFonts w:ascii="Times New Roman" w:hAnsi="Times New Roman" w:cs="Times New Roman"/>
                <w:lang w:val="sr-Latn-ME" w:bidi="en-US"/>
              </w:rPr>
              <w:t>ani (vid</w:t>
            </w:r>
            <w:r w:rsidR="005D3B0A" w:rsidRPr="00314858">
              <w:rPr>
                <w:rFonts w:ascii="Times New Roman" w:hAnsi="Times New Roman" w:cs="Times New Roman"/>
                <w:lang w:val="sr-Latn-ME" w:bidi="en-US"/>
              </w:rPr>
              <w:t>j</w:t>
            </w:r>
            <w:r w:rsidR="00D67D34" w:rsidRPr="00314858">
              <w:rPr>
                <w:rFonts w:ascii="Times New Roman" w:hAnsi="Times New Roman" w:cs="Times New Roman"/>
                <w:lang w:val="sr-Latn-ME" w:bidi="en-US"/>
              </w:rPr>
              <w:t xml:space="preserve">eti </w:t>
            </w:r>
            <w:r w:rsidR="005D3B0A" w:rsidRPr="00314858">
              <w:rPr>
                <w:rFonts w:ascii="Times New Roman" w:hAnsi="Times New Roman" w:cs="Times New Roman"/>
                <w:lang w:val="sr-Latn-ME" w:bidi="en-US"/>
              </w:rPr>
              <w:t>dio</w:t>
            </w:r>
            <w:r w:rsidR="00D67D34" w:rsidRPr="00314858">
              <w:rPr>
                <w:rFonts w:ascii="Times New Roman" w:hAnsi="Times New Roman" w:cs="Times New Roman"/>
                <w:lang w:val="sr-Latn-ME" w:bidi="en-US"/>
              </w:rPr>
              <w:t xml:space="preserve"> 4.3).</w:t>
            </w:r>
          </w:p>
        </w:tc>
      </w:tr>
    </w:tbl>
    <w:p w14:paraId="2D719F61" w14:textId="77777777" w:rsidR="00D67D34" w:rsidRPr="00314858" w:rsidRDefault="00D67D34" w:rsidP="00D67D34">
      <w:pPr>
        <w:spacing w:after="0" w:line="240" w:lineRule="auto"/>
        <w:jc w:val="both"/>
        <w:rPr>
          <w:rFonts w:ascii="Times New Roman" w:hAnsi="Times New Roman" w:cs="Times New Roman"/>
          <w:lang w:val="sr-Latn-ME" w:bidi="en-US"/>
        </w:rPr>
      </w:pPr>
    </w:p>
    <w:p w14:paraId="7AFC0ABA" w14:textId="6131AA49"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Spinalna anestezija/epiduralna anestezija/lumbalna punkcija</w:t>
      </w:r>
    </w:p>
    <w:p w14:paraId="495E9A86" w14:textId="77777777" w:rsidR="00403DC5" w:rsidRPr="00314858" w:rsidRDefault="00403DC5" w:rsidP="00D67D34">
      <w:pPr>
        <w:spacing w:after="0" w:line="240" w:lineRule="auto"/>
        <w:jc w:val="both"/>
        <w:rPr>
          <w:rFonts w:ascii="Times New Roman" w:hAnsi="Times New Roman" w:cs="Times New Roman"/>
          <w:i/>
          <w:u w:val="single"/>
          <w:lang w:val="sr-Latn-ME"/>
        </w:rPr>
      </w:pPr>
    </w:p>
    <w:p w14:paraId="32346E25" w14:textId="756D272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Postupci kao što je spinalna anestezija mogu da zaht</w:t>
      </w:r>
      <w:r w:rsidR="005D3B0A" w:rsidRPr="00314858">
        <w:rPr>
          <w:rFonts w:ascii="Times New Roman" w:hAnsi="Times New Roman" w:cs="Times New Roman"/>
          <w:lang w:val="sr-Latn-ME"/>
        </w:rPr>
        <w:t>ij</w:t>
      </w:r>
      <w:r w:rsidRPr="00314858">
        <w:rPr>
          <w:rFonts w:ascii="Times New Roman" w:hAnsi="Times New Roman" w:cs="Times New Roman"/>
          <w:lang w:val="sr-Latn-ME"/>
        </w:rPr>
        <w:t xml:space="preserve">evaju </w:t>
      </w:r>
      <w:r w:rsidR="008418D4" w:rsidRPr="00314858">
        <w:rPr>
          <w:rFonts w:ascii="Times New Roman" w:hAnsi="Times New Roman" w:cs="Times New Roman"/>
          <w:lang w:val="sr-Latn-ME"/>
        </w:rPr>
        <w:t>potpuno</w:t>
      </w:r>
      <w:r w:rsidRPr="00314858">
        <w:rPr>
          <w:rFonts w:ascii="Times New Roman" w:hAnsi="Times New Roman" w:cs="Times New Roman"/>
          <w:lang w:val="sr-Latn-ME"/>
        </w:rPr>
        <w:t xml:space="preserve"> uspostavljanje hemostatske funkcije.</w:t>
      </w:r>
    </w:p>
    <w:p w14:paraId="0A5D9F3D" w14:textId="77777777" w:rsidR="0009272D" w:rsidRPr="00314858" w:rsidRDefault="0009272D" w:rsidP="00D67D34">
      <w:pPr>
        <w:spacing w:after="0" w:line="240" w:lineRule="auto"/>
        <w:jc w:val="both"/>
        <w:rPr>
          <w:rFonts w:ascii="Times New Roman" w:hAnsi="Times New Roman" w:cs="Times New Roman"/>
          <w:lang w:val="sr-Latn-ME"/>
        </w:rPr>
      </w:pPr>
    </w:p>
    <w:p w14:paraId="20723C90" w14:textId="7540D47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Rizik od spinalnog ili epiduralnog hematoma može da bude povećan u slučajevima traumatske ili ponavljane punkcije i produžene upotrebe epiduralnih katetera. Pos</w:t>
      </w:r>
      <w:r w:rsidR="005D3B0A" w:rsidRPr="00314858">
        <w:rPr>
          <w:rFonts w:ascii="Times New Roman" w:hAnsi="Times New Roman" w:cs="Times New Roman"/>
          <w:lang w:val="sr-Latn-ME"/>
        </w:rPr>
        <w:t>lije</w:t>
      </w:r>
      <w:r w:rsidRPr="00314858">
        <w:rPr>
          <w:rFonts w:ascii="Times New Roman" w:hAnsi="Times New Roman" w:cs="Times New Roman"/>
          <w:lang w:val="sr-Latn-ME"/>
        </w:rPr>
        <w:t xml:space="preserve"> uklanjanja katetera potrebno je da prođe interval od najmanje 2 sata pr</w:t>
      </w:r>
      <w:r w:rsidR="005D3B0A" w:rsidRPr="00314858">
        <w:rPr>
          <w:rFonts w:ascii="Times New Roman" w:hAnsi="Times New Roman" w:cs="Times New Roman"/>
          <w:lang w:val="sr-Latn-ME"/>
        </w:rPr>
        <w:t>ij</w:t>
      </w:r>
      <w:r w:rsidRPr="00314858">
        <w:rPr>
          <w:rFonts w:ascii="Times New Roman" w:hAnsi="Times New Roman" w:cs="Times New Roman"/>
          <w:lang w:val="sr-Latn-ME"/>
        </w:rPr>
        <w:t>e prim</w:t>
      </w:r>
      <w:r w:rsidR="005D3B0A" w:rsidRPr="00314858">
        <w:rPr>
          <w:rFonts w:ascii="Times New Roman" w:hAnsi="Times New Roman" w:cs="Times New Roman"/>
          <w:lang w:val="sr-Latn-ME"/>
        </w:rPr>
        <w:t>j</w:t>
      </w:r>
      <w:r w:rsidRPr="00314858">
        <w:rPr>
          <w:rFonts w:ascii="Times New Roman" w:hAnsi="Times New Roman" w:cs="Times New Roman"/>
          <w:lang w:val="sr-Latn-ME"/>
        </w:rPr>
        <w:t xml:space="preserve">ene prve doze dabigatraneteksilata. Ovi pacijenti iziskuju učestalu opservaciju </w:t>
      </w:r>
      <w:r w:rsidR="00646F3C" w:rsidRPr="00314858">
        <w:rPr>
          <w:rFonts w:ascii="Times New Roman" w:hAnsi="Times New Roman" w:cs="Times New Roman"/>
          <w:lang w:val="sr-Latn-ME"/>
        </w:rPr>
        <w:t>kako bi</w:t>
      </w:r>
      <w:r w:rsidRPr="00314858">
        <w:rPr>
          <w:rFonts w:ascii="Times New Roman" w:hAnsi="Times New Roman" w:cs="Times New Roman"/>
          <w:lang w:val="sr-Latn-ME"/>
        </w:rPr>
        <w:t xml:space="preserve"> se prepozna</w:t>
      </w:r>
      <w:r w:rsidR="00646F3C" w:rsidRPr="00314858">
        <w:rPr>
          <w:rFonts w:ascii="Times New Roman" w:hAnsi="Times New Roman" w:cs="Times New Roman"/>
          <w:lang w:val="sr-Latn-ME"/>
        </w:rPr>
        <w:t>li</w:t>
      </w:r>
      <w:r w:rsidRPr="00314858">
        <w:rPr>
          <w:rFonts w:ascii="Times New Roman" w:hAnsi="Times New Roman" w:cs="Times New Roman"/>
          <w:lang w:val="sr-Latn-ME"/>
        </w:rPr>
        <w:t xml:space="preserve"> neurološki znaci i simptomi spinalnog ili epiduralnog hematoma.</w:t>
      </w:r>
    </w:p>
    <w:p w14:paraId="6CE46E31" w14:textId="77777777" w:rsidR="0009272D" w:rsidRPr="00314858" w:rsidRDefault="0009272D" w:rsidP="00D67D34">
      <w:pPr>
        <w:spacing w:after="0" w:line="240" w:lineRule="auto"/>
        <w:jc w:val="both"/>
        <w:rPr>
          <w:rFonts w:ascii="Times New Roman" w:hAnsi="Times New Roman" w:cs="Times New Roman"/>
          <w:lang w:val="sr-Latn-ME"/>
        </w:rPr>
      </w:pPr>
    </w:p>
    <w:p w14:paraId="598A1FDA" w14:textId="12644683"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Postoperativna faza</w:t>
      </w:r>
    </w:p>
    <w:p w14:paraId="2BF1DB0B" w14:textId="77777777" w:rsidR="0009272D" w:rsidRPr="00314858" w:rsidRDefault="0009272D" w:rsidP="00D67D34">
      <w:pPr>
        <w:spacing w:after="0" w:line="240" w:lineRule="auto"/>
        <w:jc w:val="both"/>
        <w:rPr>
          <w:rFonts w:ascii="Times New Roman" w:hAnsi="Times New Roman" w:cs="Times New Roman"/>
          <w:i/>
          <w:u w:val="single"/>
          <w:lang w:val="sr-Latn-ME"/>
        </w:rPr>
      </w:pPr>
    </w:p>
    <w:p w14:paraId="22F4C93C" w14:textId="30A4241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Terapija dabigatraneteksilatom treba da se nastavi/započne posl</w:t>
      </w:r>
      <w:r w:rsidR="005D3B0A" w:rsidRPr="00314858">
        <w:rPr>
          <w:rFonts w:ascii="Times New Roman" w:hAnsi="Times New Roman" w:cs="Times New Roman"/>
          <w:lang w:val="sr-Latn-ME"/>
        </w:rPr>
        <w:t>ij</w:t>
      </w:r>
      <w:r w:rsidRPr="00314858">
        <w:rPr>
          <w:rFonts w:ascii="Times New Roman" w:hAnsi="Times New Roman" w:cs="Times New Roman"/>
          <w:lang w:val="sr-Latn-ME"/>
        </w:rPr>
        <w:t>e invazivn</w:t>
      </w:r>
      <w:r w:rsidR="00646F3C" w:rsidRPr="00314858">
        <w:rPr>
          <w:rFonts w:ascii="Times New Roman" w:hAnsi="Times New Roman" w:cs="Times New Roman"/>
          <w:lang w:val="sr-Latn-ME"/>
        </w:rPr>
        <w:t>og</w:t>
      </w:r>
      <w:r w:rsidRPr="00314858">
        <w:rPr>
          <w:rFonts w:ascii="Times New Roman" w:hAnsi="Times New Roman" w:cs="Times New Roman"/>
          <w:lang w:val="sr-Latn-ME"/>
        </w:rPr>
        <w:t xml:space="preserve"> p</w:t>
      </w:r>
      <w:r w:rsidR="00646F3C" w:rsidRPr="00314858">
        <w:rPr>
          <w:rFonts w:ascii="Times New Roman" w:hAnsi="Times New Roman" w:cs="Times New Roman"/>
          <w:lang w:val="sr-Latn-ME"/>
        </w:rPr>
        <w:t>ostupka</w:t>
      </w:r>
      <w:r w:rsidRPr="00314858">
        <w:rPr>
          <w:rFonts w:ascii="Times New Roman" w:hAnsi="Times New Roman" w:cs="Times New Roman"/>
          <w:lang w:val="sr-Latn-ME"/>
        </w:rPr>
        <w:t xml:space="preserve"> ili hirurške intervencije što je pr</w:t>
      </w:r>
      <w:r w:rsidR="005D3B0A" w:rsidRPr="00314858">
        <w:rPr>
          <w:rFonts w:ascii="Times New Roman" w:hAnsi="Times New Roman" w:cs="Times New Roman"/>
          <w:lang w:val="sr-Latn-ME"/>
        </w:rPr>
        <w:t>ij</w:t>
      </w:r>
      <w:r w:rsidRPr="00314858">
        <w:rPr>
          <w:rFonts w:ascii="Times New Roman" w:hAnsi="Times New Roman" w:cs="Times New Roman"/>
          <w:lang w:val="sr-Latn-ME"/>
        </w:rPr>
        <w:t>e moguće, pod uslovom da to dopušta klinička situacija i da je uspostavljena odgovarajuća hemostaza.</w:t>
      </w:r>
    </w:p>
    <w:p w14:paraId="11E07C87" w14:textId="77777777" w:rsidR="0009272D" w:rsidRPr="00314858" w:rsidRDefault="0009272D" w:rsidP="00D67D34">
      <w:pPr>
        <w:spacing w:after="0" w:line="240" w:lineRule="auto"/>
        <w:jc w:val="both"/>
        <w:rPr>
          <w:rFonts w:ascii="Times New Roman" w:hAnsi="Times New Roman" w:cs="Times New Roman"/>
          <w:lang w:val="sr-Latn-ME"/>
        </w:rPr>
      </w:pPr>
    </w:p>
    <w:p w14:paraId="23D8D0E0" w14:textId="55F01B3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Pacijente sa rizikom od krvarenja ili pacijente sa rizikom od prevelike izloženosti, naročito pacijente sa </w:t>
      </w:r>
      <w:r w:rsidR="008418D4" w:rsidRPr="00314858">
        <w:rPr>
          <w:rFonts w:ascii="Times New Roman" w:hAnsi="Times New Roman" w:cs="Times New Roman"/>
          <w:lang w:val="sr-Latn-ME"/>
        </w:rPr>
        <w:t>smanjenom funkcijom</w:t>
      </w:r>
      <w:r w:rsidRPr="00314858">
        <w:rPr>
          <w:rFonts w:ascii="Times New Roman" w:hAnsi="Times New Roman" w:cs="Times New Roman"/>
          <w:lang w:val="sr-Latn-ME"/>
        </w:rPr>
        <w:t xml:space="preserve"> bubrega (</w:t>
      </w:r>
      <w:r w:rsidR="008418D4" w:rsidRPr="00314858">
        <w:rPr>
          <w:rFonts w:ascii="Times New Roman" w:hAnsi="Times New Roman" w:cs="Times New Roman"/>
          <w:lang w:val="sr-Latn-ME"/>
        </w:rPr>
        <w:t>vid</w:t>
      </w:r>
      <w:r w:rsidR="005D3B0A" w:rsidRPr="00314858">
        <w:rPr>
          <w:rFonts w:ascii="Times New Roman" w:hAnsi="Times New Roman" w:cs="Times New Roman"/>
          <w:lang w:val="sr-Latn-ME"/>
        </w:rPr>
        <w:t>j</w:t>
      </w:r>
      <w:r w:rsidR="008418D4" w:rsidRPr="00314858">
        <w:rPr>
          <w:rFonts w:ascii="Times New Roman" w:hAnsi="Times New Roman" w:cs="Times New Roman"/>
          <w:lang w:val="sr-Latn-ME"/>
        </w:rPr>
        <w:t>eti takođe tabelu 4</w:t>
      </w:r>
      <w:r w:rsidRPr="00314858">
        <w:rPr>
          <w:rFonts w:ascii="Times New Roman" w:hAnsi="Times New Roman" w:cs="Times New Roman"/>
          <w:lang w:val="sr-Latn-ME"/>
        </w:rPr>
        <w:t>), treba l</w:t>
      </w:r>
      <w:r w:rsidR="00946B7A" w:rsidRPr="00314858">
        <w:rPr>
          <w:rFonts w:ascii="Times New Roman" w:hAnsi="Times New Roman" w:cs="Times New Roman"/>
          <w:lang w:val="sr-Latn-ME"/>
        </w:rPr>
        <w:t>ij</w:t>
      </w:r>
      <w:r w:rsidRPr="00314858">
        <w:rPr>
          <w:rFonts w:ascii="Times New Roman" w:hAnsi="Times New Roman" w:cs="Times New Roman"/>
          <w:lang w:val="sr-Latn-ME"/>
        </w:rPr>
        <w:t>ečiti oprezno (vid</w:t>
      </w:r>
      <w:r w:rsidR="005D3B0A"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5D3B0A" w:rsidRPr="00314858">
        <w:rPr>
          <w:rFonts w:ascii="Times New Roman" w:hAnsi="Times New Roman" w:cs="Times New Roman"/>
          <w:lang w:val="sr-Latn-ME"/>
        </w:rPr>
        <w:t>djelove</w:t>
      </w:r>
      <w:r w:rsidRPr="00314858">
        <w:rPr>
          <w:rFonts w:ascii="Times New Roman" w:hAnsi="Times New Roman" w:cs="Times New Roman"/>
          <w:lang w:val="sr-Latn-ME"/>
        </w:rPr>
        <w:t xml:space="preserve"> 4.4 i 5.1). </w:t>
      </w:r>
    </w:p>
    <w:p w14:paraId="25FE6689" w14:textId="77777777" w:rsidR="0009272D" w:rsidRPr="00314858" w:rsidRDefault="0009272D" w:rsidP="00D67D34">
      <w:pPr>
        <w:spacing w:after="0" w:line="240" w:lineRule="auto"/>
        <w:jc w:val="both"/>
        <w:rPr>
          <w:rFonts w:ascii="Times New Roman" w:hAnsi="Times New Roman" w:cs="Times New Roman"/>
          <w:lang w:val="sr-Latn-ME"/>
        </w:rPr>
      </w:pPr>
    </w:p>
    <w:p w14:paraId="4FD1DF31" w14:textId="11EE0C55"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Pacijenti pod visokim rizikom od intraoperativnog mortaliteta i sa intrinzič</w:t>
      </w:r>
      <w:r w:rsidR="00B824D0" w:rsidRPr="00314858">
        <w:rPr>
          <w:rFonts w:ascii="Times New Roman" w:hAnsi="Times New Roman" w:cs="Times New Roman"/>
          <w:u w:val="single"/>
          <w:lang w:val="sr-Latn-ME"/>
        </w:rPr>
        <w:t>n</w:t>
      </w:r>
      <w:r w:rsidRPr="00314858">
        <w:rPr>
          <w:rFonts w:ascii="Times New Roman" w:hAnsi="Times New Roman" w:cs="Times New Roman"/>
          <w:u w:val="single"/>
          <w:lang w:val="sr-Latn-ME"/>
        </w:rPr>
        <w:t>im faktorima rizika za tromboembolijske događaje</w:t>
      </w:r>
    </w:p>
    <w:p w14:paraId="2A210C12"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416C2F05" w14:textId="4F87E58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Podaci o efikasnosti i bezb</w:t>
      </w:r>
      <w:r w:rsidR="005D3B0A" w:rsidRPr="00314858">
        <w:rPr>
          <w:rFonts w:ascii="Times New Roman" w:hAnsi="Times New Roman" w:cs="Times New Roman"/>
          <w:lang w:val="sr-Latn-ME"/>
        </w:rPr>
        <w:t>j</w:t>
      </w:r>
      <w:r w:rsidRPr="00314858">
        <w:rPr>
          <w:rFonts w:ascii="Times New Roman" w:hAnsi="Times New Roman" w:cs="Times New Roman"/>
          <w:lang w:val="sr-Latn-ME"/>
        </w:rPr>
        <w:t>ednosti dabigatraneteksilata za ovu grupu pacijenata su ograničeni, pa je stoga potreban oprez pri njihovom l</w:t>
      </w:r>
      <w:r w:rsidR="005D3B0A" w:rsidRPr="00314858">
        <w:rPr>
          <w:rFonts w:ascii="Times New Roman" w:hAnsi="Times New Roman" w:cs="Times New Roman"/>
          <w:lang w:val="sr-Latn-ME"/>
        </w:rPr>
        <w:t>ij</w:t>
      </w:r>
      <w:r w:rsidRPr="00314858">
        <w:rPr>
          <w:rFonts w:ascii="Times New Roman" w:hAnsi="Times New Roman" w:cs="Times New Roman"/>
          <w:lang w:val="sr-Latn-ME"/>
        </w:rPr>
        <w:t xml:space="preserve">ečenju. </w:t>
      </w:r>
    </w:p>
    <w:p w14:paraId="29E4FF1B" w14:textId="77777777" w:rsidR="0009272D" w:rsidRPr="00314858" w:rsidRDefault="0009272D" w:rsidP="00D67D34">
      <w:pPr>
        <w:spacing w:after="0" w:line="240" w:lineRule="auto"/>
        <w:jc w:val="both"/>
        <w:rPr>
          <w:rFonts w:ascii="Times New Roman" w:hAnsi="Times New Roman" w:cs="Times New Roman"/>
          <w:lang w:val="sr-Latn-ME"/>
        </w:rPr>
      </w:pPr>
    </w:p>
    <w:p w14:paraId="449E8F29" w14:textId="77777777" w:rsidR="00314858" w:rsidRDefault="00314858" w:rsidP="00D67D34">
      <w:pPr>
        <w:spacing w:after="0" w:line="240" w:lineRule="auto"/>
        <w:jc w:val="both"/>
        <w:rPr>
          <w:rFonts w:ascii="Times New Roman" w:hAnsi="Times New Roman" w:cs="Times New Roman"/>
          <w:iCs/>
          <w:u w:val="single"/>
          <w:lang w:val="sr-Latn-ME"/>
        </w:rPr>
      </w:pPr>
    </w:p>
    <w:p w14:paraId="6E54B2F2" w14:textId="457F6DA8" w:rsidR="00D67D34" w:rsidRPr="00314858" w:rsidRDefault="00D67D34" w:rsidP="00D67D34">
      <w:pPr>
        <w:spacing w:after="0" w:line="240" w:lineRule="auto"/>
        <w:jc w:val="both"/>
        <w:rPr>
          <w:rFonts w:ascii="Times New Roman" w:hAnsi="Times New Roman" w:cs="Times New Roman"/>
          <w:iCs/>
          <w:u w:val="single"/>
          <w:lang w:val="sr-Latn-ME"/>
        </w:rPr>
      </w:pPr>
      <w:r w:rsidRPr="00314858">
        <w:rPr>
          <w:rFonts w:ascii="Times New Roman" w:hAnsi="Times New Roman" w:cs="Times New Roman"/>
          <w:iCs/>
          <w:u w:val="single"/>
          <w:lang w:val="sr-Latn-ME"/>
        </w:rPr>
        <w:lastRenderedPageBreak/>
        <w:t>Oštećenje funkcije jetre</w:t>
      </w:r>
    </w:p>
    <w:p w14:paraId="24EC414B" w14:textId="77777777" w:rsidR="0009272D" w:rsidRPr="00314858" w:rsidRDefault="0009272D" w:rsidP="00D67D34">
      <w:pPr>
        <w:spacing w:after="0" w:line="240" w:lineRule="auto"/>
        <w:jc w:val="both"/>
        <w:rPr>
          <w:rFonts w:ascii="Times New Roman" w:hAnsi="Times New Roman" w:cs="Times New Roman"/>
          <w:iCs/>
          <w:u w:val="single"/>
          <w:lang w:val="sr-Latn-ME"/>
        </w:rPr>
      </w:pPr>
    </w:p>
    <w:p w14:paraId="4261EFD7" w14:textId="0FEB612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Pacijenti sa </w:t>
      </w:r>
      <w:r w:rsidR="004F1289" w:rsidRPr="00314858">
        <w:rPr>
          <w:rFonts w:ascii="Times New Roman" w:hAnsi="Times New Roman" w:cs="Times New Roman"/>
          <w:lang w:val="sr-Latn-ME"/>
        </w:rPr>
        <w:t>povećanim</w:t>
      </w:r>
      <w:r w:rsidRPr="00314858">
        <w:rPr>
          <w:rFonts w:ascii="Times New Roman" w:hAnsi="Times New Roman" w:cs="Times New Roman"/>
          <w:lang w:val="sr-Latn-ME"/>
        </w:rPr>
        <w:t xml:space="preserve"> vr</w:t>
      </w:r>
      <w:r w:rsidR="005D3B0A" w:rsidRPr="00314858">
        <w:rPr>
          <w:rFonts w:ascii="Times New Roman" w:hAnsi="Times New Roman" w:cs="Times New Roman"/>
          <w:lang w:val="sr-Latn-ME"/>
        </w:rPr>
        <w:t>ij</w:t>
      </w:r>
      <w:r w:rsidRPr="00314858">
        <w:rPr>
          <w:rFonts w:ascii="Times New Roman" w:hAnsi="Times New Roman" w:cs="Times New Roman"/>
          <w:lang w:val="sr-Latn-ME"/>
        </w:rPr>
        <w:t>ednostima enzima jetre &gt;</w:t>
      </w:r>
      <w:r w:rsidR="00946B7A" w:rsidRPr="00314858">
        <w:rPr>
          <w:rFonts w:ascii="Times New Roman" w:hAnsi="Times New Roman" w:cs="Times New Roman"/>
          <w:lang w:val="sr-Latn-ME"/>
        </w:rPr>
        <w:t xml:space="preserve"> </w:t>
      </w:r>
      <w:r w:rsidRPr="00314858">
        <w:rPr>
          <w:rFonts w:ascii="Times New Roman" w:hAnsi="Times New Roman" w:cs="Times New Roman"/>
          <w:lang w:val="sr-Latn-ME"/>
        </w:rPr>
        <w:t>2 GGN bili su isključeni iz glavnih ispitivanja. Ne postoji iskustvo za ovu subpopulaciju pacijenata, te se stoga upotreba dabigatraneteksilata u ovoj populaciji ne preporučuje. Dabigatraneteksilat je kontraindikovan kod o</w:t>
      </w:r>
      <w:r w:rsidRPr="00314858">
        <w:rPr>
          <w:rFonts w:ascii="Times New Roman" w:hAnsi="Times New Roman" w:cs="Times New Roman"/>
          <w:iCs/>
          <w:lang w:val="sr-Latn-ME"/>
        </w:rPr>
        <w:t>štećenja funkcije</w:t>
      </w:r>
      <w:r w:rsidR="00804782" w:rsidRPr="00314858">
        <w:rPr>
          <w:rFonts w:ascii="Times New Roman" w:hAnsi="Times New Roman" w:cs="Times New Roman"/>
          <w:iCs/>
          <w:lang w:val="sr-Latn-ME"/>
        </w:rPr>
        <w:t xml:space="preserve"> </w:t>
      </w:r>
      <w:r w:rsidRPr="00314858">
        <w:rPr>
          <w:rFonts w:ascii="Times New Roman" w:hAnsi="Times New Roman" w:cs="Times New Roman"/>
          <w:lang w:val="sr-Latn-ME"/>
        </w:rPr>
        <w:t xml:space="preserve">jetre ili </w:t>
      </w:r>
      <w:r w:rsidR="004F1289" w:rsidRPr="00314858">
        <w:rPr>
          <w:rFonts w:ascii="Times New Roman" w:hAnsi="Times New Roman" w:cs="Times New Roman"/>
          <w:lang w:val="sr-Latn-ME"/>
        </w:rPr>
        <w:t>oboljenja</w:t>
      </w:r>
      <w:r w:rsidRPr="00314858">
        <w:rPr>
          <w:rFonts w:ascii="Times New Roman" w:hAnsi="Times New Roman" w:cs="Times New Roman"/>
          <w:lang w:val="sr-Latn-ME"/>
        </w:rPr>
        <w:t xml:space="preserve"> jetre koje mogu imati uticaj na preživljavanje (vid</w:t>
      </w:r>
      <w:r w:rsidR="00804782"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804782" w:rsidRPr="00314858">
        <w:rPr>
          <w:rFonts w:ascii="Times New Roman" w:hAnsi="Times New Roman" w:cs="Times New Roman"/>
          <w:lang w:val="sr-Latn-ME"/>
        </w:rPr>
        <w:t>dio</w:t>
      </w:r>
      <w:r w:rsidRPr="00314858">
        <w:rPr>
          <w:rFonts w:ascii="Times New Roman" w:hAnsi="Times New Roman" w:cs="Times New Roman"/>
          <w:lang w:val="sr-Latn-ME"/>
        </w:rPr>
        <w:t xml:space="preserve"> 4.3).</w:t>
      </w:r>
    </w:p>
    <w:p w14:paraId="6CAB5933" w14:textId="77777777" w:rsidR="0009272D" w:rsidRPr="00314858" w:rsidRDefault="0009272D" w:rsidP="00D67D34">
      <w:pPr>
        <w:spacing w:after="0" w:line="240" w:lineRule="auto"/>
        <w:jc w:val="both"/>
        <w:rPr>
          <w:rFonts w:ascii="Times New Roman" w:hAnsi="Times New Roman" w:cs="Times New Roman"/>
          <w:lang w:val="sr-Latn-ME"/>
        </w:rPr>
      </w:pPr>
    </w:p>
    <w:p w14:paraId="423AE3BF" w14:textId="60391201"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Interakcije sa P-g</w:t>
      </w:r>
      <w:r w:rsidR="004F1289" w:rsidRPr="00314858">
        <w:rPr>
          <w:rFonts w:ascii="Times New Roman" w:hAnsi="Times New Roman" w:cs="Times New Roman"/>
          <w:u w:val="single"/>
          <w:lang w:val="sr-Latn-ME"/>
        </w:rPr>
        <w:t>p</w:t>
      </w:r>
      <w:r w:rsidRPr="00314858">
        <w:rPr>
          <w:rFonts w:ascii="Times New Roman" w:hAnsi="Times New Roman" w:cs="Times New Roman"/>
          <w:u w:val="single"/>
          <w:lang w:val="sr-Latn-ME"/>
        </w:rPr>
        <w:t xml:space="preserve"> induktorima</w:t>
      </w:r>
    </w:p>
    <w:p w14:paraId="3997EB34"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683FEBA7" w14:textId="3CF0517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Smatra se da istovremena prim</w:t>
      </w:r>
      <w:r w:rsidR="005D3B0A" w:rsidRPr="00314858">
        <w:rPr>
          <w:rFonts w:ascii="Times New Roman" w:hAnsi="Times New Roman" w:cs="Times New Roman"/>
          <w:lang w:val="sr-Latn-ME"/>
        </w:rPr>
        <w:t>j</w:t>
      </w:r>
      <w:r w:rsidRPr="00314858">
        <w:rPr>
          <w:rFonts w:ascii="Times New Roman" w:hAnsi="Times New Roman" w:cs="Times New Roman"/>
          <w:lang w:val="sr-Latn-ME"/>
        </w:rPr>
        <w:t>ena P-g</w:t>
      </w:r>
      <w:r w:rsidR="004F1289" w:rsidRPr="00314858">
        <w:rPr>
          <w:rFonts w:ascii="Times New Roman" w:hAnsi="Times New Roman" w:cs="Times New Roman"/>
          <w:lang w:val="sr-Latn-ME"/>
        </w:rPr>
        <w:t>p</w:t>
      </w:r>
      <w:r w:rsidRPr="00314858">
        <w:rPr>
          <w:rFonts w:ascii="Times New Roman" w:hAnsi="Times New Roman" w:cs="Times New Roman"/>
          <w:lang w:val="sr-Latn-ME"/>
        </w:rPr>
        <w:t xml:space="preserve"> induktora može da izazove smanjene koncentracije dabigatrana u plazmi i treba je izb</w:t>
      </w:r>
      <w:r w:rsidR="005D3B0A" w:rsidRPr="00314858">
        <w:rPr>
          <w:rFonts w:ascii="Times New Roman" w:hAnsi="Times New Roman" w:cs="Times New Roman"/>
          <w:lang w:val="sr-Latn-ME"/>
        </w:rPr>
        <w:t>j</w:t>
      </w:r>
      <w:r w:rsidRPr="00314858">
        <w:rPr>
          <w:rFonts w:ascii="Times New Roman" w:hAnsi="Times New Roman" w:cs="Times New Roman"/>
          <w:lang w:val="sr-Latn-ME"/>
        </w:rPr>
        <w:t>egavati (vid</w:t>
      </w:r>
      <w:r w:rsidR="005D3B0A"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5D3B0A" w:rsidRPr="00314858">
        <w:rPr>
          <w:rFonts w:ascii="Times New Roman" w:hAnsi="Times New Roman" w:cs="Times New Roman"/>
          <w:lang w:val="sr-Latn-ME"/>
        </w:rPr>
        <w:t>djelove</w:t>
      </w:r>
      <w:r w:rsidRPr="00314858">
        <w:rPr>
          <w:rFonts w:ascii="Times New Roman" w:hAnsi="Times New Roman" w:cs="Times New Roman"/>
          <w:lang w:val="sr-Latn-ME"/>
        </w:rPr>
        <w:t xml:space="preserve"> 4.5 i 5.2).</w:t>
      </w:r>
    </w:p>
    <w:p w14:paraId="3506AE4B" w14:textId="77777777" w:rsidR="0009272D" w:rsidRPr="00314858" w:rsidRDefault="0009272D" w:rsidP="00D67D34">
      <w:pPr>
        <w:spacing w:after="0" w:line="240" w:lineRule="auto"/>
        <w:jc w:val="both"/>
        <w:rPr>
          <w:rFonts w:ascii="Times New Roman" w:hAnsi="Times New Roman" w:cs="Times New Roman"/>
          <w:lang w:val="sr-Latn-ME"/>
        </w:rPr>
      </w:pPr>
    </w:p>
    <w:p w14:paraId="77405AA1" w14:textId="5C59327C"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Pacijenti sa antifosfolipidnim sindromom</w:t>
      </w:r>
    </w:p>
    <w:p w14:paraId="64F2A493"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7AE1C114" w14:textId="6A730611"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Direktno d</w:t>
      </w:r>
      <w:r w:rsidR="005D3B0A" w:rsidRPr="00314858">
        <w:rPr>
          <w:rFonts w:ascii="Times New Roman" w:hAnsi="Times New Roman" w:cs="Times New Roman"/>
          <w:lang w:val="sr-Latn-ME"/>
        </w:rPr>
        <w:t>j</w:t>
      </w:r>
      <w:r w:rsidRPr="00314858">
        <w:rPr>
          <w:rFonts w:ascii="Times New Roman" w:hAnsi="Times New Roman" w:cs="Times New Roman"/>
          <w:lang w:val="sr-Latn-ME"/>
        </w:rPr>
        <w:t>elujući oralni antikoagulansi (</w:t>
      </w:r>
      <w:r w:rsidR="00646F3C" w:rsidRPr="00314858">
        <w:rPr>
          <w:rFonts w:ascii="Times New Roman" w:hAnsi="Times New Roman" w:cs="Times New Roman"/>
          <w:lang w:val="sr-Latn-ME"/>
        </w:rPr>
        <w:t xml:space="preserve">engl. </w:t>
      </w:r>
      <w:r w:rsidR="00646F3C" w:rsidRPr="00314858">
        <w:rPr>
          <w:rFonts w:ascii="Times New Roman" w:hAnsi="Times New Roman" w:cs="Times New Roman"/>
          <w:i/>
          <w:iCs/>
          <w:lang w:val="sr-Latn-ME"/>
        </w:rPr>
        <w:t>Direct acting Oral Anticoagulants</w:t>
      </w:r>
      <w:r w:rsidR="00646F3C"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DOAC), uključujući dabigatraneteksilat, se ne preporučuju kod pacijenata koji u </w:t>
      </w:r>
      <w:r w:rsidR="004F1289" w:rsidRPr="00314858">
        <w:rPr>
          <w:rFonts w:ascii="Times New Roman" w:hAnsi="Times New Roman" w:cs="Times New Roman"/>
          <w:lang w:val="sr-Latn-ME"/>
        </w:rPr>
        <w:t>istoriji bolesti</w:t>
      </w:r>
      <w:r w:rsidRPr="00314858">
        <w:rPr>
          <w:rFonts w:ascii="Times New Roman" w:hAnsi="Times New Roman" w:cs="Times New Roman"/>
          <w:lang w:val="sr-Latn-ME"/>
        </w:rPr>
        <w:t xml:space="preserve"> imaju trombozu, a dijagnostikovan im je antifosfolipidni sindrom. Naročito se ne preporučuju kod pacijenata koji su trostruko pozitivni (na lupus antikoagulans, antikardiolipinska antitela i anti-beta-2 glikoprotein I antitela), kod kojih bi </w:t>
      </w:r>
      <w:r w:rsidR="004F1289" w:rsidRPr="00314858">
        <w:rPr>
          <w:rFonts w:ascii="Times New Roman" w:hAnsi="Times New Roman" w:cs="Times New Roman"/>
          <w:lang w:val="sr-Latn-ME"/>
        </w:rPr>
        <w:t xml:space="preserve">terapija sa </w:t>
      </w:r>
      <w:r w:rsidRPr="00314858">
        <w:rPr>
          <w:rFonts w:ascii="Times New Roman" w:hAnsi="Times New Roman" w:cs="Times New Roman"/>
          <w:lang w:val="sr-Latn-ME"/>
        </w:rPr>
        <w:t xml:space="preserve">DOAC mogla </w:t>
      </w:r>
      <w:r w:rsidR="004F1289" w:rsidRPr="00314858">
        <w:rPr>
          <w:rFonts w:ascii="Times New Roman" w:hAnsi="Times New Roman" w:cs="Times New Roman"/>
          <w:lang w:val="sr-Latn-ME"/>
        </w:rPr>
        <w:t>da bude</w:t>
      </w:r>
      <w:r w:rsidRPr="00314858">
        <w:rPr>
          <w:rFonts w:ascii="Times New Roman" w:hAnsi="Times New Roman" w:cs="Times New Roman"/>
          <w:lang w:val="sr-Latn-ME"/>
        </w:rPr>
        <w:t xml:space="preserve"> povezana sa povećanom stopom rekurentnih trombotičkih događaja, u poređenju sa terapijom antagonistima vitamina K.</w:t>
      </w:r>
    </w:p>
    <w:p w14:paraId="6673B50C" w14:textId="77777777" w:rsidR="0009272D" w:rsidRPr="00314858" w:rsidRDefault="0009272D" w:rsidP="00D67D34">
      <w:pPr>
        <w:spacing w:after="0" w:line="240" w:lineRule="auto"/>
        <w:jc w:val="both"/>
        <w:rPr>
          <w:rFonts w:ascii="Times New Roman" w:hAnsi="Times New Roman" w:cs="Times New Roman"/>
          <w:lang w:val="sr-Latn-ME"/>
        </w:rPr>
      </w:pPr>
    </w:p>
    <w:p w14:paraId="41B9205D" w14:textId="7FF56FA9"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Infarkt miokarda (IM)</w:t>
      </w:r>
    </w:p>
    <w:p w14:paraId="05C9B297"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761B729D" w14:textId="7C707018"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studiji faze III, RE-LY (</w:t>
      </w:r>
      <w:r w:rsidR="00266A6B" w:rsidRPr="00314858">
        <w:rPr>
          <w:rFonts w:ascii="Times New Roman" w:hAnsi="Times New Roman" w:cs="Times New Roman"/>
          <w:lang w:val="sr-Latn-ME"/>
        </w:rPr>
        <w:t>prevencija MU i SE kod AF</w:t>
      </w:r>
      <w:r w:rsidRPr="00314858">
        <w:rPr>
          <w:rFonts w:ascii="Times New Roman" w:hAnsi="Times New Roman" w:cs="Times New Roman"/>
          <w:lang w:val="sr-Latn-ME"/>
        </w:rPr>
        <w:t>, vid</w:t>
      </w:r>
      <w:r w:rsidR="005D3B0A"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5D3B0A" w:rsidRPr="00314858">
        <w:rPr>
          <w:rFonts w:ascii="Times New Roman" w:hAnsi="Times New Roman" w:cs="Times New Roman"/>
          <w:lang w:val="sr-Latn-ME"/>
        </w:rPr>
        <w:t>dio</w:t>
      </w:r>
      <w:r w:rsidRPr="00314858">
        <w:rPr>
          <w:rFonts w:ascii="Times New Roman" w:hAnsi="Times New Roman" w:cs="Times New Roman"/>
          <w:lang w:val="sr-Latn-ME"/>
        </w:rPr>
        <w:t xml:space="preserve"> 5.1) sveukupna stopa IM iznosila je 0,82% godišnje za dabigatraneteksilat 110 mg dva puta dnevno, 0,81% godišnje za dabigatraneteksilat 150 mg dva puta dnevno i 0,64% godišnje</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za varfarin, gde se </w:t>
      </w:r>
      <w:r w:rsidR="009F46C4" w:rsidRPr="00314858">
        <w:rPr>
          <w:rFonts w:ascii="Times New Roman" w:hAnsi="Times New Roman" w:cs="Times New Roman"/>
          <w:lang w:val="sr-Latn-ME"/>
        </w:rPr>
        <w:t>bilježi</w:t>
      </w:r>
      <w:r w:rsidRPr="00314858">
        <w:rPr>
          <w:rFonts w:ascii="Times New Roman" w:hAnsi="Times New Roman" w:cs="Times New Roman"/>
          <w:lang w:val="sr-Latn-ME"/>
        </w:rPr>
        <w:t xml:space="preserve"> povećanje relativnog rizika za dabigatran od 29%, odnosno 27% u poređenju sa varfarinom. Nezavisno od terapije, najveći apsolutni rizik od IM je bio prim</w:t>
      </w:r>
      <w:r w:rsidR="00804782" w:rsidRPr="00314858">
        <w:rPr>
          <w:rFonts w:ascii="Times New Roman" w:hAnsi="Times New Roman" w:cs="Times New Roman"/>
          <w:lang w:val="sr-Latn-ME"/>
        </w:rPr>
        <w:t>ij</w:t>
      </w:r>
      <w:r w:rsidRPr="00314858">
        <w:rPr>
          <w:rFonts w:ascii="Times New Roman" w:hAnsi="Times New Roman" w:cs="Times New Roman"/>
          <w:lang w:val="sr-Latn-ME"/>
        </w:rPr>
        <w:t>ećen u sl</w:t>
      </w:r>
      <w:r w:rsidR="009F46C4" w:rsidRPr="00314858">
        <w:rPr>
          <w:rFonts w:ascii="Times New Roman" w:hAnsi="Times New Roman" w:cs="Times New Roman"/>
          <w:lang w:val="sr-Latn-ME"/>
        </w:rPr>
        <w:t>j</w:t>
      </w:r>
      <w:r w:rsidRPr="00314858">
        <w:rPr>
          <w:rFonts w:ascii="Times New Roman" w:hAnsi="Times New Roman" w:cs="Times New Roman"/>
          <w:lang w:val="sr-Latn-ME"/>
        </w:rPr>
        <w:t>edećim podgrupama, i to sa sličnim relativnim rizikom: pacijenti koji su prethodno imali IM, pacijenti</w:t>
      </w:r>
      <w:r w:rsidR="00266A6B" w:rsidRPr="00314858">
        <w:rPr>
          <w:rFonts w:ascii="Times New Roman" w:hAnsi="Times New Roman" w:cs="Times New Roman"/>
          <w:lang w:val="sr-Latn-ME"/>
        </w:rPr>
        <w:t xml:space="preserve"> starosti</w:t>
      </w:r>
      <w:r w:rsidRPr="00314858">
        <w:rPr>
          <w:rFonts w:ascii="Times New Roman" w:hAnsi="Times New Roman" w:cs="Times New Roman"/>
          <w:lang w:val="sr-Latn-ME"/>
        </w:rPr>
        <w:t xml:space="preserve"> ≥</w:t>
      </w:r>
      <w:r w:rsidR="00646F3C" w:rsidRPr="00314858">
        <w:rPr>
          <w:rFonts w:ascii="Times New Roman" w:hAnsi="Times New Roman" w:cs="Times New Roman"/>
          <w:lang w:val="sr-Latn-ME"/>
        </w:rPr>
        <w:t xml:space="preserve"> </w:t>
      </w:r>
      <w:r w:rsidRPr="00314858">
        <w:rPr>
          <w:rFonts w:ascii="Times New Roman" w:hAnsi="Times New Roman" w:cs="Times New Roman"/>
          <w:lang w:val="sr-Latn-ME"/>
        </w:rPr>
        <w:t>65 godina koji imaju ili dijabetes ili koronarnu arterijsku bolest, pacijenti sa ejekcionom frakcijom l</w:t>
      </w:r>
      <w:r w:rsidR="009F46C4" w:rsidRPr="00314858">
        <w:rPr>
          <w:rFonts w:ascii="Times New Roman" w:hAnsi="Times New Roman" w:cs="Times New Roman"/>
          <w:lang w:val="sr-Latn-ME"/>
        </w:rPr>
        <w:t>ij</w:t>
      </w:r>
      <w:r w:rsidRPr="00314858">
        <w:rPr>
          <w:rFonts w:ascii="Times New Roman" w:hAnsi="Times New Roman" w:cs="Times New Roman"/>
          <w:lang w:val="sr-Latn-ME"/>
        </w:rPr>
        <w:t>eve komore &lt;</w:t>
      </w:r>
      <w:r w:rsidR="00646F3C" w:rsidRPr="00314858">
        <w:rPr>
          <w:rFonts w:ascii="Times New Roman" w:hAnsi="Times New Roman" w:cs="Times New Roman"/>
          <w:lang w:val="sr-Latn-ME"/>
        </w:rPr>
        <w:t xml:space="preserve"> </w:t>
      </w:r>
      <w:r w:rsidRPr="00314858">
        <w:rPr>
          <w:rFonts w:ascii="Times New Roman" w:hAnsi="Times New Roman" w:cs="Times New Roman"/>
          <w:lang w:val="sr-Latn-ME"/>
        </w:rPr>
        <w:t>40%, i pacijenti sa um</w:t>
      </w:r>
      <w:r w:rsidR="009F46C4" w:rsidRPr="00314858">
        <w:rPr>
          <w:rFonts w:ascii="Times New Roman" w:hAnsi="Times New Roman" w:cs="Times New Roman"/>
          <w:lang w:val="sr-Latn-ME"/>
        </w:rPr>
        <w:t>j</w:t>
      </w:r>
      <w:r w:rsidRPr="00314858">
        <w:rPr>
          <w:rFonts w:ascii="Times New Roman" w:hAnsi="Times New Roman" w:cs="Times New Roman"/>
          <w:lang w:val="sr-Latn-ME"/>
        </w:rPr>
        <w:t>eren</w:t>
      </w:r>
      <w:r w:rsidR="00266A6B" w:rsidRPr="00314858">
        <w:rPr>
          <w:rFonts w:ascii="Times New Roman" w:hAnsi="Times New Roman" w:cs="Times New Roman"/>
          <w:lang w:val="sr-Latn-ME"/>
        </w:rPr>
        <w:t>im poremećajem funkcije bubrega</w:t>
      </w:r>
      <w:r w:rsidRPr="00314858">
        <w:rPr>
          <w:rFonts w:ascii="Times New Roman" w:hAnsi="Times New Roman" w:cs="Times New Roman"/>
          <w:lang w:val="sr-Latn-ME"/>
        </w:rPr>
        <w:t>. Pored toga, veći rizik od IM je bio prim</w:t>
      </w:r>
      <w:r w:rsidR="009F46C4" w:rsidRPr="00314858">
        <w:rPr>
          <w:rFonts w:ascii="Times New Roman" w:hAnsi="Times New Roman" w:cs="Times New Roman"/>
          <w:lang w:val="sr-Latn-ME"/>
        </w:rPr>
        <w:t>ij</w:t>
      </w:r>
      <w:r w:rsidRPr="00314858">
        <w:rPr>
          <w:rFonts w:ascii="Times New Roman" w:hAnsi="Times New Roman" w:cs="Times New Roman"/>
          <w:lang w:val="sr-Latn-ME"/>
        </w:rPr>
        <w:t>ećen kod pacijenata koji istovremeno uzimaju ASK plus klopidogrel ili samo klopidogrel.</w:t>
      </w:r>
    </w:p>
    <w:p w14:paraId="76535E60" w14:textId="77777777" w:rsidR="0009272D" w:rsidRPr="00314858" w:rsidRDefault="0009272D" w:rsidP="00D67D34">
      <w:pPr>
        <w:spacing w:after="0" w:line="240" w:lineRule="auto"/>
        <w:jc w:val="both"/>
        <w:rPr>
          <w:rFonts w:ascii="Times New Roman" w:hAnsi="Times New Roman" w:cs="Times New Roman"/>
          <w:lang w:val="sr-Latn-ME"/>
        </w:rPr>
      </w:pPr>
    </w:p>
    <w:p w14:paraId="1608E148" w14:textId="40A10974"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tri aktivno kontrolisane DVT/PE studije faze III prijavljena je </w:t>
      </w:r>
      <w:r w:rsidR="007B65A9" w:rsidRPr="00314858">
        <w:rPr>
          <w:rFonts w:ascii="Times New Roman" w:hAnsi="Times New Roman" w:cs="Times New Roman"/>
          <w:lang w:val="sr-Latn-ME"/>
        </w:rPr>
        <w:t>veća</w:t>
      </w:r>
      <w:r w:rsidRPr="00314858">
        <w:rPr>
          <w:rFonts w:ascii="Times New Roman" w:hAnsi="Times New Roman" w:cs="Times New Roman"/>
          <w:lang w:val="sr-Latn-ME"/>
        </w:rPr>
        <w:t xml:space="preserve"> stopa IM </w:t>
      </w:r>
      <w:r w:rsidR="00646F3C" w:rsidRPr="00314858">
        <w:rPr>
          <w:rFonts w:ascii="Times New Roman" w:hAnsi="Times New Roman" w:cs="Times New Roman"/>
          <w:lang w:val="sr-Latn-ME"/>
        </w:rPr>
        <w:t>kod</w:t>
      </w:r>
      <w:r w:rsidRPr="00314858">
        <w:rPr>
          <w:rFonts w:ascii="Times New Roman" w:hAnsi="Times New Roman" w:cs="Times New Roman"/>
          <w:lang w:val="sr-Latn-ME"/>
        </w:rPr>
        <w:t xml:space="preserve"> pacijen</w:t>
      </w:r>
      <w:r w:rsidR="00646F3C" w:rsidRPr="00314858">
        <w:rPr>
          <w:rFonts w:ascii="Times New Roman" w:hAnsi="Times New Roman" w:cs="Times New Roman"/>
          <w:lang w:val="sr-Latn-ME"/>
        </w:rPr>
        <w:t>a</w:t>
      </w:r>
      <w:r w:rsidRPr="00314858">
        <w:rPr>
          <w:rFonts w:ascii="Times New Roman" w:hAnsi="Times New Roman" w:cs="Times New Roman"/>
          <w:lang w:val="sr-Latn-ME"/>
        </w:rPr>
        <w:t>t</w:t>
      </w:r>
      <w:r w:rsidR="00646F3C" w:rsidRPr="00314858">
        <w:rPr>
          <w:rFonts w:ascii="Times New Roman" w:hAnsi="Times New Roman" w:cs="Times New Roman"/>
          <w:lang w:val="sr-Latn-ME"/>
        </w:rPr>
        <w:t>a</w:t>
      </w:r>
      <w:r w:rsidRPr="00314858">
        <w:rPr>
          <w:rFonts w:ascii="Times New Roman" w:hAnsi="Times New Roman" w:cs="Times New Roman"/>
          <w:lang w:val="sr-Latn-ME"/>
        </w:rPr>
        <w:t xml:space="preserve"> koji su primali dabigatraneteksilat nego </w:t>
      </w:r>
      <w:r w:rsidR="00646F3C" w:rsidRPr="00314858">
        <w:rPr>
          <w:rFonts w:ascii="Times New Roman" w:hAnsi="Times New Roman" w:cs="Times New Roman"/>
          <w:lang w:val="sr-Latn-ME"/>
        </w:rPr>
        <w:t>kod</w:t>
      </w:r>
      <w:r w:rsidRPr="00314858">
        <w:rPr>
          <w:rFonts w:ascii="Times New Roman" w:hAnsi="Times New Roman" w:cs="Times New Roman"/>
          <w:lang w:val="sr-Latn-ME"/>
        </w:rPr>
        <w:t xml:space="preserve"> pacijen</w:t>
      </w:r>
      <w:r w:rsidR="00646F3C" w:rsidRPr="00314858">
        <w:rPr>
          <w:rFonts w:ascii="Times New Roman" w:hAnsi="Times New Roman" w:cs="Times New Roman"/>
          <w:lang w:val="sr-Latn-ME"/>
        </w:rPr>
        <w:t>a</w:t>
      </w:r>
      <w:r w:rsidRPr="00314858">
        <w:rPr>
          <w:rFonts w:ascii="Times New Roman" w:hAnsi="Times New Roman" w:cs="Times New Roman"/>
          <w:lang w:val="sr-Latn-ME"/>
        </w:rPr>
        <w:t>t</w:t>
      </w:r>
      <w:r w:rsidR="00646F3C" w:rsidRPr="00314858">
        <w:rPr>
          <w:rFonts w:ascii="Times New Roman" w:hAnsi="Times New Roman" w:cs="Times New Roman"/>
          <w:lang w:val="sr-Latn-ME"/>
        </w:rPr>
        <w:t>a</w:t>
      </w:r>
      <w:r w:rsidRPr="00314858">
        <w:rPr>
          <w:rFonts w:ascii="Times New Roman" w:hAnsi="Times New Roman" w:cs="Times New Roman"/>
          <w:lang w:val="sr-Latn-ME"/>
        </w:rPr>
        <w:t xml:space="preserve"> koji su primali varfarin: 0,4% prema 0,2% u kratkotrajnim studijama RE-COVER i RE-COVER II; i 0,8% prema 0,1% u dugotrajnom ispitivanju RE-MEDY. U ovom ispitivanju povećanje je bilo statistički značajno (p=0,022).</w:t>
      </w:r>
    </w:p>
    <w:p w14:paraId="1B6FCBED" w14:textId="77777777" w:rsidR="0009272D" w:rsidRPr="00314858" w:rsidRDefault="0009272D" w:rsidP="00D67D34">
      <w:pPr>
        <w:spacing w:after="0" w:line="240" w:lineRule="auto"/>
        <w:jc w:val="both"/>
        <w:rPr>
          <w:rFonts w:ascii="Times New Roman" w:hAnsi="Times New Roman" w:cs="Times New Roman"/>
          <w:lang w:val="sr-Latn-ME"/>
        </w:rPr>
      </w:pPr>
    </w:p>
    <w:p w14:paraId="6DB73E87" w14:textId="7CF477D6"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studiji RE-SONATE, u kojoj je poređen dabigatraneteksilat sa placebom, stopa IM je iznosila 0,1% </w:t>
      </w:r>
      <w:r w:rsidR="00646F3C" w:rsidRPr="00314858">
        <w:rPr>
          <w:rFonts w:ascii="Times New Roman" w:hAnsi="Times New Roman" w:cs="Times New Roman"/>
          <w:lang w:val="sr-Latn-ME"/>
        </w:rPr>
        <w:t>kod</w:t>
      </w:r>
      <w:r w:rsidRPr="00314858">
        <w:rPr>
          <w:rFonts w:ascii="Times New Roman" w:hAnsi="Times New Roman" w:cs="Times New Roman"/>
          <w:lang w:val="sr-Latn-ME"/>
        </w:rPr>
        <w:t xml:space="preserve"> pacijen</w:t>
      </w:r>
      <w:r w:rsidR="00646F3C" w:rsidRPr="00314858">
        <w:rPr>
          <w:rFonts w:ascii="Times New Roman" w:hAnsi="Times New Roman" w:cs="Times New Roman"/>
          <w:lang w:val="sr-Latn-ME"/>
        </w:rPr>
        <w:t>a</w:t>
      </w:r>
      <w:r w:rsidRPr="00314858">
        <w:rPr>
          <w:rFonts w:ascii="Times New Roman" w:hAnsi="Times New Roman" w:cs="Times New Roman"/>
          <w:lang w:val="sr-Latn-ME"/>
        </w:rPr>
        <w:t>t</w:t>
      </w:r>
      <w:r w:rsidR="00646F3C" w:rsidRPr="00314858">
        <w:rPr>
          <w:rFonts w:ascii="Times New Roman" w:hAnsi="Times New Roman" w:cs="Times New Roman"/>
          <w:lang w:val="sr-Latn-ME"/>
        </w:rPr>
        <w:t>a</w:t>
      </w:r>
      <w:r w:rsidRPr="00314858">
        <w:rPr>
          <w:rFonts w:ascii="Times New Roman" w:hAnsi="Times New Roman" w:cs="Times New Roman"/>
          <w:lang w:val="sr-Latn-ME"/>
        </w:rPr>
        <w:t xml:space="preserve"> koji su primali dabigatraneteksilat i 0,2% </w:t>
      </w:r>
      <w:r w:rsidR="007B65A9" w:rsidRPr="00314858">
        <w:rPr>
          <w:rFonts w:ascii="Times New Roman" w:hAnsi="Times New Roman" w:cs="Times New Roman"/>
          <w:lang w:val="sr-Latn-ME"/>
        </w:rPr>
        <w:t>kod</w:t>
      </w:r>
      <w:r w:rsidRPr="00314858">
        <w:rPr>
          <w:rFonts w:ascii="Times New Roman" w:hAnsi="Times New Roman" w:cs="Times New Roman"/>
          <w:lang w:val="sr-Latn-ME"/>
        </w:rPr>
        <w:t xml:space="preserve"> pacijen</w:t>
      </w:r>
      <w:r w:rsidR="00646F3C" w:rsidRPr="00314858">
        <w:rPr>
          <w:rFonts w:ascii="Times New Roman" w:hAnsi="Times New Roman" w:cs="Times New Roman"/>
          <w:lang w:val="sr-Latn-ME"/>
        </w:rPr>
        <w:t>a</w:t>
      </w:r>
      <w:r w:rsidRPr="00314858">
        <w:rPr>
          <w:rFonts w:ascii="Times New Roman" w:hAnsi="Times New Roman" w:cs="Times New Roman"/>
          <w:lang w:val="sr-Latn-ME"/>
        </w:rPr>
        <w:t>t</w:t>
      </w:r>
      <w:r w:rsidR="00646F3C" w:rsidRPr="00314858">
        <w:rPr>
          <w:rFonts w:ascii="Times New Roman" w:hAnsi="Times New Roman" w:cs="Times New Roman"/>
          <w:lang w:val="sr-Latn-ME"/>
        </w:rPr>
        <w:t>a</w:t>
      </w:r>
      <w:r w:rsidRPr="00314858">
        <w:rPr>
          <w:rFonts w:ascii="Times New Roman" w:hAnsi="Times New Roman" w:cs="Times New Roman"/>
          <w:lang w:val="sr-Latn-ME"/>
        </w:rPr>
        <w:t xml:space="preserve"> koji su primali placebo.</w:t>
      </w:r>
    </w:p>
    <w:p w14:paraId="31054292"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29E6A3CD" w14:textId="4C3A9FC4"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 xml:space="preserve">Pacijenti sa </w:t>
      </w:r>
      <w:r w:rsidR="007B65A9" w:rsidRPr="00314858">
        <w:rPr>
          <w:rFonts w:ascii="Times New Roman" w:hAnsi="Times New Roman" w:cs="Times New Roman"/>
          <w:u w:val="single"/>
          <w:lang w:val="sr-Latn-ME"/>
        </w:rPr>
        <w:t>kancerom u aktivnoj fazi bolesti</w:t>
      </w:r>
      <w:r w:rsidRPr="00314858">
        <w:rPr>
          <w:rFonts w:ascii="Times New Roman" w:hAnsi="Times New Roman" w:cs="Times New Roman"/>
          <w:u w:val="single"/>
          <w:lang w:val="sr-Latn-ME"/>
        </w:rPr>
        <w:t xml:space="preserve"> (DVT/PE, pedijatrijsk</w:t>
      </w:r>
      <w:r w:rsidR="007B65A9" w:rsidRPr="00314858">
        <w:rPr>
          <w:rFonts w:ascii="Times New Roman" w:hAnsi="Times New Roman" w:cs="Times New Roman"/>
          <w:u w:val="single"/>
          <w:lang w:val="sr-Latn-ME"/>
        </w:rPr>
        <w:t>a</w:t>
      </w:r>
      <w:r w:rsidRPr="00314858">
        <w:rPr>
          <w:rFonts w:ascii="Times New Roman" w:hAnsi="Times New Roman" w:cs="Times New Roman"/>
          <w:u w:val="single"/>
          <w:lang w:val="sr-Latn-ME"/>
        </w:rPr>
        <w:t xml:space="preserve"> VTE)</w:t>
      </w:r>
    </w:p>
    <w:p w14:paraId="37AB16CC"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1026B289" w14:textId="557B3665"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Efikasnost i bezb</w:t>
      </w:r>
      <w:r w:rsidR="009F46C4" w:rsidRPr="00314858">
        <w:rPr>
          <w:rFonts w:ascii="Times New Roman" w:hAnsi="Times New Roman" w:cs="Times New Roman"/>
          <w:lang w:val="sr-Latn-ME"/>
        </w:rPr>
        <w:t>j</w:t>
      </w:r>
      <w:r w:rsidRPr="00314858">
        <w:rPr>
          <w:rFonts w:ascii="Times New Roman" w:hAnsi="Times New Roman" w:cs="Times New Roman"/>
          <w:lang w:val="sr-Latn-ME"/>
        </w:rPr>
        <w:t>ednost kod DVT/PE ni</w:t>
      </w:r>
      <w:r w:rsidR="00946B7A" w:rsidRPr="00314858">
        <w:rPr>
          <w:rFonts w:ascii="Times New Roman" w:hAnsi="Times New Roman" w:cs="Times New Roman"/>
          <w:lang w:val="sr-Latn-ME"/>
        </w:rPr>
        <w:t>je</w:t>
      </w:r>
      <w:r w:rsidRPr="00314858">
        <w:rPr>
          <w:rFonts w:ascii="Times New Roman" w:hAnsi="Times New Roman" w:cs="Times New Roman"/>
          <w:lang w:val="sr-Latn-ME"/>
        </w:rPr>
        <w:t xml:space="preserve">su utvrđene za pacijente sa </w:t>
      </w:r>
      <w:r w:rsidR="007B65A9" w:rsidRPr="00314858">
        <w:rPr>
          <w:rFonts w:ascii="Times New Roman" w:hAnsi="Times New Roman" w:cs="Times New Roman"/>
          <w:lang w:val="sr-Latn-ME"/>
        </w:rPr>
        <w:t>kancerom u aktivnoj fazi bolesti</w:t>
      </w:r>
      <w:r w:rsidRPr="00314858">
        <w:rPr>
          <w:rFonts w:ascii="Times New Roman" w:hAnsi="Times New Roman" w:cs="Times New Roman"/>
          <w:lang w:val="sr-Latn-ME"/>
        </w:rPr>
        <w:t>. Postoje ograničeni podaci o efikasnosti i bezb</w:t>
      </w:r>
      <w:r w:rsidR="009F46C4" w:rsidRPr="00314858">
        <w:rPr>
          <w:rFonts w:ascii="Times New Roman" w:hAnsi="Times New Roman" w:cs="Times New Roman"/>
          <w:lang w:val="sr-Latn-ME"/>
        </w:rPr>
        <w:t>j</w:t>
      </w:r>
      <w:r w:rsidRPr="00314858">
        <w:rPr>
          <w:rFonts w:ascii="Times New Roman" w:hAnsi="Times New Roman" w:cs="Times New Roman"/>
          <w:lang w:val="sr-Latn-ME"/>
        </w:rPr>
        <w:t xml:space="preserve">ednosti kod pedijatrijskih pacijenata sa </w:t>
      </w:r>
      <w:r w:rsidR="007B65A9" w:rsidRPr="00314858">
        <w:rPr>
          <w:rFonts w:ascii="Times New Roman" w:hAnsi="Times New Roman" w:cs="Times New Roman"/>
          <w:lang w:val="sr-Latn-ME"/>
        </w:rPr>
        <w:t>kancerom u aktivnoj fazi bolesti</w:t>
      </w:r>
      <w:r w:rsidRPr="00314858">
        <w:rPr>
          <w:rFonts w:ascii="Times New Roman" w:hAnsi="Times New Roman" w:cs="Times New Roman"/>
          <w:lang w:val="sr-Latn-ME"/>
        </w:rPr>
        <w:t>.</w:t>
      </w:r>
    </w:p>
    <w:p w14:paraId="379BFB0D" w14:textId="77777777" w:rsidR="00D67D34" w:rsidRPr="00314858" w:rsidRDefault="00D67D34" w:rsidP="00D67D34">
      <w:pPr>
        <w:spacing w:after="0" w:line="240" w:lineRule="auto"/>
        <w:jc w:val="both"/>
        <w:rPr>
          <w:rFonts w:ascii="Times New Roman" w:hAnsi="Times New Roman" w:cs="Times New Roman"/>
          <w:lang w:val="sr-Latn-ME"/>
        </w:rPr>
      </w:pPr>
    </w:p>
    <w:p w14:paraId="28F5DD00" w14:textId="77777777" w:rsidR="008645CE" w:rsidRPr="00314858" w:rsidRDefault="008645CE" w:rsidP="00D67D34">
      <w:pPr>
        <w:spacing w:after="0" w:line="240" w:lineRule="auto"/>
        <w:jc w:val="both"/>
        <w:rPr>
          <w:rFonts w:ascii="Times New Roman" w:hAnsi="Times New Roman" w:cs="Times New Roman"/>
          <w:u w:val="single"/>
          <w:lang w:val="sr-Latn-ME"/>
        </w:rPr>
      </w:pPr>
    </w:p>
    <w:p w14:paraId="75FAEDEC" w14:textId="20744E8B"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Pedijatrijska populacija</w:t>
      </w:r>
    </w:p>
    <w:p w14:paraId="56C24B1C"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36866C86" w14:textId="14C81A36"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Za neke veoma specifične pedijatrijske pacijente, npr. pacijente sa bolešću tankog cr</w:t>
      </w:r>
      <w:r w:rsidR="009F46C4" w:rsidRPr="00314858">
        <w:rPr>
          <w:rFonts w:ascii="Times New Roman" w:hAnsi="Times New Roman" w:cs="Times New Roman"/>
          <w:lang w:val="sr-Latn-ME"/>
        </w:rPr>
        <w:t>ij</w:t>
      </w:r>
      <w:r w:rsidRPr="00314858">
        <w:rPr>
          <w:rFonts w:ascii="Times New Roman" w:hAnsi="Times New Roman" w:cs="Times New Roman"/>
          <w:lang w:val="sr-Latn-ME"/>
        </w:rPr>
        <w:t>eva gde je možda izm</w:t>
      </w:r>
      <w:r w:rsidR="00804782" w:rsidRPr="00314858">
        <w:rPr>
          <w:rFonts w:ascii="Times New Roman" w:hAnsi="Times New Roman" w:cs="Times New Roman"/>
          <w:lang w:val="sr-Latn-ME"/>
        </w:rPr>
        <w:t>ij</w:t>
      </w:r>
      <w:r w:rsidRPr="00314858">
        <w:rPr>
          <w:rFonts w:ascii="Times New Roman" w:hAnsi="Times New Roman" w:cs="Times New Roman"/>
          <w:lang w:val="sr-Latn-ME"/>
        </w:rPr>
        <w:t>enjena resorpcija, potrebno je razmotriti prim</w:t>
      </w:r>
      <w:r w:rsidR="009F46C4" w:rsidRPr="00314858">
        <w:rPr>
          <w:rFonts w:ascii="Times New Roman" w:hAnsi="Times New Roman" w:cs="Times New Roman"/>
          <w:lang w:val="sr-Latn-ME"/>
        </w:rPr>
        <w:t>j</w:t>
      </w:r>
      <w:r w:rsidRPr="00314858">
        <w:rPr>
          <w:rFonts w:ascii="Times New Roman" w:hAnsi="Times New Roman" w:cs="Times New Roman"/>
          <w:lang w:val="sr-Latn-ME"/>
        </w:rPr>
        <w:t>enu antikoagulansa parenteralnim putem.</w:t>
      </w:r>
    </w:p>
    <w:p w14:paraId="5DFE18D6" w14:textId="77777777" w:rsidR="00D67D34" w:rsidRPr="00314858" w:rsidRDefault="00D67D34" w:rsidP="00D67D34">
      <w:pPr>
        <w:spacing w:after="0" w:line="240" w:lineRule="auto"/>
        <w:jc w:val="both"/>
        <w:rPr>
          <w:rFonts w:ascii="Times New Roman" w:hAnsi="Times New Roman" w:cs="Times New Roman"/>
          <w:lang w:val="sr-Latn-ME" w:bidi="en-US"/>
        </w:rPr>
      </w:pPr>
    </w:p>
    <w:p w14:paraId="780BA082" w14:textId="5380B59C" w:rsidR="00D67D34" w:rsidRPr="00314858" w:rsidRDefault="001347BD" w:rsidP="001347BD">
      <w:pPr>
        <w:spacing w:after="0" w:line="240" w:lineRule="auto"/>
        <w:jc w:val="both"/>
        <w:rPr>
          <w:rFonts w:ascii="Times New Roman" w:hAnsi="Times New Roman" w:cs="Times New Roman"/>
          <w:b/>
          <w:bCs/>
          <w:lang w:val="sr-Latn-ME" w:bidi="en-US"/>
        </w:rPr>
      </w:pPr>
      <w:r w:rsidRPr="00314858">
        <w:rPr>
          <w:rFonts w:ascii="Times New Roman" w:hAnsi="Times New Roman" w:cs="Times New Roman"/>
          <w:b/>
          <w:bCs/>
          <w:lang w:val="sr-Latn-ME" w:bidi="en-US"/>
        </w:rPr>
        <w:t xml:space="preserve">4.5. </w:t>
      </w:r>
      <w:r w:rsidR="00D67D34" w:rsidRPr="00314858">
        <w:rPr>
          <w:rFonts w:ascii="Times New Roman" w:hAnsi="Times New Roman" w:cs="Times New Roman"/>
          <w:b/>
          <w:bCs/>
          <w:lang w:val="sr-Latn-ME" w:bidi="en-US"/>
        </w:rPr>
        <w:t>Interakcije sa drugim l</w:t>
      </w:r>
      <w:r w:rsidR="009F46C4" w:rsidRPr="00314858">
        <w:rPr>
          <w:rFonts w:ascii="Times New Roman" w:hAnsi="Times New Roman" w:cs="Times New Roman"/>
          <w:b/>
          <w:bCs/>
          <w:lang w:val="sr-Latn-ME" w:bidi="en-US"/>
        </w:rPr>
        <w:t>j</w:t>
      </w:r>
      <w:r w:rsidR="00D67D34" w:rsidRPr="00314858">
        <w:rPr>
          <w:rFonts w:ascii="Times New Roman" w:hAnsi="Times New Roman" w:cs="Times New Roman"/>
          <w:b/>
          <w:bCs/>
          <w:lang w:val="sr-Latn-ME" w:bidi="en-US"/>
        </w:rPr>
        <w:t>ekovima i drug</w:t>
      </w:r>
      <w:r w:rsidR="007E1F22" w:rsidRPr="00314858">
        <w:rPr>
          <w:rFonts w:ascii="Times New Roman" w:hAnsi="Times New Roman" w:cs="Times New Roman"/>
          <w:b/>
          <w:bCs/>
          <w:lang w:val="sr-Latn-ME" w:bidi="en-US"/>
        </w:rPr>
        <w:t>e</w:t>
      </w:r>
      <w:r w:rsidR="00D67D34" w:rsidRPr="00314858">
        <w:rPr>
          <w:rFonts w:ascii="Times New Roman" w:hAnsi="Times New Roman" w:cs="Times New Roman"/>
          <w:b/>
          <w:bCs/>
          <w:lang w:val="sr-Latn-ME" w:bidi="en-US"/>
        </w:rPr>
        <w:t xml:space="preserve"> </w:t>
      </w:r>
      <w:r w:rsidR="007E1F22" w:rsidRPr="00314858">
        <w:rPr>
          <w:rFonts w:ascii="Times New Roman" w:hAnsi="Times New Roman" w:cs="Times New Roman"/>
          <w:b/>
          <w:bCs/>
          <w:lang w:val="sr-Latn-ME" w:bidi="en-US"/>
        </w:rPr>
        <w:t>vrste</w:t>
      </w:r>
      <w:r w:rsidR="00D67D34" w:rsidRPr="00314858">
        <w:rPr>
          <w:rFonts w:ascii="Times New Roman" w:hAnsi="Times New Roman" w:cs="Times New Roman"/>
          <w:b/>
          <w:bCs/>
          <w:lang w:val="sr-Latn-ME" w:bidi="en-US"/>
        </w:rPr>
        <w:t xml:space="preserve"> interakcija</w:t>
      </w:r>
    </w:p>
    <w:p w14:paraId="55A3E86C" w14:textId="77777777" w:rsidR="0009272D" w:rsidRPr="00314858" w:rsidRDefault="0009272D" w:rsidP="001347BD">
      <w:pPr>
        <w:spacing w:after="0" w:line="240" w:lineRule="auto"/>
        <w:jc w:val="both"/>
        <w:rPr>
          <w:rFonts w:ascii="Times New Roman" w:hAnsi="Times New Roman" w:cs="Times New Roman"/>
          <w:b/>
          <w:bCs/>
          <w:lang w:val="sr-Latn-ME" w:bidi="en-US"/>
        </w:rPr>
      </w:pPr>
    </w:p>
    <w:p w14:paraId="7119821A" w14:textId="6702FDEA" w:rsidR="00D67D34" w:rsidRPr="00314858" w:rsidRDefault="00D67D34" w:rsidP="00D67D34">
      <w:pPr>
        <w:spacing w:after="0" w:line="240" w:lineRule="auto"/>
        <w:jc w:val="both"/>
        <w:rPr>
          <w:rFonts w:ascii="Times New Roman" w:hAnsi="Times New Roman" w:cs="Times New Roman"/>
          <w:u w:val="single"/>
          <w:lang w:val="sr-Latn-ME" w:bidi="en-US"/>
        </w:rPr>
      </w:pPr>
      <w:r w:rsidRPr="00314858">
        <w:rPr>
          <w:rFonts w:ascii="Times New Roman" w:hAnsi="Times New Roman" w:cs="Times New Roman"/>
          <w:u w:val="single"/>
          <w:lang w:val="sr-Latn-ME" w:bidi="en-US"/>
        </w:rPr>
        <w:t xml:space="preserve">Interakcije </w:t>
      </w:r>
      <w:r w:rsidR="00777B86" w:rsidRPr="00314858">
        <w:rPr>
          <w:rFonts w:ascii="Times New Roman" w:hAnsi="Times New Roman" w:cs="Times New Roman"/>
          <w:u w:val="single"/>
          <w:lang w:val="sr-Latn-ME" w:bidi="en-US"/>
        </w:rPr>
        <w:t>na nivou transportnih mehanizama</w:t>
      </w:r>
    </w:p>
    <w:p w14:paraId="7AA1086B" w14:textId="77777777" w:rsidR="00D67D34" w:rsidRPr="00314858" w:rsidRDefault="00D67D34" w:rsidP="00D67D34">
      <w:pPr>
        <w:spacing w:after="0" w:line="240" w:lineRule="auto"/>
        <w:jc w:val="both"/>
        <w:rPr>
          <w:rFonts w:ascii="Times New Roman" w:hAnsi="Times New Roman" w:cs="Times New Roman"/>
          <w:lang w:val="sr-Latn-ME" w:bidi="en-US"/>
        </w:rPr>
      </w:pPr>
    </w:p>
    <w:p w14:paraId="0ECCDD25" w14:textId="7C773583" w:rsidR="00D67D34" w:rsidRPr="00314858" w:rsidRDefault="00D67D34" w:rsidP="00D67D34">
      <w:pPr>
        <w:spacing w:after="0" w:line="240" w:lineRule="auto"/>
        <w:jc w:val="both"/>
        <w:rPr>
          <w:rFonts w:ascii="Times New Roman" w:hAnsi="Times New Roman" w:cs="Times New Roman"/>
          <w:iCs/>
          <w:lang w:val="sr-Latn-ME"/>
        </w:rPr>
      </w:pPr>
      <w:r w:rsidRPr="00314858">
        <w:rPr>
          <w:rFonts w:ascii="Times New Roman" w:hAnsi="Times New Roman" w:cs="Times New Roman"/>
          <w:iCs/>
          <w:lang w:val="sr-Latn-ME"/>
        </w:rPr>
        <w:t>Dabigatraneteksilat je supstrat za efluks</w:t>
      </w:r>
      <w:r w:rsidR="00646F3C" w:rsidRPr="00314858">
        <w:rPr>
          <w:rFonts w:ascii="Times New Roman" w:hAnsi="Times New Roman" w:cs="Times New Roman"/>
          <w:iCs/>
          <w:lang w:val="sr-Latn-ME"/>
        </w:rPr>
        <w:t>ni</w:t>
      </w:r>
      <w:r w:rsidRPr="00314858">
        <w:rPr>
          <w:rFonts w:ascii="Times New Roman" w:hAnsi="Times New Roman" w:cs="Times New Roman"/>
          <w:iCs/>
          <w:lang w:val="sr-Latn-ME"/>
        </w:rPr>
        <w:t xml:space="preserve"> transportn</w:t>
      </w:r>
      <w:r w:rsidR="00646F3C" w:rsidRPr="00314858">
        <w:rPr>
          <w:rFonts w:ascii="Times New Roman" w:hAnsi="Times New Roman" w:cs="Times New Roman"/>
          <w:iCs/>
          <w:lang w:val="sr-Latn-ME"/>
        </w:rPr>
        <w:t>i</w:t>
      </w:r>
      <w:r w:rsidRPr="00314858">
        <w:rPr>
          <w:rFonts w:ascii="Times New Roman" w:hAnsi="Times New Roman" w:cs="Times New Roman"/>
          <w:iCs/>
          <w:lang w:val="sr-Latn-ME"/>
        </w:rPr>
        <w:t xml:space="preserve"> P-gp. Kod istovremene prim</w:t>
      </w:r>
      <w:r w:rsidR="009F46C4" w:rsidRPr="00314858">
        <w:rPr>
          <w:rFonts w:ascii="Times New Roman" w:hAnsi="Times New Roman" w:cs="Times New Roman"/>
          <w:iCs/>
          <w:lang w:val="sr-Latn-ME"/>
        </w:rPr>
        <w:t>j</w:t>
      </w:r>
      <w:r w:rsidRPr="00314858">
        <w:rPr>
          <w:rFonts w:ascii="Times New Roman" w:hAnsi="Times New Roman" w:cs="Times New Roman"/>
          <w:iCs/>
          <w:lang w:val="sr-Latn-ME"/>
        </w:rPr>
        <w:t>ene sa P-gp inhibitorima (vid</w:t>
      </w:r>
      <w:r w:rsidR="009F46C4" w:rsidRPr="00314858">
        <w:rPr>
          <w:rFonts w:ascii="Times New Roman" w:hAnsi="Times New Roman" w:cs="Times New Roman"/>
          <w:iCs/>
          <w:lang w:val="sr-Latn-ME"/>
        </w:rPr>
        <w:t>j</w:t>
      </w:r>
      <w:r w:rsidRPr="00314858">
        <w:rPr>
          <w:rFonts w:ascii="Times New Roman" w:hAnsi="Times New Roman" w:cs="Times New Roman"/>
          <w:iCs/>
          <w:lang w:val="sr-Latn-ME"/>
        </w:rPr>
        <w:t xml:space="preserve">eti </w:t>
      </w:r>
      <w:r w:rsidR="00777B86" w:rsidRPr="00314858">
        <w:rPr>
          <w:rFonts w:ascii="Times New Roman" w:hAnsi="Times New Roman" w:cs="Times New Roman"/>
          <w:iCs/>
          <w:lang w:val="sr-Latn-ME"/>
        </w:rPr>
        <w:t>t</w:t>
      </w:r>
      <w:r w:rsidRPr="00314858">
        <w:rPr>
          <w:rFonts w:ascii="Times New Roman" w:hAnsi="Times New Roman" w:cs="Times New Roman"/>
          <w:iCs/>
          <w:lang w:val="sr-Latn-ME"/>
        </w:rPr>
        <w:t>abelu 8) se očekuje da će doći do povećanih koncentracija dabigatrana</w:t>
      </w:r>
      <w:r w:rsidR="00777B86" w:rsidRPr="00314858">
        <w:rPr>
          <w:rFonts w:ascii="Times New Roman" w:hAnsi="Times New Roman" w:cs="Times New Roman"/>
          <w:iCs/>
          <w:lang w:val="sr-Latn-ME"/>
        </w:rPr>
        <w:t xml:space="preserve"> u plazmi</w:t>
      </w:r>
      <w:r w:rsidRPr="00314858">
        <w:rPr>
          <w:rFonts w:ascii="Times New Roman" w:hAnsi="Times New Roman" w:cs="Times New Roman"/>
          <w:iCs/>
          <w:lang w:val="sr-Latn-ME"/>
        </w:rPr>
        <w:t xml:space="preserve">. </w:t>
      </w:r>
    </w:p>
    <w:p w14:paraId="21C7646D" w14:textId="77777777" w:rsidR="00777B86" w:rsidRPr="00314858" w:rsidRDefault="00777B86" w:rsidP="00D67D34">
      <w:pPr>
        <w:spacing w:after="0" w:line="240" w:lineRule="auto"/>
        <w:jc w:val="both"/>
        <w:rPr>
          <w:rFonts w:ascii="Times New Roman" w:hAnsi="Times New Roman" w:cs="Times New Roman"/>
          <w:iCs/>
          <w:lang w:val="sr-Latn-ME"/>
        </w:rPr>
      </w:pPr>
    </w:p>
    <w:p w14:paraId="644C9A0C" w14:textId="756C190B" w:rsidR="00D67D34" w:rsidRPr="00314858" w:rsidRDefault="00D67D34" w:rsidP="00D67D34">
      <w:pPr>
        <w:spacing w:after="0" w:line="240" w:lineRule="auto"/>
        <w:jc w:val="both"/>
        <w:rPr>
          <w:rFonts w:ascii="Times New Roman" w:hAnsi="Times New Roman" w:cs="Times New Roman"/>
          <w:iCs/>
          <w:lang w:val="sr-Latn-ME"/>
        </w:rPr>
      </w:pPr>
      <w:r w:rsidRPr="00314858">
        <w:rPr>
          <w:rFonts w:ascii="Times New Roman" w:hAnsi="Times New Roman" w:cs="Times New Roman"/>
          <w:iCs/>
          <w:lang w:val="sr-Latn-ME"/>
        </w:rPr>
        <w:t xml:space="preserve">Ako nije drugačije posebno </w:t>
      </w:r>
      <w:r w:rsidR="00C33464" w:rsidRPr="00314858">
        <w:rPr>
          <w:rFonts w:ascii="Times New Roman" w:hAnsi="Times New Roman" w:cs="Times New Roman"/>
          <w:iCs/>
          <w:lang w:val="sr-Latn-ME"/>
        </w:rPr>
        <w:t>opisano</w:t>
      </w:r>
      <w:r w:rsidRPr="00314858">
        <w:rPr>
          <w:rFonts w:ascii="Times New Roman" w:hAnsi="Times New Roman" w:cs="Times New Roman"/>
          <w:iCs/>
          <w:lang w:val="sr-Latn-ME"/>
        </w:rPr>
        <w:t>, zaht</w:t>
      </w:r>
      <w:r w:rsidR="009F46C4" w:rsidRPr="00314858">
        <w:rPr>
          <w:rFonts w:ascii="Times New Roman" w:hAnsi="Times New Roman" w:cs="Times New Roman"/>
          <w:iCs/>
          <w:lang w:val="sr-Latn-ME"/>
        </w:rPr>
        <w:t>ij</w:t>
      </w:r>
      <w:r w:rsidRPr="00314858">
        <w:rPr>
          <w:rFonts w:ascii="Times New Roman" w:hAnsi="Times New Roman" w:cs="Times New Roman"/>
          <w:iCs/>
          <w:lang w:val="sr-Latn-ME"/>
        </w:rPr>
        <w:t xml:space="preserve">eva se </w:t>
      </w:r>
      <w:r w:rsidRPr="00314858">
        <w:rPr>
          <w:rFonts w:ascii="Times New Roman" w:hAnsi="Times New Roman" w:cs="Times New Roman"/>
          <w:lang w:val="sr-Latn-ME"/>
        </w:rPr>
        <w:t>pažljivo kliničko praćenje (tražeći znakove krvarenja ili anemije) kada se dabigatran prim</w:t>
      </w:r>
      <w:r w:rsidR="009F46C4" w:rsidRPr="00314858">
        <w:rPr>
          <w:rFonts w:ascii="Times New Roman" w:hAnsi="Times New Roman" w:cs="Times New Roman"/>
          <w:lang w:val="sr-Latn-ME"/>
        </w:rPr>
        <w:t>j</w:t>
      </w:r>
      <w:r w:rsidRPr="00314858">
        <w:rPr>
          <w:rFonts w:ascii="Times New Roman" w:hAnsi="Times New Roman" w:cs="Times New Roman"/>
          <w:lang w:val="sr-Latn-ME"/>
        </w:rPr>
        <w:t xml:space="preserve">enjuje istovremeno sa </w:t>
      </w:r>
      <w:r w:rsidRPr="00314858">
        <w:rPr>
          <w:rFonts w:ascii="Times New Roman" w:hAnsi="Times New Roman" w:cs="Times New Roman"/>
          <w:iCs/>
          <w:lang w:val="sr-Latn-ME"/>
        </w:rPr>
        <w:t>snažnim P-gp inhibitorima. Kod kombinacije sa nekim P-gp inhibitorima može biti potrebno s</w:t>
      </w:r>
      <w:r w:rsidR="00646F3C" w:rsidRPr="00314858">
        <w:rPr>
          <w:rFonts w:ascii="Times New Roman" w:hAnsi="Times New Roman" w:cs="Times New Roman"/>
          <w:iCs/>
          <w:lang w:val="sr-Latn-ME"/>
        </w:rPr>
        <w:t>manjenje</w:t>
      </w:r>
      <w:r w:rsidRPr="00314858">
        <w:rPr>
          <w:rFonts w:ascii="Times New Roman" w:hAnsi="Times New Roman" w:cs="Times New Roman"/>
          <w:iCs/>
          <w:lang w:val="sr-Latn-ME"/>
        </w:rPr>
        <w:t xml:space="preserve"> doze (vid</w:t>
      </w:r>
      <w:r w:rsidR="009F46C4" w:rsidRPr="00314858">
        <w:rPr>
          <w:rFonts w:ascii="Times New Roman" w:hAnsi="Times New Roman" w:cs="Times New Roman"/>
          <w:iCs/>
          <w:lang w:val="sr-Latn-ME"/>
        </w:rPr>
        <w:t>j</w:t>
      </w:r>
      <w:r w:rsidRPr="00314858">
        <w:rPr>
          <w:rFonts w:ascii="Times New Roman" w:hAnsi="Times New Roman" w:cs="Times New Roman"/>
          <w:iCs/>
          <w:lang w:val="sr-Latn-ME"/>
        </w:rPr>
        <w:t xml:space="preserve">eti </w:t>
      </w:r>
      <w:r w:rsidR="009F46C4" w:rsidRPr="00314858">
        <w:rPr>
          <w:rFonts w:ascii="Times New Roman" w:hAnsi="Times New Roman" w:cs="Times New Roman"/>
          <w:iCs/>
          <w:lang w:val="sr-Latn-ME"/>
        </w:rPr>
        <w:t>djelove</w:t>
      </w:r>
      <w:r w:rsidRPr="00314858">
        <w:rPr>
          <w:rFonts w:ascii="Times New Roman" w:hAnsi="Times New Roman" w:cs="Times New Roman"/>
          <w:iCs/>
          <w:lang w:val="sr-Latn-ME"/>
        </w:rPr>
        <w:t xml:space="preserve"> 4.2, 4.3, 4.4 i 5.1).</w:t>
      </w:r>
    </w:p>
    <w:p w14:paraId="69BEB4BE" w14:textId="77777777" w:rsidR="00D67D34" w:rsidRPr="00314858" w:rsidRDefault="00D67D34" w:rsidP="00D67D34">
      <w:pPr>
        <w:spacing w:after="0" w:line="240" w:lineRule="auto"/>
        <w:jc w:val="both"/>
        <w:rPr>
          <w:rFonts w:ascii="Times New Roman" w:hAnsi="Times New Roman" w:cs="Times New Roman"/>
          <w:lang w:val="sr-Latn-ME" w:bidi="en-US"/>
        </w:rPr>
      </w:pPr>
    </w:p>
    <w:p w14:paraId="3EB04C43" w14:textId="62775D37"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 xml:space="preserve">Tabela 8: Interakcije </w:t>
      </w:r>
      <w:r w:rsidR="00C33464" w:rsidRPr="00314858">
        <w:rPr>
          <w:rFonts w:ascii="Times New Roman" w:hAnsi="Times New Roman" w:cs="Times New Roman"/>
          <w:b/>
          <w:bCs/>
          <w:lang w:val="sr-Latn-ME" w:bidi="en-US"/>
        </w:rPr>
        <w:t>na nivou transportnih mehanizama</w:t>
      </w:r>
      <w:bookmarkStart w:id="3" w:name="page13"/>
      <w:bookmarkStart w:id="4" w:name="page14"/>
      <w:bookmarkEnd w:id="3"/>
      <w:bookmarkEnd w:id="4"/>
    </w:p>
    <w:p w14:paraId="3C1FC2E9" w14:textId="77777777" w:rsidR="00C33464" w:rsidRPr="00314858" w:rsidRDefault="00C33464"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515"/>
        <w:gridCol w:w="7545"/>
      </w:tblGrid>
      <w:tr w:rsidR="00D67D34" w:rsidRPr="00314858" w14:paraId="696B9CEB" w14:textId="77777777" w:rsidTr="00646F3C">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0C6A69DB" w14:textId="77777777" w:rsidR="00D67D34" w:rsidRPr="00314858" w:rsidRDefault="00D67D34" w:rsidP="00D67D34">
            <w:pPr>
              <w:spacing w:after="0" w:line="240" w:lineRule="auto"/>
              <w:jc w:val="both"/>
              <w:rPr>
                <w:rFonts w:ascii="Times New Roman" w:hAnsi="Times New Roman" w:cs="Times New Roman"/>
                <w:i/>
                <w:lang w:val="sr-Latn-ME" w:bidi="en-US"/>
              </w:rPr>
            </w:pPr>
            <w:bookmarkStart w:id="5" w:name="_Hlk65866206"/>
            <w:r w:rsidRPr="00314858">
              <w:rPr>
                <w:rFonts w:ascii="Times New Roman" w:hAnsi="Times New Roman" w:cs="Times New Roman"/>
                <w:i/>
                <w:u w:val="single"/>
                <w:lang w:val="sr-Latn-ME" w:bidi="en-US"/>
              </w:rPr>
              <w:t>P-gp inhibitori</w:t>
            </w:r>
          </w:p>
        </w:tc>
      </w:tr>
      <w:tr w:rsidR="00D67D34" w:rsidRPr="00314858" w14:paraId="3F7A5013" w14:textId="77777777" w:rsidTr="00646F3C">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606FE392" w14:textId="5BA2533C" w:rsidR="00D67D34" w:rsidRPr="00314858" w:rsidRDefault="00D67D34" w:rsidP="00D67D34">
            <w:pPr>
              <w:spacing w:after="0" w:line="240" w:lineRule="auto"/>
              <w:jc w:val="both"/>
              <w:rPr>
                <w:rFonts w:ascii="Times New Roman" w:hAnsi="Times New Roman" w:cs="Times New Roman"/>
                <w:i/>
                <w:lang w:val="sr-Latn-ME" w:bidi="en-US"/>
              </w:rPr>
            </w:pPr>
            <w:r w:rsidRPr="00314858">
              <w:rPr>
                <w:rFonts w:ascii="Times New Roman" w:hAnsi="Times New Roman" w:cs="Times New Roman"/>
                <w:i/>
                <w:lang w:val="sr-Latn-ME" w:bidi="en-US"/>
              </w:rPr>
              <w:t>Istovremena prim</w:t>
            </w:r>
            <w:r w:rsidR="00804782" w:rsidRPr="00314858">
              <w:rPr>
                <w:rFonts w:ascii="Times New Roman" w:hAnsi="Times New Roman" w:cs="Times New Roman"/>
                <w:i/>
                <w:lang w:val="sr-Latn-ME" w:bidi="en-US"/>
              </w:rPr>
              <w:t>j</w:t>
            </w:r>
            <w:r w:rsidRPr="00314858">
              <w:rPr>
                <w:rFonts w:ascii="Times New Roman" w:hAnsi="Times New Roman" w:cs="Times New Roman"/>
                <w:i/>
                <w:lang w:val="sr-Latn-ME" w:bidi="en-US"/>
              </w:rPr>
              <w:t>ena je kontraindikovana (vid</w:t>
            </w:r>
            <w:r w:rsidR="009F46C4" w:rsidRPr="00314858">
              <w:rPr>
                <w:rFonts w:ascii="Times New Roman" w:hAnsi="Times New Roman" w:cs="Times New Roman"/>
                <w:i/>
                <w:lang w:val="sr-Latn-ME" w:bidi="en-US"/>
              </w:rPr>
              <w:t>j</w:t>
            </w:r>
            <w:r w:rsidRPr="00314858">
              <w:rPr>
                <w:rFonts w:ascii="Times New Roman" w:hAnsi="Times New Roman" w:cs="Times New Roman"/>
                <w:i/>
                <w:lang w:val="sr-Latn-ME" w:bidi="en-US"/>
              </w:rPr>
              <w:t xml:space="preserve">eti </w:t>
            </w:r>
            <w:r w:rsidR="009F46C4" w:rsidRPr="00314858">
              <w:rPr>
                <w:rFonts w:ascii="Times New Roman" w:hAnsi="Times New Roman" w:cs="Times New Roman"/>
                <w:i/>
                <w:lang w:val="sr-Latn-ME" w:bidi="en-US"/>
              </w:rPr>
              <w:t>dio</w:t>
            </w:r>
            <w:r w:rsidRPr="00314858">
              <w:rPr>
                <w:rFonts w:ascii="Times New Roman" w:hAnsi="Times New Roman" w:cs="Times New Roman"/>
                <w:i/>
                <w:lang w:val="sr-Latn-ME" w:bidi="en-US"/>
              </w:rPr>
              <w:t xml:space="preserve"> 4.3)</w:t>
            </w:r>
          </w:p>
        </w:tc>
      </w:tr>
      <w:tr w:rsidR="00D67D34" w:rsidRPr="00314858" w14:paraId="50FB9818" w14:textId="77777777" w:rsidTr="0009272D">
        <w:trPr>
          <w:trHeight w:val="20"/>
          <w:jc w:val="center"/>
        </w:trPr>
        <w:tc>
          <w:tcPr>
            <w:tcW w:w="836" w:type="pct"/>
            <w:tcBorders>
              <w:top w:val="single" w:sz="4" w:space="0" w:color="auto"/>
              <w:left w:val="single" w:sz="4" w:space="0" w:color="auto"/>
            </w:tcBorders>
            <w:shd w:val="clear" w:color="auto" w:fill="auto"/>
          </w:tcPr>
          <w:p w14:paraId="525EC24A"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Ketokonazol</w:t>
            </w:r>
          </w:p>
        </w:tc>
        <w:tc>
          <w:tcPr>
            <w:tcW w:w="4164" w:type="pct"/>
            <w:tcBorders>
              <w:top w:val="single" w:sz="4" w:space="0" w:color="auto"/>
              <w:left w:val="single" w:sz="4" w:space="0" w:color="auto"/>
              <w:right w:val="single" w:sz="4" w:space="0" w:color="auto"/>
            </w:tcBorders>
            <w:shd w:val="clear" w:color="auto" w:fill="auto"/>
            <w:vAlign w:val="bottom"/>
          </w:tcPr>
          <w:p w14:paraId="641D3EB5" w14:textId="5B64A90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Ketokonazol je povećao ukupne </w:t>
            </w:r>
            <w:r w:rsidR="000D4D8A" w:rsidRPr="00314858">
              <w:rPr>
                <w:rFonts w:ascii="Times New Roman" w:hAnsi="Times New Roman" w:cs="Times New Roman"/>
                <w:lang w:val="sr-Latn-ME"/>
              </w:rPr>
              <w:t>vr</w:t>
            </w:r>
            <w:r w:rsidR="009F46C4" w:rsidRPr="00314858">
              <w:rPr>
                <w:rFonts w:ascii="Times New Roman" w:hAnsi="Times New Roman" w:cs="Times New Roman"/>
                <w:lang w:val="sr-Latn-ME"/>
              </w:rPr>
              <w:t>ij</w:t>
            </w:r>
            <w:r w:rsidR="000D4D8A" w:rsidRPr="00314858">
              <w:rPr>
                <w:rFonts w:ascii="Times New Roman" w:hAnsi="Times New Roman" w:cs="Times New Roman"/>
                <w:lang w:val="sr-Latn-ME"/>
              </w:rPr>
              <w:t xml:space="preserve">ednosti </w:t>
            </w:r>
            <w:r w:rsidRPr="00314858">
              <w:rPr>
                <w:rFonts w:ascii="Times New Roman" w:hAnsi="Times New Roman" w:cs="Times New Roman"/>
                <w:lang w:val="sr-Latn-ME"/>
              </w:rPr>
              <w:t>PIK</w:t>
            </w:r>
            <w:r w:rsidRPr="00314858">
              <w:rPr>
                <w:rFonts w:ascii="Times New Roman" w:hAnsi="Times New Roman" w:cs="Times New Roman"/>
                <w:vertAlign w:val="subscript"/>
                <w:lang w:val="sr-Latn-ME"/>
              </w:rPr>
              <w:t>0-∞</w:t>
            </w:r>
            <w:r w:rsidRPr="00314858">
              <w:rPr>
                <w:rFonts w:ascii="Times New Roman" w:hAnsi="Times New Roman" w:cs="Times New Roman"/>
                <w:lang w:val="sr-Latn-ME"/>
              </w:rPr>
              <w:t xml:space="preserve"> i 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dabigatrana 2,38 puta</w:t>
            </w:r>
            <w:r w:rsidR="000D4D8A" w:rsidRPr="00314858">
              <w:rPr>
                <w:rFonts w:ascii="Times New Roman" w:hAnsi="Times New Roman" w:cs="Times New Roman"/>
                <w:lang w:val="sr-Latn-ME"/>
              </w:rPr>
              <w:t>,</w:t>
            </w:r>
            <w:r w:rsidRPr="00314858">
              <w:rPr>
                <w:rFonts w:ascii="Times New Roman" w:hAnsi="Times New Roman" w:cs="Times New Roman"/>
                <w:lang w:val="sr-Latn-ME"/>
              </w:rPr>
              <w:t xml:space="preserve"> odnosno 2,35 puta nakon pojedinačne </w:t>
            </w:r>
            <w:r w:rsidR="000D4D8A" w:rsidRPr="00314858">
              <w:rPr>
                <w:rFonts w:ascii="Times New Roman" w:hAnsi="Times New Roman" w:cs="Times New Roman"/>
                <w:lang w:val="sr-Latn-ME"/>
              </w:rPr>
              <w:t xml:space="preserve">oralne </w:t>
            </w:r>
            <w:r w:rsidRPr="00314858">
              <w:rPr>
                <w:rFonts w:ascii="Times New Roman" w:hAnsi="Times New Roman" w:cs="Times New Roman"/>
                <w:lang w:val="sr-Latn-ME"/>
              </w:rPr>
              <w:t>doze od 400 mg, i 2,53 puta</w:t>
            </w:r>
            <w:r w:rsidR="000D4D8A" w:rsidRPr="00314858">
              <w:rPr>
                <w:rFonts w:ascii="Times New Roman" w:hAnsi="Times New Roman" w:cs="Times New Roman"/>
                <w:lang w:val="sr-Latn-ME"/>
              </w:rPr>
              <w:t>,</w:t>
            </w:r>
            <w:r w:rsidRPr="00314858">
              <w:rPr>
                <w:rFonts w:ascii="Times New Roman" w:hAnsi="Times New Roman" w:cs="Times New Roman"/>
                <w:lang w:val="sr-Latn-ME"/>
              </w:rPr>
              <w:t xml:space="preserve"> odnosno 2,49 puta nakon više</w:t>
            </w:r>
            <w:r w:rsidR="000D4D8A" w:rsidRPr="00314858">
              <w:rPr>
                <w:rFonts w:ascii="Times New Roman" w:hAnsi="Times New Roman" w:cs="Times New Roman"/>
                <w:lang w:val="sr-Latn-ME"/>
              </w:rPr>
              <w:t>strukih</w:t>
            </w:r>
            <w:r w:rsidRPr="00314858">
              <w:rPr>
                <w:rFonts w:ascii="Times New Roman" w:hAnsi="Times New Roman" w:cs="Times New Roman"/>
                <w:lang w:val="sr-Latn-ME"/>
              </w:rPr>
              <w:t xml:space="preserve"> doza od 400 mg ketokonazola </w:t>
            </w:r>
            <w:r w:rsidR="000D4D8A" w:rsidRPr="00314858">
              <w:rPr>
                <w:rFonts w:ascii="Times New Roman" w:hAnsi="Times New Roman" w:cs="Times New Roman"/>
                <w:lang w:val="sr-Latn-ME"/>
              </w:rPr>
              <w:t>prim</w:t>
            </w:r>
            <w:r w:rsidR="009F46C4" w:rsidRPr="00314858">
              <w:rPr>
                <w:rFonts w:ascii="Times New Roman" w:hAnsi="Times New Roman" w:cs="Times New Roman"/>
                <w:lang w:val="sr-Latn-ME"/>
              </w:rPr>
              <w:t>ij</w:t>
            </w:r>
            <w:r w:rsidR="000D4D8A" w:rsidRPr="00314858">
              <w:rPr>
                <w:rFonts w:ascii="Times New Roman" w:hAnsi="Times New Roman" w:cs="Times New Roman"/>
                <w:lang w:val="sr-Latn-ME"/>
              </w:rPr>
              <w:t xml:space="preserve">enjenih oralnim putem </w:t>
            </w:r>
            <w:r w:rsidRPr="00314858">
              <w:rPr>
                <w:rFonts w:ascii="Times New Roman" w:hAnsi="Times New Roman" w:cs="Times New Roman"/>
                <w:lang w:val="sr-Latn-ME"/>
              </w:rPr>
              <w:t xml:space="preserve">jednom dnevno. </w:t>
            </w:r>
          </w:p>
        </w:tc>
      </w:tr>
      <w:tr w:rsidR="0009272D" w:rsidRPr="00314858" w14:paraId="6787EBDF" w14:textId="77777777" w:rsidTr="0009272D">
        <w:trPr>
          <w:trHeight w:val="20"/>
          <w:jc w:val="center"/>
        </w:trPr>
        <w:tc>
          <w:tcPr>
            <w:tcW w:w="836" w:type="pct"/>
            <w:tcBorders>
              <w:top w:val="single" w:sz="4" w:space="0" w:color="auto"/>
              <w:left w:val="single" w:sz="4" w:space="0" w:color="auto"/>
            </w:tcBorders>
            <w:shd w:val="clear" w:color="auto" w:fill="auto"/>
          </w:tcPr>
          <w:p w14:paraId="5F06B199"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Dronedaron</w:t>
            </w:r>
          </w:p>
        </w:tc>
        <w:tc>
          <w:tcPr>
            <w:tcW w:w="4164" w:type="pct"/>
            <w:tcBorders>
              <w:top w:val="single" w:sz="4" w:space="0" w:color="auto"/>
              <w:left w:val="single" w:sz="4" w:space="0" w:color="auto"/>
              <w:right w:val="single" w:sz="4" w:space="0" w:color="auto"/>
            </w:tcBorders>
            <w:shd w:val="clear" w:color="auto" w:fill="auto"/>
          </w:tcPr>
          <w:p w14:paraId="1ED83577" w14:textId="66451512"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Kada su se dabigatraneteksilat i dronedaron prim</w:t>
            </w:r>
            <w:r w:rsidR="009F46C4" w:rsidRPr="00314858">
              <w:rPr>
                <w:rFonts w:ascii="Times New Roman" w:hAnsi="Times New Roman" w:cs="Times New Roman"/>
                <w:lang w:val="sr-Latn-ME"/>
              </w:rPr>
              <w:t>j</w:t>
            </w:r>
            <w:r w:rsidRPr="00314858">
              <w:rPr>
                <w:rFonts w:ascii="Times New Roman" w:hAnsi="Times New Roman" w:cs="Times New Roman"/>
                <w:lang w:val="sr-Latn-ME"/>
              </w:rPr>
              <w:t xml:space="preserve">enjivali istovremeno, ukupne </w:t>
            </w:r>
            <w:r w:rsidR="000D4D8A" w:rsidRPr="00314858">
              <w:rPr>
                <w:rFonts w:ascii="Times New Roman" w:hAnsi="Times New Roman" w:cs="Times New Roman"/>
                <w:lang w:val="sr-Latn-ME"/>
              </w:rPr>
              <w:t>vr</w:t>
            </w:r>
            <w:r w:rsidR="009F46C4" w:rsidRPr="00314858">
              <w:rPr>
                <w:rFonts w:ascii="Times New Roman" w:hAnsi="Times New Roman" w:cs="Times New Roman"/>
                <w:lang w:val="sr-Latn-ME"/>
              </w:rPr>
              <w:t>ij</w:t>
            </w:r>
            <w:r w:rsidR="000D4D8A" w:rsidRPr="00314858">
              <w:rPr>
                <w:rFonts w:ascii="Times New Roman" w:hAnsi="Times New Roman" w:cs="Times New Roman"/>
                <w:lang w:val="sr-Latn-ME"/>
              </w:rPr>
              <w:t xml:space="preserve">ednosti </w:t>
            </w:r>
            <w:r w:rsidRPr="00314858">
              <w:rPr>
                <w:rFonts w:ascii="Times New Roman" w:hAnsi="Times New Roman" w:cs="Times New Roman"/>
                <w:lang w:val="sr-Latn-ME"/>
              </w:rPr>
              <w:t>PIK</w:t>
            </w:r>
            <w:r w:rsidRPr="00314858">
              <w:rPr>
                <w:rFonts w:ascii="Times New Roman" w:hAnsi="Times New Roman" w:cs="Times New Roman"/>
                <w:vertAlign w:val="subscript"/>
                <w:lang w:val="sr-Latn-ME"/>
              </w:rPr>
              <w:t>0-∞</w:t>
            </w:r>
            <w:r w:rsidR="000D4D8A" w:rsidRPr="00314858">
              <w:rPr>
                <w:rFonts w:ascii="Times New Roman" w:hAnsi="Times New Roman" w:cs="Times New Roman"/>
                <w:lang w:val="sr-Latn-ME"/>
              </w:rPr>
              <w:t xml:space="preserve"> </w:t>
            </w:r>
            <w:r w:rsidRPr="00314858">
              <w:rPr>
                <w:rFonts w:ascii="Times New Roman" w:hAnsi="Times New Roman" w:cs="Times New Roman"/>
                <w:lang w:val="sr-Latn-ME"/>
              </w:rPr>
              <w:t>i 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dabigatrana su se povećavale 2</w:t>
            </w:r>
            <w:r w:rsidR="00E61BB7" w:rsidRPr="00314858">
              <w:rPr>
                <w:rFonts w:ascii="Times New Roman" w:hAnsi="Times New Roman" w:cs="Times New Roman"/>
                <w:lang w:val="sr-Latn-ME"/>
              </w:rPr>
              <w:t>,</w:t>
            </w:r>
            <w:r w:rsidRPr="00314858">
              <w:rPr>
                <w:rFonts w:ascii="Times New Roman" w:hAnsi="Times New Roman" w:cs="Times New Roman"/>
                <w:lang w:val="sr-Latn-ME"/>
              </w:rPr>
              <w:t>4 puta</w:t>
            </w:r>
            <w:r w:rsidRPr="00314858">
              <w:rPr>
                <w:rFonts w:ascii="Times New Roman" w:hAnsi="Times New Roman" w:cs="Times New Roman"/>
                <w:bCs/>
                <w:lang w:val="sr-Latn-ME"/>
              </w:rPr>
              <w:t>, odnosno</w:t>
            </w:r>
            <w:r w:rsidRPr="00314858">
              <w:rPr>
                <w:rFonts w:ascii="Times New Roman" w:hAnsi="Times New Roman" w:cs="Times New Roman"/>
                <w:lang w:val="sr-Latn-ME"/>
              </w:rPr>
              <w:t xml:space="preserve"> 2</w:t>
            </w:r>
            <w:r w:rsidR="00E61BB7" w:rsidRPr="00314858">
              <w:rPr>
                <w:rFonts w:ascii="Times New Roman" w:hAnsi="Times New Roman" w:cs="Times New Roman"/>
                <w:lang w:val="sr-Latn-ME"/>
              </w:rPr>
              <w:t>,</w:t>
            </w:r>
            <w:r w:rsidRPr="00314858">
              <w:rPr>
                <w:rFonts w:ascii="Times New Roman" w:hAnsi="Times New Roman" w:cs="Times New Roman"/>
                <w:lang w:val="sr-Latn-ME"/>
              </w:rPr>
              <w:t xml:space="preserve">3 puta </w:t>
            </w:r>
            <w:r w:rsidRPr="00314858">
              <w:rPr>
                <w:rFonts w:ascii="Times New Roman" w:hAnsi="Times New Roman" w:cs="Times New Roman"/>
                <w:bCs/>
                <w:lang w:val="sr-Latn-ME"/>
              </w:rPr>
              <w:t>nakon višestrukih doza od 400 mg dronedarona dva puta dnevno, i za oko 2</w:t>
            </w:r>
            <w:r w:rsidR="00E61BB7" w:rsidRPr="00314858">
              <w:rPr>
                <w:rFonts w:ascii="Times New Roman" w:hAnsi="Times New Roman" w:cs="Times New Roman"/>
                <w:bCs/>
                <w:lang w:val="sr-Latn-ME"/>
              </w:rPr>
              <w:t>,</w:t>
            </w:r>
            <w:r w:rsidRPr="00314858">
              <w:rPr>
                <w:rFonts w:ascii="Times New Roman" w:hAnsi="Times New Roman" w:cs="Times New Roman"/>
                <w:bCs/>
                <w:lang w:val="sr-Latn-ME"/>
              </w:rPr>
              <w:t>1 puta, odnosno 1</w:t>
            </w:r>
            <w:r w:rsidR="00E61BB7" w:rsidRPr="00314858">
              <w:rPr>
                <w:rFonts w:ascii="Times New Roman" w:hAnsi="Times New Roman" w:cs="Times New Roman"/>
                <w:bCs/>
                <w:lang w:val="sr-Latn-ME"/>
              </w:rPr>
              <w:t>,</w:t>
            </w:r>
            <w:r w:rsidRPr="00314858">
              <w:rPr>
                <w:rFonts w:ascii="Times New Roman" w:hAnsi="Times New Roman" w:cs="Times New Roman"/>
                <w:bCs/>
                <w:lang w:val="sr-Latn-ME"/>
              </w:rPr>
              <w:t xml:space="preserve">9 puta nakon pojedinačne doze od 400 mg dronedarona. </w:t>
            </w:r>
          </w:p>
        </w:tc>
      </w:tr>
      <w:tr w:rsidR="00D67D34" w:rsidRPr="00314858" w14:paraId="725FCAE8" w14:textId="77777777" w:rsidTr="0009272D">
        <w:trPr>
          <w:trHeight w:val="20"/>
          <w:jc w:val="center"/>
        </w:trPr>
        <w:tc>
          <w:tcPr>
            <w:tcW w:w="836" w:type="pct"/>
            <w:tcBorders>
              <w:top w:val="single" w:sz="4" w:space="0" w:color="auto"/>
              <w:left w:val="single" w:sz="4" w:space="0" w:color="auto"/>
              <w:bottom w:val="single" w:sz="4" w:space="0" w:color="auto"/>
            </w:tcBorders>
            <w:shd w:val="clear" w:color="auto" w:fill="auto"/>
            <w:vAlign w:val="bottom"/>
          </w:tcPr>
          <w:p w14:paraId="6470BB74"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Itrakonazol,</w:t>
            </w:r>
          </w:p>
          <w:p w14:paraId="0D87709A" w14:textId="6DCF3F06"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ciklosporin</w:t>
            </w:r>
          </w:p>
        </w:tc>
        <w:tc>
          <w:tcPr>
            <w:tcW w:w="4164" w:type="pct"/>
            <w:tcBorders>
              <w:top w:val="single" w:sz="4" w:space="0" w:color="auto"/>
              <w:left w:val="single" w:sz="4" w:space="0" w:color="auto"/>
              <w:bottom w:val="single" w:sz="4" w:space="0" w:color="auto"/>
              <w:right w:val="single" w:sz="4" w:space="0" w:color="auto"/>
            </w:tcBorders>
            <w:shd w:val="clear" w:color="auto" w:fill="auto"/>
          </w:tcPr>
          <w:p w14:paraId="1FF76EBB" w14:textId="53C418A3"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 xml:space="preserve">Na osnovu rezultata u </w:t>
            </w:r>
            <w:r w:rsidRPr="00314858">
              <w:rPr>
                <w:rFonts w:ascii="Times New Roman" w:hAnsi="Times New Roman" w:cs="Times New Roman"/>
                <w:i/>
                <w:lang w:val="sr-Latn-ME"/>
              </w:rPr>
              <w:t>in vitro</w:t>
            </w:r>
            <w:r w:rsidRPr="00314858">
              <w:rPr>
                <w:rFonts w:ascii="Times New Roman" w:hAnsi="Times New Roman" w:cs="Times New Roman"/>
                <w:lang w:val="sr-Latn-ME"/>
              </w:rPr>
              <w:t xml:space="preserve"> uslovima može se očekivati slič</w:t>
            </w:r>
            <w:r w:rsidR="000D4D8A" w:rsidRPr="00314858">
              <w:rPr>
                <w:rFonts w:ascii="Times New Roman" w:hAnsi="Times New Roman" w:cs="Times New Roman"/>
                <w:lang w:val="sr-Latn-ME"/>
              </w:rPr>
              <w:t>no dejstvo</w:t>
            </w:r>
            <w:r w:rsidRPr="00314858">
              <w:rPr>
                <w:rFonts w:ascii="Times New Roman" w:hAnsi="Times New Roman" w:cs="Times New Roman"/>
                <w:lang w:val="sr-Latn-ME"/>
              </w:rPr>
              <w:t xml:space="preserve"> kao i sa ketokonazol</w:t>
            </w:r>
            <w:r w:rsidR="0009272D" w:rsidRPr="00314858">
              <w:rPr>
                <w:rFonts w:ascii="Times New Roman" w:hAnsi="Times New Roman" w:cs="Times New Roman"/>
                <w:lang w:val="sr-Latn-ME"/>
              </w:rPr>
              <w:t>o</w:t>
            </w:r>
            <w:r w:rsidRPr="00314858">
              <w:rPr>
                <w:rFonts w:ascii="Times New Roman" w:hAnsi="Times New Roman" w:cs="Times New Roman"/>
                <w:lang w:val="sr-Latn-ME"/>
              </w:rPr>
              <w:t>m.</w:t>
            </w:r>
          </w:p>
        </w:tc>
      </w:tr>
      <w:tr w:rsidR="00D67D34" w:rsidRPr="00314858" w14:paraId="036A2259" w14:textId="77777777" w:rsidTr="0009272D">
        <w:trPr>
          <w:trHeight w:val="20"/>
          <w:jc w:val="center"/>
        </w:trPr>
        <w:tc>
          <w:tcPr>
            <w:tcW w:w="836" w:type="pct"/>
            <w:tcBorders>
              <w:top w:val="single" w:sz="4" w:space="0" w:color="auto"/>
              <w:left w:val="single" w:sz="4" w:space="0" w:color="auto"/>
            </w:tcBorders>
            <w:shd w:val="clear" w:color="auto" w:fill="auto"/>
          </w:tcPr>
          <w:p w14:paraId="5FF8115A" w14:textId="24F219F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Glekaprevir/ pibrentasvir</w:t>
            </w:r>
          </w:p>
        </w:tc>
        <w:tc>
          <w:tcPr>
            <w:tcW w:w="4164" w:type="pct"/>
            <w:tcBorders>
              <w:top w:val="single" w:sz="4" w:space="0" w:color="auto"/>
              <w:left w:val="single" w:sz="4" w:space="0" w:color="auto"/>
              <w:right w:val="single" w:sz="4" w:space="0" w:color="auto"/>
            </w:tcBorders>
            <w:shd w:val="clear" w:color="auto" w:fill="auto"/>
            <w:vAlign w:val="bottom"/>
          </w:tcPr>
          <w:p w14:paraId="32FBDD6B" w14:textId="03464595" w:rsidR="00D67D34" w:rsidRPr="00314858" w:rsidRDefault="0009272D"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Za istovremenu prim</w:t>
            </w:r>
            <w:r w:rsidR="009F46C4" w:rsidRPr="00314858">
              <w:rPr>
                <w:rFonts w:ascii="Times New Roman" w:hAnsi="Times New Roman" w:cs="Times New Roman"/>
                <w:lang w:val="sr-Latn-ME"/>
              </w:rPr>
              <w:t>j</w:t>
            </w:r>
            <w:r w:rsidRPr="00314858">
              <w:rPr>
                <w:rFonts w:ascii="Times New Roman" w:hAnsi="Times New Roman" w:cs="Times New Roman"/>
                <w:lang w:val="sr-Latn-ME"/>
              </w:rPr>
              <w:t>enu dabigatraneteksilata sa fiksnom kombinacijom P-gp inhibitora glekaprevir/pibrentasvir pokazano je da pove</w:t>
            </w:r>
            <w:r w:rsidR="00E61BB7" w:rsidRPr="00314858">
              <w:rPr>
                <w:rFonts w:ascii="Times New Roman" w:hAnsi="Times New Roman" w:cs="Times New Roman"/>
                <w:lang w:val="sr-Latn-ME"/>
              </w:rPr>
              <w:t>ć</w:t>
            </w:r>
            <w:r w:rsidRPr="00314858">
              <w:rPr>
                <w:rFonts w:ascii="Times New Roman" w:hAnsi="Times New Roman" w:cs="Times New Roman"/>
                <w:lang w:val="sr-Latn-ME"/>
              </w:rPr>
              <w:t xml:space="preserve">ava izloženost dabigatranu i može </w:t>
            </w:r>
            <w:r w:rsidR="000D4D8A" w:rsidRPr="00314858">
              <w:rPr>
                <w:rFonts w:ascii="Times New Roman" w:hAnsi="Times New Roman" w:cs="Times New Roman"/>
                <w:lang w:val="sr-Latn-ME"/>
              </w:rPr>
              <w:t>da poveća</w:t>
            </w:r>
            <w:r w:rsidRPr="00314858">
              <w:rPr>
                <w:rFonts w:ascii="Times New Roman" w:hAnsi="Times New Roman" w:cs="Times New Roman"/>
                <w:lang w:val="sr-Latn-ME"/>
              </w:rPr>
              <w:t xml:space="preserve"> rizik od krvarenja.</w:t>
            </w:r>
          </w:p>
        </w:tc>
      </w:tr>
      <w:tr w:rsidR="00D67D34" w:rsidRPr="00314858" w14:paraId="38DE8871" w14:textId="77777777" w:rsidTr="00646F3C">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19B466F5" w14:textId="39E82A23" w:rsidR="00D67D34" w:rsidRPr="00314858" w:rsidRDefault="00D67D34" w:rsidP="00D67D34">
            <w:pPr>
              <w:spacing w:after="0" w:line="240" w:lineRule="auto"/>
              <w:jc w:val="both"/>
              <w:rPr>
                <w:rFonts w:ascii="Times New Roman" w:hAnsi="Times New Roman" w:cs="Times New Roman"/>
                <w:i/>
                <w:lang w:val="sr-Latn-ME" w:bidi="en-US"/>
              </w:rPr>
            </w:pPr>
            <w:r w:rsidRPr="00314858">
              <w:rPr>
                <w:rFonts w:ascii="Times New Roman" w:hAnsi="Times New Roman" w:cs="Times New Roman"/>
                <w:i/>
                <w:lang w:val="sr-Latn-ME" w:bidi="en-US"/>
              </w:rPr>
              <w:t>Istovremena prim</w:t>
            </w:r>
            <w:r w:rsidR="009F46C4" w:rsidRPr="00314858">
              <w:rPr>
                <w:rFonts w:ascii="Times New Roman" w:hAnsi="Times New Roman" w:cs="Times New Roman"/>
                <w:i/>
                <w:lang w:val="sr-Latn-ME" w:bidi="en-US"/>
              </w:rPr>
              <w:t>j</w:t>
            </w:r>
            <w:r w:rsidRPr="00314858">
              <w:rPr>
                <w:rFonts w:ascii="Times New Roman" w:hAnsi="Times New Roman" w:cs="Times New Roman"/>
                <w:i/>
                <w:lang w:val="sr-Latn-ME" w:bidi="en-US"/>
              </w:rPr>
              <w:t>ena se ne preporučuje</w:t>
            </w:r>
          </w:p>
        </w:tc>
      </w:tr>
      <w:tr w:rsidR="00D67D34" w:rsidRPr="00314858" w14:paraId="692159B6" w14:textId="77777777" w:rsidTr="0009272D">
        <w:trPr>
          <w:trHeight w:val="20"/>
          <w:jc w:val="center"/>
        </w:trPr>
        <w:tc>
          <w:tcPr>
            <w:tcW w:w="836" w:type="pct"/>
            <w:tcBorders>
              <w:top w:val="single" w:sz="4" w:space="0" w:color="auto"/>
              <w:left w:val="single" w:sz="4" w:space="0" w:color="auto"/>
              <w:bottom w:val="single" w:sz="4" w:space="0" w:color="auto"/>
            </w:tcBorders>
            <w:shd w:val="clear" w:color="auto" w:fill="auto"/>
          </w:tcPr>
          <w:p w14:paraId="4C251CCF"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Takrolimus</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10856932" w14:textId="177AEAF3"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 xml:space="preserve">U </w:t>
            </w:r>
            <w:r w:rsidRPr="00314858">
              <w:rPr>
                <w:rFonts w:ascii="Times New Roman" w:hAnsi="Times New Roman" w:cs="Times New Roman"/>
                <w:i/>
                <w:lang w:val="sr-Latn-ME"/>
              </w:rPr>
              <w:t>in vitro</w:t>
            </w:r>
            <w:r w:rsidRPr="00314858">
              <w:rPr>
                <w:rFonts w:ascii="Times New Roman" w:hAnsi="Times New Roman" w:cs="Times New Roman"/>
                <w:lang w:val="sr-Latn-ME"/>
              </w:rPr>
              <w:t xml:space="preserve"> uslovima je pokazano da takrolimus ima slič</w:t>
            </w:r>
            <w:r w:rsidR="00C27899" w:rsidRPr="00314858">
              <w:rPr>
                <w:rFonts w:ascii="Times New Roman" w:hAnsi="Times New Roman" w:cs="Times New Roman"/>
                <w:lang w:val="sr-Latn-ME"/>
              </w:rPr>
              <w:t>no inhibitorno dejstvo</w:t>
            </w:r>
            <w:r w:rsidRPr="00314858">
              <w:rPr>
                <w:rFonts w:ascii="Times New Roman" w:hAnsi="Times New Roman" w:cs="Times New Roman"/>
                <w:lang w:val="sr-Latn-ME"/>
              </w:rPr>
              <w:t xml:space="preserve"> na P-g</w:t>
            </w:r>
            <w:r w:rsidR="00E61BB7" w:rsidRPr="00314858">
              <w:rPr>
                <w:rFonts w:ascii="Times New Roman" w:hAnsi="Times New Roman" w:cs="Times New Roman"/>
                <w:lang w:val="sr-Latn-ME"/>
              </w:rPr>
              <w:t>p</w:t>
            </w:r>
            <w:r w:rsidRPr="00314858">
              <w:rPr>
                <w:rFonts w:ascii="Times New Roman" w:hAnsi="Times New Roman" w:cs="Times New Roman"/>
                <w:lang w:val="sr-Latn-ME"/>
              </w:rPr>
              <w:t xml:space="preserve"> kao itrakonazol i ciklosporin. Dabigatraneteksilat nije bio klinički ispitivan </w:t>
            </w:r>
            <w:r w:rsidR="00C27899" w:rsidRPr="00314858">
              <w:rPr>
                <w:rFonts w:ascii="Times New Roman" w:hAnsi="Times New Roman" w:cs="Times New Roman"/>
                <w:lang w:val="sr-Latn-ME"/>
              </w:rPr>
              <w:t xml:space="preserve">zajedno </w:t>
            </w:r>
            <w:r w:rsidRPr="00314858">
              <w:rPr>
                <w:rFonts w:ascii="Times New Roman" w:hAnsi="Times New Roman" w:cs="Times New Roman"/>
                <w:lang w:val="sr-Latn-ME"/>
              </w:rPr>
              <w:t>sa takrolimusom. Međutim, ograničeni klinički podaci sa drugim P-gp supstratom</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(everolimus) ukazuju da je inhibicija P-g</w:t>
            </w:r>
            <w:r w:rsidR="00C27899" w:rsidRPr="00314858">
              <w:rPr>
                <w:rFonts w:ascii="Times New Roman" w:hAnsi="Times New Roman" w:cs="Times New Roman"/>
                <w:lang w:val="sr-Latn-ME"/>
              </w:rPr>
              <w:t>p</w:t>
            </w:r>
            <w:r w:rsidRPr="00314858">
              <w:rPr>
                <w:rFonts w:ascii="Times New Roman" w:hAnsi="Times New Roman" w:cs="Times New Roman"/>
                <w:lang w:val="sr-Latn-ME"/>
              </w:rPr>
              <w:t xml:space="preserve"> sa takrolimusom slabija od one uočene sa </w:t>
            </w:r>
            <w:r w:rsidR="00C27899" w:rsidRPr="00314858">
              <w:rPr>
                <w:rFonts w:ascii="Times New Roman" w:hAnsi="Times New Roman" w:cs="Times New Roman"/>
                <w:lang w:val="sr-Latn-ME"/>
              </w:rPr>
              <w:t>snažnim</w:t>
            </w:r>
            <w:r w:rsidRPr="00314858">
              <w:rPr>
                <w:rFonts w:ascii="Times New Roman" w:hAnsi="Times New Roman" w:cs="Times New Roman"/>
                <w:lang w:val="sr-Latn-ME"/>
              </w:rPr>
              <w:t xml:space="preserve"> P-gp inhibitorima.</w:t>
            </w:r>
          </w:p>
        </w:tc>
      </w:tr>
      <w:tr w:rsidR="00D67D34" w:rsidRPr="00314858" w14:paraId="7F9B9D27" w14:textId="77777777" w:rsidTr="00646F3C">
        <w:trPr>
          <w:trHeight w:val="68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B7DF3" w14:textId="6F232505" w:rsidR="00D67D34" w:rsidRPr="00314858" w:rsidRDefault="00D67D34" w:rsidP="00D67D34">
            <w:pPr>
              <w:spacing w:after="0" w:line="240" w:lineRule="auto"/>
              <w:jc w:val="both"/>
              <w:rPr>
                <w:rFonts w:ascii="Times New Roman" w:hAnsi="Times New Roman" w:cs="Times New Roman"/>
                <w:i/>
                <w:lang w:val="sr-Latn-ME" w:bidi="en-US"/>
              </w:rPr>
            </w:pPr>
            <w:r w:rsidRPr="00314858">
              <w:rPr>
                <w:rFonts w:ascii="Times New Roman" w:hAnsi="Times New Roman" w:cs="Times New Roman"/>
                <w:i/>
                <w:lang w:val="sr-Latn-ME" w:bidi="en-US"/>
              </w:rPr>
              <w:t>Potreban je oprez u slučaju istovremene prim</w:t>
            </w:r>
            <w:r w:rsidR="009F46C4" w:rsidRPr="00314858">
              <w:rPr>
                <w:rFonts w:ascii="Times New Roman" w:hAnsi="Times New Roman" w:cs="Times New Roman"/>
                <w:i/>
                <w:lang w:val="sr-Latn-ME" w:bidi="en-US"/>
              </w:rPr>
              <w:t>j</w:t>
            </w:r>
            <w:r w:rsidRPr="00314858">
              <w:rPr>
                <w:rFonts w:ascii="Times New Roman" w:hAnsi="Times New Roman" w:cs="Times New Roman"/>
                <w:i/>
                <w:lang w:val="sr-Latn-ME" w:bidi="en-US"/>
              </w:rPr>
              <w:t>ene (vid</w:t>
            </w:r>
            <w:r w:rsidR="009F46C4" w:rsidRPr="00314858">
              <w:rPr>
                <w:rFonts w:ascii="Times New Roman" w:hAnsi="Times New Roman" w:cs="Times New Roman"/>
                <w:i/>
                <w:lang w:val="sr-Latn-ME" w:bidi="en-US"/>
              </w:rPr>
              <w:t>j</w:t>
            </w:r>
            <w:r w:rsidRPr="00314858">
              <w:rPr>
                <w:rFonts w:ascii="Times New Roman" w:hAnsi="Times New Roman" w:cs="Times New Roman"/>
                <w:i/>
                <w:lang w:val="sr-Latn-ME" w:bidi="en-US"/>
              </w:rPr>
              <w:t xml:space="preserve">eti </w:t>
            </w:r>
            <w:r w:rsidR="009F46C4" w:rsidRPr="00314858">
              <w:rPr>
                <w:rFonts w:ascii="Times New Roman" w:hAnsi="Times New Roman" w:cs="Times New Roman"/>
                <w:i/>
                <w:lang w:val="sr-Latn-ME" w:bidi="en-US"/>
              </w:rPr>
              <w:t>djelove</w:t>
            </w:r>
            <w:r w:rsidRPr="00314858">
              <w:rPr>
                <w:rFonts w:ascii="Times New Roman" w:hAnsi="Times New Roman" w:cs="Times New Roman"/>
                <w:i/>
                <w:lang w:val="sr-Latn-ME" w:bidi="en-US"/>
              </w:rPr>
              <w:t xml:space="preserve"> 4.2 i 4.4)</w:t>
            </w:r>
          </w:p>
        </w:tc>
      </w:tr>
      <w:tr w:rsidR="00D67D34" w:rsidRPr="00314858" w14:paraId="103B8183" w14:textId="77777777" w:rsidTr="0009272D">
        <w:trPr>
          <w:trHeight w:val="20"/>
          <w:jc w:val="center"/>
        </w:trPr>
        <w:tc>
          <w:tcPr>
            <w:tcW w:w="836" w:type="pct"/>
            <w:tcBorders>
              <w:top w:val="single" w:sz="4" w:space="0" w:color="auto"/>
              <w:left w:val="single" w:sz="4" w:space="0" w:color="auto"/>
              <w:bottom w:val="single" w:sz="4" w:space="0" w:color="auto"/>
            </w:tcBorders>
            <w:shd w:val="clear" w:color="auto" w:fill="auto"/>
          </w:tcPr>
          <w:p w14:paraId="0FE8E51F"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Verapamil</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74AA84CA" w14:textId="5676B3F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Kada se dabigatraneteksilat (150 mg) davao istovremeno sa oralno prim</w:t>
            </w:r>
            <w:r w:rsidR="009F46C4" w:rsidRPr="00314858">
              <w:rPr>
                <w:rFonts w:ascii="Times New Roman" w:hAnsi="Times New Roman" w:cs="Times New Roman"/>
                <w:lang w:val="sr-Latn-ME"/>
              </w:rPr>
              <w:t>ij</w:t>
            </w:r>
            <w:r w:rsidRPr="00314858">
              <w:rPr>
                <w:rFonts w:ascii="Times New Roman" w:hAnsi="Times New Roman" w:cs="Times New Roman"/>
                <w:lang w:val="sr-Latn-ME"/>
              </w:rPr>
              <w:t xml:space="preserve">enjenim verapamilom, </w:t>
            </w:r>
            <w:r w:rsidR="00FA1427" w:rsidRPr="00314858">
              <w:rPr>
                <w:rFonts w:ascii="Times New Roman" w:hAnsi="Times New Roman" w:cs="Times New Roman"/>
                <w:lang w:val="sr-Latn-ME"/>
              </w:rPr>
              <w:t>vr</w:t>
            </w:r>
            <w:r w:rsidR="009F46C4" w:rsidRPr="00314858">
              <w:rPr>
                <w:rFonts w:ascii="Times New Roman" w:hAnsi="Times New Roman" w:cs="Times New Roman"/>
                <w:lang w:val="sr-Latn-ME"/>
              </w:rPr>
              <w:t>ij</w:t>
            </w:r>
            <w:r w:rsidR="00FA1427" w:rsidRPr="00314858">
              <w:rPr>
                <w:rFonts w:ascii="Times New Roman" w:hAnsi="Times New Roman" w:cs="Times New Roman"/>
                <w:lang w:val="sr-Latn-ME"/>
              </w:rPr>
              <w:t xml:space="preserve">ednosti </w:t>
            </w:r>
            <w:r w:rsidRPr="00314858">
              <w:rPr>
                <w:rFonts w:ascii="Times New Roman" w:hAnsi="Times New Roman" w:cs="Times New Roman"/>
                <w:lang w:val="sr-Latn-ME"/>
              </w:rPr>
              <w:t>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i PIK dabigatrana su bil</w:t>
            </w:r>
            <w:r w:rsidR="00FA1427" w:rsidRPr="00314858">
              <w:rPr>
                <w:rFonts w:ascii="Times New Roman" w:hAnsi="Times New Roman" w:cs="Times New Roman"/>
                <w:lang w:val="sr-Latn-ME"/>
              </w:rPr>
              <w:t>e povećane</w:t>
            </w:r>
            <w:r w:rsidRPr="00314858">
              <w:rPr>
                <w:rFonts w:ascii="Times New Roman" w:hAnsi="Times New Roman" w:cs="Times New Roman"/>
                <w:lang w:val="sr-Latn-ME"/>
              </w:rPr>
              <w:t>, ali veličina ove prom</w:t>
            </w:r>
            <w:r w:rsidR="009F46C4" w:rsidRPr="00314858">
              <w:rPr>
                <w:rFonts w:ascii="Times New Roman" w:hAnsi="Times New Roman" w:cs="Times New Roman"/>
                <w:lang w:val="sr-Latn-ME"/>
              </w:rPr>
              <w:t>j</w:t>
            </w:r>
            <w:r w:rsidRPr="00314858">
              <w:rPr>
                <w:rFonts w:ascii="Times New Roman" w:hAnsi="Times New Roman" w:cs="Times New Roman"/>
                <w:lang w:val="sr-Latn-ME"/>
              </w:rPr>
              <w:t>ene se razlikuje u zavisnosti od vremena prim</w:t>
            </w:r>
            <w:r w:rsidR="009F46C4" w:rsidRPr="00314858">
              <w:rPr>
                <w:rFonts w:ascii="Times New Roman" w:hAnsi="Times New Roman" w:cs="Times New Roman"/>
                <w:lang w:val="sr-Latn-ME"/>
              </w:rPr>
              <w:t>j</w:t>
            </w:r>
            <w:r w:rsidRPr="00314858">
              <w:rPr>
                <w:rFonts w:ascii="Times New Roman" w:hAnsi="Times New Roman" w:cs="Times New Roman"/>
                <w:lang w:val="sr-Latn-ME"/>
              </w:rPr>
              <w:t>ene i formulacije verapamila (vid</w:t>
            </w:r>
            <w:r w:rsidR="009F46C4"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9F46C4" w:rsidRPr="00314858">
              <w:rPr>
                <w:rFonts w:ascii="Times New Roman" w:hAnsi="Times New Roman" w:cs="Times New Roman"/>
                <w:lang w:val="sr-Latn-ME"/>
              </w:rPr>
              <w:t>djelove</w:t>
            </w:r>
            <w:r w:rsidRPr="00314858">
              <w:rPr>
                <w:rFonts w:ascii="Times New Roman" w:hAnsi="Times New Roman" w:cs="Times New Roman"/>
                <w:lang w:val="sr-Latn-ME"/>
              </w:rPr>
              <w:t xml:space="preserve"> 4.2 i 4.4).</w:t>
            </w:r>
          </w:p>
          <w:p w14:paraId="4CB531DE" w14:textId="77777777" w:rsidR="00D67D34" w:rsidRPr="00314858" w:rsidRDefault="00D67D34" w:rsidP="00D67D34">
            <w:pPr>
              <w:spacing w:after="0" w:line="240" w:lineRule="auto"/>
              <w:jc w:val="both"/>
              <w:rPr>
                <w:rFonts w:ascii="Times New Roman" w:hAnsi="Times New Roman" w:cs="Times New Roman"/>
                <w:lang w:val="sr-Latn-ME"/>
              </w:rPr>
            </w:pPr>
          </w:p>
          <w:p w14:paraId="5E46EE7C" w14:textId="4B35A48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Najveće povećanje izloženosti dabigatranu je bilo prim</w:t>
            </w:r>
            <w:r w:rsidR="009F46C4" w:rsidRPr="00314858">
              <w:rPr>
                <w:rFonts w:ascii="Times New Roman" w:hAnsi="Times New Roman" w:cs="Times New Roman"/>
                <w:lang w:val="sr-Latn-ME"/>
              </w:rPr>
              <w:t>ij</w:t>
            </w:r>
            <w:r w:rsidRPr="00314858">
              <w:rPr>
                <w:rFonts w:ascii="Times New Roman" w:hAnsi="Times New Roman" w:cs="Times New Roman"/>
                <w:lang w:val="sr-Latn-ME"/>
              </w:rPr>
              <w:t>ećeno sa prvom dozom verapamila prim</w:t>
            </w:r>
            <w:r w:rsidR="009F46C4" w:rsidRPr="00314858">
              <w:rPr>
                <w:rFonts w:ascii="Times New Roman" w:hAnsi="Times New Roman" w:cs="Times New Roman"/>
                <w:lang w:val="sr-Latn-ME"/>
              </w:rPr>
              <w:t>ij</w:t>
            </w:r>
            <w:r w:rsidRPr="00314858">
              <w:rPr>
                <w:rFonts w:ascii="Times New Roman" w:hAnsi="Times New Roman" w:cs="Times New Roman"/>
                <w:lang w:val="sr-Latn-ME"/>
              </w:rPr>
              <w:t>enjenog kao formulacija sa trenutnim oslobađanjem supstance 1 sat pr</w:t>
            </w:r>
            <w:r w:rsidR="009F46C4" w:rsidRPr="00314858">
              <w:rPr>
                <w:rFonts w:ascii="Times New Roman" w:hAnsi="Times New Roman" w:cs="Times New Roman"/>
                <w:lang w:val="sr-Latn-ME"/>
              </w:rPr>
              <w:t>ij</w:t>
            </w:r>
            <w:r w:rsidRPr="00314858">
              <w:rPr>
                <w:rFonts w:ascii="Times New Roman" w:hAnsi="Times New Roman" w:cs="Times New Roman"/>
                <w:lang w:val="sr-Latn-ME"/>
              </w:rPr>
              <w:t xml:space="preserve">e uzimanja dabigatraneteksilata (povećanje </w:t>
            </w:r>
            <w:r w:rsidR="00FA1427" w:rsidRPr="00314858">
              <w:rPr>
                <w:rFonts w:ascii="Times New Roman" w:hAnsi="Times New Roman" w:cs="Times New Roman"/>
                <w:lang w:val="sr-Latn-ME"/>
              </w:rPr>
              <w:t>vr</w:t>
            </w:r>
            <w:r w:rsidR="009F46C4" w:rsidRPr="00314858">
              <w:rPr>
                <w:rFonts w:ascii="Times New Roman" w:hAnsi="Times New Roman" w:cs="Times New Roman"/>
                <w:lang w:val="sr-Latn-ME"/>
              </w:rPr>
              <w:t>ij</w:t>
            </w:r>
            <w:r w:rsidR="00FA1427" w:rsidRPr="00314858">
              <w:rPr>
                <w:rFonts w:ascii="Times New Roman" w:hAnsi="Times New Roman" w:cs="Times New Roman"/>
                <w:lang w:val="sr-Latn-ME"/>
              </w:rPr>
              <w:t xml:space="preserve">ednosti </w:t>
            </w:r>
            <w:r w:rsidRPr="00314858">
              <w:rPr>
                <w:rFonts w:ascii="Times New Roman" w:hAnsi="Times New Roman" w:cs="Times New Roman"/>
                <w:lang w:val="sr-Latn-ME"/>
              </w:rPr>
              <w:t>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od oko 2,8 puta i PIK od oko 2,5 puta). </w:t>
            </w:r>
            <w:r w:rsidR="00FA1427" w:rsidRPr="00314858">
              <w:rPr>
                <w:rFonts w:ascii="Times New Roman" w:hAnsi="Times New Roman" w:cs="Times New Roman"/>
                <w:lang w:val="sr-Latn-ME"/>
              </w:rPr>
              <w:t>Dejstvo</w:t>
            </w:r>
            <w:r w:rsidRPr="00314858">
              <w:rPr>
                <w:rFonts w:ascii="Times New Roman" w:hAnsi="Times New Roman" w:cs="Times New Roman"/>
                <w:lang w:val="sr-Latn-ME"/>
              </w:rPr>
              <w:t xml:space="preserve"> je bi</w:t>
            </w:r>
            <w:r w:rsidR="00FA1427" w:rsidRPr="00314858">
              <w:rPr>
                <w:rFonts w:ascii="Times New Roman" w:hAnsi="Times New Roman" w:cs="Times New Roman"/>
                <w:lang w:val="sr-Latn-ME"/>
              </w:rPr>
              <w:t>l</w:t>
            </w:r>
            <w:r w:rsidRPr="00314858">
              <w:rPr>
                <w:rFonts w:ascii="Times New Roman" w:hAnsi="Times New Roman" w:cs="Times New Roman"/>
                <w:lang w:val="sr-Latn-ME"/>
              </w:rPr>
              <w:t>o progresivno smanjivan</w:t>
            </w:r>
            <w:r w:rsidR="00FA1427" w:rsidRPr="00314858">
              <w:rPr>
                <w:rFonts w:ascii="Times New Roman" w:hAnsi="Times New Roman" w:cs="Times New Roman"/>
                <w:lang w:val="sr-Latn-ME"/>
              </w:rPr>
              <w:t>o</w:t>
            </w:r>
            <w:r w:rsidRPr="00314858">
              <w:rPr>
                <w:rFonts w:ascii="Times New Roman" w:hAnsi="Times New Roman" w:cs="Times New Roman"/>
                <w:lang w:val="sr-Latn-ME"/>
              </w:rPr>
              <w:t xml:space="preserve"> sa prim</w:t>
            </w:r>
            <w:r w:rsidR="009F46C4" w:rsidRPr="00314858">
              <w:rPr>
                <w:rFonts w:ascii="Times New Roman" w:hAnsi="Times New Roman" w:cs="Times New Roman"/>
                <w:lang w:val="sr-Latn-ME"/>
              </w:rPr>
              <w:t>j</w:t>
            </w:r>
            <w:r w:rsidRPr="00314858">
              <w:rPr>
                <w:rFonts w:ascii="Times New Roman" w:hAnsi="Times New Roman" w:cs="Times New Roman"/>
                <w:lang w:val="sr-Latn-ME"/>
              </w:rPr>
              <w:t xml:space="preserve">enom verapamil formulacije sa produženim oslobađanjem supstance (povećanje </w:t>
            </w:r>
            <w:r w:rsidR="00FA1427" w:rsidRPr="00314858">
              <w:rPr>
                <w:rFonts w:ascii="Times New Roman" w:hAnsi="Times New Roman" w:cs="Times New Roman"/>
                <w:lang w:val="sr-Latn-ME"/>
              </w:rPr>
              <w:t>vr</w:t>
            </w:r>
            <w:r w:rsidR="009F46C4" w:rsidRPr="00314858">
              <w:rPr>
                <w:rFonts w:ascii="Times New Roman" w:hAnsi="Times New Roman" w:cs="Times New Roman"/>
                <w:lang w:val="sr-Latn-ME"/>
              </w:rPr>
              <w:t>ij</w:t>
            </w:r>
            <w:r w:rsidR="00FA1427" w:rsidRPr="00314858">
              <w:rPr>
                <w:rFonts w:ascii="Times New Roman" w:hAnsi="Times New Roman" w:cs="Times New Roman"/>
                <w:lang w:val="sr-Latn-ME"/>
              </w:rPr>
              <w:t xml:space="preserve">ednosti </w:t>
            </w:r>
            <w:r w:rsidRPr="00314858">
              <w:rPr>
                <w:rFonts w:ascii="Times New Roman" w:hAnsi="Times New Roman" w:cs="Times New Roman"/>
                <w:lang w:val="sr-Latn-ME"/>
              </w:rPr>
              <w:t>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od oko 1,90 puta i PIK od oko 1,7 puta) ili prim</w:t>
            </w:r>
            <w:r w:rsidR="009F46C4" w:rsidRPr="00314858">
              <w:rPr>
                <w:rFonts w:ascii="Times New Roman" w:hAnsi="Times New Roman" w:cs="Times New Roman"/>
                <w:lang w:val="sr-Latn-ME"/>
              </w:rPr>
              <w:t>j</w:t>
            </w:r>
            <w:r w:rsidRPr="00314858">
              <w:rPr>
                <w:rFonts w:ascii="Times New Roman" w:hAnsi="Times New Roman" w:cs="Times New Roman"/>
                <w:lang w:val="sr-Latn-ME"/>
              </w:rPr>
              <w:t>enom više</w:t>
            </w:r>
            <w:r w:rsidR="00FA1427" w:rsidRPr="00314858">
              <w:rPr>
                <w:rFonts w:ascii="Times New Roman" w:hAnsi="Times New Roman" w:cs="Times New Roman"/>
                <w:lang w:val="sr-Latn-ME"/>
              </w:rPr>
              <w:t>strukih</w:t>
            </w:r>
            <w:r w:rsidRPr="00314858">
              <w:rPr>
                <w:rFonts w:ascii="Times New Roman" w:hAnsi="Times New Roman" w:cs="Times New Roman"/>
                <w:lang w:val="sr-Latn-ME"/>
              </w:rPr>
              <w:t xml:space="preserve"> doza verapamila (povećanje </w:t>
            </w:r>
            <w:r w:rsidR="00FA1427" w:rsidRPr="00314858">
              <w:rPr>
                <w:rFonts w:ascii="Times New Roman" w:hAnsi="Times New Roman" w:cs="Times New Roman"/>
                <w:lang w:val="sr-Latn-ME"/>
              </w:rPr>
              <w:t>vr</w:t>
            </w:r>
            <w:r w:rsidR="009F46C4" w:rsidRPr="00314858">
              <w:rPr>
                <w:rFonts w:ascii="Times New Roman" w:hAnsi="Times New Roman" w:cs="Times New Roman"/>
                <w:lang w:val="sr-Latn-ME"/>
              </w:rPr>
              <w:t>ij</w:t>
            </w:r>
            <w:r w:rsidR="00FA1427" w:rsidRPr="00314858">
              <w:rPr>
                <w:rFonts w:ascii="Times New Roman" w:hAnsi="Times New Roman" w:cs="Times New Roman"/>
                <w:lang w:val="sr-Latn-ME"/>
              </w:rPr>
              <w:t xml:space="preserve">ednosti </w:t>
            </w:r>
            <w:r w:rsidRPr="00314858">
              <w:rPr>
                <w:rFonts w:ascii="Times New Roman" w:hAnsi="Times New Roman" w:cs="Times New Roman"/>
                <w:lang w:val="sr-Latn-ME"/>
              </w:rPr>
              <w:t>C</w:t>
            </w:r>
            <w:r w:rsidRPr="00314858">
              <w:rPr>
                <w:rFonts w:ascii="Times New Roman" w:hAnsi="Times New Roman" w:cs="Times New Roman"/>
                <w:vertAlign w:val="subscript"/>
                <w:lang w:val="sr-Latn-ME"/>
              </w:rPr>
              <w:t xml:space="preserve">max </w:t>
            </w:r>
            <w:r w:rsidRPr="00314858">
              <w:rPr>
                <w:rFonts w:ascii="Times New Roman" w:hAnsi="Times New Roman" w:cs="Times New Roman"/>
                <w:lang w:val="sr-Latn-ME"/>
              </w:rPr>
              <w:t>od otprilike 1,6 puta i PIK od oko 1</w:t>
            </w:r>
            <w:r w:rsidR="00E61BB7" w:rsidRPr="00314858">
              <w:rPr>
                <w:rFonts w:ascii="Times New Roman" w:hAnsi="Times New Roman" w:cs="Times New Roman"/>
                <w:lang w:val="sr-Latn-ME"/>
              </w:rPr>
              <w:t>,</w:t>
            </w:r>
            <w:r w:rsidRPr="00314858">
              <w:rPr>
                <w:rFonts w:ascii="Times New Roman" w:hAnsi="Times New Roman" w:cs="Times New Roman"/>
                <w:lang w:val="sr-Latn-ME"/>
              </w:rPr>
              <w:t xml:space="preserve">5 puta). </w:t>
            </w:r>
          </w:p>
          <w:p w14:paraId="6237E6E8" w14:textId="77777777" w:rsidR="00D67D34" w:rsidRPr="00314858" w:rsidRDefault="00D67D34" w:rsidP="00D67D34">
            <w:pPr>
              <w:spacing w:after="0" w:line="240" w:lineRule="auto"/>
              <w:jc w:val="both"/>
              <w:rPr>
                <w:rFonts w:ascii="Times New Roman" w:hAnsi="Times New Roman" w:cs="Times New Roman"/>
                <w:lang w:val="sr-Latn-ME"/>
              </w:rPr>
            </w:pPr>
          </w:p>
          <w:p w14:paraId="0D7D0528" w14:textId="4C8114E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Nije prim</w:t>
            </w:r>
            <w:r w:rsidR="009F46C4" w:rsidRPr="00314858">
              <w:rPr>
                <w:rFonts w:ascii="Times New Roman" w:hAnsi="Times New Roman" w:cs="Times New Roman"/>
                <w:lang w:val="sr-Latn-ME"/>
              </w:rPr>
              <w:t>ij</w:t>
            </w:r>
            <w:r w:rsidRPr="00314858">
              <w:rPr>
                <w:rFonts w:ascii="Times New Roman" w:hAnsi="Times New Roman" w:cs="Times New Roman"/>
                <w:lang w:val="sr-Latn-ME"/>
              </w:rPr>
              <w:t>ećena značajna interakcija ukoliko se verapamil daje 2 sata posl</w:t>
            </w:r>
            <w:r w:rsidR="009F46C4" w:rsidRPr="00314858">
              <w:rPr>
                <w:rFonts w:ascii="Times New Roman" w:hAnsi="Times New Roman" w:cs="Times New Roman"/>
                <w:lang w:val="sr-Latn-ME"/>
              </w:rPr>
              <w:t>ij</w:t>
            </w:r>
            <w:r w:rsidRPr="00314858">
              <w:rPr>
                <w:rFonts w:ascii="Times New Roman" w:hAnsi="Times New Roman" w:cs="Times New Roman"/>
                <w:lang w:val="sr-Latn-ME"/>
              </w:rPr>
              <w:t xml:space="preserve">e dabigatraneteksilata (povećanje </w:t>
            </w:r>
            <w:r w:rsidR="00797219" w:rsidRPr="00314858">
              <w:rPr>
                <w:rFonts w:ascii="Times New Roman" w:hAnsi="Times New Roman" w:cs="Times New Roman"/>
                <w:lang w:val="sr-Latn-ME"/>
              </w:rPr>
              <w:t>vr</w:t>
            </w:r>
            <w:r w:rsidR="009F46C4" w:rsidRPr="00314858">
              <w:rPr>
                <w:rFonts w:ascii="Times New Roman" w:hAnsi="Times New Roman" w:cs="Times New Roman"/>
                <w:lang w:val="sr-Latn-ME"/>
              </w:rPr>
              <w:t>ij</w:t>
            </w:r>
            <w:r w:rsidR="00797219" w:rsidRPr="00314858">
              <w:rPr>
                <w:rFonts w:ascii="Times New Roman" w:hAnsi="Times New Roman" w:cs="Times New Roman"/>
                <w:lang w:val="sr-Latn-ME"/>
              </w:rPr>
              <w:t xml:space="preserve">ednosti </w:t>
            </w:r>
            <w:r w:rsidRPr="00314858">
              <w:rPr>
                <w:rFonts w:ascii="Times New Roman" w:hAnsi="Times New Roman" w:cs="Times New Roman"/>
                <w:lang w:val="sr-Latn-ME"/>
              </w:rPr>
              <w:t>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od oko 1,1 puta i PIK od oko 1,2 puta). Ovo je objašnjeno </w:t>
            </w:r>
            <w:r w:rsidR="00E61BB7" w:rsidRPr="00314858">
              <w:rPr>
                <w:rFonts w:ascii="Times New Roman" w:hAnsi="Times New Roman" w:cs="Times New Roman"/>
                <w:lang w:val="sr-Latn-ME"/>
              </w:rPr>
              <w:t>potpunom</w:t>
            </w:r>
            <w:r w:rsidRPr="00314858">
              <w:rPr>
                <w:rFonts w:ascii="Times New Roman" w:hAnsi="Times New Roman" w:cs="Times New Roman"/>
                <w:lang w:val="sr-Latn-ME"/>
              </w:rPr>
              <w:t xml:space="preserve"> resorpcijom dabigatrana nakon 2 sata.</w:t>
            </w:r>
          </w:p>
        </w:tc>
      </w:tr>
      <w:tr w:rsidR="00D67D34" w:rsidRPr="00314858" w14:paraId="5F4F3DF3" w14:textId="77777777" w:rsidTr="0009272D">
        <w:trPr>
          <w:trHeight w:val="20"/>
          <w:jc w:val="center"/>
        </w:trPr>
        <w:tc>
          <w:tcPr>
            <w:tcW w:w="836" w:type="pct"/>
            <w:tcBorders>
              <w:top w:val="single" w:sz="4" w:space="0" w:color="auto"/>
              <w:left w:val="single" w:sz="4" w:space="0" w:color="auto"/>
              <w:bottom w:val="single" w:sz="4" w:space="0" w:color="auto"/>
            </w:tcBorders>
            <w:shd w:val="clear" w:color="auto" w:fill="auto"/>
          </w:tcPr>
          <w:p w14:paraId="55E437FC"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lastRenderedPageBreak/>
              <w:t>Amjodaron</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76601695" w14:textId="77C035D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Kada se dabigatraneteksilat prim</w:t>
            </w:r>
            <w:r w:rsidR="009F46C4" w:rsidRPr="00314858">
              <w:rPr>
                <w:rFonts w:ascii="Times New Roman" w:hAnsi="Times New Roman" w:cs="Times New Roman"/>
                <w:lang w:val="sr-Latn-ME"/>
              </w:rPr>
              <w:t>j</w:t>
            </w:r>
            <w:r w:rsidRPr="00314858">
              <w:rPr>
                <w:rFonts w:ascii="Times New Roman" w:hAnsi="Times New Roman" w:cs="Times New Roman"/>
                <w:lang w:val="sr-Latn-ME"/>
              </w:rPr>
              <w:t>enjivao zajedno sa pojedinačnom oralnom dozom amjodarona od 600 mg, veličina i stepen resorpcije amjodarona i njegovog aktivnog metabolita DEA se suštinski ni</w:t>
            </w:r>
            <w:r w:rsidR="00A76BC8" w:rsidRPr="00314858">
              <w:rPr>
                <w:rFonts w:ascii="Times New Roman" w:hAnsi="Times New Roman" w:cs="Times New Roman"/>
                <w:lang w:val="sr-Latn-ME"/>
              </w:rPr>
              <w:t>je</w:t>
            </w:r>
            <w:r w:rsidRPr="00314858">
              <w:rPr>
                <w:rFonts w:ascii="Times New Roman" w:hAnsi="Times New Roman" w:cs="Times New Roman"/>
                <w:lang w:val="sr-Latn-ME"/>
              </w:rPr>
              <w:t>su m</w:t>
            </w:r>
            <w:r w:rsidR="009F46C4" w:rsidRPr="00314858">
              <w:rPr>
                <w:rFonts w:ascii="Times New Roman" w:hAnsi="Times New Roman" w:cs="Times New Roman"/>
                <w:lang w:val="sr-Latn-ME"/>
              </w:rPr>
              <w:t>ij</w:t>
            </w:r>
            <w:r w:rsidRPr="00314858">
              <w:rPr>
                <w:rFonts w:ascii="Times New Roman" w:hAnsi="Times New Roman" w:cs="Times New Roman"/>
                <w:lang w:val="sr-Latn-ME"/>
              </w:rPr>
              <w:t xml:space="preserve">enjali. </w:t>
            </w:r>
            <w:r w:rsidR="00797219" w:rsidRPr="00314858">
              <w:rPr>
                <w:rFonts w:ascii="Times New Roman" w:hAnsi="Times New Roman" w:cs="Times New Roman"/>
                <w:lang w:val="sr-Latn-ME"/>
              </w:rPr>
              <w:t>Vr</w:t>
            </w:r>
            <w:r w:rsidR="009F46C4" w:rsidRPr="00314858">
              <w:rPr>
                <w:rFonts w:ascii="Times New Roman" w:hAnsi="Times New Roman" w:cs="Times New Roman"/>
                <w:lang w:val="sr-Latn-ME"/>
              </w:rPr>
              <w:t>ij</w:t>
            </w:r>
            <w:r w:rsidR="00797219" w:rsidRPr="00314858">
              <w:rPr>
                <w:rFonts w:ascii="Times New Roman" w:hAnsi="Times New Roman" w:cs="Times New Roman"/>
                <w:lang w:val="sr-Latn-ME"/>
              </w:rPr>
              <w:t xml:space="preserve">ednosti </w:t>
            </w:r>
            <w:r w:rsidRPr="00314858">
              <w:rPr>
                <w:rFonts w:ascii="Times New Roman" w:hAnsi="Times New Roman" w:cs="Times New Roman"/>
                <w:lang w:val="sr-Latn-ME"/>
              </w:rPr>
              <w:t>PIK i 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dabigatrana su bili povećani oko 1,6 puta, odnosno 1,5 puta. Zbog dugog poluvremena eliminacije amjodarona potencijal za interakcije sa l</w:t>
            </w:r>
            <w:r w:rsidR="0041016E" w:rsidRPr="00314858">
              <w:rPr>
                <w:rFonts w:ascii="Times New Roman" w:hAnsi="Times New Roman" w:cs="Times New Roman"/>
                <w:lang w:val="sr-Latn-ME"/>
              </w:rPr>
              <w:t>j</w:t>
            </w:r>
            <w:r w:rsidRPr="00314858">
              <w:rPr>
                <w:rFonts w:ascii="Times New Roman" w:hAnsi="Times New Roman" w:cs="Times New Roman"/>
                <w:lang w:val="sr-Latn-ME"/>
              </w:rPr>
              <w:t>ekovima može da postoji ned</w:t>
            </w:r>
            <w:r w:rsidR="00804782" w:rsidRPr="00314858">
              <w:rPr>
                <w:rFonts w:ascii="Times New Roman" w:hAnsi="Times New Roman" w:cs="Times New Roman"/>
                <w:lang w:val="sr-Latn-ME"/>
              </w:rPr>
              <w:t>j</w:t>
            </w:r>
            <w:r w:rsidRPr="00314858">
              <w:rPr>
                <w:rFonts w:ascii="Times New Roman" w:hAnsi="Times New Roman" w:cs="Times New Roman"/>
                <w:lang w:val="sr-Latn-ME"/>
              </w:rPr>
              <w:t>eljama nakon prekida terapije amjodaronom (vid</w:t>
            </w:r>
            <w:r w:rsidR="0041016E"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41016E" w:rsidRPr="00314858">
              <w:rPr>
                <w:rFonts w:ascii="Times New Roman" w:hAnsi="Times New Roman" w:cs="Times New Roman"/>
                <w:lang w:val="sr-Latn-ME"/>
              </w:rPr>
              <w:t>djelove</w:t>
            </w:r>
            <w:r w:rsidRPr="00314858">
              <w:rPr>
                <w:rFonts w:ascii="Times New Roman" w:hAnsi="Times New Roman" w:cs="Times New Roman"/>
                <w:lang w:val="sr-Latn-ME"/>
              </w:rPr>
              <w:t xml:space="preserve"> 4.2.</w:t>
            </w:r>
            <w:r w:rsidR="00E61BB7" w:rsidRPr="00314858">
              <w:rPr>
                <w:rFonts w:ascii="Times New Roman" w:hAnsi="Times New Roman" w:cs="Times New Roman"/>
                <w:lang w:val="sr-Latn-ME"/>
              </w:rPr>
              <w:t xml:space="preserve"> </w:t>
            </w:r>
            <w:r w:rsidRPr="00314858">
              <w:rPr>
                <w:rFonts w:ascii="Times New Roman" w:hAnsi="Times New Roman" w:cs="Times New Roman"/>
                <w:lang w:val="sr-Latn-ME"/>
              </w:rPr>
              <w:t>i 4.4).</w:t>
            </w:r>
          </w:p>
        </w:tc>
      </w:tr>
      <w:tr w:rsidR="00D67D34" w:rsidRPr="00314858" w14:paraId="3FC3F4AC" w14:textId="77777777" w:rsidTr="0009272D">
        <w:trPr>
          <w:trHeight w:val="20"/>
          <w:jc w:val="center"/>
        </w:trPr>
        <w:tc>
          <w:tcPr>
            <w:tcW w:w="836" w:type="pct"/>
            <w:tcBorders>
              <w:top w:val="single" w:sz="4" w:space="0" w:color="auto"/>
              <w:left w:val="single" w:sz="4" w:space="0" w:color="auto"/>
            </w:tcBorders>
            <w:shd w:val="clear" w:color="auto" w:fill="auto"/>
          </w:tcPr>
          <w:p w14:paraId="7E087BCD"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Hinidin</w:t>
            </w:r>
          </w:p>
        </w:tc>
        <w:tc>
          <w:tcPr>
            <w:tcW w:w="4164" w:type="pct"/>
            <w:tcBorders>
              <w:top w:val="single" w:sz="4" w:space="0" w:color="auto"/>
              <w:left w:val="single" w:sz="4" w:space="0" w:color="auto"/>
              <w:right w:val="single" w:sz="4" w:space="0" w:color="auto"/>
            </w:tcBorders>
            <w:shd w:val="clear" w:color="auto" w:fill="auto"/>
            <w:vAlign w:val="bottom"/>
          </w:tcPr>
          <w:p w14:paraId="704C7225" w14:textId="6680775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Hinidin je dat u dozi od 200 mg svaki drugi sat sve do </w:t>
            </w:r>
            <w:r w:rsidR="00311BDE" w:rsidRPr="00314858">
              <w:rPr>
                <w:rFonts w:ascii="Times New Roman" w:hAnsi="Times New Roman" w:cs="Times New Roman"/>
                <w:lang w:val="sr-Latn-ME"/>
              </w:rPr>
              <w:t xml:space="preserve">ukupne </w:t>
            </w:r>
            <w:r w:rsidRPr="00314858">
              <w:rPr>
                <w:rFonts w:ascii="Times New Roman" w:hAnsi="Times New Roman" w:cs="Times New Roman"/>
                <w:lang w:val="sr-Latn-ME"/>
              </w:rPr>
              <w:t>doze od 1000 mg. Dabigatraneteksilat je da</w:t>
            </w:r>
            <w:r w:rsidR="00E61BB7" w:rsidRPr="00314858">
              <w:rPr>
                <w:rFonts w:ascii="Times New Roman" w:hAnsi="Times New Roman" w:cs="Times New Roman"/>
                <w:lang w:val="sr-Latn-ME"/>
              </w:rPr>
              <w:t>t</w:t>
            </w:r>
            <w:r w:rsidRPr="00314858">
              <w:rPr>
                <w:rFonts w:ascii="Times New Roman" w:hAnsi="Times New Roman" w:cs="Times New Roman"/>
                <w:lang w:val="sr-Latn-ME"/>
              </w:rPr>
              <w:t xml:space="preserve"> dva puta dnevno tokom tri uzastopna dana, a trećeg dana je dat sa hinidin</w:t>
            </w:r>
            <w:r w:rsidR="00311BDE" w:rsidRPr="00314858">
              <w:rPr>
                <w:rFonts w:ascii="Times New Roman" w:hAnsi="Times New Roman" w:cs="Times New Roman"/>
                <w:lang w:val="sr-Latn-ME"/>
              </w:rPr>
              <w:t>om ili bez njega</w:t>
            </w:r>
            <w:r w:rsidRPr="00314858">
              <w:rPr>
                <w:rFonts w:ascii="Times New Roman" w:hAnsi="Times New Roman" w:cs="Times New Roman"/>
                <w:lang w:val="sr-Latn-ME"/>
              </w:rPr>
              <w:t xml:space="preserve">. </w:t>
            </w:r>
            <w:r w:rsidR="00311BDE" w:rsidRPr="00314858">
              <w:rPr>
                <w:rFonts w:ascii="Times New Roman" w:hAnsi="Times New Roman" w:cs="Times New Roman"/>
                <w:lang w:val="sr-Latn-ME"/>
              </w:rPr>
              <w:t>Vr</w:t>
            </w:r>
            <w:r w:rsidR="0041016E" w:rsidRPr="00314858">
              <w:rPr>
                <w:rFonts w:ascii="Times New Roman" w:hAnsi="Times New Roman" w:cs="Times New Roman"/>
                <w:lang w:val="sr-Latn-ME"/>
              </w:rPr>
              <w:t>ij</w:t>
            </w:r>
            <w:r w:rsidR="00311BDE" w:rsidRPr="00314858">
              <w:rPr>
                <w:rFonts w:ascii="Times New Roman" w:hAnsi="Times New Roman" w:cs="Times New Roman"/>
                <w:lang w:val="sr-Latn-ME"/>
              </w:rPr>
              <w:t>ednosti</w:t>
            </w:r>
            <w:r w:rsidRPr="00314858">
              <w:rPr>
                <w:rFonts w:ascii="Times New Roman" w:hAnsi="Times New Roman" w:cs="Times New Roman"/>
                <w:lang w:val="sr-Latn-ME"/>
              </w:rPr>
              <w:t xml:space="preserve"> PIK</w:t>
            </w:r>
            <w:r w:rsidRPr="00314858">
              <w:rPr>
                <w:rFonts w:ascii="Times New Roman" w:hAnsi="Times New Roman" w:cs="Times New Roman"/>
                <w:vertAlign w:val="subscript"/>
                <w:lang w:val="sr-Latn-ME"/>
              </w:rPr>
              <w:sym w:font="Symbol" w:char="F074"/>
            </w:r>
            <w:r w:rsidRPr="00314858">
              <w:rPr>
                <w:rFonts w:ascii="Times New Roman" w:hAnsi="Times New Roman" w:cs="Times New Roman"/>
                <w:vertAlign w:val="subscript"/>
                <w:lang w:val="sr-Latn-ME"/>
              </w:rPr>
              <w:t>, ss</w:t>
            </w:r>
            <w:r w:rsidRPr="00314858">
              <w:rPr>
                <w:rFonts w:ascii="Times New Roman" w:hAnsi="Times New Roman" w:cs="Times New Roman"/>
                <w:lang w:val="sr-Latn-ME"/>
              </w:rPr>
              <w:t xml:space="preserve"> i C</w:t>
            </w:r>
            <w:r w:rsidRPr="00314858">
              <w:rPr>
                <w:rFonts w:ascii="Times New Roman" w:hAnsi="Times New Roman" w:cs="Times New Roman"/>
                <w:vertAlign w:val="subscript"/>
                <w:lang w:val="sr-Latn-ME"/>
              </w:rPr>
              <w:t>max</w:t>
            </w:r>
            <w:r w:rsidR="00311BDE" w:rsidRPr="00314858">
              <w:rPr>
                <w:rFonts w:ascii="Times New Roman" w:hAnsi="Times New Roman" w:cs="Times New Roman"/>
                <w:vertAlign w:val="subscript"/>
                <w:lang w:val="sr-Latn-ME"/>
              </w:rPr>
              <w:t>, ss</w:t>
            </w:r>
            <w:r w:rsidRPr="00314858">
              <w:rPr>
                <w:rFonts w:ascii="Times New Roman" w:hAnsi="Times New Roman" w:cs="Times New Roman"/>
                <w:vertAlign w:val="subscript"/>
                <w:lang w:val="sr-Latn-ME"/>
              </w:rPr>
              <w:t xml:space="preserve"> </w:t>
            </w:r>
            <w:r w:rsidR="00311BDE" w:rsidRPr="00314858">
              <w:rPr>
                <w:rFonts w:ascii="Times New Roman" w:hAnsi="Times New Roman" w:cs="Times New Roman"/>
                <w:lang w:val="sr-Latn-ME"/>
              </w:rPr>
              <w:t xml:space="preserve">dabigatrana </w:t>
            </w:r>
            <w:r w:rsidRPr="00314858">
              <w:rPr>
                <w:rFonts w:ascii="Times New Roman" w:hAnsi="Times New Roman" w:cs="Times New Roman"/>
                <w:lang w:val="sr-Latn-ME"/>
              </w:rPr>
              <w:t>su bil</w:t>
            </w:r>
            <w:r w:rsidR="00311BDE" w:rsidRPr="00314858">
              <w:rPr>
                <w:rFonts w:ascii="Times New Roman" w:hAnsi="Times New Roman" w:cs="Times New Roman"/>
                <w:lang w:val="sr-Latn-ME"/>
              </w:rPr>
              <w:t>e</w:t>
            </w:r>
            <w:r w:rsidRPr="00314858">
              <w:rPr>
                <w:rFonts w:ascii="Times New Roman" w:hAnsi="Times New Roman" w:cs="Times New Roman"/>
                <w:lang w:val="sr-Latn-ME"/>
              </w:rPr>
              <w:t xml:space="preserve"> povećan</w:t>
            </w:r>
            <w:r w:rsidR="00311BDE" w:rsidRPr="00314858">
              <w:rPr>
                <w:rFonts w:ascii="Times New Roman" w:hAnsi="Times New Roman" w:cs="Times New Roman"/>
                <w:lang w:val="sr-Latn-ME"/>
              </w:rPr>
              <w:t>e</w:t>
            </w:r>
            <w:r w:rsidRPr="00314858">
              <w:rPr>
                <w:rFonts w:ascii="Times New Roman" w:hAnsi="Times New Roman" w:cs="Times New Roman"/>
                <w:lang w:val="sr-Latn-ME"/>
              </w:rPr>
              <w:t xml:space="preserve"> u pros</w:t>
            </w:r>
            <w:r w:rsidR="00804782" w:rsidRPr="00314858">
              <w:rPr>
                <w:rFonts w:ascii="Times New Roman" w:hAnsi="Times New Roman" w:cs="Times New Roman"/>
                <w:lang w:val="sr-Latn-ME"/>
              </w:rPr>
              <w:t>j</w:t>
            </w:r>
            <w:r w:rsidRPr="00314858">
              <w:rPr>
                <w:rFonts w:ascii="Times New Roman" w:hAnsi="Times New Roman" w:cs="Times New Roman"/>
                <w:lang w:val="sr-Latn-ME"/>
              </w:rPr>
              <w:t>eku za 1,53 puta, odnosno 1,56 puta tokom istovremene prim</w:t>
            </w:r>
            <w:r w:rsidR="0041016E" w:rsidRPr="00314858">
              <w:rPr>
                <w:rFonts w:ascii="Times New Roman" w:hAnsi="Times New Roman" w:cs="Times New Roman"/>
                <w:lang w:val="sr-Latn-ME"/>
              </w:rPr>
              <w:t>j</w:t>
            </w:r>
            <w:r w:rsidRPr="00314858">
              <w:rPr>
                <w:rFonts w:ascii="Times New Roman" w:hAnsi="Times New Roman" w:cs="Times New Roman"/>
                <w:lang w:val="sr-Latn-ME"/>
              </w:rPr>
              <w:t>ene sa hinidinom (vid</w:t>
            </w:r>
            <w:r w:rsidR="0041016E"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41016E" w:rsidRPr="00314858">
              <w:rPr>
                <w:rFonts w:ascii="Times New Roman" w:hAnsi="Times New Roman" w:cs="Times New Roman"/>
                <w:lang w:val="sr-Latn-ME"/>
              </w:rPr>
              <w:t>djelove</w:t>
            </w:r>
            <w:r w:rsidRPr="00314858">
              <w:rPr>
                <w:rFonts w:ascii="Times New Roman" w:hAnsi="Times New Roman" w:cs="Times New Roman"/>
                <w:lang w:val="sr-Latn-ME"/>
              </w:rPr>
              <w:t xml:space="preserve"> 4.2 i 4.4). </w:t>
            </w:r>
          </w:p>
        </w:tc>
      </w:tr>
      <w:tr w:rsidR="00D67D34" w:rsidRPr="00314858" w14:paraId="36B2EE17" w14:textId="77777777" w:rsidTr="0009272D">
        <w:trPr>
          <w:trHeight w:val="20"/>
          <w:jc w:val="center"/>
        </w:trPr>
        <w:tc>
          <w:tcPr>
            <w:tcW w:w="836" w:type="pct"/>
            <w:tcBorders>
              <w:top w:val="single" w:sz="4" w:space="0" w:color="auto"/>
              <w:left w:val="single" w:sz="4" w:space="0" w:color="auto"/>
            </w:tcBorders>
            <w:shd w:val="clear" w:color="auto" w:fill="auto"/>
          </w:tcPr>
          <w:p w14:paraId="5B8E2E71"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Klaritomicin</w:t>
            </w:r>
          </w:p>
        </w:tc>
        <w:tc>
          <w:tcPr>
            <w:tcW w:w="4164" w:type="pct"/>
            <w:tcBorders>
              <w:top w:val="single" w:sz="4" w:space="0" w:color="auto"/>
              <w:left w:val="single" w:sz="4" w:space="0" w:color="auto"/>
              <w:right w:val="single" w:sz="4" w:space="0" w:color="auto"/>
            </w:tcBorders>
            <w:shd w:val="clear" w:color="auto" w:fill="auto"/>
          </w:tcPr>
          <w:p w14:paraId="1195B0F9" w14:textId="14E23BE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Kada se klaritromicin (500 mg dva puta dnevno) prim</w:t>
            </w:r>
            <w:r w:rsidR="0041016E" w:rsidRPr="00314858">
              <w:rPr>
                <w:rFonts w:ascii="Times New Roman" w:hAnsi="Times New Roman" w:cs="Times New Roman"/>
                <w:lang w:val="sr-Latn-ME"/>
              </w:rPr>
              <w:t>j</w:t>
            </w:r>
            <w:r w:rsidRPr="00314858">
              <w:rPr>
                <w:rFonts w:ascii="Times New Roman" w:hAnsi="Times New Roman" w:cs="Times New Roman"/>
                <w:lang w:val="sr-Latn-ME"/>
              </w:rPr>
              <w:t>enjivao istovremeno sa dabigatraneteksilatom kod zdravih dobrovoljaca, prim</w:t>
            </w:r>
            <w:r w:rsidR="00804782" w:rsidRPr="00314858">
              <w:rPr>
                <w:rFonts w:ascii="Times New Roman" w:hAnsi="Times New Roman" w:cs="Times New Roman"/>
                <w:lang w:val="sr-Latn-ME"/>
              </w:rPr>
              <w:t>ij</w:t>
            </w:r>
            <w:r w:rsidRPr="00314858">
              <w:rPr>
                <w:rFonts w:ascii="Times New Roman" w:hAnsi="Times New Roman" w:cs="Times New Roman"/>
                <w:lang w:val="sr-Latn-ME"/>
              </w:rPr>
              <w:t xml:space="preserve">ećeno je povećanje </w:t>
            </w:r>
            <w:r w:rsidR="004D4CB9" w:rsidRPr="00314858">
              <w:rPr>
                <w:rFonts w:ascii="Times New Roman" w:hAnsi="Times New Roman" w:cs="Times New Roman"/>
                <w:lang w:val="sr-Latn-ME"/>
              </w:rPr>
              <w:t>vr</w:t>
            </w:r>
            <w:r w:rsidR="0041016E" w:rsidRPr="00314858">
              <w:rPr>
                <w:rFonts w:ascii="Times New Roman" w:hAnsi="Times New Roman" w:cs="Times New Roman"/>
                <w:lang w:val="sr-Latn-ME"/>
              </w:rPr>
              <w:t>ij</w:t>
            </w:r>
            <w:r w:rsidR="004D4CB9" w:rsidRPr="00314858">
              <w:rPr>
                <w:rFonts w:ascii="Times New Roman" w:hAnsi="Times New Roman" w:cs="Times New Roman"/>
                <w:lang w:val="sr-Latn-ME"/>
              </w:rPr>
              <w:t xml:space="preserve">ednosti </w:t>
            </w:r>
            <w:r w:rsidRPr="00314858">
              <w:rPr>
                <w:rFonts w:ascii="Times New Roman" w:hAnsi="Times New Roman" w:cs="Times New Roman"/>
                <w:lang w:val="sr-Latn-ME"/>
              </w:rPr>
              <w:t>PIK od otprilike 1,19 puta i 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od oko 1,15 puta.</w:t>
            </w:r>
          </w:p>
        </w:tc>
      </w:tr>
      <w:tr w:rsidR="00D67D34" w:rsidRPr="00314858" w14:paraId="74E73230" w14:textId="77777777" w:rsidTr="0009272D">
        <w:trPr>
          <w:trHeight w:val="20"/>
          <w:jc w:val="center"/>
        </w:trPr>
        <w:tc>
          <w:tcPr>
            <w:tcW w:w="836" w:type="pct"/>
            <w:tcBorders>
              <w:top w:val="single" w:sz="4" w:space="0" w:color="auto"/>
              <w:left w:val="single" w:sz="4" w:space="0" w:color="auto"/>
              <w:bottom w:val="single" w:sz="4" w:space="0" w:color="auto"/>
            </w:tcBorders>
            <w:shd w:val="clear" w:color="auto" w:fill="auto"/>
          </w:tcPr>
          <w:p w14:paraId="0964B396"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Tikagrelor</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774A430D" w14:textId="47904E1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Kada se pojedinačna doza dabigatraneteksilata od 75 mg prim</w:t>
            </w:r>
            <w:r w:rsidR="0041016E" w:rsidRPr="00314858">
              <w:rPr>
                <w:rFonts w:ascii="Times New Roman" w:hAnsi="Times New Roman" w:cs="Times New Roman"/>
                <w:lang w:val="sr-Latn-ME"/>
              </w:rPr>
              <w:t>j</w:t>
            </w:r>
            <w:r w:rsidRPr="00314858">
              <w:rPr>
                <w:rFonts w:ascii="Times New Roman" w:hAnsi="Times New Roman" w:cs="Times New Roman"/>
                <w:lang w:val="sr-Latn-ME"/>
              </w:rPr>
              <w:t xml:space="preserve">enjivala istovremeno sa inicijalnom dozom od 180 mg tikagrelora, </w:t>
            </w:r>
            <w:r w:rsidR="00BB4FF3" w:rsidRPr="00314858">
              <w:rPr>
                <w:rFonts w:ascii="Times New Roman" w:hAnsi="Times New Roman" w:cs="Times New Roman"/>
                <w:lang w:val="sr-Latn-ME"/>
              </w:rPr>
              <w:t>vr</w:t>
            </w:r>
            <w:r w:rsidR="0041016E" w:rsidRPr="00314858">
              <w:rPr>
                <w:rFonts w:ascii="Times New Roman" w:hAnsi="Times New Roman" w:cs="Times New Roman"/>
                <w:lang w:val="sr-Latn-ME"/>
              </w:rPr>
              <w:t>ij</w:t>
            </w:r>
            <w:r w:rsidR="00BB4FF3" w:rsidRPr="00314858">
              <w:rPr>
                <w:rFonts w:ascii="Times New Roman" w:hAnsi="Times New Roman" w:cs="Times New Roman"/>
                <w:lang w:val="sr-Latn-ME"/>
              </w:rPr>
              <w:t xml:space="preserve">ednosti </w:t>
            </w:r>
            <w:r w:rsidRPr="00314858">
              <w:rPr>
                <w:rFonts w:ascii="Times New Roman" w:hAnsi="Times New Roman" w:cs="Times New Roman"/>
                <w:lang w:val="sr-Latn-ME"/>
              </w:rPr>
              <w:t>PIK i 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dabigatrana povećaval</w:t>
            </w:r>
            <w:r w:rsidR="00BB4FF3" w:rsidRPr="00314858">
              <w:rPr>
                <w:rFonts w:ascii="Times New Roman" w:hAnsi="Times New Roman" w:cs="Times New Roman"/>
                <w:lang w:val="sr-Latn-ME"/>
              </w:rPr>
              <w:t>e</w:t>
            </w:r>
            <w:r w:rsidRPr="00314858">
              <w:rPr>
                <w:rFonts w:ascii="Times New Roman" w:hAnsi="Times New Roman" w:cs="Times New Roman"/>
                <w:lang w:val="sr-Latn-ME"/>
              </w:rPr>
              <w:t xml:space="preserve"> su se za 1,73</w:t>
            </w:r>
            <w:r w:rsidR="00BB4FF3" w:rsidRPr="00314858">
              <w:rPr>
                <w:rFonts w:ascii="Times New Roman" w:hAnsi="Times New Roman" w:cs="Times New Roman"/>
                <w:lang w:val="sr-Latn-ME"/>
              </w:rPr>
              <w:t xml:space="preserve"> puta</w:t>
            </w:r>
            <w:r w:rsidRPr="00314858">
              <w:rPr>
                <w:rFonts w:ascii="Times New Roman" w:hAnsi="Times New Roman" w:cs="Times New Roman"/>
                <w:lang w:val="sr-Latn-ME"/>
              </w:rPr>
              <w:t xml:space="preserve">, odnosno 1,95 puta. Nakon </w:t>
            </w:r>
            <w:r w:rsidR="00E61BB7" w:rsidRPr="00314858">
              <w:rPr>
                <w:rFonts w:ascii="Times New Roman" w:hAnsi="Times New Roman" w:cs="Times New Roman"/>
                <w:lang w:val="sr-Latn-ME"/>
              </w:rPr>
              <w:t>višestrukih</w:t>
            </w:r>
            <w:r w:rsidRPr="00314858">
              <w:rPr>
                <w:rFonts w:ascii="Times New Roman" w:hAnsi="Times New Roman" w:cs="Times New Roman"/>
                <w:lang w:val="sr-Latn-ME"/>
              </w:rPr>
              <w:t xml:space="preserve"> doza tikagrelora 90 mg dva puta dnevno, povećan</w:t>
            </w:r>
            <w:r w:rsidR="00E61BB7" w:rsidRPr="00314858">
              <w:rPr>
                <w:rFonts w:ascii="Times New Roman" w:hAnsi="Times New Roman" w:cs="Times New Roman"/>
                <w:lang w:val="sr-Latn-ME"/>
              </w:rPr>
              <w:t>je</w:t>
            </w:r>
            <w:r w:rsidRPr="00314858">
              <w:rPr>
                <w:rFonts w:ascii="Times New Roman" w:hAnsi="Times New Roman" w:cs="Times New Roman"/>
                <w:lang w:val="sr-Latn-ME"/>
              </w:rPr>
              <w:t xml:space="preserve"> izl</w:t>
            </w:r>
            <w:r w:rsidR="00E61BB7" w:rsidRPr="00314858">
              <w:rPr>
                <w:rFonts w:ascii="Times New Roman" w:hAnsi="Times New Roman" w:cs="Times New Roman"/>
                <w:lang w:val="sr-Latn-ME"/>
              </w:rPr>
              <w:t>oženosti</w:t>
            </w:r>
            <w:r w:rsidRPr="00314858">
              <w:rPr>
                <w:rFonts w:ascii="Times New Roman" w:hAnsi="Times New Roman" w:cs="Times New Roman"/>
                <w:lang w:val="sr-Latn-ME"/>
              </w:rPr>
              <w:t xml:space="preserve"> dabigatranu</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je iznosilo 1,56 puta za 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i 1,46 puta za PIK.</w:t>
            </w:r>
          </w:p>
          <w:p w14:paraId="288713FC" w14:textId="77777777" w:rsidR="00E61BB7" w:rsidRPr="00314858" w:rsidRDefault="00E61BB7" w:rsidP="00D67D34">
            <w:pPr>
              <w:spacing w:after="0" w:line="240" w:lineRule="auto"/>
              <w:jc w:val="both"/>
              <w:rPr>
                <w:rFonts w:ascii="Times New Roman" w:hAnsi="Times New Roman" w:cs="Times New Roman"/>
                <w:lang w:val="sr-Latn-ME"/>
              </w:rPr>
            </w:pPr>
          </w:p>
          <w:p w14:paraId="76FB4773" w14:textId="2DB1D39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Istovremena prim</w:t>
            </w:r>
            <w:r w:rsidR="0041016E" w:rsidRPr="00314858">
              <w:rPr>
                <w:rFonts w:ascii="Times New Roman" w:hAnsi="Times New Roman" w:cs="Times New Roman"/>
                <w:lang w:val="sr-Latn-ME"/>
              </w:rPr>
              <w:t>j</w:t>
            </w:r>
            <w:r w:rsidRPr="00314858">
              <w:rPr>
                <w:rFonts w:ascii="Times New Roman" w:hAnsi="Times New Roman" w:cs="Times New Roman"/>
                <w:lang w:val="sr-Latn-ME"/>
              </w:rPr>
              <w:t xml:space="preserve">ena udarne doze od 180 mg tikagrelora i 110 mg dabigatraneteksilata (u stanju ravnoteže) povećavala je </w:t>
            </w:r>
            <w:r w:rsidR="00886AD4" w:rsidRPr="00314858">
              <w:rPr>
                <w:rFonts w:ascii="Times New Roman" w:hAnsi="Times New Roman" w:cs="Times New Roman"/>
                <w:lang w:val="sr-Latn-ME"/>
              </w:rPr>
              <w:t>vr</w:t>
            </w:r>
            <w:r w:rsidR="00A76BC8" w:rsidRPr="00314858">
              <w:rPr>
                <w:rFonts w:ascii="Times New Roman" w:hAnsi="Times New Roman" w:cs="Times New Roman"/>
                <w:lang w:val="sr-Latn-ME"/>
              </w:rPr>
              <w:t>ij</w:t>
            </w:r>
            <w:r w:rsidR="00886AD4" w:rsidRPr="00314858">
              <w:rPr>
                <w:rFonts w:ascii="Times New Roman" w:hAnsi="Times New Roman" w:cs="Times New Roman"/>
                <w:lang w:val="sr-Latn-ME"/>
              </w:rPr>
              <w:t xml:space="preserve">ednost </w:t>
            </w:r>
            <w:r w:rsidRPr="00314858">
              <w:rPr>
                <w:rFonts w:ascii="Times New Roman" w:hAnsi="Times New Roman" w:cs="Times New Roman"/>
                <w:lang w:val="sr-Latn-ME"/>
              </w:rPr>
              <w:t>PIKτ</w:t>
            </w:r>
            <w:r w:rsidRPr="00314858">
              <w:rPr>
                <w:rFonts w:ascii="Times New Roman" w:hAnsi="Times New Roman" w:cs="Times New Roman"/>
                <w:vertAlign w:val="subscript"/>
                <w:lang w:val="sr-Latn-ME"/>
              </w:rPr>
              <w:t>,ss</w:t>
            </w:r>
            <w:r w:rsidRPr="00314858">
              <w:rPr>
                <w:rFonts w:ascii="Times New Roman" w:hAnsi="Times New Roman" w:cs="Times New Roman"/>
                <w:lang w:val="sr-Latn-ME"/>
              </w:rPr>
              <w:t xml:space="preserve"> i C</w:t>
            </w:r>
            <w:r w:rsidRPr="00314858">
              <w:rPr>
                <w:rFonts w:ascii="Times New Roman" w:hAnsi="Times New Roman" w:cs="Times New Roman"/>
                <w:vertAlign w:val="subscript"/>
                <w:lang w:val="sr-Latn-ME"/>
              </w:rPr>
              <w:t xml:space="preserve">max,ss </w:t>
            </w:r>
            <w:r w:rsidRPr="00314858">
              <w:rPr>
                <w:rFonts w:ascii="Times New Roman" w:hAnsi="Times New Roman" w:cs="Times New Roman"/>
                <w:lang w:val="sr-Latn-ME"/>
              </w:rPr>
              <w:t>dabigatrana za 1,49 puta i 1,65 puta, u poređenju sa monoterapijom dabigatraneteksilat</w:t>
            </w:r>
            <w:r w:rsidR="00886AD4" w:rsidRPr="00314858">
              <w:rPr>
                <w:rFonts w:ascii="Times New Roman" w:hAnsi="Times New Roman" w:cs="Times New Roman"/>
                <w:lang w:val="sr-Latn-ME"/>
              </w:rPr>
              <w:t>om</w:t>
            </w:r>
            <w:r w:rsidRPr="00314858">
              <w:rPr>
                <w:rFonts w:ascii="Times New Roman" w:hAnsi="Times New Roman" w:cs="Times New Roman"/>
                <w:lang w:val="sr-Latn-ME"/>
              </w:rPr>
              <w:t>. Kada se udarna doza od 180 mg tikagrelora prim</w:t>
            </w:r>
            <w:r w:rsidR="0041016E" w:rsidRPr="00314858">
              <w:rPr>
                <w:rFonts w:ascii="Times New Roman" w:hAnsi="Times New Roman" w:cs="Times New Roman"/>
                <w:lang w:val="sr-Latn-ME"/>
              </w:rPr>
              <w:t>j</w:t>
            </w:r>
            <w:r w:rsidRPr="00314858">
              <w:rPr>
                <w:rFonts w:ascii="Times New Roman" w:hAnsi="Times New Roman" w:cs="Times New Roman"/>
                <w:lang w:val="sr-Latn-ME"/>
              </w:rPr>
              <w:t>enjivala 2 sata posl</w:t>
            </w:r>
            <w:r w:rsidR="0041016E" w:rsidRPr="00314858">
              <w:rPr>
                <w:rFonts w:ascii="Times New Roman" w:hAnsi="Times New Roman" w:cs="Times New Roman"/>
                <w:lang w:val="sr-Latn-ME"/>
              </w:rPr>
              <w:t>ij</w:t>
            </w:r>
            <w:r w:rsidRPr="00314858">
              <w:rPr>
                <w:rFonts w:ascii="Times New Roman" w:hAnsi="Times New Roman" w:cs="Times New Roman"/>
                <w:lang w:val="sr-Latn-ME"/>
              </w:rPr>
              <w:t>e</w:t>
            </w:r>
            <w:r w:rsidR="00E61BB7" w:rsidRPr="00314858">
              <w:rPr>
                <w:rFonts w:ascii="Times New Roman" w:hAnsi="Times New Roman" w:cs="Times New Roman"/>
                <w:lang w:val="sr-Latn-ME"/>
              </w:rPr>
              <w:t xml:space="preserve"> prim</w:t>
            </w:r>
            <w:r w:rsidR="0041016E" w:rsidRPr="00314858">
              <w:rPr>
                <w:rFonts w:ascii="Times New Roman" w:hAnsi="Times New Roman" w:cs="Times New Roman"/>
                <w:lang w:val="sr-Latn-ME"/>
              </w:rPr>
              <w:t>j</w:t>
            </w:r>
            <w:r w:rsidR="00E61BB7" w:rsidRPr="00314858">
              <w:rPr>
                <w:rFonts w:ascii="Times New Roman" w:hAnsi="Times New Roman" w:cs="Times New Roman"/>
                <w:lang w:val="sr-Latn-ME"/>
              </w:rPr>
              <w:t>ene</w:t>
            </w:r>
            <w:r w:rsidRPr="00314858">
              <w:rPr>
                <w:rFonts w:ascii="Times New Roman" w:hAnsi="Times New Roman" w:cs="Times New Roman"/>
                <w:lang w:val="sr-Latn-ME"/>
              </w:rPr>
              <w:t xml:space="preserve"> 110 mg dabigatraneteksilata (u stanju ravnoteže), povećane </w:t>
            </w:r>
            <w:r w:rsidR="00886AD4" w:rsidRPr="00314858">
              <w:rPr>
                <w:rFonts w:ascii="Times New Roman" w:hAnsi="Times New Roman" w:cs="Times New Roman"/>
                <w:lang w:val="sr-Latn-ME"/>
              </w:rPr>
              <w:t>vr</w:t>
            </w:r>
            <w:r w:rsidR="00116ABE" w:rsidRPr="00314858">
              <w:rPr>
                <w:rFonts w:ascii="Times New Roman" w:hAnsi="Times New Roman" w:cs="Times New Roman"/>
                <w:lang w:val="sr-Latn-ME"/>
              </w:rPr>
              <w:t>ij</w:t>
            </w:r>
            <w:r w:rsidR="00886AD4" w:rsidRPr="00314858">
              <w:rPr>
                <w:rFonts w:ascii="Times New Roman" w:hAnsi="Times New Roman" w:cs="Times New Roman"/>
                <w:lang w:val="sr-Latn-ME"/>
              </w:rPr>
              <w:t xml:space="preserve">ednosti </w:t>
            </w:r>
            <w:r w:rsidRPr="00314858">
              <w:rPr>
                <w:rFonts w:ascii="Times New Roman" w:hAnsi="Times New Roman" w:cs="Times New Roman"/>
                <w:lang w:val="sr-Latn-ME"/>
              </w:rPr>
              <w:t>PIKτ</w:t>
            </w:r>
            <w:r w:rsidRPr="00314858">
              <w:rPr>
                <w:rFonts w:ascii="Times New Roman" w:hAnsi="Times New Roman" w:cs="Times New Roman"/>
                <w:vertAlign w:val="subscript"/>
                <w:lang w:val="sr-Latn-ME"/>
              </w:rPr>
              <w:t>,ss</w:t>
            </w:r>
            <w:r w:rsidRPr="00314858">
              <w:rPr>
                <w:rFonts w:ascii="Times New Roman" w:hAnsi="Times New Roman" w:cs="Times New Roman"/>
                <w:lang w:val="sr-Latn-ME"/>
              </w:rPr>
              <w:t xml:space="preserve"> i C</w:t>
            </w:r>
            <w:r w:rsidRPr="00314858">
              <w:rPr>
                <w:rFonts w:ascii="Times New Roman" w:hAnsi="Times New Roman" w:cs="Times New Roman"/>
                <w:vertAlign w:val="subscript"/>
                <w:lang w:val="sr-Latn-ME"/>
              </w:rPr>
              <w:t xml:space="preserve">max,ss </w:t>
            </w:r>
            <w:r w:rsidRPr="00314858">
              <w:rPr>
                <w:rFonts w:ascii="Times New Roman" w:hAnsi="Times New Roman" w:cs="Times New Roman"/>
                <w:lang w:val="sr-Latn-ME"/>
              </w:rPr>
              <w:t>dabigatrana bil</w:t>
            </w:r>
            <w:r w:rsidR="00886AD4" w:rsidRPr="00314858">
              <w:rPr>
                <w:rFonts w:ascii="Times New Roman" w:hAnsi="Times New Roman" w:cs="Times New Roman"/>
                <w:lang w:val="sr-Latn-ME"/>
              </w:rPr>
              <w:t>e su smanjene</w:t>
            </w:r>
            <w:r w:rsidRPr="00314858">
              <w:rPr>
                <w:rFonts w:ascii="Times New Roman" w:hAnsi="Times New Roman" w:cs="Times New Roman"/>
                <w:lang w:val="sr-Latn-ME"/>
              </w:rPr>
              <w:t xml:space="preserve"> 1,27 puta i 1,23 puta u poređenju s</w:t>
            </w:r>
            <w:r w:rsidR="00E61BB7" w:rsidRPr="00314858">
              <w:rPr>
                <w:rFonts w:ascii="Times New Roman" w:hAnsi="Times New Roman" w:cs="Times New Roman"/>
                <w:lang w:val="sr-Latn-ME"/>
              </w:rPr>
              <w:t>a</w:t>
            </w:r>
            <w:r w:rsidRPr="00314858">
              <w:rPr>
                <w:rFonts w:ascii="Times New Roman" w:hAnsi="Times New Roman" w:cs="Times New Roman"/>
                <w:lang w:val="sr-Latn-ME"/>
              </w:rPr>
              <w:t xml:space="preserve"> monoterapijom dabigatraneteksilat</w:t>
            </w:r>
            <w:r w:rsidR="00886AD4" w:rsidRPr="00314858">
              <w:rPr>
                <w:rFonts w:ascii="Times New Roman" w:hAnsi="Times New Roman" w:cs="Times New Roman"/>
                <w:lang w:val="sr-Latn-ME"/>
              </w:rPr>
              <w:t>om</w:t>
            </w:r>
            <w:r w:rsidRPr="00314858">
              <w:rPr>
                <w:rFonts w:ascii="Times New Roman" w:hAnsi="Times New Roman" w:cs="Times New Roman"/>
                <w:lang w:val="sr-Latn-ME"/>
              </w:rPr>
              <w:t>. Ovakav raspored doziranja sa udarnom dozom se preporučuje za početak prim</w:t>
            </w:r>
            <w:r w:rsidR="0041016E" w:rsidRPr="00314858">
              <w:rPr>
                <w:rFonts w:ascii="Times New Roman" w:hAnsi="Times New Roman" w:cs="Times New Roman"/>
                <w:lang w:val="sr-Latn-ME"/>
              </w:rPr>
              <w:t>j</w:t>
            </w:r>
            <w:r w:rsidRPr="00314858">
              <w:rPr>
                <w:rFonts w:ascii="Times New Roman" w:hAnsi="Times New Roman" w:cs="Times New Roman"/>
                <w:lang w:val="sr-Latn-ME"/>
              </w:rPr>
              <w:t>ene tikagrelora.</w:t>
            </w:r>
          </w:p>
          <w:p w14:paraId="5D9AAD17" w14:textId="77777777" w:rsidR="00E61BB7" w:rsidRPr="00314858" w:rsidRDefault="00E61BB7" w:rsidP="00D67D34">
            <w:pPr>
              <w:spacing w:after="0" w:line="240" w:lineRule="auto"/>
              <w:jc w:val="both"/>
              <w:rPr>
                <w:rFonts w:ascii="Times New Roman" w:hAnsi="Times New Roman" w:cs="Times New Roman"/>
                <w:lang w:val="sr-Latn-ME"/>
              </w:rPr>
            </w:pPr>
          </w:p>
          <w:p w14:paraId="587AAA61" w14:textId="15B3E718"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Istovremena prim</w:t>
            </w:r>
            <w:r w:rsidR="0041016E" w:rsidRPr="00314858">
              <w:rPr>
                <w:rFonts w:ascii="Times New Roman" w:hAnsi="Times New Roman" w:cs="Times New Roman"/>
                <w:lang w:val="sr-Latn-ME"/>
              </w:rPr>
              <w:t>j</w:t>
            </w:r>
            <w:r w:rsidRPr="00314858">
              <w:rPr>
                <w:rFonts w:ascii="Times New Roman" w:hAnsi="Times New Roman" w:cs="Times New Roman"/>
                <w:lang w:val="sr-Latn-ME"/>
              </w:rPr>
              <w:t>ena 90 mg tikagrelora dva puta dnevno (doza održavanja) s</w:t>
            </w:r>
            <w:r w:rsidR="00E61BB7" w:rsidRPr="00314858">
              <w:rPr>
                <w:rFonts w:ascii="Times New Roman" w:hAnsi="Times New Roman" w:cs="Times New Roman"/>
                <w:lang w:val="sr-Latn-ME"/>
              </w:rPr>
              <w:t>a</w:t>
            </w:r>
            <w:r w:rsidRPr="00314858">
              <w:rPr>
                <w:rFonts w:ascii="Times New Roman" w:hAnsi="Times New Roman" w:cs="Times New Roman"/>
                <w:lang w:val="sr-Latn-ME"/>
              </w:rPr>
              <w:t xml:space="preserve"> 110 mg dabigatraneteksilata povećavala je prilagođeni PIKτ</w:t>
            </w:r>
            <w:r w:rsidRPr="00314858">
              <w:rPr>
                <w:rFonts w:ascii="Times New Roman" w:hAnsi="Times New Roman" w:cs="Times New Roman"/>
                <w:vertAlign w:val="subscript"/>
                <w:lang w:val="sr-Latn-ME"/>
              </w:rPr>
              <w:t>,ss</w:t>
            </w:r>
            <w:r w:rsidRPr="00314858">
              <w:rPr>
                <w:rFonts w:ascii="Times New Roman" w:hAnsi="Times New Roman" w:cs="Times New Roman"/>
                <w:lang w:val="sr-Latn-ME"/>
              </w:rPr>
              <w:t xml:space="preserve"> i C</w:t>
            </w:r>
            <w:r w:rsidRPr="00314858">
              <w:rPr>
                <w:rFonts w:ascii="Times New Roman" w:hAnsi="Times New Roman" w:cs="Times New Roman"/>
                <w:vertAlign w:val="subscript"/>
                <w:lang w:val="sr-Latn-ME"/>
              </w:rPr>
              <w:t xml:space="preserve">max,ss </w:t>
            </w:r>
            <w:r w:rsidRPr="00314858">
              <w:rPr>
                <w:rFonts w:ascii="Times New Roman" w:hAnsi="Times New Roman" w:cs="Times New Roman"/>
                <w:lang w:val="sr-Latn-ME"/>
              </w:rPr>
              <w:t>dabigatrana za 1,26 puta, odnosno 1,29 puta u poređenju sa monoterapijom dabigatraneteksilat</w:t>
            </w:r>
            <w:r w:rsidR="00886AD4" w:rsidRPr="00314858">
              <w:rPr>
                <w:rFonts w:ascii="Times New Roman" w:hAnsi="Times New Roman" w:cs="Times New Roman"/>
                <w:lang w:val="sr-Latn-ME"/>
              </w:rPr>
              <w:t>om</w:t>
            </w:r>
            <w:r w:rsidRPr="00314858">
              <w:rPr>
                <w:rFonts w:ascii="Times New Roman" w:hAnsi="Times New Roman" w:cs="Times New Roman"/>
                <w:lang w:val="sr-Latn-ME"/>
              </w:rPr>
              <w:t>.</w:t>
            </w:r>
          </w:p>
        </w:tc>
      </w:tr>
      <w:tr w:rsidR="00D67D34" w:rsidRPr="00314858" w14:paraId="13AE437E" w14:textId="77777777" w:rsidTr="0009272D">
        <w:trPr>
          <w:trHeight w:val="20"/>
          <w:jc w:val="center"/>
        </w:trPr>
        <w:tc>
          <w:tcPr>
            <w:tcW w:w="836" w:type="pct"/>
            <w:tcBorders>
              <w:top w:val="single" w:sz="4" w:space="0" w:color="auto"/>
              <w:left w:val="single" w:sz="4" w:space="0" w:color="auto"/>
              <w:bottom w:val="single" w:sz="4" w:space="0" w:color="auto"/>
            </w:tcBorders>
            <w:shd w:val="clear" w:color="auto" w:fill="auto"/>
          </w:tcPr>
          <w:p w14:paraId="647D4B4E"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Posakonazol</w:t>
            </w:r>
          </w:p>
        </w:tc>
        <w:tc>
          <w:tcPr>
            <w:tcW w:w="4164" w:type="pct"/>
            <w:tcBorders>
              <w:top w:val="single" w:sz="4" w:space="0" w:color="auto"/>
              <w:left w:val="single" w:sz="4" w:space="0" w:color="auto"/>
              <w:bottom w:val="single" w:sz="4" w:space="0" w:color="auto"/>
              <w:right w:val="single" w:sz="4" w:space="0" w:color="auto"/>
            </w:tcBorders>
            <w:shd w:val="clear" w:color="auto" w:fill="auto"/>
          </w:tcPr>
          <w:p w14:paraId="74524858" w14:textId="31B532E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Posakonazol takođe inhibira P-gp</w:t>
            </w:r>
            <w:r w:rsidR="00E61BB7" w:rsidRPr="00314858">
              <w:rPr>
                <w:rFonts w:ascii="Times New Roman" w:hAnsi="Times New Roman" w:cs="Times New Roman"/>
                <w:lang w:val="sr-Latn-ME"/>
              </w:rPr>
              <w:t xml:space="preserve"> u određenom stepenu</w:t>
            </w:r>
            <w:r w:rsidRPr="00314858">
              <w:rPr>
                <w:rFonts w:ascii="Times New Roman" w:hAnsi="Times New Roman" w:cs="Times New Roman"/>
                <w:lang w:val="sr-Latn-ME"/>
              </w:rPr>
              <w:t>, ali nije bio klinički ispitivan. Treba biti oprezan kada se dabigatraneteksilat prim</w:t>
            </w:r>
            <w:r w:rsidR="0041016E" w:rsidRPr="00314858">
              <w:rPr>
                <w:rFonts w:ascii="Times New Roman" w:hAnsi="Times New Roman" w:cs="Times New Roman"/>
                <w:lang w:val="sr-Latn-ME"/>
              </w:rPr>
              <w:t>j</w:t>
            </w:r>
            <w:r w:rsidRPr="00314858">
              <w:rPr>
                <w:rFonts w:ascii="Times New Roman" w:hAnsi="Times New Roman" w:cs="Times New Roman"/>
                <w:lang w:val="sr-Latn-ME"/>
              </w:rPr>
              <w:t>enjuje istovremeno sa posakonazolom.</w:t>
            </w:r>
          </w:p>
        </w:tc>
      </w:tr>
      <w:tr w:rsidR="00D67D34" w:rsidRPr="00314858" w14:paraId="41BCF978" w14:textId="77777777" w:rsidTr="00646F3C">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1F60056D" w14:textId="77777777" w:rsidR="00D67D34" w:rsidRPr="00314858" w:rsidRDefault="00D67D34" w:rsidP="00D67D34">
            <w:pPr>
              <w:spacing w:after="0" w:line="240" w:lineRule="auto"/>
              <w:jc w:val="both"/>
              <w:rPr>
                <w:rFonts w:ascii="Times New Roman" w:hAnsi="Times New Roman" w:cs="Times New Roman"/>
                <w:i/>
                <w:lang w:val="sr-Latn-ME" w:bidi="en-US"/>
              </w:rPr>
            </w:pPr>
            <w:r w:rsidRPr="00314858">
              <w:rPr>
                <w:rFonts w:ascii="Times New Roman" w:hAnsi="Times New Roman" w:cs="Times New Roman"/>
                <w:i/>
                <w:u w:val="single"/>
                <w:lang w:val="sr-Latn-ME" w:bidi="en-US"/>
              </w:rPr>
              <w:t>P-gp induktori</w:t>
            </w:r>
          </w:p>
        </w:tc>
      </w:tr>
      <w:tr w:rsidR="00D67D34" w:rsidRPr="00314858" w14:paraId="70881CFA" w14:textId="77777777" w:rsidTr="00646F3C">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09BB4664" w14:textId="417D395D" w:rsidR="00D67D34" w:rsidRPr="00314858" w:rsidRDefault="00D67D34" w:rsidP="00D67D34">
            <w:pPr>
              <w:spacing w:after="0" w:line="240" w:lineRule="auto"/>
              <w:jc w:val="both"/>
              <w:rPr>
                <w:rFonts w:ascii="Times New Roman" w:hAnsi="Times New Roman" w:cs="Times New Roman"/>
                <w:i/>
                <w:lang w:val="sr-Latn-ME" w:bidi="en-US"/>
              </w:rPr>
            </w:pPr>
            <w:r w:rsidRPr="00314858">
              <w:rPr>
                <w:rFonts w:ascii="Times New Roman" w:hAnsi="Times New Roman" w:cs="Times New Roman"/>
                <w:i/>
                <w:lang w:val="sr-Latn-ME" w:bidi="en-US"/>
              </w:rPr>
              <w:t>Istovremenu prim</w:t>
            </w:r>
            <w:r w:rsidR="0041016E" w:rsidRPr="00314858">
              <w:rPr>
                <w:rFonts w:ascii="Times New Roman" w:hAnsi="Times New Roman" w:cs="Times New Roman"/>
                <w:i/>
                <w:lang w:val="sr-Latn-ME" w:bidi="en-US"/>
              </w:rPr>
              <w:t>j</w:t>
            </w:r>
            <w:r w:rsidRPr="00314858">
              <w:rPr>
                <w:rFonts w:ascii="Times New Roman" w:hAnsi="Times New Roman" w:cs="Times New Roman"/>
                <w:i/>
                <w:lang w:val="sr-Latn-ME" w:bidi="en-US"/>
              </w:rPr>
              <w:t>enu treba izb</w:t>
            </w:r>
            <w:r w:rsidR="0041016E" w:rsidRPr="00314858">
              <w:rPr>
                <w:rFonts w:ascii="Times New Roman" w:hAnsi="Times New Roman" w:cs="Times New Roman"/>
                <w:i/>
                <w:lang w:val="sr-Latn-ME" w:bidi="en-US"/>
              </w:rPr>
              <w:t>j</w:t>
            </w:r>
            <w:r w:rsidRPr="00314858">
              <w:rPr>
                <w:rFonts w:ascii="Times New Roman" w:hAnsi="Times New Roman" w:cs="Times New Roman"/>
                <w:i/>
                <w:lang w:val="sr-Latn-ME" w:bidi="en-US"/>
              </w:rPr>
              <w:t>egavati.</w:t>
            </w:r>
          </w:p>
        </w:tc>
      </w:tr>
      <w:tr w:rsidR="00D67D34" w:rsidRPr="00314858" w14:paraId="782E4505" w14:textId="77777777" w:rsidTr="0009272D">
        <w:trPr>
          <w:trHeight w:val="20"/>
          <w:jc w:val="center"/>
        </w:trPr>
        <w:tc>
          <w:tcPr>
            <w:tcW w:w="836" w:type="pct"/>
            <w:tcBorders>
              <w:top w:val="single" w:sz="4" w:space="0" w:color="auto"/>
              <w:left w:val="single" w:sz="4" w:space="0" w:color="auto"/>
            </w:tcBorders>
            <w:shd w:val="clear" w:color="auto" w:fill="auto"/>
          </w:tcPr>
          <w:p w14:paraId="30CC9AEE"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npr. rifampicin, kantarion (</w:t>
            </w:r>
            <w:r w:rsidRPr="00314858">
              <w:rPr>
                <w:rFonts w:ascii="Times New Roman" w:hAnsi="Times New Roman" w:cs="Times New Roman"/>
                <w:i/>
                <w:lang w:val="sr-Latn-ME" w:bidi="en-US"/>
              </w:rPr>
              <w:t>Hypericum perforatum</w:t>
            </w:r>
            <w:r w:rsidRPr="00314858">
              <w:rPr>
                <w:rFonts w:ascii="Times New Roman" w:hAnsi="Times New Roman" w:cs="Times New Roman"/>
                <w:lang w:val="sr-Latn-ME" w:bidi="en-US"/>
              </w:rPr>
              <w:t>), karbamazepin ili fenitoin</w:t>
            </w:r>
          </w:p>
        </w:tc>
        <w:tc>
          <w:tcPr>
            <w:tcW w:w="4164" w:type="pct"/>
            <w:tcBorders>
              <w:top w:val="single" w:sz="4" w:space="0" w:color="auto"/>
              <w:left w:val="single" w:sz="4" w:space="0" w:color="auto"/>
              <w:right w:val="single" w:sz="4" w:space="0" w:color="auto"/>
            </w:tcBorders>
            <w:shd w:val="clear" w:color="auto" w:fill="auto"/>
            <w:vAlign w:val="bottom"/>
          </w:tcPr>
          <w:p w14:paraId="34607CE5" w14:textId="53EB887C" w:rsidR="00D67D34" w:rsidRPr="00314858" w:rsidRDefault="005606C9"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Očekuje se da i</w:t>
            </w:r>
            <w:r w:rsidR="00D67D34" w:rsidRPr="00314858">
              <w:rPr>
                <w:rFonts w:ascii="Times New Roman" w:hAnsi="Times New Roman" w:cs="Times New Roman"/>
                <w:lang w:val="sr-Latn-ME"/>
              </w:rPr>
              <w:t>stovremena prim</w:t>
            </w:r>
            <w:r w:rsidR="0041016E"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ena može da izazove </w:t>
            </w:r>
            <w:r w:rsidR="00E61BB7" w:rsidRPr="00314858">
              <w:rPr>
                <w:rFonts w:ascii="Times New Roman" w:hAnsi="Times New Roman" w:cs="Times New Roman"/>
                <w:lang w:val="sr-Latn-ME"/>
              </w:rPr>
              <w:t>smanjen</w:t>
            </w:r>
            <w:r w:rsidRPr="00314858">
              <w:rPr>
                <w:rFonts w:ascii="Times New Roman" w:hAnsi="Times New Roman" w:cs="Times New Roman"/>
                <w:lang w:val="sr-Latn-ME"/>
              </w:rPr>
              <w:t>e</w:t>
            </w:r>
            <w:r w:rsidR="00D67D34" w:rsidRPr="00314858">
              <w:rPr>
                <w:rFonts w:ascii="Times New Roman" w:hAnsi="Times New Roman" w:cs="Times New Roman"/>
                <w:lang w:val="sr-Latn-ME"/>
              </w:rPr>
              <w:t xml:space="preserve"> koncentracije dabigatrana.</w:t>
            </w:r>
          </w:p>
          <w:p w14:paraId="7656DA9D" w14:textId="77777777" w:rsidR="00E61BB7" w:rsidRPr="00314858" w:rsidRDefault="00E61BB7" w:rsidP="00D67D34">
            <w:pPr>
              <w:spacing w:after="0" w:line="240" w:lineRule="auto"/>
              <w:jc w:val="both"/>
              <w:rPr>
                <w:rFonts w:ascii="Times New Roman" w:hAnsi="Times New Roman" w:cs="Times New Roman"/>
                <w:lang w:val="sr-Latn-ME"/>
              </w:rPr>
            </w:pPr>
          </w:p>
          <w:p w14:paraId="598FAEB5" w14:textId="7DF47E7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Prethodna prim</w:t>
            </w:r>
            <w:r w:rsidR="0041016E" w:rsidRPr="00314858">
              <w:rPr>
                <w:rFonts w:ascii="Times New Roman" w:hAnsi="Times New Roman" w:cs="Times New Roman"/>
                <w:lang w:val="sr-Latn-ME"/>
              </w:rPr>
              <w:t>j</w:t>
            </w:r>
            <w:r w:rsidRPr="00314858">
              <w:rPr>
                <w:rFonts w:ascii="Times New Roman" w:hAnsi="Times New Roman" w:cs="Times New Roman"/>
                <w:lang w:val="sr-Latn-ME"/>
              </w:rPr>
              <w:t xml:space="preserve">ena induktora rifampicina </w:t>
            </w:r>
            <w:r w:rsidR="00E61BB7" w:rsidRPr="00314858">
              <w:rPr>
                <w:rFonts w:ascii="Times New Roman" w:hAnsi="Times New Roman" w:cs="Times New Roman"/>
                <w:lang w:val="sr-Latn-ME"/>
              </w:rPr>
              <w:t>u</w:t>
            </w:r>
            <w:r w:rsidRPr="00314858">
              <w:rPr>
                <w:rFonts w:ascii="Times New Roman" w:hAnsi="Times New Roman" w:cs="Times New Roman"/>
                <w:lang w:val="sr-Latn-ME"/>
              </w:rPr>
              <w:t xml:space="preserve"> dozi od 600 mg jednom dnevno tokom 7 dana je smanjila </w:t>
            </w:r>
            <w:r w:rsidR="0073729C" w:rsidRPr="00314858">
              <w:rPr>
                <w:rFonts w:ascii="Times New Roman" w:hAnsi="Times New Roman" w:cs="Times New Roman"/>
                <w:lang w:val="sr-Latn-ME"/>
              </w:rPr>
              <w:t>ukupni pik dabigatrana</w:t>
            </w:r>
            <w:r w:rsidRPr="00314858">
              <w:rPr>
                <w:rFonts w:ascii="Times New Roman" w:hAnsi="Times New Roman" w:cs="Times New Roman"/>
                <w:lang w:val="sr-Latn-ME"/>
              </w:rPr>
              <w:t xml:space="preserve"> i ukupnu izloženost l</w:t>
            </w:r>
            <w:r w:rsidR="00116ABE" w:rsidRPr="00314858">
              <w:rPr>
                <w:rFonts w:ascii="Times New Roman" w:hAnsi="Times New Roman" w:cs="Times New Roman"/>
                <w:lang w:val="sr-Latn-ME"/>
              </w:rPr>
              <w:t>ijeku</w:t>
            </w:r>
            <w:r w:rsidRPr="00314858">
              <w:rPr>
                <w:rFonts w:ascii="Times New Roman" w:hAnsi="Times New Roman" w:cs="Times New Roman"/>
                <w:lang w:val="sr-Latn-ME"/>
              </w:rPr>
              <w:t xml:space="preserve"> za 65,5%</w:t>
            </w:r>
            <w:r w:rsidR="0073729C" w:rsidRPr="00314858">
              <w:rPr>
                <w:rFonts w:ascii="Times New Roman" w:hAnsi="Times New Roman" w:cs="Times New Roman"/>
                <w:lang w:val="sr-Latn-ME"/>
              </w:rPr>
              <w:t>,</w:t>
            </w:r>
            <w:r w:rsidRPr="00314858">
              <w:rPr>
                <w:rFonts w:ascii="Times New Roman" w:hAnsi="Times New Roman" w:cs="Times New Roman"/>
                <w:lang w:val="sr-Latn-ME"/>
              </w:rPr>
              <w:t xml:space="preserve"> odnosno 67%. Induktorsk</w:t>
            </w:r>
            <w:r w:rsidR="0073729C" w:rsidRPr="00314858">
              <w:rPr>
                <w:rFonts w:ascii="Times New Roman" w:hAnsi="Times New Roman" w:cs="Times New Roman"/>
                <w:lang w:val="sr-Latn-ME"/>
              </w:rPr>
              <w:t>o dejstvo</w:t>
            </w:r>
            <w:r w:rsidRPr="00314858">
              <w:rPr>
                <w:rFonts w:ascii="Times New Roman" w:hAnsi="Times New Roman" w:cs="Times New Roman"/>
                <w:lang w:val="sr-Latn-ME"/>
              </w:rPr>
              <w:t xml:space="preserve"> je bi</w:t>
            </w:r>
            <w:r w:rsidR="0073729C" w:rsidRPr="00314858">
              <w:rPr>
                <w:rFonts w:ascii="Times New Roman" w:hAnsi="Times New Roman" w:cs="Times New Roman"/>
                <w:lang w:val="sr-Latn-ME"/>
              </w:rPr>
              <w:t>l</w:t>
            </w:r>
            <w:r w:rsidRPr="00314858">
              <w:rPr>
                <w:rFonts w:ascii="Times New Roman" w:hAnsi="Times New Roman" w:cs="Times New Roman"/>
                <w:lang w:val="sr-Latn-ME"/>
              </w:rPr>
              <w:t>o smanjen</w:t>
            </w:r>
            <w:r w:rsidR="0073729C" w:rsidRPr="00314858">
              <w:rPr>
                <w:rFonts w:ascii="Times New Roman" w:hAnsi="Times New Roman" w:cs="Times New Roman"/>
                <w:lang w:val="sr-Latn-ME"/>
              </w:rPr>
              <w:t>o</w:t>
            </w:r>
            <w:r w:rsidRPr="00314858">
              <w:rPr>
                <w:rFonts w:ascii="Times New Roman" w:hAnsi="Times New Roman" w:cs="Times New Roman"/>
                <w:lang w:val="sr-Latn-ME"/>
              </w:rPr>
              <w:t xml:space="preserve"> što je dovelo do izloženosti dabigatranu koja je bila blizu referentne vr</w:t>
            </w:r>
            <w:r w:rsidR="00116ABE" w:rsidRPr="00314858">
              <w:rPr>
                <w:rFonts w:ascii="Times New Roman" w:hAnsi="Times New Roman" w:cs="Times New Roman"/>
                <w:lang w:val="sr-Latn-ME"/>
              </w:rPr>
              <w:t>ij</w:t>
            </w:r>
            <w:r w:rsidRPr="00314858">
              <w:rPr>
                <w:rFonts w:ascii="Times New Roman" w:hAnsi="Times New Roman" w:cs="Times New Roman"/>
                <w:lang w:val="sr-Latn-ME"/>
              </w:rPr>
              <w:t>ednosti sedmog dana nakon prestanka terapije rifampicinom. Nije bilo prim</w:t>
            </w:r>
            <w:r w:rsidR="0041016E" w:rsidRPr="00314858">
              <w:rPr>
                <w:rFonts w:ascii="Times New Roman" w:hAnsi="Times New Roman" w:cs="Times New Roman"/>
                <w:lang w:val="sr-Latn-ME"/>
              </w:rPr>
              <w:t>ij</w:t>
            </w:r>
            <w:r w:rsidRPr="00314858">
              <w:rPr>
                <w:rFonts w:ascii="Times New Roman" w:hAnsi="Times New Roman" w:cs="Times New Roman"/>
                <w:lang w:val="sr-Latn-ME"/>
              </w:rPr>
              <w:t xml:space="preserve">ećeno dalje povećanje bioraspoloživosti nakon dodatnih </w:t>
            </w:r>
            <w:r w:rsidR="00C73D0A" w:rsidRPr="00314858">
              <w:rPr>
                <w:rFonts w:ascii="Times New Roman" w:hAnsi="Times New Roman" w:cs="Times New Roman"/>
                <w:lang w:val="sr-Latn-ME"/>
              </w:rPr>
              <w:t>7</w:t>
            </w:r>
            <w:r w:rsidRPr="00314858">
              <w:rPr>
                <w:rFonts w:ascii="Times New Roman" w:hAnsi="Times New Roman" w:cs="Times New Roman"/>
                <w:lang w:val="sr-Latn-ME"/>
              </w:rPr>
              <w:t xml:space="preserve"> dana. </w:t>
            </w:r>
          </w:p>
        </w:tc>
      </w:tr>
      <w:tr w:rsidR="00D67D34" w:rsidRPr="00314858" w14:paraId="784D6FF2" w14:textId="77777777" w:rsidTr="00646F3C">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221AC6E8" w14:textId="59ABDA51" w:rsidR="00D67D34" w:rsidRPr="00314858" w:rsidRDefault="00D67D34" w:rsidP="00D67D34">
            <w:pPr>
              <w:spacing w:after="0" w:line="240" w:lineRule="auto"/>
              <w:jc w:val="both"/>
              <w:rPr>
                <w:rFonts w:ascii="Times New Roman" w:hAnsi="Times New Roman" w:cs="Times New Roman"/>
                <w:i/>
                <w:lang w:val="sr-Latn-ME" w:bidi="en-US"/>
              </w:rPr>
            </w:pPr>
            <w:r w:rsidRPr="00314858">
              <w:rPr>
                <w:rFonts w:ascii="Times New Roman" w:hAnsi="Times New Roman" w:cs="Times New Roman"/>
                <w:i/>
                <w:u w:val="single"/>
                <w:lang w:val="sr-Latn-ME" w:bidi="en-US"/>
              </w:rPr>
              <w:t>Inhibitori proteaz</w:t>
            </w:r>
            <w:r w:rsidR="0073729C" w:rsidRPr="00314858">
              <w:rPr>
                <w:rFonts w:ascii="Times New Roman" w:hAnsi="Times New Roman" w:cs="Times New Roman"/>
                <w:i/>
                <w:u w:val="single"/>
                <w:lang w:val="sr-Latn-ME" w:bidi="en-US"/>
              </w:rPr>
              <w:t>e</w:t>
            </w:r>
            <w:r w:rsidRPr="00314858">
              <w:rPr>
                <w:rFonts w:ascii="Times New Roman" w:hAnsi="Times New Roman" w:cs="Times New Roman"/>
                <w:i/>
                <w:u w:val="single"/>
                <w:lang w:val="sr-Latn-ME" w:bidi="en-US"/>
              </w:rPr>
              <w:t xml:space="preserve"> kao što je ritonavir</w:t>
            </w:r>
          </w:p>
        </w:tc>
      </w:tr>
      <w:tr w:rsidR="00D67D34" w:rsidRPr="00314858" w14:paraId="39DFED7A" w14:textId="77777777" w:rsidTr="00646F3C">
        <w:trPr>
          <w:trHeight w:val="68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C838F" w14:textId="1D6918E2" w:rsidR="00D67D34" w:rsidRPr="00314858" w:rsidRDefault="00D67D34" w:rsidP="00D67D34">
            <w:pPr>
              <w:spacing w:after="0" w:line="240" w:lineRule="auto"/>
              <w:jc w:val="both"/>
              <w:rPr>
                <w:rFonts w:ascii="Times New Roman" w:hAnsi="Times New Roman" w:cs="Times New Roman"/>
                <w:i/>
                <w:lang w:val="sr-Latn-ME" w:bidi="en-US"/>
              </w:rPr>
            </w:pPr>
            <w:r w:rsidRPr="00314858">
              <w:rPr>
                <w:rFonts w:ascii="Times New Roman" w:hAnsi="Times New Roman" w:cs="Times New Roman"/>
                <w:i/>
                <w:lang w:val="sr-Latn-ME" w:bidi="en-US"/>
              </w:rPr>
              <w:t>Istovremena prim</w:t>
            </w:r>
            <w:r w:rsidR="0041016E" w:rsidRPr="00314858">
              <w:rPr>
                <w:rFonts w:ascii="Times New Roman" w:hAnsi="Times New Roman" w:cs="Times New Roman"/>
                <w:i/>
                <w:lang w:val="sr-Latn-ME" w:bidi="en-US"/>
              </w:rPr>
              <w:t>j</w:t>
            </w:r>
            <w:r w:rsidRPr="00314858">
              <w:rPr>
                <w:rFonts w:ascii="Times New Roman" w:hAnsi="Times New Roman" w:cs="Times New Roman"/>
                <w:i/>
                <w:lang w:val="sr-Latn-ME" w:bidi="en-US"/>
              </w:rPr>
              <w:t>ena se ne preporučuje</w:t>
            </w:r>
          </w:p>
        </w:tc>
      </w:tr>
      <w:tr w:rsidR="00D67D34" w:rsidRPr="00314858" w14:paraId="2A8BE81E" w14:textId="77777777" w:rsidTr="0009272D">
        <w:trPr>
          <w:trHeight w:val="20"/>
          <w:jc w:val="center"/>
        </w:trPr>
        <w:tc>
          <w:tcPr>
            <w:tcW w:w="836" w:type="pct"/>
            <w:tcBorders>
              <w:top w:val="single" w:sz="4" w:space="0" w:color="auto"/>
              <w:left w:val="single" w:sz="4" w:space="0" w:color="auto"/>
              <w:bottom w:val="single" w:sz="4" w:space="0" w:color="auto"/>
            </w:tcBorders>
            <w:shd w:val="clear" w:color="auto" w:fill="auto"/>
            <w:vAlign w:val="bottom"/>
          </w:tcPr>
          <w:p w14:paraId="7C85CD49" w14:textId="60EC467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lastRenderedPageBreak/>
              <w:t>npr. ritonavir i njegove kombinacije sa drugim inhibitorima proteaze</w:t>
            </w:r>
          </w:p>
        </w:tc>
        <w:tc>
          <w:tcPr>
            <w:tcW w:w="4164" w:type="pct"/>
            <w:tcBorders>
              <w:top w:val="single" w:sz="4" w:space="0" w:color="auto"/>
              <w:left w:val="single" w:sz="4" w:space="0" w:color="auto"/>
              <w:bottom w:val="single" w:sz="4" w:space="0" w:color="auto"/>
              <w:right w:val="single" w:sz="4" w:space="0" w:color="auto"/>
            </w:tcBorders>
            <w:shd w:val="clear" w:color="auto" w:fill="auto"/>
          </w:tcPr>
          <w:p w14:paraId="7ED0C7BF" w14:textId="18FED56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w:t>
            </w:r>
            <w:r w:rsidR="0041016E" w:rsidRPr="00314858">
              <w:rPr>
                <w:rFonts w:ascii="Times New Roman" w:hAnsi="Times New Roman" w:cs="Times New Roman"/>
                <w:lang w:val="sr-Latn-ME"/>
              </w:rPr>
              <w:t>j</w:t>
            </w:r>
            <w:r w:rsidRPr="00314858">
              <w:rPr>
                <w:rFonts w:ascii="Times New Roman" w:hAnsi="Times New Roman" w:cs="Times New Roman"/>
                <w:lang w:val="sr-Latn-ME"/>
              </w:rPr>
              <w:t>eluju na P-g</w:t>
            </w:r>
            <w:r w:rsidR="0073729C" w:rsidRPr="00314858">
              <w:rPr>
                <w:rFonts w:ascii="Times New Roman" w:hAnsi="Times New Roman" w:cs="Times New Roman"/>
                <w:lang w:val="sr-Latn-ME"/>
              </w:rPr>
              <w:t>p</w:t>
            </w:r>
            <w:r w:rsidRPr="00314858">
              <w:rPr>
                <w:rFonts w:ascii="Times New Roman" w:hAnsi="Times New Roman" w:cs="Times New Roman"/>
                <w:lang w:val="sr-Latn-ME"/>
              </w:rPr>
              <w:t xml:space="preserve"> (bilo kao inhibitor bilo kao induktor). Oni ni</w:t>
            </w:r>
            <w:r w:rsidR="00116ABE" w:rsidRPr="00314858">
              <w:rPr>
                <w:rFonts w:ascii="Times New Roman" w:hAnsi="Times New Roman" w:cs="Times New Roman"/>
                <w:lang w:val="sr-Latn-ME"/>
              </w:rPr>
              <w:t>je</w:t>
            </w:r>
            <w:r w:rsidRPr="00314858">
              <w:rPr>
                <w:rFonts w:ascii="Times New Roman" w:hAnsi="Times New Roman" w:cs="Times New Roman"/>
                <w:lang w:val="sr-Latn-ME"/>
              </w:rPr>
              <w:t>su bili proučavani i zbog toga se ne preporučuje njihova istovremena prim</w:t>
            </w:r>
            <w:r w:rsidR="0041016E" w:rsidRPr="00314858">
              <w:rPr>
                <w:rFonts w:ascii="Times New Roman" w:hAnsi="Times New Roman" w:cs="Times New Roman"/>
                <w:lang w:val="sr-Latn-ME"/>
              </w:rPr>
              <w:t>j</w:t>
            </w:r>
            <w:r w:rsidRPr="00314858">
              <w:rPr>
                <w:rFonts w:ascii="Times New Roman" w:hAnsi="Times New Roman" w:cs="Times New Roman"/>
                <w:lang w:val="sr-Latn-ME"/>
              </w:rPr>
              <w:t>ena sa dabigatr</w:t>
            </w:r>
            <w:r w:rsidR="0073729C" w:rsidRPr="00314858">
              <w:rPr>
                <w:rFonts w:ascii="Times New Roman" w:hAnsi="Times New Roman" w:cs="Times New Roman"/>
                <w:lang w:val="sr-Latn-ME"/>
              </w:rPr>
              <w:t>a</w:t>
            </w:r>
            <w:r w:rsidRPr="00314858">
              <w:rPr>
                <w:rFonts w:ascii="Times New Roman" w:hAnsi="Times New Roman" w:cs="Times New Roman"/>
                <w:lang w:val="sr-Latn-ME"/>
              </w:rPr>
              <w:t>neteksilatom</w:t>
            </w:r>
            <w:r w:rsidR="0009272D" w:rsidRPr="00314858">
              <w:rPr>
                <w:rFonts w:ascii="Times New Roman" w:hAnsi="Times New Roman" w:cs="Times New Roman"/>
                <w:lang w:val="sr-Latn-ME"/>
              </w:rPr>
              <w:t>.</w:t>
            </w:r>
          </w:p>
        </w:tc>
      </w:tr>
      <w:tr w:rsidR="00D67D34" w:rsidRPr="00314858" w14:paraId="4C7C51C8" w14:textId="77777777" w:rsidTr="00C73D0A">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545498F2" w14:textId="6294E8EB" w:rsidR="00D67D34" w:rsidRPr="00314858" w:rsidRDefault="0073729C"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u w:val="single"/>
                <w:lang w:val="sr-Latn-ME" w:bidi="en-US"/>
              </w:rPr>
              <w:t>Supstrati za P-glikoprotein</w:t>
            </w:r>
          </w:p>
        </w:tc>
      </w:tr>
      <w:tr w:rsidR="00D67D34" w:rsidRPr="00314858" w14:paraId="69AA61B5" w14:textId="77777777" w:rsidTr="0009272D">
        <w:trPr>
          <w:trHeight w:val="20"/>
          <w:jc w:val="center"/>
        </w:trPr>
        <w:tc>
          <w:tcPr>
            <w:tcW w:w="836" w:type="pct"/>
            <w:tcBorders>
              <w:top w:val="single" w:sz="4" w:space="0" w:color="auto"/>
              <w:left w:val="single" w:sz="4" w:space="0" w:color="auto"/>
              <w:bottom w:val="single" w:sz="4" w:space="0" w:color="auto"/>
            </w:tcBorders>
            <w:shd w:val="clear" w:color="auto" w:fill="auto"/>
          </w:tcPr>
          <w:p w14:paraId="585A45A3"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Digoksin</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02E015A1" w14:textId="1044C8C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studiji u koju su bila uključena 24 zdrava ispitanika, pri prim</w:t>
            </w:r>
            <w:r w:rsidR="0041016E" w:rsidRPr="00314858">
              <w:rPr>
                <w:rFonts w:ascii="Times New Roman" w:hAnsi="Times New Roman" w:cs="Times New Roman"/>
                <w:lang w:val="sr-Latn-ME"/>
              </w:rPr>
              <w:t>j</w:t>
            </w:r>
            <w:r w:rsidRPr="00314858">
              <w:rPr>
                <w:rFonts w:ascii="Times New Roman" w:hAnsi="Times New Roman" w:cs="Times New Roman"/>
                <w:lang w:val="sr-Latn-ME"/>
              </w:rPr>
              <w:t>eni dabigatraneteksilata zajedno sa digoksinom, ni</w:t>
            </w:r>
            <w:r w:rsidR="00116ABE" w:rsidRPr="00314858">
              <w:rPr>
                <w:rFonts w:ascii="Times New Roman" w:hAnsi="Times New Roman" w:cs="Times New Roman"/>
                <w:lang w:val="sr-Latn-ME"/>
              </w:rPr>
              <w:t>je</w:t>
            </w:r>
            <w:r w:rsidR="00C73D0A" w:rsidRPr="00314858">
              <w:rPr>
                <w:rFonts w:ascii="Times New Roman" w:hAnsi="Times New Roman" w:cs="Times New Roman"/>
                <w:lang w:val="sr-Latn-ME"/>
              </w:rPr>
              <w:t>su</w:t>
            </w:r>
            <w:r w:rsidRPr="00314858">
              <w:rPr>
                <w:rFonts w:ascii="Times New Roman" w:hAnsi="Times New Roman" w:cs="Times New Roman"/>
                <w:lang w:val="sr-Latn-ME"/>
              </w:rPr>
              <w:t xml:space="preserve"> bil</w:t>
            </w:r>
            <w:r w:rsidR="00C73D0A" w:rsidRPr="00314858">
              <w:rPr>
                <w:rFonts w:ascii="Times New Roman" w:hAnsi="Times New Roman" w:cs="Times New Roman"/>
                <w:lang w:val="sr-Latn-ME"/>
              </w:rPr>
              <w:t>e prim</w:t>
            </w:r>
            <w:r w:rsidR="0041016E" w:rsidRPr="00314858">
              <w:rPr>
                <w:rFonts w:ascii="Times New Roman" w:hAnsi="Times New Roman" w:cs="Times New Roman"/>
                <w:lang w:val="sr-Latn-ME"/>
              </w:rPr>
              <w:t>ij</w:t>
            </w:r>
            <w:r w:rsidR="00C73D0A" w:rsidRPr="00314858">
              <w:rPr>
                <w:rFonts w:ascii="Times New Roman" w:hAnsi="Times New Roman" w:cs="Times New Roman"/>
                <w:lang w:val="sr-Latn-ME"/>
              </w:rPr>
              <w:t>ećene</w:t>
            </w:r>
            <w:r w:rsidRPr="00314858">
              <w:rPr>
                <w:rFonts w:ascii="Times New Roman" w:hAnsi="Times New Roman" w:cs="Times New Roman"/>
                <w:lang w:val="sr-Latn-ME"/>
              </w:rPr>
              <w:t xml:space="preserve"> prom</w:t>
            </w:r>
            <w:r w:rsidR="0041016E" w:rsidRPr="00314858">
              <w:rPr>
                <w:rFonts w:ascii="Times New Roman" w:hAnsi="Times New Roman" w:cs="Times New Roman"/>
                <w:lang w:val="sr-Latn-ME"/>
              </w:rPr>
              <w:t>j</w:t>
            </w:r>
            <w:r w:rsidRPr="00314858">
              <w:rPr>
                <w:rFonts w:ascii="Times New Roman" w:hAnsi="Times New Roman" w:cs="Times New Roman"/>
                <w:lang w:val="sr-Latn-ME"/>
              </w:rPr>
              <w:t>en</w:t>
            </w:r>
            <w:r w:rsidR="00C73D0A" w:rsidRPr="00314858">
              <w:rPr>
                <w:rFonts w:ascii="Times New Roman" w:hAnsi="Times New Roman" w:cs="Times New Roman"/>
                <w:lang w:val="sr-Latn-ME"/>
              </w:rPr>
              <w:t>e</w:t>
            </w:r>
            <w:r w:rsidRPr="00314858">
              <w:rPr>
                <w:rFonts w:ascii="Times New Roman" w:hAnsi="Times New Roman" w:cs="Times New Roman"/>
                <w:lang w:val="sr-Latn-ME"/>
              </w:rPr>
              <w:t xml:space="preserve"> u izloženosti digoksinu</w:t>
            </w:r>
            <w:r w:rsidR="0073729C" w:rsidRPr="00314858">
              <w:rPr>
                <w:rFonts w:ascii="Times New Roman" w:hAnsi="Times New Roman" w:cs="Times New Roman"/>
                <w:lang w:val="sr-Latn-ME"/>
              </w:rPr>
              <w:t>,</w:t>
            </w:r>
            <w:r w:rsidRPr="00314858">
              <w:rPr>
                <w:rFonts w:ascii="Times New Roman" w:hAnsi="Times New Roman" w:cs="Times New Roman"/>
                <w:lang w:val="sr-Latn-ME"/>
              </w:rPr>
              <w:t xml:space="preserve"> </w:t>
            </w:r>
            <w:r w:rsidR="00C73D0A" w:rsidRPr="00314858">
              <w:rPr>
                <w:rFonts w:ascii="Times New Roman" w:hAnsi="Times New Roman" w:cs="Times New Roman"/>
                <w:lang w:val="sr-Latn-ME"/>
              </w:rPr>
              <w:t xml:space="preserve">niti </w:t>
            </w:r>
            <w:r w:rsidRPr="00314858">
              <w:rPr>
                <w:rFonts w:ascii="Times New Roman" w:hAnsi="Times New Roman" w:cs="Times New Roman"/>
                <w:lang w:val="sr-Latn-ME"/>
              </w:rPr>
              <w:t>klinički</w:t>
            </w:r>
            <w:r w:rsidR="00C73D0A" w:rsidRPr="00314858">
              <w:rPr>
                <w:rFonts w:ascii="Times New Roman" w:hAnsi="Times New Roman" w:cs="Times New Roman"/>
                <w:lang w:val="sr-Latn-ME"/>
              </w:rPr>
              <w:t xml:space="preserve"> </w:t>
            </w:r>
            <w:r w:rsidR="0073729C" w:rsidRPr="00314858">
              <w:rPr>
                <w:rFonts w:ascii="Times New Roman" w:hAnsi="Times New Roman" w:cs="Times New Roman"/>
                <w:lang w:val="sr-Latn-ME"/>
              </w:rPr>
              <w:t>značajne</w:t>
            </w:r>
            <w:r w:rsidRPr="00314858">
              <w:rPr>
                <w:rFonts w:ascii="Times New Roman" w:hAnsi="Times New Roman" w:cs="Times New Roman"/>
                <w:lang w:val="sr-Latn-ME"/>
              </w:rPr>
              <w:t xml:space="preserve"> prom</w:t>
            </w:r>
            <w:r w:rsidR="0041016E" w:rsidRPr="00314858">
              <w:rPr>
                <w:rFonts w:ascii="Times New Roman" w:hAnsi="Times New Roman" w:cs="Times New Roman"/>
                <w:lang w:val="sr-Latn-ME"/>
              </w:rPr>
              <w:t>j</w:t>
            </w:r>
            <w:r w:rsidRPr="00314858">
              <w:rPr>
                <w:rFonts w:ascii="Times New Roman" w:hAnsi="Times New Roman" w:cs="Times New Roman"/>
                <w:lang w:val="sr-Latn-ME"/>
              </w:rPr>
              <w:t>en</w:t>
            </w:r>
            <w:r w:rsidR="00C73D0A" w:rsidRPr="00314858">
              <w:rPr>
                <w:rFonts w:ascii="Times New Roman" w:hAnsi="Times New Roman" w:cs="Times New Roman"/>
                <w:lang w:val="sr-Latn-ME"/>
              </w:rPr>
              <w:t>e</w:t>
            </w:r>
            <w:r w:rsidRPr="00314858">
              <w:rPr>
                <w:rFonts w:ascii="Times New Roman" w:hAnsi="Times New Roman" w:cs="Times New Roman"/>
                <w:lang w:val="sr-Latn-ME"/>
              </w:rPr>
              <w:t xml:space="preserve"> u izloženosti dabigatranu. </w:t>
            </w:r>
          </w:p>
        </w:tc>
      </w:tr>
      <w:bookmarkEnd w:id="5"/>
    </w:tbl>
    <w:p w14:paraId="079D86EA" w14:textId="77777777" w:rsidR="00D67D34" w:rsidRPr="00314858" w:rsidRDefault="00D67D34" w:rsidP="00D67D34">
      <w:pPr>
        <w:spacing w:after="0" w:line="240" w:lineRule="auto"/>
        <w:jc w:val="both"/>
        <w:rPr>
          <w:rFonts w:ascii="Times New Roman" w:hAnsi="Times New Roman" w:cs="Times New Roman"/>
          <w:lang w:val="sr-Latn-ME" w:bidi="en-US"/>
        </w:rPr>
      </w:pPr>
    </w:p>
    <w:p w14:paraId="414D709C" w14:textId="02608990"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Antikoagulansi i inhibitori agregacije trombocita</w:t>
      </w:r>
    </w:p>
    <w:p w14:paraId="4C8A06B8"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52E5F3F3" w14:textId="5728EBD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Nema iskustva, ili su ona samo ograničena</w:t>
      </w:r>
      <w:r w:rsidR="00EC0917" w:rsidRPr="00314858">
        <w:rPr>
          <w:rFonts w:ascii="Times New Roman" w:hAnsi="Times New Roman" w:cs="Times New Roman"/>
          <w:lang w:val="sr-Latn-ME"/>
        </w:rPr>
        <w:t>,</w:t>
      </w:r>
      <w:r w:rsidRPr="00314858">
        <w:rPr>
          <w:rFonts w:ascii="Times New Roman" w:hAnsi="Times New Roman" w:cs="Times New Roman"/>
          <w:lang w:val="sr-Latn-ME"/>
        </w:rPr>
        <w:t xml:space="preserve"> sa sl</w:t>
      </w:r>
      <w:r w:rsidR="00A76BC8" w:rsidRPr="00314858">
        <w:rPr>
          <w:rFonts w:ascii="Times New Roman" w:hAnsi="Times New Roman" w:cs="Times New Roman"/>
          <w:lang w:val="sr-Latn-ME"/>
        </w:rPr>
        <w:t>j</w:t>
      </w:r>
      <w:r w:rsidRPr="00314858">
        <w:rPr>
          <w:rFonts w:ascii="Times New Roman" w:hAnsi="Times New Roman" w:cs="Times New Roman"/>
          <w:lang w:val="sr-Latn-ME"/>
        </w:rPr>
        <w:t>edećim l</w:t>
      </w:r>
      <w:r w:rsidR="0041016E" w:rsidRPr="00314858">
        <w:rPr>
          <w:rFonts w:ascii="Times New Roman" w:hAnsi="Times New Roman" w:cs="Times New Roman"/>
          <w:lang w:val="sr-Latn-ME"/>
        </w:rPr>
        <w:t>j</w:t>
      </w:r>
      <w:r w:rsidRPr="00314858">
        <w:rPr>
          <w:rFonts w:ascii="Times New Roman" w:hAnsi="Times New Roman" w:cs="Times New Roman"/>
          <w:lang w:val="sr-Latn-ME"/>
        </w:rPr>
        <w:t xml:space="preserve">ekovima koji mogu </w:t>
      </w:r>
      <w:r w:rsidR="00EC0917" w:rsidRPr="00314858">
        <w:rPr>
          <w:rFonts w:ascii="Times New Roman" w:hAnsi="Times New Roman" w:cs="Times New Roman"/>
          <w:lang w:val="sr-Latn-ME"/>
        </w:rPr>
        <w:t>da povećaju</w:t>
      </w:r>
      <w:r w:rsidRPr="00314858">
        <w:rPr>
          <w:rFonts w:ascii="Times New Roman" w:hAnsi="Times New Roman" w:cs="Times New Roman"/>
          <w:lang w:val="sr-Latn-ME"/>
        </w:rPr>
        <w:t xml:space="preserve"> rizik od krvarenja kada se koriste istovremeno sa dabigatrineteksilatom: antikoagulansi kao što su nefrakcionisani heparini (</w:t>
      </w:r>
      <w:r w:rsidR="00EC0917" w:rsidRPr="00314858">
        <w:rPr>
          <w:rFonts w:ascii="Times New Roman" w:hAnsi="Times New Roman" w:cs="Times New Roman"/>
          <w:lang w:val="sr-Latn-ME"/>
        </w:rPr>
        <w:t xml:space="preserve">engl. </w:t>
      </w:r>
      <w:r w:rsidR="00EC0917" w:rsidRPr="00314858">
        <w:rPr>
          <w:rFonts w:ascii="Times New Roman" w:hAnsi="Times New Roman" w:cs="Times New Roman"/>
          <w:i/>
          <w:lang w:val="sr-Latn-ME"/>
        </w:rPr>
        <w:t xml:space="preserve">unfractionated heparin, </w:t>
      </w:r>
      <w:r w:rsidR="00EC0917" w:rsidRPr="00314858">
        <w:rPr>
          <w:rFonts w:ascii="Times New Roman" w:hAnsi="Times New Roman" w:cs="Times New Roman"/>
          <w:lang w:val="sr-Latn-ME"/>
        </w:rPr>
        <w:t>UFH</w:t>
      </w:r>
      <w:r w:rsidRPr="00314858">
        <w:rPr>
          <w:rFonts w:ascii="Times New Roman" w:hAnsi="Times New Roman" w:cs="Times New Roman"/>
          <w:lang w:val="sr-Latn-ME"/>
        </w:rPr>
        <w:t>), niskomolekularni heparini (</w:t>
      </w:r>
      <w:r w:rsidR="00EC0917" w:rsidRPr="00314858">
        <w:rPr>
          <w:rFonts w:ascii="Times New Roman" w:hAnsi="Times New Roman" w:cs="Times New Roman"/>
          <w:lang w:val="sr-Latn-ME"/>
        </w:rPr>
        <w:t xml:space="preserve">engl. </w:t>
      </w:r>
      <w:r w:rsidR="00EC0917" w:rsidRPr="00314858">
        <w:rPr>
          <w:rFonts w:ascii="Times New Roman" w:hAnsi="Times New Roman" w:cs="Times New Roman"/>
          <w:i/>
          <w:lang w:val="sr-Latn-ME"/>
        </w:rPr>
        <w:t xml:space="preserve">low molecular weight heparins, </w:t>
      </w:r>
      <w:r w:rsidR="00EC0917" w:rsidRPr="00314858">
        <w:rPr>
          <w:rFonts w:ascii="Times New Roman" w:hAnsi="Times New Roman" w:cs="Times New Roman"/>
          <w:lang w:val="sr-Latn-ME"/>
        </w:rPr>
        <w:t>LMWH</w:t>
      </w:r>
      <w:r w:rsidRPr="00314858">
        <w:rPr>
          <w:rFonts w:ascii="Times New Roman" w:hAnsi="Times New Roman" w:cs="Times New Roman"/>
          <w:lang w:val="sr-Latn-ME"/>
        </w:rPr>
        <w:t>)</w:t>
      </w:r>
      <w:r w:rsidR="00EC0917" w:rsidRPr="00314858">
        <w:rPr>
          <w:rFonts w:ascii="Times New Roman" w:hAnsi="Times New Roman" w:cs="Times New Roman"/>
          <w:lang w:val="sr-Latn-ME"/>
        </w:rPr>
        <w:t xml:space="preserve"> i</w:t>
      </w:r>
      <w:r w:rsidRPr="00314858">
        <w:rPr>
          <w:rFonts w:ascii="Times New Roman" w:hAnsi="Times New Roman" w:cs="Times New Roman"/>
          <w:lang w:val="sr-Latn-ME"/>
        </w:rPr>
        <w:t xml:space="preserve"> heparinski derivati (fondaparinuks, desirudin), trombolitički l</w:t>
      </w:r>
      <w:r w:rsidR="00A76BC8" w:rsidRPr="00314858">
        <w:rPr>
          <w:rFonts w:ascii="Times New Roman" w:hAnsi="Times New Roman" w:cs="Times New Roman"/>
          <w:lang w:val="sr-Latn-ME"/>
        </w:rPr>
        <w:t>j</w:t>
      </w:r>
      <w:r w:rsidRPr="00314858">
        <w:rPr>
          <w:rFonts w:ascii="Times New Roman" w:hAnsi="Times New Roman" w:cs="Times New Roman"/>
          <w:lang w:val="sr-Latn-ME"/>
        </w:rPr>
        <w:t>ekovi i antagonisti vitamina K, rivaroksaban ili drugi oralni antikoagulansi (vid</w:t>
      </w:r>
      <w:r w:rsidR="0041016E"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41016E" w:rsidRPr="00314858">
        <w:rPr>
          <w:rFonts w:ascii="Times New Roman" w:hAnsi="Times New Roman" w:cs="Times New Roman"/>
          <w:lang w:val="sr-Latn-ME"/>
        </w:rPr>
        <w:t>dio</w:t>
      </w:r>
      <w:r w:rsidRPr="00314858">
        <w:rPr>
          <w:rFonts w:ascii="Times New Roman" w:hAnsi="Times New Roman" w:cs="Times New Roman"/>
          <w:lang w:val="sr-Latn-ME"/>
        </w:rPr>
        <w:t xml:space="preserve"> 4.3) i inhibitori agregacije trombocita kao što su antagonisti GPIIb/IIIa receptora, tiklopidin, prasugrel, tikagrelor, dekstran i sulfinpirazon (vid</w:t>
      </w:r>
      <w:r w:rsidR="0041016E"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41016E" w:rsidRPr="00314858">
        <w:rPr>
          <w:rFonts w:ascii="Times New Roman" w:hAnsi="Times New Roman" w:cs="Times New Roman"/>
          <w:lang w:val="sr-Latn-ME"/>
        </w:rPr>
        <w:t>dio</w:t>
      </w:r>
      <w:r w:rsidRPr="00314858">
        <w:rPr>
          <w:rFonts w:ascii="Times New Roman" w:hAnsi="Times New Roman" w:cs="Times New Roman"/>
          <w:lang w:val="sr-Latn-ME"/>
        </w:rPr>
        <w:t xml:space="preserve"> 4.4).</w:t>
      </w:r>
    </w:p>
    <w:p w14:paraId="72184F55" w14:textId="77777777" w:rsidR="0009272D" w:rsidRPr="00314858" w:rsidRDefault="0009272D" w:rsidP="00D67D34">
      <w:pPr>
        <w:spacing w:after="0" w:line="240" w:lineRule="auto"/>
        <w:jc w:val="both"/>
        <w:rPr>
          <w:rFonts w:ascii="Times New Roman" w:hAnsi="Times New Roman" w:cs="Times New Roman"/>
          <w:lang w:val="sr-Latn-ME"/>
        </w:rPr>
      </w:pPr>
    </w:p>
    <w:p w14:paraId="5ACCA4F7" w14:textId="7EEFBF16"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bCs/>
          <w:lang w:val="sr-Latn-ME"/>
        </w:rPr>
        <w:t>Na osnovu podatka prikupljenih u fazi III RE</w:t>
      </w:r>
      <w:r w:rsidRPr="00314858">
        <w:rPr>
          <w:rFonts w:ascii="Times New Roman" w:hAnsi="Times New Roman" w:cs="Times New Roman"/>
          <w:bCs/>
          <w:lang w:val="sr-Latn-ME"/>
        </w:rPr>
        <w:noBreakHyphen/>
        <w:t>LY studije (vid</w:t>
      </w:r>
      <w:r w:rsidR="0041016E" w:rsidRPr="00314858">
        <w:rPr>
          <w:rFonts w:ascii="Times New Roman" w:hAnsi="Times New Roman" w:cs="Times New Roman"/>
          <w:bCs/>
          <w:lang w:val="sr-Latn-ME"/>
        </w:rPr>
        <w:t>j</w:t>
      </w:r>
      <w:r w:rsidRPr="00314858">
        <w:rPr>
          <w:rFonts w:ascii="Times New Roman" w:hAnsi="Times New Roman" w:cs="Times New Roman"/>
          <w:bCs/>
          <w:lang w:val="sr-Latn-ME"/>
        </w:rPr>
        <w:t xml:space="preserve">eti </w:t>
      </w:r>
      <w:r w:rsidR="0041016E" w:rsidRPr="00314858">
        <w:rPr>
          <w:rFonts w:ascii="Times New Roman" w:hAnsi="Times New Roman" w:cs="Times New Roman"/>
          <w:bCs/>
          <w:lang w:val="sr-Latn-ME"/>
        </w:rPr>
        <w:t>dio</w:t>
      </w:r>
      <w:r w:rsidRPr="00314858">
        <w:rPr>
          <w:rFonts w:ascii="Times New Roman" w:hAnsi="Times New Roman" w:cs="Times New Roman"/>
          <w:bCs/>
          <w:lang w:val="sr-Latn-ME"/>
        </w:rPr>
        <w:t xml:space="preserve"> 5.1) je prim</w:t>
      </w:r>
      <w:r w:rsidR="0041016E" w:rsidRPr="00314858">
        <w:rPr>
          <w:rFonts w:ascii="Times New Roman" w:hAnsi="Times New Roman" w:cs="Times New Roman"/>
          <w:bCs/>
          <w:lang w:val="sr-Latn-ME"/>
        </w:rPr>
        <w:t>ij</w:t>
      </w:r>
      <w:r w:rsidRPr="00314858">
        <w:rPr>
          <w:rFonts w:ascii="Times New Roman" w:hAnsi="Times New Roman" w:cs="Times New Roman"/>
          <w:bCs/>
          <w:lang w:val="sr-Latn-ME"/>
        </w:rPr>
        <w:t>ećeno da istovremena upotreba drugih oralnih ili parenteralnih antikoagulanasa poveća</w:t>
      </w:r>
      <w:r w:rsidR="00C73D0A" w:rsidRPr="00314858">
        <w:rPr>
          <w:rFonts w:ascii="Times New Roman" w:hAnsi="Times New Roman" w:cs="Times New Roman"/>
          <w:bCs/>
          <w:lang w:val="sr-Latn-ME"/>
        </w:rPr>
        <w:t>va</w:t>
      </w:r>
      <w:r w:rsidRPr="00314858">
        <w:rPr>
          <w:rFonts w:ascii="Times New Roman" w:hAnsi="Times New Roman" w:cs="Times New Roman"/>
          <w:bCs/>
          <w:lang w:val="sr-Latn-ME"/>
        </w:rPr>
        <w:t xml:space="preserve"> stope </w:t>
      </w:r>
      <w:r w:rsidR="00FC4466" w:rsidRPr="00314858">
        <w:rPr>
          <w:rFonts w:ascii="Times New Roman" w:hAnsi="Times New Roman" w:cs="Times New Roman"/>
          <w:bCs/>
          <w:lang w:val="sr-Latn-ME"/>
        </w:rPr>
        <w:t>obilnijih</w:t>
      </w:r>
      <w:r w:rsidRPr="00314858">
        <w:rPr>
          <w:rFonts w:ascii="Times New Roman" w:hAnsi="Times New Roman" w:cs="Times New Roman"/>
          <w:bCs/>
          <w:lang w:val="sr-Latn-ME"/>
        </w:rPr>
        <w:t xml:space="preserve"> krvarenja i sa dabigatraneteksilatom i sa varfarinom za približno 2,5 puta, i ovo je uglavnom bilo povezano sa situacijama kada se prelazilo sa jednog na drugi antikoagulans (vid</w:t>
      </w:r>
      <w:r w:rsidR="0041016E" w:rsidRPr="00314858">
        <w:rPr>
          <w:rFonts w:ascii="Times New Roman" w:hAnsi="Times New Roman" w:cs="Times New Roman"/>
          <w:bCs/>
          <w:lang w:val="sr-Latn-ME"/>
        </w:rPr>
        <w:t>j</w:t>
      </w:r>
      <w:r w:rsidRPr="00314858">
        <w:rPr>
          <w:rFonts w:ascii="Times New Roman" w:hAnsi="Times New Roman" w:cs="Times New Roman"/>
          <w:bCs/>
          <w:lang w:val="sr-Latn-ME"/>
        </w:rPr>
        <w:t xml:space="preserve">eti </w:t>
      </w:r>
      <w:r w:rsidR="0041016E" w:rsidRPr="00314858">
        <w:rPr>
          <w:rFonts w:ascii="Times New Roman" w:hAnsi="Times New Roman" w:cs="Times New Roman"/>
          <w:bCs/>
          <w:lang w:val="sr-Latn-ME"/>
        </w:rPr>
        <w:t>dio</w:t>
      </w:r>
      <w:r w:rsidRPr="00314858">
        <w:rPr>
          <w:rFonts w:ascii="Times New Roman" w:hAnsi="Times New Roman" w:cs="Times New Roman"/>
          <w:bCs/>
          <w:lang w:val="sr-Latn-ME"/>
        </w:rPr>
        <w:t xml:space="preserve"> 4</w:t>
      </w:r>
      <w:r w:rsidRPr="00314858">
        <w:rPr>
          <w:rFonts w:ascii="Times New Roman" w:hAnsi="Times New Roman" w:cs="Times New Roman"/>
          <w:i/>
          <w:lang w:val="sr-Latn-ME"/>
        </w:rPr>
        <w:t>.</w:t>
      </w:r>
      <w:r w:rsidRPr="00314858">
        <w:rPr>
          <w:rFonts w:ascii="Times New Roman" w:hAnsi="Times New Roman" w:cs="Times New Roman"/>
          <w:lang w:val="sr-Latn-ME"/>
        </w:rPr>
        <w:t xml:space="preserve">3). </w:t>
      </w:r>
      <w:r w:rsidR="00C73D0A" w:rsidRPr="00314858">
        <w:rPr>
          <w:rFonts w:ascii="Times New Roman" w:hAnsi="Times New Roman" w:cs="Times New Roman"/>
          <w:lang w:val="sr-Latn-ME"/>
        </w:rPr>
        <w:t>Pored toga</w:t>
      </w:r>
      <w:r w:rsidRPr="00314858">
        <w:rPr>
          <w:rFonts w:ascii="Times New Roman" w:hAnsi="Times New Roman" w:cs="Times New Roman"/>
          <w:lang w:val="sr-Latn-ME"/>
        </w:rPr>
        <w:t>, istovremena upotreba inhibitora agregacije trombocita, ASK ili klopidogrela približno je</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dvostruko povećavala stope </w:t>
      </w:r>
      <w:r w:rsidR="00FC4466" w:rsidRPr="00314858">
        <w:rPr>
          <w:rFonts w:ascii="Times New Roman" w:hAnsi="Times New Roman" w:cs="Times New Roman"/>
          <w:lang w:val="sr-Latn-ME"/>
        </w:rPr>
        <w:t>obilnijih</w:t>
      </w:r>
      <w:r w:rsidRPr="00314858">
        <w:rPr>
          <w:rFonts w:ascii="Times New Roman" w:hAnsi="Times New Roman" w:cs="Times New Roman"/>
          <w:lang w:val="sr-Latn-ME"/>
        </w:rPr>
        <w:t xml:space="preserve"> krvarenja </w:t>
      </w:r>
      <w:r w:rsidRPr="00314858">
        <w:rPr>
          <w:rFonts w:ascii="Times New Roman" w:hAnsi="Times New Roman" w:cs="Times New Roman"/>
          <w:bCs/>
          <w:lang w:val="sr-Latn-ME"/>
        </w:rPr>
        <w:t>i sa dabigatraneteksilatom i sa varfarinom (vid</w:t>
      </w:r>
      <w:r w:rsidR="0041016E" w:rsidRPr="00314858">
        <w:rPr>
          <w:rFonts w:ascii="Times New Roman" w:hAnsi="Times New Roman" w:cs="Times New Roman"/>
          <w:bCs/>
          <w:lang w:val="sr-Latn-ME"/>
        </w:rPr>
        <w:t>j</w:t>
      </w:r>
      <w:r w:rsidRPr="00314858">
        <w:rPr>
          <w:rFonts w:ascii="Times New Roman" w:hAnsi="Times New Roman" w:cs="Times New Roman"/>
          <w:bCs/>
          <w:lang w:val="sr-Latn-ME"/>
        </w:rPr>
        <w:t xml:space="preserve">eti </w:t>
      </w:r>
      <w:r w:rsidR="0041016E" w:rsidRPr="00314858">
        <w:rPr>
          <w:rFonts w:ascii="Times New Roman" w:hAnsi="Times New Roman" w:cs="Times New Roman"/>
          <w:bCs/>
          <w:lang w:val="sr-Latn-ME"/>
        </w:rPr>
        <w:t>dio</w:t>
      </w:r>
      <w:r w:rsidRPr="00314858">
        <w:rPr>
          <w:rFonts w:ascii="Times New Roman" w:hAnsi="Times New Roman" w:cs="Times New Roman"/>
          <w:bCs/>
          <w:lang w:val="sr-Latn-ME"/>
        </w:rPr>
        <w:t xml:space="preserve"> 4</w:t>
      </w:r>
      <w:r w:rsidRPr="00314858">
        <w:rPr>
          <w:rFonts w:ascii="Times New Roman" w:hAnsi="Times New Roman" w:cs="Times New Roman"/>
          <w:i/>
          <w:lang w:val="sr-Latn-ME"/>
        </w:rPr>
        <w:t>.</w:t>
      </w:r>
      <w:r w:rsidRPr="00314858">
        <w:rPr>
          <w:rFonts w:ascii="Times New Roman" w:hAnsi="Times New Roman" w:cs="Times New Roman"/>
          <w:lang w:val="sr-Latn-ME"/>
        </w:rPr>
        <w:t>4).</w:t>
      </w:r>
    </w:p>
    <w:p w14:paraId="3BFADD4F" w14:textId="77777777" w:rsidR="0009272D" w:rsidRPr="00314858" w:rsidRDefault="0009272D" w:rsidP="00D67D34">
      <w:pPr>
        <w:spacing w:after="0" w:line="240" w:lineRule="auto"/>
        <w:jc w:val="both"/>
        <w:rPr>
          <w:rFonts w:ascii="Times New Roman" w:hAnsi="Times New Roman" w:cs="Times New Roman"/>
          <w:lang w:val="sr-Latn-ME"/>
        </w:rPr>
      </w:pPr>
    </w:p>
    <w:p w14:paraId="77E182F3" w14:textId="26B13054" w:rsidR="00D67D34" w:rsidRPr="00314858" w:rsidRDefault="00FC4466"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UFH</w:t>
      </w:r>
      <w:r w:rsidR="00D67D34" w:rsidRPr="00314858">
        <w:rPr>
          <w:rFonts w:ascii="Times New Roman" w:hAnsi="Times New Roman" w:cs="Times New Roman"/>
          <w:lang w:val="sr-Latn-ME"/>
        </w:rPr>
        <w:t xml:space="preserve"> mogu da se prim</w:t>
      </w:r>
      <w:r w:rsidR="00A76BC8" w:rsidRPr="00314858">
        <w:rPr>
          <w:rFonts w:ascii="Times New Roman" w:hAnsi="Times New Roman" w:cs="Times New Roman"/>
          <w:lang w:val="sr-Latn-ME"/>
        </w:rPr>
        <w:t>i</w:t>
      </w:r>
      <w:r w:rsidR="00116ABE"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ene u dozama neophodnim da se održi ugrađeni centralni venski ili arterijski kateter ili tokom kateterske ablacije </w:t>
      </w:r>
      <w:r w:rsidR="00C73D0A" w:rsidRPr="00314858">
        <w:rPr>
          <w:rFonts w:ascii="Times New Roman" w:hAnsi="Times New Roman" w:cs="Times New Roman"/>
          <w:lang w:val="sr-Latn-ME"/>
        </w:rPr>
        <w:t>zbog</w:t>
      </w:r>
      <w:r w:rsidR="00D67D34" w:rsidRPr="00314858">
        <w:rPr>
          <w:rFonts w:ascii="Times New Roman" w:hAnsi="Times New Roman" w:cs="Times New Roman"/>
          <w:lang w:val="sr-Latn-ME"/>
        </w:rPr>
        <w:t xml:space="preserve"> atrijalne fibrilacije (vid</w:t>
      </w:r>
      <w:r w:rsidR="0041016E"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eti </w:t>
      </w:r>
      <w:r w:rsidR="0041016E" w:rsidRPr="00314858">
        <w:rPr>
          <w:rFonts w:ascii="Times New Roman" w:hAnsi="Times New Roman" w:cs="Times New Roman"/>
          <w:lang w:val="sr-Latn-ME"/>
        </w:rPr>
        <w:t>dio</w:t>
      </w:r>
      <w:r w:rsidR="00D67D34" w:rsidRPr="00314858">
        <w:rPr>
          <w:rFonts w:ascii="Times New Roman" w:hAnsi="Times New Roman" w:cs="Times New Roman"/>
          <w:lang w:val="sr-Latn-ME"/>
        </w:rPr>
        <w:t xml:space="preserve"> 4.3). </w:t>
      </w:r>
    </w:p>
    <w:p w14:paraId="2169A1B6" w14:textId="77777777" w:rsidR="00D67D34" w:rsidRPr="00314858" w:rsidRDefault="00D67D34" w:rsidP="00D67D34">
      <w:pPr>
        <w:spacing w:after="0" w:line="240" w:lineRule="auto"/>
        <w:jc w:val="both"/>
        <w:rPr>
          <w:rFonts w:ascii="Times New Roman" w:hAnsi="Times New Roman" w:cs="Times New Roman"/>
          <w:b/>
          <w:bCs/>
          <w:lang w:val="sr-Latn-ME" w:bidi="en-US"/>
        </w:rPr>
      </w:pPr>
    </w:p>
    <w:p w14:paraId="3ED2F23C" w14:textId="18D76CFF"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9</w:t>
      </w:r>
      <w:r w:rsidR="003C7250"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Interakcije sa antikoagulansima i inhibitorima agregacije trombocita</w:t>
      </w:r>
    </w:p>
    <w:p w14:paraId="242A3B03" w14:textId="77777777" w:rsidR="00FC4466" w:rsidRPr="00314858" w:rsidRDefault="00FC4466"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239"/>
        <w:gridCol w:w="7821"/>
      </w:tblGrid>
      <w:tr w:rsidR="00D67D34" w:rsidRPr="00314858" w14:paraId="5A9465DB" w14:textId="77777777" w:rsidTr="0009272D">
        <w:trPr>
          <w:trHeight w:val="20"/>
          <w:jc w:val="center"/>
        </w:trPr>
        <w:tc>
          <w:tcPr>
            <w:tcW w:w="684" w:type="pct"/>
            <w:tcBorders>
              <w:top w:val="single" w:sz="4" w:space="0" w:color="auto"/>
              <w:left w:val="single" w:sz="4" w:space="0" w:color="auto"/>
            </w:tcBorders>
            <w:shd w:val="clear" w:color="auto" w:fill="auto"/>
          </w:tcPr>
          <w:p w14:paraId="3DA3C66F"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NSAIL</w:t>
            </w:r>
          </w:p>
        </w:tc>
        <w:tc>
          <w:tcPr>
            <w:tcW w:w="4316" w:type="pct"/>
            <w:tcBorders>
              <w:top w:val="single" w:sz="4" w:space="0" w:color="auto"/>
              <w:left w:val="single" w:sz="4" w:space="0" w:color="auto"/>
              <w:right w:val="single" w:sz="4" w:space="0" w:color="auto"/>
            </w:tcBorders>
            <w:shd w:val="clear" w:color="auto" w:fill="auto"/>
            <w:vAlign w:val="bottom"/>
          </w:tcPr>
          <w:p w14:paraId="4F00539C" w14:textId="1D4B72B2"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Pokazano je da NSAIL, kada se daju radi kratkotrajne analgezije, ni</w:t>
            </w:r>
            <w:r w:rsidR="00116ABE" w:rsidRPr="00314858">
              <w:rPr>
                <w:rFonts w:ascii="Times New Roman" w:hAnsi="Times New Roman" w:cs="Times New Roman"/>
                <w:lang w:val="sr-Latn-ME"/>
              </w:rPr>
              <w:t>je</w:t>
            </w:r>
            <w:r w:rsidRPr="00314858">
              <w:rPr>
                <w:rFonts w:ascii="Times New Roman" w:hAnsi="Times New Roman" w:cs="Times New Roman"/>
                <w:lang w:val="sr-Latn-ME"/>
              </w:rPr>
              <w:t>su povezani sa povećanim rizikom od krvarenja kada se daju uz dabigatraneteksilat. Pri hroničnoj upotrebi</w:t>
            </w:r>
            <w:r w:rsidR="00FC4466" w:rsidRPr="00314858">
              <w:rPr>
                <w:rFonts w:ascii="Times New Roman" w:hAnsi="Times New Roman" w:cs="Times New Roman"/>
                <w:lang w:val="sr-Latn-ME"/>
              </w:rPr>
              <w:t xml:space="preserve"> u studiji RE-LY</w:t>
            </w:r>
            <w:r w:rsidRPr="00314858">
              <w:rPr>
                <w:rFonts w:ascii="Times New Roman" w:hAnsi="Times New Roman" w:cs="Times New Roman"/>
                <w:lang w:val="sr-Latn-ME"/>
              </w:rPr>
              <w:t>, NSAIL su povećavali rizik od krvarenja za otprilike 50% i uz dabigatraneteksilat i uz varfarin.</w:t>
            </w:r>
          </w:p>
        </w:tc>
      </w:tr>
      <w:tr w:rsidR="0009272D" w:rsidRPr="00314858" w14:paraId="4984A6EB" w14:textId="77777777" w:rsidTr="0009272D">
        <w:trPr>
          <w:trHeight w:val="20"/>
          <w:jc w:val="center"/>
        </w:trPr>
        <w:tc>
          <w:tcPr>
            <w:tcW w:w="684" w:type="pct"/>
            <w:tcBorders>
              <w:top w:val="single" w:sz="4" w:space="0" w:color="auto"/>
              <w:left w:val="single" w:sz="4" w:space="0" w:color="auto"/>
            </w:tcBorders>
            <w:shd w:val="clear" w:color="auto" w:fill="auto"/>
          </w:tcPr>
          <w:p w14:paraId="0A1468C4"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Klopidogrel</w:t>
            </w:r>
          </w:p>
        </w:tc>
        <w:tc>
          <w:tcPr>
            <w:tcW w:w="4316" w:type="pct"/>
            <w:tcBorders>
              <w:top w:val="single" w:sz="4" w:space="0" w:color="auto"/>
              <w:left w:val="single" w:sz="4" w:space="0" w:color="auto"/>
              <w:right w:val="single" w:sz="4" w:space="0" w:color="auto"/>
            </w:tcBorders>
            <w:shd w:val="clear" w:color="auto" w:fill="auto"/>
            <w:vAlign w:val="bottom"/>
          </w:tcPr>
          <w:p w14:paraId="4C03D163" w14:textId="3F05DBA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Kod mladih, zdravih dobrovoljaca muškog pola</w:t>
            </w:r>
            <w:r w:rsidR="00B9705E" w:rsidRPr="00314858">
              <w:rPr>
                <w:rFonts w:ascii="Times New Roman" w:hAnsi="Times New Roman" w:cs="Times New Roman"/>
                <w:lang w:val="sr-Latn-ME"/>
              </w:rPr>
              <w:t>,</w:t>
            </w:r>
            <w:r w:rsidRPr="00314858">
              <w:rPr>
                <w:rFonts w:ascii="Times New Roman" w:hAnsi="Times New Roman" w:cs="Times New Roman"/>
                <w:lang w:val="sr-Latn-ME"/>
              </w:rPr>
              <w:t xml:space="preserve"> istovremena prim</w:t>
            </w:r>
            <w:r w:rsidR="006E3EE7" w:rsidRPr="00314858">
              <w:rPr>
                <w:rFonts w:ascii="Times New Roman" w:hAnsi="Times New Roman" w:cs="Times New Roman"/>
                <w:lang w:val="sr-Latn-ME"/>
              </w:rPr>
              <w:t>j</w:t>
            </w:r>
            <w:r w:rsidRPr="00314858">
              <w:rPr>
                <w:rFonts w:ascii="Times New Roman" w:hAnsi="Times New Roman" w:cs="Times New Roman"/>
                <w:lang w:val="sr-Latn-ME"/>
              </w:rPr>
              <w:t xml:space="preserve">ena dabigatraneteksilata i klopidogrela nije dovela do daljeg produženja vremena kapilarnog krvarenja u poređenju sa monoterapijom klopidogrelom. </w:t>
            </w:r>
            <w:r w:rsidR="00B9705E" w:rsidRPr="00314858">
              <w:rPr>
                <w:rFonts w:ascii="Times New Roman" w:hAnsi="Times New Roman" w:cs="Times New Roman"/>
                <w:lang w:val="sr-Latn-ME"/>
              </w:rPr>
              <w:t>Pored toga</w:t>
            </w:r>
            <w:r w:rsidRPr="00314858">
              <w:rPr>
                <w:rFonts w:ascii="Times New Roman" w:hAnsi="Times New Roman" w:cs="Times New Roman"/>
                <w:lang w:val="sr-Latn-ME"/>
              </w:rPr>
              <w:t xml:space="preserve">, </w:t>
            </w:r>
            <w:r w:rsidR="00B9705E" w:rsidRPr="00314858">
              <w:rPr>
                <w:rFonts w:ascii="Times New Roman" w:hAnsi="Times New Roman" w:cs="Times New Roman"/>
                <w:lang w:val="sr-Latn-ME"/>
              </w:rPr>
              <w:t>vr</w:t>
            </w:r>
            <w:r w:rsidR="006E3EE7" w:rsidRPr="00314858">
              <w:rPr>
                <w:rFonts w:ascii="Times New Roman" w:hAnsi="Times New Roman" w:cs="Times New Roman"/>
                <w:lang w:val="sr-Latn-ME"/>
              </w:rPr>
              <w:t>ij</w:t>
            </w:r>
            <w:r w:rsidR="00B9705E" w:rsidRPr="00314858">
              <w:rPr>
                <w:rFonts w:ascii="Times New Roman" w:hAnsi="Times New Roman" w:cs="Times New Roman"/>
                <w:lang w:val="sr-Latn-ME"/>
              </w:rPr>
              <w:t xml:space="preserve">ednosti </w:t>
            </w:r>
            <w:r w:rsidRPr="00314858">
              <w:rPr>
                <w:rFonts w:ascii="Times New Roman" w:hAnsi="Times New Roman" w:cs="Times New Roman"/>
                <w:lang w:val="sr-Latn-ME"/>
              </w:rPr>
              <w:t>PIK</w:t>
            </w:r>
            <w:r w:rsidRPr="00314858">
              <w:rPr>
                <w:rFonts w:ascii="Times New Roman" w:hAnsi="Times New Roman" w:cs="Times New Roman"/>
                <w:vertAlign w:val="subscript"/>
                <w:lang w:val="sr-Latn-ME"/>
              </w:rPr>
              <w:t xml:space="preserve">τ,ss </w:t>
            </w:r>
            <w:r w:rsidRPr="00314858">
              <w:rPr>
                <w:rFonts w:ascii="Times New Roman" w:hAnsi="Times New Roman" w:cs="Times New Roman"/>
                <w:lang w:val="sr-Latn-ME"/>
              </w:rPr>
              <w:t>i 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w:t>
            </w:r>
            <w:r w:rsidRPr="00314858">
              <w:rPr>
                <w:rFonts w:ascii="Times New Roman" w:hAnsi="Times New Roman" w:cs="Times New Roman"/>
                <w:vertAlign w:val="subscript"/>
                <w:lang w:val="sr-Latn-ME"/>
              </w:rPr>
              <w:t>ss</w:t>
            </w:r>
            <w:r w:rsidRPr="00314858">
              <w:rPr>
                <w:rFonts w:ascii="Times New Roman" w:hAnsi="Times New Roman" w:cs="Times New Roman"/>
                <w:lang w:val="sr-Latn-ME"/>
              </w:rPr>
              <w:t xml:space="preserve"> dabigatrana i </w:t>
            </w:r>
            <w:r w:rsidR="00C73D0A" w:rsidRPr="00314858">
              <w:rPr>
                <w:rFonts w:ascii="Times New Roman" w:hAnsi="Times New Roman" w:cs="Times New Roman"/>
                <w:lang w:val="sr-Latn-ME"/>
              </w:rPr>
              <w:t>testovi koagulacije kao</w:t>
            </w:r>
            <w:r w:rsidRPr="00314858">
              <w:rPr>
                <w:rFonts w:ascii="Times New Roman" w:hAnsi="Times New Roman" w:cs="Times New Roman"/>
                <w:lang w:val="sr-Latn-ME"/>
              </w:rPr>
              <w:t xml:space="preserve"> </w:t>
            </w:r>
            <w:r w:rsidR="00C73D0A" w:rsidRPr="00314858">
              <w:rPr>
                <w:rFonts w:ascii="Times New Roman" w:hAnsi="Times New Roman" w:cs="Times New Roman"/>
                <w:lang w:val="sr-Latn-ME"/>
              </w:rPr>
              <w:t>m</w:t>
            </w:r>
            <w:r w:rsidR="006E3EE7" w:rsidRPr="00314858">
              <w:rPr>
                <w:rFonts w:ascii="Times New Roman" w:hAnsi="Times New Roman" w:cs="Times New Roman"/>
                <w:lang w:val="sr-Latn-ME"/>
              </w:rPr>
              <w:t>j</w:t>
            </w:r>
            <w:r w:rsidR="00C73D0A" w:rsidRPr="00314858">
              <w:rPr>
                <w:rFonts w:ascii="Times New Roman" w:hAnsi="Times New Roman" w:cs="Times New Roman"/>
                <w:lang w:val="sr-Latn-ME"/>
              </w:rPr>
              <w:t>era</w:t>
            </w:r>
            <w:r w:rsidRPr="00314858">
              <w:rPr>
                <w:rFonts w:ascii="Times New Roman" w:hAnsi="Times New Roman" w:cs="Times New Roman"/>
                <w:lang w:val="sr-Latn-ME"/>
              </w:rPr>
              <w:t xml:space="preserve"> dejstv</w:t>
            </w:r>
            <w:r w:rsidR="00C73D0A" w:rsidRPr="00314858">
              <w:rPr>
                <w:rFonts w:ascii="Times New Roman" w:hAnsi="Times New Roman" w:cs="Times New Roman"/>
                <w:lang w:val="sr-Latn-ME"/>
              </w:rPr>
              <w:t>a</w:t>
            </w:r>
            <w:r w:rsidRPr="00314858">
              <w:rPr>
                <w:rFonts w:ascii="Times New Roman" w:hAnsi="Times New Roman" w:cs="Times New Roman"/>
                <w:lang w:val="sr-Latn-ME"/>
              </w:rPr>
              <w:t xml:space="preserve"> dabigatrana ili inhibicija agregacije trombocita kao m</w:t>
            </w:r>
            <w:r w:rsidR="006E3EE7" w:rsidRPr="00314858">
              <w:rPr>
                <w:rFonts w:ascii="Times New Roman" w:hAnsi="Times New Roman" w:cs="Times New Roman"/>
                <w:lang w:val="sr-Latn-ME"/>
              </w:rPr>
              <w:t>j</w:t>
            </w:r>
            <w:r w:rsidRPr="00314858">
              <w:rPr>
                <w:rFonts w:ascii="Times New Roman" w:hAnsi="Times New Roman" w:cs="Times New Roman"/>
                <w:lang w:val="sr-Latn-ME"/>
              </w:rPr>
              <w:t>era dejstva klopidogrela,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ostaju suštinski neizm</w:t>
            </w:r>
            <w:r w:rsidR="006E3EE7" w:rsidRPr="00314858">
              <w:rPr>
                <w:rFonts w:ascii="Times New Roman" w:hAnsi="Times New Roman" w:cs="Times New Roman"/>
                <w:lang w:val="sr-Latn-ME"/>
              </w:rPr>
              <w:t>ij</w:t>
            </w:r>
            <w:r w:rsidRPr="00314858">
              <w:rPr>
                <w:rFonts w:ascii="Times New Roman" w:hAnsi="Times New Roman" w:cs="Times New Roman"/>
                <w:lang w:val="sr-Latn-ME"/>
              </w:rPr>
              <w:t xml:space="preserve">enjeni </w:t>
            </w:r>
            <w:r w:rsidR="00C73D0A" w:rsidRPr="00314858">
              <w:rPr>
                <w:rFonts w:ascii="Times New Roman" w:hAnsi="Times New Roman" w:cs="Times New Roman"/>
                <w:lang w:val="sr-Latn-ME"/>
              </w:rPr>
              <w:t>pri</w:t>
            </w:r>
            <w:r w:rsidRPr="00314858">
              <w:rPr>
                <w:rFonts w:ascii="Times New Roman" w:hAnsi="Times New Roman" w:cs="Times New Roman"/>
                <w:lang w:val="sr-Latn-ME"/>
              </w:rPr>
              <w:t xml:space="preserve"> poređenju kombinovan</w:t>
            </w:r>
            <w:r w:rsidR="00C73D0A" w:rsidRPr="00314858">
              <w:rPr>
                <w:rFonts w:ascii="Times New Roman" w:hAnsi="Times New Roman" w:cs="Times New Roman"/>
                <w:lang w:val="sr-Latn-ME"/>
              </w:rPr>
              <w:t>e</w:t>
            </w:r>
            <w:r w:rsidRPr="00314858">
              <w:rPr>
                <w:rFonts w:ascii="Times New Roman" w:hAnsi="Times New Roman" w:cs="Times New Roman"/>
                <w:lang w:val="sr-Latn-ME"/>
              </w:rPr>
              <w:t xml:space="preserve"> terapij</w:t>
            </w:r>
            <w:r w:rsidR="00C73D0A" w:rsidRPr="00314858">
              <w:rPr>
                <w:rFonts w:ascii="Times New Roman" w:hAnsi="Times New Roman" w:cs="Times New Roman"/>
                <w:lang w:val="sr-Latn-ME"/>
              </w:rPr>
              <w:t>e</w:t>
            </w:r>
            <w:r w:rsidRPr="00314858">
              <w:rPr>
                <w:rFonts w:ascii="Times New Roman" w:hAnsi="Times New Roman" w:cs="Times New Roman"/>
                <w:lang w:val="sr-Latn-ME"/>
              </w:rPr>
              <w:t xml:space="preserve"> </w:t>
            </w:r>
            <w:r w:rsidR="00C73D0A" w:rsidRPr="00314858">
              <w:rPr>
                <w:rFonts w:ascii="Times New Roman" w:hAnsi="Times New Roman" w:cs="Times New Roman"/>
                <w:lang w:val="sr-Latn-ME"/>
              </w:rPr>
              <w:t>sa</w:t>
            </w:r>
            <w:r w:rsidRPr="00314858">
              <w:rPr>
                <w:rFonts w:ascii="Times New Roman" w:hAnsi="Times New Roman" w:cs="Times New Roman"/>
                <w:lang w:val="sr-Latn-ME"/>
              </w:rPr>
              <w:t xml:space="preserve"> odgovarajućim monoterapijama. </w:t>
            </w:r>
            <w:r w:rsidR="00C73D0A" w:rsidRPr="00314858">
              <w:rPr>
                <w:rFonts w:ascii="Times New Roman" w:hAnsi="Times New Roman" w:cs="Times New Roman"/>
                <w:lang w:val="sr-Latn-ME"/>
              </w:rPr>
              <w:t>Pri prim</w:t>
            </w:r>
            <w:r w:rsidR="006E3EE7" w:rsidRPr="00314858">
              <w:rPr>
                <w:rFonts w:ascii="Times New Roman" w:hAnsi="Times New Roman" w:cs="Times New Roman"/>
                <w:lang w:val="sr-Latn-ME"/>
              </w:rPr>
              <w:t>j</w:t>
            </w:r>
            <w:r w:rsidR="00C73D0A" w:rsidRPr="00314858">
              <w:rPr>
                <w:rFonts w:ascii="Times New Roman" w:hAnsi="Times New Roman" w:cs="Times New Roman"/>
                <w:lang w:val="sr-Latn-ME"/>
              </w:rPr>
              <w:t>eni</w:t>
            </w:r>
            <w:r w:rsidRPr="00314858">
              <w:rPr>
                <w:rFonts w:ascii="Times New Roman" w:hAnsi="Times New Roman" w:cs="Times New Roman"/>
                <w:lang w:val="sr-Latn-ME"/>
              </w:rPr>
              <w:t xml:space="preserve"> udar</w:t>
            </w:r>
            <w:r w:rsidR="00C73D0A" w:rsidRPr="00314858">
              <w:rPr>
                <w:rFonts w:ascii="Times New Roman" w:hAnsi="Times New Roman" w:cs="Times New Roman"/>
                <w:lang w:val="sr-Latn-ME"/>
              </w:rPr>
              <w:t>ne</w:t>
            </w:r>
            <w:r w:rsidRPr="00314858">
              <w:rPr>
                <w:rFonts w:ascii="Times New Roman" w:hAnsi="Times New Roman" w:cs="Times New Roman"/>
                <w:lang w:val="sr-Latn-ME"/>
              </w:rPr>
              <w:t xml:space="preserve"> doz</w:t>
            </w:r>
            <w:r w:rsidR="00C73D0A" w:rsidRPr="00314858">
              <w:rPr>
                <w:rFonts w:ascii="Times New Roman" w:hAnsi="Times New Roman" w:cs="Times New Roman"/>
                <w:lang w:val="sr-Latn-ME"/>
              </w:rPr>
              <w:t>e</w:t>
            </w:r>
            <w:r w:rsidRPr="00314858">
              <w:rPr>
                <w:rFonts w:ascii="Times New Roman" w:hAnsi="Times New Roman" w:cs="Times New Roman"/>
                <w:lang w:val="sr-Latn-ME"/>
              </w:rPr>
              <w:t xml:space="preserve"> od 300 mg ili 600 mg klopidogrela, </w:t>
            </w:r>
            <w:r w:rsidR="00B9705E" w:rsidRPr="00314858">
              <w:rPr>
                <w:rFonts w:ascii="Times New Roman" w:hAnsi="Times New Roman" w:cs="Times New Roman"/>
                <w:lang w:val="sr-Latn-ME"/>
              </w:rPr>
              <w:t>vr</w:t>
            </w:r>
            <w:r w:rsidR="006E3EE7" w:rsidRPr="00314858">
              <w:rPr>
                <w:rFonts w:ascii="Times New Roman" w:hAnsi="Times New Roman" w:cs="Times New Roman"/>
                <w:lang w:val="sr-Latn-ME"/>
              </w:rPr>
              <w:t>ij</w:t>
            </w:r>
            <w:r w:rsidR="00B9705E" w:rsidRPr="00314858">
              <w:rPr>
                <w:rFonts w:ascii="Times New Roman" w:hAnsi="Times New Roman" w:cs="Times New Roman"/>
                <w:lang w:val="sr-Latn-ME"/>
              </w:rPr>
              <w:t xml:space="preserve">ednosti </w:t>
            </w:r>
            <w:r w:rsidRPr="00314858">
              <w:rPr>
                <w:rFonts w:ascii="Times New Roman" w:hAnsi="Times New Roman" w:cs="Times New Roman"/>
                <w:lang w:val="sr-Latn-ME"/>
              </w:rPr>
              <w:t>PIK</w:t>
            </w:r>
            <w:r w:rsidRPr="00314858">
              <w:rPr>
                <w:rFonts w:ascii="Times New Roman" w:hAnsi="Times New Roman" w:cs="Times New Roman"/>
                <w:vertAlign w:val="subscript"/>
                <w:lang w:val="sr-Latn-ME"/>
              </w:rPr>
              <w:t xml:space="preserve">τ,ss </w:t>
            </w:r>
            <w:r w:rsidRPr="00314858">
              <w:rPr>
                <w:rFonts w:ascii="Times New Roman" w:hAnsi="Times New Roman" w:cs="Times New Roman"/>
                <w:lang w:val="sr-Latn-ME"/>
              </w:rPr>
              <w:t>i C</w:t>
            </w:r>
            <w:r w:rsidRPr="00314858">
              <w:rPr>
                <w:rFonts w:ascii="Times New Roman" w:hAnsi="Times New Roman" w:cs="Times New Roman"/>
                <w:vertAlign w:val="subscript"/>
                <w:lang w:val="sr-Latn-ME"/>
              </w:rPr>
              <w:t xml:space="preserve">max,ss </w:t>
            </w:r>
            <w:r w:rsidRPr="00314858">
              <w:rPr>
                <w:rFonts w:ascii="Times New Roman" w:hAnsi="Times New Roman" w:cs="Times New Roman"/>
                <w:lang w:val="sr-Latn-ME"/>
              </w:rPr>
              <w:t>dabigratana povećali su se za oko 30-40% (vid</w:t>
            </w:r>
            <w:r w:rsidR="006E3EE7"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6E3EE7" w:rsidRPr="00314858">
              <w:rPr>
                <w:rFonts w:ascii="Times New Roman" w:hAnsi="Times New Roman" w:cs="Times New Roman"/>
                <w:lang w:val="sr-Latn-ME"/>
              </w:rPr>
              <w:t>dio</w:t>
            </w:r>
            <w:r w:rsidRPr="00314858">
              <w:rPr>
                <w:rFonts w:ascii="Times New Roman" w:hAnsi="Times New Roman" w:cs="Times New Roman"/>
                <w:lang w:val="sr-Latn-ME"/>
              </w:rPr>
              <w:t xml:space="preserve"> 4.4).</w:t>
            </w:r>
          </w:p>
        </w:tc>
      </w:tr>
      <w:tr w:rsidR="00D67D34" w:rsidRPr="00314858" w14:paraId="034D8701" w14:textId="77777777" w:rsidTr="0009272D">
        <w:trPr>
          <w:trHeight w:val="20"/>
          <w:jc w:val="center"/>
        </w:trPr>
        <w:tc>
          <w:tcPr>
            <w:tcW w:w="684" w:type="pct"/>
            <w:tcBorders>
              <w:top w:val="single" w:sz="4" w:space="0" w:color="auto"/>
              <w:left w:val="single" w:sz="4" w:space="0" w:color="auto"/>
            </w:tcBorders>
            <w:shd w:val="clear" w:color="auto" w:fill="auto"/>
          </w:tcPr>
          <w:p w14:paraId="01046B0E"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ASK</w:t>
            </w:r>
          </w:p>
        </w:tc>
        <w:tc>
          <w:tcPr>
            <w:tcW w:w="4316" w:type="pct"/>
            <w:tcBorders>
              <w:top w:val="single" w:sz="4" w:space="0" w:color="auto"/>
              <w:left w:val="single" w:sz="4" w:space="0" w:color="auto"/>
              <w:right w:val="single" w:sz="4" w:space="0" w:color="auto"/>
            </w:tcBorders>
            <w:shd w:val="clear" w:color="auto" w:fill="auto"/>
            <w:vAlign w:val="bottom"/>
          </w:tcPr>
          <w:p w14:paraId="218B97DC" w14:textId="3A5A434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Istovremena prim</w:t>
            </w:r>
            <w:r w:rsidR="006E3EE7" w:rsidRPr="00314858">
              <w:rPr>
                <w:rFonts w:ascii="Times New Roman" w:hAnsi="Times New Roman" w:cs="Times New Roman"/>
                <w:lang w:val="sr-Latn-ME"/>
              </w:rPr>
              <w:t>j</w:t>
            </w:r>
            <w:r w:rsidRPr="00314858">
              <w:rPr>
                <w:rFonts w:ascii="Times New Roman" w:hAnsi="Times New Roman" w:cs="Times New Roman"/>
                <w:lang w:val="sr-Latn-ME"/>
              </w:rPr>
              <w:t xml:space="preserve">ena ASK i 150 mg dabigatraneteksilata dva puta dnevno može da poveća rizik od bilo kakvog krvarenja za 12% do 18% </w:t>
            </w:r>
            <w:r w:rsidR="00C73D0A" w:rsidRPr="00314858">
              <w:rPr>
                <w:rFonts w:ascii="Times New Roman" w:hAnsi="Times New Roman" w:cs="Times New Roman"/>
                <w:lang w:val="sr-Latn-ME"/>
              </w:rPr>
              <w:t>pri prim</w:t>
            </w:r>
            <w:r w:rsidR="006E3EE7" w:rsidRPr="00314858">
              <w:rPr>
                <w:rFonts w:ascii="Times New Roman" w:hAnsi="Times New Roman" w:cs="Times New Roman"/>
                <w:lang w:val="sr-Latn-ME"/>
              </w:rPr>
              <w:t>j</w:t>
            </w:r>
            <w:r w:rsidR="00C73D0A" w:rsidRPr="00314858">
              <w:rPr>
                <w:rFonts w:ascii="Times New Roman" w:hAnsi="Times New Roman" w:cs="Times New Roman"/>
                <w:lang w:val="sr-Latn-ME"/>
              </w:rPr>
              <w:t>eni</w:t>
            </w:r>
            <w:r w:rsidRPr="00314858">
              <w:rPr>
                <w:rFonts w:ascii="Times New Roman" w:hAnsi="Times New Roman" w:cs="Times New Roman"/>
                <w:lang w:val="sr-Latn-ME"/>
              </w:rPr>
              <w:t xml:space="preserve"> 81 mg ASK, odnosno za 24% </w:t>
            </w:r>
            <w:r w:rsidR="00C73D0A" w:rsidRPr="00314858">
              <w:rPr>
                <w:rFonts w:ascii="Times New Roman" w:hAnsi="Times New Roman" w:cs="Times New Roman"/>
                <w:lang w:val="sr-Latn-ME"/>
              </w:rPr>
              <w:t>pri prim</w:t>
            </w:r>
            <w:r w:rsidR="006E3EE7" w:rsidRPr="00314858">
              <w:rPr>
                <w:rFonts w:ascii="Times New Roman" w:hAnsi="Times New Roman" w:cs="Times New Roman"/>
                <w:lang w:val="sr-Latn-ME"/>
              </w:rPr>
              <w:t>j</w:t>
            </w:r>
            <w:r w:rsidR="00C73D0A" w:rsidRPr="00314858">
              <w:rPr>
                <w:rFonts w:ascii="Times New Roman" w:hAnsi="Times New Roman" w:cs="Times New Roman"/>
                <w:lang w:val="sr-Latn-ME"/>
              </w:rPr>
              <w:t>eni</w:t>
            </w:r>
            <w:r w:rsidRPr="00314858">
              <w:rPr>
                <w:rFonts w:ascii="Times New Roman" w:hAnsi="Times New Roman" w:cs="Times New Roman"/>
                <w:lang w:val="sr-Latn-ME"/>
              </w:rPr>
              <w:t xml:space="preserve"> 325 mg ASK (vid</w:t>
            </w:r>
            <w:r w:rsidR="006E3EE7"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6E3EE7" w:rsidRPr="00314858">
              <w:rPr>
                <w:rFonts w:ascii="Times New Roman" w:hAnsi="Times New Roman" w:cs="Times New Roman"/>
                <w:lang w:val="sr-Latn-ME"/>
              </w:rPr>
              <w:t>dio</w:t>
            </w:r>
            <w:r w:rsidRPr="00314858">
              <w:rPr>
                <w:rFonts w:ascii="Times New Roman" w:hAnsi="Times New Roman" w:cs="Times New Roman"/>
                <w:lang w:val="sr-Latn-ME"/>
              </w:rPr>
              <w:t xml:space="preserve"> 4.4).</w:t>
            </w:r>
          </w:p>
        </w:tc>
      </w:tr>
      <w:tr w:rsidR="00D67D34" w:rsidRPr="00314858" w14:paraId="3F5DA266" w14:textId="77777777" w:rsidTr="0009272D">
        <w:trPr>
          <w:trHeight w:val="20"/>
          <w:jc w:val="center"/>
        </w:trPr>
        <w:tc>
          <w:tcPr>
            <w:tcW w:w="684" w:type="pct"/>
            <w:tcBorders>
              <w:top w:val="single" w:sz="4" w:space="0" w:color="auto"/>
              <w:left w:val="single" w:sz="4" w:space="0" w:color="auto"/>
              <w:bottom w:val="single" w:sz="4" w:space="0" w:color="auto"/>
            </w:tcBorders>
            <w:shd w:val="clear" w:color="auto" w:fill="auto"/>
          </w:tcPr>
          <w:p w14:paraId="5040D331" w14:textId="1116A60A" w:rsidR="00D67D34" w:rsidRPr="00314858" w:rsidRDefault="0001690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LMWH</w:t>
            </w:r>
          </w:p>
        </w:tc>
        <w:tc>
          <w:tcPr>
            <w:tcW w:w="4316" w:type="pct"/>
            <w:tcBorders>
              <w:top w:val="single" w:sz="4" w:space="0" w:color="auto"/>
              <w:left w:val="single" w:sz="4" w:space="0" w:color="auto"/>
              <w:bottom w:val="single" w:sz="4" w:space="0" w:color="auto"/>
              <w:right w:val="single" w:sz="4" w:space="0" w:color="auto"/>
            </w:tcBorders>
            <w:shd w:val="clear" w:color="auto" w:fill="auto"/>
            <w:vAlign w:val="bottom"/>
          </w:tcPr>
          <w:p w14:paraId="61F2EC3C" w14:textId="12746F6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Istovremena prim</w:t>
            </w:r>
            <w:r w:rsidR="006E3EE7" w:rsidRPr="00314858">
              <w:rPr>
                <w:rFonts w:ascii="Times New Roman" w:hAnsi="Times New Roman" w:cs="Times New Roman"/>
                <w:lang w:val="sr-Latn-ME"/>
              </w:rPr>
              <w:t>j</w:t>
            </w:r>
            <w:r w:rsidRPr="00314858">
              <w:rPr>
                <w:rFonts w:ascii="Times New Roman" w:hAnsi="Times New Roman" w:cs="Times New Roman"/>
                <w:lang w:val="sr-Latn-ME"/>
              </w:rPr>
              <w:t xml:space="preserve">ena </w:t>
            </w:r>
            <w:r w:rsidR="00016900" w:rsidRPr="00314858">
              <w:rPr>
                <w:rFonts w:ascii="Times New Roman" w:hAnsi="Times New Roman" w:cs="Times New Roman"/>
                <w:lang w:val="sr-Latn-ME"/>
              </w:rPr>
              <w:t>LMWH</w:t>
            </w:r>
            <w:r w:rsidRPr="00314858">
              <w:rPr>
                <w:rFonts w:ascii="Times New Roman" w:hAnsi="Times New Roman" w:cs="Times New Roman"/>
                <w:lang w:val="sr-Latn-ME"/>
              </w:rPr>
              <w:t xml:space="preserve">, kao što su enoksaparin i dabigatraneteksilat nije posebno ispitivana. </w:t>
            </w:r>
            <w:r w:rsidR="00C73D0A" w:rsidRPr="00314858">
              <w:rPr>
                <w:rFonts w:ascii="Times New Roman" w:hAnsi="Times New Roman" w:cs="Times New Roman"/>
                <w:lang w:val="sr-Latn-ME"/>
              </w:rPr>
              <w:t>Nakon</w:t>
            </w:r>
            <w:r w:rsidRPr="00314858">
              <w:rPr>
                <w:rFonts w:ascii="Times New Roman" w:hAnsi="Times New Roman" w:cs="Times New Roman"/>
                <w:lang w:val="sr-Latn-ME"/>
              </w:rPr>
              <w:t xml:space="preserve"> prebacivanja sa trodnevne terapije u kojoj se daje jednom dnevno 40 mg enoksaparin s.c., 24 sata </w:t>
            </w:r>
            <w:r w:rsidR="00C73D0A" w:rsidRPr="00314858">
              <w:rPr>
                <w:rFonts w:ascii="Times New Roman" w:hAnsi="Times New Roman" w:cs="Times New Roman"/>
                <w:lang w:val="sr-Latn-ME"/>
              </w:rPr>
              <w:t>nakon</w:t>
            </w:r>
            <w:r w:rsidRPr="00314858">
              <w:rPr>
                <w:rFonts w:ascii="Times New Roman" w:hAnsi="Times New Roman" w:cs="Times New Roman"/>
                <w:lang w:val="sr-Latn-ME"/>
              </w:rPr>
              <w:t xml:space="preserve"> posl</w:t>
            </w:r>
            <w:r w:rsidR="006E3EE7" w:rsidRPr="00314858">
              <w:rPr>
                <w:rFonts w:ascii="Times New Roman" w:hAnsi="Times New Roman" w:cs="Times New Roman"/>
                <w:lang w:val="sr-Latn-ME"/>
              </w:rPr>
              <w:t>j</w:t>
            </w:r>
            <w:r w:rsidRPr="00314858">
              <w:rPr>
                <w:rFonts w:ascii="Times New Roman" w:hAnsi="Times New Roman" w:cs="Times New Roman"/>
                <w:lang w:val="sr-Latn-ME"/>
              </w:rPr>
              <w:t xml:space="preserve">ednje doze enoksaparina </w:t>
            </w:r>
            <w:r w:rsidR="00016900" w:rsidRPr="00314858">
              <w:rPr>
                <w:rFonts w:ascii="Times New Roman" w:hAnsi="Times New Roman" w:cs="Times New Roman"/>
                <w:lang w:val="sr-Latn-ME"/>
              </w:rPr>
              <w:t>izloženost</w:t>
            </w:r>
            <w:r w:rsidRPr="00314858">
              <w:rPr>
                <w:rFonts w:ascii="Times New Roman" w:hAnsi="Times New Roman" w:cs="Times New Roman"/>
                <w:lang w:val="sr-Latn-ME"/>
              </w:rPr>
              <w:t xml:space="preserve"> dabigatranu je bil</w:t>
            </w:r>
            <w:r w:rsidR="00016900" w:rsidRPr="00314858">
              <w:rPr>
                <w:rFonts w:ascii="Times New Roman" w:hAnsi="Times New Roman" w:cs="Times New Roman"/>
                <w:lang w:val="sr-Latn-ME"/>
              </w:rPr>
              <w:t>a</w:t>
            </w:r>
            <w:r w:rsidRPr="00314858">
              <w:rPr>
                <w:rFonts w:ascii="Times New Roman" w:hAnsi="Times New Roman" w:cs="Times New Roman"/>
                <w:lang w:val="sr-Latn-ME"/>
              </w:rPr>
              <w:t xml:space="preserve"> neznatno </w:t>
            </w:r>
            <w:r w:rsidR="00016900" w:rsidRPr="00314858">
              <w:rPr>
                <w:rFonts w:ascii="Times New Roman" w:hAnsi="Times New Roman" w:cs="Times New Roman"/>
                <w:lang w:val="sr-Latn-ME"/>
              </w:rPr>
              <w:t>manja</w:t>
            </w:r>
            <w:r w:rsidRPr="00314858">
              <w:rPr>
                <w:rFonts w:ascii="Times New Roman" w:hAnsi="Times New Roman" w:cs="Times New Roman"/>
                <w:lang w:val="sr-Latn-ME"/>
              </w:rPr>
              <w:t xml:space="preserve"> nego </w:t>
            </w:r>
            <w:r w:rsidR="0046754E" w:rsidRPr="00314858">
              <w:rPr>
                <w:rFonts w:ascii="Times New Roman" w:hAnsi="Times New Roman" w:cs="Times New Roman"/>
                <w:lang w:val="sr-Latn-ME"/>
              </w:rPr>
              <w:t>nakon</w:t>
            </w:r>
            <w:r w:rsidRPr="00314858">
              <w:rPr>
                <w:rFonts w:ascii="Times New Roman" w:hAnsi="Times New Roman" w:cs="Times New Roman"/>
                <w:lang w:val="sr-Latn-ME"/>
              </w:rPr>
              <w:t xml:space="preserve"> davanj</w:t>
            </w:r>
            <w:r w:rsidR="0046754E" w:rsidRPr="00314858">
              <w:rPr>
                <w:rFonts w:ascii="Times New Roman" w:hAnsi="Times New Roman" w:cs="Times New Roman"/>
                <w:lang w:val="sr-Latn-ME"/>
              </w:rPr>
              <w:t>a</w:t>
            </w:r>
            <w:r w:rsidRPr="00314858">
              <w:rPr>
                <w:rFonts w:ascii="Times New Roman" w:hAnsi="Times New Roman" w:cs="Times New Roman"/>
                <w:lang w:val="sr-Latn-ME"/>
              </w:rPr>
              <w:t xml:space="preserve"> samo dabigatraneteksilata (jedna doza od 220 mg). Već</w:t>
            </w:r>
            <w:r w:rsidR="00016900" w:rsidRPr="00314858">
              <w:rPr>
                <w:rFonts w:ascii="Times New Roman" w:hAnsi="Times New Roman" w:cs="Times New Roman"/>
                <w:lang w:val="sr-Latn-ME"/>
              </w:rPr>
              <w:t>a</w:t>
            </w:r>
            <w:r w:rsidRPr="00314858">
              <w:rPr>
                <w:rFonts w:ascii="Times New Roman" w:hAnsi="Times New Roman" w:cs="Times New Roman"/>
                <w:lang w:val="sr-Latn-ME"/>
              </w:rPr>
              <w:t xml:space="preserve"> anti-F</w:t>
            </w:r>
            <w:r w:rsidR="00016900" w:rsidRPr="00314858">
              <w:rPr>
                <w:rFonts w:ascii="Times New Roman" w:hAnsi="Times New Roman" w:cs="Times New Roman"/>
                <w:lang w:val="sr-Latn-ME"/>
              </w:rPr>
              <w:t>X</w:t>
            </w:r>
            <w:r w:rsidRPr="00314858">
              <w:rPr>
                <w:rFonts w:ascii="Times New Roman" w:hAnsi="Times New Roman" w:cs="Times New Roman"/>
                <w:lang w:val="sr-Latn-ME"/>
              </w:rPr>
              <w:t>a/FIIa aktivnost zab</w:t>
            </w:r>
            <w:r w:rsidR="006E3EE7" w:rsidRPr="00314858">
              <w:rPr>
                <w:rFonts w:ascii="Times New Roman" w:hAnsi="Times New Roman" w:cs="Times New Roman"/>
                <w:lang w:val="sr-Latn-ME"/>
              </w:rPr>
              <w:t>ilježena</w:t>
            </w:r>
            <w:r w:rsidRPr="00314858">
              <w:rPr>
                <w:rFonts w:ascii="Times New Roman" w:hAnsi="Times New Roman" w:cs="Times New Roman"/>
                <w:lang w:val="sr-Latn-ME"/>
              </w:rPr>
              <w:t xml:space="preserve"> je </w:t>
            </w:r>
            <w:r w:rsidR="0046754E" w:rsidRPr="00314858">
              <w:rPr>
                <w:rFonts w:ascii="Times New Roman" w:hAnsi="Times New Roman" w:cs="Times New Roman"/>
                <w:lang w:val="sr-Latn-ME"/>
              </w:rPr>
              <w:t>nakon</w:t>
            </w:r>
            <w:r w:rsidRPr="00314858">
              <w:rPr>
                <w:rFonts w:ascii="Times New Roman" w:hAnsi="Times New Roman" w:cs="Times New Roman"/>
                <w:lang w:val="sr-Latn-ME"/>
              </w:rPr>
              <w:t xml:space="preserve"> </w:t>
            </w:r>
            <w:r w:rsidR="0046754E" w:rsidRPr="00314858">
              <w:rPr>
                <w:rFonts w:ascii="Times New Roman" w:hAnsi="Times New Roman" w:cs="Times New Roman"/>
                <w:lang w:val="sr-Latn-ME"/>
              </w:rPr>
              <w:t>prim</w:t>
            </w:r>
            <w:r w:rsidR="006E3EE7" w:rsidRPr="00314858">
              <w:rPr>
                <w:rFonts w:ascii="Times New Roman" w:hAnsi="Times New Roman" w:cs="Times New Roman"/>
                <w:lang w:val="sr-Latn-ME"/>
              </w:rPr>
              <w:t>j</w:t>
            </w:r>
            <w:r w:rsidR="0046754E" w:rsidRPr="00314858">
              <w:rPr>
                <w:rFonts w:ascii="Times New Roman" w:hAnsi="Times New Roman" w:cs="Times New Roman"/>
                <w:lang w:val="sr-Latn-ME"/>
              </w:rPr>
              <w:t>ene</w:t>
            </w:r>
            <w:r w:rsidRPr="00314858">
              <w:rPr>
                <w:rFonts w:ascii="Times New Roman" w:hAnsi="Times New Roman" w:cs="Times New Roman"/>
                <w:lang w:val="sr-Latn-ME"/>
              </w:rPr>
              <w:t xml:space="preserve"> dabigatraneteksilata sa pred-terapijom enoksaparinom u poređenju sa </w:t>
            </w:r>
            <w:r w:rsidR="0046754E" w:rsidRPr="00314858">
              <w:rPr>
                <w:rFonts w:ascii="Times New Roman" w:hAnsi="Times New Roman" w:cs="Times New Roman"/>
                <w:lang w:val="sr-Latn-ME"/>
              </w:rPr>
              <w:t>prim</w:t>
            </w:r>
            <w:r w:rsidR="006E3EE7" w:rsidRPr="00314858">
              <w:rPr>
                <w:rFonts w:ascii="Times New Roman" w:hAnsi="Times New Roman" w:cs="Times New Roman"/>
                <w:lang w:val="sr-Latn-ME"/>
              </w:rPr>
              <w:t>j</w:t>
            </w:r>
            <w:r w:rsidR="0046754E" w:rsidRPr="00314858">
              <w:rPr>
                <w:rFonts w:ascii="Times New Roman" w:hAnsi="Times New Roman" w:cs="Times New Roman"/>
                <w:lang w:val="sr-Latn-ME"/>
              </w:rPr>
              <w:t>enom</w:t>
            </w:r>
            <w:r w:rsidRPr="00314858">
              <w:rPr>
                <w:rFonts w:ascii="Times New Roman" w:hAnsi="Times New Roman" w:cs="Times New Roman"/>
                <w:lang w:val="sr-Latn-ME"/>
              </w:rPr>
              <w:t xml:space="preserve"> samog </w:t>
            </w:r>
            <w:r w:rsidRPr="00314858">
              <w:rPr>
                <w:rFonts w:ascii="Times New Roman" w:hAnsi="Times New Roman" w:cs="Times New Roman"/>
                <w:lang w:val="sr-Latn-ME"/>
              </w:rPr>
              <w:lastRenderedPageBreak/>
              <w:t>dabigatraneteksilata. Ovo se smatra posl</w:t>
            </w:r>
            <w:r w:rsidR="006E3EE7" w:rsidRPr="00314858">
              <w:rPr>
                <w:rFonts w:ascii="Times New Roman" w:hAnsi="Times New Roman" w:cs="Times New Roman"/>
                <w:lang w:val="sr-Latn-ME"/>
              </w:rPr>
              <w:t>j</w:t>
            </w:r>
            <w:r w:rsidRPr="00314858">
              <w:rPr>
                <w:rFonts w:ascii="Times New Roman" w:hAnsi="Times New Roman" w:cs="Times New Roman"/>
                <w:lang w:val="sr-Latn-ME"/>
              </w:rPr>
              <w:t xml:space="preserve">edicom prenošenja dejstva </w:t>
            </w:r>
            <w:r w:rsidRPr="00314858">
              <w:rPr>
                <w:rFonts w:ascii="Times New Roman" w:hAnsi="Times New Roman" w:cs="Times New Roman"/>
                <w:bCs/>
                <w:lang w:val="sr-Latn-ME"/>
              </w:rPr>
              <w:t>(</w:t>
            </w:r>
            <w:r w:rsidR="00016900" w:rsidRPr="00314858">
              <w:rPr>
                <w:rFonts w:ascii="Times New Roman" w:hAnsi="Times New Roman" w:cs="Times New Roman"/>
                <w:bCs/>
                <w:lang w:val="sr-Latn-ME"/>
              </w:rPr>
              <w:t xml:space="preserve">engl. </w:t>
            </w:r>
            <w:r w:rsidRPr="00314858">
              <w:rPr>
                <w:rFonts w:ascii="Times New Roman" w:hAnsi="Times New Roman" w:cs="Times New Roman"/>
                <w:bCs/>
                <w:i/>
                <w:iCs/>
                <w:lang w:val="sr-Latn-ME"/>
              </w:rPr>
              <w:t>carry</w:t>
            </w:r>
            <w:r w:rsidRPr="00314858">
              <w:rPr>
                <w:rFonts w:ascii="Times New Roman" w:hAnsi="Times New Roman" w:cs="Times New Roman"/>
                <w:bCs/>
                <w:i/>
                <w:iCs/>
                <w:lang w:val="sr-Latn-ME"/>
              </w:rPr>
              <w:noBreakHyphen/>
              <w:t>over effect</w:t>
            </w:r>
            <w:r w:rsidRPr="00314858">
              <w:rPr>
                <w:rFonts w:ascii="Times New Roman" w:hAnsi="Times New Roman" w:cs="Times New Roman"/>
                <w:bCs/>
                <w:lang w:val="sr-Latn-ME"/>
              </w:rPr>
              <w:t>)</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enoksaparina i nije klinički </w:t>
            </w:r>
            <w:r w:rsidR="00016900" w:rsidRPr="00314858">
              <w:rPr>
                <w:rFonts w:ascii="Times New Roman" w:hAnsi="Times New Roman" w:cs="Times New Roman"/>
                <w:lang w:val="sr-Latn-ME"/>
              </w:rPr>
              <w:t>značajno</w:t>
            </w:r>
            <w:r w:rsidRPr="00314858">
              <w:rPr>
                <w:rFonts w:ascii="Times New Roman" w:hAnsi="Times New Roman" w:cs="Times New Roman"/>
                <w:lang w:val="sr-Latn-ME"/>
              </w:rPr>
              <w:t>.</w:t>
            </w:r>
            <w:r w:rsidR="0046754E" w:rsidRPr="00314858">
              <w:rPr>
                <w:rFonts w:ascii="Times New Roman" w:hAnsi="Times New Roman" w:cs="Times New Roman"/>
                <w:lang w:val="sr-Latn-ME"/>
              </w:rPr>
              <w:t xml:space="preserve"> </w:t>
            </w:r>
            <w:r w:rsidRPr="00314858">
              <w:rPr>
                <w:rFonts w:ascii="Times New Roman" w:hAnsi="Times New Roman" w:cs="Times New Roman"/>
                <w:lang w:val="sr-Latn-ME"/>
              </w:rPr>
              <w:t>Rezultati drugih testova antikoagulantnog dejstva dabigatrana ni</w:t>
            </w:r>
            <w:r w:rsidR="00A76BC8" w:rsidRPr="00314858">
              <w:rPr>
                <w:rFonts w:ascii="Times New Roman" w:hAnsi="Times New Roman" w:cs="Times New Roman"/>
                <w:lang w:val="sr-Latn-ME"/>
              </w:rPr>
              <w:t>je</w:t>
            </w:r>
            <w:r w:rsidRPr="00314858">
              <w:rPr>
                <w:rFonts w:ascii="Times New Roman" w:hAnsi="Times New Roman" w:cs="Times New Roman"/>
                <w:lang w:val="sr-Latn-ME"/>
              </w:rPr>
              <w:t xml:space="preserve">su </w:t>
            </w:r>
            <w:r w:rsidR="00016900" w:rsidRPr="00314858">
              <w:rPr>
                <w:rFonts w:ascii="Times New Roman" w:hAnsi="Times New Roman" w:cs="Times New Roman"/>
                <w:lang w:val="sr-Latn-ME"/>
              </w:rPr>
              <w:t>bili značajnije prom</w:t>
            </w:r>
            <w:r w:rsidR="006E3EE7" w:rsidRPr="00314858">
              <w:rPr>
                <w:rFonts w:ascii="Times New Roman" w:hAnsi="Times New Roman" w:cs="Times New Roman"/>
                <w:lang w:val="sr-Latn-ME"/>
              </w:rPr>
              <w:t>ij</w:t>
            </w:r>
            <w:r w:rsidR="00016900" w:rsidRPr="00314858">
              <w:rPr>
                <w:rFonts w:ascii="Times New Roman" w:hAnsi="Times New Roman" w:cs="Times New Roman"/>
                <w:lang w:val="sr-Latn-ME"/>
              </w:rPr>
              <w:t>enjeni</w:t>
            </w:r>
            <w:r w:rsidRPr="00314858">
              <w:rPr>
                <w:rFonts w:ascii="Times New Roman" w:hAnsi="Times New Roman" w:cs="Times New Roman"/>
                <w:lang w:val="sr-Latn-ME"/>
              </w:rPr>
              <w:t xml:space="preserve"> pod uticajem prethodne terapije enoksaparinom.</w:t>
            </w:r>
          </w:p>
        </w:tc>
      </w:tr>
    </w:tbl>
    <w:p w14:paraId="062BEC6A" w14:textId="77777777" w:rsidR="00D67D34" w:rsidRPr="00314858" w:rsidRDefault="00D67D34" w:rsidP="00D67D34">
      <w:pPr>
        <w:spacing w:after="0" w:line="240" w:lineRule="auto"/>
        <w:jc w:val="both"/>
        <w:rPr>
          <w:rFonts w:ascii="Times New Roman" w:hAnsi="Times New Roman" w:cs="Times New Roman"/>
          <w:u w:val="single"/>
          <w:lang w:val="sr-Latn-ME" w:bidi="en-US"/>
        </w:rPr>
      </w:pPr>
    </w:p>
    <w:p w14:paraId="5E194B50" w14:textId="77777777" w:rsidR="00D67D34" w:rsidRPr="00314858" w:rsidRDefault="00D67D34" w:rsidP="00D67D34">
      <w:pPr>
        <w:spacing w:after="0" w:line="240" w:lineRule="auto"/>
        <w:jc w:val="both"/>
        <w:rPr>
          <w:rFonts w:ascii="Times New Roman" w:hAnsi="Times New Roman" w:cs="Times New Roman"/>
          <w:b/>
          <w:bCs/>
          <w:lang w:val="sr-Latn-ME" w:bidi="en-US"/>
        </w:rPr>
      </w:pPr>
      <w:r w:rsidRPr="00314858">
        <w:rPr>
          <w:rFonts w:ascii="Times New Roman" w:hAnsi="Times New Roman" w:cs="Times New Roman"/>
          <w:u w:val="single"/>
          <w:lang w:val="sr-Latn-ME" w:bidi="en-US"/>
        </w:rPr>
        <w:t>Ostale interakcije</w:t>
      </w:r>
    </w:p>
    <w:p w14:paraId="0B6B2DBB" w14:textId="77777777" w:rsidR="00D67D34" w:rsidRPr="00314858" w:rsidRDefault="00D67D34" w:rsidP="00D67D34">
      <w:pPr>
        <w:spacing w:after="0" w:line="240" w:lineRule="auto"/>
        <w:jc w:val="both"/>
        <w:rPr>
          <w:rFonts w:ascii="Times New Roman" w:hAnsi="Times New Roman" w:cs="Times New Roman"/>
          <w:lang w:val="sr-Latn-ME" w:bidi="en-US"/>
        </w:rPr>
      </w:pPr>
    </w:p>
    <w:p w14:paraId="31E4D37A" w14:textId="7F202764"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10</w:t>
      </w:r>
      <w:r w:rsidR="003C7250"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Ostale interakcije</w:t>
      </w:r>
    </w:p>
    <w:p w14:paraId="6534454E" w14:textId="77777777" w:rsidR="003C7250" w:rsidRPr="00314858" w:rsidRDefault="003C7250"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515"/>
        <w:gridCol w:w="7545"/>
      </w:tblGrid>
      <w:tr w:rsidR="00D67D34" w:rsidRPr="00314858" w14:paraId="1CBCA8A1" w14:textId="77777777" w:rsidTr="0046754E">
        <w:trPr>
          <w:trHeight w:val="680"/>
          <w:jc w:val="center"/>
        </w:trPr>
        <w:tc>
          <w:tcPr>
            <w:tcW w:w="5000" w:type="pct"/>
            <w:gridSpan w:val="2"/>
            <w:tcBorders>
              <w:top w:val="single" w:sz="4" w:space="0" w:color="auto"/>
              <w:left w:val="single" w:sz="4" w:space="0" w:color="auto"/>
              <w:right w:val="single" w:sz="4" w:space="0" w:color="auto"/>
            </w:tcBorders>
            <w:shd w:val="clear" w:color="auto" w:fill="auto"/>
          </w:tcPr>
          <w:p w14:paraId="3291C198" w14:textId="17AA96A8" w:rsidR="00D67D34" w:rsidRPr="00314858" w:rsidRDefault="00D67D34" w:rsidP="00D67D34">
            <w:pPr>
              <w:spacing w:after="0" w:line="240" w:lineRule="auto"/>
              <w:jc w:val="both"/>
              <w:rPr>
                <w:rFonts w:ascii="Times New Roman" w:hAnsi="Times New Roman" w:cs="Times New Roman"/>
                <w:u w:val="single"/>
                <w:lang w:val="sr-Latn-ME" w:bidi="en-US"/>
              </w:rPr>
            </w:pPr>
            <w:r w:rsidRPr="00314858">
              <w:rPr>
                <w:rFonts w:ascii="Times New Roman" w:hAnsi="Times New Roman" w:cs="Times New Roman"/>
                <w:i/>
                <w:u w:val="single"/>
                <w:lang w:val="sr-Latn-ME"/>
              </w:rPr>
              <w:t>Selektivni inhibitori ponovnog preuzimanja serotonina (</w:t>
            </w:r>
            <w:r w:rsidR="003C7250" w:rsidRPr="00314858">
              <w:rPr>
                <w:rFonts w:ascii="Times New Roman" w:hAnsi="Times New Roman" w:cs="Times New Roman"/>
                <w:i/>
                <w:u w:val="single"/>
                <w:lang w:val="sr-Latn-ME"/>
              </w:rPr>
              <w:t xml:space="preserve">engl. selective serotonin re-uptake inhibitors, </w:t>
            </w:r>
            <w:r w:rsidRPr="00314858">
              <w:rPr>
                <w:rFonts w:ascii="Times New Roman" w:hAnsi="Times New Roman" w:cs="Times New Roman"/>
                <w:i/>
                <w:u w:val="single"/>
                <w:lang w:val="sr-Latn-ME"/>
              </w:rPr>
              <w:t>SSRI</w:t>
            </w:r>
            <w:r w:rsidR="003C7250" w:rsidRPr="00314858">
              <w:rPr>
                <w:rFonts w:ascii="Times New Roman" w:hAnsi="Times New Roman" w:cs="Times New Roman"/>
                <w:i/>
                <w:u w:val="single"/>
                <w:lang w:val="sr-Latn-ME"/>
              </w:rPr>
              <w:t>s</w:t>
            </w:r>
            <w:r w:rsidRPr="00314858">
              <w:rPr>
                <w:rFonts w:ascii="Times New Roman" w:hAnsi="Times New Roman" w:cs="Times New Roman"/>
                <w:i/>
                <w:u w:val="single"/>
                <w:lang w:val="sr-Latn-ME"/>
              </w:rPr>
              <w:t>) ili selektivni inhibitori ponovnog preuzimanja serotonina i norepinefrina (</w:t>
            </w:r>
            <w:r w:rsidR="003C7250" w:rsidRPr="00314858">
              <w:rPr>
                <w:rFonts w:ascii="Times New Roman" w:hAnsi="Times New Roman" w:cs="Times New Roman"/>
                <w:i/>
                <w:u w:val="single"/>
                <w:lang w:val="sr-Latn-ME"/>
              </w:rPr>
              <w:t xml:space="preserve">engl. selective serotonin norepinephrine re-uptake inhibitors, </w:t>
            </w:r>
            <w:r w:rsidRPr="00314858">
              <w:rPr>
                <w:rFonts w:ascii="Times New Roman" w:hAnsi="Times New Roman" w:cs="Times New Roman"/>
                <w:i/>
                <w:u w:val="single"/>
                <w:lang w:val="sr-Latn-ME"/>
              </w:rPr>
              <w:t>SNRI</w:t>
            </w:r>
            <w:r w:rsidR="003C7250" w:rsidRPr="00314858">
              <w:rPr>
                <w:rFonts w:ascii="Times New Roman" w:hAnsi="Times New Roman" w:cs="Times New Roman"/>
                <w:i/>
                <w:u w:val="single"/>
                <w:lang w:val="sr-Latn-ME"/>
              </w:rPr>
              <w:t>s</w:t>
            </w:r>
            <w:r w:rsidRPr="00314858">
              <w:rPr>
                <w:rFonts w:ascii="Times New Roman" w:hAnsi="Times New Roman" w:cs="Times New Roman"/>
                <w:i/>
                <w:u w:val="single"/>
                <w:lang w:val="sr-Latn-ME"/>
              </w:rPr>
              <w:t>)</w:t>
            </w:r>
          </w:p>
        </w:tc>
      </w:tr>
      <w:tr w:rsidR="0009272D" w:rsidRPr="00314858" w14:paraId="2E9E2DA7" w14:textId="77777777" w:rsidTr="0009272D">
        <w:trPr>
          <w:trHeight w:val="20"/>
          <w:jc w:val="center"/>
        </w:trPr>
        <w:tc>
          <w:tcPr>
            <w:tcW w:w="836" w:type="pct"/>
            <w:tcBorders>
              <w:top w:val="single" w:sz="4" w:space="0" w:color="auto"/>
              <w:left w:val="single" w:sz="4" w:space="0" w:color="auto"/>
              <w:right w:val="single" w:sz="4" w:space="0" w:color="auto"/>
            </w:tcBorders>
            <w:shd w:val="clear" w:color="auto" w:fill="auto"/>
            <w:vAlign w:val="bottom"/>
          </w:tcPr>
          <w:p w14:paraId="05740FE8" w14:textId="69199993"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SSRI</w:t>
            </w:r>
            <w:r w:rsidR="000A33A8" w:rsidRPr="00314858">
              <w:rPr>
                <w:rFonts w:ascii="Times New Roman" w:hAnsi="Times New Roman" w:cs="Times New Roman"/>
                <w:lang w:val="sr-Latn-ME" w:bidi="en-US"/>
              </w:rPr>
              <w:t>s</w:t>
            </w:r>
            <w:r w:rsidRPr="00314858">
              <w:rPr>
                <w:rFonts w:ascii="Times New Roman" w:hAnsi="Times New Roman" w:cs="Times New Roman"/>
                <w:lang w:val="sr-Latn-ME" w:bidi="en-US"/>
              </w:rPr>
              <w:t>, SNRI</w:t>
            </w:r>
            <w:r w:rsidR="000A33A8" w:rsidRPr="00314858">
              <w:rPr>
                <w:rFonts w:ascii="Times New Roman" w:hAnsi="Times New Roman" w:cs="Times New Roman"/>
                <w:lang w:val="sr-Latn-ME" w:bidi="en-US"/>
              </w:rPr>
              <w:t>s</w:t>
            </w:r>
          </w:p>
        </w:tc>
        <w:tc>
          <w:tcPr>
            <w:tcW w:w="4164" w:type="pct"/>
            <w:tcBorders>
              <w:top w:val="single" w:sz="4" w:space="0" w:color="auto"/>
              <w:left w:val="single" w:sz="4" w:space="0" w:color="auto"/>
              <w:right w:val="single" w:sz="4" w:space="0" w:color="auto"/>
            </w:tcBorders>
            <w:shd w:val="clear" w:color="auto" w:fill="auto"/>
            <w:vAlign w:val="bottom"/>
          </w:tcPr>
          <w:p w14:paraId="5092E669" w14:textId="0AE543CF"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SSRI</w:t>
            </w:r>
            <w:r w:rsidR="000A33A8" w:rsidRPr="00314858">
              <w:rPr>
                <w:rFonts w:ascii="Times New Roman" w:hAnsi="Times New Roman" w:cs="Times New Roman"/>
                <w:lang w:val="sr-Latn-ME" w:bidi="en-US"/>
              </w:rPr>
              <w:t>s</w:t>
            </w:r>
            <w:r w:rsidRPr="00314858">
              <w:rPr>
                <w:rFonts w:ascii="Times New Roman" w:hAnsi="Times New Roman" w:cs="Times New Roman"/>
                <w:lang w:val="sr-Latn-ME" w:bidi="en-US"/>
              </w:rPr>
              <w:t xml:space="preserve"> i SNR</w:t>
            </w:r>
            <w:r w:rsidR="000A33A8" w:rsidRPr="00314858">
              <w:rPr>
                <w:rFonts w:ascii="Times New Roman" w:hAnsi="Times New Roman" w:cs="Times New Roman"/>
                <w:lang w:val="sr-Latn-ME" w:bidi="en-US"/>
              </w:rPr>
              <w:t>s</w:t>
            </w:r>
            <w:r w:rsidRPr="00314858">
              <w:rPr>
                <w:rFonts w:ascii="Times New Roman" w:hAnsi="Times New Roman" w:cs="Times New Roman"/>
                <w:lang w:val="sr-Latn-ME" w:bidi="en-US"/>
              </w:rPr>
              <w:t xml:space="preserve"> su povećali rizik od krvarenja u studiji RE-LY u svim l</w:t>
            </w:r>
            <w:r w:rsidR="006E3EE7" w:rsidRPr="00314858">
              <w:rPr>
                <w:rFonts w:ascii="Times New Roman" w:hAnsi="Times New Roman" w:cs="Times New Roman"/>
                <w:lang w:val="sr-Latn-ME" w:bidi="en-US"/>
              </w:rPr>
              <w:t>ij</w:t>
            </w:r>
            <w:r w:rsidRPr="00314858">
              <w:rPr>
                <w:rFonts w:ascii="Times New Roman" w:hAnsi="Times New Roman" w:cs="Times New Roman"/>
                <w:lang w:val="sr-Latn-ME" w:bidi="en-US"/>
              </w:rPr>
              <w:t>ečenim grupama.</w:t>
            </w:r>
          </w:p>
        </w:tc>
      </w:tr>
      <w:tr w:rsidR="00D67D34" w:rsidRPr="00314858" w14:paraId="070F35A2" w14:textId="77777777" w:rsidTr="0046754E">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054A1B8A"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u w:val="single"/>
                <w:lang w:val="sr-Latn-ME" w:bidi="en-US"/>
              </w:rPr>
              <w:t>Supstance koje utiču na pH želuca</w:t>
            </w:r>
          </w:p>
        </w:tc>
      </w:tr>
      <w:tr w:rsidR="0009272D" w:rsidRPr="00314858" w14:paraId="15000C3C" w14:textId="77777777" w:rsidTr="0009272D">
        <w:trPr>
          <w:trHeight w:val="20"/>
          <w:jc w:val="center"/>
        </w:trPr>
        <w:tc>
          <w:tcPr>
            <w:tcW w:w="836" w:type="pct"/>
            <w:tcBorders>
              <w:top w:val="single" w:sz="4" w:space="0" w:color="auto"/>
              <w:left w:val="single" w:sz="4" w:space="0" w:color="auto"/>
            </w:tcBorders>
            <w:shd w:val="clear" w:color="auto" w:fill="auto"/>
          </w:tcPr>
          <w:p w14:paraId="6D8939AD"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Pantoprazol</w:t>
            </w:r>
          </w:p>
        </w:tc>
        <w:tc>
          <w:tcPr>
            <w:tcW w:w="4164" w:type="pct"/>
            <w:tcBorders>
              <w:top w:val="single" w:sz="4" w:space="0" w:color="auto"/>
              <w:left w:val="single" w:sz="4" w:space="0" w:color="auto"/>
              <w:right w:val="single" w:sz="4" w:space="0" w:color="auto"/>
            </w:tcBorders>
            <w:shd w:val="clear" w:color="auto" w:fill="auto"/>
            <w:vAlign w:val="bottom"/>
          </w:tcPr>
          <w:p w14:paraId="44769A08" w14:textId="7F911D49"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Kada se dabigatraneteksilat istovremeno prim</w:t>
            </w:r>
            <w:r w:rsidR="006E3EE7"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enjivao sa pantoprazolom, uočeno je smanjenje PIK </w:t>
            </w:r>
            <w:r w:rsidR="00855FA6" w:rsidRPr="00314858">
              <w:rPr>
                <w:rFonts w:ascii="Times New Roman" w:hAnsi="Times New Roman" w:cs="Times New Roman"/>
                <w:lang w:val="sr-Latn-ME" w:bidi="en-US"/>
              </w:rPr>
              <w:t>vr</w:t>
            </w:r>
            <w:r w:rsidR="006E3EE7" w:rsidRPr="00314858">
              <w:rPr>
                <w:rFonts w:ascii="Times New Roman" w:hAnsi="Times New Roman" w:cs="Times New Roman"/>
                <w:lang w:val="sr-Latn-ME" w:bidi="en-US"/>
              </w:rPr>
              <w:t>ij</w:t>
            </w:r>
            <w:r w:rsidR="00855FA6" w:rsidRPr="00314858">
              <w:rPr>
                <w:rFonts w:ascii="Times New Roman" w:hAnsi="Times New Roman" w:cs="Times New Roman"/>
                <w:lang w:val="sr-Latn-ME" w:bidi="en-US"/>
              </w:rPr>
              <w:t xml:space="preserve">ednosti </w:t>
            </w:r>
            <w:r w:rsidRPr="00314858">
              <w:rPr>
                <w:rFonts w:ascii="Times New Roman" w:hAnsi="Times New Roman" w:cs="Times New Roman"/>
                <w:lang w:val="sr-Latn-ME" w:bidi="en-US"/>
              </w:rPr>
              <w:t>dabigatrana za oko 30%. Pantoprazol i drugi inhibitori</w:t>
            </w:r>
            <w:r w:rsidR="00ED227D"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protonske pumpe (PPI) bili su istovremeno prim</w:t>
            </w:r>
            <w:r w:rsidR="006E3EE7" w:rsidRPr="00314858">
              <w:rPr>
                <w:rFonts w:ascii="Times New Roman" w:hAnsi="Times New Roman" w:cs="Times New Roman"/>
                <w:lang w:val="sr-Latn-ME" w:bidi="en-US"/>
              </w:rPr>
              <w:t>ij</w:t>
            </w:r>
            <w:r w:rsidRPr="00314858">
              <w:rPr>
                <w:rFonts w:ascii="Times New Roman" w:hAnsi="Times New Roman" w:cs="Times New Roman"/>
                <w:lang w:val="sr-Latn-ME" w:bidi="en-US"/>
              </w:rPr>
              <w:t>enjivani sa dabigatraneteksilatom u kliničkim ispitivanjima, a istovremena prim</w:t>
            </w:r>
            <w:r w:rsidR="006E3EE7"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ena PPI </w:t>
            </w:r>
            <w:r w:rsidR="00855FA6" w:rsidRPr="00314858">
              <w:rPr>
                <w:rFonts w:ascii="Times New Roman" w:hAnsi="Times New Roman" w:cs="Times New Roman"/>
                <w:lang w:val="sr-Latn-ME" w:bidi="en-US"/>
              </w:rPr>
              <w:t xml:space="preserve">izgleda </w:t>
            </w:r>
            <w:r w:rsidRPr="00314858">
              <w:rPr>
                <w:rFonts w:ascii="Times New Roman" w:hAnsi="Times New Roman" w:cs="Times New Roman"/>
                <w:lang w:val="sr-Latn-ME" w:bidi="en-US"/>
              </w:rPr>
              <w:t xml:space="preserve">nije uticala na smanjenje efikasnosti </w:t>
            </w:r>
            <w:r w:rsidR="00855FA6" w:rsidRPr="00314858">
              <w:rPr>
                <w:rFonts w:ascii="Times New Roman" w:hAnsi="Times New Roman" w:cs="Times New Roman"/>
                <w:lang w:val="sr-Latn-ME" w:bidi="en-US"/>
              </w:rPr>
              <w:t>dabigatraneteksilata</w:t>
            </w:r>
            <w:r w:rsidRPr="00314858">
              <w:rPr>
                <w:rFonts w:ascii="Times New Roman" w:hAnsi="Times New Roman" w:cs="Times New Roman"/>
                <w:lang w:val="sr-Latn-ME" w:bidi="en-US"/>
              </w:rPr>
              <w:t>.</w:t>
            </w:r>
          </w:p>
        </w:tc>
      </w:tr>
      <w:tr w:rsidR="00D67D34" w:rsidRPr="00314858" w14:paraId="7B47D1D3" w14:textId="77777777" w:rsidTr="0009272D">
        <w:trPr>
          <w:trHeight w:val="20"/>
          <w:jc w:val="center"/>
        </w:trPr>
        <w:tc>
          <w:tcPr>
            <w:tcW w:w="836" w:type="pct"/>
            <w:tcBorders>
              <w:top w:val="single" w:sz="4" w:space="0" w:color="auto"/>
              <w:left w:val="single" w:sz="4" w:space="0" w:color="auto"/>
              <w:bottom w:val="single" w:sz="4" w:space="0" w:color="auto"/>
            </w:tcBorders>
            <w:shd w:val="clear" w:color="auto" w:fill="auto"/>
          </w:tcPr>
          <w:p w14:paraId="3DE21FC8"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Ranitidin</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26EA0829" w14:textId="70B0AA7C"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Ranitidin prim</w:t>
            </w:r>
            <w:r w:rsidR="006E3EE7" w:rsidRPr="00314858">
              <w:rPr>
                <w:rFonts w:ascii="Times New Roman" w:hAnsi="Times New Roman" w:cs="Times New Roman"/>
                <w:lang w:val="sr-Latn-ME" w:bidi="en-US"/>
              </w:rPr>
              <w:t>ij</w:t>
            </w:r>
            <w:r w:rsidRPr="00314858">
              <w:rPr>
                <w:rFonts w:ascii="Times New Roman" w:hAnsi="Times New Roman" w:cs="Times New Roman"/>
                <w:lang w:val="sr-Latn-ME" w:bidi="en-US"/>
              </w:rPr>
              <w:t>enjen zajedno sa dabigatraneteksilatom nije imao klinički značaj</w:t>
            </w:r>
            <w:r w:rsidR="00855FA6" w:rsidRPr="00314858">
              <w:rPr>
                <w:rFonts w:ascii="Times New Roman" w:hAnsi="Times New Roman" w:cs="Times New Roman"/>
                <w:lang w:val="sr-Latn-ME" w:bidi="en-US"/>
              </w:rPr>
              <w:t>no</w:t>
            </w:r>
            <w:r w:rsidRPr="00314858">
              <w:rPr>
                <w:rFonts w:ascii="Times New Roman" w:hAnsi="Times New Roman" w:cs="Times New Roman"/>
                <w:lang w:val="sr-Latn-ME" w:bidi="en-US"/>
              </w:rPr>
              <w:t xml:space="preserve"> </w:t>
            </w:r>
            <w:r w:rsidR="00855FA6" w:rsidRPr="00314858">
              <w:rPr>
                <w:rFonts w:ascii="Times New Roman" w:hAnsi="Times New Roman" w:cs="Times New Roman"/>
                <w:lang w:val="sr-Latn-ME" w:bidi="en-US"/>
              </w:rPr>
              <w:t>dejstvo</w:t>
            </w:r>
            <w:r w:rsidRPr="00314858">
              <w:rPr>
                <w:rFonts w:ascii="Times New Roman" w:hAnsi="Times New Roman" w:cs="Times New Roman"/>
                <w:lang w:val="sr-Latn-ME" w:bidi="en-US"/>
              </w:rPr>
              <w:t xml:space="preserve"> na stepen resorpcije dabigatrana.</w:t>
            </w:r>
          </w:p>
        </w:tc>
      </w:tr>
    </w:tbl>
    <w:p w14:paraId="0D49900E" w14:textId="77777777" w:rsidR="00D67D34" w:rsidRPr="00314858" w:rsidRDefault="00D67D34" w:rsidP="00D67D34">
      <w:pPr>
        <w:spacing w:after="0" w:line="240" w:lineRule="auto"/>
        <w:jc w:val="both"/>
        <w:rPr>
          <w:rFonts w:ascii="Times New Roman" w:hAnsi="Times New Roman" w:cs="Times New Roman"/>
          <w:u w:val="single"/>
          <w:lang w:val="sr-Latn-ME" w:bidi="en-US"/>
        </w:rPr>
      </w:pPr>
    </w:p>
    <w:p w14:paraId="5A281B10" w14:textId="2866B91D" w:rsidR="00D67D34" w:rsidRPr="00314858" w:rsidRDefault="00D67D34" w:rsidP="00D67D34">
      <w:pPr>
        <w:spacing w:after="0" w:line="240" w:lineRule="auto"/>
        <w:jc w:val="both"/>
        <w:rPr>
          <w:rFonts w:ascii="Times New Roman" w:hAnsi="Times New Roman" w:cs="Times New Roman"/>
          <w:u w:val="single"/>
          <w:lang w:val="sr-Latn-ME" w:bidi="en-US"/>
        </w:rPr>
      </w:pPr>
      <w:r w:rsidRPr="00314858">
        <w:rPr>
          <w:rFonts w:ascii="Times New Roman" w:hAnsi="Times New Roman" w:cs="Times New Roman"/>
          <w:u w:val="single"/>
          <w:lang w:val="sr-Latn-ME" w:bidi="en-US"/>
        </w:rPr>
        <w:t>Interakcije povezane sa metaboličkim profilom dabigatraneteksilata i dabigatrana</w:t>
      </w:r>
    </w:p>
    <w:p w14:paraId="07D86907" w14:textId="77777777" w:rsidR="00855FA6" w:rsidRPr="00314858" w:rsidRDefault="00855FA6" w:rsidP="00D67D34">
      <w:pPr>
        <w:spacing w:after="0" w:line="240" w:lineRule="auto"/>
        <w:jc w:val="both"/>
        <w:rPr>
          <w:rFonts w:ascii="Times New Roman" w:hAnsi="Times New Roman" w:cs="Times New Roman"/>
          <w:lang w:val="sr-Latn-ME" w:bidi="en-US"/>
        </w:rPr>
      </w:pPr>
    </w:p>
    <w:p w14:paraId="4FA31492" w14:textId="44893DEC"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Dabigatraneteksilat i dabigatran se ne metabolišu pomoću citohrom P450 sistema i nemaju </w:t>
      </w:r>
      <w:r w:rsidRPr="00314858">
        <w:rPr>
          <w:rFonts w:ascii="Times New Roman" w:hAnsi="Times New Roman" w:cs="Times New Roman"/>
          <w:i/>
          <w:lang w:val="sr-Latn-ME"/>
        </w:rPr>
        <w:t>in vitro</w:t>
      </w:r>
      <w:r w:rsidRPr="00314858">
        <w:rPr>
          <w:rFonts w:ascii="Times New Roman" w:hAnsi="Times New Roman" w:cs="Times New Roman"/>
          <w:lang w:val="sr-Latn-ME"/>
        </w:rPr>
        <w:t xml:space="preserve"> dejstva na enzime humanog citohroma P450. Zbog toga se ne očekuju interakcije srodnih l</w:t>
      </w:r>
      <w:r w:rsidR="006E3EE7" w:rsidRPr="00314858">
        <w:rPr>
          <w:rFonts w:ascii="Times New Roman" w:hAnsi="Times New Roman" w:cs="Times New Roman"/>
          <w:lang w:val="sr-Latn-ME"/>
        </w:rPr>
        <w:t>j</w:t>
      </w:r>
      <w:r w:rsidRPr="00314858">
        <w:rPr>
          <w:rFonts w:ascii="Times New Roman" w:hAnsi="Times New Roman" w:cs="Times New Roman"/>
          <w:lang w:val="sr-Latn-ME"/>
        </w:rPr>
        <w:t>ekova sa dabigatranom.</w:t>
      </w:r>
    </w:p>
    <w:p w14:paraId="1A30562F" w14:textId="77777777" w:rsidR="0009272D" w:rsidRPr="00314858" w:rsidRDefault="0009272D" w:rsidP="00D67D34">
      <w:pPr>
        <w:spacing w:after="0" w:line="240" w:lineRule="auto"/>
        <w:jc w:val="both"/>
        <w:rPr>
          <w:rFonts w:ascii="Times New Roman" w:hAnsi="Times New Roman" w:cs="Times New Roman"/>
          <w:lang w:val="sr-Latn-ME"/>
        </w:rPr>
      </w:pPr>
    </w:p>
    <w:p w14:paraId="3E590420" w14:textId="77777777"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Pedijatrijska populacija</w:t>
      </w:r>
    </w:p>
    <w:p w14:paraId="72687037" w14:textId="77777777" w:rsidR="003E03DA" w:rsidRPr="00314858" w:rsidRDefault="003E03DA" w:rsidP="00D67D34">
      <w:pPr>
        <w:spacing w:after="0" w:line="240" w:lineRule="auto"/>
        <w:jc w:val="both"/>
        <w:rPr>
          <w:rFonts w:ascii="Times New Roman" w:hAnsi="Times New Roman" w:cs="Times New Roman"/>
          <w:lang w:val="sr-Latn-ME"/>
        </w:rPr>
      </w:pPr>
    </w:p>
    <w:p w14:paraId="7800065B" w14:textId="0DA58A84" w:rsidR="00D67D34" w:rsidRPr="00314858" w:rsidRDefault="0046754E"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Studije</w:t>
      </w:r>
      <w:r w:rsidR="00D67D34" w:rsidRPr="00314858">
        <w:rPr>
          <w:rFonts w:ascii="Times New Roman" w:hAnsi="Times New Roman" w:cs="Times New Roman"/>
          <w:lang w:val="sr-Latn-ME"/>
        </w:rPr>
        <w:t xml:space="preserve"> interakcija bil</w:t>
      </w:r>
      <w:r w:rsidR="003E03DA" w:rsidRPr="00314858">
        <w:rPr>
          <w:rFonts w:ascii="Times New Roman" w:hAnsi="Times New Roman" w:cs="Times New Roman"/>
          <w:lang w:val="sr-Latn-ME"/>
        </w:rPr>
        <w:t>e</w:t>
      </w:r>
      <w:r w:rsidR="00D67D34" w:rsidRPr="00314858">
        <w:rPr>
          <w:rFonts w:ascii="Times New Roman" w:hAnsi="Times New Roman" w:cs="Times New Roman"/>
          <w:lang w:val="sr-Latn-ME"/>
        </w:rPr>
        <w:t xml:space="preserve"> su sproveden</w:t>
      </w:r>
      <w:r w:rsidRPr="00314858">
        <w:rPr>
          <w:rFonts w:ascii="Times New Roman" w:hAnsi="Times New Roman" w:cs="Times New Roman"/>
          <w:lang w:val="sr-Latn-ME"/>
        </w:rPr>
        <w:t>e</w:t>
      </w:r>
      <w:r w:rsidR="00D67D34" w:rsidRPr="00314858">
        <w:rPr>
          <w:rFonts w:ascii="Times New Roman" w:hAnsi="Times New Roman" w:cs="Times New Roman"/>
          <w:lang w:val="sr-Latn-ME"/>
        </w:rPr>
        <w:t xml:space="preserve"> samo kod odraslih osoba.</w:t>
      </w:r>
    </w:p>
    <w:p w14:paraId="3400BCE2" w14:textId="77777777" w:rsidR="00D67D34" w:rsidRPr="00314858" w:rsidRDefault="00D67D34" w:rsidP="00D67D34">
      <w:pPr>
        <w:spacing w:after="0" w:line="240" w:lineRule="auto"/>
        <w:jc w:val="both"/>
        <w:rPr>
          <w:rFonts w:ascii="Times New Roman" w:hAnsi="Times New Roman" w:cs="Times New Roman"/>
          <w:lang w:val="sr-Latn-ME" w:bidi="en-US"/>
        </w:rPr>
      </w:pPr>
    </w:p>
    <w:p w14:paraId="1B5AEC44" w14:textId="374EBF3B"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4.6. </w:t>
      </w:r>
      <w:r w:rsidR="00D67D34" w:rsidRPr="00314858">
        <w:rPr>
          <w:rFonts w:ascii="Times New Roman" w:hAnsi="Times New Roman" w:cs="Times New Roman"/>
          <w:b/>
          <w:bCs/>
          <w:lang w:val="sr-Latn-ME" w:bidi="en-US"/>
        </w:rPr>
        <w:t>Plodnost, trudnoća i dojenje</w:t>
      </w:r>
    </w:p>
    <w:p w14:paraId="0A26AF18" w14:textId="77777777" w:rsidR="00D67D34" w:rsidRPr="00314858" w:rsidRDefault="00D67D34" w:rsidP="00D67D34">
      <w:pPr>
        <w:spacing w:after="0" w:line="240" w:lineRule="auto"/>
        <w:jc w:val="both"/>
        <w:rPr>
          <w:rFonts w:ascii="Times New Roman" w:hAnsi="Times New Roman" w:cs="Times New Roman"/>
          <w:u w:val="single"/>
          <w:lang w:val="sr-Latn-ME" w:bidi="en-US"/>
        </w:rPr>
      </w:pPr>
    </w:p>
    <w:p w14:paraId="0917DCA7"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u w:val="single"/>
          <w:lang w:val="sr-Latn-ME" w:bidi="en-US"/>
        </w:rPr>
        <w:t>Žene u reproduktivnom periodu</w:t>
      </w:r>
    </w:p>
    <w:p w14:paraId="690B8E22" w14:textId="77777777" w:rsidR="003E03DA" w:rsidRPr="00314858" w:rsidRDefault="003E03DA" w:rsidP="00D67D34">
      <w:pPr>
        <w:spacing w:after="0" w:line="240" w:lineRule="auto"/>
        <w:jc w:val="both"/>
        <w:rPr>
          <w:rFonts w:ascii="Times New Roman" w:hAnsi="Times New Roman" w:cs="Times New Roman"/>
          <w:lang w:val="sr-Latn-ME" w:bidi="en-US"/>
        </w:rPr>
      </w:pPr>
    </w:p>
    <w:p w14:paraId="7378973B" w14:textId="1072B4F1"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Žene u reproduktivnom period</w:t>
      </w:r>
      <w:r w:rsidR="00116ABE" w:rsidRPr="00314858">
        <w:rPr>
          <w:rFonts w:ascii="Times New Roman" w:hAnsi="Times New Roman" w:cs="Times New Roman"/>
          <w:lang w:val="sr-Latn-ME" w:bidi="en-US"/>
        </w:rPr>
        <w:t>u</w:t>
      </w:r>
      <w:r w:rsidRPr="00314858">
        <w:rPr>
          <w:rFonts w:ascii="Times New Roman" w:hAnsi="Times New Roman" w:cs="Times New Roman"/>
          <w:lang w:val="sr-Latn-ME" w:bidi="en-US"/>
        </w:rPr>
        <w:t xml:space="preserve"> </w:t>
      </w:r>
      <w:r w:rsidR="00527703" w:rsidRPr="00314858">
        <w:rPr>
          <w:rFonts w:ascii="Times New Roman" w:hAnsi="Times New Roman" w:cs="Times New Roman"/>
          <w:lang w:val="sr-Latn-ME" w:bidi="en-US"/>
        </w:rPr>
        <w:t>moraju</w:t>
      </w:r>
      <w:r w:rsidRPr="00314858">
        <w:rPr>
          <w:rFonts w:ascii="Times New Roman" w:hAnsi="Times New Roman" w:cs="Times New Roman"/>
          <w:lang w:val="sr-Latn-ME" w:bidi="en-US"/>
        </w:rPr>
        <w:t xml:space="preserve"> izb</w:t>
      </w:r>
      <w:r w:rsidR="006E3EE7" w:rsidRPr="00314858">
        <w:rPr>
          <w:rFonts w:ascii="Times New Roman" w:hAnsi="Times New Roman" w:cs="Times New Roman"/>
          <w:lang w:val="sr-Latn-ME" w:bidi="en-US"/>
        </w:rPr>
        <w:t>j</w:t>
      </w:r>
      <w:r w:rsidRPr="00314858">
        <w:rPr>
          <w:rFonts w:ascii="Times New Roman" w:hAnsi="Times New Roman" w:cs="Times New Roman"/>
          <w:lang w:val="sr-Latn-ME" w:bidi="en-US"/>
        </w:rPr>
        <w:t>egava</w:t>
      </w:r>
      <w:r w:rsidR="00527703" w:rsidRPr="00314858">
        <w:rPr>
          <w:rFonts w:ascii="Times New Roman" w:hAnsi="Times New Roman" w:cs="Times New Roman"/>
          <w:lang w:val="sr-Latn-ME" w:bidi="en-US"/>
        </w:rPr>
        <w:t>ti</w:t>
      </w:r>
      <w:r w:rsidRPr="00314858">
        <w:rPr>
          <w:rFonts w:ascii="Times New Roman" w:hAnsi="Times New Roman" w:cs="Times New Roman"/>
          <w:lang w:val="sr-Latn-ME" w:bidi="en-US"/>
        </w:rPr>
        <w:t xml:space="preserve"> trudnoću tokom terapije l</w:t>
      </w:r>
      <w:r w:rsidR="006E3EE7" w:rsidRPr="00314858">
        <w:rPr>
          <w:rFonts w:ascii="Times New Roman" w:hAnsi="Times New Roman" w:cs="Times New Roman"/>
          <w:lang w:val="sr-Latn-ME" w:bidi="en-US"/>
        </w:rPr>
        <w:t>ij</w:t>
      </w:r>
      <w:r w:rsidRPr="00314858">
        <w:rPr>
          <w:rFonts w:ascii="Times New Roman" w:hAnsi="Times New Roman" w:cs="Times New Roman"/>
          <w:lang w:val="sr-Latn-ME" w:bidi="en-US"/>
        </w:rPr>
        <w:t>ekom BEREVIN.</w:t>
      </w:r>
    </w:p>
    <w:p w14:paraId="744EA4D9" w14:textId="77777777" w:rsidR="00D67D34" w:rsidRPr="00314858" w:rsidRDefault="00D67D34" w:rsidP="00D67D34">
      <w:pPr>
        <w:spacing w:after="0" w:line="240" w:lineRule="auto"/>
        <w:jc w:val="both"/>
        <w:rPr>
          <w:rFonts w:ascii="Times New Roman" w:hAnsi="Times New Roman" w:cs="Times New Roman"/>
          <w:lang w:val="sr-Latn-ME" w:bidi="en-US"/>
        </w:rPr>
      </w:pPr>
    </w:p>
    <w:p w14:paraId="081700C3"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u w:val="single"/>
          <w:lang w:val="sr-Latn-ME" w:bidi="en-US"/>
        </w:rPr>
        <w:t>Trudnoća</w:t>
      </w:r>
    </w:p>
    <w:p w14:paraId="7EB180B1" w14:textId="77777777" w:rsidR="00B519AE" w:rsidRPr="00314858" w:rsidRDefault="00B519AE" w:rsidP="00D67D34">
      <w:pPr>
        <w:spacing w:after="0" w:line="240" w:lineRule="auto"/>
        <w:jc w:val="both"/>
        <w:rPr>
          <w:rFonts w:ascii="Times New Roman" w:hAnsi="Times New Roman" w:cs="Times New Roman"/>
          <w:lang w:val="sr-Latn-ME"/>
        </w:rPr>
      </w:pPr>
    </w:p>
    <w:p w14:paraId="7584E9EA" w14:textId="0F66DBF1"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Podaci o prim</w:t>
      </w:r>
      <w:r w:rsidR="006E3EE7" w:rsidRPr="00314858">
        <w:rPr>
          <w:rFonts w:ascii="Times New Roman" w:hAnsi="Times New Roman" w:cs="Times New Roman"/>
          <w:lang w:val="sr-Latn-ME"/>
        </w:rPr>
        <w:t>j</w:t>
      </w:r>
      <w:r w:rsidRPr="00314858">
        <w:rPr>
          <w:rFonts w:ascii="Times New Roman" w:hAnsi="Times New Roman" w:cs="Times New Roman"/>
          <w:lang w:val="sr-Latn-ME"/>
        </w:rPr>
        <w:t>eni dabigatraneteksilata kod trudnica su ograničeni.</w:t>
      </w:r>
    </w:p>
    <w:p w14:paraId="070EB53D" w14:textId="7692EC7C"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Ispitivanja na životinjama su pokazala reproduktivnu toksičnost (vid</w:t>
      </w:r>
      <w:r w:rsidR="006E3EE7"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6E3EE7" w:rsidRPr="00314858">
        <w:rPr>
          <w:rFonts w:ascii="Times New Roman" w:hAnsi="Times New Roman" w:cs="Times New Roman"/>
          <w:lang w:val="sr-Latn-ME"/>
        </w:rPr>
        <w:t>dio</w:t>
      </w:r>
      <w:r w:rsidRPr="00314858">
        <w:rPr>
          <w:rFonts w:ascii="Times New Roman" w:hAnsi="Times New Roman" w:cs="Times New Roman"/>
          <w:lang w:val="sr-Latn-ME"/>
        </w:rPr>
        <w:t xml:space="preserve"> 5.3). Potencijalni rizik za ljude nije poznat.</w:t>
      </w:r>
    </w:p>
    <w:p w14:paraId="6991DD34" w14:textId="77777777" w:rsidR="00B519AE" w:rsidRPr="00314858" w:rsidRDefault="00B519AE" w:rsidP="00D67D34">
      <w:pPr>
        <w:spacing w:after="0" w:line="240" w:lineRule="auto"/>
        <w:jc w:val="both"/>
        <w:rPr>
          <w:rFonts w:ascii="Times New Roman" w:hAnsi="Times New Roman" w:cs="Times New Roman"/>
          <w:lang w:val="sr-Latn-ME"/>
        </w:rPr>
      </w:pPr>
    </w:p>
    <w:p w14:paraId="3D25FE63" w14:textId="4B5EB4C2" w:rsidR="00B519AE" w:rsidRPr="00314858" w:rsidRDefault="00B519AE" w:rsidP="00B519AE">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L</w:t>
      </w:r>
      <w:r w:rsidR="006E3EE7" w:rsidRPr="00314858">
        <w:rPr>
          <w:rFonts w:ascii="Times New Roman" w:hAnsi="Times New Roman" w:cs="Times New Roman"/>
          <w:lang w:val="sr-Latn-ME"/>
        </w:rPr>
        <w:t>ij</w:t>
      </w:r>
      <w:r w:rsidRPr="00314858">
        <w:rPr>
          <w:rFonts w:ascii="Times New Roman" w:hAnsi="Times New Roman" w:cs="Times New Roman"/>
          <w:lang w:val="sr-Latn-ME"/>
        </w:rPr>
        <w:t xml:space="preserve">ek </w:t>
      </w:r>
      <w:r w:rsidR="00D67D34" w:rsidRPr="00314858">
        <w:rPr>
          <w:rFonts w:ascii="Times New Roman" w:hAnsi="Times New Roman" w:cs="Times New Roman"/>
          <w:lang w:val="sr-Latn-ME"/>
        </w:rPr>
        <w:t xml:space="preserve">BEREVIN ne treba koristiti tokom trudnoće, osim </w:t>
      </w:r>
      <w:r w:rsidR="0046754E" w:rsidRPr="00314858">
        <w:rPr>
          <w:rFonts w:ascii="Times New Roman" w:hAnsi="Times New Roman" w:cs="Times New Roman"/>
          <w:lang w:val="sr-Latn-ME"/>
        </w:rPr>
        <w:t>ukoliko</w:t>
      </w:r>
      <w:r w:rsidR="00D67D34" w:rsidRPr="00314858">
        <w:rPr>
          <w:rFonts w:ascii="Times New Roman" w:hAnsi="Times New Roman" w:cs="Times New Roman"/>
          <w:lang w:val="sr-Latn-ME"/>
        </w:rPr>
        <w:t xml:space="preserve"> </w:t>
      </w:r>
      <w:r w:rsidRPr="00314858">
        <w:rPr>
          <w:rFonts w:ascii="Times New Roman" w:hAnsi="Times New Roman" w:cs="Times New Roman"/>
          <w:lang w:val="sr-Latn-ME"/>
        </w:rPr>
        <w:t>za tim ne postoji jasna potreba.</w:t>
      </w:r>
    </w:p>
    <w:p w14:paraId="5A4BA91E" w14:textId="461B20CB" w:rsidR="00D67D34" w:rsidRPr="00314858" w:rsidRDefault="00D67D34" w:rsidP="00D67D34">
      <w:pPr>
        <w:spacing w:after="0" w:line="240" w:lineRule="auto"/>
        <w:jc w:val="both"/>
        <w:rPr>
          <w:rFonts w:ascii="Times New Roman" w:hAnsi="Times New Roman" w:cs="Times New Roman"/>
          <w:lang w:val="sr-Latn-ME"/>
        </w:rPr>
      </w:pPr>
    </w:p>
    <w:p w14:paraId="5FFFBBCC" w14:textId="5E7BECB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u w:val="single"/>
          <w:lang w:val="sr-Latn-ME" w:bidi="en-US"/>
        </w:rPr>
        <w:t>Dojenje</w:t>
      </w:r>
    </w:p>
    <w:p w14:paraId="60FDEAC7" w14:textId="77777777" w:rsidR="00B519AE" w:rsidRPr="00314858" w:rsidRDefault="00B519AE" w:rsidP="00D67D34">
      <w:pPr>
        <w:spacing w:after="0" w:line="240" w:lineRule="auto"/>
        <w:jc w:val="both"/>
        <w:rPr>
          <w:rFonts w:ascii="Times New Roman" w:hAnsi="Times New Roman" w:cs="Times New Roman"/>
          <w:lang w:val="sr-Latn-ME"/>
        </w:rPr>
      </w:pPr>
    </w:p>
    <w:p w14:paraId="1C6ADD80" w14:textId="77777777" w:rsidR="002B751A"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Ne postoje klinički podaci o dejstvu dabigatrana na odojčad tokom dojenja. </w:t>
      </w:r>
    </w:p>
    <w:p w14:paraId="70D47B64" w14:textId="66C86F86"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Dojenje treba prekinuti za vr</w:t>
      </w:r>
      <w:r w:rsidR="005D1FF0" w:rsidRPr="00314858">
        <w:rPr>
          <w:rFonts w:ascii="Times New Roman" w:hAnsi="Times New Roman" w:cs="Times New Roman"/>
          <w:lang w:val="sr-Latn-ME"/>
        </w:rPr>
        <w:t>ij</w:t>
      </w:r>
      <w:r w:rsidRPr="00314858">
        <w:rPr>
          <w:rFonts w:ascii="Times New Roman" w:hAnsi="Times New Roman" w:cs="Times New Roman"/>
          <w:lang w:val="sr-Latn-ME"/>
        </w:rPr>
        <w:t>eme terapije l</w:t>
      </w:r>
      <w:r w:rsidR="006E3EE7" w:rsidRPr="00314858">
        <w:rPr>
          <w:rFonts w:ascii="Times New Roman" w:hAnsi="Times New Roman" w:cs="Times New Roman"/>
          <w:lang w:val="sr-Latn-ME"/>
        </w:rPr>
        <w:t>ij</w:t>
      </w:r>
      <w:r w:rsidRPr="00314858">
        <w:rPr>
          <w:rFonts w:ascii="Times New Roman" w:hAnsi="Times New Roman" w:cs="Times New Roman"/>
          <w:lang w:val="sr-Latn-ME"/>
        </w:rPr>
        <w:t xml:space="preserve">ekom </w:t>
      </w:r>
      <w:r w:rsidRPr="00314858">
        <w:rPr>
          <w:rFonts w:ascii="Times New Roman" w:hAnsi="Times New Roman" w:cs="Times New Roman"/>
          <w:lang w:val="sr-Latn-ME" w:bidi="en-US"/>
        </w:rPr>
        <w:t>BEREVIN.</w:t>
      </w:r>
    </w:p>
    <w:p w14:paraId="3384A413" w14:textId="77777777" w:rsidR="0009272D" w:rsidRPr="00314858" w:rsidRDefault="0009272D" w:rsidP="00D67D34">
      <w:pPr>
        <w:spacing w:after="0" w:line="240" w:lineRule="auto"/>
        <w:jc w:val="both"/>
        <w:rPr>
          <w:rFonts w:ascii="Times New Roman" w:hAnsi="Times New Roman" w:cs="Times New Roman"/>
          <w:lang w:val="sr-Latn-ME" w:bidi="en-US"/>
        </w:rPr>
      </w:pPr>
    </w:p>
    <w:p w14:paraId="272B8D91" w14:textId="77777777" w:rsidR="00314858" w:rsidRDefault="00314858" w:rsidP="00D67D34">
      <w:pPr>
        <w:spacing w:after="0" w:line="240" w:lineRule="auto"/>
        <w:jc w:val="both"/>
        <w:rPr>
          <w:rFonts w:ascii="Times New Roman" w:hAnsi="Times New Roman" w:cs="Times New Roman"/>
          <w:u w:val="single"/>
          <w:lang w:val="sr-Latn-ME" w:bidi="en-US"/>
        </w:rPr>
      </w:pPr>
    </w:p>
    <w:p w14:paraId="47D498B8" w14:textId="77777777" w:rsidR="00314858" w:rsidRDefault="00314858" w:rsidP="00D67D34">
      <w:pPr>
        <w:spacing w:after="0" w:line="240" w:lineRule="auto"/>
        <w:jc w:val="both"/>
        <w:rPr>
          <w:rFonts w:ascii="Times New Roman" w:hAnsi="Times New Roman" w:cs="Times New Roman"/>
          <w:u w:val="single"/>
          <w:lang w:val="sr-Latn-ME" w:bidi="en-US"/>
        </w:rPr>
      </w:pPr>
    </w:p>
    <w:p w14:paraId="228E95F4" w14:textId="10E1F730" w:rsidR="00D67D34" w:rsidRPr="00314858" w:rsidRDefault="00D67D34" w:rsidP="00D67D34">
      <w:pPr>
        <w:spacing w:after="0" w:line="240" w:lineRule="auto"/>
        <w:jc w:val="both"/>
        <w:rPr>
          <w:rFonts w:ascii="Times New Roman" w:hAnsi="Times New Roman" w:cs="Times New Roman"/>
          <w:u w:val="single"/>
          <w:lang w:val="sr-Latn-ME" w:bidi="en-US"/>
        </w:rPr>
      </w:pPr>
      <w:r w:rsidRPr="00314858">
        <w:rPr>
          <w:rFonts w:ascii="Times New Roman" w:hAnsi="Times New Roman" w:cs="Times New Roman"/>
          <w:u w:val="single"/>
          <w:lang w:val="sr-Latn-ME" w:bidi="en-US"/>
        </w:rPr>
        <w:lastRenderedPageBreak/>
        <w:t>Plodnost</w:t>
      </w:r>
    </w:p>
    <w:p w14:paraId="60FD912A" w14:textId="77777777" w:rsidR="002B751A" w:rsidRPr="00314858" w:rsidRDefault="002B751A" w:rsidP="00D67D34">
      <w:pPr>
        <w:spacing w:after="0" w:line="240" w:lineRule="auto"/>
        <w:jc w:val="both"/>
        <w:rPr>
          <w:rFonts w:ascii="Times New Roman" w:hAnsi="Times New Roman" w:cs="Times New Roman"/>
          <w:lang w:val="sr-Latn-ME"/>
        </w:rPr>
      </w:pPr>
    </w:p>
    <w:p w14:paraId="531B7766" w14:textId="59BDCA0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Nema raspoloživih podataka za ljude.</w:t>
      </w:r>
    </w:p>
    <w:p w14:paraId="205A9715" w14:textId="77777777" w:rsidR="002B751A" w:rsidRPr="00314858" w:rsidRDefault="002B751A" w:rsidP="00D67D34">
      <w:pPr>
        <w:spacing w:after="0" w:line="240" w:lineRule="auto"/>
        <w:jc w:val="both"/>
        <w:rPr>
          <w:rFonts w:ascii="Times New Roman" w:hAnsi="Times New Roman" w:cs="Times New Roman"/>
          <w:lang w:val="sr-Latn-ME"/>
        </w:rPr>
      </w:pPr>
    </w:p>
    <w:p w14:paraId="5FC06203" w14:textId="3ABB650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w:t>
      </w:r>
      <w:r w:rsidR="002B751A" w:rsidRPr="00314858">
        <w:rPr>
          <w:rFonts w:ascii="Times New Roman" w:hAnsi="Times New Roman" w:cs="Times New Roman"/>
          <w:lang w:val="sr-Latn-ME"/>
        </w:rPr>
        <w:t>ispitivanjima</w:t>
      </w:r>
      <w:r w:rsidRPr="00314858">
        <w:rPr>
          <w:rFonts w:ascii="Times New Roman" w:hAnsi="Times New Roman" w:cs="Times New Roman"/>
          <w:lang w:val="sr-Latn-ME"/>
        </w:rPr>
        <w:t xml:space="preserve"> na životinjama, uticaj na </w:t>
      </w:r>
      <w:r w:rsidR="0046754E" w:rsidRPr="00314858">
        <w:rPr>
          <w:rFonts w:ascii="Times New Roman" w:hAnsi="Times New Roman" w:cs="Times New Roman"/>
          <w:lang w:val="sr-Latn-ME"/>
        </w:rPr>
        <w:t>plodnost</w:t>
      </w:r>
      <w:r w:rsidRPr="00314858">
        <w:rPr>
          <w:rFonts w:ascii="Times New Roman" w:hAnsi="Times New Roman" w:cs="Times New Roman"/>
          <w:lang w:val="sr-Latn-ME"/>
        </w:rPr>
        <w:t xml:space="preserve"> ženki je uočen u obliku smanjenja implantacija embriona i u povećanju gubitka embriona u preimplantaciji pri dozi od 70 mg/kg (</w:t>
      </w:r>
      <w:r w:rsidR="0046754E" w:rsidRPr="00314858">
        <w:rPr>
          <w:rFonts w:ascii="Times New Roman" w:hAnsi="Times New Roman" w:cs="Times New Roman"/>
          <w:lang w:val="sr-Latn-ME"/>
        </w:rPr>
        <w:t xml:space="preserve">što predstavlja </w:t>
      </w:r>
      <w:r w:rsidRPr="00314858">
        <w:rPr>
          <w:rFonts w:ascii="Times New Roman" w:hAnsi="Times New Roman" w:cs="Times New Roman"/>
          <w:lang w:val="sr-Latn-ME"/>
        </w:rPr>
        <w:t>5 puta veći nivo izloženosti u poređenju sa pacijentima).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Ni</w:t>
      </w:r>
      <w:r w:rsidR="00527703" w:rsidRPr="00314858">
        <w:rPr>
          <w:rFonts w:ascii="Times New Roman" w:hAnsi="Times New Roman" w:cs="Times New Roman"/>
          <w:lang w:val="sr-Latn-ME"/>
        </w:rPr>
        <w:t>je</w:t>
      </w:r>
      <w:r w:rsidRPr="00314858">
        <w:rPr>
          <w:rFonts w:ascii="Times New Roman" w:hAnsi="Times New Roman" w:cs="Times New Roman"/>
          <w:lang w:val="sr-Latn-ME"/>
        </w:rPr>
        <w:t>su prim</w:t>
      </w:r>
      <w:r w:rsidR="006E3EE7" w:rsidRPr="00314858">
        <w:rPr>
          <w:rFonts w:ascii="Times New Roman" w:hAnsi="Times New Roman" w:cs="Times New Roman"/>
          <w:lang w:val="sr-Latn-ME"/>
        </w:rPr>
        <w:t>ij</w:t>
      </w:r>
      <w:r w:rsidRPr="00314858">
        <w:rPr>
          <w:rFonts w:ascii="Times New Roman" w:hAnsi="Times New Roman" w:cs="Times New Roman"/>
          <w:lang w:val="sr-Latn-ME"/>
        </w:rPr>
        <w:t>ećen</w:t>
      </w:r>
      <w:r w:rsidR="002B751A" w:rsidRPr="00314858">
        <w:rPr>
          <w:rFonts w:ascii="Times New Roman" w:hAnsi="Times New Roman" w:cs="Times New Roman"/>
          <w:lang w:val="sr-Latn-ME"/>
        </w:rPr>
        <w:t>a druga dejstva</w:t>
      </w:r>
      <w:r w:rsidRPr="00314858">
        <w:rPr>
          <w:rFonts w:ascii="Times New Roman" w:hAnsi="Times New Roman" w:cs="Times New Roman"/>
          <w:lang w:val="sr-Latn-ME"/>
        </w:rPr>
        <w:t xml:space="preserve"> na </w:t>
      </w:r>
      <w:r w:rsidR="002B751A" w:rsidRPr="00314858">
        <w:rPr>
          <w:rFonts w:ascii="Times New Roman" w:hAnsi="Times New Roman" w:cs="Times New Roman"/>
          <w:lang w:val="sr-Latn-ME"/>
        </w:rPr>
        <w:t>plodnost</w:t>
      </w:r>
      <w:r w:rsidRPr="00314858">
        <w:rPr>
          <w:rFonts w:ascii="Times New Roman" w:hAnsi="Times New Roman" w:cs="Times New Roman"/>
          <w:lang w:val="sr-Latn-ME"/>
        </w:rPr>
        <w:t xml:space="preserve"> ženki. Nije bilo uticaja na </w:t>
      </w:r>
      <w:r w:rsidR="0046754E" w:rsidRPr="00314858">
        <w:rPr>
          <w:rFonts w:ascii="Times New Roman" w:hAnsi="Times New Roman" w:cs="Times New Roman"/>
          <w:lang w:val="sr-Latn-ME"/>
        </w:rPr>
        <w:t>plodnost</w:t>
      </w:r>
      <w:r w:rsidRPr="00314858">
        <w:rPr>
          <w:rFonts w:ascii="Times New Roman" w:hAnsi="Times New Roman" w:cs="Times New Roman"/>
          <w:lang w:val="sr-Latn-ME"/>
        </w:rPr>
        <w:t xml:space="preserve"> mužjaka.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Pri dozama koje su bile toksične za majke (</w:t>
      </w:r>
      <w:r w:rsidR="002B751A" w:rsidRPr="00314858">
        <w:rPr>
          <w:rFonts w:ascii="Times New Roman" w:hAnsi="Times New Roman" w:cs="Times New Roman"/>
          <w:lang w:val="sr-Latn-ME"/>
        </w:rPr>
        <w:t xml:space="preserve">što predstavlja </w:t>
      </w:r>
      <w:r w:rsidRPr="00314858">
        <w:rPr>
          <w:rFonts w:ascii="Times New Roman" w:hAnsi="Times New Roman" w:cs="Times New Roman"/>
          <w:lang w:val="sr-Latn-ME"/>
        </w:rPr>
        <w:t>5-10 puta već</w:t>
      </w:r>
      <w:r w:rsidR="002B751A" w:rsidRPr="00314858">
        <w:rPr>
          <w:rFonts w:ascii="Times New Roman" w:hAnsi="Times New Roman" w:cs="Times New Roman"/>
          <w:lang w:val="sr-Latn-ME"/>
        </w:rPr>
        <w:t>u</w:t>
      </w:r>
      <w:r w:rsidRPr="00314858">
        <w:rPr>
          <w:rFonts w:ascii="Times New Roman" w:hAnsi="Times New Roman" w:cs="Times New Roman"/>
          <w:lang w:val="sr-Latn-ME"/>
        </w:rPr>
        <w:t xml:space="preserve"> izloženost </w:t>
      </w:r>
      <w:r w:rsidR="002B751A" w:rsidRPr="00314858">
        <w:rPr>
          <w:rFonts w:ascii="Times New Roman" w:hAnsi="Times New Roman" w:cs="Times New Roman"/>
          <w:lang w:val="sr-Latn-ME"/>
        </w:rPr>
        <w:t xml:space="preserve">u plazmi </w:t>
      </w:r>
      <w:r w:rsidRPr="00314858">
        <w:rPr>
          <w:rFonts w:ascii="Times New Roman" w:hAnsi="Times New Roman" w:cs="Times New Roman"/>
          <w:lang w:val="sr-Latn-ME"/>
        </w:rPr>
        <w:t>nego kod pacijenata), smanjenje u fetalnoj t</w:t>
      </w:r>
      <w:r w:rsidR="006E3EE7" w:rsidRPr="00314858">
        <w:rPr>
          <w:rFonts w:ascii="Times New Roman" w:hAnsi="Times New Roman" w:cs="Times New Roman"/>
          <w:lang w:val="sr-Latn-ME"/>
        </w:rPr>
        <w:t>j</w:t>
      </w:r>
      <w:r w:rsidRPr="00314858">
        <w:rPr>
          <w:rFonts w:ascii="Times New Roman" w:hAnsi="Times New Roman" w:cs="Times New Roman"/>
          <w:lang w:val="sr-Latn-ME"/>
        </w:rPr>
        <w:t>elesnoj masi i embriofetalnoj viabilnosti, zajedno sa povećanjem u fetalnim varijacijama su uočeni kod pacova i kunića. U pre-i postnatalnoj studiji, prim</w:t>
      </w:r>
      <w:r w:rsidR="006E3EE7" w:rsidRPr="00314858">
        <w:rPr>
          <w:rFonts w:ascii="Times New Roman" w:hAnsi="Times New Roman" w:cs="Times New Roman"/>
          <w:lang w:val="sr-Latn-ME"/>
        </w:rPr>
        <w:t>ij</w:t>
      </w:r>
      <w:r w:rsidRPr="00314858">
        <w:rPr>
          <w:rFonts w:ascii="Times New Roman" w:hAnsi="Times New Roman" w:cs="Times New Roman"/>
          <w:lang w:val="sr-Latn-ME"/>
        </w:rPr>
        <w:t>ećeno je povećanje u fetalnom mortalitetu pri dozama koje su bile toksične kod ženki (doza koja odgovara</w:t>
      </w:r>
      <w:r w:rsidRPr="00314858" w:rsidDel="00D947AF">
        <w:rPr>
          <w:rFonts w:ascii="Times New Roman" w:hAnsi="Times New Roman" w:cs="Times New Roman"/>
          <w:lang w:val="sr-Latn-ME"/>
        </w:rPr>
        <w:t xml:space="preserve"> </w:t>
      </w:r>
      <w:r w:rsidRPr="00314858">
        <w:rPr>
          <w:rFonts w:ascii="Times New Roman" w:hAnsi="Times New Roman" w:cs="Times New Roman"/>
          <w:lang w:val="sr-Latn-ME"/>
        </w:rPr>
        <w:t xml:space="preserve">nivou izloženosti </w:t>
      </w:r>
      <w:r w:rsidR="0046754E" w:rsidRPr="00314858">
        <w:rPr>
          <w:rFonts w:ascii="Times New Roman" w:hAnsi="Times New Roman" w:cs="Times New Roman"/>
          <w:lang w:val="sr-Latn-ME"/>
        </w:rPr>
        <w:t xml:space="preserve">u plazmi </w:t>
      </w:r>
      <w:r w:rsidRPr="00314858">
        <w:rPr>
          <w:rFonts w:ascii="Times New Roman" w:hAnsi="Times New Roman" w:cs="Times New Roman"/>
          <w:lang w:val="sr-Latn-ME"/>
        </w:rPr>
        <w:t xml:space="preserve">4 puta većem od onog uočenog kod pacijenata). </w:t>
      </w:r>
    </w:p>
    <w:p w14:paraId="727D04BF" w14:textId="77777777" w:rsidR="00D67D34" w:rsidRPr="00314858" w:rsidRDefault="00D67D34" w:rsidP="00D67D34">
      <w:pPr>
        <w:spacing w:after="0" w:line="240" w:lineRule="auto"/>
        <w:jc w:val="both"/>
        <w:rPr>
          <w:rFonts w:ascii="Times New Roman" w:hAnsi="Times New Roman" w:cs="Times New Roman"/>
          <w:lang w:val="sr-Latn-ME"/>
        </w:rPr>
      </w:pPr>
    </w:p>
    <w:p w14:paraId="412C16A9" w14:textId="794978D8" w:rsidR="00D67D34" w:rsidRPr="00314858" w:rsidRDefault="001347BD" w:rsidP="001347BD">
      <w:pPr>
        <w:spacing w:after="0" w:line="240" w:lineRule="auto"/>
        <w:jc w:val="both"/>
        <w:rPr>
          <w:rFonts w:ascii="Times New Roman" w:hAnsi="Times New Roman" w:cs="Times New Roman"/>
          <w:b/>
          <w:bCs/>
          <w:lang w:val="sr-Latn-ME" w:bidi="en-US"/>
        </w:rPr>
      </w:pPr>
      <w:r w:rsidRPr="00314858">
        <w:rPr>
          <w:rFonts w:ascii="Times New Roman" w:hAnsi="Times New Roman" w:cs="Times New Roman"/>
          <w:b/>
          <w:bCs/>
          <w:lang w:val="sr-Latn-ME" w:bidi="en-US"/>
        </w:rPr>
        <w:t xml:space="preserve">4.7. </w:t>
      </w:r>
      <w:r w:rsidR="00D67D34" w:rsidRPr="00314858">
        <w:rPr>
          <w:rFonts w:ascii="Times New Roman" w:hAnsi="Times New Roman" w:cs="Times New Roman"/>
          <w:b/>
          <w:bCs/>
          <w:lang w:val="sr-Latn-ME" w:bidi="en-US"/>
        </w:rPr>
        <w:t>Uticaj na sposobnost upravljanja vozilima i rukovanja mašinama</w:t>
      </w:r>
    </w:p>
    <w:p w14:paraId="536E3439" w14:textId="77777777" w:rsidR="00D67D34" w:rsidRPr="00314858" w:rsidRDefault="00D67D34" w:rsidP="00D67D34">
      <w:pPr>
        <w:spacing w:after="0" w:line="240" w:lineRule="auto"/>
        <w:jc w:val="both"/>
        <w:rPr>
          <w:rFonts w:ascii="Times New Roman" w:hAnsi="Times New Roman" w:cs="Times New Roman"/>
          <w:lang w:val="sr-Latn-ME" w:bidi="en-US"/>
        </w:rPr>
      </w:pPr>
    </w:p>
    <w:p w14:paraId="45D65EF3"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Dabigatraneteksilat nema ili ima zanemarljiv uticaj na sposobnost upravljanja vozilima i rukovanja mašinama.</w:t>
      </w:r>
    </w:p>
    <w:p w14:paraId="4C056DDD" w14:textId="77777777" w:rsidR="00D67D34" w:rsidRPr="00314858" w:rsidRDefault="00D67D34" w:rsidP="00D67D34">
      <w:pPr>
        <w:spacing w:after="0" w:line="240" w:lineRule="auto"/>
        <w:jc w:val="both"/>
        <w:rPr>
          <w:rFonts w:ascii="Times New Roman" w:hAnsi="Times New Roman" w:cs="Times New Roman"/>
          <w:lang w:val="sr-Latn-ME" w:bidi="en-US"/>
        </w:rPr>
      </w:pPr>
    </w:p>
    <w:p w14:paraId="07548C1C" w14:textId="296CC383"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4.8. </w:t>
      </w:r>
      <w:r w:rsidR="00D67D34" w:rsidRPr="00314858">
        <w:rPr>
          <w:rFonts w:ascii="Times New Roman" w:hAnsi="Times New Roman" w:cs="Times New Roman"/>
          <w:b/>
          <w:bCs/>
          <w:lang w:val="sr-Latn-ME" w:bidi="en-US"/>
        </w:rPr>
        <w:t>Neželjena dejstva</w:t>
      </w:r>
    </w:p>
    <w:p w14:paraId="518FB2F6" w14:textId="77777777" w:rsidR="00D67D34" w:rsidRPr="00314858" w:rsidRDefault="00D67D34" w:rsidP="00D67D34">
      <w:pPr>
        <w:spacing w:after="0" w:line="240" w:lineRule="auto"/>
        <w:jc w:val="both"/>
        <w:rPr>
          <w:rFonts w:ascii="Times New Roman" w:hAnsi="Times New Roman" w:cs="Times New Roman"/>
          <w:u w:val="single"/>
          <w:lang w:val="sr-Latn-ME" w:bidi="en-US"/>
        </w:rPr>
      </w:pPr>
    </w:p>
    <w:p w14:paraId="10D16854" w14:textId="277A9ED1"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Sažetak bezb</w:t>
      </w:r>
      <w:r w:rsidR="006E3EE7" w:rsidRPr="00314858">
        <w:rPr>
          <w:rFonts w:ascii="Times New Roman" w:hAnsi="Times New Roman" w:cs="Times New Roman"/>
          <w:u w:val="single"/>
          <w:lang w:val="sr-Latn-ME"/>
        </w:rPr>
        <w:t>j</w:t>
      </w:r>
      <w:r w:rsidRPr="00314858">
        <w:rPr>
          <w:rFonts w:ascii="Times New Roman" w:hAnsi="Times New Roman" w:cs="Times New Roman"/>
          <w:u w:val="single"/>
          <w:lang w:val="sr-Latn-ME"/>
        </w:rPr>
        <w:t>ednosnog profila</w:t>
      </w:r>
    </w:p>
    <w:p w14:paraId="19BCB5A0"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4C9C13A4" w14:textId="4446059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Dabigatraneteksilat je bio proc</w:t>
      </w:r>
      <w:r w:rsidR="006E3EE7" w:rsidRPr="00314858">
        <w:rPr>
          <w:rFonts w:ascii="Times New Roman" w:hAnsi="Times New Roman" w:cs="Times New Roman"/>
          <w:lang w:val="sr-Latn-ME"/>
        </w:rPr>
        <w:t>ij</w:t>
      </w:r>
      <w:r w:rsidRPr="00314858">
        <w:rPr>
          <w:rFonts w:ascii="Times New Roman" w:hAnsi="Times New Roman" w:cs="Times New Roman"/>
          <w:lang w:val="sr-Latn-ME"/>
        </w:rPr>
        <w:t>enj</w:t>
      </w:r>
      <w:r w:rsidR="002B751A" w:rsidRPr="00314858">
        <w:rPr>
          <w:rFonts w:ascii="Times New Roman" w:hAnsi="Times New Roman" w:cs="Times New Roman"/>
          <w:lang w:val="sr-Latn-ME"/>
        </w:rPr>
        <w:t>ivan</w:t>
      </w:r>
      <w:r w:rsidRPr="00314858">
        <w:rPr>
          <w:rFonts w:ascii="Times New Roman" w:hAnsi="Times New Roman" w:cs="Times New Roman"/>
          <w:lang w:val="sr-Latn-ME"/>
        </w:rPr>
        <w:t xml:space="preserve"> u kliničkim ispitivanjima kod </w:t>
      </w:r>
      <w:r w:rsidR="002B751A" w:rsidRPr="00314858">
        <w:rPr>
          <w:rFonts w:ascii="Times New Roman" w:hAnsi="Times New Roman" w:cs="Times New Roman"/>
          <w:lang w:val="sr-Latn-ME"/>
        </w:rPr>
        <w:t xml:space="preserve">ukupno </w:t>
      </w:r>
      <w:r w:rsidRPr="00314858">
        <w:rPr>
          <w:rFonts w:ascii="Times New Roman" w:hAnsi="Times New Roman" w:cs="Times New Roman"/>
          <w:lang w:val="sr-Latn-ME"/>
        </w:rPr>
        <w:t>približno 64</w:t>
      </w:r>
      <w:r w:rsidR="0053352A" w:rsidRPr="00314858">
        <w:rPr>
          <w:rFonts w:ascii="Times New Roman" w:hAnsi="Times New Roman" w:cs="Times New Roman"/>
          <w:lang w:val="sr-Latn-ME"/>
        </w:rPr>
        <w:t xml:space="preserve"> </w:t>
      </w:r>
      <w:r w:rsidRPr="00314858">
        <w:rPr>
          <w:rFonts w:ascii="Times New Roman" w:hAnsi="Times New Roman" w:cs="Times New Roman"/>
          <w:lang w:val="sr-Latn-ME"/>
        </w:rPr>
        <w:t>000 pacijenata; od toga je približno 3</w:t>
      </w:r>
      <w:r w:rsidR="002B751A" w:rsidRPr="00314858">
        <w:rPr>
          <w:rFonts w:ascii="Times New Roman" w:hAnsi="Times New Roman" w:cs="Times New Roman"/>
          <w:lang w:val="sr-Latn-ME"/>
        </w:rPr>
        <w:t>5</w:t>
      </w:r>
      <w:r w:rsidR="0053352A" w:rsidRPr="00314858">
        <w:rPr>
          <w:rFonts w:ascii="Times New Roman" w:hAnsi="Times New Roman" w:cs="Times New Roman"/>
          <w:lang w:val="sr-Latn-ME"/>
        </w:rPr>
        <w:t xml:space="preserve"> </w:t>
      </w:r>
      <w:r w:rsidRPr="00314858">
        <w:rPr>
          <w:rFonts w:ascii="Times New Roman" w:hAnsi="Times New Roman" w:cs="Times New Roman"/>
          <w:lang w:val="sr-Latn-ME"/>
        </w:rPr>
        <w:t>000 pacijenata bilo l</w:t>
      </w:r>
      <w:r w:rsidR="006E3EE7" w:rsidRPr="00314858">
        <w:rPr>
          <w:rFonts w:ascii="Times New Roman" w:hAnsi="Times New Roman" w:cs="Times New Roman"/>
          <w:lang w:val="sr-Latn-ME"/>
        </w:rPr>
        <w:t>ij</w:t>
      </w:r>
      <w:r w:rsidRPr="00314858">
        <w:rPr>
          <w:rFonts w:ascii="Times New Roman" w:hAnsi="Times New Roman" w:cs="Times New Roman"/>
          <w:lang w:val="sr-Latn-ME"/>
        </w:rPr>
        <w:t>ečeno dabigatraneteksilatom.</w:t>
      </w:r>
    </w:p>
    <w:p w14:paraId="1AAA4C1A" w14:textId="74CEB625"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Ukupno, 22% pacijenata sa atrijalnom fibrilacijom l</w:t>
      </w:r>
      <w:r w:rsidR="006E3EE7" w:rsidRPr="00314858">
        <w:rPr>
          <w:rFonts w:ascii="Times New Roman" w:hAnsi="Times New Roman" w:cs="Times New Roman"/>
          <w:lang w:val="sr-Latn-ME"/>
        </w:rPr>
        <w:t>ij</w:t>
      </w:r>
      <w:r w:rsidRPr="00314858">
        <w:rPr>
          <w:rFonts w:ascii="Times New Roman" w:hAnsi="Times New Roman" w:cs="Times New Roman"/>
          <w:lang w:val="sr-Latn-ME"/>
        </w:rPr>
        <w:t>ečenih zbog prevencije moždanog udara ili sistemske embolije (dugotrajn</w:t>
      </w:r>
      <w:r w:rsidR="002B751A" w:rsidRPr="00314858">
        <w:rPr>
          <w:rFonts w:ascii="Times New Roman" w:hAnsi="Times New Roman" w:cs="Times New Roman"/>
          <w:lang w:val="sr-Latn-ME"/>
        </w:rPr>
        <w:t>a terapija</w:t>
      </w:r>
      <w:r w:rsidRPr="00314858">
        <w:rPr>
          <w:rFonts w:ascii="Times New Roman" w:hAnsi="Times New Roman" w:cs="Times New Roman"/>
          <w:lang w:val="sr-Latn-ME"/>
        </w:rPr>
        <w:t xml:space="preserve"> do 3 godine), 14% pacijenata l</w:t>
      </w:r>
      <w:r w:rsidR="006E3EE7" w:rsidRPr="00314858">
        <w:rPr>
          <w:rFonts w:ascii="Times New Roman" w:hAnsi="Times New Roman" w:cs="Times New Roman"/>
          <w:lang w:val="sr-Latn-ME"/>
        </w:rPr>
        <w:t>ij</w:t>
      </w:r>
      <w:r w:rsidRPr="00314858">
        <w:rPr>
          <w:rFonts w:ascii="Times New Roman" w:hAnsi="Times New Roman" w:cs="Times New Roman"/>
          <w:lang w:val="sr-Latn-ME"/>
        </w:rPr>
        <w:t>ečenih zbog DVT/PE i 15% pacijenata l</w:t>
      </w:r>
      <w:r w:rsidR="006E3EE7" w:rsidRPr="00314858">
        <w:rPr>
          <w:rFonts w:ascii="Times New Roman" w:hAnsi="Times New Roman" w:cs="Times New Roman"/>
          <w:lang w:val="sr-Latn-ME"/>
        </w:rPr>
        <w:t>ij</w:t>
      </w:r>
      <w:r w:rsidRPr="00314858">
        <w:rPr>
          <w:rFonts w:ascii="Times New Roman" w:hAnsi="Times New Roman" w:cs="Times New Roman"/>
          <w:lang w:val="sr-Latn-ME"/>
        </w:rPr>
        <w:t>ečenih zbog prevencije DVT/PE, je imalo neželjen</w:t>
      </w:r>
      <w:r w:rsidR="002B751A" w:rsidRPr="00314858">
        <w:rPr>
          <w:rFonts w:ascii="Times New Roman" w:hAnsi="Times New Roman" w:cs="Times New Roman"/>
          <w:lang w:val="sr-Latn-ME"/>
        </w:rPr>
        <w:t>e reakcije</w:t>
      </w:r>
      <w:r w:rsidRPr="00314858">
        <w:rPr>
          <w:rFonts w:ascii="Times New Roman" w:hAnsi="Times New Roman" w:cs="Times New Roman"/>
          <w:lang w:val="sr-Latn-ME"/>
        </w:rPr>
        <w:t>.</w:t>
      </w:r>
    </w:p>
    <w:p w14:paraId="12364CE7" w14:textId="77777777" w:rsidR="00D67D34" w:rsidRPr="00314858" w:rsidRDefault="00D67D34" w:rsidP="00D67D34">
      <w:pPr>
        <w:spacing w:after="0" w:line="240" w:lineRule="auto"/>
        <w:jc w:val="both"/>
        <w:rPr>
          <w:rFonts w:ascii="Times New Roman" w:hAnsi="Times New Roman" w:cs="Times New Roman"/>
          <w:lang w:val="sr-Latn-ME"/>
        </w:rPr>
      </w:pPr>
    </w:p>
    <w:p w14:paraId="4830EA06" w14:textId="2F35C4E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Najčešće prijavljeni događaji su krvarenja koja su se pojavila kod oko 16</w:t>
      </w:r>
      <w:r w:rsidR="0046754E" w:rsidRPr="00314858">
        <w:rPr>
          <w:rFonts w:ascii="Times New Roman" w:hAnsi="Times New Roman" w:cs="Times New Roman"/>
          <w:lang w:val="sr-Latn-ME"/>
        </w:rPr>
        <w:t>,6</w:t>
      </w:r>
      <w:r w:rsidRPr="00314858">
        <w:rPr>
          <w:rFonts w:ascii="Times New Roman" w:hAnsi="Times New Roman" w:cs="Times New Roman"/>
          <w:lang w:val="sr-Latn-ME"/>
        </w:rPr>
        <w:t xml:space="preserve">% kod pacijenata sa atrijalnom fibrilacijom </w:t>
      </w:r>
      <w:r w:rsidR="002A7753" w:rsidRPr="00314858">
        <w:rPr>
          <w:rFonts w:ascii="Times New Roman" w:hAnsi="Times New Roman" w:cs="Times New Roman"/>
          <w:lang w:val="sr-Latn-ME"/>
        </w:rPr>
        <w:t>koji su dugotrajno l</w:t>
      </w:r>
      <w:r w:rsidR="006E3EE7" w:rsidRPr="00314858">
        <w:rPr>
          <w:rFonts w:ascii="Times New Roman" w:hAnsi="Times New Roman" w:cs="Times New Roman"/>
          <w:lang w:val="sr-Latn-ME"/>
        </w:rPr>
        <w:t>ij</w:t>
      </w:r>
      <w:r w:rsidR="002A7753" w:rsidRPr="00314858">
        <w:rPr>
          <w:rFonts w:ascii="Times New Roman" w:hAnsi="Times New Roman" w:cs="Times New Roman"/>
          <w:lang w:val="sr-Latn-ME"/>
        </w:rPr>
        <w:t>ečeni</w:t>
      </w:r>
      <w:r w:rsidRPr="00314858">
        <w:rPr>
          <w:rFonts w:ascii="Times New Roman" w:hAnsi="Times New Roman" w:cs="Times New Roman"/>
          <w:lang w:val="sr-Latn-ME"/>
        </w:rPr>
        <w:t xml:space="preserve"> zbog prevencije moždanog udara i sistemske embolije i kod 14,4% odraslih pacijenata</w:t>
      </w:r>
      <w:r w:rsidR="002A7753" w:rsidRPr="00314858">
        <w:rPr>
          <w:rFonts w:ascii="Times New Roman" w:hAnsi="Times New Roman" w:cs="Times New Roman"/>
          <w:lang w:val="sr-Latn-ME"/>
        </w:rPr>
        <w:t xml:space="preserve"> l</w:t>
      </w:r>
      <w:r w:rsidR="007B44F8" w:rsidRPr="00314858">
        <w:rPr>
          <w:rFonts w:ascii="Times New Roman" w:hAnsi="Times New Roman" w:cs="Times New Roman"/>
          <w:lang w:val="sr-Latn-ME"/>
        </w:rPr>
        <w:t>ij</w:t>
      </w:r>
      <w:r w:rsidR="002A7753" w:rsidRPr="00314858">
        <w:rPr>
          <w:rFonts w:ascii="Times New Roman" w:hAnsi="Times New Roman" w:cs="Times New Roman"/>
          <w:lang w:val="sr-Latn-ME"/>
        </w:rPr>
        <w:t>ečenih zbog DVT/PE</w:t>
      </w:r>
      <w:r w:rsidR="0046754E" w:rsidRPr="00314858">
        <w:rPr>
          <w:rFonts w:ascii="Times New Roman" w:hAnsi="Times New Roman" w:cs="Times New Roman"/>
          <w:lang w:val="sr-Latn-ME"/>
        </w:rPr>
        <w:t>. Pored toga, krvarenje se pojavilo kod 19,4% pacijenata</w:t>
      </w:r>
      <w:r w:rsidRPr="00314858">
        <w:rPr>
          <w:rFonts w:ascii="Times New Roman" w:hAnsi="Times New Roman" w:cs="Times New Roman"/>
          <w:lang w:val="sr-Latn-ME"/>
        </w:rPr>
        <w:t xml:space="preserve"> l</w:t>
      </w:r>
      <w:r w:rsidR="007B44F8" w:rsidRPr="00314858">
        <w:rPr>
          <w:rFonts w:ascii="Times New Roman" w:hAnsi="Times New Roman" w:cs="Times New Roman"/>
          <w:lang w:val="sr-Latn-ME"/>
        </w:rPr>
        <w:t>ij</w:t>
      </w:r>
      <w:r w:rsidRPr="00314858">
        <w:rPr>
          <w:rFonts w:ascii="Times New Roman" w:hAnsi="Times New Roman" w:cs="Times New Roman"/>
          <w:lang w:val="sr-Latn-ME"/>
        </w:rPr>
        <w:t>ečenih zbog prevencije DVT/PE u ispitivanju RE-MEDY (odrasli pacijenti) i kod 10,5% pacijenata l</w:t>
      </w:r>
      <w:r w:rsidR="007B44F8" w:rsidRPr="00314858">
        <w:rPr>
          <w:rFonts w:ascii="Times New Roman" w:hAnsi="Times New Roman" w:cs="Times New Roman"/>
          <w:lang w:val="sr-Latn-ME"/>
        </w:rPr>
        <w:t>ij</w:t>
      </w:r>
      <w:r w:rsidRPr="00314858">
        <w:rPr>
          <w:rFonts w:ascii="Times New Roman" w:hAnsi="Times New Roman" w:cs="Times New Roman"/>
          <w:lang w:val="sr-Latn-ME"/>
        </w:rPr>
        <w:t xml:space="preserve">ečenih zbog prevencije DVT/PE u ispitivanju RE-SONATE (odrasli pacijenti). </w:t>
      </w:r>
    </w:p>
    <w:p w14:paraId="178EB330" w14:textId="77777777" w:rsidR="00D67D34" w:rsidRPr="00314858" w:rsidRDefault="00D67D34" w:rsidP="00D67D34">
      <w:pPr>
        <w:spacing w:after="0" w:line="240" w:lineRule="auto"/>
        <w:jc w:val="both"/>
        <w:rPr>
          <w:rFonts w:ascii="Times New Roman" w:hAnsi="Times New Roman" w:cs="Times New Roman"/>
          <w:lang w:val="sr-Latn-ME" w:bidi="en-US"/>
        </w:rPr>
      </w:pPr>
    </w:p>
    <w:p w14:paraId="7A084382" w14:textId="7F764923" w:rsidR="0073240A"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bidi="en-US"/>
        </w:rPr>
        <w:t>Kako populacije pacijenata l</w:t>
      </w:r>
      <w:r w:rsidR="007B44F8" w:rsidRPr="00314858">
        <w:rPr>
          <w:rFonts w:ascii="Times New Roman" w:hAnsi="Times New Roman" w:cs="Times New Roman"/>
          <w:lang w:val="sr-Latn-ME" w:bidi="en-US"/>
        </w:rPr>
        <w:t>ij</w:t>
      </w:r>
      <w:r w:rsidRPr="00314858">
        <w:rPr>
          <w:rFonts w:ascii="Times New Roman" w:hAnsi="Times New Roman" w:cs="Times New Roman"/>
          <w:lang w:val="sr-Latn-ME" w:bidi="en-US"/>
        </w:rPr>
        <w:t>ečen</w:t>
      </w:r>
      <w:r w:rsidR="0073240A" w:rsidRPr="00314858">
        <w:rPr>
          <w:rFonts w:ascii="Times New Roman" w:hAnsi="Times New Roman" w:cs="Times New Roman"/>
          <w:lang w:val="sr-Latn-ME" w:bidi="en-US"/>
        </w:rPr>
        <w:t>ih</w:t>
      </w:r>
      <w:r w:rsidRPr="00314858">
        <w:rPr>
          <w:rFonts w:ascii="Times New Roman" w:hAnsi="Times New Roman" w:cs="Times New Roman"/>
          <w:lang w:val="sr-Latn-ME" w:bidi="en-US"/>
        </w:rPr>
        <w:t xml:space="preserve"> zbog ove tri indikacije ni</w:t>
      </w:r>
      <w:r w:rsidR="0053352A" w:rsidRPr="00314858">
        <w:rPr>
          <w:rFonts w:ascii="Times New Roman" w:hAnsi="Times New Roman" w:cs="Times New Roman"/>
          <w:lang w:val="sr-Latn-ME" w:bidi="en-US"/>
        </w:rPr>
        <w:t>je</w:t>
      </w:r>
      <w:r w:rsidRPr="00314858">
        <w:rPr>
          <w:rFonts w:ascii="Times New Roman" w:hAnsi="Times New Roman" w:cs="Times New Roman"/>
          <w:lang w:val="sr-Latn-ME" w:bidi="en-US"/>
        </w:rPr>
        <w:t xml:space="preserve">su uporedive i događaji krvarenja su distribuirani u nekoliko klasa sistema organa (engl. </w:t>
      </w:r>
      <w:r w:rsidRPr="00314858">
        <w:rPr>
          <w:rFonts w:ascii="Times New Roman" w:hAnsi="Times New Roman" w:cs="Times New Roman"/>
          <w:i/>
          <w:iCs/>
          <w:lang w:val="sr-Latn-ME"/>
        </w:rPr>
        <w:t xml:space="preserve">System Organ Classes, </w:t>
      </w:r>
      <w:r w:rsidRPr="00314858">
        <w:rPr>
          <w:rFonts w:ascii="Times New Roman" w:hAnsi="Times New Roman" w:cs="Times New Roman"/>
          <w:lang w:val="sr-Latn-ME"/>
        </w:rPr>
        <w:t xml:space="preserve">SOC), sažeti opis </w:t>
      </w:r>
      <w:r w:rsidR="0073240A" w:rsidRPr="00314858">
        <w:rPr>
          <w:rFonts w:ascii="Times New Roman" w:hAnsi="Times New Roman" w:cs="Times New Roman"/>
          <w:lang w:val="sr-Latn-ME"/>
        </w:rPr>
        <w:t>obilnog</w:t>
      </w:r>
      <w:r w:rsidRPr="00314858">
        <w:rPr>
          <w:rFonts w:ascii="Times New Roman" w:hAnsi="Times New Roman" w:cs="Times New Roman"/>
          <w:lang w:val="sr-Latn-ME"/>
        </w:rPr>
        <w:t xml:space="preserve"> i bilo kog krvarenja je pod</w:t>
      </w:r>
      <w:r w:rsidR="007B44F8" w:rsidRPr="00314858">
        <w:rPr>
          <w:rFonts w:ascii="Times New Roman" w:hAnsi="Times New Roman" w:cs="Times New Roman"/>
          <w:lang w:val="sr-Latn-ME"/>
        </w:rPr>
        <w:t>ij</w:t>
      </w:r>
      <w:r w:rsidRPr="00314858">
        <w:rPr>
          <w:rFonts w:ascii="Times New Roman" w:hAnsi="Times New Roman" w:cs="Times New Roman"/>
          <w:lang w:val="sr-Latn-ME"/>
        </w:rPr>
        <w:t>eljen prema indikacijama i prikazan u tabelama 1</w:t>
      </w:r>
      <w:r w:rsidR="0073240A" w:rsidRPr="00314858">
        <w:rPr>
          <w:rFonts w:ascii="Times New Roman" w:hAnsi="Times New Roman" w:cs="Times New Roman"/>
          <w:lang w:val="sr-Latn-ME"/>
        </w:rPr>
        <w:t>2</w:t>
      </w:r>
      <w:r w:rsidRPr="00314858">
        <w:rPr>
          <w:rFonts w:ascii="Times New Roman" w:hAnsi="Times New Roman" w:cs="Times New Roman"/>
          <w:lang w:val="sr-Latn-ME"/>
        </w:rPr>
        <w:t>-1</w:t>
      </w:r>
      <w:r w:rsidR="0073240A" w:rsidRPr="00314858">
        <w:rPr>
          <w:rFonts w:ascii="Times New Roman" w:hAnsi="Times New Roman" w:cs="Times New Roman"/>
          <w:lang w:val="sr-Latn-ME"/>
        </w:rPr>
        <w:t>5</w:t>
      </w:r>
      <w:r w:rsidRPr="00314858">
        <w:rPr>
          <w:rFonts w:ascii="Times New Roman" w:hAnsi="Times New Roman" w:cs="Times New Roman"/>
          <w:lang w:val="sr-Latn-ME"/>
        </w:rPr>
        <w:t xml:space="preserve"> u nastavku. </w:t>
      </w:r>
    </w:p>
    <w:p w14:paraId="1F526B49" w14:textId="77777777" w:rsidR="0073240A" w:rsidRPr="00314858" w:rsidRDefault="0073240A" w:rsidP="00D67D34">
      <w:pPr>
        <w:spacing w:after="0" w:line="240" w:lineRule="auto"/>
        <w:jc w:val="both"/>
        <w:rPr>
          <w:rFonts w:ascii="Times New Roman" w:hAnsi="Times New Roman" w:cs="Times New Roman"/>
          <w:lang w:val="sr-Latn-ME"/>
        </w:rPr>
      </w:pPr>
    </w:p>
    <w:p w14:paraId="587CE518" w14:textId="1FAB599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Iako r</w:t>
      </w:r>
      <w:r w:rsidR="007B44F8" w:rsidRPr="00314858">
        <w:rPr>
          <w:rFonts w:ascii="Times New Roman" w:hAnsi="Times New Roman" w:cs="Times New Roman"/>
          <w:lang w:val="sr-Latn-ME"/>
        </w:rPr>
        <w:t>ij</w:t>
      </w:r>
      <w:r w:rsidRPr="00314858">
        <w:rPr>
          <w:rFonts w:ascii="Times New Roman" w:hAnsi="Times New Roman" w:cs="Times New Roman"/>
          <w:lang w:val="sr-Latn-ME"/>
        </w:rPr>
        <w:t xml:space="preserve">etko po učestalosti u kliničkim ispitivanjima, može doći do </w:t>
      </w:r>
      <w:r w:rsidR="0073240A" w:rsidRPr="00314858">
        <w:rPr>
          <w:rFonts w:ascii="Times New Roman" w:hAnsi="Times New Roman" w:cs="Times New Roman"/>
          <w:lang w:val="sr-Latn-ME"/>
        </w:rPr>
        <w:t>obilnijeg</w:t>
      </w:r>
      <w:r w:rsidRPr="00314858">
        <w:rPr>
          <w:rFonts w:ascii="Times New Roman" w:hAnsi="Times New Roman" w:cs="Times New Roman"/>
          <w:lang w:val="sr-Latn-ME"/>
        </w:rPr>
        <w:t xml:space="preserve"> ili teškog krvarenja, koje, bez obzira na lokalizaciju, može dovesti do onesposobljavajućih, opasnih po život ili čak smrtnih ishoda.</w:t>
      </w:r>
    </w:p>
    <w:p w14:paraId="7EEC4DB4" w14:textId="77777777" w:rsidR="0009272D" w:rsidRPr="00314858" w:rsidRDefault="0009272D" w:rsidP="00D67D34">
      <w:pPr>
        <w:spacing w:after="0" w:line="240" w:lineRule="auto"/>
        <w:jc w:val="both"/>
        <w:rPr>
          <w:rFonts w:ascii="Times New Roman" w:hAnsi="Times New Roman" w:cs="Times New Roman"/>
          <w:lang w:val="sr-Latn-ME"/>
        </w:rPr>
      </w:pPr>
    </w:p>
    <w:p w14:paraId="4A6DAD73" w14:textId="0C1975C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u w:val="single"/>
          <w:lang w:val="sr-Latn-ME"/>
        </w:rPr>
        <w:t xml:space="preserve">Tabelarni prikaz neželjenih </w:t>
      </w:r>
      <w:r w:rsidR="0073240A" w:rsidRPr="00314858">
        <w:rPr>
          <w:rFonts w:ascii="Times New Roman" w:hAnsi="Times New Roman" w:cs="Times New Roman"/>
          <w:lang w:val="sr-Latn-ME"/>
        </w:rPr>
        <w:t>reakcija</w:t>
      </w:r>
    </w:p>
    <w:p w14:paraId="762BCC88" w14:textId="77777777" w:rsidR="0009272D" w:rsidRPr="00314858" w:rsidRDefault="0009272D" w:rsidP="00D67D34">
      <w:pPr>
        <w:spacing w:after="0" w:line="240" w:lineRule="auto"/>
        <w:jc w:val="both"/>
        <w:rPr>
          <w:rFonts w:ascii="Times New Roman" w:hAnsi="Times New Roman" w:cs="Times New Roman"/>
          <w:lang w:val="sr-Latn-ME"/>
        </w:rPr>
      </w:pPr>
    </w:p>
    <w:p w14:paraId="6CA3E58C" w14:textId="6FD8F0C8" w:rsidR="00D67D34" w:rsidRPr="00314858" w:rsidRDefault="00695336"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w:t>
      </w:r>
      <w:r w:rsidR="00C50113" w:rsidRPr="00314858">
        <w:rPr>
          <w:rFonts w:ascii="Times New Roman" w:hAnsi="Times New Roman" w:cs="Times New Roman"/>
          <w:lang w:val="sr-Latn-ME"/>
        </w:rPr>
        <w:t>t</w:t>
      </w:r>
      <w:r w:rsidR="00D67D34" w:rsidRPr="00314858">
        <w:rPr>
          <w:rFonts w:ascii="Times New Roman" w:hAnsi="Times New Roman" w:cs="Times New Roman"/>
          <w:lang w:val="sr-Latn-ME"/>
        </w:rPr>
        <w:t>abel</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11</w:t>
      </w:r>
      <w:r w:rsidRPr="00314858">
        <w:rPr>
          <w:rFonts w:ascii="Times New Roman" w:hAnsi="Times New Roman" w:cs="Times New Roman"/>
          <w:lang w:val="sr-Latn-ME"/>
        </w:rPr>
        <w:t xml:space="preserve"> su</w:t>
      </w:r>
      <w:r w:rsidR="00D67D34" w:rsidRPr="00314858">
        <w:rPr>
          <w:rFonts w:ascii="Times New Roman" w:hAnsi="Times New Roman" w:cs="Times New Roman"/>
          <w:lang w:val="sr-Latn-ME"/>
        </w:rPr>
        <w:t xml:space="preserve"> prikaz</w:t>
      </w:r>
      <w:r w:rsidRPr="00314858">
        <w:rPr>
          <w:rFonts w:ascii="Times New Roman" w:hAnsi="Times New Roman" w:cs="Times New Roman"/>
          <w:lang w:val="sr-Latn-ME"/>
        </w:rPr>
        <w:t>ane</w:t>
      </w:r>
      <w:r w:rsidR="00D67D34" w:rsidRPr="00314858">
        <w:rPr>
          <w:rFonts w:ascii="Times New Roman" w:hAnsi="Times New Roman" w:cs="Times New Roman"/>
          <w:lang w:val="sr-Latn-ME"/>
        </w:rPr>
        <w:t xml:space="preserve"> neželjene reakcije prepoznate u studijama i </w:t>
      </w:r>
      <w:r w:rsidR="00C50113" w:rsidRPr="00314858">
        <w:rPr>
          <w:rFonts w:ascii="Times New Roman" w:hAnsi="Times New Roman" w:cs="Times New Roman"/>
          <w:lang w:val="sr-Latn-ME"/>
        </w:rPr>
        <w:t>periodu nakon stavljanja l</w:t>
      </w:r>
      <w:r w:rsidR="007B44F8" w:rsidRPr="00314858">
        <w:rPr>
          <w:rFonts w:ascii="Times New Roman" w:hAnsi="Times New Roman" w:cs="Times New Roman"/>
          <w:lang w:val="sr-Latn-ME"/>
        </w:rPr>
        <w:t>ij</w:t>
      </w:r>
      <w:r w:rsidR="00C50113" w:rsidRPr="00314858">
        <w:rPr>
          <w:rFonts w:ascii="Times New Roman" w:hAnsi="Times New Roman" w:cs="Times New Roman"/>
          <w:lang w:val="sr-Latn-ME"/>
        </w:rPr>
        <w:t>eka u promet</w:t>
      </w:r>
      <w:r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 xml:space="preserve">za indikacije prevencije tromboembolijskog moždanog udara i sistemske embolije kod pacijenata sa atrijalnom fibrilacijom, tokom terapije DVT/PE i prevencije DVT/PE. </w:t>
      </w:r>
      <w:r w:rsidR="00C50113" w:rsidRPr="00314858">
        <w:rPr>
          <w:rFonts w:ascii="Times New Roman" w:hAnsi="Times New Roman" w:cs="Times New Roman"/>
          <w:lang w:val="sr-Latn-ME"/>
        </w:rPr>
        <w:t>One</w:t>
      </w:r>
      <w:r w:rsidR="00D67D34" w:rsidRPr="00314858">
        <w:rPr>
          <w:rFonts w:ascii="Times New Roman" w:hAnsi="Times New Roman" w:cs="Times New Roman"/>
          <w:lang w:val="sr-Latn-ME"/>
        </w:rPr>
        <w:t xml:space="preserve"> su klasifikovan</w:t>
      </w:r>
      <w:r w:rsidR="00C50113" w:rsidRPr="00314858">
        <w:rPr>
          <w:rFonts w:ascii="Times New Roman" w:hAnsi="Times New Roman" w:cs="Times New Roman"/>
          <w:lang w:val="sr-Latn-ME"/>
        </w:rPr>
        <w:t>e</w:t>
      </w:r>
      <w:r w:rsidR="00D67D34" w:rsidRPr="00314858">
        <w:rPr>
          <w:rFonts w:ascii="Times New Roman" w:hAnsi="Times New Roman" w:cs="Times New Roman"/>
          <w:lang w:val="sr-Latn-ME"/>
        </w:rPr>
        <w:t xml:space="preserve"> prema </w:t>
      </w:r>
      <w:r w:rsidR="00C50113" w:rsidRPr="00314858">
        <w:rPr>
          <w:rFonts w:ascii="Times New Roman" w:hAnsi="Times New Roman" w:cs="Times New Roman"/>
          <w:lang w:val="sr-Latn-ME"/>
        </w:rPr>
        <w:t>klasi sistema organa</w:t>
      </w:r>
      <w:r w:rsidRPr="00314858">
        <w:rPr>
          <w:rFonts w:ascii="Times New Roman" w:hAnsi="Times New Roman" w:cs="Times New Roman"/>
          <w:lang w:val="sr-Latn-ME"/>
        </w:rPr>
        <w:t xml:space="preserve"> i učestalosti</w:t>
      </w:r>
      <w:r w:rsidR="00D67D34" w:rsidRPr="00314858">
        <w:rPr>
          <w:rFonts w:ascii="Times New Roman" w:hAnsi="Times New Roman" w:cs="Times New Roman"/>
          <w:lang w:val="sr-Latn-ME"/>
        </w:rPr>
        <w:t xml:space="preserve"> koristeći sl</w:t>
      </w:r>
      <w:r w:rsidR="0053352A" w:rsidRPr="00314858">
        <w:rPr>
          <w:rFonts w:ascii="Times New Roman" w:hAnsi="Times New Roman" w:cs="Times New Roman"/>
          <w:lang w:val="sr-Latn-ME"/>
        </w:rPr>
        <w:t>j</w:t>
      </w:r>
      <w:r w:rsidR="00D67D34" w:rsidRPr="00314858">
        <w:rPr>
          <w:rFonts w:ascii="Times New Roman" w:hAnsi="Times New Roman" w:cs="Times New Roman"/>
          <w:lang w:val="sr-Latn-ME"/>
        </w:rPr>
        <w:t>edeću konvenciju: veoma čest</w:t>
      </w:r>
      <w:r w:rsidR="00C50113" w:rsidRPr="00314858">
        <w:rPr>
          <w:rFonts w:ascii="Times New Roman" w:hAnsi="Times New Roman" w:cs="Times New Roman"/>
          <w:lang w:val="sr-Latn-ME"/>
        </w:rPr>
        <w:t>o</w:t>
      </w:r>
      <w:r w:rsidR="00D67D34" w:rsidRPr="00314858">
        <w:rPr>
          <w:rFonts w:ascii="Times New Roman" w:hAnsi="Times New Roman" w:cs="Times New Roman"/>
          <w:lang w:val="sr-Latn-ME"/>
        </w:rPr>
        <w:t xml:space="preserve"> (≥</w:t>
      </w:r>
      <w:r w:rsidR="0053352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 čest</w:t>
      </w:r>
      <w:r w:rsidR="00C50113" w:rsidRPr="00314858">
        <w:rPr>
          <w:rFonts w:ascii="Times New Roman" w:hAnsi="Times New Roman" w:cs="Times New Roman"/>
          <w:lang w:val="sr-Latn-ME"/>
        </w:rPr>
        <w:t>o</w:t>
      </w:r>
      <w:r w:rsidR="00D67D34" w:rsidRPr="00314858">
        <w:rPr>
          <w:rFonts w:ascii="Times New Roman" w:hAnsi="Times New Roman" w:cs="Times New Roman"/>
          <w:lang w:val="sr-Latn-ME"/>
        </w:rPr>
        <w:t xml:space="preserve"> (≥</w:t>
      </w:r>
      <w:r w:rsidR="0053352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w:t>
      </w:r>
      <w:r w:rsidR="00C549ED" w:rsidRPr="00314858">
        <w:rPr>
          <w:rFonts w:ascii="Times New Roman" w:hAnsi="Times New Roman" w:cs="Times New Roman"/>
          <w:lang w:val="sr-Latn-ME"/>
        </w:rPr>
        <w:t xml:space="preserve"> do</w:t>
      </w:r>
      <w:r w:rsidR="00D67D34" w:rsidRPr="00314858">
        <w:rPr>
          <w:rFonts w:ascii="Times New Roman" w:hAnsi="Times New Roman" w:cs="Times New Roman"/>
          <w:lang w:val="sr-Latn-ME"/>
        </w:rPr>
        <w:t xml:space="preserve"> &lt;</w:t>
      </w:r>
      <w:r w:rsidR="0053352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 povremen</w:t>
      </w:r>
      <w:r w:rsidR="00C50113" w:rsidRPr="00314858">
        <w:rPr>
          <w:rFonts w:ascii="Times New Roman" w:hAnsi="Times New Roman" w:cs="Times New Roman"/>
          <w:lang w:val="sr-Latn-ME"/>
        </w:rPr>
        <w:t>o</w:t>
      </w:r>
      <w:r w:rsidR="00D67D34" w:rsidRPr="00314858">
        <w:rPr>
          <w:rFonts w:ascii="Times New Roman" w:hAnsi="Times New Roman" w:cs="Times New Roman"/>
          <w:lang w:val="sr-Latn-ME"/>
        </w:rPr>
        <w:t xml:space="preserve"> (≥</w:t>
      </w:r>
      <w:r w:rsidR="0053352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1/1000</w:t>
      </w:r>
      <w:r w:rsidR="00C549ED" w:rsidRPr="00314858">
        <w:rPr>
          <w:rFonts w:ascii="Times New Roman" w:hAnsi="Times New Roman" w:cs="Times New Roman"/>
          <w:lang w:val="sr-Latn-ME"/>
        </w:rPr>
        <w:t xml:space="preserve"> do</w:t>
      </w:r>
      <w:r w:rsidR="00D67D34" w:rsidRPr="00314858">
        <w:rPr>
          <w:rFonts w:ascii="Times New Roman" w:hAnsi="Times New Roman" w:cs="Times New Roman"/>
          <w:lang w:val="sr-Latn-ME"/>
        </w:rPr>
        <w:t xml:space="preserve"> &lt;</w:t>
      </w:r>
      <w:r w:rsidR="0053352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w:t>
      </w:r>
      <w:r w:rsidR="00C50113" w:rsidRPr="00314858">
        <w:rPr>
          <w:rFonts w:ascii="Times New Roman" w:hAnsi="Times New Roman" w:cs="Times New Roman"/>
          <w:lang w:val="sr-Latn-ME"/>
        </w:rPr>
        <w:t>;</w:t>
      </w:r>
      <w:r w:rsidR="00D67D34" w:rsidRPr="00314858">
        <w:rPr>
          <w:rFonts w:ascii="Times New Roman" w:hAnsi="Times New Roman" w:cs="Times New Roman"/>
          <w:lang w:val="sr-Latn-ME"/>
        </w:rPr>
        <w:t xml:space="preserve"> r</w:t>
      </w:r>
      <w:r w:rsidR="007B44F8" w:rsidRPr="00314858">
        <w:rPr>
          <w:rFonts w:ascii="Times New Roman" w:hAnsi="Times New Roman" w:cs="Times New Roman"/>
          <w:lang w:val="sr-Latn-ME"/>
        </w:rPr>
        <w:t>ij</w:t>
      </w:r>
      <w:r w:rsidR="00D67D34" w:rsidRPr="00314858">
        <w:rPr>
          <w:rFonts w:ascii="Times New Roman" w:hAnsi="Times New Roman" w:cs="Times New Roman"/>
          <w:lang w:val="sr-Latn-ME"/>
        </w:rPr>
        <w:t>etk</w:t>
      </w:r>
      <w:r w:rsidR="00C50113" w:rsidRPr="00314858">
        <w:rPr>
          <w:rFonts w:ascii="Times New Roman" w:hAnsi="Times New Roman" w:cs="Times New Roman"/>
          <w:lang w:val="sr-Latn-ME"/>
        </w:rPr>
        <w:t xml:space="preserve">o </w:t>
      </w:r>
      <w:r w:rsidR="00D67D34" w:rsidRPr="00314858">
        <w:rPr>
          <w:rFonts w:ascii="Times New Roman" w:hAnsi="Times New Roman" w:cs="Times New Roman"/>
          <w:lang w:val="sr-Latn-ME"/>
        </w:rPr>
        <w:t>(≥</w:t>
      </w:r>
      <w:r w:rsidR="0053352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1/10000</w:t>
      </w:r>
      <w:r w:rsidR="00C549ED" w:rsidRPr="00314858">
        <w:rPr>
          <w:rFonts w:ascii="Times New Roman" w:hAnsi="Times New Roman" w:cs="Times New Roman"/>
          <w:lang w:val="sr-Latn-ME"/>
        </w:rPr>
        <w:t xml:space="preserve"> do</w:t>
      </w:r>
      <w:r w:rsidR="00D67D34" w:rsidRPr="00314858">
        <w:rPr>
          <w:rFonts w:ascii="Times New Roman" w:hAnsi="Times New Roman" w:cs="Times New Roman"/>
          <w:lang w:val="sr-Latn-ME"/>
        </w:rPr>
        <w:t xml:space="preserve"> &lt;</w:t>
      </w:r>
      <w:r w:rsidR="0053352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1/1000); veoma r</w:t>
      </w:r>
      <w:r w:rsidR="007B44F8" w:rsidRPr="00314858">
        <w:rPr>
          <w:rFonts w:ascii="Times New Roman" w:hAnsi="Times New Roman" w:cs="Times New Roman"/>
          <w:lang w:val="sr-Latn-ME"/>
        </w:rPr>
        <w:t>ij</w:t>
      </w:r>
      <w:r w:rsidR="00D67D34" w:rsidRPr="00314858">
        <w:rPr>
          <w:rFonts w:ascii="Times New Roman" w:hAnsi="Times New Roman" w:cs="Times New Roman"/>
          <w:lang w:val="sr-Latn-ME"/>
        </w:rPr>
        <w:t>etk</w:t>
      </w:r>
      <w:r w:rsidR="00C50113" w:rsidRPr="00314858">
        <w:rPr>
          <w:rFonts w:ascii="Times New Roman" w:hAnsi="Times New Roman" w:cs="Times New Roman"/>
          <w:lang w:val="sr-Latn-ME"/>
        </w:rPr>
        <w:t>o</w:t>
      </w:r>
      <w:r w:rsidR="00D67D34" w:rsidRPr="00314858">
        <w:rPr>
          <w:rFonts w:ascii="Times New Roman" w:hAnsi="Times New Roman" w:cs="Times New Roman"/>
          <w:lang w:val="sr-Latn-ME"/>
        </w:rPr>
        <w:t xml:space="preserve"> (&lt;</w:t>
      </w:r>
      <w:r w:rsidR="0053352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w:t>
      </w:r>
      <w:r w:rsidR="0053352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000); nepoznat</w:t>
      </w:r>
      <w:r w:rsidR="00C50113" w:rsidRPr="00314858">
        <w:rPr>
          <w:rFonts w:ascii="Times New Roman" w:hAnsi="Times New Roman" w:cs="Times New Roman"/>
          <w:lang w:val="sr-Latn-ME"/>
        </w:rPr>
        <w:t>a učestalost</w:t>
      </w:r>
      <w:r w:rsidR="00D67D34" w:rsidRPr="00314858">
        <w:rPr>
          <w:rFonts w:ascii="Times New Roman" w:hAnsi="Times New Roman" w:cs="Times New Roman"/>
          <w:lang w:val="sr-Latn-ME"/>
        </w:rPr>
        <w:t xml:space="preserve"> (ne može </w:t>
      </w:r>
      <w:r w:rsidR="00C549ED" w:rsidRPr="00314858">
        <w:rPr>
          <w:rFonts w:ascii="Times New Roman" w:hAnsi="Times New Roman" w:cs="Times New Roman"/>
          <w:lang w:val="sr-Latn-ME"/>
        </w:rPr>
        <w:t>se</w:t>
      </w:r>
      <w:r w:rsidR="00D67D34" w:rsidRPr="00314858">
        <w:rPr>
          <w:rFonts w:ascii="Times New Roman" w:hAnsi="Times New Roman" w:cs="Times New Roman"/>
          <w:lang w:val="sr-Latn-ME"/>
        </w:rPr>
        <w:t xml:space="preserve"> proce</w:t>
      </w:r>
      <w:r w:rsidR="00C549ED" w:rsidRPr="00314858">
        <w:rPr>
          <w:rFonts w:ascii="Times New Roman" w:hAnsi="Times New Roman" w:cs="Times New Roman"/>
          <w:lang w:val="sr-Latn-ME"/>
        </w:rPr>
        <w:t>niti</w:t>
      </w:r>
      <w:r w:rsidR="00D67D34" w:rsidRPr="00314858">
        <w:rPr>
          <w:rFonts w:ascii="Times New Roman" w:hAnsi="Times New Roman" w:cs="Times New Roman"/>
          <w:lang w:val="sr-Latn-ME"/>
        </w:rPr>
        <w:t xml:space="preserve"> na osnovu </w:t>
      </w:r>
      <w:r w:rsidR="00C549ED" w:rsidRPr="00314858">
        <w:rPr>
          <w:rFonts w:ascii="Times New Roman" w:hAnsi="Times New Roman" w:cs="Times New Roman"/>
          <w:lang w:val="sr-Latn-ME"/>
        </w:rPr>
        <w:t>dostupn</w:t>
      </w:r>
      <w:r w:rsidR="00D67D34" w:rsidRPr="00314858">
        <w:rPr>
          <w:rFonts w:ascii="Times New Roman" w:hAnsi="Times New Roman" w:cs="Times New Roman"/>
          <w:lang w:val="sr-Latn-ME"/>
        </w:rPr>
        <w:t>ih podataka).</w:t>
      </w:r>
    </w:p>
    <w:p w14:paraId="284F803C" w14:textId="77777777" w:rsidR="00D67D34" w:rsidRPr="00314858" w:rsidRDefault="00D67D34" w:rsidP="00D67D34">
      <w:pPr>
        <w:spacing w:after="0" w:line="240" w:lineRule="auto"/>
        <w:jc w:val="both"/>
        <w:rPr>
          <w:rFonts w:ascii="Times New Roman" w:hAnsi="Times New Roman" w:cs="Times New Roman"/>
          <w:lang w:val="sr-Latn-ME" w:bidi="en-US"/>
        </w:rPr>
      </w:pPr>
    </w:p>
    <w:p w14:paraId="01B3063F" w14:textId="77777777" w:rsidR="00314858" w:rsidRDefault="00314858" w:rsidP="00D67D34">
      <w:pPr>
        <w:spacing w:after="0" w:line="240" w:lineRule="auto"/>
        <w:jc w:val="both"/>
        <w:rPr>
          <w:rFonts w:ascii="Times New Roman" w:hAnsi="Times New Roman" w:cs="Times New Roman"/>
          <w:b/>
          <w:bCs/>
          <w:lang w:val="sr-Latn-ME" w:bidi="en-US"/>
        </w:rPr>
      </w:pPr>
    </w:p>
    <w:p w14:paraId="45B97D6F" w14:textId="77777777" w:rsidR="00314858" w:rsidRDefault="00314858" w:rsidP="00D67D34">
      <w:pPr>
        <w:spacing w:after="0" w:line="240" w:lineRule="auto"/>
        <w:jc w:val="both"/>
        <w:rPr>
          <w:rFonts w:ascii="Times New Roman" w:hAnsi="Times New Roman" w:cs="Times New Roman"/>
          <w:b/>
          <w:bCs/>
          <w:lang w:val="sr-Latn-ME" w:bidi="en-US"/>
        </w:rPr>
      </w:pPr>
    </w:p>
    <w:p w14:paraId="5223DD56" w14:textId="77777777" w:rsidR="00314858" w:rsidRDefault="00314858" w:rsidP="00D67D34">
      <w:pPr>
        <w:spacing w:after="0" w:line="240" w:lineRule="auto"/>
        <w:jc w:val="both"/>
        <w:rPr>
          <w:rFonts w:ascii="Times New Roman" w:hAnsi="Times New Roman" w:cs="Times New Roman"/>
          <w:b/>
          <w:bCs/>
          <w:lang w:val="sr-Latn-ME" w:bidi="en-US"/>
        </w:rPr>
      </w:pPr>
    </w:p>
    <w:p w14:paraId="15739CD1" w14:textId="77777777" w:rsidR="00314858" w:rsidRDefault="00314858" w:rsidP="00D67D34">
      <w:pPr>
        <w:spacing w:after="0" w:line="240" w:lineRule="auto"/>
        <w:jc w:val="both"/>
        <w:rPr>
          <w:rFonts w:ascii="Times New Roman" w:hAnsi="Times New Roman" w:cs="Times New Roman"/>
          <w:b/>
          <w:bCs/>
          <w:lang w:val="sr-Latn-ME" w:bidi="en-US"/>
        </w:rPr>
      </w:pPr>
    </w:p>
    <w:p w14:paraId="0C24B78B" w14:textId="77777777" w:rsidR="00314858" w:rsidRDefault="00314858" w:rsidP="00D67D34">
      <w:pPr>
        <w:spacing w:after="0" w:line="240" w:lineRule="auto"/>
        <w:jc w:val="both"/>
        <w:rPr>
          <w:rFonts w:ascii="Times New Roman" w:hAnsi="Times New Roman" w:cs="Times New Roman"/>
          <w:b/>
          <w:bCs/>
          <w:lang w:val="sr-Latn-ME" w:bidi="en-US"/>
        </w:rPr>
      </w:pPr>
    </w:p>
    <w:p w14:paraId="6CB695CD" w14:textId="161DB13A" w:rsidR="00D67D34" w:rsidRPr="00314858" w:rsidRDefault="00D67D34" w:rsidP="00D67D34">
      <w:pPr>
        <w:spacing w:after="0" w:line="240" w:lineRule="auto"/>
        <w:jc w:val="both"/>
        <w:rPr>
          <w:rFonts w:ascii="Times New Roman" w:hAnsi="Times New Roman" w:cs="Times New Roman"/>
          <w:b/>
          <w:bCs/>
          <w:lang w:val="sr-Latn-ME" w:bidi="en-US"/>
        </w:rPr>
      </w:pPr>
      <w:r w:rsidRPr="00314858">
        <w:rPr>
          <w:rFonts w:ascii="Times New Roman" w:hAnsi="Times New Roman" w:cs="Times New Roman"/>
          <w:b/>
          <w:bCs/>
          <w:lang w:val="sr-Latn-ME" w:bidi="en-US"/>
        </w:rPr>
        <w:lastRenderedPageBreak/>
        <w:t>Tabela 11</w:t>
      </w:r>
      <w:r w:rsidR="00837E4A"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Neželjen</w:t>
      </w:r>
      <w:r w:rsidR="00837E4A" w:rsidRPr="00314858">
        <w:rPr>
          <w:rFonts w:ascii="Times New Roman" w:hAnsi="Times New Roman" w:cs="Times New Roman"/>
          <w:b/>
          <w:bCs/>
          <w:lang w:val="sr-Latn-ME" w:bidi="en-US"/>
        </w:rPr>
        <w:t>e reakcije</w:t>
      </w:r>
    </w:p>
    <w:p w14:paraId="55C052A6" w14:textId="77777777" w:rsidR="00837E4A" w:rsidRPr="00314858" w:rsidRDefault="00837E4A"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3438"/>
        <w:gridCol w:w="2812"/>
        <w:gridCol w:w="2810"/>
      </w:tblGrid>
      <w:tr w:rsidR="00695336" w:rsidRPr="00314858" w14:paraId="20962848" w14:textId="77777777" w:rsidTr="00695336">
        <w:trPr>
          <w:trHeight w:val="20"/>
          <w:jc w:val="center"/>
        </w:trPr>
        <w:tc>
          <w:tcPr>
            <w:tcW w:w="1897" w:type="pct"/>
            <w:tcBorders>
              <w:top w:val="single" w:sz="4" w:space="0" w:color="auto"/>
              <w:left w:val="single" w:sz="4" w:space="0" w:color="auto"/>
            </w:tcBorders>
            <w:shd w:val="clear" w:color="auto" w:fill="auto"/>
          </w:tcPr>
          <w:p w14:paraId="339DBA5B" w14:textId="77777777" w:rsidR="00D67D34" w:rsidRPr="00314858" w:rsidRDefault="00D67D34" w:rsidP="00D67D34">
            <w:pPr>
              <w:spacing w:after="0" w:line="240" w:lineRule="auto"/>
              <w:jc w:val="both"/>
              <w:rPr>
                <w:rFonts w:ascii="Times New Roman" w:hAnsi="Times New Roman" w:cs="Times New Roman"/>
                <w:lang w:val="sr-Latn-ME" w:bidi="en-US"/>
              </w:rPr>
            </w:pPr>
          </w:p>
        </w:tc>
        <w:tc>
          <w:tcPr>
            <w:tcW w:w="3103" w:type="pct"/>
            <w:gridSpan w:val="2"/>
            <w:tcBorders>
              <w:top w:val="single" w:sz="4" w:space="0" w:color="auto"/>
              <w:left w:val="single" w:sz="4" w:space="0" w:color="auto"/>
              <w:right w:val="single" w:sz="4" w:space="0" w:color="auto"/>
            </w:tcBorders>
            <w:shd w:val="clear" w:color="auto" w:fill="auto"/>
            <w:vAlign w:val="center"/>
          </w:tcPr>
          <w:p w14:paraId="450309A7" w14:textId="77777777" w:rsidR="00D67D34" w:rsidRPr="00314858" w:rsidRDefault="00D67D34" w:rsidP="00695336">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Učestalost</w:t>
            </w:r>
          </w:p>
        </w:tc>
      </w:tr>
      <w:tr w:rsidR="00695336" w:rsidRPr="00314858" w14:paraId="3A7F5C7C" w14:textId="77777777" w:rsidTr="00737992">
        <w:trPr>
          <w:trHeight w:val="20"/>
          <w:jc w:val="center"/>
        </w:trPr>
        <w:tc>
          <w:tcPr>
            <w:tcW w:w="1897" w:type="pct"/>
            <w:tcBorders>
              <w:top w:val="single" w:sz="4" w:space="0" w:color="auto"/>
              <w:left w:val="single" w:sz="4" w:space="0" w:color="auto"/>
            </w:tcBorders>
            <w:shd w:val="clear" w:color="auto" w:fill="auto"/>
            <w:vAlign w:val="center"/>
          </w:tcPr>
          <w:p w14:paraId="3B94191D" w14:textId="77777777" w:rsidR="00D67D34" w:rsidRPr="00314858" w:rsidRDefault="00D67D34" w:rsidP="00737992">
            <w:pPr>
              <w:spacing w:after="0" w:line="240" w:lineRule="auto"/>
              <w:rPr>
                <w:rFonts w:ascii="Times New Roman" w:hAnsi="Times New Roman" w:cs="Times New Roman"/>
                <w:lang w:val="sr-Latn-ME" w:bidi="en-US"/>
              </w:rPr>
            </w:pPr>
            <w:r w:rsidRPr="00314858">
              <w:rPr>
                <w:rFonts w:ascii="Times New Roman" w:hAnsi="Times New Roman" w:cs="Times New Roman"/>
                <w:lang w:val="sr-Latn-ME" w:bidi="en-US"/>
              </w:rPr>
              <w:t>SOC / Preporučeni termin</w:t>
            </w:r>
          </w:p>
        </w:tc>
        <w:tc>
          <w:tcPr>
            <w:tcW w:w="1552" w:type="pct"/>
            <w:tcBorders>
              <w:top w:val="single" w:sz="4" w:space="0" w:color="auto"/>
              <w:left w:val="single" w:sz="4" w:space="0" w:color="auto"/>
            </w:tcBorders>
            <w:shd w:val="clear" w:color="auto" w:fill="auto"/>
            <w:vAlign w:val="center"/>
          </w:tcPr>
          <w:p w14:paraId="3B9447E6" w14:textId="77777777" w:rsidR="00D67D34" w:rsidRPr="00314858" w:rsidRDefault="00D67D34" w:rsidP="00695336">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Prevencija moždanog udara i sistemske embolije kod pacijenata sa atrijalnom fibrilacijom</w:t>
            </w:r>
          </w:p>
        </w:tc>
        <w:tc>
          <w:tcPr>
            <w:tcW w:w="1551" w:type="pct"/>
            <w:tcBorders>
              <w:top w:val="single" w:sz="4" w:space="0" w:color="auto"/>
              <w:left w:val="single" w:sz="4" w:space="0" w:color="auto"/>
              <w:right w:val="single" w:sz="4" w:space="0" w:color="auto"/>
            </w:tcBorders>
            <w:shd w:val="clear" w:color="auto" w:fill="auto"/>
            <w:vAlign w:val="center"/>
          </w:tcPr>
          <w:p w14:paraId="42971EA4" w14:textId="760D2838" w:rsidR="00D67D34" w:rsidRPr="00314858" w:rsidRDefault="00D67D34" w:rsidP="00695336">
            <w:pPr>
              <w:spacing w:after="0" w:line="240" w:lineRule="auto"/>
              <w:jc w:val="center"/>
              <w:rPr>
                <w:rFonts w:ascii="Times New Roman" w:hAnsi="Times New Roman" w:cs="Times New Roman"/>
                <w:lang w:val="sr-Latn-ME" w:bidi="en-US"/>
              </w:rPr>
            </w:pPr>
            <w:r w:rsidRPr="00314858">
              <w:rPr>
                <w:rFonts w:ascii="Times New Roman" w:hAnsi="Times New Roman" w:cs="Times New Roman"/>
                <w:lang w:val="sr-Latn-ME" w:bidi="en-US"/>
              </w:rPr>
              <w:t>Terapija DVT/PE i prevencija DVT/PE</w:t>
            </w:r>
          </w:p>
        </w:tc>
      </w:tr>
      <w:tr w:rsidR="00D67D34" w:rsidRPr="00314858" w14:paraId="378017A8"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tcPr>
          <w:p w14:paraId="430BD1E5"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Poremećaji krvi i limfnog sistema</w:t>
            </w:r>
          </w:p>
        </w:tc>
      </w:tr>
      <w:tr w:rsidR="00695336" w:rsidRPr="00314858" w14:paraId="1D6EF063" w14:textId="77777777" w:rsidTr="00673869">
        <w:trPr>
          <w:trHeight w:val="20"/>
          <w:jc w:val="center"/>
        </w:trPr>
        <w:tc>
          <w:tcPr>
            <w:tcW w:w="1897" w:type="pct"/>
            <w:tcBorders>
              <w:top w:val="single" w:sz="4" w:space="0" w:color="auto"/>
              <w:left w:val="single" w:sz="4" w:space="0" w:color="auto"/>
            </w:tcBorders>
            <w:shd w:val="clear" w:color="auto" w:fill="auto"/>
          </w:tcPr>
          <w:p w14:paraId="48185D39" w14:textId="04F5871E"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Anemija</w:t>
            </w:r>
          </w:p>
        </w:tc>
        <w:tc>
          <w:tcPr>
            <w:tcW w:w="1552" w:type="pct"/>
            <w:tcBorders>
              <w:top w:val="single" w:sz="4" w:space="0" w:color="auto"/>
              <w:left w:val="single" w:sz="4" w:space="0" w:color="auto"/>
            </w:tcBorders>
            <w:shd w:val="clear" w:color="auto" w:fill="auto"/>
          </w:tcPr>
          <w:p w14:paraId="69BD41B3" w14:textId="3D9EDC2E" w:rsidR="00D67D34" w:rsidRPr="00314858" w:rsidRDefault="00A26BD5"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c>
          <w:tcPr>
            <w:tcW w:w="1551" w:type="pct"/>
            <w:tcBorders>
              <w:top w:val="single" w:sz="4" w:space="0" w:color="auto"/>
              <w:left w:val="single" w:sz="4" w:space="0" w:color="auto"/>
              <w:right w:val="single" w:sz="4" w:space="0" w:color="auto"/>
            </w:tcBorders>
            <w:shd w:val="clear" w:color="auto" w:fill="auto"/>
          </w:tcPr>
          <w:p w14:paraId="1C8E62BF" w14:textId="1271931A" w:rsidR="00D67D34" w:rsidRPr="00314858" w:rsidRDefault="00A26BD5"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42D82477"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4408C5E1" w14:textId="52A0E318"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Smanjen</w:t>
            </w:r>
            <w:r w:rsidR="00A26BD5" w:rsidRPr="00314858">
              <w:rPr>
                <w:rFonts w:ascii="Times New Roman" w:hAnsi="Times New Roman" w:cs="Times New Roman"/>
                <w:lang w:val="sr-Latn-ME" w:bidi="en-US"/>
              </w:rPr>
              <w:t>e</w:t>
            </w:r>
            <w:r w:rsidR="00695336" w:rsidRPr="00314858">
              <w:rPr>
                <w:rFonts w:ascii="Times New Roman" w:hAnsi="Times New Roman" w:cs="Times New Roman"/>
                <w:lang w:val="sr-Latn-ME" w:bidi="en-US"/>
              </w:rPr>
              <w:t xml:space="preserve"> vr</w:t>
            </w:r>
            <w:r w:rsidR="007B44F8" w:rsidRPr="00314858">
              <w:rPr>
                <w:rFonts w:ascii="Times New Roman" w:hAnsi="Times New Roman" w:cs="Times New Roman"/>
                <w:lang w:val="sr-Latn-ME" w:bidi="en-US"/>
              </w:rPr>
              <w:t>ij</w:t>
            </w:r>
            <w:r w:rsidR="00695336" w:rsidRPr="00314858">
              <w:rPr>
                <w:rFonts w:ascii="Times New Roman" w:hAnsi="Times New Roman" w:cs="Times New Roman"/>
                <w:lang w:val="sr-Latn-ME" w:bidi="en-US"/>
              </w:rPr>
              <w:t>ednosti</w:t>
            </w:r>
            <w:r w:rsidRPr="00314858">
              <w:rPr>
                <w:rFonts w:ascii="Times New Roman" w:hAnsi="Times New Roman" w:cs="Times New Roman"/>
                <w:lang w:val="sr-Latn-ME" w:bidi="en-US"/>
              </w:rPr>
              <w:t xml:space="preserve"> hemoglobina</w:t>
            </w:r>
          </w:p>
        </w:tc>
        <w:tc>
          <w:tcPr>
            <w:tcW w:w="1552" w:type="pct"/>
            <w:tcBorders>
              <w:top w:val="single" w:sz="4" w:space="0" w:color="auto"/>
              <w:left w:val="single" w:sz="4" w:space="0" w:color="auto"/>
            </w:tcBorders>
            <w:shd w:val="clear" w:color="auto" w:fill="auto"/>
            <w:vAlign w:val="bottom"/>
          </w:tcPr>
          <w:p w14:paraId="1F9C2042" w14:textId="681916CD" w:rsidR="00D67D34" w:rsidRPr="00314858" w:rsidRDefault="00A26BD5"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438E3D72" w14:textId="1B9432EE" w:rsidR="00D67D34" w:rsidRPr="00314858" w:rsidRDefault="00A26BD5"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w:t>
            </w:r>
            <w:r w:rsidR="00D67D34" w:rsidRPr="00314858">
              <w:rPr>
                <w:rFonts w:ascii="Times New Roman" w:hAnsi="Times New Roman" w:cs="Times New Roman"/>
                <w:lang w:val="sr-Latn-ME" w:bidi="en-US"/>
              </w:rPr>
              <w:t>epoznat</w:t>
            </w:r>
            <w:r w:rsidR="0053352A" w:rsidRPr="00314858">
              <w:rPr>
                <w:rFonts w:ascii="Times New Roman" w:hAnsi="Times New Roman" w:cs="Times New Roman"/>
                <w:lang w:val="sr-Latn-ME" w:bidi="en-US"/>
              </w:rPr>
              <w:t>o</w:t>
            </w:r>
          </w:p>
        </w:tc>
      </w:tr>
      <w:tr w:rsidR="00695336" w:rsidRPr="00314858" w14:paraId="1D8B63FD"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78FBD234" w14:textId="77777777"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Trombocitopenija</w:t>
            </w:r>
          </w:p>
        </w:tc>
        <w:tc>
          <w:tcPr>
            <w:tcW w:w="1552" w:type="pct"/>
            <w:tcBorders>
              <w:top w:val="single" w:sz="4" w:space="0" w:color="auto"/>
              <w:left w:val="single" w:sz="4" w:space="0" w:color="auto"/>
            </w:tcBorders>
            <w:shd w:val="clear" w:color="auto" w:fill="auto"/>
            <w:vAlign w:val="bottom"/>
          </w:tcPr>
          <w:p w14:paraId="6FBC0116" w14:textId="1DA497D4" w:rsidR="00D67D34" w:rsidRPr="00314858" w:rsidRDefault="00A26BD5"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1A828DEC" w14:textId="54A6A7E4" w:rsidR="00D67D34" w:rsidRPr="00314858" w:rsidRDefault="00A26BD5"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E12BAA"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r>
      <w:tr w:rsidR="00695336" w:rsidRPr="00314858" w14:paraId="23C905B8" w14:textId="77777777" w:rsidTr="00673869">
        <w:trPr>
          <w:trHeight w:val="20"/>
          <w:jc w:val="center"/>
        </w:trPr>
        <w:tc>
          <w:tcPr>
            <w:tcW w:w="1897" w:type="pct"/>
            <w:tcBorders>
              <w:top w:val="single" w:sz="4" w:space="0" w:color="auto"/>
              <w:left w:val="single" w:sz="4" w:space="0" w:color="auto"/>
            </w:tcBorders>
            <w:shd w:val="clear" w:color="auto" w:fill="auto"/>
          </w:tcPr>
          <w:p w14:paraId="07879ECE" w14:textId="65A627FB"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Smanjen</w:t>
            </w:r>
            <w:r w:rsidR="00A26BD5" w:rsidRPr="00314858">
              <w:rPr>
                <w:rFonts w:ascii="Times New Roman" w:hAnsi="Times New Roman" w:cs="Times New Roman"/>
                <w:lang w:val="sr-Latn-ME" w:bidi="en-US"/>
              </w:rPr>
              <w:t>e</w:t>
            </w:r>
            <w:r w:rsidR="00695336" w:rsidRPr="00314858">
              <w:rPr>
                <w:rFonts w:ascii="Times New Roman" w:hAnsi="Times New Roman" w:cs="Times New Roman"/>
                <w:lang w:val="sr-Latn-ME" w:bidi="en-US"/>
              </w:rPr>
              <w:t xml:space="preserve"> vr</w:t>
            </w:r>
            <w:r w:rsidR="007B44F8" w:rsidRPr="00314858">
              <w:rPr>
                <w:rFonts w:ascii="Times New Roman" w:hAnsi="Times New Roman" w:cs="Times New Roman"/>
                <w:lang w:val="sr-Latn-ME" w:bidi="en-US"/>
              </w:rPr>
              <w:t>ij</w:t>
            </w:r>
            <w:r w:rsidR="00695336" w:rsidRPr="00314858">
              <w:rPr>
                <w:rFonts w:ascii="Times New Roman" w:hAnsi="Times New Roman" w:cs="Times New Roman"/>
                <w:lang w:val="sr-Latn-ME" w:bidi="en-US"/>
              </w:rPr>
              <w:t>ednosti</w:t>
            </w:r>
            <w:r w:rsidRPr="00314858">
              <w:rPr>
                <w:rFonts w:ascii="Times New Roman" w:hAnsi="Times New Roman" w:cs="Times New Roman"/>
                <w:lang w:val="sr-Latn-ME" w:bidi="en-US"/>
              </w:rPr>
              <w:t xml:space="preserve"> hematokrita</w:t>
            </w:r>
          </w:p>
        </w:tc>
        <w:tc>
          <w:tcPr>
            <w:tcW w:w="1552" w:type="pct"/>
            <w:tcBorders>
              <w:top w:val="single" w:sz="4" w:space="0" w:color="auto"/>
              <w:left w:val="single" w:sz="4" w:space="0" w:color="auto"/>
            </w:tcBorders>
            <w:shd w:val="clear" w:color="auto" w:fill="auto"/>
          </w:tcPr>
          <w:p w14:paraId="78E3F9A8" w14:textId="4C639E97" w:rsidR="00D67D34" w:rsidRPr="00314858" w:rsidRDefault="00A26BD5"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1" w:type="pct"/>
            <w:tcBorders>
              <w:top w:val="single" w:sz="4" w:space="0" w:color="auto"/>
              <w:left w:val="single" w:sz="4" w:space="0" w:color="auto"/>
              <w:right w:val="single" w:sz="4" w:space="0" w:color="auto"/>
            </w:tcBorders>
            <w:shd w:val="clear" w:color="auto" w:fill="auto"/>
          </w:tcPr>
          <w:p w14:paraId="5CEDA468" w14:textId="1F72A2D7" w:rsidR="00D67D34" w:rsidRPr="00314858" w:rsidRDefault="00A26BD5"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w:t>
            </w:r>
            <w:r w:rsidR="00D67D34" w:rsidRPr="00314858">
              <w:rPr>
                <w:rFonts w:ascii="Times New Roman" w:hAnsi="Times New Roman" w:cs="Times New Roman"/>
                <w:lang w:val="sr-Latn-ME" w:bidi="en-US"/>
              </w:rPr>
              <w:t>epoznat</w:t>
            </w:r>
            <w:r w:rsidR="0053352A" w:rsidRPr="00314858">
              <w:rPr>
                <w:rFonts w:ascii="Times New Roman" w:hAnsi="Times New Roman" w:cs="Times New Roman"/>
                <w:lang w:val="sr-Latn-ME" w:bidi="en-US"/>
              </w:rPr>
              <w:t>o</w:t>
            </w:r>
          </w:p>
        </w:tc>
      </w:tr>
      <w:tr w:rsidR="00695336" w:rsidRPr="00314858" w14:paraId="1CDFAAB6"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71ED38CF" w14:textId="77777777"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Neutropenija</w:t>
            </w:r>
          </w:p>
        </w:tc>
        <w:tc>
          <w:tcPr>
            <w:tcW w:w="1552" w:type="pct"/>
            <w:tcBorders>
              <w:top w:val="single" w:sz="4" w:space="0" w:color="auto"/>
              <w:left w:val="single" w:sz="4" w:space="0" w:color="auto"/>
            </w:tcBorders>
            <w:shd w:val="clear" w:color="auto" w:fill="auto"/>
            <w:vAlign w:val="bottom"/>
          </w:tcPr>
          <w:p w14:paraId="34A95CA7" w14:textId="0BDDC56F" w:rsidR="00D67D34" w:rsidRPr="00314858" w:rsidRDefault="00A26BD5"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w:t>
            </w:r>
            <w:r w:rsidR="00D67D34" w:rsidRPr="00314858">
              <w:rPr>
                <w:rFonts w:ascii="Times New Roman" w:hAnsi="Times New Roman" w:cs="Times New Roman"/>
                <w:lang w:val="sr-Latn-ME" w:bidi="en-US"/>
              </w:rPr>
              <w:t>epoznat</w:t>
            </w:r>
            <w:r w:rsidR="0053352A" w:rsidRPr="00314858">
              <w:rPr>
                <w:rFonts w:ascii="Times New Roman" w:hAnsi="Times New Roman" w:cs="Times New Roman"/>
                <w:lang w:val="sr-Latn-ME" w:bidi="en-US"/>
              </w:rPr>
              <w:t>o</w:t>
            </w:r>
          </w:p>
        </w:tc>
        <w:tc>
          <w:tcPr>
            <w:tcW w:w="1551" w:type="pct"/>
            <w:tcBorders>
              <w:top w:val="single" w:sz="4" w:space="0" w:color="auto"/>
              <w:left w:val="single" w:sz="4" w:space="0" w:color="auto"/>
              <w:right w:val="single" w:sz="4" w:space="0" w:color="auto"/>
            </w:tcBorders>
            <w:shd w:val="clear" w:color="auto" w:fill="auto"/>
            <w:vAlign w:val="bottom"/>
          </w:tcPr>
          <w:p w14:paraId="60544B75" w14:textId="55EBF70F" w:rsidR="00D67D34" w:rsidRPr="00314858" w:rsidRDefault="00A26BD5"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nepoznat</w:t>
            </w:r>
            <w:r w:rsidR="0053352A" w:rsidRPr="00314858">
              <w:rPr>
                <w:rFonts w:ascii="Times New Roman" w:hAnsi="Times New Roman" w:cs="Times New Roman"/>
                <w:lang w:val="sr-Latn-ME" w:bidi="en-US"/>
              </w:rPr>
              <w:t>o</w:t>
            </w:r>
          </w:p>
        </w:tc>
      </w:tr>
      <w:tr w:rsidR="00695336" w:rsidRPr="00314858" w14:paraId="005A98AC"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4BA4CE79" w14:textId="77777777"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Agranulocitoza</w:t>
            </w:r>
          </w:p>
        </w:tc>
        <w:tc>
          <w:tcPr>
            <w:tcW w:w="1552" w:type="pct"/>
            <w:tcBorders>
              <w:top w:val="single" w:sz="4" w:space="0" w:color="auto"/>
              <w:left w:val="single" w:sz="4" w:space="0" w:color="auto"/>
            </w:tcBorders>
            <w:shd w:val="clear" w:color="auto" w:fill="auto"/>
            <w:vAlign w:val="bottom"/>
          </w:tcPr>
          <w:p w14:paraId="0C91E74E" w14:textId="5871DC14" w:rsidR="00D67D34" w:rsidRPr="00314858" w:rsidRDefault="00A26BD5"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w:t>
            </w:r>
            <w:r w:rsidR="00D67D34" w:rsidRPr="00314858">
              <w:rPr>
                <w:rFonts w:ascii="Times New Roman" w:hAnsi="Times New Roman" w:cs="Times New Roman"/>
                <w:lang w:val="sr-Latn-ME" w:bidi="en-US"/>
              </w:rPr>
              <w:t>epoznat</w:t>
            </w:r>
            <w:r w:rsidR="0053352A" w:rsidRPr="00314858">
              <w:rPr>
                <w:rFonts w:ascii="Times New Roman" w:hAnsi="Times New Roman" w:cs="Times New Roman"/>
                <w:lang w:val="sr-Latn-ME" w:bidi="en-US"/>
              </w:rPr>
              <w:t>o</w:t>
            </w:r>
          </w:p>
        </w:tc>
        <w:tc>
          <w:tcPr>
            <w:tcW w:w="1551" w:type="pct"/>
            <w:tcBorders>
              <w:top w:val="single" w:sz="4" w:space="0" w:color="auto"/>
              <w:left w:val="single" w:sz="4" w:space="0" w:color="auto"/>
              <w:right w:val="single" w:sz="4" w:space="0" w:color="auto"/>
            </w:tcBorders>
            <w:shd w:val="clear" w:color="auto" w:fill="auto"/>
            <w:vAlign w:val="bottom"/>
          </w:tcPr>
          <w:p w14:paraId="54634BAA" w14:textId="2314DF1B" w:rsidR="00D67D34" w:rsidRPr="00314858" w:rsidRDefault="00A26BD5"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nepoznat</w:t>
            </w:r>
            <w:r w:rsidR="0053352A" w:rsidRPr="00314858">
              <w:rPr>
                <w:rFonts w:ascii="Times New Roman" w:hAnsi="Times New Roman" w:cs="Times New Roman"/>
                <w:lang w:val="sr-Latn-ME" w:bidi="en-US"/>
              </w:rPr>
              <w:t>o</w:t>
            </w:r>
          </w:p>
        </w:tc>
      </w:tr>
      <w:tr w:rsidR="00D67D34" w:rsidRPr="00314858" w14:paraId="3C9B1D26"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tcPr>
          <w:p w14:paraId="2E9F9EC8"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Poremećaji imunskog sistema</w:t>
            </w:r>
          </w:p>
        </w:tc>
      </w:tr>
      <w:tr w:rsidR="00695336" w:rsidRPr="00314858" w14:paraId="4C119CB4"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25BA0F67" w14:textId="72C1B018"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Preos</w:t>
            </w:r>
            <w:r w:rsidR="007B44F8" w:rsidRPr="00314858">
              <w:rPr>
                <w:rFonts w:ascii="Times New Roman" w:hAnsi="Times New Roman" w:cs="Times New Roman"/>
                <w:lang w:val="sr-Latn-ME" w:bidi="en-US"/>
              </w:rPr>
              <w:t>j</w:t>
            </w:r>
            <w:r w:rsidRPr="00314858">
              <w:rPr>
                <w:rFonts w:ascii="Times New Roman" w:hAnsi="Times New Roman" w:cs="Times New Roman"/>
                <w:lang w:val="sr-Latn-ME" w:bidi="en-US"/>
              </w:rPr>
              <w:t>etljivost na l</w:t>
            </w:r>
            <w:r w:rsidR="007B44F8" w:rsidRPr="00314858">
              <w:rPr>
                <w:rFonts w:ascii="Times New Roman" w:hAnsi="Times New Roman" w:cs="Times New Roman"/>
                <w:lang w:val="sr-Latn-ME" w:bidi="en-US"/>
              </w:rPr>
              <w:t>ij</w:t>
            </w:r>
            <w:r w:rsidRPr="00314858">
              <w:rPr>
                <w:rFonts w:ascii="Times New Roman" w:hAnsi="Times New Roman" w:cs="Times New Roman"/>
                <w:lang w:val="sr-Latn-ME" w:bidi="en-US"/>
              </w:rPr>
              <w:t>ek</w:t>
            </w:r>
          </w:p>
        </w:tc>
        <w:tc>
          <w:tcPr>
            <w:tcW w:w="1552" w:type="pct"/>
            <w:tcBorders>
              <w:top w:val="single" w:sz="4" w:space="0" w:color="auto"/>
              <w:left w:val="single" w:sz="4" w:space="0" w:color="auto"/>
            </w:tcBorders>
            <w:shd w:val="clear" w:color="auto" w:fill="auto"/>
            <w:vAlign w:val="bottom"/>
          </w:tcPr>
          <w:p w14:paraId="6DED98AA" w14:textId="0164AE4B" w:rsidR="00D67D34" w:rsidRPr="00314858" w:rsidRDefault="0026220A"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4F069F14" w14:textId="0E7F1617" w:rsidR="00D67D34" w:rsidRPr="00314858" w:rsidRDefault="0026220A"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1E6A58B2"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5AB58872" w14:textId="77777777"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Osip</w:t>
            </w:r>
          </w:p>
        </w:tc>
        <w:tc>
          <w:tcPr>
            <w:tcW w:w="1552" w:type="pct"/>
            <w:tcBorders>
              <w:top w:val="single" w:sz="4" w:space="0" w:color="auto"/>
              <w:left w:val="single" w:sz="4" w:space="0" w:color="auto"/>
            </w:tcBorders>
            <w:shd w:val="clear" w:color="auto" w:fill="auto"/>
            <w:vAlign w:val="bottom"/>
          </w:tcPr>
          <w:p w14:paraId="01405C34" w14:textId="3C7F3597" w:rsidR="00D67D34" w:rsidRPr="00314858" w:rsidRDefault="0026220A"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1D1DE1C1" w14:textId="7737C0E6" w:rsidR="00D67D34" w:rsidRPr="00314858" w:rsidRDefault="0030252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695336" w:rsidRPr="00314858">
              <w:rPr>
                <w:rFonts w:ascii="Times New Roman" w:hAnsi="Times New Roman" w:cs="Times New Roman"/>
                <w:lang w:val="sr-Latn-ME" w:bidi="en-US"/>
              </w:rPr>
              <w:t>ovremeno</w:t>
            </w:r>
          </w:p>
        </w:tc>
      </w:tr>
      <w:tr w:rsidR="00695336" w:rsidRPr="00314858" w14:paraId="28654EB8"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70D970C0" w14:textId="77777777"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Pruritus</w:t>
            </w:r>
          </w:p>
        </w:tc>
        <w:tc>
          <w:tcPr>
            <w:tcW w:w="1552" w:type="pct"/>
            <w:tcBorders>
              <w:top w:val="single" w:sz="4" w:space="0" w:color="auto"/>
              <w:left w:val="single" w:sz="4" w:space="0" w:color="auto"/>
            </w:tcBorders>
            <w:shd w:val="clear" w:color="auto" w:fill="auto"/>
            <w:vAlign w:val="bottom"/>
          </w:tcPr>
          <w:p w14:paraId="60C77444" w14:textId="30F03463" w:rsidR="00D67D34" w:rsidRPr="00314858" w:rsidRDefault="0026220A"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5EC43655" w14:textId="0A16851F" w:rsidR="00D67D34" w:rsidRPr="00314858" w:rsidRDefault="0030252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022E4DF6"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5189BBA4" w14:textId="7F4086B1"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Anafilakti</w:t>
            </w:r>
            <w:r w:rsidR="00695336" w:rsidRPr="00314858">
              <w:rPr>
                <w:rFonts w:ascii="Times New Roman" w:hAnsi="Times New Roman" w:cs="Times New Roman"/>
                <w:lang w:val="sr-Latn-ME" w:bidi="en-US"/>
              </w:rPr>
              <w:t>čk</w:t>
            </w:r>
            <w:r w:rsidRPr="00314858">
              <w:rPr>
                <w:rFonts w:ascii="Times New Roman" w:hAnsi="Times New Roman" w:cs="Times New Roman"/>
                <w:lang w:val="sr-Latn-ME" w:bidi="en-US"/>
              </w:rPr>
              <w:t>a reakcija</w:t>
            </w:r>
          </w:p>
        </w:tc>
        <w:tc>
          <w:tcPr>
            <w:tcW w:w="1552" w:type="pct"/>
            <w:tcBorders>
              <w:top w:val="single" w:sz="4" w:space="0" w:color="auto"/>
              <w:left w:val="single" w:sz="4" w:space="0" w:color="auto"/>
            </w:tcBorders>
            <w:shd w:val="clear" w:color="auto" w:fill="auto"/>
            <w:vAlign w:val="bottom"/>
          </w:tcPr>
          <w:p w14:paraId="2BF05167" w14:textId="261A5AC6" w:rsidR="00D67D34" w:rsidRPr="00314858" w:rsidRDefault="0026220A"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1" w:type="pct"/>
            <w:tcBorders>
              <w:top w:val="single" w:sz="4" w:space="0" w:color="auto"/>
              <w:left w:val="single" w:sz="4" w:space="0" w:color="auto"/>
              <w:right w:val="single" w:sz="4" w:space="0" w:color="auto"/>
            </w:tcBorders>
            <w:shd w:val="clear" w:color="auto" w:fill="auto"/>
            <w:vAlign w:val="bottom"/>
          </w:tcPr>
          <w:p w14:paraId="3D6FB98E" w14:textId="4B4FD6D6" w:rsidR="00D67D34" w:rsidRPr="00314858" w:rsidRDefault="0030252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r>
      <w:tr w:rsidR="00D67D34" w:rsidRPr="00314858" w14:paraId="5F822049" w14:textId="77777777" w:rsidTr="00673869">
        <w:trPr>
          <w:trHeight w:val="20"/>
          <w:jc w:val="center"/>
        </w:trPr>
        <w:tc>
          <w:tcPr>
            <w:tcW w:w="1897" w:type="pct"/>
            <w:tcBorders>
              <w:top w:val="single" w:sz="4" w:space="0" w:color="auto"/>
              <w:left w:val="single" w:sz="4" w:space="0" w:color="auto"/>
            </w:tcBorders>
            <w:shd w:val="clear" w:color="auto" w:fill="auto"/>
          </w:tcPr>
          <w:p w14:paraId="457193E2" w14:textId="77777777"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Angioedem</w:t>
            </w:r>
          </w:p>
        </w:tc>
        <w:tc>
          <w:tcPr>
            <w:tcW w:w="1552" w:type="pct"/>
            <w:tcBorders>
              <w:top w:val="single" w:sz="4" w:space="0" w:color="auto"/>
              <w:left w:val="single" w:sz="4" w:space="0" w:color="auto"/>
            </w:tcBorders>
            <w:shd w:val="clear" w:color="auto" w:fill="auto"/>
          </w:tcPr>
          <w:p w14:paraId="314323D1" w14:textId="643F9110" w:rsidR="00D67D34" w:rsidRPr="00314858" w:rsidRDefault="0026220A"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1" w:type="pct"/>
            <w:tcBorders>
              <w:top w:val="single" w:sz="4" w:space="0" w:color="auto"/>
              <w:left w:val="single" w:sz="4" w:space="0" w:color="auto"/>
              <w:right w:val="single" w:sz="4" w:space="0" w:color="auto"/>
            </w:tcBorders>
            <w:shd w:val="clear" w:color="auto" w:fill="auto"/>
          </w:tcPr>
          <w:p w14:paraId="77C1C3D1" w14:textId="09834BDD" w:rsidR="00D67D34" w:rsidRPr="00314858" w:rsidRDefault="0030252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r>
      <w:tr w:rsidR="00695336" w:rsidRPr="00314858" w14:paraId="39ED3460"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1E1D77FF" w14:textId="77777777"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Urtikarija</w:t>
            </w:r>
          </w:p>
        </w:tc>
        <w:tc>
          <w:tcPr>
            <w:tcW w:w="1552" w:type="pct"/>
            <w:tcBorders>
              <w:top w:val="single" w:sz="4" w:space="0" w:color="auto"/>
              <w:left w:val="single" w:sz="4" w:space="0" w:color="auto"/>
            </w:tcBorders>
            <w:shd w:val="clear" w:color="auto" w:fill="auto"/>
            <w:vAlign w:val="bottom"/>
          </w:tcPr>
          <w:p w14:paraId="6B91458E" w14:textId="25664233" w:rsidR="00D67D34" w:rsidRPr="00314858" w:rsidRDefault="0026220A"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1" w:type="pct"/>
            <w:tcBorders>
              <w:top w:val="single" w:sz="4" w:space="0" w:color="auto"/>
              <w:left w:val="single" w:sz="4" w:space="0" w:color="auto"/>
              <w:right w:val="single" w:sz="4" w:space="0" w:color="auto"/>
            </w:tcBorders>
            <w:shd w:val="clear" w:color="auto" w:fill="auto"/>
            <w:vAlign w:val="bottom"/>
          </w:tcPr>
          <w:p w14:paraId="3F264336" w14:textId="1513CD88" w:rsidR="00D67D34" w:rsidRPr="00314858" w:rsidRDefault="0030252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r>
      <w:tr w:rsidR="00695336" w:rsidRPr="00314858" w14:paraId="33F21254"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5BFF24D5" w14:textId="77777777"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Bronhospazam</w:t>
            </w:r>
          </w:p>
        </w:tc>
        <w:tc>
          <w:tcPr>
            <w:tcW w:w="1552" w:type="pct"/>
            <w:tcBorders>
              <w:top w:val="single" w:sz="4" w:space="0" w:color="auto"/>
              <w:left w:val="single" w:sz="4" w:space="0" w:color="auto"/>
            </w:tcBorders>
            <w:shd w:val="clear" w:color="auto" w:fill="auto"/>
            <w:vAlign w:val="bottom"/>
          </w:tcPr>
          <w:p w14:paraId="6634F70A" w14:textId="72BFE19A" w:rsidR="00D67D34" w:rsidRPr="00314858" w:rsidRDefault="0026220A"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nepoznat</w:t>
            </w:r>
            <w:r w:rsidR="0053352A" w:rsidRPr="00314858">
              <w:rPr>
                <w:rFonts w:ascii="Times New Roman" w:hAnsi="Times New Roman" w:cs="Times New Roman"/>
                <w:lang w:val="sr-Latn-ME" w:bidi="en-US"/>
              </w:rPr>
              <w:t>o</w:t>
            </w:r>
          </w:p>
        </w:tc>
        <w:tc>
          <w:tcPr>
            <w:tcW w:w="1551" w:type="pct"/>
            <w:tcBorders>
              <w:top w:val="single" w:sz="4" w:space="0" w:color="auto"/>
              <w:left w:val="single" w:sz="4" w:space="0" w:color="auto"/>
              <w:right w:val="single" w:sz="4" w:space="0" w:color="auto"/>
            </w:tcBorders>
            <w:shd w:val="clear" w:color="auto" w:fill="auto"/>
            <w:vAlign w:val="bottom"/>
          </w:tcPr>
          <w:p w14:paraId="18F6178C" w14:textId="463EC622" w:rsidR="00D67D34" w:rsidRPr="00314858" w:rsidRDefault="00302520"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nepoznat</w:t>
            </w:r>
            <w:r w:rsidR="0053352A" w:rsidRPr="00314858">
              <w:rPr>
                <w:rFonts w:ascii="Times New Roman" w:hAnsi="Times New Roman" w:cs="Times New Roman"/>
                <w:lang w:val="sr-Latn-ME" w:bidi="en-US"/>
              </w:rPr>
              <w:t>o</w:t>
            </w:r>
          </w:p>
        </w:tc>
      </w:tr>
      <w:tr w:rsidR="00D67D34" w:rsidRPr="00314858" w14:paraId="25EE0247"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68B5EA65"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Poremećaji nervnog sistema</w:t>
            </w:r>
          </w:p>
        </w:tc>
      </w:tr>
      <w:tr w:rsidR="00695336" w:rsidRPr="00314858" w14:paraId="7973E453"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36DA329D" w14:textId="77777777"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Intrakranijalna hemoragija</w:t>
            </w:r>
          </w:p>
        </w:tc>
        <w:tc>
          <w:tcPr>
            <w:tcW w:w="1552" w:type="pct"/>
            <w:tcBorders>
              <w:top w:val="single" w:sz="4" w:space="0" w:color="auto"/>
              <w:left w:val="single" w:sz="4" w:space="0" w:color="auto"/>
            </w:tcBorders>
            <w:shd w:val="clear" w:color="auto" w:fill="auto"/>
            <w:vAlign w:val="bottom"/>
          </w:tcPr>
          <w:p w14:paraId="6BD47C30" w14:textId="20F84315" w:rsidR="00D67D34" w:rsidRPr="00314858" w:rsidRDefault="00E874A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51AD1E65" w14:textId="0E9B08EF" w:rsidR="00D67D34" w:rsidRPr="00314858" w:rsidRDefault="00E874A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E12BAA"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r>
      <w:tr w:rsidR="00D67D34" w:rsidRPr="00314858" w14:paraId="4221BF2E"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tcPr>
          <w:p w14:paraId="6E0B49F9"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Vaskularni poremećaji</w:t>
            </w:r>
          </w:p>
        </w:tc>
      </w:tr>
      <w:tr w:rsidR="00695336" w:rsidRPr="00314858" w14:paraId="5B5AAA2C"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23B02CF1" w14:textId="77777777"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Hematom</w:t>
            </w:r>
          </w:p>
        </w:tc>
        <w:tc>
          <w:tcPr>
            <w:tcW w:w="1552" w:type="pct"/>
            <w:tcBorders>
              <w:top w:val="single" w:sz="4" w:space="0" w:color="auto"/>
              <w:left w:val="single" w:sz="4" w:space="0" w:color="auto"/>
            </w:tcBorders>
            <w:shd w:val="clear" w:color="auto" w:fill="auto"/>
            <w:vAlign w:val="bottom"/>
          </w:tcPr>
          <w:p w14:paraId="38B8DC3D" w14:textId="78126370" w:rsidR="00D67D34" w:rsidRPr="00314858" w:rsidRDefault="00E874A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26E5DCF7" w14:textId="747DBBFE" w:rsidR="00D67D34" w:rsidRPr="00314858" w:rsidRDefault="00E874A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0E8C1D4A"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403F4DE6" w14:textId="16A1E64D" w:rsidR="00D67D34" w:rsidRPr="00314858" w:rsidRDefault="00E874A2"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Krvarenje</w:t>
            </w:r>
          </w:p>
        </w:tc>
        <w:tc>
          <w:tcPr>
            <w:tcW w:w="1552" w:type="pct"/>
            <w:tcBorders>
              <w:top w:val="single" w:sz="4" w:space="0" w:color="auto"/>
              <w:left w:val="single" w:sz="4" w:space="0" w:color="auto"/>
            </w:tcBorders>
            <w:shd w:val="clear" w:color="auto" w:fill="auto"/>
            <w:vAlign w:val="bottom"/>
          </w:tcPr>
          <w:p w14:paraId="579C4A51" w14:textId="5C0CE885" w:rsidR="00D67D34" w:rsidRPr="00314858" w:rsidRDefault="00E874A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21DBF67F" w14:textId="76411A45" w:rsidR="00D67D34" w:rsidRPr="00314858" w:rsidRDefault="00E874A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D67D34" w:rsidRPr="00314858" w14:paraId="795AD6C8"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304C475F"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Respiratorni, torakalni i medijastinalni poremećaji</w:t>
            </w:r>
            <w:r w:rsidRPr="00314858">
              <w:rPr>
                <w:rFonts w:ascii="Times New Roman" w:hAnsi="Times New Roman" w:cs="Times New Roman"/>
                <w:lang w:val="sr-Latn-ME" w:bidi="en-US"/>
              </w:rPr>
              <w:t xml:space="preserve"> </w:t>
            </w:r>
          </w:p>
        </w:tc>
      </w:tr>
      <w:tr w:rsidR="00695336" w:rsidRPr="00314858" w14:paraId="54214A09"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2CEEBD9B" w14:textId="77777777"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Epistaksa</w:t>
            </w:r>
          </w:p>
        </w:tc>
        <w:tc>
          <w:tcPr>
            <w:tcW w:w="1552" w:type="pct"/>
            <w:tcBorders>
              <w:top w:val="single" w:sz="4" w:space="0" w:color="auto"/>
              <w:left w:val="single" w:sz="4" w:space="0" w:color="auto"/>
            </w:tcBorders>
            <w:shd w:val="clear" w:color="auto" w:fill="auto"/>
            <w:vAlign w:val="bottom"/>
          </w:tcPr>
          <w:p w14:paraId="5DEC9C07" w14:textId="3A99AEBF" w:rsidR="00D67D34" w:rsidRPr="00314858" w:rsidRDefault="008953CB"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c>
          <w:tcPr>
            <w:tcW w:w="1551" w:type="pct"/>
            <w:tcBorders>
              <w:top w:val="single" w:sz="4" w:space="0" w:color="auto"/>
              <w:left w:val="single" w:sz="4" w:space="0" w:color="auto"/>
              <w:right w:val="single" w:sz="4" w:space="0" w:color="auto"/>
            </w:tcBorders>
            <w:shd w:val="clear" w:color="auto" w:fill="auto"/>
            <w:vAlign w:val="bottom"/>
          </w:tcPr>
          <w:p w14:paraId="592AA5A3" w14:textId="34D19B98" w:rsidR="00D67D34" w:rsidRPr="00314858" w:rsidRDefault="008953CB"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r>
      <w:tr w:rsidR="00695336" w:rsidRPr="00314858" w14:paraId="3C8A9CB0"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1C2223B9" w14:textId="77777777"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Hemoptiza</w:t>
            </w:r>
          </w:p>
        </w:tc>
        <w:tc>
          <w:tcPr>
            <w:tcW w:w="1552" w:type="pct"/>
            <w:tcBorders>
              <w:top w:val="single" w:sz="4" w:space="0" w:color="auto"/>
              <w:left w:val="single" w:sz="4" w:space="0" w:color="auto"/>
            </w:tcBorders>
            <w:shd w:val="clear" w:color="auto" w:fill="auto"/>
            <w:vAlign w:val="bottom"/>
          </w:tcPr>
          <w:p w14:paraId="64C12BA0" w14:textId="684AF7A0" w:rsidR="00D67D34" w:rsidRPr="00314858" w:rsidRDefault="008953CB"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61B37489" w14:textId="1F0A9410" w:rsidR="00D67D34" w:rsidRPr="00314858" w:rsidRDefault="008953CB"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D67D34" w:rsidRPr="00314858" w14:paraId="0B5706B0"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tcPr>
          <w:p w14:paraId="2CA9DB83"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Gastrointestinalni poremećaji</w:t>
            </w:r>
          </w:p>
        </w:tc>
      </w:tr>
      <w:tr w:rsidR="00695336" w:rsidRPr="00314858" w14:paraId="70EC040D" w14:textId="77777777" w:rsidTr="00673869">
        <w:trPr>
          <w:trHeight w:val="20"/>
          <w:jc w:val="center"/>
        </w:trPr>
        <w:tc>
          <w:tcPr>
            <w:tcW w:w="1897" w:type="pct"/>
            <w:tcBorders>
              <w:top w:val="single" w:sz="4" w:space="0" w:color="auto"/>
              <w:left w:val="single" w:sz="4" w:space="0" w:color="auto"/>
              <w:bottom w:val="single" w:sz="4" w:space="0" w:color="auto"/>
            </w:tcBorders>
            <w:shd w:val="clear" w:color="auto" w:fill="auto"/>
            <w:vAlign w:val="bottom"/>
          </w:tcPr>
          <w:p w14:paraId="24A8361A" w14:textId="77777777"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Gastrointestinalna hemoragija</w:t>
            </w:r>
          </w:p>
        </w:tc>
        <w:tc>
          <w:tcPr>
            <w:tcW w:w="1552" w:type="pct"/>
            <w:tcBorders>
              <w:top w:val="single" w:sz="4" w:space="0" w:color="auto"/>
              <w:left w:val="single" w:sz="4" w:space="0" w:color="auto"/>
              <w:bottom w:val="single" w:sz="4" w:space="0" w:color="auto"/>
            </w:tcBorders>
            <w:shd w:val="clear" w:color="auto" w:fill="auto"/>
            <w:vAlign w:val="bottom"/>
          </w:tcPr>
          <w:p w14:paraId="643044B5" w14:textId="73DEE29B"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bottom"/>
          </w:tcPr>
          <w:p w14:paraId="2AC8B59D" w14:textId="48A8485F"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r>
      <w:tr w:rsidR="00695336" w:rsidRPr="00314858" w14:paraId="30AE41B7"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29645385" w14:textId="7AED4C49" w:rsidR="00D67D34" w:rsidRPr="00314858" w:rsidRDefault="005A661F"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Bol u abdomenu</w:t>
            </w:r>
          </w:p>
        </w:tc>
        <w:tc>
          <w:tcPr>
            <w:tcW w:w="1552" w:type="pct"/>
            <w:tcBorders>
              <w:top w:val="single" w:sz="4" w:space="0" w:color="auto"/>
              <w:left w:val="single" w:sz="4" w:space="0" w:color="auto"/>
            </w:tcBorders>
            <w:shd w:val="clear" w:color="auto" w:fill="auto"/>
            <w:vAlign w:val="bottom"/>
          </w:tcPr>
          <w:p w14:paraId="08E4E545" w14:textId="7C947C4F"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c>
          <w:tcPr>
            <w:tcW w:w="1551" w:type="pct"/>
            <w:tcBorders>
              <w:top w:val="single" w:sz="4" w:space="0" w:color="auto"/>
              <w:left w:val="single" w:sz="4" w:space="0" w:color="auto"/>
              <w:right w:val="single" w:sz="4" w:space="0" w:color="auto"/>
            </w:tcBorders>
            <w:shd w:val="clear" w:color="auto" w:fill="auto"/>
            <w:vAlign w:val="bottom"/>
          </w:tcPr>
          <w:p w14:paraId="503C3446" w14:textId="6771E333"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3593CEC4" w14:textId="77777777" w:rsidTr="00673869">
        <w:trPr>
          <w:trHeight w:val="20"/>
          <w:jc w:val="center"/>
        </w:trPr>
        <w:tc>
          <w:tcPr>
            <w:tcW w:w="1897" w:type="pct"/>
            <w:tcBorders>
              <w:top w:val="single" w:sz="4" w:space="0" w:color="auto"/>
              <w:left w:val="single" w:sz="4" w:space="0" w:color="auto"/>
              <w:bottom w:val="single" w:sz="4" w:space="0" w:color="auto"/>
            </w:tcBorders>
            <w:shd w:val="clear" w:color="auto" w:fill="auto"/>
          </w:tcPr>
          <w:p w14:paraId="281BCC9E" w14:textId="77777777"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Dijareja</w:t>
            </w:r>
          </w:p>
        </w:tc>
        <w:tc>
          <w:tcPr>
            <w:tcW w:w="1552" w:type="pct"/>
            <w:tcBorders>
              <w:top w:val="single" w:sz="4" w:space="0" w:color="auto"/>
              <w:left w:val="single" w:sz="4" w:space="0" w:color="auto"/>
              <w:bottom w:val="single" w:sz="4" w:space="0" w:color="auto"/>
            </w:tcBorders>
            <w:shd w:val="clear" w:color="auto" w:fill="auto"/>
          </w:tcPr>
          <w:p w14:paraId="4D8599A5" w14:textId="17260926"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c>
          <w:tcPr>
            <w:tcW w:w="1551" w:type="pct"/>
            <w:tcBorders>
              <w:top w:val="single" w:sz="4" w:space="0" w:color="auto"/>
              <w:left w:val="single" w:sz="4" w:space="0" w:color="auto"/>
              <w:bottom w:val="single" w:sz="4" w:space="0" w:color="auto"/>
              <w:right w:val="single" w:sz="4" w:space="0" w:color="auto"/>
            </w:tcBorders>
            <w:shd w:val="clear" w:color="auto" w:fill="auto"/>
          </w:tcPr>
          <w:p w14:paraId="19643D63" w14:textId="2939C6AE"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32D28C70" w14:textId="77777777" w:rsidTr="00673869">
        <w:trPr>
          <w:trHeight w:val="20"/>
          <w:jc w:val="center"/>
        </w:trPr>
        <w:tc>
          <w:tcPr>
            <w:tcW w:w="1897" w:type="pct"/>
            <w:tcBorders>
              <w:top w:val="single" w:sz="4" w:space="0" w:color="auto"/>
              <w:left w:val="single" w:sz="4" w:space="0" w:color="auto"/>
              <w:bottom w:val="single" w:sz="4" w:space="0" w:color="auto"/>
              <w:right w:val="single" w:sz="4" w:space="0" w:color="auto"/>
            </w:tcBorders>
            <w:shd w:val="clear" w:color="auto" w:fill="auto"/>
            <w:vAlign w:val="bottom"/>
          </w:tcPr>
          <w:p w14:paraId="026FF9D7" w14:textId="77777777"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Dispepsija</w:t>
            </w:r>
          </w:p>
        </w:tc>
        <w:tc>
          <w:tcPr>
            <w:tcW w:w="1552" w:type="pct"/>
            <w:tcBorders>
              <w:top w:val="single" w:sz="4" w:space="0" w:color="auto"/>
              <w:left w:val="single" w:sz="4" w:space="0" w:color="auto"/>
              <w:bottom w:val="single" w:sz="4" w:space="0" w:color="auto"/>
              <w:right w:val="single" w:sz="4" w:space="0" w:color="auto"/>
            </w:tcBorders>
            <w:shd w:val="clear" w:color="auto" w:fill="auto"/>
            <w:vAlign w:val="bottom"/>
          </w:tcPr>
          <w:p w14:paraId="1CD06F45" w14:textId="2887CCD1"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bottom"/>
          </w:tcPr>
          <w:p w14:paraId="03496C76" w14:textId="7CC92BF7"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r>
      <w:tr w:rsidR="00695336" w:rsidRPr="00314858" w14:paraId="2144E7CA"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5262668D" w14:textId="4CA88BDB" w:rsidR="00D67D34" w:rsidRPr="00314858" w:rsidRDefault="005A661F"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Mučnina</w:t>
            </w:r>
          </w:p>
        </w:tc>
        <w:tc>
          <w:tcPr>
            <w:tcW w:w="1552" w:type="pct"/>
            <w:tcBorders>
              <w:top w:val="single" w:sz="4" w:space="0" w:color="auto"/>
              <w:left w:val="single" w:sz="4" w:space="0" w:color="auto"/>
            </w:tcBorders>
            <w:shd w:val="clear" w:color="auto" w:fill="auto"/>
            <w:vAlign w:val="bottom"/>
          </w:tcPr>
          <w:p w14:paraId="2405131B" w14:textId="790A2466"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 xml:space="preserve">esto </w:t>
            </w:r>
          </w:p>
        </w:tc>
        <w:tc>
          <w:tcPr>
            <w:tcW w:w="1551" w:type="pct"/>
            <w:tcBorders>
              <w:top w:val="single" w:sz="4" w:space="0" w:color="auto"/>
              <w:left w:val="single" w:sz="4" w:space="0" w:color="auto"/>
              <w:right w:val="single" w:sz="4" w:space="0" w:color="auto"/>
            </w:tcBorders>
            <w:shd w:val="clear" w:color="auto" w:fill="auto"/>
            <w:vAlign w:val="bottom"/>
          </w:tcPr>
          <w:p w14:paraId="71BAAB27" w14:textId="15236713"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2D2C8F73"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6B7CE428" w14:textId="0A360DDC"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Rektaln</w:t>
            </w:r>
            <w:r w:rsidR="005A661F" w:rsidRPr="00314858">
              <w:rPr>
                <w:rFonts w:ascii="Times New Roman" w:hAnsi="Times New Roman" w:cs="Times New Roman"/>
                <w:lang w:val="sr-Latn-ME" w:bidi="en-US"/>
              </w:rPr>
              <w:t>o krvarenje</w:t>
            </w:r>
          </w:p>
        </w:tc>
        <w:tc>
          <w:tcPr>
            <w:tcW w:w="1552" w:type="pct"/>
            <w:tcBorders>
              <w:top w:val="single" w:sz="4" w:space="0" w:color="auto"/>
              <w:left w:val="single" w:sz="4" w:space="0" w:color="auto"/>
            </w:tcBorders>
            <w:shd w:val="clear" w:color="auto" w:fill="auto"/>
            <w:vAlign w:val="bottom"/>
          </w:tcPr>
          <w:p w14:paraId="3149C014" w14:textId="56BE6F1C"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755A8851" w14:textId="62B97C3B"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r>
      <w:tr w:rsidR="00695336" w:rsidRPr="00314858" w14:paraId="23239C71"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21880AB7" w14:textId="00DFD554"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Hemoroidaln</w:t>
            </w:r>
            <w:r w:rsidR="005A661F" w:rsidRPr="00314858">
              <w:rPr>
                <w:rFonts w:ascii="Times New Roman" w:hAnsi="Times New Roman" w:cs="Times New Roman"/>
                <w:lang w:val="sr-Latn-ME" w:bidi="en-US"/>
              </w:rPr>
              <w:t>o krvarenje</w:t>
            </w:r>
          </w:p>
        </w:tc>
        <w:tc>
          <w:tcPr>
            <w:tcW w:w="1552" w:type="pct"/>
            <w:tcBorders>
              <w:top w:val="single" w:sz="4" w:space="0" w:color="auto"/>
              <w:left w:val="single" w:sz="4" w:space="0" w:color="auto"/>
            </w:tcBorders>
            <w:shd w:val="clear" w:color="auto" w:fill="auto"/>
            <w:vAlign w:val="bottom"/>
          </w:tcPr>
          <w:p w14:paraId="7B0FE372" w14:textId="2607AE97"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2B958BDE" w14:textId="0FC19DBE"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D67D34" w:rsidRPr="00314858" w14:paraId="6E196595"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283557E5" w14:textId="77777777" w:rsidR="00D67D34" w:rsidRPr="00314858" w:rsidRDefault="00D67D34" w:rsidP="007B44F8">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Gastrointestinalni ulkus, uključujući ezofagealni ulkus</w:t>
            </w:r>
          </w:p>
        </w:tc>
        <w:tc>
          <w:tcPr>
            <w:tcW w:w="1552" w:type="pct"/>
            <w:tcBorders>
              <w:top w:val="single" w:sz="4" w:space="0" w:color="auto"/>
              <w:left w:val="single" w:sz="4" w:space="0" w:color="auto"/>
            </w:tcBorders>
            <w:shd w:val="clear" w:color="auto" w:fill="auto"/>
          </w:tcPr>
          <w:p w14:paraId="2179B28D" w14:textId="11CD3A8F"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tcPr>
          <w:p w14:paraId="54C39434" w14:textId="094C4872"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22B2B6DF"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5F5AE509" w14:textId="77777777"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Gastroezofagitis</w:t>
            </w:r>
          </w:p>
        </w:tc>
        <w:tc>
          <w:tcPr>
            <w:tcW w:w="1552" w:type="pct"/>
            <w:tcBorders>
              <w:top w:val="single" w:sz="4" w:space="0" w:color="auto"/>
              <w:left w:val="single" w:sz="4" w:space="0" w:color="auto"/>
            </w:tcBorders>
            <w:shd w:val="clear" w:color="auto" w:fill="auto"/>
            <w:vAlign w:val="bottom"/>
          </w:tcPr>
          <w:p w14:paraId="3D11774A" w14:textId="4E83F9FE"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621A36BC" w14:textId="381A6CCA"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D67D34" w:rsidRPr="00314858" w14:paraId="53EEF404"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3D1E440E" w14:textId="77777777"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 xml:space="preserve">Gastroezofagealna refluksna </w:t>
            </w:r>
          </w:p>
          <w:p w14:paraId="4D25AC05" w14:textId="77777777"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bolest</w:t>
            </w:r>
          </w:p>
        </w:tc>
        <w:tc>
          <w:tcPr>
            <w:tcW w:w="1552" w:type="pct"/>
            <w:tcBorders>
              <w:top w:val="single" w:sz="4" w:space="0" w:color="auto"/>
              <w:left w:val="single" w:sz="4" w:space="0" w:color="auto"/>
            </w:tcBorders>
            <w:shd w:val="clear" w:color="auto" w:fill="auto"/>
            <w:vAlign w:val="bottom"/>
          </w:tcPr>
          <w:p w14:paraId="39451AFA" w14:textId="68CC4591"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2B28B686" w14:textId="7F95B0C0"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2833F09F"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11142648" w14:textId="77777777"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Povraćanje</w:t>
            </w:r>
          </w:p>
        </w:tc>
        <w:tc>
          <w:tcPr>
            <w:tcW w:w="1552" w:type="pct"/>
            <w:tcBorders>
              <w:top w:val="single" w:sz="4" w:space="0" w:color="auto"/>
              <w:left w:val="single" w:sz="4" w:space="0" w:color="auto"/>
            </w:tcBorders>
            <w:shd w:val="clear" w:color="auto" w:fill="auto"/>
            <w:vAlign w:val="bottom"/>
          </w:tcPr>
          <w:p w14:paraId="4D0D500D" w14:textId="2CAAB73A"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12C4EFE5" w14:textId="2C44011E"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408B13EC"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6BA2C1BA" w14:textId="77777777" w:rsidR="00D67D34" w:rsidRPr="00314858" w:rsidRDefault="00D67D34" w:rsidP="00695336">
            <w:pPr>
              <w:spacing w:after="0" w:line="240" w:lineRule="auto"/>
              <w:ind w:left="196"/>
              <w:jc w:val="both"/>
              <w:rPr>
                <w:rFonts w:ascii="Times New Roman" w:hAnsi="Times New Roman" w:cs="Times New Roman"/>
                <w:lang w:val="sr-Latn-ME" w:bidi="en-US"/>
              </w:rPr>
            </w:pPr>
            <w:r w:rsidRPr="00314858">
              <w:rPr>
                <w:rFonts w:ascii="Times New Roman" w:hAnsi="Times New Roman" w:cs="Times New Roman"/>
                <w:lang w:val="sr-Latn-ME" w:bidi="en-US"/>
              </w:rPr>
              <w:t>Disfagija</w:t>
            </w:r>
          </w:p>
        </w:tc>
        <w:tc>
          <w:tcPr>
            <w:tcW w:w="1552" w:type="pct"/>
            <w:tcBorders>
              <w:top w:val="single" w:sz="4" w:space="0" w:color="auto"/>
              <w:left w:val="single" w:sz="4" w:space="0" w:color="auto"/>
            </w:tcBorders>
            <w:shd w:val="clear" w:color="auto" w:fill="auto"/>
            <w:vAlign w:val="bottom"/>
          </w:tcPr>
          <w:p w14:paraId="5DEEDEBA" w14:textId="47EB9598"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vAlign w:val="bottom"/>
          </w:tcPr>
          <w:p w14:paraId="2FE35D9D" w14:textId="7E6AB6CD" w:rsidR="00D67D34" w:rsidRPr="00314858" w:rsidRDefault="005A661F"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E12BAA"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r>
      <w:tr w:rsidR="00D67D34" w:rsidRPr="00314858" w14:paraId="288B9BC9"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32880DF1"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Hepatobilijarni poremećaji</w:t>
            </w:r>
          </w:p>
        </w:tc>
      </w:tr>
      <w:tr w:rsidR="00695336" w:rsidRPr="00314858" w14:paraId="7E55D24F"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65B41F75" w14:textId="7F37CFF0"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Poremećena funkcija jetre/</w:t>
            </w:r>
            <w:r w:rsidR="00695336" w:rsidRPr="00314858">
              <w:rPr>
                <w:rFonts w:ascii="Times New Roman" w:hAnsi="Times New Roman" w:cs="Times New Roman"/>
                <w:lang w:val="sr-Latn-ME" w:bidi="en-US"/>
              </w:rPr>
              <w:t xml:space="preserve"> i</w:t>
            </w:r>
            <w:r w:rsidRPr="00314858">
              <w:rPr>
                <w:rFonts w:ascii="Times New Roman" w:hAnsi="Times New Roman" w:cs="Times New Roman"/>
                <w:lang w:val="sr-Latn-ME" w:bidi="en-US"/>
              </w:rPr>
              <w:t>zm</w:t>
            </w:r>
            <w:r w:rsidR="007B44F8" w:rsidRPr="00314858">
              <w:rPr>
                <w:rFonts w:ascii="Times New Roman" w:hAnsi="Times New Roman" w:cs="Times New Roman"/>
                <w:lang w:val="sr-Latn-ME" w:bidi="en-US"/>
              </w:rPr>
              <w:t>ij</w:t>
            </w:r>
            <w:r w:rsidRPr="00314858">
              <w:rPr>
                <w:rFonts w:ascii="Times New Roman" w:hAnsi="Times New Roman" w:cs="Times New Roman"/>
                <w:lang w:val="sr-Latn-ME" w:bidi="en-US"/>
              </w:rPr>
              <w:t>enjeni testovi funkcije jetre</w:t>
            </w:r>
          </w:p>
        </w:tc>
        <w:tc>
          <w:tcPr>
            <w:tcW w:w="1552" w:type="pct"/>
            <w:tcBorders>
              <w:top w:val="single" w:sz="4" w:space="0" w:color="auto"/>
              <w:left w:val="single" w:sz="4" w:space="0" w:color="auto"/>
            </w:tcBorders>
            <w:shd w:val="clear" w:color="auto" w:fill="auto"/>
          </w:tcPr>
          <w:p w14:paraId="4A27A5CB" w14:textId="5016542C" w:rsidR="00D67D34" w:rsidRPr="00314858" w:rsidRDefault="009A422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tcPr>
          <w:p w14:paraId="6E1031DD" w14:textId="03A8094F" w:rsidR="00D67D34" w:rsidRPr="00314858" w:rsidRDefault="009A422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7AD0E8DB"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3D72179C" w14:textId="4A4AB805"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rPr>
              <w:t>Povećan</w:t>
            </w:r>
            <w:r w:rsidR="009A4228" w:rsidRPr="00314858">
              <w:rPr>
                <w:rFonts w:ascii="Times New Roman" w:hAnsi="Times New Roman" w:cs="Times New Roman"/>
                <w:lang w:val="sr-Latn-ME"/>
              </w:rPr>
              <w:t>e</w:t>
            </w:r>
            <w:r w:rsidR="00695336" w:rsidRPr="00314858">
              <w:rPr>
                <w:rFonts w:ascii="Times New Roman" w:hAnsi="Times New Roman" w:cs="Times New Roman"/>
                <w:lang w:val="sr-Latn-ME"/>
              </w:rPr>
              <w:t xml:space="preserve"> vr</w:t>
            </w:r>
            <w:r w:rsidR="007B44F8" w:rsidRPr="00314858">
              <w:rPr>
                <w:rFonts w:ascii="Times New Roman" w:hAnsi="Times New Roman" w:cs="Times New Roman"/>
                <w:lang w:val="sr-Latn-ME"/>
              </w:rPr>
              <w:t>ij</w:t>
            </w:r>
            <w:r w:rsidR="00695336" w:rsidRPr="00314858">
              <w:rPr>
                <w:rFonts w:ascii="Times New Roman" w:hAnsi="Times New Roman" w:cs="Times New Roman"/>
                <w:lang w:val="sr-Latn-ME"/>
              </w:rPr>
              <w:t>ednosti</w:t>
            </w:r>
            <w:r w:rsidRPr="00314858">
              <w:rPr>
                <w:rFonts w:ascii="Times New Roman" w:hAnsi="Times New Roman" w:cs="Times New Roman"/>
                <w:lang w:val="sr-Latn-ME"/>
              </w:rPr>
              <w:t xml:space="preserve"> alanin</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aminotransferaze</w:t>
            </w:r>
          </w:p>
        </w:tc>
        <w:tc>
          <w:tcPr>
            <w:tcW w:w="1552" w:type="pct"/>
            <w:tcBorders>
              <w:top w:val="single" w:sz="4" w:space="0" w:color="auto"/>
              <w:left w:val="single" w:sz="4" w:space="0" w:color="auto"/>
            </w:tcBorders>
            <w:shd w:val="clear" w:color="auto" w:fill="auto"/>
          </w:tcPr>
          <w:p w14:paraId="5D009FB3" w14:textId="3C21E21D" w:rsidR="00D67D34" w:rsidRPr="00314858" w:rsidRDefault="009A422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tcPr>
          <w:p w14:paraId="7BFB82AC" w14:textId="7AEC5570" w:rsidR="00D67D34" w:rsidRPr="00314858" w:rsidRDefault="009A422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D67D34" w:rsidRPr="00314858" w14:paraId="017B8298"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2B596852" w14:textId="3B65DF29" w:rsidR="00D67D34" w:rsidRPr="00314858" w:rsidRDefault="00D67D34">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rPr>
              <w:t>Povećan</w:t>
            </w:r>
            <w:r w:rsidR="009A4228" w:rsidRPr="00314858">
              <w:rPr>
                <w:rFonts w:ascii="Times New Roman" w:hAnsi="Times New Roman" w:cs="Times New Roman"/>
                <w:lang w:val="sr-Latn-ME"/>
              </w:rPr>
              <w:t>e</w:t>
            </w:r>
            <w:r w:rsidRPr="00314858">
              <w:rPr>
                <w:rFonts w:ascii="Times New Roman" w:hAnsi="Times New Roman" w:cs="Times New Roman"/>
                <w:lang w:val="sr-Latn-ME"/>
              </w:rPr>
              <w:t xml:space="preserve"> </w:t>
            </w:r>
            <w:r w:rsidR="00695336" w:rsidRPr="00314858">
              <w:rPr>
                <w:rFonts w:ascii="Times New Roman" w:hAnsi="Times New Roman" w:cs="Times New Roman"/>
                <w:lang w:val="sr-Latn-ME"/>
              </w:rPr>
              <w:t>vr</w:t>
            </w:r>
            <w:r w:rsidR="007B44F8" w:rsidRPr="00314858">
              <w:rPr>
                <w:rFonts w:ascii="Times New Roman" w:hAnsi="Times New Roman" w:cs="Times New Roman"/>
                <w:lang w:val="sr-Latn-ME"/>
              </w:rPr>
              <w:t>ij</w:t>
            </w:r>
            <w:r w:rsidR="00695336" w:rsidRPr="00314858">
              <w:rPr>
                <w:rFonts w:ascii="Times New Roman" w:hAnsi="Times New Roman" w:cs="Times New Roman"/>
                <w:lang w:val="sr-Latn-ME"/>
              </w:rPr>
              <w:t xml:space="preserve">ednosti </w:t>
            </w:r>
            <w:r w:rsidRPr="00314858">
              <w:rPr>
                <w:rFonts w:ascii="Times New Roman" w:hAnsi="Times New Roman" w:cs="Times New Roman"/>
                <w:lang w:val="sr-Latn-ME"/>
              </w:rPr>
              <w:t>aspartataminotransferaze</w:t>
            </w:r>
          </w:p>
        </w:tc>
        <w:tc>
          <w:tcPr>
            <w:tcW w:w="1552" w:type="pct"/>
            <w:tcBorders>
              <w:top w:val="single" w:sz="4" w:space="0" w:color="auto"/>
              <w:left w:val="single" w:sz="4" w:space="0" w:color="auto"/>
            </w:tcBorders>
            <w:shd w:val="clear" w:color="auto" w:fill="auto"/>
          </w:tcPr>
          <w:p w14:paraId="2003E124" w14:textId="5AAA81E1" w:rsidR="00D67D34" w:rsidRPr="00314858" w:rsidRDefault="009A422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c>
          <w:tcPr>
            <w:tcW w:w="1551" w:type="pct"/>
            <w:tcBorders>
              <w:top w:val="single" w:sz="4" w:space="0" w:color="auto"/>
              <w:left w:val="single" w:sz="4" w:space="0" w:color="auto"/>
              <w:right w:val="single" w:sz="4" w:space="0" w:color="auto"/>
            </w:tcBorders>
            <w:shd w:val="clear" w:color="auto" w:fill="auto"/>
          </w:tcPr>
          <w:p w14:paraId="4FE0E344" w14:textId="5A457E9C" w:rsidR="00D67D34" w:rsidRPr="00314858" w:rsidRDefault="009A422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D67D34" w:rsidRPr="00314858" w14:paraId="64B1514C" w14:textId="77777777" w:rsidTr="00314858">
        <w:trPr>
          <w:trHeight w:val="20"/>
          <w:jc w:val="center"/>
        </w:trPr>
        <w:tc>
          <w:tcPr>
            <w:tcW w:w="1897" w:type="pct"/>
            <w:tcBorders>
              <w:top w:val="single" w:sz="4" w:space="0" w:color="auto"/>
              <w:left w:val="single" w:sz="4" w:space="0" w:color="auto"/>
              <w:bottom w:val="single" w:sz="4" w:space="0" w:color="auto"/>
            </w:tcBorders>
            <w:shd w:val="clear" w:color="auto" w:fill="auto"/>
          </w:tcPr>
          <w:p w14:paraId="7A4DC15B" w14:textId="79E7178C"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Povećan</w:t>
            </w:r>
            <w:r w:rsidR="009A4228" w:rsidRPr="00314858">
              <w:rPr>
                <w:rFonts w:ascii="Times New Roman" w:hAnsi="Times New Roman" w:cs="Times New Roman"/>
                <w:lang w:val="sr-Latn-ME" w:bidi="en-US"/>
              </w:rPr>
              <w:t>e</w:t>
            </w:r>
            <w:r w:rsidRPr="00314858">
              <w:rPr>
                <w:rFonts w:ascii="Times New Roman" w:hAnsi="Times New Roman" w:cs="Times New Roman"/>
                <w:lang w:val="sr-Latn-ME" w:bidi="en-US"/>
              </w:rPr>
              <w:t xml:space="preserve"> vr</w:t>
            </w:r>
            <w:r w:rsidR="007B44F8" w:rsidRPr="00314858">
              <w:rPr>
                <w:rFonts w:ascii="Times New Roman" w:hAnsi="Times New Roman" w:cs="Times New Roman"/>
                <w:lang w:val="sr-Latn-ME" w:bidi="en-US"/>
              </w:rPr>
              <w:t>ij</w:t>
            </w:r>
            <w:r w:rsidRPr="00314858">
              <w:rPr>
                <w:rFonts w:ascii="Times New Roman" w:hAnsi="Times New Roman" w:cs="Times New Roman"/>
                <w:lang w:val="sr-Latn-ME" w:bidi="en-US"/>
              </w:rPr>
              <w:t>ednosti enzima jetre</w:t>
            </w:r>
          </w:p>
        </w:tc>
        <w:tc>
          <w:tcPr>
            <w:tcW w:w="1552" w:type="pct"/>
            <w:tcBorders>
              <w:top w:val="single" w:sz="4" w:space="0" w:color="auto"/>
              <w:left w:val="single" w:sz="4" w:space="0" w:color="auto"/>
              <w:bottom w:val="single" w:sz="4" w:space="0" w:color="auto"/>
            </w:tcBorders>
            <w:shd w:val="clear" w:color="auto" w:fill="auto"/>
          </w:tcPr>
          <w:p w14:paraId="13FFAC7C" w14:textId="7B85E775" w:rsidR="00D67D34" w:rsidRPr="00314858" w:rsidRDefault="009A422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1" w:type="pct"/>
            <w:tcBorders>
              <w:top w:val="single" w:sz="4" w:space="0" w:color="auto"/>
              <w:left w:val="single" w:sz="4" w:space="0" w:color="auto"/>
              <w:bottom w:val="single" w:sz="4" w:space="0" w:color="auto"/>
              <w:right w:val="single" w:sz="4" w:space="0" w:color="auto"/>
            </w:tcBorders>
            <w:shd w:val="clear" w:color="auto" w:fill="auto"/>
          </w:tcPr>
          <w:p w14:paraId="5288C9C4" w14:textId="2DB30FE2" w:rsidR="00D67D34" w:rsidRPr="00314858" w:rsidRDefault="009A422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695336" w:rsidRPr="00314858" w14:paraId="1B56A420" w14:textId="77777777" w:rsidTr="00314858">
        <w:trPr>
          <w:trHeight w:val="20"/>
          <w:jc w:val="center"/>
        </w:trPr>
        <w:tc>
          <w:tcPr>
            <w:tcW w:w="1897" w:type="pct"/>
            <w:tcBorders>
              <w:top w:val="single" w:sz="4" w:space="0" w:color="auto"/>
              <w:left w:val="single" w:sz="4" w:space="0" w:color="auto"/>
              <w:bottom w:val="single" w:sz="4" w:space="0" w:color="auto"/>
            </w:tcBorders>
            <w:shd w:val="clear" w:color="auto" w:fill="auto"/>
            <w:vAlign w:val="bottom"/>
          </w:tcPr>
          <w:p w14:paraId="0188BC6F" w14:textId="77777777" w:rsidR="00D67D34" w:rsidRPr="00314858" w:rsidRDefault="00D67D34" w:rsidP="00695336">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Hiperbilirubinemija</w:t>
            </w:r>
          </w:p>
        </w:tc>
        <w:tc>
          <w:tcPr>
            <w:tcW w:w="1552" w:type="pct"/>
            <w:tcBorders>
              <w:top w:val="single" w:sz="4" w:space="0" w:color="auto"/>
              <w:left w:val="single" w:sz="4" w:space="0" w:color="auto"/>
              <w:bottom w:val="single" w:sz="4" w:space="0" w:color="auto"/>
            </w:tcBorders>
            <w:shd w:val="clear" w:color="auto" w:fill="auto"/>
            <w:vAlign w:val="bottom"/>
          </w:tcPr>
          <w:p w14:paraId="75B1B068" w14:textId="2DA6DDE1" w:rsidR="00D67D34" w:rsidRPr="00314858" w:rsidRDefault="009A422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bottom"/>
          </w:tcPr>
          <w:p w14:paraId="3CC98DED" w14:textId="7143E37C" w:rsidR="00D67D34" w:rsidRPr="00314858" w:rsidRDefault="009A4228"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nepoznat</w:t>
            </w:r>
            <w:r w:rsidR="0053352A" w:rsidRPr="00314858">
              <w:rPr>
                <w:rFonts w:ascii="Times New Roman" w:hAnsi="Times New Roman" w:cs="Times New Roman"/>
                <w:lang w:val="sr-Latn-ME" w:bidi="en-US"/>
              </w:rPr>
              <w:t>o</w:t>
            </w:r>
          </w:p>
        </w:tc>
      </w:tr>
      <w:tr w:rsidR="00D67D34" w:rsidRPr="00314858" w14:paraId="57B90C11" w14:textId="77777777" w:rsidTr="00314858">
        <w:trPr>
          <w:trHeight w:val="20"/>
          <w:jc w:val="center"/>
        </w:trPr>
        <w:tc>
          <w:tcPr>
            <w:tcW w:w="5000" w:type="pct"/>
            <w:gridSpan w:val="3"/>
            <w:tcBorders>
              <w:top w:val="single" w:sz="4" w:space="0" w:color="auto"/>
              <w:left w:val="single" w:sz="4" w:space="0" w:color="auto"/>
              <w:right w:val="single" w:sz="4" w:space="0" w:color="auto"/>
            </w:tcBorders>
            <w:shd w:val="clear" w:color="auto" w:fill="auto"/>
          </w:tcPr>
          <w:p w14:paraId="65E33019" w14:textId="0990A040"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lastRenderedPageBreak/>
              <w:t>Poremećaji</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kože i potkožnog tkiva</w:t>
            </w:r>
            <w:r w:rsidRPr="00314858">
              <w:rPr>
                <w:rFonts w:ascii="Times New Roman" w:hAnsi="Times New Roman" w:cs="Times New Roman"/>
                <w:lang w:val="sr-Latn-ME" w:bidi="en-US"/>
              </w:rPr>
              <w:t xml:space="preserve"> </w:t>
            </w:r>
          </w:p>
        </w:tc>
      </w:tr>
      <w:tr w:rsidR="00695336" w:rsidRPr="00314858" w14:paraId="7AE1C0BC"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7110D1F9" w14:textId="2CAFB5C1" w:rsidR="00D67D34" w:rsidRPr="00314858" w:rsidRDefault="00634E8D"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Krvarenje</w:t>
            </w:r>
            <w:r w:rsidR="00D67D34" w:rsidRPr="00314858">
              <w:rPr>
                <w:rFonts w:ascii="Times New Roman" w:hAnsi="Times New Roman" w:cs="Times New Roman"/>
                <w:lang w:val="sr-Latn-ME" w:bidi="en-US"/>
              </w:rPr>
              <w:t xml:space="preserve"> iz kože</w:t>
            </w:r>
          </w:p>
        </w:tc>
        <w:tc>
          <w:tcPr>
            <w:tcW w:w="1552" w:type="pct"/>
            <w:tcBorders>
              <w:top w:val="single" w:sz="4" w:space="0" w:color="auto"/>
              <w:left w:val="single" w:sz="4" w:space="0" w:color="auto"/>
            </w:tcBorders>
            <w:shd w:val="clear" w:color="auto" w:fill="auto"/>
            <w:vAlign w:val="bottom"/>
          </w:tcPr>
          <w:p w14:paraId="2D542994" w14:textId="6BDC7917" w:rsidR="00D67D34" w:rsidRPr="00314858" w:rsidRDefault="00634E8D"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c>
          <w:tcPr>
            <w:tcW w:w="1551" w:type="pct"/>
            <w:tcBorders>
              <w:top w:val="single" w:sz="4" w:space="0" w:color="auto"/>
              <w:left w:val="single" w:sz="4" w:space="0" w:color="auto"/>
              <w:right w:val="single" w:sz="4" w:space="0" w:color="auto"/>
            </w:tcBorders>
            <w:shd w:val="clear" w:color="auto" w:fill="auto"/>
            <w:vAlign w:val="bottom"/>
          </w:tcPr>
          <w:p w14:paraId="10CBF0CE" w14:textId="041E483E" w:rsidR="00D67D34" w:rsidRPr="00314858" w:rsidRDefault="00634E8D"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r>
      <w:tr w:rsidR="00695336" w:rsidRPr="00314858" w14:paraId="1CE6E128"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41ABEB73" w14:textId="77777777" w:rsidR="00D67D34" w:rsidRPr="00314858" w:rsidRDefault="00D67D34" w:rsidP="00695336">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Alopecija</w:t>
            </w:r>
          </w:p>
        </w:tc>
        <w:tc>
          <w:tcPr>
            <w:tcW w:w="1552" w:type="pct"/>
            <w:tcBorders>
              <w:top w:val="single" w:sz="4" w:space="0" w:color="auto"/>
              <w:left w:val="single" w:sz="4" w:space="0" w:color="auto"/>
            </w:tcBorders>
            <w:shd w:val="clear" w:color="auto" w:fill="auto"/>
            <w:vAlign w:val="bottom"/>
          </w:tcPr>
          <w:p w14:paraId="7B747E0E" w14:textId="547B03C8" w:rsidR="00D67D34" w:rsidRPr="00314858" w:rsidRDefault="00634E8D"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nepoznat</w:t>
            </w:r>
            <w:r w:rsidR="0053352A" w:rsidRPr="00314858">
              <w:rPr>
                <w:rFonts w:ascii="Times New Roman" w:hAnsi="Times New Roman" w:cs="Times New Roman"/>
                <w:lang w:val="sr-Latn-ME" w:bidi="en-US"/>
              </w:rPr>
              <w:t>o</w:t>
            </w:r>
          </w:p>
        </w:tc>
        <w:tc>
          <w:tcPr>
            <w:tcW w:w="1551" w:type="pct"/>
            <w:tcBorders>
              <w:top w:val="single" w:sz="4" w:space="0" w:color="auto"/>
              <w:left w:val="single" w:sz="4" w:space="0" w:color="auto"/>
              <w:right w:val="single" w:sz="4" w:space="0" w:color="auto"/>
            </w:tcBorders>
            <w:shd w:val="clear" w:color="auto" w:fill="auto"/>
            <w:vAlign w:val="bottom"/>
          </w:tcPr>
          <w:p w14:paraId="3F14D2C7" w14:textId="0E4CF3B0" w:rsidR="00D67D34" w:rsidRPr="00314858" w:rsidRDefault="00634E8D" w:rsidP="0053352A">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nepoznat</w:t>
            </w:r>
            <w:r w:rsidR="0053352A" w:rsidRPr="00314858">
              <w:rPr>
                <w:rFonts w:ascii="Times New Roman" w:hAnsi="Times New Roman" w:cs="Times New Roman"/>
                <w:lang w:val="sr-Latn-ME" w:bidi="en-US"/>
              </w:rPr>
              <w:t>o</w:t>
            </w:r>
          </w:p>
        </w:tc>
      </w:tr>
      <w:tr w:rsidR="00D67D34" w:rsidRPr="00314858" w14:paraId="3B3D162F"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tcPr>
          <w:p w14:paraId="60586C3C" w14:textId="46356E8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Poremećaji mišićno-koštanog sistema i vezivnog tkiva</w:t>
            </w:r>
          </w:p>
        </w:tc>
      </w:tr>
      <w:tr w:rsidR="00695336" w:rsidRPr="00314858" w14:paraId="7F548677"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3188E17E" w14:textId="77777777" w:rsidR="00D67D34" w:rsidRPr="00314858" w:rsidRDefault="00D67D34" w:rsidP="00673869">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Hemartroza</w:t>
            </w:r>
          </w:p>
        </w:tc>
        <w:tc>
          <w:tcPr>
            <w:tcW w:w="1552" w:type="pct"/>
            <w:tcBorders>
              <w:top w:val="single" w:sz="4" w:space="0" w:color="auto"/>
              <w:left w:val="single" w:sz="4" w:space="0" w:color="auto"/>
            </w:tcBorders>
            <w:shd w:val="clear" w:color="auto" w:fill="auto"/>
            <w:vAlign w:val="bottom"/>
          </w:tcPr>
          <w:p w14:paraId="6B3F5F22" w14:textId="50FDE5C7" w:rsidR="00D67D34" w:rsidRPr="00314858" w:rsidRDefault="00F67B7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1" w:type="pct"/>
            <w:tcBorders>
              <w:top w:val="single" w:sz="4" w:space="0" w:color="auto"/>
              <w:left w:val="single" w:sz="4" w:space="0" w:color="auto"/>
              <w:right w:val="single" w:sz="4" w:space="0" w:color="auto"/>
            </w:tcBorders>
            <w:shd w:val="clear" w:color="auto" w:fill="auto"/>
            <w:vAlign w:val="bottom"/>
          </w:tcPr>
          <w:p w14:paraId="79319CAD" w14:textId="036870DF" w:rsidR="00D67D34" w:rsidRPr="00314858" w:rsidRDefault="00F67B7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D67D34" w:rsidRPr="00314858" w14:paraId="61BE9C24"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68B7798A" w14:textId="7F046FB2"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Poreme</w:t>
            </w:r>
            <w:r w:rsidR="00673869" w:rsidRPr="00314858">
              <w:rPr>
                <w:rFonts w:ascii="Times New Roman" w:hAnsi="Times New Roman" w:cs="Times New Roman"/>
                <w:lang w:val="sr-Latn-ME" w:bidi="en-US"/>
              </w:rPr>
              <w:t>ć</w:t>
            </w:r>
            <w:r w:rsidRPr="00314858">
              <w:rPr>
                <w:rFonts w:ascii="Times New Roman" w:hAnsi="Times New Roman" w:cs="Times New Roman"/>
                <w:lang w:val="sr-Latn-ME" w:bidi="en-US"/>
              </w:rPr>
              <w:t>aji bubrega i urinarnog sistema</w:t>
            </w:r>
          </w:p>
        </w:tc>
      </w:tr>
      <w:tr w:rsidR="00695336" w:rsidRPr="00314858" w14:paraId="4A1E7E7C"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6878F854" w14:textId="58BED78D" w:rsidR="00D67D34" w:rsidRPr="00314858" w:rsidRDefault="00F67B70" w:rsidP="00673869">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Urogenitalno krvarenje</w:t>
            </w:r>
            <w:r w:rsidR="00D67D34" w:rsidRPr="00314858">
              <w:rPr>
                <w:rFonts w:ascii="Times New Roman" w:hAnsi="Times New Roman" w:cs="Times New Roman"/>
                <w:lang w:val="sr-Latn-ME" w:bidi="en-US"/>
              </w:rPr>
              <w:t>,</w:t>
            </w:r>
            <w:r w:rsidR="00673869" w:rsidRPr="00314858">
              <w:rPr>
                <w:rFonts w:ascii="Times New Roman" w:hAnsi="Times New Roman" w:cs="Times New Roman"/>
                <w:lang w:val="sr-Latn-ME" w:bidi="en-US"/>
              </w:rPr>
              <w:t xml:space="preserve"> </w:t>
            </w:r>
            <w:r w:rsidR="00D67D34" w:rsidRPr="00314858">
              <w:rPr>
                <w:rFonts w:ascii="Times New Roman" w:hAnsi="Times New Roman" w:cs="Times New Roman"/>
                <w:lang w:val="sr-Latn-ME" w:bidi="en-US"/>
              </w:rPr>
              <w:t>uključujući hematuriju</w:t>
            </w:r>
          </w:p>
        </w:tc>
        <w:tc>
          <w:tcPr>
            <w:tcW w:w="1552" w:type="pct"/>
            <w:tcBorders>
              <w:top w:val="single" w:sz="4" w:space="0" w:color="auto"/>
              <w:left w:val="single" w:sz="4" w:space="0" w:color="auto"/>
            </w:tcBorders>
            <w:shd w:val="clear" w:color="auto" w:fill="auto"/>
          </w:tcPr>
          <w:p w14:paraId="03DB93E6" w14:textId="2C60336F" w:rsidR="00D67D34" w:rsidRPr="00314858" w:rsidRDefault="00F67B7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c>
          <w:tcPr>
            <w:tcW w:w="1551" w:type="pct"/>
            <w:tcBorders>
              <w:top w:val="single" w:sz="4" w:space="0" w:color="auto"/>
              <w:left w:val="single" w:sz="4" w:space="0" w:color="auto"/>
              <w:right w:val="single" w:sz="4" w:space="0" w:color="auto"/>
            </w:tcBorders>
            <w:shd w:val="clear" w:color="auto" w:fill="auto"/>
          </w:tcPr>
          <w:p w14:paraId="19C588D1" w14:textId="01A202CB" w:rsidR="00D67D34" w:rsidRPr="00314858" w:rsidRDefault="00F67B7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č</w:t>
            </w:r>
            <w:r w:rsidR="00D67D34" w:rsidRPr="00314858">
              <w:rPr>
                <w:rFonts w:ascii="Times New Roman" w:hAnsi="Times New Roman" w:cs="Times New Roman"/>
                <w:lang w:val="sr-Latn-ME" w:bidi="en-US"/>
              </w:rPr>
              <w:t>esto</w:t>
            </w:r>
          </w:p>
        </w:tc>
      </w:tr>
      <w:tr w:rsidR="00D67D34" w:rsidRPr="00314858" w14:paraId="580CCCD1"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tcPr>
          <w:p w14:paraId="0EE73C9B" w14:textId="746EFE63"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Opšti poremećaji i reakcije na m</w:t>
            </w:r>
            <w:r w:rsidR="0053352A" w:rsidRPr="00314858">
              <w:rPr>
                <w:rFonts w:ascii="Times New Roman" w:hAnsi="Times New Roman" w:cs="Times New Roman"/>
                <w:lang w:val="sr-Latn-ME" w:bidi="en-US"/>
              </w:rPr>
              <w:t>j</w:t>
            </w:r>
            <w:r w:rsidRPr="00314858">
              <w:rPr>
                <w:rFonts w:ascii="Times New Roman" w:hAnsi="Times New Roman" w:cs="Times New Roman"/>
                <w:lang w:val="sr-Latn-ME" w:bidi="en-US"/>
              </w:rPr>
              <w:t>estu prim</w:t>
            </w:r>
            <w:r w:rsidR="007B44F8" w:rsidRPr="00314858">
              <w:rPr>
                <w:rFonts w:ascii="Times New Roman" w:hAnsi="Times New Roman" w:cs="Times New Roman"/>
                <w:lang w:val="sr-Latn-ME" w:bidi="en-US"/>
              </w:rPr>
              <w:t>j</w:t>
            </w:r>
            <w:r w:rsidRPr="00314858">
              <w:rPr>
                <w:rFonts w:ascii="Times New Roman" w:hAnsi="Times New Roman" w:cs="Times New Roman"/>
                <w:lang w:val="sr-Latn-ME" w:bidi="en-US"/>
              </w:rPr>
              <w:t>ene</w:t>
            </w:r>
          </w:p>
        </w:tc>
      </w:tr>
      <w:tr w:rsidR="00695336" w:rsidRPr="00314858" w14:paraId="2AB06A65"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7E1A44D7" w14:textId="1FD3BAD2" w:rsidR="00D67D34" w:rsidRPr="00314858" w:rsidRDefault="00F67B70" w:rsidP="00673869">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Krvarenje</w:t>
            </w:r>
            <w:r w:rsidR="00D67D34" w:rsidRPr="00314858">
              <w:rPr>
                <w:rFonts w:ascii="Times New Roman" w:hAnsi="Times New Roman" w:cs="Times New Roman"/>
                <w:lang w:val="sr-Latn-ME" w:bidi="en-US"/>
              </w:rPr>
              <w:t xml:space="preserve"> na m</w:t>
            </w:r>
            <w:r w:rsidR="007B44F8" w:rsidRPr="00314858">
              <w:rPr>
                <w:rFonts w:ascii="Times New Roman" w:hAnsi="Times New Roman" w:cs="Times New Roman"/>
                <w:lang w:val="sr-Latn-ME" w:bidi="en-US"/>
              </w:rPr>
              <w:t>j</w:t>
            </w:r>
            <w:r w:rsidR="00D67D34" w:rsidRPr="00314858">
              <w:rPr>
                <w:rFonts w:ascii="Times New Roman" w:hAnsi="Times New Roman" w:cs="Times New Roman"/>
                <w:lang w:val="sr-Latn-ME" w:bidi="en-US"/>
              </w:rPr>
              <w:t xml:space="preserve">estu injekcije </w:t>
            </w:r>
          </w:p>
        </w:tc>
        <w:tc>
          <w:tcPr>
            <w:tcW w:w="1552" w:type="pct"/>
            <w:tcBorders>
              <w:top w:val="single" w:sz="4" w:space="0" w:color="auto"/>
              <w:left w:val="single" w:sz="4" w:space="0" w:color="auto"/>
            </w:tcBorders>
            <w:shd w:val="clear" w:color="auto" w:fill="auto"/>
            <w:vAlign w:val="bottom"/>
          </w:tcPr>
          <w:p w14:paraId="50CFE0EB" w14:textId="4432A4EB" w:rsidR="00D67D34" w:rsidRPr="00314858" w:rsidRDefault="00F67B7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1" w:type="pct"/>
            <w:tcBorders>
              <w:top w:val="single" w:sz="4" w:space="0" w:color="auto"/>
              <w:left w:val="single" w:sz="4" w:space="0" w:color="auto"/>
              <w:right w:val="single" w:sz="4" w:space="0" w:color="auto"/>
            </w:tcBorders>
            <w:shd w:val="clear" w:color="auto" w:fill="auto"/>
            <w:vAlign w:val="bottom"/>
          </w:tcPr>
          <w:p w14:paraId="51F4781A" w14:textId="1C9BC471" w:rsidR="00D67D34" w:rsidRPr="00314858" w:rsidRDefault="00F67B7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r>
      <w:tr w:rsidR="00695336" w:rsidRPr="00314858" w14:paraId="6D407776"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4CEE5C36" w14:textId="18B2D705" w:rsidR="00D67D34" w:rsidRPr="00314858" w:rsidRDefault="00F67B70" w:rsidP="00673869">
            <w:pPr>
              <w:spacing w:after="0" w:line="240" w:lineRule="auto"/>
              <w:ind w:left="196"/>
              <w:rPr>
                <w:rFonts w:ascii="Times New Roman" w:hAnsi="Times New Roman" w:cs="Times New Roman"/>
                <w:lang w:val="sr-Latn-ME" w:bidi="en-US"/>
              </w:rPr>
            </w:pPr>
            <w:r w:rsidRPr="00314858">
              <w:rPr>
                <w:rFonts w:ascii="Times New Roman" w:hAnsi="Times New Roman" w:cs="Times New Roman"/>
                <w:lang w:val="sr-Latn-ME" w:bidi="en-US"/>
              </w:rPr>
              <w:t>Krvarenje</w:t>
            </w:r>
            <w:r w:rsidR="00D67D34" w:rsidRPr="00314858">
              <w:rPr>
                <w:rFonts w:ascii="Times New Roman" w:hAnsi="Times New Roman" w:cs="Times New Roman"/>
                <w:lang w:val="sr-Latn-ME" w:bidi="en-US"/>
              </w:rPr>
              <w:t xml:space="preserve"> na m</w:t>
            </w:r>
            <w:r w:rsidR="007B44F8" w:rsidRPr="00314858">
              <w:rPr>
                <w:rFonts w:ascii="Times New Roman" w:hAnsi="Times New Roman" w:cs="Times New Roman"/>
                <w:lang w:val="sr-Latn-ME" w:bidi="en-US"/>
              </w:rPr>
              <w:t>j</w:t>
            </w:r>
            <w:r w:rsidR="00D67D34" w:rsidRPr="00314858">
              <w:rPr>
                <w:rFonts w:ascii="Times New Roman" w:hAnsi="Times New Roman" w:cs="Times New Roman"/>
                <w:lang w:val="sr-Latn-ME" w:bidi="en-US"/>
              </w:rPr>
              <w:t xml:space="preserve">estu katetera </w:t>
            </w:r>
          </w:p>
        </w:tc>
        <w:tc>
          <w:tcPr>
            <w:tcW w:w="1552" w:type="pct"/>
            <w:tcBorders>
              <w:top w:val="single" w:sz="4" w:space="0" w:color="auto"/>
              <w:left w:val="single" w:sz="4" w:space="0" w:color="auto"/>
            </w:tcBorders>
            <w:shd w:val="clear" w:color="auto" w:fill="auto"/>
            <w:vAlign w:val="bottom"/>
          </w:tcPr>
          <w:p w14:paraId="6F54744F" w14:textId="68D69B10" w:rsidR="00D67D34" w:rsidRPr="00314858" w:rsidRDefault="00F67B7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1" w:type="pct"/>
            <w:tcBorders>
              <w:top w:val="single" w:sz="4" w:space="0" w:color="auto"/>
              <w:left w:val="single" w:sz="4" w:space="0" w:color="auto"/>
              <w:right w:val="single" w:sz="4" w:space="0" w:color="auto"/>
            </w:tcBorders>
            <w:shd w:val="clear" w:color="auto" w:fill="auto"/>
            <w:vAlign w:val="bottom"/>
          </w:tcPr>
          <w:p w14:paraId="15FEDBBC" w14:textId="0DFFFE90" w:rsidR="00D67D34" w:rsidRPr="00314858" w:rsidRDefault="00F67B70"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r>
      <w:tr w:rsidR="00D67D34" w:rsidRPr="00314858" w14:paraId="2AD5AFCE" w14:textId="77777777" w:rsidTr="0009272D">
        <w:trPr>
          <w:trHeight w:val="20"/>
          <w:jc w:val="center"/>
        </w:trPr>
        <w:tc>
          <w:tcPr>
            <w:tcW w:w="5000" w:type="pct"/>
            <w:gridSpan w:val="3"/>
            <w:tcBorders>
              <w:top w:val="single" w:sz="4" w:space="0" w:color="auto"/>
              <w:left w:val="single" w:sz="4" w:space="0" w:color="auto"/>
              <w:right w:val="single" w:sz="4" w:space="0" w:color="auto"/>
            </w:tcBorders>
            <w:shd w:val="clear" w:color="auto" w:fill="auto"/>
            <w:vAlign w:val="bottom"/>
          </w:tcPr>
          <w:p w14:paraId="5D33E499"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Povrede, trovanja i proceduralne komplikacije</w:t>
            </w:r>
          </w:p>
        </w:tc>
      </w:tr>
      <w:tr w:rsidR="00695336" w:rsidRPr="00314858" w14:paraId="58A57A3C" w14:textId="77777777" w:rsidTr="00673869">
        <w:trPr>
          <w:trHeight w:val="20"/>
          <w:jc w:val="center"/>
        </w:trPr>
        <w:tc>
          <w:tcPr>
            <w:tcW w:w="1897" w:type="pct"/>
            <w:tcBorders>
              <w:top w:val="single" w:sz="4" w:space="0" w:color="auto"/>
              <w:left w:val="single" w:sz="4" w:space="0" w:color="auto"/>
            </w:tcBorders>
            <w:shd w:val="clear" w:color="auto" w:fill="auto"/>
            <w:vAlign w:val="bottom"/>
          </w:tcPr>
          <w:p w14:paraId="62C62CBA" w14:textId="63ADC5AF" w:rsidR="00D67D34" w:rsidRPr="00314858" w:rsidRDefault="00D67D34" w:rsidP="00673869">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Traumatsk</w:t>
            </w:r>
            <w:r w:rsidR="00184982" w:rsidRPr="00314858">
              <w:rPr>
                <w:rFonts w:ascii="Times New Roman" w:hAnsi="Times New Roman" w:cs="Times New Roman"/>
                <w:lang w:val="sr-Latn-ME" w:bidi="en-US"/>
              </w:rPr>
              <w:t>o krv</w:t>
            </w:r>
            <w:r w:rsidR="007B44F8" w:rsidRPr="00314858">
              <w:rPr>
                <w:rFonts w:ascii="Times New Roman" w:hAnsi="Times New Roman" w:cs="Times New Roman"/>
                <w:lang w:val="sr-Latn-ME" w:bidi="en-US"/>
              </w:rPr>
              <w:t>ar</w:t>
            </w:r>
            <w:r w:rsidR="00184982" w:rsidRPr="00314858">
              <w:rPr>
                <w:rFonts w:ascii="Times New Roman" w:hAnsi="Times New Roman" w:cs="Times New Roman"/>
                <w:lang w:val="sr-Latn-ME" w:bidi="en-US"/>
              </w:rPr>
              <w:t>enje</w:t>
            </w:r>
          </w:p>
        </w:tc>
        <w:tc>
          <w:tcPr>
            <w:tcW w:w="1551" w:type="pct"/>
            <w:tcBorders>
              <w:top w:val="single" w:sz="4" w:space="0" w:color="auto"/>
              <w:left w:val="single" w:sz="4" w:space="0" w:color="auto"/>
            </w:tcBorders>
            <w:shd w:val="clear" w:color="auto" w:fill="auto"/>
            <w:vAlign w:val="bottom"/>
          </w:tcPr>
          <w:p w14:paraId="67AED2EE" w14:textId="0B0C574D" w:rsidR="00D67D34" w:rsidRPr="00314858" w:rsidRDefault="0018498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2" w:type="pct"/>
            <w:tcBorders>
              <w:top w:val="single" w:sz="4" w:space="0" w:color="auto"/>
              <w:left w:val="single" w:sz="4" w:space="0" w:color="auto"/>
              <w:right w:val="single" w:sz="4" w:space="0" w:color="auto"/>
            </w:tcBorders>
            <w:shd w:val="clear" w:color="auto" w:fill="auto"/>
            <w:vAlign w:val="bottom"/>
          </w:tcPr>
          <w:p w14:paraId="38DEDBDD" w14:textId="6E71D102" w:rsidR="00D67D34" w:rsidRPr="00314858" w:rsidRDefault="0018498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p</w:t>
            </w:r>
            <w:r w:rsidR="00D67D34" w:rsidRPr="00314858">
              <w:rPr>
                <w:rFonts w:ascii="Times New Roman" w:hAnsi="Times New Roman" w:cs="Times New Roman"/>
                <w:lang w:val="sr-Latn-ME" w:bidi="en-US"/>
              </w:rPr>
              <w:t>ovremeno</w:t>
            </w:r>
          </w:p>
        </w:tc>
      </w:tr>
      <w:tr w:rsidR="00D67D34" w:rsidRPr="00314858" w14:paraId="18C4CC5C" w14:textId="77777777" w:rsidTr="00673869">
        <w:trPr>
          <w:trHeight w:val="20"/>
          <w:jc w:val="center"/>
        </w:trPr>
        <w:tc>
          <w:tcPr>
            <w:tcW w:w="1897" w:type="pct"/>
            <w:tcBorders>
              <w:top w:val="single" w:sz="4" w:space="0" w:color="auto"/>
              <w:left w:val="single" w:sz="4" w:space="0" w:color="auto"/>
              <w:bottom w:val="single" w:sz="4" w:space="0" w:color="auto"/>
            </w:tcBorders>
            <w:shd w:val="clear" w:color="auto" w:fill="auto"/>
            <w:vAlign w:val="bottom"/>
          </w:tcPr>
          <w:p w14:paraId="5F4F3E8A" w14:textId="15C85149" w:rsidR="00D67D34" w:rsidRPr="00314858" w:rsidRDefault="00184982" w:rsidP="00673869">
            <w:pPr>
              <w:spacing w:after="0" w:line="240" w:lineRule="auto"/>
              <w:ind w:firstLine="196"/>
              <w:jc w:val="both"/>
              <w:rPr>
                <w:rFonts w:ascii="Times New Roman" w:hAnsi="Times New Roman" w:cs="Times New Roman"/>
                <w:lang w:val="sr-Latn-ME" w:bidi="en-US"/>
              </w:rPr>
            </w:pPr>
            <w:r w:rsidRPr="00314858">
              <w:rPr>
                <w:rFonts w:ascii="Times New Roman" w:hAnsi="Times New Roman" w:cs="Times New Roman"/>
                <w:lang w:val="sr-Latn-ME" w:bidi="en-US"/>
              </w:rPr>
              <w:t>Krvarenje</w:t>
            </w:r>
            <w:r w:rsidR="00D67D34" w:rsidRPr="00314858">
              <w:rPr>
                <w:rFonts w:ascii="Times New Roman" w:hAnsi="Times New Roman" w:cs="Times New Roman"/>
                <w:lang w:val="sr-Latn-ME" w:bidi="en-US"/>
              </w:rPr>
              <w:t xml:space="preserve"> na m</w:t>
            </w:r>
            <w:r w:rsidR="007B44F8" w:rsidRPr="00314858">
              <w:rPr>
                <w:rFonts w:ascii="Times New Roman" w:hAnsi="Times New Roman" w:cs="Times New Roman"/>
                <w:lang w:val="sr-Latn-ME" w:bidi="en-US"/>
              </w:rPr>
              <w:t>j</w:t>
            </w:r>
            <w:r w:rsidR="00D67D34" w:rsidRPr="00314858">
              <w:rPr>
                <w:rFonts w:ascii="Times New Roman" w:hAnsi="Times New Roman" w:cs="Times New Roman"/>
                <w:lang w:val="sr-Latn-ME" w:bidi="en-US"/>
              </w:rPr>
              <w:t>estu incizije</w:t>
            </w:r>
          </w:p>
        </w:tc>
        <w:tc>
          <w:tcPr>
            <w:tcW w:w="1551" w:type="pct"/>
            <w:tcBorders>
              <w:top w:val="single" w:sz="4" w:space="0" w:color="auto"/>
              <w:left w:val="single" w:sz="4" w:space="0" w:color="auto"/>
              <w:bottom w:val="single" w:sz="4" w:space="0" w:color="auto"/>
            </w:tcBorders>
            <w:shd w:val="clear" w:color="auto" w:fill="auto"/>
            <w:vAlign w:val="bottom"/>
          </w:tcPr>
          <w:p w14:paraId="7E1F1FCD" w14:textId="3DEB4531" w:rsidR="00D67D34" w:rsidRPr="00314858" w:rsidRDefault="0018498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c>
          <w:tcPr>
            <w:tcW w:w="1552" w:type="pct"/>
            <w:tcBorders>
              <w:top w:val="single" w:sz="4" w:space="0" w:color="auto"/>
              <w:left w:val="single" w:sz="4" w:space="0" w:color="auto"/>
              <w:bottom w:val="single" w:sz="4" w:space="0" w:color="auto"/>
              <w:right w:val="single" w:sz="4" w:space="0" w:color="auto"/>
            </w:tcBorders>
            <w:shd w:val="clear" w:color="auto" w:fill="auto"/>
            <w:vAlign w:val="bottom"/>
          </w:tcPr>
          <w:p w14:paraId="0B13FC5A" w14:textId="3A1DEE41" w:rsidR="00D67D34" w:rsidRPr="00314858" w:rsidRDefault="00184982"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r</w:t>
            </w:r>
            <w:r w:rsidR="007B44F8" w:rsidRPr="00314858">
              <w:rPr>
                <w:rFonts w:ascii="Times New Roman" w:hAnsi="Times New Roman" w:cs="Times New Roman"/>
                <w:lang w:val="sr-Latn-ME" w:bidi="en-US"/>
              </w:rPr>
              <w:t>ij</w:t>
            </w:r>
            <w:r w:rsidR="00D67D34" w:rsidRPr="00314858">
              <w:rPr>
                <w:rFonts w:ascii="Times New Roman" w:hAnsi="Times New Roman" w:cs="Times New Roman"/>
                <w:lang w:val="sr-Latn-ME" w:bidi="en-US"/>
              </w:rPr>
              <w:t>etko</w:t>
            </w:r>
          </w:p>
        </w:tc>
      </w:tr>
    </w:tbl>
    <w:p w14:paraId="53761FCE" w14:textId="77777777" w:rsidR="00D67D34" w:rsidRPr="00314858" w:rsidRDefault="00D67D34" w:rsidP="00D67D34">
      <w:pPr>
        <w:spacing w:after="0" w:line="240" w:lineRule="auto"/>
        <w:jc w:val="both"/>
        <w:rPr>
          <w:rFonts w:ascii="Times New Roman" w:hAnsi="Times New Roman" w:cs="Times New Roman"/>
          <w:lang w:val="sr-Latn-ME" w:bidi="en-US"/>
        </w:rPr>
      </w:pPr>
    </w:p>
    <w:p w14:paraId="75AEF441" w14:textId="4F5EBFB8"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Opis odabranih neželjenih reakcija</w:t>
      </w:r>
    </w:p>
    <w:p w14:paraId="00EDD5E8" w14:textId="77777777" w:rsidR="0009272D" w:rsidRPr="00314858" w:rsidRDefault="0009272D" w:rsidP="00D67D34">
      <w:pPr>
        <w:spacing w:after="0" w:line="240" w:lineRule="auto"/>
        <w:jc w:val="both"/>
        <w:rPr>
          <w:rFonts w:ascii="Times New Roman" w:hAnsi="Times New Roman" w:cs="Times New Roman"/>
          <w:u w:val="single"/>
          <w:lang w:val="sr-Latn-ME"/>
        </w:rPr>
      </w:pPr>
    </w:p>
    <w:p w14:paraId="53DD5A52" w14:textId="3F33D383" w:rsidR="00D67D34" w:rsidRPr="00314858" w:rsidRDefault="00D67D34" w:rsidP="00D67D34">
      <w:pPr>
        <w:spacing w:after="0" w:line="240" w:lineRule="auto"/>
        <w:jc w:val="both"/>
        <w:rPr>
          <w:rFonts w:ascii="Times New Roman" w:hAnsi="Times New Roman" w:cs="Times New Roman"/>
          <w:bCs/>
          <w:i/>
          <w:u w:val="single"/>
          <w:lang w:val="sr-Latn-ME"/>
        </w:rPr>
      </w:pPr>
      <w:r w:rsidRPr="00314858">
        <w:rPr>
          <w:rFonts w:ascii="Times New Roman" w:hAnsi="Times New Roman" w:cs="Times New Roman"/>
          <w:bCs/>
          <w:i/>
          <w:u w:val="single"/>
          <w:lang w:val="sr-Latn-ME"/>
        </w:rPr>
        <w:t>Reakcije krvarenja</w:t>
      </w:r>
    </w:p>
    <w:p w14:paraId="42462534" w14:textId="77777777" w:rsidR="0009272D" w:rsidRPr="00314858" w:rsidRDefault="0009272D" w:rsidP="00D67D34">
      <w:pPr>
        <w:spacing w:after="0" w:line="240" w:lineRule="auto"/>
        <w:jc w:val="both"/>
        <w:rPr>
          <w:rFonts w:ascii="Times New Roman" w:hAnsi="Times New Roman" w:cs="Times New Roman"/>
          <w:bCs/>
          <w:i/>
          <w:u w:val="single"/>
          <w:lang w:val="sr-Latn-ME"/>
        </w:rPr>
      </w:pPr>
    </w:p>
    <w:p w14:paraId="6DDEED9A" w14:textId="289C9948"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Zbog farmakološkog načina dejstva, prim</w:t>
      </w:r>
      <w:r w:rsidR="007B44F8" w:rsidRPr="00314858">
        <w:rPr>
          <w:rFonts w:ascii="Times New Roman" w:hAnsi="Times New Roman" w:cs="Times New Roman"/>
          <w:lang w:val="sr-Latn-ME"/>
        </w:rPr>
        <w:t>j</w:t>
      </w:r>
      <w:r w:rsidRPr="00314858">
        <w:rPr>
          <w:rFonts w:ascii="Times New Roman" w:hAnsi="Times New Roman" w:cs="Times New Roman"/>
          <w:lang w:val="sr-Latn-ME"/>
        </w:rPr>
        <w:t xml:space="preserve">ena dabigatraneteksilata može </w:t>
      </w:r>
      <w:r w:rsidR="00014007" w:rsidRPr="00314858">
        <w:rPr>
          <w:rFonts w:ascii="Times New Roman" w:hAnsi="Times New Roman" w:cs="Times New Roman"/>
          <w:lang w:val="sr-Latn-ME"/>
        </w:rPr>
        <w:t>da bude</w:t>
      </w:r>
      <w:r w:rsidRPr="00314858">
        <w:rPr>
          <w:rFonts w:ascii="Times New Roman" w:hAnsi="Times New Roman" w:cs="Times New Roman"/>
          <w:lang w:val="sr-Latn-ME"/>
        </w:rPr>
        <w:t xml:space="preserve"> povezana sa povećanim rizikom od okultnog ili vidljivog krvarenja iz bilo kog tkiva ili organa. Znaci, simptomi i težina (uključujući smrtni ishod) razlikovaće se zavisno od m</w:t>
      </w:r>
      <w:r w:rsidR="007B44F8" w:rsidRPr="00314858">
        <w:rPr>
          <w:rFonts w:ascii="Times New Roman" w:hAnsi="Times New Roman" w:cs="Times New Roman"/>
          <w:lang w:val="sr-Latn-ME"/>
        </w:rPr>
        <w:t>j</w:t>
      </w:r>
      <w:r w:rsidRPr="00314858">
        <w:rPr>
          <w:rFonts w:ascii="Times New Roman" w:hAnsi="Times New Roman" w:cs="Times New Roman"/>
          <w:lang w:val="sr-Latn-ME"/>
        </w:rPr>
        <w:t xml:space="preserve">esta i stepena ili obimnosti krvarenja i/ili anemije. U kliničkim </w:t>
      </w:r>
      <w:r w:rsidR="00673869" w:rsidRPr="00314858">
        <w:rPr>
          <w:rFonts w:ascii="Times New Roman" w:hAnsi="Times New Roman" w:cs="Times New Roman"/>
          <w:lang w:val="sr-Latn-ME"/>
        </w:rPr>
        <w:t>studijama</w:t>
      </w:r>
      <w:r w:rsidRPr="00314858">
        <w:rPr>
          <w:rFonts w:ascii="Times New Roman" w:hAnsi="Times New Roman" w:cs="Times New Roman"/>
          <w:lang w:val="sr-Latn-ME"/>
        </w:rPr>
        <w:t xml:space="preserve"> češća su bila krvarenja iz </w:t>
      </w:r>
      <w:r w:rsidR="00014007" w:rsidRPr="00314858">
        <w:rPr>
          <w:rFonts w:ascii="Times New Roman" w:hAnsi="Times New Roman" w:cs="Times New Roman"/>
          <w:lang w:val="sr-Latn-ME"/>
        </w:rPr>
        <w:t>sluzokože</w:t>
      </w:r>
      <w:r w:rsidRPr="00314858">
        <w:rPr>
          <w:rFonts w:ascii="Times New Roman" w:hAnsi="Times New Roman" w:cs="Times New Roman"/>
          <w:lang w:val="sr-Latn-ME"/>
        </w:rPr>
        <w:t xml:space="preserve"> (npr, gastrointestinalno, urogenitalno) tokom dugotrajne terapije dabigatraneteksilatom u poređenju s</w:t>
      </w:r>
      <w:r w:rsidR="00673869" w:rsidRPr="00314858">
        <w:rPr>
          <w:rFonts w:ascii="Times New Roman" w:hAnsi="Times New Roman" w:cs="Times New Roman"/>
          <w:lang w:val="sr-Latn-ME"/>
        </w:rPr>
        <w:t>a</w:t>
      </w:r>
      <w:r w:rsidRPr="00314858">
        <w:rPr>
          <w:rFonts w:ascii="Times New Roman" w:hAnsi="Times New Roman" w:cs="Times New Roman"/>
          <w:lang w:val="sr-Latn-ME"/>
        </w:rPr>
        <w:t xml:space="preserve"> terapijom antagonistima vitamina K (VKA). Stoga, uz odgovarajuće kliničko praćenje, korisno je i laboratorijsko određivanje hemoglobina/hematokrita za otkrivanje okultnog krvarenja. Rizik od krvarenja može biti povećan </w:t>
      </w:r>
      <w:r w:rsidR="00673869" w:rsidRPr="00314858">
        <w:rPr>
          <w:rFonts w:ascii="Times New Roman" w:hAnsi="Times New Roman" w:cs="Times New Roman"/>
          <w:lang w:val="sr-Latn-ME"/>
        </w:rPr>
        <w:t>kod</w:t>
      </w:r>
      <w:r w:rsidRPr="00314858">
        <w:rPr>
          <w:rFonts w:ascii="Times New Roman" w:hAnsi="Times New Roman" w:cs="Times New Roman"/>
          <w:lang w:val="sr-Latn-ME"/>
        </w:rPr>
        <w:t xml:space="preserve"> određeni</w:t>
      </w:r>
      <w:r w:rsidR="00673869" w:rsidRPr="00314858">
        <w:rPr>
          <w:rFonts w:ascii="Times New Roman" w:hAnsi="Times New Roman" w:cs="Times New Roman"/>
          <w:lang w:val="sr-Latn-ME"/>
        </w:rPr>
        <w:t>h</w:t>
      </w:r>
      <w:r w:rsidRPr="00314858">
        <w:rPr>
          <w:rFonts w:ascii="Times New Roman" w:hAnsi="Times New Roman" w:cs="Times New Roman"/>
          <w:lang w:val="sr-Latn-ME"/>
        </w:rPr>
        <w:t xml:space="preserve"> grup</w:t>
      </w:r>
      <w:r w:rsidR="00673869" w:rsidRPr="00314858">
        <w:rPr>
          <w:rFonts w:ascii="Times New Roman" w:hAnsi="Times New Roman" w:cs="Times New Roman"/>
          <w:lang w:val="sr-Latn-ME"/>
        </w:rPr>
        <w:t>a</w:t>
      </w:r>
      <w:r w:rsidRPr="00314858">
        <w:rPr>
          <w:rFonts w:ascii="Times New Roman" w:hAnsi="Times New Roman" w:cs="Times New Roman"/>
          <w:lang w:val="sr-Latn-ME"/>
        </w:rPr>
        <w:t xml:space="preserve"> pacijenata, npr. pacijenata s</w:t>
      </w:r>
      <w:r w:rsidR="00014007" w:rsidRPr="00314858">
        <w:rPr>
          <w:rFonts w:ascii="Times New Roman" w:hAnsi="Times New Roman" w:cs="Times New Roman"/>
          <w:lang w:val="sr-Latn-ME"/>
        </w:rPr>
        <w:t>a</w:t>
      </w:r>
      <w:r w:rsidRPr="00314858">
        <w:rPr>
          <w:rFonts w:ascii="Times New Roman" w:hAnsi="Times New Roman" w:cs="Times New Roman"/>
          <w:lang w:val="sr-Latn-ME"/>
        </w:rPr>
        <w:t xml:space="preserve"> um</w:t>
      </w:r>
      <w:r w:rsidR="007B44F8" w:rsidRPr="00314858">
        <w:rPr>
          <w:rFonts w:ascii="Times New Roman" w:hAnsi="Times New Roman" w:cs="Times New Roman"/>
          <w:lang w:val="sr-Latn-ME"/>
        </w:rPr>
        <w:t>j</w:t>
      </w:r>
      <w:r w:rsidRPr="00314858">
        <w:rPr>
          <w:rFonts w:ascii="Times New Roman" w:hAnsi="Times New Roman" w:cs="Times New Roman"/>
          <w:lang w:val="sr-Latn-ME"/>
        </w:rPr>
        <w:t>erenim oštećenjem funkcije bubrega i/ili na istovremenoj terapiji koja utiče na hemostazu ili na terapiji snažnim P-gp inhibitorima (vid</w:t>
      </w:r>
      <w:r w:rsidR="007B44F8"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7B44F8" w:rsidRPr="00314858">
        <w:rPr>
          <w:rFonts w:ascii="Times New Roman" w:hAnsi="Times New Roman" w:cs="Times New Roman"/>
          <w:lang w:val="sr-Latn-ME"/>
        </w:rPr>
        <w:t>dio</w:t>
      </w:r>
      <w:r w:rsidRPr="00314858">
        <w:rPr>
          <w:rFonts w:ascii="Times New Roman" w:hAnsi="Times New Roman" w:cs="Times New Roman"/>
          <w:lang w:val="sr-Latn-ME"/>
        </w:rPr>
        <w:t xml:space="preserve"> 4.4 Rizik od </w:t>
      </w:r>
      <w:r w:rsidR="00014007" w:rsidRPr="00314858">
        <w:rPr>
          <w:rFonts w:ascii="Times New Roman" w:hAnsi="Times New Roman" w:cs="Times New Roman"/>
          <w:lang w:val="sr-Latn-ME"/>
        </w:rPr>
        <w:t>krvarenja</w:t>
      </w:r>
      <w:r w:rsidRPr="00314858">
        <w:rPr>
          <w:rFonts w:ascii="Times New Roman" w:hAnsi="Times New Roman" w:cs="Times New Roman"/>
          <w:lang w:val="sr-Latn-ME"/>
        </w:rPr>
        <w:t>). Hemoragijske komplikacije mogu se manifestovati kao slabost, bl</w:t>
      </w:r>
      <w:r w:rsidR="0053352A" w:rsidRPr="00314858">
        <w:rPr>
          <w:rFonts w:ascii="Times New Roman" w:hAnsi="Times New Roman" w:cs="Times New Roman"/>
          <w:lang w:val="sr-Latn-ME"/>
        </w:rPr>
        <w:t>j</w:t>
      </w:r>
      <w:r w:rsidRPr="00314858">
        <w:rPr>
          <w:rFonts w:ascii="Times New Roman" w:hAnsi="Times New Roman" w:cs="Times New Roman"/>
          <w:lang w:val="sr-Latn-ME"/>
        </w:rPr>
        <w:t>edilo, vrtoglavica, glavobolja ili neobjašnjeno oticanje, dispnea i neobjašnjeni šok.</w:t>
      </w:r>
    </w:p>
    <w:p w14:paraId="6E47E568" w14:textId="77777777" w:rsidR="0009272D" w:rsidRPr="00314858" w:rsidRDefault="0009272D" w:rsidP="00D67D34">
      <w:pPr>
        <w:spacing w:after="0" w:line="240" w:lineRule="auto"/>
        <w:jc w:val="both"/>
        <w:rPr>
          <w:rFonts w:ascii="Times New Roman" w:hAnsi="Times New Roman" w:cs="Times New Roman"/>
          <w:lang w:val="sr-Latn-ME"/>
        </w:rPr>
      </w:pPr>
    </w:p>
    <w:p w14:paraId="1C4E29C7" w14:textId="60D0DEDB" w:rsidR="00D67D34" w:rsidRPr="00314858" w:rsidRDefault="00D67D34" w:rsidP="00D67D34">
      <w:pPr>
        <w:spacing w:after="0" w:line="240" w:lineRule="auto"/>
        <w:jc w:val="both"/>
        <w:rPr>
          <w:rFonts w:ascii="Times New Roman" w:hAnsi="Times New Roman" w:cs="Times New Roman"/>
          <w:b/>
          <w:bCs/>
          <w:lang w:val="sr-Latn-ME"/>
        </w:rPr>
      </w:pPr>
      <w:r w:rsidRPr="00314858">
        <w:rPr>
          <w:rFonts w:ascii="Times New Roman" w:hAnsi="Times New Roman" w:cs="Times New Roman"/>
          <w:lang w:val="sr-Latn-ME"/>
        </w:rPr>
        <w:t>U terapiji sa dabigatraneteksilatom prijavljene su poznate komplikacije krvarenja poput kompartment sindroma i akutne bubrežne insuficijencije zbog hipoperfuzije</w:t>
      </w:r>
      <w:r w:rsidR="006E2F37" w:rsidRPr="00314858">
        <w:rPr>
          <w:rFonts w:ascii="Times New Roman" w:hAnsi="Times New Roman" w:cs="Times New Roman"/>
          <w:lang w:val="sr-Latn-ME"/>
        </w:rPr>
        <w:t xml:space="preserve"> i nefropatija povezana sa antikoagulanasima kod pacijenata sa predisponirajućim faktorima rizika</w:t>
      </w:r>
      <w:r w:rsidRPr="00314858">
        <w:rPr>
          <w:rFonts w:ascii="Times New Roman" w:hAnsi="Times New Roman" w:cs="Times New Roman"/>
          <w:lang w:val="sr-Latn-ME"/>
        </w:rPr>
        <w:t>. Stoga je prilikom proc</w:t>
      </w:r>
      <w:r w:rsidR="007B44F8" w:rsidRPr="00314858">
        <w:rPr>
          <w:rFonts w:ascii="Times New Roman" w:hAnsi="Times New Roman" w:cs="Times New Roman"/>
          <w:lang w:val="sr-Latn-ME"/>
        </w:rPr>
        <w:t>j</w:t>
      </w:r>
      <w:r w:rsidRPr="00314858">
        <w:rPr>
          <w:rFonts w:ascii="Times New Roman" w:hAnsi="Times New Roman" w:cs="Times New Roman"/>
          <w:lang w:val="sr-Latn-ME"/>
        </w:rPr>
        <w:t xml:space="preserve">ene stanja svakog pacijenta koji prima antikoagulantnu terapiju potrebno uzeti u obzir mogućnost </w:t>
      </w:r>
      <w:r w:rsidR="006E2F37" w:rsidRPr="00314858">
        <w:rPr>
          <w:rFonts w:ascii="Times New Roman" w:hAnsi="Times New Roman" w:cs="Times New Roman"/>
          <w:lang w:val="sr-Latn-ME"/>
        </w:rPr>
        <w:t>krvarenja</w:t>
      </w:r>
      <w:r w:rsidRPr="00314858">
        <w:rPr>
          <w:rFonts w:ascii="Times New Roman" w:hAnsi="Times New Roman" w:cs="Times New Roman"/>
          <w:lang w:val="sr-Latn-ME"/>
        </w:rPr>
        <w:t>. U slučaju krvarenja koje se ne može kontrolisati, kod odraslih pacijenata dostupan je specifičan antagonist</w:t>
      </w:r>
      <w:r w:rsidR="00673869" w:rsidRPr="00314858">
        <w:rPr>
          <w:rFonts w:ascii="Times New Roman" w:hAnsi="Times New Roman" w:cs="Times New Roman"/>
          <w:lang w:val="sr-Latn-ME"/>
        </w:rPr>
        <w:t>a</w:t>
      </w:r>
      <w:r w:rsidRPr="00314858">
        <w:rPr>
          <w:rFonts w:ascii="Times New Roman" w:hAnsi="Times New Roman" w:cs="Times New Roman"/>
          <w:lang w:val="sr-Latn-ME"/>
        </w:rPr>
        <w:t xml:space="preserve"> dabigatraneteksilata koji poništava njegovo dejstvo, idarucizumab (vid</w:t>
      </w:r>
      <w:r w:rsidR="007B44F8"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7B44F8" w:rsidRPr="00314858">
        <w:rPr>
          <w:rFonts w:ascii="Times New Roman" w:hAnsi="Times New Roman" w:cs="Times New Roman"/>
          <w:lang w:val="sr-Latn-ME"/>
        </w:rPr>
        <w:t>dio</w:t>
      </w:r>
      <w:r w:rsidRPr="00314858">
        <w:rPr>
          <w:rFonts w:ascii="Times New Roman" w:hAnsi="Times New Roman" w:cs="Times New Roman"/>
          <w:lang w:val="sr-Latn-ME"/>
        </w:rPr>
        <w:t> 4.9).</w:t>
      </w:r>
    </w:p>
    <w:p w14:paraId="7DA58271" w14:textId="77777777" w:rsidR="00D67D34" w:rsidRPr="00314858" w:rsidRDefault="00D67D34" w:rsidP="00D67D34">
      <w:pPr>
        <w:spacing w:after="0" w:line="240" w:lineRule="auto"/>
        <w:jc w:val="both"/>
        <w:rPr>
          <w:rFonts w:ascii="Times New Roman" w:hAnsi="Times New Roman" w:cs="Times New Roman"/>
          <w:lang w:val="sr-Latn-ME"/>
        </w:rPr>
      </w:pPr>
    </w:p>
    <w:p w14:paraId="518A305F" w14:textId="0DBA0C3F" w:rsidR="00D67D34" w:rsidRPr="00314858" w:rsidRDefault="00D67D34" w:rsidP="00D67D34">
      <w:pPr>
        <w:spacing w:after="0" w:line="240" w:lineRule="auto"/>
        <w:jc w:val="both"/>
        <w:rPr>
          <w:rFonts w:ascii="Times New Roman" w:hAnsi="Times New Roman" w:cs="Times New Roman"/>
          <w:i/>
          <w:iCs/>
          <w:lang w:val="sr-Latn-ME"/>
        </w:rPr>
      </w:pPr>
      <w:r w:rsidRPr="00314858">
        <w:rPr>
          <w:rFonts w:ascii="Times New Roman" w:hAnsi="Times New Roman" w:cs="Times New Roman"/>
          <w:i/>
          <w:iCs/>
          <w:lang w:val="sr-Latn-ME"/>
        </w:rPr>
        <w:t xml:space="preserve">Prevencija moždanog udara i sistemske embolije kod odraslih pacijenata </w:t>
      </w:r>
      <w:r w:rsidR="00352B14" w:rsidRPr="00314858">
        <w:rPr>
          <w:rFonts w:ascii="Times New Roman" w:hAnsi="Times New Roman" w:cs="Times New Roman"/>
          <w:i/>
          <w:iCs/>
          <w:lang w:val="sr-Latn-ME"/>
        </w:rPr>
        <w:t xml:space="preserve">sa </w:t>
      </w:r>
      <w:r w:rsidR="005F6E9E" w:rsidRPr="00314858">
        <w:rPr>
          <w:rFonts w:ascii="Times New Roman" w:hAnsi="Times New Roman" w:cs="Times New Roman"/>
          <w:i/>
          <w:iCs/>
          <w:lang w:val="sr-Latn-ME"/>
        </w:rPr>
        <w:t>nevalvurnom atrijalnom fibrilacijom</w:t>
      </w:r>
      <w:r w:rsidRPr="00314858">
        <w:rPr>
          <w:rFonts w:ascii="Times New Roman" w:hAnsi="Times New Roman" w:cs="Times New Roman"/>
          <w:i/>
          <w:iCs/>
          <w:lang w:val="sr-Latn-ME"/>
        </w:rPr>
        <w:t xml:space="preserve"> sa jednim ili više faktora rizika (</w:t>
      </w:r>
      <w:r w:rsidR="005F6E9E" w:rsidRPr="00314858">
        <w:rPr>
          <w:rFonts w:ascii="Times New Roman" w:hAnsi="Times New Roman" w:cs="Times New Roman"/>
          <w:i/>
          <w:iCs/>
          <w:lang w:val="sr-Latn-ME"/>
        </w:rPr>
        <w:t>prevencija MU i SE kod AF</w:t>
      </w:r>
      <w:r w:rsidRPr="00314858">
        <w:rPr>
          <w:rFonts w:ascii="Times New Roman" w:hAnsi="Times New Roman" w:cs="Times New Roman"/>
          <w:i/>
          <w:iCs/>
          <w:lang w:val="sr-Latn-ME"/>
        </w:rPr>
        <w:t>)</w:t>
      </w:r>
    </w:p>
    <w:p w14:paraId="3D6E8826" w14:textId="4645A33B" w:rsidR="00D67D34" w:rsidRPr="00314858" w:rsidRDefault="00673869"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tabeli 12 su</w:t>
      </w:r>
      <w:r w:rsidR="00D67D34" w:rsidRPr="00314858">
        <w:rPr>
          <w:rFonts w:ascii="Times New Roman" w:hAnsi="Times New Roman" w:cs="Times New Roman"/>
          <w:lang w:val="sr-Latn-ME"/>
        </w:rPr>
        <w:t xml:space="preserve"> prikaz</w:t>
      </w:r>
      <w:r w:rsidRPr="00314858">
        <w:rPr>
          <w:rFonts w:ascii="Times New Roman" w:hAnsi="Times New Roman" w:cs="Times New Roman"/>
          <w:lang w:val="sr-Latn-ME"/>
        </w:rPr>
        <w:t>ani</w:t>
      </w:r>
      <w:r w:rsidR="00D67D34" w:rsidRPr="00314858">
        <w:rPr>
          <w:rFonts w:ascii="Times New Roman" w:hAnsi="Times New Roman" w:cs="Times New Roman"/>
          <w:lang w:val="sr-Latn-ME"/>
        </w:rPr>
        <w:t xml:space="preserve"> događaj</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krvarenja </w:t>
      </w:r>
      <w:r w:rsidR="002E0EC1" w:rsidRPr="00314858">
        <w:rPr>
          <w:rFonts w:ascii="Times New Roman" w:hAnsi="Times New Roman" w:cs="Times New Roman"/>
          <w:lang w:val="sr-Latn-ME"/>
        </w:rPr>
        <w:t xml:space="preserve">razloženi na obilnija i bilo koja krvarenja </w:t>
      </w:r>
      <w:r w:rsidR="00D67D34" w:rsidRPr="00314858">
        <w:rPr>
          <w:rFonts w:ascii="Times New Roman" w:hAnsi="Times New Roman" w:cs="Times New Roman"/>
          <w:lang w:val="sr-Latn-ME"/>
        </w:rPr>
        <w:t>u pivotalnoj studiji u kojoj je ispitivana prevencija tromboembolijskog moždanog udara i sistemske embolije kod pacijenata sa atrijalnom fibrilacijom.</w:t>
      </w:r>
    </w:p>
    <w:p w14:paraId="5469F943" w14:textId="77777777" w:rsidR="00D67D34" w:rsidRPr="00314858" w:rsidRDefault="00D67D34" w:rsidP="00D67D34">
      <w:pPr>
        <w:spacing w:after="0" w:line="240" w:lineRule="auto"/>
        <w:jc w:val="both"/>
        <w:rPr>
          <w:rFonts w:ascii="Times New Roman" w:hAnsi="Times New Roman" w:cs="Times New Roman"/>
          <w:i/>
          <w:iCs/>
          <w:lang w:val="sr-Latn-ME"/>
        </w:rPr>
      </w:pPr>
    </w:p>
    <w:p w14:paraId="25A1B03A" w14:textId="1A4FC961"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12</w:t>
      </w:r>
      <w:r w:rsidR="002E0EC1"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Događaji</w:t>
      </w:r>
      <w:r w:rsidRPr="00314858">
        <w:rPr>
          <w:rFonts w:ascii="Times New Roman" w:hAnsi="Times New Roman" w:cs="Times New Roman"/>
          <w:b/>
          <w:lang w:val="sr-Latn-ME"/>
        </w:rPr>
        <w:t xml:space="preserve"> krvarenja u studiji u kojoj je ispitivana prevencija tromboembolijskog moždanog udara i sistemske embolije kod pacijenata sa atrijalnom fibrilacijom</w:t>
      </w:r>
    </w:p>
    <w:p w14:paraId="0FE0E5CD" w14:textId="77777777" w:rsidR="002E0EC1" w:rsidRPr="00314858" w:rsidRDefault="002E0EC1" w:rsidP="00D67D34">
      <w:pPr>
        <w:spacing w:after="0" w:line="240" w:lineRule="auto"/>
        <w:jc w:val="both"/>
        <w:rPr>
          <w:rFonts w:ascii="Times New Roman" w:hAnsi="Times New Roman" w:cs="Times New Roman"/>
          <w:b/>
          <w:bCs/>
          <w:lang w:val="sr-Latn-ME" w:bidi="en-US"/>
        </w:rPr>
      </w:pPr>
    </w:p>
    <w:tbl>
      <w:tblPr>
        <w:tblW w:w="5000" w:type="pct"/>
        <w:tblBorders>
          <w:top w:val="single" w:sz="4" w:space="0" w:color="auto"/>
          <w:left w:val="single" w:sz="4" w:space="0" w:color="auto"/>
          <w:bottom w:val="single" w:sz="4" w:space="0" w:color="auto"/>
          <w:right w:val="single" w:sz="4" w:space="0" w:color="auto"/>
        </w:tblBorders>
        <w:tblCellMar>
          <w:left w:w="85" w:type="dxa"/>
          <w:right w:w="85" w:type="dxa"/>
        </w:tblCellMar>
        <w:tblLook w:val="0000" w:firstRow="0" w:lastRow="0" w:firstColumn="0" w:lastColumn="0" w:noHBand="0" w:noVBand="0"/>
      </w:tblPr>
      <w:tblGrid>
        <w:gridCol w:w="2473"/>
        <w:gridCol w:w="2372"/>
        <w:gridCol w:w="2240"/>
        <w:gridCol w:w="1975"/>
      </w:tblGrid>
      <w:tr w:rsidR="0009272D" w:rsidRPr="00314858" w14:paraId="3907A05B" w14:textId="77777777" w:rsidTr="00673869">
        <w:trPr>
          <w:trHeight w:val="20"/>
        </w:trPr>
        <w:tc>
          <w:tcPr>
            <w:tcW w:w="1365" w:type="pct"/>
            <w:tcBorders>
              <w:top w:val="single" w:sz="4" w:space="0" w:color="auto"/>
              <w:bottom w:val="single" w:sz="4" w:space="0" w:color="auto"/>
              <w:right w:val="single" w:sz="4" w:space="0" w:color="auto"/>
            </w:tcBorders>
            <w:vAlign w:val="center"/>
          </w:tcPr>
          <w:p w14:paraId="46F26508" w14:textId="77777777" w:rsidR="00D67D34" w:rsidRPr="00314858" w:rsidRDefault="00D67D34" w:rsidP="00673869">
            <w:pPr>
              <w:spacing w:after="0" w:line="240" w:lineRule="auto"/>
              <w:jc w:val="center"/>
              <w:rPr>
                <w:rFonts w:ascii="Times New Roman" w:hAnsi="Times New Roman" w:cs="Times New Roman"/>
                <w:lang w:val="sr-Latn-ME"/>
              </w:rPr>
            </w:pPr>
          </w:p>
        </w:tc>
        <w:tc>
          <w:tcPr>
            <w:tcW w:w="1309" w:type="pct"/>
            <w:tcBorders>
              <w:top w:val="single" w:sz="4" w:space="0" w:color="auto"/>
              <w:bottom w:val="single" w:sz="4" w:space="0" w:color="auto"/>
              <w:right w:val="single" w:sz="4" w:space="0" w:color="auto"/>
            </w:tcBorders>
            <w:vAlign w:val="center"/>
          </w:tcPr>
          <w:p w14:paraId="5C1ABF94" w14:textId="110C8BC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 xml:space="preserve">Dabigatraneteksilat 110 mg dva puta </w:t>
            </w:r>
            <w:r w:rsidR="00673869" w:rsidRPr="00314858">
              <w:rPr>
                <w:rFonts w:ascii="Times New Roman" w:hAnsi="Times New Roman" w:cs="Times New Roman"/>
                <w:lang w:val="sr-Latn-ME"/>
              </w:rPr>
              <w:t>dnevno</w:t>
            </w:r>
          </w:p>
        </w:tc>
        <w:tc>
          <w:tcPr>
            <w:tcW w:w="1236" w:type="pct"/>
            <w:tcBorders>
              <w:top w:val="single" w:sz="4" w:space="0" w:color="auto"/>
              <w:left w:val="single" w:sz="4" w:space="0" w:color="auto"/>
              <w:bottom w:val="single" w:sz="4" w:space="0" w:color="auto"/>
              <w:right w:val="single" w:sz="4" w:space="0" w:color="auto"/>
            </w:tcBorders>
            <w:vAlign w:val="center"/>
          </w:tcPr>
          <w:p w14:paraId="093486DB" w14:textId="006EBDDB"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 xml:space="preserve">Dabigatraneteksilat 150 mg dva puta </w:t>
            </w:r>
            <w:r w:rsidR="00673869" w:rsidRPr="00314858">
              <w:rPr>
                <w:rFonts w:ascii="Times New Roman" w:hAnsi="Times New Roman" w:cs="Times New Roman"/>
                <w:lang w:val="sr-Latn-ME"/>
              </w:rPr>
              <w:t>dnevno</w:t>
            </w:r>
          </w:p>
        </w:tc>
        <w:tc>
          <w:tcPr>
            <w:tcW w:w="1090" w:type="pct"/>
            <w:tcBorders>
              <w:top w:val="single" w:sz="4" w:space="0" w:color="auto"/>
              <w:left w:val="single" w:sz="4" w:space="0" w:color="auto"/>
              <w:bottom w:val="single" w:sz="4" w:space="0" w:color="auto"/>
            </w:tcBorders>
            <w:vAlign w:val="center"/>
          </w:tcPr>
          <w:p w14:paraId="3F263D3A"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Varfarin</w:t>
            </w:r>
          </w:p>
        </w:tc>
      </w:tr>
      <w:tr w:rsidR="0009272D" w:rsidRPr="00314858" w14:paraId="72B86921" w14:textId="77777777" w:rsidTr="0009272D">
        <w:trPr>
          <w:trHeight w:val="20"/>
        </w:trPr>
        <w:tc>
          <w:tcPr>
            <w:tcW w:w="1365" w:type="pct"/>
            <w:tcBorders>
              <w:top w:val="single" w:sz="4" w:space="0" w:color="auto"/>
              <w:bottom w:val="single" w:sz="4" w:space="0" w:color="auto"/>
              <w:right w:val="single" w:sz="4" w:space="0" w:color="auto"/>
            </w:tcBorders>
          </w:tcPr>
          <w:p w14:paraId="749F8511"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Randomizovani ispitanici</w:t>
            </w:r>
          </w:p>
        </w:tc>
        <w:tc>
          <w:tcPr>
            <w:tcW w:w="1309" w:type="pct"/>
            <w:tcBorders>
              <w:top w:val="single" w:sz="4" w:space="0" w:color="auto"/>
              <w:bottom w:val="single" w:sz="4" w:space="0" w:color="auto"/>
              <w:right w:val="single" w:sz="4" w:space="0" w:color="auto"/>
            </w:tcBorders>
          </w:tcPr>
          <w:p w14:paraId="26C0DE5B"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6015</w:t>
            </w:r>
          </w:p>
        </w:tc>
        <w:tc>
          <w:tcPr>
            <w:tcW w:w="1236" w:type="pct"/>
            <w:tcBorders>
              <w:top w:val="single" w:sz="4" w:space="0" w:color="auto"/>
              <w:left w:val="single" w:sz="4" w:space="0" w:color="auto"/>
              <w:bottom w:val="single" w:sz="4" w:space="0" w:color="auto"/>
              <w:right w:val="single" w:sz="4" w:space="0" w:color="auto"/>
            </w:tcBorders>
          </w:tcPr>
          <w:p w14:paraId="501F023A" w14:textId="33762D70"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6076</w:t>
            </w:r>
          </w:p>
        </w:tc>
        <w:tc>
          <w:tcPr>
            <w:tcW w:w="1090" w:type="pct"/>
            <w:tcBorders>
              <w:top w:val="single" w:sz="4" w:space="0" w:color="auto"/>
              <w:left w:val="single" w:sz="4" w:space="0" w:color="auto"/>
              <w:bottom w:val="single" w:sz="4" w:space="0" w:color="auto"/>
            </w:tcBorders>
          </w:tcPr>
          <w:p w14:paraId="50A55B9D"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6022</w:t>
            </w:r>
          </w:p>
        </w:tc>
      </w:tr>
      <w:tr w:rsidR="0009272D" w:rsidRPr="00314858" w14:paraId="7A9081CC" w14:textId="77777777" w:rsidTr="0009272D">
        <w:trPr>
          <w:trHeight w:val="20"/>
        </w:trPr>
        <w:tc>
          <w:tcPr>
            <w:tcW w:w="1365" w:type="pct"/>
            <w:tcBorders>
              <w:top w:val="single" w:sz="4" w:space="0" w:color="auto"/>
              <w:bottom w:val="single" w:sz="4" w:space="0" w:color="auto"/>
              <w:right w:val="single" w:sz="4" w:space="0" w:color="auto"/>
            </w:tcBorders>
          </w:tcPr>
          <w:p w14:paraId="27A601B0" w14:textId="5D22F886" w:rsidR="00D67D34" w:rsidRPr="00314858" w:rsidRDefault="002646EB"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Obilnije</w:t>
            </w:r>
            <w:r w:rsidR="00D67D34" w:rsidRPr="00314858">
              <w:rPr>
                <w:rFonts w:ascii="Times New Roman" w:hAnsi="Times New Roman" w:cs="Times New Roman"/>
                <w:lang w:val="sr-Latn-ME"/>
              </w:rPr>
              <w:t xml:space="preserve"> krvarenje</w:t>
            </w:r>
          </w:p>
        </w:tc>
        <w:tc>
          <w:tcPr>
            <w:tcW w:w="1309" w:type="pct"/>
            <w:tcBorders>
              <w:top w:val="single" w:sz="4" w:space="0" w:color="auto"/>
              <w:bottom w:val="single" w:sz="4" w:space="0" w:color="auto"/>
              <w:right w:val="single" w:sz="4" w:space="0" w:color="auto"/>
            </w:tcBorders>
          </w:tcPr>
          <w:p w14:paraId="269B8997"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347 (2,92 %)</w:t>
            </w:r>
          </w:p>
        </w:tc>
        <w:tc>
          <w:tcPr>
            <w:tcW w:w="1236" w:type="pct"/>
            <w:tcBorders>
              <w:top w:val="single" w:sz="4" w:space="0" w:color="auto"/>
              <w:left w:val="single" w:sz="4" w:space="0" w:color="auto"/>
              <w:bottom w:val="single" w:sz="4" w:space="0" w:color="auto"/>
              <w:right w:val="single" w:sz="4" w:space="0" w:color="auto"/>
            </w:tcBorders>
          </w:tcPr>
          <w:p w14:paraId="37FA38BA"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409 (3,40 %)</w:t>
            </w:r>
          </w:p>
        </w:tc>
        <w:tc>
          <w:tcPr>
            <w:tcW w:w="1090" w:type="pct"/>
            <w:tcBorders>
              <w:top w:val="single" w:sz="4" w:space="0" w:color="auto"/>
              <w:left w:val="single" w:sz="4" w:space="0" w:color="auto"/>
              <w:bottom w:val="single" w:sz="4" w:space="0" w:color="auto"/>
            </w:tcBorders>
          </w:tcPr>
          <w:p w14:paraId="155F0D5E"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426 (3,61 %)</w:t>
            </w:r>
          </w:p>
        </w:tc>
      </w:tr>
      <w:tr w:rsidR="0009272D" w:rsidRPr="00314858" w14:paraId="44B9D35D" w14:textId="77777777" w:rsidTr="0009272D">
        <w:trPr>
          <w:trHeight w:val="20"/>
        </w:trPr>
        <w:tc>
          <w:tcPr>
            <w:tcW w:w="1365" w:type="pct"/>
            <w:tcBorders>
              <w:top w:val="single" w:sz="4" w:space="0" w:color="auto"/>
              <w:bottom w:val="single" w:sz="4" w:space="0" w:color="auto"/>
              <w:right w:val="single" w:sz="4" w:space="0" w:color="auto"/>
            </w:tcBorders>
          </w:tcPr>
          <w:p w14:paraId="14D06739" w14:textId="77777777" w:rsidR="00D67D34" w:rsidRPr="00314858" w:rsidRDefault="00D67D34" w:rsidP="003717EC">
            <w:pPr>
              <w:spacing w:after="0" w:line="240" w:lineRule="auto"/>
              <w:ind w:left="196"/>
              <w:jc w:val="both"/>
              <w:rPr>
                <w:rFonts w:ascii="Times New Roman" w:hAnsi="Times New Roman" w:cs="Times New Roman"/>
                <w:lang w:val="sr-Latn-ME"/>
              </w:rPr>
            </w:pPr>
            <w:r w:rsidRPr="00314858">
              <w:rPr>
                <w:rFonts w:ascii="Times New Roman" w:hAnsi="Times New Roman" w:cs="Times New Roman"/>
                <w:lang w:val="sr-Latn-ME"/>
              </w:rPr>
              <w:t>Intrakranijalno krvarenje</w:t>
            </w:r>
          </w:p>
        </w:tc>
        <w:tc>
          <w:tcPr>
            <w:tcW w:w="1309" w:type="pct"/>
            <w:tcBorders>
              <w:top w:val="single" w:sz="4" w:space="0" w:color="auto"/>
              <w:bottom w:val="single" w:sz="4" w:space="0" w:color="auto"/>
              <w:right w:val="single" w:sz="4" w:space="0" w:color="auto"/>
            </w:tcBorders>
          </w:tcPr>
          <w:p w14:paraId="1A14AFC7"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27 (0,23 %)</w:t>
            </w:r>
          </w:p>
        </w:tc>
        <w:tc>
          <w:tcPr>
            <w:tcW w:w="1236" w:type="pct"/>
            <w:tcBorders>
              <w:top w:val="single" w:sz="4" w:space="0" w:color="auto"/>
              <w:left w:val="single" w:sz="4" w:space="0" w:color="auto"/>
              <w:bottom w:val="single" w:sz="4" w:space="0" w:color="auto"/>
              <w:right w:val="single" w:sz="4" w:space="0" w:color="auto"/>
            </w:tcBorders>
          </w:tcPr>
          <w:p w14:paraId="26A8365E"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39 (0,32 %)</w:t>
            </w:r>
          </w:p>
        </w:tc>
        <w:tc>
          <w:tcPr>
            <w:tcW w:w="1090" w:type="pct"/>
            <w:tcBorders>
              <w:top w:val="single" w:sz="4" w:space="0" w:color="auto"/>
              <w:left w:val="single" w:sz="4" w:space="0" w:color="auto"/>
              <w:bottom w:val="single" w:sz="4" w:space="0" w:color="auto"/>
            </w:tcBorders>
          </w:tcPr>
          <w:p w14:paraId="1E3A7C28"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91 (0,77 %)</w:t>
            </w:r>
          </w:p>
        </w:tc>
      </w:tr>
      <w:tr w:rsidR="0009272D" w:rsidRPr="00314858" w14:paraId="2611B110" w14:textId="77777777" w:rsidTr="0009272D">
        <w:trPr>
          <w:trHeight w:val="20"/>
        </w:trPr>
        <w:tc>
          <w:tcPr>
            <w:tcW w:w="1365" w:type="pct"/>
            <w:tcBorders>
              <w:top w:val="single" w:sz="4" w:space="0" w:color="auto"/>
              <w:bottom w:val="single" w:sz="4" w:space="0" w:color="auto"/>
              <w:right w:val="single" w:sz="4" w:space="0" w:color="auto"/>
            </w:tcBorders>
          </w:tcPr>
          <w:p w14:paraId="27EE5F8B" w14:textId="77777777" w:rsidR="00D67D34" w:rsidRPr="00314858" w:rsidRDefault="00D67D34" w:rsidP="003717EC">
            <w:pPr>
              <w:spacing w:after="0" w:line="240" w:lineRule="auto"/>
              <w:ind w:left="196"/>
              <w:jc w:val="both"/>
              <w:rPr>
                <w:rFonts w:ascii="Times New Roman" w:hAnsi="Times New Roman" w:cs="Times New Roman"/>
                <w:lang w:val="sr-Latn-ME"/>
              </w:rPr>
            </w:pPr>
            <w:r w:rsidRPr="00314858">
              <w:rPr>
                <w:rFonts w:ascii="Times New Roman" w:hAnsi="Times New Roman" w:cs="Times New Roman"/>
                <w:lang w:val="sr-Latn-ME"/>
              </w:rPr>
              <w:t>GI krvarenje</w:t>
            </w:r>
          </w:p>
        </w:tc>
        <w:tc>
          <w:tcPr>
            <w:tcW w:w="1309" w:type="pct"/>
            <w:tcBorders>
              <w:top w:val="single" w:sz="4" w:space="0" w:color="auto"/>
              <w:bottom w:val="single" w:sz="4" w:space="0" w:color="auto"/>
              <w:right w:val="single" w:sz="4" w:space="0" w:color="auto"/>
            </w:tcBorders>
          </w:tcPr>
          <w:p w14:paraId="7ED41948"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134 (1,13 %)</w:t>
            </w:r>
          </w:p>
        </w:tc>
        <w:tc>
          <w:tcPr>
            <w:tcW w:w="1236" w:type="pct"/>
            <w:tcBorders>
              <w:top w:val="single" w:sz="4" w:space="0" w:color="auto"/>
              <w:left w:val="single" w:sz="4" w:space="0" w:color="auto"/>
              <w:bottom w:val="single" w:sz="4" w:space="0" w:color="auto"/>
              <w:right w:val="single" w:sz="4" w:space="0" w:color="auto"/>
            </w:tcBorders>
          </w:tcPr>
          <w:p w14:paraId="29DACB6E"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192 (1,60 %)</w:t>
            </w:r>
          </w:p>
        </w:tc>
        <w:tc>
          <w:tcPr>
            <w:tcW w:w="1090" w:type="pct"/>
            <w:tcBorders>
              <w:top w:val="single" w:sz="4" w:space="0" w:color="auto"/>
              <w:left w:val="single" w:sz="4" w:space="0" w:color="auto"/>
              <w:bottom w:val="single" w:sz="4" w:space="0" w:color="auto"/>
            </w:tcBorders>
          </w:tcPr>
          <w:p w14:paraId="49BB0092"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128 (1,09 %)</w:t>
            </w:r>
          </w:p>
        </w:tc>
      </w:tr>
      <w:tr w:rsidR="0009272D" w:rsidRPr="00314858" w14:paraId="3A9CF690" w14:textId="77777777" w:rsidTr="0009272D">
        <w:trPr>
          <w:trHeight w:val="20"/>
        </w:trPr>
        <w:tc>
          <w:tcPr>
            <w:tcW w:w="1365" w:type="pct"/>
            <w:tcBorders>
              <w:top w:val="single" w:sz="4" w:space="0" w:color="auto"/>
              <w:bottom w:val="single" w:sz="4" w:space="0" w:color="auto"/>
              <w:right w:val="single" w:sz="4" w:space="0" w:color="auto"/>
            </w:tcBorders>
          </w:tcPr>
          <w:p w14:paraId="0FC28C5B" w14:textId="53F4E29B" w:rsidR="00D67D34" w:rsidRPr="00314858" w:rsidRDefault="002646EB" w:rsidP="003717EC">
            <w:pPr>
              <w:spacing w:after="0" w:line="240" w:lineRule="auto"/>
              <w:ind w:left="196"/>
              <w:jc w:val="both"/>
              <w:rPr>
                <w:rFonts w:ascii="Times New Roman" w:hAnsi="Times New Roman" w:cs="Times New Roman"/>
                <w:lang w:val="sr-Latn-ME"/>
              </w:rPr>
            </w:pPr>
            <w:r w:rsidRPr="00314858">
              <w:rPr>
                <w:rFonts w:ascii="Times New Roman" w:hAnsi="Times New Roman" w:cs="Times New Roman"/>
                <w:lang w:val="sr-Latn-ME"/>
              </w:rPr>
              <w:lastRenderedPageBreak/>
              <w:t>K</w:t>
            </w:r>
            <w:r w:rsidR="00D67D34" w:rsidRPr="00314858">
              <w:rPr>
                <w:rFonts w:ascii="Times New Roman" w:hAnsi="Times New Roman" w:cs="Times New Roman"/>
                <w:lang w:val="sr-Latn-ME"/>
              </w:rPr>
              <w:t>rvarenje</w:t>
            </w:r>
            <w:r w:rsidRPr="00314858">
              <w:rPr>
                <w:rFonts w:ascii="Times New Roman" w:hAnsi="Times New Roman" w:cs="Times New Roman"/>
                <w:lang w:val="sr-Latn-ME"/>
              </w:rPr>
              <w:t xml:space="preserve"> sa smrtnim ishodom</w:t>
            </w:r>
          </w:p>
        </w:tc>
        <w:tc>
          <w:tcPr>
            <w:tcW w:w="1309" w:type="pct"/>
            <w:tcBorders>
              <w:top w:val="single" w:sz="4" w:space="0" w:color="auto"/>
              <w:bottom w:val="single" w:sz="4" w:space="0" w:color="auto"/>
              <w:right w:val="single" w:sz="4" w:space="0" w:color="auto"/>
            </w:tcBorders>
          </w:tcPr>
          <w:p w14:paraId="358F34DC"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26 (0,22 %)</w:t>
            </w:r>
          </w:p>
        </w:tc>
        <w:tc>
          <w:tcPr>
            <w:tcW w:w="1236" w:type="pct"/>
            <w:tcBorders>
              <w:top w:val="single" w:sz="4" w:space="0" w:color="auto"/>
              <w:left w:val="single" w:sz="4" w:space="0" w:color="auto"/>
              <w:bottom w:val="single" w:sz="4" w:space="0" w:color="auto"/>
              <w:right w:val="single" w:sz="4" w:space="0" w:color="auto"/>
            </w:tcBorders>
          </w:tcPr>
          <w:p w14:paraId="51EB9F6E"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30 (0,25 %)</w:t>
            </w:r>
          </w:p>
        </w:tc>
        <w:tc>
          <w:tcPr>
            <w:tcW w:w="1090" w:type="pct"/>
            <w:tcBorders>
              <w:top w:val="single" w:sz="4" w:space="0" w:color="auto"/>
              <w:left w:val="single" w:sz="4" w:space="0" w:color="auto"/>
              <w:bottom w:val="single" w:sz="4" w:space="0" w:color="auto"/>
            </w:tcBorders>
          </w:tcPr>
          <w:p w14:paraId="5750320D"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42 (0,36 %)</w:t>
            </w:r>
          </w:p>
        </w:tc>
      </w:tr>
      <w:tr w:rsidR="0009272D" w:rsidRPr="00314858" w14:paraId="0B9E0F53" w14:textId="77777777" w:rsidTr="0009272D">
        <w:trPr>
          <w:trHeight w:val="20"/>
        </w:trPr>
        <w:tc>
          <w:tcPr>
            <w:tcW w:w="1365" w:type="pct"/>
            <w:tcBorders>
              <w:top w:val="single" w:sz="4" w:space="0" w:color="auto"/>
              <w:bottom w:val="single" w:sz="4" w:space="0" w:color="auto"/>
              <w:right w:val="single" w:sz="4" w:space="0" w:color="auto"/>
            </w:tcBorders>
          </w:tcPr>
          <w:p w14:paraId="32ABC3FC" w14:textId="74A642A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Ma</w:t>
            </w:r>
            <w:r w:rsidR="002646EB" w:rsidRPr="00314858">
              <w:rPr>
                <w:rFonts w:ascii="Times New Roman" w:hAnsi="Times New Roman" w:cs="Times New Roman"/>
                <w:lang w:val="sr-Latn-ME"/>
              </w:rPr>
              <w:t>nje</w:t>
            </w:r>
            <w:r w:rsidRPr="00314858">
              <w:rPr>
                <w:rFonts w:ascii="Times New Roman" w:hAnsi="Times New Roman" w:cs="Times New Roman"/>
                <w:lang w:val="sr-Latn-ME"/>
              </w:rPr>
              <w:t xml:space="preserve"> krvarenje</w:t>
            </w:r>
          </w:p>
        </w:tc>
        <w:tc>
          <w:tcPr>
            <w:tcW w:w="1309" w:type="pct"/>
            <w:tcBorders>
              <w:top w:val="single" w:sz="4" w:space="0" w:color="auto"/>
              <w:bottom w:val="single" w:sz="4" w:space="0" w:color="auto"/>
              <w:right w:val="single" w:sz="4" w:space="0" w:color="auto"/>
            </w:tcBorders>
          </w:tcPr>
          <w:p w14:paraId="028A73F1"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1566 (13,16 %)</w:t>
            </w:r>
          </w:p>
        </w:tc>
        <w:tc>
          <w:tcPr>
            <w:tcW w:w="1236" w:type="pct"/>
            <w:tcBorders>
              <w:top w:val="single" w:sz="4" w:space="0" w:color="auto"/>
              <w:left w:val="single" w:sz="4" w:space="0" w:color="auto"/>
              <w:bottom w:val="single" w:sz="4" w:space="0" w:color="auto"/>
              <w:right w:val="single" w:sz="4" w:space="0" w:color="auto"/>
            </w:tcBorders>
          </w:tcPr>
          <w:p w14:paraId="148E8C6A"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1787 (14,85 %)</w:t>
            </w:r>
          </w:p>
        </w:tc>
        <w:tc>
          <w:tcPr>
            <w:tcW w:w="1090" w:type="pct"/>
            <w:tcBorders>
              <w:top w:val="single" w:sz="4" w:space="0" w:color="auto"/>
              <w:left w:val="single" w:sz="4" w:space="0" w:color="auto"/>
              <w:bottom w:val="single" w:sz="4" w:space="0" w:color="auto"/>
            </w:tcBorders>
          </w:tcPr>
          <w:p w14:paraId="3BAD8A43"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1931 (16,37 %)</w:t>
            </w:r>
          </w:p>
        </w:tc>
      </w:tr>
      <w:tr w:rsidR="0009272D" w:rsidRPr="00314858" w14:paraId="0D31582E" w14:textId="77777777" w:rsidTr="0009272D">
        <w:trPr>
          <w:trHeight w:val="20"/>
        </w:trPr>
        <w:tc>
          <w:tcPr>
            <w:tcW w:w="1365" w:type="pct"/>
            <w:tcBorders>
              <w:top w:val="single" w:sz="4" w:space="0" w:color="auto"/>
              <w:bottom w:val="single" w:sz="4" w:space="0" w:color="auto"/>
              <w:right w:val="single" w:sz="4" w:space="0" w:color="auto"/>
            </w:tcBorders>
          </w:tcPr>
          <w:p w14:paraId="49BE949B"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Bilo koje krvarenje</w:t>
            </w:r>
          </w:p>
        </w:tc>
        <w:tc>
          <w:tcPr>
            <w:tcW w:w="1309" w:type="pct"/>
            <w:tcBorders>
              <w:top w:val="single" w:sz="4" w:space="0" w:color="auto"/>
              <w:bottom w:val="single" w:sz="4" w:space="0" w:color="auto"/>
              <w:right w:val="single" w:sz="4" w:space="0" w:color="auto"/>
            </w:tcBorders>
          </w:tcPr>
          <w:p w14:paraId="2F57D3A7" w14:textId="57B9E1FA"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1759 (14,78 %)</w:t>
            </w:r>
          </w:p>
        </w:tc>
        <w:tc>
          <w:tcPr>
            <w:tcW w:w="1236" w:type="pct"/>
            <w:tcBorders>
              <w:top w:val="single" w:sz="4" w:space="0" w:color="auto"/>
              <w:left w:val="single" w:sz="4" w:space="0" w:color="auto"/>
              <w:bottom w:val="single" w:sz="4" w:space="0" w:color="auto"/>
              <w:right w:val="single" w:sz="4" w:space="0" w:color="auto"/>
            </w:tcBorders>
          </w:tcPr>
          <w:p w14:paraId="575F833C"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1997 (16,60 %)</w:t>
            </w:r>
          </w:p>
        </w:tc>
        <w:tc>
          <w:tcPr>
            <w:tcW w:w="1090" w:type="pct"/>
            <w:tcBorders>
              <w:top w:val="single" w:sz="4" w:space="0" w:color="auto"/>
              <w:left w:val="single" w:sz="4" w:space="0" w:color="auto"/>
              <w:bottom w:val="single" w:sz="4" w:space="0" w:color="auto"/>
            </w:tcBorders>
          </w:tcPr>
          <w:p w14:paraId="063A7F46" w14:textId="77777777" w:rsidR="00D67D34" w:rsidRPr="00314858" w:rsidRDefault="00D67D34" w:rsidP="0067386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2169 (18,39 %)</w:t>
            </w:r>
          </w:p>
        </w:tc>
      </w:tr>
    </w:tbl>
    <w:p w14:paraId="39109595" w14:textId="77777777" w:rsidR="00D67D34" w:rsidRPr="00314858" w:rsidRDefault="00D67D34" w:rsidP="00D67D34">
      <w:pPr>
        <w:spacing w:after="0" w:line="240" w:lineRule="auto"/>
        <w:jc w:val="both"/>
        <w:rPr>
          <w:rFonts w:ascii="Times New Roman" w:hAnsi="Times New Roman" w:cs="Times New Roman"/>
          <w:b/>
          <w:bCs/>
          <w:lang w:val="sr-Latn-ME" w:bidi="en-US"/>
        </w:rPr>
      </w:pPr>
    </w:p>
    <w:p w14:paraId="4C4749CC" w14:textId="54589FD5"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Ispitanici randomizovani da primaju dabigatraneteksilat 110 mg dva puta dnevno ili 150 mg dva puta dnevno, imali su značajno niži rizik od krvarenja opasnih po život i intrakranijaln</w:t>
      </w:r>
      <w:r w:rsidR="005F1D6F" w:rsidRPr="00314858">
        <w:rPr>
          <w:rFonts w:ascii="Times New Roman" w:hAnsi="Times New Roman" w:cs="Times New Roman"/>
          <w:lang w:val="sr-Latn-ME"/>
        </w:rPr>
        <w:t>og</w:t>
      </w:r>
      <w:r w:rsidRPr="00314858">
        <w:rPr>
          <w:rFonts w:ascii="Times New Roman" w:hAnsi="Times New Roman" w:cs="Times New Roman"/>
          <w:lang w:val="sr-Latn-ME"/>
        </w:rPr>
        <w:t xml:space="preserve"> krvarenja u poređenju sa varfarinom [p &lt; 0,05].</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Ob</w:t>
      </w:r>
      <w:r w:rsidR="00352B14" w:rsidRPr="00314858">
        <w:rPr>
          <w:rFonts w:ascii="Times New Roman" w:hAnsi="Times New Roman" w:cs="Times New Roman"/>
          <w:lang w:val="sr-Latn-ME"/>
        </w:rPr>
        <w:t>j</w:t>
      </w:r>
      <w:r w:rsidRPr="00314858">
        <w:rPr>
          <w:rFonts w:ascii="Times New Roman" w:hAnsi="Times New Roman" w:cs="Times New Roman"/>
          <w:lang w:val="sr-Latn-ME"/>
        </w:rPr>
        <w:t xml:space="preserve">e jačine doza dabigatraneteksilata su takođe pokazale statistički značajno nižu ukupnu stopu krvarenja. Ispitanici randomizovani da primaju dabigatraneteksilat 110 mg dva puta dnevno imali su značajno manji rizik od </w:t>
      </w:r>
      <w:r w:rsidR="005F1D6F" w:rsidRPr="00314858">
        <w:rPr>
          <w:rFonts w:ascii="Times New Roman" w:hAnsi="Times New Roman" w:cs="Times New Roman"/>
          <w:lang w:val="sr-Latn-ME"/>
        </w:rPr>
        <w:t>obilnijih</w:t>
      </w:r>
      <w:r w:rsidRPr="00314858">
        <w:rPr>
          <w:rFonts w:ascii="Times New Roman" w:hAnsi="Times New Roman" w:cs="Times New Roman"/>
          <w:lang w:val="sr-Latn-ME"/>
        </w:rPr>
        <w:t xml:space="preserve"> krvarenja u poređenju sa varfarinom (</w:t>
      </w:r>
      <w:r w:rsidR="005F1D6F" w:rsidRPr="00314858">
        <w:rPr>
          <w:rFonts w:ascii="Times New Roman" w:hAnsi="Times New Roman" w:cs="Times New Roman"/>
          <w:i/>
          <w:lang w:val="sr-Latn-ME"/>
        </w:rPr>
        <w:t>hazard ratio</w:t>
      </w:r>
      <w:r w:rsidRPr="00314858">
        <w:rPr>
          <w:rFonts w:ascii="Times New Roman" w:hAnsi="Times New Roman" w:cs="Times New Roman"/>
          <w:lang w:val="sr-Latn-ME"/>
        </w:rPr>
        <w:t xml:space="preserve"> 0</w:t>
      </w:r>
      <w:r w:rsidR="003717EC" w:rsidRPr="00314858">
        <w:rPr>
          <w:rFonts w:ascii="Times New Roman" w:hAnsi="Times New Roman" w:cs="Times New Roman"/>
          <w:lang w:val="sr-Latn-ME"/>
        </w:rPr>
        <w:t>,</w:t>
      </w:r>
      <w:r w:rsidRPr="00314858">
        <w:rPr>
          <w:rFonts w:ascii="Times New Roman" w:hAnsi="Times New Roman" w:cs="Times New Roman"/>
          <w:lang w:val="sr-Latn-ME"/>
        </w:rPr>
        <w:t>81 [p=0</w:t>
      </w:r>
      <w:r w:rsidR="003717EC" w:rsidRPr="00314858">
        <w:rPr>
          <w:rFonts w:ascii="Times New Roman" w:hAnsi="Times New Roman" w:cs="Times New Roman"/>
          <w:lang w:val="sr-Latn-ME"/>
        </w:rPr>
        <w:t>,</w:t>
      </w:r>
      <w:r w:rsidRPr="00314858">
        <w:rPr>
          <w:rFonts w:ascii="Times New Roman" w:hAnsi="Times New Roman" w:cs="Times New Roman"/>
          <w:lang w:val="sr-Latn-ME"/>
        </w:rPr>
        <w:t>0027]).</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Ispitanici randomizovani da primaju dabigatraneteksilat 150 mg dva puta dnevno imali su značajno veći rizik od </w:t>
      </w:r>
      <w:r w:rsidR="005F1D6F" w:rsidRPr="00314858">
        <w:rPr>
          <w:rFonts w:ascii="Times New Roman" w:hAnsi="Times New Roman" w:cs="Times New Roman"/>
          <w:lang w:val="sr-Latn-ME"/>
        </w:rPr>
        <w:t>obilnijih</w:t>
      </w:r>
      <w:r w:rsidRPr="00314858">
        <w:rPr>
          <w:rFonts w:ascii="Times New Roman" w:hAnsi="Times New Roman" w:cs="Times New Roman"/>
          <w:lang w:val="sr-Latn-ME"/>
        </w:rPr>
        <w:t xml:space="preserve"> GI krvarenja u poređenju sa varfarinom (</w:t>
      </w:r>
      <w:r w:rsidR="005F1D6F" w:rsidRPr="00314858">
        <w:rPr>
          <w:rFonts w:ascii="Times New Roman" w:hAnsi="Times New Roman" w:cs="Times New Roman"/>
          <w:i/>
          <w:lang w:val="sr-Latn-ME"/>
        </w:rPr>
        <w:t>hazard ratio</w:t>
      </w:r>
      <w:r w:rsidRPr="00314858">
        <w:rPr>
          <w:rFonts w:ascii="Times New Roman" w:hAnsi="Times New Roman" w:cs="Times New Roman"/>
          <w:lang w:val="sr-Latn-ME"/>
        </w:rPr>
        <w:t xml:space="preserve"> 1</w:t>
      </w:r>
      <w:r w:rsidR="003717EC" w:rsidRPr="00314858">
        <w:rPr>
          <w:rFonts w:ascii="Times New Roman" w:hAnsi="Times New Roman" w:cs="Times New Roman"/>
          <w:lang w:val="sr-Latn-ME"/>
        </w:rPr>
        <w:t>,</w:t>
      </w:r>
      <w:r w:rsidRPr="00314858">
        <w:rPr>
          <w:rFonts w:ascii="Times New Roman" w:hAnsi="Times New Roman" w:cs="Times New Roman"/>
          <w:lang w:val="sr-Latn-ME"/>
        </w:rPr>
        <w:t>48 [p=0</w:t>
      </w:r>
      <w:r w:rsidR="003717EC" w:rsidRPr="00314858">
        <w:rPr>
          <w:rFonts w:ascii="Times New Roman" w:hAnsi="Times New Roman" w:cs="Times New Roman"/>
          <w:lang w:val="sr-Latn-ME"/>
        </w:rPr>
        <w:t>,</w:t>
      </w:r>
      <w:r w:rsidRPr="00314858">
        <w:rPr>
          <w:rFonts w:ascii="Times New Roman" w:hAnsi="Times New Roman" w:cs="Times New Roman"/>
          <w:lang w:val="sr-Latn-ME"/>
        </w:rPr>
        <w:t>0005]. Ovo dejstvo je prvenstveno uočeno kod pacijenata ≥ 75 godina.</w:t>
      </w:r>
    </w:p>
    <w:p w14:paraId="65E6FAB0" w14:textId="70F3DC8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Klinička korist od dabigatrana u pogledu prevencije moždanog udara i sistemske embolije i smanjenja rizika od intrakranijalne hemoragije (IKH) u poređenju sa varfarinom očuvana je u svim pojedinačnim podgrupama, npr. kod oštećenja funkcije bubrega, godin</w:t>
      </w:r>
      <w:r w:rsidR="003534C5" w:rsidRPr="00314858">
        <w:rPr>
          <w:rFonts w:ascii="Times New Roman" w:hAnsi="Times New Roman" w:cs="Times New Roman"/>
          <w:lang w:val="sr-Latn-ME"/>
        </w:rPr>
        <w:t>a</w:t>
      </w:r>
      <w:r w:rsidRPr="00314858">
        <w:rPr>
          <w:rFonts w:ascii="Times New Roman" w:hAnsi="Times New Roman" w:cs="Times New Roman"/>
          <w:lang w:val="sr-Latn-ME"/>
        </w:rPr>
        <w:t xml:space="preserve"> starosti, istovremene upotrebe l</w:t>
      </w:r>
      <w:r w:rsidR="00352B14" w:rsidRPr="00314858">
        <w:rPr>
          <w:rFonts w:ascii="Times New Roman" w:hAnsi="Times New Roman" w:cs="Times New Roman"/>
          <w:lang w:val="sr-Latn-ME"/>
        </w:rPr>
        <w:t>j</w:t>
      </w:r>
      <w:r w:rsidRPr="00314858">
        <w:rPr>
          <w:rFonts w:ascii="Times New Roman" w:hAnsi="Times New Roman" w:cs="Times New Roman"/>
          <w:lang w:val="sr-Latn-ME"/>
        </w:rPr>
        <w:t>ekova kao što su inhibitori agregacije trombocita ili inhibitori P-g</w:t>
      </w:r>
      <w:r w:rsidR="003534C5" w:rsidRPr="00314858">
        <w:rPr>
          <w:rFonts w:ascii="Times New Roman" w:hAnsi="Times New Roman" w:cs="Times New Roman"/>
          <w:lang w:val="sr-Latn-ME"/>
        </w:rPr>
        <w:t>p</w:t>
      </w:r>
      <w:r w:rsidRPr="00314858">
        <w:rPr>
          <w:rFonts w:ascii="Times New Roman" w:hAnsi="Times New Roman" w:cs="Times New Roman"/>
          <w:lang w:val="sr-Latn-ME"/>
        </w:rPr>
        <w:t xml:space="preserve">. Iako su neke podgrupe pacijenata </w:t>
      </w:r>
      <w:r w:rsidR="003717EC" w:rsidRPr="00314858">
        <w:rPr>
          <w:rFonts w:ascii="Times New Roman" w:hAnsi="Times New Roman" w:cs="Times New Roman"/>
          <w:lang w:val="sr-Latn-ME"/>
        </w:rPr>
        <w:t>pod</w:t>
      </w:r>
      <w:r w:rsidRPr="00314858">
        <w:rPr>
          <w:rFonts w:ascii="Times New Roman" w:hAnsi="Times New Roman" w:cs="Times New Roman"/>
          <w:lang w:val="sr-Latn-ME"/>
        </w:rPr>
        <w:t xml:space="preserve"> povećan</w:t>
      </w:r>
      <w:r w:rsidR="003717EC" w:rsidRPr="00314858">
        <w:rPr>
          <w:rFonts w:ascii="Times New Roman" w:hAnsi="Times New Roman" w:cs="Times New Roman"/>
          <w:lang w:val="sr-Latn-ME"/>
        </w:rPr>
        <w:t>i</w:t>
      </w:r>
      <w:r w:rsidRPr="00314858">
        <w:rPr>
          <w:rFonts w:ascii="Times New Roman" w:hAnsi="Times New Roman" w:cs="Times New Roman"/>
          <w:lang w:val="sr-Latn-ME"/>
        </w:rPr>
        <w:t>m rizik</w:t>
      </w:r>
      <w:r w:rsidR="003717EC" w:rsidRPr="00314858">
        <w:rPr>
          <w:rFonts w:ascii="Times New Roman" w:hAnsi="Times New Roman" w:cs="Times New Roman"/>
          <w:lang w:val="sr-Latn-ME"/>
        </w:rPr>
        <w:t>om</w:t>
      </w:r>
      <w:r w:rsidRPr="00314858">
        <w:rPr>
          <w:rFonts w:ascii="Times New Roman" w:hAnsi="Times New Roman" w:cs="Times New Roman"/>
          <w:lang w:val="sr-Latn-ME"/>
        </w:rPr>
        <w:t xml:space="preserve"> od </w:t>
      </w:r>
      <w:r w:rsidR="003534C5" w:rsidRPr="00314858">
        <w:rPr>
          <w:rFonts w:ascii="Times New Roman" w:hAnsi="Times New Roman" w:cs="Times New Roman"/>
          <w:lang w:val="sr-Latn-ME"/>
        </w:rPr>
        <w:t>obilnijeg</w:t>
      </w:r>
      <w:r w:rsidRPr="00314858">
        <w:rPr>
          <w:rFonts w:ascii="Times New Roman" w:hAnsi="Times New Roman" w:cs="Times New Roman"/>
          <w:lang w:val="sr-Latn-ME"/>
        </w:rPr>
        <w:t xml:space="preserve"> krvarenja kada se l</w:t>
      </w:r>
      <w:r w:rsidR="00352B14" w:rsidRPr="00314858">
        <w:rPr>
          <w:rFonts w:ascii="Times New Roman" w:hAnsi="Times New Roman" w:cs="Times New Roman"/>
          <w:lang w:val="sr-Latn-ME"/>
        </w:rPr>
        <w:t>ij</w:t>
      </w:r>
      <w:r w:rsidRPr="00314858">
        <w:rPr>
          <w:rFonts w:ascii="Times New Roman" w:hAnsi="Times New Roman" w:cs="Times New Roman"/>
          <w:lang w:val="sr-Latn-ME"/>
        </w:rPr>
        <w:t>eče antikoagulansima, povećani rizik od krvarenja zbog dabigatrana je posl</w:t>
      </w:r>
      <w:r w:rsidR="0053352A" w:rsidRPr="00314858">
        <w:rPr>
          <w:rFonts w:ascii="Times New Roman" w:hAnsi="Times New Roman" w:cs="Times New Roman"/>
          <w:lang w:val="sr-Latn-ME"/>
        </w:rPr>
        <w:t>j</w:t>
      </w:r>
      <w:r w:rsidRPr="00314858">
        <w:rPr>
          <w:rFonts w:ascii="Times New Roman" w:hAnsi="Times New Roman" w:cs="Times New Roman"/>
          <w:lang w:val="sr-Latn-ME"/>
        </w:rPr>
        <w:t>edica GI krvarenja, koje se tipično viđa u prvih 3-6 m</w:t>
      </w:r>
      <w:r w:rsidR="00352B14" w:rsidRPr="00314858">
        <w:rPr>
          <w:rFonts w:ascii="Times New Roman" w:hAnsi="Times New Roman" w:cs="Times New Roman"/>
          <w:lang w:val="sr-Latn-ME"/>
        </w:rPr>
        <w:t>j</w:t>
      </w:r>
      <w:r w:rsidRPr="00314858">
        <w:rPr>
          <w:rFonts w:ascii="Times New Roman" w:hAnsi="Times New Roman" w:cs="Times New Roman"/>
          <w:lang w:val="sr-Latn-ME"/>
        </w:rPr>
        <w:t xml:space="preserve">eseci po </w:t>
      </w:r>
      <w:r w:rsidR="003717EC" w:rsidRPr="00314858">
        <w:rPr>
          <w:rFonts w:ascii="Times New Roman" w:hAnsi="Times New Roman" w:cs="Times New Roman"/>
          <w:lang w:val="sr-Latn-ME"/>
        </w:rPr>
        <w:t>započinjanju</w:t>
      </w:r>
      <w:r w:rsidRPr="00314858">
        <w:rPr>
          <w:rFonts w:ascii="Times New Roman" w:hAnsi="Times New Roman" w:cs="Times New Roman"/>
          <w:lang w:val="sr-Latn-ME"/>
        </w:rPr>
        <w:t xml:space="preserve"> terapije dabigatraneteksilatom.</w:t>
      </w:r>
    </w:p>
    <w:p w14:paraId="692C1B22" w14:textId="77777777" w:rsidR="00D67D34" w:rsidRPr="00314858" w:rsidRDefault="00D67D34" w:rsidP="00D67D34">
      <w:pPr>
        <w:spacing w:after="0" w:line="240" w:lineRule="auto"/>
        <w:jc w:val="both"/>
        <w:rPr>
          <w:rFonts w:ascii="Times New Roman" w:hAnsi="Times New Roman" w:cs="Times New Roman"/>
          <w:lang w:val="sr-Latn-ME"/>
        </w:rPr>
      </w:pPr>
    </w:p>
    <w:p w14:paraId="376548C0" w14:textId="392D6D39" w:rsidR="0009272D" w:rsidRPr="00314858" w:rsidRDefault="00D67D34" w:rsidP="00D67D34">
      <w:pPr>
        <w:spacing w:after="0" w:line="240" w:lineRule="auto"/>
        <w:jc w:val="both"/>
        <w:rPr>
          <w:rFonts w:ascii="Times New Roman" w:hAnsi="Times New Roman" w:cs="Times New Roman"/>
          <w:i/>
          <w:iCs/>
          <w:lang w:val="sr-Latn-ME"/>
        </w:rPr>
      </w:pPr>
      <w:r w:rsidRPr="00314858">
        <w:rPr>
          <w:rFonts w:ascii="Times New Roman" w:hAnsi="Times New Roman" w:cs="Times New Roman"/>
          <w:i/>
          <w:iCs/>
          <w:lang w:val="sr-Latn-ME"/>
        </w:rPr>
        <w:t>Terapija DVT i PE i prevencija rekurentne DVT i PE kod odraslih (DVT/PE</w:t>
      </w:r>
      <w:r w:rsidR="006F6A57" w:rsidRPr="00314858">
        <w:rPr>
          <w:rFonts w:ascii="Times New Roman" w:hAnsi="Times New Roman" w:cs="Times New Roman"/>
          <w:i/>
          <w:iCs/>
          <w:lang w:val="sr-Latn-ME"/>
        </w:rPr>
        <w:t xml:space="preserve"> terapija</w:t>
      </w:r>
      <w:r w:rsidRPr="00314858">
        <w:rPr>
          <w:rFonts w:ascii="Times New Roman" w:hAnsi="Times New Roman" w:cs="Times New Roman"/>
          <w:i/>
          <w:iCs/>
          <w:lang w:val="sr-Latn-ME"/>
        </w:rPr>
        <w:t>)</w:t>
      </w:r>
    </w:p>
    <w:p w14:paraId="68F782B4" w14:textId="7A4C5A58" w:rsidR="00D67D34" w:rsidRPr="00314858" w:rsidRDefault="003717EC"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w:t>
      </w:r>
      <w:r w:rsidR="006F6A57" w:rsidRPr="00314858">
        <w:rPr>
          <w:rFonts w:ascii="Times New Roman" w:hAnsi="Times New Roman" w:cs="Times New Roman"/>
          <w:lang w:val="sr-Latn-ME"/>
        </w:rPr>
        <w:t>t</w:t>
      </w:r>
      <w:r w:rsidRPr="00314858">
        <w:rPr>
          <w:rFonts w:ascii="Times New Roman" w:hAnsi="Times New Roman" w:cs="Times New Roman"/>
          <w:lang w:val="sr-Latn-ME"/>
        </w:rPr>
        <w:t>abeli</w:t>
      </w:r>
      <w:r w:rsidR="00D67D34" w:rsidRPr="00314858">
        <w:rPr>
          <w:rFonts w:ascii="Times New Roman" w:hAnsi="Times New Roman" w:cs="Times New Roman"/>
          <w:lang w:val="sr-Latn-ME"/>
        </w:rPr>
        <w:t xml:space="preserve"> 13</w:t>
      </w:r>
      <w:r w:rsidRPr="00314858">
        <w:rPr>
          <w:rFonts w:ascii="Times New Roman" w:hAnsi="Times New Roman" w:cs="Times New Roman"/>
          <w:lang w:val="sr-Latn-ME"/>
        </w:rPr>
        <w:t xml:space="preserve"> su</w:t>
      </w:r>
      <w:r w:rsidR="00D67D34" w:rsidRPr="00314858">
        <w:rPr>
          <w:rFonts w:ascii="Times New Roman" w:hAnsi="Times New Roman" w:cs="Times New Roman"/>
          <w:lang w:val="sr-Latn-ME"/>
        </w:rPr>
        <w:t xml:space="preserve"> prikaz</w:t>
      </w:r>
      <w:r w:rsidRPr="00314858">
        <w:rPr>
          <w:rFonts w:ascii="Times New Roman" w:hAnsi="Times New Roman" w:cs="Times New Roman"/>
          <w:lang w:val="sr-Latn-ME"/>
        </w:rPr>
        <w:t>ani</w:t>
      </w:r>
      <w:r w:rsidR="00D67D34" w:rsidRPr="00314858">
        <w:rPr>
          <w:rFonts w:ascii="Times New Roman" w:hAnsi="Times New Roman" w:cs="Times New Roman"/>
          <w:lang w:val="sr-Latn-ME"/>
        </w:rPr>
        <w:t xml:space="preserve"> događaj</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krvarenja</w:t>
      </w:r>
      <w:r w:rsidR="00D67D34" w:rsidRPr="00314858">
        <w:rPr>
          <w:rFonts w:ascii="Times New Roman" w:hAnsi="Times New Roman" w:cs="Times New Roman"/>
          <w:b/>
          <w:lang w:val="sr-Latn-ME"/>
        </w:rPr>
        <w:t xml:space="preserve"> </w:t>
      </w:r>
      <w:r w:rsidR="00D67D34" w:rsidRPr="00314858">
        <w:rPr>
          <w:rFonts w:ascii="Times New Roman" w:hAnsi="Times New Roman" w:cs="Times New Roman"/>
          <w:lang w:val="sr-Latn-ME"/>
        </w:rPr>
        <w:t>u objedinjenim pivotalnim studijama, RE-COVER i RE-COVER II, u kojima je ispitivana terapija DVT i PE. U objedinjenim studijama primarni bezb</w:t>
      </w:r>
      <w:r w:rsidR="00352B14" w:rsidRPr="00314858">
        <w:rPr>
          <w:rFonts w:ascii="Times New Roman" w:hAnsi="Times New Roman" w:cs="Times New Roman"/>
          <w:lang w:val="sr-Latn-ME"/>
        </w:rPr>
        <w:t>j</w:t>
      </w:r>
      <w:r w:rsidR="00D67D34" w:rsidRPr="00314858">
        <w:rPr>
          <w:rFonts w:ascii="Times New Roman" w:hAnsi="Times New Roman" w:cs="Times New Roman"/>
          <w:lang w:val="sr-Latn-ME"/>
        </w:rPr>
        <w:t>ednosni</w:t>
      </w:r>
      <w:r w:rsidR="00ED227D"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 xml:space="preserve">ishodi </w:t>
      </w:r>
      <w:r w:rsidR="006F6A57" w:rsidRPr="00314858">
        <w:rPr>
          <w:rFonts w:ascii="Times New Roman" w:hAnsi="Times New Roman" w:cs="Times New Roman"/>
          <w:lang w:val="sr-Latn-ME"/>
        </w:rPr>
        <w:t>obilnijeg</w:t>
      </w:r>
      <w:r w:rsidR="00D67D34" w:rsidRPr="00314858">
        <w:rPr>
          <w:rFonts w:ascii="Times New Roman" w:hAnsi="Times New Roman" w:cs="Times New Roman"/>
          <w:lang w:val="sr-Latn-ME"/>
        </w:rPr>
        <w:t xml:space="preserve"> krvarenja, </w:t>
      </w:r>
      <w:r w:rsidR="006F6A57" w:rsidRPr="00314858">
        <w:rPr>
          <w:rFonts w:ascii="Times New Roman" w:hAnsi="Times New Roman" w:cs="Times New Roman"/>
          <w:lang w:val="sr-Latn-ME"/>
        </w:rPr>
        <w:t>obilnijeg</w:t>
      </w:r>
      <w:r w:rsidR="00D67D34" w:rsidRPr="00314858">
        <w:rPr>
          <w:rFonts w:ascii="Times New Roman" w:hAnsi="Times New Roman" w:cs="Times New Roman"/>
          <w:lang w:val="sr-Latn-ME"/>
        </w:rPr>
        <w:t xml:space="preserve"> ili klinički značajnog krvarenja, kao i bilo kog krvarenja bili su značajno manji nego sa varfarinom na nominalnom alfa-nivou od 5 %. </w:t>
      </w:r>
    </w:p>
    <w:p w14:paraId="7A5E280D" w14:textId="77777777" w:rsidR="00D67D34" w:rsidRPr="00314858" w:rsidRDefault="00D67D34" w:rsidP="00D67D34">
      <w:pPr>
        <w:spacing w:after="0" w:line="240" w:lineRule="auto"/>
        <w:jc w:val="both"/>
        <w:rPr>
          <w:rFonts w:ascii="Times New Roman" w:hAnsi="Times New Roman" w:cs="Times New Roman"/>
          <w:lang w:val="sr-Latn-ME"/>
        </w:rPr>
      </w:pPr>
    </w:p>
    <w:p w14:paraId="093373CF" w14:textId="2EBE346D" w:rsidR="00D67D34" w:rsidRPr="00314858" w:rsidRDefault="00D67D34" w:rsidP="00BA378B">
      <w:pPr>
        <w:spacing w:after="0" w:line="240" w:lineRule="auto"/>
        <w:jc w:val="center"/>
        <w:rPr>
          <w:rFonts w:ascii="Times New Roman" w:hAnsi="Times New Roman" w:cs="Times New Roman"/>
          <w:b/>
          <w:lang w:val="sr-Latn-ME"/>
        </w:rPr>
      </w:pPr>
      <w:r w:rsidRPr="00314858">
        <w:rPr>
          <w:rFonts w:ascii="Times New Roman" w:hAnsi="Times New Roman" w:cs="Times New Roman"/>
          <w:b/>
          <w:lang w:val="sr-Latn-ME"/>
        </w:rPr>
        <w:t>Tabela 13</w:t>
      </w:r>
      <w:r w:rsidR="0082130A" w:rsidRPr="00314858">
        <w:rPr>
          <w:rFonts w:ascii="Times New Roman" w:hAnsi="Times New Roman" w:cs="Times New Roman"/>
          <w:b/>
          <w:lang w:val="sr-Latn-ME"/>
        </w:rPr>
        <w:t>:</w:t>
      </w:r>
      <w:r w:rsidRPr="00314858">
        <w:rPr>
          <w:rFonts w:ascii="Times New Roman" w:hAnsi="Times New Roman" w:cs="Times New Roman"/>
          <w:b/>
          <w:lang w:val="sr-Latn-ME"/>
        </w:rPr>
        <w:t xml:space="preserve"> Događaji krvarenja</w:t>
      </w:r>
      <w:r w:rsidR="00ED227D" w:rsidRPr="00314858">
        <w:rPr>
          <w:rFonts w:ascii="Times New Roman" w:hAnsi="Times New Roman" w:cs="Times New Roman"/>
          <w:b/>
          <w:lang w:val="sr-Latn-ME"/>
        </w:rPr>
        <w:t xml:space="preserve"> </w:t>
      </w:r>
      <w:r w:rsidRPr="00314858">
        <w:rPr>
          <w:rFonts w:ascii="Times New Roman" w:hAnsi="Times New Roman" w:cs="Times New Roman"/>
          <w:b/>
          <w:lang w:val="sr-Latn-ME"/>
        </w:rPr>
        <w:t>u studijama RE-COVER i RE-COVER II u kojima je ispitivana</w:t>
      </w:r>
      <w:r w:rsidR="00ED227D" w:rsidRPr="00314858">
        <w:rPr>
          <w:rFonts w:ascii="Times New Roman" w:hAnsi="Times New Roman" w:cs="Times New Roman"/>
          <w:b/>
          <w:lang w:val="sr-Latn-ME"/>
        </w:rPr>
        <w:t xml:space="preserve"> </w:t>
      </w:r>
      <w:r w:rsidRPr="00314858">
        <w:rPr>
          <w:rFonts w:ascii="Times New Roman" w:hAnsi="Times New Roman" w:cs="Times New Roman"/>
          <w:b/>
          <w:lang w:val="sr-Latn-ME"/>
        </w:rPr>
        <w:t>terapija DVT i PE</w:t>
      </w:r>
    </w:p>
    <w:p w14:paraId="6C326EB5" w14:textId="77777777" w:rsidR="0082130A" w:rsidRPr="00314858" w:rsidRDefault="0082130A" w:rsidP="00D67D34">
      <w:pPr>
        <w:spacing w:after="0" w:line="240" w:lineRule="auto"/>
        <w:jc w:val="both"/>
        <w:rPr>
          <w:rFonts w:ascii="Times New Roman" w:hAnsi="Times New Roman" w:cs="Times New Roman"/>
          <w:b/>
          <w:lang w:val="sr-Latn-ME"/>
        </w:rPr>
      </w:pPr>
    </w:p>
    <w:tbl>
      <w:tblPr>
        <w:tblOverlap w:val="never"/>
        <w:tblW w:w="5000" w:type="pct"/>
        <w:jc w:val="center"/>
        <w:tblCellMar>
          <w:left w:w="85" w:type="dxa"/>
          <w:right w:w="85" w:type="dxa"/>
        </w:tblCellMar>
        <w:tblLook w:val="04A0" w:firstRow="1" w:lastRow="0" w:firstColumn="1" w:lastColumn="0" w:noHBand="0" w:noVBand="1"/>
      </w:tblPr>
      <w:tblGrid>
        <w:gridCol w:w="2814"/>
        <w:gridCol w:w="2087"/>
        <w:gridCol w:w="2082"/>
        <w:gridCol w:w="2077"/>
      </w:tblGrid>
      <w:tr w:rsidR="003717EC" w:rsidRPr="00314858" w14:paraId="0526FCF7" w14:textId="77777777" w:rsidTr="001F1A28">
        <w:trPr>
          <w:trHeight w:val="20"/>
          <w:jc w:val="center"/>
        </w:trPr>
        <w:tc>
          <w:tcPr>
            <w:tcW w:w="1553" w:type="pct"/>
            <w:tcBorders>
              <w:top w:val="single" w:sz="4" w:space="0" w:color="auto"/>
              <w:left w:val="single" w:sz="4" w:space="0" w:color="auto"/>
            </w:tcBorders>
            <w:shd w:val="clear" w:color="auto" w:fill="auto"/>
          </w:tcPr>
          <w:p w14:paraId="39E33EC4" w14:textId="77777777" w:rsidR="003717EC" w:rsidRPr="00314858" w:rsidRDefault="003717EC" w:rsidP="001F1A28">
            <w:pPr>
              <w:widowControl w:val="0"/>
              <w:spacing w:after="0" w:line="240" w:lineRule="auto"/>
              <w:rPr>
                <w:rFonts w:ascii="Times New Roman" w:eastAsia="Courier New" w:hAnsi="Times New Roman" w:cs="Times New Roman"/>
                <w:color w:val="000000" w:themeColor="text1"/>
                <w:lang w:val="sr-Latn-ME" w:bidi="en-US"/>
              </w:rPr>
            </w:pPr>
          </w:p>
        </w:tc>
        <w:tc>
          <w:tcPr>
            <w:tcW w:w="1152" w:type="pct"/>
            <w:tcBorders>
              <w:top w:val="single" w:sz="4" w:space="0" w:color="auto"/>
              <w:left w:val="single" w:sz="4" w:space="0" w:color="auto"/>
            </w:tcBorders>
            <w:shd w:val="clear" w:color="auto" w:fill="auto"/>
            <w:vAlign w:val="center"/>
          </w:tcPr>
          <w:p w14:paraId="5DEBC1BD"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Dabigatraneteksilat 150 mg dva puta dnevno</w:t>
            </w:r>
          </w:p>
        </w:tc>
        <w:tc>
          <w:tcPr>
            <w:tcW w:w="1149" w:type="pct"/>
            <w:tcBorders>
              <w:top w:val="single" w:sz="4" w:space="0" w:color="auto"/>
              <w:left w:val="single" w:sz="4" w:space="0" w:color="auto"/>
            </w:tcBorders>
            <w:shd w:val="clear" w:color="auto" w:fill="auto"/>
            <w:vAlign w:val="center"/>
          </w:tcPr>
          <w:p w14:paraId="38745603"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Varfarin</w:t>
            </w:r>
          </w:p>
        </w:tc>
        <w:tc>
          <w:tcPr>
            <w:tcW w:w="1146" w:type="pct"/>
            <w:tcBorders>
              <w:top w:val="single" w:sz="4" w:space="0" w:color="auto"/>
              <w:left w:val="single" w:sz="4" w:space="0" w:color="auto"/>
              <w:right w:val="single" w:sz="4" w:space="0" w:color="auto"/>
            </w:tcBorders>
            <w:shd w:val="clear" w:color="auto" w:fill="auto"/>
            <w:vAlign w:val="center"/>
          </w:tcPr>
          <w:p w14:paraId="62148F93" w14:textId="51EE18C1" w:rsidR="003717EC" w:rsidRPr="00314858" w:rsidRDefault="002812A0"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i/>
                <w:color w:val="000000" w:themeColor="text1"/>
                <w:lang w:val="sr-Latn-ME" w:bidi="en-US"/>
              </w:rPr>
              <w:t>Hazard ratio</w:t>
            </w:r>
            <w:r w:rsidR="003717EC" w:rsidRPr="00314858">
              <w:rPr>
                <w:rFonts w:ascii="Times New Roman" w:eastAsia="Times New Roman" w:hAnsi="Times New Roman" w:cs="Times New Roman"/>
                <w:color w:val="000000" w:themeColor="text1"/>
                <w:lang w:val="sr-Latn-ME" w:bidi="en-US"/>
              </w:rPr>
              <w:t xml:space="preserve"> prema varfarinu</w:t>
            </w:r>
          </w:p>
          <w:p w14:paraId="49D4D61D" w14:textId="3638982E"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(interval pouzdanosti 95%)</w:t>
            </w:r>
          </w:p>
        </w:tc>
      </w:tr>
      <w:tr w:rsidR="003717EC" w:rsidRPr="00314858" w14:paraId="7F4AE628" w14:textId="77777777" w:rsidTr="001F1A28">
        <w:trPr>
          <w:trHeight w:val="20"/>
          <w:jc w:val="center"/>
        </w:trPr>
        <w:tc>
          <w:tcPr>
            <w:tcW w:w="1553" w:type="pct"/>
            <w:tcBorders>
              <w:top w:val="single" w:sz="4" w:space="0" w:color="auto"/>
              <w:left w:val="single" w:sz="4" w:space="0" w:color="auto"/>
            </w:tcBorders>
            <w:shd w:val="clear" w:color="auto" w:fill="auto"/>
          </w:tcPr>
          <w:p w14:paraId="43C34ED2" w14:textId="5E32E5C4" w:rsidR="003717EC" w:rsidRPr="00314858" w:rsidRDefault="003717EC" w:rsidP="001F1A28">
            <w:pPr>
              <w:widowControl w:val="0"/>
              <w:spacing w:after="0" w:line="240" w:lineRule="auto"/>
              <w:rPr>
                <w:rFonts w:ascii="Times New Roman" w:eastAsia="Courier New" w:hAnsi="Times New Roman" w:cs="Times New Roman"/>
                <w:color w:val="000000" w:themeColor="text1"/>
                <w:lang w:val="sr-Latn-ME" w:bidi="en-US"/>
              </w:rPr>
            </w:pPr>
            <w:r w:rsidRPr="00314858">
              <w:rPr>
                <w:rFonts w:ascii="Times New Roman" w:eastAsia="Courier New" w:hAnsi="Times New Roman" w:cs="Times New Roman"/>
                <w:color w:val="000000" w:themeColor="text1"/>
                <w:lang w:val="sr-Latn-ME" w:bidi="en-US"/>
              </w:rPr>
              <w:t>Pacijenti uključeni u analizu bezb</w:t>
            </w:r>
            <w:r w:rsidR="00352B14" w:rsidRPr="00314858">
              <w:rPr>
                <w:rFonts w:ascii="Times New Roman" w:eastAsia="Courier New" w:hAnsi="Times New Roman" w:cs="Times New Roman"/>
                <w:color w:val="000000" w:themeColor="text1"/>
                <w:lang w:val="sr-Latn-ME" w:bidi="en-US"/>
              </w:rPr>
              <w:t>j</w:t>
            </w:r>
            <w:r w:rsidRPr="00314858">
              <w:rPr>
                <w:rFonts w:ascii="Times New Roman" w:eastAsia="Courier New" w:hAnsi="Times New Roman" w:cs="Times New Roman"/>
                <w:color w:val="000000" w:themeColor="text1"/>
                <w:lang w:val="sr-Latn-ME" w:bidi="en-US"/>
              </w:rPr>
              <w:t>ednosti</w:t>
            </w:r>
          </w:p>
        </w:tc>
        <w:tc>
          <w:tcPr>
            <w:tcW w:w="1152" w:type="pct"/>
            <w:tcBorders>
              <w:top w:val="single" w:sz="4" w:space="0" w:color="auto"/>
              <w:left w:val="single" w:sz="4" w:space="0" w:color="auto"/>
            </w:tcBorders>
            <w:shd w:val="clear" w:color="auto" w:fill="auto"/>
            <w:vAlign w:val="center"/>
          </w:tcPr>
          <w:p w14:paraId="36B3A5E2"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2456</w:t>
            </w:r>
          </w:p>
        </w:tc>
        <w:tc>
          <w:tcPr>
            <w:tcW w:w="1149" w:type="pct"/>
            <w:tcBorders>
              <w:top w:val="single" w:sz="4" w:space="0" w:color="auto"/>
              <w:left w:val="single" w:sz="4" w:space="0" w:color="auto"/>
            </w:tcBorders>
            <w:shd w:val="clear" w:color="auto" w:fill="auto"/>
            <w:vAlign w:val="center"/>
          </w:tcPr>
          <w:p w14:paraId="24EF8F8B"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2462</w:t>
            </w:r>
          </w:p>
        </w:tc>
        <w:tc>
          <w:tcPr>
            <w:tcW w:w="1146" w:type="pct"/>
            <w:tcBorders>
              <w:top w:val="single" w:sz="4" w:space="0" w:color="auto"/>
              <w:left w:val="single" w:sz="4" w:space="0" w:color="auto"/>
              <w:right w:val="single" w:sz="4" w:space="0" w:color="auto"/>
            </w:tcBorders>
            <w:shd w:val="clear" w:color="auto" w:fill="auto"/>
            <w:vAlign w:val="center"/>
          </w:tcPr>
          <w:p w14:paraId="15628311"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p>
        </w:tc>
      </w:tr>
      <w:tr w:rsidR="003717EC" w:rsidRPr="00314858" w14:paraId="740C2555" w14:textId="77777777" w:rsidTr="001F1A28">
        <w:trPr>
          <w:trHeight w:val="20"/>
          <w:jc w:val="center"/>
        </w:trPr>
        <w:tc>
          <w:tcPr>
            <w:tcW w:w="1553" w:type="pct"/>
            <w:tcBorders>
              <w:top w:val="single" w:sz="4" w:space="0" w:color="auto"/>
              <w:left w:val="single" w:sz="4" w:space="0" w:color="auto"/>
              <w:bottom w:val="single" w:sz="4" w:space="0" w:color="auto"/>
            </w:tcBorders>
            <w:shd w:val="clear" w:color="auto" w:fill="auto"/>
          </w:tcPr>
          <w:p w14:paraId="776C9B91" w14:textId="3432DE0D" w:rsidR="003717EC" w:rsidRPr="00314858" w:rsidRDefault="003717EC" w:rsidP="001F1A28">
            <w:pPr>
              <w:widowControl w:val="0"/>
              <w:spacing w:after="0" w:line="240" w:lineRule="auto"/>
              <w:rPr>
                <w:rFonts w:ascii="Times New Roman" w:eastAsia="Courier New" w:hAnsi="Times New Roman" w:cs="Times New Roman"/>
                <w:color w:val="000000" w:themeColor="text1"/>
                <w:lang w:val="sr-Latn-ME" w:bidi="en-US"/>
              </w:rPr>
            </w:pPr>
            <w:r w:rsidRPr="00314858">
              <w:rPr>
                <w:rFonts w:ascii="Times New Roman" w:eastAsia="Courier New" w:hAnsi="Times New Roman" w:cs="Times New Roman"/>
                <w:color w:val="000000" w:themeColor="text1"/>
                <w:lang w:val="sr-Latn-ME" w:bidi="en-US"/>
              </w:rPr>
              <w:t xml:space="preserve">Događaji </w:t>
            </w:r>
            <w:r w:rsidR="002812A0" w:rsidRPr="00314858">
              <w:rPr>
                <w:rFonts w:ascii="Times New Roman" w:eastAsia="Courier New" w:hAnsi="Times New Roman" w:cs="Times New Roman"/>
                <w:color w:val="000000" w:themeColor="text1"/>
                <w:lang w:val="sr-Latn-ME" w:bidi="en-US"/>
              </w:rPr>
              <w:t>obilnijeg</w:t>
            </w:r>
            <w:r w:rsidRPr="00314858">
              <w:rPr>
                <w:rFonts w:ascii="Times New Roman" w:eastAsia="Courier New" w:hAnsi="Times New Roman" w:cs="Times New Roman"/>
                <w:color w:val="000000" w:themeColor="text1"/>
                <w:lang w:val="sr-Latn-ME" w:bidi="en-US"/>
              </w:rPr>
              <w:t xml:space="preserve"> krvarenja </w:t>
            </w:r>
          </w:p>
        </w:tc>
        <w:tc>
          <w:tcPr>
            <w:tcW w:w="1152" w:type="pct"/>
            <w:tcBorders>
              <w:top w:val="single" w:sz="4" w:space="0" w:color="auto"/>
              <w:left w:val="single" w:sz="4" w:space="0" w:color="auto"/>
              <w:bottom w:val="single" w:sz="4" w:space="0" w:color="auto"/>
            </w:tcBorders>
            <w:shd w:val="clear" w:color="auto" w:fill="auto"/>
            <w:vAlign w:val="center"/>
          </w:tcPr>
          <w:p w14:paraId="1C990071"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24 (1,0%)</w:t>
            </w:r>
          </w:p>
        </w:tc>
        <w:tc>
          <w:tcPr>
            <w:tcW w:w="1149" w:type="pct"/>
            <w:tcBorders>
              <w:top w:val="single" w:sz="4" w:space="0" w:color="auto"/>
              <w:left w:val="single" w:sz="4" w:space="0" w:color="auto"/>
              <w:bottom w:val="single" w:sz="4" w:space="0" w:color="auto"/>
            </w:tcBorders>
            <w:shd w:val="clear" w:color="auto" w:fill="auto"/>
            <w:vAlign w:val="center"/>
          </w:tcPr>
          <w:p w14:paraId="34B29EC8"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40 (1,6%)</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43822D2E"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0,60 (0,36; 0,99)</w:t>
            </w:r>
          </w:p>
        </w:tc>
      </w:tr>
      <w:tr w:rsidR="003717EC" w:rsidRPr="00314858" w14:paraId="0CCDC58D" w14:textId="77777777" w:rsidTr="001F1A28">
        <w:trPr>
          <w:trHeight w:val="20"/>
          <w:jc w:val="center"/>
        </w:trPr>
        <w:tc>
          <w:tcPr>
            <w:tcW w:w="1553" w:type="pct"/>
            <w:tcBorders>
              <w:top w:val="single" w:sz="4" w:space="0" w:color="auto"/>
              <w:left w:val="single" w:sz="4" w:space="0" w:color="auto"/>
            </w:tcBorders>
            <w:shd w:val="clear" w:color="auto" w:fill="auto"/>
          </w:tcPr>
          <w:p w14:paraId="1101361A" w14:textId="77777777" w:rsidR="003717EC" w:rsidRPr="00314858" w:rsidRDefault="003717EC" w:rsidP="001F1A28">
            <w:pPr>
              <w:widowControl w:val="0"/>
              <w:spacing w:after="0" w:line="240" w:lineRule="auto"/>
              <w:ind w:left="330"/>
              <w:rPr>
                <w:rFonts w:ascii="Times New Roman" w:eastAsia="Courier New" w:hAnsi="Times New Roman" w:cs="Times New Roman"/>
                <w:color w:val="000000" w:themeColor="text1"/>
                <w:lang w:val="sr-Latn-ME" w:bidi="en-US"/>
              </w:rPr>
            </w:pPr>
            <w:r w:rsidRPr="00314858">
              <w:rPr>
                <w:rFonts w:ascii="Times New Roman" w:eastAsia="Courier New" w:hAnsi="Times New Roman" w:cs="Times New Roman"/>
                <w:color w:val="000000" w:themeColor="text1"/>
                <w:lang w:val="sr-Latn-ME" w:bidi="en-US"/>
              </w:rPr>
              <w:t>Intrakranijalno krvarenje</w:t>
            </w:r>
          </w:p>
        </w:tc>
        <w:tc>
          <w:tcPr>
            <w:tcW w:w="1152" w:type="pct"/>
            <w:tcBorders>
              <w:top w:val="single" w:sz="4" w:space="0" w:color="auto"/>
              <w:left w:val="single" w:sz="4" w:space="0" w:color="auto"/>
            </w:tcBorders>
            <w:shd w:val="clear" w:color="auto" w:fill="auto"/>
            <w:vAlign w:val="center"/>
          </w:tcPr>
          <w:p w14:paraId="76853F9C"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 (0,1%)</w:t>
            </w:r>
          </w:p>
        </w:tc>
        <w:tc>
          <w:tcPr>
            <w:tcW w:w="1149" w:type="pct"/>
            <w:tcBorders>
              <w:top w:val="single" w:sz="4" w:space="0" w:color="auto"/>
              <w:left w:val="single" w:sz="4" w:space="0" w:color="auto"/>
            </w:tcBorders>
            <w:shd w:val="clear" w:color="auto" w:fill="auto"/>
            <w:vAlign w:val="center"/>
          </w:tcPr>
          <w:p w14:paraId="70E63E67"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4 (0,2%)</w:t>
            </w:r>
          </w:p>
        </w:tc>
        <w:tc>
          <w:tcPr>
            <w:tcW w:w="1146" w:type="pct"/>
            <w:tcBorders>
              <w:top w:val="single" w:sz="4" w:space="0" w:color="auto"/>
              <w:left w:val="single" w:sz="4" w:space="0" w:color="auto"/>
              <w:right w:val="single" w:sz="4" w:space="0" w:color="auto"/>
            </w:tcBorders>
            <w:shd w:val="clear" w:color="auto" w:fill="auto"/>
            <w:vAlign w:val="center"/>
          </w:tcPr>
          <w:p w14:paraId="4BF4E3A3"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0,50 (0,09; 2,74)</w:t>
            </w:r>
          </w:p>
        </w:tc>
      </w:tr>
      <w:tr w:rsidR="003717EC" w:rsidRPr="00314858" w14:paraId="52DD529C" w14:textId="77777777" w:rsidTr="001F1A28">
        <w:trPr>
          <w:trHeight w:val="20"/>
          <w:jc w:val="center"/>
        </w:trPr>
        <w:tc>
          <w:tcPr>
            <w:tcW w:w="1553" w:type="pct"/>
            <w:tcBorders>
              <w:top w:val="single" w:sz="4" w:space="0" w:color="auto"/>
              <w:left w:val="single" w:sz="4" w:space="0" w:color="auto"/>
            </w:tcBorders>
            <w:shd w:val="clear" w:color="auto" w:fill="auto"/>
          </w:tcPr>
          <w:p w14:paraId="4D2063D3" w14:textId="1E7D5B30" w:rsidR="003717EC" w:rsidRPr="00314858" w:rsidRDefault="002812A0" w:rsidP="001F1A28">
            <w:pPr>
              <w:widowControl w:val="0"/>
              <w:spacing w:after="0" w:line="240" w:lineRule="auto"/>
              <w:ind w:left="330"/>
              <w:rPr>
                <w:rFonts w:ascii="Times New Roman" w:eastAsia="Courier New" w:hAnsi="Times New Roman" w:cs="Times New Roman"/>
                <w:color w:val="000000" w:themeColor="text1"/>
                <w:lang w:val="sr-Latn-ME" w:bidi="en-US"/>
              </w:rPr>
            </w:pPr>
            <w:r w:rsidRPr="00314858">
              <w:rPr>
                <w:rFonts w:ascii="Times New Roman" w:eastAsia="Courier New" w:hAnsi="Times New Roman" w:cs="Times New Roman"/>
                <w:color w:val="000000" w:themeColor="text1"/>
                <w:lang w:val="sr-Latn-ME" w:bidi="en-US"/>
              </w:rPr>
              <w:t>Obilnije</w:t>
            </w:r>
            <w:r w:rsidR="003717EC" w:rsidRPr="00314858">
              <w:rPr>
                <w:rFonts w:ascii="Times New Roman" w:eastAsia="Courier New" w:hAnsi="Times New Roman" w:cs="Times New Roman"/>
                <w:color w:val="000000" w:themeColor="text1"/>
                <w:lang w:val="sr-Latn-ME" w:bidi="en-US"/>
              </w:rPr>
              <w:t xml:space="preserve"> GI krvarenje </w:t>
            </w:r>
          </w:p>
        </w:tc>
        <w:tc>
          <w:tcPr>
            <w:tcW w:w="1152" w:type="pct"/>
            <w:tcBorders>
              <w:top w:val="single" w:sz="4" w:space="0" w:color="auto"/>
              <w:left w:val="single" w:sz="4" w:space="0" w:color="auto"/>
            </w:tcBorders>
            <w:shd w:val="clear" w:color="auto" w:fill="auto"/>
            <w:vAlign w:val="center"/>
          </w:tcPr>
          <w:p w14:paraId="6EA278EE"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10 (0,4%)</w:t>
            </w:r>
          </w:p>
        </w:tc>
        <w:tc>
          <w:tcPr>
            <w:tcW w:w="1149" w:type="pct"/>
            <w:tcBorders>
              <w:top w:val="single" w:sz="4" w:space="0" w:color="auto"/>
              <w:left w:val="single" w:sz="4" w:space="0" w:color="auto"/>
            </w:tcBorders>
            <w:shd w:val="clear" w:color="auto" w:fill="auto"/>
            <w:vAlign w:val="center"/>
          </w:tcPr>
          <w:p w14:paraId="6A063626"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12 (0,5%)</w:t>
            </w:r>
          </w:p>
        </w:tc>
        <w:tc>
          <w:tcPr>
            <w:tcW w:w="1146" w:type="pct"/>
            <w:tcBorders>
              <w:top w:val="single" w:sz="4" w:space="0" w:color="auto"/>
              <w:left w:val="single" w:sz="4" w:space="0" w:color="auto"/>
              <w:right w:val="single" w:sz="4" w:space="0" w:color="auto"/>
            </w:tcBorders>
            <w:shd w:val="clear" w:color="auto" w:fill="auto"/>
            <w:vAlign w:val="center"/>
          </w:tcPr>
          <w:p w14:paraId="0B583B08"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0,83 (0,36; 1,93)</w:t>
            </w:r>
          </w:p>
        </w:tc>
      </w:tr>
      <w:tr w:rsidR="003717EC" w:rsidRPr="00314858" w14:paraId="12CF2D11" w14:textId="77777777" w:rsidTr="001F1A28">
        <w:trPr>
          <w:trHeight w:val="20"/>
          <w:jc w:val="center"/>
        </w:trPr>
        <w:tc>
          <w:tcPr>
            <w:tcW w:w="1553" w:type="pct"/>
            <w:tcBorders>
              <w:top w:val="single" w:sz="4" w:space="0" w:color="auto"/>
              <w:left w:val="single" w:sz="4" w:space="0" w:color="auto"/>
            </w:tcBorders>
            <w:shd w:val="clear" w:color="auto" w:fill="auto"/>
          </w:tcPr>
          <w:p w14:paraId="0FB70710" w14:textId="4A1FF855" w:rsidR="003717EC" w:rsidRPr="00314858" w:rsidRDefault="002812A0" w:rsidP="001F1A28">
            <w:pPr>
              <w:widowControl w:val="0"/>
              <w:spacing w:after="0" w:line="240" w:lineRule="auto"/>
              <w:ind w:left="330"/>
              <w:rPr>
                <w:rFonts w:ascii="Times New Roman" w:eastAsia="Courier New" w:hAnsi="Times New Roman" w:cs="Times New Roman"/>
                <w:color w:val="000000" w:themeColor="text1"/>
                <w:lang w:val="sr-Latn-ME" w:bidi="en-US"/>
              </w:rPr>
            </w:pPr>
            <w:r w:rsidRPr="00314858">
              <w:rPr>
                <w:rFonts w:ascii="Times New Roman" w:eastAsia="Courier New" w:hAnsi="Times New Roman" w:cs="Times New Roman"/>
                <w:color w:val="000000" w:themeColor="text1"/>
                <w:lang w:val="sr-Latn-ME" w:bidi="en-US"/>
              </w:rPr>
              <w:t>K</w:t>
            </w:r>
            <w:r w:rsidR="003717EC" w:rsidRPr="00314858">
              <w:rPr>
                <w:rFonts w:ascii="Times New Roman" w:eastAsia="Courier New" w:hAnsi="Times New Roman" w:cs="Times New Roman"/>
                <w:color w:val="000000" w:themeColor="text1"/>
                <w:lang w:val="sr-Latn-ME" w:bidi="en-US"/>
              </w:rPr>
              <w:t xml:space="preserve">rvarenje </w:t>
            </w:r>
            <w:r w:rsidRPr="00314858">
              <w:rPr>
                <w:rFonts w:ascii="Times New Roman" w:eastAsia="Courier New" w:hAnsi="Times New Roman" w:cs="Times New Roman"/>
                <w:color w:val="000000" w:themeColor="text1"/>
                <w:lang w:val="sr-Latn-ME" w:bidi="en-US"/>
              </w:rPr>
              <w:t>opasno po život</w:t>
            </w:r>
          </w:p>
        </w:tc>
        <w:tc>
          <w:tcPr>
            <w:tcW w:w="1152" w:type="pct"/>
            <w:tcBorders>
              <w:top w:val="single" w:sz="4" w:space="0" w:color="auto"/>
              <w:left w:val="single" w:sz="4" w:space="0" w:color="auto"/>
            </w:tcBorders>
            <w:shd w:val="clear" w:color="auto" w:fill="auto"/>
            <w:vAlign w:val="center"/>
          </w:tcPr>
          <w:p w14:paraId="7B96A2DC"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4 (0,2%)</w:t>
            </w:r>
          </w:p>
        </w:tc>
        <w:tc>
          <w:tcPr>
            <w:tcW w:w="1149" w:type="pct"/>
            <w:tcBorders>
              <w:top w:val="single" w:sz="4" w:space="0" w:color="auto"/>
              <w:left w:val="single" w:sz="4" w:space="0" w:color="auto"/>
            </w:tcBorders>
            <w:shd w:val="clear" w:color="auto" w:fill="auto"/>
            <w:vAlign w:val="center"/>
          </w:tcPr>
          <w:p w14:paraId="5CF2DF03"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6 (0,2%)</w:t>
            </w:r>
          </w:p>
        </w:tc>
        <w:tc>
          <w:tcPr>
            <w:tcW w:w="1146" w:type="pct"/>
            <w:tcBorders>
              <w:top w:val="single" w:sz="4" w:space="0" w:color="auto"/>
              <w:left w:val="single" w:sz="4" w:space="0" w:color="auto"/>
              <w:right w:val="single" w:sz="4" w:space="0" w:color="auto"/>
            </w:tcBorders>
            <w:shd w:val="clear" w:color="auto" w:fill="auto"/>
            <w:vAlign w:val="center"/>
          </w:tcPr>
          <w:p w14:paraId="6C625120"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0,66 (0,19; 2,36)</w:t>
            </w:r>
          </w:p>
        </w:tc>
      </w:tr>
      <w:tr w:rsidR="003717EC" w:rsidRPr="00314858" w14:paraId="0F91F32A" w14:textId="77777777" w:rsidTr="001F1A28">
        <w:trPr>
          <w:trHeight w:val="20"/>
          <w:jc w:val="center"/>
        </w:trPr>
        <w:tc>
          <w:tcPr>
            <w:tcW w:w="1553" w:type="pct"/>
            <w:tcBorders>
              <w:top w:val="single" w:sz="4" w:space="0" w:color="auto"/>
              <w:left w:val="single" w:sz="4" w:space="0" w:color="auto"/>
            </w:tcBorders>
            <w:shd w:val="clear" w:color="auto" w:fill="auto"/>
          </w:tcPr>
          <w:p w14:paraId="3100A325" w14:textId="4786C20D" w:rsidR="003717EC" w:rsidRPr="00314858" w:rsidRDefault="003717EC" w:rsidP="001F1A28">
            <w:pPr>
              <w:widowControl w:val="0"/>
              <w:spacing w:after="0" w:line="240" w:lineRule="auto"/>
              <w:rPr>
                <w:rFonts w:ascii="Times New Roman" w:eastAsia="Courier New" w:hAnsi="Times New Roman" w:cs="Times New Roman"/>
                <w:color w:val="000000" w:themeColor="text1"/>
                <w:lang w:val="sr-Latn-ME" w:bidi="en-US"/>
              </w:rPr>
            </w:pPr>
            <w:r w:rsidRPr="00314858">
              <w:rPr>
                <w:rFonts w:ascii="Times New Roman" w:eastAsia="Courier New" w:hAnsi="Times New Roman" w:cs="Times New Roman"/>
                <w:color w:val="000000" w:themeColor="text1"/>
                <w:lang w:val="sr-Latn-ME" w:bidi="en-US"/>
              </w:rPr>
              <w:t xml:space="preserve">Događaji </w:t>
            </w:r>
            <w:r w:rsidR="002812A0" w:rsidRPr="00314858">
              <w:rPr>
                <w:rFonts w:ascii="Times New Roman" w:eastAsia="Courier New" w:hAnsi="Times New Roman" w:cs="Times New Roman"/>
                <w:color w:val="000000" w:themeColor="text1"/>
                <w:lang w:val="sr-Latn-ME" w:bidi="en-US"/>
              </w:rPr>
              <w:t>obilnijeg</w:t>
            </w:r>
            <w:r w:rsidRPr="00314858">
              <w:rPr>
                <w:rFonts w:ascii="Times New Roman" w:eastAsia="Courier New" w:hAnsi="Times New Roman" w:cs="Times New Roman"/>
                <w:color w:val="000000" w:themeColor="text1"/>
                <w:lang w:val="sr-Latn-ME" w:bidi="en-US"/>
              </w:rPr>
              <w:t xml:space="preserve"> krvarenja/klinički značajna krvarenja</w:t>
            </w:r>
          </w:p>
        </w:tc>
        <w:tc>
          <w:tcPr>
            <w:tcW w:w="1152" w:type="pct"/>
            <w:tcBorders>
              <w:top w:val="single" w:sz="4" w:space="0" w:color="auto"/>
              <w:left w:val="single" w:sz="4" w:space="0" w:color="auto"/>
            </w:tcBorders>
            <w:shd w:val="clear" w:color="auto" w:fill="auto"/>
            <w:vAlign w:val="center"/>
          </w:tcPr>
          <w:p w14:paraId="007F7E3D"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109 (4,4%)</w:t>
            </w:r>
          </w:p>
        </w:tc>
        <w:tc>
          <w:tcPr>
            <w:tcW w:w="1149" w:type="pct"/>
            <w:tcBorders>
              <w:top w:val="single" w:sz="4" w:space="0" w:color="auto"/>
              <w:left w:val="single" w:sz="4" w:space="0" w:color="auto"/>
            </w:tcBorders>
            <w:shd w:val="clear" w:color="auto" w:fill="auto"/>
            <w:vAlign w:val="center"/>
          </w:tcPr>
          <w:p w14:paraId="361A9BB0"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189 (7,7%)</w:t>
            </w:r>
          </w:p>
        </w:tc>
        <w:tc>
          <w:tcPr>
            <w:tcW w:w="1146" w:type="pct"/>
            <w:tcBorders>
              <w:top w:val="single" w:sz="4" w:space="0" w:color="auto"/>
              <w:left w:val="single" w:sz="4" w:space="0" w:color="auto"/>
              <w:right w:val="single" w:sz="4" w:space="0" w:color="auto"/>
            </w:tcBorders>
            <w:shd w:val="clear" w:color="auto" w:fill="auto"/>
            <w:vAlign w:val="center"/>
          </w:tcPr>
          <w:p w14:paraId="35D38B40"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0,56 (0,45; 0,71)</w:t>
            </w:r>
          </w:p>
        </w:tc>
      </w:tr>
      <w:tr w:rsidR="003717EC" w:rsidRPr="00314858" w14:paraId="6F57A93E" w14:textId="77777777" w:rsidTr="001F1A28">
        <w:trPr>
          <w:trHeight w:val="20"/>
          <w:jc w:val="center"/>
        </w:trPr>
        <w:tc>
          <w:tcPr>
            <w:tcW w:w="1553" w:type="pct"/>
            <w:tcBorders>
              <w:top w:val="single" w:sz="4" w:space="0" w:color="auto"/>
              <w:left w:val="single" w:sz="4" w:space="0" w:color="auto"/>
              <w:bottom w:val="single" w:sz="4" w:space="0" w:color="auto"/>
            </w:tcBorders>
            <w:shd w:val="clear" w:color="auto" w:fill="auto"/>
          </w:tcPr>
          <w:p w14:paraId="6D2A4EB9" w14:textId="77777777" w:rsidR="003717EC" w:rsidRPr="00314858" w:rsidRDefault="003717EC" w:rsidP="001F1A28">
            <w:pPr>
              <w:widowControl w:val="0"/>
              <w:spacing w:after="0" w:line="240" w:lineRule="auto"/>
              <w:rPr>
                <w:rFonts w:ascii="Times New Roman" w:eastAsia="Courier New" w:hAnsi="Times New Roman" w:cs="Times New Roman"/>
                <w:color w:val="000000" w:themeColor="text1"/>
                <w:lang w:val="sr-Latn-ME" w:bidi="en-US"/>
              </w:rPr>
            </w:pPr>
            <w:r w:rsidRPr="00314858">
              <w:rPr>
                <w:rFonts w:ascii="Times New Roman" w:eastAsia="Courier New" w:hAnsi="Times New Roman" w:cs="Times New Roman"/>
                <w:color w:val="000000" w:themeColor="text1"/>
                <w:lang w:val="sr-Latn-ME" w:bidi="en-US"/>
              </w:rPr>
              <w:t>Bilo koje krvarenje</w:t>
            </w:r>
          </w:p>
        </w:tc>
        <w:tc>
          <w:tcPr>
            <w:tcW w:w="1152" w:type="pct"/>
            <w:tcBorders>
              <w:top w:val="single" w:sz="4" w:space="0" w:color="auto"/>
              <w:left w:val="single" w:sz="4" w:space="0" w:color="auto"/>
              <w:bottom w:val="single" w:sz="4" w:space="0" w:color="auto"/>
            </w:tcBorders>
            <w:shd w:val="clear" w:color="auto" w:fill="auto"/>
            <w:vAlign w:val="center"/>
          </w:tcPr>
          <w:p w14:paraId="0B1AFF74"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354 (14,4%)</w:t>
            </w:r>
          </w:p>
        </w:tc>
        <w:tc>
          <w:tcPr>
            <w:tcW w:w="1149" w:type="pct"/>
            <w:tcBorders>
              <w:top w:val="single" w:sz="4" w:space="0" w:color="auto"/>
              <w:left w:val="single" w:sz="4" w:space="0" w:color="auto"/>
              <w:bottom w:val="single" w:sz="4" w:space="0" w:color="auto"/>
            </w:tcBorders>
            <w:shd w:val="clear" w:color="auto" w:fill="auto"/>
            <w:vAlign w:val="center"/>
          </w:tcPr>
          <w:p w14:paraId="25C6BC84"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503 (20,4%)</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543AD058"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0,67 (0,59; 0,77)</w:t>
            </w:r>
          </w:p>
        </w:tc>
      </w:tr>
      <w:tr w:rsidR="003717EC" w:rsidRPr="00314858" w14:paraId="226AF41D" w14:textId="77777777" w:rsidTr="001F1A28">
        <w:trPr>
          <w:trHeight w:val="20"/>
          <w:jc w:val="center"/>
        </w:trPr>
        <w:tc>
          <w:tcPr>
            <w:tcW w:w="1553" w:type="pct"/>
            <w:tcBorders>
              <w:top w:val="single" w:sz="4" w:space="0" w:color="auto"/>
              <w:left w:val="single" w:sz="4" w:space="0" w:color="auto"/>
              <w:bottom w:val="single" w:sz="4" w:space="0" w:color="auto"/>
            </w:tcBorders>
            <w:shd w:val="clear" w:color="auto" w:fill="auto"/>
          </w:tcPr>
          <w:p w14:paraId="1104913C" w14:textId="33AFD174" w:rsidR="003717EC" w:rsidRPr="00314858" w:rsidRDefault="002812A0" w:rsidP="001F1A28">
            <w:pPr>
              <w:widowControl w:val="0"/>
              <w:spacing w:after="0" w:line="240" w:lineRule="auto"/>
              <w:rPr>
                <w:rFonts w:ascii="Times New Roman" w:eastAsia="Courier New" w:hAnsi="Times New Roman" w:cs="Times New Roman"/>
                <w:color w:val="000000" w:themeColor="text1"/>
                <w:lang w:val="sr-Latn-ME" w:bidi="en-US"/>
              </w:rPr>
            </w:pPr>
            <w:r w:rsidRPr="00314858">
              <w:rPr>
                <w:rFonts w:ascii="Times New Roman" w:eastAsia="Courier New" w:hAnsi="Times New Roman" w:cs="Times New Roman"/>
                <w:color w:val="000000" w:themeColor="text1"/>
                <w:lang w:val="sr-Latn-ME" w:bidi="en-US"/>
              </w:rPr>
              <w:t xml:space="preserve">      </w:t>
            </w:r>
            <w:r w:rsidR="003717EC" w:rsidRPr="00314858">
              <w:rPr>
                <w:rFonts w:ascii="Times New Roman" w:eastAsia="Courier New" w:hAnsi="Times New Roman" w:cs="Times New Roman"/>
                <w:color w:val="000000" w:themeColor="text1"/>
                <w:lang w:val="sr-Latn-ME" w:bidi="en-US"/>
              </w:rPr>
              <w:t xml:space="preserve">Bilo koje GI krvarenje </w:t>
            </w:r>
          </w:p>
        </w:tc>
        <w:tc>
          <w:tcPr>
            <w:tcW w:w="1152" w:type="pct"/>
            <w:tcBorders>
              <w:top w:val="single" w:sz="4" w:space="0" w:color="auto"/>
              <w:left w:val="single" w:sz="4" w:space="0" w:color="auto"/>
              <w:bottom w:val="single" w:sz="4" w:space="0" w:color="auto"/>
            </w:tcBorders>
            <w:shd w:val="clear" w:color="auto" w:fill="auto"/>
            <w:vAlign w:val="center"/>
          </w:tcPr>
          <w:p w14:paraId="774458E0"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70 (2,9%)</w:t>
            </w:r>
          </w:p>
        </w:tc>
        <w:tc>
          <w:tcPr>
            <w:tcW w:w="1149" w:type="pct"/>
            <w:tcBorders>
              <w:top w:val="single" w:sz="4" w:space="0" w:color="auto"/>
              <w:left w:val="single" w:sz="4" w:space="0" w:color="auto"/>
              <w:bottom w:val="single" w:sz="4" w:space="0" w:color="auto"/>
            </w:tcBorders>
            <w:shd w:val="clear" w:color="auto" w:fill="auto"/>
            <w:vAlign w:val="center"/>
          </w:tcPr>
          <w:p w14:paraId="14127E6A"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55 (2,2%)</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248877DC" w14:textId="77777777" w:rsidR="003717EC" w:rsidRPr="00314858" w:rsidRDefault="003717EC"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1,27 (0,90; 1,82)</w:t>
            </w:r>
          </w:p>
        </w:tc>
      </w:tr>
    </w:tbl>
    <w:p w14:paraId="75199CC0" w14:textId="77777777" w:rsidR="00D67D34" w:rsidRPr="00314858" w:rsidRDefault="00D67D34" w:rsidP="00D67D34">
      <w:pPr>
        <w:spacing w:after="0" w:line="240" w:lineRule="auto"/>
        <w:jc w:val="both"/>
        <w:rPr>
          <w:rFonts w:ascii="Times New Roman" w:hAnsi="Times New Roman" w:cs="Times New Roman"/>
          <w:lang w:val="sr-Latn-ME" w:bidi="en-US"/>
        </w:rPr>
      </w:pPr>
    </w:p>
    <w:p w14:paraId="729F704D" w14:textId="6CACA50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Događaji krvarenja za ob</w:t>
      </w:r>
      <w:r w:rsidR="00352B14" w:rsidRPr="00314858">
        <w:rPr>
          <w:rFonts w:ascii="Times New Roman" w:hAnsi="Times New Roman" w:cs="Times New Roman"/>
          <w:lang w:val="sr-Latn-ME"/>
        </w:rPr>
        <w:t>j</w:t>
      </w:r>
      <w:r w:rsidRPr="00314858">
        <w:rPr>
          <w:rFonts w:ascii="Times New Roman" w:hAnsi="Times New Roman" w:cs="Times New Roman"/>
          <w:lang w:val="sr-Latn-ME"/>
        </w:rPr>
        <w:t>e terapije se računaju od prvog unosa dabigatraneteksilata ili varfarina nakon prekida parenteraln</w:t>
      </w:r>
      <w:r w:rsidR="002F2FBF" w:rsidRPr="00314858">
        <w:rPr>
          <w:rFonts w:ascii="Times New Roman" w:hAnsi="Times New Roman" w:cs="Times New Roman"/>
          <w:lang w:val="sr-Latn-ME"/>
        </w:rPr>
        <w:t>e terapije</w:t>
      </w:r>
      <w:r w:rsidRPr="00314858">
        <w:rPr>
          <w:rFonts w:ascii="Times New Roman" w:hAnsi="Times New Roman" w:cs="Times New Roman"/>
          <w:lang w:val="sr-Latn-ME"/>
        </w:rPr>
        <w:t xml:space="preserve"> (</w:t>
      </w:r>
      <w:r w:rsidR="002F2FBF" w:rsidRPr="00314858">
        <w:rPr>
          <w:rFonts w:ascii="Times New Roman" w:hAnsi="Times New Roman" w:cs="Times New Roman"/>
          <w:lang w:val="sr-Latn-ME"/>
        </w:rPr>
        <w:t>vremenski period isključivo oralne terapije</w:t>
      </w:r>
      <w:r w:rsidRPr="00314858">
        <w:rPr>
          <w:rFonts w:ascii="Times New Roman" w:hAnsi="Times New Roman" w:cs="Times New Roman"/>
          <w:lang w:val="sr-Latn-ME"/>
        </w:rPr>
        <w:t>). Ovo uključuje sve događaje krvarenja koji su se javili za vr</w:t>
      </w:r>
      <w:r w:rsidR="00352B14" w:rsidRPr="00314858">
        <w:rPr>
          <w:rFonts w:ascii="Times New Roman" w:hAnsi="Times New Roman" w:cs="Times New Roman"/>
          <w:lang w:val="sr-Latn-ME"/>
        </w:rPr>
        <w:t>ij</w:t>
      </w:r>
      <w:r w:rsidRPr="00314858">
        <w:rPr>
          <w:rFonts w:ascii="Times New Roman" w:hAnsi="Times New Roman" w:cs="Times New Roman"/>
          <w:lang w:val="sr-Latn-ME"/>
        </w:rPr>
        <w:t>eme terapije dabigatraneteksilatom. Uključeni su svi događaji krvarenja koji su se javili za vr</w:t>
      </w:r>
      <w:r w:rsidR="00352B14" w:rsidRPr="00314858">
        <w:rPr>
          <w:rFonts w:ascii="Times New Roman" w:hAnsi="Times New Roman" w:cs="Times New Roman"/>
          <w:lang w:val="sr-Latn-ME"/>
        </w:rPr>
        <w:t>ij</w:t>
      </w:r>
      <w:r w:rsidRPr="00314858">
        <w:rPr>
          <w:rFonts w:ascii="Times New Roman" w:hAnsi="Times New Roman" w:cs="Times New Roman"/>
          <w:lang w:val="sr-Latn-ME"/>
        </w:rPr>
        <w:t>eme terapije varfarinom, osim onih koji su se javili za vr</w:t>
      </w:r>
      <w:r w:rsidR="00352B14" w:rsidRPr="00314858">
        <w:rPr>
          <w:rFonts w:ascii="Times New Roman" w:hAnsi="Times New Roman" w:cs="Times New Roman"/>
          <w:lang w:val="sr-Latn-ME"/>
        </w:rPr>
        <w:t>ij</w:t>
      </w:r>
      <w:r w:rsidRPr="00314858">
        <w:rPr>
          <w:rFonts w:ascii="Times New Roman" w:hAnsi="Times New Roman" w:cs="Times New Roman"/>
          <w:lang w:val="sr-Latn-ME"/>
        </w:rPr>
        <w:t>eme perioda preklapanja između varfarina i parenteraln</w:t>
      </w:r>
      <w:r w:rsidR="002F2FBF" w:rsidRPr="00314858">
        <w:rPr>
          <w:rFonts w:ascii="Times New Roman" w:hAnsi="Times New Roman" w:cs="Times New Roman"/>
          <w:lang w:val="sr-Latn-ME"/>
        </w:rPr>
        <w:t>e terapije</w:t>
      </w:r>
      <w:r w:rsidRPr="00314858">
        <w:rPr>
          <w:rFonts w:ascii="Times New Roman" w:hAnsi="Times New Roman" w:cs="Times New Roman"/>
          <w:lang w:val="sr-Latn-ME"/>
        </w:rPr>
        <w:t>.</w:t>
      </w:r>
    </w:p>
    <w:p w14:paraId="09076681" w14:textId="77777777" w:rsidR="003717EC" w:rsidRPr="00314858" w:rsidRDefault="003717EC" w:rsidP="00D67D34">
      <w:pPr>
        <w:spacing w:after="0" w:line="240" w:lineRule="auto"/>
        <w:jc w:val="both"/>
        <w:rPr>
          <w:rFonts w:ascii="Times New Roman" w:hAnsi="Times New Roman" w:cs="Times New Roman"/>
          <w:lang w:val="sr-Latn-ME"/>
        </w:rPr>
      </w:pPr>
    </w:p>
    <w:p w14:paraId="69A4323B" w14:textId="56AE081E" w:rsidR="00D67D34" w:rsidRPr="00314858" w:rsidRDefault="003717EC"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w:t>
      </w:r>
      <w:r w:rsidR="00D67D34" w:rsidRPr="00314858">
        <w:rPr>
          <w:rFonts w:ascii="Times New Roman" w:hAnsi="Times New Roman" w:cs="Times New Roman"/>
          <w:lang w:val="sr-Latn-ME"/>
        </w:rPr>
        <w:t>Tabel</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14</w:t>
      </w:r>
      <w:r w:rsidRPr="00314858">
        <w:rPr>
          <w:rFonts w:ascii="Times New Roman" w:hAnsi="Times New Roman" w:cs="Times New Roman"/>
          <w:lang w:val="sr-Latn-ME"/>
        </w:rPr>
        <w:t xml:space="preserve"> su</w:t>
      </w:r>
      <w:r w:rsidR="00D67D34" w:rsidRPr="00314858">
        <w:rPr>
          <w:rFonts w:ascii="Times New Roman" w:hAnsi="Times New Roman" w:cs="Times New Roman"/>
          <w:lang w:val="sr-Latn-ME"/>
        </w:rPr>
        <w:t xml:space="preserve"> prikaz</w:t>
      </w:r>
      <w:r w:rsidRPr="00314858">
        <w:rPr>
          <w:rFonts w:ascii="Times New Roman" w:hAnsi="Times New Roman" w:cs="Times New Roman"/>
          <w:lang w:val="sr-Latn-ME"/>
        </w:rPr>
        <w:t>ani</w:t>
      </w:r>
      <w:r w:rsidR="00D67D34" w:rsidRPr="00314858">
        <w:rPr>
          <w:rFonts w:ascii="Times New Roman" w:hAnsi="Times New Roman" w:cs="Times New Roman"/>
          <w:lang w:val="sr-Latn-ME"/>
        </w:rPr>
        <w:t xml:space="preserve"> događaj</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krvarenja u pivotalnoj studiji RE-MEDY u kojoj je ispitivana prevencija DVT i PE.</w:t>
      </w:r>
      <w:r w:rsidR="00ED227D"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 xml:space="preserve">Neki događaji krvarenja </w:t>
      </w:r>
      <w:r w:rsidRPr="00314858">
        <w:rPr>
          <w:rFonts w:ascii="Times New Roman" w:hAnsi="Times New Roman" w:cs="Times New Roman"/>
          <w:lang w:val="sr-Latn-ME"/>
        </w:rPr>
        <w:t>(</w:t>
      </w:r>
      <w:r w:rsidR="00F65F8B" w:rsidRPr="00314858">
        <w:rPr>
          <w:rFonts w:ascii="Times New Roman" w:hAnsi="Times New Roman" w:cs="Times New Roman"/>
          <w:lang w:val="sr-Latn-ME"/>
        </w:rPr>
        <w:t xml:space="preserve">MBEs/CRBEs (engl. </w:t>
      </w:r>
      <w:r w:rsidR="00F65F8B" w:rsidRPr="00314858">
        <w:rPr>
          <w:rFonts w:ascii="Times New Roman" w:hAnsi="Times New Roman" w:cs="Times New Roman"/>
          <w:i/>
          <w:lang w:val="sr-Latn-ME"/>
        </w:rPr>
        <w:t>major bleeding events</w:t>
      </w:r>
      <w:r w:rsidR="00F65F8B" w:rsidRPr="00314858">
        <w:rPr>
          <w:rFonts w:ascii="Times New Roman" w:hAnsi="Times New Roman" w:cs="Times New Roman"/>
          <w:lang w:val="sr-Latn-ME"/>
        </w:rPr>
        <w:t>/</w:t>
      </w:r>
      <w:r w:rsidR="00F65F8B" w:rsidRPr="00314858">
        <w:rPr>
          <w:rFonts w:ascii="Times New Roman" w:hAnsi="Times New Roman" w:cs="Times New Roman"/>
          <w:i/>
          <w:lang w:val="sr-Latn-ME"/>
        </w:rPr>
        <w:t xml:space="preserve">clinically </w:t>
      </w:r>
      <w:r w:rsidR="00F65F8B" w:rsidRPr="00314858">
        <w:rPr>
          <w:rFonts w:ascii="Times New Roman" w:hAnsi="Times New Roman" w:cs="Times New Roman"/>
          <w:i/>
          <w:lang w:val="sr-Latn-ME"/>
        </w:rPr>
        <w:lastRenderedPageBreak/>
        <w:t>relevant bleeding events</w:t>
      </w:r>
      <w:r w:rsidR="00F65F8B" w:rsidRPr="00314858">
        <w:rPr>
          <w:rFonts w:ascii="Times New Roman" w:hAnsi="Times New Roman" w:cs="Times New Roman"/>
          <w:lang w:val="sr-Latn-ME"/>
        </w:rPr>
        <w:t>)</w:t>
      </w:r>
      <w:r w:rsidRPr="00314858">
        <w:rPr>
          <w:rFonts w:ascii="Times New Roman" w:hAnsi="Times New Roman" w:cs="Times New Roman"/>
          <w:lang w:val="sr-Latn-ME"/>
        </w:rPr>
        <w:t xml:space="preserve">; bilo koje krvarenje) </w:t>
      </w:r>
      <w:r w:rsidR="00D67D34" w:rsidRPr="00314858">
        <w:rPr>
          <w:rFonts w:ascii="Times New Roman" w:hAnsi="Times New Roman" w:cs="Times New Roman"/>
          <w:lang w:val="sr-Latn-ME"/>
        </w:rPr>
        <w:t>su bili značajno</w:t>
      </w:r>
      <w:r w:rsidR="00CC323A" w:rsidRPr="00314858">
        <w:rPr>
          <w:rFonts w:ascii="Times New Roman" w:hAnsi="Times New Roman" w:cs="Times New Roman"/>
          <w:lang w:val="sr-Latn-ME"/>
        </w:rPr>
        <w:t xml:space="preserve"> manji</w:t>
      </w:r>
      <w:r w:rsidR="00D67D34" w:rsidRPr="00314858">
        <w:rPr>
          <w:rFonts w:ascii="Times New Roman" w:hAnsi="Times New Roman" w:cs="Times New Roman"/>
          <w:lang w:val="sr-Latn-ME"/>
        </w:rPr>
        <w:t xml:space="preserve"> na nominalnom alfa-nivou od 5% kod pacijenata koji su primali dabigatraneteksilat u poređenju sa onima koji su primali varfarin.</w:t>
      </w:r>
    </w:p>
    <w:p w14:paraId="44F5578D" w14:textId="77777777" w:rsidR="0009272D" w:rsidRPr="00314858" w:rsidRDefault="0009272D" w:rsidP="00D67D34">
      <w:pPr>
        <w:spacing w:after="0" w:line="240" w:lineRule="auto"/>
        <w:jc w:val="both"/>
        <w:rPr>
          <w:rFonts w:ascii="Times New Roman" w:hAnsi="Times New Roman" w:cs="Times New Roman"/>
          <w:lang w:val="sr-Latn-ME"/>
        </w:rPr>
      </w:pPr>
    </w:p>
    <w:p w14:paraId="26277AAB" w14:textId="6D7A4335"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14</w:t>
      </w:r>
      <w:r w:rsidR="00F65F8B"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Događaji krvarenja u studiji RE-MEDY u kojoj je ispitivana prevencija DVT i PE</w:t>
      </w:r>
    </w:p>
    <w:p w14:paraId="639812E0" w14:textId="77777777" w:rsidR="00F65F8B" w:rsidRPr="00314858" w:rsidRDefault="00F65F8B" w:rsidP="00D67D34">
      <w:pPr>
        <w:spacing w:after="0" w:line="240" w:lineRule="auto"/>
        <w:jc w:val="both"/>
        <w:rPr>
          <w:rFonts w:ascii="Times New Roman" w:hAnsi="Times New Roman" w:cs="Times New Roman"/>
          <w:b/>
          <w:bCs/>
          <w:lang w:val="sr-Latn-ME" w:bidi="en-US"/>
        </w:rPr>
      </w:pPr>
    </w:p>
    <w:tbl>
      <w:tblPr>
        <w:tblOverlap w:val="never"/>
        <w:tblW w:w="5000" w:type="pct"/>
        <w:jc w:val="center"/>
        <w:tblLayout w:type="fixed"/>
        <w:tblCellMar>
          <w:left w:w="85" w:type="dxa"/>
          <w:right w:w="85" w:type="dxa"/>
        </w:tblCellMar>
        <w:tblLook w:val="04A0" w:firstRow="1" w:lastRow="0" w:firstColumn="1" w:lastColumn="0" w:noHBand="0" w:noVBand="1"/>
      </w:tblPr>
      <w:tblGrid>
        <w:gridCol w:w="2988"/>
        <w:gridCol w:w="1997"/>
        <w:gridCol w:w="1614"/>
        <w:gridCol w:w="2461"/>
      </w:tblGrid>
      <w:tr w:rsidR="00CC323A" w:rsidRPr="00314858" w14:paraId="07E51A3A" w14:textId="77777777" w:rsidTr="001F1A28">
        <w:trPr>
          <w:trHeight w:val="20"/>
          <w:jc w:val="center"/>
        </w:trPr>
        <w:tc>
          <w:tcPr>
            <w:tcW w:w="1649" w:type="pct"/>
            <w:tcBorders>
              <w:top w:val="single" w:sz="4" w:space="0" w:color="auto"/>
              <w:left w:val="single" w:sz="4" w:space="0" w:color="auto"/>
            </w:tcBorders>
            <w:shd w:val="clear" w:color="auto" w:fill="auto"/>
          </w:tcPr>
          <w:p w14:paraId="0028DD03" w14:textId="77777777" w:rsidR="00CC323A" w:rsidRPr="00314858" w:rsidRDefault="00CC323A" w:rsidP="001F1A28">
            <w:pPr>
              <w:widowControl w:val="0"/>
              <w:spacing w:after="0" w:line="240" w:lineRule="auto"/>
              <w:rPr>
                <w:rFonts w:ascii="Times New Roman" w:eastAsia="Courier New" w:hAnsi="Times New Roman" w:cs="Times New Roman"/>
                <w:color w:val="000000" w:themeColor="text1"/>
                <w:lang w:val="sr-Latn-ME" w:bidi="en-US"/>
              </w:rPr>
            </w:pPr>
          </w:p>
        </w:tc>
        <w:tc>
          <w:tcPr>
            <w:tcW w:w="1102" w:type="pct"/>
            <w:tcBorders>
              <w:top w:val="single" w:sz="4" w:space="0" w:color="auto"/>
              <w:left w:val="single" w:sz="4" w:space="0" w:color="auto"/>
            </w:tcBorders>
            <w:shd w:val="clear" w:color="auto" w:fill="auto"/>
            <w:vAlign w:val="center"/>
          </w:tcPr>
          <w:p w14:paraId="3AB3702A" w14:textId="00880FEC"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Dabigatraneteksilat 150 mg dva</w:t>
            </w:r>
            <w:r w:rsidR="007F344B"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put</w:t>
            </w:r>
            <w:r w:rsidR="007F344B" w:rsidRPr="00314858">
              <w:rPr>
                <w:rFonts w:ascii="Times New Roman" w:eastAsia="Times New Roman" w:hAnsi="Times New Roman" w:cs="Times New Roman"/>
                <w:color w:val="000000" w:themeColor="text1"/>
                <w:lang w:val="sr-Latn-ME" w:bidi="en-US"/>
              </w:rPr>
              <w:t>a</w:t>
            </w:r>
            <w:r w:rsidRPr="00314858">
              <w:rPr>
                <w:rFonts w:ascii="Times New Roman" w:eastAsia="Times New Roman" w:hAnsi="Times New Roman" w:cs="Times New Roman"/>
                <w:color w:val="000000" w:themeColor="text1"/>
                <w:lang w:val="sr-Latn-ME" w:bidi="en-US"/>
              </w:rPr>
              <w:t xml:space="preserve"> dnevno</w:t>
            </w:r>
          </w:p>
        </w:tc>
        <w:tc>
          <w:tcPr>
            <w:tcW w:w="891" w:type="pct"/>
            <w:tcBorders>
              <w:top w:val="single" w:sz="4" w:space="0" w:color="auto"/>
              <w:left w:val="single" w:sz="4" w:space="0" w:color="auto"/>
            </w:tcBorders>
            <w:shd w:val="clear" w:color="auto" w:fill="auto"/>
            <w:vAlign w:val="center"/>
          </w:tcPr>
          <w:p w14:paraId="10E2DE51"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Varfarin</w:t>
            </w:r>
          </w:p>
        </w:tc>
        <w:tc>
          <w:tcPr>
            <w:tcW w:w="1358" w:type="pct"/>
            <w:tcBorders>
              <w:top w:val="single" w:sz="4" w:space="0" w:color="auto"/>
              <w:left w:val="single" w:sz="4" w:space="0" w:color="auto"/>
              <w:right w:val="single" w:sz="4" w:space="0" w:color="auto"/>
            </w:tcBorders>
            <w:shd w:val="clear" w:color="auto" w:fill="auto"/>
            <w:vAlign w:val="center"/>
          </w:tcPr>
          <w:p w14:paraId="6A77903B" w14:textId="41B390BC" w:rsidR="00CC323A" w:rsidRPr="00314858" w:rsidRDefault="007F344B"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i/>
                <w:color w:val="000000" w:themeColor="text1"/>
                <w:lang w:val="sr-Latn-ME" w:bidi="en-US"/>
              </w:rPr>
              <w:t>Hazard ratio</w:t>
            </w:r>
            <w:r w:rsidR="00CC323A" w:rsidRPr="00314858">
              <w:rPr>
                <w:rFonts w:ascii="Times New Roman" w:eastAsia="Times New Roman" w:hAnsi="Times New Roman" w:cs="Times New Roman"/>
                <w:color w:val="000000" w:themeColor="text1"/>
                <w:lang w:val="sr-Latn-ME" w:bidi="en-US"/>
              </w:rPr>
              <w:t xml:space="preserve"> prema varfarinu (interval pouzdanosti</w:t>
            </w:r>
            <w:r w:rsidRPr="00314858">
              <w:rPr>
                <w:rFonts w:ascii="Times New Roman" w:eastAsia="Times New Roman" w:hAnsi="Times New Roman" w:cs="Times New Roman"/>
                <w:color w:val="000000" w:themeColor="text1"/>
                <w:lang w:val="sr-Latn-ME" w:bidi="en-US"/>
              </w:rPr>
              <w:t xml:space="preserve"> 95%</w:t>
            </w:r>
            <w:r w:rsidR="00CC323A" w:rsidRPr="00314858">
              <w:rPr>
                <w:rFonts w:ascii="Times New Roman" w:eastAsia="Times New Roman" w:hAnsi="Times New Roman" w:cs="Times New Roman"/>
                <w:color w:val="000000" w:themeColor="text1"/>
                <w:lang w:val="sr-Latn-ME" w:bidi="en-US"/>
              </w:rPr>
              <w:t>)</w:t>
            </w:r>
          </w:p>
        </w:tc>
      </w:tr>
      <w:tr w:rsidR="00CC323A" w:rsidRPr="00314858" w14:paraId="06736670" w14:textId="77777777" w:rsidTr="001F1A28">
        <w:trPr>
          <w:trHeight w:val="20"/>
          <w:jc w:val="center"/>
        </w:trPr>
        <w:tc>
          <w:tcPr>
            <w:tcW w:w="1649" w:type="pct"/>
            <w:tcBorders>
              <w:top w:val="single" w:sz="4" w:space="0" w:color="auto"/>
              <w:left w:val="single" w:sz="4" w:space="0" w:color="auto"/>
            </w:tcBorders>
            <w:shd w:val="clear" w:color="auto" w:fill="auto"/>
            <w:vAlign w:val="bottom"/>
          </w:tcPr>
          <w:p w14:paraId="7B2BE108" w14:textId="00FA6E8B" w:rsidR="00CC323A" w:rsidRPr="00314858" w:rsidRDefault="00CC323A"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L</w:t>
            </w:r>
            <w:r w:rsidR="00352B14"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ečeni pacijenti</w:t>
            </w:r>
          </w:p>
        </w:tc>
        <w:tc>
          <w:tcPr>
            <w:tcW w:w="1102" w:type="pct"/>
            <w:tcBorders>
              <w:top w:val="single" w:sz="4" w:space="0" w:color="auto"/>
              <w:left w:val="single" w:sz="4" w:space="0" w:color="auto"/>
            </w:tcBorders>
            <w:shd w:val="clear" w:color="auto" w:fill="auto"/>
            <w:vAlign w:val="center"/>
          </w:tcPr>
          <w:p w14:paraId="5D64F86D" w14:textId="20C45DDB"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1430</w:t>
            </w:r>
          </w:p>
        </w:tc>
        <w:tc>
          <w:tcPr>
            <w:tcW w:w="891" w:type="pct"/>
            <w:tcBorders>
              <w:top w:val="single" w:sz="4" w:space="0" w:color="auto"/>
              <w:left w:val="single" w:sz="4" w:space="0" w:color="auto"/>
            </w:tcBorders>
            <w:shd w:val="clear" w:color="auto" w:fill="auto"/>
            <w:vAlign w:val="center"/>
          </w:tcPr>
          <w:p w14:paraId="059B45A4" w14:textId="28516111"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1426</w:t>
            </w:r>
          </w:p>
        </w:tc>
        <w:tc>
          <w:tcPr>
            <w:tcW w:w="1358" w:type="pct"/>
            <w:tcBorders>
              <w:top w:val="single" w:sz="4" w:space="0" w:color="auto"/>
              <w:left w:val="single" w:sz="4" w:space="0" w:color="auto"/>
              <w:right w:val="single" w:sz="4" w:space="0" w:color="auto"/>
            </w:tcBorders>
            <w:shd w:val="clear" w:color="auto" w:fill="auto"/>
            <w:vAlign w:val="center"/>
          </w:tcPr>
          <w:p w14:paraId="30CB6877" w14:textId="77777777" w:rsidR="00CC323A" w:rsidRPr="00314858" w:rsidRDefault="00CC323A"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r w:rsidR="00CC323A" w:rsidRPr="00314858" w14:paraId="59406370" w14:textId="77777777" w:rsidTr="001F1A28">
        <w:trPr>
          <w:trHeight w:val="20"/>
          <w:jc w:val="center"/>
        </w:trPr>
        <w:tc>
          <w:tcPr>
            <w:tcW w:w="1649" w:type="pct"/>
            <w:tcBorders>
              <w:top w:val="single" w:sz="4" w:space="0" w:color="auto"/>
              <w:left w:val="single" w:sz="4" w:space="0" w:color="auto"/>
            </w:tcBorders>
            <w:shd w:val="clear" w:color="auto" w:fill="auto"/>
            <w:vAlign w:val="bottom"/>
          </w:tcPr>
          <w:p w14:paraId="142D9BED" w14:textId="5505A017" w:rsidR="00CC323A" w:rsidRPr="00314858" w:rsidRDefault="006008F5"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w:t>
            </w:r>
            <w:r w:rsidR="00CC323A" w:rsidRPr="00314858">
              <w:rPr>
                <w:rFonts w:ascii="Times New Roman" w:eastAsia="Times New Roman" w:hAnsi="Times New Roman" w:cs="Times New Roman"/>
                <w:color w:val="000000" w:themeColor="text1"/>
                <w:lang w:val="sr-Latn-ME" w:bidi="en-US"/>
              </w:rPr>
              <w:t xml:space="preserve">ogađaji </w:t>
            </w:r>
            <w:r w:rsidR="007F344B" w:rsidRPr="00314858">
              <w:rPr>
                <w:rFonts w:ascii="Times New Roman" w:eastAsia="Times New Roman" w:hAnsi="Times New Roman" w:cs="Times New Roman"/>
                <w:color w:val="000000" w:themeColor="text1"/>
                <w:lang w:val="sr-Latn-ME" w:bidi="en-US"/>
              </w:rPr>
              <w:t>obilnijeg</w:t>
            </w:r>
            <w:r w:rsidRPr="00314858">
              <w:rPr>
                <w:rFonts w:ascii="Times New Roman" w:eastAsia="Times New Roman" w:hAnsi="Times New Roman" w:cs="Times New Roman"/>
                <w:color w:val="000000" w:themeColor="text1"/>
                <w:lang w:val="sr-Latn-ME" w:bidi="en-US"/>
              </w:rPr>
              <w:t xml:space="preserve"> </w:t>
            </w:r>
            <w:r w:rsidR="00CC323A" w:rsidRPr="00314858">
              <w:rPr>
                <w:rFonts w:ascii="Times New Roman" w:eastAsia="Times New Roman" w:hAnsi="Times New Roman" w:cs="Times New Roman"/>
                <w:color w:val="000000" w:themeColor="text1"/>
                <w:lang w:val="sr-Latn-ME" w:bidi="en-US"/>
              </w:rPr>
              <w:t>krvarenja</w:t>
            </w:r>
          </w:p>
        </w:tc>
        <w:tc>
          <w:tcPr>
            <w:tcW w:w="1102" w:type="pct"/>
            <w:tcBorders>
              <w:top w:val="single" w:sz="4" w:space="0" w:color="auto"/>
              <w:left w:val="single" w:sz="4" w:space="0" w:color="auto"/>
            </w:tcBorders>
            <w:shd w:val="clear" w:color="auto" w:fill="auto"/>
            <w:vAlign w:val="center"/>
          </w:tcPr>
          <w:p w14:paraId="34C38048"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13 (0,9%)</w:t>
            </w:r>
          </w:p>
        </w:tc>
        <w:tc>
          <w:tcPr>
            <w:tcW w:w="891" w:type="pct"/>
            <w:tcBorders>
              <w:top w:val="single" w:sz="4" w:space="0" w:color="auto"/>
              <w:left w:val="single" w:sz="4" w:space="0" w:color="auto"/>
            </w:tcBorders>
            <w:shd w:val="clear" w:color="auto" w:fill="auto"/>
            <w:vAlign w:val="center"/>
          </w:tcPr>
          <w:p w14:paraId="4B1D11F0"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25 (1,8%)</w:t>
            </w:r>
          </w:p>
        </w:tc>
        <w:tc>
          <w:tcPr>
            <w:tcW w:w="1358" w:type="pct"/>
            <w:tcBorders>
              <w:top w:val="single" w:sz="4" w:space="0" w:color="auto"/>
              <w:left w:val="single" w:sz="4" w:space="0" w:color="auto"/>
              <w:right w:val="single" w:sz="4" w:space="0" w:color="auto"/>
            </w:tcBorders>
            <w:shd w:val="clear" w:color="auto" w:fill="auto"/>
            <w:vAlign w:val="center"/>
          </w:tcPr>
          <w:p w14:paraId="3545FE7A"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0,54 (0,25; 1,16)</w:t>
            </w:r>
          </w:p>
        </w:tc>
      </w:tr>
      <w:tr w:rsidR="00CC323A" w:rsidRPr="00314858" w14:paraId="2E2E07DB" w14:textId="77777777" w:rsidTr="001F1A28">
        <w:trPr>
          <w:trHeight w:val="20"/>
          <w:jc w:val="center"/>
        </w:trPr>
        <w:tc>
          <w:tcPr>
            <w:tcW w:w="1649" w:type="pct"/>
            <w:tcBorders>
              <w:top w:val="single" w:sz="4" w:space="0" w:color="auto"/>
              <w:left w:val="single" w:sz="4" w:space="0" w:color="auto"/>
            </w:tcBorders>
            <w:shd w:val="clear" w:color="auto" w:fill="auto"/>
            <w:vAlign w:val="bottom"/>
          </w:tcPr>
          <w:p w14:paraId="1633A6B7" w14:textId="77777777" w:rsidR="00CC323A" w:rsidRPr="00314858" w:rsidRDefault="00CC323A" w:rsidP="001F1A28">
            <w:pPr>
              <w:widowControl w:val="0"/>
              <w:spacing w:after="0" w:line="240" w:lineRule="auto"/>
              <w:ind w:left="188" w:firstLine="142"/>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 xml:space="preserve">Intrakranijalno krvarenje </w:t>
            </w:r>
          </w:p>
        </w:tc>
        <w:tc>
          <w:tcPr>
            <w:tcW w:w="1102" w:type="pct"/>
            <w:tcBorders>
              <w:top w:val="single" w:sz="4" w:space="0" w:color="auto"/>
              <w:left w:val="single" w:sz="4" w:space="0" w:color="auto"/>
            </w:tcBorders>
            <w:shd w:val="clear" w:color="auto" w:fill="auto"/>
            <w:vAlign w:val="center"/>
          </w:tcPr>
          <w:p w14:paraId="568F8AF4"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 (0,1%)</w:t>
            </w:r>
          </w:p>
        </w:tc>
        <w:tc>
          <w:tcPr>
            <w:tcW w:w="891" w:type="pct"/>
            <w:tcBorders>
              <w:top w:val="single" w:sz="4" w:space="0" w:color="auto"/>
              <w:left w:val="single" w:sz="4" w:space="0" w:color="auto"/>
            </w:tcBorders>
            <w:shd w:val="clear" w:color="auto" w:fill="auto"/>
            <w:vAlign w:val="center"/>
          </w:tcPr>
          <w:p w14:paraId="5BD28FA0" w14:textId="53DB872B"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4 (0,3%)</w:t>
            </w:r>
          </w:p>
        </w:tc>
        <w:tc>
          <w:tcPr>
            <w:tcW w:w="1358" w:type="pct"/>
            <w:tcBorders>
              <w:top w:val="single" w:sz="4" w:space="0" w:color="auto"/>
              <w:left w:val="single" w:sz="4" w:space="0" w:color="auto"/>
              <w:right w:val="single" w:sz="4" w:space="0" w:color="auto"/>
            </w:tcBorders>
            <w:shd w:val="clear" w:color="auto" w:fill="auto"/>
            <w:vAlign w:val="center"/>
          </w:tcPr>
          <w:p w14:paraId="37DCD6ED"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Ne može se izračunati*</w:t>
            </w:r>
          </w:p>
        </w:tc>
      </w:tr>
      <w:tr w:rsidR="00CC323A" w:rsidRPr="00314858" w14:paraId="1CA20745" w14:textId="77777777" w:rsidTr="001F1A28">
        <w:trPr>
          <w:trHeight w:val="20"/>
          <w:jc w:val="center"/>
        </w:trPr>
        <w:tc>
          <w:tcPr>
            <w:tcW w:w="1649" w:type="pct"/>
            <w:tcBorders>
              <w:top w:val="single" w:sz="4" w:space="0" w:color="auto"/>
              <w:left w:val="single" w:sz="4" w:space="0" w:color="auto"/>
            </w:tcBorders>
            <w:shd w:val="clear" w:color="auto" w:fill="auto"/>
            <w:vAlign w:val="bottom"/>
          </w:tcPr>
          <w:p w14:paraId="36F03A85" w14:textId="27DD5D48" w:rsidR="00CC323A" w:rsidRPr="00314858" w:rsidRDefault="007F344B" w:rsidP="001F1A28">
            <w:pPr>
              <w:widowControl w:val="0"/>
              <w:spacing w:after="0" w:line="240" w:lineRule="auto"/>
              <w:ind w:left="188" w:firstLine="142"/>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Obilnije</w:t>
            </w:r>
            <w:r w:rsidR="00CC323A" w:rsidRPr="00314858">
              <w:rPr>
                <w:rFonts w:ascii="Times New Roman" w:eastAsia="Times New Roman" w:hAnsi="Times New Roman" w:cs="Times New Roman"/>
                <w:color w:val="000000" w:themeColor="text1"/>
                <w:lang w:val="sr-Latn-ME" w:bidi="en-US"/>
              </w:rPr>
              <w:t xml:space="preserve"> GI krvarenje</w:t>
            </w:r>
          </w:p>
        </w:tc>
        <w:tc>
          <w:tcPr>
            <w:tcW w:w="1102" w:type="pct"/>
            <w:tcBorders>
              <w:top w:val="single" w:sz="4" w:space="0" w:color="auto"/>
              <w:left w:val="single" w:sz="4" w:space="0" w:color="auto"/>
            </w:tcBorders>
            <w:shd w:val="clear" w:color="auto" w:fill="auto"/>
            <w:vAlign w:val="center"/>
          </w:tcPr>
          <w:p w14:paraId="3901D19D"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4 (0,3%)</w:t>
            </w:r>
          </w:p>
        </w:tc>
        <w:tc>
          <w:tcPr>
            <w:tcW w:w="891" w:type="pct"/>
            <w:tcBorders>
              <w:top w:val="single" w:sz="4" w:space="0" w:color="auto"/>
              <w:left w:val="single" w:sz="4" w:space="0" w:color="auto"/>
            </w:tcBorders>
            <w:shd w:val="clear" w:color="auto" w:fill="auto"/>
            <w:vAlign w:val="center"/>
          </w:tcPr>
          <w:p w14:paraId="15D350F3"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8 (0,5%)</w:t>
            </w:r>
          </w:p>
        </w:tc>
        <w:tc>
          <w:tcPr>
            <w:tcW w:w="1358" w:type="pct"/>
            <w:tcBorders>
              <w:top w:val="single" w:sz="4" w:space="0" w:color="auto"/>
              <w:left w:val="single" w:sz="4" w:space="0" w:color="auto"/>
              <w:right w:val="single" w:sz="4" w:space="0" w:color="auto"/>
            </w:tcBorders>
            <w:shd w:val="clear" w:color="auto" w:fill="auto"/>
            <w:vAlign w:val="center"/>
          </w:tcPr>
          <w:p w14:paraId="66D536BE"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Ne može se izračunati*</w:t>
            </w:r>
          </w:p>
        </w:tc>
      </w:tr>
      <w:tr w:rsidR="00CC323A" w:rsidRPr="00314858" w14:paraId="2ED062A1" w14:textId="77777777" w:rsidTr="001F1A28">
        <w:trPr>
          <w:trHeight w:val="20"/>
          <w:jc w:val="center"/>
        </w:trPr>
        <w:tc>
          <w:tcPr>
            <w:tcW w:w="1649" w:type="pct"/>
            <w:tcBorders>
              <w:top w:val="single" w:sz="4" w:space="0" w:color="auto"/>
              <w:left w:val="single" w:sz="4" w:space="0" w:color="auto"/>
            </w:tcBorders>
            <w:shd w:val="clear" w:color="auto" w:fill="auto"/>
            <w:vAlign w:val="bottom"/>
          </w:tcPr>
          <w:p w14:paraId="0EFD994B" w14:textId="77777777" w:rsidR="00CC323A" w:rsidRPr="00314858" w:rsidRDefault="00CC323A" w:rsidP="001F1A28">
            <w:pPr>
              <w:widowControl w:val="0"/>
              <w:spacing w:after="0" w:line="240" w:lineRule="auto"/>
              <w:ind w:left="188" w:firstLine="142"/>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Krvarenje opasno po život</w:t>
            </w:r>
          </w:p>
        </w:tc>
        <w:tc>
          <w:tcPr>
            <w:tcW w:w="1102" w:type="pct"/>
            <w:tcBorders>
              <w:top w:val="single" w:sz="4" w:space="0" w:color="auto"/>
              <w:left w:val="single" w:sz="4" w:space="0" w:color="auto"/>
            </w:tcBorders>
            <w:shd w:val="clear" w:color="auto" w:fill="auto"/>
            <w:vAlign w:val="center"/>
          </w:tcPr>
          <w:p w14:paraId="31EE80B4"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 (0,1%)</w:t>
            </w:r>
          </w:p>
        </w:tc>
        <w:tc>
          <w:tcPr>
            <w:tcW w:w="891" w:type="pct"/>
            <w:tcBorders>
              <w:top w:val="single" w:sz="4" w:space="0" w:color="auto"/>
              <w:left w:val="single" w:sz="4" w:space="0" w:color="auto"/>
            </w:tcBorders>
            <w:shd w:val="clear" w:color="auto" w:fill="auto"/>
            <w:vAlign w:val="center"/>
          </w:tcPr>
          <w:p w14:paraId="25CC448C" w14:textId="725052C5"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3 (0,2%))</w:t>
            </w:r>
          </w:p>
        </w:tc>
        <w:tc>
          <w:tcPr>
            <w:tcW w:w="1358" w:type="pct"/>
            <w:tcBorders>
              <w:top w:val="single" w:sz="4" w:space="0" w:color="auto"/>
              <w:left w:val="single" w:sz="4" w:space="0" w:color="auto"/>
              <w:right w:val="single" w:sz="4" w:space="0" w:color="auto"/>
            </w:tcBorders>
            <w:shd w:val="clear" w:color="auto" w:fill="auto"/>
            <w:vAlign w:val="center"/>
          </w:tcPr>
          <w:p w14:paraId="286E6974"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Ne može se izračunati*</w:t>
            </w:r>
          </w:p>
        </w:tc>
      </w:tr>
      <w:tr w:rsidR="00CC323A" w:rsidRPr="00314858" w14:paraId="19E1D152" w14:textId="77777777" w:rsidTr="001F1A28">
        <w:trPr>
          <w:trHeight w:val="20"/>
          <w:jc w:val="center"/>
        </w:trPr>
        <w:tc>
          <w:tcPr>
            <w:tcW w:w="1649" w:type="pct"/>
            <w:tcBorders>
              <w:top w:val="single" w:sz="4" w:space="0" w:color="auto"/>
              <w:left w:val="single" w:sz="4" w:space="0" w:color="auto"/>
            </w:tcBorders>
            <w:shd w:val="clear" w:color="auto" w:fill="auto"/>
            <w:vAlign w:val="bottom"/>
          </w:tcPr>
          <w:p w14:paraId="0B648C04" w14:textId="006E9E5C" w:rsidR="00CC323A" w:rsidRPr="00314858" w:rsidRDefault="007F344B"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Obilnije</w:t>
            </w:r>
            <w:r w:rsidR="00CC323A" w:rsidRPr="00314858">
              <w:rPr>
                <w:rFonts w:ascii="Times New Roman" w:eastAsia="Times New Roman" w:hAnsi="Times New Roman" w:cs="Times New Roman"/>
                <w:color w:val="000000" w:themeColor="text1"/>
                <w:lang w:val="sr-Latn-ME" w:bidi="en-US"/>
              </w:rPr>
              <w:t xml:space="preserve"> krvarenje/klinički </w:t>
            </w:r>
            <w:r w:rsidRPr="00314858">
              <w:rPr>
                <w:rFonts w:ascii="Times New Roman" w:eastAsia="Times New Roman" w:hAnsi="Times New Roman" w:cs="Times New Roman"/>
                <w:color w:val="000000" w:themeColor="text1"/>
                <w:lang w:val="sr-Latn-ME" w:bidi="en-US"/>
              </w:rPr>
              <w:t>značajno</w:t>
            </w:r>
            <w:r w:rsidR="00CC323A" w:rsidRPr="00314858">
              <w:rPr>
                <w:rFonts w:ascii="Times New Roman" w:eastAsia="Times New Roman" w:hAnsi="Times New Roman" w:cs="Times New Roman"/>
                <w:color w:val="000000" w:themeColor="text1"/>
                <w:lang w:val="sr-Latn-ME" w:bidi="en-US"/>
              </w:rPr>
              <w:t xml:space="preserve"> krvarenje</w:t>
            </w:r>
          </w:p>
        </w:tc>
        <w:tc>
          <w:tcPr>
            <w:tcW w:w="1102" w:type="pct"/>
            <w:tcBorders>
              <w:top w:val="single" w:sz="4" w:space="0" w:color="auto"/>
              <w:left w:val="single" w:sz="4" w:space="0" w:color="auto"/>
            </w:tcBorders>
            <w:shd w:val="clear" w:color="auto" w:fill="auto"/>
            <w:vAlign w:val="center"/>
          </w:tcPr>
          <w:p w14:paraId="2B5C1A8B"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80 (5,6%)</w:t>
            </w:r>
          </w:p>
        </w:tc>
        <w:tc>
          <w:tcPr>
            <w:tcW w:w="891" w:type="pct"/>
            <w:tcBorders>
              <w:top w:val="single" w:sz="4" w:space="0" w:color="auto"/>
              <w:left w:val="single" w:sz="4" w:space="0" w:color="auto"/>
            </w:tcBorders>
            <w:shd w:val="clear" w:color="auto" w:fill="auto"/>
            <w:vAlign w:val="center"/>
          </w:tcPr>
          <w:p w14:paraId="07731CF8"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145 (10,2%)</w:t>
            </w:r>
          </w:p>
        </w:tc>
        <w:tc>
          <w:tcPr>
            <w:tcW w:w="1358" w:type="pct"/>
            <w:tcBorders>
              <w:top w:val="single" w:sz="4" w:space="0" w:color="auto"/>
              <w:left w:val="single" w:sz="4" w:space="0" w:color="auto"/>
              <w:right w:val="single" w:sz="4" w:space="0" w:color="auto"/>
            </w:tcBorders>
            <w:shd w:val="clear" w:color="auto" w:fill="auto"/>
            <w:vAlign w:val="center"/>
          </w:tcPr>
          <w:p w14:paraId="662AFABB"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0,55 (0,41; 0,72)</w:t>
            </w:r>
          </w:p>
        </w:tc>
      </w:tr>
      <w:tr w:rsidR="00CC323A" w:rsidRPr="00314858" w14:paraId="3C9AF8EC" w14:textId="77777777" w:rsidTr="001F1A28">
        <w:trPr>
          <w:trHeight w:val="20"/>
          <w:jc w:val="center"/>
        </w:trPr>
        <w:tc>
          <w:tcPr>
            <w:tcW w:w="1649" w:type="pct"/>
            <w:tcBorders>
              <w:top w:val="single" w:sz="4" w:space="0" w:color="auto"/>
              <w:left w:val="single" w:sz="4" w:space="0" w:color="auto"/>
            </w:tcBorders>
            <w:shd w:val="clear" w:color="auto" w:fill="auto"/>
          </w:tcPr>
          <w:p w14:paraId="0727F429" w14:textId="77777777" w:rsidR="00CC323A" w:rsidRPr="00314858" w:rsidRDefault="00CC323A"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Bilo koje krvarenje</w:t>
            </w:r>
          </w:p>
        </w:tc>
        <w:tc>
          <w:tcPr>
            <w:tcW w:w="1102" w:type="pct"/>
            <w:tcBorders>
              <w:top w:val="single" w:sz="4" w:space="0" w:color="auto"/>
              <w:left w:val="single" w:sz="4" w:space="0" w:color="auto"/>
            </w:tcBorders>
            <w:shd w:val="clear" w:color="auto" w:fill="auto"/>
            <w:vAlign w:val="center"/>
          </w:tcPr>
          <w:p w14:paraId="22CE734E"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278 (19,4%)</w:t>
            </w:r>
          </w:p>
        </w:tc>
        <w:tc>
          <w:tcPr>
            <w:tcW w:w="891" w:type="pct"/>
            <w:tcBorders>
              <w:top w:val="single" w:sz="4" w:space="0" w:color="auto"/>
              <w:left w:val="single" w:sz="4" w:space="0" w:color="auto"/>
            </w:tcBorders>
            <w:shd w:val="clear" w:color="auto" w:fill="auto"/>
            <w:vAlign w:val="center"/>
          </w:tcPr>
          <w:p w14:paraId="652A49D4"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373 (26,2%)</w:t>
            </w:r>
          </w:p>
        </w:tc>
        <w:tc>
          <w:tcPr>
            <w:tcW w:w="1358" w:type="pct"/>
            <w:tcBorders>
              <w:top w:val="single" w:sz="4" w:space="0" w:color="auto"/>
              <w:left w:val="single" w:sz="4" w:space="0" w:color="auto"/>
              <w:right w:val="single" w:sz="4" w:space="0" w:color="auto"/>
            </w:tcBorders>
            <w:shd w:val="clear" w:color="auto" w:fill="auto"/>
            <w:vAlign w:val="center"/>
          </w:tcPr>
          <w:p w14:paraId="225F49B2"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0,71 (0,61; 0,83)</w:t>
            </w:r>
          </w:p>
        </w:tc>
      </w:tr>
      <w:tr w:rsidR="00CC323A" w:rsidRPr="00314858" w14:paraId="44F586B5" w14:textId="77777777" w:rsidTr="001F1A28">
        <w:trPr>
          <w:trHeight w:val="20"/>
          <w:jc w:val="center"/>
        </w:trPr>
        <w:tc>
          <w:tcPr>
            <w:tcW w:w="1649" w:type="pct"/>
            <w:tcBorders>
              <w:top w:val="single" w:sz="4" w:space="0" w:color="auto"/>
              <w:left w:val="single" w:sz="4" w:space="0" w:color="auto"/>
              <w:bottom w:val="single" w:sz="4" w:space="0" w:color="auto"/>
            </w:tcBorders>
            <w:shd w:val="clear" w:color="auto" w:fill="auto"/>
            <w:vAlign w:val="bottom"/>
          </w:tcPr>
          <w:p w14:paraId="204C459C" w14:textId="77777777" w:rsidR="00CC323A" w:rsidRPr="00314858" w:rsidRDefault="00CC323A" w:rsidP="001F1A28">
            <w:pPr>
              <w:widowControl w:val="0"/>
              <w:spacing w:after="0" w:line="240" w:lineRule="auto"/>
              <w:ind w:left="330"/>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Bilo koje GI krvarenje</w:t>
            </w:r>
          </w:p>
        </w:tc>
        <w:tc>
          <w:tcPr>
            <w:tcW w:w="1102" w:type="pct"/>
            <w:tcBorders>
              <w:top w:val="single" w:sz="4" w:space="0" w:color="auto"/>
              <w:left w:val="single" w:sz="4" w:space="0" w:color="auto"/>
              <w:bottom w:val="single" w:sz="4" w:space="0" w:color="auto"/>
            </w:tcBorders>
            <w:shd w:val="clear" w:color="auto" w:fill="auto"/>
            <w:vAlign w:val="center"/>
          </w:tcPr>
          <w:p w14:paraId="29173D47"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45 (3,1%)</w:t>
            </w:r>
          </w:p>
        </w:tc>
        <w:tc>
          <w:tcPr>
            <w:tcW w:w="891" w:type="pct"/>
            <w:tcBorders>
              <w:top w:val="single" w:sz="4" w:space="0" w:color="auto"/>
              <w:left w:val="single" w:sz="4" w:space="0" w:color="auto"/>
              <w:bottom w:val="single" w:sz="4" w:space="0" w:color="auto"/>
            </w:tcBorders>
            <w:shd w:val="clear" w:color="auto" w:fill="auto"/>
            <w:vAlign w:val="center"/>
          </w:tcPr>
          <w:p w14:paraId="7B968AD5"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32 (2,2%)</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5958F681" w14:textId="77777777" w:rsidR="00CC323A" w:rsidRPr="00314858" w:rsidRDefault="00CC323A"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1,39 (0,87; 2,20)</w:t>
            </w:r>
          </w:p>
        </w:tc>
      </w:tr>
    </w:tbl>
    <w:p w14:paraId="2FFD121A" w14:textId="2AB945B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bidi="en-US"/>
        </w:rPr>
        <w:t>*</w:t>
      </w:r>
      <w:r w:rsidRPr="00314858">
        <w:rPr>
          <w:rFonts w:ascii="Times New Roman" w:hAnsi="Times New Roman" w:cs="Times New Roman"/>
          <w:lang w:val="sr-Latn-ME"/>
        </w:rPr>
        <w:t xml:space="preserve"> </w:t>
      </w:r>
      <w:r w:rsidR="007F344B" w:rsidRPr="00314858">
        <w:rPr>
          <w:rFonts w:ascii="Times New Roman" w:hAnsi="Times New Roman" w:cs="Times New Roman"/>
          <w:lang w:val="sr-Latn-ME"/>
        </w:rPr>
        <w:t>HR</w:t>
      </w:r>
      <w:r w:rsidRPr="00314858">
        <w:rPr>
          <w:rFonts w:ascii="Times New Roman" w:hAnsi="Times New Roman" w:cs="Times New Roman"/>
          <w:lang w:val="sr-Latn-ME"/>
        </w:rPr>
        <w:t xml:space="preserve"> (engl. </w:t>
      </w:r>
      <w:r w:rsidRPr="00314858">
        <w:rPr>
          <w:rFonts w:ascii="Times New Roman" w:hAnsi="Times New Roman" w:cs="Times New Roman"/>
          <w:i/>
          <w:iCs/>
          <w:lang w:val="sr-Latn-ME"/>
        </w:rPr>
        <w:t>hazard ratio</w:t>
      </w:r>
      <w:r w:rsidRPr="00314858">
        <w:rPr>
          <w:rFonts w:ascii="Times New Roman" w:hAnsi="Times New Roman" w:cs="Times New Roman"/>
          <w:lang w:val="sr-Latn-ME"/>
        </w:rPr>
        <w:t>) se ne može proc</w:t>
      </w:r>
      <w:r w:rsidR="00352B14" w:rsidRPr="00314858">
        <w:rPr>
          <w:rFonts w:ascii="Times New Roman" w:hAnsi="Times New Roman" w:cs="Times New Roman"/>
          <w:lang w:val="sr-Latn-ME"/>
        </w:rPr>
        <w:t>ij</w:t>
      </w:r>
      <w:r w:rsidRPr="00314858">
        <w:rPr>
          <w:rFonts w:ascii="Times New Roman" w:hAnsi="Times New Roman" w:cs="Times New Roman"/>
          <w:lang w:val="sr-Latn-ME"/>
        </w:rPr>
        <w:t xml:space="preserve">eniti </w:t>
      </w:r>
      <w:r w:rsidR="00CC323A" w:rsidRPr="00314858">
        <w:rPr>
          <w:rFonts w:ascii="Times New Roman" w:hAnsi="Times New Roman" w:cs="Times New Roman"/>
          <w:lang w:val="sr-Latn-ME"/>
        </w:rPr>
        <w:t>zbog odsustva događaja</w:t>
      </w:r>
      <w:r w:rsidRPr="00314858">
        <w:rPr>
          <w:rFonts w:ascii="Times New Roman" w:hAnsi="Times New Roman" w:cs="Times New Roman"/>
          <w:lang w:val="sr-Latn-ME"/>
        </w:rPr>
        <w:t xml:space="preserve"> </w:t>
      </w:r>
      <w:r w:rsidR="00CC323A" w:rsidRPr="00314858">
        <w:rPr>
          <w:rFonts w:ascii="Times New Roman" w:hAnsi="Times New Roman" w:cs="Times New Roman"/>
          <w:lang w:val="sr-Latn-ME"/>
        </w:rPr>
        <w:t>u svakoj</w:t>
      </w:r>
      <w:r w:rsidRPr="00314858">
        <w:rPr>
          <w:rFonts w:ascii="Times New Roman" w:hAnsi="Times New Roman" w:cs="Times New Roman"/>
          <w:lang w:val="sr-Latn-ME"/>
        </w:rPr>
        <w:t xml:space="preserve"> kohorti/terapiji</w:t>
      </w:r>
    </w:p>
    <w:p w14:paraId="23D8EDDE" w14:textId="77777777" w:rsidR="0009272D" w:rsidRPr="00314858" w:rsidRDefault="0009272D" w:rsidP="00D67D34">
      <w:pPr>
        <w:spacing w:after="0" w:line="240" w:lineRule="auto"/>
        <w:jc w:val="both"/>
        <w:rPr>
          <w:rFonts w:ascii="Times New Roman" w:hAnsi="Times New Roman" w:cs="Times New Roman"/>
          <w:lang w:val="sr-Latn-ME"/>
        </w:rPr>
      </w:pPr>
    </w:p>
    <w:p w14:paraId="6FBFA930" w14:textId="6E13B695" w:rsidR="0009272D" w:rsidRPr="00314858" w:rsidRDefault="00CC323A"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w:t>
      </w:r>
      <w:r w:rsidR="00826C42" w:rsidRPr="00314858">
        <w:rPr>
          <w:rFonts w:ascii="Times New Roman" w:hAnsi="Times New Roman" w:cs="Times New Roman"/>
          <w:lang w:val="sr-Latn-ME"/>
        </w:rPr>
        <w:t>t</w:t>
      </w:r>
      <w:r w:rsidR="00D67D34" w:rsidRPr="00314858">
        <w:rPr>
          <w:rFonts w:ascii="Times New Roman" w:hAnsi="Times New Roman" w:cs="Times New Roman"/>
          <w:lang w:val="sr-Latn-ME"/>
        </w:rPr>
        <w:t>abel</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15</w:t>
      </w:r>
      <w:r w:rsidRPr="00314858">
        <w:rPr>
          <w:rFonts w:ascii="Times New Roman" w:hAnsi="Times New Roman" w:cs="Times New Roman"/>
          <w:lang w:val="sr-Latn-ME"/>
        </w:rPr>
        <w:t xml:space="preserve"> su</w:t>
      </w:r>
      <w:r w:rsidR="00D67D34" w:rsidRPr="00314858">
        <w:rPr>
          <w:rFonts w:ascii="Times New Roman" w:hAnsi="Times New Roman" w:cs="Times New Roman"/>
          <w:lang w:val="sr-Latn-ME"/>
        </w:rPr>
        <w:t xml:space="preserve"> prikaz</w:t>
      </w:r>
      <w:r w:rsidRPr="00314858">
        <w:rPr>
          <w:rFonts w:ascii="Times New Roman" w:hAnsi="Times New Roman" w:cs="Times New Roman"/>
          <w:lang w:val="sr-Latn-ME"/>
        </w:rPr>
        <w:t>ani</w:t>
      </w:r>
      <w:r w:rsidR="00D67D34" w:rsidRPr="00314858">
        <w:rPr>
          <w:rFonts w:ascii="Times New Roman" w:hAnsi="Times New Roman" w:cs="Times New Roman"/>
          <w:lang w:val="sr-Latn-ME"/>
        </w:rPr>
        <w:t xml:space="preserve"> događaj</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krvarenja u pivotalnoj studiji RE-SONATE u kojoj je ispitivana prevencija DVT i PE. Stopa kombinacije </w:t>
      </w:r>
      <w:r w:rsidR="00826C42" w:rsidRPr="00314858">
        <w:rPr>
          <w:rFonts w:ascii="Times New Roman" w:hAnsi="Times New Roman" w:cs="Times New Roman"/>
          <w:lang w:val="sr-Latn-ME"/>
        </w:rPr>
        <w:t>MBEs/CRBEs</w:t>
      </w:r>
      <w:r w:rsidR="00D67D34" w:rsidRPr="00314858">
        <w:rPr>
          <w:rFonts w:ascii="Times New Roman" w:hAnsi="Times New Roman" w:cs="Times New Roman"/>
          <w:lang w:val="sr-Latn-ME"/>
        </w:rPr>
        <w:t xml:space="preserve"> i </w:t>
      </w:r>
      <w:r w:rsidR="00826C42" w:rsidRPr="00314858">
        <w:rPr>
          <w:rFonts w:ascii="Times New Roman" w:hAnsi="Times New Roman" w:cs="Times New Roman"/>
          <w:lang w:val="sr-Latn-ME"/>
        </w:rPr>
        <w:t xml:space="preserve">stopa </w:t>
      </w:r>
      <w:r w:rsidR="00D67D34" w:rsidRPr="00314858">
        <w:rPr>
          <w:rFonts w:ascii="Times New Roman" w:hAnsi="Times New Roman" w:cs="Times New Roman"/>
          <w:lang w:val="sr-Latn-ME"/>
        </w:rPr>
        <w:t xml:space="preserve">bilo kog krvarenja bila je značajno </w:t>
      </w:r>
      <w:r w:rsidR="00826C42" w:rsidRPr="00314858">
        <w:rPr>
          <w:rFonts w:ascii="Times New Roman" w:hAnsi="Times New Roman" w:cs="Times New Roman"/>
          <w:lang w:val="sr-Latn-ME"/>
        </w:rPr>
        <w:t>manja</w:t>
      </w:r>
      <w:r w:rsidR="00D67D34" w:rsidRPr="00314858">
        <w:rPr>
          <w:rFonts w:ascii="Times New Roman" w:hAnsi="Times New Roman" w:cs="Times New Roman"/>
          <w:lang w:val="sr-Latn-ME"/>
        </w:rPr>
        <w:t xml:space="preserve"> na nominalnom alfa-nivou od 5% kod pacijenata koji su primali placebo u poređenju sa onima koji su primali dabigatraneteksilat.</w:t>
      </w:r>
    </w:p>
    <w:p w14:paraId="1AAC3582" w14:textId="542A244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 </w:t>
      </w:r>
    </w:p>
    <w:p w14:paraId="5B8D6955" w14:textId="7EB260F8" w:rsidR="00D67D34" w:rsidRPr="00314858" w:rsidRDefault="00D67D34" w:rsidP="00BA378B">
      <w:pPr>
        <w:spacing w:after="0" w:line="240" w:lineRule="auto"/>
        <w:jc w:val="center"/>
        <w:rPr>
          <w:rFonts w:ascii="Times New Roman" w:hAnsi="Times New Roman" w:cs="Times New Roman"/>
          <w:b/>
          <w:lang w:val="sr-Latn-ME"/>
        </w:rPr>
      </w:pPr>
      <w:r w:rsidRPr="00314858">
        <w:rPr>
          <w:rFonts w:ascii="Times New Roman" w:hAnsi="Times New Roman" w:cs="Times New Roman"/>
          <w:b/>
          <w:lang w:val="sr-Latn-ME"/>
        </w:rPr>
        <w:t>Tabela 15</w:t>
      </w:r>
      <w:r w:rsidR="00826C42" w:rsidRPr="00314858">
        <w:rPr>
          <w:rFonts w:ascii="Times New Roman" w:hAnsi="Times New Roman" w:cs="Times New Roman"/>
          <w:b/>
          <w:lang w:val="sr-Latn-ME"/>
        </w:rPr>
        <w:t>:</w:t>
      </w:r>
      <w:r w:rsidRPr="00314858">
        <w:rPr>
          <w:rFonts w:ascii="Times New Roman" w:hAnsi="Times New Roman" w:cs="Times New Roman"/>
          <w:b/>
          <w:lang w:val="sr-Latn-ME"/>
        </w:rPr>
        <w:t xml:space="preserve"> Događaji krvarenja u studiji RE-SONATE u kojoj je ispitivana prevencija DVT i PE</w:t>
      </w:r>
    </w:p>
    <w:p w14:paraId="7284184E" w14:textId="77777777" w:rsidR="00826C42" w:rsidRPr="00314858" w:rsidRDefault="00826C42" w:rsidP="00D67D34">
      <w:pPr>
        <w:spacing w:after="0" w:line="240" w:lineRule="auto"/>
        <w:jc w:val="both"/>
        <w:rPr>
          <w:rFonts w:ascii="Times New Roman" w:hAnsi="Times New Roman" w:cs="Times New Roman"/>
          <w:b/>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2794"/>
        <w:gridCol w:w="2216"/>
        <w:gridCol w:w="1377"/>
        <w:gridCol w:w="2673"/>
      </w:tblGrid>
      <w:tr w:rsidR="00CC323A" w:rsidRPr="00314858" w14:paraId="0EA3B772" w14:textId="77777777" w:rsidTr="001F1A28">
        <w:trPr>
          <w:trHeight w:val="20"/>
        </w:trPr>
        <w:tc>
          <w:tcPr>
            <w:tcW w:w="1542" w:type="pct"/>
            <w:vAlign w:val="center"/>
          </w:tcPr>
          <w:p w14:paraId="50CD8565" w14:textId="77777777" w:rsidR="00CC323A" w:rsidRPr="00314858" w:rsidRDefault="00CC323A" w:rsidP="001F1A28">
            <w:pPr>
              <w:spacing w:after="0" w:line="240" w:lineRule="auto"/>
              <w:rPr>
                <w:rFonts w:ascii="Times New Roman" w:hAnsi="Times New Roman" w:cs="Times New Roman"/>
                <w:lang w:val="sr-Latn-ME"/>
              </w:rPr>
            </w:pPr>
          </w:p>
        </w:tc>
        <w:tc>
          <w:tcPr>
            <w:tcW w:w="1223" w:type="pct"/>
            <w:vAlign w:val="center"/>
          </w:tcPr>
          <w:p w14:paraId="77835099"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Dabigatraneteksilat 150 mg dva puta dnevno</w:t>
            </w:r>
          </w:p>
        </w:tc>
        <w:tc>
          <w:tcPr>
            <w:tcW w:w="760" w:type="pct"/>
            <w:vAlign w:val="center"/>
          </w:tcPr>
          <w:p w14:paraId="03B806C8" w14:textId="77777777" w:rsidR="00CC323A" w:rsidRPr="00314858" w:rsidRDefault="00CC323A" w:rsidP="001F1A28">
            <w:pPr>
              <w:spacing w:after="0" w:line="240" w:lineRule="auto"/>
              <w:jc w:val="center"/>
              <w:rPr>
                <w:rFonts w:ascii="Times New Roman" w:hAnsi="Times New Roman" w:cs="Times New Roman"/>
                <w:b/>
                <w:bCs/>
                <w:lang w:val="sr-Latn-ME" w:eastAsia="en-GB"/>
              </w:rPr>
            </w:pPr>
            <w:r w:rsidRPr="00314858">
              <w:rPr>
                <w:rFonts w:ascii="Times New Roman" w:hAnsi="Times New Roman" w:cs="Times New Roman"/>
                <w:lang w:val="sr-Latn-ME"/>
              </w:rPr>
              <w:t>Placebo</w:t>
            </w:r>
          </w:p>
        </w:tc>
        <w:tc>
          <w:tcPr>
            <w:tcW w:w="1475" w:type="pct"/>
            <w:vAlign w:val="center"/>
          </w:tcPr>
          <w:p w14:paraId="45E8CA3F" w14:textId="2E36A819" w:rsidR="00CC323A" w:rsidRPr="00314858" w:rsidRDefault="00AD209E" w:rsidP="001F1A28">
            <w:pPr>
              <w:spacing w:after="0" w:line="240" w:lineRule="auto"/>
              <w:jc w:val="center"/>
              <w:rPr>
                <w:rFonts w:ascii="Times New Roman" w:hAnsi="Times New Roman" w:cs="Times New Roman"/>
                <w:lang w:val="sr-Latn-ME"/>
              </w:rPr>
            </w:pPr>
            <w:r w:rsidRPr="00314858">
              <w:rPr>
                <w:rFonts w:ascii="Times New Roman" w:hAnsi="Times New Roman" w:cs="Times New Roman"/>
                <w:i/>
                <w:lang w:val="sr-Latn-ME"/>
              </w:rPr>
              <w:t>Hazard ratio</w:t>
            </w:r>
            <w:r w:rsidR="00CC323A" w:rsidRPr="00314858">
              <w:rPr>
                <w:rFonts w:ascii="Times New Roman" w:hAnsi="Times New Roman" w:cs="Times New Roman"/>
                <w:lang w:val="sr-Latn-ME"/>
              </w:rPr>
              <w:t xml:space="preserve"> prema placebu (interval pouzdanosti 95%)</w:t>
            </w:r>
          </w:p>
        </w:tc>
      </w:tr>
      <w:tr w:rsidR="00CC323A" w:rsidRPr="00314858" w14:paraId="2F46D4F9" w14:textId="77777777" w:rsidTr="001F1A28">
        <w:trPr>
          <w:trHeight w:val="20"/>
        </w:trPr>
        <w:tc>
          <w:tcPr>
            <w:tcW w:w="1542" w:type="pct"/>
          </w:tcPr>
          <w:p w14:paraId="39C13AC0" w14:textId="125D81B9" w:rsidR="00CC323A" w:rsidRPr="00314858" w:rsidRDefault="00CC323A" w:rsidP="001F1A28">
            <w:pPr>
              <w:spacing w:after="0" w:line="240" w:lineRule="auto"/>
              <w:rPr>
                <w:rFonts w:ascii="Times New Roman" w:hAnsi="Times New Roman" w:cs="Times New Roman"/>
                <w:lang w:val="sr-Latn-ME"/>
              </w:rPr>
            </w:pPr>
            <w:r w:rsidRPr="00314858">
              <w:rPr>
                <w:rFonts w:ascii="Times New Roman" w:hAnsi="Times New Roman" w:cs="Times New Roman"/>
                <w:lang w:val="sr-Latn-ME"/>
              </w:rPr>
              <w:t>L</w:t>
            </w:r>
            <w:r w:rsidR="00352B14" w:rsidRPr="00314858">
              <w:rPr>
                <w:rFonts w:ascii="Times New Roman" w:hAnsi="Times New Roman" w:cs="Times New Roman"/>
                <w:lang w:val="sr-Latn-ME"/>
              </w:rPr>
              <w:t>ij</w:t>
            </w:r>
            <w:r w:rsidRPr="00314858">
              <w:rPr>
                <w:rFonts w:ascii="Times New Roman" w:hAnsi="Times New Roman" w:cs="Times New Roman"/>
                <w:lang w:val="sr-Latn-ME"/>
              </w:rPr>
              <w:t>ečeni pacijenti</w:t>
            </w:r>
          </w:p>
        </w:tc>
        <w:tc>
          <w:tcPr>
            <w:tcW w:w="1223" w:type="pct"/>
            <w:vAlign w:val="center"/>
          </w:tcPr>
          <w:p w14:paraId="44F7A347"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684</w:t>
            </w:r>
          </w:p>
        </w:tc>
        <w:tc>
          <w:tcPr>
            <w:tcW w:w="760" w:type="pct"/>
            <w:vAlign w:val="center"/>
          </w:tcPr>
          <w:p w14:paraId="6B3FB83A"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659</w:t>
            </w:r>
          </w:p>
        </w:tc>
        <w:tc>
          <w:tcPr>
            <w:tcW w:w="1475" w:type="pct"/>
            <w:vAlign w:val="center"/>
          </w:tcPr>
          <w:p w14:paraId="068B7652" w14:textId="77777777" w:rsidR="00CC323A" w:rsidRPr="00314858" w:rsidRDefault="00CC323A" w:rsidP="001F1A28">
            <w:pPr>
              <w:spacing w:after="0" w:line="240" w:lineRule="auto"/>
              <w:jc w:val="center"/>
              <w:rPr>
                <w:rFonts w:ascii="Times New Roman" w:hAnsi="Times New Roman" w:cs="Times New Roman"/>
                <w:lang w:val="sr-Latn-ME"/>
              </w:rPr>
            </w:pPr>
          </w:p>
        </w:tc>
      </w:tr>
      <w:tr w:rsidR="00CC323A" w:rsidRPr="00314858" w14:paraId="35A4FA6E" w14:textId="77777777" w:rsidTr="001F1A28">
        <w:trPr>
          <w:trHeight w:val="20"/>
        </w:trPr>
        <w:tc>
          <w:tcPr>
            <w:tcW w:w="1542" w:type="pct"/>
          </w:tcPr>
          <w:p w14:paraId="4B651C3D" w14:textId="01DB838E" w:rsidR="00CC323A" w:rsidRPr="00314858" w:rsidRDefault="00CC323A" w:rsidP="001F1A28">
            <w:pPr>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Događaji </w:t>
            </w:r>
            <w:r w:rsidR="00AD209E" w:rsidRPr="00314858">
              <w:rPr>
                <w:rFonts w:ascii="Times New Roman" w:hAnsi="Times New Roman" w:cs="Times New Roman"/>
                <w:lang w:val="sr-Latn-ME"/>
              </w:rPr>
              <w:t>obilnijeg</w:t>
            </w:r>
            <w:r w:rsidRPr="00314858">
              <w:rPr>
                <w:rFonts w:ascii="Times New Roman" w:hAnsi="Times New Roman" w:cs="Times New Roman"/>
                <w:lang w:val="sr-Latn-ME"/>
              </w:rPr>
              <w:t xml:space="preserve"> krvarenja </w:t>
            </w:r>
          </w:p>
        </w:tc>
        <w:tc>
          <w:tcPr>
            <w:tcW w:w="1223" w:type="pct"/>
            <w:vAlign w:val="center"/>
          </w:tcPr>
          <w:p w14:paraId="00F92A74"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 (0,3%)</w:t>
            </w:r>
          </w:p>
        </w:tc>
        <w:tc>
          <w:tcPr>
            <w:tcW w:w="760" w:type="pct"/>
            <w:vAlign w:val="center"/>
          </w:tcPr>
          <w:p w14:paraId="71DE52E5"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w:t>
            </w:r>
          </w:p>
        </w:tc>
        <w:tc>
          <w:tcPr>
            <w:tcW w:w="1475" w:type="pct"/>
            <w:vAlign w:val="center"/>
          </w:tcPr>
          <w:p w14:paraId="791F0237" w14:textId="77777777" w:rsidR="00CC323A" w:rsidRPr="00314858" w:rsidRDefault="00CC323A" w:rsidP="001F1A28">
            <w:pPr>
              <w:spacing w:after="0" w:line="240" w:lineRule="auto"/>
              <w:ind w:left="-108"/>
              <w:jc w:val="center"/>
              <w:rPr>
                <w:rFonts w:ascii="Times New Roman" w:hAnsi="Times New Roman" w:cs="Times New Roman"/>
                <w:lang w:val="sr-Latn-ME"/>
              </w:rPr>
            </w:pPr>
            <w:r w:rsidRPr="00314858">
              <w:rPr>
                <w:rFonts w:ascii="Times New Roman" w:hAnsi="Times New Roman" w:cs="Times New Roman"/>
                <w:lang w:val="sr-Latn-ME"/>
              </w:rPr>
              <w:t>Ne može se izračunati*</w:t>
            </w:r>
          </w:p>
        </w:tc>
      </w:tr>
      <w:tr w:rsidR="00CC323A" w:rsidRPr="00314858" w14:paraId="4EE6EB14" w14:textId="77777777" w:rsidTr="001F1A28">
        <w:trPr>
          <w:trHeight w:val="20"/>
        </w:trPr>
        <w:tc>
          <w:tcPr>
            <w:tcW w:w="1542" w:type="pct"/>
          </w:tcPr>
          <w:p w14:paraId="152830F2" w14:textId="77777777" w:rsidR="00CC323A" w:rsidRPr="00314858" w:rsidRDefault="00CC323A" w:rsidP="001F1A28">
            <w:pPr>
              <w:spacing w:after="0" w:line="240" w:lineRule="auto"/>
              <w:ind w:left="313"/>
              <w:rPr>
                <w:rFonts w:ascii="Times New Roman" w:hAnsi="Times New Roman" w:cs="Times New Roman"/>
                <w:lang w:val="sr-Latn-ME"/>
              </w:rPr>
            </w:pPr>
            <w:r w:rsidRPr="00314858">
              <w:rPr>
                <w:rFonts w:ascii="Times New Roman" w:hAnsi="Times New Roman" w:cs="Times New Roman"/>
                <w:lang w:val="sr-Latn-ME"/>
              </w:rPr>
              <w:t>Intrakranijalno krvarenje</w:t>
            </w:r>
          </w:p>
        </w:tc>
        <w:tc>
          <w:tcPr>
            <w:tcW w:w="1223" w:type="pct"/>
            <w:vAlign w:val="center"/>
          </w:tcPr>
          <w:p w14:paraId="41EA655E"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w:t>
            </w:r>
          </w:p>
        </w:tc>
        <w:tc>
          <w:tcPr>
            <w:tcW w:w="760" w:type="pct"/>
            <w:vAlign w:val="center"/>
          </w:tcPr>
          <w:p w14:paraId="583F9C7E"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w:t>
            </w:r>
          </w:p>
        </w:tc>
        <w:tc>
          <w:tcPr>
            <w:tcW w:w="1475" w:type="pct"/>
            <w:vAlign w:val="center"/>
          </w:tcPr>
          <w:p w14:paraId="1B636358" w14:textId="77777777" w:rsidR="00CC323A" w:rsidRPr="00314858" w:rsidRDefault="00CC323A" w:rsidP="001F1A28">
            <w:pPr>
              <w:spacing w:after="0" w:line="240" w:lineRule="auto"/>
              <w:ind w:left="-108"/>
              <w:jc w:val="center"/>
              <w:rPr>
                <w:rFonts w:ascii="Times New Roman" w:hAnsi="Times New Roman" w:cs="Times New Roman"/>
                <w:lang w:val="sr-Latn-ME"/>
              </w:rPr>
            </w:pPr>
            <w:r w:rsidRPr="00314858">
              <w:rPr>
                <w:rFonts w:ascii="Times New Roman" w:hAnsi="Times New Roman" w:cs="Times New Roman"/>
                <w:lang w:val="sr-Latn-ME"/>
              </w:rPr>
              <w:t>Ne može se izračunati*</w:t>
            </w:r>
          </w:p>
        </w:tc>
      </w:tr>
      <w:tr w:rsidR="00CC323A" w:rsidRPr="00314858" w14:paraId="25A9EDDA" w14:textId="77777777" w:rsidTr="001F1A28">
        <w:trPr>
          <w:trHeight w:val="20"/>
        </w:trPr>
        <w:tc>
          <w:tcPr>
            <w:tcW w:w="1542" w:type="pct"/>
          </w:tcPr>
          <w:p w14:paraId="0BD53C61" w14:textId="5D52821A" w:rsidR="00CC323A" w:rsidRPr="00314858" w:rsidRDefault="00AD209E" w:rsidP="001F1A28">
            <w:pPr>
              <w:spacing w:after="0" w:line="240" w:lineRule="auto"/>
              <w:ind w:left="313"/>
              <w:rPr>
                <w:rFonts w:ascii="Times New Roman" w:hAnsi="Times New Roman" w:cs="Times New Roman"/>
                <w:lang w:val="sr-Latn-ME"/>
              </w:rPr>
            </w:pPr>
            <w:r w:rsidRPr="00314858">
              <w:rPr>
                <w:rFonts w:ascii="Times New Roman" w:hAnsi="Times New Roman" w:cs="Times New Roman"/>
                <w:lang w:val="sr-Latn-ME"/>
              </w:rPr>
              <w:t>Obilnije</w:t>
            </w:r>
            <w:r w:rsidR="00CC323A" w:rsidRPr="00314858">
              <w:rPr>
                <w:rFonts w:ascii="Times New Roman" w:hAnsi="Times New Roman" w:cs="Times New Roman"/>
                <w:lang w:val="sr-Latn-ME"/>
              </w:rPr>
              <w:t xml:space="preserve"> GI krvarenje</w:t>
            </w:r>
          </w:p>
        </w:tc>
        <w:tc>
          <w:tcPr>
            <w:tcW w:w="1223" w:type="pct"/>
            <w:vAlign w:val="center"/>
          </w:tcPr>
          <w:p w14:paraId="0E7A0E1D"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 (0,3%)</w:t>
            </w:r>
          </w:p>
        </w:tc>
        <w:tc>
          <w:tcPr>
            <w:tcW w:w="760" w:type="pct"/>
            <w:vAlign w:val="center"/>
          </w:tcPr>
          <w:p w14:paraId="7B7C1CD6"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w:t>
            </w:r>
          </w:p>
        </w:tc>
        <w:tc>
          <w:tcPr>
            <w:tcW w:w="1475" w:type="pct"/>
            <w:vAlign w:val="center"/>
          </w:tcPr>
          <w:p w14:paraId="636B47AF" w14:textId="77777777" w:rsidR="00CC323A" w:rsidRPr="00314858" w:rsidRDefault="00CC323A" w:rsidP="001F1A28">
            <w:pPr>
              <w:spacing w:after="0" w:line="240" w:lineRule="auto"/>
              <w:ind w:left="-108"/>
              <w:jc w:val="center"/>
              <w:rPr>
                <w:rFonts w:ascii="Times New Roman" w:hAnsi="Times New Roman" w:cs="Times New Roman"/>
                <w:lang w:val="sr-Latn-ME"/>
              </w:rPr>
            </w:pPr>
            <w:r w:rsidRPr="00314858">
              <w:rPr>
                <w:rFonts w:ascii="Times New Roman" w:hAnsi="Times New Roman" w:cs="Times New Roman"/>
                <w:lang w:val="sr-Latn-ME"/>
              </w:rPr>
              <w:t>Ne može se izračunati*</w:t>
            </w:r>
          </w:p>
        </w:tc>
      </w:tr>
      <w:tr w:rsidR="00CC323A" w:rsidRPr="00314858" w14:paraId="56BD0429" w14:textId="77777777" w:rsidTr="001F1A28">
        <w:trPr>
          <w:trHeight w:val="20"/>
        </w:trPr>
        <w:tc>
          <w:tcPr>
            <w:tcW w:w="1542" w:type="pct"/>
          </w:tcPr>
          <w:p w14:paraId="03167F8B" w14:textId="4155FD09" w:rsidR="00CC323A" w:rsidRPr="00314858" w:rsidRDefault="00AD209E" w:rsidP="001F1A28">
            <w:pPr>
              <w:spacing w:after="0" w:line="240" w:lineRule="auto"/>
              <w:ind w:left="313"/>
              <w:rPr>
                <w:rFonts w:ascii="Times New Roman" w:hAnsi="Times New Roman" w:cs="Times New Roman"/>
                <w:lang w:val="sr-Latn-ME"/>
              </w:rPr>
            </w:pPr>
            <w:r w:rsidRPr="00314858">
              <w:rPr>
                <w:rFonts w:ascii="Times New Roman" w:hAnsi="Times New Roman" w:cs="Times New Roman"/>
                <w:lang w:val="sr-Latn-ME"/>
              </w:rPr>
              <w:t>Krvarenje opasno po život</w:t>
            </w:r>
          </w:p>
        </w:tc>
        <w:tc>
          <w:tcPr>
            <w:tcW w:w="1223" w:type="pct"/>
            <w:vAlign w:val="center"/>
          </w:tcPr>
          <w:p w14:paraId="1127A595"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w:t>
            </w:r>
          </w:p>
        </w:tc>
        <w:tc>
          <w:tcPr>
            <w:tcW w:w="760" w:type="pct"/>
            <w:vAlign w:val="center"/>
          </w:tcPr>
          <w:p w14:paraId="3907ED72"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w:t>
            </w:r>
          </w:p>
        </w:tc>
        <w:tc>
          <w:tcPr>
            <w:tcW w:w="1475" w:type="pct"/>
            <w:vAlign w:val="center"/>
          </w:tcPr>
          <w:p w14:paraId="002CEE42" w14:textId="77777777" w:rsidR="00CC323A" w:rsidRPr="00314858" w:rsidRDefault="00CC323A" w:rsidP="001F1A28">
            <w:pPr>
              <w:spacing w:after="0" w:line="240" w:lineRule="auto"/>
              <w:ind w:left="-108"/>
              <w:jc w:val="center"/>
              <w:rPr>
                <w:rFonts w:ascii="Times New Roman" w:hAnsi="Times New Roman" w:cs="Times New Roman"/>
                <w:lang w:val="sr-Latn-ME"/>
              </w:rPr>
            </w:pPr>
            <w:r w:rsidRPr="00314858">
              <w:rPr>
                <w:rFonts w:ascii="Times New Roman" w:hAnsi="Times New Roman" w:cs="Times New Roman"/>
                <w:lang w:val="sr-Latn-ME"/>
              </w:rPr>
              <w:t>Ne može se izračunati*</w:t>
            </w:r>
          </w:p>
        </w:tc>
      </w:tr>
      <w:tr w:rsidR="00CC323A" w:rsidRPr="00314858" w14:paraId="00CE57EF" w14:textId="77777777" w:rsidTr="001F1A28">
        <w:trPr>
          <w:trHeight w:val="20"/>
        </w:trPr>
        <w:tc>
          <w:tcPr>
            <w:tcW w:w="1542" w:type="pct"/>
          </w:tcPr>
          <w:p w14:paraId="2C557CDA" w14:textId="1AD907BB" w:rsidR="00CC323A" w:rsidRPr="00314858" w:rsidRDefault="00CC323A" w:rsidP="001F1A28">
            <w:pPr>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Događaj </w:t>
            </w:r>
            <w:r w:rsidR="00AD209E" w:rsidRPr="00314858">
              <w:rPr>
                <w:rFonts w:ascii="Times New Roman" w:hAnsi="Times New Roman" w:cs="Times New Roman"/>
                <w:lang w:val="sr-Latn-ME"/>
              </w:rPr>
              <w:t>obilnijeg</w:t>
            </w:r>
            <w:r w:rsidRPr="00314858">
              <w:rPr>
                <w:rFonts w:ascii="Times New Roman" w:hAnsi="Times New Roman" w:cs="Times New Roman"/>
                <w:lang w:val="sr-Latn-ME"/>
              </w:rPr>
              <w:t xml:space="preserve"> krvarenja/klinički značajna krvarenja </w:t>
            </w:r>
          </w:p>
        </w:tc>
        <w:tc>
          <w:tcPr>
            <w:tcW w:w="1223" w:type="pct"/>
            <w:vAlign w:val="center"/>
          </w:tcPr>
          <w:p w14:paraId="66A384E5"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36 (5,3%)</w:t>
            </w:r>
          </w:p>
        </w:tc>
        <w:tc>
          <w:tcPr>
            <w:tcW w:w="760" w:type="pct"/>
            <w:vAlign w:val="center"/>
          </w:tcPr>
          <w:p w14:paraId="2A2E2CE5"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13 (2,0%)</w:t>
            </w:r>
          </w:p>
        </w:tc>
        <w:tc>
          <w:tcPr>
            <w:tcW w:w="1475" w:type="pct"/>
            <w:vAlign w:val="center"/>
          </w:tcPr>
          <w:p w14:paraId="487D0FA7" w14:textId="77777777" w:rsidR="00CC323A" w:rsidRPr="00314858" w:rsidRDefault="00CC323A" w:rsidP="001F1A28">
            <w:pPr>
              <w:spacing w:after="0" w:line="240" w:lineRule="auto"/>
              <w:ind w:left="-108"/>
              <w:jc w:val="center"/>
              <w:rPr>
                <w:rFonts w:ascii="Times New Roman" w:hAnsi="Times New Roman" w:cs="Times New Roman"/>
                <w:lang w:val="sr-Latn-ME"/>
              </w:rPr>
            </w:pPr>
            <w:r w:rsidRPr="00314858">
              <w:rPr>
                <w:rFonts w:ascii="Times New Roman" w:hAnsi="Times New Roman" w:cs="Times New Roman"/>
                <w:lang w:val="sr-Latn-ME"/>
              </w:rPr>
              <w:t>2,69 (1,43; 5,07)</w:t>
            </w:r>
          </w:p>
        </w:tc>
      </w:tr>
      <w:tr w:rsidR="00CC323A" w:rsidRPr="00314858" w14:paraId="34D8A604" w14:textId="77777777" w:rsidTr="001F1A28">
        <w:trPr>
          <w:trHeight w:val="20"/>
        </w:trPr>
        <w:tc>
          <w:tcPr>
            <w:tcW w:w="1542" w:type="pct"/>
          </w:tcPr>
          <w:p w14:paraId="07100C46" w14:textId="77777777" w:rsidR="00CC323A" w:rsidRPr="00314858" w:rsidRDefault="00CC323A" w:rsidP="001F1A28">
            <w:pPr>
              <w:spacing w:after="0" w:line="240" w:lineRule="auto"/>
              <w:rPr>
                <w:rFonts w:ascii="Times New Roman" w:hAnsi="Times New Roman" w:cs="Times New Roman"/>
                <w:lang w:val="sr-Latn-ME"/>
              </w:rPr>
            </w:pPr>
            <w:r w:rsidRPr="00314858">
              <w:rPr>
                <w:rFonts w:ascii="Times New Roman" w:hAnsi="Times New Roman" w:cs="Times New Roman"/>
                <w:lang w:val="sr-Latn-ME"/>
              </w:rPr>
              <w:t>Bilo koje krvarenje</w:t>
            </w:r>
          </w:p>
        </w:tc>
        <w:tc>
          <w:tcPr>
            <w:tcW w:w="1223" w:type="pct"/>
            <w:vAlign w:val="center"/>
          </w:tcPr>
          <w:p w14:paraId="0DB37F7F"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72 (10,5%)</w:t>
            </w:r>
          </w:p>
        </w:tc>
        <w:tc>
          <w:tcPr>
            <w:tcW w:w="760" w:type="pct"/>
            <w:vAlign w:val="center"/>
          </w:tcPr>
          <w:p w14:paraId="3A2EF49B"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40 (6,1%)</w:t>
            </w:r>
          </w:p>
        </w:tc>
        <w:tc>
          <w:tcPr>
            <w:tcW w:w="1475" w:type="pct"/>
            <w:vAlign w:val="center"/>
          </w:tcPr>
          <w:p w14:paraId="366AA8C0" w14:textId="77777777" w:rsidR="00CC323A" w:rsidRPr="00314858" w:rsidRDefault="00CC323A" w:rsidP="001F1A28">
            <w:pPr>
              <w:tabs>
                <w:tab w:val="left" w:pos="459"/>
              </w:tabs>
              <w:spacing w:after="0" w:line="240" w:lineRule="auto"/>
              <w:ind w:left="-108"/>
              <w:jc w:val="center"/>
              <w:rPr>
                <w:rFonts w:ascii="Times New Roman" w:hAnsi="Times New Roman" w:cs="Times New Roman"/>
                <w:lang w:val="sr-Latn-ME"/>
              </w:rPr>
            </w:pPr>
            <w:r w:rsidRPr="00314858">
              <w:rPr>
                <w:rFonts w:ascii="Times New Roman" w:hAnsi="Times New Roman" w:cs="Times New Roman"/>
                <w:lang w:val="sr-Latn-ME"/>
              </w:rPr>
              <w:t>1,77 (1,20; 2,61)</w:t>
            </w:r>
          </w:p>
        </w:tc>
      </w:tr>
      <w:tr w:rsidR="00CC323A" w:rsidRPr="00314858" w14:paraId="344082C3" w14:textId="77777777" w:rsidTr="001F1A28">
        <w:trPr>
          <w:trHeight w:val="20"/>
        </w:trPr>
        <w:tc>
          <w:tcPr>
            <w:tcW w:w="1542" w:type="pct"/>
          </w:tcPr>
          <w:p w14:paraId="7665C03D" w14:textId="77777777" w:rsidR="00CC323A" w:rsidRPr="00314858" w:rsidRDefault="00CC323A" w:rsidP="001F1A28">
            <w:pPr>
              <w:spacing w:after="0" w:line="240" w:lineRule="auto"/>
              <w:ind w:left="313"/>
              <w:rPr>
                <w:rFonts w:ascii="Times New Roman" w:hAnsi="Times New Roman" w:cs="Times New Roman"/>
                <w:lang w:val="sr-Latn-ME"/>
              </w:rPr>
            </w:pPr>
            <w:r w:rsidRPr="00314858">
              <w:rPr>
                <w:rFonts w:ascii="Times New Roman" w:hAnsi="Times New Roman" w:cs="Times New Roman"/>
                <w:lang w:val="sr-Latn-ME"/>
              </w:rPr>
              <w:t>Bilo koje GI krvarenje</w:t>
            </w:r>
          </w:p>
        </w:tc>
        <w:tc>
          <w:tcPr>
            <w:tcW w:w="1223" w:type="pct"/>
            <w:vAlign w:val="center"/>
          </w:tcPr>
          <w:p w14:paraId="388CEDBB"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5 (0,7%)</w:t>
            </w:r>
          </w:p>
        </w:tc>
        <w:tc>
          <w:tcPr>
            <w:tcW w:w="760" w:type="pct"/>
            <w:vAlign w:val="center"/>
          </w:tcPr>
          <w:p w14:paraId="1188E54B" w14:textId="77777777" w:rsidR="00CC323A" w:rsidRPr="00314858" w:rsidRDefault="00CC323A" w:rsidP="001F1A28">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 (0,3%)</w:t>
            </w:r>
          </w:p>
        </w:tc>
        <w:tc>
          <w:tcPr>
            <w:tcW w:w="1475" w:type="pct"/>
            <w:vAlign w:val="center"/>
          </w:tcPr>
          <w:p w14:paraId="4BD1373A" w14:textId="77777777" w:rsidR="00CC323A" w:rsidRPr="00314858" w:rsidRDefault="00CC323A" w:rsidP="001F1A28">
            <w:pPr>
              <w:tabs>
                <w:tab w:val="left" w:pos="459"/>
              </w:tabs>
              <w:spacing w:after="0" w:line="240" w:lineRule="auto"/>
              <w:ind w:left="-108"/>
              <w:jc w:val="center"/>
              <w:rPr>
                <w:rFonts w:ascii="Times New Roman" w:hAnsi="Times New Roman" w:cs="Times New Roman"/>
                <w:lang w:val="sr-Latn-ME"/>
              </w:rPr>
            </w:pPr>
            <w:r w:rsidRPr="00314858">
              <w:rPr>
                <w:rFonts w:ascii="Times New Roman" w:hAnsi="Times New Roman" w:cs="Times New Roman"/>
                <w:lang w:val="sr-Latn-ME"/>
              </w:rPr>
              <w:t>2,38 (0,46; 12,27)</w:t>
            </w:r>
          </w:p>
        </w:tc>
      </w:tr>
    </w:tbl>
    <w:p w14:paraId="341AA88A" w14:textId="2C5766C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w:t>
      </w:r>
      <w:r w:rsidR="00CC323A" w:rsidRPr="00314858">
        <w:rPr>
          <w:rFonts w:ascii="Times New Roman" w:hAnsi="Times New Roman" w:cs="Times New Roman"/>
          <w:lang w:val="sr-Latn-ME"/>
        </w:rPr>
        <w:t>HR</w:t>
      </w:r>
      <w:r w:rsidRPr="00314858">
        <w:rPr>
          <w:rFonts w:ascii="Times New Roman" w:hAnsi="Times New Roman" w:cs="Times New Roman"/>
          <w:lang w:val="sr-Latn-ME"/>
        </w:rPr>
        <w:t xml:space="preserve"> se ne može proc</w:t>
      </w:r>
      <w:r w:rsidR="00352B14" w:rsidRPr="00314858">
        <w:rPr>
          <w:rFonts w:ascii="Times New Roman" w:hAnsi="Times New Roman" w:cs="Times New Roman"/>
          <w:lang w:val="sr-Latn-ME"/>
        </w:rPr>
        <w:t>ij</w:t>
      </w:r>
      <w:r w:rsidRPr="00314858">
        <w:rPr>
          <w:rFonts w:ascii="Times New Roman" w:hAnsi="Times New Roman" w:cs="Times New Roman"/>
          <w:lang w:val="sr-Latn-ME"/>
        </w:rPr>
        <w:t>eniti zbog odsustva događaja u svakoj terapiji</w:t>
      </w:r>
    </w:p>
    <w:p w14:paraId="452AA192" w14:textId="77777777" w:rsidR="0009272D" w:rsidRPr="00314858" w:rsidRDefault="0009272D" w:rsidP="00D67D34">
      <w:pPr>
        <w:spacing w:after="0" w:line="240" w:lineRule="auto"/>
        <w:jc w:val="both"/>
        <w:rPr>
          <w:rFonts w:ascii="Times New Roman" w:hAnsi="Times New Roman" w:cs="Times New Roman"/>
          <w:lang w:val="sr-Latn-ME"/>
        </w:rPr>
      </w:pPr>
    </w:p>
    <w:p w14:paraId="7DC08494"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u w:val="single"/>
          <w:lang w:val="sr-Latn-ME" w:bidi="en-US"/>
        </w:rPr>
        <w:t>Agranulocitoza i neutropenija</w:t>
      </w:r>
    </w:p>
    <w:p w14:paraId="5DAB28C9" w14:textId="77777777" w:rsidR="00D67D34" w:rsidRPr="00314858" w:rsidRDefault="00D67D34" w:rsidP="00D67D34">
      <w:pPr>
        <w:spacing w:after="0" w:line="240" w:lineRule="auto"/>
        <w:jc w:val="both"/>
        <w:rPr>
          <w:rFonts w:ascii="Times New Roman" w:hAnsi="Times New Roman" w:cs="Times New Roman"/>
          <w:lang w:val="sr-Latn-ME" w:bidi="en-US"/>
        </w:rPr>
      </w:pPr>
    </w:p>
    <w:p w14:paraId="0A488D27" w14:textId="7A2531AB"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Agranulocitoza i neutropenija s</w:t>
      </w:r>
      <w:r w:rsidR="00392ED8" w:rsidRPr="00314858">
        <w:rPr>
          <w:rFonts w:ascii="Times New Roman" w:hAnsi="Times New Roman" w:cs="Times New Roman"/>
          <w:lang w:val="sr-Latn-ME" w:bidi="en-US"/>
        </w:rPr>
        <w:t>u</w:t>
      </w:r>
      <w:r w:rsidRPr="00314858">
        <w:rPr>
          <w:rFonts w:ascii="Times New Roman" w:hAnsi="Times New Roman" w:cs="Times New Roman"/>
          <w:lang w:val="sr-Latn-ME" w:bidi="en-US"/>
        </w:rPr>
        <w:t xml:space="preserve"> bile veoma r</w:t>
      </w:r>
      <w:r w:rsidR="00352B14" w:rsidRPr="00314858">
        <w:rPr>
          <w:rFonts w:ascii="Times New Roman" w:hAnsi="Times New Roman" w:cs="Times New Roman"/>
          <w:lang w:val="sr-Latn-ME" w:bidi="en-US"/>
        </w:rPr>
        <w:t>ij</w:t>
      </w:r>
      <w:r w:rsidRPr="00314858">
        <w:rPr>
          <w:rFonts w:ascii="Times New Roman" w:hAnsi="Times New Roman" w:cs="Times New Roman"/>
          <w:lang w:val="sr-Latn-ME" w:bidi="en-US"/>
        </w:rPr>
        <w:t>etko prija</w:t>
      </w:r>
      <w:r w:rsidR="004257ED" w:rsidRPr="00314858">
        <w:rPr>
          <w:rFonts w:ascii="Times New Roman" w:hAnsi="Times New Roman" w:cs="Times New Roman"/>
          <w:lang w:val="sr-Latn-ME" w:bidi="en-US"/>
        </w:rPr>
        <w:t>v</w:t>
      </w:r>
      <w:r w:rsidRPr="00314858">
        <w:rPr>
          <w:rFonts w:ascii="Times New Roman" w:hAnsi="Times New Roman" w:cs="Times New Roman"/>
          <w:lang w:val="sr-Latn-ME" w:bidi="en-US"/>
        </w:rPr>
        <w:t xml:space="preserve">ljene nakon dobijanja dozvole za upotrebu dabigatraneteksilata. Zbog prijavljivanja neželjenih </w:t>
      </w:r>
      <w:r w:rsidR="00392ED8" w:rsidRPr="00314858">
        <w:rPr>
          <w:rFonts w:ascii="Times New Roman" w:hAnsi="Times New Roman" w:cs="Times New Roman"/>
          <w:lang w:val="sr-Latn-ME" w:bidi="en-US"/>
        </w:rPr>
        <w:t>reakcija</w:t>
      </w:r>
      <w:r w:rsidRPr="00314858">
        <w:rPr>
          <w:rFonts w:ascii="Times New Roman" w:hAnsi="Times New Roman" w:cs="Times New Roman"/>
          <w:lang w:val="sr-Latn-ME" w:bidi="en-US"/>
        </w:rPr>
        <w:t xml:space="preserve"> u postmarketinškom praćenju kod populacije nepo</w:t>
      </w:r>
      <w:r w:rsidR="00392ED8" w:rsidRPr="00314858">
        <w:rPr>
          <w:rFonts w:ascii="Times New Roman" w:hAnsi="Times New Roman" w:cs="Times New Roman"/>
          <w:lang w:val="sr-Latn-ME" w:bidi="en-US"/>
        </w:rPr>
        <w:t>uzdane</w:t>
      </w:r>
      <w:r w:rsidRPr="00314858">
        <w:rPr>
          <w:rFonts w:ascii="Times New Roman" w:hAnsi="Times New Roman" w:cs="Times New Roman"/>
          <w:lang w:val="sr-Latn-ME" w:bidi="en-US"/>
        </w:rPr>
        <w:t xml:space="preserve"> veličine, nije moguće pouzdano odrediti njihovu učestalost. Prijavljena stopa je bila proc</w:t>
      </w:r>
      <w:r w:rsidR="00352B14" w:rsidRPr="00314858">
        <w:rPr>
          <w:rFonts w:ascii="Times New Roman" w:hAnsi="Times New Roman" w:cs="Times New Roman"/>
          <w:lang w:val="sr-Latn-ME" w:bidi="en-US"/>
        </w:rPr>
        <w:t>ij</w:t>
      </w:r>
      <w:r w:rsidRPr="00314858">
        <w:rPr>
          <w:rFonts w:ascii="Times New Roman" w:hAnsi="Times New Roman" w:cs="Times New Roman"/>
          <w:lang w:val="sr-Latn-ME" w:bidi="en-US"/>
        </w:rPr>
        <w:t xml:space="preserve">enjena </w:t>
      </w:r>
      <w:r w:rsidR="00CC323A" w:rsidRPr="00314858">
        <w:rPr>
          <w:rFonts w:ascii="Times New Roman" w:hAnsi="Times New Roman" w:cs="Times New Roman"/>
          <w:lang w:val="sr-Latn-ME" w:bidi="en-US"/>
        </w:rPr>
        <w:t>kao</w:t>
      </w:r>
      <w:r w:rsidRPr="00314858">
        <w:rPr>
          <w:rFonts w:ascii="Times New Roman" w:hAnsi="Times New Roman" w:cs="Times New Roman"/>
          <w:lang w:val="sr-Latn-ME" w:bidi="en-US"/>
        </w:rPr>
        <w:t xml:space="preserve"> 7 događaja na 1 milion pacijent-godina za agranulocitozu</w:t>
      </w:r>
      <w:r w:rsidR="00ED227D"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i 5 događaja na 1 milion pacijent-godina za neutropeniju.</w:t>
      </w:r>
    </w:p>
    <w:p w14:paraId="7FEF78EF" w14:textId="77777777" w:rsidR="00B85E79" w:rsidRPr="00314858" w:rsidRDefault="00B85E79" w:rsidP="00D67D34">
      <w:pPr>
        <w:spacing w:after="0" w:line="240" w:lineRule="auto"/>
        <w:jc w:val="both"/>
        <w:rPr>
          <w:rFonts w:ascii="Times New Roman" w:hAnsi="Times New Roman" w:cs="Times New Roman"/>
          <w:lang w:val="sr-Latn-ME" w:bidi="en-US"/>
        </w:rPr>
      </w:pPr>
    </w:p>
    <w:p w14:paraId="0523FBAE" w14:textId="77777777" w:rsidR="00D67D34" w:rsidRPr="00314858" w:rsidRDefault="00D67D34" w:rsidP="00D67D34">
      <w:pPr>
        <w:spacing w:after="0" w:line="240" w:lineRule="auto"/>
        <w:jc w:val="both"/>
        <w:rPr>
          <w:rFonts w:ascii="Times New Roman" w:hAnsi="Times New Roman" w:cs="Times New Roman"/>
          <w:u w:val="single"/>
          <w:lang w:val="sr-Latn-ME" w:bidi="en-US"/>
        </w:rPr>
      </w:pPr>
      <w:r w:rsidRPr="00314858">
        <w:rPr>
          <w:rFonts w:ascii="Times New Roman" w:hAnsi="Times New Roman" w:cs="Times New Roman"/>
          <w:u w:val="single"/>
          <w:lang w:val="sr-Latn-ME" w:bidi="en-US"/>
        </w:rPr>
        <w:t>Pedijatrijska populacija</w:t>
      </w:r>
    </w:p>
    <w:p w14:paraId="507B0126" w14:textId="77777777" w:rsidR="00D67D34" w:rsidRPr="00314858" w:rsidRDefault="00D67D34" w:rsidP="00D67D34">
      <w:pPr>
        <w:spacing w:after="0" w:line="240" w:lineRule="auto"/>
        <w:jc w:val="both"/>
        <w:rPr>
          <w:rFonts w:ascii="Times New Roman" w:hAnsi="Times New Roman" w:cs="Times New Roman"/>
          <w:lang w:val="sr-Latn-ME" w:bidi="en-US"/>
        </w:rPr>
      </w:pPr>
    </w:p>
    <w:p w14:paraId="19E7FED3" w14:textId="6225EB59"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Bezb</w:t>
      </w:r>
      <w:r w:rsidR="00352B14" w:rsidRPr="00314858">
        <w:rPr>
          <w:rFonts w:ascii="Times New Roman" w:hAnsi="Times New Roman" w:cs="Times New Roman"/>
          <w:lang w:val="sr-Latn-ME" w:bidi="en-US"/>
        </w:rPr>
        <w:t>j</w:t>
      </w:r>
      <w:r w:rsidRPr="00314858">
        <w:rPr>
          <w:rFonts w:ascii="Times New Roman" w:hAnsi="Times New Roman" w:cs="Times New Roman"/>
          <w:lang w:val="sr-Latn-ME" w:bidi="en-US"/>
        </w:rPr>
        <w:t xml:space="preserve">ednost dabigatraneteksilata u terapiji VTE i prevenciji rekurentne VTE kod pedijatrijskih pacijenata je bila ispitivana u dva ispitivanja faze III (DIVERSITY i 1160.108). Ukupno je 328 </w:t>
      </w:r>
      <w:r w:rsidRPr="00314858">
        <w:rPr>
          <w:rFonts w:ascii="Times New Roman" w:hAnsi="Times New Roman" w:cs="Times New Roman"/>
          <w:lang w:val="sr-Latn-ME" w:bidi="en-US"/>
        </w:rPr>
        <w:lastRenderedPageBreak/>
        <w:t>pedijatrijskih pacijenata bilo l</w:t>
      </w:r>
      <w:r w:rsidR="00352B14" w:rsidRPr="00314858">
        <w:rPr>
          <w:rFonts w:ascii="Times New Roman" w:hAnsi="Times New Roman" w:cs="Times New Roman"/>
          <w:lang w:val="sr-Latn-ME" w:bidi="en-US"/>
        </w:rPr>
        <w:t>ij</w:t>
      </w:r>
      <w:r w:rsidRPr="00314858">
        <w:rPr>
          <w:rFonts w:ascii="Times New Roman" w:hAnsi="Times New Roman" w:cs="Times New Roman"/>
          <w:lang w:val="sr-Latn-ME" w:bidi="en-US"/>
        </w:rPr>
        <w:t xml:space="preserve">ečeno dabigatraneteksilatom. Pacijenti su primali doze prilagođene prema </w:t>
      </w:r>
      <w:r w:rsidR="00CC323A" w:rsidRPr="00314858">
        <w:rPr>
          <w:rFonts w:ascii="Times New Roman" w:hAnsi="Times New Roman" w:cs="Times New Roman"/>
          <w:lang w:val="sr-Latn-ME" w:bidi="en-US"/>
        </w:rPr>
        <w:t>uzrastu</w:t>
      </w:r>
      <w:r w:rsidRPr="00314858">
        <w:rPr>
          <w:rFonts w:ascii="Times New Roman" w:hAnsi="Times New Roman" w:cs="Times New Roman"/>
          <w:lang w:val="sr-Latn-ME" w:bidi="en-US"/>
        </w:rPr>
        <w:t xml:space="preserve"> i t</w:t>
      </w:r>
      <w:r w:rsidR="00802306" w:rsidRPr="00314858">
        <w:rPr>
          <w:rFonts w:ascii="Times New Roman" w:hAnsi="Times New Roman" w:cs="Times New Roman"/>
          <w:lang w:val="sr-Latn-ME" w:bidi="en-US"/>
        </w:rPr>
        <w:t>j</w:t>
      </w:r>
      <w:r w:rsidRPr="00314858">
        <w:rPr>
          <w:rFonts w:ascii="Times New Roman" w:hAnsi="Times New Roman" w:cs="Times New Roman"/>
          <w:lang w:val="sr-Latn-ME" w:bidi="en-US"/>
        </w:rPr>
        <w:t>elesnoj masi u odgovarajućoj formulaciji dabigatraneteksilata za njihov uzrast.</w:t>
      </w:r>
    </w:p>
    <w:p w14:paraId="7427AD54" w14:textId="77777777" w:rsidR="00D67D34" w:rsidRPr="00314858" w:rsidRDefault="00D67D34" w:rsidP="00D67D34">
      <w:pPr>
        <w:spacing w:after="0" w:line="240" w:lineRule="auto"/>
        <w:jc w:val="both"/>
        <w:rPr>
          <w:rFonts w:ascii="Times New Roman" w:hAnsi="Times New Roman" w:cs="Times New Roman"/>
          <w:lang w:val="sr-Latn-ME" w:bidi="en-US"/>
        </w:rPr>
      </w:pPr>
    </w:p>
    <w:p w14:paraId="31317710" w14:textId="37E87066"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Sveukupno, očekuje se da će bezb</w:t>
      </w:r>
      <w:r w:rsidR="00B85E79" w:rsidRPr="00314858">
        <w:rPr>
          <w:rFonts w:ascii="Times New Roman" w:hAnsi="Times New Roman" w:cs="Times New Roman"/>
          <w:lang w:val="sr-Latn-ME" w:bidi="en-US"/>
        </w:rPr>
        <w:t>j</w:t>
      </w:r>
      <w:r w:rsidRPr="00314858">
        <w:rPr>
          <w:rFonts w:ascii="Times New Roman" w:hAnsi="Times New Roman" w:cs="Times New Roman"/>
          <w:lang w:val="sr-Latn-ME" w:bidi="en-US"/>
        </w:rPr>
        <w:t>ednosni profil kod d</w:t>
      </w:r>
      <w:r w:rsidR="00802306" w:rsidRPr="00314858">
        <w:rPr>
          <w:rFonts w:ascii="Times New Roman" w:hAnsi="Times New Roman" w:cs="Times New Roman"/>
          <w:lang w:val="sr-Latn-ME" w:bidi="en-US"/>
        </w:rPr>
        <w:t>j</w:t>
      </w:r>
      <w:r w:rsidRPr="00314858">
        <w:rPr>
          <w:rFonts w:ascii="Times New Roman" w:hAnsi="Times New Roman" w:cs="Times New Roman"/>
          <w:lang w:val="sr-Latn-ME" w:bidi="en-US"/>
        </w:rPr>
        <w:t>ece biti isti kao kod odraslih.</w:t>
      </w:r>
    </w:p>
    <w:p w14:paraId="51B16AEA" w14:textId="77777777" w:rsidR="00D67D34" w:rsidRPr="00314858" w:rsidRDefault="00D67D34" w:rsidP="00D67D34">
      <w:pPr>
        <w:spacing w:after="0" w:line="240" w:lineRule="auto"/>
        <w:jc w:val="both"/>
        <w:rPr>
          <w:rFonts w:ascii="Times New Roman" w:hAnsi="Times New Roman" w:cs="Times New Roman"/>
          <w:lang w:val="sr-Latn-ME" w:bidi="en-US"/>
        </w:rPr>
      </w:pPr>
    </w:p>
    <w:p w14:paraId="1E5F8580" w14:textId="7CF4313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Ukupno 26% pedijatrijskih pacijenata l</w:t>
      </w:r>
      <w:r w:rsidR="00802306" w:rsidRPr="00314858">
        <w:rPr>
          <w:rFonts w:ascii="Times New Roman" w:hAnsi="Times New Roman" w:cs="Times New Roman"/>
          <w:lang w:val="sr-Latn-ME" w:bidi="en-US"/>
        </w:rPr>
        <w:t>ij</w:t>
      </w:r>
      <w:r w:rsidRPr="00314858">
        <w:rPr>
          <w:rFonts w:ascii="Times New Roman" w:hAnsi="Times New Roman" w:cs="Times New Roman"/>
          <w:lang w:val="sr-Latn-ME" w:bidi="en-US"/>
        </w:rPr>
        <w:t>ečenih dabigatraneteksilatom zbog VTE i prevencije rekurentne VTE imalo je neželjen</w:t>
      </w:r>
      <w:r w:rsidR="007413D2" w:rsidRPr="00314858">
        <w:rPr>
          <w:rFonts w:ascii="Times New Roman" w:hAnsi="Times New Roman" w:cs="Times New Roman"/>
          <w:lang w:val="sr-Latn-ME" w:bidi="en-US"/>
        </w:rPr>
        <w:t>e reakcije</w:t>
      </w:r>
      <w:r w:rsidRPr="00314858">
        <w:rPr>
          <w:rFonts w:ascii="Times New Roman" w:hAnsi="Times New Roman" w:cs="Times New Roman"/>
          <w:lang w:val="sr-Latn-ME" w:bidi="en-US"/>
        </w:rPr>
        <w:t>.</w:t>
      </w:r>
    </w:p>
    <w:p w14:paraId="519147F4" w14:textId="77777777" w:rsidR="00D67D34" w:rsidRPr="00314858" w:rsidRDefault="00D67D34" w:rsidP="00D67D34">
      <w:pPr>
        <w:spacing w:after="0" w:line="240" w:lineRule="auto"/>
        <w:jc w:val="both"/>
        <w:rPr>
          <w:rFonts w:ascii="Times New Roman" w:hAnsi="Times New Roman" w:cs="Times New Roman"/>
          <w:lang w:val="sr-Latn-ME" w:bidi="en-US"/>
        </w:rPr>
      </w:pPr>
    </w:p>
    <w:p w14:paraId="4D824E48" w14:textId="4AA6F8F8" w:rsidR="00D67D34" w:rsidRPr="00314858" w:rsidRDefault="00D67D34" w:rsidP="00D67D34">
      <w:pPr>
        <w:spacing w:after="0" w:line="240" w:lineRule="auto"/>
        <w:jc w:val="both"/>
        <w:rPr>
          <w:rFonts w:ascii="Times New Roman" w:hAnsi="Times New Roman" w:cs="Times New Roman"/>
          <w:i/>
          <w:iCs/>
          <w:u w:val="single"/>
          <w:lang w:val="sr-Latn-ME" w:bidi="en-US"/>
        </w:rPr>
      </w:pPr>
      <w:r w:rsidRPr="00314858">
        <w:rPr>
          <w:rFonts w:ascii="Times New Roman" w:hAnsi="Times New Roman" w:cs="Times New Roman"/>
          <w:i/>
          <w:iCs/>
          <w:u w:val="single"/>
          <w:lang w:val="sr-Latn-ME" w:bidi="en-US"/>
        </w:rPr>
        <w:t xml:space="preserve">Tabelarni prikaz neželjenih </w:t>
      </w:r>
      <w:r w:rsidR="007413D2" w:rsidRPr="00314858">
        <w:rPr>
          <w:rFonts w:ascii="Times New Roman" w:hAnsi="Times New Roman" w:cs="Times New Roman"/>
          <w:i/>
          <w:iCs/>
          <w:u w:val="single"/>
          <w:lang w:val="sr-Latn-ME" w:bidi="en-US"/>
        </w:rPr>
        <w:t>reakcija</w:t>
      </w:r>
    </w:p>
    <w:p w14:paraId="1B01F68D" w14:textId="77777777" w:rsidR="00D67D34" w:rsidRPr="00314858" w:rsidRDefault="00D67D34" w:rsidP="00D67D34">
      <w:pPr>
        <w:spacing w:after="0" w:line="240" w:lineRule="auto"/>
        <w:jc w:val="both"/>
        <w:rPr>
          <w:rFonts w:ascii="Times New Roman" w:hAnsi="Times New Roman" w:cs="Times New Roman"/>
          <w:i/>
          <w:iCs/>
          <w:u w:val="single"/>
          <w:lang w:val="sr-Latn-ME" w:bidi="en-US"/>
        </w:rPr>
      </w:pPr>
    </w:p>
    <w:p w14:paraId="355C4342" w14:textId="30AA6CEC" w:rsidR="00D67D34" w:rsidRPr="00314858" w:rsidRDefault="00CC323A"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w:t>
      </w:r>
      <w:r w:rsidR="009E0824" w:rsidRPr="00314858">
        <w:rPr>
          <w:rFonts w:ascii="Times New Roman" w:hAnsi="Times New Roman" w:cs="Times New Roman"/>
          <w:lang w:val="sr-Latn-ME"/>
        </w:rPr>
        <w:t>t</w:t>
      </w:r>
      <w:r w:rsidR="00D67D34" w:rsidRPr="00314858">
        <w:rPr>
          <w:rFonts w:ascii="Times New Roman" w:hAnsi="Times New Roman" w:cs="Times New Roman"/>
          <w:lang w:val="sr-Latn-ME"/>
        </w:rPr>
        <w:t>abel</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16 </w:t>
      </w:r>
      <w:r w:rsidRPr="00314858">
        <w:rPr>
          <w:rFonts w:ascii="Times New Roman" w:hAnsi="Times New Roman" w:cs="Times New Roman"/>
          <w:lang w:val="sr-Latn-ME"/>
        </w:rPr>
        <w:t xml:space="preserve">su </w:t>
      </w:r>
      <w:r w:rsidR="00D67D34" w:rsidRPr="00314858">
        <w:rPr>
          <w:rFonts w:ascii="Times New Roman" w:hAnsi="Times New Roman" w:cs="Times New Roman"/>
          <w:lang w:val="sr-Latn-ME"/>
        </w:rPr>
        <w:t>prikaz</w:t>
      </w:r>
      <w:r w:rsidRPr="00314858">
        <w:rPr>
          <w:rFonts w:ascii="Times New Roman" w:hAnsi="Times New Roman" w:cs="Times New Roman"/>
          <w:lang w:val="sr-Latn-ME"/>
        </w:rPr>
        <w:t>an</w:t>
      </w:r>
      <w:r w:rsidR="009E0824" w:rsidRPr="00314858">
        <w:rPr>
          <w:rFonts w:ascii="Times New Roman" w:hAnsi="Times New Roman" w:cs="Times New Roman"/>
          <w:lang w:val="sr-Latn-ME"/>
        </w:rPr>
        <w:t>e neželjene reakcije</w:t>
      </w:r>
      <w:r w:rsidR="00D67D34" w:rsidRPr="00314858">
        <w:rPr>
          <w:rFonts w:ascii="Times New Roman" w:hAnsi="Times New Roman" w:cs="Times New Roman"/>
          <w:lang w:val="sr-Latn-ME"/>
        </w:rPr>
        <w:t xml:space="preserve"> </w:t>
      </w:r>
      <w:r w:rsidR="009E0824" w:rsidRPr="00314858">
        <w:rPr>
          <w:rFonts w:ascii="Times New Roman" w:hAnsi="Times New Roman" w:cs="Times New Roman"/>
          <w:lang w:val="sr-Latn-ME"/>
        </w:rPr>
        <w:t>prepoznate</w:t>
      </w:r>
      <w:r w:rsidR="00D67D34" w:rsidRPr="00314858">
        <w:rPr>
          <w:rFonts w:ascii="Times New Roman" w:hAnsi="Times New Roman" w:cs="Times New Roman"/>
          <w:lang w:val="sr-Latn-ME"/>
        </w:rPr>
        <w:t xml:space="preserve"> u kliničkim studijama terapije VTE i prevencije rekurentne VTE kod pedijatrijskih pacijenata.</w:t>
      </w:r>
      <w:r w:rsidR="009E0824" w:rsidRPr="00314858">
        <w:rPr>
          <w:rFonts w:ascii="Times New Roman" w:hAnsi="Times New Roman" w:cs="Times New Roman"/>
          <w:lang w:val="sr-Latn-ME"/>
        </w:rPr>
        <w:t xml:space="preserve"> Klasifikovane su</w:t>
      </w:r>
      <w:r w:rsidR="00D67D34" w:rsidRPr="00314858">
        <w:rPr>
          <w:rFonts w:ascii="Times New Roman" w:hAnsi="Times New Roman" w:cs="Times New Roman"/>
          <w:lang w:val="sr-Latn-ME"/>
        </w:rPr>
        <w:t xml:space="preserve"> prema SOC terminima</w:t>
      </w:r>
      <w:r w:rsidR="00ED227D"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i učestalosti koristeći sl</w:t>
      </w:r>
      <w:r w:rsidR="00B85E79" w:rsidRPr="00314858">
        <w:rPr>
          <w:rFonts w:ascii="Times New Roman" w:hAnsi="Times New Roman" w:cs="Times New Roman"/>
          <w:lang w:val="sr-Latn-ME"/>
        </w:rPr>
        <w:t>j</w:t>
      </w:r>
      <w:r w:rsidR="00D67D34" w:rsidRPr="00314858">
        <w:rPr>
          <w:rFonts w:ascii="Times New Roman" w:hAnsi="Times New Roman" w:cs="Times New Roman"/>
          <w:lang w:val="sr-Latn-ME"/>
        </w:rPr>
        <w:t>edeću konvenciju: veoma čest</w:t>
      </w:r>
      <w:r w:rsidR="009E0824" w:rsidRPr="00314858">
        <w:rPr>
          <w:rFonts w:ascii="Times New Roman" w:hAnsi="Times New Roman" w:cs="Times New Roman"/>
          <w:lang w:val="sr-Latn-ME"/>
        </w:rPr>
        <w:t>o</w:t>
      </w:r>
      <w:r w:rsidR="00D67D34" w:rsidRPr="00314858">
        <w:rPr>
          <w:rFonts w:ascii="Times New Roman" w:hAnsi="Times New Roman" w:cs="Times New Roman"/>
          <w:lang w:val="sr-Latn-ME"/>
        </w:rPr>
        <w:t xml:space="preserve"> (≥</w:t>
      </w:r>
      <w:r w:rsidR="00B85E79"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w:t>
      </w:r>
      <w:r w:rsidR="009E0824" w:rsidRPr="00314858">
        <w:rPr>
          <w:rFonts w:ascii="Times New Roman" w:hAnsi="Times New Roman" w:cs="Times New Roman"/>
          <w:lang w:val="sr-Latn-ME"/>
        </w:rPr>
        <w:t>,</w:t>
      </w:r>
      <w:r w:rsidR="00D67D34" w:rsidRPr="00314858">
        <w:rPr>
          <w:rFonts w:ascii="Times New Roman" w:hAnsi="Times New Roman" w:cs="Times New Roman"/>
          <w:lang w:val="sr-Latn-ME"/>
        </w:rPr>
        <w:t xml:space="preserve"> čest</w:t>
      </w:r>
      <w:r w:rsidR="009E0824" w:rsidRPr="00314858">
        <w:rPr>
          <w:rFonts w:ascii="Times New Roman" w:hAnsi="Times New Roman" w:cs="Times New Roman"/>
          <w:lang w:val="sr-Latn-ME"/>
        </w:rPr>
        <w:t>o</w:t>
      </w:r>
      <w:r w:rsidR="00D67D34" w:rsidRPr="00314858">
        <w:rPr>
          <w:rFonts w:ascii="Times New Roman" w:hAnsi="Times New Roman" w:cs="Times New Roman"/>
          <w:lang w:val="sr-Latn-ME"/>
        </w:rPr>
        <w:t xml:space="preserve"> (≥</w:t>
      </w:r>
      <w:r w:rsidR="00B85E79"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w:t>
      </w:r>
      <w:r w:rsidR="009E0824" w:rsidRPr="00314858">
        <w:rPr>
          <w:rFonts w:ascii="Times New Roman" w:hAnsi="Times New Roman" w:cs="Times New Roman"/>
          <w:lang w:val="sr-Latn-ME"/>
        </w:rPr>
        <w:t xml:space="preserve"> do</w:t>
      </w:r>
      <w:r w:rsidR="00D67D34" w:rsidRPr="00314858">
        <w:rPr>
          <w:rFonts w:ascii="Times New Roman" w:hAnsi="Times New Roman" w:cs="Times New Roman"/>
          <w:lang w:val="sr-Latn-ME"/>
        </w:rPr>
        <w:t xml:space="preserve"> &lt;</w:t>
      </w:r>
      <w:r w:rsidR="00B85E79"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w:t>
      </w:r>
      <w:r w:rsidR="009E0824" w:rsidRPr="00314858">
        <w:rPr>
          <w:rFonts w:ascii="Times New Roman" w:hAnsi="Times New Roman" w:cs="Times New Roman"/>
          <w:lang w:val="sr-Latn-ME"/>
        </w:rPr>
        <w:t>,</w:t>
      </w:r>
      <w:r w:rsidR="00D67D34" w:rsidRPr="00314858">
        <w:rPr>
          <w:rFonts w:ascii="Times New Roman" w:hAnsi="Times New Roman" w:cs="Times New Roman"/>
          <w:lang w:val="sr-Latn-ME"/>
        </w:rPr>
        <w:t xml:space="preserve"> povremen</w:t>
      </w:r>
      <w:r w:rsidR="009E0824" w:rsidRPr="00314858">
        <w:rPr>
          <w:rFonts w:ascii="Times New Roman" w:hAnsi="Times New Roman" w:cs="Times New Roman"/>
          <w:lang w:val="sr-Latn-ME"/>
        </w:rPr>
        <w:t>o</w:t>
      </w:r>
      <w:r w:rsidR="00D67D34" w:rsidRPr="00314858">
        <w:rPr>
          <w:rFonts w:ascii="Times New Roman" w:hAnsi="Times New Roman" w:cs="Times New Roman"/>
          <w:lang w:val="sr-Latn-ME"/>
        </w:rPr>
        <w:t xml:space="preserve"> (≥</w:t>
      </w:r>
      <w:r w:rsidR="00B85E79"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1/1000</w:t>
      </w:r>
      <w:r w:rsidR="009E0824" w:rsidRPr="00314858">
        <w:rPr>
          <w:rFonts w:ascii="Times New Roman" w:hAnsi="Times New Roman" w:cs="Times New Roman"/>
          <w:lang w:val="sr-Latn-ME"/>
        </w:rPr>
        <w:t xml:space="preserve"> do</w:t>
      </w:r>
      <w:r w:rsidR="00D67D34" w:rsidRPr="00314858">
        <w:rPr>
          <w:rFonts w:ascii="Times New Roman" w:hAnsi="Times New Roman" w:cs="Times New Roman"/>
          <w:lang w:val="sr-Latn-ME"/>
        </w:rPr>
        <w:t xml:space="preserve"> &lt;</w:t>
      </w:r>
      <w:r w:rsidR="00B85E79"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 r</w:t>
      </w:r>
      <w:r w:rsidR="00802306" w:rsidRPr="00314858">
        <w:rPr>
          <w:rFonts w:ascii="Times New Roman" w:hAnsi="Times New Roman" w:cs="Times New Roman"/>
          <w:lang w:val="sr-Latn-ME"/>
        </w:rPr>
        <w:t>ij</w:t>
      </w:r>
      <w:r w:rsidR="00D67D34" w:rsidRPr="00314858">
        <w:rPr>
          <w:rFonts w:ascii="Times New Roman" w:hAnsi="Times New Roman" w:cs="Times New Roman"/>
          <w:lang w:val="sr-Latn-ME"/>
        </w:rPr>
        <w:t>etk</w:t>
      </w:r>
      <w:r w:rsidR="009E0824" w:rsidRPr="00314858">
        <w:rPr>
          <w:rFonts w:ascii="Times New Roman" w:hAnsi="Times New Roman" w:cs="Times New Roman"/>
          <w:lang w:val="sr-Latn-ME"/>
        </w:rPr>
        <w:t>o</w:t>
      </w:r>
      <w:r w:rsidR="00D67D34" w:rsidRPr="00314858">
        <w:rPr>
          <w:rFonts w:ascii="Times New Roman" w:hAnsi="Times New Roman" w:cs="Times New Roman"/>
          <w:lang w:val="sr-Latn-ME"/>
        </w:rPr>
        <w:t xml:space="preserve"> (≥</w:t>
      </w:r>
      <w:r w:rsidR="00B85E79"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1/10000</w:t>
      </w:r>
      <w:r w:rsidR="009E0824" w:rsidRPr="00314858">
        <w:rPr>
          <w:rFonts w:ascii="Times New Roman" w:hAnsi="Times New Roman" w:cs="Times New Roman"/>
          <w:lang w:val="sr-Latn-ME"/>
        </w:rPr>
        <w:t xml:space="preserve"> do</w:t>
      </w:r>
      <w:r w:rsidR="00D67D34" w:rsidRPr="00314858">
        <w:rPr>
          <w:rFonts w:ascii="Times New Roman" w:hAnsi="Times New Roman" w:cs="Times New Roman"/>
          <w:lang w:val="sr-Latn-ME"/>
        </w:rPr>
        <w:t xml:space="preserve"> &lt;</w:t>
      </w:r>
      <w:r w:rsidR="00B85E79"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1/1000)</w:t>
      </w:r>
      <w:r w:rsidR="009E0824" w:rsidRPr="00314858">
        <w:rPr>
          <w:rFonts w:ascii="Times New Roman" w:hAnsi="Times New Roman" w:cs="Times New Roman"/>
          <w:lang w:val="sr-Latn-ME"/>
        </w:rPr>
        <w:t>,</w:t>
      </w:r>
      <w:r w:rsidR="00D67D34" w:rsidRPr="00314858">
        <w:rPr>
          <w:rFonts w:ascii="Times New Roman" w:hAnsi="Times New Roman" w:cs="Times New Roman"/>
          <w:lang w:val="sr-Latn-ME"/>
        </w:rPr>
        <w:t xml:space="preserve"> veoma r</w:t>
      </w:r>
      <w:r w:rsidR="00802306" w:rsidRPr="00314858">
        <w:rPr>
          <w:rFonts w:ascii="Times New Roman" w:hAnsi="Times New Roman" w:cs="Times New Roman"/>
          <w:lang w:val="sr-Latn-ME"/>
        </w:rPr>
        <w:t>ij</w:t>
      </w:r>
      <w:r w:rsidR="00D67D34" w:rsidRPr="00314858">
        <w:rPr>
          <w:rFonts w:ascii="Times New Roman" w:hAnsi="Times New Roman" w:cs="Times New Roman"/>
          <w:lang w:val="sr-Latn-ME"/>
        </w:rPr>
        <w:t>etk</w:t>
      </w:r>
      <w:r w:rsidR="009E0824" w:rsidRPr="00314858">
        <w:rPr>
          <w:rFonts w:ascii="Times New Roman" w:hAnsi="Times New Roman" w:cs="Times New Roman"/>
          <w:lang w:val="sr-Latn-ME"/>
        </w:rPr>
        <w:t>o</w:t>
      </w:r>
      <w:r w:rsidR="00D67D34" w:rsidRPr="00314858">
        <w:rPr>
          <w:rFonts w:ascii="Times New Roman" w:hAnsi="Times New Roman" w:cs="Times New Roman"/>
          <w:lang w:val="sr-Latn-ME"/>
        </w:rPr>
        <w:t xml:space="preserve"> (&lt;</w:t>
      </w:r>
      <w:r w:rsidR="00B85E79"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1/10000)</w:t>
      </w:r>
      <w:r w:rsidR="009E0824" w:rsidRPr="00314858">
        <w:rPr>
          <w:rFonts w:ascii="Times New Roman" w:hAnsi="Times New Roman" w:cs="Times New Roman"/>
          <w:lang w:val="sr-Latn-ME"/>
        </w:rPr>
        <w:t>,</w:t>
      </w:r>
      <w:r w:rsidR="00D67D34" w:rsidRPr="00314858">
        <w:rPr>
          <w:rFonts w:ascii="Times New Roman" w:hAnsi="Times New Roman" w:cs="Times New Roman"/>
          <w:lang w:val="sr-Latn-ME"/>
        </w:rPr>
        <w:t xml:space="preserve"> nepoznat</w:t>
      </w:r>
      <w:r w:rsidR="009E0824" w:rsidRPr="00314858">
        <w:rPr>
          <w:rFonts w:ascii="Times New Roman" w:hAnsi="Times New Roman" w:cs="Times New Roman"/>
          <w:lang w:val="sr-Latn-ME"/>
        </w:rPr>
        <w:t>a</w:t>
      </w:r>
      <w:r w:rsidR="00D67D34" w:rsidRPr="00314858">
        <w:rPr>
          <w:rFonts w:ascii="Times New Roman" w:hAnsi="Times New Roman" w:cs="Times New Roman"/>
          <w:lang w:val="sr-Latn-ME"/>
        </w:rPr>
        <w:t xml:space="preserve"> (</w:t>
      </w:r>
      <w:r w:rsidR="009E0824" w:rsidRPr="00314858">
        <w:rPr>
          <w:rFonts w:ascii="Times New Roman" w:hAnsi="Times New Roman" w:cs="Times New Roman"/>
          <w:lang w:val="sr-Latn-ME"/>
        </w:rPr>
        <w:t>ne može se proc</w:t>
      </w:r>
      <w:r w:rsidR="00B85E79" w:rsidRPr="00314858">
        <w:rPr>
          <w:rFonts w:ascii="Times New Roman" w:hAnsi="Times New Roman" w:cs="Times New Roman"/>
          <w:lang w:val="sr-Latn-ME"/>
        </w:rPr>
        <w:t>ij</w:t>
      </w:r>
      <w:r w:rsidR="009E0824" w:rsidRPr="00314858">
        <w:rPr>
          <w:rFonts w:ascii="Times New Roman" w:hAnsi="Times New Roman" w:cs="Times New Roman"/>
          <w:lang w:val="sr-Latn-ME"/>
        </w:rPr>
        <w:t>eniti na osnovu dostupnih podataka</w:t>
      </w:r>
      <w:r w:rsidR="00D67D34" w:rsidRPr="00314858">
        <w:rPr>
          <w:rFonts w:ascii="Times New Roman" w:hAnsi="Times New Roman" w:cs="Times New Roman"/>
          <w:lang w:val="sr-Latn-ME"/>
        </w:rPr>
        <w:t>).</w:t>
      </w:r>
    </w:p>
    <w:p w14:paraId="2F8D121F" w14:textId="77777777" w:rsidR="00D67D34" w:rsidRPr="00314858" w:rsidRDefault="00D67D34" w:rsidP="00D67D34">
      <w:pPr>
        <w:spacing w:after="0" w:line="240" w:lineRule="auto"/>
        <w:jc w:val="both"/>
        <w:rPr>
          <w:rFonts w:ascii="Times New Roman" w:hAnsi="Times New Roman" w:cs="Times New Roman"/>
          <w:lang w:val="sr-Latn-ME" w:bidi="en-US"/>
        </w:rPr>
      </w:pPr>
    </w:p>
    <w:p w14:paraId="4C14EB2A" w14:textId="2C20E741" w:rsidR="0009272D" w:rsidRPr="00314858" w:rsidRDefault="00D67D34" w:rsidP="00D67D34">
      <w:pPr>
        <w:spacing w:after="0" w:line="240" w:lineRule="auto"/>
        <w:jc w:val="both"/>
        <w:rPr>
          <w:rFonts w:ascii="Times New Roman" w:hAnsi="Times New Roman" w:cs="Times New Roman"/>
          <w:b/>
          <w:bCs/>
          <w:lang w:val="sr-Latn-ME" w:bidi="en-US"/>
        </w:rPr>
      </w:pPr>
      <w:r w:rsidRPr="00314858">
        <w:rPr>
          <w:rFonts w:ascii="Times New Roman" w:hAnsi="Times New Roman" w:cs="Times New Roman"/>
          <w:b/>
          <w:bCs/>
          <w:lang w:val="sr-Latn-ME" w:bidi="en-US"/>
        </w:rPr>
        <w:t>Tabela 16</w:t>
      </w:r>
      <w:r w:rsidR="009E0824"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Neželjen</w:t>
      </w:r>
      <w:r w:rsidR="009E0824" w:rsidRPr="00314858">
        <w:rPr>
          <w:rFonts w:ascii="Times New Roman" w:hAnsi="Times New Roman" w:cs="Times New Roman"/>
          <w:b/>
          <w:bCs/>
          <w:lang w:val="sr-Latn-ME" w:bidi="en-US"/>
        </w:rPr>
        <w:t>e reakcije</w:t>
      </w:r>
    </w:p>
    <w:p w14:paraId="3E7C61D0" w14:textId="77777777" w:rsidR="009E0824" w:rsidRPr="00314858" w:rsidRDefault="009E0824" w:rsidP="00D67D34">
      <w:pPr>
        <w:spacing w:after="0" w:line="240" w:lineRule="auto"/>
        <w:jc w:val="both"/>
        <w:rPr>
          <w:rFonts w:ascii="Times New Roman" w:hAnsi="Times New Roman" w:cs="Times New Roman"/>
          <w:b/>
          <w:bCs/>
          <w:lang w:val="sr-Latn-ME"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984"/>
        <w:gridCol w:w="6076"/>
      </w:tblGrid>
      <w:tr w:rsidR="00D67D34" w:rsidRPr="00314858" w14:paraId="61E41B0B" w14:textId="77777777" w:rsidTr="0009272D">
        <w:trPr>
          <w:trHeight w:val="20"/>
          <w:jc w:val="center"/>
        </w:trPr>
        <w:tc>
          <w:tcPr>
            <w:tcW w:w="1647" w:type="pct"/>
            <w:shd w:val="clear" w:color="auto" w:fill="auto"/>
          </w:tcPr>
          <w:p w14:paraId="6F004DE8" w14:textId="77777777" w:rsidR="00D67D34" w:rsidRPr="00314858" w:rsidRDefault="00D67D34" w:rsidP="00D67D34">
            <w:pPr>
              <w:spacing w:after="0" w:line="240" w:lineRule="auto"/>
              <w:jc w:val="both"/>
              <w:rPr>
                <w:rFonts w:ascii="Times New Roman" w:hAnsi="Times New Roman" w:cs="Times New Roman"/>
                <w:lang w:val="sr-Latn-ME"/>
              </w:rPr>
            </w:pPr>
          </w:p>
        </w:tc>
        <w:tc>
          <w:tcPr>
            <w:tcW w:w="3353" w:type="pct"/>
            <w:shd w:val="clear" w:color="auto" w:fill="auto"/>
          </w:tcPr>
          <w:p w14:paraId="79B9A461" w14:textId="77777777" w:rsidR="00D67D34" w:rsidRPr="00314858" w:rsidRDefault="00D67D34"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Učestalost</w:t>
            </w:r>
          </w:p>
        </w:tc>
      </w:tr>
      <w:tr w:rsidR="00D67D34" w:rsidRPr="00314858" w14:paraId="30D38CDA" w14:textId="77777777" w:rsidTr="0009272D">
        <w:trPr>
          <w:trHeight w:val="20"/>
          <w:jc w:val="center"/>
        </w:trPr>
        <w:tc>
          <w:tcPr>
            <w:tcW w:w="1647" w:type="pct"/>
          </w:tcPr>
          <w:p w14:paraId="06EE4DF1"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SOC / Preporučeni termin</w:t>
            </w:r>
          </w:p>
        </w:tc>
        <w:tc>
          <w:tcPr>
            <w:tcW w:w="3353" w:type="pct"/>
          </w:tcPr>
          <w:p w14:paraId="013A336D" w14:textId="758D48F7" w:rsidR="00D67D34" w:rsidRPr="00314858" w:rsidRDefault="00D67D34"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Terapija VTE i prevencija rekurentne VTE kod pedijatrijskih pacijenata</w:t>
            </w:r>
          </w:p>
        </w:tc>
      </w:tr>
      <w:tr w:rsidR="00D67D34" w:rsidRPr="00314858" w14:paraId="34A7F4FF" w14:textId="77777777" w:rsidTr="0009272D">
        <w:trPr>
          <w:trHeight w:val="20"/>
          <w:jc w:val="center"/>
        </w:trPr>
        <w:tc>
          <w:tcPr>
            <w:tcW w:w="5000" w:type="pct"/>
            <w:gridSpan w:val="2"/>
          </w:tcPr>
          <w:p w14:paraId="3ECF6023"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Poremećaji krvi i limfnog sistema</w:t>
            </w:r>
          </w:p>
        </w:tc>
      </w:tr>
      <w:tr w:rsidR="00D67D34" w:rsidRPr="00314858" w14:paraId="03A54278" w14:textId="77777777" w:rsidTr="0009272D">
        <w:trPr>
          <w:trHeight w:val="20"/>
          <w:jc w:val="center"/>
        </w:trPr>
        <w:tc>
          <w:tcPr>
            <w:tcW w:w="1647" w:type="pct"/>
          </w:tcPr>
          <w:p w14:paraId="2A6EA75D"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Anemija</w:t>
            </w:r>
          </w:p>
        </w:tc>
        <w:tc>
          <w:tcPr>
            <w:tcW w:w="3353" w:type="pct"/>
          </w:tcPr>
          <w:p w14:paraId="5EB93EA6" w14:textId="055485E7" w:rsidR="00D67D34" w:rsidRPr="00314858" w:rsidRDefault="00C521FE"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5AFB9D5C" w14:textId="77777777" w:rsidTr="0009272D">
        <w:trPr>
          <w:trHeight w:val="20"/>
          <w:jc w:val="center"/>
        </w:trPr>
        <w:tc>
          <w:tcPr>
            <w:tcW w:w="1647" w:type="pct"/>
          </w:tcPr>
          <w:p w14:paraId="4B7C1772" w14:textId="77777777" w:rsidR="00802306" w:rsidRPr="00314858" w:rsidRDefault="00C521FE" w:rsidP="00802306">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Smanjene</w:t>
            </w:r>
            <w:r w:rsidR="00D67D34" w:rsidRPr="00314858">
              <w:rPr>
                <w:rFonts w:ascii="Times New Roman" w:hAnsi="Times New Roman" w:cs="Times New Roman"/>
                <w:lang w:val="sr-Latn-ME"/>
              </w:rPr>
              <w:t xml:space="preserve"> vr</w:t>
            </w:r>
            <w:r w:rsidR="00802306" w:rsidRPr="00314858">
              <w:rPr>
                <w:rFonts w:ascii="Times New Roman" w:hAnsi="Times New Roman" w:cs="Times New Roman"/>
                <w:lang w:val="sr-Latn-ME"/>
              </w:rPr>
              <w:t>ij</w:t>
            </w:r>
            <w:r w:rsidR="00D67D34" w:rsidRPr="00314858">
              <w:rPr>
                <w:rFonts w:ascii="Times New Roman" w:hAnsi="Times New Roman" w:cs="Times New Roman"/>
                <w:lang w:val="sr-Latn-ME"/>
              </w:rPr>
              <w:t xml:space="preserve">ednosti </w:t>
            </w:r>
          </w:p>
          <w:p w14:paraId="75F3B91A" w14:textId="71D0A629" w:rsidR="00D67D34" w:rsidRPr="00314858" w:rsidRDefault="00D67D34" w:rsidP="00802306">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 xml:space="preserve">hemoglobina </w:t>
            </w:r>
          </w:p>
        </w:tc>
        <w:tc>
          <w:tcPr>
            <w:tcW w:w="3353" w:type="pct"/>
          </w:tcPr>
          <w:p w14:paraId="73A6A457" w14:textId="52B1A4EC" w:rsidR="00D67D34" w:rsidRPr="00314858" w:rsidRDefault="00C521FE"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75D23EC7" w14:textId="77777777" w:rsidTr="0009272D">
        <w:trPr>
          <w:trHeight w:val="20"/>
          <w:jc w:val="center"/>
        </w:trPr>
        <w:tc>
          <w:tcPr>
            <w:tcW w:w="1647" w:type="pct"/>
          </w:tcPr>
          <w:p w14:paraId="01D0B7A7"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Trombocitopenija</w:t>
            </w:r>
          </w:p>
        </w:tc>
        <w:tc>
          <w:tcPr>
            <w:tcW w:w="3353" w:type="pct"/>
          </w:tcPr>
          <w:p w14:paraId="7A5DA6BB" w14:textId="0410D132" w:rsidR="00D67D34" w:rsidRPr="00314858" w:rsidRDefault="00C521FE"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705D1002" w14:textId="77777777" w:rsidTr="0009272D">
        <w:trPr>
          <w:trHeight w:val="20"/>
          <w:jc w:val="center"/>
        </w:trPr>
        <w:tc>
          <w:tcPr>
            <w:tcW w:w="1647" w:type="pct"/>
          </w:tcPr>
          <w:p w14:paraId="786632E4" w14:textId="77777777" w:rsidR="00802306" w:rsidRPr="00314858" w:rsidRDefault="00D67D34" w:rsidP="00802306">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Smanjen</w:t>
            </w:r>
            <w:r w:rsidR="00C521FE" w:rsidRPr="00314858">
              <w:rPr>
                <w:rFonts w:ascii="Times New Roman" w:hAnsi="Times New Roman" w:cs="Times New Roman"/>
                <w:lang w:val="sr-Latn-ME"/>
              </w:rPr>
              <w:t>e vr</w:t>
            </w:r>
            <w:r w:rsidR="00802306" w:rsidRPr="00314858">
              <w:rPr>
                <w:rFonts w:ascii="Times New Roman" w:hAnsi="Times New Roman" w:cs="Times New Roman"/>
                <w:lang w:val="sr-Latn-ME"/>
              </w:rPr>
              <w:t>ij</w:t>
            </w:r>
            <w:r w:rsidR="00C521FE" w:rsidRPr="00314858">
              <w:rPr>
                <w:rFonts w:ascii="Times New Roman" w:hAnsi="Times New Roman" w:cs="Times New Roman"/>
                <w:lang w:val="sr-Latn-ME"/>
              </w:rPr>
              <w:t>ednosti</w:t>
            </w:r>
            <w:r w:rsidRPr="00314858">
              <w:rPr>
                <w:rFonts w:ascii="Times New Roman" w:hAnsi="Times New Roman" w:cs="Times New Roman"/>
                <w:lang w:val="sr-Latn-ME"/>
              </w:rPr>
              <w:t xml:space="preserve"> </w:t>
            </w:r>
          </w:p>
          <w:p w14:paraId="1DBF5966" w14:textId="4E784E71" w:rsidR="00D67D34" w:rsidRPr="00314858" w:rsidRDefault="00D67D34" w:rsidP="00802306">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 xml:space="preserve">hematokrita </w:t>
            </w:r>
          </w:p>
        </w:tc>
        <w:tc>
          <w:tcPr>
            <w:tcW w:w="3353" w:type="pct"/>
          </w:tcPr>
          <w:p w14:paraId="62945A67" w14:textId="7D9DF017" w:rsidR="00D67D34" w:rsidRPr="00314858" w:rsidRDefault="00C521FE"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6D455BEC" w14:textId="77777777" w:rsidTr="0009272D">
        <w:trPr>
          <w:trHeight w:val="20"/>
          <w:jc w:val="center"/>
        </w:trPr>
        <w:tc>
          <w:tcPr>
            <w:tcW w:w="1647" w:type="pct"/>
          </w:tcPr>
          <w:p w14:paraId="3D3C20D3"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Neutropenija</w:t>
            </w:r>
          </w:p>
        </w:tc>
        <w:tc>
          <w:tcPr>
            <w:tcW w:w="3353" w:type="pct"/>
          </w:tcPr>
          <w:p w14:paraId="46C4217C" w14:textId="2F108CAE" w:rsidR="00D67D34" w:rsidRPr="00314858" w:rsidRDefault="00C521FE"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066ED3B8" w14:textId="77777777" w:rsidTr="0009272D">
        <w:trPr>
          <w:trHeight w:val="20"/>
          <w:jc w:val="center"/>
        </w:trPr>
        <w:tc>
          <w:tcPr>
            <w:tcW w:w="1647" w:type="pct"/>
          </w:tcPr>
          <w:p w14:paraId="18E470B0"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Agranulocitoza</w:t>
            </w:r>
          </w:p>
        </w:tc>
        <w:tc>
          <w:tcPr>
            <w:tcW w:w="3353" w:type="pct"/>
          </w:tcPr>
          <w:p w14:paraId="0EC3BE79" w14:textId="5C509EA8" w:rsidR="00D67D34" w:rsidRPr="00314858" w:rsidRDefault="00C521FE"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r w:rsidRPr="00314858">
              <w:rPr>
                <w:rFonts w:ascii="Times New Roman" w:hAnsi="Times New Roman" w:cs="Times New Roman"/>
                <w:lang w:val="sr-Latn-ME"/>
              </w:rPr>
              <w:t>t</w:t>
            </w:r>
          </w:p>
        </w:tc>
      </w:tr>
      <w:tr w:rsidR="00D67D34" w:rsidRPr="00314858" w14:paraId="3F5C2F4A" w14:textId="77777777" w:rsidTr="0009272D">
        <w:trPr>
          <w:trHeight w:val="20"/>
          <w:jc w:val="center"/>
        </w:trPr>
        <w:tc>
          <w:tcPr>
            <w:tcW w:w="5000" w:type="pct"/>
            <w:gridSpan w:val="2"/>
          </w:tcPr>
          <w:p w14:paraId="64BCF051"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Poremećaji imunskog sistema</w:t>
            </w:r>
          </w:p>
        </w:tc>
      </w:tr>
      <w:tr w:rsidR="00D67D34" w:rsidRPr="00314858" w14:paraId="61F0DB94" w14:textId="77777777" w:rsidTr="0009272D">
        <w:trPr>
          <w:trHeight w:val="20"/>
          <w:jc w:val="center"/>
        </w:trPr>
        <w:tc>
          <w:tcPr>
            <w:tcW w:w="1647" w:type="pct"/>
          </w:tcPr>
          <w:p w14:paraId="4E8EF7E2" w14:textId="0ED47C11"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Preos</w:t>
            </w:r>
            <w:r w:rsidR="00802306" w:rsidRPr="00314858">
              <w:rPr>
                <w:rFonts w:ascii="Times New Roman" w:hAnsi="Times New Roman" w:cs="Times New Roman"/>
                <w:lang w:val="sr-Latn-ME"/>
              </w:rPr>
              <w:t>j</w:t>
            </w:r>
            <w:r w:rsidRPr="00314858">
              <w:rPr>
                <w:rFonts w:ascii="Times New Roman" w:hAnsi="Times New Roman" w:cs="Times New Roman"/>
                <w:lang w:val="sr-Latn-ME"/>
              </w:rPr>
              <w:t>etljivost na l</w:t>
            </w:r>
            <w:r w:rsidR="00802306" w:rsidRPr="00314858">
              <w:rPr>
                <w:rFonts w:ascii="Times New Roman" w:hAnsi="Times New Roman" w:cs="Times New Roman"/>
                <w:lang w:val="sr-Latn-ME"/>
              </w:rPr>
              <w:t>ij</w:t>
            </w:r>
            <w:r w:rsidRPr="00314858">
              <w:rPr>
                <w:rFonts w:ascii="Times New Roman" w:hAnsi="Times New Roman" w:cs="Times New Roman"/>
                <w:lang w:val="sr-Latn-ME"/>
              </w:rPr>
              <w:t>ek</w:t>
            </w:r>
          </w:p>
        </w:tc>
        <w:tc>
          <w:tcPr>
            <w:tcW w:w="3353" w:type="pct"/>
          </w:tcPr>
          <w:p w14:paraId="4E42562D" w14:textId="5D4AD9F2" w:rsidR="00D67D34" w:rsidRPr="00314858" w:rsidRDefault="00BC5434"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7646BA98" w14:textId="77777777" w:rsidTr="0009272D">
        <w:trPr>
          <w:trHeight w:val="20"/>
          <w:jc w:val="center"/>
        </w:trPr>
        <w:tc>
          <w:tcPr>
            <w:tcW w:w="1647" w:type="pct"/>
          </w:tcPr>
          <w:p w14:paraId="7024B7CC"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 xml:space="preserve">Osip </w:t>
            </w:r>
          </w:p>
        </w:tc>
        <w:tc>
          <w:tcPr>
            <w:tcW w:w="3353" w:type="pct"/>
          </w:tcPr>
          <w:p w14:paraId="375FEE53" w14:textId="1B980F14" w:rsidR="00D67D34" w:rsidRPr="00314858" w:rsidRDefault="00BC5434"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w:t>
            </w:r>
            <w:r w:rsidR="00F5483F" w:rsidRPr="00314858">
              <w:rPr>
                <w:rFonts w:ascii="Times New Roman" w:hAnsi="Times New Roman" w:cs="Times New Roman"/>
                <w:lang w:val="sr-Latn-ME"/>
              </w:rPr>
              <w:t>o</w:t>
            </w:r>
          </w:p>
        </w:tc>
      </w:tr>
      <w:tr w:rsidR="00D67D34" w:rsidRPr="00314858" w14:paraId="78540A4B" w14:textId="77777777" w:rsidTr="0009272D">
        <w:trPr>
          <w:trHeight w:val="20"/>
          <w:jc w:val="center"/>
        </w:trPr>
        <w:tc>
          <w:tcPr>
            <w:tcW w:w="1647" w:type="pct"/>
          </w:tcPr>
          <w:p w14:paraId="12714E43"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Pruritus</w:t>
            </w:r>
          </w:p>
        </w:tc>
        <w:tc>
          <w:tcPr>
            <w:tcW w:w="3353" w:type="pct"/>
          </w:tcPr>
          <w:p w14:paraId="75668047" w14:textId="338736E7" w:rsidR="00D67D34" w:rsidRPr="00314858" w:rsidRDefault="00BC5434"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464B375F" w14:textId="77777777" w:rsidTr="0009272D">
        <w:trPr>
          <w:trHeight w:val="20"/>
          <w:jc w:val="center"/>
        </w:trPr>
        <w:tc>
          <w:tcPr>
            <w:tcW w:w="1647" w:type="pct"/>
          </w:tcPr>
          <w:p w14:paraId="4B1BCBAB"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Anafilaktička reakcija</w:t>
            </w:r>
          </w:p>
        </w:tc>
        <w:tc>
          <w:tcPr>
            <w:tcW w:w="3353" w:type="pct"/>
          </w:tcPr>
          <w:p w14:paraId="2BA72535" w14:textId="1BE37291" w:rsidR="00D67D34" w:rsidRPr="00314858" w:rsidRDefault="00BC5434"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5049C01E" w14:textId="77777777" w:rsidTr="0009272D">
        <w:trPr>
          <w:trHeight w:val="20"/>
          <w:jc w:val="center"/>
        </w:trPr>
        <w:tc>
          <w:tcPr>
            <w:tcW w:w="1647" w:type="pct"/>
          </w:tcPr>
          <w:p w14:paraId="4E981E8A"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Angioedem</w:t>
            </w:r>
          </w:p>
        </w:tc>
        <w:tc>
          <w:tcPr>
            <w:tcW w:w="3353" w:type="pct"/>
          </w:tcPr>
          <w:p w14:paraId="7659060B" w14:textId="7FAEEEDA" w:rsidR="00D67D34" w:rsidRPr="00314858" w:rsidRDefault="00BC5434"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52C7A8A9" w14:textId="77777777" w:rsidTr="0009272D">
        <w:trPr>
          <w:trHeight w:val="20"/>
          <w:jc w:val="center"/>
        </w:trPr>
        <w:tc>
          <w:tcPr>
            <w:tcW w:w="1647" w:type="pct"/>
          </w:tcPr>
          <w:p w14:paraId="385C1CEF"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Urtikarija</w:t>
            </w:r>
          </w:p>
        </w:tc>
        <w:tc>
          <w:tcPr>
            <w:tcW w:w="3353" w:type="pct"/>
          </w:tcPr>
          <w:p w14:paraId="5BC5EAA5" w14:textId="642B26BE" w:rsidR="00D67D34" w:rsidRPr="00314858" w:rsidRDefault="00BC5434"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6CBA5BA8" w14:textId="77777777" w:rsidTr="0009272D">
        <w:trPr>
          <w:trHeight w:val="20"/>
          <w:jc w:val="center"/>
        </w:trPr>
        <w:tc>
          <w:tcPr>
            <w:tcW w:w="1647" w:type="pct"/>
          </w:tcPr>
          <w:p w14:paraId="509E4ABD"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Bronhospazam</w:t>
            </w:r>
          </w:p>
        </w:tc>
        <w:tc>
          <w:tcPr>
            <w:tcW w:w="3353" w:type="pct"/>
          </w:tcPr>
          <w:p w14:paraId="65DD0FF7" w14:textId="750E1AA7" w:rsidR="00D67D34" w:rsidRPr="00314858" w:rsidRDefault="00BC5434"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793CD179" w14:textId="77777777" w:rsidTr="0009272D">
        <w:trPr>
          <w:trHeight w:val="20"/>
          <w:jc w:val="center"/>
        </w:trPr>
        <w:tc>
          <w:tcPr>
            <w:tcW w:w="5000" w:type="pct"/>
            <w:gridSpan w:val="2"/>
          </w:tcPr>
          <w:p w14:paraId="445B2F92"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Poremećaji nervnog sistema</w:t>
            </w:r>
          </w:p>
        </w:tc>
      </w:tr>
      <w:tr w:rsidR="00D67D34" w:rsidRPr="00314858" w14:paraId="6B8AF638" w14:textId="77777777" w:rsidTr="0009272D">
        <w:trPr>
          <w:trHeight w:val="20"/>
          <w:jc w:val="center"/>
        </w:trPr>
        <w:tc>
          <w:tcPr>
            <w:tcW w:w="1647" w:type="pct"/>
          </w:tcPr>
          <w:p w14:paraId="2D3CFC34" w14:textId="79CF477A"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Intrakranijaln</w:t>
            </w:r>
            <w:r w:rsidR="0065458B" w:rsidRPr="00314858">
              <w:rPr>
                <w:rFonts w:ascii="Times New Roman" w:hAnsi="Times New Roman" w:cs="Times New Roman"/>
                <w:lang w:val="sr-Latn-ME"/>
              </w:rPr>
              <w:t>o krvarenje</w:t>
            </w:r>
          </w:p>
        </w:tc>
        <w:tc>
          <w:tcPr>
            <w:tcW w:w="3353" w:type="pct"/>
          </w:tcPr>
          <w:p w14:paraId="71231FE1" w14:textId="1FF5FB2C" w:rsidR="00D67D34" w:rsidRPr="00314858" w:rsidRDefault="0065458B"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2CB27210" w14:textId="77777777" w:rsidTr="0009272D">
        <w:trPr>
          <w:trHeight w:val="20"/>
          <w:jc w:val="center"/>
        </w:trPr>
        <w:tc>
          <w:tcPr>
            <w:tcW w:w="5000" w:type="pct"/>
            <w:gridSpan w:val="2"/>
          </w:tcPr>
          <w:p w14:paraId="4D14A95F"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Vaskularni poremećaji</w:t>
            </w:r>
          </w:p>
        </w:tc>
      </w:tr>
      <w:tr w:rsidR="00D67D34" w:rsidRPr="00314858" w14:paraId="703F1B36" w14:textId="77777777" w:rsidTr="0009272D">
        <w:trPr>
          <w:trHeight w:val="20"/>
          <w:jc w:val="center"/>
        </w:trPr>
        <w:tc>
          <w:tcPr>
            <w:tcW w:w="1647" w:type="pct"/>
          </w:tcPr>
          <w:p w14:paraId="54CE8D67"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Hematom</w:t>
            </w:r>
          </w:p>
        </w:tc>
        <w:tc>
          <w:tcPr>
            <w:tcW w:w="3353" w:type="pct"/>
          </w:tcPr>
          <w:p w14:paraId="13138E19" w14:textId="3AB19788" w:rsidR="00D67D34" w:rsidRPr="00314858" w:rsidRDefault="0065458B"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20FB090B" w14:textId="77777777" w:rsidTr="0009272D">
        <w:trPr>
          <w:trHeight w:val="20"/>
          <w:jc w:val="center"/>
        </w:trPr>
        <w:tc>
          <w:tcPr>
            <w:tcW w:w="1647" w:type="pct"/>
          </w:tcPr>
          <w:p w14:paraId="4003E76B" w14:textId="4A0F205C" w:rsidR="00D67D34" w:rsidRPr="00314858" w:rsidRDefault="0065458B"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Krvarenje</w:t>
            </w:r>
          </w:p>
        </w:tc>
        <w:tc>
          <w:tcPr>
            <w:tcW w:w="3353" w:type="pct"/>
          </w:tcPr>
          <w:p w14:paraId="4253B95D" w14:textId="39216371" w:rsidR="00D67D34" w:rsidRPr="00314858" w:rsidRDefault="0065458B"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027E174E" w14:textId="77777777" w:rsidTr="0009272D">
        <w:trPr>
          <w:trHeight w:val="20"/>
          <w:jc w:val="center"/>
        </w:trPr>
        <w:tc>
          <w:tcPr>
            <w:tcW w:w="5000" w:type="pct"/>
            <w:gridSpan w:val="2"/>
          </w:tcPr>
          <w:p w14:paraId="59969FD2"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Respiratorni, torakalni i medijastinalni poremećaji</w:t>
            </w:r>
          </w:p>
        </w:tc>
      </w:tr>
      <w:tr w:rsidR="00D67D34" w:rsidRPr="00314858" w14:paraId="730E5146" w14:textId="77777777" w:rsidTr="0009272D">
        <w:trPr>
          <w:trHeight w:val="20"/>
          <w:jc w:val="center"/>
        </w:trPr>
        <w:tc>
          <w:tcPr>
            <w:tcW w:w="1647" w:type="pct"/>
          </w:tcPr>
          <w:p w14:paraId="3A50C0E9"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Epistaksa</w:t>
            </w:r>
          </w:p>
        </w:tc>
        <w:tc>
          <w:tcPr>
            <w:tcW w:w="3353" w:type="pct"/>
          </w:tcPr>
          <w:p w14:paraId="740EB3A2" w14:textId="1A3C5E95"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382BBBE2" w14:textId="77777777" w:rsidTr="0009272D">
        <w:trPr>
          <w:trHeight w:val="20"/>
          <w:jc w:val="center"/>
        </w:trPr>
        <w:tc>
          <w:tcPr>
            <w:tcW w:w="1647" w:type="pct"/>
          </w:tcPr>
          <w:p w14:paraId="0750DB5A" w14:textId="77777777" w:rsidR="00D67D34" w:rsidRPr="00314858" w:rsidRDefault="00D67D34" w:rsidP="00CC323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Hemoptiza</w:t>
            </w:r>
          </w:p>
        </w:tc>
        <w:tc>
          <w:tcPr>
            <w:tcW w:w="3353" w:type="pct"/>
          </w:tcPr>
          <w:p w14:paraId="7B0CE14A" w14:textId="19052E35"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5364B576" w14:textId="77777777" w:rsidTr="0009272D">
        <w:trPr>
          <w:trHeight w:val="20"/>
          <w:jc w:val="center"/>
        </w:trPr>
        <w:tc>
          <w:tcPr>
            <w:tcW w:w="5000" w:type="pct"/>
            <w:gridSpan w:val="2"/>
          </w:tcPr>
          <w:p w14:paraId="00D3AB71"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Gastrointestinalni poremećaji</w:t>
            </w:r>
          </w:p>
        </w:tc>
      </w:tr>
      <w:tr w:rsidR="00D67D34" w:rsidRPr="00314858" w14:paraId="50D01E25" w14:textId="77777777" w:rsidTr="0009272D">
        <w:trPr>
          <w:trHeight w:val="20"/>
          <w:jc w:val="center"/>
        </w:trPr>
        <w:tc>
          <w:tcPr>
            <w:tcW w:w="1647" w:type="pct"/>
          </w:tcPr>
          <w:p w14:paraId="59925E89" w14:textId="76CA63F1" w:rsidR="00D67D34" w:rsidRPr="00314858" w:rsidRDefault="00D67D34" w:rsidP="00E66FFA">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Gastrointestinaln</w:t>
            </w:r>
            <w:r w:rsidR="000963B8" w:rsidRPr="00314858">
              <w:rPr>
                <w:rFonts w:ascii="Times New Roman" w:hAnsi="Times New Roman" w:cs="Times New Roman"/>
                <w:lang w:val="sr-Latn-ME"/>
              </w:rPr>
              <w:t>o krvarenje</w:t>
            </w:r>
          </w:p>
        </w:tc>
        <w:tc>
          <w:tcPr>
            <w:tcW w:w="3353" w:type="pct"/>
          </w:tcPr>
          <w:p w14:paraId="18C175C7" w14:textId="4D6919B3"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4E727031" w14:textId="77777777" w:rsidTr="0009272D">
        <w:trPr>
          <w:trHeight w:val="20"/>
          <w:jc w:val="center"/>
        </w:trPr>
        <w:tc>
          <w:tcPr>
            <w:tcW w:w="1647" w:type="pct"/>
          </w:tcPr>
          <w:p w14:paraId="5B215CE3" w14:textId="540BB953" w:rsidR="00D67D34" w:rsidRPr="00314858" w:rsidRDefault="000963B8" w:rsidP="00E66FFA">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Bol u abdomenu</w:t>
            </w:r>
          </w:p>
        </w:tc>
        <w:tc>
          <w:tcPr>
            <w:tcW w:w="3353" w:type="pct"/>
          </w:tcPr>
          <w:p w14:paraId="140993A9" w14:textId="60D18210"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16EF8A8E" w14:textId="77777777" w:rsidTr="0009272D">
        <w:trPr>
          <w:trHeight w:val="20"/>
          <w:jc w:val="center"/>
        </w:trPr>
        <w:tc>
          <w:tcPr>
            <w:tcW w:w="1647" w:type="pct"/>
          </w:tcPr>
          <w:p w14:paraId="1746F1AD" w14:textId="77777777" w:rsidR="00D67D34" w:rsidRPr="00314858" w:rsidRDefault="00D67D34" w:rsidP="00E66FFA">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Dijareja</w:t>
            </w:r>
          </w:p>
        </w:tc>
        <w:tc>
          <w:tcPr>
            <w:tcW w:w="3353" w:type="pct"/>
          </w:tcPr>
          <w:p w14:paraId="16CECF33" w14:textId="607782A4"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7AC33987" w14:textId="77777777" w:rsidTr="0009272D">
        <w:trPr>
          <w:trHeight w:val="20"/>
          <w:jc w:val="center"/>
        </w:trPr>
        <w:tc>
          <w:tcPr>
            <w:tcW w:w="1647" w:type="pct"/>
          </w:tcPr>
          <w:p w14:paraId="7EA337CF" w14:textId="77777777" w:rsidR="00D67D34" w:rsidRPr="00314858" w:rsidRDefault="00D67D34" w:rsidP="00E66FFA">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Dispepsija</w:t>
            </w:r>
          </w:p>
        </w:tc>
        <w:tc>
          <w:tcPr>
            <w:tcW w:w="3353" w:type="pct"/>
          </w:tcPr>
          <w:p w14:paraId="0BB0052D" w14:textId="63DBBDD2"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5CB3BE17" w14:textId="77777777" w:rsidTr="0009272D">
        <w:trPr>
          <w:trHeight w:val="20"/>
          <w:jc w:val="center"/>
        </w:trPr>
        <w:tc>
          <w:tcPr>
            <w:tcW w:w="1647" w:type="pct"/>
          </w:tcPr>
          <w:p w14:paraId="2E82FA5D" w14:textId="000DFEE1" w:rsidR="00D67D34" w:rsidRPr="00314858" w:rsidRDefault="000963B8" w:rsidP="00E66FFA">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Mučnina</w:t>
            </w:r>
          </w:p>
        </w:tc>
        <w:tc>
          <w:tcPr>
            <w:tcW w:w="3353" w:type="pct"/>
          </w:tcPr>
          <w:p w14:paraId="1C254423" w14:textId="33F7AC32"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3B742B86" w14:textId="77777777" w:rsidTr="0009272D">
        <w:trPr>
          <w:trHeight w:val="20"/>
          <w:jc w:val="center"/>
        </w:trPr>
        <w:tc>
          <w:tcPr>
            <w:tcW w:w="1647" w:type="pct"/>
          </w:tcPr>
          <w:p w14:paraId="76906E37" w14:textId="3F95C552" w:rsidR="00D67D34" w:rsidRPr="00314858" w:rsidRDefault="00D67D34" w:rsidP="00E66FFA">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Rektaln</w:t>
            </w:r>
            <w:r w:rsidR="000963B8" w:rsidRPr="00314858">
              <w:rPr>
                <w:rFonts w:ascii="Times New Roman" w:hAnsi="Times New Roman" w:cs="Times New Roman"/>
                <w:lang w:val="sr-Latn-ME"/>
              </w:rPr>
              <w:t>o krvarenje</w:t>
            </w:r>
          </w:p>
        </w:tc>
        <w:tc>
          <w:tcPr>
            <w:tcW w:w="3353" w:type="pct"/>
          </w:tcPr>
          <w:p w14:paraId="4FE91269" w14:textId="6FBFA304"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E66FFA" w:rsidRPr="00314858">
              <w:rPr>
                <w:rFonts w:ascii="Times New Roman" w:hAnsi="Times New Roman" w:cs="Times New Roman"/>
                <w:lang w:val="sr-Latn-ME"/>
              </w:rPr>
              <w:t>ovremeno</w:t>
            </w:r>
          </w:p>
        </w:tc>
      </w:tr>
      <w:tr w:rsidR="00D67D34" w:rsidRPr="00314858" w14:paraId="646D4AC8" w14:textId="77777777" w:rsidTr="0009272D">
        <w:trPr>
          <w:trHeight w:val="20"/>
          <w:jc w:val="center"/>
        </w:trPr>
        <w:tc>
          <w:tcPr>
            <w:tcW w:w="1647" w:type="pct"/>
          </w:tcPr>
          <w:p w14:paraId="72B6844D" w14:textId="25DDD48E" w:rsidR="00D67D34" w:rsidRPr="00314858" w:rsidRDefault="00D67D34" w:rsidP="00E66FFA">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Hemoroidaln</w:t>
            </w:r>
            <w:r w:rsidR="000963B8" w:rsidRPr="00314858">
              <w:rPr>
                <w:rFonts w:ascii="Times New Roman" w:hAnsi="Times New Roman" w:cs="Times New Roman"/>
                <w:lang w:val="sr-Latn-ME"/>
              </w:rPr>
              <w:t>o krvarenje</w:t>
            </w:r>
          </w:p>
        </w:tc>
        <w:tc>
          <w:tcPr>
            <w:tcW w:w="3353" w:type="pct"/>
          </w:tcPr>
          <w:p w14:paraId="7D453E20" w14:textId="50F0B9BF" w:rsidR="00D67D34" w:rsidRPr="00314858" w:rsidRDefault="000963B8"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4E3A6B92" w14:textId="77777777" w:rsidTr="0009272D">
        <w:trPr>
          <w:trHeight w:val="20"/>
          <w:jc w:val="center"/>
        </w:trPr>
        <w:tc>
          <w:tcPr>
            <w:tcW w:w="1647" w:type="pct"/>
          </w:tcPr>
          <w:p w14:paraId="4FDACFEB" w14:textId="77777777"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lastRenderedPageBreak/>
              <w:t>Gastrointestinalni ulkus, uključujući ezofagealni ulkus</w:t>
            </w:r>
          </w:p>
        </w:tc>
        <w:tc>
          <w:tcPr>
            <w:tcW w:w="3353" w:type="pct"/>
          </w:tcPr>
          <w:p w14:paraId="18674E7A" w14:textId="3E12AA1B" w:rsidR="00D67D34" w:rsidRPr="00314858" w:rsidRDefault="000963B8"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4B7D7DAF" w14:textId="77777777" w:rsidTr="0009272D">
        <w:trPr>
          <w:trHeight w:val="20"/>
          <w:jc w:val="center"/>
        </w:trPr>
        <w:tc>
          <w:tcPr>
            <w:tcW w:w="1647" w:type="pct"/>
          </w:tcPr>
          <w:p w14:paraId="323DA44B" w14:textId="4EA50FDF"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t>Gastroezofagitis</w:t>
            </w:r>
            <w:r w:rsidR="00ED227D" w:rsidRPr="00314858">
              <w:rPr>
                <w:rFonts w:ascii="Times New Roman" w:hAnsi="Times New Roman" w:cs="Times New Roman"/>
                <w:lang w:val="sr-Latn-ME"/>
              </w:rPr>
              <w:t xml:space="preserve"> </w:t>
            </w:r>
          </w:p>
        </w:tc>
        <w:tc>
          <w:tcPr>
            <w:tcW w:w="3353" w:type="pct"/>
          </w:tcPr>
          <w:p w14:paraId="1C7B912F" w14:textId="52C44351"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2B014E6D" w14:textId="77777777" w:rsidTr="0009272D">
        <w:trPr>
          <w:trHeight w:val="20"/>
          <w:jc w:val="center"/>
        </w:trPr>
        <w:tc>
          <w:tcPr>
            <w:tcW w:w="1647" w:type="pct"/>
          </w:tcPr>
          <w:p w14:paraId="284B7299" w14:textId="25781B1A"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t>Gastroezofagealna refluksna bolest</w:t>
            </w:r>
            <w:r w:rsidR="00ED227D" w:rsidRPr="00314858">
              <w:rPr>
                <w:rFonts w:ascii="Times New Roman" w:hAnsi="Times New Roman" w:cs="Times New Roman"/>
                <w:lang w:val="sr-Latn-ME"/>
              </w:rPr>
              <w:t xml:space="preserve"> </w:t>
            </w:r>
          </w:p>
        </w:tc>
        <w:tc>
          <w:tcPr>
            <w:tcW w:w="3353" w:type="pct"/>
          </w:tcPr>
          <w:p w14:paraId="7178311E" w14:textId="4E574F3E"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234F1DB2" w14:textId="77777777" w:rsidTr="0009272D">
        <w:trPr>
          <w:trHeight w:val="20"/>
          <w:jc w:val="center"/>
        </w:trPr>
        <w:tc>
          <w:tcPr>
            <w:tcW w:w="1647" w:type="pct"/>
          </w:tcPr>
          <w:p w14:paraId="6C2A6F41" w14:textId="77777777"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t xml:space="preserve">Povraćanje </w:t>
            </w:r>
          </w:p>
        </w:tc>
        <w:tc>
          <w:tcPr>
            <w:tcW w:w="3353" w:type="pct"/>
          </w:tcPr>
          <w:p w14:paraId="165A5A83" w14:textId="0687EF0B"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1DE6E97E" w14:textId="77777777" w:rsidTr="0009272D">
        <w:trPr>
          <w:trHeight w:val="20"/>
          <w:jc w:val="center"/>
        </w:trPr>
        <w:tc>
          <w:tcPr>
            <w:tcW w:w="1647" w:type="pct"/>
          </w:tcPr>
          <w:p w14:paraId="2D3301CB" w14:textId="77777777"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t>Disfagija</w:t>
            </w:r>
          </w:p>
        </w:tc>
        <w:tc>
          <w:tcPr>
            <w:tcW w:w="3353" w:type="pct"/>
          </w:tcPr>
          <w:p w14:paraId="140EFC04" w14:textId="27EA3398" w:rsidR="00D67D34" w:rsidRPr="00314858" w:rsidRDefault="000963B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7097FF93" w14:textId="77777777" w:rsidTr="0009272D">
        <w:trPr>
          <w:trHeight w:val="20"/>
          <w:jc w:val="center"/>
        </w:trPr>
        <w:tc>
          <w:tcPr>
            <w:tcW w:w="5000" w:type="pct"/>
            <w:gridSpan w:val="2"/>
          </w:tcPr>
          <w:p w14:paraId="3E98378D"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Hepatobilijarni poremećaji</w:t>
            </w:r>
          </w:p>
        </w:tc>
      </w:tr>
      <w:tr w:rsidR="00D67D34" w:rsidRPr="00314858" w14:paraId="73703388" w14:textId="77777777" w:rsidTr="0009272D">
        <w:trPr>
          <w:trHeight w:val="20"/>
          <w:jc w:val="center"/>
        </w:trPr>
        <w:tc>
          <w:tcPr>
            <w:tcW w:w="1647" w:type="pct"/>
          </w:tcPr>
          <w:p w14:paraId="1234A510" w14:textId="3B82164E"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t>Poremećena funkcija jetre/izm</w:t>
            </w:r>
            <w:r w:rsidR="00802306" w:rsidRPr="00314858">
              <w:rPr>
                <w:rFonts w:ascii="Times New Roman" w:hAnsi="Times New Roman" w:cs="Times New Roman"/>
                <w:lang w:val="sr-Latn-ME"/>
              </w:rPr>
              <w:t>ij</w:t>
            </w:r>
            <w:r w:rsidRPr="00314858">
              <w:rPr>
                <w:rFonts w:ascii="Times New Roman" w:hAnsi="Times New Roman" w:cs="Times New Roman"/>
                <w:lang w:val="sr-Latn-ME"/>
              </w:rPr>
              <w:t>enjeni testovi funkcije jetre</w:t>
            </w:r>
          </w:p>
        </w:tc>
        <w:tc>
          <w:tcPr>
            <w:tcW w:w="3353" w:type="pct"/>
          </w:tcPr>
          <w:p w14:paraId="08AD17A1" w14:textId="6D149FDA" w:rsidR="00D67D34" w:rsidRPr="00314858" w:rsidRDefault="00724238"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4ED61AAA" w14:textId="77777777" w:rsidTr="0009272D">
        <w:trPr>
          <w:trHeight w:val="20"/>
          <w:jc w:val="center"/>
        </w:trPr>
        <w:tc>
          <w:tcPr>
            <w:tcW w:w="1647" w:type="pct"/>
          </w:tcPr>
          <w:p w14:paraId="3275E384" w14:textId="4598AF7C"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t>Povećan</w:t>
            </w:r>
            <w:r w:rsidR="00724238" w:rsidRPr="00314858">
              <w:rPr>
                <w:rFonts w:ascii="Times New Roman" w:hAnsi="Times New Roman" w:cs="Times New Roman"/>
                <w:lang w:val="sr-Latn-ME"/>
              </w:rPr>
              <w:t>e</w:t>
            </w:r>
            <w:r w:rsidRPr="00314858">
              <w:rPr>
                <w:rFonts w:ascii="Times New Roman" w:hAnsi="Times New Roman" w:cs="Times New Roman"/>
                <w:lang w:val="sr-Latn-ME"/>
              </w:rPr>
              <w:t xml:space="preserve"> vr</w:t>
            </w:r>
            <w:r w:rsidR="00802306" w:rsidRPr="00314858">
              <w:rPr>
                <w:rFonts w:ascii="Times New Roman" w:hAnsi="Times New Roman" w:cs="Times New Roman"/>
                <w:lang w:val="sr-Latn-ME"/>
              </w:rPr>
              <w:t>ij</w:t>
            </w:r>
            <w:r w:rsidRPr="00314858">
              <w:rPr>
                <w:rFonts w:ascii="Times New Roman" w:hAnsi="Times New Roman" w:cs="Times New Roman"/>
                <w:lang w:val="sr-Latn-ME"/>
              </w:rPr>
              <w:t>ednosti alanin</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aminotransferaze</w:t>
            </w:r>
          </w:p>
        </w:tc>
        <w:tc>
          <w:tcPr>
            <w:tcW w:w="3353" w:type="pct"/>
          </w:tcPr>
          <w:p w14:paraId="6FA60336" w14:textId="1D8B653B" w:rsidR="00D67D34" w:rsidRPr="00314858" w:rsidRDefault="0072423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0962C2F1" w14:textId="77777777" w:rsidTr="0009272D">
        <w:trPr>
          <w:trHeight w:val="20"/>
          <w:jc w:val="center"/>
        </w:trPr>
        <w:tc>
          <w:tcPr>
            <w:tcW w:w="1647" w:type="pct"/>
          </w:tcPr>
          <w:p w14:paraId="06C9C2E7" w14:textId="0E6CB9DD"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t>Povećan</w:t>
            </w:r>
            <w:r w:rsidR="00724238" w:rsidRPr="00314858">
              <w:rPr>
                <w:rFonts w:ascii="Times New Roman" w:hAnsi="Times New Roman" w:cs="Times New Roman"/>
                <w:lang w:val="sr-Latn-ME"/>
              </w:rPr>
              <w:t>e</w:t>
            </w:r>
            <w:r w:rsidRPr="00314858">
              <w:rPr>
                <w:rFonts w:ascii="Times New Roman" w:hAnsi="Times New Roman" w:cs="Times New Roman"/>
                <w:lang w:val="sr-Latn-ME"/>
              </w:rPr>
              <w:t xml:space="preserve"> vr</w:t>
            </w:r>
            <w:r w:rsidR="00802306" w:rsidRPr="00314858">
              <w:rPr>
                <w:rFonts w:ascii="Times New Roman" w:hAnsi="Times New Roman" w:cs="Times New Roman"/>
                <w:lang w:val="sr-Latn-ME"/>
              </w:rPr>
              <w:t>ij</w:t>
            </w:r>
            <w:r w:rsidRPr="00314858">
              <w:rPr>
                <w:rFonts w:ascii="Times New Roman" w:hAnsi="Times New Roman" w:cs="Times New Roman"/>
                <w:lang w:val="sr-Latn-ME"/>
              </w:rPr>
              <w:t>ednosti aspartat aminotransferaze</w:t>
            </w:r>
          </w:p>
        </w:tc>
        <w:tc>
          <w:tcPr>
            <w:tcW w:w="3353" w:type="pct"/>
          </w:tcPr>
          <w:p w14:paraId="0546D4EA" w14:textId="1B00D123" w:rsidR="00D67D34" w:rsidRPr="00314858" w:rsidRDefault="0072423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4BE0D704" w14:textId="77777777" w:rsidTr="0009272D">
        <w:trPr>
          <w:trHeight w:val="20"/>
          <w:jc w:val="center"/>
        </w:trPr>
        <w:tc>
          <w:tcPr>
            <w:tcW w:w="1647" w:type="pct"/>
          </w:tcPr>
          <w:p w14:paraId="2CDD584A" w14:textId="6A14527D"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t>Povećen</w:t>
            </w:r>
            <w:r w:rsidR="00724238" w:rsidRPr="00314858">
              <w:rPr>
                <w:rFonts w:ascii="Times New Roman" w:hAnsi="Times New Roman" w:cs="Times New Roman"/>
                <w:lang w:val="sr-Latn-ME"/>
              </w:rPr>
              <w:t>e</w:t>
            </w:r>
            <w:r w:rsidRPr="00314858">
              <w:rPr>
                <w:rFonts w:ascii="Times New Roman" w:hAnsi="Times New Roman" w:cs="Times New Roman"/>
                <w:lang w:val="sr-Latn-ME"/>
              </w:rPr>
              <w:t xml:space="preserve"> vr</w:t>
            </w:r>
            <w:r w:rsidR="00802306" w:rsidRPr="00314858">
              <w:rPr>
                <w:rFonts w:ascii="Times New Roman" w:hAnsi="Times New Roman" w:cs="Times New Roman"/>
                <w:lang w:val="sr-Latn-ME"/>
              </w:rPr>
              <w:t>ij</w:t>
            </w:r>
            <w:r w:rsidRPr="00314858">
              <w:rPr>
                <w:rFonts w:ascii="Times New Roman" w:hAnsi="Times New Roman" w:cs="Times New Roman"/>
                <w:lang w:val="sr-Latn-ME"/>
              </w:rPr>
              <w:t>ednosti enzima jetre</w:t>
            </w:r>
          </w:p>
        </w:tc>
        <w:tc>
          <w:tcPr>
            <w:tcW w:w="3353" w:type="pct"/>
          </w:tcPr>
          <w:p w14:paraId="4290E653" w14:textId="5C305606" w:rsidR="00D67D34" w:rsidRPr="00314858" w:rsidRDefault="0072423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5A97ED3D" w14:textId="77777777" w:rsidTr="0009272D">
        <w:trPr>
          <w:trHeight w:val="20"/>
          <w:jc w:val="center"/>
        </w:trPr>
        <w:tc>
          <w:tcPr>
            <w:tcW w:w="1647" w:type="pct"/>
          </w:tcPr>
          <w:p w14:paraId="0BA59EA1" w14:textId="77777777" w:rsidR="00D67D34" w:rsidRPr="00314858" w:rsidRDefault="00D67D34" w:rsidP="00E66FFA">
            <w:pPr>
              <w:spacing w:after="0" w:line="240" w:lineRule="auto"/>
              <w:ind w:left="196"/>
              <w:jc w:val="both"/>
              <w:rPr>
                <w:rFonts w:ascii="Times New Roman" w:hAnsi="Times New Roman" w:cs="Times New Roman"/>
                <w:lang w:val="sr-Latn-ME"/>
              </w:rPr>
            </w:pPr>
            <w:r w:rsidRPr="00314858">
              <w:rPr>
                <w:rFonts w:ascii="Times New Roman" w:hAnsi="Times New Roman" w:cs="Times New Roman"/>
                <w:lang w:val="sr-Latn-ME"/>
              </w:rPr>
              <w:t>Hiperbilirubinemija</w:t>
            </w:r>
          </w:p>
        </w:tc>
        <w:tc>
          <w:tcPr>
            <w:tcW w:w="3353" w:type="pct"/>
          </w:tcPr>
          <w:p w14:paraId="0260E759" w14:textId="45611B51" w:rsidR="00D67D34" w:rsidRPr="00314858" w:rsidRDefault="0072423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5689E672" w14:textId="77777777" w:rsidTr="0009272D">
        <w:trPr>
          <w:trHeight w:val="20"/>
          <w:jc w:val="center"/>
        </w:trPr>
        <w:tc>
          <w:tcPr>
            <w:tcW w:w="5000" w:type="pct"/>
            <w:gridSpan w:val="2"/>
          </w:tcPr>
          <w:p w14:paraId="117527F0" w14:textId="2B3FB92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Poremećaji</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kože i potkožnog tkiva</w:t>
            </w:r>
          </w:p>
        </w:tc>
      </w:tr>
      <w:tr w:rsidR="00D67D34" w:rsidRPr="00314858" w14:paraId="70E6266D" w14:textId="77777777" w:rsidTr="0009272D">
        <w:trPr>
          <w:trHeight w:val="20"/>
          <w:jc w:val="center"/>
        </w:trPr>
        <w:tc>
          <w:tcPr>
            <w:tcW w:w="1647" w:type="pct"/>
          </w:tcPr>
          <w:p w14:paraId="035A8F77" w14:textId="77777777" w:rsidR="00D67D34" w:rsidRPr="00314858" w:rsidRDefault="00D67D34" w:rsidP="00E66FF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Krvarenje iz kože</w:t>
            </w:r>
          </w:p>
        </w:tc>
        <w:tc>
          <w:tcPr>
            <w:tcW w:w="3353" w:type="pct"/>
          </w:tcPr>
          <w:p w14:paraId="02CF9725" w14:textId="3961C4EC" w:rsidR="00D67D34" w:rsidRPr="00314858" w:rsidRDefault="0072423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59D71F59" w14:textId="77777777" w:rsidTr="0009272D">
        <w:trPr>
          <w:trHeight w:val="20"/>
          <w:jc w:val="center"/>
        </w:trPr>
        <w:tc>
          <w:tcPr>
            <w:tcW w:w="1647" w:type="pct"/>
          </w:tcPr>
          <w:p w14:paraId="485D2873" w14:textId="77777777" w:rsidR="00D67D34" w:rsidRPr="00314858" w:rsidRDefault="00D67D34" w:rsidP="00E66FF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Alopecija</w:t>
            </w:r>
          </w:p>
        </w:tc>
        <w:tc>
          <w:tcPr>
            <w:tcW w:w="3353" w:type="pct"/>
          </w:tcPr>
          <w:p w14:paraId="38E59021" w14:textId="76CC6B0C" w:rsidR="00D67D34" w:rsidRPr="00314858" w:rsidRDefault="00724238"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č</w:t>
            </w:r>
            <w:r w:rsidR="00D67D34" w:rsidRPr="00314858">
              <w:rPr>
                <w:rFonts w:ascii="Times New Roman" w:hAnsi="Times New Roman" w:cs="Times New Roman"/>
                <w:lang w:val="sr-Latn-ME"/>
              </w:rPr>
              <w:t>esto</w:t>
            </w:r>
          </w:p>
        </w:tc>
      </w:tr>
      <w:tr w:rsidR="00D67D34" w:rsidRPr="00314858" w14:paraId="555E5B30" w14:textId="77777777" w:rsidTr="0009272D">
        <w:trPr>
          <w:trHeight w:val="20"/>
          <w:jc w:val="center"/>
        </w:trPr>
        <w:tc>
          <w:tcPr>
            <w:tcW w:w="5000" w:type="pct"/>
            <w:gridSpan w:val="2"/>
          </w:tcPr>
          <w:p w14:paraId="2CDA7F9C" w14:textId="1B3398F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Poremećaji mišićno-koštanog sistema i vezivnog tkiva</w:t>
            </w:r>
          </w:p>
        </w:tc>
      </w:tr>
      <w:tr w:rsidR="00D67D34" w:rsidRPr="00314858" w14:paraId="400CACAF" w14:textId="77777777" w:rsidTr="0009272D">
        <w:trPr>
          <w:trHeight w:val="20"/>
          <w:jc w:val="center"/>
        </w:trPr>
        <w:tc>
          <w:tcPr>
            <w:tcW w:w="1647" w:type="pct"/>
          </w:tcPr>
          <w:p w14:paraId="1FDD2046" w14:textId="77777777" w:rsidR="00D67D34" w:rsidRPr="00314858" w:rsidRDefault="00D67D34" w:rsidP="00E66FF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 xml:space="preserve">Hemartroza </w:t>
            </w:r>
          </w:p>
        </w:tc>
        <w:tc>
          <w:tcPr>
            <w:tcW w:w="3353" w:type="pct"/>
          </w:tcPr>
          <w:p w14:paraId="36644736" w14:textId="4B456A6D" w:rsidR="00D67D34" w:rsidRPr="00314858" w:rsidRDefault="00EC684B"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3E5D43B0" w14:textId="77777777" w:rsidTr="0009272D">
        <w:trPr>
          <w:trHeight w:val="20"/>
          <w:jc w:val="center"/>
        </w:trPr>
        <w:tc>
          <w:tcPr>
            <w:tcW w:w="5000" w:type="pct"/>
            <w:gridSpan w:val="2"/>
          </w:tcPr>
          <w:p w14:paraId="41499170"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Poremećaji bubrega i urinarnog sistema</w:t>
            </w:r>
          </w:p>
        </w:tc>
      </w:tr>
      <w:tr w:rsidR="00D67D34" w:rsidRPr="00314858" w14:paraId="4B4CC133" w14:textId="77777777" w:rsidTr="0009272D">
        <w:trPr>
          <w:trHeight w:val="20"/>
          <w:jc w:val="center"/>
        </w:trPr>
        <w:tc>
          <w:tcPr>
            <w:tcW w:w="1647" w:type="pct"/>
          </w:tcPr>
          <w:p w14:paraId="1AFA9427" w14:textId="534BDBEC" w:rsidR="00D67D34" w:rsidRPr="00314858" w:rsidRDefault="00D67D34" w:rsidP="00E66FFA">
            <w:pPr>
              <w:spacing w:after="0" w:line="240" w:lineRule="auto"/>
              <w:ind w:left="196"/>
              <w:rPr>
                <w:rFonts w:ascii="Times New Roman" w:hAnsi="Times New Roman" w:cs="Times New Roman"/>
                <w:lang w:val="sr-Latn-ME"/>
              </w:rPr>
            </w:pPr>
            <w:r w:rsidRPr="00314858">
              <w:rPr>
                <w:rFonts w:ascii="Times New Roman" w:hAnsi="Times New Roman" w:cs="Times New Roman"/>
                <w:lang w:val="sr-Latn-ME"/>
              </w:rPr>
              <w:t>Urogenitaln</w:t>
            </w:r>
            <w:r w:rsidR="00EC684B" w:rsidRPr="00314858">
              <w:rPr>
                <w:rFonts w:ascii="Times New Roman" w:hAnsi="Times New Roman" w:cs="Times New Roman"/>
                <w:lang w:val="sr-Latn-ME"/>
              </w:rPr>
              <w:t>o krvarenje</w:t>
            </w:r>
            <w:r w:rsidRPr="00314858">
              <w:rPr>
                <w:rFonts w:ascii="Times New Roman" w:hAnsi="Times New Roman" w:cs="Times New Roman"/>
                <w:lang w:val="sr-Latn-ME"/>
              </w:rPr>
              <w:t>, uključujući hematuriju</w:t>
            </w:r>
          </w:p>
        </w:tc>
        <w:tc>
          <w:tcPr>
            <w:tcW w:w="3353" w:type="pct"/>
          </w:tcPr>
          <w:p w14:paraId="1A124E26" w14:textId="2040CD05" w:rsidR="00D67D34" w:rsidRPr="00314858" w:rsidRDefault="00EC684B"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45CA6DC4" w14:textId="77777777" w:rsidTr="0009272D">
        <w:trPr>
          <w:trHeight w:val="20"/>
          <w:jc w:val="center"/>
        </w:trPr>
        <w:tc>
          <w:tcPr>
            <w:tcW w:w="5000" w:type="pct"/>
            <w:gridSpan w:val="2"/>
          </w:tcPr>
          <w:p w14:paraId="5A9CA09C" w14:textId="28AD6ED6"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Opšti poremećaji i reakcije na m</w:t>
            </w:r>
            <w:r w:rsidR="00802306" w:rsidRPr="00314858">
              <w:rPr>
                <w:rFonts w:ascii="Times New Roman" w:hAnsi="Times New Roman" w:cs="Times New Roman"/>
                <w:lang w:val="sr-Latn-ME"/>
              </w:rPr>
              <w:t>j</w:t>
            </w:r>
            <w:r w:rsidRPr="00314858">
              <w:rPr>
                <w:rFonts w:ascii="Times New Roman" w:hAnsi="Times New Roman" w:cs="Times New Roman"/>
                <w:lang w:val="sr-Latn-ME"/>
              </w:rPr>
              <w:t>estu primene</w:t>
            </w:r>
          </w:p>
        </w:tc>
      </w:tr>
      <w:tr w:rsidR="00D67D34" w:rsidRPr="00314858" w14:paraId="576CDC45" w14:textId="77777777" w:rsidTr="0009272D">
        <w:trPr>
          <w:trHeight w:val="20"/>
          <w:jc w:val="center"/>
        </w:trPr>
        <w:tc>
          <w:tcPr>
            <w:tcW w:w="1647" w:type="pct"/>
          </w:tcPr>
          <w:p w14:paraId="01E1E407" w14:textId="2081D106" w:rsidR="00D67D34" w:rsidRPr="00314858" w:rsidRDefault="00EC684B" w:rsidP="00E66FFA">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Krvarenje</w:t>
            </w:r>
            <w:r w:rsidR="00D67D34" w:rsidRPr="00314858">
              <w:rPr>
                <w:rFonts w:ascii="Times New Roman" w:hAnsi="Times New Roman" w:cs="Times New Roman"/>
                <w:lang w:val="sr-Latn-ME"/>
              </w:rPr>
              <w:t xml:space="preserve"> na m</w:t>
            </w:r>
            <w:r w:rsidR="00802306"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estu injekcije </w:t>
            </w:r>
          </w:p>
        </w:tc>
        <w:tc>
          <w:tcPr>
            <w:tcW w:w="3353" w:type="pct"/>
          </w:tcPr>
          <w:p w14:paraId="51F5A2A1" w14:textId="4110B7BB" w:rsidR="00D67D34" w:rsidRPr="00314858" w:rsidRDefault="00EC684B"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4B5C3122" w14:textId="77777777" w:rsidTr="0009272D">
        <w:trPr>
          <w:trHeight w:val="20"/>
          <w:jc w:val="center"/>
        </w:trPr>
        <w:tc>
          <w:tcPr>
            <w:tcW w:w="1647" w:type="pct"/>
          </w:tcPr>
          <w:p w14:paraId="064B357C" w14:textId="2F3C9F62" w:rsidR="00D67D34" w:rsidRPr="00314858" w:rsidRDefault="00EC684B" w:rsidP="00E66FFA">
            <w:pPr>
              <w:spacing w:after="0" w:line="240" w:lineRule="auto"/>
              <w:ind w:firstLine="196"/>
              <w:rPr>
                <w:rFonts w:ascii="Times New Roman" w:hAnsi="Times New Roman" w:cs="Times New Roman"/>
                <w:lang w:val="sr-Latn-ME"/>
              </w:rPr>
            </w:pPr>
            <w:r w:rsidRPr="00314858">
              <w:rPr>
                <w:rFonts w:ascii="Times New Roman" w:hAnsi="Times New Roman" w:cs="Times New Roman"/>
                <w:lang w:val="sr-Latn-ME"/>
              </w:rPr>
              <w:t>Krvarenje</w:t>
            </w:r>
            <w:r w:rsidR="00D67D34" w:rsidRPr="00314858">
              <w:rPr>
                <w:rFonts w:ascii="Times New Roman" w:hAnsi="Times New Roman" w:cs="Times New Roman"/>
                <w:lang w:val="sr-Latn-ME"/>
              </w:rPr>
              <w:t xml:space="preserve"> na m</w:t>
            </w:r>
            <w:r w:rsidR="00802306"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estu katetera </w:t>
            </w:r>
          </w:p>
        </w:tc>
        <w:tc>
          <w:tcPr>
            <w:tcW w:w="3353" w:type="pct"/>
          </w:tcPr>
          <w:p w14:paraId="1138CEA4" w14:textId="39655C7F" w:rsidR="00D67D34" w:rsidRPr="00314858" w:rsidRDefault="00EC684B"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r w:rsidR="00D67D34" w:rsidRPr="00314858" w14:paraId="67C38D90" w14:textId="77777777" w:rsidTr="0009272D">
        <w:trPr>
          <w:trHeight w:val="20"/>
          <w:jc w:val="center"/>
        </w:trPr>
        <w:tc>
          <w:tcPr>
            <w:tcW w:w="5000" w:type="pct"/>
            <w:gridSpan w:val="2"/>
          </w:tcPr>
          <w:p w14:paraId="2AD5D11A"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Povrede, trovanja i proceduralne komplikacije</w:t>
            </w:r>
          </w:p>
        </w:tc>
      </w:tr>
      <w:tr w:rsidR="00D67D34" w:rsidRPr="00314858" w14:paraId="4EDEE8F2" w14:textId="77777777" w:rsidTr="0009272D">
        <w:trPr>
          <w:trHeight w:val="20"/>
          <w:jc w:val="center"/>
        </w:trPr>
        <w:tc>
          <w:tcPr>
            <w:tcW w:w="1647" w:type="pct"/>
          </w:tcPr>
          <w:p w14:paraId="541AB337" w14:textId="1E21BA17" w:rsidR="00D67D34" w:rsidRPr="00314858" w:rsidRDefault="00D67D34" w:rsidP="00E66FF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Traumatsk</w:t>
            </w:r>
            <w:r w:rsidR="00EC684B" w:rsidRPr="00314858">
              <w:rPr>
                <w:rFonts w:ascii="Times New Roman" w:hAnsi="Times New Roman" w:cs="Times New Roman"/>
                <w:lang w:val="sr-Latn-ME"/>
              </w:rPr>
              <w:t>o krvarenje</w:t>
            </w:r>
          </w:p>
        </w:tc>
        <w:tc>
          <w:tcPr>
            <w:tcW w:w="3353" w:type="pct"/>
          </w:tcPr>
          <w:p w14:paraId="796C6801" w14:textId="0EECC339" w:rsidR="00D67D34" w:rsidRPr="00314858" w:rsidRDefault="00EC684B" w:rsidP="00A95A46">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w:t>
            </w:r>
            <w:r w:rsidR="00D67D34" w:rsidRPr="00314858">
              <w:rPr>
                <w:rFonts w:ascii="Times New Roman" w:hAnsi="Times New Roman" w:cs="Times New Roman"/>
                <w:lang w:val="sr-Latn-ME"/>
              </w:rPr>
              <w:t>ovremeno</w:t>
            </w:r>
          </w:p>
        </w:tc>
      </w:tr>
      <w:tr w:rsidR="00D67D34" w:rsidRPr="00314858" w14:paraId="0110AD3B" w14:textId="77777777" w:rsidTr="0009272D">
        <w:trPr>
          <w:trHeight w:val="20"/>
          <w:jc w:val="center"/>
        </w:trPr>
        <w:tc>
          <w:tcPr>
            <w:tcW w:w="1647" w:type="pct"/>
          </w:tcPr>
          <w:p w14:paraId="589B6C0C" w14:textId="43BB4207" w:rsidR="00D67D34" w:rsidRPr="00314858" w:rsidRDefault="00EC684B" w:rsidP="00E66FFA">
            <w:pPr>
              <w:spacing w:after="0" w:line="240" w:lineRule="auto"/>
              <w:ind w:firstLine="196"/>
              <w:jc w:val="both"/>
              <w:rPr>
                <w:rFonts w:ascii="Times New Roman" w:hAnsi="Times New Roman" w:cs="Times New Roman"/>
                <w:lang w:val="sr-Latn-ME"/>
              </w:rPr>
            </w:pPr>
            <w:r w:rsidRPr="00314858">
              <w:rPr>
                <w:rFonts w:ascii="Times New Roman" w:hAnsi="Times New Roman" w:cs="Times New Roman"/>
                <w:lang w:val="sr-Latn-ME"/>
              </w:rPr>
              <w:t>Krvarenje</w:t>
            </w:r>
            <w:r w:rsidR="00D67D34" w:rsidRPr="00314858">
              <w:rPr>
                <w:rFonts w:ascii="Times New Roman" w:hAnsi="Times New Roman" w:cs="Times New Roman"/>
                <w:lang w:val="sr-Latn-ME"/>
              </w:rPr>
              <w:t xml:space="preserve"> na m</w:t>
            </w:r>
            <w:r w:rsidR="00802306" w:rsidRPr="00314858">
              <w:rPr>
                <w:rFonts w:ascii="Times New Roman" w:hAnsi="Times New Roman" w:cs="Times New Roman"/>
                <w:lang w:val="sr-Latn-ME"/>
              </w:rPr>
              <w:t>j</w:t>
            </w:r>
            <w:r w:rsidR="00D67D34" w:rsidRPr="00314858">
              <w:rPr>
                <w:rFonts w:ascii="Times New Roman" w:hAnsi="Times New Roman" w:cs="Times New Roman"/>
                <w:lang w:val="sr-Latn-ME"/>
              </w:rPr>
              <w:t>estu incizije</w:t>
            </w:r>
          </w:p>
        </w:tc>
        <w:tc>
          <w:tcPr>
            <w:tcW w:w="3353" w:type="pct"/>
          </w:tcPr>
          <w:p w14:paraId="5D8CE3EC" w14:textId="009A4CA2" w:rsidR="00D67D34" w:rsidRPr="00314858" w:rsidRDefault="00EC684B" w:rsidP="00B85E79">
            <w:pPr>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nepoznat</w:t>
            </w:r>
            <w:r w:rsidR="00B85E79" w:rsidRPr="00314858">
              <w:rPr>
                <w:rFonts w:ascii="Times New Roman" w:hAnsi="Times New Roman" w:cs="Times New Roman"/>
                <w:lang w:val="sr-Latn-ME"/>
              </w:rPr>
              <w:t>o</w:t>
            </w:r>
          </w:p>
        </w:tc>
      </w:tr>
    </w:tbl>
    <w:p w14:paraId="5A89B342" w14:textId="77777777" w:rsidR="00D67D34" w:rsidRPr="00314858" w:rsidRDefault="00D67D34" w:rsidP="00D67D34">
      <w:pPr>
        <w:spacing w:after="0" w:line="240" w:lineRule="auto"/>
        <w:jc w:val="both"/>
        <w:rPr>
          <w:rFonts w:ascii="Times New Roman" w:hAnsi="Times New Roman" w:cs="Times New Roman"/>
          <w:lang w:val="sr-Latn-ME" w:bidi="en-US"/>
        </w:rPr>
      </w:pPr>
    </w:p>
    <w:p w14:paraId="7E0A501D" w14:textId="6CB06969" w:rsidR="00F5483F" w:rsidRPr="00314858" w:rsidRDefault="00D67D34" w:rsidP="00D67D34">
      <w:pPr>
        <w:spacing w:after="0" w:line="240" w:lineRule="auto"/>
        <w:jc w:val="both"/>
        <w:rPr>
          <w:rFonts w:ascii="Times New Roman" w:hAnsi="Times New Roman" w:cs="Times New Roman"/>
          <w:i/>
          <w:iCs/>
          <w:u w:val="single"/>
          <w:lang w:val="sr-Latn-ME" w:bidi="en-US"/>
        </w:rPr>
      </w:pPr>
      <w:r w:rsidRPr="00314858">
        <w:rPr>
          <w:rFonts w:ascii="Times New Roman" w:hAnsi="Times New Roman" w:cs="Times New Roman"/>
          <w:i/>
          <w:iCs/>
          <w:u w:val="single"/>
          <w:lang w:val="sr-Latn-ME" w:bidi="en-US"/>
        </w:rPr>
        <w:t>Reakcije krvarenja</w:t>
      </w:r>
    </w:p>
    <w:p w14:paraId="6EFDB8DF" w14:textId="77777777" w:rsidR="004064FE" w:rsidRPr="00314858" w:rsidRDefault="004064FE" w:rsidP="00D67D34">
      <w:pPr>
        <w:spacing w:after="0" w:line="240" w:lineRule="auto"/>
        <w:jc w:val="both"/>
        <w:rPr>
          <w:rFonts w:ascii="Times New Roman" w:hAnsi="Times New Roman" w:cs="Times New Roman"/>
          <w:lang w:val="sr-Latn-ME" w:bidi="en-US"/>
        </w:rPr>
      </w:pPr>
    </w:p>
    <w:p w14:paraId="237E6106" w14:textId="1ED2D645"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 xml:space="preserve">U dva ispitivanja faze III </w:t>
      </w:r>
      <w:r w:rsidR="004064FE" w:rsidRPr="00314858">
        <w:rPr>
          <w:rFonts w:ascii="Times New Roman" w:hAnsi="Times New Roman" w:cs="Times New Roman"/>
          <w:lang w:val="sr-Latn-ME" w:bidi="en-US"/>
        </w:rPr>
        <w:t>za</w:t>
      </w:r>
      <w:r w:rsidRPr="00314858">
        <w:rPr>
          <w:rFonts w:ascii="Times New Roman" w:hAnsi="Times New Roman" w:cs="Times New Roman"/>
          <w:lang w:val="sr-Latn-ME" w:bidi="en-US"/>
        </w:rPr>
        <w:t xml:space="preserve"> indikacij</w:t>
      </w:r>
      <w:r w:rsidR="004064FE" w:rsidRPr="00314858">
        <w:rPr>
          <w:rFonts w:ascii="Times New Roman" w:hAnsi="Times New Roman" w:cs="Times New Roman"/>
          <w:lang w:val="sr-Latn-ME" w:bidi="en-US"/>
        </w:rPr>
        <w:t>u</w:t>
      </w:r>
      <w:r w:rsidRPr="00314858">
        <w:rPr>
          <w:rFonts w:ascii="Times New Roman" w:hAnsi="Times New Roman" w:cs="Times New Roman"/>
          <w:lang w:val="sr-Latn-ME" w:bidi="en-US"/>
        </w:rPr>
        <w:t xml:space="preserve"> terapije VTE i prevencije rekurentne VTE kod pedijatrijskih</w:t>
      </w:r>
      <w:r w:rsidR="00ED227D"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pacijenata, ukupno 7 pacijenata (2</w:t>
      </w:r>
      <w:r w:rsidR="00F5483F" w:rsidRPr="00314858">
        <w:rPr>
          <w:rFonts w:ascii="Times New Roman" w:hAnsi="Times New Roman" w:cs="Times New Roman"/>
          <w:lang w:val="sr-Latn-ME" w:bidi="en-US"/>
        </w:rPr>
        <w:t>,</w:t>
      </w:r>
      <w:r w:rsidRPr="00314858">
        <w:rPr>
          <w:rFonts w:ascii="Times New Roman" w:hAnsi="Times New Roman" w:cs="Times New Roman"/>
          <w:lang w:val="sr-Latn-ME" w:bidi="en-US"/>
        </w:rPr>
        <w:t xml:space="preserve">1%) je imalo događaj </w:t>
      </w:r>
      <w:r w:rsidR="004064FE" w:rsidRPr="00314858">
        <w:rPr>
          <w:rFonts w:ascii="Times New Roman" w:hAnsi="Times New Roman" w:cs="Times New Roman"/>
          <w:lang w:val="sr-Latn-ME" w:bidi="en-US"/>
        </w:rPr>
        <w:t>obilnijeg</w:t>
      </w:r>
      <w:r w:rsidRPr="00314858">
        <w:rPr>
          <w:rFonts w:ascii="Times New Roman" w:hAnsi="Times New Roman" w:cs="Times New Roman"/>
          <w:lang w:val="sr-Latn-ME" w:bidi="en-US"/>
        </w:rPr>
        <w:t xml:space="preserve"> krvarenja, 5 pacijenata (1</w:t>
      </w:r>
      <w:r w:rsidR="00F5483F" w:rsidRPr="00314858">
        <w:rPr>
          <w:rFonts w:ascii="Times New Roman" w:hAnsi="Times New Roman" w:cs="Times New Roman"/>
          <w:lang w:val="sr-Latn-ME" w:bidi="en-US"/>
        </w:rPr>
        <w:t>,</w:t>
      </w:r>
      <w:r w:rsidRPr="00314858">
        <w:rPr>
          <w:rFonts w:ascii="Times New Roman" w:hAnsi="Times New Roman" w:cs="Times New Roman"/>
          <w:lang w:val="sr-Latn-ME" w:bidi="en-US"/>
        </w:rPr>
        <w:t xml:space="preserve">5%) </w:t>
      </w:r>
      <w:r w:rsidR="00E66FFA" w:rsidRPr="00314858">
        <w:rPr>
          <w:rFonts w:ascii="Times New Roman" w:hAnsi="Times New Roman" w:cs="Times New Roman"/>
          <w:lang w:val="sr-Latn-ME" w:bidi="en-US"/>
        </w:rPr>
        <w:t xml:space="preserve">je imalo događaj </w:t>
      </w:r>
      <w:r w:rsidRPr="00314858">
        <w:rPr>
          <w:rFonts w:ascii="Times New Roman" w:hAnsi="Times New Roman" w:cs="Times New Roman"/>
          <w:lang w:val="sr-Latn-ME" w:bidi="en-US"/>
        </w:rPr>
        <w:t xml:space="preserve">klinički </w:t>
      </w:r>
      <w:r w:rsidR="004064FE" w:rsidRPr="00314858">
        <w:rPr>
          <w:rFonts w:ascii="Times New Roman" w:hAnsi="Times New Roman" w:cs="Times New Roman"/>
          <w:lang w:val="sr-Latn-ME" w:bidi="en-US"/>
        </w:rPr>
        <w:t>značajnog</w:t>
      </w:r>
      <w:r w:rsidRPr="00314858">
        <w:rPr>
          <w:rFonts w:ascii="Times New Roman" w:hAnsi="Times New Roman" w:cs="Times New Roman"/>
          <w:lang w:val="sr-Latn-ME" w:bidi="en-US"/>
        </w:rPr>
        <w:t xml:space="preserve"> krvarenj</w:t>
      </w:r>
      <w:r w:rsidR="004064FE" w:rsidRPr="00314858">
        <w:rPr>
          <w:rFonts w:ascii="Times New Roman" w:hAnsi="Times New Roman" w:cs="Times New Roman"/>
          <w:lang w:val="sr-Latn-ME" w:bidi="en-US"/>
        </w:rPr>
        <w:t>a koje nije obilno</w:t>
      </w:r>
      <w:r w:rsidRPr="00314858">
        <w:rPr>
          <w:rFonts w:ascii="Times New Roman" w:hAnsi="Times New Roman" w:cs="Times New Roman"/>
          <w:lang w:val="sr-Latn-ME" w:bidi="en-US"/>
        </w:rPr>
        <w:t xml:space="preserve"> i 75 pacijenata (22</w:t>
      </w:r>
      <w:r w:rsidR="00F5483F" w:rsidRPr="00314858">
        <w:rPr>
          <w:rFonts w:ascii="Times New Roman" w:hAnsi="Times New Roman" w:cs="Times New Roman"/>
          <w:lang w:val="sr-Latn-ME" w:bidi="en-US"/>
        </w:rPr>
        <w:t>,</w:t>
      </w:r>
      <w:r w:rsidRPr="00314858">
        <w:rPr>
          <w:rFonts w:ascii="Times New Roman" w:hAnsi="Times New Roman" w:cs="Times New Roman"/>
          <w:lang w:val="sr-Latn-ME" w:bidi="en-US"/>
        </w:rPr>
        <w:t xml:space="preserve">9%) </w:t>
      </w:r>
      <w:r w:rsidR="004064FE" w:rsidRPr="00314858">
        <w:rPr>
          <w:rFonts w:ascii="Times New Roman" w:hAnsi="Times New Roman" w:cs="Times New Roman"/>
          <w:lang w:val="sr-Latn-ME" w:bidi="en-US"/>
        </w:rPr>
        <w:t xml:space="preserve">je imalo </w:t>
      </w:r>
      <w:r w:rsidRPr="00314858">
        <w:rPr>
          <w:rFonts w:ascii="Times New Roman" w:hAnsi="Times New Roman" w:cs="Times New Roman"/>
          <w:lang w:val="sr-Latn-ME" w:bidi="en-US"/>
        </w:rPr>
        <w:t>događaj</w:t>
      </w:r>
      <w:r w:rsidR="00E66FFA" w:rsidRPr="00314858">
        <w:rPr>
          <w:rFonts w:ascii="Times New Roman" w:hAnsi="Times New Roman" w:cs="Times New Roman"/>
          <w:lang w:val="sr-Latn-ME" w:bidi="en-US"/>
        </w:rPr>
        <w:t xml:space="preserve"> </w:t>
      </w:r>
      <w:r w:rsidR="004064FE" w:rsidRPr="00314858">
        <w:rPr>
          <w:rFonts w:ascii="Times New Roman" w:hAnsi="Times New Roman" w:cs="Times New Roman"/>
          <w:lang w:val="sr-Latn-ME" w:bidi="en-US"/>
        </w:rPr>
        <w:t>manjeg</w:t>
      </w:r>
      <w:r w:rsidRPr="00314858">
        <w:rPr>
          <w:rFonts w:ascii="Times New Roman" w:hAnsi="Times New Roman" w:cs="Times New Roman"/>
          <w:lang w:val="sr-Latn-ME" w:bidi="en-US"/>
        </w:rPr>
        <w:t xml:space="preserve"> krvarenja. Učestalost događaja krvarenja je sveukupno bila veća u najstarijoj </w:t>
      </w:r>
      <w:r w:rsidR="004064FE" w:rsidRPr="00314858">
        <w:rPr>
          <w:rFonts w:ascii="Times New Roman" w:hAnsi="Times New Roman" w:cs="Times New Roman"/>
          <w:lang w:val="sr-Latn-ME" w:bidi="en-US"/>
        </w:rPr>
        <w:t>uzrasnoj</w:t>
      </w:r>
      <w:r w:rsidRPr="00314858">
        <w:rPr>
          <w:rFonts w:ascii="Times New Roman" w:hAnsi="Times New Roman" w:cs="Times New Roman"/>
          <w:lang w:val="sr-Latn-ME" w:bidi="en-US"/>
        </w:rPr>
        <w:t xml:space="preserve"> grupi (12 do &lt;</w:t>
      </w:r>
      <w:r w:rsidR="00B85E79"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18 godina: 28</w:t>
      </w:r>
      <w:r w:rsidR="00F5483F" w:rsidRPr="00314858">
        <w:rPr>
          <w:rFonts w:ascii="Times New Roman" w:hAnsi="Times New Roman" w:cs="Times New Roman"/>
          <w:lang w:val="sr-Latn-ME" w:bidi="en-US"/>
        </w:rPr>
        <w:t>,</w:t>
      </w:r>
      <w:r w:rsidRPr="00314858">
        <w:rPr>
          <w:rFonts w:ascii="Times New Roman" w:hAnsi="Times New Roman" w:cs="Times New Roman"/>
          <w:lang w:val="sr-Latn-ME" w:bidi="en-US"/>
        </w:rPr>
        <w:t>6%) nego u mlađ</w:t>
      </w:r>
      <w:r w:rsidR="00E66FFA" w:rsidRPr="00314858">
        <w:rPr>
          <w:rFonts w:ascii="Times New Roman" w:hAnsi="Times New Roman" w:cs="Times New Roman"/>
          <w:lang w:val="sr-Latn-ME" w:bidi="en-US"/>
        </w:rPr>
        <w:t>im</w:t>
      </w:r>
      <w:r w:rsidRPr="00314858">
        <w:rPr>
          <w:rFonts w:ascii="Times New Roman" w:hAnsi="Times New Roman" w:cs="Times New Roman"/>
          <w:lang w:val="sr-Latn-ME" w:bidi="en-US"/>
        </w:rPr>
        <w:t xml:space="preserve"> </w:t>
      </w:r>
      <w:r w:rsidR="004064FE" w:rsidRPr="00314858">
        <w:rPr>
          <w:rFonts w:ascii="Times New Roman" w:hAnsi="Times New Roman" w:cs="Times New Roman"/>
          <w:lang w:val="sr-Latn-ME" w:bidi="en-US"/>
        </w:rPr>
        <w:t>uzrasnim</w:t>
      </w:r>
      <w:r w:rsidRPr="00314858">
        <w:rPr>
          <w:rFonts w:ascii="Times New Roman" w:hAnsi="Times New Roman" w:cs="Times New Roman"/>
          <w:lang w:val="sr-Latn-ME" w:bidi="en-US"/>
        </w:rPr>
        <w:t xml:space="preserve"> grup</w:t>
      </w:r>
      <w:r w:rsidR="00E66FFA" w:rsidRPr="00314858">
        <w:rPr>
          <w:rFonts w:ascii="Times New Roman" w:hAnsi="Times New Roman" w:cs="Times New Roman"/>
          <w:lang w:val="sr-Latn-ME" w:bidi="en-US"/>
        </w:rPr>
        <w:t>ama</w:t>
      </w:r>
      <w:r w:rsidRPr="00314858">
        <w:rPr>
          <w:rFonts w:ascii="Times New Roman" w:hAnsi="Times New Roman" w:cs="Times New Roman"/>
          <w:lang w:val="sr-Latn-ME" w:bidi="en-US"/>
        </w:rPr>
        <w:t xml:space="preserve"> (od rođenja do &lt;</w:t>
      </w:r>
      <w:r w:rsidR="00B85E79"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2 godine: 23</w:t>
      </w:r>
      <w:r w:rsidR="00F5483F" w:rsidRPr="00314858">
        <w:rPr>
          <w:rFonts w:ascii="Times New Roman" w:hAnsi="Times New Roman" w:cs="Times New Roman"/>
          <w:lang w:val="sr-Latn-ME" w:bidi="en-US"/>
        </w:rPr>
        <w:t>,</w:t>
      </w:r>
      <w:r w:rsidRPr="00314858">
        <w:rPr>
          <w:rFonts w:ascii="Times New Roman" w:hAnsi="Times New Roman" w:cs="Times New Roman"/>
          <w:lang w:val="sr-Latn-ME" w:bidi="en-US"/>
        </w:rPr>
        <w:t>3%; 2 do &lt;</w:t>
      </w:r>
      <w:r w:rsidR="00B85E79"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12 godina: 16</w:t>
      </w:r>
      <w:r w:rsidR="00F5483F" w:rsidRPr="00314858">
        <w:rPr>
          <w:rFonts w:ascii="Times New Roman" w:hAnsi="Times New Roman" w:cs="Times New Roman"/>
          <w:lang w:val="sr-Latn-ME" w:bidi="en-US"/>
        </w:rPr>
        <w:t>,</w:t>
      </w:r>
      <w:r w:rsidRPr="00314858">
        <w:rPr>
          <w:rFonts w:ascii="Times New Roman" w:hAnsi="Times New Roman" w:cs="Times New Roman"/>
          <w:lang w:val="sr-Latn-ME" w:bidi="en-US"/>
        </w:rPr>
        <w:t xml:space="preserve">2%). </w:t>
      </w:r>
      <w:r w:rsidR="004064FE" w:rsidRPr="00314858">
        <w:rPr>
          <w:rFonts w:ascii="Times New Roman" w:hAnsi="Times New Roman" w:cs="Times New Roman"/>
          <w:lang w:val="sr-Latn-ME" w:bidi="en-US"/>
        </w:rPr>
        <w:t>Obilnije</w:t>
      </w:r>
      <w:r w:rsidRPr="00314858">
        <w:rPr>
          <w:rFonts w:ascii="Times New Roman" w:hAnsi="Times New Roman" w:cs="Times New Roman"/>
          <w:lang w:val="sr-Latn-ME" w:bidi="en-US"/>
        </w:rPr>
        <w:t xml:space="preserve"> ili teško krvarenje, bez obzira na lokalizaciju, može dovesti do onesposobljavajućih, opasnih po život ili čak do </w:t>
      </w:r>
      <w:r w:rsidR="004064FE" w:rsidRPr="00314858">
        <w:rPr>
          <w:rFonts w:ascii="Times New Roman" w:hAnsi="Times New Roman" w:cs="Times New Roman"/>
          <w:lang w:val="sr-Latn-ME" w:bidi="en-US"/>
        </w:rPr>
        <w:t>smrtnih</w:t>
      </w:r>
      <w:r w:rsidRPr="00314858">
        <w:rPr>
          <w:rFonts w:ascii="Times New Roman" w:hAnsi="Times New Roman" w:cs="Times New Roman"/>
          <w:lang w:val="sr-Latn-ME" w:bidi="en-US"/>
        </w:rPr>
        <w:t xml:space="preserve"> ishoda.</w:t>
      </w:r>
    </w:p>
    <w:p w14:paraId="425CEFD5" w14:textId="77777777" w:rsidR="00D67D34" w:rsidRPr="00314858" w:rsidRDefault="00D67D34" w:rsidP="00D67D34">
      <w:pPr>
        <w:spacing w:after="0" w:line="240" w:lineRule="auto"/>
        <w:jc w:val="both"/>
        <w:rPr>
          <w:rFonts w:ascii="Times New Roman" w:hAnsi="Times New Roman" w:cs="Times New Roman"/>
          <w:u w:val="single"/>
          <w:lang w:val="sr-Latn-ME" w:bidi="en-US"/>
        </w:rPr>
      </w:pPr>
    </w:p>
    <w:p w14:paraId="02699141" w14:textId="09E2928A"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 xml:space="preserve">Prijavljivanje </w:t>
      </w:r>
      <w:r w:rsidR="00802306" w:rsidRPr="00314858">
        <w:rPr>
          <w:rFonts w:ascii="Times New Roman" w:hAnsi="Times New Roman" w:cs="Times New Roman"/>
          <w:u w:val="single"/>
          <w:lang w:val="sr-Latn-ME"/>
        </w:rPr>
        <w:t>sumn</w:t>
      </w:r>
      <w:r w:rsidR="004257ED" w:rsidRPr="00314858">
        <w:rPr>
          <w:rFonts w:ascii="Times New Roman" w:hAnsi="Times New Roman" w:cs="Times New Roman"/>
          <w:u w:val="single"/>
          <w:lang w:val="sr-Latn-ME"/>
        </w:rPr>
        <w:t>j</w:t>
      </w:r>
      <w:r w:rsidR="00802306" w:rsidRPr="00314858">
        <w:rPr>
          <w:rFonts w:ascii="Times New Roman" w:hAnsi="Times New Roman" w:cs="Times New Roman"/>
          <w:u w:val="single"/>
          <w:lang w:val="sr-Latn-ME"/>
        </w:rPr>
        <w:t xml:space="preserve">i na </w:t>
      </w:r>
      <w:r w:rsidRPr="00314858">
        <w:rPr>
          <w:rFonts w:ascii="Times New Roman" w:hAnsi="Times New Roman" w:cs="Times New Roman"/>
          <w:u w:val="single"/>
          <w:lang w:val="sr-Latn-ME"/>
        </w:rPr>
        <w:t>neželjen</w:t>
      </w:r>
      <w:r w:rsidR="00802306" w:rsidRPr="00314858">
        <w:rPr>
          <w:rFonts w:ascii="Times New Roman" w:hAnsi="Times New Roman" w:cs="Times New Roman"/>
          <w:u w:val="single"/>
          <w:lang w:val="sr-Latn-ME"/>
        </w:rPr>
        <w:t>a dejstva</w:t>
      </w:r>
    </w:p>
    <w:p w14:paraId="1878E9F4" w14:textId="77777777" w:rsidR="00F5483F" w:rsidRPr="00314858" w:rsidRDefault="00F5483F" w:rsidP="00D67D34">
      <w:pPr>
        <w:spacing w:after="0" w:line="240" w:lineRule="auto"/>
        <w:jc w:val="both"/>
        <w:rPr>
          <w:rFonts w:ascii="Times New Roman" w:hAnsi="Times New Roman" w:cs="Times New Roman"/>
          <w:u w:val="single"/>
          <w:lang w:val="sr-Latn-ME"/>
        </w:rPr>
      </w:pPr>
    </w:p>
    <w:p w14:paraId="02C6D3AF" w14:textId="77777777" w:rsidR="00802306" w:rsidRPr="00314858" w:rsidRDefault="00802306" w:rsidP="00802306">
      <w:pPr>
        <w:spacing w:after="200"/>
        <w:jc w:val="both"/>
        <w:rPr>
          <w:rFonts w:ascii="Times New Roman" w:eastAsia="Calibri" w:hAnsi="Times New Roman" w:cs="Times New Roman"/>
          <w:lang w:val="sr-Latn-ME"/>
        </w:rPr>
      </w:pPr>
      <w:r w:rsidRPr="00314858">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0B38644" w14:textId="77777777" w:rsidR="00802306" w:rsidRPr="00314858" w:rsidRDefault="00802306" w:rsidP="00802306">
      <w:pPr>
        <w:pStyle w:val="NoSpacing"/>
        <w:jc w:val="both"/>
        <w:rPr>
          <w:rFonts w:eastAsia="Calibri"/>
          <w:sz w:val="22"/>
          <w:szCs w:val="22"/>
          <w:lang w:val="sr-Latn-ME"/>
        </w:rPr>
      </w:pPr>
      <w:r w:rsidRPr="00314858">
        <w:rPr>
          <w:rFonts w:eastAsia="Calibri"/>
          <w:sz w:val="22"/>
          <w:szCs w:val="22"/>
          <w:lang w:val="sr-Latn-ME"/>
        </w:rPr>
        <w:t xml:space="preserve">Institut za ljekove i medicinska sredstva </w:t>
      </w:r>
    </w:p>
    <w:p w14:paraId="2232A032" w14:textId="77777777" w:rsidR="00802306" w:rsidRPr="00314858" w:rsidRDefault="00802306" w:rsidP="00802306">
      <w:pPr>
        <w:pStyle w:val="NoSpacing"/>
        <w:jc w:val="both"/>
        <w:rPr>
          <w:rFonts w:eastAsia="Calibri"/>
          <w:sz w:val="22"/>
          <w:szCs w:val="22"/>
          <w:lang w:val="sr-Latn-ME"/>
        </w:rPr>
      </w:pPr>
      <w:r w:rsidRPr="00314858">
        <w:rPr>
          <w:rFonts w:eastAsia="Calibri"/>
          <w:sz w:val="22"/>
          <w:szCs w:val="22"/>
          <w:lang w:val="sr-Latn-ME"/>
        </w:rPr>
        <w:t>Odjeljenje za farmakovigilancu</w:t>
      </w:r>
    </w:p>
    <w:p w14:paraId="0B385F35" w14:textId="77777777" w:rsidR="00802306" w:rsidRPr="00314858" w:rsidRDefault="00802306" w:rsidP="00802306">
      <w:pPr>
        <w:pStyle w:val="NoSpacing"/>
        <w:jc w:val="both"/>
        <w:rPr>
          <w:rFonts w:eastAsia="Calibri"/>
          <w:sz w:val="22"/>
          <w:szCs w:val="22"/>
          <w:lang w:val="sr-Latn-ME"/>
        </w:rPr>
      </w:pPr>
      <w:r w:rsidRPr="00314858">
        <w:rPr>
          <w:rFonts w:eastAsia="Calibri"/>
          <w:sz w:val="22"/>
          <w:szCs w:val="22"/>
          <w:lang w:val="sr-Latn-ME"/>
        </w:rPr>
        <w:t>Bulevar Ivana Crnojevića 64a, 81000 Podgorica</w:t>
      </w:r>
    </w:p>
    <w:p w14:paraId="0CA91AD8" w14:textId="77777777" w:rsidR="00802306" w:rsidRPr="00314858" w:rsidRDefault="00802306" w:rsidP="00802306">
      <w:pPr>
        <w:pStyle w:val="NoSpacing"/>
        <w:rPr>
          <w:rFonts w:eastAsia="Calibri"/>
          <w:sz w:val="22"/>
          <w:szCs w:val="22"/>
          <w:lang w:val="sr-Latn-ME"/>
        </w:rPr>
      </w:pPr>
    </w:p>
    <w:p w14:paraId="4E7798D9" w14:textId="77777777" w:rsidR="00802306" w:rsidRPr="00314858" w:rsidRDefault="00802306" w:rsidP="00802306">
      <w:pPr>
        <w:pStyle w:val="NoSpacing"/>
        <w:jc w:val="both"/>
        <w:rPr>
          <w:rFonts w:eastAsia="Calibri"/>
          <w:sz w:val="22"/>
          <w:szCs w:val="22"/>
          <w:lang w:val="sr-Latn-ME"/>
        </w:rPr>
      </w:pPr>
      <w:r w:rsidRPr="00314858">
        <w:rPr>
          <w:rFonts w:eastAsia="Calibri"/>
          <w:sz w:val="22"/>
          <w:szCs w:val="22"/>
          <w:lang w:val="sr-Latn-ME"/>
        </w:rPr>
        <w:t>tel: +382 (0) 20 310 280</w:t>
      </w:r>
    </w:p>
    <w:p w14:paraId="5D2FA881" w14:textId="77777777" w:rsidR="00802306" w:rsidRPr="00314858" w:rsidRDefault="00802306" w:rsidP="00802306">
      <w:pPr>
        <w:pStyle w:val="NoSpacing"/>
        <w:tabs>
          <w:tab w:val="left" w:pos="6720"/>
        </w:tabs>
        <w:jc w:val="both"/>
        <w:rPr>
          <w:rFonts w:eastAsia="Calibri"/>
          <w:sz w:val="22"/>
          <w:szCs w:val="22"/>
          <w:lang w:val="sr-Latn-ME"/>
        </w:rPr>
      </w:pPr>
      <w:r w:rsidRPr="00314858">
        <w:rPr>
          <w:rFonts w:eastAsia="Calibri"/>
          <w:sz w:val="22"/>
          <w:szCs w:val="22"/>
          <w:lang w:val="sr-Latn-ME"/>
        </w:rPr>
        <w:t>fax: +382 (0) 20 310 581</w:t>
      </w:r>
      <w:r w:rsidRPr="00314858">
        <w:rPr>
          <w:rFonts w:eastAsia="Calibri"/>
          <w:sz w:val="22"/>
          <w:szCs w:val="22"/>
          <w:lang w:val="sr-Latn-ME"/>
        </w:rPr>
        <w:tab/>
      </w:r>
    </w:p>
    <w:p w14:paraId="08603761" w14:textId="77777777" w:rsidR="00802306" w:rsidRPr="00314858" w:rsidRDefault="008C3309" w:rsidP="00802306">
      <w:pPr>
        <w:pStyle w:val="NoSpacing"/>
        <w:jc w:val="both"/>
        <w:rPr>
          <w:rFonts w:eastAsia="Calibri"/>
          <w:sz w:val="22"/>
          <w:szCs w:val="22"/>
          <w:lang w:val="sr-Latn-ME"/>
        </w:rPr>
      </w:pPr>
      <w:hyperlink r:id="rId7" w:history="1">
        <w:r w:rsidR="00802306" w:rsidRPr="00314858">
          <w:rPr>
            <w:rStyle w:val="Hyperlink"/>
            <w:rFonts w:eastAsia="Calibri"/>
            <w:sz w:val="22"/>
            <w:szCs w:val="22"/>
            <w:lang w:val="sr-Latn-ME"/>
          </w:rPr>
          <w:t>www.cinmed.me</w:t>
        </w:r>
      </w:hyperlink>
    </w:p>
    <w:p w14:paraId="6E3947E5" w14:textId="77777777" w:rsidR="00802306" w:rsidRPr="00314858" w:rsidRDefault="008C3309" w:rsidP="00802306">
      <w:pPr>
        <w:pStyle w:val="NoSpacing"/>
        <w:jc w:val="both"/>
        <w:rPr>
          <w:rFonts w:eastAsia="Calibri"/>
          <w:color w:val="0000FF"/>
          <w:sz w:val="22"/>
          <w:szCs w:val="22"/>
          <w:u w:val="single"/>
          <w:lang w:val="sr-Latn-ME"/>
        </w:rPr>
      </w:pPr>
      <w:hyperlink r:id="rId8" w:history="1">
        <w:r w:rsidR="00802306" w:rsidRPr="00314858">
          <w:rPr>
            <w:rStyle w:val="Hyperlink"/>
            <w:rFonts w:eastAsia="Calibri"/>
            <w:sz w:val="22"/>
            <w:szCs w:val="22"/>
            <w:lang w:val="sr-Latn-ME"/>
          </w:rPr>
          <w:t>nezeljenadejstva@cinmed.me</w:t>
        </w:r>
      </w:hyperlink>
    </w:p>
    <w:p w14:paraId="26881D38" w14:textId="77777777" w:rsidR="00802306" w:rsidRPr="00314858" w:rsidRDefault="00802306" w:rsidP="00802306">
      <w:pPr>
        <w:pStyle w:val="NoSpacing"/>
        <w:jc w:val="both"/>
        <w:rPr>
          <w:rFonts w:eastAsia="Calibri"/>
          <w:sz w:val="22"/>
          <w:szCs w:val="22"/>
          <w:lang w:val="sr-Latn-ME"/>
        </w:rPr>
      </w:pPr>
      <w:r w:rsidRPr="00314858">
        <w:rPr>
          <w:rFonts w:eastAsia="Calibri"/>
          <w:sz w:val="22"/>
          <w:szCs w:val="22"/>
          <w:lang w:val="sr-Latn-ME"/>
        </w:rPr>
        <w:t>putem IS zdravstvene zaštite</w:t>
      </w:r>
    </w:p>
    <w:p w14:paraId="4ED5BF17" w14:textId="77777777" w:rsidR="00802306" w:rsidRPr="00314858" w:rsidRDefault="00802306" w:rsidP="00802306">
      <w:pPr>
        <w:pStyle w:val="NoSpacing"/>
        <w:jc w:val="both"/>
        <w:rPr>
          <w:rFonts w:eastAsia="Calibri"/>
          <w:sz w:val="22"/>
          <w:szCs w:val="22"/>
          <w:lang w:val="sr-Latn-ME"/>
        </w:rPr>
      </w:pPr>
      <w:r w:rsidRPr="00314858">
        <w:rPr>
          <w:rFonts w:eastAsia="Calibri"/>
          <w:sz w:val="22"/>
          <w:szCs w:val="22"/>
          <w:lang w:val="sr-Latn-ME"/>
        </w:rPr>
        <w:t>QR kod za online prijavu sumnje na neželjeno dejstvo lijeka:</w:t>
      </w:r>
    </w:p>
    <w:p w14:paraId="7910B5B6" w14:textId="77777777" w:rsidR="00802306" w:rsidRPr="00314858" w:rsidRDefault="00802306" w:rsidP="00802306">
      <w:pPr>
        <w:pStyle w:val="NoSpacing"/>
        <w:jc w:val="both"/>
        <w:rPr>
          <w:rFonts w:eastAsia="Calibri"/>
          <w:sz w:val="22"/>
          <w:szCs w:val="22"/>
          <w:lang w:val="sr-Latn-ME"/>
        </w:rPr>
      </w:pPr>
    </w:p>
    <w:p w14:paraId="38B6F7F5" w14:textId="3A7A83D2" w:rsidR="00B85E79" w:rsidRPr="00314858" w:rsidRDefault="00802306" w:rsidP="00802306">
      <w:pPr>
        <w:pStyle w:val="NoSpacing"/>
        <w:rPr>
          <w:rFonts w:eastAsia="Calibri"/>
          <w:sz w:val="22"/>
          <w:szCs w:val="22"/>
          <w:lang w:val="sr-Latn-ME"/>
        </w:rPr>
      </w:pPr>
      <w:r w:rsidRPr="00314858">
        <w:rPr>
          <w:noProof/>
          <w:sz w:val="22"/>
          <w:szCs w:val="22"/>
          <w:lang w:val="sr-Latn-ME" w:eastAsia="sr-Latn-ME"/>
        </w:rPr>
        <w:drawing>
          <wp:inline distT="0" distB="0" distL="0" distR="0" wp14:anchorId="1987D917" wp14:editId="0BA00F84">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F8201B1" w14:textId="77777777" w:rsidR="00802306" w:rsidRPr="00314858" w:rsidRDefault="00802306" w:rsidP="00BA378B">
      <w:pPr>
        <w:pStyle w:val="NoSpacing"/>
        <w:rPr>
          <w:sz w:val="22"/>
          <w:szCs w:val="22"/>
          <w:lang w:val="sr-Latn-ME"/>
        </w:rPr>
      </w:pPr>
    </w:p>
    <w:p w14:paraId="376044DF" w14:textId="740EC32D"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4.9. </w:t>
      </w:r>
      <w:r w:rsidR="00D67D34" w:rsidRPr="00314858">
        <w:rPr>
          <w:rFonts w:ascii="Times New Roman" w:hAnsi="Times New Roman" w:cs="Times New Roman"/>
          <w:b/>
          <w:bCs/>
          <w:lang w:val="sr-Latn-ME" w:bidi="en-US"/>
        </w:rPr>
        <w:t>Predoziranje</w:t>
      </w:r>
    </w:p>
    <w:p w14:paraId="033F007F" w14:textId="77777777" w:rsidR="00D67D34" w:rsidRPr="00314858" w:rsidRDefault="00D67D34" w:rsidP="00D67D34">
      <w:pPr>
        <w:spacing w:after="0" w:line="240" w:lineRule="auto"/>
        <w:jc w:val="both"/>
        <w:rPr>
          <w:rFonts w:ascii="Times New Roman" w:hAnsi="Times New Roman" w:cs="Times New Roman"/>
          <w:lang w:val="sr-Latn-ME" w:bidi="en-US"/>
        </w:rPr>
      </w:pPr>
    </w:p>
    <w:p w14:paraId="2302C7AE" w14:textId="091FE62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Doze dabigatraneteksilata koje pre</w:t>
      </w:r>
      <w:r w:rsidR="00B85E79" w:rsidRPr="00314858">
        <w:rPr>
          <w:rFonts w:ascii="Times New Roman" w:hAnsi="Times New Roman" w:cs="Times New Roman"/>
          <w:lang w:val="sr-Latn-ME"/>
        </w:rPr>
        <w:t>vazilaze</w:t>
      </w:r>
      <w:r w:rsidRPr="00314858">
        <w:rPr>
          <w:rFonts w:ascii="Times New Roman" w:hAnsi="Times New Roman" w:cs="Times New Roman"/>
          <w:lang w:val="sr-Latn-ME"/>
        </w:rPr>
        <w:t xml:space="preserve"> preporučene doze izlažu pacijenta povećanom riziku od krvarenja. </w:t>
      </w:r>
    </w:p>
    <w:p w14:paraId="5759B3CD" w14:textId="77777777" w:rsidR="00F5483F" w:rsidRPr="00314858" w:rsidRDefault="00F5483F" w:rsidP="00D67D34">
      <w:pPr>
        <w:spacing w:after="0" w:line="240" w:lineRule="auto"/>
        <w:jc w:val="both"/>
        <w:rPr>
          <w:rFonts w:ascii="Times New Roman" w:hAnsi="Times New Roman" w:cs="Times New Roman"/>
          <w:lang w:val="sr-Latn-ME"/>
        </w:rPr>
      </w:pPr>
    </w:p>
    <w:p w14:paraId="50F8F806" w14:textId="6A111A1E" w:rsidR="00F5483F"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slučaju sumnje na predoziranje,</w:t>
      </w:r>
      <w:r w:rsidR="00E66FFA" w:rsidRPr="00314858">
        <w:rPr>
          <w:rFonts w:ascii="Times New Roman" w:hAnsi="Times New Roman" w:cs="Times New Roman"/>
          <w:lang w:val="sr-Latn-ME"/>
        </w:rPr>
        <w:t xml:space="preserve"> </w:t>
      </w:r>
      <w:r w:rsidRPr="00314858">
        <w:rPr>
          <w:rFonts w:ascii="Times New Roman" w:hAnsi="Times New Roman" w:cs="Times New Roman"/>
          <w:lang w:val="sr-Latn-ME"/>
        </w:rPr>
        <w:t>testovi</w:t>
      </w:r>
      <w:r w:rsidR="00E66FFA" w:rsidRPr="00314858">
        <w:rPr>
          <w:rFonts w:ascii="Times New Roman" w:hAnsi="Times New Roman" w:cs="Times New Roman"/>
          <w:lang w:val="sr-Latn-ME"/>
        </w:rPr>
        <w:t xml:space="preserve"> koagulacije</w:t>
      </w:r>
      <w:r w:rsidRPr="00314858">
        <w:rPr>
          <w:rFonts w:ascii="Times New Roman" w:hAnsi="Times New Roman" w:cs="Times New Roman"/>
          <w:lang w:val="sr-Latn-ME"/>
        </w:rPr>
        <w:t xml:space="preserve"> mogu da pomognu da se odredi rizik </w:t>
      </w:r>
      <w:r w:rsidR="00E66FFA" w:rsidRPr="00314858">
        <w:rPr>
          <w:rFonts w:ascii="Times New Roman" w:hAnsi="Times New Roman" w:cs="Times New Roman"/>
          <w:lang w:val="sr-Latn-ME"/>
        </w:rPr>
        <w:t>od</w:t>
      </w:r>
      <w:r w:rsidRPr="00314858">
        <w:rPr>
          <w:rFonts w:ascii="Times New Roman" w:hAnsi="Times New Roman" w:cs="Times New Roman"/>
          <w:lang w:val="sr-Latn-ME"/>
        </w:rPr>
        <w:t xml:space="preserve"> krvarenj</w:t>
      </w:r>
      <w:r w:rsidR="00E66FFA" w:rsidRPr="00314858">
        <w:rPr>
          <w:rFonts w:ascii="Times New Roman" w:hAnsi="Times New Roman" w:cs="Times New Roman"/>
          <w:lang w:val="sr-Latn-ME"/>
        </w:rPr>
        <w:t>a</w:t>
      </w:r>
      <w:r w:rsidRPr="00314858">
        <w:rPr>
          <w:rFonts w:ascii="Times New Roman" w:hAnsi="Times New Roman" w:cs="Times New Roman"/>
          <w:lang w:val="sr-Latn-ME"/>
        </w:rPr>
        <w:t xml:space="preserve"> (vid</w:t>
      </w:r>
      <w:r w:rsidR="00802306"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802306" w:rsidRPr="00314858">
        <w:rPr>
          <w:rFonts w:ascii="Times New Roman" w:hAnsi="Times New Roman" w:cs="Times New Roman"/>
          <w:lang w:val="sr-Latn-ME"/>
        </w:rPr>
        <w:t>djelove</w:t>
      </w:r>
      <w:r w:rsidRPr="00314858">
        <w:rPr>
          <w:rFonts w:ascii="Times New Roman" w:hAnsi="Times New Roman" w:cs="Times New Roman"/>
          <w:lang w:val="sr-Latn-ME"/>
        </w:rPr>
        <w:t xml:space="preserve"> 4.4. i 5.1). Kalibrisani kvantitativni dTT test ili </w:t>
      </w:r>
      <w:r w:rsidR="00E66FFA" w:rsidRPr="00314858">
        <w:rPr>
          <w:rFonts w:ascii="Times New Roman" w:hAnsi="Times New Roman" w:cs="Times New Roman"/>
          <w:lang w:val="sr-Latn-ME"/>
        </w:rPr>
        <w:t>ponovljena</w:t>
      </w:r>
      <w:r w:rsidRPr="00314858">
        <w:rPr>
          <w:rFonts w:ascii="Times New Roman" w:hAnsi="Times New Roman" w:cs="Times New Roman"/>
          <w:lang w:val="sr-Latn-ME"/>
        </w:rPr>
        <w:t xml:space="preserve"> dTT m</w:t>
      </w:r>
      <w:r w:rsidR="00802306" w:rsidRPr="00314858">
        <w:rPr>
          <w:rFonts w:ascii="Times New Roman" w:hAnsi="Times New Roman" w:cs="Times New Roman"/>
          <w:lang w:val="sr-Latn-ME"/>
        </w:rPr>
        <w:t>j</w:t>
      </w:r>
      <w:r w:rsidRPr="00314858">
        <w:rPr>
          <w:rFonts w:ascii="Times New Roman" w:hAnsi="Times New Roman" w:cs="Times New Roman"/>
          <w:lang w:val="sr-Latn-ME"/>
        </w:rPr>
        <w:t>erenja omogućavaju predviđanje vremena do kada će određen</w:t>
      </w:r>
      <w:r w:rsidR="00A71DAD" w:rsidRPr="00314858">
        <w:rPr>
          <w:rFonts w:ascii="Times New Roman" w:hAnsi="Times New Roman" w:cs="Times New Roman"/>
          <w:lang w:val="sr-Latn-ME"/>
        </w:rPr>
        <w:t>e koncentracije</w:t>
      </w:r>
      <w:r w:rsidRPr="00314858">
        <w:rPr>
          <w:rFonts w:ascii="Times New Roman" w:hAnsi="Times New Roman" w:cs="Times New Roman"/>
          <w:lang w:val="sr-Latn-ME"/>
        </w:rPr>
        <w:t xml:space="preserve"> dabigatrana biti postignut</w:t>
      </w:r>
      <w:r w:rsidR="00A71DAD" w:rsidRPr="00314858">
        <w:rPr>
          <w:rFonts w:ascii="Times New Roman" w:hAnsi="Times New Roman" w:cs="Times New Roman"/>
          <w:lang w:val="sr-Latn-ME"/>
        </w:rPr>
        <w:t>e</w:t>
      </w:r>
      <w:r w:rsidRPr="00314858">
        <w:rPr>
          <w:rFonts w:ascii="Times New Roman" w:hAnsi="Times New Roman" w:cs="Times New Roman"/>
          <w:lang w:val="sr-Latn-ME"/>
        </w:rPr>
        <w:t xml:space="preserve"> (vid</w:t>
      </w:r>
      <w:r w:rsidR="00802306"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802306" w:rsidRPr="00314858">
        <w:rPr>
          <w:rFonts w:ascii="Times New Roman" w:hAnsi="Times New Roman" w:cs="Times New Roman"/>
          <w:lang w:val="sr-Latn-ME"/>
        </w:rPr>
        <w:t>dio</w:t>
      </w:r>
      <w:r w:rsidRPr="00314858">
        <w:rPr>
          <w:rFonts w:ascii="Times New Roman" w:hAnsi="Times New Roman" w:cs="Times New Roman"/>
          <w:lang w:val="sr-Latn-ME"/>
        </w:rPr>
        <w:t xml:space="preserve"> 5.1), takođe u slučaju </w:t>
      </w:r>
      <w:r w:rsidR="00E66FFA" w:rsidRPr="00314858">
        <w:rPr>
          <w:rFonts w:ascii="Times New Roman" w:hAnsi="Times New Roman" w:cs="Times New Roman"/>
          <w:lang w:val="sr-Latn-ME"/>
        </w:rPr>
        <w:t>ka</w:t>
      </w:r>
      <w:r w:rsidRPr="00314858">
        <w:rPr>
          <w:rFonts w:ascii="Times New Roman" w:hAnsi="Times New Roman" w:cs="Times New Roman"/>
          <w:lang w:val="sr-Latn-ME"/>
        </w:rPr>
        <w:t>da su započete dodatne m</w:t>
      </w:r>
      <w:r w:rsidR="00802306" w:rsidRPr="00314858">
        <w:rPr>
          <w:rFonts w:ascii="Times New Roman" w:hAnsi="Times New Roman" w:cs="Times New Roman"/>
          <w:lang w:val="sr-Latn-ME"/>
        </w:rPr>
        <w:t>j</w:t>
      </w:r>
      <w:r w:rsidRPr="00314858">
        <w:rPr>
          <w:rFonts w:ascii="Times New Roman" w:hAnsi="Times New Roman" w:cs="Times New Roman"/>
          <w:lang w:val="sr-Latn-ME"/>
        </w:rPr>
        <w:t>ere npr. dijaliza.</w:t>
      </w:r>
    </w:p>
    <w:p w14:paraId="3CB312E3" w14:textId="0BF5998E" w:rsidR="00D67D34" w:rsidRPr="00314858" w:rsidRDefault="00ED227D"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 </w:t>
      </w:r>
    </w:p>
    <w:p w14:paraId="3CE8738B" w14:textId="60D60DBC"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Prekom</w:t>
      </w:r>
      <w:r w:rsidR="00802306" w:rsidRPr="00314858">
        <w:rPr>
          <w:rFonts w:ascii="Times New Roman" w:hAnsi="Times New Roman" w:cs="Times New Roman"/>
          <w:lang w:val="sr-Latn-ME"/>
        </w:rPr>
        <w:t>j</w:t>
      </w:r>
      <w:r w:rsidRPr="00314858">
        <w:rPr>
          <w:rFonts w:ascii="Times New Roman" w:hAnsi="Times New Roman" w:cs="Times New Roman"/>
          <w:lang w:val="sr-Latn-ME"/>
        </w:rPr>
        <w:t>erna inhibicija koagulacije može da zaht</w:t>
      </w:r>
      <w:r w:rsidR="00802306" w:rsidRPr="00314858">
        <w:rPr>
          <w:rFonts w:ascii="Times New Roman" w:hAnsi="Times New Roman" w:cs="Times New Roman"/>
          <w:lang w:val="sr-Latn-ME"/>
        </w:rPr>
        <w:t>ij</w:t>
      </w:r>
      <w:r w:rsidRPr="00314858">
        <w:rPr>
          <w:rFonts w:ascii="Times New Roman" w:hAnsi="Times New Roman" w:cs="Times New Roman"/>
          <w:lang w:val="sr-Latn-ME"/>
        </w:rPr>
        <w:t xml:space="preserve">eva prekid terapije dabigatraneteksilatom. S obzirom </w:t>
      </w:r>
      <w:r w:rsidR="000F09B3" w:rsidRPr="00314858">
        <w:rPr>
          <w:rFonts w:ascii="Times New Roman" w:hAnsi="Times New Roman" w:cs="Times New Roman"/>
          <w:lang w:val="sr-Latn-ME"/>
        </w:rPr>
        <w:t xml:space="preserve">na to </w:t>
      </w:r>
      <w:r w:rsidRPr="00314858">
        <w:rPr>
          <w:rFonts w:ascii="Times New Roman" w:hAnsi="Times New Roman" w:cs="Times New Roman"/>
          <w:lang w:val="sr-Latn-ME"/>
        </w:rPr>
        <w:t xml:space="preserve">da se dabigatran izlučuje uglavnom putem bubrega, mora se održavati odgovarajuća diureza. Kako je vezivanje za proteine malo, dabigatran </w:t>
      </w:r>
      <w:r w:rsidR="00E66FFA" w:rsidRPr="00314858">
        <w:rPr>
          <w:rFonts w:ascii="Times New Roman" w:hAnsi="Times New Roman" w:cs="Times New Roman"/>
          <w:lang w:val="sr-Latn-ME"/>
        </w:rPr>
        <w:t xml:space="preserve">se </w:t>
      </w:r>
      <w:r w:rsidRPr="00314858">
        <w:rPr>
          <w:rFonts w:ascii="Times New Roman" w:hAnsi="Times New Roman" w:cs="Times New Roman"/>
          <w:lang w:val="sr-Latn-ME"/>
        </w:rPr>
        <w:t>može</w:t>
      </w:r>
      <w:r w:rsidR="00E66FFA" w:rsidRPr="00314858">
        <w:rPr>
          <w:rFonts w:ascii="Times New Roman" w:hAnsi="Times New Roman" w:cs="Times New Roman"/>
          <w:lang w:val="sr-Latn-ME"/>
        </w:rPr>
        <w:t xml:space="preserve"> ukloniti </w:t>
      </w:r>
      <w:r w:rsidRPr="00314858">
        <w:rPr>
          <w:rFonts w:ascii="Times New Roman" w:hAnsi="Times New Roman" w:cs="Times New Roman"/>
          <w:lang w:val="sr-Latn-ME"/>
        </w:rPr>
        <w:t>dijaliz</w:t>
      </w:r>
      <w:r w:rsidR="00E66FFA" w:rsidRPr="00314858">
        <w:rPr>
          <w:rFonts w:ascii="Times New Roman" w:hAnsi="Times New Roman" w:cs="Times New Roman"/>
          <w:lang w:val="sr-Latn-ME"/>
        </w:rPr>
        <w:t>om</w:t>
      </w:r>
      <w:r w:rsidRPr="00314858">
        <w:rPr>
          <w:rFonts w:ascii="Times New Roman" w:hAnsi="Times New Roman" w:cs="Times New Roman"/>
          <w:lang w:val="sr-Latn-ME"/>
        </w:rPr>
        <w:t>; postoji ograničeno kliničko iskustvo koje bi pokazalo korisnost ovog pristupa u kliničkim studijama (vid</w:t>
      </w:r>
      <w:r w:rsidR="00802306"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802306" w:rsidRPr="00314858">
        <w:rPr>
          <w:rFonts w:ascii="Times New Roman" w:hAnsi="Times New Roman" w:cs="Times New Roman"/>
          <w:lang w:val="sr-Latn-ME"/>
        </w:rPr>
        <w:t>dio</w:t>
      </w:r>
      <w:r w:rsidRPr="00314858">
        <w:rPr>
          <w:rFonts w:ascii="Times New Roman" w:hAnsi="Times New Roman" w:cs="Times New Roman"/>
          <w:lang w:val="sr-Latn-ME"/>
        </w:rPr>
        <w:t xml:space="preserve"> 5.2).</w:t>
      </w:r>
    </w:p>
    <w:p w14:paraId="62479EB2" w14:textId="77777777" w:rsidR="00F5483F" w:rsidRPr="00314858" w:rsidRDefault="00F5483F" w:rsidP="00D67D34">
      <w:pPr>
        <w:spacing w:after="0" w:line="240" w:lineRule="auto"/>
        <w:jc w:val="both"/>
        <w:rPr>
          <w:rFonts w:ascii="Times New Roman" w:hAnsi="Times New Roman" w:cs="Times New Roman"/>
          <w:lang w:val="sr-Latn-ME"/>
        </w:rPr>
      </w:pPr>
    </w:p>
    <w:p w14:paraId="3CA5769C" w14:textId="70A003E1"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Zbrinjavanje komplikacija krvarenja</w:t>
      </w:r>
    </w:p>
    <w:p w14:paraId="45C1BA2F" w14:textId="77777777" w:rsidR="00F5483F" w:rsidRPr="00314858" w:rsidRDefault="00F5483F" w:rsidP="00D67D34">
      <w:pPr>
        <w:spacing w:after="0" w:line="240" w:lineRule="auto"/>
        <w:jc w:val="both"/>
        <w:rPr>
          <w:rFonts w:ascii="Times New Roman" w:hAnsi="Times New Roman" w:cs="Times New Roman"/>
          <w:u w:val="single"/>
          <w:lang w:val="sr-Latn-ME"/>
        </w:rPr>
      </w:pPr>
    </w:p>
    <w:p w14:paraId="796C211F" w14:textId="27CC794D" w:rsidR="00F5483F"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slučaju hemoragijskih komplikacija, terapija dabigatraneteksilatom mora da se prekine</w:t>
      </w:r>
      <w:r w:rsidR="009950FB" w:rsidRPr="00314858">
        <w:rPr>
          <w:rFonts w:ascii="Times New Roman" w:hAnsi="Times New Roman" w:cs="Times New Roman"/>
          <w:lang w:val="sr-Latn-ME"/>
        </w:rPr>
        <w:t>,</w:t>
      </w:r>
      <w:r w:rsidRPr="00314858">
        <w:rPr>
          <w:rFonts w:ascii="Times New Roman" w:hAnsi="Times New Roman" w:cs="Times New Roman"/>
          <w:lang w:val="sr-Latn-ME"/>
        </w:rPr>
        <w:t xml:space="preserve"> a izvor krvarenja mora da se is</w:t>
      </w:r>
      <w:r w:rsidR="00B85E79" w:rsidRPr="00314858">
        <w:rPr>
          <w:rFonts w:ascii="Times New Roman" w:hAnsi="Times New Roman" w:cs="Times New Roman"/>
          <w:lang w:val="sr-Latn-ME"/>
        </w:rPr>
        <w:t>pita</w:t>
      </w:r>
      <w:r w:rsidRPr="00314858">
        <w:rPr>
          <w:rFonts w:ascii="Times New Roman" w:hAnsi="Times New Roman" w:cs="Times New Roman"/>
          <w:lang w:val="sr-Latn-ME"/>
        </w:rPr>
        <w:t xml:space="preserve">. Zavisno od kliničke situacije, treba razmotriti uvođenje odgovarajuće </w:t>
      </w:r>
      <w:r w:rsidR="009950FB" w:rsidRPr="00314858">
        <w:rPr>
          <w:rFonts w:ascii="Times New Roman" w:hAnsi="Times New Roman" w:cs="Times New Roman"/>
          <w:lang w:val="sr-Latn-ME"/>
        </w:rPr>
        <w:t xml:space="preserve">suportivne </w:t>
      </w:r>
      <w:r w:rsidRPr="00314858">
        <w:rPr>
          <w:rFonts w:ascii="Times New Roman" w:hAnsi="Times New Roman" w:cs="Times New Roman"/>
          <w:lang w:val="sr-Latn-ME"/>
        </w:rPr>
        <w:t>terapije kao što je hirurška hemostaza ili nadoknada volumena krvi, prema odluci l</w:t>
      </w:r>
      <w:r w:rsidR="00802306" w:rsidRPr="00314858">
        <w:rPr>
          <w:rFonts w:ascii="Times New Roman" w:hAnsi="Times New Roman" w:cs="Times New Roman"/>
          <w:lang w:val="sr-Latn-ME"/>
        </w:rPr>
        <w:t>j</w:t>
      </w:r>
      <w:r w:rsidRPr="00314858">
        <w:rPr>
          <w:rFonts w:ascii="Times New Roman" w:hAnsi="Times New Roman" w:cs="Times New Roman"/>
          <w:lang w:val="sr-Latn-ME"/>
        </w:rPr>
        <w:t>ekara koji propisuje l</w:t>
      </w:r>
      <w:r w:rsidR="00802306" w:rsidRPr="00314858">
        <w:rPr>
          <w:rFonts w:ascii="Times New Roman" w:hAnsi="Times New Roman" w:cs="Times New Roman"/>
          <w:lang w:val="sr-Latn-ME"/>
        </w:rPr>
        <w:t>ij</w:t>
      </w:r>
      <w:r w:rsidRPr="00314858">
        <w:rPr>
          <w:rFonts w:ascii="Times New Roman" w:hAnsi="Times New Roman" w:cs="Times New Roman"/>
          <w:lang w:val="sr-Latn-ME"/>
        </w:rPr>
        <w:t>ek.</w:t>
      </w:r>
    </w:p>
    <w:p w14:paraId="32C413B7" w14:textId="3410893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 </w:t>
      </w:r>
    </w:p>
    <w:p w14:paraId="2735338A" w14:textId="4701124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Kod odraslih pacijenata u situacijama kada je potrebno brzo poništavanje antikoagulantnog dejstva dabigatrana, dostupan je specifičan antagonist (idarucizumab) koji antagonizuje farmakodinamsk</w:t>
      </w:r>
      <w:r w:rsidR="005372D0" w:rsidRPr="00314858">
        <w:rPr>
          <w:rFonts w:ascii="Times New Roman" w:hAnsi="Times New Roman" w:cs="Times New Roman"/>
          <w:lang w:val="sr-Latn-ME"/>
        </w:rPr>
        <w:t>o</w:t>
      </w:r>
      <w:r w:rsidRPr="00314858">
        <w:rPr>
          <w:rFonts w:ascii="Times New Roman" w:hAnsi="Times New Roman" w:cs="Times New Roman"/>
          <w:lang w:val="sr-Latn-ME"/>
        </w:rPr>
        <w:t xml:space="preserve"> </w:t>
      </w:r>
      <w:r w:rsidR="005372D0" w:rsidRPr="00314858">
        <w:rPr>
          <w:rFonts w:ascii="Times New Roman" w:hAnsi="Times New Roman" w:cs="Times New Roman"/>
          <w:lang w:val="sr-Latn-ME"/>
        </w:rPr>
        <w:t>dejstvo</w:t>
      </w:r>
      <w:r w:rsidRPr="00314858">
        <w:rPr>
          <w:rFonts w:ascii="Times New Roman" w:hAnsi="Times New Roman" w:cs="Times New Roman"/>
          <w:lang w:val="sr-Latn-ME"/>
        </w:rPr>
        <w:t xml:space="preserve"> dabigatrana. Efikasnost i bezb</w:t>
      </w:r>
      <w:r w:rsidR="00802306" w:rsidRPr="00314858">
        <w:rPr>
          <w:rFonts w:ascii="Times New Roman" w:hAnsi="Times New Roman" w:cs="Times New Roman"/>
          <w:lang w:val="sr-Latn-ME"/>
        </w:rPr>
        <w:t>j</w:t>
      </w:r>
      <w:r w:rsidRPr="00314858">
        <w:rPr>
          <w:rFonts w:ascii="Times New Roman" w:hAnsi="Times New Roman" w:cs="Times New Roman"/>
          <w:lang w:val="sr-Latn-ME"/>
        </w:rPr>
        <w:t>ednost idarucizumaba nije ustanovljena kod pedijatrijskih pacijenata (vid</w:t>
      </w:r>
      <w:r w:rsidR="004257ED"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4257ED" w:rsidRPr="00314858">
        <w:rPr>
          <w:rFonts w:ascii="Times New Roman" w:hAnsi="Times New Roman" w:cs="Times New Roman"/>
          <w:lang w:val="sr-Latn-ME"/>
        </w:rPr>
        <w:t>dio</w:t>
      </w:r>
      <w:r w:rsidRPr="00314858">
        <w:rPr>
          <w:rFonts w:ascii="Times New Roman" w:hAnsi="Times New Roman" w:cs="Times New Roman"/>
          <w:lang w:val="sr-Latn-ME"/>
        </w:rPr>
        <w:t xml:space="preserve"> 4.4).</w:t>
      </w:r>
    </w:p>
    <w:p w14:paraId="5700CFB8" w14:textId="77777777" w:rsidR="00F5483F" w:rsidRPr="00314858" w:rsidRDefault="00F5483F" w:rsidP="00D67D34">
      <w:pPr>
        <w:spacing w:after="0" w:line="240" w:lineRule="auto"/>
        <w:jc w:val="both"/>
        <w:rPr>
          <w:rFonts w:ascii="Times New Roman" w:hAnsi="Times New Roman" w:cs="Times New Roman"/>
          <w:lang w:val="sr-Latn-ME"/>
        </w:rPr>
      </w:pPr>
    </w:p>
    <w:p w14:paraId="3F0709BA" w14:textId="6A56355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Mogu se uzeti u obzir koncentrati faktora koagulacije (aktivirani ili neaktivirani) ili rekombinantni Faktor VIIa. Postoje određeni eksperimentalni dokazi koji podržavaju ulogu ovih l</w:t>
      </w:r>
      <w:r w:rsidR="004257ED" w:rsidRPr="00314858">
        <w:rPr>
          <w:rFonts w:ascii="Times New Roman" w:hAnsi="Times New Roman" w:cs="Times New Roman"/>
          <w:lang w:val="sr-Latn-ME"/>
        </w:rPr>
        <w:t>j</w:t>
      </w:r>
      <w:r w:rsidRPr="00314858">
        <w:rPr>
          <w:rFonts w:ascii="Times New Roman" w:hAnsi="Times New Roman" w:cs="Times New Roman"/>
          <w:lang w:val="sr-Latn-ME"/>
        </w:rPr>
        <w:t>ekova u poništavanju (reverziji) antikoagulantnog dejstva dabigatrana, ali podaci o njihovoj korisnosti u kliničkim uslovima i mogućem riziku od povratne (</w:t>
      </w:r>
      <w:r w:rsidR="00E66FFA" w:rsidRPr="00314858">
        <w:rPr>
          <w:rFonts w:ascii="Times New Roman" w:hAnsi="Times New Roman" w:cs="Times New Roman"/>
          <w:lang w:val="sr-Latn-ME"/>
        </w:rPr>
        <w:t xml:space="preserve">engl. </w:t>
      </w:r>
      <w:r w:rsidRPr="00314858">
        <w:rPr>
          <w:rFonts w:ascii="Times New Roman" w:hAnsi="Times New Roman" w:cs="Times New Roman"/>
          <w:i/>
          <w:iCs/>
          <w:lang w:val="sr-Latn-ME"/>
        </w:rPr>
        <w:t>rebound</w:t>
      </w:r>
      <w:r w:rsidRPr="00314858">
        <w:rPr>
          <w:rFonts w:ascii="Times New Roman" w:hAnsi="Times New Roman" w:cs="Times New Roman"/>
          <w:lang w:val="sr-Latn-ME"/>
        </w:rPr>
        <w:t xml:space="preserve">) tromboembolije su veoma ograničeni. Testovi koagulacije mogu da postanu nepouzdani </w:t>
      </w:r>
      <w:r w:rsidR="00E66FFA" w:rsidRPr="00314858">
        <w:rPr>
          <w:rFonts w:ascii="Times New Roman" w:hAnsi="Times New Roman" w:cs="Times New Roman"/>
          <w:lang w:val="sr-Latn-ME"/>
        </w:rPr>
        <w:t>nakon</w:t>
      </w:r>
      <w:r w:rsidRPr="00314858">
        <w:rPr>
          <w:rFonts w:ascii="Times New Roman" w:hAnsi="Times New Roman" w:cs="Times New Roman"/>
          <w:lang w:val="sr-Latn-ME"/>
        </w:rPr>
        <w:t xml:space="preserve"> davanj</w:t>
      </w:r>
      <w:r w:rsidR="00E66FFA" w:rsidRPr="00314858">
        <w:rPr>
          <w:rFonts w:ascii="Times New Roman" w:hAnsi="Times New Roman" w:cs="Times New Roman"/>
          <w:lang w:val="sr-Latn-ME"/>
        </w:rPr>
        <w:t>a</w:t>
      </w:r>
      <w:r w:rsidRPr="00314858">
        <w:rPr>
          <w:rFonts w:ascii="Times New Roman" w:hAnsi="Times New Roman" w:cs="Times New Roman"/>
          <w:lang w:val="sr-Latn-ME"/>
        </w:rPr>
        <w:t xml:space="preserve"> predloženih</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koncentrata faktora koagulacije. Treba biti oprezan kada se tumače rezultati ovih testova. Treba raz</w:t>
      </w:r>
      <w:r w:rsidR="008405C8" w:rsidRPr="00314858">
        <w:rPr>
          <w:rFonts w:ascii="Times New Roman" w:hAnsi="Times New Roman" w:cs="Times New Roman"/>
          <w:lang w:val="sr-Latn-ME"/>
        </w:rPr>
        <w:t>motriti</w:t>
      </w:r>
      <w:r w:rsidRPr="00314858">
        <w:rPr>
          <w:rFonts w:ascii="Times New Roman" w:hAnsi="Times New Roman" w:cs="Times New Roman"/>
          <w:lang w:val="sr-Latn-ME"/>
        </w:rPr>
        <w:t xml:space="preserve"> mogućnost davanja koncentrata trombocita u slučajevima u kojima postoji trombocitopenija ili ako su korišćeni antitrombocitni l</w:t>
      </w:r>
      <w:r w:rsidR="00802306" w:rsidRPr="00314858">
        <w:rPr>
          <w:rFonts w:ascii="Times New Roman" w:hAnsi="Times New Roman" w:cs="Times New Roman"/>
          <w:lang w:val="sr-Latn-ME"/>
        </w:rPr>
        <w:t>j</w:t>
      </w:r>
      <w:r w:rsidRPr="00314858">
        <w:rPr>
          <w:rFonts w:ascii="Times New Roman" w:hAnsi="Times New Roman" w:cs="Times New Roman"/>
          <w:lang w:val="sr-Latn-ME"/>
        </w:rPr>
        <w:t>ekovi dugog dejstva. Svu simptomatsku terapiju treba dati prema odluci l</w:t>
      </w:r>
      <w:r w:rsidR="00802306" w:rsidRPr="00314858">
        <w:rPr>
          <w:rFonts w:ascii="Times New Roman" w:hAnsi="Times New Roman" w:cs="Times New Roman"/>
          <w:lang w:val="sr-Latn-ME"/>
        </w:rPr>
        <w:t>j</w:t>
      </w:r>
      <w:r w:rsidRPr="00314858">
        <w:rPr>
          <w:rFonts w:ascii="Times New Roman" w:hAnsi="Times New Roman" w:cs="Times New Roman"/>
          <w:lang w:val="sr-Latn-ME"/>
        </w:rPr>
        <w:t xml:space="preserve">ekara. </w:t>
      </w:r>
    </w:p>
    <w:p w14:paraId="54B812B3" w14:textId="77777777" w:rsidR="00F5483F" w:rsidRPr="00314858" w:rsidRDefault="00F5483F" w:rsidP="00D67D34">
      <w:pPr>
        <w:spacing w:after="0" w:line="240" w:lineRule="auto"/>
        <w:jc w:val="both"/>
        <w:rPr>
          <w:rFonts w:ascii="Times New Roman" w:hAnsi="Times New Roman" w:cs="Times New Roman"/>
          <w:lang w:val="sr-Latn-ME"/>
        </w:rPr>
      </w:pPr>
    </w:p>
    <w:p w14:paraId="0C0D012F" w14:textId="4046B3D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Zavisno od lokalne raspoloživosti, u slučaju </w:t>
      </w:r>
      <w:r w:rsidR="00B5681E" w:rsidRPr="00314858">
        <w:rPr>
          <w:rFonts w:ascii="Times New Roman" w:hAnsi="Times New Roman" w:cs="Times New Roman"/>
          <w:lang w:val="sr-Latn-ME"/>
        </w:rPr>
        <w:t>obilnijeg</w:t>
      </w:r>
      <w:r w:rsidRPr="00314858">
        <w:rPr>
          <w:rFonts w:ascii="Times New Roman" w:hAnsi="Times New Roman" w:cs="Times New Roman"/>
          <w:lang w:val="sr-Latn-ME"/>
        </w:rPr>
        <w:t xml:space="preserve"> krvarenja, treba konsultovati </w:t>
      </w:r>
      <w:r w:rsidR="00B5681E" w:rsidRPr="00314858">
        <w:rPr>
          <w:rFonts w:ascii="Times New Roman" w:hAnsi="Times New Roman" w:cs="Times New Roman"/>
          <w:lang w:val="sr-Latn-ME"/>
        </w:rPr>
        <w:t>specijalistu</w:t>
      </w:r>
      <w:r w:rsidRPr="00314858">
        <w:rPr>
          <w:rFonts w:ascii="Times New Roman" w:hAnsi="Times New Roman" w:cs="Times New Roman"/>
          <w:lang w:val="sr-Latn-ME"/>
        </w:rPr>
        <w:t xml:space="preserve"> za koagulaciju.</w:t>
      </w:r>
    </w:p>
    <w:p w14:paraId="69F32F07" w14:textId="63B58796" w:rsidR="00D67D34" w:rsidRPr="00314858" w:rsidRDefault="00D67D34" w:rsidP="00D67D34">
      <w:pPr>
        <w:spacing w:after="0" w:line="240" w:lineRule="auto"/>
        <w:jc w:val="both"/>
        <w:rPr>
          <w:rFonts w:ascii="Times New Roman" w:hAnsi="Times New Roman" w:cs="Times New Roman"/>
          <w:lang w:val="sr-Latn-ME" w:bidi="en-US"/>
        </w:rPr>
      </w:pPr>
    </w:p>
    <w:p w14:paraId="461F6BE2" w14:textId="77777777" w:rsidR="00ED227D" w:rsidRPr="00314858" w:rsidRDefault="00ED227D" w:rsidP="00D67D34">
      <w:pPr>
        <w:spacing w:after="0" w:line="240" w:lineRule="auto"/>
        <w:jc w:val="both"/>
        <w:rPr>
          <w:rFonts w:ascii="Times New Roman" w:hAnsi="Times New Roman" w:cs="Times New Roman"/>
          <w:lang w:val="sr-Latn-ME" w:bidi="en-US"/>
        </w:rPr>
      </w:pPr>
    </w:p>
    <w:p w14:paraId="31602045" w14:textId="553E4CAE"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5. </w:t>
      </w:r>
      <w:r w:rsidR="00D67D34" w:rsidRPr="00314858">
        <w:rPr>
          <w:rFonts w:ascii="Times New Roman" w:hAnsi="Times New Roman" w:cs="Times New Roman"/>
          <w:b/>
          <w:bCs/>
          <w:lang w:val="sr-Latn-ME" w:bidi="en-US"/>
        </w:rPr>
        <w:t>FARMAKOLOŠKI PODACI</w:t>
      </w:r>
    </w:p>
    <w:p w14:paraId="4FC2D327" w14:textId="77777777" w:rsidR="00D67D34" w:rsidRPr="00314858" w:rsidRDefault="00D67D34" w:rsidP="00D67D34">
      <w:pPr>
        <w:spacing w:after="0" w:line="240" w:lineRule="auto"/>
        <w:jc w:val="both"/>
        <w:rPr>
          <w:rFonts w:ascii="Times New Roman" w:hAnsi="Times New Roman" w:cs="Times New Roman"/>
          <w:lang w:val="sr-Latn-ME" w:bidi="en-US"/>
        </w:rPr>
      </w:pPr>
    </w:p>
    <w:p w14:paraId="002B6214" w14:textId="457A76F0"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5.1. </w:t>
      </w:r>
      <w:r w:rsidR="00D67D34" w:rsidRPr="00314858">
        <w:rPr>
          <w:rFonts w:ascii="Times New Roman" w:hAnsi="Times New Roman" w:cs="Times New Roman"/>
          <w:b/>
          <w:bCs/>
          <w:lang w:val="sr-Latn-ME" w:bidi="en-US"/>
        </w:rPr>
        <w:t>Farmakodinamski podaci</w:t>
      </w:r>
    </w:p>
    <w:p w14:paraId="1B5E43C1" w14:textId="77777777" w:rsidR="00D67D34" w:rsidRPr="00314858" w:rsidRDefault="00D67D34" w:rsidP="00D67D34">
      <w:pPr>
        <w:spacing w:after="0" w:line="240" w:lineRule="auto"/>
        <w:jc w:val="both"/>
        <w:rPr>
          <w:rFonts w:ascii="Times New Roman" w:hAnsi="Times New Roman" w:cs="Times New Roman"/>
          <w:lang w:val="sr-Latn-ME" w:bidi="en-US"/>
        </w:rPr>
      </w:pPr>
    </w:p>
    <w:p w14:paraId="0A59F638" w14:textId="3AAF47C1"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lastRenderedPageBreak/>
        <w:t>Farmakoterapijska grupa</w:t>
      </w:r>
      <w:r w:rsidRPr="00314858">
        <w:rPr>
          <w:rFonts w:ascii="Times New Roman" w:hAnsi="Times New Roman" w:cs="Times New Roman"/>
          <w:lang w:val="sr-Latn-ME" w:bidi="en-US"/>
        </w:rPr>
        <w:t>: antitromboti</w:t>
      </w:r>
      <w:r w:rsidR="00B85E79" w:rsidRPr="00314858">
        <w:rPr>
          <w:rFonts w:ascii="Times New Roman" w:hAnsi="Times New Roman" w:cs="Times New Roman"/>
          <w:lang w:val="sr-Latn-ME" w:bidi="en-US"/>
        </w:rPr>
        <w:t xml:space="preserve">ci, </w:t>
      </w:r>
      <w:r w:rsidRPr="00314858">
        <w:rPr>
          <w:rFonts w:ascii="Times New Roman" w:hAnsi="Times New Roman" w:cs="Times New Roman"/>
          <w:lang w:val="sr-Latn-ME" w:bidi="en-US"/>
        </w:rPr>
        <w:t>direktni inhibitori trombina</w:t>
      </w:r>
      <w:r w:rsidR="0093617E" w:rsidRPr="00314858">
        <w:rPr>
          <w:rFonts w:ascii="Times New Roman" w:hAnsi="Times New Roman" w:cs="Times New Roman"/>
          <w:lang w:val="sr-Latn-ME" w:bidi="en-US"/>
        </w:rPr>
        <w:t>.</w:t>
      </w:r>
    </w:p>
    <w:p w14:paraId="391C558F" w14:textId="77777777" w:rsidR="0093617E" w:rsidRPr="00314858" w:rsidRDefault="0093617E" w:rsidP="00D67D34">
      <w:pPr>
        <w:spacing w:after="0" w:line="240" w:lineRule="auto"/>
        <w:jc w:val="both"/>
        <w:rPr>
          <w:rFonts w:ascii="Times New Roman" w:hAnsi="Times New Roman" w:cs="Times New Roman"/>
          <w:b/>
          <w:bCs/>
          <w:lang w:val="sr-Latn-ME" w:bidi="en-US"/>
        </w:rPr>
      </w:pPr>
    </w:p>
    <w:p w14:paraId="38477F90" w14:textId="51D41CE4"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ATC </w:t>
      </w:r>
      <w:r w:rsidR="00802306" w:rsidRPr="00314858">
        <w:rPr>
          <w:rFonts w:ascii="Times New Roman" w:hAnsi="Times New Roman" w:cs="Times New Roman"/>
          <w:b/>
          <w:bCs/>
          <w:lang w:val="sr-Latn-ME" w:bidi="en-US"/>
        </w:rPr>
        <w:t>kod</w:t>
      </w:r>
      <w:r w:rsidRPr="00314858">
        <w:rPr>
          <w:rFonts w:ascii="Times New Roman" w:hAnsi="Times New Roman" w:cs="Times New Roman"/>
          <w:lang w:val="sr-Latn-ME" w:bidi="en-US"/>
        </w:rPr>
        <w:t>: B01AE07</w:t>
      </w:r>
    </w:p>
    <w:p w14:paraId="29F57A26" w14:textId="77777777" w:rsidR="00D67D34" w:rsidRPr="00314858" w:rsidRDefault="00D67D34" w:rsidP="00D67D34">
      <w:pPr>
        <w:spacing w:after="0" w:line="240" w:lineRule="auto"/>
        <w:jc w:val="both"/>
        <w:rPr>
          <w:rFonts w:ascii="Times New Roman" w:hAnsi="Times New Roman" w:cs="Times New Roman"/>
          <w:u w:val="single"/>
          <w:lang w:val="sr-Latn-ME" w:bidi="en-US"/>
        </w:rPr>
      </w:pPr>
    </w:p>
    <w:p w14:paraId="495BDE8B" w14:textId="114A17E3"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Mehanizam dejstva</w:t>
      </w:r>
    </w:p>
    <w:p w14:paraId="6283249F" w14:textId="77777777" w:rsidR="00F4035C" w:rsidRPr="00314858" w:rsidRDefault="00F4035C" w:rsidP="00D67D34">
      <w:pPr>
        <w:spacing w:after="0" w:line="240" w:lineRule="auto"/>
        <w:jc w:val="both"/>
        <w:rPr>
          <w:rFonts w:ascii="Times New Roman" w:hAnsi="Times New Roman" w:cs="Times New Roman"/>
          <w:u w:val="single"/>
          <w:lang w:val="sr-Latn-ME"/>
        </w:rPr>
      </w:pPr>
    </w:p>
    <w:p w14:paraId="6475530F" w14:textId="32E1EE4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Dabigatraneteksilat je prol</w:t>
      </w:r>
      <w:r w:rsidR="00802306" w:rsidRPr="00314858">
        <w:rPr>
          <w:rFonts w:ascii="Times New Roman" w:hAnsi="Times New Roman" w:cs="Times New Roman"/>
          <w:lang w:val="sr-Latn-ME"/>
        </w:rPr>
        <w:t>ij</w:t>
      </w:r>
      <w:r w:rsidRPr="00314858">
        <w:rPr>
          <w:rFonts w:ascii="Times New Roman" w:hAnsi="Times New Roman" w:cs="Times New Roman"/>
          <w:lang w:val="sr-Latn-ME"/>
        </w:rPr>
        <w:t>ek u obliku malog molekula koji ne ispoljava nikakvu farmakološku aktivnost. Nakon oralne prim</w:t>
      </w:r>
      <w:r w:rsidR="00802306" w:rsidRPr="00314858">
        <w:rPr>
          <w:rFonts w:ascii="Times New Roman" w:hAnsi="Times New Roman" w:cs="Times New Roman"/>
          <w:lang w:val="sr-Latn-ME"/>
        </w:rPr>
        <w:t>j</w:t>
      </w:r>
      <w:r w:rsidRPr="00314858">
        <w:rPr>
          <w:rFonts w:ascii="Times New Roman" w:hAnsi="Times New Roman" w:cs="Times New Roman"/>
          <w:lang w:val="sr-Latn-ME"/>
        </w:rPr>
        <w:t xml:space="preserve">ene, dabigatraneteksilat se brzo resorbuje i pretvara u dabigatran hidrolizom katalizovanom esterazama u plazmi i jetri. Dabigatran je </w:t>
      </w:r>
      <w:r w:rsidR="008405C8" w:rsidRPr="00314858">
        <w:rPr>
          <w:rFonts w:ascii="Times New Roman" w:hAnsi="Times New Roman" w:cs="Times New Roman"/>
          <w:lang w:val="sr-Latn-ME"/>
        </w:rPr>
        <w:t>snažan</w:t>
      </w:r>
      <w:r w:rsidRPr="00314858">
        <w:rPr>
          <w:rFonts w:ascii="Times New Roman" w:hAnsi="Times New Roman" w:cs="Times New Roman"/>
          <w:lang w:val="sr-Latn-ME"/>
        </w:rPr>
        <w:t xml:space="preserve">, kompetitivan, reverzibilan direktan inhibitor trombina i glavni je aktivni princip u plazmi. </w:t>
      </w:r>
    </w:p>
    <w:p w14:paraId="04005B1E" w14:textId="752F0634"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S o</w:t>
      </w:r>
      <w:r w:rsidR="008405C8" w:rsidRPr="00314858">
        <w:rPr>
          <w:rFonts w:ascii="Times New Roman" w:hAnsi="Times New Roman" w:cs="Times New Roman"/>
          <w:lang w:val="sr-Latn-ME"/>
        </w:rPr>
        <w:t>b</w:t>
      </w:r>
      <w:r w:rsidRPr="00314858">
        <w:rPr>
          <w:rFonts w:ascii="Times New Roman" w:hAnsi="Times New Roman" w:cs="Times New Roman"/>
          <w:lang w:val="sr-Latn-ME"/>
        </w:rPr>
        <w:t xml:space="preserve">zirom </w:t>
      </w:r>
      <w:r w:rsidR="00CC3C80" w:rsidRPr="00314858">
        <w:rPr>
          <w:rFonts w:ascii="Times New Roman" w:hAnsi="Times New Roman" w:cs="Times New Roman"/>
          <w:lang w:val="sr-Latn-ME"/>
        </w:rPr>
        <w:t xml:space="preserve">na to </w:t>
      </w:r>
      <w:r w:rsidRPr="00314858">
        <w:rPr>
          <w:rFonts w:ascii="Times New Roman" w:hAnsi="Times New Roman" w:cs="Times New Roman"/>
          <w:lang w:val="sr-Latn-ME"/>
        </w:rPr>
        <w:t xml:space="preserve">da trombin (serin proteaza) tokom koagulacione kaskade omogućava pretvaranje fibrinogena u fibrin, njegova inhibicija sprečava stvaranje tromba. Dabigatran inhibira slobodni trombin, trombin vezan za fibrin i agregaciju trombocita indukovanu trombinom. </w:t>
      </w:r>
    </w:p>
    <w:p w14:paraId="1CB43A42" w14:textId="77777777" w:rsidR="00D67D34" w:rsidRPr="00314858" w:rsidRDefault="00D67D34" w:rsidP="00D67D34">
      <w:pPr>
        <w:spacing w:after="0" w:line="240" w:lineRule="auto"/>
        <w:jc w:val="both"/>
        <w:rPr>
          <w:rFonts w:ascii="Times New Roman" w:hAnsi="Times New Roman" w:cs="Times New Roman"/>
          <w:lang w:val="sr-Latn-ME"/>
        </w:rPr>
      </w:pPr>
    </w:p>
    <w:p w14:paraId="492BBDD5" w14:textId="46882B15"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Farmakodinamska dejstva</w:t>
      </w:r>
    </w:p>
    <w:p w14:paraId="70E996E6" w14:textId="77777777" w:rsidR="00CC3C80" w:rsidRPr="00314858" w:rsidRDefault="00CC3C80" w:rsidP="00D67D34">
      <w:pPr>
        <w:spacing w:after="0" w:line="240" w:lineRule="auto"/>
        <w:jc w:val="both"/>
        <w:rPr>
          <w:rFonts w:ascii="Times New Roman" w:hAnsi="Times New Roman" w:cs="Times New Roman"/>
          <w:u w:val="single"/>
          <w:lang w:val="sr-Latn-ME"/>
        </w:rPr>
      </w:pPr>
    </w:p>
    <w:p w14:paraId="2E1E75A3" w14:textId="2437A31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Studije na životinjama </w:t>
      </w:r>
      <w:r w:rsidRPr="00314858">
        <w:rPr>
          <w:rFonts w:ascii="Times New Roman" w:hAnsi="Times New Roman" w:cs="Times New Roman"/>
          <w:i/>
          <w:iCs/>
          <w:lang w:val="sr-Latn-ME"/>
        </w:rPr>
        <w:t>in vivo</w:t>
      </w:r>
      <w:r w:rsidRPr="00314858">
        <w:rPr>
          <w:rFonts w:ascii="Times New Roman" w:hAnsi="Times New Roman" w:cs="Times New Roman"/>
          <w:lang w:val="sr-Latn-ME"/>
        </w:rPr>
        <w:t xml:space="preserve"> i </w:t>
      </w:r>
      <w:r w:rsidRPr="00314858">
        <w:rPr>
          <w:rFonts w:ascii="Times New Roman" w:hAnsi="Times New Roman" w:cs="Times New Roman"/>
          <w:i/>
          <w:iCs/>
          <w:lang w:val="sr-Latn-ME"/>
        </w:rPr>
        <w:t>ex vivo</w:t>
      </w:r>
      <w:r w:rsidRPr="00314858">
        <w:rPr>
          <w:rFonts w:ascii="Times New Roman" w:hAnsi="Times New Roman" w:cs="Times New Roman"/>
          <w:lang w:val="sr-Latn-ME"/>
        </w:rPr>
        <w:t xml:space="preserve"> pokazale su antitrombotičnu efikasnost i antikoagulantnu aktiivnost dabigatrana nakon intravenske prim</w:t>
      </w:r>
      <w:r w:rsidR="00802306" w:rsidRPr="00314858">
        <w:rPr>
          <w:rFonts w:ascii="Times New Roman" w:hAnsi="Times New Roman" w:cs="Times New Roman"/>
          <w:lang w:val="sr-Latn-ME"/>
        </w:rPr>
        <w:t>j</w:t>
      </w:r>
      <w:r w:rsidRPr="00314858">
        <w:rPr>
          <w:rFonts w:ascii="Times New Roman" w:hAnsi="Times New Roman" w:cs="Times New Roman"/>
          <w:lang w:val="sr-Latn-ME"/>
        </w:rPr>
        <w:t>ene i dabigatraneteksilata nakon oralne prim</w:t>
      </w:r>
      <w:r w:rsidR="00802306" w:rsidRPr="00314858">
        <w:rPr>
          <w:rFonts w:ascii="Times New Roman" w:hAnsi="Times New Roman" w:cs="Times New Roman"/>
          <w:lang w:val="sr-Latn-ME"/>
        </w:rPr>
        <w:t>j</w:t>
      </w:r>
      <w:r w:rsidRPr="00314858">
        <w:rPr>
          <w:rFonts w:ascii="Times New Roman" w:hAnsi="Times New Roman" w:cs="Times New Roman"/>
          <w:lang w:val="sr-Latn-ME"/>
        </w:rPr>
        <w:t xml:space="preserve">ene na raznim životinjskim modelima tromboze. </w:t>
      </w:r>
    </w:p>
    <w:p w14:paraId="6193BF36" w14:textId="77777777" w:rsidR="00D67D34" w:rsidRPr="00314858" w:rsidRDefault="00D67D34" w:rsidP="00D67D34">
      <w:pPr>
        <w:spacing w:after="0" w:line="240" w:lineRule="auto"/>
        <w:jc w:val="both"/>
        <w:rPr>
          <w:rFonts w:ascii="Times New Roman" w:hAnsi="Times New Roman" w:cs="Times New Roman"/>
          <w:lang w:val="sr-Latn-ME"/>
        </w:rPr>
      </w:pPr>
    </w:p>
    <w:p w14:paraId="7C1B6204" w14:textId="5682D62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Postoji jasna korelacija između koncentracije dabigatrana u plazmi i stepena antikoagulantnog dejstva na osnovu podataka iz studija II faze. Dabigatran produžava trombinsko vr</w:t>
      </w:r>
      <w:r w:rsidR="00A56E0B" w:rsidRPr="00314858">
        <w:rPr>
          <w:rFonts w:ascii="Times New Roman" w:hAnsi="Times New Roman" w:cs="Times New Roman"/>
          <w:lang w:val="sr-Latn-ME"/>
        </w:rPr>
        <w:t>ij</w:t>
      </w:r>
      <w:r w:rsidRPr="00314858">
        <w:rPr>
          <w:rFonts w:ascii="Times New Roman" w:hAnsi="Times New Roman" w:cs="Times New Roman"/>
          <w:lang w:val="sr-Latn-ME"/>
        </w:rPr>
        <w:t>eme (TT), ECT i aPTT.</w:t>
      </w:r>
    </w:p>
    <w:p w14:paraId="18373BD7" w14:textId="77777777" w:rsidR="00F5483F" w:rsidRPr="00314858" w:rsidRDefault="00F5483F" w:rsidP="00D67D34">
      <w:pPr>
        <w:spacing w:after="0" w:line="240" w:lineRule="auto"/>
        <w:jc w:val="both"/>
        <w:rPr>
          <w:rFonts w:ascii="Times New Roman" w:hAnsi="Times New Roman" w:cs="Times New Roman"/>
          <w:lang w:val="sr-Latn-ME"/>
        </w:rPr>
      </w:pPr>
    </w:p>
    <w:p w14:paraId="1282955C" w14:textId="6E9E5DC8" w:rsidR="00A46808"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Test kalibrisanog kvantitativnog razblaženog trombinskog vremena (dTT) obezb</w:t>
      </w:r>
      <w:r w:rsidR="00F948D9" w:rsidRPr="00314858">
        <w:rPr>
          <w:rFonts w:ascii="Times New Roman" w:hAnsi="Times New Roman" w:cs="Times New Roman"/>
          <w:lang w:val="sr-Latn-ME"/>
        </w:rPr>
        <w:t>j</w:t>
      </w:r>
      <w:r w:rsidRPr="00314858">
        <w:rPr>
          <w:rFonts w:ascii="Times New Roman" w:hAnsi="Times New Roman" w:cs="Times New Roman"/>
          <w:lang w:val="sr-Latn-ME"/>
        </w:rPr>
        <w:t>eđuje proc</w:t>
      </w:r>
      <w:r w:rsidR="00A56E0B" w:rsidRPr="00314858">
        <w:rPr>
          <w:rFonts w:ascii="Times New Roman" w:hAnsi="Times New Roman" w:cs="Times New Roman"/>
          <w:lang w:val="sr-Latn-ME"/>
        </w:rPr>
        <w:t>j</w:t>
      </w:r>
      <w:r w:rsidRPr="00314858">
        <w:rPr>
          <w:rFonts w:ascii="Times New Roman" w:hAnsi="Times New Roman" w:cs="Times New Roman"/>
          <w:lang w:val="sr-Latn-ME"/>
        </w:rPr>
        <w:t>enu koncentracije dabigatrana u plazmi koja može da se uporedi sa očekivanim koncentracijama dabigatrana u plazmi. Kada kalibrisano određivanje dTT daje rezultat koji je na ili ispod granice kvantifikacije, potrebno je razmotriti uvođenje dodatnog određivanja koagulacije kao što je TT, ECT ili aPTT.</w:t>
      </w:r>
      <w:r w:rsidR="00ED227D" w:rsidRPr="00314858">
        <w:rPr>
          <w:rFonts w:ascii="Times New Roman" w:hAnsi="Times New Roman" w:cs="Times New Roman"/>
          <w:lang w:val="sr-Latn-ME"/>
        </w:rPr>
        <w:t xml:space="preserve"> </w:t>
      </w:r>
    </w:p>
    <w:p w14:paraId="7E094694" w14:textId="77777777" w:rsidR="00A46808" w:rsidRPr="00314858" w:rsidRDefault="00A46808" w:rsidP="00D67D34">
      <w:pPr>
        <w:spacing w:after="0" w:line="240" w:lineRule="auto"/>
        <w:jc w:val="both"/>
        <w:rPr>
          <w:rFonts w:ascii="Times New Roman" w:hAnsi="Times New Roman" w:cs="Times New Roman"/>
          <w:lang w:val="sr-Latn-ME"/>
        </w:rPr>
      </w:pPr>
    </w:p>
    <w:p w14:paraId="418C26C5" w14:textId="0B8AFDC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ECT test može </w:t>
      </w:r>
      <w:r w:rsidR="007D62CC" w:rsidRPr="00314858">
        <w:rPr>
          <w:rFonts w:ascii="Times New Roman" w:hAnsi="Times New Roman" w:cs="Times New Roman"/>
          <w:lang w:val="sr-Latn-ME"/>
        </w:rPr>
        <w:t>da omogući</w:t>
      </w:r>
      <w:r w:rsidR="008405C8" w:rsidRPr="00314858">
        <w:rPr>
          <w:rFonts w:ascii="Times New Roman" w:hAnsi="Times New Roman" w:cs="Times New Roman"/>
          <w:lang w:val="sr-Latn-ME"/>
        </w:rPr>
        <w:t xml:space="preserve"> direktno m</w:t>
      </w:r>
      <w:r w:rsidR="00A56E0B" w:rsidRPr="00314858">
        <w:rPr>
          <w:rFonts w:ascii="Times New Roman" w:hAnsi="Times New Roman" w:cs="Times New Roman"/>
          <w:lang w:val="sr-Latn-ME"/>
        </w:rPr>
        <w:t>j</w:t>
      </w:r>
      <w:r w:rsidR="008405C8" w:rsidRPr="00314858">
        <w:rPr>
          <w:rFonts w:ascii="Times New Roman" w:hAnsi="Times New Roman" w:cs="Times New Roman"/>
          <w:lang w:val="sr-Latn-ME"/>
        </w:rPr>
        <w:t>erenje</w:t>
      </w:r>
      <w:r w:rsidRPr="00314858">
        <w:rPr>
          <w:rFonts w:ascii="Times New Roman" w:hAnsi="Times New Roman" w:cs="Times New Roman"/>
          <w:lang w:val="sr-Latn-ME"/>
        </w:rPr>
        <w:t xml:space="preserve"> aktivnost</w:t>
      </w:r>
      <w:r w:rsidR="008405C8" w:rsidRPr="00314858">
        <w:rPr>
          <w:rFonts w:ascii="Times New Roman" w:hAnsi="Times New Roman" w:cs="Times New Roman"/>
          <w:lang w:val="sr-Latn-ME"/>
        </w:rPr>
        <w:t>i</w:t>
      </w:r>
      <w:r w:rsidRPr="00314858">
        <w:rPr>
          <w:rFonts w:ascii="Times New Roman" w:hAnsi="Times New Roman" w:cs="Times New Roman"/>
          <w:lang w:val="sr-Latn-ME"/>
        </w:rPr>
        <w:t xml:space="preserve"> direktnih inhibitora trombina. </w:t>
      </w:r>
    </w:p>
    <w:p w14:paraId="75510BA4" w14:textId="77777777" w:rsidR="00F5483F" w:rsidRPr="00314858" w:rsidRDefault="00F5483F" w:rsidP="00D67D34">
      <w:pPr>
        <w:spacing w:after="0" w:line="240" w:lineRule="auto"/>
        <w:jc w:val="both"/>
        <w:rPr>
          <w:rFonts w:ascii="Times New Roman" w:hAnsi="Times New Roman" w:cs="Times New Roman"/>
          <w:lang w:val="sr-Latn-ME"/>
        </w:rPr>
      </w:pPr>
    </w:p>
    <w:p w14:paraId="38B81C06" w14:textId="5C325AF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Aktivirano parcijalno tromboplastinsko vr</w:t>
      </w:r>
      <w:r w:rsidR="00A56E0B" w:rsidRPr="00314858">
        <w:rPr>
          <w:rFonts w:ascii="Times New Roman" w:hAnsi="Times New Roman" w:cs="Times New Roman"/>
          <w:lang w:val="sr-Latn-ME"/>
        </w:rPr>
        <w:t>ij</w:t>
      </w:r>
      <w:r w:rsidRPr="00314858">
        <w:rPr>
          <w:rFonts w:ascii="Times New Roman" w:hAnsi="Times New Roman" w:cs="Times New Roman"/>
          <w:lang w:val="sr-Latn-ME"/>
        </w:rPr>
        <w:t xml:space="preserve">eme (aPTT) je </w:t>
      </w:r>
      <w:r w:rsidR="007749D2" w:rsidRPr="00314858">
        <w:rPr>
          <w:rFonts w:ascii="Times New Roman" w:hAnsi="Times New Roman" w:cs="Times New Roman"/>
          <w:lang w:val="sr-Latn-ME"/>
        </w:rPr>
        <w:t>široko</w:t>
      </w:r>
      <w:r w:rsidRPr="00314858">
        <w:rPr>
          <w:rFonts w:ascii="Times New Roman" w:hAnsi="Times New Roman" w:cs="Times New Roman"/>
          <w:lang w:val="sr-Latn-ME"/>
        </w:rPr>
        <w:t xml:space="preserve"> dostupan test koji pruža aproksimativnu indikaciju intenziteta antikoagulacije postignutog sa dabigatranom. Me</w:t>
      </w:r>
      <w:r w:rsidR="00C375CE" w:rsidRPr="00314858">
        <w:rPr>
          <w:rFonts w:ascii="Times New Roman" w:hAnsi="Times New Roman" w:cs="Times New Roman"/>
          <w:lang w:val="sr-Latn-ME"/>
        </w:rPr>
        <w:t>đ</w:t>
      </w:r>
      <w:r w:rsidRPr="00314858">
        <w:rPr>
          <w:rFonts w:ascii="Times New Roman" w:hAnsi="Times New Roman" w:cs="Times New Roman"/>
          <w:lang w:val="sr-Latn-ME"/>
        </w:rPr>
        <w:t xml:space="preserve">utim, aPTT test ima ograničenu </w:t>
      </w:r>
      <w:r w:rsidR="007749D2" w:rsidRPr="00314858">
        <w:rPr>
          <w:rFonts w:ascii="Times New Roman" w:hAnsi="Times New Roman" w:cs="Times New Roman"/>
          <w:lang w:val="sr-Latn-ME"/>
        </w:rPr>
        <w:t>os</w:t>
      </w:r>
      <w:r w:rsidR="00A56E0B" w:rsidRPr="00314858">
        <w:rPr>
          <w:rFonts w:ascii="Times New Roman" w:hAnsi="Times New Roman" w:cs="Times New Roman"/>
          <w:lang w:val="sr-Latn-ME"/>
        </w:rPr>
        <w:t>j</w:t>
      </w:r>
      <w:r w:rsidR="007749D2" w:rsidRPr="00314858">
        <w:rPr>
          <w:rFonts w:ascii="Times New Roman" w:hAnsi="Times New Roman" w:cs="Times New Roman"/>
          <w:lang w:val="sr-Latn-ME"/>
        </w:rPr>
        <w:t>etljivost</w:t>
      </w:r>
      <w:r w:rsidRPr="00314858">
        <w:rPr>
          <w:rFonts w:ascii="Times New Roman" w:hAnsi="Times New Roman" w:cs="Times New Roman"/>
          <w:lang w:val="sr-Latn-ME"/>
        </w:rPr>
        <w:t xml:space="preserve"> i nije pogodan </w:t>
      </w:r>
      <w:r w:rsidR="00C375CE" w:rsidRPr="00314858">
        <w:rPr>
          <w:rFonts w:ascii="Times New Roman" w:hAnsi="Times New Roman" w:cs="Times New Roman"/>
          <w:lang w:val="sr-Latn-ME"/>
        </w:rPr>
        <w:t xml:space="preserve">za </w:t>
      </w:r>
      <w:r w:rsidRPr="00314858">
        <w:rPr>
          <w:rFonts w:ascii="Times New Roman" w:hAnsi="Times New Roman" w:cs="Times New Roman"/>
          <w:lang w:val="sr-Latn-ME"/>
        </w:rPr>
        <w:t xml:space="preserve">preciznu kvantifikaciju antikoagulantnog dejstva, naročito pri </w:t>
      </w:r>
      <w:r w:rsidR="007749D2" w:rsidRPr="00314858">
        <w:rPr>
          <w:rFonts w:ascii="Times New Roman" w:hAnsi="Times New Roman" w:cs="Times New Roman"/>
          <w:lang w:val="sr-Latn-ME"/>
        </w:rPr>
        <w:t>velikim</w:t>
      </w:r>
      <w:r w:rsidRPr="00314858">
        <w:rPr>
          <w:rFonts w:ascii="Times New Roman" w:hAnsi="Times New Roman" w:cs="Times New Roman"/>
          <w:lang w:val="sr-Latn-ME"/>
        </w:rPr>
        <w:t xml:space="preserve"> koncentracijama dabigatrana u plazmi. Mada </w:t>
      </w:r>
      <w:r w:rsidR="007749D2" w:rsidRPr="00314858">
        <w:rPr>
          <w:rFonts w:ascii="Times New Roman" w:hAnsi="Times New Roman" w:cs="Times New Roman"/>
          <w:lang w:val="sr-Latn-ME"/>
        </w:rPr>
        <w:t>velike</w:t>
      </w:r>
      <w:r w:rsidRPr="00314858">
        <w:rPr>
          <w:rFonts w:ascii="Times New Roman" w:hAnsi="Times New Roman" w:cs="Times New Roman"/>
          <w:lang w:val="sr-Latn-ME"/>
        </w:rPr>
        <w:t xml:space="preserve"> aPTT vr</w:t>
      </w:r>
      <w:r w:rsidR="00FC4201" w:rsidRPr="00314858">
        <w:rPr>
          <w:rFonts w:ascii="Times New Roman" w:hAnsi="Times New Roman" w:cs="Times New Roman"/>
          <w:lang w:val="sr-Latn-ME"/>
        </w:rPr>
        <w:t>ij</w:t>
      </w:r>
      <w:r w:rsidRPr="00314858">
        <w:rPr>
          <w:rFonts w:ascii="Times New Roman" w:hAnsi="Times New Roman" w:cs="Times New Roman"/>
          <w:lang w:val="sr-Latn-ME"/>
        </w:rPr>
        <w:t xml:space="preserve">ednosti treba tumačiti sa oprezom, </w:t>
      </w:r>
      <w:r w:rsidR="007749D2" w:rsidRPr="00314858">
        <w:rPr>
          <w:rFonts w:ascii="Times New Roman" w:hAnsi="Times New Roman" w:cs="Times New Roman"/>
          <w:lang w:val="sr-Latn-ME"/>
        </w:rPr>
        <w:t>velike</w:t>
      </w:r>
      <w:r w:rsidRPr="00314858">
        <w:rPr>
          <w:rFonts w:ascii="Times New Roman" w:hAnsi="Times New Roman" w:cs="Times New Roman"/>
          <w:lang w:val="sr-Latn-ME"/>
        </w:rPr>
        <w:t xml:space="preserve"> aPTT vr</w:t>
      </w:r>
      <w:r w:rsidR="00FC4201" w:rsidRPr="00314858">
        <w:rPr>
          <w:rFonts w:ascii="Times New Roman" w:hAnsi="Times New Roman" w:cs="Times New Roman"/>
          <w:lang w:val="sr-Latn-ME"/>
        </w:rPr>
        <w:t>ij</w:t>
      </w:r>
      <w:r w:rsidRPr="00314858">
        <w:rPr>
          <w:rFonts w:ascii="Times New Roman" w:hAnsi="Times New Roman" w:cs="Times New Roman"/>
          <w:lang w:val="sr-Latn-ME"/>
        </w:rPr>
        <w:t>ednosti ukazuju na antikoagulaciju kod pacijenta.</w:t>
      </w:r>
    </w:p>
    <w:p w14:paraId="31C2DBA5" w14:textId="77777777" w:rsidR="00F5483F" w:rsidRPr="00314858" w:rsidRDefault="00F5483F" w:rsidP="00D67D34">
      <w:pPr>
        <w:spacing w:after="0" w:line="240" w:lineRule="auto"/>
        <w:jc w:val="both"/>
        <w:rPr>
          <w:rFonts w:ascii="Times New Roman" w:hAnsi="Times New Roman" w:cs="Times New Roman"/>
          <w:lang w:val="sr-Latn-ME"/>
        </w:rPr>
      </w:pPr>
    </w:p>
    <w:p w14:paraId="0A17DE76" w14:textId="73EC7121"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Generalno se može pretpostaviti da ova m</w:t>
      </w:r>
      <w:r w:rsidR="00A56E0B" w:rsidRPr="00314858">
        <w:rPr>
          <w:rFonts w:ascii="Times New Roman" w:hAnsi="Times New Roman" w:cs="Times New Roman"/>
          <w:lang w:val="sr-Latn-ME"/>
        </w:rPr>
        <w:t>j</w:t>
      </w:r>
      <w:r w:rsidRPr="00314858">
        <w:rPr>
          <w:rFonts w:ascii="Times New Roman" w:hAnsi="Times New Roman" w:cs="Times New Roman"/>
          <w:lang w:val="sr-Latn-ME"/>
        </w:rPr>
        <w:t xml:space="preserve">erenja antikoagulacione aktivnosti mogu da odražavaju </w:t>
      </w:r>
      <w:r w:rsidR="00987E4A" w:rsidRPr="00314858">
        <w:rPr>
          <w:rFonts w:ascii="Times New Roman" w:hAnsi="Times New Roman" w:cs="Times New Roman"/>
          <w:lang w:val="sr-Latn-ME"/>
        </w:rPr>
        <w:t>koncentracije</w:t>
      </w:r>
      <w:r w:rsidRPr="00314858">
        <w:rPr>
          <w:rFonts w:ascii="Times New Roman" w:hAnsi="Times New Roman" w:cs="Times New Roman"/>
          <w:lang w:val="sr-Latn-ME"/>
        </w:rPr>
        <w:t xml:space="preserve"> dabigatrana i da mogu da daju sm</w:t>
      </w:r>
      <w:r w:rsidR="00A56E0B" w:rsidRPr="00314858">
        <w:rPr>
          <w:rFonts w:ascii="Times New Roman" w:hAnsi="Times New Roman" w:cs="Times New Roman"/>
          <w:lang w:val="sr-Latn-ME"/>
        </w:rPr>
        <w:t>j</w:t>
      </w:r>
      <w:r w:rsidRPr="00314858">
        <w:rPr>
          <w:rFonts w:ascii="Times New Roman" w:hAnsi="Times New Roman" w:cs="Times New Roman"/>
          <w:lang w:val="sr-Latn-ME"/>
        </w:rPr>
        <w:t>ernice u proc</w:t>
      </w:r>
      <w:r w:rsidR="00A56E0B" w:rsidRPr="00314858">
        <w:rPr>
          <w:rFonts w:ascii="Times New Roman" w:hAnsi="Times New Roman" w:cs="Times New Roman"/>
          <w:lang w:val="sr-Latn-ME"/>
        </w:rPr>
        <w:t>j</w:t>
      </w:r>
      <w:r w:rsidRPr="00314858">
        <w:rPr>
          <w:rFonts w:ascii="Times New Roman" w:hAnsi="Times New Roman" w:cs="Times New Roman"/>
          <w:lang w:val="sr-Latn-ME"/>
        </w:rPr>
        <w:t xml:space="preserve">eni rizika od krvarenja, tj.u slučaju da prelaze 90. percentil </w:t>
      </w:r>
      <w:r w:rsidR="00987E4A" w:rsidRPr="00314858">
        <w:rPr>
          <w:rFonts w:ascii="Times New Roman" w:hAnsi="Times New Roman" w:cs="Times New Roman"/>
          <w:lang w:val="sr-Latn-ME"/>
        </w:rPr>
        <w:t>najmanjih koncentracija</w:t>
      </w:r>
      <w:r w:rsidRPr="00314858">
        <w:rPr>
          <w:rFonts w:ascii="Times New Roman" w:hAnsi="Times New Roman" w:cs="Times New Roman"/>
          <w:lang w:val="sr-Latn-ME"/>
        </w:rPr>
        <w:t xml:space="preserve"> dabigatrana ili određivanje koagulacije kao što je aPTT m</w:t>
      </w:r>
      <w:r w:rsidR="00A56E0B" w:rsidRPr="00314858">
        <w:rPr>
          <w:rFonts w:ascii="Times New Roman" w:hAnsi="Times New Roman" w:cs="Times New Roman"/>
          <w:lang w:val="sr-Latn-ME"/>
        </w:rPr>
        <w:t>j</w:t>
      </w:r>
      <w:r w:rsidRPr="00314858">
        <w:rPr>
          <w:rFonts w:ascii="Times New Roman" w:hAnsi="Times New Roman" w:cs="Times New Roman"/>
          <w:lang w:val="sr-Latn-ME"/>
        </w:rPr>
        <w:t>ereno pri najmanjoj koncentraciji l</w:t>
      </w:r>
      <w:r w:rsidR="00FC4201" w:rsidRPr="00314858">
        <w:rPr>
          <w:rFonts w:ascii="Times New Roman" w:hAnsi="Times New Roman" w:cs="Times New Roman"/>
          <w:lang w:val="sr-Latn-ME"/>
        </w:rPr>
        <w:t>ij</w:t>
      </w:r>
      <w:r w:rsidRPr="00314858">
        <w:rPr>
          <w:rFonts w:ascii="Times New Roman" w:hAnsi="Times New Roman" w:cs="Times New Roman"/>
          <w:lang w:val="sr-Latn-ME"/>
        </w:rPr>
        <w:t>eka (za aPTT granične vr</w:t>
      </w:r>
      <w:r w:rsidR="00A56E0B" w:rsidRPr="00314858">
        <w:rPr>
          <w:rFonts w:ascii="Times New Roman" w:hAnsi="Times New Roman" w:cs="Times New Roman"/>
          <w:lang w:val="sr-Latn-ME"/>
        </w:rPr>
        <w:t>ij</w:t>
      </w:r>
      <w:r w:rsidRPr="00314858">
        <w:rPr>
          <w:rFonts w:ascii="Times New Roman" w:hAnsi="Times New Roman" w:cs="Times New Roman"/>
          <w:lang w:val="sr-Latn-ME"/>
        </w:rPr>
        <w:t>ednosti vid</w:t>
      </w:r>
      <w:r w:rsidR="00A56E0B"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987E4A" w:rsidRPr="00314858">
        <w:rPr>
          <w:rFonts w:ascii="Times New Roman" w:hAnsi="Times New Roman" w:cs="Times New Roman"/>
          <w:lang w:val="sr-Latn-ME"/>
        </w:rPr>
        <w:t>t</w:t>
      </w:r>
      <w:r w:rsidRPr="00314858">
        <w:rPr>
          <w:rFonts w:ascii="Times New Roman" w:hAnsi="Times New Roman" w:cs="Times New Roman"/>
          <w:lang w:val="sr-Latn-ME"/>
        </w:rPr>
        <w:t xml:space="preserve">abelu 5 u </w:t>
      </w:r>
      <w:r w:rsidR="00A56E0B" w:rsidRPr="00314858">
        <w:rPr>
          <w:rFonts w:ascii="Times New Roman" w:hAnsi="Times New Roman" w:cs="Times New Roman"/>
          <w:lang w:val="sr-Latn-ME"/>
        </w:rPr>
        <w:t>dijelu</w:t>
      </w:r>
      <w:r w:rsidRPr="00314858">
        <w:rPr>
          <w:rFonts w:ascii="Times New Roman" w:hAnsi="Times New Roman" w:cs="Times New Roman"/>
          <w:lang w:val="sr-Latn-ME"/>
        </w:rPr>
        <w:t xml:space="preserve"> 4.4) i smatra se da su povezana sa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povećanim rizikom od krvarenja.</w:t>
      </w:r>
    </w:p>
    <w:p w14:paraId="5F61380A" w14:textId="77777777" w:rsidR="00F5483F" w:rsidRPr="00314858" w:rsidRDefault="00F5483F" w:rsidP="00D67D34">
      <w:pPr>
        <w:spacing w:after="0" w:line="240" w:lineRule="auto"/>
        <w:jc w:val="both"/>
        <w:rPr>
          <w:rFonts w:ascii="Times New Roman" w:hAnsi="Times New Roman" w:cs="Times New Roman"/>
          <w:lang w:val="sr-Latn-ME"/>
        </w:rPr>
      </w:pPr>
    </w:p>
    <w:p w14:paraId="50BE04E5" w14:textId="388F3256"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 xml:space="preserve">Prevencija moždanog udara i sistemske embolije kod odraslih pacijenata sa </w:t>
      </w:r>
      <w:r w:rsidR="00987E4A" w:rsidRPr="00314858">
        <w:rPr>
          <w:rFonts w:ascii="Times New Roman" w:hAnsi="Times New Roman" w:cs="Times New Roman"/>
          <w:i/>
          <w:iCs/>
          <w:u w:val="single"/>
          <w:lang w:val="sr-Latn-ME"/>
        </w:rPr>
        <w:t>nevalvularnom atrijalnom fibrilacijom</w:t>
      </w:r>
      <w:r w:rsidRPr="00314858">
        <w:rPr>
          <w:rFonts w:ascii="Times New Roman" w:hAnsi="Times New Roman" w:cs="Times New Roman"/>
          <w:i/>
          <w:iCs/>
          <w:u w:val="single"/>
          <w:lang w:val="sr-Latn-ME"/>
        </w:rPr>
        <w:t xml:space="preserve"> sa jednim ili više faktora rizika (</w:t>
      </w:r>
      <w:r w:rsidR="00987E4A" w:rsidRPr="00314858">
        <w:rPr>
          <w:rFonts w:ascii="Times New Roman" w:hAnsi="Times New Roman" w:cs="Times New Roman"/>
          <w:i/>
          <w:iCs/>
          <w:u w:val="single"/>
          <w:lang w:val="sr-Latn-ME"/>
        </w:rPr>
        <w:t>prevencija MU i SE kod AF</w:t>
      </w:r>
      <w:r w:rsidRPr="00314858">
        <w:rPr>
          <w:rFonts w:ascii="Times New Roman" w:hAnsi="Times New Roman" w:cs="Times New Roman"/>
          <w:i/>
          <w:iCs/>
          <w:u w:val="single"/>
          <w:lang w:val="sr-Latn-ME"/>
        </w:rPr>
        <w:t>)</w:t>
      </w:r>
    </w:p>
    <w:p w14:paraId="06B8ECC6" w14:textId="77777777" w:rsidR="00F5483F" w:rsidRPr="00314858" w:rsidRDefault="00F5483F" w:rsidP="00D67D34">
      <w:pPr>
        <w:spacing w:after="0" w:line="240" w:lineRule="auto"/>
        <w:jc w:val="both"/>
        <w:rPr>
          <w:rFonts w:ascii="Times New Roman" w:hAnsi="Times New Roman" w:cs="Times New Roman"/>
          <w:i/>
          <w:iCs/>
          <w:u w:val="single"/>
          <w:lang w:val="sr-Latn-ME"/>
        </w:rPr>
      </w:pPr>
    </w:p>
    <w:p w14:paraId="24CEAF97" w14:textId="407A05B6"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Geometrijska srednja vr</w:t>
      </w:r>
      <w:r w:rsidR="00A56E0B" w:rsidRPr="00314858">
        <w:rPr>
          <w:rFonts w:ascii="Times New Roman" w:hAnsi="Times New Roman" w:cs="Times New Roman"/>
          <w:lang w:val="sr-Latn-ME"/>
        </w:rPr>
        <w:t>ij</w:t>
      </w:r>
      <w:r w:rsidRPr="00314858">
        <w:rPr>
          <w:rFonts w:ascii="Times New Roman" w:hAnsi="Times New Roman" w:cs="Times New Roman"/>
          <w:lang w:val="sr-Latn-ME"/>
        </w:rPr>
        <w:t>ednost najveće konce</w:t>
      </w:r>
      <w:r w:rsidR="00A56E0B" w:rsidRPr="00314858">
        <w:rPr>
          <w:rFonts w:ascii="Times New Roman" w:hAnsi="Times New Roman" w:cs="Times New Roman"/>
          <w:lang w:val="sr-Latn-ME"/>
        </w:rPr>
        <w:t>n</w:t>
      </w:r>
      <w:r w:rsidRPr="00314858">
        <w:rPr>
          <w:rFonts w:ascii="Times New Roman" w:hAnsi="Times New Roman" w:cs="Times New Roman"/>
          <w:lang w:val="sr-Latn-ME"/>
        </w:rPr>
        <w:t>tracije dabigatrana u plazmi u stanju</w:t>
      </w:r>
      <w:r w:rsidR="00F948D9" w:rsidRPr="00314858">
        <w:rPr>
          <w:rFonts w:ascii="Times New Roman" w:hAnsi="Times New Roman" w:cs="Times New Roman"/>
          <w:lang w:val="sr-Latn-ME"/>
        </w:rPr>
        <w:t xml:space="preserve"> dinamičke</w:t>
      </w:r>
      <w:r w:rsidRPr="00314858">
        <w:rPr>
          <w:rFonts w:ascii="Times New Roman" w:hAnsi="Times New Roman" w:cs="Times New Roman"/>
          <w:lang w:val="sr-Latn-ME"/>
        </w:rPr>
        <w:t xml:space="preserve"> ravnoteže, m</w:t>
      </w:r>
      <w:r w:rsidR="00A56E0B" w:rsidRPr="00314858">
        <w:rPr>
          <w:rFonts w:ascii="Times New Roman" w:hAnsi="Times New Roman" w:cs="Times New Roman"/>
          <w:lang w:val="sr-Latn-ME"/>
        </w:rPr>
        <w:t>j</w:t>
      </w:r>
      <w:r w:rsidRPr="00314858">
        <w:rPr>
          <w:rFonts w:ascii="Times New Roman" w:hAnsi="Times New Roman" w:cs="Times New Roman"/>
          <w:lang w:val="sr-Latn-ME"/>
        </w:rPr>
        <w:t>erena oko 2 sata nakon prim</w:t>
      </w:r>
      <w:r w:rsidR="00F948D9" w:rsidRPr="00314858">
        <w:rPr>
          <w:rFonts w:ascii="Times New Roman" w:hAnsi="Times New Roman" w:cs="Times New Roman"/>
          <w:lang w:val="sr-Latn-ME"/>
        </w:rPr>
        <w:t>j</w:t>
      </w:r>
      <w:r w:rsidRPr="00314858">
        <w:rPr>
          <w:rFonts w:ascii="Times New Roman" w:hAnsi="Times New Roman" w:cs="Times New Roman"/>
          <w:lang w:val="sr-Latn-ME"/>
        </w:rPr>
        <w:t>ene 150 mg dabigatraneteksilata dva puta dnevno,</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iznosila je 175 nanograma/m</w:t>
      </w:r>
      <w:r w:rsidR="00F948D9" w:rsidRPr="00314858">
        <w:rPr>
          <w:rFonts w:ascii="Times New Roman" w:hAnsi="Times New Roman" w:cs="Times New Roman"/>
          <w:lang w:val="sr-Latn-ME"/>
        </w:rPr>
        <w:t>l</w:t>
      </w:r>
      <w:r w:rsidRPr="00314858">
        <w:rPr>
          <w:rFonts w:ascii="Times New Roman" w:hAnsi="Times New Roman" w:cs="Times New Roman"/>
          <w:lang w:val="sr-Latn-ME"/>
        </w:rPr>
        <w:t xml:space="preserve">, sa opsegom 117 </w:t>
      </w:r>
      <w:r w:rsidR="001347BD" w:rsidRPr="00314858">
        <w:rPr>
          <w:rFonts w:ascii="Times New Roman" w:hAnsi="Times New Roman" w:cs="Times New Roman"/>
          <w:lang w:val="sr-Latn-ME"/>
        </w:rPr>
        <w:t>–</w:t>
      </w:r>
      <w:r w:rsidRPr="00314858">
        <w:rPr>
          <w:rFonts w:ascii="Times New Roman" w:hAnsi="Times New Roman" w:cs="Times New Roman"/>
          <w:lang w:val="sr-Latn-ME"/>
        </w:rPr>
        <w:t xml:space="preserve"> 275 nanograma/m</w:t>
      </w:r>
      <w:r w:rsidR="00F948D9" w:rsidRPr="00314858">
        <w:rPr>
          <w:rFonts w:ascii="Times New Roman" w:hAnsi="Times New Roman" w:cs="Times New Roman"/>
          <w:lang w:val="sr-Latn-ME"/>
        </w:rPr>
        <w:t>l</w:t>
      </w:r>
      <w:r w:rsidRPr="00314858">
        <w:rPr>
          <w:rFonts w:ascii="Times New Roman" w:hAnsi="Times New Roman" w:cs="Times New Roman"/>
          <w:lang w:val="sr-Latn-ME"/>
        </w:rPr>
        <w:t xml:space="preserve"> (25. </w:t>
      </w:r>
      <w:r w:rsidR="001347BD" w:rsidRPr="00314858">
        <w:rPr>
          <w:rFonts w:ascii="Times New Roman" w:hAnsi="Times New Roman" w:cs="Times New Roman"/>
          <w:lang w:val="sr-Latn-ME"/>
        </w:rPr>
        <w:t>–</w:t>
      </w:r>
      <w:r w:rsidRPr="00314858">
        <w:rPr>
          <w:rFonts w:ascii="Times New Roman" w:hAnsi="Times New Roman" w:cs="Times New Roman"/>
          <w:lang w:val="sr-Latn-ME"/>
        </w:rPr>
        <w:t xml:space="preserve"> 75. opseg percentila).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Geometrijska srednja vr</w:t>
      </w:r>
      <w:r w:rsidR="00A56E0B" w:rsidRPr="00314858">
        <w:rPr>
          <w:rFonts w:ascii="Times New Roman" w:hAnsi="Times New Roman" w:cs="Times New Roman"/>
          <w:lang w:val="sr-Latn-ME"/>
        </w:rPr>
        <w:t>ij</w:t>
      </w:r>
      <w:r w:rsidRPr="00314858">
        <w:rPr>
          <w:rFonts w:ascii="Times New Roman" w:hAnsi="Times New Roman" w:cs="Times New Roman"/>
          <w:lang w:val="sr-Latn-ME"/>
        </w:rPr>
        <w:t>ednost najmanje koncentracije dabigatrana m</w:t>
      </w:r>
      <w:r w:rsidR="00A56E0B" w:rsidRPr="00314858">
        <w:rPr>
          <w:rFonts w:ascii="Times New Roman" w:hAnsi="Times New Roman" w:cs="Times New Roman"/>
          <w:lang w:val="sr-Latn-ME"/>
        </w:rPr>
        <w:t>j</w:t>
      </w:r>
      <w:r w:rsidRPr="00314858">
        <w:rPr>
          <w:rFonts w:ascii="Times New Roman" w:hAnsi="Times New Roman" w:cs="Times New Roman"/>
          <w:lang w:val="sr-Latn-ME"/>
        </w:rPr>
        <w:t>erene ujutru</w:t>
      </w:r>
      <w:r w:rsidR="00E00FAF" w:rsidRPr="00314858">
        <w:rPr>
          <w:rFonts w:ascii="Times New Roman" w:hAnsi="Times New Roman" w:cs="Times New Roman"/>
          <w:lang w:val="sr-Latn-ME"/>
        </w:rPr>
        <w:t>,</w:t>
      </w:r>
      <w:r w:rsidRPr="00314858">
        <w:rPr>
          <w:rFonts w:ascii="Times New Roman" w:hAnsi="Times New Roman" w:cs="Times New Roman"/>
          <w:lang w:val="sr-Latn-ME"/>
        </w:rPr>
        <w:t xml:space="preserve"> na kraju intervala doziranja (tj. 12 sati nakon večernje doze dabigatrana od 150 mg), iznosila je u pros</w:t>
      </w:r>
      <w:r w:rsidR="00A56E0B" w:rsidRPr="00314858">
        <w:rPr>
          <w:rFonts w:ascii="Times New Roman" w:hAnsi="Times New Roman" w:cs="Times New Roman"/>
          <w:lang w:val="sr-Latn-ME"/>
        </w:rPr>
        <w:t>j</w:t>
      </w:r>
      <w:r w:rsidRPr="00314858">
        <w:rPr>
          <w:rFonts w:ascii="Times New Roman" w:hAnsi="Times New Roman" w:cs="Times New Roman"/>
          <w:lang w:val="sr-Latn-ME"/>
        </w:rPr>
        <w:t>eku 91,0 nanograma/m</w:t>
      </w:r>
      <w:r w:rsidR="00F948D9" w:rsidRPr="00314858">
        <w:rPr>
          <w:rFonts w:ascii="Times New Roman" w:hAnsi="Times New Roman" w:cs="Times New Roman"/>
          <w:lang w:val="sr-Latn-ME"/>
        </w:rPr>
        <w:t>l</w:t>
      </w:r>
      <w:r w:rsidRPr="00314858">
        <w:rPr>
          <w:rFonts w:ascii="Times New Roman" w:hAnsi="Times New Roman" w:cs="Times New Roman"/>
          <w:lang w:val="sr-Latn-ME"/>
        </w:rPr>
        <w:t xml:space="preserve">, sa opsegom 61,0 </w:t>
      </w:r>
      <w:r w:rsidR="001347BD" w:rsidRPr="00314858">
        <w:rPr>
          <w:rFonts w:ascii="Times New Roman" w:hAnsi="Times New Roman" w:cs="Times New Roman"/>
          <w:lang w:val="sr-Latn-ME"/>
        </w:rPr>
        <w:t>–</w:t>
      </w:r>
      <w:r w:rsidRPr="00314858">
        <w:rPr>
          <w:rFonts w:ascii="Times New Roman" w:hAnsi="Times New Roman" w:cs="Times New Roman"/>
          <w:lang w:val="sr-Latn-ME"/>
        </w:rPr>
        <w:t xml:space="preserve"> 143 nanograma/m</w:t>
      </w:r>
      <w:r w:rsidR="00F948D9" w:rsidRPr="00314858">
        <w:rPr>
          <w:rFonts w:ascii="Times New Roman" w:hAnsi="Times New Roman" w:cs="Times New Roman"/>
          <w:lang w:val="sr-Latn-ME"/>
        </w:rPr>
        <w:t>l</w:t>
      </w:r>
      <w:r w:rsidRPr="00314858">
        <w:rPr>
          <w:rFonts w:ascii="Times New Roman" w:hAnsi="Times New Roman" w:cs="Times New Roman"/>
          <w:lang w:val="sr-Latn-ME"/>
        </w:rPr>
        <w:t xml:space="preserve"> (25. – 75. opseg percentila).</w:t>
      </w:r>
    </w:p>
    <w:p w14:paraId="26BD1D0E" w14:textId="77777777" w:rsidR="00E00FAF" w:rsidRPr="00314858" w:rsidRDefault="00E00FAF" w:rsidP="00D67D34">
      <w:pPr>
        <w:spacing w:after="0" w:line="240" w:lineRule="auto"/>
        <w:jc w:val="both"/>
        <w:rPr>
          <w:rFonts w:ascii="Times New Roman" w:hAnsi="Times New Roman" w:cs="Times New Roman"/>
          <w:lang w:val="sr-Latn-ME"/>
        </w:rPr>
      </w:pPr>
    </w:p>
    <w:p w14:paraId="4AC7CB61" w14:textId="355C9074" w:rsidR="00F5483F"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Kod pacijenata sa </w:t>
      </w:r>
      <w:r w:rsidR="00AE53F4" w:rsidRPr="00314858">
        <w:rPr>
          <w:rFonts w:ascii="Times New Roman" w:hAnsi="Times New Roman" w:cs="Times New Roman"/>
          <w:lang w:val="sr-Latn-ME"/>
        </w:rPr>
        <w:t>atrijalnom nevalvularnom fibrilacijom</w:t>
      </w:r>
      <w:r w:rsidRPr="00314858">
        <w:rPr>
          <w:rFonts w:ascii="Times New Roman" w:hAnsi="Times New Roman" w:cs="Times New Roman"/>
          <w:lang w:val="sr-Latn-ME"/>
        </w:rPr>
        <w:t xml:space="preserve"> na terapiji zbog prevencije moždanog udara i sistemske embolije sa 150 mg dabigatraneteksilata dva puta dnevno,</w:t>
      </w:r>
    </w:p>
    <w:p w14:paraId="4939BBFE" w14:textId="2439F2C2"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90. percentil koncentracije dabigatrana u plazmi iznosio je 200 nanograma/m</w:t>
      </w:r>
      <w:r w:rsidR="00F948D9" w:rsidRPr="00314858">
        <w:rPr>
          <w:rFonts w:ascii="Times New Roman" w:eastAsia="Times New Roman" w:hAnsi="Times New Roman" w:cs="Times New Roman"/>
          <w:color w:val="000000" w:themeColor="text1"/>
          <w:lang w:val="sr-Latn-ME" w:bidi="en-US"/>
        </w:rPr>
        <w:t>l</w:t>
      </w:r>
      <w:r w:rsidRPr="00314858">
        <w:rPr>
          <w:rFonts w:ascii="Times New Roman" w:eastAsia="Times New Roman" w:hAnsi="Times New Roman" w:cs="Times New Roman"/>
          <w:color w:val="000000" w:themeColor="text1"/>
          <w:lang w:val="sr-Latn-ME" w:bidi="en-US"/>
        </w:rPr>
        <w:t>, m</w:t>
      </w:r>
      <w:r w:rsidR="00A56E0B"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ereno pri najmanjoj koncentraciji (10-16 sati nakon prethodne doze),</w:t>
      </w:r>
    </w:p>
    <w:p w14:paraId="46EDD391" w14:textId="6B24286A"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lastRenderedPageBreak/>
        <w:t>vr</w:t>
      </w:r>
      <w:r w:rsidR="00A56E0B"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 xml:space="preserve">ednost ECT pri najmanjoj koncentraciji (10-16 sati nakon prethodne doze), bila je </w:t>
      </w:r>
      <w:r w:rsidR="00AE53F4" w:rsidRPr="00314858">
        <w:rPr>
          <w:rFonts w:ascii="Times New Roman" w:eastAsia="Times New Roman" w:hAnsi="Times New Roman" w:cs="Times New Roman"/>
          <w:color w:val="000000" w:themeColor="text1"/>
          <w:lang w:val="sr-Latn-ME" w:bidi="en-US"/>
        </w:rPr>
        <w:t>povećana</w:t>
      </w:r>
      <w:r w:rsidRPr="00314858">
        <w:rPr>
          <w:rFonts w:ascii="Times New Roman" w:eastAsia="Times New Roman" w:hAnsi="Times New Roman" w:cs="Times New Roman"/>
          <w:color w:val="000000" w:themeColor="text1"/>
          <w:lang w:val="sr-Latn-ME" w:bidi="en-US"/>
        </w:rPr>
        <w:t xml:space="preserve"> otprilike 3 puta iznad gornje granice normal</w:t>
      </w:r>
      <w:r w:rsidR="00AE53F4" w:rsidRPr="00314858">
        <w:rPr>
          <w:rFonts w:ascii="Times New Roman" w:eastAsia="Times New Roman" w:hAnsi="Times New Roman" w:cs="Times New Roman"/>
          <w:color w:val="000000" w:themeColor="text1"/>
          <w:lang w:val="sr-Latn-ME" w:bidi="en-US"/>
        </w:rPr>
        <w:t>ne vr</w:t>
      </w:r>
      <w:r w:rsidR="00A56E0B" w:rsidRPr="00314858">
        <w:rPr>
          <w:rFonts w:ascii="Times New Roman" w:eastAsia="Times New Roman" w:hAnsi="Times New Roman" w:cs="Times New Roman"/>
          <w:color w:val="000000" w:themeColor="text1"/>
          <w:lang w:val="sr-Latn-ME" w:bidi="en-US"/>
        </w:rPr>
        <w:t>ij</w:t>
      </w:r>
      <w:r w:rsidR="00AE53F4" w:rsidRPr="00314858">
        <w:rPr>
          <w:rFonts w:ascii="Times New Roman" w:eastAsia="Times New Roman" w:hAnsi="Times New Roman" w:cs="Times New Roman"/>
          <w:color w:val="000000" w:themeColor="text1"/>
          <w:lang w:val="sr-Latn-ME" w:bidi="en-US"/>
        </w:rPr>
        <w:t>ednosti</w:t>
      </w:r>
      <w:r w:rsidRPr="00314858">
        <w:rPr>
          <w:rFonts w:ascii="Times New Roman" w:eastAsia="Times New Roman" w:hAnsi="Times New Roman" w:cs="Times New Roman"/>
          <w:color w:val="000000" w:themeColor="text1"/>
          <w:lang w:val="sr-Latn-ME" w:bidi="en-US"/>
        </w:rPr>
        <w:t xml:space="preserve">, sto je odgovaralo </w:t>
      </w:r>
      <w:r w:rsidR="00AE53F4" w:rsidRPr="00314858">
        <w:rPr>
          <w:rFonts w:ascii="Times New Roman" w:eastAsia="Times New Roman" w:hAnsi="Times New Roman" w:cs="Times New Roman"/>
          <w:color w:val="000000" w:themeColor="text1"/>
          <w:lang w:val="sr-Latn-ME" w:bidi="en-US"/>
        </w:rPr>
        <w:t>prim</w:t>
      </w:r>
      <w:r w:rsidR="00A56E0B" w:rsidRPr="00314858">
        <w:rPr>
          <w:rFonts w:ascii="Times New Roman" w:eastAsia="Times New Roman" w:hAnsi="Times New Roman" w:cs="Times New Roman"/>
          <w:color w:val="000000" w:themeColor="text1"/>
          <w:lang w:val="sr-Latn-ME" w:bidi="en-US"/>
        </w:rPr>
        <w:t>ij</w:t>
      </w:r>
      <w:r w:rsidR="00AE53F4" w:rsidRPr="00314858">
        <w:rPr>
          <w:rFonts w:ascii="Times New Roman" w:eastAsia="Times New Roman" w:hAnsi="Times New Roman" w:cs="Times New Roman"/>
          <w:color w:val="000000" w:themeColor="text1"/>
          <w:lang w:val="sr-Latn-ME" w:bidi="en-US"/>
        </w:rPr>
        <w:t>ećenom</w:t>
      </w:r>
      <w:r w:rsidRPr="00314858">
        <w:rPr>
          <w:rFonts w:ascii="Times New Roman" w:eastAsia="Times New Roman" w:hAnsi="Times New Roman" w:cs="Times New Roman"/>
          <w:color w:val="000000" w:themeColor="text1"/>
          <w:lang w:val="sr-Latn-ME" w:bidi="en-US"/>
        </w:rPr>
        <w:t xml:space="preserve"> 90. percentilu produženja ECT od 103 sekunde,</w:t>
      </w:r>
    </w:p>
    <w:p w14:paraId="2CDA48C7" w14:textId="62B3ECC3"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aPTT odnos dvostruko već</w:t>
      </w:r>
      <w:r w:rsidR="008405C8" w:rsidRPr="00314858">
        <w:rPr>
          <w:rFonts w:ascii="Times New Roman" w:eastAsia="Times New Roman" w:hAnsi="Times New Roman" w:cs="Times New Roman"/>
          <w:color w:val="000000" w:themeColor="text1"/>
          <w:lang w:val="sr-Latn-ME" w:bidi="en-US"/>
        </w:rPr>
        <w:t>i</w:t>
      </w:r>
      <w:r w:rsidRPr="00314858">
        <w:rPr>
          <w:rFonts w:ascii="Times New Roman" w:eastAsia="Times New Roman" w:hAnsi="Times New Roman" w:cs="Times New Roman"/>
          <w:color w:val="000000" w:themeColor="text1"/>
          <w:lang w:val="sr-Latn-ME" w:bidi="en-US"/>
        </w:rPr>
        <w:t xml:space="preserve"> od </w:t>
      </w:r>
      <w:r w:rsidR="008405C8" w:rsidRPr="00314858">
        <w:rPr>
          <w:rFonts w:ascii="Times New Roman" w:eastAsia="Times New Roman" w:hAnsi="Times New Roman" w:cs="Times New Roman"/>
          <w:color w:val="000000" w:themeColor="text1"/>
          <w:lang w:val="sr-Latn-ME" w:bidi="en-US"/>
        </w:rPr>
        <w:t>GGN</w:t>
      </w:r>
      <w:r w:rsidRPr="00314858">
        <w:rPr>
          <w:rFonts w:ascii="Times New Roman" w:eastAsia="Times New Roman" w:hAnsi="Times New Roman" w:cs="Times New Roman"/>
          <w:color w:val="000000" w:themeColor="text1"/>
          <w:lang w:val="sr-Latn-ME" w:bidi="en-US"/>
        </w:rPr>
        <w:t xml:space="preserve"> (produženje aPTT od oko 80 sekundi), pri najmanjoj koncentraciji (10-16 sati nakon prethodne doze) odgovara</w:t>
      </w:r>
      <w:r w:rsidR="008405C8" w:rsidRPr="00314858">
        <w:rPr>
          <w:rFonts w:ascii="Times New Roman" w:eastAsia="Times New Roman" w:hAnsi="Times New Roman" w:cs="Times New Roman"/>
          <w:color w:val="000000" w:themeColor="text1"/>
          <w:lang w:val="sr-Latn-ME" w:bidi="en-US"/>
        </w:rPr>
        <w:t>o</w:t>
      </w:r>
      <w:r w:rsidRPr="00314858">
        <w:rPr>
          <w:rFonts w:ascii="Times New Roman" w:eastAsia="Times New Roman" w:hAnsi="Times New Roman" w:cs="Times New Roman"/>
          <w:color w:val="000000" w:themeColor="text1"/>
          <w:lang w:val="sr-Latn-ME" w:bidi="en-US"/>
        </w:rPr>
        <w:t xml:space="preserve"> je </w:t>
      </w:r>
      <w:r w:rsidR="008405C8" w:rsidRPr="00314858">
        <w:rPr>
          <w:rFonts w:ascii="Times New Roman" w:eastAsia="Times New Roman" w:hAnsi="Times New Roman" w:cs="Times New Roman"/>
          <w:color w:val="000000" w:themeColor="text1"/>
          <w:lang w:val="sr-Latn-ME" w:bidi="en-US"/>
        </w:rPr>
        <w:t>prim</w:t>
      </w:r>
      <w:r w:rsidR="00A56E0B" w:rsidRPr="00314858">
        <w:rPr>
          <w:rFonts w:ascii="Times New Roman" w:eastAsia="Times New Roman" w:hAnsi="Times New Roman" w:cs="Times New Roman"/>
          <w:color w:val="000000" w:themeColor="text1"/>
          <w:lang w:val="sr-Latn-ME" w:bidi="en-US"/>
        </w:rPr>
        <w:t>ij</w:t>
      </w:r>
      <w:r w:rsidR="008405C8" w:rsidRPr="00314858">
        <w:rPr>
          <w:rFonts w:ascii="Times New Roman" w:eastAsia="Times New Roman" w:hAnsi="Times New Roman" w:cs="Times New Roman"/>
          <w:color w:val="000000" w:themeColor="text1"/>
          <w:lang w:val="sr-Latn-ME" w:bidi="en-US"/>
        </w:rPr>
        <w:t>ećenom</w:t>
      </w:r>
      <w:r w:rsidRPr="00314858">
        <w:rPr>
          <w:rFonts w:ascii="Times New Roman" w:eastAsia="Times New Roman" w:hAnsi="Times New Roman" w:cs="Times New Roman"/>
          <w:color w:val="000000" w:themeColor="text1"/>
          <w:lang w:val="sr-Latn-ME" w:bidi="en-US"/>
        </w:rPr>
        <w:t xml:space="preserve"> 90. percentilu.</w:t>
      </w:r>
    </w:p>
    <w:p w14:paraId="4D26D1BC" w14:textId="77777777" w:rsidR="00D67D34" w:rsidRPr="00314858" w:rsidRDefault="00D67D34" w:rsidP="00D67D34">
      <w:pPr>
        <w:spacing w:after="0" w:line="240" w:lineRule="auto"/>
        <w:jc w:val="both"/>
        <w:rPr>
          <w:rFonts w:ascii="Times New Roman" w:hAnsi="Times New Roman" w:cs="Times New Roman"/>
          <w:i/>
          <w:iCs/>
          <w:u w:val="single"/>
          <w:lang w:val="sr-Latn-ME"/>
        </w:rPr>
      </w:pPr>
    </w:p>
    <w:p w14:paraId="6548F229" w14:textId="140D608A"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Terapija DVT i PE i prevencija rekurentne DVT i PE kod odraslih (DVT/PE)</w:t>
      </w:r>
    </w:p>
    <w:p w14:paraId="2F7841B3" w14:textId="77777777" w:rsidR="00F5483F" w:rsidRPr="00314858" w:rsidRDefault="00F5483F" w:rsidP="00D67D34">
      <w:pPr>
        <w:spacing w:after="0" w:line="240" w:lineRule="auto"/>
        <w:jc w:val="both"/>
        <w:rPr>
          <w:rFonts w:ascii="Times New Roman" w:hAnsi="Times New Roman" w:cs="Times New Roman"/>
          <w:i/>
          <w:iCs/>
          <w:u w:val="single"/>
          <w:lang w:val="sr-Latn-ME"/>
        </w:rPr>
      </w:pPr>
    </w:p>
    <w:p w14:paraId="67F2220B" w14:textId="749C8B9C" w:rsidR="00F5483F"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Kod pacijenata koji </w:t>
      </w:r>
      <w:r w:rsidR="008405C8" w:rsidRPr="00314858">
        <w:rPr>
          <w:rFonts w:ascii="Times New Roman" w:hAnsi="Times New Roman" w:cs="Times New Roman"/>
          <w:lang w:val="sr-Latn-ME"/>
        </w:rPr>
        <w:t>su na terapiji</w:t>
      </w:r>
      <w:r w:rsidRPr="00314858">
        <w:rPr>
          <w:rFonts w:ascii="Times New Roman" w:hAnsi="Times New Roman" w:cs="Times New Roman"/>
          <w:lang w:val="sr-Latn-ME"/>
        </w:rPr>
        <w:t xml:space="preserve"> sa 150 mg dabigatraneteksilata dva puta dnevno</w:t>
      </w:r>
      <w:r w:rsidR="008405C8" w:rsidRPr="00314858">
        <w:rPr>
          <w:rFonts w:ascii="Times New Roman" w:hAnsi="Times New Roman" w:cs="Times New Roman"/>
          <w:lang w:val="sr-Latn-ME"/>
        </w:rPr>
        <w:t xml:space="preserve"> zbog DVT i PE,</w:t>
      </w:r>
      <w:r w:rsidRPr="00314858">
        <w:rPr>
          <w:rFonts w:ascii="Times New Roman" w:hAnsi="Times New Roman" w:cs="Times New Roman"/>
          <w:lang w:val="sr-Latn-ME"/>
        </w:rPr>
        <w:t xml:space="preserve"> geometrijska srednja vr</w:t>
      </w:r>
      <w:r w:rsidR="00FC4201" w:rsidRPr="00314858">
        <w:rPr>
          <w:rFonts w:ascii="Times New Roman" w:hAnsi="Times New Roman" w:cs="Times New Roman"/>
          <w:lang w:val="sr-Latn-ME"/>
        </w:rPr>
        <w:t>ij</w:t>
      </w:r>
      <w:r w:rsidRPr="00314858">
        <w:rPr>
          <w:rFonts w:ascii="Times New Roman" w:hAnsi="Times New Roman" w:cs="Times New Roman"/>
          <w:lang w:val="sr-Latn-ME"/>
        </w:rPr>
        <w:t>ednost najmanje koncentracije dabigatrana, m</w:t>
      </w:r>
      <w:r w:rsidR="00A56E0B" w:rsidRPr="00314858">
        <w:rPr>
          <w:rFonts w:ascii="Times New Roman" w:hAnsi="Times New Roman" w:cs="Times New Roman"/>
          <w:lang w:val="sr-Latn-ME"/>
        </w:rPr>
        <w:t>j</w:t>
      </w:r>
      <w:r w:rsidRPr="00314858">
        <w:rPr>
          <w:rFonts w:ascii="Times New Roman" w:hAnsi="Times New Roman" w:cs="Times New Roman"/>
          <w:lang w:val="sr-Latn-ME"/>
        </w:rPr>
        <w:t>erena unutar</w:t>
      </w:r>
      <w:r w:rsidRPr="00314858" w:rsidDel="00673072">
        <w:rPr>
          <w:rFonts w:ascii="Times New Roman" w:hAnsi="Times New Roman" w:cs="Times New Roman"/>
          <w:lang w:val="sr-Latn-ME"/>
        </w:rPr>
        <w:t xml:space="preserve"> </w:t>
      </w:r>
      <w:r w:rsidRPr="00314858">
        <w:rPr>
          <w:rFonts w:ascii="Times New Roman" w:hAnsi="Times New Roman" w:cs="Times New Roman"/>
          <w:lang w:val="sr-Latn-ME"/>
        </w:rPr>
        <w:t>10−16 sati nakon prim</w:t>
      </w:r>
      <w:r w:rsidR="00FC4201" w:rsidRPr="00314858">
        <w:rPr>
          <w:rFonts w:ascii="Times New Roman" w:hAnsi="Times New Roman" w:cs="Times New Roman"/>
          <w:lang w:val="sr-Latn-ME"/>
        </w:rPr>
        <w:t>j</w:t>
      </w:r>
      <w:r w:rsidRPr="00314858">
        <w:rPr>
          <w:rFonts w:ascii="Times New Roman" w:hAnsi="Times New Roman" w:cs="Times New Roman"/>
          <w:lang w:val="sr-Latn-ME"/>
        </w:rPr>
        <w:t>ene doze, na kraju intervala doziranja (tj. 12 sati nakon večernje doze 150 mg dabigatrana), bila je 59,7 nanograma/m</w:t>
      </w:r>
      <w:r w:rsidR="00F948D9" w:rsidRPr="00314858">
        <w:rPr>
          <w:rFonts w:ascii="Times New Roman" w:hAnsi="Times New Roman" w:cs="Times New Roman"/>
          <w:lang w:val="sr-Latn-ME"/>
        </w:rPr>
        <w:t>l</w:t>
      </w:r>
      <w:r w:rsidRPr="00314858">
        <w:rPr>
          <w:rFonts w:ascii="Times New Roman" w:hAnsi="Times New Roman" w:cs="Times New Roman"/>
          <w:lang w:val="sr-Latn-ME"/>
        </w:rPr>
        <w:t>, sa opsegom od 38,6 </w:t>
      </w:r>
      <w:r w:rsidR="001347BD" w:rsidRPr="00314858">
        <w:rPr>
          <w:rFonts w:ascii="Times New Roman" w:hAnsi="Times New Roman" w:cs="Times New Roman"/>
          <w:lang w:val="sr-Latn-ME"/>
        </w:rPr>
        <w:t>–</w:t>
      </w:r>
      <w:r w:rsidRPr="00314858">
        <w:rPr>
          <w:rFonts w:ascii="Times New Roman" w:hAnsi="Times New Roman" w:cs="Times New Roman"/>
          <w:lang w:val="sr-Latn-ME"/>
        </w:rPr>
        <w:t> 94,5 nanograma/m</w:t>
      </w:r>
      <w:r w:rsidR="00F948D9" w:rsidRPr="00314858">
        <w:rPr>
          <w:rFonts w:ascii="Times New Roman" w:hAnsi="Times New Roman" w:cs="Times New Roman"/>
          <w:lang w:val="sr-Latn-ME"/>
        </w:rPr>
        <w:t>l</w:t>
      </w:r>
      <w:r w:rsidRPr="00314858">
        <w:rPr>
          <w:rFonts w:ascii="Times New Roman" w:hAnsi="Times New Roman" w:cs="Times New Roman"/>
          <w:lang w:val="sr-Latn-ME"/>
        </w:rPr>
        <w:t xml:space="preserve"> (25.-75. opseg percentila). Za </w:t>
      </w:r>
      <w:r w:rsidR="008E0D72" w:rsidRPr="00314858">
        <w:rPr>
          <w:rFonts w:ascii="Times New Roman" w:hAnsi="Times New Roman" w:cs="Times New Roman"/>
          <w:lang w:val="sr-Latn-ME"/>
        </w:rPr>
        <w:t>terapiju</w:t>
      </w:r>
      <w:r w:rsidRPr="00314858">
        <w:rPr>
          <w:rFonts w:ascii="Times New Roman" w:hAnsi="Times New Roman" w:cs="Times New Roman"/>
          <w:lang w:val="sr-Latn-ME"/>
        </w:rPr>
        <w:t xml:space="preserve"> DVT i PE dabigatraneteksilatom 150 mg dva puta dnevno,</w:t>
      </w:r>
    </w:p>
    <w:p w14:paraId="3425E9C7" w14:textId="34A4DD41"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90. percentil koncentracije dabigatrana u plazmi m</w:t>
      </w:r>
      <w:r w:rsidR="00A56E0B"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erene pri najmanjoj koncentraciji (10-16 sati nakon prethodne doze) iznosio je oko 146 nanograma/m</w:t>
      </w:r>
      <w:r w:rsidR="00F948D9" w:rsidRPr="00314858">
        <w:rPr>
          <w:rFonts w:ascii="Times New Roman" w:eastAsia="Times New Roman" w:hAnsi="Times New Roman" w:cs="Times New Roman"/>
          <w:color w:val="000000" w:themeColor="text1"/>
          <w:lang w:val="sr-Latn-ME" w:bidi="en-US"/>
        </w:rPr>
        <w:t>l</w:t>
      </w:r>
      <w:r w:rsidRPr="00314858">
        <w:rPr>
          <w:rFonts w:ascii="Times New Roman" w:eastAsia="Times New Roman" w:hAnsi="Times New Roman" w:cs="Times New Roman"/>
          <w:color w:val="000000" w:themeColor="text1"/>
          <w:lang w:val="sr-Latn-ME" w:bidi="en-US"/>
        </w:rPr>
        <w:t>,</w:t>
      </w:r>
    </w:p>
    <w:p w14:paraId="2D8640A6" w14:textId="04DE01BE"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ECT pri najmanjoj koncentraciji (10-16 sati nakon prethodne doze) povećan za oko 2,3 puta u poređenju sa početnom vr</w:t>
      </w:r>
      <w:r w:rsidR="00A56E0B"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ednošću odnosi se na prim</w:t>
      </w:r>
      <w:r w:rsidR="00A56E0B"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ećeni 90. percentil produženja ECT od 74 sekundi,</w:t>
      </w:r>
    </w:p>
    <w:p w14:paraId="126AF37A" w14:textId="0CFF2CCE" w:rsidR="00D67D34" w:rsidRPr="00314858" w:rsidRDefault="00D67D34" w:rsidP="00A53009">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90. percentil aPTT pri najmanjoj koncentraciji (10-16 sati nakon prethodne doze) bio je 62 sekunde, što bi bilo 1,8 puta više u poređenju sa početnom vr</w:t>
      </w:r>
      <w:r w:rsidR="00A56E0B"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ednošću.</w:t>
      </w:r>
    </w:p>
    <w:p w14:paraId="2C0B5AA0" w14:textId="77777777" w:rsidR="00D67D34" w:rsidRPr="00314858" w:rsidRDefault="00D67D34" w:rsidP="00D67D34">
      <w:pPr>
        <w:spacing w:after="0" w:line="240" w:lineRule="auto"/>
        <w:jc w:val="both"/>
        <w:rPr>
          <w:rFonts w:ascii="Times New Roman" w:hAnsi="Times New Roman" w:cs="Times New Roman"/>
          <w:lang w:val="sr-Latn-ME"/>
        </w:rPr>
      </w:pPr>
    </w:p>
    <w:p w14:paraId="4AA074A8" w14:textId="76FC305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w:t>
      </w:r>
      <w:r w:rsidR="00F948D9" w:rsidRPr="00314858">
        <w:rPr>
          <w:rFonts w:ascii="Times New Roman" w:hAnsi="Times New Roman" w:cs="Times New Roman"/>
          <w:lang w:val="sr-Latn-ME"/>
        </w:rPr>
        <w:t>je</w:t>
      </w:r>
      <w:r w:rsidRPr="00314858">
        <w:rPr>
          <w:rFonts w:ascii="Times New Roman" w:hAnsi="Times New Roman" w:cs="Times New Roman"/>
          <w:lang w:val="sr-Latn-ME"/>
        </w:rPr>
        <w:t xml:space="preserve">su dostupni farmakokinetički podaci za pacijente koji su na terapiji sa </w:t>
      </w:r>
      <w:r w:rsidRPr="00314858">
        <w:rPr>
          <w:rFonts w:ascii="Times New Roman" w:hAnsi="Times New Roman" w:cs="Times New Roman"/>
          <w:bCs/>
          <w:lang w:val="sr-Latn-ME"/>
        </w:rPr>
        <w:t>150</w:t>
      </w:r>
      <w:r w:rsidRPr="00314858">
        <w:rPr>
          <w:rFonts w:ascii="Times New Roman" w:hAnsi="Times New Roman" w:cs="Times New Roman"/>
          <w:lang w:val="sr-Latn-ME"/>
        </w:rPr>
        <w:t> mg dabigatraneteksilata dva puta dnevno zbog prevencije rekurentne DVT i PE.</w:t>
      </w:r>
    </w:p>
    <w:p w14:paraId="57CED264" w14:textId="77777777" w:rsidR="00F5483F" w:rsidRPr="00314858" w:rsidRDefault="00F5483F" w:rsidP="00D67D34">
      <w:pPr>
        <w:spacing w:after="0" w:line="240" w:lineRule="auto"/>
        <w:jc w:val="both"/>
        <w:rPr>
          <w:rFonts w:ascii="Times New Roman" w:hAnsi="Times New Roman" w:cs="Times New Roman"/>
          <w:lang w:val="sr-Latn-ME"/>
        </w:rPr>
      </w:pPr>
    </w:p>
    <w:p w14:paraId="08A82448" w14:textId="3462BA32"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Klinička efikasnost i bezb</w:t>
      </w:r>
      <w:r w:rsidR="0022751A" w:rsidRPr="00314858">
        <w:rPr>
          <w:rFonts w:ascii="Times New Roman" w:hAnsi="Times New Roman" w:cs="Times New Roman"/>
          <w:u w:val="single"/>
          <w:lang w:val="sr-Latn-ME"/>
        </w:rPr>
        <w:t>j</w:t>
      </w:r>
      <w:r w:rsidRPr="00314858">
        <w:rPr>
          <w:rFonts w:ascii="Times New Roman" w:hAnsi="Times New Roman" w:cs="Times New Roman"/>
          <w:u w:val="single"/>
          <w:lang w:val="sr-Latn-ME"/>
        </w:rPr>
        <w:t>ednost</w:t>
      </w:r>
    </w:p>
    <w:p w14:paraId="68B6C864" w14:textId="77777777" w:rsidR="00F5483F" w:rsidRPr="00314858" w:rsidRDefault="00F5483F" w:rsidP="00D67D34">
      <w:pPr>
        <w:spacing w:after="0" w:line="240" w:lineRule="auto"/>
        <w:jc w:val="both"/>
        <w:rPr>
          <w:rFonts w:ascii="Times New Roman" w:hAnsi="Times New Roman" w:cs="Times New Roman"/>
          <w:u w:val="single"/>
          <w:lang w:val="sr-Latn-ME"/>
        </w:rPr>
      </w:pPr>
    </w:p>
    <w:p w14:paraId="0A6806DF" w14:textId="33C8CA93" w:rsidR="00BB244B" w:rsidRPr="00314858" w:rsidRDefault="00D67D34" w:rsidP="00D67D34">
      <w:pPr>
        <w:spacing w:after="0" w:line="240" w:lineRule="auto"/>
        <w:jc w:val="both"/>
        <w:rPr>
          <w:rFonts w:ascii="Times New Roman" w:hAnsi="Times New Roman" w:cs="Times New Roman"/>
          <w:i/>
          <w:lang w:val="sr-Latn-ME"/>
        </w:rPr>
      </w:pPr>
      <w:r w:rsidRPr="00314858">
        <w:rPr>
          <w:rFonts w:ascii="Times New Roman" w:hAnsi="Times New Roman" w:cs="Times New Roman"/>
          <w:i/>
          <w:lang w:val="sr-Latn-ME"/>
        </w:rPr>
        <w:t>Etničko por</w:t>
      </w:r>
      <w:r w:rsidR="0022751A" w:rsidRPr="00314858">
        <w:rPr>
          <w:rFonts w:ascii="Times New Roman" w:hAnsi="Times New Roman" w:cs="Times New Roman"/>
          <w:i/>
          <w:lang w:val="sr-Latn-ME"/>
        </w:rPr>
        <w:t>ij</w:t>
      </w:r>
      <w:r w:rsidRPr="00314858">
        <w:rPr>
          <w:rFonts w:ascii="Times New Roman" w:hAnsi="Times New Roman" w:cs="Times New Roman"/>
          <w:i/>
          <w:lang w:val="sr-Latn-ME"/>
        </w:rPr>
        <w:t>eklo</w:t>
      </w:r>
    </w:p>
    <w:p w14:paraId="6E8BAD6D" w14:textId="7C2897E1" w:rsidR="00F5483F"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iCs/>
          <w:lang w:val="sr-Latn-ME"/>
        </w:rPr>
        <w:t>Ni</w:t>
      </w:r>
      <w:r w:rsidR="00F948D9" w:rsidRPr="00314858">
        <w:rPr>
          <w:rFonts w:ascii="Times New Roman" w:hAnsi="Times New Roman" w:cs="Times New Roman"/>
          <w:iCs/>
          <w:lang w:val="sr-Latn-ME"/>
        </w:rPr>
        <w:t>je</w:t>
      </w:r>
      <w:r w:rsidRPr="00314858">
        <w:rPr>
          <w:rFonts w:ascii="Times New Roman" w:hAnsi="Times New Roman" w:cs="Times New Roman"/>
          <w:iCs/>
          <w:lang w:val="sr-Latn-ME"/>
        </w:rPr>
        <w:t xml:space="preserve">su uočene klinički značajne </w:t>
      </w:r>
      <w:r w:rsidRPr="00314858">
        <w:rPr>
          <w:rFonts w:ascii="Times New Roman" w:hAnsi="Times New Roman" w:cs="Times New Roman"/>
          <w:lang w:val="sr-Latn-ME"/>
        </w:rPr>
        <w:t>etničke razlike među pripadnicima b</w:t>
      </w:r>
      <w:r w:rsidR="0022751A" w:rsidRPr="00314858">
        <w:rPr>
          <w:rFonts w:ascii="Times New Roman" w:hAnsi="Times New Roman" w:cs="Times New Roman"/>
          <w:lang w:val="sr-Latn-ME"/>
        </w:rPr>
        <w:t>ij</w:t>
      </w:r>
      <w:r w:rsidRPr="00314858">
        <w:rPr>
          <w:rFonts w:ascii="Times New Roman" w:hAnsi="Times New Roman" w:cs="Times New Roman"/>
          <w:lang w:val="sr-Latn-ME"/>
        </w:rPr>
        <w:t>ele rase, Afro-Amerikancima, Hispancima, Japancima ili Kinezima.</w:t>
      </w:r>
    </w:p>
    <w:p w14:paraId="38B17296" w14:textId="2378DB8E"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 xml:space="preserve"> </w:t>
      </w:r>
    </w:p>
    <w:p w14:paraId="627A57A2" w14:textId="39103994" w:rsidR="00E37680"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 xml:space="preserve">Prevencija moždanog udara i sistemske embolije kod odraslih pacijenata sa NVAF sa jednim ili više faktora rizika </w:t>
      </w:r>
    </w:p>
    <w:p w14:paraId="46F4FF49" w14:textId="11FE0A01"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Klinički dokazi o efikasnosti dabigatraneteksilata izvode se iz studije RE-LY (randomiz</w:t>
      </w:r>
      <w:r w:rsidR="00566A83" w:rsidRPr="00314858">
        <w:rPr>
          <w:rFonts w:ascii="Times New Roman" w:hAnsi="Times New Roman" w:cs="Times New Roman"/>
          <w:lang w:val="sr-Latn-ME"/>
        </w:rPr>
        <w:t>o</w:t>
      </w:r>
      <w:r w:rsidRPr="00314858">
        <w:rPr>
          <w:rFonts w:ascii="Times New Roman" w:hAnsi="Times New Roman" w:cs="Times New Roman"/>
          <w:lang w:val="sr-Latn-ME"/>
        </w:rPr>
        <w:t xml:space="preserve">vana </w:t>
      </w:r>
      <w:r w:rsidR="006B04E4" w:rsidRPr="00314858">
        <w:rPr>
          <w:rFonts w:ascii="Times New Roman" w:hAnsi="Times New Roman" w:cs="Times New Roman"/>
          <w:lang w:val="sr-Latn-ME"/>
        </w:rPr>
        <w:t>proc</w:t>
      </w:r>
      <w:r w:rsidR="0022751A" w:rsidRPr="00314858">
        <w:rPr>
          <w:rFonts w:ascii="Times New Roman" w:hAnsi="Times New Roman" w:cs="Times New Roman"/>
          <w:lang w:val="sr-Latn-ME"/>
        </w:rPr>
        <w:t>j</w:t>
      </w:r>
      <w:r w:rsidR="006B04E4" w:rsidRPr="00314858">
        <w:rPr>
          <w:rFonts w:ascii="Times New Roman" w:hAnsi="Times New Roman" w:cs="Times New Roman"/>
          <w:lang w:val="sr-Latn-ME"/>
        </w:rPr>
        <w:t>ena</w:t>
      </w:r>
      <w:r w:rsidRPr="00314858">
        <w:rPr>
          <w:rFonts w:ascii="Times New Roman" w:hAnsi="Times New Roman" w:cs="Times New Roman"/>
          <w:lang w:val="sr-Latn-ME"/>
        </w:rPr>
        <w:t xml:space="preserve"> dugotrajne terapije antikoagulansima), multicentrične, multinacionalne, randomizovane studije sa paralelnim grupama u kojoj su ispitivane dv</w:t>
      </w:r>
      <w:r w:rsidR="00F948D9" w:rsidRPr="00314858">
        <w:rPr>
          <w:rFonts w:ascii="Times New Roman" w:hAnsi="Times New Roman" w:cs="Times New Roman"/>
          <w:lang w:val="sr-Latn-ME"/>
        </w:rPr>
        <w:t>ij</w:t>
      </w:r>
      <w:r w:rsidRPr="00314858">
        <w:rPr>
          <w:rFonts w:ascii="Times New Roman" w:hAnsi="Times New Roman" w:cs="Times New Roman"/>
          <w:lang w:val="sr-Latn-ME"/>
        </w:rPr>
        <w:t>e maskirane doze dabigatraneteksilata (110 mg i 150 mg dva puta dnevno) u poređenju sa otvorenim davanjem varfarina kod pacijenata sa atrijalnom fibrilacijom pod um</w:t>
      </w:r>
      <w:r w:rsidR="0022751A" w:rsidRPr="00314858">
        <w:rPr>
          <w:rFonts w:ascii="Times New Roman" w:hAnsi="Times New Roman" w:cs="Times New Roman"/>
          <w:lang w:val="sr-Latn-ME"/>
        </w:rPr>
        <w:t>j</w:t>
      </w:r>
      <w:r w:rsidRPr="00314858">
        <w:rPr>
          <w:rFonts w:ascii="Times New Roman" w:hAnsi="Times New Roman" w:cs="Times New Roman"/>
          <w:lang w:val="sr-Latn-ME"/>
        </w:rPr>
        <w:t>erenim do visokim rizikom od moždanog udara i sistemske embolije. Primarni</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cilj ove studije bio je da se utvrdi da li je dabigatraneteksilat neinferioran u odnosu na varfarin u smanjenju pojave </w:t>
      </w:r>
      <w:r w:rsidR="006B04E4" w:rsidRPr="00314858">
        <w:rPr>
          <w:rFonts w:ascii="Times New Roman" w:hAnsi="Times New Roman" w:cs="Times New Roman"/>
          <w:lang w:val="sr-Latn-ME"/>
        </w:rPr>
        <w:t>m</w:t>
      </w:r>
      <w:r w:rsidR="0022751A" w:rsidRPr="00314858">
        <w:rPr>
          <w:rFonts w:ascii="Times New Roman" w:hAnsi="Times New Roman" w:cs="Times New Roman"/>
          <w:lang w:val="sr-Latn-ME"/>
        </w:rPr>
        <w:t>j</w:t>
      </w:r>
      <w:r w:rsidR="006B04E4" w:rsidRPr="00314858">
        <w:rPr>
          <w:rFonts w:ascii="Times New Roman" w:hAnsi="Times New Roman" w:cs="Times New Roman"/>
          <w:lang w:val="sr-Latn-ME"/>
        </w:rPr>
        <w:t>ešovitog parametra praćenja</w:t>
      </w:r>
      <w:r w:rsidRPr="00314858">
        <w:rPr>
          <w:rFonts w:ascii="Times New Roman" w:hAnsi="Times New Roman" w:cs="Times New Roman"/>
          <w:lang w:val="sr-Latn-ME"/>
        </w:rPr>
        <w:t xml:space="preserve">, </w:t>
      </w:r>
      <w:r w:rsidR="00566A83" w:rsidRPr="00314858">
        <w:rPr>
          <w:rFonts w:ascii="Times New Roman" w:hAnsi="Times New Roman" w:cs="Times New Roman"/>
          <w:lang w:val="sr-Latn-ME"/>
        </w:rPr>
        <w:t xml:space="preserve">koji se sastoji od </w:t>
      </w:r>
      <w:r w:rsidRPr="00314858">
        <w:rPr>
          <w:rFonts w:ascii="Times New Roman" w:hAnsi="Times New Roman" w:cs="Times New Roman"/>
          <w:lang w:val="sr-Latn-ME"/>
        </w:rPr>
        <w:t xml:space="preserve">moždanog udara i sistemske embolije. Analizirana je i statistička superiornost. </w:t>
      </w:r>
    </w:p>
    <w:p w14:paraId="3FF269B0" w14:textId="7777777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 </w:t>
      </w:r>
    </w:p>
    <w:p w14:paraId="51CD5A6E" w14:textId="29F4098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studiji RE-LY</w:t>
      </w:r>
      <w:r w:rsidR="006B04E4" w:rsidRPr="00314858">
        <w:rPr>
          <w:rFonts w:ascii="Times New Roman" w:hAnsi="Times New Roman" w:cs="Times New Roman"/>
          <w:lang w:val="sr-Latn-ME"/>
        </w:rPr>
        <w:t>,</w:t>
      </w:r>
      <w:r w:rsidRPr="00314858">
        <w:rPr>
          <w:rFonts w:ascii="Times New Roman" w:hAnsi="Times New Roman" w:cs="Times New Roman"/>
          <w:lang w:val="sr-Latn-ME"/>
        </w:rPr>
        <w:t xml:space="preserve"> ukupno je randomizovano 18</w:t>
      </w:r>
      <w:r w:rsidR="00F948D9" w:rsidRPr="00314858">
        <w:rPr>
          <w:rFonts w:ascii="Times New Roman" w:hAnsi="Times New Roman" w:cs="Times New Roman"/>
          <w:lang w:val="sr-Latn-ME"/>
        </w:rPr>
        <w:t xml:space="preserve"> </w:t>
      </w:r>
      <w:r w:rsidRPr="00314858">
        <w:rPr>
          <w:rFonts w:ascii="Times New Roman" w:hAnsi="Times New Roman" w:cs="Times New Roman"/>
          <w:lang w:val="sr-Latn-ME"/>
        </w:rPr>
        <w:t>113 pacijenata, kod kojih je srednja vr</w:t>
      </w:r>
      <w:r w:rsidR="0022751A" w:rsidRPr="00314858">
        <w:rPr>
          <w:rFonts w:ascii="Times New Roman" w:hAnsi="Times New Roman" w:cs="Times New Roman"/>
          <w:lang w:val="sr-Latn-ME"/>
        </w:rPr>
        <w:t>ij</w:t>
      </w:r>
      <w:r w:rsidRPr="00314858">
        <w:rPr>
          <w:rFonts w:ascii="Times New Roman" w:hAnsi="Times New Roman" w:cs="Times New Roman"/>
          <w:lang w:val="sr-Latn-ME"/>
        </w:rPr>
        <w:t>ednost</w:t>
      </w:r>
      <w:r w:rsidR="00566A83" w:rsidRPr="00314858">
        <w:rPr>
          <w:rFonts w:ascii="Times New Roman" w:hAnsi="Times New Roman" w:cs="Times New Roman"/>
          <w:lang w:val="sr-Latn-ME"/>
        </w:rPr>
        <w:t xml:space="preserve"> godina</w:t>
      </w:r>
      <w:r w:rsidRPr="00314858">
        <w:rPr>
          <w:rFonts w:ascii="Times New Roman" w:hAnsi="Times New Roman" w:cs="Times New Roman"/>
          <w:lang w:val="sr-Latn-ME"/>
        </w:rPr>
        <w:t xml:space="preserve"> starosti bila 71,5 godina i sa srednjom vr</w:t>
      </w:r>
      <w:r w:rsidR="00C769F8" w:rsidRPr="00314858">
        <w:rPr>
          <w:rFonts w:ascii="Times New Roman" w:hAnsi="Times New Roman" w:cs="Times New Roman"/>
          <w:lang w:val="sr-Latn-ME"/>
        </w:rPr>
        <w:t>ij</w:t>
      </w:r>
      <w:r w:rsidRPr="00314858">
        <w:rPr>
          <w:rFonts w:ascii="Times New Roman" w:hAnsi="Times New Roman" w:cs="Times New Roman"/>
          <w:lang w:val="sr-Latn-ME"/>
        </w:rPr>
        <w:t>ednoš</w:t>
      </w:r>
      <w:r w:rsidR="006B04E4" w:rsidRPr="00314858">
        <w:rPr>
          <w:rFonts w:ascii="Times New Roman" w:hAnsi="Times New Roman" w:cs="Times New Roman"/>
          <w:lang w:val="sr-Latn-ME"/>
        </w:rPr>
        <w:t>ć</w:t>
      </w:r>
      <w:r w:rsidRPr="00314858">
        <w:rPr>
          <w:rFonts w:ascii="Times New Roman" w:hAnsi="Times New Roman" w:cs="Times New Roman"/>
          <w:lang w:val="sr-Latn-ME"/>
        </w:rPr>
        <w:t xml:space="preserve">u </w:t>
      </w:r>
      <w:r w:rsidR="006B04E4" w:rsidRPr="00314858">
        <w:rPr>
          <w:rFonts w:ascii="Times New Roman" w:hAnsi="Times New Roman" w:cs="Times New Roman"/>
          <w:lang w:val="sr-Latn-ME"/>
        </w:rPr>
        <w:t>skora rizika od moždanog udara kod atrijalne fibrilacije (CHADS</w:t>
      </w:r>
      <w:r w:rsidR="006B04E4" w:rsidRPr="00314858">
        <w:rPr>
          <w:rFonts w:ascii="Times New Roman" w:hAnsi="Times New Roman" w:cs="Times New Roman"/>
          <w:vertAlign w:val="subscript"/>
          <w:lang w:val="sr-Latn-ME"/>
        </w:rPr>
        <w:t>2</w:t>
      </w:r>
      <w:r w:rsidR="006B04E4" w:rsidRPr="00314858">
        <w:rPr>
          <w:rFonts w:ascii="Times New Roman" w:hAnsi="Times New Roman" w:cs="Times New Roman"/>
          <w:lang w:val="sr-Latn-ME"/>
        </w:rPr>
        <w:t>)</w:t>
      </w:r>
      <w:r w:rsidRPr="00314858">
        <w:rPr>
          <w:rFonts w:ascii="Times New Roman" w:hAnsi="Times New Roman" w:cs="Times New Roman"/>
          <w:lang w:val="sr-Latn-ME"/>
        </w:rPr>
        <w:t xml:space="preserve"> od 2,1. Populaciju pacijenata činilo je 64% muškaraca, 70% pripadnika b</w:t>
      </w:r>
      <w:r w:rsidR="00C769F8" w:rsidRPr="00314858">
        <w:rPr>
          <w:rFonts w:ascii="Times New Roman" w:hAnsi="Times New Roman" w:cs="Times New Roman"/>
          <w:lang w:val="sr-Latn-ME"/>
        </w:rPr>
        <w:t>ij</w:t>
      </w:r>
      <w:r w:rsidRPr="00314858">
        <w:rPr>
          <w:rFonts w:ascii="Times New Roman" w:hAnsi="Times New Roman" w:cs="Times New Roman"/>
          <w:lang w:val="sr-Latn-ME"/>
        </w:rPr>
        <w:t xml:space="preserve">ele rase i 16% azijske. Kod pacijenata randomizovanih da primaju varfarin, srednji procenat vremena u terapijskom opsegu (engl. </w:t>
      </w:r>
      <w:r w:rsidRPr="00314858">
        <w:rPr>
          <w:rFonts w:ascii="Times New Roman" w:hAnsi="Times New Roman" w:cs="Times New Roman"/>
          <w:i/>
          <w:iCs/>
          <w:lang w:val="sr-Latn-ME"/>
        </w:rPr>
        <w:t>time in therapeutic range</w:t>
      </w:r>
      <w:r w:rsidRPr="00314858">
        <w:rPr>
          <w:rFonts w:ascii="Times New Roman" w:hAnsi="Times New Roman" w:cs="Times New Roman"/>
          <w:lang w:val="sr-Latn-ME"/>
        </w:rPr>
        <w:t>, TTR) (INR 2-3) iznosio je 64,4% (medijana TTR 67%).</w:t>
      </w:r>
    </w:p>
    <w:p w14:paraId="79CEC476" w14:textId="77777777" w:rsidR="00FC549A" w:rsidRPr="00314858" w:rsidRDefault="00FC549A" w:rsidP="00D67D34">
      <w:pPr>
        <w:spacing w:after="0" w:line="240" w:lineRule="auto"/>
        <w:jc w:val="both"/>
        <w:rPr>
          <w:rFonts w:ascii="Times New Roman" w:hAnsi="Times New Roman" w:cs="Times New Roman"/>
          <w:lang w:val="sr-Latn-ME"/>
        </w:rPr>
      </w:pPr>
    </w:p>
    <w:p w14:paraId="4E131177" w14:textId="35C6C43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Studija RE-LY je pokazala da dabigatraneteksilat, u dozi od 110 mg dva puta dnevno, nije inferioran u odnosu na varfarin za prevenciju moždanog udara i sistemske embolije kod ispitanika sa atrijalnom fibrilacijom, sa smanjenim rizikom od intrakranijalne hemoragije (IKH), ukupnog krvarenja i </w:t>
      </w:r>
      <w:r w:rsidR="0064277A" w:rsidRPr="00314858">
        <w:rPr>
          <w:rFonts w:ascii="Times New Roman" w:hAnsi="Times New Roman" w:cs="Times New Roman"/>
          <w:lang w:val="sr-Latn-ME"/>
        </w:rPr>
        <w:t>obilnijeg</w:t>
      </w:r>
      <w:r w:rsidRPr="00314858">
        <w:rPr>
          <w:rFonts w:ascii="Times New Roman" w:hAnsi="Times New Roman" w:cs="Times New Roman"/>
          <w:lang w:val="sr-Latn-ME"/>
        </w:rPr>
        <w:t xml:space="preserve"> krvarenja. Doza od 150 mg dva puta dnevno značajno smanjuje rizik od ishemijskog i hemoragijskog moždanog udara, vaskularne smrti, IKH i ukupnog krvarenja u odnosu na varfarin. Stope </w:t>
      </w:r>
      <w:r w:rsidR="00567061" w:rsidRPr="00314858">
        <w:rPr>
          <w:rFonts w:ascii="Times New Roman" w:hAnsi="Times New Roman" w:cs="Times New Roman"/>
          <w:lang w:val="sr-Latn-ME"/>
        </w:rPr>
        <w:t>obilnijih</w:t>
      </w:r>
      <w:r w:rsidRPr="00314858">
        <w:rPr>
          <w:rFonts w:ascii="Times New Roman" w:hAnsi="Times New Roman" w:cs="Times New Roman"/>
          <w:lang w:val="sr-Latn-ME"/>
        </w:rPr>
        <w:t xml:space="preserve"> krvarenja sa ovom dozom bile su uporedive sa varfarinom. Stope infarkta miokarda su bile blago povećane sa dabigatraneteksilatom 110 mg dva puta dnevno i 150 mg dva puta dnevno u poređenju sa </w:t>
      </w:r>
      <w:r w:rsidRPr="00314858">
        <w:rPr>
          <w:rFonts w:ascii="Times New Roman" w:hAnsi="Times New Roman" w:cs="Times New Roman"/>
          <w:lang w:val="sr-Latn-ME"/>
        </w:rPr>
        <w:lastRenderedPageBreak/>
        <w:t>varfarinom (</w:t>
      </w:r>
      <w:r w:rsidR="00567061" w:rsidRPr="00314858">
        <w:rPr>
          <w:rFonts w:ascii="Times New Roman" w:hAnsi="Times New Roman" w:cs="Times New Roman"/>
          <w:i/>
          <w:lang w:val="sr-Latn-ME"/>
        </w:rPr>
        <w:t>hazard ratio</w:t>
      </w:r>
      <w:r w:rsidRPr="00314858">
        <w:rPr>
          <w:rFonts w:ascii="Times New Roman" w:hAnsi="Times New Roman" w:cs="Times New Roman"/>
          <w:lang w:val="sr-Latn-ME"/>
        </w:rPr>
        <w:t xml:space="preserve"> 1,29; p = 0,0929, odnosno </w:t>
      </w:r>
      <w:r w:rsidR="00567061" w:rsidRPr="00314858">
        <w:rPr>
          <w:rFonts w:ascii="Times New Roman" w:hAnsi="Times New Roman" w:cs="Times New Roman"/>
          <w:i/>
          <w:lang w:val="sr-Latn-ME"/>
        </w:rPr>
        <w:t>hazard ratio</w:t>
      </w:r>
      <w:r w:rsidRPr="00314858">
        <w:rPr>
          <w:rFonts w:ascii="Times New Roman" w:hAnsi="Times New Roman" w:cs="Times New Roman"/>
          <w:lang w:val="sr-Latn-ME"/>
        </w:rPr>
        <w:t xml:space="preserve"> 1,27; p = 0,1240).</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Sa boljim praćenjem INR uočene koristi od dabigatraneteksilata u poređenju sa varfarinom se smanjuju. </w:t>
      </w:r>
    </w:p>
    <w:p w14:paraId="14924AEB" w14:textId="77777777" w:rsidR="00FC549A" w:rsidRPr="00314858" w:rsidRDefault="00FC549A" w:rsidP="00D67D34">
      <w:pPr>
        <w:spacing w:after="0" w:line="240" w:lineRule="auto"/>
        <w:jc w:val="both"/>
        <w:rPr>
          <w:rFonts w:ascii="Times New Roman" w:hAnsi="Times New Roman" w:cs="Times New Roman"/>
          <w:lang w:val="sr-Latn-ME"/>
        </w:rPr>
      </w:pPr>
    </w:p>
    <w:p w14:paraId="4C91E476" w14:textId="17A17405" w:rsidR="00D67D34" w:rsidRPr="00314858" w:rsidRDefault="00566A83"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t</w:t>
      </w:r>
      <w:r w:rsidR="00D67D34" w:rsidRPr="00314858">
        <w:rPr>
          <w:rFonts w:ascii="Times New Roman" w:hAnsi="Times New Roman" w:cs="Times New Roman"/>
          <w:lang w:val="sr-Latn-ME"/>
        </w:rPr>
        <w:t>abel</w:t>
      </w:r>
      <w:r w:rsidRPr="00314858">
        <w:rPr>
          <w:rFonts w:ascii="Times New Roman" w:hAnsi="Times New Roman" w:cs="Times New Roman"/>
          <w:lang w:val="sr-Latn-ME"/>
        </w:rPr>
        <w:t>ama</w:t>
      </w:r>
      <w:r w:rsidR="00D67D34" w:rsidRPr="00314858">
        <w:rPr>
          <w:rFonts w:ascii="Times New Roman" w:hAnsi="Times New Roman" w:cs="Times New Roman"/>
          <w:lang w:val="sr-Latn-ME"/>
        </w:rPr>
        <w:t xml:space="preserve"> 17-19 </w:t>
      </w:r>
      <w:r w:rsidRPr="00314858">
        <w:rPr>
          <w:rFonts w:ascii="Times New Roman" w:hAnsi="Times New Roman" w:cs="Times New Roman"/>
          <w:lang w:val="sr-Latn-ME"/>
        </w:rPr>
        <w:t>prikazani su</w:t>
      </w:r>
      <w:r w:rsidR="00D67D34" w:rsidRPr="00314858">
        <w:rPr>
          <w:rFonts w:ascii="Times New Roman" w:hAnsi="Times New Roman" w:cs="Times New Roman"/>
          <w:lang w:val="sr-Latn-ME"/>
        </w:rPr>
        <w:t xml:space="preserve"> detalj</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ključnih rezultata u ukupnoj populaciji:</w:t>
      </w:r>
    </w:p>
    <w:p w14:paraId="07C54C1A" w14:textId="77777777" w:rsidR="00FC549A" w:rsidRPr="00314858" w:rsidRDefault="00FC549A" w:rsidP="00D67D34">
      <w:pPr>
        <w:spacing w:after="0" w:line="240" w:lineRule="auto"/>
        <w:jc w:val="both"/>
        <w:rPr>
          <w:rFonts w:ascii="Times New Roman" w:hAnsi="Times New Roman" w:cs="Times New Roman"/>
          <w:lang w:val="sr-Latn-ME"/>
        </w:rPr>
      </w:pPr>
    </w:p>
    <w:p w14:paraId="6E0FF4C2" w14:textId="25623438"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17</w:t>
      </w:r>
      <w:r w:rsidR="00062A82"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Analiza prve pojave moždanog udara ili sistemske embolije (primarni ishod) tokom perioda ispitivanja u studiji RE-LY.</w:t>
      </w:r>
    </w:p>
    <w:p w14:paraId="2BB932A9" w14:textId="77777777" w:rsidR="00567061" w:rsidRPr="00314858" w:rsidRDefault="00567061" w:rsidP="00D67D34">
      <w:pPr>
        <w:spacing w:after="0" w:line="240" w:lineRule="auto"/>
        <w:jc w:val="both"/>
        <w:rPr>
          <w:rFonts w:ascii="Times New Roman" w:hAnsi="Times New Roman" w:cs="Times New Roman"/>
          <w:b/>
          <w:bCs/>
          <w:lang w:val="sr-Latn-ME" w:bidi="en-US"/>
        </w:rPr>
      </w:pPr>
    </w:p>
    <w:tbl>
      <w:tblPr>
        <w:tblW w:w="5000" w:type="pct"/>
        <w:tblBorders>
          <w:top w:val="single" w:sz="4" w:space="0" w:color="auto"/>
          <w:left w:val="single" w:sz="4" w:space="0" w:color="auto"/>
          <w:bottom w:val="single" w:sz="4" w:space="0" w:color="auto"/>
          <w:right w:val="single" w:sz="4" w:space="0" w:color="auto"/>
        </w:tblBorders>
        <w:tblCellMar>
          <w:left w:w="85" w:type="dxa"/>
          <w:right w:w="85" w:type="dxa"/>
        </w:tblCellMar>
        <w:tblLook w:val="0000" w:firstRow="0" w:lastRow="0" w:firstColumn="0" w:lastColumn="0" w:noHBand="0" w:noVBand="0"/>
      </w:tblPr>
      <w:tblGrid>
        <w:gridCol w:w="2474"/>
        <w:gridCol w:w="2195"/>
        <w:gridCol w:w="2195"/>
        <w:gridCol w:w="2196"/>
      </w:tblGrid>
      <w:tr w:rsidR="00566A83" w:rsidRPr="00314858" w14:paraId="4B64837E" w14:textId="77777777" w:rsidTr="001F1A28">
        <w:trPr>
          <w:trHeight w:val="20"/>
        </w:trPr>
        <w:tc>
          <w:tcPr>
            <w:tcW w:w="1365" w:type="pct"/>
            <w:tcBorders>
              <w:top w:val="single" w:sz="4" w:space="0" w:color="auto"/>
              <w:bottom w:val="single" w:sz="4" w:space="0" w:color="auto"/>
              <w:right w:val="single" w:sz="4" w:space="0" w:color="auto"/>
            </w:tcBorders>
            <w:vAlign w:val="center"/>
          </w:tcPr>
          <w:p w14:paraId="45F6E355"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1" w:type="pct"/>
            <w:tcBorders>
              <w:top w:val="single" w:sz="4" w:space="0" w:color="auto"/>
              <w:bottom w:val="single" w:sz="4" w:space="0" w:color="auto"/>
              <w:right w:val="single" w:sz="4" w:space="0" w:color="auto"/>
            </w:tcBorders>
            <w:vAlign w:val="center"/>
          </w:tcPr>
          <w:p w14:paraId="2B7C20AD" w14:textId="27852CA2" w:rsidR="00566A83" w:rsidRPr="00314858" w:rsidRDefault="00566A83"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Dabigatraneteksilat</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110 mg dva puta dnevno</w:t>
            </w:r>
          </w:p>
        </w:tc>
        <w:tc>
          <w:tcPr>
            <w:tcW w:w="1211" w:type="pct"/>
            <w:tcBorders>
              <w:top w:val="single" w:sz="4" w:space="0" w:color="auto"/>
              <w:left w:val="single" w:sz="4" w:space="0" w:color="auto"/>
              <w:bottom w:val="single" w:sz="4" w:space="0" w:color="auto"/>
              <w:right w:val="single" w:sz="4" w:space="0" w:color="auto"/>
            </w:tcBorders>
            <w:vAlign w:val="center"/>
          </w:tcPr>
          <w:p w14:paraId="53FE5CCC" w14:textId="77777777" w:rsidR="00566A83" w:rsidRPr="00314858" w:rsidRDefault="00566A83"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Dabigatraneteksilat 150 mg dva puta dnevno</w:t>
            </w:r>
          </w:p>
        </w:tc>
        <w:tc>
          <w:tcPr>
            <w:tcW w:w="1212" w:type="pct"/>
            <w:tcBorders>
              <w:top w:val="single" w:sz="4" w:space="0" w:color="auto"/>
              <w:left w:val="single" w:sz="4" w:space="0" w:color="auto"/>
              <w:bottom w:val="single" w:sz="4" w:space="0" w:color="auto"/>
            </w:tcBorders>
            <w:vAlign w:val="center"/>
          </w:tcPr>
          <w:p w14:paraId="603AD0AE" w14:textId="77777777" w:rsidR="00566A83" w:rsidRPr="00314858" w:rsidRDefault="00566A83"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Varfarin</w:t>
            </w:r>
          </w:p>
        </w:tc>
      </w:tr>
      <w:tr w:rsidR="00566A83" w:rsidRPr="00314858" w14:paraId="1369BFFF" w14:textId="77777777" w:rsidTr="001F1A28">
        <w:trPr>
          <w:trHeight w:val="20"/>
        </w:trPr>
        <w:tc>
          <w:tcPr>
            <w:tcW w:w="1365" w:type="pct"/>
            <w:tcBorders>
              <w:top w:val="single" w:sz="4" w:space="0" w:color="auto"/>
              <w:bottom w:val="single" w:sz="4" w:space="0" w:color="auto"/>
              <w:right w:val="single" w:sz="4" w:space="0" w:color="auto"/>
            </w:tcBorders>
          </w:tcPr>
          <w:p w14:paraId="6A156245" w14:textId="77777777" w:rsidR="00566A83" w:rsidRPr="00314858" w:rsidRDefault="00566A83" w:rsidP="001F1A28">
            <w:pPr>
              <w:tabs>
                <w:tab w:val="left" w:pos="7920"/>
              </w:tabs>
              <w:autoSpaceDE w:val="0"/>
              <w:autoSpaceDN w:val="0"/>
              <w:adjustRightInd w:val="0"/>
              <w:spacing w:after="0" w:line="240" w:lineRule="auto"/>
              <w:rPr>
                <w:rFonts w:ascii="Times New Roman" w:hAnsi="Times New Roman" w:cs="Times New Roman"/>
                <w:lang w:val="sr-Latn-ME"/>
              </w:rPr>
            </w:pPr>
            <w:r w:rsidRPr="00314858">
              <w:rPr>
                <w:rFonts w:ascii="Times New Roman" w:hAnsi="Times New Roman" w:cs="Times New Roman"/>
                <w:lang w:val="sr-Latn-ME"/>
              </w:rPr>
              <w:t>Randomizovani ispitanici</w:t>
            </w:r>
          </w:p>
        </w:tc>
        <w:tc>
          <w:tcPr>
            <w:tcW w:w="1211" w:type="pct"/>
            <w:tcBorders>
              <w:top w:val="single" w:sz="4" w:space="0" w:color="auto"/>
              <w:bottom w:val="single" w:sz="4" w:space="0" w:color="auto"/>
              <w:right w:val="single" w:sz="4" w:space="0" w:color="auto"/>
            </w:tcBorders>
            <w:vAlign w:val="center"/>
          </w:tcPr>
          <w:p w14:paraId="5167E7AD" w14:textId="77777777" w:rsidR="00566A83" w:rsidRPr="00314858" w:rsidRDefault="00566A83" w:rsidP="001F1A28">
            <w:pPr>
              <w:keepNext/>
              <w:keepLines/>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6015</w:t>
            </w:r>
          </w:p>
        </w:tc>
        <w:tc>
          <w:tcPr>
            <w:tcW w:w="1211" w:type="pct"/>
            <w:tcBorders>
              <w:top w:val="single" w:sz="4" w:space="0" w:color="auto"/>
              <w:left w:val="single" w:sz="4" w:space="0" w:color="auto"/>
              <w:bottom w:val="single" w:sz="4" w:space="0" w:color="auto"/>
              <w:right w:val="single" w:sz="4" w:space="0" w:color="auto"/>
            </w:tcBorders>
            <w:vAlign w:val="center"/>
          </w:tcPr>
          <w:p w14:paraId="1A2FC64B" w14:textId="77777777" w:rsidR="00566A83" w:rsidRPr="00314858" w:rsidRDefault="00566A83" w:rsidP="001F1A28">
            <w:pPr>
              <w:keepNext/>
              <w:keepLines/>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6076</w:t>
            </w:r>
          </w:p>
        </w:tc>
        <w:tc>
          <w:tcPr>
            <w:tcW w:w="1212" w:type="pct"/>
            <w:tcBorders>
              <w:top w:val="single" w:sz="4" w:space="0" w:color="auto"/>
              <w:left w:val="single" w:sz="4" w:space="0" w:color="auto"/>
              <w:bottom w:val="single" w:sz="4" w:space="0" w:color="auto"/>
            </w:tcBorders>
            <w:vAlign w:val="center"/>
          </w:tcPr>
          <w:p w14:paraId="35D6FB0C" w14:textId="77777777" w:rsidR="00566A83" w:rsidRPr="00314858" w:rsidRDefault="00566A83" w:rsidP="001F1A28">
            <w:pPr>
              <w:keepNext/>
              <w:keepLines/>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6022</w:t>
            </w:r>
          </w:p>
        </w:tc>
      </w:tr>
      <w:tr w:rsidR="00566A83" w:rsidRPr="00314858" w14:paraId="6185D2B2" w14:textId="77777777" w:rsidTr="001F1A28">
        <w:trPr>
          <w:trHeight w:val="20"/>
        </w:trPr>
        <w:tc>
          <w:tcPr>
            <w:tcW w:w="1365" w:type="pct"/>
            <w:tcBorders>
              <w:top w:val="single" w:sz="4" w:space="0" w:color="auto"/>
              <w:bottom w:val="single" w:sz="4" w:space="0" w:color="auto"/>
              <w:right w:val="single" w:sz="4" w:space="0" w:color="auto"/>
            </w:tcBorders>
          </w:tcPr>
          <w:p w14:paraId="5AF75BCC" w14:textId="77777777" w:rsidR="00566A83" w:rsidRPr="00314858" w:rsidRDefault="00566A83" w:rsidP="001F1A28">
            <w:pPr>
              <w:tabs>
                <w:tab w:val="left" w:pos="7920"/>
              </w:tabs>
              <w:autoSpaceDE w:val="0"/>
              <w:autoSpaceDN w:val="0"/>
              <w:adjustRightInd w:val="0"/>
              <w:spacing w:after="0" w:line="240" w:lineRule="auto"/>
              <w:rPr>
                <w:rFonts w:ascii="Times New Roman" w:hAnsi="Times New Roman" w:cs="Times New Roman"/>
                <w:lang w:val="sr-Latn-ME"/>
              </w:rPr>
            </w:pPr>
            <w:r w:rsidRPr="00314858">
              <w:rPr>
                <w:rFonts w:ascii="Times New Roman" w:hAnsi="Times New Roman" w:cs="Times New Roman"/>
                <w:lang w:val="sr-Latn-ME"/>
              </w:rPr>
              <w:t>Moždani udar i/ili sistemska embolija</w:t>
            </w:r>
          </w:p>
        </w:tc>
        <w:tc>
          <w:tcPr>
            <w:tcW w:w="1211" w:type="pct"/>
            <w:tcBorders>
              <w:top w:val="single" w:sz="4" w:space="0" w:color="auto"/>
              <w:bottom w:val="single" w:sz="4" w:space="0" w:color="auto"/>
              <w:right w:val="single" w:sz="4" w:space="0" w:color="auto"/>
            </w:tcBorders>
            <w:vAlign w:val="center"/>
          </w:tcPr>
          <w:p w14:paraId="5E8989DC"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1" w:type="pct"/>
            <w:tcBorders>
              <w:top w:val="single" w:sz="4" w:space="0" w:color="auto"/>
              <w:left w:val="single" w:sz="4" w:space="0" w:color="auto"/>
              <w:bottom w:val="single" w:sz="4" w:space="0" w:color="auto"/>
              <w:right w:val="single" w:sz="4" w:space="0" w:color="auto"/>
            </w:tcBorders>
            <w:vAlign w:val="center"/>
          </w:tcPr>
          <w:p w14:paraId="5D7A9436"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2" w:type="pct"/>
            <w:tcBorders>
              <w:top w:val="single" w:sz="4" w:space="0" w:color="auto"/>
              <w:left w:val="single" w:sz="4" w:space="0" w:color="auto"/>
              <w:bottom w:val="single" w:sz="4" w:space="0" w:color="auto"/>
            </w:tcBorders>
            <w:vAlign w:val="center"/>
          </w:tcPr>
          <w:p w14:paraId="4294CCE9"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7DEFC103" w14:textId="77777777" w:rsidTr="001F1A28">
        <w:trPr>
          <w:trHeight w:val="20"/>
        </w:trPr>
        <w:tc>
          <w:tcPr>
            <w:tcW w:w="1365" w:type="pct"/>
            <w:tcBorders>
              <w:top w:val="single" w:sz="4" w:space="0" w:color="auto"/>
              <w:bottom w:val="single" w:sz="4" w:space="0" w:color="auto"/>
              <w:right w:val="single" w:sz="4" w:space="0" w:color="auto"/>
            </w:tcBorders>
          </w:tcPr>
          <w:p w14:paraId="65F0DE83" w14:textId="77777777" w:rsidR="00566A83" w:rsidRPr="00314858" w:rsidRDefault="00566A83"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Incidence (%)</w:t>
            </w:r>
          </w:p>
        </w:tc>
        <w:tc>
          <w:tcPr>
            <w:tcW w:w="1211" w:type="pct"/>
            <w:tcBorders>
              <w:top w:val="single" w:sz="4" w:space="0" w:color="auto"/>
              <w:bottom w:val="single" w:sz="4" w:space="0" w:color="auto"/>
              <w:right w:val="single" w:sz="4" w:space="0" w:color="auto"/>
            </w:tcBorders>
            <w:vAlign w:val="center"/>
          </w:tcPr>
          <w:p w14:paraId="64953E59"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183 (1,54)</w:t>
            </w:r>
          </w:p>
        </w:tc>
        <w:tc>
          <w:tcPr>
            <w:tcW w:w="1211" w:type="pct"/>
            <w:tcBorders>
              <w:top w:val="single" w:sz="4" w:space="0" w:color="auto"/>
              <w:left w:val="single" w:sz="4" w:space="0" w:color="auto"/>
              <w:bottom w:val="single" w:sz="4" w:space="0" w:color="auto"/>
              <w:right w:val="single" w:sz="4" w:space="0" w:color="auto"/>
            </w:tcBorders>
            <w:vAlign w:val="center"/>
          </w:tcPr>
          <w:p w14:paraId="4C85D8B6"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135 (1,12)</w:t>
            </w:r>
          </w:p>
        </w:tc>
        <w:tc>
          <w:tcPr>
            <w:tcW w:w="1212" w:type="pct"/>
            <w:tcBorders>
              <w:top w:val="single" w:sz="4" w:space="0" w:color="auto"/>
              <w:left w:val="single" w:sz="4" w:space="0" w:color="auto"/>
              <w:bottom w:val="single" w:sz="4" w:space="0" w:color="auto"/>
            </w:tcBorders>
            <w:vAlign w:val="center"/>
          </w:tcPr>
          <w:p w14:paraId="45D7AC09"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203 (1,72)</w:t>
            </w:r>
          </w:p>
        </w:tc>
      </w:tr>
      <w:tr w:rsidR="00566A83" w:rsidRPr="00314858" w14:paraId="22ECD2A9" w14:textId="77777777" w:rsidTr="001F1A28">
        <w:trPr>
          <w:trHeight w:val="20"/>
        </w:trPr>
        <w:tc>
          <w:tcPr>
            <w:tcW w:w="1365" w:type="pct"/>
            <w:tcBorders>
              <w:top w:val="single" w:sz="4" w:space="0" w:color="auto"/>
              <w:bottom w:val="single" w:sz="4" w:space="0" w:color="auto"/>
              <w:right w:val="single" w:sz="4" w:space="0" w:color="auto"/>
            </w:tcBorders>
          </w:tcPr>
          <w:p w14:paraId="71CC97EF" w14:textId="437A11B3" w:rsidR="00566A83" w:rsidRPr="00314858" w:rsidRDefault="00722D1D" w:rsidP="001F1A28">
            <w:pPr>
              <w:tabs>
                <w:tab w:val="left" w:pos="139"/>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i/>
                <w:lang w:val="sr-Latn-ME"/>
              </w:rPr>
              <w:t>Hazard ratio</w:t>
            </w:r>
            <w:r w:rsidR="00566A83" w:rsidRPr="00314858">
              <w:rPr>
                <w:rFonts w:ascii="Times New Roman" w:hAnsi="Times New Roman" w:cs="Times New Roman"/>
                <w:lang w:val="sr-Latn-ME"/>
              </w:rPr>
              <w:t xml:space="preserve"> prema varfarinu (95% CI)</w:t>
            </w:r>
          </w:p>
        </w:tc>
        <w:tc>
          <w:tcPr>
            <w:tcW w:w="1211" w:type="pct"/>
            <w:tcBorders>
              <w:top w:val="single" w:sz="4" w:space="0" w:color="auto"/>
              <w:bottom w:val="single" w:sz="4" w:space="0" w:color="auto"/>
              <w:right w:val="single" w:sz="4" w:space="0" w:color="auto"/>
            </w:tcBorders>
            <w:vAlign w:val="center"/>
          </w:tcPr>
          <w:p w14:paraId="50ED91CD"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0,89 (0,73; 1,09)</w:t>
            </w:r>
          </w:p>
        </w:tc>
        <w:tc>
          <w:tcPr>
            <w:tcW w:w="1211" w:type="pct"/>
            <w:tcBorders>
              <w:top w:val="single" w:sz="4" w:space="0" w:color="auto"/>
              <w:left w:val="single" w:sz="4" w:space="0" w:color="auto"/>
              <w:bottom w:val="single" w:sz="4" w:space="0" w:color="auto"/>
              <w:right w:val="single" w:sz="4" w:space="0" w:color="auto"/>
            </w:tcBorders>
            <w:vAlign w:val="center"/>
          </w:tcPr>
          <w:p w14:paraId="44FF478E"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0,65 (0,52; 0,81)</w:t>
            </w:r>
          </w:p>
        </w:tc>
        <w:tc>
          <w:tcPr>
            <w:tcW w:w="1212" w:type="pct"/>
            <w:tcBorders>
              <w:top w:val="single" w:sz="4" w:space="0" w:color="auto"/>
              <w:left w:val="single" w:sz="4" w:space="0" w:color="auto"/>
              <w:bottom w:val="single" w:sz="4" w:space="0" w:color="auto"/>
            </w:tcBorders>
            <w:vAlign w:val="center"/>
          </w:tcPr>
          <w:p w14:paraId="1068E383"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6E6CC666" w14:textId="77777777" w:rsidTr="001F1A28">
        <w:trPr>
          <w:trHeight w:val="20"/>
        </w:trPr>
        <w:tc>
          <w:tcPr>
            <w:tcW w:w="1365" w:type="pct"/>
            <w:tcBorders>
              <w:top w:val="single" w:sz="4" w:space="0" w:color="auto"/>
              <w:bottom w:val="single" w:sz="4" w:space="0" w:color="auto"/>
              <w:right w:val="single" w:sz="4" w:space="0" w:color="auto"/>
            </w:tcBorders>
          </w:tcPr>
          <w:p w14:paraId="725A6E77" w14:textId="637C15DA" w:rsidR="00566A83" w:rsidRPr="00314858" w:rsidRDefault="00566A83"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p-v</w:t>
            </w:r>
            <w:r w:rsidR="00C769F8" w:rsidRPr="00314858">
              <w:rPr>
                <w:rFonts w:ascii="Times New Roman" w:hAnsi="Times New Roman" w:cs="Times New Roman"/>
                <w:lang w:val="sr-Latn-ME"/>
              </w:rPr>
              <w:t>rijednost</w:t>
            </w:r>
            <w:r w:rsidRPr="00314858">
              <w:rPr>
                <w:rFonts w:ascii="Times New Roman" w:hAnsi="Times New Roman" w:cs="Times New Roman"/>
                <w:lang w:val="sr-Latn-ME"/>
              </w:rPr>
              <w:t xml:space="preserve"> za superiornost</w:t>
            </w:r>
          </w:p>
        </w:tc>
        <w:tc>
          <w:tcPr>
            <w:tcW w:w="1211" w:type="pct"/>
            <w:tcBorders>
              <w:top w:val="single" w:sz="4" w:space="0" w:color="auto"/>
              <w:bottom w:val="single" w:sz="4" w:space="0" w:color="auto"/>
              <w:right w:val="single" w:sz="4" w:space="0" w:color="auto"/>
            </w:tcBorders>
            <w:vAlign w:val="center"/>
          </w:tcPr>
          <w:p w14:paraId="124CB99A"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p=0,2721</w:t>
            </w:r>
          </w:p>
        </w:tc>
        <w:tc>
          <w:tcPr>
            <w:tcW w:w="1211" w:type="pct"/>
            <w:tcBorders>
              <w:top w:val="single" w:sz="4" w:space="0" w:color="auto"/>
              <w:left w:val="single" w:sz="4" w:space="0" w:color="auto"/>
              <w:bottom w:val="single" w:sz="4" w:space="0" w:color="auto"/>
              <w:right w:val="single" w:sz="4" w:space="0" w:color="auto"/>
            </w:tcBorders>
            <w:vAlign w:val="center"/>
          </w:tcPr>
          <w:p w14:paraId="247911DA"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p=0,0001</w:t>
            </w:r>
          </w:p>
        </w:tc>
        <w:tc>
          <w:tcPr>
            <w:tcW w:w="1212" w:type="pct"/>
            <w:tcBorders>
              <w:top w:val="single" w:sz="4" w:space="0" w:color="auto"/>
              <w:left w:val="single" w:sz="4" w:space="0" w:color="auto"/>
              <w:bottom w:val="single" w:sz="4" w:space="0" w:color="auto"/>
            </w:tcBorders>
            <w:vAlign w:val="center"/>
          </w:tcPr>
          <w:p w14:paraId="53AEA7EB"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bl>
    <w:p w14:paraId="4A16CEBE" w14:textId="77777777" w:rsidR="00D67D34" w:rsidRPr="00314858" w:rsidRDefault="00D67D34" w:rsidP="00D67D34">
      <w:pPr>
        <w:spacing w:after="0" w:line="240" w:lineRule="auto"/>
        <w:jc w:val="both"/>
        <w:rPr>
          <w:rFonts w:ascii="Times New Roman" w:hAnsi="Times New Roman" w:cs="Times New Roman"/>
          <w:b/>
          <w:bCs/>
          <w:lang w:val="sr-Latn-ME" w:bidi="en-US"/>
        </w:rPr>
      </w:pPr>
      <w:r w:rsidRPr="00314858">
        <w:rPr>
          <w:rFonts w:ascii="Times New Roman" w:hAnsi="Times New Roman" w:cs="Times New Roman"/>
          <w:lang w:val="sr-Latn-ME" w:bidi="en-US"/>
        </w:rPr>
        <w:t>% se odnosi na godišnju stopu događaja</w:t>
      </w:r>
    </w:p>
    <w:p w14:paraId="6806378C" w14:textId="77777777" w:rsidR="00D67D34" w:rsidRPr="00314858" w:rsidRDefault="00D67D34" w:rsidP="00D67D34">
      <w:pPr>
        <w:spacing w:after="0" w:line="240" w:lineRule="auto"/>
        <w:jc w:val="both"/>
        <w:rPr>
          <w:rFonts w:ascii="Times New Roman" w:hAnsi="Times New Roman" w:cs="Times New Roman"/>
          <w:lang w:val="sr-Latn-ME" w:bidi="en-US"/>
        </w:rPr>
      </w:pPr>
    </w:p>
    <w:p w14:paraId="3ECD17A9" w14:textId="3D05D333"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18</w:t>
      </w:r>
      <w:r w:rsidR="00062A82"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Analiza prve pojave ishemijskog ili hemoragijskog moždanog udara tokom perioda ispitivanja u studiji RE-LY.</w:t>
      </w:r>
    </w:p>
    <w:p w14:paraId="5FB994A8" w14:textId="77777777" w:rsidR="005B5F90" w:rsidRPr="00314858" w:rsidRDefault="005B5F90" w:rsidP="00D67D34">
      <w:pPr>
        <w:spacing w:after="0" w:line="240" w:lineRule="auto"/>
        <w:jc w:val="both"/>
        <w:rPr>
          <w:rFonts w:ascii="Times New Roman" w:hAnsi="Times New Roman" w:cs="Times New Roman"/>
          <w:b/>
          <w:bCs/>
          <w:lang w:val="sr-Latn-ME" w:bidi="en-US"/>
        </w:rPr>
      </w:pPr>
    </w:p>
    <w:tbl>
      <w:tblPr>
        <w:tblW w:w="5000" w:type="pct"/>
        <w:tblBorders>
          <w:top w:val="single" w:sz="4" w:space="0" w:color="auto"/>
          <w:left w:val="single" w:sz="4" w:space="0" w:color="auto"/>
          <w:bottom w:val="single" w:sz="4" w:space="0" w:color="auto"/>
          <w:right w:val="single" w:sz="4" w:space="0" w:color="auto"/>
        </w:tblBorders>
        <w:tblCellMar>
          <w:left w:w="85" w:type="dxa"/>
          <w:right w:w="85" w:type="dxa"/>
        </w:tblCellMar>
        <w:tblLook w:val="0000" w:firstRow="0" w:lastRow="0" w:firstColumn="0" w:lastColumn="0" w:noHBand="0" w:noVBand="0"/>
      </w:tblPr>
      <w:tblGrid>
        <w:gridCol w:w="2433"/>
        <w:gridCol w:w="2209"/>
        <w:gridCol w:w="2209"/>
        <w:gridCol w:w="2209"/>
      </w:tblGrid>
      <w:tr w:rsidR="00566A83" w:rsidRPr="00314858" w14:paraId="7E522EDF" w14:textId="77777777" w:rsidTr="001F1A28">
        <w:trPr>
          <w:trHeight w:val="20"/>
        </w:trPr>
        <w:tc>
          <w:tcPr>
            <w:tcW w:w="1343" w:type="pct"/>
            <w:tcBorders>
              <w:top w:val="single" w:sz="4" w:space="0" w:color="auto"/>
              <w:bottom w:val="single" w:sz="4" w:space="0" w:color="auto"/>
              <w:right w:val="single" w:sz="4" w:space="0" w:color="auto"/>
            </w:tcBorders>
          </w:tcPr>
          <w:p w14:paraId="561C575E"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9" w:type="pct"/>
            <w:tcBorders>
              <w:top w:val="single" w:sz="4" w:space="0" w:color="auto"/>
              <w:bottom w:val="single" w:sz="4" w:space="0" w:color="auto"/>
              <w:right w:val="single" w:sz="4" w:space="0" w:color="auto"/>
            </w:tcBorders>
            <w:vAlign w:val="center"/>
          </w:tcPr>
          <w:p w14:paraId="1850A43E"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Dabigatraneteksilat 110 mg dva puta dnevno</w:t>
            </w:r>
          </w:p>
        </w:tc>
        <w:tc>
          <w:tcPr>
            <w:tcW w:w="1219" w:type="pct"/>
            <w:tcBorders>
              <w:top w:val="single" w:sz="4" w:space="0" w:color="auto"/>
              <w:left w:val="single" w:sz="4" w:space="0" w:color="auto"/>
              <w:bottom w:val="single" w:sz="4" w:space="0" w:color="auto"/>
              <w:right w:val="single" w:sz="4" w:space="0" w:color="auto"/>
            </w:tcBorders>
            <w:vAlign w:val="center"/>
          </w:tcPr>
          <w:p w14:paraId="68B991FF"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Dabigatraneteksilat 150</w:t>
            </w:r>
            <w:bookmarkStart w:id="6" w:name="OLE_LINK9"/>
            <w:r w:rsidRPr="00314858">
              <w:rPr>
                <w:rFonts w:ascii="Times New Roman" w:hAnsi="Times New Roman" w:cs="Times New Roman"/>
                <w:lang w:val="sr-Latn-ME"/>
              </w:rPr>
              <w:t> </w:t>
            </w:r>
            <w:bookmarkEnd w:id="6"/>
            <w:r w:rsidRPr="00314858">
              <w:rPr>
                <w:rFonts w:ascii="Times New Roman" w:hAnsi="Times New Roman" w:cs="Times New Roman"/>
                <w:lang w:val="sr-Latn-ME"/>
              </w:rPr>
              <w:t>mg dva puta dnevno</w:t>
            </w:r>
          </w:p>
        </w:tc>
        <w:tc>
          <w:tcPr>
            <w:tcW w:w="1219" w:type="pct"/>
            <w:tcBorders>
              <w:top w:val="single" w:sz="4" w:space="0" w:color="auto"/>
              <w:left w:val="single" w:sz="4" w:space="0" w:color="auto"/>
              <w:bottom w:val="single" w:sz="4" w:space="0" w:color="auto"/>
            </w:tcBorders>
            <w:vAlign w:val="center"/>
          </w:tcPr>
          <w:p w14:paraId="3222DBAC"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Varfarin</w:t>
            </w:r>
          </w:p>
        </w:tc>
      </w:tr>
      <w:tr w:rsidR="00566A83" w:rsidRPr="00314858" w14:paraId="35372768" w14:textId="77777777" w:rsidTr="001F1A28">
        <w:trPr>
          <w:trHeight w:val="20"/>
        </w:trPr>
        <w:tc>
          <w:tcPr>
            <w:tcW w:w="1343" w:type="pct"/>
            <w:tcBorders>
              <w:top w:val="single" w:sz="4" w:space="0" w:color="auto"/>
              <w:bottom w:val="single" w:sz="4" w:space="0" w:color="auto"/>
              <w:right w:val="single" w:sz="4" w:space="0" w:color="auto"/>
            </w:tcBorders>
          </w:tcPr>
          <w:p w14:paraId="31DD159A" w14:textId="77777777" w:rsidR="00566A83" w:rsidRPr="00314858" w:rsidRDefault="00566A83" w:rsidP="001F1A28">
            <w:pPr>
              <w:tabs>
                <w:tab w:val="left" w:pos="7920"/>
              </w:tabs>
              <w:autoSpaceDE w:val="0"/>
              <w:autoSpaceDN w:val="0"/>
              <w:adjustRightInd w:val="0"/>
              <w:spacing w:after="0" w:line="240" w:lineRule="auto"/>
              <w:rPr>
                <w:rFonts w:ascii="Times New Roman" w:hAnsi="Times New Roman" w:cs="Times New Roman"/>
                <w:lang w:val="sr-Latn-ME"/>
              </w:rPr>
            </w:pPr>
            <w:r w:rsidRPr="00314858">
              <w:rPr>
                <w:rFonts w:ascii="Times New Roman" w:hAnsi="Times New Roman" w:cs="Times New Roman"/>
                <w:lang w:val="sr-Latn-ME"/>
              </w:rPr>
              <w:t>Randomizovani ispitanici</w:t>
            </w:r>
          </w:p>
        </w:tc>
        <w:tc>
          <w:tcPr>
            <w:tcW w:w="1219" w:type="pct"/>
            <w:tcBorders>
              <w:top w:val="single" w:sz="4" w:space="0" w:color="auto"/>
              <w:bottom w:val="single" w:sz="4" w:space="0" w:color="auto"/>
              <w:right w:val="single" w:sz="4" w:space="0" w:color="auto"/>
            </w:tcBorders>
            <w:vAlign w:val="center"/>
          </w:tcPr>
          <w:p w14:paraId="099280B4" w14:textId="77777777" w:rsidR="00566A83" w:rsidRPr="00314858" w:rsidRDefault="00566A83" w:rsidP="001F1A28">
            <w:pPr>
              <w:keepNext/>
              <w:keepLines/>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6015</w:t>
            </w:r>
          </w:p>
        </w:tc>
        <w:tc>
          <w:tcPr>
            <w:tcW w:w="1219" w:type="pct"/>
            <w:tcBorders>
              <w:top w:val="single" w:sz="4" w:space="0" w:color="auto"/>
              <w:left w:val="single" w:sz="4" w:space="0" w:color="auto"/>
              <w:bottom w:val="single" w:sz="4" w:space="0" w:color="auto"/>
              <w:right w:val="single" w:sz="4" w:space="0" w:color="auto"/>
            </w:tcBorders>
            <w:vAlign w:val="center"/>
          </w:tcPr>
          <w:p w14:paraId="54601F01" w14:textId="77777777" w:rsidR="00566A83" w:rsidRPr="00314858" w:rsidRDefault="00566A83" w:rsidP="001F1A28">
            <w:pPr>
              <w:keepNext/>
              <w:keepLines/>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6076</w:t>
            </w:r>
          </w:p>
        </w:tc>
        <w:tc>
          <w:tcPr>
            <w:tcW w:w="1219" w:type="pct"/>
            <w:tcBorders>
              <w:top w:val="single" w:sz="4" w:space="0" w:color="auto"/>
              <w:left w:val="single" w:sz="4" w:space="0" w:color="auto"/>
              <w:bottom w:val="single" w:sz="4" w:space="0" w:color="auto"/>
            </w:tcBorders>
            <w:vAlign w:val="center"/>
          </w:tcPr>
          <w:p w14:paraId="06924A40" w14:textId="77777777" w:rsidR="00566A83" w:rsidRPr="00314858" w:rsidRDefault="00566A83" w:rsidP="001F1A28">
            <w:pPr>
              <w:keepNext/>
              <w:keepLines/>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6022</w:t>
            </w:r>
          </w:p>
        </w:tc>
      </w:tr>
      <w:tr w:rsidR="00566A83" w:rsidRPr="00314858" w14:paraId="325866D8" w14:textId="77777777" w:rsidTr="001F1A28">
        <w:trPr>
          <w:trHeight w:val="20"/>
        </w:trPr>
        <w:tc>
          <w:tcPr>
            <w:tcW w:w="1343" w:type="pct"/>
            <w:tcBorders>
              <w:top w:val="single" w:sz="4" w:space="0" w:color="auto"/>
              <w:bottom w:val="single" w:sz="4" w:space="0" w:color="auto"/>
              <w:right w:val="single" w:sz="4" w:space="0" w:color="auto"/>
            </w:tcBorders>
          </w:tcPr>
          <w:p w14:paraId="1FEF966D" w14:textId="77777777" w:rsidR="00566A83" w:rsidRPr="00314858" w:rsidRDefault="00566A83" w:rsidP="001F1A28">
            <w:pPr>
              <w:tabs>
                <w:tab w:val="left" w:pos="7920"/>
              </w:tabs>
              <w:autoSpaceDE w:val="0"/>
              <w:autoSpaceDN w:val="0"/>
              <w:adjustRightInd w:val="0"/>
              <w:spacing w:after="0" w:line="240" w:lineRule="auto"/>
              <w:ind w:left="567" w:hanging="567"/>
              <w:rPr>
                <w:rFonts w:ascii="Times New Roman" w:hAnsi="Times New Roman" w:cs="Times New Roman"/>
                <w:lang w:val="sr-Latn-ME"/>
              </w:rPr>
            </w:pPr>
            <w:r w:rsidRPr="00314858">
              <w:rPr>
                <w:rFonts w:ascii="Times New Roman" w:hAnsi="Times New Roman" w:cs="Times New Roman"/>
                <w:lang w:val="sr-Latn-ME"/>
              </w:rPr>
              <w:t xml:space="preserve">Moždani udar </w:t>
            </w:r>
          </w:p>
        </w:tc>
        <w:tc>
          <w:tcPr>
            <w:tcW w:w="1219" w:type="pct"/>
            <w:tcBorders>
              <w:top w:val="single" w:sz="4" w:space="0" w:color="auto"/>
              <w:bottom w:val="single" w:sz="4" w:space="0" w:color="auto"/>
              <w:right w:val="single" w:sz="4" w:space="0" w:color="auto"/>
            </w:tcBorders>
            <w:vAlign w:val="center"/>
          </w:tcPr>
          <w:p w14:paraId="456A9EAD"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9" w:type="pct"/>
            <w:tcBorders>
              <w:top w:val="single" w:sz="4" w:space="0" w:color="auto"/>
              <w:left w:val="single" w:sz="4" w:space="0" w:color="auto"/>
              <w:bottom w:val="single" w:sz="4" w:space="0" w:color="auto"/>
              <w:right w:val="single" w:sz="4" w:space="0" w:color="auto"/>
            </w:tcBorders>
            <w:vAlign w:val="center"/>
          </w:tcPr>
          <w:p w14:paraId="26562CD7"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9" w:type="pct"/>
            <w:tcBorders>
              <w:top w:val="single" w:sz="4" w:space="0" w:color="auto"/>
              <w:left w:val="single" w:sz="4" w:space="0" w:color="auto"/>
              <w:bottom w:val="single" w:sz="4" w:space="0" w:color="auto"/>
            </w:tcBorders>
            <w:vAlign w:val="center"/>
          </w:tcPr>
          <w:p w14:paraId="5302ED5A"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34EB81B1" w14:textId="77777777" w:rsidTr="001F1A28">
        <w:trPr>
          <w:trHeight w:val="20"/>
        </w:trPr>
        <w:tc>
          <w:tcPr>
            <w:tcW w:w="1343" w:type="pct"/>
            <w:tcBorders>
              <w:top w:val="single" w:sz="4" w:space="0" w:color="auto"/>
              <w:bottom w:val="single" w:sz="4" w:space="0" w:color="auto"/>
              <w:right w:val="single" w:sz="4" w:space="0" w:color="auto"/>
            </w:tcBorders>
          </w:tcPr>
          <w:p w14:paraId="046E3B72" w14:textId="77777777" w:rsidR="00566A83" w:rsidRPr="00314858" w:rsidRDefault="00566A83" w:rsidP="001F1A28">
            <w:pPr>
              <w:tabs>
                <w:tab w:val="left" w:pos="-3"/>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Incidence (%)</w:t>
            </w:r>
          </w:p>
        </w:tc>
        <w:tc>
          <w:tcPr>
            <w:tcW w:w="1219" w:type="pct"/>
            <w:tcBorders>
              <w:top w:val="single" w:sz="4" w:space="0" w:color="auto"/>
              <w:bottom w:val="single" w:sz="4" w:space="0" w:color="auto"/>
              <w:right w:val="single" w:sz="4" w:space="0" w:color="auto"/>
            </w:tcBorders>
            <w:vAlign w:val="center"/>
          </w:tcPr>
          <w:p w14:paraId="13EB4920"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171 (1,44)</w:t>
            </w:r>
          </w:p>
        </w:tc>
        <w:tc>
          <w:tcPr>
            <w:tcW w:w="1219" w:type="pct"/>
            <w:tcBorders>
              <w:top w:val="single" w:sz="4" w:space="0" w:color="auto"/>
              <w:left w:val="single" w:sz="4" w:space="0" w:color="auto"/>
              <w:bottom w:val="single" w:sz="4" w:space="0" w:color="auto"/>
              <w:right w:val="single" w:sz="4" w:space="0" w:color="auto"/>
            </w:tcBorders>
            <w:vAlign w:val="center"/>
          </w:tcPr>
          <w:p w14:paraId="446119C1"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123 (1,02)</w:t>
            </w:r>
          </w:p>
        </w:tc>
        <w:tc>
          <w:tcPr>
            <w:tcW w:w="1219" w:type="pct"/>
            <w:tcBorders>
              <w:top w:val="single" w:sz="4" w:space="0" w:color="auto"/>
              <w:left w:val="single" w:sz="4" w:space="0" w:color="auto"/>
              <w:bottom w:val="single" w:sz="4" w:space="0" w:color="auto"/>
            </w:tcBorders>
            <w:vAlign w:val="center"/>
          </w:tcPr>
          <w:p w14:paraId="5C25E5BE"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187 (1,59)</w:t>
            </w:r>
          </w:p>
        </w:tc>
      </w:tr>
      <w:tr w:rsidR="00566A83" w:rsidRPr="00314858" w14:paraId="59DEA02F" w14:textId="77777777" w:rsidTr="001F1A28">
        <w:trPr>
          <w:trHeight w:val="20"/>
        </w:trPr>
        <w:tc>
          <w:tcPr>
            <w:tcW w:w="1343" w:type="pct"/>
            <w:tcBorders>
              <w:top w:val="single" w:sz="4" w:space="0" w:color="auto"/>
              <w:bottom w:val="single" w:sz="4" w:space="0" w:color="auto"/>
              <w:right w:val="single" w:sz="4" w:space="0" w:color="auto"/>
            </w:tcBorders>
          </w:tcPr>
          <w:p w14:paraId="49DB2AB5" w14:textId="238416D5" w:rsidR="00566A83" w:rsidRPr="00314858" w:rsidRDefault="00DB44B7"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i/>
                <w:lang w:val="sr-Latn-ME"/>
              </w:rPr>
              <w:t>Hazard ratio</w:t>
            </w:r>
            <w:r w:rsidR="00566A83" w:rsidRPr="00314858">
              <w:rPr>
                <w:rFonts w:ascii="Times New Roman" w:hAnsi="Times New Roman" w:cs="Times New Roman"/>
                <w:lang w:val="sr-Latn-ME"/>
              </w:rPr>
              <w:t xml:space="preserve"> prema</w:t>
            </w:r>
            <w:r w:rsidR="00ED227D" w:rsidRPr="00314858">
              <w:rPr>
                <w:rFonts w:ascii="Times New Roman" w:hAnsi="Times New Roman" w:cs="Times New Roman"/>
                <w:lang w:val="sr-Latn-ME"/>
              </w:rPr>
              <w:t xml:space="preserve"> </w:t>
            </w:r>
            <w:r w:rsidR="00566A83" w:rsidRPr="00314858">
              <w:rPr>
                <w:rFonts w:ascii="Times New Roman" w:hAnsi="Times New Roman" w:cs="Times New Roman"/>
                <w:lang w:val="sr-Latn-ME"/>
              </w:rPr>
              <w:t>varfarinu (95% CI)</w:t>
            </w:r>
          </w:p>
        </w:tc>
        <w:tc>
          <w:tcPr>
            <w:tcW w:w="1219" w:type="pct"/>
            <w:tcBorders>
              <w:top w:val="single" w:sz="4" w:space="0" w:color="auto"/>
              <w:bottom w:val="single" w:sz="4" w:space="0" w:color="auto"/>
              <w:right w:val="single" w:sz="4" w:space="0" w:color="auto"/>
            </w:tcBorders>
            <w:vAlign w:val="center"/>
          </w:tcPr>
          <w:p w14:paraId="78023F90"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0,91 (0,74; 1,12)</w:t>
            </w:r>
          </w:p>
        </w:tc>
        <w:tc>
          <w:tcPr>
            <w:tcW w:w="1219" w:type="pct"/>
            <w:tcBorders>
              <w:top w:val="single" w:sz="4" w:space="0" w:color="auto"/>
              <w:left w:val="single" w:sz="4" w:space="0" w:color="auto"/>
              <w:bottom w:val="single" w:sz="4" w:space="0" w:color="auto"/>
              <w:right w:val="single" w:sz="4" w:space="0" w:color="auto"/>
            </w:tcBorders>
            <w:vAlign w:val="center"/>
          </w:tcPr>
          <w:p w14:paraId="094D610A"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0,64 (0,51; 0,81)</w:t>
            </w:r>
          </w:p>
        </w:tc>
        <w:tc>
          <w:tcPr>
            <w:tcW w:w="1219" w:type="pct"/>
            <w:tcBorders>
              <w:top w:val="single" w:sz="4" w:space="0" w:color="auto"/>
              <w:left w:val="single" w:sz="4" w:space="0" w:color="auto"/>
              <w:bottom w:val="single" w:sz="4" w:space="0" w:color="auto"/>
            </w:tcBorders>
            <w:vAlign w:val="center"/>
          </w:tcPr>
          <w:p w14:paraId="78907B7F"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7D248131" w14:textId="77777777" w:rsidTr="001F1A28">
        <w:trPr>
          <w:trHeight w:val="20"/>
        </w:trPr>
        <w:tc>
          <w:tcPr>
            <w:tcW w:w="1343" w:type="pct"/>
            <w:tcBorders>
              <w:top w:val="single" w:sz="4" w:space="0" w:color="auto"/>
              <w:bottom w:val="single" w:sz="4" w:space="0" w:color="auto"/>
              <w:right w:val="single" w:sz="4" w:space="0" w:color="auto"/>
            </w:tcBorders>
          </w:tcPr>
          <w:p w14:paraId="4CB41E63" w14:textId="072AA545" w:rsidR="00566A83" w:rsidRPr="00314858" w:rsidRDefault="00566A83"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p-vr</w:t>
            </w:r>
            <w:r w:rsidR="00C769F8" w:rsidRPr="00314858">
              <w:rPr>
                <w:rFonts w:ascii="Times New Roman" w:hAnsi="Times New Roman" w:cs="Times New Roman"/>
                <w:lang w:val="sr-Latn-ME"/>
              </w:rPr>
              <w:t>ij</w:t>
            </w:r>
            <w:r w:rsidRPr="00314858">
              <w:rPr>
                <w:rFonts w:ascii="Times New Roman" w:hAnsi="Times New Roman" w:cs="Times New Roman"/>
                <w:lang w:val="sr-Latn-ME"/>
              </w:rPr>
              <w:t>ednost</w:t>
            </w:r>
          </w:p>
        </w:tc>
        <w:tc>
          <w:tcPr>
            <w:tcW w:w="1219" w:type="pct"/>
            <w:tcBorders>
              <w:top w:val="single" w:sz="4" w:space="0" w:color="auto"/>
              <w:bottom w:val="single" w:sz="4" w:space="0" w:color="auto"/>
              <w:right w:val="single" w:sz="4" w:space="0" w:color="auto"/>
            </w:tcBorders>
            <w:vAlign w:val="center"/>
          </w:tcPr>
          <w:p w14:paraId="34FEAAB6"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0,3553</w:t>
            </w:r>
          </w:p>
        </w:tc>
        <w:tc>
          <w:tcPr>
            <w:tcW w:w="1219" w:type="pct"/>
            <w:tcBorders>
              <w:top w:val="single" w:sz="4" w:space="0" w:color="auto"/>
              <w:left w:val="single" w:sz="4" w:space="0" w:color="auto"/>
              <w:bottom w:val="single" w:sz="4" w:space="0" w:color="auto"/>
              <w:right w:val="single" w:sz="4" w:space="0" w:color="auto"/>
            </w:tcBorders>
            <w:vAlign w:val="center"/>
          </w:tcPr>
          <w:p w14:paraId="28E7CD6D"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0,0001</w:t>
            </w:r>
          </w:p>
        </w:tc>
        <w:tc>
          <w:tcPr>
            <w:tcW w:w="1219" w:type="pct"/>
            <w:tcBorders>
              <w:top w:val="single" w:sz="4" w:space="0" w:color="auto"/>
              <w:left w:val="single" w:sz="4" w:space="0" w:color="auto"/>
              <w:bottom w:val="single" w:sz="4" w:space="0" w:color="auto"/>
            </w:tcBorders>
            <w:vAlign w:val="center"/>
          </w:tcPr>
          <w:p w14:paraId="5FC0A91C"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194846DF" w14:textId="77777777" w:rsidTr="001F1A28">
        <w:trPr>
          <w:trHeight w:val="20"/>
        </w:trPr>
        <w:tc>
          <w:tcPr>
            <w:tcW w:w="1343" w:type="pct"/>
            <w:tcBorders>
              <w:top w:val="single" w:sz="4" w:space="0" w:color="auto"/>
              <w:bottom w:val="single" w:sz="4" w:space="0" w:color="auto"/>
              <w:right w:val="single" w:sz="4" w:space="0" w:color="auto"/>
            </w:tcBorders>
          </w:tcPr>
          <w:p w14:paraId="7C7D35D3" w14:textId="77777777" w:rsidR="00566A83" w:rsidRPr="00314858" w:rsidRDefault="00566A83" w:rsidP="001F1A28">
            <w:pPr>
              <w:tabs>
                <w:tab w:val="left" w:pos="7920"/>
              </w:tabs>
              <w:autoSpaceDE w:val="0"/>
              <w:autoSpaceDN w:val="0"/>
              <w:adjustRightInd w:val="0"/>
              <w:spacing w:after="0" w:line="240" w:lineRule="auto"/>
              <w:rPr>
                <w:rFonts w:ascii="Times New Roman" w:hAnsi="Times New Roman" w:cs="Times New Roman"/>
                <w:lang w:val="sr-Latn-ME"/>
              </w:rPr>
            </w:pPr>
            <w:r w:rsidRPr="00314858">
              <w:rPr>
                <w:rFonts w:ascii="Times New Roman" w:hAnsi="Times New Roman" w:cs="Times New Roman"/>
                <w:lang w:val="sr-Latn-ME"/>
              </w:rPr>
              <w:t>Sistemska embolija</w:t>
            </w:r>
          </w:p>
        </w:tc>
        <w:tc>
          <w:tcPr>
            <w:tcW w:w="1219" w:type="pct"/>
            <w:tcBorders>
              <w:top w:val="single" w:sz="4" w:space="0" w:color="auto"/>
              <w:bottom w:val="single" w:sz="4" w:space="0" w:color="auto"/>
              <w:right w:val="single" w:sz="4" w:space="0" w:color="auto"/>
            </w:tcBorders>
            <w:vAlign w:val="center"/>
          </w:tcPr>
          <w:p w14:paraId="6A86D7C3"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9" w:type="pct"/>
            <w:tcBorders>
              <w:top w:val="single" w:sz="4" w:space="0" w:color="auto"/>
              <w:left w:val="single" w:sz="4" w:space="0" w:color="auto"/>
              <w:bottom w:val="single" w:sz="4" w:space="0" w:color="auto"/>
              <w:right w:val="single" w:sz="4" w:space="0" w:color="auto"/>
            </w:tcBorders>
            <w:vAlign w:val="center"/>
          </w:tcPr>
          <w:p w14:paraId="52103446"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9" w:type="pct"/>
            <w:tcBorders>
              <w:top w:val="single" w:sz="4" w:space="0" w:color="auto"/>
              <w:left w:val="single" w:sz="4" w:space="0" w:color="auto"/>
              <w:bottom w:val="single" w:sz="4" w:space="0" w:color="auto"/>
            </w:tcBorders>
            <w:vAlign w:val="center"/>
          </w:tcPr>
          <w:p w14:paraId="52B23280"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15C00FEA" w14:textId="77777777" w:rsidTr="001F1A28">
        <w:trPr>
          <w:trHeight w:val="20"/>
        </w:trPr>
        <w:tc>
          <w:tcPr>
            <w:tcW w:w="1343" w:type="pct"/>
            <w:tcBorders>
              <w:top w:val="single" w:sz="4" w:space="0" w:color="auto"/>
              <w:bottom w:val="single" w:sz="4" w:space="0" w:color="auto"/>
              <w:right w:val="single" w:sz="4" w:space="0" w:color="auto"/>
            </w:tcBorders>
          </w:tcPr>
          <w:p w14:paraId="04D3A1D9" w14:textId="77777777" w:rsidR="00566A83" w:rsidRPr="00314858" w:rsidRDefault="00566A83"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Incidence (%)</w:t>
            </w:r>
          </w:p>
        </w:tc>
        <w:tc>
          <w:tcPr>
            <w:tcW w:w="1219" w:type="pct"/>
            <w:tcBorders>
              <w:top w:val="single" w:sz="4" w:space="0" w:color="auto"/>
              <w:bottom w:val="single" w:sz="4" w:space="0" w:color="auto"/>
              <w:right w:val="single" w:sz="4" w:space="0" w:color="auto"/>
            </w:tcBorders>
            <w:vAlign w:val="center"/>
          </w:tcPr>
          <w:p w14:paraId="45F4A439"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15 (0,13)</w:t>
            </w:r>
          </w:p>
        </w:tc>
        <w:tc>
          <w:tcPr>
            <w:tcW w:w="1219" w:type="pct"/>
            <w:tcBorders>
              <w:top w:val="single" w:sz="4" w:space="0" w:color="auto"/>
              <w:left w:val="single" w:sz="4" w:space="0" w:color="auto"/>
              <w:bottom w:val="single" w:sz="4" w:space="0" w:color="auto"/>
              <w:right w:val="single" w:sz="4" w:space="0" w:color="auto"/>
            </w:tcBorders>
            <w:vAlign w:val="center"/>
          </w:tcPr>
          <w:p w14:paraId="554D06DB"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13 (0,11)</w:t>
            </w:r>
          </w:p>
        </w:tc>
        <w:tc>
          <w:tcPr>
            <w:tcW w:w="1219" w:type="pct"/>
            <w:tcBorders>
              <w:top w:val="single" w:sz="4" w:space="0" w:color="auto"/>
              <w:left w:val="single" w:sz="4" w:space="0" w:color="auto"/>
              <w:bottom w:val="single" w:sz="4" w:space="0" w:color="auto"/>
            </w:tcBorders>
            <w:vAlign w:val="center"/>
          </w:tcPr>
          <w:p w14:paraId="070CEBD5"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21 (0,18)</w:t>
            </w:r>
          </w:p>
        </w:tc>
      </w:tr>
      <w:tr w:rsidR="00566A83" w:rsidRPr="00314858" w14:paraId="4CA5C934" w14:textId="77777777" w:rsidTr="001F1A28">
        <w:trPr>
          <w:trHeight w:val="20"/>
        </w:trPr>
        <w:tc>
          <w:tcPr>
            <w:tcW w:w="1343" w:type="pct"/>
            <w:tcBorders>
              <w:top w:val="single" w:sz="4" w:space="0" w:color="auto"/>
              <w:bottom w:val="single" w:sz="4" w:space="0" w:color="auto"/>
              <w:right w:val="single" w:sz="4" w:space="0" w:color="auto"/>
            </w:tcBorders>
          </w:tcPr>
          <w:p w14:paraId="042F4D11" w14:textId="1D6CB1E9" w:rsidR="00566A83" w:rsidRPr="00314858" w:rsidRDefault="00DB44B7"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i/>
                <w:lang w:val="sr-Latn-ME"/>
              </w:rPr>
              <w:t>Hazard ratio</w:t>
            </w:r>
            <w:r w:rsidR="00566A83" w:rsidRPr="00314858">
              <w:rPr>
                <w:rFonts w:ascii="Times New Roman" w:hAnsi="Times New Roman" w:cs="Times New Roman"/>
                <w:lang w:val="sr-Latn-ME"/>
              </w:rPr>
              <w:t xml:space="preserve"> prema varfarinu (95% CI)</w:t>
            </w:r>
          </w:p>
        </w:tc>
        <w:tc>
          <w:tcPr>
            <w:tcW w:w="1219" w:type="pct"/>
            <w:tcBorders>
              <w:top w:val="single" w:sz="4" w:space="0" w:color="auto"/>
              <w:bottom w:val="single" w:sz="4" w:space="0" w:color="auto"/>
              <w:right w:val="single" w:sz="4" w:space="0" w:color="auto"/>
            </w:tcBorders>
            <w:vAlign w:val="center"/>
          </w:tcPr>
          <w:p w14:paraId="25AC3C7A"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0,71 (0,37; 1,38)</w:t>
            </w:r>
          </w:p>
        </w:tc>
        <w:tc>
          <w:tcPr>
            <w:tcW w:w="1219" w:type="pct"/>
            <w:tcBorders>
              <w:top w:val="single" w:sz="4" w:space="0" w:color="auto"/>
              <w:left w:val="single" w:sz="4" w:space="0" w:color="auto"/>
              <w:bottom w:val="single" w:sz="4" w:space="0" w:color="auto"/>
              <w:right w:val="single" w:sz="4" w:space="0" w:color="auto"/>
            </w:tcBorders>
            <w:vAlign w:val="center"/>
          </w:tcPr>
          <w:p w14:paraId="5B98C9BE"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0,61 (0,30; 1,21)</w:t>
            </w:r>
          </w:p>
        </w:tc>
        <w:tc>
          <w:tcPr>
            <w:tcW w:w="1219" w:type="pct"/>
            <w:tcBorders>
              <w:top w:val="single" w:sz="4" w:space="0" w:color="auto"/>
              <w:left w:val="single" w:sz="4" w:space="0" w:color="auto"/>
              <w:bottom w:val="single" w:sz="4" w:space="0" w:color="auto"/>
            </w:tcBorders>
            <w:vAlign w:val="center"/>
          </w:tcPr>
          <w:p w14:paraId="0F806B6C"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34B81524" w14:textId="77777777" w:rsidTr="001F1A28">
        <w:trPr>
          <w:trHeight w:val="20"/>
        </w:trPr>
        <w:tc>
          <w:tcPr>
            <w:tcW w:w="1343" w:type="pct"/>
            <w:tcBorders>
              <w:top w:val="single" w:sz="4" w:space="0" w:color="auto"/>
              <w:bottom w:val="single" w:sz="4" w:space="0" w:color="auto"/>
              <w:right w:val="single" w:sz="4" w:space="0" w:color="auto"/>
            </w:tcBorders>
          </w:tcPr>
          <w:p w14:paraId="0F24A7DC" w14:textId="38B817A0" w:rsidR="00566A83" w:rsidRPr="00314858" w:rsidRDefault="00566A83"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p-v</w:t>
            </w:r>
            <w:r w:rsidR="00C769F8" w:rsidRPr="00314858">
              <w:rPr>
                <w:rFonts w:ascii="Times New Roman" w:hAnsi="Times New Roman" w:cs="Times New Roman"/>
                <w:lang w:val="sr-Latn-ME"/>
              </w:rPr>
              <w:t>rijednost</w:t>
            </w:r>
          </w:p>
        </w:tc>
        <w:tc>
          <w:tcPr>
            <w:tcW w:w="1219" w:type="pct"/>
            <w:tcBorders>
              <w:top w:val="single" w:sz="4" w:space="0" w:color="auto"/>
              <w:bottom w:val="single" w:sz="4" w:space="0" w:color="auto"/>
              <w:right w:val="single" w:sz="4" w:space="0" w:color="auto"/>
            </w:tcBorders>
            <w:vAlign w:val="center"/>
          </w:tcPr>
          <w:p w14:paraId="0C485FD8"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0,3099</w:t>
            </w:r>
          </w:p>
        </w:tc>
        <w:tc>
          <w:tcPr>
            <w:tcW w:w="1219" w:type="pct"/>
            <w:tcBorders>
              <w:top w:val="single" w:sz="4" w:space="0" w:color="auto"/>
              <w:left w:val="single" w:sz="4" w:space="0" w:color="auto"/>
              <w:bottom w:val="single" w:sz="4" w:space="0" w:color="auto"/>
              <w:right w:val="single" w:sz="4" w:space="0" w:color="auto"/>
            </w:tcBorders>
            <w:vAlign w:val="center"/>
          </w:tcPr>
          <w:p w14:paraId="4F91886E"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0,1582</w:t>
            </w:r>
          </w:p>
        </w:tc>
        <w:tc>
          <w:tcPr>
            <w:tcW w:w="1219" w:type="pct"/>
            <w:tcBorders>
              <w:top w:val="single" w:sz="4" w:space="0" w:color="auto"/>
              <w:left w:val="single" w:sz="4" w:space="0" w:color="auto"/>
              <w:bottom w:val="single" w:sz="4" w:space="0" w:color="auto"/>
            </w:tcBorders>
            <w:vAlign w:val="center"/>
          </w:tcPr>
          <w:p w14:paraId="1D2BCF30"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119E451A" w14:textId="77777777" w:rsidTr="001F1A28">
        <w:trPr>
          <w:trHeight w:val="20"/>
        </w:trPr>
        <w:tc>
          <w:tcPr>
            <w:tcW w:w="1343" w:type="pct"/>
            <w:tcBorders>
              <w:top w:val="single" w:sz="4" w:space="0" w:color="auto"/>
              <w:bottom w:val="single" w:sz="4" w:space="0" w:color="auto"/>
              <w:right w:val="single" w:sz="4" w:space="0" w:color="auto"/>
            </w:tcBorders>
          </w:tcPr>
          <w:p w14:paraId="150FE278" w14:textId="77777777" w:rsidR="00566A83" w:rsidRPr="00314858" w:rsidRDefault="00566A83" w:rsidP="001F1A28">
            <w:pPr>
              <w:tabs>
                <w:tab w:val="left" w:pos="7920"/>
              </w:tabs>
              <w:autoSpaceDE w:val="0"/>
              <w:autoSpaceDN w:val="0"/>
              <w:adjustRightInd w:val="0"/>
              <w:spacing w:after="0" w:line="240" w:lineRule="auto"/>
              <w:rPr>
                <w:rFonts w:ascii="Times New Roman" w:hAnsi="Times New Roman" w:cs="Times New Roman"/>
                <w:lang w:val="sr-Latn-ME"/>
              </w:rPr>
            </w:pPr>
            <w:r w:rsidRPr="00314858">
              <w:rPr>
                <w:rFonts w:ascii="Times New Roman" w:hAnsi="Times New Roman" w:cs="Times New Roman"/>
                <w:lang w:val="sr-Latn-ME"/>
              </w:rPr>
              <w:t>Ishemijski moždani udar</w:t>
            </w:r>
          </w:p>
        </w:tc>
        <w:tc>
          <w:tcPr>
            <w:tcW w:w="1219" w:type="pct"/>
            <w:tcBorders>
              <w:top w:val="single" w:sz="4" w:space="0" w:color="auto"/>
              <w:bottom w:val="single" w:sz="4" w:space="0" w:color="auto"/>
              <w:right w:val="single" w:sz="4" w:space="0" w:color="auto"/>
            </w:tcBorders>
            <w:vAlign w:val="center"/>
          </w:tcPr>
          <w:p w14:paraId="1D6FC7A6"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9" w:type="pct"/>
            <w:tcBorders>
              <w:top w:val="single" w:sz="4" w:space="0" w:color="auto"/>
              <w:left w:val="single" w:sz="4" w:space="0" w:color="auto"/>
              <w:bottom w:val="single" w:sz="4" w:space="0" w:color="auto"/>
              <w:right w:val="single" w:sz="4" w:space="0" w:color="auto"/>
            </w:tcBorders>
            <w:vAlign w:val="center"/>
          </w:tcPr>
          <w:p w14:paraId="644AEBAB"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9" w:type="pct"/>
            <w:tcBorders>
              <w:top w:val="single" w:sz="4" w:space="0" w:color="auto"/>
              <w:left w:val="single" w:sz="4" w:space="0" w:color="auto"/>
              <w:bottom w:val="single" w:sz="4" w:space="0" w:color="auto"/>
            </w:tcBorders>
            <w:vAlign w:val="center"/>
          </w:tcPr>
          <w:p w14:paraId="293FDA16"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77A2C479" w14:textId="77777777" w:rsidTr="001F1A28">
        <w:trPr>
          <w:trHeight w:val="20"/>
        </w:trPr>
        <w:tc>
          <w:tcPr>
            <w:tcW w:w="1343" w:type="pct"/>
            <w:tcBorders>
              <w:top w:val="single" w:sz="4" w:space="0" w:color="auto"/>
              <w:bottom w:val="single" w:sz="4" w:space="0" w:color="auto"/>
              <w:right w:val="single" w:sz="4" w:space="0" w:color="auto"/>
            </w:tcBorders>
          </w:tcPr>
          <w:p w14:paraId="7FCDB861" w14:textId="77777777" w:rsidR="00566A83" w:rsidRPr="00314858" w:rsidRDefault="00566A83"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Incidence (%)</w:t>
            </w:r>
          </w:p>
        </w:tc>
        <w:tc>
          <w:tcPr>
            <w:tcW w:w="1219" w:type="pct"/>
            <w:tcBorders>
              <w:top w:val="single" w:sz="4" w:space="0" w:color="auto"/>
              <w:bottom w:val="single" w:sz="4" w:space="0" w:color="auto"/>
              <w:right w:val="single" w:sz="4" w:space="0" w:color="auto"/>
            </w:tcBorders>
            <w:vAlign w:val="center"/>
          </w:tcPr>
          <w:p w14:paraId="12275B73"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152 (1,28)</w:t>
            </w:r>
          </w:p>
        </w:tc>
        <w:tc>
          <w:tcPr>
            <w:tcW w:w="1219" w:type="pct"/>
            <w:tcBorders>
              <w:top w:val="single" w:sz="4" w:space="0" w:color="auto"/>
              <w:left w:val="single" w:sz="4" w:space="0" w:color="auto"/>
              <w:bottom w:val="single" w:sz="4" w:space="0" w:color="auto"/>
              <w:right w:val="single" w:sz="4" w:space="0" w:color="auto"/>
            </w:tcBorders>
            <w:vAlign w:val="center"/>
          </w:tcPr>
          <w:p w14:paraId="0AEC0826"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104 (0,86)</w:t>
            </w:r>
          </w:p>
        </w:tc>
        <w:tc>
          <w:tcPr>
            <w:tcW w:w="1219" w:type="pct"/>
            <w:tcBorders>
              <w:top w:val="single" w:sz="4" w:space="0" w:color="auto"/>
              <w:left w:val="single" w:sz="4" w:space="0" w:color="auto"/>
              <w:bottom w:val="single" w:sz="4" w:space="0" w:color="auto"/>
            </w:tcBorders>
            <w:vAlign w:val="center"/>
          </w:tcPr>
          <w:p w14:paraId="1C014437"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134 (1,14)</w:t>
            </w:r>
          </w:p>
        </w:tc>
      </w:tr>
      <w:tr w:rsidR="00566A83" w:rsidRPr="00314858" w14:paraId="505741A9" w14:textId="77777777" w:rsidTr="001F1A28">
        <w:trPr>
          <w:trHeight w:val="20"/>
        </w:trPr>
        <w:tc>
          <w:tcPr>
            <w:tcW w:w="1343" w:type="pct"/>
            <w:tcBorders>
              <w:top w:val="single" w:sz="4" w:space="0" w:color="auto"/>
              <w:bottom w:val="single" w:sz="4" w:space="0" w:color="auto"/>
              <w:right w:val="single" w:sz="4" w:space="0" w:color="auto"/>
            </w:tcBorders>
          </w:tcPr>
          <w:p w14:paraId="3A5855A3" w14:textId="6DF20AE3" w:rsidR="00566A83" w:rsidRPr="00314858" w:rsidRDefault="00DB44B7"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i/>
                <w:lang w:val="sr-Latn-ME"/>
              </w:rPr>
              <w:t>Hazard ratio</w:t>
            </w:r>
            <w:r w:rsidR="00566A83" w:rsidRPr="00314858">
              <w:rPr>
                <w:rFonts w:ascii="Times New Roman" w:hAnsi="Times New Roman" w:cs="Times New Roman"/>
                <w:lang w:val="sr-Latn-ME"/>
              </w:rPr>
              <w:t xml:space="preserve"> prema varfarinu (95% CI)</w:t>
            </w:r>
          </w:p>
        </w:tc>
        <w:tc>
          <w:tcPr>
            <w:tcW w:w="1219" w:type="pct"/>
            <w:tcBorders>
              <w:top w:val="single" w:sz="4" w:space="0" w:color="auto"/>
              <w:bottom w:val="single" w:sz="4" w:space="0" w:color="auto"/>
              <w:right w:val="single" w:sz="4" w:space="0" w:color="auto"/>
            </w:tcBorders>
            <w:vAlign w:val="center"/>
          </w:tcPr>
          <w:p w14:paraId="69DA1578"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1,13 (0,89; 1,42)</w:t>
            </w:r>
          </w:p>
        </w:tc>
        <w:tc>
          <w:tcPr>
            <w:tcW w:w="1219" w:type="pct"/>
            <w:tcBorders>
              <w:top w:val="single" w:sz="4" w:space="0" w:color="auto"/>
              <w:left w:val="single" w:sz="4" w:space="0" w:color="auto"/>
              <w:bottom w:val="single" w:sz="4" w:space="0" w:color="auto"/>
              <w:right w:val="single" w:sz="4" w:space="0" w:color="auto"/>
            </w:tcBorders>
            <w:vAlign w:val="center"/>
          </w:tcPr>
          <w:p w14:paraId="6E7692D4"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0,76 (0,59; 0,98)</w:t>
            </w:r>
          </w:p>
        </w:tc>
        <w:tc>
          <w:tcPr>
            <w:tcW w:w="1219" w:type="pct"/>
            <w:tcBorders>
              <w:top w:val="single" w:sz="4" w:space="0" w:color="auto"/>
              <w:left w:val="single" w:sz="4" w:space="0" w:color="auto"/>
              <w:bottom w:val="single" w:sz="4" w:space="0" w:color="auto"/>
            </w:tcBorders>
            <w:vAlign w:val="center"/>
          </w:tcPr>
          <w:p w14:paraId="55EBC0FB"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5F4F6A46" w14:textId="77777777" w:rsidTr="001F1A28">
        <w:trPr>
          <w:trHeight w:val="20"/>
        </w:trPr>
        <w:tc>
          <w:tcPr>
            <w:tcW w:w="1343" w:type="pct"/>
            <w:tcBorders>
              <w:top w:val="single" w:sz="4" w:space="0" w:color="auto"/>
              <w:bottom w:val="single" w:sz="4" w:space="0" w:color="auto"/>
              <w:right w:val="single" w:sz="4" w:space="0" w:color="auto"/>
            </w:tcBorders>
          </w:tcPr>
          <w:p w14:paraId="3E7EE07D" w14:textId="1871D45D" w:rsidR="00566A83" w:rsidRPr="00314858" w:rsidRDefault="00566A83"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p-vr</w:t>
            </w:r>
            <w:r w:rsidR="00C769F8" w:rsidRPr="00314858">
              <w:rPr>
                <w:rFonts w:ascii="Times New Roman" w:hAnsi="Times New Roman" w:cs="Times New Roman"/>
                <w:lang w:val="sr-Latn-ME"/>
              </w:rPr>
              <w:t>ij</w:t>
            </w:r>
            <w:r w:rsidRPr="00314858">
              <w:rPr>
                <w:rFonts w:ascii="Times New Roman" w:hAnsi="Times New Roman" w:cs="Times New Roman"/>
                <w:lang w:val="sr-Latn-ME"/>
              </w:rPr>
              <w:t>ednost</w:t>
            </w:r>
          </w:p>
        </w:tc>
        <w:tc>
          <w:tcPr>
            <w:tcW w:w="1219" w:type="pct"/>
            <w:tcBorders>
              <w:top w:val="single" w:sz="4" w:space="0" w:color="auto"/>
              <w:bottom w:val="single" w:sz="4" w:space="0" w:color="auto"/>
              <w:right w:val="single" w:sz="4" w:space="0" w:color="auto"/>
            </w:tcBorders>
            <w:vAlign w:val="center"/>
          </w:tcPr>
          <w:p w14:paraId="2476EB10"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0,3138</w:t>
            </w:r>
          </w:p>
        </w:tc>
        <w:tc>
          <w:tcPr>
            <w:tcW w:w="1219" w:type="pct"/>
            <w:tcBorders>
              <w:top w:val="single" w:sz="4" w:space="0" w:color="auto"/>
              <w:left w:val="single" w:sz="4" w:space="0" w:color="auto"/>
              <w:bottom w:val="single" w:sz="4" w:space="0" w:color="auto"/>
              <w:right w:val="single" w:sz="4" w:space="0" w:color="auto"/>
            </w:tcBorders>
            <w:vAlign w:val="center"/>
          </w:tcPr>
          <w:p w14:paraId="01247B84"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0,0351</w:t>
            </w:r>
          </w:p>
        </w:tc>
        <w:tc>
          <w:tcPr>
            <w:tcW w:w="1219" w:type="pct"/>
            <w:tcBorders>
              <w:top w:val="single" w:sz="4" w:space="0" w:color="auto"/>
              <w:left w:val="single" w:sz="4" w:space="0" w:color="auto"/>
              <w:bottom w:val="single" w:sz="4" w:space="0" w:color="auto"/>
            </w:tcBorders>
            <w:vAlign w:val="center"/>
          </w:tcPr>
          <w:p w14:paraId="6FA31AFE"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4A735BDE" w14:textId="77777777" w:rsidTr="001F1A28">
        <w:trPr>
          <w:trHeight w:val="20"/>
        </w:trPr>
        <w:tc>
          <w:tcPr>
            <w:tcW w:w="1343" w:type="pct"/>
            <w:tcBorders>
              <w:top w:val="single" w:sz="4" w:space="0" w:color="auto"/>
              <w:bottom w:val="single" w:sz="4" w:space="0" w:color="auto"/>
              <w:right w:val="single" w:sz="4" w:space="0" w:color="auto"/>
            </w:tcBorders>
          </w:tcPr>
          <w:p w14:paraId="04ACE94F" w14:textId="77777777" w:rsidR="00566A83" w:rsidRPr="00314858" w:rsidRDefault="00566A83" w:rsidP="001F1A28">
            <w:pPr>
              <w:tabs>
                <w:tab w:val="left" w:pos="7920"/>
              </w:tabs>
              <w:autoSpaceDE w:val="0"/>
              <w:autoSpaceDN w:val="0"/>
              <w:adjustRightInd w:val="0"/>
              <w:spacing w:after="0" w:line="240" w:lineRule="auto"/>
              <w:rPr>
                <w:rFonts w:ascii="Times New Roman" w:hAnsi="Times New Roman" w:cs="Times New Roman"/>
                <w:lang w:val="sr-Latn-ME"/>
              </w:rPr>
            </w:pPr>
            <w:r w:rsidRPr="00314858">
              <w:rPr>
                <w:rFonts w:ascii="Times New Roman" w:hAnsi="Times New Roman" w:cs="Times New Roman"/>
                <w:lang w:val="sr-Latn-ME"/>
              </w:rPr>
              <w:t>Hemoragijski moždani udar</w:t>
            </w:r>
          </w:p>
        </w:tc>
        <w:tc>
          <w:tcPr>
            <w:tcW w:w="1219" w:type="pct"/>
            <w:tcBorders>
              <w:top w:val="single" w:sz="4" w:space="0" w:color="auto"/>
              <w:bottom w:val="single" w:sz="4" w:space="0" w:color="auto"/>
              <w:right w:val="single" w:sz="4" w:space="0" w:color="auto"/>
            </w:tcBorders>
            <w:vAlign w:val="center"/>
          </w:tcPr>
          <w:p w14:paraId="787F220F"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9" w:type="pct"/>
            <w:tcBorders>
              <w:top w:val="single" w:sz="4" w:space="0" w:color="auto"/>
              <w:left w:val="single" w:sz="4" w:space="0" w:color="auto"/>
              <w:bottom w:val="single" w:sz="4" w:space="0" w:color="auto"/>
              <w:right w:val="single" w:sz="4" w:space="0" w:color="auto"/>
            </w:tcBorders>
            <w:vAlign w:val="center"/>
          </w:tcPr>
          <w:p w14:paraId="404A99A7"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c>
          <w:tcPr>
            <w:tcW w:w="1219" w:type="pct"/>
            <w:tcBorders>
              <w:top w:val="single" w:sz="4" w:space="0" w:color="auto"/>
              <w:left w:val="single" w:sz="4" w:space="0" w:color="auto"/>
              <w:bottom w:val="single" w:sz="4" w:space="0" w:color="auto"/>
            </w:tcBorders>
            <w:vAlign w:val="center"/>
          </w:tcPr>
          <w:p w14:paraId="08F56D6B"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330E1143" w14:textId="77777777" w:rsidTr="001F1A28">
        <w:trPr>
          <w:trHeight w:val="20"/>
        </w:trPr>
        <w:tc>
          <w:tcPr>
            <w:tcW w:w="1343" w:type="pct"/>
            <w:tcBorders>
              <w:top w:val="single" w:sz="4" w:space="0" w:color="auto"/>
              <w:bottom w:val="single" w:sz="4" w:space="0" w:color="auto"/>
              <w:right w:val="single" w:sz="4" w:space="0" w:color="auto"/>
            </w:tcBorders>
          </w:tcPr>
          <w:p w14:paraId="46981DC1" w14:textId="77777777" w:rsidR="00566A83" w:rsidRPr="00314858" w:rsidRDefault="00566A83"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Incidence (%)</w:t>
            </w:r>
          </w:p>
        </w:tc>
        <w:tc>
          <w:tcPr>
            <w:tcW w:w="1219" w:type="pct"/>
            <w:tcBorders>
              <w:top w:val="single" w:sz="4" w:space="0" w:color="auto"/>
              <w:bottom w:val="single" w:sz="4" w:space="0" w:color="auto"/>
              <w:right w:val="single" w:sz="4" w:space="0" w:color="auto"/>
            </w:tcBorders>
            <w:vAlign w:val="center"/>
          </w:tcPr>
          <w:p w14:paraId="54BA413D"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14 (0,12)</w:t>
            </w:r>
          </w:p>
        </w:tc>
        <w:tc>
          <w:tcPr>
            <w:tcW w:w="1219" w:type="pct"/>
            <w:tcBorders>
              <w:top w:val="single" w:sz="4" w:space="0" w:color="auto"/>
              <w:left w:val="single" w:sz="4" w:space="0" w:color="auto"/>
              <w:bottom w:val="single" w:sz="4" w:space="0" w:color="auto"/>
              <w:right w:val="single" w:sz="4" w:space="0" w:color="auto"/>
            </w:tcBorders>
            <w:vAlign w:val="center"/>
          </w:tcPr>
          <w:p w14:paraId="0865AFFC"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12 (0,10)</w:t>
            </w:r>
          </w:p>
        </w:tc>
        <w:tc>
          <w:tcPr>
            <w:tcW w:w="1219" w:type="pct"/>
            <w:tcBorders>
              <w:top w:val="single" w:sz="4" w:space="0" w:color="auto"/>
              <w:left w:val="single" w:sz="4" w:space="0" w:color="auto"/>
              <w:bottom w:val="single" w:sz="4" w:space="0" w:color="auto"/>
            </w:tcBorders>
            <w:vAlign w:val="center"/>
          </w:tcPr>
          <w:p w14:paraId="401CFC76"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45 (0,38)</w:t>
            </w:r>
          </w:p>
        </w:tc>
      </w:tr>
      <w:tr w:rsidR="00566A83" w:rsidRPr="00314858" w14:paraId="7E45C69D" w14:textId="77777777" w:rsidTr="001F1A28">
        <w:trPr>
          <w:trHeight w:val="20"/>
        </w:trPr>
        <w:tc>
          <w:tcPr>
            <w:tcW w:w="1343" w:type="pct"/>
            <w:tcBorders>
              <w:top w:val="single" w:sz="4" w:space="0" w:color="auto"/>
              <w:bottom w:val="single" w:sz="4" w:space="0" w:color="auto"/>
              <w:right w:val="single" w:sz="4" w:space="0" w:color="auto"/>
            </w:tcBorders>
          </w:tcPr>
          <w:p w14:paraId="3DB8FB60" w14:textId="79989F19" w:rsidR="00566A83" w:rsidRPr="00314858" w:rsidRDefault="00DB44B7" w:rsidP="001F1A28">
            <w:pPr>
              <w:tabs>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i/>
                <w:lang w:val="sr-Latn-ME"/>
              </w:rPr>
              <w:t>Hazard ratio</w:t>
            </w:r>
            <w:r w:rsidR="00566A83" w:rsidRPr="00314858">
              <w:rPr>
                <w:rFonts w:ascii="Times New Roman" w:hAnsi="Times New Roman" w:cs="Times New Roman"/>
                <w:lang w:val="sr-Latn-ME"/>
              </w:rPr>
              <w:t xml:space="preserve"> prema</w:t>
            </w:r>
            <w:r w:rsidR="00ED227D" w:rsidRPr="00314858">
              <w:rPr>
                <w:rFonts w:ascii="Times New Roman" w:hAnsi="Times New Roman" w:cs="Times New Roman"/>
                <w:lang w:val="sr-Latn-ME"/>
              </w:rPr>
              <w:t xml:space="preserve"> </w:t>
            </w:r>
            <w:r w:rsidR="00566A83" w:rsidRPr="00314858">
              <w:rPr>
                <w:rFonts w:ascii="Times New Roman" w:hAnsi="Times New Roman" w:cs="Times New Roman"/>
                <w:lang w:val="sr-Latn-ME"/>
              </w:rPr>
              <w:t>varfarinu (95% CI)</w:t>
            </w:r>
          </w:p>
        </w:tc>
        <w:tc>
          <w:tcPr>
            <w:tcW w:w="1219" w:type="pct"/>
            <w:tcBorders>
              <w:top w:val="single" w:sz="4" w:space="0" w:color="auto"/>
              <w:bottom w:val="single" w:sz="4" w:space="0" w:color="auto"/>
              <w:right w:val="single" w:sz="4" w:space="0" w:color="auto"/>
            </w:tcBorders>
            <w:vAlign w:val="center"/>
          </w:tcPr>
          <w:p w14:paraId="7C906903"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0,31 (0,17; 0,56)</w:t>
            </w:r>
          </w:p>
        </w:tc>
        <w:tc>
          <w:tcPr>
            <w:tcW w:w="1219" w:type="pct"/>
            <w:tcBorders>
              <w:top w:val="single" w:sz="4" w:space="0" w:color="auto"/>
              <w:left w:val="single" w:sz="4" w:space="0" w:color="auto"/>
              <w:bottom w:val="single" w:sz="4" w:space="0" w:color="auto"/>
              <w:right w:val="single" w:sz="4" w:space="0" w:color="auto"/>
            </w:tcBorders>
            <w:vAlign w:val="center"/>
          </w:tcPr>
          <w:p w14:paraId="4B19A1CF"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0,26 (0,14; 0,49)</w:t>
            </w:r>
          </w:p>
        </w:tc>
        <w:tc>
          <w:tcPr>
            <w:tcW w:w="1219" w:type="pct"/>
            <w:tcBorders>
              <w:top w:val="single" w:sz="4" w:space="0" w:color="auto"/>
              <w:left w:val="single" w:sz="4" w:space="0" w:color="auto"/>
              <w:bottom w:val="single" w:sz="4" w:space="0" w:color="auto"/>
            </w:tcBorders>
            <w:vAlign w:val="center"/>
          </w:tcPr>
          <w:p w14:paraId="316156A5"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r w:rsidR="00566A83" w:rsidRPr="00314858" w14:paraId="47C56A4E" w14:textId="77777777" w:rsidTr="001F1A28">
        <w:trPr>
          <w:trHeight w:val="20"/>
        </w:trPr>
        <w:tc>
          <w:tcPr>
            <w:tcW w:w="1343" w:type="pct"/>
            <w:tcBorders>
              <w:top w:val="single" w:sz="4" w:space="0" w:color="auto"/>
              <w:bottom w:val="single" w:sz="4" w:space="0" w:color="auto"/>
              <w:right w:val="single" w:sz="4" w:space="0" w:color="auto"/>
            </w:tcBorders>
          </w:tcPr>
          <w:p w14:paraId="55E16A99" w14:textId="180075E0" w:rsidR="00566A83" w:rsidRPr="00314858" w:rsidRDefault="00566A83" w:rsidP="001F1A28">
            <w:pPr>
              <w:tabs>
                <w:tab w:val="left" w:pos="139"/>
                <w:tab w:val="left" w:pos="7920"/>
              </w:tabs>
              <w:autoSpaceDE w:val="0"/>
              <w:autoSpaceDN w:val="0"/>
              <w:adjustRightInd w:val="0"/>
              <w:spacing w:after="0" w:line="240" w:lineRule="auto"/>
              <w:ind w:left="281"/>
              <w:rPr>
                <w:rFonts w:ascii="Times New Roman" w:hAnsi="Times New Roman" w:cs="Times New Roman"/>
                <w:lang w:val="sr-Latn-ME"/>
              </w:rPr>
            </w:pPr>
            <w:r w:rsidRPr="00314858">
              <w:rPr>
                <w:rFonts w:ascii="Times New Roman" w:hAnsi="Times New Roman" w:cs="Times New Roman"/>
                <w:lang w:val="sr-Latn-ME"/>
              </w:rPr>
              <w:t>p-vr</w:t>
            </w:r>
            <w:r w:rsidR="00C769F8" w:rsidRPr="00314858">
              <w:rPr>
                <w:rFonts w:ascii="Times New Roman" w:hAnsi="Times New Roman" w:cs="Times New Roman"/>
                <w:lang w:val="sr-Latn-ME"/>
              </w:rPr>
              <w:t>ij</w:t>
            </w:r>
            <w:r w:rsidRPr="00314858">
              <w:rPr>
                <w:rFonts w:ascii="Times New Roman" w:hAnsi="Times New Roman" w:cs="Times New Roman"/>
                <w:lang w:val="sr-Latn-ME"/>
              </w:rPr>
              <w:t>ednost</w:t>
            </w:r>
          </w:p>
        </w:tc>
        <w:tc>
          <w:tcPr>
            <w:tcW w:w="1219" w:type="pct"/>
            <w:tcBorders>
              <w:top w:val="single" w:sz="4" w:space="0" w:color="auto"/>
              <w:bottom w:val="single" w:sz="4" w:space="0" w:color="auto"/>
              <w:right w:val="single" w:sz="4" w:space="0" w:color="auto"/>
            </w:tcBorders>
            <w:vAlign w:val="center"/>
          </w:tcPr>
          <w:p w14:paraId="43C34945"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0,0001</w:t>
            </w:r>
          </w:p>
        </w:tc>
        <w:tc>
          <w:tcPr>
            <w:tcW w:w="1219" w:type="pct"/>
            <w:tcBorders>
              <w:top w:val="single" w:sz="4" w:space="0" w:color="auto"/>
              <w:left w:val="single" w:sz="4" w:space="0" w:color="auto"/>
              <w:bottom w:val="single" w:sz="4" w:space="0" w:color="auto"/>
              <w:right w:val="single" w:sz="4" w:space="0" w:color="auto"/>
            </w:tcBorders>
            <w:vAlign w:val="center"/>
          </w:tcPr>
          <w:p w14:paraId="35DEC62A"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&lt;0,0001</w:t>
            </w:r>
          </w:p>
        </w:tc>
        <w:tc>
          <w:tcPr>
            <w:tcW w:w="1219" w:type="pct"/>
            <w:tcBorders>
              <w:top w:val="single" w:sz="4" w:space="0" w:color="auto"/>
              <w:left w:val="single" w:sz="4" w:space="0" w:color="auto"/>
              <w:bottom w:val="single" w:sz="4" w:space="0" w:color="auto"/>
            </w:tcBorders>
            <w:vAlign w:val="center"/>
          </w:tcPr>
          <w:p w14:paraId="3E651AE4" w14:textId="77777777" w:rsidR="00566A83" w:rsidRPr="00314858" w:rsidRDefault="00566A83" w:rsidP="001F1A28">
            <w:pPr>
              <w:tabs>
                <w:tab w:val="left" w:pos="7920"/>
              </w:tabs>
              <w:autoSpaceDE w:val="0"/>
              <w:autoSpaceDN w:val="0"/>
              <w:adjustRightInd w:val="0"/>
              <w:spacing w:after="0" w:line="240" w:lineRule="auto"/>
              <w:jc w:val="center"/>
              <w:rPr>
                <w:rFonts w:ascii="Times New Roman" w:hAnsi="Times New Roman" w:cs="Times New Roman"/>
                <w:lang w:val="sr-Latn-ME"/>
              </w:rPr>
            </w:pPr>
          </w:p>
        </w:tc>
      </w:tr>
    </w:tbl>
    <w:p w14:paraId="69F37882" w14:textId="6F1C6D01" w:rsidR="00D67D34" w:rsidRPr="00314858" w:rsidRDefault="00D67D34" w:rsidP="00D67D34">
      <w:pPr>
        <w:spacing w:after="0" w:line="240" w:lineRule="auto"/>
        <w:jc w:val="both"/>
        <w:rPr>
          <w:rFonts w:ascii="Times New Roman" w:hAnsi="Times New Roman" w:cs="Times New Roman"/>
          <w:b/>
          <w:bCs/>
          <w:lang w:val="sr-Latn-ME" w:bidi="en-US"/>
        </w:rPr>
      </w:pPr>
      <w:r w:rsidRPr="00314858">
        <w:rPr>
          <w:rFonts w:ascii="Times New Roman" w:hAnsi="Times New Roman" w:cs="Times New Roman"/>
          <w:lang w:val="sr-Latn-ME" w:bidi="en-US"/>
        </w:rPr>
        <w:t xml:space="preserve">% </w:t>
      </w:r>
      <w:r w:rsidR="00DB44B7" w:rsidRPr="00314858">
        <w:rPr>
          <w:rFonts w:ascii="Times New Roman" w:hAnsi="Times New Roman" w:cs="Times New Roman"/>
          <w:lang w:val="sr-Latn-ME" w:bidi="en-US"/>
        </w:rPr>
        <w:t>se odnosi na</w:t>
      </w:r>
      <w:r w:rsidRPr="00314858">
        <w:rPr>
          <w:rFonts w:ascii="Times New Roman" w:hAnsi="Times New Roman" w:cs="Times New Roman"/>
          <w:lang w:val="sr-Latn-ME" w:bidi="en-US"/>
        </w:rPr>
        <w:t xml:space="preserve"> godišnju stopu događaja</w:t>
      </w:r>
    </w:p>
    <w:p w14:paraId="6EEDAF9C" w14:textId="77777777" w:rsidR="001E7E1D" w:rsidRPr="00314858" w:rsidRDefault="001E7E1D" w:rsidP="00D67D34">
      <w:pPr>
        <w:spacing w:after="0" w:line="240" w:lineRule="auto"/>
        <w:jc w:val="both"/>
        <w:rPr>
          <w:rFonts w:ascii="Times New Roman" w:hAnsi="Times New Roman" w:cs="Times New Roman"/>
          <w:lang w:val="sr-Latn-ME" w:bidi="en-US"/>
        </w:rPr>
      </w:pPr>
    </w:p>
    <w:p w14:paraId="229C9F5B" w14:textId="77777777" w:rsidR="00314858" w:rsidRDefault="00314858" w:rsidP="00BA378B">
      <w:pPr>
        <w:spacing w:after="0" w:line="240" w:lineRule="auto"/>
        <w:jc w:val="center"/>
        <w:rPr>
          <w:rFonts w:ascii="Times New Roman" w:hAnsi="Times New Roman" w:cs="Times New Roman"/>
          <w:b/>
          <w:bCs/>
          <w:lang w:val="sr-Latn-ME" w:bidi="en-US"/>
        </w:rPr>
      </w:pPr>
    </w:p>
    <w:p w14:paraId="53061769" w14:textId="77777777" w:rsidR="00314858" w:rsidRDefault="00314858" w:rsidP="00BA378B">
      <w:pPr>
        <w:spacing w:after="0" w:line="240" w:lineRule="auto"/>
        <w:jc w:val="center"/>
        <w:rPr>
          <w:rFonts w:ascii="Times New Roman" w:hAnsi="Times New Roman" w:cs="Times New Roman"/>
          <w:b/>
          <w:bCs/>
          <w:lang w:val="sr-Latn-ME" w:bidi="en-US"/>
        </w:rPr>
      </w:pPr>
    </w:p>
    <w:p w14:paraId="0B263087" w14:textId="77777777" w:rsidR="00314858" w:rsidRDefault="00314858" w:rsidP="00BA378B">
      <w:pPr>
        <w:spacing w:after="0" w:line="240" w:lineRule="auto"/>
        <w:jc w:val="center"/>
        <w:rPr>
          <w:rFonts w:ascii="Times New Roman" w:hAnsi="Times New Roman" w:cs="Times New Roman"/>
          <w:b/>
          <w:bCs/>
          <w:lang w:val="sr-Latn-ME" w:bidi="en-US"/>
        </w:rPr>
      </w:pPr>
    </w:p>
    <w:p w14:paraId="4F84ED0B" w14:textId="759C6045"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lastRenderedPageBreak/>
        <w:t>Tabela 19</w:t>
      </w:r>
      <w:r w:rsidR="00F235F2"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Analiza mortaliteta usl</w:t>
      </w:r>
      <w:r w:rsidR="00C769F8" w:rsidRPr="00314858">
        <w:rPr>
          <w:rFonts w:ascii="Times New Roman" w:hAnsi="Times New Roman" w:cs="Times New Roman"/>
          <w:b/>
          <w:bCs/>
          <w:lang w:val="sr-Latn-ME" w:bidi="en-US"/>
        </w:rPr>
        <w:t>j</w:t>
      </w:r>
      <w:r w:rsidRPr="00314858">
        <w:rPr>
          <w:rFonts w:ascii="Times New Roman" w:hAnsi="Times New Roman" w:cs="Times New Roman"/>
          <w:b/>
          <w:bCs/>
          <w:lang w:val="sr-Latn-ME" w:bidi="en-US"/>
        </w:rPr>
        <w:t>ed svih uzroka i kardiovaskularnog preživljavanja tokom ispitivanog perioda u studiji RE-LY.</w:t>
      </w:r>
    </w:p>
    <w:p w14:paraId="71AAA33D" w14:textId="77777777" w:rsidR="00F235F2" w:rsidRPr="00314858" w:rsidRDefault="00F235F2"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2402"/>
        <w:gridCol w:w="2307"/>
        <w:gridCol w:w="2307"/>
        <w:gridCol w:w="2044"/>
      </w:tblGrid>
      <w:tr w:rsidR="00566A83" w:rsidRPr="00314858" w14:paraId="644B3AFC" w14:textId="77777777" w:rsidTr="001F1A28">
        <w:trPr>
          <w:trHeight w:val="20"/>
          <w:jc w:val="center"/>
        </w:trPr>
        <w:tc>
          <w:tcPr>
            <w:tcW w:w="1326" w:type="pct"/>
            <w:tcBorders>
              <w:top w:val="single" w:sz="4" w:space="0" w:color="auto"/>
              <w:left w:val="single" w:sz="4" w:space="0" w:color="auto"/>
            </w:tcBorders>
            <w:shd w:val="clear" w:color="auto" w:fill="auto"/>
          </w:tcPr>
          <w:p w14:paraId="7580445B" w14:textId="77777777" w:rsidR="00566A83" w:rsidRPr="00314858" w:rsidRDefault="00566A83" w:rsidP="001F1A28">
            <w:pPr>
              <w:widowControl w:val="0"/>
              <w:spacing w:after="0" w:line="240" w:lineRule="auto"/>
              <w:rPr>
                <w:rFonts w:ascii="Times New Roman" w:eastAsia="Courier New" w:hAnsi="Times New Roman" w:cs="Times New Roman"/>
                <w:color w:val="000000" w:themeColor="text1"/>
                <w:lang w:val="sr-Latn-ME" w:bidi="en-US"/>
              </w:rPr>
            </w:pPr>
          </w:p>
        </w:tc>
        <w:tc>
          <w:tcPr>
            <w:tcW w:w="1273" w:type="pct"/>
            <w:tcBorders>
              <w:top w:val="single" w:sz="4" w:space="0" w:color="auto"/>
              <w:left w:val="single" w:sz="4" w:space="0" w:color="auto"/>
            </w:tcBorders>
            <w:shd w:val="clear" w:color="auto" w:fill="auto"/>
            <w:vAlign w:val="center"/>
          </w:tcPr>
          <w:p w14:paraId="54CB5649"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Dabigatraneteksilat 110 mg dva puta</w:t>
            </w:r>
          </w:p>
          <w:p w14:paraId="17BA18D8"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dnevno</w:t>
            </w:r>
          </w:p>
        </w:tc>
        <w:tc>
          <w:tcPr>
            <w:tcW w:w="1273" w:type="pct"/>
            <w:tcBorders>
              <w:top w:val="single" w:sz="4" w:space="0" w:color="auto"/>
              <w:left w:val="single" w:sz="4" w:space="0" w:color="auto"/>
            </w:tcBorders>
            <w:shd w:val="clear" w:color="auto" w:fill="auto"/>
            <w:vAlign w:val="center"/>
          </w:tcPr>
          <w:p w14:paraId="5957E6A4"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Dabigatraneteksilat 150 mg dva puta</w:t>
            </w:r>
          </w:p>
          <w:p w14:paraId="1C38090E"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dnevno</w:t>
            </w:r>
          </w:p>
        </w:tc>
        <w:tc>
          <w:tcPr>
            <w:tcW w:w="1128" w:type="pct"/>
            <w:tcBorders>
              <w:top w:val="single" w:sz="4" w:space="0" w:color="auto"/>
              <w:left w:val="single" w:sz="4" w:space="0" w:color="auto"/>
              <w:right w:val="single" w:sz="4" w:space="0" w:color="auto"/>
            </w:tcBorders>
            <w:shd w:val="clear" w:color="auto" w:fill="auto"/>
            <w:vAlign w:val="center"/>
          </w:tcPr>
          <w:p w14:paraId="2CC03202"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Varfarin</w:t>
            </w:r>
          </w:p>
        </w:tc>
      </w:tr>
      <w:tr w:rsidR="00566A83" w:rsidRPr="00314858" w14:paraId="26C2C231" w14:textId="77777777" w:rsidTr="001F1A28">
        <w:trPr>
          <w:trHeight w:val="20"/>
          <w:jc w:val="center"/>
        </w:trPr>
        <w:tc>
          <w:tcPr>
            <w:tcW w:w="1326" w:type="pct"/>
            <w:tcBorders>
              <w:top w:val="single" w:sz="4" w:space="0" w:color="auto"/>
              <w:left w:val="single" w:sz="4" w:space="0" w:color="auto"/>
            </w:tcBorders>
            <w:shd w:val="clear" w:color="auto" w:fill="auto"/>
            <w:vAlign w:val="bottom"/>
          </w:tcPr>
          <w:p w14:paraId="3522C198" w14:textId="77777777" w:rsidR="00566A83" w:rsidRPr="00314858" w:rsidRDefault="00566A83"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Randomizovani ispitanici</w:t>
            </w:r>
          </w:p>
        </w:tc>
        <w:tc>
          <w:tcPr>
            <w:tcW w:w="1273" w:type="pct"/>
            <w:tcBorders>
              <w:top w:val="single" w:sz="4" w:space="0" w:color="auto"/>
              <w:left w:val="single" w:sz="4" w:space="0" w:color="auto"/>
            </w:tcBorders>
            <w:shd w:val="clear" w:color="auto" w:fill="auto"/>
            <w:vAlign w:val="center"/>
          </w:tcPr>
          <w:p w14:paraId="1169BB37"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6015</w:t>
            </w:r>
          </w:p>
        </w:tc>
        <w:tc>
          <w:tcPr>
            <w:tcW w:w="1273" w:type="pct"/>
            <w:tcBorders>
              <w:top w:val="single" w:sz="4" w:space="0" w:color="auto"/>
              <w:left w:val="single" w:sz="4" w:space="0" w:color="auto"/>
            </w:tcBorders>
            <w:shd w:val="clear" w:color="auto" w:fill="auto"/>
            <w:vAlign w:val="center"/>
          </w:tcPr>
          <w:p w14:paraId="203FDC0A"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6076</w:t>
            </w:r>
          </w:p>
        </w:tc>
        <w:tc>
          <w:tcPr>
            <w:tcW w:w="1128" w:type="pct"/>
            <w:tcBorders>
              <w:top w:val="single" w:sz="4" w:space="0" w:color="auto"/>
              <w:left w:val="single" w:sz="4" w:space="0" w:color="auto"/>
              <w:right w:val="single" w:sz="4" w:space="0" w:color="auto"/>
            </w:tcBorders>
            <w:shd w:val="clear" w:color="auto" w:fill="auto"/>
            <w:vAlign w:val="center"/>
          </w:tcPr>
          <w:p w14:paraId="4CE921CE"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6022</w:t>
            </w:r>
          </w:p>
        </w:tc>
      </w:tr>
      <w:tr w:rsidR="00566A83" w:rsidRPr="00314858" w14:paraId="6054D78A" w14:textId="77777777" w:rsidTr="001F1A28">
        <w:trPr>
          <w:trHeight w:val="20"/>
          <w:jc w:val="center"/>
        </w:trPr>
        <w:tc>
          <w:tcPr>
            <w:tcW w:w="1326" w:type="pct"/>
            <w:tcBorders>
              <w:top w:val="single" w:sz="4" w:space="0" w:color="auto"/>
              <w:left w:val="single" w:sz="4" w:space="0" w:color="auto"/>
            </w:tcBorders>
            <w:shd w:val="clear" w:color="auto" w:fill="auto"/>
            <w:vAlign w:val="bottom"/>
          </w:tcPr>
          <w:p w14:paraId="18A089ED" w14:textId="560D8B9F" w:rsidR="00566A83" w:rsidRPr="00314858" w:rsidRDefault="00566A83"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Mortalitet usl</w:t>
            </w:r>
            <w:r w:rsidR="00337AE7"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ed svih uzroka</w:t>
            </w:r>
          </w:p>
        </w:tc>
        <w:tc>
          <w:tcPr>
            <w:tcW w:w="1273" w:type="pct"/>
            <w:tcBorders>
              <w:top w:val="single" w:sz="4" w:space="0" w:color="auto"/>
              <w:left w:val="single" w:sz="4" w:space="0" w:color="auto"/>
            </w:tcBorders>
            <w:shd w:val="clear" w:color="auto" w:fill="auto"/>
            <w:vAlign w:val="center"/>
          </w:tcPr>
          <w:p w14:paraId="61D7FE72"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c>
          <w:tcPr>
            <w:tcW w:w="1273" w:type="pct"/>
            <w:tcBorders>
              <w:top w:val="single" w:sz="4" w:space="0" w:color="auto"/>
              <w:left w:val="single" w:sz="4" w:space="0" w:color="auto"/>
            </w:tcBorders>
            <w:shd w:val="clear" w:color="auto" w:fill="auto"/>
            <w:vAlign w:val="center"/>
          </w:tcPr>
          <w:p w14:paraId="364941D8"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c>
          <w:tcPr>
            <w:tcW w:w="1128" w:type="pct"/>
            <w:tcBorders>
              <w:top w:val="single" w:sz="4" w:space="0" w:color="auto"/>
              <w:left w:val="single" w:sz="4" w:space="0" w:color="auto"/>
              <w:right w:val="single" w:sz="4" w:space="0" w:color="auto"/>
            </w:tcBorders>
            <w:shd w:val="clear" w:color="auto" w:fill="auto"/>
            <w:vAlign w:val="center"/>
          </w:tcPr>
          <w:p w14:paraId="336FBA8F"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r w:rsidR="00566A83" w:rsidRPr="00314858" w14:paraId="312A15D2" w14:textId="77777777" w:rsidTr="001F1A28">
        <w:trPr>
          <w:trHeight w:val="20"/>
          <w:jc w:val="center"/>
        </w:trPr>
        <w:tc>
          <w:tcPr>
            <w:tcW w:w="1326" w:type="pct"/>
            <w:tcBorders>
              <w:top w:val="single" w:sz="4" w:space="0" w:color="auto"/>
              <w:left w:val="single" w:sz="4" w:space="0" w:color="auto"/>
            </w:tcBorders>
            <w:shd w:val="clear" w:color="auto" w:fill="auto"/>
            <w:vAlign w:val="bottom"/>
          </w:tcPr>
          <w:p w14:paraId="31DDAFF0" w14:textId="77777777" w:rsidR="00566A83" w:rsidRPr="00314858" w:rsidRDefault="00566A83" w:rsidP="001F1A28">
            <w:pPr>
              <w:widowControl w:val="0"/>
              <w:spacing w:after="0" w:line="240" w:lineRule="auto"/>
              <w:ind w:left="330" w:right="-106"/>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Incidence (%)</w:t>
            </w:r>
          </w:p>
        </w:tc>
        <w:tc>
          <w:tcPr>
            <w:tcW w:w="1273" w:type="pct"/>
            <w:tcBorders>
              <w:top w:val="single" w:sz="4" w:space="0" w:color="auto"/>
              <w:left w:val="single" w:sz="4" w:space="0" w:color="auto"/>
            </w:tcBorders>
            <w:shd w:val="clear" w:color="auto" w:fill="auto"/>
            <w:vAlign w:val="center"/>
          </w:tcPr>
          <w:p w14:paraId="20B345C2"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446 (3,75)</w:t>
            </w:r>
          </w:p>
        </w:tc>
        <w:tc>
          <w:tcPr>
            <w:tcW w:w="1273" w:type="pct"/>
            <w:tcBorders>
              <w:top w:val="single" w:sz="4" w:space="0" w:color="auto"/>
              <w:left w:val="single" w:sz="4" w:space="0" w:color="auto"/>
            </w:tcBorders>
            <w:shd w:val="clear" w:color="auto" w:fill="auto"/>
            <w:vAlign w:val="center"/>
          </w:tcPr>
          <w:p w14:paraId="1887E677"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438 (3,64)</w:t>
            </w:r>
          </w:p>
        </w:tc>
        <w:tc>
          <w:tcPr>
            <w:tcW w:w="1128" w:type="pct"/>
            <w:tcBorders>
              <w:top w:val="single" w:sz="4" w:space="0" w:color="auto"/>
              <w:left w:val="single" w:sz="4" w:space="0" w:color="auto"/>
              <w:right w:val="single" w:sz="4" w:space="0" w:color="auto"/>
            </w:tcBorders>
            <w:shd w:val="clear" w:color="auto" w:fill="auto"/>
            <w:vAlign w:val="center"/>
          </w:tcPr>
          <w:p w14:paraId="30A1258B"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487 (4,13)</w:t>
            </w:r>
          </w:p>
        </w:tc>
      </w:tr>
      <w:tr w:rsidR="00566A83" w:rsidRPr="00314858" w14:paraId="0816EE82" w14:textId="77777777" w:rsidTr="001F1A28">
        <w:trPr>
          <w:trHeight w:val="20"/>
          <w:jc w:val="center"/>
        </w:trPr>
        <w:tc>
          <w:tcPr>
            <w:tcW w:w="1326" w:type="pct"/>
            <w:tcBorders>
              <w:top w:val="single" w:sz="4" w:space="0" w:color="auto"/>
              <w:left w:val="single" w:sz="4" w:space="0" w:color="auto"/>
            </w:tcBorders>
            <w:shd w:val="clear" w:color="auto" w:fill="auto"/>
            <w:vAlign w:val="bottom"/>
          </w:tcPr>
          <w:p w14:paraId="3693E857" w14:textId="6AC3242F" w:rsidR="00566A83" w:rsidRPr="00314858" w:rsidRDefault="00831A66" w:rsidP="001F1A28">
            <w:pPr>
              <w:widowControl w:val="0"/>
              <w:tabs>
                <w:tab w:val="left" w:pos="1180"/>
              </w:tabs>
              <w:spacing w:after="0" w:line="240" w:lineRule="auto"/>
              <w:ind w:left="330" w:right="-106"/>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i/>
                <w:color w:val="000000" w:themeColor="text1"/>
                <w:lang w:val="sr-Latn-ME" w:bidi="en-US"/>
              </w:rPr>
              <w:t>Hazard ratio</w:t>
            </w:r>
            <w:r w:rsidR="00566A83" w:rsidRPr="00314858">
              <w:rPr>
                <w:rFonts w:ascii="Times New Roman" w:eastAsia="Times New Roman" w:hAnsi="Times New Roman" w:cs="Times New Roman"/>
                <w:color w:val="000000" w:themeColor="text1"/>
                <w:lang w:val="sr-Latn-ME" w:bidi="en-US"/>
              </w:rPr>
              <w:t xml:space="preserve"> prema varfarinu (95% CI)</w:t>
            </w:r>
          </w:p>
        </w:tc>
        <w:tc>
          <w:tcPr>
            <w:tcW w:w="1273" w:type="pct"/>
            <w:tcBorders>
              <w:top w:val="single" w:sz="4" w:space="0" w:color="auto"/>
              <w:left w:val="single" w:sz="4" w:space="0" w:color="auto"/>
            </w:tcBorders>
            <w:shd w:val="clear" w:color="auto" w:fill="auto"/>
            <w:vAlign w:val="center"/>
          </w:tcPr>
          <w:p w14:paraId="63451D48" w14:textId="5B501F33"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0,91 (0,80</w:t>
            </w:r>
            <w:r w:rsidR="00831A66" w:rsidRPr="00314858">
              <w:rPr>
                <w:rFonts w:ascii="Times New Roman" w:eastAsia="Times New Roman" w:hAnsi="Times New Roman" w:cs="Times New Roman"/>
                <w:color w:val="000000" w:themeColor="text1"/>
                <w:lang w:val="sr-Latn-ME" w:bidi="en-US"/>
              </w:rPr>
              <w:t>;</w:t>
            </w:r>
            <w:r w:rsidRPr="00314858">
              <w:rPr>
                <w:rFonts w:ascii="Times New Roman" w:eastAsia="Times New Roman" w:hAnsi="Times New Roman" w:cs="Times New Roman"/>
                <w:color w:val="000000" w:themeColor="text1"/>
                <w:lang w:val="sr-Latn-ME" w:bidi="en-US"/>
              </w:rPr>
              <w:t xml:space="preserve"> 1,03)</w:t>
            </w:r>
          </w:p>
        </w:tc>
        <w:tc>
          <w:tcPr>
            <w:tcW w:w="1273" w:type="pct"/>
            <w:tcBorders>
              <w:top w:val="single" w:sz="4" w:space="0" w:color="auto"/>
              <w:left w:val="single" w:sz="4" w:space="0" w:color="auto"/>
            </w:tcBorders>
            <w:shd w:val="clear" w:color="auto" w:fill="auto"/>
            <w:vAlign w:val="center"/>
          </w:tcPr>
          <w:p w14:paraId="6D813E87" w14:textId="2BC9D898"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0,88 (0,77</w:t>
            </w:r>
            <w:r w:rsidR="00831A66" w:rsidRPr="00314858">
              <w:rPr>
                <w:rFonts w:ascii="Times New Roman" w:eastAsia="Times New Roman" w:hAnsi="Times New Roman" w:cs="Times New Roman"/>
                <w:color w:val="000000" w:themeColor="text1"/>
                <w:lang w:val="sr-Latn-ME" w:bidi="en-US"/>
              </w:rPr>
              <w:t>;</w:t>
            </w:r>
            <w:r w:rsidRPr="00314858">
              <w:rPr>
                <w:rFonts w:ascii="Times New Roman" w:eastAsia="Times New Roman" w:hAnsi="Times New Roman" w:cs="Times New Roman"/>
                <w:color w:val="000000" w:themeColor="text1"/>
                <w:lang w:val="sr-Latn-ME" w:bidi="en-US"/>
              </w:rPr>
              <w:t xml:space="preserve"> 1,00)</w:t>
            </w:r>
          </w:p>
        </w:tc>
        <w:tc>
          <w:tcPr>
            <w:tcW w:w="1128" w:type="pct"/>
            <w:tcBorders>
              <w:top w:val="single" w:sz="4" w:space="0" w:color="auto"/>
              <w:left w:val="single" w:sz="4" w:space="0" w:color="auto"/>
              <w:right w:val="single" w:sz="4" w:space="0" w:color="auto"/>
            </w:tcBorders>
            <w:shd w:val="clear" w:color="auto" w:fill="auto"/>
            <w:vAlign w:val="center"/>
          </w:tcPr>
          <w:p w14:paraId="1248A60D"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r w:rsidR="00566A83" w:rsidRPr="00314858" w14:paraId="13860939" w14:textId="77777777" w:rsidTr="001F1A28">
        <w:trPr>
          <w:trHeight w:val="20"/>
          <w:jc w:val="center"/>
        </w:trPr>
        <w:tc>
          <w:tcPr>
            <w:tcW w:w="1326" w:type="pct"/>
            <w:tcBorders>
              <w:top w:val="single" w:sz="4" w:space="0" w:color="auto"/>
              <w:left w:val="single" w:sz="4" w:space="0" w:color="auto"/>
            </w:tcBorders>
            <w:shd w:val="clear" w:color="auto" w:fill="auto"/>
            <w:vAlign w:val="bottom"/>
          </w:tcPr>
          <w:p w14:paraId="72C8A406" w14:textId="7FF42F79" w:rsidR="00566A83" w:rsidRPr="00314858" w:rsidRDefault="00566A83" w:rsidP="001F1A28">
            <w:pPr>
              <w:widowControl w:val="0"/>
              <w:spacing w:after="0" w:line="240" w:lineRule="auto"/>
              <w:ind w:left="330" w:right="-106"/>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p-vr</w:t>
            </w:r>
            <w:r w:rsidR="00C769F8"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ednost</w:t>
            </w:r>
          </w:p>
        </w:tc>
        <w:tc>
          <w:tcPr>
            <w:tcW w:w="1273" w:type="pct"/>
            <w:tcBorders>
              <w:top w:val="single" w:sz="4" w:space="0" w:color="auto"/>
              <w:left w:val="single" w:sz="4" w:space="0" w:color="auto"/>
            </w:tcBorders>
            <w:shd w:val="clear" w:color="auto" w:fill="auto"/>
            <w:vAlign w:val="center"/>
          </w:tcPr>
          <w:p w14:paraId="1649803B"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0,1308</w:t>
            </w:r>
          </w:p>
        </w:tc>
        <w:tc>
          <w:tcPr>
            <w:tcW w:w="1273" w:type="pct"/>
            <w:tcBorders>
              <w:top w:val="single" w:sz="4" w:space="0" w:color="auto"/>
              <w:left w:val="single" w:sz="4" w:space="0" w:color="auto"/>
            </w:tcBorders>
            <w:shd w:val="clear" w:color="auto" w:fill="auto"/>
            <w:vAlign w:val="center"/>
          </w:tcPr>
          <w:p w14:paraId="1CC90943"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0,0517</w:t>
            </w:r>
          </w:p>
        </w:tc>
        <w:tc>
          <w:tcPr>
            <w:tcW w:w="1128" w:type="pct"/>
            <w:tcBorders>
              <w:top w:val="single" w:sz="4" w:space="0" w:color="auto"/>
              <w:left w:val="single" w:sz="4" w:space="0" w:color="auto"/>
              <w:right w:val="single" w:sz="4" w:space="0" w:color="auto"/>
            </w:tcBorders>
            <w:shd w:val="clear" w:color="auto" w:fill="auto"/>
            <w:vAlign w:val="center"/>
          </w:tcPr>
          <w:p w14:paraId="67752129"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r w:rsidR="00566A83" w:rsidRPr="00314858" w14:paraId="12F31D37" w14:textId="77777777" w:rsidTr="001F1A28">
        <w:trPr>
          <w:trHeight w:val="20"/>
          <w:jc w:val="center"/>
        </w:trPr>
        <w:tc>
          <w:tcPr>
            <w:tcW w:w="1326" w:type="pct"/>
            <w:tcBorders>
              <w:top w:val="single" w:sz="4" w:space="0" w:color="auto"/>
              <w:left w:val="single" w:sz="4" w:space="0" w:color="auto"/>
            </w:tcBorders>
            <w:shd w:val="clear" w:color="auto" w:fill="auto"/>
            <w:vAlign w:val="bottom"/>
          </w:tcPr>
          <w:p w14:paraId="181C95B1" w14:textId="77777777" w:rsidR="00566A83" w:rsidRPr="00314858" w:rsidRDefault="00566A83"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Vaskularni mortalitet</w:t>
            </w:r>
          </w:p>
        </w:tc>
        <w:tc>
          <w:tcPr>
            <w:tcW w:w="1273" w:type="pct"/>
            <w:tcBorders>
              <w:top w:val="single" w:sz="4" w:space="0" w:color="auto"/>
              <w:left w:val="single" w:sz="4" w:space="0" w:color="auto"/>
            </w:tcBorders>
            <w:shd w:val="clear" w:color="auto" w:fill="auto"/>
            <w:vAlign w:val="center"/>
          </w:tcPr>
          <w:p w14:paraId="1BA773CE"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c>
          <w:tcPr>
            <w:tcW w:w="1273" w:type="pct"/>
            <w:tcBorders>
              <w:top w:val="single" w:sz="4" w:space="0" w:color="auto"/>
              <w:left w:val="single" w:sz="4" w:space="0" w:color="auto"/>
            </w:tcBorders>
            <w:shd w:val="clear" w:color="auto" w:fill="auto"/>
            <w:vAlign w:val="center"/>
          </w:tcPr>
          <w:p w14:paraId="02126AC6"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c>
          <w:tcPr>
            <w:tcW w:w="1128" w:type="pct"/>
            <w:tcBorders>
              <w:top w:val="single" w:sz="4" w:space="0" w:color="auto"/>
              <w:left w:val="single" w:sz="4" w:space="0" w:color="auto"/>
              <w:right w:val="single" w:sz="4" w:space="0" w:color="auto"/>
            </w:tcBorders>
            <w:shd w:val="clear" w:color="auto" w:fill="auto"/>
            <w:vAlign w:val="center"/>
          </w:tcPr>
          <w:p w14:paraId="1796E59B"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r w:rsidR="00566A83" w:rsidRPr="00314858" w14:paraId="6B27DA55" w14:textId="77777777" w:rsidTr="001F1A28">
        <w:trPr>
          <w:trHeight w:val="20"/>
          <w:jc w:val="center"/>
        </w:trPr>
        <w:tc>
          <w:tcPr>
            <w:tcW w:w="1326" w:type="pct"/>
            <w:tcBorders>
              <w:top w:val="single" w:sz="4" w:space="0" w:color="auto"/>
              <w:left w:val="single" w:sz="4" w:space="0" w:color="auto"/>
            </w:tcBorders>
            <w:shd w:val="clear" w:color="auto" w:fill="auto"/>
            <w:vAlign w:val="bottom"/>
          </w:tcPr>
          <w:p w14:paraId="13B4906A" w14:textId="77777777" w:rsidR="00566A83" w:rsidRPr="00314858" w:rsidRDefault="00566A83" w:rsidP="001F1A28">
            <w:pPr>
              <w:widowControl w:val="0"/>
              <w:spacing w:after="0" w:line="240" w:lineRule="auto"/>
              <w:ind w:left="330"/>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Incidence (%)</w:t>
            </w:r>
          </w:p>
        </w:tc>
        <w:tc>
          <w:tcPr>
            <w:tcW w:w="1273" w:type="pct"/>
            <w:tcBorders>
              <w:top w:val="single" w:sz="4" w:space="0" w:color="auto"/>
              <w:left w:val="single" w:sz="4" w:space="0" w:color="auto"/>
            </w:tcBorders>
            <w:shd w:val="clear" w:color="auto" w:fill="auto"/>
            <w:vAlign w:val="center"/>
          </w:tcPr>
          <w:p w14:paraId="1114E649"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289 (2,43)</w:t>
            </w:r>
          </w:p>
        </w:tc>
        <w:tc>
          <w:tcPr>
            <w:tcW w:w="1273" w:type="pct"/>
            <w:tcBorders>
              <w:top w:val="single" w:sz="4" w:space="0" w:color="auto"/>
              <w:left w:val="single" w:sz="4" w:space="0" w:color="auto"/>
            </w:tcBorders>
            <w:shd w:val="clear" w:color="auto" w:fill="auto"/>
            <w:vAlign w:val="center"/>
          </w:tcPr>
          <w:p w14:paraId="69D345B3"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274 (2,28)</w:t>
            </w:r>
          </w:p>
        </w:tc>
        <w:tc>
          <w:tcPr>
            <w:tcW w:w="1128" w:type="pct"/>
            <w:tcBorders>
              <w:top w:val="single" w:sz="4" w:space="0" w:color="auto"/>
              <w:left w:val="single" w:sz="4" w:space="0" w:color="auto"/>
              <w:right w:val="single" w:sz="4" w:space="0" w:color="auto"/>
            </w:tcBorders>
            <w:shd w:val="clear" w:color="auto" w:fill="auto"/>
            <w:vAlign w:val="center"/>
          </w:tcPr>
          <w:p w14:paraId="6925D34B"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317 (2,69)</w:t>
            </w:r>
          </w:p>
        </w:tc>
      </w:tr>
      <w:tr w:rsidR="00566A83" w:rsidRPr="00314858" w14:paraId="19E13911" w14:textId="77777777" w:rsidTr="001F1A28">
        <w:trPr>
          <w:trHeight w:val="20"/>
          <w:jc w:val="center"/>
        </w:trPr>
        <w:tc>
          <w:tcPr>
            <w:tcW w:w="1326" w:type="pct"/>
            <w:tcBorders>
              <w:top w:val="single" w:sz="4" w:space="0" w:color="auto"/>
              <w:left w:val="single" w:sz="4" w:space="0" w:color="auto"/>
            </w:tcBorders>
            <w:shd w:val="clear" w:color="auto" w:fill="auto"/>
            <w:vAlign w:val="bottom"/>
          </w:tcPr>
          <w:p w14:paraId="72EFD2E8" w14:textId="79871CBA" w:rsidR="00566A83" w:rsidRPr="00314858" w:rsidRDefault="00831A66" w:rsidP="001F1A28">
            <w:pPr>
              <w:widowControl w:val="0"/>
              <w:spacing w:after="0" w:line="240" w:lineRule="auto"/>
              <w:ind w:left="330"/>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i/>
                <w:color w:val="000000" w:themeColor="text1"/>
                <w:lang w:val="sr-Latn-ME" w:bidi="en-US"/>
              </w:rPr>
              <w:t>Hazard ratio</w:t>
            </w:r>
            <w:r w:rsidR="00566A83" w:rsidRPr="00314858">
              <w:rPr>
                <w:rFonts w:ascii="Times New Roman" w:eastAsia="Times New Roman" w:hAnsi="Times New Roman" w:cs="Times New Roman"/>
                <w:color w:val="000000" w:themeColor="text1"/>
                <w:lang w:val="sr-Latn-ME" w:bidi="en-US"/>
              </w:rPr>
              <w:t xml:space="preserve"> prema varfarinu (95% CI)</w:t>
            </w:r>
          </w:p>
        </w:tc>
        <w:tc>
          <w:tcPr>
            <w:tcW w:w="1273" w:type="pct"/>
            <w:tcBorders>
              <w:top w:val="single" w:sz="4" w:space="0" w:color="auto"/>
              <w:left w:val="single" w:sz="4" w:space="0" w:color="auto"/>
            </w:tcBorders>
            <w:shd w:val="clear" w:color="auto" w:fill="auto"/>
            <w:vAlign w:val="center"/>
          </w:tcPr>
          <w:p w14:paraId="757AFB00" w14:textId="4F65FFC9"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0,90 (0,77</w:t>
            </w:r>
            <w:r w:rsidR="00831A66" w:rsidRPr="00314858">
              <w:rPr>
                <w:rFonts w:ascii="Times New Roman" w:eastAsia="Times New Roman" w:hAnsi="Times New Roman" w:cs="Times New Roman"/>
                <w:color w:val="000000" w:themeColor="text1"/>
                <w:lang w:val="sr-Latn-ME" w:bidi="en-US"/>
              </w:rPr>
              <w:t>;</w:t>
            </w:r>
            <w:r w:rsidRPr="00314858">
              <w:rPr>
                <w:rFonts w:ascii="Times New Roman" w:eastAsia="Times New Roman" w:hAnsi="Times New Roman" w:cs="Times New Roman"/>
                <w:color w:val="000000" w:themeColor="text1"/>
                <w:lang w:val="sr-Latn-ME" w:bidi="en-US"/>
              </w:rPr>
              <w:t xml:space="preserve"> 1,06)</w:t>
            </w:r>
          </w:p>
        </w:tc>
        <w:tc>
          <w:tcPr>
            <w:tcW w:w="1273" w:type="pct"/>
            <w:tcBorders>
              <w:top w:val="single" w:sz="4" w:space="0" w:color="auto"/>
              <w:left w:val="single" w:sz="4" w:space="0" w:color="auto"/>
            </w:tcBorders>
            <w:shd w:val="clear" w:color="auto" w:fill="auto"/>
            <w:vAlign w:val="center"/>
          </w:tcPr>
          <w:p w14:paraId="09FC1E6C" w14:textId="1712915F"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0,85 (0,72</w:t>
            </w:r>
            <w:r w:rsidR="00831A66" w:rsidRPr="00314858">
              <w:rPr>
                <w:rFonts w:ascii="Times New Roman" w:eastAsia="Times New Roman" w:hAnsi="Times New Roman" w:cs="Times New Roman"/>
                <w:color w:val="000000" w:themeColor="text1"/>
                <w:lang w:val="sr-Latn-ME" w:bidi="en-US"/>
              </w:rPr>
              <w:t>;</w:t>
            </w:r>
            <w:r w:rsidRPr="00314858">
              <w:rPr>
                <w:rFonts w:ascii="Times New Roman" w:eastAsia="Times New Roman" w:hAnsi="Times New Roman" w:cs="Times New Roman"/>
                <w:color w:val="000000" w:themeColor="text1"/>
                <w:lang w:val="sr-Latn-ME" w:bidi="en-US"/>
              </w:rPr>
              <w:t xml:space="preserve"> 0,99)</w:t>
            </w:r>
          </w:p>
        </w:tc>
        <w:tc>
          <w:tcPr>
            <w:tcW w:w="1128" w:type="pct"/>
            <w:tcBorders>
              <w:top w:val="single" w:sz="4" w:space="0" w:color="auto"/>
              <w:left w:val="single" w:sz="4" w:space="0" w:color="auto"/>
              <w:right w:val="single" w:sz="4" w:space="0" w:color="auto"/>
            </w:tcBorders>
            <w:shd w:val="clear" w:color="auto" w:fill="auto"/>
            <w:vAlign w:val="center"/>
          </w:tcPr>
          <w:p w14:paraId="2827CC9C"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r w:rsidR="00566A83" w:rsidRPr="00314858" w14:paraId="398E8A0D" w14:textId="77777777" w:rsidTr="001F1A28">
        <w:trPr>
          <w:trHeight w:val="20"/>
          <w:jc w:val="center"/>
        </w:trPr>
        <w:tc>
          <w:tcPr>
            <w:tcW w:w="1326" w:type="pct"/>
            <w:tcBorders>
              <w:top w:val="single" w:sz="4" w:space="0" w:color="auto"/>
              <w:left w:val="single" w:sz="4" w:space="0" w:color="auto"/>
              <w:bottom w:val="single" w:sz="4" w:space="0" w:color="auto"/>
            </w:tcBorders>
            <w:shd w:val="clear" w:color="auto" w:fill="auto"/>
            <w:vAlign w:val="bottom"/>
          </w:tcPr>
          <w:p w14:paraId="70570416" w14:textId="60E32E32" w:rsidR="00566A83" w:rsidRPr="00314858" w:rsidRDefault="00566A83" w:rsidP="001F1A28">
            <w:pPr>
              <w:widowControl w:val="0"/>
              <w:spacing w:after="0" w:line="240" w:lineRule="auto"/>
              <w:ind w:left="330"/>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p-vr</w:t>
            </w:r>
            <w:r w:rsidR="00C769F8"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ednost</w:t>
            </w:r>
          </w:p>
        </w:tc>
        <w:tc>
          <w:tcPr>
            <w:tcW w:w="1273" w:type="pct"/>
            <w:tcBorders>
              <w:top w:val="single" w:sz="4" w:space="0" w:color="auto"/>
              <w:left w:val="single" w:sz="4" w:space="0" w:color="auto"/>
              <w:bottom w:val="single" w:sz="4" w:space="0" w:color="auto"/>
            </w:tcBorders>
            <w:shd w:val="clear" w:color="auto" w:fill="auto"/>
            <w:vAlign w:val="center"/>
          </w:tcPr>
          <w:p w14:paraId="5544A1B3"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0,2081</w:t>
            </w:r>
          </w:p>
        </w:tc>
        <w:tc>
          <w:tcPr>
            <w:tcW w:w="1273" w:type="pct"/>
            <w:tcBorders>
              <w:top w:val="single" w:sz="4" w:space="0" w:color="auto"/>
              <w:left w:val="single" w:sz="4" w:space="0" w:color="auto"/>
              <w:bottom w:val="single" w:sz="4" w:space="0" w:color="auto"/>
            </w:tcBorders>
            <w:shd w:val="clear" w:color="auto" w:fill="auto"/>
            <w:vAlign w:val="center"/>
          </w:tcPr>
          <w:p w14:paraId="44FC2479"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0,0430</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181004A2"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bl>
    <w:p w14:paraId="729204F1" w14:textId="77777777" w:rsidR="00D67D34" w:rsidRPr="00314858" w:rsidRDefault="00D67D34" w:rsidP="00D67D34">
      <w:pPr>
        <w:spacing w:after="0" w:line="240" w:lineRule="auto"/>
        <w:jc w:val="both"/>
        <w:rPr>
          <w:rFonts w:ascii="Times New Roman" w:hAnsi="Times New Roman" w:cs="Times New Roman"/>
          <w:b/>
          <w:bCs/>
          <w:lang w:val="sr-Latn-ME" w:bidi="en-US"/>
        </w:rPr>
      </w:pPr>
      <w:r w:rsidRPr="00314858">
        <w:rPr>
          <w:rFonts w:ascii="Times New Roman" w:hAnsi="Times New Roman" w:cs="Times New Roman"/>
          <w:lang w:val="sr-Latn-ME" w:bidi="en-US"/>
        </w:rPr>
        <w:t>% se odnosi na godišnju stopu događaja</w:t>
      </w:r>
    </w:p>
    <w:p w14:paraId="66D4975F" w14:textId="77777777" w:rsidR="00D67D34" w:rsidRPr="00314858" w:rsidRDefault="00D67D34" w:rsidP="00D67D34">
      <w:pPr>
        <w:spacing w:after="0" w:line="240" w:lineRule="auto"/>
        <w:jc w:val="both"/>
        <w:rPr>
          <w:rFonts w:ascii="Times New Roman" w:hAnsi="Times New Roman" w:cs="Times New Roman"/>
          <w:lang w:val="sr-Latn-ME" w:bidi="en-US"/>
        </w:rPr>
      </w:pPr>
    </w:p>
    <w:p w14:paraId="04C0013D" w14:textId="185C79EB" w:rsidR="00D67D34" w:rsidRPr="00314858" w:rsidRDefault="00566A83"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t</w:t>
      </w:r>
      <w:r w:rsidR="00D67D34" w:rsidRPr="00314858">
        <w:rPr>
          <w:rFonts w:ascii="Times New Roman" w:hAnsi="Times New Roman" w:cs="Times New Roman"/>
          <w:lang w:val="sr-Latn-ME"/>
        </w:rPr>
        <w:t>abel</w:t>
      </w:r>
      <w:r w:rsidRPr="00314858">
        <w:rPr>
          <w:rFonts w:ascii="Times New Roman" w:hAnsi="Times New Roman" w:cs="Times New Roman"/>
          <w:lang w:val="sr-Latn-ME"/>
        </w:rPr>
        <w:t>ama</w:t>
      </w:r>
      <w:r w:rsidR="00FC549A"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20-21 p</w:t>
      </w:r>
      <w:r w:rsidRPr="00314858">
        <w:rPr>
          <w:rFonts w:ascii="Times New Roman" w:hAnsi="Times New Roman" w:cs="Times New Roman"/>
          <w:lang w:val="sr-Latn-ME"/>
        </w:rPr>
        <w:t>rikazani su</w:t>
      </w:r>
      <w:r w:rsidR="00D67D34" w:rsidRPr="00314858">
        <w:rPr>
          <w:rFonts w:ascii="Times New Roman" w:hAnsi="Times New Roman" w:cs="Times New Roman"/>
          <w:lang w:val="sr-Latn-ME"/>
        </w:rPr>
        <w:t xml:space="preserve"> rezultat</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za primarni ishod efikasnosti i bezb</w:t>
      </w:r>
      <w:r w:rsidR="00C769F8" w:rsidRPr="00314858">
        <w:rPr>
          <w:rFonts w:ascii="Times New Roman" w:hAnsi="Times New Roman" w:cs="Times New Roman"/>
          <w:lang w:val="sr-Latn-ME"/>
        </w:rPr>
        <w:t>j</w:t>
      </w:r>
      <w:r w:rsidR="00D67D34" w:rsidRPr="00314858">
        <w:rPr>
          <w:rFonts w:ascii="Times New Roman" w:hAnsi="Times New Roman" w:cs="Times New Roman"/>
          <w:lang w:val="sr-Latn-ME"/>
        </w:rPr>
        <w:t>ednosti u relevantnim subpopulacijama:</w:t>
      </w:r>
    </w:p>
    <w:p w14:paraId="0F326FCB" w14:textId="77777777" w:rsidR="00831A66" w:rsidRPr="00314858" w:rsidRDefault="00831A66" w:rsidP="00D67D34">
      <w:pPr>
        <w:spacing w:after="0" w:line="240" w:lineRule="auto"/>
        <w:jc w:val="both"/>
        <w:rPr>
          <w:rFonts w:ascii="Times New Roman" w:hAnsi="Times New Roman" w:cs="Times New Roman"/>
          <w:lang w:val="sr-Latn-ME"/>
        </w:rPr>
      </w:pPr>
    </w:p>
    <w:p w14:paraId="54FC3FF3" w14:textId="2C54B49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 xml:space="preserve">Za primarni ishod, moždani udar i sistemsku emboliju, </w:t>
      </w:r>
      <w:r w:rsidR="00122649" w:rsidRPr="00314858">
        <w:rPr>
          <w:rFonts w:ascii="Times New Roman" w:hAnsi="Times New Roman" w:cs="Times New Roman"/>
          <w:lang w:val="sr-Latn-ME"/>
        </w:rPr>
        <w:t>prim</w:t>
      </w:r>
      <w:r w:rsidR="00C769F8" w:rsidRPr="00314858">
        <w:rPr>
          <w:rFonts w:ascii="Times New Roman" w:hAnsi="Times New Roman" w:cs="Times New Roman"/>
          <w:lang w:val="sr-Latn-ME"/>
        </w:rPr>
        <w:t>ij</w:t>
      </w:r>
      <w:r w:rsidR="00122649" w:rsidRPr="00314858">
        <w:rPr>
          <w:rFonts w:ascii="Times New Roman" w:hAnsi="Times New Roman" w:cs="Times New Roman"/>
          <w:lang w:val="sr-Latn-ME"/>
        </w:rPr>
        <w:t xml:space="preserve">ećeno je da </w:t>
      </w:r>
      <w:r w:rsidRPr="00314858">
        <w:rPr>
          <w:rFonts w:ascii="Times New Roman" w:hAnsi="Times New Roman" w:cs="Times New Roman"/>
          <w:lang w:val="sr-Latn-ME"/>
        </w:rPr>
        <w:t>nijedna podgrupa (tj.</w:t>
      </w:r>
      <w:r w:rsidR="00566A83" w:rsidRPr="00314858">
        <w:rPr>
          <w:rFonts w:ascii="Times New Roman" w:hAnsi="Times New Roman" w:cs="Times New Roman"/>
          <w:lang w:val="sr-Latn-ME"/>
        </w:rPr>
        <w:t xml:space="preserve"> prema </w:t>
      </w:r>
      <w:r w:rsidRPr="00314858">
        <w:rPr>
          <w:rFonts w:ascii="Times New Roman" w:hAnsi="Times New Roman" w:cs="Times New Roman"/>
          <w:lang w:val="sr-Latn-ME"/>
        </w:rPr>
        <w:t>starost</w:t>
      </w:r>
      <w:r w:rsidR="00566A83" w:rsidRPr="00314858">
        <w:rPr>
          <w:rFonts w:ascii="Times New Roman" w:hAnsi="Times New Roman" w:cs="Times New Roman"/>
          <w:lang w:val="sr-Latn-ME"/>
        </w:rPr>
        <w:t>i</w:t>
      </w:r>
      <w:r w:rsidRPr="00314858">
        <w:rPr>
          <w:rFonts w:ascii="Times New Roman" w:hAnsi="Times New Roman" w:cs="Times New Roman"/>
          <w:lang w:val="sr-Latn-ME"/>
        </w:rPr>
        <w:t>, t</w:t>
      </w:r>
      <w:r w:rsidR="00C769F8" w:rsidRPr="00314858">
        <w:rPr>
          <w:rFonts w:ascii="Times New Roman" w:hAnsi="Times New Roman" w:cs="Times New Roman"/>
          <w:lang w:val="sr-Latn-ME"/>
        </w:rPr>
        <w:t>j</w:t>
      </w:r>
      <w:r w:rsidRPr="00314858">
        <w:rPr>
          <w:rFonts w:ascii="Times New Roman" w:hAnsi="Times New Roman" w:cs="Times New Roman"/>
          <w:lang w:val="sr-Latn-ME"/>
        </w:rPr>
        <w:t>elesn</w:t>
      </w:r>
      <w:r w:rsidR="00566A83" w:rsidRPr="00314858">
        <w:rPr>
          <w:rFonts w:ascii="Times New Roman" w:hAnsi="Times New Roman" w:cs="Times New Roman"/>
          <w:lang w:val="sr-Latn-ME"/>
        </w:rPr>
        <w:t>oj</w:t>
      </w:r>
      <w:r w:rsidRPr="00314858">
        <w:rPr>
          <w:rFonts w:ascii="Times New Roman" w:hAnsi="Times New Roman" w:cs="Times New Roman"/>
          <w:lang w:val="sr-Latn-ME"/>
        </w:rPr>
        <w:t xml:space="preserve"> mas</w:t>
      </w:r>
      <w:r w:rsidR="00566A83" w:rsidRPr="00314858">
        <w:rPr>
          <w:rFonts w:ascii="Times New Roman" w:hAnsi="Times New Roman" w:cs="Times New Roman"/>
          <w:lang w:val="sr-Latn-ME"/>
        </w:rPr>
        <w:t>i</w:t>
      </w:r>
      <w:r w:rsidRPr="00314858">
        <w:rPr>
          <w:rFonts w:ascii="Times New Roman" w:hAnsi="Times New Roman" w:cs="Times New Roman"/>
          <w:lang w:val="sr-Latn-ME"/>
        </w:rPr>
        <w:t>, pol</w:t>
      </w:r>
      <w:r w:rsidR="00566A83" w:rsidRPr="00314858">
        <w:rPr>
          <w:rFonts w:ascii="Times New Roman" w:hAnsi="Times New Roman" w:cs="Times New Roman"/>
          <w:lang w:val="sr-Latn-ME"/>
        </w:rPr>
        <w:t>u</w:t>
      </w:r>
      <w:r w:rsidRPr="00314858">
        <w:rPr>
          <w:rFonts w:ascii="Times New Roman" w:hAnsi="Times New Roman" w:cs="Times New Roman"/>
          <w:lang w:val="sr-Latn-ME"/>
        </w:rPr>
        <w:t>, funkcij</w:t>
      </w:r>
      <w:r w:rsidR="00566A83" w:rsidRPr="00314858">
        <w:rPr>
          <w:rFonts w:ascii="Times New Roman" w:hAnsi="Times New Roman" w:cs="Times New Roman"/>
          <w:lang w:val="sr-Latn-ME"/>
        </w:rPr>
        <w:t>i</w:t>
      </w:r>
      <w:r w:rsidR="00122649" w:rsidRPr="00314858">
        <w:rPr>
          <w:rFonts w:ascii="Times New Roman" w:hAnsi="Times New Roman" w:cs="Times New Roman"/>
          <w:lang w:val="sr-Latn-ME"/>
        </w:rPr>
        <w:t xml:space="preserve"> bubrega</w:t>
      </w:r>
      <w:r w:rsidRPr="00314858">
        <w:rPr>
          <w:rFonts w:ascii="Times New Roman" w:hAnsi="Times New Roman" w:cs="Times New Roman"/>
          <w:lang w:val="sr-Latn-ME"/>
        </w:rPr>
        <w:t>, etničko</w:t>
      </w:r>
      <w:r w:rsidR="00566A83" w:rsidRPr="00314858">
        <w:rPr>
          <w:rFonts w:ascii="Times New Roman" w:hAnsi="Times New Roman" w:cs="Times New Roman"/>
          <w:lang w:val="sr-Latn-ME"/>
        </w:rPr>
        <w:t>m</w:t>
      </w:r>
      <w:r w:rsidRPr="00314858">
        <w:rPr>
          <w:rFonts w:ascii="Times New Roman" w:hAnsi="Times New Roman" w:cs="Times New Roman"/>
          <w:lang w:val="sr-Latn-ME"/>
        </w:rPr>
        <w:t xml:space="preserve"> por</w:t>
      </w:r>
      <w:r w:rsidR="00C769F8" w:rsidRPr="00314858">
        <w:rPr>
          <w:rFonts w:ascii="Times New Roman" w:hAnsi="Times New Roman" w:cs="Times New Roman"/>
          <w:lang w:val="sr-Latn-ME"/>
        </w:rPr>
        <w:t>ij</w:t>
      </w:r>
      <w:r w:rsidRPr="00314858">
        <w:rPr>
          <w:rFonts w:ascii="Times New Roman" w:hAnsi="Times New Roman" w:cs="Times New Roman"/>
          <w:lang w:val="sr-Latn-ME"/>
        </w:rPr>
        <w:t>ekl</w:t>
      </w:r>
      <w:r w:rsidR="00566A83" w:rsidRPr="00314858">
        <w:rPr>
          <w:rFonts w:ascii="Times New Roman" w:hAnsi="Times New Roman" w:cs="Times New Roman"/>
          <w:lang w:val="sr-Latn-ME"/>
        </w:rPr>
        <w:t>u</w:t>
      </w:r>
      <w:r w:rsidRPr="00314858">
        <w:rPr>
          <w:rFonts w:ascii="Times New Roman" w:hAnsi="Times New Roman" w:cs="Times New Roman"/>
          <w:lang w:val="sr-Latn-ME"/>
        </w:rPr>
        <w:t xml:space="preserve">, itd.) nije imala različit </w:t>
      </w:r>
      <w:r w:rsidR="00122649" w:rsidRPr="00314858">
        <w:rPr>
          <w:rFonts w:ascii="Times New Roman" w:hAnsi="Times New Roman" w:cs="Times New Roman"/>
          <w:i/>
          <w:lang w:val="sr-Latn-ME"/>
        </w:rPr>
        <w:t>risk ratio</w:t>
      </w:r>
      <w:r w:rsidRPr="00314858">
        <w:rPr>
          <w:rFonts w:ascii="Times New Roman" w:hAnsi="Times New Roman" w:cs="Times New Roman"/>
          <w:lang w:val="sr-Latn-ME"/>
        </w:rPr>
        <w:t xml:space="preserve"> u poređenju sa varfarinom.</w:t>
      </w:r>
    </w:p>
    <w:p w14:paraId="6C2E2F5B" w14:textId="77777777" w:rsidR="00D67D34" w:rsidRPr="00314858" w:rsidRDefault="00D67D34" w:rsidP="00D67D34">
      <w:pPr>
        <w:spacing w:after="0" w:line="240" w:lineRule="auto"/>
        <w:jc w:val="both"/>
        <w:rPr>
          <w:rFonts w:ascii="Times New Roman" w:hAnsi="Times New Roman" w:cs="Times New Roman"/>
          <w:lang w:val="sr-Latn-ME" w:bidi="en-US"/>
        </w:rPr>
      </w:pPr>
    </w:p>
    <w:p w14:paraId="0095E968" w14:textId="19FD4939"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20</w:t>
      </w:r>
      <w:r w:rsidR="00122649"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w:t>
      </w:r>
      <w:r w:rsidR="00122649" w:rsidRPr="00314858">
        <w:rPr>
          <w:rFonts w:ascii="Times New Roman" w:hAnsi="Times New Roman" w:cs="Times New Roman"/>
          <w:b/>
          <w:bCs/>
          <w:i/>
          <w:lang w:val="sr-Latn-ME" w:bidi="en-US"/>
        </w:rPr>
        <w:t>Hazard ratio</w:t>
      </w:r>
      <w:r w:rsidRPr="00314858">
        <w:rPr>
          <w:rFonts w:ascii="Times New Roman" w:hAnsi="Times New Roman" w:cs="Times New Roman"/>
          <w:b/>
          <w:bCs/>
          <w:lang w:val="sr-Latn-ME" w:bidi="en-US"/>
        </w:rPr>
        <w:t xml:space="preserve"> i 95% CI za moždani udar/sistemsku emboliju po podgrupama</w:t>
      </w:r>
    </w:p>
    <w:p w14:paraId="49233A03" w14:textId="77777777" w:rsidR="00122649" w:rsidRPr="00314858" w:rsidRDefault="00122649"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2772"/>
        <w:gridCol w:w="3197"/>
        <w:gridCol w:w="3091"/>
      </w:tblGrid>
      <w:tr w:rsidR="00566A83" w:rsidRPr="00314858" w14:paraId="6BAF9A39" w14:textId="77777777" w:rsidTr="001F1A28">
        <w:trPr>
          <w:trHeight w:val="20"/>
          <w:jc w:val="center"/>
        </w:trPr>
        <w:tc>
          <w:tcPr>
            <w:tcW w:w="1529" w:type="pct"/>
            <w:tcBorders>
              <w:top w:val="single" w:sz="4" w:space="0" w:color="auto"/>
              <w:left w:val="single" w:sz="4" w:space="0" w:color="auto"/>
            </w:tcBorders>
            <w:shd w:val="clear" w:color="auto" w:fill="auto"/>
            <w:vAlign w:val="center"/>
          </w:tcPr>
          <w:p w14:paraId="26E8D33B" w14:textId="77777777" w:rsidR="00566A83" w:rsidRPr="00314858" w:rsidRDefault="00566A83" w:rsidP="00A95A46">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Ishod</w:t>
            </w:r>
          </w:p>
        </w:tc>
        <w:tc>
          <w:tcPr>
            <w:tcW w:w="1764" w:type="pct"/>
            <w:tcBorders>
              <w:top w:val="single" w:sz="4" w:space="0" w:color="auto"/>
              <w:left w:val="single" w:sz="4" w:space="0" w:color="auto"/>
            </w:tcBorders>
            <w:shd w:val="clear" w:color="auto" w:fill="auto"/>
            <w:vAlign w:val="center"/>
          </w:tcPr>
          <w:p w14:paraId="4CFC39DA"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Dabigatraneteksilat 110 mg dva puta dnevno prema varfarinu</w:t>
            </w:r>
          </w:p>
        </w:tc>
        <w:tc>
          <w:tcPr>
            <w:tcW w:w="1706" w:type="pct"/>
            <w:tcBorders>
              <w:top w:val="single" w:sz="4" w:space="0" w:color="auto"/>
              <w:left w:val="single" w:sz="4" w:space="0" w:color="auto"/>
              <w:right w:val="single" w:sz="4" w:space="0" w:color="auto"/>
            </w:tcBorders>
            <w:shd w:val="clear" w:color="auto" w:fill="auto"/>
            <w:vAlign w:val="center"/>
          </w:tcPr>
          <w:p w14:paraId="03443B9D"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Dabigatraneteksilat 150 mg dva puta dnevno prema varfarinu</w:t>
            </w:r>
          </w:p>
        </w:tc>
      </w:tr>
      <w:tr w:rsidR="00566A83" w:rsidRPr="00314858" w14:paraId="565D2EB2" w14:textId="77777777" w:rsidTr="001F1A28">
        <w:trPr>
          <w:trHeight w:val="20"/>
          <w:jc w:val="center"/>
        </w:trPr>
        <w:tc>
          <w:tcPr>
            <w:tcW w:w="1529" w:type="pct"/>
            <w:tcBorders>
              <w:top w:val="single" w:sz="4" w:space="0" w:color="auto"/>
              <w:left w:val="single" w:sz="4" w:space="0" w:color="auto"/>
            </w:tcBorders>
            <w:shd w:val="clear" w:color="auto" w:fill="auto"/>
            <w:vAlign w:val="bottom"/>
          </w:tcPr>
          <w:p w14:paraId="4ABC72A5" w14:textId="77777777" w:rsidR="00566A83" w:rsidRPr="00314858" w:rsidRDefault="00566A83"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Starost (godine)</w:t>
            </w:r>
          </w:p>
        </w:tc>
        <w:tc>
          <w:tcPr>
            <w:tcW w:w="1764" w:type="pct"/>
            <w:tcBorders>
              <w:top w:val="single" w:sz="4" w:space="0" w:color="auto"/>
              <w:left w:val="single" w:sz="4" w:space="0" w:color="auto"/>
            </w:tcBorders>
            <w:shd w:val="clear" w:color="auto" w:fill="auto"/>
          </w:tcPr>
          <w:p w14:paraId="3A87111D" w14:textId="77777777" w:rsidR="00566A83" w:rsidRPr="00314858" w:rsidRDefault="00566A83" w:rsidP="001F1A28">
            <w:pPr>
              <w:widowControl w:val="0"/>
              <w:spacing w:after="0" w:line="240" w:lineRule="auto"/>
              <w:rPr>
                <w:rFonts w:ascii="Times New Roman" w:eastAsia="Courier New" w:hAnsi="Times New Roman" w:cs="Times New Roman"/>
                <w:color w:val="000000" w:themeColor="text1"/>
                <w:lang w:val="sr-Latn-ME" w:bidi="en-US"/>
              </w:rPr>
            </w:pPr>
          </w:p>
        </w:tc>
        <w:tc>
          <w:tcPr>
            <w:tcW w:w="1706" w:type="pct"/>
            <w:tcBorders>
              <w:top w:val="single" w:sz="4" w:space="0" w:color="auto"/>
              <w:left w:val="single" w:sz="4" w:space="0" w:color="auto"/>
              <w:right w:val="single" w:sz="4" w:space="0" w:color="auto"/>
            </w:tcBorders>
            <w:shd w:val="clear" w:color="auto" w:fill="auto"/>
          </w:tcPr>
          <w:p w14:paraId="6AA851F6" w14:textId="77777777" w:rsidR="00566A83" w:rsidRPr="00314858" w:rsidRDefault="00566A83" w:rsidP="001F1A28">
            <w:pPr>
              <w:widowControl w:val="0"/>
              <w:spacing w:after="0" w:line="240" w:lineRule="auto"/>
              <w:rPr>
                <w:rFonts w:ascii="Times New Roman" w:eastAsia="Courier New" w:hAnsi="Times New Roman" w:cs="Times New Roman"/>
                <w:color w:val="000000" w:themeColor="text1"/>
                <w:lang w:val="sr-Latn-ME" w:bidi="en-US"/>
              </w:rPr>
            </w:pPr>
          </w:p>
        </w:tc>
      </w:tr>
      <w:tr w:rsidR="00566A83" w:rsidRPr="00314858" w14:paraId="5505F8A0" w14:textId="77777777" w:rsidTr="001F1A28">
        <w:trPr>
          <w:trHeight w:val="20"/>
          <w:jc w:val="center"/>
        </w:trPr>
        <w:tc>
          <w:tcPr>
            <w:tcW w:w="1529" w:type="pct"/>
            <w:tcBorders>
              <w:top w:val="single" w:sz="4" w:space="0" w:color="auto"/>
              <w:left w:val="single" w:sz="4" w:space="0" w:color="auto"/>
            </w:tcBorders>
            <w:shd w:val="clear" w:color="auto" w:fill="auto"/>
            <w:vAlign w:val="bottom"/>
          </w:tcPr>
          <w:p w14:paraId="4FD544D2" w14:textId="4EC4EF54"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&lt;</w:t>
            </w:r>
            <w:r w:rsidR="00F948D9"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65</w:t>
            </w:r>
          </w:p>
        </w:tc>
        <w:tc>
          <w:tcPr>
            <w:tcW w:w="1764" w:type="pct"/>
            <w:tcBorders>
              <w:top w:val="single" w:sz="4" w:space="0" w:color="auto"/>
              <w:left w:val="single" w:sz="4" w:space="0" w:color="auto"/>
            </w:tcBorders>
            <w:shd w:val="clear" w:color="auto" w:fill="auto"/>
            <w:vAlign w:val="bottom"/>
          </w:tcPr>
          <w:p w14:paraId="43BE042E"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1,10 (0,64; 1,87)</w:t>
            </w:r>
          </w:p>
        </w:tc>
        <w:tc>
          <w:tcPr>
            <w:tcW w:w="1706" w:type="pct"/>
            <w:tcBorders>
              <w:top w:val="single" w:sz="4" w:space="0" w:color="auto"/>
              <w:left w:val="single" w:sz="4" w:space="0" w:color="auto"/>
              <w:right w:val="single" w:sz="4" w:space="0" w:color="auto"/>
            </w:tcBorders>
            <w:shd w:val="clear" w:color="auto" w:fill="auto"/>
            <w:vAlign w:val="bottom"/>
          </w:tcPr>
          <w:p w14:paraId="6BB33505"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0,51 (0,26; 0,98)</w:t>
            </w:r>
          </w:p>
        </w:tc>
      </w:tr>
      <w:tr w:rsidR="00566A83" w:rsidRPr="00314858" w14:paraId="2CB23DA8" w14:textId="77777777" w:rsidTr="001F1A28">
        <w:trPr>
          <w:trHeight w:val="20"/>
          <w:jc w:val="center"/>
        </w:trPr>
        <w:tc>
          <w:tcPr>
            <w:tcW w:w="1529" w:type="pct"/>
            <w:tcBorders>
              <w:top w:val="single" w:sz="4" w:space="0" w:color="auto"/>
              <w:left w:val="single" w:sz="4" w:space="0" w:color="auto"/>
            </w:tcBorders>
            <w:shd w:val="clear" w:color="auto" w:fill="auto"/>
            <w:vAlign w:val="bottom"/>
          </w:tcPr>
          <w:p w14:paraId="611FFD0C" w14:textId="7EA3EFDC"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65</w:t>
            </w:r>
            <w:r w:rsidR="00F948D9"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 i &lt;</w:t>
            </w:r>
            <w:r w:rsidR="00F948D9"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75</w:t>
            </w:r>
          </w:p>
        </w:tc>
        <w:tc>
          <w:tcPr>
            <w:tcW w:w="1764" w:type="pct"/>
            <w:tcBorders>
              <w:top w:val="single" w:sz="4" w:space="0" w:color="auto"/>
              <w:left w:val="single" w:sz="4" w:space="0" w:color="auto"/>
            </w:tcBorders>
            <w:shd w:val="clear" w:color="auto" w:fill="auto"/>
            <w:vAlign w:val="bottom"/>
          </w:tcPr>
          <w:p w14:paraId="233B96EB"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0,86 (0,62; 1,19)</w:t>
            </w:r>
          </w:p>
        </w:tc>
        <w:tc>
          <w:tcPr>
            <w:tcW w:w="1706" w:type="pct"/>
            <w:tcBorders>
              <w:top w:val="single" w:sz="4" w:space="0" w:color="auto"/>
              <w:left w:val="single" w:sz="4" w:space="0" w:color="auto"/>
              <w:right w:val="single" w:sz="4" w:space="0" w:color="auto"/>
            </w:tcBorders>
            <w:shd w:val="clear" w:color="auto" w:fill="auto"/>
            <w:vAlign w:val="bottom"/>
          </w:tcPr>
          <w:p w14:paraId="40197BE1"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0,67 (0,47; 0,95)</w:t>
            </w:r>
          </w:p>
        </w:tc>
      </w:tr>
      <w:tr w:rsidR="00566A83" w:rsidRPr="00314858" w14:paraId="0FD5C423" w14:textId="77777777" w:rsidTr="001F1A28">
        <w:trPr>
          <w:trHeight w:val="20"/>
          <w:jc w:val="center"/>
        </w:trPr>
        <w:tc>
          <w:tcPr>
            <w:tcW w:w="1529" w:type="pct"/>
            <w:tcBorders>
              <w:top w:val="single" w:sz="4" w:space="0" w:color="auto"/>
              <w:left w:val="single" w:sz="4" w:space="0" w:color="auto"/>
            </w:tcBorders>
            <w:shd w:val="clear" w:color="auto" w:fill="auto"/>
            <w:vAlign w:val="bottom"/>
          </w:tcPr>
          <w:p w14:paraId="4CF4247B" w14:textId="50961448"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w:t>
            </w:r>
            <w:r w:rsidR="00F948D9"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75</w:t>
            </w:r>
          </w:p>
        </w:tc>
        <w:tc>
          <w:tcPr>
            <w:tcW w:w="1764" w:type="pct"/>
            <w:tcBorders>
              <w:top w:val="single" w:sz="4" w:space="0" w:color="auto"/>
              <w:left w:val="single" w:sz="4" w:space="0" w:color="auto"/>
            </w:tcBorders>
            <w:shd w:val="clear" w:color="auto" w:fill="auto"/>
            <w:vAlign w:val="bottom"/>
          </w:tcPr>
          <w:p w14:paraId="4D286357"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0,88 (0,66; 1,17)</w:t>
            </w:r>
          </w:p>
        </w:tc>
        <w:tc>
          <w:tcPr>
            <w:tcW w:w="1706" w:type="pct"/>
            <w:tcBorders>
              <w:top w:val="single" w:sz="4" w:space="0" w:color="auto"/>
              <w:left w:val="single" w:sz="4" w:space="0" w:color="auto"/>
              <w:right w:val="single" w:sz="4" w:space="0" w:color="auto"/>
            </w:tcBorders>
            <w:shd w:val="clear" w:color="auto" w:fill="auto"/>
            <w:vAlign w:val="bottom"/>
          </w:tcPr>
          <w:p w14:paraId="2177E696"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0,68 (0,50; 0,92)</w:t>
            </w:r>
          </w:p>
        </w:tc>
      </w:tr>
      <w:tr w:rsidR="00566A83" w:rsidRPr="00314858" w14:paraId="19EF3F64" w14:textId="77777777" w:rsidTr="001F1A28">
        <w:trPr>
          <w:trHeight w:val="20"/>
          <w:jc w:val="center"/>
        </w:trPr>
        <w:tc>
          <w:tcPr>
            <w:tcW w:w="1529" w:type="pct"/>
            <w:tcBorders>
              <w:top w:val="single" w:sz="4" w:space="0" w:color="auto"/>
              <w:left w:val="single" w:sz="4" w:space="0" w:color="auto"/>
            </w:tcBorders>
            <w:shd w:val="clear" w:color="auto" w:fill="auto"/>
            <w:vAlign w:val="bottom"/>
          </w:tcPr>
          <w:p w14:paraId="16D23CAC" w14:textId="46EB4B78"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w:t>
            </w:r>
            <w:r w:rsidR="00F948D9"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80</w:t>
            </w:r>
          </w:p>
        </w:tc>
        <w:tc>
          <w:tcPr>
            <w:tcW w:w="1764" w:type="pct"/>
            <w:tcBorders>
              <w:top w:val="single" w:sz="4" w:space="0" w:color="auto"/>
              <w:left w:val="single" w:sz="4" w:space="0" w:color="auto"/>
            </w:tcBorders>
            <w:shd w:val="clear" w:color="auto" w:fill="auto"/>
            <w:vAlign w:val="bottom"/>
          </w:tcPr>
          <w:p w14:paraId="1A6E50AD"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0,68 (0,44; 1,05)</w:t>
            </w:r>
          </w:p>
        </w:tc>
        <w:tc>
          <w:tcPr>
            <w:tcW w:w="1706" w:type="pct"/>
            <w:tcBorders>
              <w:top w:val="single" w:sz="4" w:space="0" w:color="auto"/>
              <w:left w:val="single" w:sz="4" w:space="0" w:color="auto"/>
              <w:right w:val="single" w:sz="4" w:space="0" w:color="auto"/>
            </w:tcBorders>
            <w:shd w:val="clear" w:color="auto" w:fill="auto"/>
            <w:vAlign w:val="bottom"/>
          </w:tcPr>
          <w:p w14:paraId="1519CD8C"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0,67 (0,44; 1,02)</w:t>
            </w:r>
          </w:p>
        </w:tc>
      </w:tr>
      <w:tr w:rsidR="00566A83" w:rsidRPr="00314858" w14:paraId="7AD5135A" w14:textId="77777777" w:rsidTr="001F1A28">
        <w:trPr>
          <w:trHeight w:val="20"/>
          <w:jc w:val="center"/>
        </w:trPr>
        <w:tc>
          <w:tcPr>
            <w:tcW w:w="1529" w:type="pct"/>
            <w:tcBorders>
              <w:top w:val="single" w:sz="4" w:space="0" w:color="auto"/>
              <w:left w:val="single" w:sz="4" w:space="0" w:color="auto"/>
            </w:tcBorders>
            <w:shd w:val="clear" w:color="auto" w:fill="auto"/>
            <w:vAlign w:val="bottom"/>
          </w:tcPr>
          <w:p w14:paraId="0A5F9667" w14:textId="3E7DA3E1" w:rsidR="00566A83" w:rsidRPr="00314858" w:rsidRDefault="00566A83"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CrCL(m</w:t>
            </w:r>
            <w:r w:rsidR="00F948D9" w:rsidRPr="00314858">
              <w:rPr>
                <w:rFonts w:ascii="Times New Roman" w:eastAsia="Times New Roman" w:hAnsi="Times New Roman" w:cs="Times New Roman"/>
                <w:color w:val="000000" w:themeColor="text1"/>
                <w:lang w:val="sr-Latn-ME" w:bidi="en-US"/>
              </w:rPr>
              <w:t>l</w:t>
            </w:r>
            <w:r w:rsidRPr="00314858">
              <w:rPr>
                <w:rFonts w:ascii="Times New Roman" w:eastAsia="Times New Roman" w:hAnsi="Times New Roman" w:cs="Times New Roman"/>
                <w:color w:val="000000" w:themeColor="text1"/>
                <w:lang w:val="sr-Latn-ME" w:bidi="en-US"/>
              </w:rPr>
              <w:t>/min)</w:t>
            </w:r>
          </w:p>
        </w:tc>
        <w:tc>
          <w:tcPr>
            <w:tcW w:w="1764" w:type="pct"/>
            <w:tcBorders>
              <w:top w:val="single" w:sz="4" w:space="0" w:color="auto"/>
              <w:left w:val="single" w:sz="4" w:space="0" w:color="auto"/>
            </w:tcBorders>
            <w:shd w:val="clear" w:color="auto" w:fill="auto"/>
          </w:tcPr>
          <w:p w14:paraId="1019B44E"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c>
          <w:tcPr>
            <w:tcW w:w="1706" w:type="pct"/>
            <w:tcBorders>
              <w:top w:val="single" w:sz="4" w:space="0" w:color="auto"/>
              <w:left w:val="single" w:sz="4" w:space="0" w:color="auto"/>
              <w:right w:val="single" w:sz="4" w:space="0" w:color="auto"/>
            </w:tcBorders>
            <w:shd w:val="clear" w:color="auto" w:fill="auto"/>
          </w:tcPr>
          <w:p w14:paraId="4526C15E"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r w:rsidR="00566A83" w:rsidRPr="00314858" w14:paraId="184BA082" w14:textId="77777777" w:rsidTr="001F1A28">
        <w:trPr>
          <w:trHeight w:val="20"/>
          <w:jc w:val="center"/>
        </w:trPr>
        <w:tc>
          <w:tcPr>
            <w:tcW w:w="1529" w:type="pct"/>
            <w:tcBorders>
              <w:top w:val="single" w:sz="4" w:space="0" w:color="auto"/>
              <w:left w:val="single" w:sz="4" w:space="0" w:color="auto"/>
            </w:tcBorders>
            <w:shd w:val="clear" w:color="auto" w:fill="auto"/>
            <w:vAlign w:val="bottom"/>
          </w:tcPr>
          <w:p w14:paraId="5B546C97" w14:textId="45C1D3E9"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30</w:t>
            </w:r>
            <w:r w:rsidR="00F948D9"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 i &lt;</w:t>
            </w:r>
            <w:r w:rsidR="00F948D9"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50</w:t>
            </w:r>
          </w:p>
        </w:tc>
        <w:tc>
          <w:tcPr>
            <w:tcW w:w="1764" w:type="pct"/>
            <w:tcBorders>
              <w:top w:val="single" w:sz="4" w:space="0" w:color="auto"/>
              <w:left w:val="single" w:sz="4" w:space="0" w:color="auto"/>
            </w:tcBorders>
            <w:shd w:val="clear" w:color="auto" w:fill="auto"/>
            <w:vAlign w:val="bottom"/>
          </w:tcPr>
          <w:p w14:paraId="50D6B14D"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0,89 (0,61; 1,31)</w:t>
            </w:r>
          </w:p>
        </w:tc>
        <w:tc>
          <w:tcPr>
            <w:tcW w:w="1706" w:type="pct"/>
            <w:tcBorders>
              <w:top w:val="single" w:sz="4" w:space="0" w:color="auto"/>
              <w:left w:val="single" w:sz="4" w:space="0" w:color="auto"/>
              <w:right w:val="single" w:sz="4" w:space="0" w:color="auto"/>
            </w:tcBorders>
            <w:shd w:val="clear" w:color="auto" w:fill="auto"/>
            <w:vAlign w:val="bottom"/>
          </w:tcPr>
          <w:p w14:paraId="575CA5A5"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0,48 (0,31; 0,76)</w:t>
            </w:r>
          </w:p>
        </w:tc>
      </w:tr>
      <w:tr w:rsidR="00566A83" w:rsidRPr="00314858" w14:paraId="29DF7482" w14:textId="77777777" w:rsidTr="001F1A28">
        <w:trPr>
          <w:trHeight w:val="20"/>
          <w:jc w:val="center"/>
        </w:trPr>
        <w:tc>
          <w:tcPr>
            <w:tcW w:w="1529" w:type="pct"/>
            <w:tcBorders>
              <w:top w:val="single" w:sz="4" w:space="0" w:color="auto"/>
              <w:left w:val="single" w:sz="4" w:space="0" w:color="auto"/>
            </w:tcBorders>
            <w:shd w:val="clear" w:color="auto" w:fill="auto"/>
            <w:vAlign w:val="bottom"/>
          </w:tcPr>
          <w:p w14:paraId="28594E7B" w14:textId="36332900"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50</w:t>
            </w:r>
            <w:r w:rsidR="00F948D9"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 i &lt;80</w:t>
            </w:r>
          </w:p>
        </w:tc>
        <w:tc>
          <w:tcPr>
            <w:tcW w:w="1764" w:type="pct"/>
            <w:tcBorders>
              <w:top w:val="single" w:sz="4" w:space="0" w:color="auto"/>
              <w:left w:val="single" w:sz="4" w:space="0" w:color="auto"/>
            </w:tcBorders>
            <w:shd w:val="clear" w:color="auto" w:fill="auto"/>
            <w:vAlign w:val="bottom"/>
          </w:tcPr>
          <w:p w14:paraId="05248174"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0,91 (0,68; 1,20)</w:t>
            </w:r>
          </w:p>
        </w:tc>
        <w:tc>
          <w:tcPr>
            <w:tcW w:w="1706" w:type="pct"/>
            <w:tcBorders>
              <w:top w:val="single" w:sz="4" w:space="0" w:color="auto"/>
              <w:left w:val="single" w:sz="4" w:space="0" w:color="auto"/>
              <w:right w:val="single" w:sz="4" w:space="0" w:color="auto"/>
            </w:tcBorders>
            <w:shd w:val="clear" w:color="auto" w:fill="auto"/>
            <w:vAlign w:val="bottom"/>
          </w:tcPr>
          <w:p w14:paraId="6486FE87"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0,65 (0,47; 0,88)</w:t>
            </w:r>
          </w:p>
        </w:tc>
      </w:tr>
      <w:tr w:rsidR="00566A83" w:rsidRPr="00314858" w14:paraId="05610747" w14:textId="77777777" w:rsidTr="001F1A28">
        <w:trPr>
          <w:trHeight w:val="20"/>
          <w:jc w:val="center"/>
        </w:trPr>
        <w:tc>
          <w:tcPr>
            <w:tcW w:w="1529" w:type="pct"/>
            <w:tcBorders>
              <w:top w:val="single" w:sz="4" w:space="0" w:color="auto"/>
              <w:left w:val="single" w:sz="4" w:space="0" w:color="auto"/>
              <w:bottom w:val="single" w:sz="4" w:space="0" w:color="auto"/>
            </w:tcBorders>
            <w:shd w:val="clear" w:color="auto" w:fill="auto"/>
            <w:vAlign w:val="bottom"/>
          </w:tcPr>
          <w:p w14:paraId="7C85758A" w14:textId="78CC60D2"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w:t>
            </w:r>
            <w:r w:rsidR="00F948D9"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80</w:t>
            </w:r>
          </w:p>
        </w:tc>
        <w:tc>
          <w:tcPr>
            <w:tcW w:w="1764" w:type="pct"/>
            <w:tcBorders>
              <w:top w:val="single" w:sz="4" w:space="0" w:color="auto"/>
              <w:left w:val="single" w:sz="4" w:space="0" w:color="auto"/>
              <w:bottom w:val="single" w:sz="4" w:space="0" w:color="auto"/>
            </w:tcBorders>
            <w:shd w:val="clear" w:color="auto" w:fill="auto"/>
            <w:vAlign w:val="bottom"/>
          </w:tcPr>
          <w:p w14:paraId="26FB38EE"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0,81 (0,51; 1,28)</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14:paraId="0EC3B770"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0,69 (0,43; 1,12)</w:t>
            </w:r>
          </w:p>
        </w:tc>
      </w:tr>
    </w:tbl>
    <w:p w14:paraId="5D462681" w14:textId="77777777" w:rsidR="00D67D34" w:rsidRPr="00314858" w:rsidRDefault="00D67D34" w:rsidP="00D67D34">
      <w:pPr>
        <w:spacing w:after="0" w:line="240" w:lineRule="auto"/>
        <w:jc w:val="both"/>
        <w:rPr>
          <w:rFonts w:ascii="Times New Roman" w:hAnsi="Times New Roman" w:cs="Times New Roman"/>
          <w:lang w:val="sr-Latn-ME" w:bidi="en-US"/>
        </w:rPr>
      </w:pPr>
    </w:p>
    <w:p w14:paraId="67401BCC" w14:textId="48A0DA8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Kod </w:t>
      </w:r>
      <w:r w:rsidR="009062B4" w:rsidRPr="00314858">
        <w:rPr>
          <w:rFonts w:ascii="Times New Roman" w:hAnsi="Times New Roman" w:cs="Times New Roman"/>
          <w:lang w:val="sr-Latn-ME"/>
        </w:rPr>
        <w:t>obilnijeg</w:t>
      </w:r>
      <w:r w:rsidRPr="00314858">
        <w:rPr>
          <w:rFonts w:ascii="Times New Roman" w:hAnsi="Times New Roman" w:cs="Times New Roman"/>
          <w:lang w:val="sr-Latn-ME"/>
        </w:rPr>
        <w:t xml:space="preserve"> krvarenja,</w:t>
      </w:r>
      <w:r w:rsidR="00566A83" w:rsidRPr="00314858">
        <w:rPr>
          <w:rFonts w:ascii="Times New Roman" w:hAnsi="Times New Roman" w:cs="Times New Roman"/>
          <w:lang w:val="sr-Latn-ME"/>
        </w:rPr>
        <w:t xml:space="preserve"> kao primarnog ishoda bezb</w:t>
      </w:r>
      <w:r w:rsidR="00C769F8" w:rsidRPr="00314858">
        <w:rPr>
          <w:rFonts w:ascii="Times New Roman" w:hAnsi="Times New Roman" w:cs="Times New Roman"/>
          <w:lang w:val="sr-Latn-ME"/>
        </w:rPr>
        <w:t>j</w:t>
      </w:r>
      <w:r w:rsidR="00566A83" w:rsidRPr="00314858">
        <w:rPr>
          <w:rFonts w:ascii="Times New Roman" w:hAnsi="Times New Roman" w:cs="Times New Roman"/>
          <w:lang w:val="sr-Latn-ME"/>
        </w:rPr>
        <w:t>ednosti,</w:t>
      </w:r>
      <w:r w:rsidRPr="00314858">
        <w:rPr>
          <w:rFonts w:ascii="Times New Roman" w:hAnsi="Times New Roman" w:cs="Times New Roman"/>
          <w:lang w:val="sr-Latn-ME"/>
        </w:rPr>
        <w:t xml:space="preserve"> postojala je interakcija između dejstva terapije i godina starosti. Relativni rizik od krvarenja sa dabigatranom u poređenju sa varfarinom rastao je sa </w:t>
      </w:r>
      <w:r w:rsidR="009062B4" w:rsidRPr="00314858">
        <w:rPr>
          <w:rFonts w:ascii="Times New Roman" w:hAnsi="Times New Roman" w:cs="Times New Roman"/>
          <w:lang w:val="sr-Latn-ME"/>
        </w:rPr>
        <w:t>godinama</w:t>
      </w:r>
      <w:r w:rsidRPr="00314858">
        <w:rPr>
          <w:rFonts w:ascii="Times New Roman" w:hAnsi="Times New Roman" w:cs="Times New Roman"/>
          <w:lang w:val="sr-Latn-ME"/>
        </w:rPr>
        <w:t xml:space="preserve">. Relativni rizik bio je najveći kod pacijenata </w:t>
      </w:r>
      <w:r w:rsidR="00566A83" w:rsidRPr="00314858">
        <w:rPr>
          <w:rFonts w:ascii="Times New Roman" w:hAnsi="Times New Roman" w:cs="Times New Roman"/>
          <w:lang w:val="sr-Latn-ME"/>
        </w:rPr>
        <w:t xml:space="preserve">starosti </w:t>
      </w:r>
      <w:r w:rsidRPr="00314858">
        <w:rPr>
          <w:rFonts w:ascii="Times New Roman" w:hAnsi="Times New Roman" w:cs="Times New Roman"/>
          <w:lang w:val="sr-Latn-ME"/>
        </w:rPr>
        <w:t>≥ 75 godina.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Istovremena upotreba </w:t>
      </w:r>
      <w:r w:rsidRPr="00314858">
        <w:rPr>
          <w:rFonts w:ascii="Times New Roman" w:hAnsi="Times New Roman" w:cs="Times New Roman"/>
          <w:bCs/>
          <w:lang w:val="sr-Latn-ME"/>
        </w:rPr>
        <w:t>antitrombocitne terapije,</w:t>
      </w:r>
      <w:r w:rsidRPr="00314858">
        <w:rPr>
          <w:rFonts w:ascii="Times New Roman" w:hAnsi="Times New Roman" w:cs="Times New Roman"/>
          <w:lang w:val="sr-Latn-ME"/>
        </w:rPr>
        <w:t xml:space="preserve"> ASK ili klopidogrela približno udvostručuje stope </w:t>
      </w:r>
      <w:r w:rsidR="009062B4" w:rsidRPr="00314858">
        <w:rPr>
          <w:rFonts w:ascii="Times New Roman" w:hAnsi="Times New Roman" w:cs="Times New Roman"/>
          <w:lang w:val="sr-Latn-ME"/>
        </w:rPr>
        <w:t>obilnijih</w:t>
      </w:r>
      <w:r w:rsidRPr="00314858">
        <w:rPr>
          <w:rFonts w:ascii="Times New Roman" w:hAnsi="Times New Roman" w:cs="Times New Roman"/>
          <w:lang w:val="sr-Latn-ME"/>
        </w:rPr>
        <w:t xml:space="preserve"> krvarenja </w:t>
      </w:r>
      <w:r w:rsidRPr="00314858">
        <w:rPr>
          <w:rFonts w:ascii="Times New Roman" w:hAnsi="Times New Roman" w:cs="Times New Roman"/>
          <w:bCs/>
          <w:lang w:val="sr-Latn-ME"/>
        </w:rPr>
        <w:t>i sa dabigatraneteksilatom i sa varfarinom</w:t>
      </w:r>
      <w:r w:rsidRPr="00314858">
        <w:rPr>
          <w:rFonts w:ascii="Times New Roman" w:hAnsi="Times New Roman" w:cs="Times New Roman"/>
          <w:lang w:val="sr-Latn-ME"/>
        </w:rPr>
        <w:t>. Nije bilo značajn</w:t>
      </w:r>
      <w:r w:rsidR="00566A83" w:rsidRPr="00314858">
        <w:rPr>
          <w:rFonts w:ascii="Times New Roman" w:hAnsi="Times New Roman" w:cs="Times New Roman"/>
          <w:lang w:val="sr-Latn-ME"/>
        </w:rPr>
        <w:t>e</w:t>
      </w:r>
      <w:r w:rsidRPr="00314858">
        <w:rPr>
          <w:rFonts w:ascii="Times New Roman" w:hAnsi="Times New Roman" w:cs="Times New Roman"/>
          <w:lang w:val="sr-Latn-ME"/>
        </w:rPr>
        <w:t xml:space="preserve"> interakcije terapijskih dejstava sa podgrupama </w:t>
      </w:r>
      <w:r w:rsidR="009062B4" w:rsidRPr="00314858">
        <w:rPr>
          <w:rFonts w:ascii="Times New Roman" w:hAnsi="Times New Roman" w:cs="Times New Roman"/>
          <w:lang w:val="sr-Latn-ME"/>
        </w:rPr>
        <w:t>prema</w:t>
      </w:r>
      <w:r w:rsidRPr="00314858">
        <w:rPr>
          <w:rFonts w:ascii="Times New Roman" w:hAnsi="Times New Roman" w:cs="Times New Roman"/>
          <w:lang w:val="sr-Latn-ME"/>
        </w:rPr>
        <w:t xml:space="preserve"> funkciji </w:t>
      </w:r>
      <w:r w:rsidR="009062B4" w:rsidRPr="00314858">
        <w:rPr>
          <w:rFonts w:ascii="Times New Roman" w:hAnsi="Times New Roman" w:cs="Times New Roman"/>
          <w:lang w:val="sr-Latn-ME"/>
        </w:rPr>
        <w:t xml:space="preserve">bubrega </w:t>
      </w:r>
      <w:r w:rsidRPr="00314858">
        <w:rPr>
          <w:rFonts w:ascii="Times New Roman" w:hAnsi="Times New Roman" w:cs="Times New Roman"/>
          <w:lang w:val="sr-Latn-ME"/>
        </w:rPr>
        <w:t xml:space="preserve">i </w:t>
      </w:r>
      <w:r w:rsidR="009062B4" w:rsidRPr="00314858">
        <w:rPr>
          <w:rFonts w:ascii="Times New Roman" w:hAnsi="Times New Roman" w:cs="Times New Roman"/>
          <w:lang w:val="sr-Latn-ME"/>
        </w:rPr>
        <w:t xml:space="preserve">skoru </w:t>
      </w:r>
      <w:r w:rsidRPr="00314858">
        <w:rPr>
          <w:rFonts w:ascii="Times New Roman" w:hAnsi="Times New Roman" w:cs="Times New Roman"/>
          <w:lang w:val="sr-Latn-ME"/>
        </w:rPr>
        <w:t>CHADS</w:t>
      </w:r>
      <w:r w:rsidRPr="00314858">
        <w:rPr>
          <w:rFonts w:ascii="Times New Roman" w:hAnsi="Times New Roman" w:cs="Times New Roman"/>
          <w:vertAlign w:val="subscript"/>
          <w:lang w:val="sr-Latn-ME"/>
        </w:rPr>
        <w:t>2</w:t>
      </w:r>
      <w:r w:rsidRPr="00314858">
        <w:rPr>
          <w:rFonts w:ascii="Times New Roman" w:hAnsi="Times New Roman" w:cs="Times New Roman"/>
          <w:lang w:val="sr-Latn-ME"/>
        </w:rPr>
        <w:t>.</w:t>
      </w:r>
    </w:p>
    <w:p w14:paraId="5F5C072C" w14:textId="77777777" w:rsidR="00FC549A" w:rsidRPr="00314858" w:rsidRDefault="00FC549A" w:rsidP="00D67D34">
      <w:pPr>
        <w:spacing w:after="0" w:line="240" w:lineRule="auto"/>
        <w:jc w:val="both"/>
        <w:rPr>
          <w:rFonts w:ascii="Times New Roman" w:hAnsi="Times New Roman" w:cs="Times New Roman"/>
          <w:lang w:val="sr-Latn-ME"/>
        </w:rPr>
      </w:pPr>
    </w:p>
    <w:p w14:paraId="4389A9B4" w14:textId="77777777" w:rsidR="00314858" w:rsidRDefault="00314858" w:rsidP="00BA378B">
      <w:pPr>
        <w:spacing w:after="0" w:line="240" w:lineRule="auto"/>
        <w:jc w:val="center"/>
        <w:rPr>
          <w:rFonts w:ascii="Times New Roman" w:hAnsi="Times New Roman" w:cs="Times New Roman"/>
          <w:b/>
          <w:bCs/>
          <w:lang w:val="sr-Latn-ME" w:bidi="en-US"/>
        </w:rPr>
      </w:pPr>
    </w:p>
    <w:p w14:paraId="42B1050B" w14:textId="77777777" w:rsidR="00314858" w:rsidRDefault="00314858" w:rsidP="00BA378B">
      <w:pPr>
        <w:spacing w:after="0" w:line="240" w:lineRule="auto"/>
        <w:jc w:val="center"/>
        <w:rPr>
          <w:rFonts w:ascii="Times New Roman" w:hAnsi="Times New Roman" w:cs="Times New Roman"/>
          <w:b/>
          <w:bCs/>
          <w:lang w:val="sr-Latn-ME" w:bidi="en-US"/>
        </w:rPr>
      </w:pPr>
    </w:p>
    <w:p w14:paraId="4761A0DD" w14:textId="77777777" w:rsidR="00314858" w:rsidRDefault="00314858" w:rsidP="00BA378B">
      <w:pPr>
        <w:spacing w:after="0" w:line="240" w:lineRule="auto"/>
        <w:jc w:val="center"/>
        <w:rPr>
          <w:rFonts w:ascii="Times New Roman" w:hAnsi="Times New Roman" w:cs="Times New Roman"/>
          <w:b/>
          <w:bCs/>
          <w:lang w:val="sr-Latn-ME" w:bidi="en-US"/>
        </w:rPr>
      </w:pPr>
    </w:p>
    <w:p w14:paraId="447CDDEA" w14:textId="77777777" w:rsidR="00314858" w:rsidRDefault="00314858" w:rsidP="00BA378B">
      <w:pPr>
        <w:spacing w:after="0" w:line="240" w:lineRule="auto"/>
        <w:jc w:val="center"/>
        <w:rPr>
          <w:rFonts w:ascii="Times New Roman" w:hAnsi="Times New Roman" w:cs="Times New Roman"/>
          <w:b/>
          <w:bCs/>
          <w:lang w:val="sr-Latn-ME" w:bidi="en-US"/>
        </w:rPr>
      </w:pPr>
    </w:p>
    <w:p w14:paraId="6B77AFD7" w14:textId="77777777" w:rsidR="00314858" w:rsidRDefault="00314858" w:rsidP="00BA378B">
      <w:pPr>
        <w:spacing w:after="0" w:line="240" w:lineRule="auto"/>
        <w:jc w:val="center"/>
        <w:rPr>
          <w:rFonts w:ascii="Times New Roman" w:hAnsi="Times New Roman" w:cs="Times New Roman"/>
          <w:b/>
          <w:bCs/>
          <w:lang w:val="sr-Latn-ME" w:bidi="en-US"/>
        </w:rPr>
      </w:pPr>
    </w:p>
    <w:p w14:paraId="2B465724" w14:textId="77777777" w:rsidR="00314858" w:rsidRDefault="00314858" w:rsidP="00BA378B">
      <w:pPr>
        <w:spacing w:after="0" w:line="240" w:lineRule="auto"/>
        <w:jc w:val="center"/>
        <w:rPr>
          <w:rFonts w:ascii="Times New Roman" w:hAnsi="Times New Roman" w:cs="Times New Roman"/>
          <w:b/>
          <w:bCs/>
          <w:lang w:val="sr-Latn-ME" w:bidi="en-US"/>
        </w:rPr>
      </w:pPr>
    </w:p>
    <w:p w14:paraId="771482D3" w14:textId="15A66390"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lastRenderedPageBreak/>
        <w:t>Tabela 21</w:t>
      </w:r>
      <w:r w:rsidR="002778CC"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w:t>
      </w:r>
      <w:r w:rsidR="001E6607" w:rsidRPr="00314858">
        <w:rPr>
          <w:rFonts w:ascii="Times New Roman" w:hAnsi="Times New Roman" w:cs="Times New Roman"/>
          <w:b/>
          <w:bCs/>
          <w:i/>
          <w:lang w:val="sr-Latn-ME" w:bidi="en-US"/>
        </w:rPr>
        <w:t>Hazard ratio</w:t>
      </w:r>
      <w:r w:rsidRPr="00314858">
        <w:rPr>
          <w:rFonts w:ascii="Times New Roman" w:hAnsi="Times New Roman" w:cs="Times New Roman"/>
          <w:b/>
          <w:bCs/>
          <w:lang w:val="sr-Latn-ME" w:bidi="en-US"/>
        </w:rPr>
        <w:t xml:space="preserve"> i 95% CI za </w:t>
      </w:r>
      <w:r w:rsidR="001E6607" w:rsidRPr="00314858">
        <w:rPr>
          <w:rFonts w:ascii="Times New Roman" w:hAnsi="Times New Roman" w:cs="Times New Roman"/>
          <w:b/>
          <w:bCs/>
          <w:lang w:val="sr-Latn-ME" w:bidi="en-US"/>
        </w:rPr>
        <w:t>obilnija</w:t>
      </w:r>
      <w:r w:rsidRPr="00314858">
        <w:rPr>
          <w:rFonts w:ascii="Times New Roman" w:hAnsi="Times New Roman" w:cs="Times New Roman"/>
          <w:b/>
          <w:bCs/>
          <w:lang w:val="sr-Latn-ME" w:bidi="en-US"/>
        </w:rPr>
        <w:t xml:space="preserve"> krvarenja po podgrupama</w:t>
      </w:r>
    </w:p>
    <w:p w14:paraId="2412483A" w14:textId="77777777" w:rsidR="002778CC" w:rsidRPr="00314858" w:rsidRDefault="002778CC"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2762"/>
        <w:gridCol w:w="3207"/>
        <w:gridCol w:w="3091"/>
      </w:tblGrid>
      <w:tr w:rsidR="00566A83" w:rsidRPr="00314858" w14:paraId="6C9B6121" w14:textId="77777777" w:rsidTr="001F1A28">
        <w:trPr>
          <w:trHeight w:val="20"/>
          <w:jc w:val="center"/>
        </w:trPr>
        <w:tc>
          <w:tcPr>
            <w:tcW w:w="1524" w:type="pct"/>
            <w:tcBorders>
              <w:top w:val="single" w:sz="4" w:space="0" w:color="auto"/>
              <w:left w:val="single" w:sz="4" w:space="0" w:color="auto"/>
            </w:tcBorders>
            <w:shd w:val="clear" w:color="auto" w:fill="auto"/>
            <w:vAlign w:val="center"/>
          </w:tcPr>
          <w:p w14:paraId="0A7C8C60" w14:textId="77777777" w:rsidR="00566A83" w:rsidRPr="00314858" w:rsidRDefault="00566A83" w:rsidP="00A95A46">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Ishod</w:t>
            </w:r>
          </w:p>
        </w:tc>
        <w:tc>
          <w:tcPr>
            <w:tcW w:w="1770" w:type="pct"/>
            <w:tcBorders>
              <w:top w:val="single" w:sz="4" w:space="0" w:color="auto"/>
              <w:left w:val="single" w:sz="4" w:space="0" w:color="auto"/>
            </w:tcBorders>
            <w:shd w:val="clear" w:color="auto" w:fill="auto"/>
            <w:vAlign w:val="center"/>
          </w:tcPr>
          <w:p w14:paraId="6721F3FF"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Dabigatraneteksilat 110 mg dva puta dnevno prema varfarinu</w:t>
            </w:r>
          </w:p>
        </w:tc>
        <w:tc>
          <w:tcPr>
            <w:tcW w:w="1706" w:type="pct"/>
            <w:tcBorders>
              <w:top w:val="single" w:sz="4" w:space="0" w:color="auto"/>
              <w:left w:val="single" w:sz="4" w:space="0" w:color="auto"/>
              <w:right w:val="single" w:sz="4" w:space="0" w:color="auto"/>
            </w:tcBorders>
            <w:shd w:val="clear" w:color="auto" w:fill="auto"/>
            <w:vAlign w:val="center"/>
          </w:tcPr>
          <w:p w14:paraId="1C9A7586"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Dabigatraneteksilat 150 mg dva puta dnevno prema varfarinu</w:t>
            </w:r>
          </w:p>
        </w:tc>
      </w:tr>
      <w:tr w:rsidR="00566A83" w:rsidRPr="00314858" w14:paraId="64242A5D"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1FEA2BD2" w14:textId="77777777" w:rsidR="00566A83" w:rsidRPr="00314858" w:rsidRDefault="00566A83"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Starost (godine)</w:t>
            </w:r>
          </w:p>
        </w:tc>
        <w:tc>
          <w:tcPr>
            <w:tcW w:w="1770" w:type="pct"/>
            <w:tcBorders>
              <w:top w:val="single" w:sz="4" w:space="0" w:color="auto"/>
              <w:left w:val="single" w:sz="4" w:space="0" w:color="auto"/>
            </w:tcBorders>
            <w:shd w:val="clear" w:color="auto" w:fill="auto"/>
          </w:tcPr>
          <w:p w14:paraId="759FE270"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c>
          <w:tcPr>
            <w:tcW w:w="1706" w:type="pct"/>
            <w:tcBorders>
              <w:top w:val="single" w:sz="4" w:space="0" w:color="auto"/>
              <w:left w:val="single" w:sz="4" w:space="0" w:color="auto"/>
              <w:right w:val="single" w:sz="4" w:space="0" w:color="auto"/>
            </w:tcBorders>
            <w:shd w:val="clear" w:color="auto" w:fill="auto"/>
          </w:tcPr>
          <w:p w14:paraId="11BEEA03"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r w:rsidR="00566A83" w:rsidRPr="00314858" w14:paraId="7FDFF4EE"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5A7A113E" w14:textId="3D2AE6B5"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&lt;</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65</w:t>
            </w:r>
          </w:p>
        </w:tc>
        <w:tc>
          <w:tcPr>
            <w:tcW w:w="1770" w:type="pct"/>
            <w:tcBorders>
              <w:top w:val="single" w:sz="4" w:space="0" w:color="auto"/>
              <w:left w:val="single" w:sz="4" w:space="0" w:color="auto"/>
            </w:tcBorders>
            <w:shd w:val="clear" w:color="auto" w:fill="auto"/>
            <w:vAlign w:val="bottom"/>
          </w:tcPr>
          <w:p w14:paraId="17F4611A"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0,32 (0,18; 0,57)</w:t>
            </w:r>
          </w:p>
        </w:tc>
        <w:tc>
          <w:tcPr>
            <w:tcW w:w="1706" w:type="pct"/>
            <w:tcBorders>
              <w:top w:val="single" w:sz="4" w:space="0" w:color="auto"/>
              <w:left w:val="single" w:sz="4" w:space="0" w:color="auto"/>
              <w:right w:val="single" w:sz="4" w:space="0" w:color="auto"/>
            </w:tcBorders>
            <w:shd w:val="clear" w:color="auto" w:fill="auto"/>
            <w:vAlign w:val="bottom"/>
          </w:tcPr>
          <w:p w14:paraId="153DD34D"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0,35 (0,20; 0,61)</w:t>
            </w:r>
          </w:p>
        </w:tc>
      </w:tr>
      <w:tr w:rsidR="00566A83" w:rsidRPr="00314858" w14:paraId="39ADFEB2"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4DC444FF" w14:textId="7CE5CF86"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65</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 i &lt;</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75</w:t>
            </w:r>
          </w:p>
        </w:tc>
        <w:tc>
          <w:tcPr>
            <w:tcW w:w="1770" w:type="pct"/>
            <w:tcBorders>
              <w:top w:val="single" w:sz="4" w:space="0" w:color="auto"/>
              <w:left w:val="single" w:sz="4" w:space="0" w:color="auto"/>
            </w:tcBorders>
            <w:shd w:val="clear" w:color="auto" w:fill="auto"/>
            <w:vAlign w:val="bottom"/>
          </w:tcPr>
          <w:p w14:paraId="7D97D242"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0,71 (0,56; 0,89)</w:t>
            </w:r>
          </w:p>
        </w:tc>
        <w:tc>
          <w:tcPr>
            <w:tcW w:w="1706" w:type="pct"/>
            <w:tcBorders>
              <w:top w:val="single" w:sz="4" w:space="0" w:color="auto"/>
              <w:left w:val="single" w:sz="4" w:space="0" w:color="auto"/>
              <w:right w:val="single" w:sz="4" w:space="0" w:color="auto"/>
            </w:tcBorders>
            <w:shd w:val="clear" w:color="auto" w:fill="auto"/>
            <w:vAlign w:val="bottom"/>
          </w:tcPr>
          <w:p w14:paraId="446A3632"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0,82 (0,66; 1,03)</w:t>
            </w:r>
          </w:p>
        </w:tc>
      </w:tr>
      <w:tr w:rsidR="00566A83" w:rsidRPr="00314858" w14:paraId="0ED62352"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6310C708" w14:textId="1F3D2933"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75</w:t>
            </w:r>
          </w:p>
        </w:tc>
        <w:tc>
          <w:tcPr>
            <w:tcW w:w="1770" w:type="pct"/>
            <w:tcBorders>
              <w:top w:val="single" w:sz="4" w:space="0" w:color="auto"/>
              <w:left w:val="single" w:sz="4" w:space="0" w:color="auto"/>
            </w:tcBorders>
            <w:shd w:val="clear" w:color="auto" w:fill="auto"/>
            <w:vAlign w:val="bottom"/>
          </w:tcPr>
          <w:p w14:paraId="15B06BFB"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1,01 (0,84; 1,23)</w:t>
            </w:r>
          </w:p>
        </w:tc>
        <w:tc>
          <w:tcPr>
            <w:tcW w:w="1706" w:type="pct"/>
            <w:tcBorders>
              <w:top w:val="single" w:sz="4" w:space="0" w:color="auto"/>
              <w:left w:val="single" w:sz="4" w:space="0" w:color="auto"/>
              <w:right w:val="single" w:sz="4" w:space="0" w:color="auto"/>
            </w:tcBorders>
            <w:shd w:val="clear" w:color="auto" w:fill="auto"/>
            <w:vAlign w:val="bottom"/>
          </w:tcPr>
          <w:p w14:paraId="2C2B2924"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1,19 (0,99; 1,43)</w:t>
            </w:r>
          </w:p>
        </w:tc>
      </w:tr>
      <w:tr w:rsidR="00566A83" w:rsidRPr="00314858" w14:paraId="2B74739A"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4815C114" w14:textId="656E0B5D"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80</w:t>
            </w:r>
          </w:p>
        </w:tc>
        <w:tc>
          <w:tcPr>
            <w:tcW w:w="1770" w:type="pct"/>
            <w:tcBorders>
              <w:top w:val="single" w:sz="4" w:space="0" w:color="auto"/>
              <w:left w:val="single" w:sz="4" w:space="0" w:color="auto"/>
            </w:tcBorders>
            <w:shd w:val="clear" w:color="auto" w:fill="auto"/>
            <w:vAlign w:val="bottom"/>
          </w:tcPr>
          <w:p w14:paraId="059CF044"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1,14 (0,86; 1,51)</w:t>
            </w:r>
          </w:p>
        </w:tc>
        <w:tc>
          <w:tcPr>
            <w:tcW w:w="1706" w:type="pct"/>
            <w:tcBorders>
              <w:top w:val="single" w:sz="4" w:space="0" w:color="auto"/>
              <w:left w:val="single" w:sz="4" w:space="0" w:color="auto"/>
              <w:right w:val="single" w:sz="4" w:space="0" w:color="auto"/>
            </w:tcBorders>
            <w:shd w:val="clear" w:color="auto" w:fill="auto"/>
            <w:vAlign w:val="bottom"/>
          </w:tcPr>
          <w:p w14:paraId="70BA0591"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1,35 (1,03; 1,76)</w:t>
            </w:r>
          </w:p>
        </w:tc>
      </w:tr>
      <w:tr w:rsidR="00566A83" w:rsidRPr="00314858" w14:paraId="231DC50A"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2D83B263" w14:textId="7504C2A8" w:rsidR="00566A83" w:rsidRPr="00314858" w:rsidRDefault="00566A83" w:rsidP="001F1A28">
            <w:pPr>
              <w:widowControl w:val="0"/>
              <w:spacing w:after="0" w:line="240" w:lineRule="auto"/>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CrCL</w:t>
            </w:r>
            <w:r w:rsidR="001E6607"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(m</w:t>
            </w:r>
            <w:r w:rsidR="00486E4F" w:rsidRPr="00314858">
              <w:rPr>
                <w:rFonts w:ascii="Times New Roman" w:eastAsia="Times New Roman" w:hAnsi="Times New Roman" w:cs="Times New Roman"/>
                <w:color w:val="000000" w:themeColor="text1"/>
                <w:lang w:val="sr-Latn-ME" w:bidi="en-US"/>
              </w:rPr>
              <w:t>l</w:t>
            </w:r>
            <w:r w:rsidRPr="00314858">
              <w:rPr>
                <w:rFonts w:ascii="Times New Roman" w:eastAsia="Times New Roman" w:hAnsi="Times New Roman" w:cs="Times New Roman"/>
                <w:color w:val="000000" w:themeColor="text1"/>
                <w:lang w:val="sr-Latn-ME" w:bidi="en-US"/>
              </w:rPr>
              <w:t>/min)</w:t>
            </w:r>
          </w:p>
        </w:tc>
        <w:tc>
          <w:tcPr>
            <w:tcW w:w="1770" w:type="pct"/>
            <w:tcBorders>
              <w:top w:val="single" w:sz="4" w:space="0" w:color="auto"/>
              <w:left w:val="single" w:sz="4" w:space="0" w:color="auto"/>
            </w:tcBorders>
            <w:shd w:val="clear" w:color="auto" w:fill="auto"/>
          </w:tcPr>
          <w:p w14:paraId="305F58D5"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c>
          <w:tcPr>
            <w:tcW w:w="1706" w:type="pct"/>
            <w:tcBorders>
              <w:top w:val="single" w:sz="4" w:space="0" w:color="auto"/>
              <w:left w:val="single" w:sz="4" w:space="0" w:color="auto"/>
              <w:right w:val="single" w:sz="4" w:space="0" w:color="auto"/>
            </w:tcBorders>
            <w:shd w:val="clear" w:color="auto" w:fill="auto"/>
          </w:tcPr>
          <w:p w14:paraId="54DFA730" w14:textId="77777777" w:rsidR="00566A83" w:rsidRPr="00314858" w:rsidRDefault="00566A83" w:rsidP="001F1A28">
            <w:pPr>
              <w:widowControl w:val="0"/>
              <w:spacing w:after="0" w:line="240" w:lineRule="auto"/>
              <w:jc w:val="center"/>
              <w:rPr>
                <w:rFonts w:ascii="Times New Roman" w:eastAsia="Courier New" w:hAnsi="Times New Roman" w:cs="Times New Roman"/>
                <w:color w:val="000000" w:themeColor="text1"/>
                <w:lang w:val="sr-Latn-ME" w:bidi="en-US"/>
              </w:rPr>
            </w:pPr>
          </w:p>
        </w:tc>
      </w:tr>
      <w:tr w:rsidR="00566A83" w:rsidRPr="00314858" w14:paraId="6E126B5A"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481CD9FD" w14:textId="6FD54ADE"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30</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 i &lt;</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50</w:t>
            </w:r>
          </w:p>
        </w:tc>
        <w:tc>
          <w:tcPr>
            <w:tcW w:w="1770" w:type="pct"/>
            <w:tcBorders>
              <w:top w:val="single" w:sz="4" w:space="0" w:color="auto"/>
              <w:left w:val="single" w:sz="4" w:space="0" w:color="auto"/>
            </w:tcBorders>
            <w:shd w:val="clear" w:color="auto" w:fill="auto"/>
            <w:vAlign w:val="bottom"/>
          </w:tcPr>
          <w:p w14:paraId="15E39215"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1,02 (0,79; 1,32)</w:t>
            </w:r>
          </w:p>
        </w:tc>
        <w:tc>
          <w:tcPr>
            <w:tcW w:w="1706" w:type="pct"/>
            <w:tcBorders>
              <w:top w:val="single" w:sz="4" w:space="0" w:color="auto"/>
              <w:left w:val="single" w:sz="4" w:space="0" w:color="auto"/>
              <w:right w:val="single" w:sz="4" w:space="0" w:color="auto"/>
            </w:tcBorders>
            <w:shd w:val="clear" w:color="auto" w:fill="auto"/>
            <w:vAlign w:val="bottom"/>
          </w:tcPr>
          <w:p w14:paraId="5667FAEE"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0,94 (0,73; 1,22)</w:t>
            </w:r>
          </w:p>
        </w:tc>
      </w:tr>
      <w:tr w:rsidR="00566A83" w:rsidRPr="00314858" w14:paraId="3AF88F24"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53AD554E" w14:textId="43F3F646"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50</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 i &lt;</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80</w:t>
            </w:r>
          </w:p>
        </w:tc>
        <w:tc>
          <w:tcPr>
            <w:tcW w:w="1770" w:type="pct"/>
            <w:tcBorders>
              <w:top w:val="single" w:sz="4" w:space="0" w:color="auto"/>
              <w:left w:val="single" w:sz="4" w:space="0" w:color="auto"/>
            </w:tcBorders>
            <w:shd w:val="clear" w:color="auto" w:fill="auto"/>
            <w:vAlign w:val="bottom"/>
          </w:tcPr>
          <w:p w14:paraId="3BAE63AF"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0,75 (0,61; 0,92)</w:t>
            </w:r>
          </w:p>
        </w:tc>
        <w:tc>
          <w:tcPr>
            <w:tcW w:w="1706" w:type="pct"/>
            <w:tcBorders>
              <w:top w:val="single" w:sz="4" w:space="0" w:color="auto"/>
              <w:left w:val="single" w:sz="4" w:space="0" w:color="auto"/>
              <w:right w:val="single" w:sz="4" w:space="0" w:color="auto"/>
            </w:tcBorders>
            <w:shd w:val="clear" w:color="auto" w:fill="auto"/>
            <w:vAlign w:val="bottom"/>
          </w:tcPr>
          <w:p w14:paraId="2C32FBF4"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0,90 (0,74; 1,09)</w:t>
            </w:r>
          </w:p>
        </w:tc>
      </w:tr>
      <w:tr w:rsidR="00566A83" w:rsidRPr="00314858" w14:paraId="2D38E011"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6C982733" w14:textId="5FC2FE18"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w:t>
            </w:r>
            <w:r w:rsidR="00486E4F"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80</w:t>
            </w:r>
          </w:p>
        </w:tc>
        <w:tc>
          <w:tcPr>
            <w:tcW w:w="1770" w:type="pct"/>
            <w:tcBorders>
              <w:top w:val="single" w:sz="4" w:space="0" w:color="auto"/>
              <w:left w:val="single" w:sz="4" w:space="0" w:color="auto"/>
            </w:tcBorders>
            <w:shd w:val="clear" w:color="auto" w:fill="auto"/>
            <w:vAlign w:val="bottom"/>
          </w:tcPr>
          <w:p w14:paraId="2424C88A"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0,59 (0,43; 0,82)</w:t>
            </w:r>
          </w:p>
        </w:tc>
        <w:tc>
          <w:tcPr>
            <w:tcW w:w="1706" w:type="pct"/>
            <w:tcBorders>
              <w:top w:val="single" w:sz="4" w:space="0" w:color="auto"/>
              <w:left w:val="single" w:sz="4" w:space="0" w:color="auto"/>
              <w:right w:val="single" w:sz="4" w:space="0" w:color="auto"/>
            </w:tcBorders>
            <w:shd w:val="clear" w:color="auto" w:fill="auto"/>
            <w:vAlign w:val="bottom"/>
          </w:tcPr>
          <w:p w14:paraId="322E1719"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0,87 (0,65; 1,17)</w:t>
            </w:r>
          </w:p>
        </w:tc>
      </w:tr>
      <w:tr w:rsidR="00566A83" w:rsidRPr="00314858" w14:paraId="2CF87596" w14:textId="77777777" w:rsidTr="001F1A28">
        <w:trPr>
          <w:trHeight w:val="20"/>
          <w:jc w:val="center"/>
        </w:trPr>
        <w:tc>
          <w:tcPr>
            <w:tcW w:w="1524" w:type="pct"/>
            <w:tcBorders>
              <w:top w:val="single" w:sz="4" w:space="0" w:color="auto"/>
              <w:left w:val="single" w:sz="4" w:space="0" w:color="auto"/>
            </w:tcBorders>
            <w:shd w:val="clear" w:color="auto" w:fill="auto"/>
            <w:vAlign w:val="bottom"/>
          </w:tcPr>
          <w:p w14:paraId="79F8B8AD" w14:textId="5DEB2B94" w:rsidR="00566A83" w:rsidRPr="00314858" w:rsidRDefault="00566A83"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Prim</w:t>
            </w:r>
            <w:r w:rsidR="00C769F8"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ena ASK</w:t>
            </w:r>
          </w:p>
        </w:tc>
        <w:tc>
          <w:tcPr>
            <w:tcW w:w="1770" w:type="pct"/>
            <w:tcBorders>
              <w:top w:val="single" w:sz="4" w:space="0" w:color="auto"/>
              <w:left w:val="single" w:sz="4" w:space="0" w:color="auto"/>
            </w:tcBorders>
            <w:shd w:val="clear" w:color="auto" w:fill="auto"/>
            <w:vAlign w:val="bottom"/>
          </w:tcPr>
          <w:p w14:paraId="55D1B025"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0,84 (0,69; 1,03)</w:t>
            </w:r>
          </w:p>
        </w:tc>
        <w:tc>
          <w:tcPr>
            <w:tcW w:w="1706" w:type="pct"/>
            <w:tcBorders>
              <w:top w:val="single" w:sz="4" w:space="0" w:color="auto"/>
              <w:left w:val="single" w:sz="4" w:space="0" w:color="auto"/>
              <w:right w:val="single" w:sz="4" w:space="0" w:color="auto"/>
            </w:tcBorders>
            <w:shd w:val="clear" w:color="auto" w:fill="auto"/>
            <w:vAlign w:val="bottom"/>
          </w:tcPr>
          <w:p w14:paraId="685F5979"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0,97 (0,79; 1,18)</w:t>
            </w:r>
          </w:p>
        </w:tc>
      </w:tr>
      <w:tr w:rsidR="00566A83" w:rsidRPr="00314858" w14:paraId="158D6B6D" w14:textId="77777777" w:rsidTr="001F1A28">
        <w:trPr>
          <w:trHeight w:val="20"/>
          <w:jc w:val="center"/>
        </w:trPr>
        <w:tc>
          <w:tcPr>
            <w:tcW w:w="1524" w:type="pct"/>
            <w:tcBorders>
              <w:top w:val="single" w:sz="4" w:space="0" w:color="auto"/>
              <w:left w:val="single" w:sz="4" w:space="0" w:color="auto"/>
              <w:bottom w:val="single" w:sz="4" w:space="0" w:color="auto"/>
            </w:tcBorders>
            <w:shd w:val="clear" w:color="auto" w:fill="auto"/>
            <w:vAlign w:val="bottom"/>
          </w:tcPr>
          <w:p w14:paraId="52C3D448" w14:textId="21F3A6C2" w:rsidR="00566A83" w:rsidRPr="00314858" w:rsidRDefault="00566A83"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Prim</w:t>
            </w:r>
            <w:r w:rsidR="00C769F8"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ena klopidogrela</w:t>
            </w:r>
          </w:p>
        </w:tc>
        <w:tc>
          <w:tcPr>
            <w:tcW w:w="1770" w:type="pct"/>
            <w:tcBorders>
              <w:top w:val="single" w:sz="4" w:space="0" w:color="auto"/>
              <w:left w:val="single" w:sz="4" w:space="0" w:color="auto"/>
              <w:bottom w:val="single" w:sz="4" w:space="0" w:color="auto"/>
            </w:tcBorders>
            <w:shd w:val="clear" w:color="auto" w:fill="auto"/>
            <w:vAlign w:val="bottom"/>
          </w:tcPr>
          <w:p w14:paraId="3DB3B15D"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0,89 (0,55; 1,45)</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14:paraId="31A80325" w14:textId="77777777" w:rsidR="00566A83" w:rsidRPr="00314858" w:rsidRDefault="00566A83" w:rsidP="001F1A28">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0,92 (0,57; 1,48)</w:t>
            </w:r>
          </w:p>
        </w:tc>
      </w:tr>
    </w:tbl>
    <w:p w14:paraId="3321BF47" w14:textId="77777777" w:rsidR="00D67D34" w:rsidRPr="00314858" w:rsidRDefault="00D67D34" w:rsidP="00D67D34">
      <w:pPr>
        <w:spacing w:after="0" w:line="240" w:lineRule="auto"/>
        <w:jc w:val="both"/>
        <w:rPr>
          <w:rFonts w:ascii="Times New Roman" w:hAnsi="Times New Roman" w:cs="Times New Roman"/>
          <w:lang w:val="sr-Latn-ME" w:bidi="en-US"/>
        </w:rPr>
      </w:pPr>
    </w:p>
    <w:p w14:paraId="30B3D41F" w14:textId="4F75C5AE" w:rsidR="00D67D34" w:rsidRPr="00314858" w:rsidRDefault="00D67D34" w:rsidP="00D67D34">
      <w:pPr>
        <w:spacing w:after="0" w:line="240" w:lineRule="auto"/>
        <w:jc w:val="both"/>
        <w:rPr>
          <w:rFonts w:ascii="Times New Roman" w:hAnsi="Times New Roman" w:cs="Times New Roman"/>
          <w:bCs/>
          <w:i/>
          <w:iCs/>
          <w:lang w:val="sr-Latn-ME"/>
        </w:rPr>
      </w:pPr>
      <w:r w:rsidRPr="00314858">
        <w:rPr>
          <w:rFonts w:ascii="Times New Roman" w:hAnsi="Times New Roman" w:cs="Times New Roman"/>
          <w:bCs/>
          <w:i/>
          <w:iCs/>
          <w:lang w:val="sr-Latn-ME"/>
        </w:rPr>
        <w:t>RELY-ABLE (Dugo</w:t>
      </w:r>
      <w:r w:rsidR="006A6C49" w:rsidRPr="00314858">
        <w:rPr>
          <w:rFonts w:ascii="Times New Roman" w:hAnsi="Times New Roman" w:cs="Times New Roman"/>
          <w:bCs/>
          <w:i/>
          <w:iCs/>
          <w:lang w:val="sr-Latn-ME"/>
        </w:rPr>
        <w:t>trajni</w:t>
      </w:r>
      <w:r w:rsidRPr="00314858">
        <w:rPr>
          <w:rFonts w:ascii="Times New Roman" w:hAnsi="Times New Roman" w:cs="Times New Roman"/>
          <w:bCs/>
          <w:i/>
          <w:iCs/>
          <w:lang w:val="sr-Latn-ME"/>
        </w:rPr>
        <w:t>, multicentrični produžetak terapije dabigatranom kod pacijenata sa atrijalnom fibrilacijom koji su završili učešće u ispitivanju RE-LY)</w:t>
      </w:r>
    </w:p>
    <w:p w14:paraId="4CA6A483" w14:textId="77777777" w:rsidR="00FC549A" w:rsidRPr="00314858" w:rsidRDefault="00FC549A" w:rsidP="00D67D34">
      <w:pPr>
        <w:spacing w:after="0" w:line="240" w:lineRule="auto"/>
        <w:jc w:val="both"/>
        <w:rPr>
          <w:rFonts w:ascii="Times New Roman" w:hAnsi="Times New Roman" w:cs="Times New Roman"/>
          <w:bCs/>
          <w:i/>
          <w:iCs/>
          <w:lang w:val="sr-Latn-ME"/>
        </w:rPr>
      </w:pPr>
    </w:p>
    <w:p w14:paraId="78A9A976" w14:textId="01451A63" w:rsidR="006A6C49" w:rsidRPr="00314858" w:rsidRDefault="00D67D34" w:rsidP="00D67D34">
      <w:pPr>
        <w:spacing w:after="0" w:line="240" w:lineRule="auto"/>
        <w:jc w:val="both"/>
        <w:rPr>
          <w:rFonts w:ascii="Times New Roman" w:hAnsi="Times New Roman" w:cs="Times New Roman"/>
          <w:bCs/>
          <w:lang w:val="sr-Latn-ME"/>
        </w:rPr>
      </w:pPr>
      <w:r w:rsidRPr="00314858">
        <w:rPr>
          <w:rFonts w:ascii="Times New Roman" w:hAnsi="Times New Roman" w:cs="Times New Roman"/>
          <w:bCs/>
          <w:lang w:val="sr-Latn-ME"/>
        </w:rPr>
        <w:t xml:space="preserve">Produžetak </w:t>
      </w:r>
      <w:r w:rsidR="00566A83" w:rsidRPr="00314858">
        <w:rPr>
          <w:rFonts w:ascii="Times New Roman" w:hAnsi="Times New Roman" w:cs="Times New Roman"/>
          <w:bCs/>
          <w:lang w:val="sr-Latn-ME"/>
        </w:rPr>
        <w:t>studije</w:t>
      </w:r>
      <w:r w:rsidRPr="00314858">
        <w:rPr>
          <w:rFonts w:ascii="Times New Roman" w:hAnsi="Times New Roman" w:cs="Times New Roman"/>
          <w:bCs/>
          <w:lang w:val="sr-Latn-ME"/>
        </w:rPr>
        <w:t xml:space="preserve"> RE-LY (RELY-ABLE) pružio je dodatne bezb</w:t>
      </w:r>
      <w:r w:rsidR="00C769F8" w:rsidRPr="00314858">
        <w:rPr>
          <w:rFonts w:ascii="Times New Roman" w:hAnsi="Times New Roman" w:cs="Times New Roman"/>
          <w:bCs/>
          <w:lang w:val="sr-Latn-ME"/>
        </w:rPr>
        <w:t>j</w:t>
      </w:r>
      <w:r w:rsidRPr="00314858">
        <w:rPr>
          <w:rFonts w:ascii="Times New Roman" w:hAnsi="Times New Roman" w:cs="Times New Roman"/>
          <w:bCs/>
          <w:lang w:val="sr-Latn-ME"/>
        </w:rPr>
        <w:t>ednosne informacije za kohortu pacijenata koja je nastavila da prima istu dozu dabigatraneteksilata kao onu koja im je bila određena u ispitivanju RE-LY.</w:t>
      </w:r>
      <w:r w:rsidR="00ED227D" w:rsidRPr="00314858">
        <w:rPr>
          <w:rFonts w:ascii="Times New Roman" w:hAnsi="Times New Roman" w:cs="Times New Roman"/>
          <w:bCs/>
          <w:lang w:val="sr-Latn-ME"/>
        </w:rPr>
        <w:t xml:space="preserve"> </w:t>
      </w:r>
      <w:r w:rsidRPr="00314858">
        <w:rPr>
          <w:rFonts w:ascii="Times New Roman" w:hAnsi="Times New Roman" w:cs="Times New Roman"/>
          <w:bCs/>
          <w:lang w:val="sr-Latn-ME"/>
        </w:rPr>
        <w:t>Pacijenti su bili pogodni za ispitivanje RELY-ABLE ako ni</w:t>
      </w:r>
      <w:r w:rsidR="00C769F8" w:rsidRPr="00314858">
        <w:rPr>
          <w:rFonts w:ascii="Times New Roman" w:hAnsi="Times New Roman" w:cs="Times New Roman"/>
          <w:bCs/>
          <w:lang w:val="sr-Latn-ME"/>
        </w:rPr>
        <w:t>je</w:t>
      </w:r>
      <w:r w:rsidRPr="00314858">
        <w:rPr>
          <w:rFonts w:ascii="Times New Roman" w:hAnsi="Times New Roman" w:cs="Times New Roman"/>
          <w:bCs/>
          <w:lang w:val="sr-Latn-ME"/>
        </w:rPr>
        <w:t>su trajno prekinuli prim</w:t>
      </w:r>
      <w:r w:rsidR="00C769F8" w:rsidRPr="00314858">
        <w:rPr>
          <w:rFonts w:ascii="Times New Roman" w:hAnsi="Times New Roman" w:cs="Times New Roman"/>
          <w:bCs/>
          <w:lang w:val="sr-Latn-ME"/>
        </w:rPr>
        <w:t>j</w:t>
      </w:r>
      <w:r w:rsidRPr="00314858">
        <w:rPr>
          <w:rFonts w:ascii="Times New Roman" w:hAnsi="Times New Roman" w:cs="Times New Roman"/>
          <w:bCs/>
          <w:lang w:val="sr-Latn-ME"/>
        </w:rPr>
        <w:t>enu ispitivanog l</w:t>
      </w:r>
      <w:r w:rsidR="00C769F8" w:rsidRPr="00314858">
        <w:rPr>
          <w:rFonts w:ascii="Times New Roman" w:hAnsi="Times New Roman" w:cs="Times New Roman"/>
          <w:bCs/>
          <w:lang w:val="sr-Latn-ME"/>
        </w:rPr>
        <w:t>ij</w:t>
      </w:r>
      <w:r w:rsidRPr="00314858">
        <w:rPr>
          <w:rFonts w:ascii="Times New Roman" w:hAnsi="Times New Roman" w:cs="Times New Roman"/>
          <w:bCs/>
          <w:lang w:val="sr-Latn-ME"/>
        </w:rPr>
        <w:t>eka u vr</w:t>
      </w:r>
      <w:r w:rsidR="00C769F8" w:rsidRPr="00314858">
        <w:rPr>
          <w:rFonts w:ascii="Times New Roman" w:hAnsi="Times New Roman" w:cs="Times New Roman"/>
          <w:bCs/>
          <w:lang w:val="sr-Latn-ME"/>
        </w:rPr>
        <w:t>ij</w:t>
      </w:r>
      <w:r w:rsidRPr="00314858">
        <w:rPr>
          <w:rFonts w:ascii="Times New Roman" w:hAnsi="Times New Roman" w:cs="Times New Roman"/>
          <w:bCs/>
          <w:lang w:val="sr-Latn-ME"/>
        </w:rPr>
        <w:t>eme njihove zaključne pos</w:t>
      </w:r>
      <w:r w:rsidR="00C769F8" w:rsidRPr="00314858">
        <w:rPr>
          <w:rFonts w:ascii="Times New Roman" w:hAnsi="Times New Roman" w:cs="Times New Roman"/>
          <w:bCs/>
          <w:lang w:val="sr-Latn-ME"/>
        </w:rPr>
        <w:t>j</w:t>
      </w:r>
      <w:r w:rsidRPr="00314858">
        <w:rPr>
          <w:rFonts w:ascii="Times New Roman" w:hAnsi="Times New Roman" w:cs="Times New Roman"/>
          <w:bCs/>
          <w:lang w:val="sr-Latn-ME"/>
        </w:rPr>
        <w:t>ete u sklopu ispitivanja RE-LY.</w:t>
      </w:r>
      <w:r w:rsidR="00ED227D" w:rsidRPr="00314858">
        <w:rPr>
          <w:rFonts w:ascii="Times New Roman" w:hAnsi="Times New Roman" w:cs="Times New Roman"/>
          <w:bCs/>
          <w:lang w:val="sr-Latn-ME"/>
        </w:rPr>
        <w:t xml:space="preserve"> </w:t>
      </w:r>
      <w:r w:rsidRPr="00314858">
        <w:rPr>
          <w:rFonts w:ascii="Times New Roman" w:hAnsi="Times New Roman" w:cs="Times New Roman"/>
          <w:bCs/>
          <w:lang w:val="sr-Latn-ME"/>
        </w:rPr>
        <w:t>Uključeni pacijenti su nastavili da primaju istu dvostruko maskiranu dozu dabigatraneteksilata koja im je nasumično dod</w:t>
      </w:r>
      <w:r w:rsidR="00C769F8" w:rsidRPr="00314858">
        <w:rPr>
          <w:rFonts w:ascii="Times New Roman" w:hAnsi="Times New Roman" w:cs="Times New Roman"/>
          <w:bCs/>
          <w:lang w:val="sr-Latn-ME"/>
        </w:rPr>
        <w:t>ij</w:t>
      </w:r>
      <w:r w:rsidRPr="00314858">
        <w:rPr>
          <w:rFonts w:ascii="Times New Roman" w:hAnsi="Times New Roman" w:cs="Times New Roman"/>
          <w:bCs/>
          <w:lang w:val="sr-Latn-ME"/>
        </w:rPr>
        <w:t>eljena u ispitivanju RE-LY, u trajanju do 43 m</w:t>
      </w:r>
      <w:r w:rsidR="00C769F8" w:rsidRPr="00314858">
        <w:rPr>
          <w:rFonts w:ascii="Times New Roman" w:hAnsi="Times New Roman" w:cs="Times New Roman"/>
          <w:bCs/>
          <w:lang w:val="sr-Latn-ME"/>
        </w:rPr>
        <w:t>j</w:t>
      </w:r>
      <w:r w:rsidRPr="00314858">
        <w:rPr>
          <w:rFonts w:ascii="Times New Roman" w:hAnsi="Times New Roman" w:cs="Times New Roman"/>
          <w:bCs/>
          <w:lang w:val="sr-Latn-ME"/>
        </w:rPr>
        <w:t>eseca praćenja nakon ispitivanja RE-LY (ukupna srednja vr</w:t>
      </w:r>
      <w:r w:rsidR="00C769F8" w:rsidRPr="00314858">
        <w:rPr>
          <w:rFonts w:ascii="Times New Roman" w:hAnsi="Times New Roman" w:cs="Times New Roman"/>
          <w:bCs/>
          <w:lang w:val="sr-Latn-ME"/>
        </w:rPr>
        <w:t>ij</w:t>
      </w:r>
      <w:r w:rsidRPr="00314858">
        <w:rPr>
          <w:rFonts w:ascii="Times New Roman" w:hAnsi="Times New Roman" w:cs="Times New Roman"/>
          <w:bCs/>
          <w:lang w:val="sr-Latn-ME"/>
        </w:rPr>
        <w:t>ednost praćenja za RE-LY + RELY-ABLE bila je 4,5 godine).</w:t>
      </w:r>
      <w:r w:rsidR="00ED227D" w:rsidRPr="00314858">
        <w:rPr>
          <w:rFonts w:ascii="Times New Roman" w:hAnsi="Times New Roman" w:cs="Times New Roman"/>
          <w:bCs/>
          <w:lang w:val="sr-Latn-ME"/>
        </w:rPr>
        <w:t xml:space="preserve"> </w:t>
      </w:r>
      <w:r w:rsidRPr="00314858">
        <w:rPr>
          <w:rFonts w:ascii="Times New Roman" w:hAnsi="Times New Roman" w:cs="Times New Roman"/>
          <w:bCs/>
          <w:lang w:val="sr-Latn-ME"/>
        </w:rPr>
        <w:t xml:space="preserve">Uključeno je bilo 5897 pacijenata, koji su predstavljali 49% pacijenata od prvobitno nasumično odabranih da primaju dabigatraneteksilat u </w:t>
      </w:r>
      <w:r w:rsidR="006A6C49" w:rsidRPr="00314858">
        <w:rPr>
          <w:rFonts w:ascii="Times New Roman" w:hAnsi="Times New Roman" w:cs="Times New Roman"/>
          <w:bCs/>
          <w:lang w:val="sr-Latn-ME"/>
        </w:rPr>
        <w:t>studiji</w:t>
      </w:r>
      <w:r w:rsidRPr="00314858">
        <w:rPr>
          <w:rFonts w:ascii="Times New Roman" w:hAnsi="Times New Roman" w:cs="Times New Roman"/>
          <w:bCs/>
          <w:lang w:val="sr-Latn-ME"/>
        </w:rPr>
        <w:t xml:space="preserve"> RE-LY, kao i 86% pacijenata</w:t>
      </w:r>
      <w:r w:rsidR="00ED227D" w:rsidRPr="00314858">
        <w:rPr>
          <w:rFonts w:ascii="Times New Roman" w:hAnsi="Times New Roman" w:cs="Times New Roman"/>
          <w:bCs/>
          <w:lang w:val="sr-Latn-ME"/>
        </w:rPr>
        <w:t xml:space="preserve"> </w:t>
      </w:r>
      <w:r w:rsidRPr="00314858">
        <w:rPr>
          <w:rFonts w:ascii="Times New Roman" w:hAnsi="Times New Roman" w:cs="Times New Roman"/>
          <w:bCs/>
          <w:lang w:val="sr-Latn-ME"/>
        </w:rPr>
        <w:t xml:space="preserve">koji su bili pogodni za </w:t>
      </w:r>
      <w:r w:rsidR="006A6C49" w:rsidRPr="00314858">
        <w:rPr>
          <w:rFonts w:ascii="Times New Roman" w:hAnsi="Times New Roman" w:cs="Times New Roman"/>
          <w:bCs/>
          <w:lang w:val="sr-Latn-ME"/>
        </w:rPr>
        <w:t>studiju</w:t>
      </w:r>
      <w:r w:rsidRPr="00314858">
        <w:rPr>
          <w:rFonts w:ascii="Times New Roman" w:hAnsi="Times New Roman" w:cs="Times New Roman"/>
          <w:bCs/>
          <w:lang w:val="sr-Latn-ME"/>
        </w:rPr>
        <w:t xml:space="preserve"> RELY-ABLE. </w:t>
      </w:r>
    </w:p>
    <w:p w14:paraId="4E1D838D" w14:textId="662F6593" w:rsidR="006D0472" w:rsidRPr="00314858" w:rsidRDefault="00D67D34" w:rsidP="00D67D34">
      <w:pPr>
        <w:spacing w:after="0" w:line="240" w:lineRule="auto"/>
        <w:jc w:val="both"/>
        <w:rPr>
          <w:rFonts w:ascii="Times New Roman" w:hAnsi="Times New Roman" w:cs="Times New Roman"/>
          <w:bCs/>
          <w:lang w:val="sr-Latn-ME"/>
        </w:rPr>
      </w:pPr>
      <w:r w:rsidRPr="00314858">
        <w:rPr>
          <w:rFonts w:ascii="Times New Roman" w:hAnsi="Times New Roman" w:cs="Times New Roman"/>
          <w:bCs/>
          <w:lang w:val="sr-Latn-ME"/>
        </w:rPr>
        <w:t xml:space="preserve">Tokom dodatne 2,5 godine terapije u </w:t>
      </w:r>
      <w:r w:rsidR="006D0472" w:rsidRPr="00314858">
        <w:rPr>
          <w:rFonts w:ascii="Times New Roman" w:hAnsi="Times New Roman" w:cs="Times New Roman"/>
          <w:bCs/>
          <w:lang w:val="sr-Latn-ME"/>
        </w:rPr>
        <w:t>studiji</w:t>
      </w:r>
      <w:r w:rsidRPr="00314858">
        <w:rPr>
          <w:rFonts w:ascii="Times New Roman" w:hAnsi="Times New Roman" w:cs="Times New Roman"/>
          <w:bCs/>
          <w:lang w:val="sr-Latn-ME"/>
        </w:rPr>
        <w:t xml:space="preserve"> RELY-ABLE, uz maksimalnu izloženost od preko 6 godina (ukupna izloženost u RELY + RELY-ABLE), dugo</w:t>
      </w:r>
      <w:r w:rsidR="006A6C49" w:rsidRPr="00314858">
        <w:rPr>
          <w:rFonts w:ascii="Times New Roman" w:hAnsi="Times New Roman" w:cs="Times New Roman"/>
          <w:bCs/>
          <w:lang w:val="sr-Latn-ME"/>
        </w:rPr>
        <w:t>trajni</w:t>
      </w:r>
      <w:r w:rsidRPr="00314858">
        <w:rPr>
          <w:rFonts w:ascii="Times New Roman" w:hAnsi="Times New Roman" w:cs="Times New Roman"/>
          <w:bCs/>
          <w:lang w:val="sr-Latn-ME"/>
        </w:rPr>
        <w:t xml:space="preserve"> profil bezb</w:t>
      </w:r>
      <w:r w:rsidR="00C769F8" w:rsidRPr="00314858">
        <w:rPr>
          <w:rFonts w:ascii="Times New Roman" w:hAnsi="Times New Roman" w:cs="Times New Roman"/>
          <w:bCs/>
          <w:lang w:val="sr-Latn-ME"/>
        </w:rPr>
        <w:t>j</w:t>
      </w:r>
      <w:r w:rsidRPr="00314858">
        <w:rPr>
          <w:rFonts w:ascii="Times New Roman" w:hAnsi="Times New Roman" w:cs="Times New Roman"/>
          <w:bCs/>
          <w:lang w:val="sr-Latn-ME"/>
        </w:rPr>
        <w:t>ednosti dabigatraneteksilata potvrđen je za ob</w:t>
      </w:r>
      <w:r w:rsidR="00C769F8" w:rsidRPr="00314858">
        <w:rPr>
          <w:rFonts w:ascii="Times New Roman" w:hAnsi="Times New Roman" w:cs="Times New Roman"/>
          <w:bCs/>
          <w:lang w:val="sr-Latn-ME"/>
        </w:rPr>
        <w:t>j</w:t>
      </w:r>
      <w:r w:rsidRPr="00314858">
        <w:rPr>
          <w:rFonts w:ascii="Times New Roman" w:hAnsi="Times New Roman" w:cs="Times New Roman"/>
          <w:bCs/>
          <w:lang w:val="sr-Latn-ME"/>
        </w:rPr>
        <w:t>e ispitivane doze, 110 mg dva</w:t>
      </w:r>
      <w:r w:rsidR="006D0472" w:rsidRPr="00314858">
        <w:rPr>
          <w:rFonts w:ascii="Times New Roman" w:hAnsi="Times New Roman" w:cs="Times New Roman"/>
          <w:bCs/>
          <w:lang w:val="sr-Latn-ME"/>
        </w:rPr>
        <w:t xml:space="preserve"> </w:t>
      </w:r>
      <w:r w:rsidRPr="00314858">
        <w:rPr>
          <w:rFonts w:ascii="Times New Roman" w:hAnsi="Times New Roman" w:cs="Times New Roman"/>
          <w:bCs/>
          <w:lang w:val="sr-Latn-ME"/>
        </w:rPr>
        <w:t>put</w:t>
      </w:r>
      <w:r w:rsidR="006D0472" w:rsidRPr="00314858">
        <w:rPr>
          <w:rFonts w:ascii="Times New Roman" w:hAnsi="Times New Roman" w:cs="Times New Roman"/>
          <w:bCs/>
          <w:lang w:val="sr-Latn-ME"/>
        </w:rPr>
        <w:t>a</w:t>
      </w:r>
      <w:r w:rsidRPr="00314858">
        <w:rPr>
          <w:rFonts w:ascii="Times New Roman" w:hAnsi="Times New Roman" w:cs="Times New Roman"/>
          <w:bCs/>
          <w:lang w:val="sr-Latn-ME"/>
        </w:rPr>
        <w:t xml:space="preserve"> dnevno i 150 mg dva</w:t>
      </w:r>
      <w:r w:rsidR="006D0472" w:rsidRPr="00314858">
        <w:rPr>
          <w:rFonts w:ascii="Times New Roman" w:hAnsi="Times New Roman" w:cs="Times New Roman"/>
          <w:bCs/>
          <w:lang w:val="sr-Latn-ME"/>
        </w:rPr>
        <w:t xml:space="preserve"> </w:t>
      </w:r>
      <w:r w:rsidRPr="00314858">
        <w:rPr>
          <w:rFonts w:ascii="Times New Roman" w:hAnsi="Times New Roman" w:cs="Times New Roman"/>
          <w:bCs/>
          <w:lang w:val="sr-Latn-ME"/>
        </w:rPr>
        <w:t>put</w:t>
      </w:r>
      <w:r w:rsidR="006D0472" w:rsidRPr="00314858">
        <w:rPr>
          <w:rFonts w:ascii="Times New Roman" w:hAnsi="Times New Roman" w:cs="Times New Roman"/>
          <w:bCs/>
          <w:lang w:val="sr-Latn-ME"/>
        </w:rPr>
        <w:t>a</w:t>
      </w:r>
      <w:r w:rsidRPr="00314858">
        <w:rPr>
          <w:rFonts w:ascii="Times New Roman" w:hAnsi="Times New Roman" w:cs="Times New Roman"/>
          <w:bCs/>
          <w:lang w:val="sr-Latn-ME"/>
        </w:rPr>
        <w:t xml:space="preserve"> dnevno. Ni</w:t>
      </w:r>
      <w:r w:rsidR="002A39E5" w:rsidRPr="00314858">
        <w:rPr>
          <w:rFonts w:ascii="Times New Roman" w:hAnsi="Times New Roman" w:cs="Times New Roman"/>
          <w:bCs/>
          <w:lang w:val="sr-Latn-ME"/>
        </w:rPr>
        <w:t>je</w:t>
      </w:r>
      <w:r w:rsidRPr="00314858">
        <w:rPr>
          <w:rFonts w:ascii="Times New Roman" w:hAnsi="Times New Roman" w:cs="Times New Roman"/>
          <w:bCs/>
          <w:lang w:val="sr-Latn-ME"/>
        </w:rPr>
        <w:t>su prim</w:t>
      </w:r>
      <w:r w:rsidR="00C769F8" w:rsidRPr="00314858">
        <w:rPr>
          <w:rFonts w:ascii="Times New Roman" w:hAnsi="Times New Roman" w:cs="Times New Roman"/>
          <w:bCs/>
          <w:lang w:val="sr-Latn-ME"/>
        </w:rPr>
        <w:t>ij</w:t>
      </w:r>
      <w:r w:rsidRPr="00314858">
        <w:rPr>
          <w:rFonts w:ascii="Times New Roman" w:hAnsi="Times New Roman" w:cs="Times New Roman"/>
          <w:bCs/>
          <w:lang w:val="sr-Latn-ME"/>
        </w:rPr>
        <w:t>ećeni novi bezb</w:t>
      </w:r>
      <w:r w:rsidR="00C769F8" w:rsidRPr="00314858">
        <w:rPr>
          <w:rFonts w:ascii="Times New Roman" w:hAnsi="Times New Roman" w:cs="Times New Roman"/>
          <w:bCs/>
          <w:lang w:val="sr-Latn-ME"/>
        </w:rPr>
        <w:t>j</w:t>
      </w:r>
      <w:r w:rsidRPr="00314858">
        <w:rPr>
          <w:rFonts w:ascii="Times New Roman" w:hAnsi="Times New Roman" w:cs="Times New Roman"/>
          <w:bCs/>
          <w:lang w:val="sr-Latn-ME"/>
        </w:rPr>
        <w:t xml:space="preserve">ednosni nalazi. </w:t>
      </w:r>
    </w:p>
    <w:p w14:paraId="32D67254" w14:textId="7BA66E79" w:rsidR="00D67D34" w:rsidRPr="00314858" w:rsidRDefault="00D67D34" w:rsidP="00D67D34">
      <w:pPr>
        <w:spacing w:after="0" w:line="240" w:lineRule="auto"/>
        <w:jc w:val="both"/>
        <w:rPr>
          <w:rFonts w:ascii="Times New Roman" w:hAnsi="Times New Roman" w:cs="Times New Roman"/>
          <w:bCs/>
          <w:lang w:val="sr-Latn-ME"/>
        </w:rPr>
      </w:pPr>
      <w:r w:rsidRPr="00314858">
        <w:rPr>
          <w:rFonts w:ascii="Times New Roman" w:hAnsi="Times New Roman" w:cs="Times New Roman"/>
          <w:bCs/>
          <w:lang w:val="sr-Latn-ME"/>
        </w:rPr>
        <w:t xml:space="preserve">Stope ishoda događaja, uključujući </w:t>
      </w:r>
      <w:r w:rsidR="006A6C49" w:rsidRPr="00314858">
        <w:rPr>
          <w:rFonts w:ascii="Times New Roman" w:hAnsi="Times New Roman" w:cs="Times New Roman"/>
          <w:bCs/>
          <w:lang w:val="sr-Latn-ME"/>
        </w:rPr>
        <w:t>obilnije</w:t>
      </w:r>
      <w:r w:rsidRPr="00314858">
        <w:rPr>
          <w:rFonts w:ascii="Times New Roman" w:hAnsi="Times New Roman" w:cs="Times New Roman"/>
          <w:bCs/>
          <w:lang w:val="sr-Latn-ME"/>
        </w:rPr>
        <w:t xml:space="preserve"> krvarenj</w:t>
      </w:r>
      <w:r w:rsidR="006A6C49" w:rsidRPr="00314858">
        <w:rPr>
          <w:rFonts w:ascii="Times New Roman" w:hAnsi="Times New Roman" w:cs="Times New Roman"/>
          <w:bCs/>
          <w:lang w:val="sr-Latn-ME"/>
        </w:rPr>
        <w:t>e</w:t>
      </w:r>
      <w:r w:rsidRPr="00314858">
        <w:rPr>
          <w:rFonts w:ascii="Times New Roman" w:hAnsi="Times New Roman" w:cs="Times New Roman"/>
          <w:bCs/>
          <w:lang w:val="sr-Latn-ME"/>
        </w:rPr>
        <w:t xml:space="preserve"> i druge događaje krvarenja, bile su u skladu sa onima zapaženim u ispitivanju RE-LY.</w:t>
      </w:r>
    </w:p>
    <w:p w14:paraId="5CE8402C" w14:textId="77777777" w:rsidR="00FC549A" w:rsidRPr="00314858" w:rsidRDefault="00FC549A" w:rsidP="00D67D34">
      <w:pPr>
        <w:spacing w:after="0" w:line="240" w:lineRule="auto"/>
        <w:jc w:val="both"/>
        <w:rPr>
          <w:rFonts w:ascii="Times New Roman" w:hAnsi="Times New Roman" w:cs="Times New Roman"/>
          <w:lang w:val="sr-Latn-ME" w:bidi="en-US"/>
        </w:rPr>
      </w:pPr>
    </w:p>
    <w:p w14:paraId="67ECDD0D" w14:textId="54F2B2CC" w:rsidR="00D67D34" w:rsidRPr="00314858" w:rsidRDefault="00D67D34" w:rsidP="00D67D34">
      <w:pPr>
        <w:spacing w:after="0" w:line="240" w:lineRule="auto"/>
        <w:jc w:val="both"/>
        <w:rPr>
          <w:rFonts w:ascii="Times New Roman" w:hAnsi="Times New Roman" w:cs="Times New Roman"/>
          <w:bCs/>
          <w:i/>
          <w:lang w:val="sr-Latn-ME"/>
        </w:rPr>
      </w:pPr>
      <w:r w:rsidRPr="00314858">
        <w:rPr>
          <w:rFonts w:ascii="Times New Roman" w:hAnsi="Times New Roman" w:cs="Times New Roman"/>
          <w:bCs/>
          <w:i/>
          <w:lang w:val="sr-Latn-ME"/>
        </w:rPr>
        <w:t xml:space="preserve">Podaci iz neintervencijskih studija </w:t>
      </w:r>
    </w:p>
    <w:p w14:paraId="7DC21BA4" w14:textId="77777777" w:rsidR="00FC549A" w:rsidRPr="00314858" w:rsidRDefault="00FC549A" w:rsidP="00D67D34">
      <w:pPr>
        <w:spacing w:after="0" w:line="240" w:lineRule="auto"/>
        <w:jc w:val="both"/>
        <w:rPr>
          <w:rFonts w:ascii="Times New Roman" w:hAnsi="Times New Roman" w:cs="Times New Roman"/>
          <w:bCs/>
          <w:i/>
          <w:lang w:val="sr-Latn-ME"/>
        </w:rPr>
      </w:pPr>
    </w:p>
    <w:p w14:paraId="04E92214" w14:textId="52AC91A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Neintervencijska studija (GLORIA-AF) je prospektivno prikupila (u svojoj drugoj fazi) podatke o bezb</w:t>
      </w:r>
      <w:r w:rsidR="00C769F8" w:rsidRPr="00314858">
        <w:rPr>
          <w:rFonts w:ascii="Times New Roman" w:hAnsi="Times New Roman" w:cs="Times New Roman"/>
          <w:lang w:val="sr-Latn-ME"/>
        </w:rPr>
        <w:t>j</w:t>
      </w:r>
      <w:r w:rsidRPr="00314858">
        <w:rPr>
          <w:rFonts w:ascii="Times New Roman" w:hAnsi="Times New Roman" w:cs="Times New Roman"/>
          <w:lang w:val="sr-Latn-ME"/>
        </w:rPr>
        <w:t xml:space="preserve">ednosti i </w:t>
      </w:r>
      <w:r w:rsidR="006A6C49" w:rsidRPr="00314858">
        <w:rPr>
          <w:rFonts w:ascii="Times New Roman" w:hAnsi="Times New Roman" w:cs="Times New Roman"/>
          <w:lang w:val="sr-Latn-ME"/>
        </w:rPr>
        <w:t>efektivnosti</w:t>
      </w:r>
      <w:r w:rsidRPr="00314858">
        <w:rPr>
          <w:rFonts w:ascii="Times New Roman" w:hAnsi="Times New Roman" w:cs="Times New Roman"/>
          <w:lang w:val="sr-Latn-ME"/>
        </w:rPr>
        <w:t xml:space="preserve"> dabigatraneteksilata u stvarnim uslovima l</w:t>
      </w:r>
      <w:r w:rsidR="00C769F8" w:rsidRPr="00314858">
        <w:rPr>
          <w:rFonts w:ascii="Times New Roman" w:hAnsi="Times New Roman" w:cs="Times New Roman"/>
          <w:lang w:val="sr-Latn-ME"/>
        </w:rPr>
        <w:t>ij</w:t>
      </w:r>
      <w:r w:rsidRPr="00314858">
        <w:rPr>
          <w:rFonts w:ascii="Times New Roman" w:hAnsi="Times New Roman" w:cs="Times New Roman"/>
          <w:lang w:val="sr-Latn-ME"/>
        </w:rPr>
        <w:t>ečenja kod novodijagnostikovanih pacijenata sa NVAF. Studija je uključila 4859 pacijenata na dabigatraneteksilatu (55% je bilo l</w:t>
      </w:r>
      <w:r w:rsidR="00C769F8" w:rsidRPr="00314858">
        <w:rPr>
          <w:rFonts w:ascii="Times New Roman" w:hAnsi="Times New Roman" w:cs="Times New Roman"/>
          <w:lang w:val="sr-Latn-ME"/>
        </w:rPr>
        <w:t>ij</w:t>
      </w:r>
      <w:r w:rsidRPr="00314858">
        <w:rPr>
          <w:rFonts w:ascii="Times New Roman" w:hAnsi="Times New Roman" w:cs="Times New Roman"/>
          <w:lang w:val="sr-Latn-ME"/>
        </w:rPr>
        <w:t>ečeno dozom od 150 mg dva puta dnevno, 43% bilo je l</w:t>
      </w:r>
      <w:r w:rsidR="00C769F8" w:rsidRPr="00314858">
        <w:rPr>
          <w:rFonts w:ascii="Times New Roman" w:hAnsi="Times New Roman" w:cs="Times New Roman"/>
          <w:lang w:val="sr-Latn-ME"/>
        </w:rPr>
        <w:t>ij</w:t>
      </w:r>
      <w:r w:rsidRPr="00314858">
        <w:rPr>
          <w:rFonts w:ascii="Times New Roman" w:hAnsi="Times New Roman" w:cs="Times New Roman"/>
          <w:lang w:val="sr-Latn-ME"/>
        </w:rPr>
        <w:t>ečeno dozom od 110 mg dva puta dnevno, 2% bilo je l</w:t>
      </w:r>
      <w:r w:rsidR="00C769F8" w:rsidRPr="00314858">
        <w:rPr>
          <w:rFonts w:ascii="Times New Roman" w:hAnsi="Times New Roman" w:cs="Times New Roman"/>
          <w:lang w:val="sr-Latn-ME"/>
        </w:rPr>
        <w:t>ij</w:t>
      </w:r>
      <w:r w:rsidRPr="00314858">
        <w:rPr>
          <w:rFonts w:ascii="Times New Roman" w:hAnsi="Times New Roman" w:cs="Times New Roman"/>
          <w:lang w:val="sr-Latn-ME"/>
        </w:rPr>
        <w:t>ečeno dozom od 75 mg dva puta dnevno). Pacijenti su praćeni tokom 2 godine. Srednja vr</w:t>
      </w:r>
      <w:r w:rsidR="00C769F8" w:rsidRPr="00314858">
        <w:rPr>
          <w:rFonts w:ascii="Times New Roman" w:hAnsi="Times New Roman" w:cs="Times New Roman"/>
          <w:lang w:val="sr-Latn-ME"/>
        </w:rPr>
        <w:t>ij</w:t>
      </w:r>
      <w:r w:rsidRPr="00314858">
        <w:rPr>
          <w:rFonts w:ascii="Times New Roman" w:hAnsi="Times New Roman" w:cs="Times New Roman"/>
          <w:lang w:val="sr-Latn-ME"/>
        </w:rPr>
        <w:t xml:space="preserve">ednost </w:t>
      </w:r>
      <w:r w:rsidR="006A6C49" w:rsidRPr="00314858">
        <w:rPr>
          <w:rFonts w:ascii="Times New Roman" w:hAnsi="Times New Roman" w:cs="Times New Roman"/>
          <w:lang w:val="sr-Latn-ME"/>
        </w:rPr>
        <w:t>skorova</w:t>
      </w:r>
      <w:r w:rsidRPr="00314858">
        <w:rPr>
          <w:rFonts w:ascii="Times New Roman" w:hAnsi="Times New Roman" w:cs="Times New Roman"/>
          <w:lang w:val="sr-Latn-ME"/>
        </w:rPr>
        <w:t xml:space="preserve"> CHADS</w:t>
      </w:r>
      <w:r w:rsidRPr="00314858">
        <w:rPr>
          <w:rFonts w:ascii="Times New Roman" w:hAnsi="Times New Roman" w:cs="Times New Roman"/>
          <w:vertAlign w:val="subscript"/>
          <w:lang w:val="sr-Latn-ME"/>
        </w:rPr>
        <w:t>2</w:t>
      </w:r>
      <w:r w:rsidRPr="00314858">
        <w:rPr>
          <w:rFonts w:ascii="Times New Roman" w:hAnsi="Times New Roman" w:cs="Times New Roman"/>
          <w:lang w:val="sr-Latn-ME"/>
        </w:rPr>
        <w:t xml:space="preserve"> i HAS-BLED bila je 1,9, odnosno 1,2. Srednja vr</w:t>
      </w:r>
      <w:r w:rsidR="00C769F8" w:rsidRPr="00314858">
        <w:rPr>
          <w:rFonts w:ascii="Times New Roman" w:hAnsi="Times New Roman" w:cs="Times New Roman"/>
          <w:lang w:val="sr-Latn-ME"/>
        </w:rPr>
        <w:t>ij</w:t>
      </w:r>
      <w:r w:rsidRPr="00314858">
        <w:rPr>
          <w:rFonts w:ascii="Times New Roman" w:hAnsi="Times New Roman" w:cs="Times New Roman"/>
          <w:lang w:val="sr-Latn-ME"/>
        </w:rPr>
        <w:t>ednost vremena praćenja tokom terapije bila je 18,3 m</w:t>
      </w:r>
      <w:r w:rsidR="00C769F8" w:rsidRPr="00314858">
        <w:rPr>
          <w:rFonts w:ascii="Times New Roman" w:hAnsi="Times New Roman" w:cs="Times New Roman"/>
          <w:lang w:val="sr-Latn-ME"/>
        </w:rPr>
        <w:t>j</w:t>
      </w:r>
      <w:r w:rsidRPr="00314858">
        <w:rPr>
          <w:rFonts w:ascii="Times New Roman" w:hAnsi="Times New Roman" w:cs="Times New Roman"/>
          <w:lang w:val="sr-Latn-ME"/>
        </w:rPr>
        <w:t xml:space="preserve">eseci. </w:t>
      </w:r>
      <w:r w:rsidR="009A11B9" w:rsidRPr="00314858">
        <w:rPr>
          <w:rFonts w:ascii="Times New Roman" w:hAnsi="Times New Roman" w:cs="Times New Roman"/>
          <w:lang w:val="sr-Latn-ME"/>
        </w:rPr>
        <w:t>Obilnije</w:t>
      </w:r>
      <w:r w:rsidRPr="00314858">
        <w:rPr>
          <w:rFonts w:ascii="Times New Roman" w:hAnsi="Times New Roman" w:cs="Times New Roman"/>
          <w:lang w:val="sr-Latn-ME"/>
        </w:rPr>
        <w:t xml:space="preserve"> krvarenje javilo se kod 0,97 na 100 pacijent-godina. </w:t>
      </w:r>
      <w:r w:rsidR="009A11B9" w:rsidRPr="00314858">
        <w:rPr>
          <w:rFonts w:ascii="Times New Roman" w:hAnsi="Times New Roman" w:cs="Times New Roman"/>
          <w:lang w:val="sr-Latn-ME"/>
        </w:rPr>
        <w:t>K</w:t>
      </w:r>
      <w:r w:rsidRPr="00314858">
        <w:rPr>
          <w:rFonts w:ascii="Times New Roman" w:hAnsi="Times New Roman" w:cs="Times New Roman"/>
          <w:lang w:val="sr-Latn-ME"/>
        </w:rPr>
        <w:t xml:space="preserve">rvarenje </w:t>
      </w:r>
      <w:r w:rsidR="009A11B9" w:rsidRPr="00314858">
        <w:rPr>
          <w:rFonts w:ascii="Times New Roman" w:hAnsi="Times New Roman" w:cs="Times New Roman"/>
          <w:lang w:val="sr-Latn-ME"/>
        </w:rPr>
        <w:t>opasno po život</w:t>
      </w:r>
      <w:r w:rsidRPr="00314858">
        <w:rPr>
          <w:rFonts w:ascii="Times New Roman" w:hAnsi="Times New Roman" w:cs="Times New Roman"/>
          <w:lang w:val="sr-Latn-ME"/>
        </w:rPr>
        <w:t xml:space="preserve"> je </w:t>
      </w:r>
      <w:r w:rsidR="009A11B9" w:rsidRPr="00314858">
        <w:rPr>
          <w:rFonts w:ascii="Times New Roman" w:hAnsi="Times New Roman" w:cs="Times New Roman"/>
          <w:lang w:val="sr-Latn-ME"/>
        </w:rPr>
        <w:t>prijavljeno</w:t>
      </w:r>
      <w:r w:rsidRPr="00314858">
        <w:rPr>
          <w:rFonts w:ascii="Times New Roman" w:hAnsi="Times New Roman" w:cs="Times New Roman"/>
          <w:lang w:val="sr-Latn-ME"/>
        </w:rPr>
        <w:t xml:space="preserve"> kod 0,46 na</w:t>
      </w:r>
      <w:r w:rsidR="00162450" w:rsidRPr="00314858">
        <w:rPr>
          <w:rFonts w:ascii="Times New Roman" w:hAnsi="Times New Roman" w:cs="Times New Roman"/>
          <w:lang w:val="sr-Latn-ME"/>
        </w:rPr>
        <w:t xml:space="preserve"> </w:t>
      </w:r>
      <w:r w:rsidRPr="00314858">
        <w:rPr>
          <w:rFonts w:ascii="Times New Roman" w:hAnsi="Times New Roman" w:cs="Times New Roman"/>
          <w:lang w:val="sr-Latn-ME"/>
        </w:rPr>
        <w:t>100 pacijent-godina, intrakranijalna hemoragija kod 0,17 na 100 pacijent-godina i gastrointestinalno krvarenje kod 0,60 na 100 pacijent-godina. Moždani udar se javio kod 0,65 na 100 pacijent-godina.</w:t>
      </w:r>
    </w:p>
    <w:p w14:paraId="39A09F82" w14:textId="77777777" w:rsidR="00FC549A" w:rsidRPr="00314858" w:rsidRDefault="00FC549A" w:rsidP="00D67D34">
      <w:pPr>
        <w:spacing w:after="0" w:line="240" w:lineRule="auto"/>
        <w:jc w:val="both"/>
        <w:rPr>
          <w:rFonts w:ascii="Times New Roman" w:hAnsi="Times New Roman" w:cs="Times New Roman"/>
          <w:lang w:val="sr-Latn-ME"/>
        </w:rPr>
      </w:pPr>
    </w:p>
    <w:p w14:paraId="7ECD1162" w14:textId="5937B73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bCs/>
          <w:lang w:val="sr-Latn-ME"/>
        </w:rPr>
        <w:t xml:space="preserve">Pored toga, u neintervencijskoj studiji </w:t>
      </w:r>
      <w:r w:rsidRPr="00314858">
        <w:rPr>
          <w:rFonts w:ascii="Times New Roman" w:hAnsi="Times New Roman" w:cs="Times New Roman"/>
          <w:lang w:val="sr-Latn-ME"/>
        </w:rPr>
        <w:t>[Graham DJ et al., Circulation. 2015;131:157-164] na više od 134000 starijih pacijenata sa NVAF u Sjedinjenim Američkim Državama (što je rezultovalo vremenom praćenja od više od 37500 pacijent-godina tokom terapije), dabigatraneteksilat (84% pacijenata l</w:t>
      </w:r>
      <w:r w:rsidR="00EE27CE" w:rsidRPr="00314858">
        <w:rPr>
          <w:rFonts w:ascii="Times New Roman" w:hAnsi="Times New Roman" w:cs="Times New Roman"/>
          <w:lang w:val="sr-Latn-ME"/>
        </w:rPr>
        <w:t>ij</w:t>
      </w:r>
      <w:r w:rsidRPr="00314858">
        <w:rPr>
          <w:rFonts w:ascii="Times New Roman" w:hAnsi="Times New Roman" w:cs="Times New Roman"/>
          <w:lang w:val="sr-Latn-ME"/>
        </w:rPr>
        <w:t>ečenih dozom od 150 mg dva puta dnevno, 16% pacijenata l</w:t>
      </w:r>
      <w:r w:rsidR="00EE27CE" w:rsidRPr="00314858">
        <w:rPr>
          <w:rFonts w:ascii="Times New Roman" w:hAnsi="Times New Roman" w:cs="Times New Roman"/>
          <w:lang w:val="sr-Latn-ME"/>
        </w:rPr>
        <w:t>ij</w:t>
      </w:r>
      <w:r w:rsidRPr="00314858">
        <w:rPr>
          <w:rFonts w:ascii="Times New Roman" w:hAnsi="Times New Roman" w:cs="Times New Roman"/>
          <w:lang w:val="sr-Latn-ME"/>
        </w:rPr>
        <w:t>ečenih dozom od 75 mg dva puta dnevno) je bio povezan sa smanjenim rizikom od ishemijskog moždanog udara (</w:t>
      </w:r>
      <w:r w:rsidR="009A11B9" w:rsidRPr="00314858">
        <w:rPr>
          <w:rFonts w:ascii="Times New Roman" w:hAnsi="Times New Roman" w:cs="Times New Roman"/>
          <w:i/>
          <w:lang w:val="sr-Latn-ME"/>
        </w:rPr>
        <w:t>hazard ratio</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0,80, 95% interval pouzdanosti [CI] 0,67 – 0,96), intrakranijalnog krvarenja (</w:t>
      </w:r>
      <w:r w:rsidR="009A11B9" w:rsidRPr="00314858">
        <w:rPr>
          <w:rFonts w:ascii="Times New Roman" w:hAnsi="Times New Roman" w:cs="Times New Roman"/>
          <w:i/>
          <w:lang w:val="sr-Latn-ME"/>
        </w:rPr>
        <w:t>hazard ratio</w:t>
      </w:r>
      <w:r w:rsidRPr="00314858">
        <w:rPr>
          <w:rFonts w:ascii="Times New Roman" w:hAnsi="Times New Roman" w:cs="Times New Roman"/>
          <w:lang w:val="sr-Latn-ME"/>
        </w:rPr>
        <w:t> 0,34, CI 0,26 – 0,46) i mortaliteta (</w:t>
      </w:r>
      <w:r w:rsidR="009A11B9" w:rsidRPr="00314858">
        <w:rPr>
          <w:rFonts w:ascii="Times New Roman" w:hAnsi="Times New Roman" w:cs="Times New Roman"/>
          <w:i/>
          <w:lang w:val="sr-Latn-ME"/>
        </w:rPr>
        <w:t>hazard ratio</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0,86, CI 0,77 – 0,96) i sa povećanim rizikom od gastrointestinalnog krvarenja </w:t>
      </w:r>
      <w:r w:rsidRPr="00314858">
        <w:rPr>
          <w:rFonts w:ascii="Times New Roman" w:hAnsi="Times New Roman" w:cs="Times New Roman"/>
          <w:lang w:val="sr-Latn-ME"/>
        </w:rPr>
        <w:lastRenderedPageBreak/>
        <w:t>(</w:t>
      </w:r>
      <w:r w:rsidR="009A11B9" w:rsidRPr="00314858">
        <w:rPr>
          <w:rFonts w:ascii="Times New Roman" w:hAnsi="Times New Roman" w:cs="Times New Roman"/>
          <w:i/>
          <w:lang w:val="sr-Latn-ME"/>
        </w:rPr>
        <w:t>hazard ratio</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1,28, CI 1,14 – 1,44) u poređenju s</w:t>
      </w:r>
      <w:r w:rsidR="009A11B9" w:rsidRPr="00314858">
        <w:rPr>
          <w:rFonts w:ascii="Times New Roman" w:hAnsi="Times New Roman" w:cs="Times New Roman"/>
          <w:lang w:val="sr-Latn-ME"/>
        </w:rPr>
        <w:t>a</w:t>
      </w:r>
      <w:r w:rsidRPr="00314858">
        <w:rPr>
          <w:rFonts w:ascii="Times New Roman" w:hAnsi="Times New Roman" w:cs="Times New Roman"/>
          <w:lang w:val="sr-Latn-ME"/>
        </w:rPr>
        <w:t xml:space="preserve"> varfarinom. Za </w:t>
      </w:r>
      <w:r w:rsidR="009A11B9" w:rsidRPr="00314858">
        <w:rPr>
          <w:rFonts w:ascii="Times New Roman" w:hAnsi="Times New Roman" w:cs="Times New Roman"/>
          <w:lang w:val="sr-Latn-ME"/>
        </w:rPr>
        <w:t>obilnije</w:t>
      </w:r>
      <w:r w:rsidRPr="00314858">
        <w:rPr>
          <w:rFonts w:ascii="Times New Roman" w:hAnsi="Times New Roman" w:cs="Times New Roman"/>
          <w:lang w:val="sr-Latn-ME"/>
        </w:rPr>
        <w:t xml:space="preserve"> krvarenje nije bila pronađena razlika (</w:t>
      </w:r>
      <w:r w:rsidR="009A11B9" w:rsidRPr="00314858">
        <w:rPr>
          <w:rFonts w:ascii="Times New Roman" w:hAnsi="Times New Roman" w:cs="Times New Roman"/>
          <w:i/>
          <w:lang w:val="sr-Latn-ME"/>
        </w:rPr>
        <w:t>hazard ratio</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0,97, CI 0,88 – 1,07).</w:t>
      </w:r>
    </w:p>
    <w:p w14:paraId="36C9C2E9" w14:textId="77777777" w:rsidR="00FC549A" w:rsidRPr="00314858" w:rsidRDefault="00FC549A" w:rsidP="00D67D34">
      <w:pPr>
        <w:spacing w:after="0" w:line="240" w:lineRule="auto"/>
        <w:jc w:val="both"/>
        <w:rPr>
          <w:rFonts w:ascii="Times New Roman" w:hAnsi="Times New Roman" w:cs="Times New Roman"/>
          <w:lang w:val="sr-Latn-ME"/>
        </w:rPr>
      </w:pPr>
    </w:p>
    <w:p w14:paraId="1C20DEAE" w14:textId="3FBD70F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Ova zapažanja u stvarnim uslovima l</w:t>
      </w:r>
      <w:r w:rsidR="00EE27CE" w:rsidRPr="00314858">
        <w:rPr>
          <w:rFonts w:ascii="Times New Roman" w:hAnsi="Times New Roman" w:cs="Times New Roman"/>
          <w:lang w:val="sr-Latn-ME"/>
        </w:rPr>
        <w:t>ij</w:t>
      </w:r>
      <w:r w:rsidRPr="00314858">
        <w:rPr>
          <w:rFonts w:ascii="Times New Roman" w:hAnsi="Times New Roman" w:cs="Times New Roman"/>
          <w:lang w:val="sr-Latn-ME"/>
        </w:rPr>
        <w:t>ečenja su u skladu sa profilom bezb</w:t>
      </w:r>
      <w:r w:rsidR="00EE27CE" w:rsidRPr="00314858">
        <w:rPr>
          <w:rFonts w:ascii="Times New Roman" w:hAnsi="Times New Roman" w:cs="Times New Roman"/>
          <w:lang w:val="sr-Latn-ME"/>
        </w:rPr>
        <w:t>j</w:t>
      </w:r>
      <w:r w:rsidRPr="00314858">
        <w:rPr>
          <w:rFonts w:ascii="Times New Roman" w:hAnsi="Times New Roman" w:cs="Times New Roman"/>
          <w:lang w:val="sr-Latn-ME"/>
        </w:rPr>
        <w:t>ednosti i efikasnosti dabigatraneteksilata ustanovljenom za ovu indikaciju u studiji RE-LY.</w:t>
      </w:r>
    </w:p>
    <w:p w14:paraId="48465774" w14:textId="77777777" w:rsidR="00FC549A" w:rsidRPr="00314858" w:rsidRDefault="00FC549A" w:rsidP="00D67D34">
      <w:pPr>
        <w:spacing w:after="0" w:line="240" w:lineRule="auto"/>
        <w:jc w:val="both"/>
        <w:rPr>
          <w:rFonts w:ascii="Times New Roman" w:hAnsi="Times New Roman" w:cs="Times New Roman"/>
          <w:lang w:val="sr-Latn-ME"/>
        </w:rPr>
      </w:pPr>
    </w:p>
    <w:p w14:paraId="340B7947" w14:textId="4D95D362" w:rsidR="00D67D34" w:rsidRPr="00314858" w:rsidRDefault="00D67D34" w:rsidP="00D67D34">
      <w:pPr>
        <w:spacing w:after="0" w:line="240" w:lineRule="auto"/>
        <w:jc w:val="both"/>
        <w:rPr>
          <w:rFonts w:ascii="Times New Roman" w:hAnsi="Times New Roman" w:cs="Times New Roman"/>
          <w:i/>
          <w:iCs/>
          <w:lang w:val="sr-Latn-ME"/>
        </w:rPr>
      </w:pPr>
      <w:r w:rsidRPr="00314858">
        <w:rPr>
          <w:rFonts w:ascii="Times New Roman" w:hAnsi="Times New Roman" w:cs="Times New Roman"/>
          <w:i/>
          <w:iCs/>
          <w:lang w:val="sr-Latn-ME"/>
        </w:rPr>
        <w:t>Pacijenti koji se povrgavaju kateterskoj ablaciji zbog atrijalne fibrilacije</w:t>
      </w:r>
    </w:p>
    <w:p w14:paraId="07DB3311" w14:textId="77777777" w:rsidR="00FC549A" w:rsidRPr="00314858" w:rsidRDefault="00FC549A" w:rsidP="00D67D34">
      <w:pPr>
        <w:spacing w:after="0" w:line="240" w:lineRule="auto"/>
        <w:jc w:val="both"/>
        <w:rPr>
          <w:rFonts w:ascii="Times New Roman" w:hAnsi="Times New Roman" w:cs="Times New Roman"/>
          <w:i/>
          <w:iCs/>
          <w:lang w:val="sr-Latn-ME"/>
        </w:rPr>
      </w:pPr>
    </w:p>
    <w:p w14:paraId="373857E2" w14:textId="743E7BB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Prospektivna, randomizovana, otvorena, multicentrična, eksplorativna studija sa centralno vođenom </w:t>
      </w:r>
      <w:r w:rsidR="009E7CDC" w:rsidRPr="00314858">
        <w:rPr>
          <w:rFonts w:ascii="Times New Roman" w:hAnsi="Times New Roman" w:cs="Times New Roman"/>
          <w:lang w:val="sr-Latn-ME"/>
        </w:rPr>
        <w:t>pr</w:t>
      </w:r>
      <w:r w:rsidRPr="00314858">
        <w:rPr>
          <w:rFonts w:ascii="Times New Roman" w:hAnsi="Times New Roman" w:cs="Times New Roman"/>
          <w:lang w:val="sr-Latn-ME"/>
        </w:rPr>
        <w:t>oc</w:t>
      </w:r>
      <w:r w:rsidR="00EE27CE" w:rsidRPr="00314858">
        <w:rPr>
          <w:rFonts w:ascii="Times New Roman" w:hAnsi="Times New Roman" w:cs="Times New Roman"/>
          <w:lang w:val="sr-Latn-ME"/>
        </w:rPr>
        <w:t>j</w:t>
      </w:r>
      <w:r w:rsidRPr="00314858">
        <w:rPr>
          <w:rFonts w:ascii="Times New Roman" w:hAnsi="Times New Roman" w:cs="Times New Roman"/>
          <w:lang w:val="sr-Latn-ME"/>
        </w:rPr>
        <w:t>enom ishoda na maskiran način (RE-CIRCUIT) sprovedena je kod</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704 pacijenta koji su bili na stabilno</w:t>
      </w:r>
      <w:r w:rsidR="009E7CDC" w:rsidRPr="00314858">
        <w:rPr>
          <w:rFonts w:ascii="Times New Roman" w:hAnsi="Times New Roman" w:cs="Times New Roman"/>
          <w:lang w:val="sr-Latn-ME"/>
        </w:rPr>
        <w:t>j antikoagulantnoj terapiji</w:t>
      </w:r>
      <w:r w:rsidRPr="00314858">
        <w:rPr>
          <w:rFonts w:ascii="Times New Roman" w:hAnsi="Times New Roman" w:cs="Times New Roman"/>
          <w:lang w:val="sr-Latn-ME"/>
        </w:rPr>
        <w:t xml:space="preserve">. Studija je upoređivala </w:t>
      </w:r>
      <w:r w:rsidR="009E7CDC" w:rsidRPr="00314858">
        <w:rPr>
          <w:rFonts w:ascii="Times New Roman" w:hAnsi="Times New Roman" w:cs="Times New Roman"/>
          <w:lang w:val="sr-Latn-ME"/>
        </w:rPr>
        <w:t>neprekidnu prim</w:t>
      </w:r>
      <w:r w:rsidR="00EE27CE" w:rsidRPr="00314858">
        <w:rPr>
          <w:rFonts w:ascii="Times New Roman" w:hAnsi="Times New Roman" w:cs="Times New Roman"/>
          <w:lang w:val="sr-Latn-ME"/>
        </w:rPr>
        <w:t>j</w:t>
      </w:r>
      <w:r w:rsidR="009E7CDC" w:rsidRPr="00314858">
        <w:rPr>
          <w:rFonts w:ascii="Times New Roman" w:hAnsi="Times New Roman" w:cs="Times New Roman"/>
          <w:lang w:val="sr-Latn-ME"/>
        </w:rPr>
        <w:t>enu terapije</w:t>
      </w:r>
      <w:r w:rsidRPr="00314858">
        <w:rPr>
          <w:rFonts w:ascii="Times New Roman" w:hAnsi="Times New Roman" w:cs="Times New Roman"/>
          <w:lang w:val="sr-Latn-ME"/>
        </w:rPr>
        <w:t xml:space="preserve"> dabigatraneteksilat</w:t>
      </w:r>
      <w:r w:rsidR="009E7CDC" w:rsidRPr="00314858">
        <w:rPr>
          <w:rFonts w:ascii="Times New Roman" w:hAnsi="Times New Roman" w:cs="Times New Roman"/>
          <w:lang w:val="sr-Latn-ME"/>
        </w:rPr>
        <w:t>a</w:t>
      </w:r>
      <w:r w:rsidRPr="00314858">
        <w:rPr>
          <w:rFonts w:ascii="Times New Roman" w:hAnsi="Times New Roman" w:cs="Times New Roman"/>
          <w:lang w:val="sr-Latn-ME"/>
        </w:rPr>
        <w:t xml:space="preserve"> 150 mg dva puta dnevno sa nepreki</w:t>
      </w:r>
      <w:r w:rsidR="009E7CDC" w:rsidRPr="00314858">
        <w:rPr>
          <w:rFonts w:ascii="Times New Roman" w:hAnsi="Times New Roman" w:cs="Times New Roman"/>
          <w:lang w:val="sr-Latn-ME"/>
        </w:rPr>
        <w:t>dnom prim</w:t>
      </w:r>
      <w:r w:rsidR="00EE27CE" w:rsidRPr="00314858">
        <w:rPr>
          <w:rFonts w:ascii="Times New Roman" w:hAnsi="Times New Roman" w:cs="Times New Roman"/>
          <w:lang w:val="sr-Latn-ME"/>
        </w:rPr>
        <w:t>j</w:t>
      </w:r>
      <w:r w:rsidR="009E7CDC" w:rsidRPr="00314858">
        <w:rPr>
          <w:rFonts w:ascii="Times New Roman" w:hAnsi="Times New Roman" w:cs="Times New Roman"/>
          <w:lang w:val="sr-Latn-ME"/>
        </w:rPr>
        <w:t>enom terapije</w:t>
      </w:r>
      <w:r w:rsidRPr="00314858">
        <w:rPr>
          <w:rFonts w:ascii="Times New Roman" w:hAnsi="Times New Roman" w:cs="Times New Roman"/>
          <w:lang w:val="sr-Latn-ME"/>
        </w:rPr>
        <w:t xml:space="preserve"> varfarin</w:t>
      </w:r>
      <w:r w:rsidR="009E7CDC" w:rsidRPr="00314858">
        <w:rPr>
          <w:rFonts w:ascii="Times New Roman" w:hAnsi="Times New Roman" w:cs="Times New Roman"/>
          <w:lang w:val="sr-Latn-ME"/>
        </w:rPr>
        <w:t>a</w:t>
      </w:r>
      <w:r w:rsidR="006D0472" w:rsidRPr="00314858">
        <w:rPr>
          <w:rFonts w:ascii="Times New Roman" w:hAnsi="Times New Roman" w:cs="Times New Roman"/>
          <w:lang w:val="sr-Latn-ME"/>
        </w:rPr>
        <w:t xml:space="preserve"> </w:t>
      </w:r>
      <w:r w:rsidR="009E7CDC" w:rsidRPr="00314858">
        <w:rPr>
          <w:rFonts w:ascii="Times New Roman" w:hAnsi="Times New Roman" w:cs="Times New Roman"/>
          <w:lang w:val="sr-Latn-ME"/>
        </w:rPr>
        <w:t>uz</w:t>
      </w:r>
      <w:r w:rsidR="006D0472"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prilagođeni INR </w:t>
      </w:r>
      <w:r w:rsidR="009E7CDC" w:rsidRPr="00314858">
        <w:rPr>
          <w:rFonts w:ascii="Times New Roman" w:hAnsi="Times New Roman" w:cs="Times New Roman"/>
          <w:lang w:val="sr-Latn-ME"/>
        </w:rPr>
        <w:t>kod</w:t>
      </w:r>
      <w:r w:rsidRPr="00314858">
        <w:rPr>
          <w:rFonts w:ascii="Times New Roman" w:hAnsi="Times New Roman" w:cs="Times New Roman"/>
          <w:lang w:val="sr-Latn-ME"/>
        </w:rPr>
        <w:t xml:space="preserve"> katetersk</w:t>
      </w:r>
      <w:r w:rsidR="009E7CDC" w:rsidRPr="00314858">
        <w:rPr>
          <w:rFonts w:ascii="Times New Roman" w:hAnsi="Times New Roman" w:cs="Times New Roman"/>
          <w:lang w:val="sr-Latn-ME"/>
        </w:rPr>
        <w:t>e</w:t>
      </w:r>
      <w:r w:rsidRPr="00314858">
        <w:rPr>
          <w:rFonts w:ascii="Times New Roman" w:hAnsi="Times New Roman" w:cs="Times New Roman"/>
          <w:lang w:val="sr-Latn-ME"/>
        </w:rPr>
        <w:t xml:space="preserve"> ablacij</w:t>
      </w:r>
      <w:r w:rsidR="009E7CDC" w:rsidRPr="00314858">
        <w:rPr>
          <w:rFonts w:ascii="Times New Roman" w:hAnsi="Times New Roman" w:cs="Times New Roman"/>
          <w:lang w:val="sr-Latn-ME"/>
        </w:rPr>
        <w:t>e</w:t>
      </w:r>
      <w:r w:rsidRPr="00314858">
        <w:rPr>
          <w:rFonts w:ascii="Times New Roman" w:hAnsi="Times New Roman" w:cs="Times New Roman"/>
          <w:lang w:val="sr-Latn-ME"/>
        </w:rPr>
        <w:t xml:space="preserve"> paroksizmalne ili perzistentne atrijalne fibrilacije. Od 704 uključenih pacijenata, 317 bilo je podvrgnuto ablaciji kod atrijalne fibrilacije </w:t>
      </w:r>
      <w:r w:rsidR="009E7CDC" w:rsidRPr="00314858">
        <w:rPr>
          <w:rFonts w:ascii="Times New Roman" w:hAnsi="Times New Roman" w:cs="Times New Roman"/>
          <w:lang w:val="sr-Latn-ME"/>
        </w:rPr>
        <w:t>sa neprekidnom prim</w:t>
      </w:r>
      <w:r w:rsidR="00EE27CE" w:rsidRPr="00314858">
        <w:rPr>
          <w:rFonts w:ascii="Times New Roman" w:hAnsi="Times New Roman" w:cs="Times New Roman"/>
          <w:lang w:val="sr-Latn-ME"/>
        </w:rPr>
        <w:t>j</w:t>
      </w:r>
      <w:r w:rsidR="009E7CDC" w:rsidRPr="00314858">
        <w:rPr>
          <w:rFonts w:ascii="Times New Roman" w:hAnsi="Times New Roman" w:cs="Times New Roman"/>
          <w:lang w:val="sr-Latn-ME"/>
        </w:rPr>
        <w:t>enom dabigatrana</w:t>
      </w:r>
      <w:r w:rsidRPr="00314858">
        <w:rPr>
          <w:rFonts w:ascii="Times New Roman" w:hAnsi="Times New Roman" w:cs="Times New Roman"/>
          <w:lang w:val="sr-Latn-ME"/>
        </w:rPr>
        <w:t xml:space="preserve">, a 318 bilo je podvrgnuto ablaciji atrijalne fibrilacije </w:t>
      </w:r>
      <w:r w:rsidR="009E7CDC" w:rsidRPr="00314858">
        <w:rPr>
          <w:rFonts w:ascii="Times New Roman" w:hAnsi="Times New Roman" w:cs="Times New Roman"/>
          <w:lang w:val="sr-Latn-ME"/>
        </w:rPr>
        <w:t>sa neprekidnom prim</w:t>
      </w:r>
      <w:r w:rsidR="00EE27CE" w:rsidRPr="00314858">
        <w:rPr>
          <w:rFonts w:ascii="Times New Roman" w:hAnsi="Times New Roman" w:cs="Times New Roman"/>
          <w:lang w:val="sr-Latn-ME"/>
        </w:rPr>
        <w:t>j</w:t>
      </w:r>
      <w:r w:rsidR="009E7CDC" w:rsidRPr="00314858">
        <w:rPr>
          <w:rFonts w:ascii="Times New Roman" w:hAnsi="Times New Roman" w:cs="Times New Roman"/>
          <w:lang w:val="sr-Latn-ME"/>
        </w:rPr>
        <w:t>enom varfarina</w:t>
      </w:r>
      <w:r w:rsidRPr="00314858">
        <w:rPr>
          <w:rFonts w:ascii="Times New Roman" w:hAnsi="Times New Roman" w:cs="Times New Roman"/>
          <w:lang w:val="sr-Latn-ME"/>
        </w:rPr>
        <w:t xml:space="preserve">. Svi pacijenti </w:t>
      </w:r>
      <w:r w:rsidR="009E7CDC" w:rsidRPr="00314858">
        <w:rPr>
          <w:rFonts w:ascii="Times New Roman" w:hAnsi="Times New Roman" w:cs="Times New Roman"/>
          <w:lang w:val="sr-Latn-ME"/>
        </w:rPr>
        <w:t xml:space="preserve">su </w:t>
      </w:r>
      <w:r w:rsidRPr="00314858">
        <w:rPr>
          <w:rFonts w:ascii="Times New Roman" w:hAnsi="Times New Roman" w:cs="Times New Roman"/>
          <w:lang w:val="sr-Latn-ME"/>
        </w:rPr>
        <w:t>pr</w:t>
      </w:r>
      <w:r w:rsidR="009D53D6" w:rsidRPr="00314858">
        <w:rPr>
          <w:rFonts w:ascii="Times New Roman" w:hAnsi="Times New Roman" w:cs="Times New Roman"/>
          <w:lang w:val="sr-Latn-ME"/>
        </w:rPr>
        <w:t>ij</w:t>
      </w:r>
      <w:r w:rsidRPr="00314858">
        <w:rPr>
          <w:rFonts w:ascii="Times New Roman" w:hAnsi="Times New Roman" w:cs="Times New Roman"/>
          <w:lang w:val="sr-Latn-ME"/>
        </w:rPr>
        <w:t>e kateterske ablacije bili podvrgnuti transezofagealnoj ehokardiografiji (TEE). Primarni ishod (pojav</w:t>
      </w:r>
      <w:r w:rsidR="006D0472" w:rsidRPr="00314858">
        <w:rPr>
          <w:rFonts w:ascii="Times New Roman" w:hAnsi="Times New Roman" w:cs="Times New Roman"/>
          <w:lang w:val="sr-Latn-ME"/>
        </w:rPr>
        <w:t>a</w:t>
      </w:r>
      <w:r w:rsidRPr="00314858">
        <w:rPr>
          <w:rFonts w:ascii="Times New Roman" w:hAnsi="Times New Roman" w:cs="Times New Roman"/>
          <w:lang w:val="sr-Latn-ME"/>
        </w:rPr>
        <w:t xml:space="preserve"> </w:t>
      </w:r>
      <w:r w:rsidR="009E7CDC" w:rsidRPr="00314858">
        <w:rPr>
          <w:rFonts w:ascii="Times New Roman" w:hAnsi="Times New Roman" w:cs="Times New Roman"/>
          <w:lang w:val="sr-Latn-ME"/>
        </w:rPr>
        <w:t>obilnih</w:t>
      </w:r>
      <w:r w:rsidRPr="00314858">
        <w:rPr>
          <w:rFonts w:ascii="Times New Roman" w:hAnsi="Times New Roman" w:cs="Times New Roman"/>
          <w:lang w:val="sr-Latn-ME"/>
        </w:rPr>
        <w:t xml:space="preserve"> krvarenja prema kriterijumima ISTH) javio se kod 5 (1,6%) pacijenata u grupi koja je primala dabigatraneteksilat i kod 22 (6,9%) pacijenta u grupi koja je primala varfarin (razlika rizika -5,3%; 95% CI -8,4, -2,2; P = 0,0009). U grupi koja je primala dabigatraneteksilat nije bilo događaja moždanog udara/sistemske embolije/TIA (kompozitni ishod), a u grupi koja je primala varfarin bio je jedan događaj (TIA) od trenutka ablacije do 8 ned</w:t>
      </w:r>
      <w:r w:rsidR="00EE27CE" w:rsidRPr="00314858">
        <w:rPr>
          <w:rFonts w:ascii="Times New Roman" w:hAnsi="Times New Roman" w:cs="Times New Roman"/>
          <w:lang w:val="sr-Latn-ME"/>
        </w:rPr>
        <w:t>j</w:t>
      </w:r>
      <w:r w:rsidRPr="00314858">
        <w:rPr>
          <w:rFonts w:ascii="Times New Roman" w:hAnsi="Times New Roman" w:cs="Times New Roman"/>
          <w:lang w:val="sr-Latn-ME"/>
        </w:rPr>
        <w:t xml:space="preserve">elja nakon ablacije. Ova eksplorativna studija je pokazala da je dabigatraneteksilat bio povezan sa značajnim smanjenjem stope događaja </w:t>
      </w:r>
      <w:r w:rsidR="009E7CDC" w:rsidRPr="00314858">
        <w:rPr>
          <w:rFonts w:ascii="Times New Roman" w:hAnsi="Times New Roman" w:cs="Times New Roman"/>
          <w:lang w:val="sr-Latn-ME"/>
        </w:rPr>
        <w:t>obilnih</w:t>
      </w:r>
      <w:r w:rsidRPr="00314858">
        <w:rPr>
          <w:rFonts w:ascii="Times New Roman" w:hAnsi="Times New Roman" w:cs="Times New Roman"/>
          <w:lang w:val="sr-Latn-ME"/>
        </w:rPr>
        <w:t xml:space="preserve"> krvarenja kod ablacije u poređenju </w:t>
      </w:r>
      <w:r w:rsidR="006D0472" w:rsidRPr="00314858">
        <w:rPr>
          <w:rFonts w:ascii="Times New Roman" w:hAnsi="Times New Roman" w:cs="Times New Roman"/>
          <w:lang w:val="sr-Latn-ME"/>
        </w:rPr>
        <w:t>varfarinom</w:t>
      </w:r>
      <w:r w:rsidR="009E7CDC" w:rsidRPr="00314858">
        <w:rPr>
          <w:rFonts w:ascii="Times New Roman" w:hAnsi="Times New Roman" w:cs="Times New Roman"/>
          <w:lang w:val="sr-Latn-ME"/>
        </w:rPr>
        <w:t xml:space="preserve"> uz prilagođeni INR</w:t>
      </w:r>
      <w:r w:rsidRPr="00314858">
        <w:rPr>
          <w:rFonts w:ascii="Times New Roman" w:hAnsi="Times New Roman" w:cs="Times New Roman"/>
          <w:lang w:val="sr-Latn-ME"/>
        </w:rPr>
        <w:t>.</w:t>
      </w:r>
    </w:p>
    <w:p w14:paraId="40A07CC5" w14:textId="77777777" w:rsidR="00FC549A" w:rsidRPr="00314858" w:rsidRDefault="00FC549A" w:rsidP="00D67D34">
      <w:pPr>
        <w:spacing w:after="0" w:line="240" w:lineRule="auto"/>
        <w:jc w:val="both"/>
        <w:rPr>
          <w:rFonts w:ascii="Times New Roman" w:hAnsi="Times New Roman" w:cs="Times New Roman"/>
          <w:lang w:val="sr-Latn-ME"/>
        </w:rPr>
      </w:pPr>
    </w:p>
    <w:p w14:paraId="079050B2" w14:textId="75E909F0" w:rsidR="00D67D34" w:rsidRPr="00314858" w:rsidRDefault="00D67D34" w:rsidP="00D67D34">
      <w:pPr>
        <w:spacing w:after="0" w:line="240" w:lineRule="auto"/>
        <w:jc w:val="both"/>
        <w:rPr>
          <w:rFonts w:ascii="Times New Roman" w:hAnsi="Times New Roman" w:cs="Times New Roman"/>
          <w:i/>
          <w:iCs/>
          <w:lang w:val="sr-Latn-ME" w:bidi="en-US"/>
        </w:rPr>
      </w:pPr>
      <w:r w:rsidRPr="00314858">
        <w:rPr>
          <w:rFonts w:ascii="Times New Roman" w:hAnsi="Times New Roman" w:cs="Times New Roman"/>
          <w:i/>
          <w:iCs/>
          <w:lang w:val="sr-Latn-ME" w:bidi="en-US"/>
        </w:rPr>
        <w:t>Pacijenti koji se podvrgavaju perkutanoj koronarnoj intervenciji (</w:t>
      </w:r>
      <w:r w:rsidR="0008684D" w:rsidRPr="00314858">
        <w:rPr>
          <w:rFonts w:ascii="Times New Roman" w:hAnsi="Times New Roman" w:cs="Times New Roman"/>
          <w:i/>
          <w:iCs/>
          <w:lang w:val="sr-Latn-ME" w:bidi="en-US"/>
        </w:rPr>
        <w:t xml:space="preserve">engl. percutaneous coronary intervention, </w:t>
      </w:r>
      <w:r w:rsidRPr="00314858">
        <w:rPr>
          <w:rFonts w:ascii="Times New Roman" w:hAnsi="Times New Roman" w:cs="Times New Roman"/>
          <w:i/>
          <w:iCs/>
          <w:lang w:val="sr-Latn-ME" w:bidi="en-US"/>
        </w:rPr>
        <w:t>PCI) sa ugradnjom stenta</w:t>
      </w:r>
    </w:p>
    <w:p w14:paraId="46747D1A" w14:textId="77777777" w:rsidR="00D67D34" w:rsidRPr="00314858" w:rsidRDefault="00D67D34" w:rsidP="00D67D34">
      <w:pPr>
        <w:spacing w:after="0" w:line="240" w:lineRule="auto"/>
        <w:jc w:val="both"/>
        <w:rPr>
          <w:rFonts w:ascii="Times New Roman" w:hAnsi="Times New Roman" w:cs="Times New Roman"/>
          <w:lang w:val="sr-Latn-ME" w:bidi="en-US"/>
        </w:rPr>
      </w:pPr>
    </w:p>
    <w:p w14:paraId="7DF03060" w14:textId="2A259F33"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bCs/>
          <w:lang w:val="sr-Latn-ME"/>
        </w:rPr>
        <w:t>Prospektivna, randomizovana, otvorena studija (faze IIIb) sa maskiranim ishodom (PROBE) za proc</w:t>
      </w:r>
      <w:r w:rsidR="00EE27CE" w:rsidRPr="00314858">
        <w:rPr>
          <w:rFonts w:ascii="Times New Roman" w:hAnsi="Times New Roman" w:cs="Times New Roman"/>
          <w:bCs/>
          <w:lang w:val="sr-Latn-ME"/>
        </w:rPr>
        <w:t>j</w:t>
      </w:r>
      <w:r w:rsidRPr="00314858">
        <w:rPr>
          <w:rFonts w:ascii="Times New Roman" w:hAnsi="Times New Roman" w:cs="Times New Roman"/>
          <w:bCs/>
          <w:lang w:val="sr-Latn-ME"/>
        </w:rPr>
        <w:t xml:space="preserve">enu dvojne terapije dabigatraneteksilatom (110 mg ili 150 mg dva puta dnevno) plus klopidogrel ili tikagrelor (antagonisti receptora P2Y12) naspram trojne terapije varfarinom (uz prilagođeni INR 2,0 </w:t>
      </w:r>
      <w:r w:rsidRPr="00314858">
        <w:rPr>
          <w:rFonts w:ascii="Times New Roman" w:hAnsi="Times New Roman" w:cs="Times New Roman"/>
          <w:lang w:val="sr-Latn-ME"/>
        </w:rPr>
        <w:t xml:space="preserve">– 3,0) plus klopidogrel ili tikagrelor i </w:t>
      </w:r>
      <w:r w:rsidR="0008684D" w:rsidRPr="00314858">
        <w:rPr>
          <w:rFonts w:ascii="Times New Roman" w:hAnsi="Times New Roman" w:cs="Times New Roman"/>
          <w:lang w:val="sr-Latn-ME"/>
        </w:rPr>
        <w:t>ASK</w:t>
      </w:r>
      <w:r w:rsidRPr="00314858">
        <w:rPr>
          <w:rFonts w:ascii="Times New Roman" w:hAnsi="Times New Roman" w:cs="Times New Roman"/>
          <w:lang w:val="sr-Latn-ME"/>
        </w:rPr>
        <w:t>, bila je sprovedena kod 2725 pacijenata sa nevalvularnom atrijalnom fibrilacijom koji su bili podvrgnuti zahvatu PCI sa ugradnjom stenta (RE</w:t>
      </w:r>
      <w:r w:rsidRPr="00314858">
        <w:rPr>
          <w:rFonts w:ascii="Times New Roman" w:hAnsi="Times New Roman" w:cs="Times New Roman"/>
          <w:lang w:val="sr-Latn-ME"/>
        </w:rPr>
        <w:noBreakHyphen/>
        <w:t xml:space="preserve">DUAL PCI). Pacijenti su bili randominizovani u grupu koja je primala dvojnu terapiju dabigatraneteksilatom 110 mg dva puta dnevno, grupu koja je primala dvojnu terapiju dabigatraneteksilatom 150 mg dva puta dnevno ili grupu koja je primala trojnu terapiju varfarinom. Stariji pacijenti izvan Sjedinjenih Američkih Država (≥80 godina </w:t>
      </w:r>
      <w:r w:rsidR="0008684D" w:rsidRPr="00314858">
        <w:rPr>
          <w:rFonts w:ascii="Times New Roman" w:hAnsi="Times New Roman" w:cs="Times New Roman"/>
          <w:lang w:val="sr-Latn-ME"/>
        </w:rPr>
        <w:t xml:space="preserve">starosti </w:t>
      </w:r>
      <w:r w:rsidRPr="00314858">
        <w:rPr>
          <w:rFonts w:ascii="Times New Roman" w:hAnsi="Times New Roman" w:cs="Times New Roman"/>
          <w:lang w:val="sr-Latn-ME"/>
        </w:rPr>
        <w:t xml:space="preserve">u svim državama, ≥70 godina </w:t>
      </w:r>
      <w:r w:rsidR="0008684D" w:rsidRPr="00314858">
        <w:rPr>
          <w:rFonts w:ascii="Times New Roman" w:hAnsi="Times New Roman" w:cs="Times New Roman"/>
          <w:lang w:val="sr-Latn-ME"/>
        </w:rPr>
        <w:t xml:space="preserve">starosti </w:t>
      </w:r>
      <w:r w:rsidRPr="00314858">
        <w:rPr>
          <w:rFonts w:ascii="Times New Roman" w:hAnsi="Times New Roman" w:cs="Times New Roman"/>
          <w:lang w:val="sr-Latn-ME"/>
        </w:rPr>
        <w:t>za Japan) nasumično su bili dod</w:t>
      </w:r>
      <w:r w:rsidR="00EE27CE" w:rsidRPr="00314858">
        <w:rPr>
          <w:rFonts w:ascii="Times New Roman" w:hAnsi="Times New Roman" w:cs="Times New Roman"/>
          <w:lang w:val="sr-Latn-ME"/>
        </w:rPr>
        <w:t>ij</w:t>
      </w:r>
      <w:r w:rsidRPr="00314858">
        <w:rPr>
          <w:rFonts w:ascii="Times New Roman" w:hAnsi="Times New Roman" w:cs="Times New Roman"/>
          <w:lang w:val="sr-Latn-ME"/>
        </w:rPr>
        <w:t>eljeni u grupu koja je primala dvojnu terapiju dabigatraneteksilatom 110 mg ili grupu koja je primala trojnu terapiju sa varfarinom. Primarni ishod je bio kombinovan i uključivao je</w:t>
      </w:r>
      <w:r w:rsidR="0008684D" w:rsidRPr="00314858">
        <w:rPr>
          <w:rFonts w:ascii="Times New Roman" w:hAnsi="Times New Roman" w:cs="Times New Roman"/>
          <w:lang w:val="sr-Latn-ME"/>
        </w:rPr>
        <w:t xml:space="preserve"> obilnija</w:t>
      </w:r>
      <w:r w:rsidRPr="00314858">
        <w:rPr>
          <w:rFonts w:ascii="Times New Roman" w:hAnsi="Times New Roman" w:cs="Times New Roman"/>
          <w:lang w:val="sr-Latn-ME"/>
        </w:rPr>
        <w:t xml:space="preserve"> krvarenja na osnovu definicije ISTH ili klinički značajan događaj krvarenja</w:t>
      </w:r>
      <w:r w:rsidR="0008684D" w:rsidRPr="00314858">
        <w:rPr>
          <w:rFonts w:ascii="Times New Roman" w:hAnsi="Times New Roman" w:cs="Times New Roman"/>
          <w:lang w:val="sr-Latn-ME"/>
        </w:rPr>
        <w:t xml:space="preserve"> koje nije bilo obilnije</w:t>
      </w:r>
      <w:r w:rsidRPr="00314858">
        <w:rPr>
          <w:rFonts w:ascii="Times New Roman" w:hAnsi="Times New Roman" w:cs="Times New Roman"/>
          <w:lang w:val="sr-Latn-ME"/>
        </w:rPr>
        <w:t>.</w:t>
      </w:r>
    </w:p>
    <w:p w14:paraId="0161C3DF" w14:textId="77777777" w:rsidR="00FC549A" w:rsidRPr="00314858" w:rsidRDefault="00FC549A" w:rsidP="00D67D34">
      <w:pPr>
        <w:spacing w:after="0" w:line="240" w:lineRule="auto"/>
        <w:jc w:val="both"/>
        <w:rPr>
          <w:rFonts w:ascii="Times New Roman" w:hAnsi="Times New Roman" w:cs="Times New Roman"/>
          <w:lang w:val="sr-Latn-ME"/>
        </w:rPr>
      </w:pPr>
    </w:p>
    <w:p w14:paraId="027CBC3A" w14:textId="639485D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bCs/>
          <w:lang w:val="sr-Latn-ME"/>
        </w:rPr>
        <w:t xml:space="preserve">Incidenca primarnog ishoda bila je 15,4% (151 pacijent) u dvojno-terapijskoj grupi sa dabigatraneteksilatom 110 mg u poređenju sa 26,9% (264 pacijenta) u trojno-terapijskoj grupi sa varfarinom (HR 0,52; 95% CI 0,42; 0,63; P&lt;0,0001 za neinferiornost i P&lt;0,0001 za superiornost) i 20,2% (154 pacijenta) u dvojno-terapijskoj grupi sa dabigatraneteksilatom 150 mg u poređenju sa 25,7% (196 pacijenta) u odgovarajućoj trojno-terapijskoj grupi sa varfarinom (HR 0,72; 95% CI 0,58; 0,88; P&lt;0,0001 za neinferiornost i P=0,002 za superiornost). U </w:t>
      </w:r>
      <w:r w:rsidR="00F3104E" w:rsidRPr="00314858">
        <w:rPr>
          <w:rFonts w:ascii="Times New Roman" w:hAnsi="Times New Roman" w:cs="Times New Roman"/>
          <w:bCs/>
          <w:lang w:val="sr-Latn-ME"/>
        </w:rPr>
        <w:t>deskriptivnom delu</w:t>
      </w:r>
      <w:r w:rsidRPr="00314858">
        <w:rPr>
          <w:rFonts w:ascii="Times New Roman" w:hAnsi="Times New Roman" w:cs="Times New Roman"/>
          <w:bCs/>
          <w:lang w:val="sr-Latn-ME"/>
        </w:rPr>
        <w:t xml:space="preserve"> analize, tromboliza u infarktu miokarda (eng</w:t>
      </w:r>
      <w:r w:rsidR="00F3104E" w:rsidRPr="00314858">
        <w:rPr>
          <w:rFonts w:ascii="Times New Roman" w:hAnsi="Times New Roman" w:cs="Times New Roman"/>
          <w:bCs/>
          <w:lang w:val="sr-Latn-ME"/>
        </w:rPr>
        <w:t>l</w:t>
      </w:r>
      <w:r w:rsidRPr="00314858">
        <w:rPr>
          <w:rFonts w:ascii="Times New Roman" w:hAnsi="Times New Roman" w:cs="Times New Roman"/>
          <w:bCs/>
          <w:lang w:val="sr-Latn-ME"/>
        </w:rPr>
        <w:t xml:space="preserve">. </w:t>
      </w:r>
      <w:r w:rsidRPr="00314858">
        <w:rPr>
          <w:rFonts w:ascii="Times New Roman" w:hAnsi="Times New Roman" w:cs="Times New Roman"/>
          <w:bCs/>
          <w:i/>
          <w:iCs/>
          <w:lang w:val="sr-Latn-ME"/>
        </w:rPr>
        <w:t>Thrombolysis in Myocardial Infarction</w:t>
      </w:r>
      <w:r w:rsidRPr="00314858">
        <w:rPr>
          <w:rFonts w:ascii="Times New Roman" w:hAnsi="Times New Roman" w:cs="Times New Roman"/>
          <w:bCs/>
          <w:lang w:val="sr-Latn-ME"/>
        </w:rPr>
        <w:t xml:space="preserve">, TIMI) kod događaja </w:t>
      </w:r>
      <w:r w:rsidR="00F3104E" w:rsidRPr="00314858">
        <w:rPr>
          <w:rFonts w:ascii="Times New Roman" w:hAnsi="Times New Roman" w:cs="Times New Roman"/>
          <w:bCs/>
          <w:lang w:val="sr-Latn-ME"/>
        </w:rPr>
        <w:t>obilnijeg</w:t>
      </w:r>
      <w:r w:rsidRPr="00314858">
        <w:rPr>
          <w:rFonts w:ascii="Times New Roman" w:hAnsi="Times New Roman" w:cs="Times New Roman"/>
          <w:bCs/>
          <w:lang w:val="sr-Latn-ME"/>
        </w:rPr>
        <w:t xml:space="preserve"> krvarenja je bila </w:t>
      </w:r>
      <w:r w:rsidR="00F3104E" w:rsidRPr="00314858">
        <w:rPr>
          <w:rFonts w:ascii="Times New Roman" w:hAnsi="Times New Roman" w:cs="Times New Roman"/>
          <w:bCs/>
          <w:lang w:val="sr-Latn-ME"/>
        </w:rPr>
        <w:t>manja</w:t>
      </w:r>
      <w:r w:rsidR="00ED227D" w:rsidRPr="00314858">
        <w:rPr>
          <w:rFonts w:ascii="Times New Roman" w:hAnsi="Times New Roman" w:cs="Times New Roman"/>
          <w:bCs/>
          <w:lang w:val="sr-Latn-ME"/>
        </w:rPr>
        <w:t xml:space="preserve"> </w:t>
      </w:r>
      <w:r w:rsidRPr="00314858">
        <w:rPr>
          <w:rFonts w:ascii="Times New Roman" w:hAnsi="Times New Roman" w:cs="Times New Roman"/>
          <w:bCs/>
          <w:lang w:val="sr-Latn-ME"/>
        </w:rPr>
        <w:t>u obe dvojno-terapijske grupe sa dabigatraneteksilatom nego u trojno-terapijskoj grupi sa varfarinom: 14 događaja (1,4%) u dvojno-terapijskoj grupi sa dabigatraneteksilatom 110 mg u poređenju sa 37 događaja (3,8%) u trojno-terapijskoj grupi sa varfarinom (HR 0,37; 95% CI 0,20</w:t>
      </w:r>
      <w:r w:rsidR="00F3104E" w:rsidRPr="00314858">
        <w:rPr>
          <w:rFonts w:ascii="Times New Roman" w:hAnsi="Times New Roman" w:cs="Times New Roman"/>
          <w:bCs/>
          <w:lang w:val="sr-Latn-ME"/>
        </w:rPr>
        <w:t>;</w:t>
      </w:r>
      <w:r w:rsidRPr="00314858">
        <w:rPr>
          <w:rFonts w:ascii="Times New Roman" w:hAnsi="Times New Roman" w:cs="Times New Roman"/>
          <w:bCs/>
          <w:lang w:val="sr-Latn-ME"/>
        </w:rPr>
        <w:t xml:space="preserve"> 0,68; P=0,002) i 16 događaja (2,1%) u dvojno-terapijskoj grupi sa dabigatraneteksilatom 150 mg u poređenju sa 30 događaja (3,9%) u odgovarajućoj trojno-terapijskoj grupi sa varfarinom (HR 0,51; 95% CI 0,28; 0,93; P=0,03). Ob</w:t>
      </w:r>
      <w:r w:rsidR="00EE27CE" w:rsidRPr="00314858">
        <w:rPr>
          <w:rFonts w:ascii="Times New Roman" w:hAnsi="Times New Roman" w:cs="Times New Roman"/>
          <w:bCs/>
          <w:lang w:val="sr-Latn-ME"/>
        </w:rPr>
        <w:t>j</w:t>
      </w:r>
      <w:r w:rsidRPr="00314858">
        <w:rPr>
          <w:rFonts w:ascii="Times New Roman" w:hAnsi="Times New Roman" w:cs="Times New Roman"/>
          <w:bCs/>
          <w:lang w:val="sr-Latn-ME"/>
        </w:rPr>
        <w:t>e dvojno-terapijske grupe sa</w:t>
      </w:r>
      <w:r w:rsidR="00ED227D" w:rsidRPr="00314858">
        <w:rPr>
          <w:rFonts w:ascii="Times New Roman" w:hAnsi="Times New Roman" w:cs="Times New Roman"/>
          <w:bCs/>
          <w:lang w:val="sr-Latn-ME"/>
        </w:rPr>
        <w:t xml:space="preserve"> </w:t>
      </w:r>
      <w:r w:rsidRPr="00314858">
        <w:rPr>
          <w:rFonts w:ascii="Times New Roman" w:hAnsi="Times New Roman" w:cs="Times New Roman"/>
          <w:bCs/>
          <w:lang w:val="sr-Latn-ME"/>
        </w:rPr>
        <w:t xml:space="preserve">dabigatraneteksilatom imale su </w:t>
      </w:r>
      <w:r w:rsidR="00F3104E" w:rsidRPr="00314858">
        <w:rPr>
          <w:rFonts w:ascii="Times New Roman" w:hAnsi="Times New Roman" w:cs="Times New Roman"/>
          <w:bCs/>
          <w:lang w:val="sr-Latn-ME"/>
        </w:rPr>
        <w:t>manje</w:t>
      </w:r>
      <w:r w:rsidRPr="00314858">
        <w:rPr>
          <w:rFonts w:ascii="Times New Roman" w:hAnsi="Times New Roman" w:cs="Times New Roman"/>
          <w:bCs/>
          <w:lang w:val="sr-Latn-ME"/>
        </w:rPr>
        <w:t xml:space="preserve"> stope intrakranijalne hemoragije od odgovarajuće trojno-terapijske grupe sa varfarinom: 3 događaja (0,3%) u dvojno-terapijskoj grupi sa dabigatraneteksilatom 110 mg u poređenju s</w:t>
      </w:r>
      <w:r w:rsidR="00F3104E" w:rsidRPr="00314858">
        <w:rPr>
          <w:rFonts w:ascii="Times New Roman" w:hAnsi="Times New Roman" w:cs="Times New Roman"/>
          <w:bCs/>
          <w:lang w:val="sr-Latn-ME"/>
        </w:rPr>
        <w:t>a</w:t>
      </w:r>
      <w:r w:rsidRPr="00314858">
        <w:rPr>
          <w:rFonts w:ascii="Times New Roman" w:hAnsi="Times New Roman" w:cs="Times New Roman"/>
          <w:bCs/>
          <w:lang w:val="sr-Latn-ME"/>
        </w:rPr>
        <w:t xml:space="preserve"> 10 događaja (1,0%) u trojno-terapijskoj grupi sa varfarinom (</w:t>
      </w:r>
      <w:r w:rsidRPr="00314858">
        <w:rPr>
          <w:rFonts w:ascii="Times New Roman" w:hAnsi="Times New Roman" w:cs="Times New Roman"/>
          <w:lang w:val="sr-Latn-ME"/>
        </w:rPr>
        <w:t>HR 0,30; 95% CI 0,08; 1,07; P=0,06) i 1 događaj (0,1%) u dvojno-</w:t>
      </w:r>
      <w:r w:rsidRPr="00314858">
        <w:rPr>
          <w:rFonts w:ascii="Times New Roman" w:hAnsi="Times New Roman" w:cs="Times New Roman"/>
          <w:lang w:val="sr-Latn-ME"/>
        </w:rPr>
        <w:lastRenderedPageBreak/>
        <w:t>terapijskoj grupi sa dabigatraneteksilatom 150 mg u poređenju sa 8 događaja (1,0%) u odgovarajućoj trojno-terapijskoj grupi sa varfarinom (HR 0,12; 95% CI 0,02; 0,98; P=0,047). Incidenca kompozitnog ishoda efikasnosti</w:t>
      </w:r>
      <w:r w:rsidR="00F3104E" w:rsidRPr="00314858">
        <w:rPr>
          <w:rFonts w:ascii="Times New Roman" w:hAnsi="Times New Roman" w:cs="Times New Roman"/>
          <w:lang w:val="sr-Latn-ME"/>
        </w:rPr>
        <w:t>,</w:t>
      </w:r>
      <w:r w:rsidRPr="00314858">
        <w:rPr>
          <w:rFonts w:ascii="Times New Roman" w:hAnsi="Times New Roman" w:cs="Times New Roman"/>
          <w:lang w:val="sr-Latn-ME"/>
        </w:rPr>
        <w:t xml:space="preserve"> u </w:t>
      </w:r>
      <w:r w:rsidR="00F3104E" w:rsidRPr="00314858">
        <w:rPr>
          <w:rFonts w:ascii="Times New Roman" w:hAnsi="Times New Roman" w:cs="Times New Roman"/>
          <w:lang w:val="sr-Latn-ME"/>
        </w:rPr>
        <w:t>vidu</w:t>
      </w:r>
      <w:r w:rsidRPr="00314858">
        <w:rPr>
          <w:rFonts w:ascii="Times New Roman" w:hAnsi="Times New Roman" w:cs="Times New Roman"/>
          <w:lang w:val="sr-Latn-ME"/>
        </w:rPr>
        <w:t xml:space="preserve"> smrti, tromboembolijskih događaja (infarkt miokarda, moždani udar ili sistemska embolija) ili neplanirane revaskularizacije u dv</w:t>
      </w:r>
      <w:r w:rsidR="00EE27CE" w:rsidRPr="00314858">
        <w:rPr>
          <w:rFonts w:ascii="Times New Roman" w:hAnsi="Times New Roman" w:cs="Times New Roman"/>
          <w:lang w:val="sr-Latn-ME"/>
        </w:rPr>
        <w:t>ije</w:t>
      </w:r>
      <w:r w:rsidRPr="00314858">
        <w:rPr>
          <w:rFonts w:ascii="Times New Roman" w:hAnsi="Times New Roman" w:cs="Times New Roman"/>
          <w:lang w:val="sr-Latn-ME"/>
        </w:rPr>
        <w:t xml:space="preserve"> dvojno-terapijske grupe sa dabigatraneteksilatom, bila je neinferiorna prema varfarinu u trojno-terapijskoj grupi (13,7% prema 13,4%; HR 1,04; 95% CI: 0,84; 1,29; P=0,0047 za neinferiornost). Nije bilo statističkih razlika u pojedinačnim komponentama ishoda efikasnosti između bilo koje dvojno-terapijske grupe sa dabigatraneteksilatom i trojno-terapijske grupe sa varfarinom.</w:t>
      </w:r>
    </w:p>
    <w:p w14:paraId="1221D8B1" w14:textId="77777777" w:rsidR="00FC549A" w:rsidRPr="00314858" w:rsidRDefault="00FC549A" w:rsidP="00D67D34">
      <w:pPr>
        <w:spacing w:after="0" w:line="240" w:lineRule="auto"/>
        <w:jc w:val="both"/>
        <w:rPr>
          <w:rFonts w:ascii="Times New Roman" w:hAnsi="Times New Roman" w:cs="Times New Roman"/>
          <w:lang w:val="sr-Latn-ME"/>
        </w:rPr>
      </w:pPr>
    </w:p>
    <w:p w14:paraId="064DBF89" w14:textId="77CEDBF8" w:rsidR="00D67D34" w:rsidRPr="00314858" w:rsidRDefault="00D67D34" w:rsidP="00D67D34">
      <w:pPr>
        <w:spacing w:after="0" w:line="240" w:lineRule="auto"/>
        <w:jc w:val="both"/>
        <w:rPr>
          <w:rFonts w:ascii="Times New Roman" w:hAnsi="Times New Roman" w:cs="Times New Roman"/>
          <w:bCs/>
          <w:lang w:val="sr-Latn-ME"/>
        </w:rPr>
      </w:pPr>
      <w:r w:rsidRPr="00314858">
        <w:rPr>
          <w:rFonts w:ascii="Times New Roman" w:hAnsi="Times New Roman" w:cs="Times New Roman"/>
          <w:bCs/>
          <w:lang w:val="sr-Latn-ME"/>
        </w:rPr>
        <w:t xml:space="preserve">Ova studija je pokazala da je dvojna terapija dabigatraneteksilatom i antagonistom P2Y12 značajno </w:t>
      </w:r>
      <w:r w:rsidR="0041183D" w:rsidRPr="00314858">
        <w:rPr>
          <w:rFonts w:ascii="Times New Roman" w:hAnsi="Times New Roman" w:cs="Times New Roman"/>
          <w:bCs/>
          <w:lang w:val="sr-Latn-ME"/>
        </w:rPr>
        <w:t>smanjila</w:t>
      </w:r>
      <w:r w:rsidRPr="00314858">
        <w:rPr>
          <w:rFonts w:ascii="Times New Roman" w:hAnsi="Times New Roman" w:cs="Times New Roman"/>
          <w:bCs/>
          <w:lang w:val="sr-Latn-ME"/>
        </w:rPr>
        <w:t xml:space="preserve"> rizik od krvarenja naspram trojne terapije varfarinom</w:t>
      </w:r>
      <w:r w:rsidR="0041183D" w:rsidRPr="00314858">
        <w:rPr>
          <w:rFonts w:ascii="Times New Roman" w:hAnsi="Times New Roman" w:cs="Times New Roman"/>
          <w:bCs/>
          <w:lang w:val="sr-Latn-ME"/>
        </w:rPr>
        <w:t>,</w:t>
      </w:r>
      <w:r w:rsidRPr="00314858">
        <w:rPr>
          <w:rFonts w:ascii="Times New Roman" w:hAnsi="Times New Roman" w:cs="Times New Roman"/>
          <w:bCs/>
          <w:lang w:val="sr-Latn-ME"/>
        </w:rPr>
        <w:t xml:space="preserve"> uz neinferiornost za kompozitni ishod u tromboembolijskim događajima kod pacijenata sa atrijalnom fibrilacijom koji su bili podvrgnuti zahvatu PCI sa ugradnjom stenta.</w:t>
      </w:r>
    </w:p>
    <w:p w14:paraId="2C793A91" w14:textId="77777777" w:rsidR="00FC549A" w:rsidRPr="00314858" w:rsidRDefault="00FC549A" w:rsidP="00D67D34">
      <w:pPr>
        <w:spacing w:after="0" w:line="240" w:lineRule="auto"/>
        <w:jc w:val="both"/>
        <w:rPr>
          <w:rFonts w:ascii="Times New Roman" w:hAnsi="Times New Roman" w:cs="Times New Roman"/>
          <w:bCs/>
          <w:lang w:val="sr-Latn-ME"/>
        </w:rPr>
      </w:pPr>
    </w:p>
    <w:p w14:paraId="6FB9A2AA" w14:textId="41C886AC"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Terapija DVT i PE kod odraslih (terapija DVT/PE)</w:t>
      </w:r>
    </w:p>
    <w:p w14:paraId="44E33E97" w14:textId="77777777" w:rsidR="00FC549A" w:rsidRPr="00314858" w:rsidRDefault="00FC549A" w:rsidP="00D67D34">
      <w:pPr>
        <w:spacing w:after="0" w:line="240" w:lineRule="auto"/>
        <w:jc w:val="both"/>
        <w:rPr>
          <w:rFonts w:ascii="Times New Roman" w:hAnsi="Times New Roman" w:cs="Times New Roman"/>
          <w:u w:val="single"/>
          <w:lang w:val="sr-Latn-ME"/>
        </w:rPr>
      </w:pPr>
    </w:p>
    <w:p w14:paraId="3FA257EC" w14:textId="5BD1BFD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Efikasnost i bezb</w:t>
      </w:r>
      <w:r w:rsidR="00EE27CE" w:rsidRPr="00314858">
        <w:rPr>
          <w:rFonts w:ascii="Times New Roman" w:hAnsi="Times New Roman" w:cs="Times New Roman"/>
          <w:lang w:val="sr-Latn-ME"/>
        </w:rPr>
        <w:t>j</w:t>
      </w:r>
      <w:r w:rsidRPr="00314858">
        <w:rPr>
          <w:rFonts w:ascii="Times New Roman" w:hAnsi="Times New Roman" w:cs="Times New Roman"/>
          <w:lang w:val="sr-Latn-ME"/>
        </w:rPr>
        <w:t>ednost su ispitivani u dv</w:t>
      </w:r>
      <w:r w:rsidR="00EE27CE" w:rsidRPr="00314858">
        <w:rPr>
          <w:rFonts w:ascii="Times New Roman" w:hAnsi="Times New Roman" w:cs="Times New Roman"/>
          <w:lang w:val="sr-Latn-ME"/>
        </w:rPr>
        <w:t>ij</w:t>
      </w:r>
      <w:r w:rsidRPr="00314858">
        <w:rPr>
          <w:rFonts w:ascii="Times New Roman" w:hAnsi="Times New Roman" w:cs="Times New Roman"/>
          <w:lang w:val="sr-Latn-ME"/>
        </w:rPr>
        <w:t>e multicentrične, randomizovane, dvostruko sl</w:t>
      </w:r>
      <w:r w:rsidR="00EE27CE" w:rsidRPr="00314858">
        <w:rPr>
          <w:rFonts w:ascii="Times New Roman" w:hAnsi="Times New Roman" w:cs="Times New Roman"/>
          <w:lang w:val="sr-Latn-ME"/>
        </w:rPr>
        <w:t>ij</w:t>
      </w:r>
      <w:r w:rsidRPr="00314858">
        <w:rPr>
          <w:rFonts w:ascii="Times New Roman" w:hAnsi="Times New Roman" w:cs="Times New Roman"/>
          <w:lang w:val="sr-Latn-ME"/>
        </w:rPr>
        <w:t>epe, ponovljene studije sa paralelnim grupama, RE-COVER i RE-COVER II.</w:t>
      </w:r>
      <w:r w:rsidR="004A3A70" w:rsidRPr="00314858">
        <w:rPr>
          <w:rFonts w:ascii="Times New Roman" w:hAnsi="Times New Roman" w:cs="Times New Roman"/>
          <w:lang w:val="sr-Latn-ME"/>
        </w:rPr>
        <w:t xml:space="preserve"> </w:t>
      </w:r>
      <w:r w:rsidRPr="00314858">
        <w:rPr>
          <w:rFonts w:ascii="Times New Roman" w:hAnsi="Times New Roman" w:cs="Times New Roman"/>
          <w:lang w:val="sr-Latn-ME"/>
        </w:rPr>
        <w:t>Ove studije su upoređivale dabigatraneteksilat (150 mg dva puta dnevno) sa varfarinom (ciljni INR 2,0-3,0) kod pacijenata sa akutnom DVT i/ili PE.</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Primarni cilj ovih studija bio je da se odredi da li je dabigatraneteksilat neinferioran u odnosu na varfarin u smanjenju pojave primarnog ishoda koji se sastojao </w:t>
      </w:r>
      <w:r w:rsidR="002E329D" w:rsidRPr="00314858">
        <w:rPr>
          <w:rFonts w:ascii="Times New Roman" w:hAnsi="Times New Roman" w:cs="Times New Roman"/>
          <w:lang w:val="sr-Latn-ME"/>
        </w:rPr>
        <w:t>od</w:t>
      </w:r>
      <w:r w:rsidRPr="00314858">
        <w:rPr>
          <w:rFonts w:ascii="Times New Roman" w:hAnsi="Times New Roman" w:cs="Times New Roman"/>
          <w:lang w:val="sr-Latn-ME"/>
        </w:rPr>
        <w:t xml:space="preserve"> rekurentne simptomatske DVT i/ili PE i povezanih smrti tokom perioda l</w:t>
      </w:r>
      <w:r w:rsidR="00EE27CE" w:rsidRPr="00314858">
        <w:rPr>
          <w:rFonts w:ascii="Times New Roman" w:hAnsi="Times New Roman" w:cs="Times New Roman"/>
          <w:lang w:val="sr-Latn-ME"/>
        </w:rPr>
        <w:t>ij</w:t>
      </w:r>
      <w:r w:rsidRPr="00314858">
        <w:rPr>
          <w:rFonts w:ascii="Times New Roman" w:hAnsi="Times New Roman" w:cs="Times New Roman"/>
          <w:lang w:val="sr-Latn-ME"/>
        </w:rPr>
        <w:t>ečenja u trajanju od 6 m</w:t>
      </w:r>
      <w:r w:rsidR="00EE27CE" w:rsidRPr="00314858">
        <w:rPr>
          <w:rFonts w:ascii="Times New Roman" w:hAnsi="Times New Roman" w:cs="Times New Roman"/>
          <w:lang w:val="sr-Latn-ME"/>
        </w:rPr>
        <w:t>j</w:t>
      </w:r>
      <w:r w:rsidRPr="00314858">
        <w:rPr>
          <w:rFonts w:ascii="Times New Roman" w:hAnsi="Times New Roman" w:cs="Times New Roman"/>
          <w:lang w:val="sr-Latn-ME"/>
        </w:rPr>
        <w:t xml:space="preserve">eseci. </w:t>
      </w:r>
    </w:p>
    <w:p w14:paraId="2FE8B192" w14:textId="77777777" w:rsidR="004A3A70" w:rsidRPr="00314858" w:rsidRDefault="004A3A70" w:rsidP="00D67D34">
      <w:pPr>
        <w:spacing w:after="0" w:line="240" w:lineRule="auto"/>
        <w:jc w:val="both"/>
        <w:rPr>
          <w:rFonts w:ascii="Times New Roman" w:hAnsi="Times New Roman" w:cs="Times New Roman"/>
          <w:lang w:val="sr-Latn-ME"/>
        </w:rPr>
      </w:pPr>
    </w:p>
    <w:p w14:paraId="5213D352" w14:textId="4EDF842C"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objedinjenim studijama RE-COVER i RE-COVER II, ukupno je randomizovano 5153 pacijenta, a 5107 je l</w:t>
      </w:r>
      <w:r w:rsidR="00EE27CE" w:rsidRPr="00314858">
        <w:rPr>
          <w:rFonts w:ascii="Times New Roman" w:hAnsi="Times New Roman" w:cs="Times New Roman"/>
          <w:lang w:val="sr-Latn-ME"/>
        </w:rPr>
        <w:t>ij</w:t>
      </w:r>
      <w:r w:rsidRPr="00314858">
        <w:rPr>
          <w:rFonts w:ascii="Times New Roman" w:hAnsi="Times New Roman" w:cs="Times New Roman"/>
          <w:lang w:val="sr-Latn-ME"/>
        </w:rPr>
        <w:t xml:space="preserve">ečeno. </w:t>
      </w:r>
    </w:p>
    <w:p w14:paraId="564A7600" w14:textId="77777777" w:rsidR="00FC549A" w:rsidRPr="00314858" w:rsidRDefault="00FC549A" w:rsidP="00D67D34">
      <w:pPr>
        <w:spacing w:after="0" w:line="240" w:lineRule="auto"/>
        <w:jc w:val="both"/>
        <w:rPr>
          <w:rFonts w:ascii="Times New Roman" w:hAnsi="Times New Roman" w:cs="Times New Roman"/>
          <w:lang w:val="sr-Latn-ME"/>
        </w:rPr>
      </w:pPr>
    </w:p>
    <w:p w14:paraId="5D9EE1C8" w14:textId="06348EE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Trajanje </w:t>
      </w:r>
      <w:r w:rsidR="00E97640" w:rsidRPr="00314858">
        <w:rPr>
          <w:rFonts w:ascii="Times New Roman" w:hAnsi="Times New Roman" w:cs="Times New Roman"/>
          <w:lang w:val="sr-Latn-ME"/>
        </w:rPr>
        <w:t>terapije</w:t>
      </w:r>
      <w:r w:rsidRPr="00314858">
        <w:rPr>
          <w:rFonts w:ascii="Times New Roman" w:hAnsi="Times New Roman" w:cs="Times New Roman"/>
          <w:lang w:val="sr-Latn-ME"/>
        </w:rPr>
        <w:t xml:space="preserve"> fiksnom dozom dabigatrana bilo je 174,0 dana bez praćenja koagulacije.</w:t>
      </w:r>
      <w:r w:rsidR="00ED227D" w:rsidRPr="00314858">
        <w:rPr>
          <w:rFonts w:ascii="Times New Roman" w:hAnsi="Times New Roman" w:cs="Times New Roman"/>
          <w:lang w:val="sr-Latn-ME"/>
        </w:rPr>
        <w:t xml:space="preserve"> </w:t>
      </w:r>
      <w:r w:rsidR="004A3A70" w:rsidRPr="00314858">
        <w:rPr>
          <w:rFonts w:ascii="Times New Roman" w:hAnsi="Times New Roman" w:cs="Times New Roman"/>
          <w:lang w:val="sr-Latn-ME"/>
        </w:rPr>
        <w:t>Kod</w:t>
      </w:r>
      <w:r w:rsidRPr="00314858">
        <w:rPr>
          <w:rFonts w:ascii="Times New Roman" w:hAnsi="Times New Roman" w:cs="Times New Roman"/>
          <w:lang w:val="sr-Latn-ME"/>
        </w:rPr>
        <w:t xml:space="preserve"> pacijen</w:t>
      </w:r>
      <w:r w:rsidR="004A3A70" w:rsidRPr="00314858">
        <w:rPr>
          <w:rFonts w:ascii="Times New Roman" w:hAnsi="Times New Roman" w:cs="Times New Roman"/>
          <w:lang w:val="sr-Latn-ME"/>
        </w:rPr>
        <w:t>a</w:t>
      </w:r>
      <w:r w:rsidRPr="00314858">
        <w:rPr>
          <w:rFonts w:ascii="Times New Roman" w:hAnsi="Times New Roman" w:cs="Times New Roman"/>
          <w:lang w:val="sr-Latn-ME"/>
        </w:rPr>
        <w:t>t</w:t>
      </w:r>
      <w:r w:rsidR="004A3A70" w:rsidRPr="00314858">
        <w:rPr>
          <w:rFonts w:ascii="Times New Roman" w:hAnsi="Times New Roman" w:cs="Times New Roman"/>
          <w:lang w:val="sr-Latn-ME"/>
        </w:rPr>
        <w:t>a koji su bili</w:t>
      </w:r>
      <w:r w:rsidRPr="00314858">
        <w:rPr>
          <w:rFonts w:ascii="Times New Roman" w:hAnsi="Times New Roman" w:cs="Times New Roman"/>
          <w:lang w:val="sr-Latn-ME"/>
        </w:rPr>
        <w:t xml:space="preserve"> randomizovan</w:t>
      </w:r>
      <w:r w:rsidR="004A3A70" w:rsidRPr="00314858">
        <w:rPr>
          <w:rFonts w:ascii="Times New Roman" w:hAnsi="Times New Roman" w:cs="Times New Roman"/>
          <w:lang w:val="sr-Latn-ME"/>
        </w:rPr>
        <w:t>i da primaju</w:t>
      </w:r>
      <w:r w:rsidRPr="00314858">
        <w:rPr>
          <w:rFonts w:ascii="Times New Roman" w:hAnsi="Times New Roman" w:cs="Times New Roman"/>
          <w:lang w:val="sr-Latn-ME"/>
        </w:rPr>
        <w:t xml:space="preserve"> varfarin, medijana vremena u terapijskom opsegu (INR 2,0 do 3,0) bila je 60,6%.</w:t>
      </w:r>
    </w:p>
    <w:p w14:paraId="127DDA4E" w14:textId="77777777" w:rsidR="004A3A70" w:rsidRPr="00314858" w:rsidRDefault="004A3A70" w:rsidP="00D67D34">
      <w:pPr>
        <w:spacing w:after="0" w:line="240" w:lineRule="auto"/>
        <w:jc w:val="both"/>
        <w:rPr>
          <w:rFonts w:ascii="Times New Roman" w:hAnsi="Times New Roman" w:cs="Times New Roman"/>
          <w:lang w:val="sr-Latn-ME"/>
        </w:rPr>
      </w:pPr>
    </w:p>
    <w:p w14:paraId="33488C33" w14:textId="53D9940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Ispitivanja su pokazala da l</w:t>
      </w:r>
      <w:r w:rsidR="00EE27CE" w:rsidRPr="00314858">
        <w:rPr>
          <w:rFonts w:ascii="Times New Roman" w:hAnsi="Times New Roman" w:cs="Times New Roman"/>
          <w:lang w:val="sr-Latn-ME"/>
        </w:rPr>
        <w:t>ij</w:t>
      </w:r>
      <w:r w:rsidRPr="00314858">
        <w:rPr>
          <w:rFonts w:ascii="Times New Roman" w:hAnsi="Times New Roman" w:cs="Times New Roman"/>
          <w:lang w:val="sr-Latn-ME"/>
        </w:rPr>
        <w:t>ečenje dabigatraneteksilatom 150 mg dva puta dnevno nije bilo inferiorno u odnosu na l</w:t>
      </w:r>
      <w:r w:rsidR="00EE27CE" w:rsidRPr="00314858">
        <w:rPr>
          <w:rFonts w:ascii="Times New Roman" w:hAnsi="Times New Roman" w:cs="Times New Roman"/>
          <w:lang w:val="sr-Latn-ME"/>
        </w:rPr>
        <w:t>ij</w:t>
      </w:r>
      <w:r w:rsidRPr="00314858">
        <w:rPr>
          <w:rFonts w:ascii="Times New Roman" w:hAnsi="Times New Roman" w:cs="Times New Roman"/>
          <w:lang w:val="sr-Latn-ME"/>
        </w:rPr>
        <w:t xml:space="preserve">ečenje varfarinom (granica neinferiornosti za RE-COVER i RE-COVER II: 3,6 za razliku rizika i 2,75 za </w:t>
      </w:r>
      <w:r w:rsidR="007B03CA" w:rsidRPr="00314858">
        <w:rPr>
          <w:rFonts w:ascii="Times New Roman" w:hAnsi="Times New Roman" w:cs="Times New Roman"/>
          <w:i/>
          <w:lang w:val="sr-Latn-ME"/>
        </w:rPr>
        <w:t>hazard ratio</w:t>
      </w:r>
      <w:r w:rsidRPr="00314858">
        <w:rPr>
          <w:rFonts w:ascii="Times New Roman" w:hAnsi="Times New Roman" w:cs="Times New Roman"/>
          <w:lang w:val="sr-Latn-ME"/>
        </w:rPr>
        <w:t>).</w:t>
      </w:r>
    </w:p>
    <w:p w14:paraId="1E59F9F9" w14:textId="77777777" w:rsidR="00FC549A" w:rsidRPr="00314858" w:rsidRDefault="00FC549A" w:rsidP="00D67D34">
      <w:pPr>
        <w:spacing w:after="0" w:line="240" w:lineRule="auto"/>
        <w:jc w:val="both"/>
        <w:rPr>
          <w:rFonts w:ascii="Times New Roman" w:hAnsi="Times New Roman" w:cs="Times New Roman"/>
          <w:lang w:val="sr-Latn-ME"/>
        </w:rPr>
      </w:pPr>
    </w:p>
    <w:p w14:paraId="4264C766" w14:textId="6BDFB828"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22</w:t>
      </w:r>
      <w:r w:rsidR="00B73E28"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Analiza primarnih i sekundarnih ishoda efikasnosti (VTE je sastavljena od DVT i/ili PE) do kraja perioda </w:t>
      </w:r>
      <w:r w:rsidR="00B73E28" w:rsidRPr="00314858">
        <w:rPr>
          <w:rFonts w:ascii="Times New Roman" w:hAnsi="Times New Roman" w:cs="Times New Roman"/>
          <w:b/>
          <w:bCs/>
          <w:lang w:val="sr-Latn-ME" w:bidi="en-US"/>
        </w:rPr>
        <w:t>nakon l</w:t>
      </w:r>
      <w:r w:rsidR="00486E4F" w:rsidRPr="00314858">
        <w:rPr>
          <w:rFonts w:ascii="Times New Roman" w:hAnsi="Times New Roman" w:cs="Times New Roman"/>
          <w:b/>
          <w:bCs/>
          <w:lang w:val="sr-Latn-ME" w:bidi="en-US"/>
        </w:rPr>
        <w:t>ij</w:t>
      </w:r>
      <w:r w:rsidR="00B73E28" w:rsidRPr="00314858">
        <w:rPr>
          <w:rFonts w:ascii="Times New Roman" w:hAnsi="Times New Roman" w:cs="Times New Roman"/>
          <w:b/>
          <w:bCs/>
          <w:lang w:val="sr-Latn-ME" w:bidi="en-US"/>
        </w:rPr>
        <w:t xml:space="preserve">ečenja </w:t>
      </w:r>
      <w:r w:rsidRPr="00314858">
        <w:rPr>
          <w:rFonts w:ascii="Times New Roman" w:hAnsi="Times New Roman" w:cs="Times New Roman"/>
          <w:b/>
          <w:bCs/>
          <w:lang w:val="sr-Latn-ME" w:bidi="en-US"/>
        </w:rPr>
        <w:t>iz objedinjenih studija RE</w:t>
      </w:r>
      <w:r w:rsidRPr="00314858">
        <w:rPr>
          <w:rFonts w:ascii="Times New Roman" w:hAnsi="Times New Roman" w:cs="Times New Roman"/>
          <w:b/>
          <w:bCs/>
          <w:lang w:val="sr-Latn-ME" w:bidi="en-US"/>
        </w:rPr>
        <w:softHyphen/>
        <w:t>COVER i RE-COVER II</w:t>
      </w:r>
    </w:p>
    <w:p w14:paraId="01BB95FD" w14:textId="77777777" w:rsidR="00B73E28" w:rsidRPr="00314858" w:rsidRDefault="00B73E28" w:rsidP="00BA378B">
      <w:pPr>
        <w:spacing w:after="0" w:line="240" w:lineRule="auto"/>
        <w:jc w:val="center"/>
        <w:rPr>
          <w:rFonts w:ascii="Times New Roman" w:hAnsi="Times New Roman" w:cs="Times New Roman"/>
          <w:b/>
          <w:bCs/>
          <w:lang w:val="sr-Latn-M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406"/>
        <w:gridCol w:w="3086"/>
        <w:gridCol w:w="2568"/>
      </w:tblGrid>
      <w:tr w:rsidR="004A3A70" w:rsidRPr="00314858" w14:paraId="06DE297A" w14:textId="77777777" w:rsidTr="001F1A28">
        <w:trPr>
          <w:trHeight w:val="20"/>
        </w:trPr>
        <w:tc>
          <w:tcPr>
            <w:tcW w:w="1880" w:type="pct"/>
            <w:shd w:val="clear" w:color="auto" w:fill="FFFFFF"/>
          </w:tcPr>
          <w:p w14:paraId="7FBC7D94"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p>
        </w:tc>
        <w:tc>
          <w:tcPr>
            <w:tcW w:w="1703" w:type="pct"/>
            <w:shd w:val="clear" w:color="auto" w:fill="FFFFFF"/>
            <w:vAlign w:val="center"/>
          </w:tcPr>
          <w:p w14:paraId="7D2A9444"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Dabigatraneteksilat 150 mg dva puta dnevno</w:t>
            </w:r>
          </w:p>
        </w:tc>
        <w:tc>
          <w:tcPr>
            <w:tcW w:w="1417" w:type="pct"/>
            <w:shd w:val="clear" w:color="auto" w:fill="FFFFFF"/>
            <w:vAlign w:val="center"/>
          </w:tcPr>
          <w:p w14:paraId="6586FE7F"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Varfarin</w:t>
            </w:r>
          </w:p>
        </w:tc>
      </w:tr>
      <w:tr w:rsidR="004A3A70" w:rsidRPr="00314858" w14:paraId="0E995B2F" w14:textId="77777777" w:rsidTr="001F1A28">
        <w:trPr>
          <w:trHeight w:val="20"/>
        </w:trPr>
        <w:tc>
          <w:tcPr>
            <w:tcW w:w="1880" w:type="pct"/>
            <w:shd w:val="clear" w:color="auto" w:fill="FFFFFF"/>
          </w:tcPr>
          <w:p w14:paraId="13E9F0E9" w14:textId="3EF2A711"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L</w:t>
            </w:r>
            <w:r w:rsidR="00EE27CE" w:rsidRPr="00314858">
              <w:rPr>
                <w:rFonts w:ascii="Times New Roman" w:eastAsia="MS Mincho" w:hAnsi="Times New Roman" w:cs="Times New Roman"/>
                <w:lang w:val="sr-Latn-ME"/>
              </w:rPr>
              <w:t>ij</w:t>
            </w:r>
            <w:r w:rsidRPr="00314858">
              <w:rPr>
                <w:rFonts w:ascii="Times New Roman" w:eastAsia="MS Mincho" w:hAnsi="Times New Roman" w:cs="Times New Roman"/>
                <w:lang w:val="sr-Latn-ME"/>
              </w:rPr>
              <w:t xml:space="preserve">ečeni pacijenti </w:t>
            </w:r>
          </w:p>
        </w:tc>
        <w:tc>
          <w:tcPr>
            <w:tcW w:w="1703" w:type="pct"/>
            <w:shd w:val="clear" w:color="auto" w:fill="FFFFFF"/>
            <w:vAlign w:val="center"/>
          </w:tcPr>
          <w:p w14:paraId="10CBC7FB"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2553</w:t>
            </w:r>
          </w:p>
        </w:tc>
        <w:tc>
          <w:tcPr>
            <w:tcW w:w="1417" w:type="pct"/>
            <w:shd w:val="clear" w:color="auto" w:fill="FFFFFF"/>
            <w:vAlign w:val="center"/>
          </w:tcPr>
          <w:p w14:paraId="74C39789"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2554</w:t>
            </w:r>
          </w:p>
        </w:tc>
      </w:tr>
      <w:tr w:rsidR="004A3A70" w:rsidRPr="00314858" w14:paraId="47F51CE3" w14:textId="77777777" w:rsidTr="001F1A28">
        <w:trPr>
          <w:trHeight w:val="20"/>
        </w:trPr>
        <w:tc>
          <w:tcPr>
            <w:tcW w:w="1880" w:type="pct"/>
            <w:shd w:val="clear" w:color="auto" w:fill="FFFFFF"/>
          </w:tcPr>
          <w:p w14:paraId="2C4BC9A8"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Rekurentna simptomatska VTE i smrt povezana sa VTE</w:t>
            </w:r>
          </w:p>
        </w:tc>
        <w:tc>
          <w:tcPr>
            <w:tcW w:w="1703" w:type="pct"/>
            <w:shd w:val="clear" w:color="auto" w:fill="FFFFFF"/>
            <w:vAlign w:val="center"/>
          </w:tcPr>
          <w:p w14:paraId="7283F29E" w14:textId="3AAA5ED8"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68 (2,7%)</w:t>
            </w:r>
          </w:p>
        </w:tc>
        <w:tc>
          <w:tcPr>
            <w:tcW w:w="1417" w:type="pct"/>
            <w:shd w:val="clear" w:color="auto" w:fill="FFFFFF"/>
            <w:vAlign w:val="center"/>
          </w:tcPr>
          <w:p w14:paraId="4AFF8744" w14:textId="35056A99"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62 (2,4%)</w:t>
            </w:r>
          </w:p>
        </w:tc>
      </w:tr>
      <w:tr w:rsidR="004A3A70" w:rsidRPr="00314858" w14:paraId="03884458" w14:textId="77777777" w:rsidTr="001F1A28">
        <w:trPr>
          <w:trHeight w:val="20"/>
        </w:trPr>
        <w:tc>
          <w:tcPr>
            <w:tcW w:w="1880" w:type="pct"/>
            <w:shd w:val="clear" w:color="auto" w:fill="FFFFFF"/>
          </w:tcPr>
          <w:p w14:paraId="2161FA7F" w14:textId="2BD7392A" w:rsidR="004A3A70" w:rsidRPr="00314858" w:rsidRDefault="00186F62"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i/>
                <w:lang w:val="sr-Latn-ME"/>
              </w:rPr>
              <w:t>Hazard ratio</w:t>
            </w:r>
            <w:r w:rsidR="004A3A70" w:rsidRPr="00314858">
              <w:rPr>
                <w:rFonts w:ascii="Times New Roman" w:eastAsia="MS Mincho" w:hAnsi="Times New Roman" w:cs="Times New Roman"/>
                <w:lang w:val="sr-Latn-ME"/>
              </w:rPr>
              <w:t xml:space="preserve"> prema varfarinu (interval pouzdanosti 95%)</w:t>
            </w:r>
          </w:p>
        </w:tc>
        <w:tc>
          <w:tcPr>
            <w:tcW w:w="1703" w:type="pct"/>
            <w:shd w:val="clear" w:color="auto" w:fill="FFFFFF"/>
            <w:vAlign w:val="center"/>
          </w:tcPr>
          <w:p w14:paraId="46D39F4C"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1,09 (0,77; 1,54)</w:t>
            </w:r>
          </w:p>
        </w:tc>
        <w:tc>
          <w:tcPr>
            <w:tcW w:w="1417" w:type="pct"/>
            <w:shd w:val="clear" w:color="auto" w:fill="FFFFFF"/>
            <w:vAlign w:val="center"/>
          </w:tcPr>
          <w:p w14:paraId="3F92F330"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p>
        </w:tc>
      </w:tr>
      <w:tr w:rsidR="004A3A70" w:rsidRPr="00314858" w14:paraId="1F3D9108" w14:textId="77777777" w:rsidTr="001F1A28">
        <w:trPr>
          <w:trHeight w:val="20"/>
        </w:trPr>
        <w:tc>
          <w:tcPr>
            <w:tcW w:w="1880" w:type="pct"/>
            <w:shd w:val="clear" w:color="auto" w:fill="FFFFFF"/>
          </w:tcPr>
          <w:p w14:paraId="1DB29786"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 xml:space="preserve">Sekundarni ishodi efikasnosti </w:t>
            </w:r>
          </w:p>
        </w:tc>
        <w:tc>
          <w:tcPr>
            <w:tcW w:w="1703" w:type="pct"/>
            <w:shd w:val="clear" w:color="auto" w:fill="FFFFFF"/>
            <w:vAlign w:val="center"/>
          </w:tcPr>
          <w:p w14:paraId="676BA1F4"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p>
        </w:tc>
        <w:tc>
          <w:tcPr>
            <w:tcW w:w="1417" w:type="pct"/>
            <w:shd w:val="clear" w:color="auto" w:fill="FFFFFF"/>
            <w:vAlign w:val="center"/>
          </w:tcPr>
          <w:p w14:paraId="27310946"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p>
        </w:tc>
      </w:tr>
      <w:tr w:rsidR="004A3A70" w:rsidRPr="00314858" w14:paraId="2C6274AF" w14:textId="77777777" w:rsidTr="001F1A28">
        <w:trPr>
          <w:trHeight w:val="20"/>
        </w:trPr>
        <w:tc>
          <w:tcPr>
            <w:tcW w:w="1880" w:type="pct"/>
            <w:shd w:val="clear" w:color="auto" w:fill="FFFFFF"/>
          </w:tcPr>
          <w:p w14:paraId="17F1A824" w14:textId="2CC8EB29"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Rekurentna simptomatska VTE i smrti usl</w:t>
            </w:r>
            <w:r w:rsidR="00C4128F" w:rsidRPr="00314858">
              <w:rPr>
                <w:rFonts w:ascii="Times New Roman" w:eastAsia="MS Mincho" w:hAnsi="Times New Roman" w:cs="Times New Roman"/>
                <w:lang w:val="sr-Latn-ME"/>
              </w:rPr>
              <w:t>j</w:t>
            </w:r>
            <w:r w:rsidRPr="00314858">
              <w:rPr>
                <w:rFonts w:ascii="Times New Roman" w:eastAsia="MS Mincho" w:hAnsi="Times New Roman" w:cs="Times New Roman"/>
                <w:lang w:val="sr-Latn-ME"/>
              </w:rPr>
              <w:t xml:space="preserve">ed svih uzroka </w:t>
            </w:r>
          </w:p>
        </w:tc>
        <w:tc>
          <w:tcPr>
            <w:tcW w:w="1703" w:type="pct"/>
            <w:shd w:val="clear" w:color="auto" w:fill="FFFFFF"/>
            <w:vAlign w:val="center"/>
          </w:tcPr>
          <w:p w14:paraId="2CCC2474"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109 (4,3%)</w:t>
            </w:r>
          </w:p>
        </w:tc>
        <w:tc>
          <w:tcPr>
            <w:tcW w:w="1417" w:type="pct"/>
            <w:shd w:val="clear" w:color="auto" w:fill="FFFFFF"/>
            <w:vAlign w:val="center"/>
          </w:tcPr>
          <w:p w14:paraId="2E9F3289"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104 (4,1%)</w:t>
            </w:r>
          </w:p>
        </w:tc>
      </w:tr>
      <w:tr w:rsidR="004A3A70" w:rsidRPr="00314858" w14:paraId="78329E24" w14:textId="77777777" w:rsidTr="001F1A28">
        <w:trPr>
          <w:trHeight w:val="20"/>
        </w:trPr>
        <w:tc>
          <w:tcPr>
            <w:tcW w:w="1880" w:type="pct"/>
            <w:shd w:val="clear" w:color="auto" w:fill="FFFFFF"/>
          </w:tcPr>
          <w:p w14:paraId="582318EB"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 xml:space="preserve">Interval pouzdanosti 95% </w:t>
            </w:r>
          </w:p>
        </w:tc>
        <w:tc>
          <w:tcPr>
            <w:tcW w:w="1703" w:type="pct"/>
            <w:shd w:val="clear" w:color="auto" w:fill="FFFFFF"/>
            <w:vAlign w:val="center"/>
          </w:tcPr>
          <w:p w14:paraId="557FC3D0"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3,52; 5,13</w:t>
            </w:r>
          </w:p>
        </w:tc>
        <w:tc>
          <w:tcPr>
            <w:tcW w:w="1417" w:type="pct"/>
            <w:shd w:val="clear" w:color="auto" w:fill="FFFFFF"/>
            <w:vAlign w:val="center"/>
          </w:tcPr>
          <w:p w14:paraId="2187F79A"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3,34; 4,91</w:t>
            </w:r>
          </w:p>
        </w:tc>
      </w:tr>
      <w:tr w:rsidR="004A3A70" w:rsidRPr="00314858" w14:paraId="4C018366" w14:textId="77777777" w:rsidTr="001F1A28">
        <w:trPr>
          <w:trHeight w:val="20"/>
        </w:trPr>
        <w:tc>
          <w:tcPr>
            <w:tcW w:w="1880" w:type="pct"/>
            <w:shd w:val="clear" w:color="auto" w:fill="FFFFFF"/>
          </w:tcPr>
          <w:p w14:paraId="48E9CB0E"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Simptomatska DVT</w:t>
            </w:r>
          </w:p>
        </w:tc>
        <w:tc>
          <w:tcPr>
            <w:tcW w:w="1703" w:type="pct"/>
            <w:shd w:val="clear" w:color="auto" w:fill="FFFFFF"/>
            <w:vAlign w:val="center"/>
          </w:tcPr>
          <w:p w14:paraId="4C1FBB37"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45 (1,8%)</w:t>
            </w:r>
          </w:p>
        </w:tc>
        <w:tc>
          <w:tcPr>
            <w:tcW w:w="1417" w:type="pct"/>
            <w:shd w:val="clear" w:color="auto" w:fill="FFFFFF"/>
            <w:vAlign w:val="center"/>
          </w:tcPr>
          <w:p w14:paraId="785E12BB"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39 (1,5%)</w:t>
            </w:r>
          </w:p>
        </w:tc>
      </w:tr>
      <w:tr w:rsidR="004A3A70" w:rsidRPr="00314858" w14:paraId="48F65BBF" w14:textId="77777777" w:rsidTr="001F1A28">
        <w:trPr>
          <w:trHeight w:val="20"/>
        </w:trPr>
        <w:tc>
          <w:tcPr>
            <w:tcW w:w="1880" w:type="pct"/>
            <w:shd w:val="clear" w:color="auto" w:fill="FFFFFF"/>
          </w:tcPr>
          <w:p w14:paraId="711AB672"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 xml:space="preserve">Interval pouzdanosti 95% </w:t>
            </w:r>
          </w:p>
        </w:tc>
        <w:tc>
          <w:tcPr>
            <w:tcW w:w="1703" w:type="pct"/>
            <w:shd w:val="clear" w:color="auto" w:fill="FFFFFF"/>
            <w:vAlign w:val="center"/>
          </w:tcPr>
          <w:p w14:paraId="28D61DD0"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1,29, 2,35</w:t>
            </w:r>
          </w:p>
        </w:tc>
        <w:tc>
          <w:tcPr>
            <w:tcW w:w="1417" w:type="pct"/>
            <w:shd w:val="clear" w:color="auto" w:fill="FFFFFF"/>
            <w:vAlign w:val="center"/>
          </w:tcPr>
          <w:p w14:paraId="39428BB4"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1,09; 2,08</w:t>
            </w:r>
          </w:p>
        </w:tc>
      </w:tr>
      <w:tr w:rsidR="004A3A70" w:rsidRPr="00314858" w14:paraId="032E05BB" w14:textId="77777777" w:rsidTr="001F1A28">
        <w:trPr>
          <w:trHeight w:val="20"/>
        </w:trPr>
        <w:tc>
          <w:tcPr>
            <w:tcW w:w="1880" w:type="pct"/>
            <w:shd w:val="clear" w:color="auto" w:fill="FFFFFF"/>
          </w:tcPr>
          <w:p w14:paraId="2E2A82AF"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Simptomatska PE</w:t>
            </w:r>
          </w:p>
        </w:tc>
        <w:tc>
          <w:tcPr>
            <w:tcW w:w="1703" w:type="pct"/>
            <w:shd w:val="clear" w:color="auto" w:fill="FFFFFF"/>
            <w:vAlign w:val="center"/>
          </w:tcPr>
          <w:p w14:paraId="2FE43450"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27 (1,1%)</w:t>
            </w:r>
          </w:p>
        </w:tc>
        <w:tc>
          <w:tcPr>
            <w:tcW w:w="1417" w:type="pct"/>
            <w:shd w:val="clear" w:color="auto" w:fill="FFFFFF"/>
            <w:vAlign w:val="center"/>
          </w:tcPr>
          <w:p w14:paraId="60B7B881"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26 (1,0%)</w:t>
            </w:r>
          </w:p>
        </w:tc>
      </w:tr>
      <w:tr w:rsidR="004A3A70" w:rsidRPr="00314858" w14:paraId="7B61BC26" w14:textId="77777777" w:rsidTr="001F1A28">
        <w:trPr>
          <w:trHeight w:val="20"/>
        </w:trPr>
        <w:tc>
          <w:tcPr>
            <w:tcW w:w="1880" w:type="pct"/>
            <w:shd w:val="clear" w:color="auto" w:fill="FFFFFF"/>
          </w:tcPr>
          <w:p w14:paraId="179E9ABF"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 xml:space="preserve">Interval pouzdanosti 95% </w:t>
            </w:r>
          </w:p>
        </w:tc>
        <w:tc>
          <w:tcPr>
            <w:tcW w:w="1703" w:type="pct"/>
            <w:shd w:val="clear" w:color="auto" w:fill="FFFFFF"/>
            <w:vAlign w:val="center"/>
          </w:tcPr>
          <w:p w14:paraId="3AA353A0"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0,70; 1,54</w:t>
            </w:r>
          </w:p>
        </w:tc>
        <w:tc>
          <w:tcPr>
            <w:tcW w:w="1417" w:type="pct"/>
            <w:shd w:val="clear" w:color="auto" w:fill="FFFFFF"/>
            <w:vAlign w:val="center"/>
          </w:tcPr>
          <w:p w14:paraId="26CC017C"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0,67; 1,49</w:t>
            </w:r>
          </w:p>
        </w:tc>
      </w:tr>
      <w:tr w:rsidR="004A3A70" w:rsidRPr="00314858" w14:paraId="7A264C67" w14:textId="77777777" w:rsidTr="001F1A28">
        <w:trPr>
          <w:trHeight w:val="20"/>
        </w:trPr>
        <w:tc>
          <w:tcPr>
            <w:tcW w:w="1880" w:type="pct"/>
            <w:shd w:val="clear" w:color="auto" w:fill="FFFFFF"/>
          </w:tcPr>
          <w:p w14:paraId="6F7BF04B"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Smrti povezane sa VTE</w:t>
            </w:r>
          </w:p>
        </w:tc>
        <w:tc>
          <w:tcPr>
            <w:tcW w:w="1703" w:type="pct"/>
            <w:shd w:val="clear" w:color="auto" w:fill="FFFFFF"/>
            <w:vAlign w:val="center"/>
          </w:tcPr>
          <w:p w14:paraId="00BE5C12"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4 (0,2%)</w:t>
            </w:r>
          </w:p>
        </w:tc>
        <w:tc>
          <w:tcPr>
            <w:tcW w:w="1417" w:type="pct"/>
            <w:shd w:val="clear" w:color="auto" w:fill="FFFFFF"/>
            <w:vAlign w:val="center"/>
          </w:tcPr>
          <w:p w14:paraId="21DEC488"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3 (0,1%)</w:t>
            </w:r>
          </w:p>
        </w:tc>
      </w:tr>
      <w:tr w:rsidR="004A3A70" w:rsidRPr="00314858" w14:paraId="155BFD83" w14:textId="77777777" w:rsidTr="001F1A28">
        <w:trPr>
          <w:trHeight w:val="20"/>
        </w:trPr>
        <w:tc>
          <w:tcPr>
            <w:tcW w:w="1880" w:type="pct"/>
            <w:shd w:val="clear" w:color="auto" w:fill="FFFFFF"/>
          </w:tcPr>
          <w:p w14:paraId="2A4DFD33"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 xml:space="preserve">Interval pouzdanosti 95% </w:t>
            </w:r>
          </w:p>
        </w:tc>
        <w:tc>
          <w:tcPr>
            <w:tcW w:w="1703" w:type="pct"/>
            <w:shd w:val="clear" w:color="auto" w:fill="FFFFFF"/>
            <w:vAlign w:val="center"/>
          </w:tcPr>
          <w:p w14:paraId="0CF74D72"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0,04; 0,40</w:t>
            </w:r>
          </w:p>
        </w:tc>
        <w:tc>
          <w:tcPr>
            <w:tcW w:w="1417" w:type="pct"/>
            <w:shd w:val="clear" w:color="auto" w:fill="FFFFFF"/>
            <w:vAlign w:val="center"/>
          </w:tcPr>
          <w:p w14:paraId="0662BF92"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0,02; 0,34</w:t>
            </w:r>
          </w:p>
        </w:tc>
      </w:tr>
      <w:tr w:rsidR="004A3A70" w:rsidRPr="00314858" w14:paraId="35C2CAFC" w14:textId="77777777" w:rsidTr="001F1A28">
        <w:trPr>
          <w:trHeight w:val="20"/>
        </w:trPr>
        <w:tc>
          <w:tcPr>
            <w:tcW w:w="1880" w:type="pct"/>
            <w:shd w:val="clear" w:color="auto" w:fill="FFFFFF"/>
          </w:tcPr>
          <w:p w14:paraId="05194A48" w14:textId="23486EA1"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Smrti usl</w:t>
            </w:r>
            <w:r w:rsidR="00C4128F" w:rsidRPr="00314858">
              <w:rPr>
                <w:rFonts w:ascii="Times New Roman" w:eastAsia="MS Mincho" w:hAnsi="Times New Roman" w:cs="Times New Roman"/>
                <w:lang w:val="sr-Latn-ME"/>
              </w:rPr>
              <w:t>j</w:t>
            </w:r>
            <w:r w:rsidRPr="00314858">
              <w:rPr>
                <w:rFonts w:ascii="Times New Roman" w:eastAsia="MS Mincho" w:hAnsi="Times New Roman" w:cs="Times New Roman"/>
                <w:lang w:val="sr-Latn-ME"/>
              </w:rPr>
              <w:t>ed svih uzroka</w:t>
            </w:r>
          </w:p>
        </w:tc>
        <w:tc>
          <w:tcPr>
            <w:tcW w:w="1703" w:type="pct"/>
            <w:shd w:val="clear" w:color="auto" w:fill="FFFFFF"/>
            <w:vAlign w:val="center"/>
          </w:tcPr>
          <w:p w14:paraId="36436EC5"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51 (2,0%)</w:t>
            </w:r>
          </w:p>
        </w:tc>
        <w:tc>
          <w:tcPr>
            <w:tcW w:w="1417" w:type="pct"/>
            <w:shd w:val="clear" w:color="auto" w:fill="FFFFFF"/>
            <w:vAlign w:val="center"/>
          </w:tcPr>
          <w:p w14:paraId="53FD4166"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52 (2,0%)</w:t>
            </w:r>
          </w:p>
        </w:tc>
      </w:tr>
      <w:tr w:rsidR="004A3A70" w:rsidRPr="00314858" w14:paraId="1BA49E45" w14:textId="77777777" w:rsidTr="001F1A28">
        <w:trPr>
          <w:trHeight w:val="20"/>
        </w:trPr>
        <w:tc>
          <w:tcPr>
            <w:tcW w:w="1880" w:type="pct"/>
            <w:shd w:val="clear" w:color="auto" w:fill="FFFFFF"/>
          </w:tcPr>
          <w:p w14:paraId="0CF1F2BA" w14:textId="77777777" w:rsidR="004A3A70" w:rsidRPr="00314858" w:rsidRDefault="004A3A70" w:rsidP="001F1A28">
            <w:pPr>
              <w:tabs>
                <w:tab w:val="left" w:pos="7920"/>
              </w:tabs>
              <w:spacing w:after="0" w:line="240" w:lineRule="auto"/>
              <w:rPr>
                <w:rFonts w:ascii="Times New Roman" w:eastAsia="MS Mincho" w:hAnsi="Times New Roman" w:cs="Times New Roman"/>
                <w:lang w:val="sr-Latn-ME"/>
              </w:rPr>
            </w:pPr>
            <w:r w:rsidRPr="00314858">
              <w:rPr>
                <w:rFonts w:ascii="Times New Roman" w:eastAsia="MS Mincho" w:hAnsi="Times New Roman" w:cs="Times New Roman"/>
                <w:lang w:val="sr-Latn-ME"/>
              </w:rPr>
              <w:t xml:space="preserve">Interval pouzdanosti 95% </w:t>
            </w:r>
          </w:p>
        </w:tc>
        <w:tc>
          <w:tcPr>
            <w:tcW w:w="1703" w:type="pct"/>
            <w:shd w:val="clear" w:color="auto" w:fill="FFFFFF"/>
            <w:vAlign w:val="center"/>
          </w:tcPr>
          <w:p w14:paraId="38F9807E"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1,49; 2,62</w:t>
            </w:r>
          </w:p>
        </w:tc>
        <w:tc>
          <w:tcPr>
            <w:tcW w:w="1417" w:type="pct"/>
            <w:shd w:val="clear" w:color="auto" w:fill="FFFFFF"/>
            <w:vAlign w:val="center"/>
          </w:tcPr>
          <w:p w14:paraId="56C34115" w14:textId="77777777" w:rsidR="004A3A70" w:rsidRPr="00314858" w:rsidRDefault="004A3A70" w:rsidP="001F1A28">
            <w:pPr>
              <w:tabs>
                <w:tab w:val="left" w:pos="7920"/>
              </w:tabs>
              <w:spacing w:after="0" w:line="240" w:lineRule="auto"/>
              <w:jc w:val="center"/>
              <w:rPr>
                <w:rFonts w:ascii="Times New Roman" w:eastAsia="MS Mincho" w:hAnsi="Times New Roman" w:cs="Times New Roman"/>
                <w:lang w:val="sr-Latn-ME"/>
              </w:rPr>
            </w:pPr>
            <w:r w:rsidRPr="00314858">
              <w:rPr>
                <w:rFonts w:ascii="Times New Roman" w:eastAsia="MS Mincho" w:hAnsi="Times New Roman" w:cs="Times New Roman"/>
                <w:lang w:val="sr-Latn-ME"/>
              </w:rPr>
              <w:t>1,52; 2,66</w:t>
            </w:r>
          </w:p>
        </w:tc>
      </w:tr>
    </w:tbl>
    <w:p w14:paraId="590C88D8" w14:textId="77777777" w:rsidR="00D67D34" w:rsidRPr="00314858" w:rsidRDefault="00D67D34" w:rsidP="00D67D34">
      <w:pPr>
        <w:spacing w:after="0" w:line="240" w:lineRule="auto"/>
        <w:jc w:val="both"/>
        <w:rPr>
          <w:rFonts w:ascii="Times New Roman" w:hAnsi="Times New Roman" w:cs="Times New Roman"/>
          <w:i/>
          <w:iCs/>
          <w:u w:val="single"/>
          <w:lang w:val="sr-Latn-ME" w:bidi="en-US"/>
        </w:rPr>
      </w:pPr>
    </w:p>
    <w:p w14:paraId="50EAA6D3" w14:textId="7AB8C1F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i/>
          <w:iCs/>
          <w:u w:val="single"/>
          <w:lang w:val="sr-Latn-ME" w:bidi="en-US"/>
        </w:rPr>
        <w:t>Prevencija rekurentne DVT i PE kod odraslih</w:t>
      </w:r>
      <w:r w:rsidR="003E1B22" w:rsidRPr="00314858">
        <w:rPr>
          <w:rFonts w:ascii="Times New Roman" w:hAnsi="Times New Roman" w:cs="Times New Roman"/>
          <w:i/>
          <w:iCs/>
          <w:u w:val="single"/>
          <w:lang w:val="sr-Latn-ME" w:bidi="en-US"/>
        </w:rPr>
        <w:t xml:space="preserve"> osoba</w:t>
      </w:r>
      <w:r w:rsidRPr="00314858">
        <w:rPr>
          <w:rFonts w:ascii="Times New Roman" w:hAnsi="Times New Roman" w:cs="Times New Roman"/>
          <w:i/>
          <w:iCs/>
          <w:u w:val="single"/>
          <w:lang w:val="sr-Latn-ME" w:bidi="en-US"/>
        </w:rPr>
        <w:t xml:space="preserve"> (</w:t>
      </w:r>
      <w:r w:rsidR="004305E9" w:rsidRPr="00314858">
        <w:rPr>
          <w:rFonts w:ascii="Times New Roman" w:hAnsi="Times New Roman" w:cs="Times New Roman"/>
          <w:i/>
          <w:iCs/>
          <w:u w:val="single"/>
          <w:lang w:val="sr-Latn-ME" w:bidi="en-US"/>
        </w:rPr>
        <w:t xml:space="preserve">prevencija </w:t>
      </w:r>
      <w:r w:rsidRPr="00314858">
        <w:rPr>
          <w:rFonts w:ascii="Times New Roman" w:hAnsi="Times New Roman" w:cs="Times New Roman"/>
          <w:i/>
          <w:iCs/>
          <w:u w:val="single"/>
          <w:lang w:val="sr-Latn-ME" w:bidi="en-US"/>
        </w:rPr>
        <w:t>DVT/PE)</w:t>
      </w:r>
    </w:p>
    <w:p w14:paraId="550EDD1E" w14:textId="77777777" w:rsidR="00D67D34" w:rsidRPr="00314858" w:rsidRDefault="00D67D34" w:rsidP="00D67D34">
      <w:pPr>
        <w:spacing w:after="0" w:line="240" w:lineRule="auto"/>
        <w:jc w:val="both"/>
        <w:rPr>
          <w:rFonts w:ascii="Times New Roman" w:hAnsi="Times New Roman" w:cs="Times New Roman"/>
          <w:lang w:val="sr-Latn-ME" w:bidi="en-US"/>
        </w:rPr>
      </w:pPr>
    </w:p>
    <w:p w14:paraId="3645BA64" w14:textId="3BC558D7"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Dv</w:t>
      </w:r>
      <w:r w:rsidR="00C4128F" w:rsidRPr="00314858">
        <w:rPr>
          <w:rFonts w:ascii="Times New Roman" w:hAnsi="Times New Roman" w:cs="Times New Roman"/>
          <w:lang w:val="sr-Latn-ME"/>
        </w:rPr>
        <w:t>ije</w:t>
      </w:r>
      <w:r w:rsidRPr="00314858">
        <w:rPr>
          <w:rFonts w:ascii="Times New Roman" w:hAnsi="Times New Roman" w:cs="Times New Roman"/>
          <w:lang w:val="sr-Latn-ME"/>
        </w:rPr>
        <w:t xml:space="preserve"> randomizovane, dvostruko sl</w:t>
      </w:r>
      <w:r w:rsidR="00C4128F" w:rsidRPr="00314858">
        <w:rPr>
          <w:rFonts w:ascii="Times New Roman" w:hAnsi="Times New Roman" w:cs="Times New Roman"/>
          <w:lang w:val="sr-Latn-ME"/>
        </w:rPr>
        <w:t>ij</w:t>
      </w:r>
      <w:r w:rsidRPr="00314858">
        <w:rPr>
          <w:rFonts w:ascii="Times New Roman" w:hAnsi="Times New Roman" w:cs="Times New Roman"/>
          <w:lang w:val="sr-Latn-ME"/>
        </w:rPr>
        <w:t>epe studije sa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paralelnim grupama sprovedene su na pacijentima koji su prethodno bili l</w:t>
      </w:r>
      <w:r w:rsidR="00C4128F" w:rsidRPr="00314858">
        <w:rPr>
          <w:rFonts w:ascii="Times New Roman" w:hAnsi="Times New Roman" w:cs="Times New Roman"/>
          <w:lang w:val="sr-Latn-ME"/>
        </w:rPr>
        <w:t>ij</w:t>
      </w:r>
      <w:r w:rsidRPr="00314858">
        <w:rPr>
          <w:rFonts w:ascii="Times New Roman" w:hAnsi="Times New Roman" w:cs="Times New Roman"/>
          <w:lang w:val="sr-Latn-ME"/>
        </w:rPr>
        <w:t xml:space="preserve">ečeni antikoagulacionom terapijom. RE-MEDY, varfarinom kontrolisana studija, uključivala </w:t>
      </w:r>
      <w:r w:rsidR="00C32443" w:rsidRPr="00314858">
        <w:rPr>
          <w:rFonts w:ascii="Times New Roman" w:hAnsi="Times New Roman" w:cs="Times New Roman"/>
          <w:lang w:val="sr-Latn-ME"/>
        </w:rPr>
        <w:t xml:space="preserve">je </w:t>
      </w:r>
      <w:r w:rsidRPr="00314858">
        <w:rPr>
          <w:rFonts w:ascii="Times New Roman" w:hAnsi="Times New Roman" w:cs="Times New Roman"/>
          <w:lang w:val="sr-Latn-ME"/>
        </w:rPr>
        <w:t>pacijente koji su se već l</w:t>
      </w:r>
      <w:r w:rsidR="00C4128F" w:rsidRPr="00314858">
        <w:rPr>
          <w:rFonts w:ascii="Times New Roman" w:hAnsi="Times New Roman" w:cs="Times New Roman"/>
          <w:lang w:val="sr-Latn-ME"/>
        </w:rPr>
        <w:t>ij</w:t>
      </w:r>
      <w:r w:rsidRPr="00314858">
        <w:rPr>
          <w:rFonts w:ascii="Times New Roman" w:hAnsi="Times New Roman" w:cs="Times New Roman"/>
          <w:lang w:val="sr-Latn-ME"/>
        </w:rPr>
        <w:t xml:space="preserve">ečili </w:t>
      </w:r>
      <w:r w:rsidR="00C32443" w:rsidRPr="00314858">
        <w:rPr>
          <w:rFonts w:ascii="Times New Roman" w:hAnsi="Times New Roman" w:cs="Times New Roman"/>
          <w:lang w:val="sr-Latn-ME"/>
        </w:rPr>
        <w:t xml:space="preserve">od </w:t>
      </w:r>
      <w:r w:rsidRPr="00314858">
        <w:rPr>
          <w:rFonts w:ascii="Times New Roman" w:hAnsi="Times New Roman" w:cs="Times New Roman"/>
          <w:lang w:val="sr-Latn-ME"/>
        </w:rPr>
        <w:t>3 do 12 m</w:t>
      </w:r>
      <w:r w:rsidR="00C4128F" w:rsidRPr="00314858">
        <w:rPr>
          <w:rFonts w:ascii="Times New Roman" w:hAnsi="Times New Roman" w:cs="Times New Roman"/>
          <w:lang w:val="sr-Latn-ME"/>
        </w:rPr>
        <w:t>j</w:t>
      </w:r>
      <w:r w:rsidRPr="00314858">
        <w:rPr>
          <w:rFonts w:ascii="Times New Roman" w:hAnsi="Times New Roman" w:cs="Times New Roman"/>
          <w:lang w:val="sr-Latn-ME"/>
        </w:rPr>
        <w:t>eseci sa potrebom daljnjeg</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antikoagulantnog l</w:t>
      </w:r>
      <w:r w:rsidR="00C4128F" w:rsidRPr="00314858">
        <w:rPr>
          <w:rFonts w:ascii="Times New Roman" w:hAnsi="Times New Roman" w:cs="Times New Roman"/>
          <w:lang w:val="sr-Latn-ME"/>
        </w:rPr>
        <w:t>ij</w:t>
      </w:r>
      <w:r w:rsidRPr="00314858">
        <w:rPr>
          <w:rFonts w:ascii="Times New Roman" w:hAnsi="Times New Roman" w:cs="Times New Roman"/>
          <w:lang w:val="sr-Latn-ME"/>
        </w:rPr>
        <w:t xml:space="preserve">ečenja, a RE-SONATE, placebom kontrolisana studija, uključivala </w:t>
      </w:r>
      <w:r w:rsidR="00C32443" w:rsidRPr="00314858">
        <w:rPr>
          <w:rFonts w:ascii="Times New Roman" w:hAnsi="Times New Roman" w:cs="Times New Roman"/>
          <w:lang w:val="sr-Latn-ME"/>
        </w:rPr>
        <w:t xml:space="preserve">je </w:t>
      </w:r>
      <w:r w:rsidRPr="00314858">
        <w:rPr>
          <w:rFonts w:ascii="Times New Roman" w:hAnsi="Times New Roman" w:cs="Times New Roman"/>
          <w:lang w:val="sr-Latn-ME"/>
        </w:rPr>
        <w:t>pacijente koji su se već l</w:t>
      </w:r>
      <w:r w:rsidR="00D842F2" w:rsidRPr="00314858">
        <w:rPr>
          <w:rFonts w:ascii="Times New Roman" w:hAnsi="Times New Roman" w:cs="Times New Roman"/>
          <w:lang w:val="sr-Latn-ME"/>
        </w:rPr>
        <w:t>ij</w:t>
      </w:r>
      <w:r w:rsidRPr="00314858">
        <w:rPr>
          <w:rFonts w:ascii="Times New Roman" w:hAnsi="Times New Roman" w:cs="Times New Roman"/>
          <w:lang w:val="sr-Latn-ME"/>
        </w:rPr>
        <w:t xml:space="preserve">ečili </w:t>
      </w:r>
      <w:r w:rsidR="00C32443" w:rsidRPr="00314858">
        <w:rPr>
          <w:rFonts w:ascii="Times New Roman" w:hAnsi="Times New Roman" w:cs="Times New Roman"/>
          <w:lang w:val="sr-Latn-ME"/>
        </w:rPr>
        <w:t xml:space="preserve">od </w:t>
      </w:r>
      <w:r w:rsidRPr="00314858">
        <w:rPr>
          <w:rFonts w:ascii="Times New Roman" w:hAnsi="Times New Roman" w:cs="Times New Roman"/>
          <w:lang w:val="sr-Latn-ME"/>
        </w:rPr>
        <w:t>6 do 18 m</w:t>
      </w:r>
      <w:r w:rsidR="00D842F2" w:rsidRPr="00314858">
        <w:rPr>
          <w:rFonts w:ascii="Times New Roman" w:hAnsi="Times New Roman" w:cs="Times New Roman"/>
          <w:lang w:val="sr-Latn-ME"/>
        </w:rPr>
        <w:t>j</w:t>
      </w:r>
      <w:r w:rsidRPr="00314858">
        <w:rPr>
          <w:rFonts w:ascii="Times New Roman" w:hAnsi="Times New Roman" w:cs="Times New Roman"/>
          <w:lang w:val="sr-Latn-ME"/>
        </w:rPr>
        <w:t>eseci antagonistima vitamina K.</w:t>
      </w:r>
    </w:p>
    <w:p w14:paraId="16C08586" w14:textId="77777777" w:rsidR="004A3A70" w:rsidRPr="00314858" w:rsidRDefault="004A3A70" w:rsidP="00D67D34">
      <w:pPr>
        <w:spacing w:after="0" w:line="240" w:lineRule="auto"/>
        <w:jc w:val="both"/>
        <w:rPr>
          <w:rFonts w:ascii="Times New Roman" w:hAnsi="Times New Roman" w:cs="Times New Roman"/>
          <w:lang w:val="sr-Latn-ME"/>
        </w:rPr>
      </w:pPr>
    </w:p>
    <w:p w14:paraId="2C0C56C9" w14:textId="599C32A0"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Cilj </w:t>
      </w:r>
      <w:r w:rsidR="008B2B30" w:rsidRPr="00314858">
        <w:rPr>
          <w:rFonts w:ascii="Times New Roman" w:hAnsi="Times New Roman" w:cs="Times New Roman"/>
          <w:lang w:val="sr-Latn-ME"/>
        </w:rPr>
        <w:t>studije</w:t>
      </w:r>
      <w:r w:rsidRPr="00314858">
        <w:rPr>
          <w:rFonts w:ascii="Times New Roman" w:hAnsi="Times New Roman" w:cs="Times New Roman"/>
          <w:lang w:val="sr-Latn-ME"/>
        </w:rPr>
        <w:t xml:space="preserve"> RE-MEDY bio je da se uporedi </w:t>
      </w:r>
      <w:r w:rsidRPr="00314858">
        <w:rPr>
          <w:rFonts w:ascii="Times New Roman" w:hAnsi="Times New Roman" w:cs="Times New Roman"/>
          <w:bCs/>
          <w:lang w:val="sr-Latn-ME"/>
        </w:rPr>
        <w:t>bezb</w:t>
      </w:r>
      <w:r w:rsidR="00D842F2" w:rsidRPr="00314858">
        <w:rPr>
          <w:rFonts w:ascii="Times New Roman" w:hAnsi="Times New Roman" w:cs="Times New Roman"/>
          <w:bCs/>
          <w:lang w:val="sr-Latn-ME"/>
        </w:rPr>
        <w:t>j</w:t>
      </w:r>
      <w:r w:rsidRPr="00314858">
        <w:rPr>
          <w:rFonts w:ascii="Times New Roman" w:hAnsi="Times New Roman" w:cs="Times New Roman"/>
          <w:bCs/>
          <w:lang w:val="sr-Latn-ME"/>
        </w:rPr>
        <w:t>ednost</w:t>
      </w:r>
      <w:r w:rsidRPr="00314858">
        <w:rPr>
          <w:rFonts w:ascii="Times New Roman" w:hAnsi="Times New Roman" w:cs="Times New Roman"/>
          <w:lang w:val="sr-Latn-ME"/>
        </w:rPr>
        <w:t xml:space="preserve"> i efikasnost oralno</w:t>
      </w:r>
      <w:r w:rsidR="004A3A70" w:rsidRPr="00314858">
        <w:rPr>
          <w:rFonts w:ascii="Times New Roman" w:hAnsi="Times New Roman" w:cs="Times New Roman"/>
          <w:lang w:val="sr-Latn-ME"/>
        </w:rPr>
        <w:t xml:space="preserve"> prim</w:t>
      </w:r>
      <w:r w:rsidR="00D842F2" w:rsidRPr="00314858">
        <w:rPr>
          <w:rFonts w:ascii="Times New Roman" w:hAnsi="Times New Roman" w:cs="Times New Roman"/>
          <w:lang w:val="sr-Latn-ME"/>
        </w:rPr>
        <w:t>ij</w:t>
      </w:r>
      <w:r w:rsidR="004A3A70" w:rsidRPr="00314858">
        <w:rPr>
          <w:rFonts w:ascii="Times New Roman" w:hAnsi="Times New Roman" w:cs="Times New Roman"/>
          <w:lang w:val="sr-Latn-ME"/>
        </w:rPr>
        <w:t>enjenog</w:t>
      </w:r>
      <w:r w:rsidRPr="00314858">
        <w:rPr>
          <w:rFonts w:ascii="Times New Roman" w:hAnsi="Times New Roman" w:cs="Times New Roman"/>
          <w:lang w:val="sr-Latn-ME"/>
        </w:rPr>
        <w:t xml:space="preserve"> dabigatraneteksilata (150 mg dva puta dnevno) sa varfarinom (ciljni INR 2,0-3,0) u dugotrajno</w:t>
      </w:r>
      <w:r w:rsidR="00821CEE" w:rsidRPr="00314858">
        <w:rPr>
          <w:rFonts w:ascii="Times New Roman" w:hAnsi="Times New Roman" w:cs="Times New Roman"/>
          <w:lang w:val="sr-Latn-ME"/>
        </w:rPr>
        <w:t>j</w:t>
      </w:r>
      <w:r w:rsidRPr="00314858">
        <w:rPr>
          <w:rFonts w:ascii="Times New Roman" w:hAnsi="Times New Roman" w:cs="Times New Roman"/>
          <w:lang w:val="sr-Latn-ME"/>
        </w:rPr>
        <w:t xml:space="preserve"> </w:t>
      </w:r>
      <w:r w:rsidR="00821CEE" w:rsidRPr="00314858">
        <w:rPr>
          <w:rFonts w:ascii="Times New Roman" w:hAnsi="Times New Roman" w:cs="Times New Roman"/>
          <w:lang w:val="sr-Latn-ME"/>
        </w:rPr>
        <w:t>terapiji</w:t>
      </w:r>
      <w:r w:rsidRPr="00314858">
        <w:rPr>
          <w:rFonts w:ascii="Times New Roman" w:hAnsi="Times New Roman" w:cs="Times New Roman"/>
          <w:lang w:val="sr-Latn-ME"/>
        </w:rPr>
        <w:t xml:space="preserve"> i prevenciji rekurentne, simptomatske DVT i/ili PE.</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Ukupno je bilo randomizovano 2866 pacijenata, a 2856 pacijenata je bilo l</w:t>
      </w:r>
      <w:r w:rsidR="00D842F2" w:rsidRPr="00314858">
        <w:rPr>
          <w:rFonts w:ascii="Times New Roman" w:hAnsi="Times New Roman" w:cs="Times New Roman"/>
          <w:lang w:val="sr-Latn-ME"/>
        </w:rPr>
        <w:t>ij</w:t>
      </w:r>
      <w:r w:rsidRPr="00314858">
        <w:rPr>
          <w:rFonts w:ascii="Times New Roman" w:hAnsi="Times New Roman" w:cs="Times New Roman"/>
          <w:lang w:val="sr-Latn-ME"/>
        </w:rPr>
        <w:t>ečeno.</w:t>
      </w:r>
      <w:r w:rsidR="004A3A70"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Trajanje </w:t>
      </w:r>
      <w:r w:rsidR="00821CEE" w:rsidRPr="00314858">
        <w:rPr>
          <w:rFonts w:ascii="Times New Roman" w:hAnsi="Times New Roman" w:cs="Times New Roman"/>
          <w:lang w:val="sr-Latn-ME"/>
        </w:rPr>
        <w:t>terapije</w:t>
      </w:r>
      <w:r w:rsidRPr="00314858">
        <w:rPr>
          <w:rFonts w:ascii="Times New Roman" w:hAnsi="Times New Roman" w:cs="Times New Roman"/>
          <w:lang w:val="sr-Latn-ME"/>
        </w:rPr>
        <w:t xml:space="preserve"> dabigatraneteksilatom variralo je od 6 do 36 m</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eseci (medijana 534,0 dana). </w:t>
      </w:r>
      <w:r w:rsidR="004A3A70" w:rsidRPr="00314858">
        <w:rPr>
          <w:rFonts w:ascii="Times New Roman" w:hAnsi="Times New Roman" w:cs="Times New Roman"/>
          <w:lang w:val="sr-Latn-ME"/>
        </w:rPr>
        <w:t>Kod</w:t>
      </w:r>
      <w:r w:rsidRPr="00314858">
        <w:rPr>
          <w:rFonts w:ascii="Times New Roman" w:hAnsi="Times New Roman" w:cs="Times New Roman"/>
          <w:lang w:val="sr-Latn-ME"/>
        </w:rPr>
        <w:t xml:space="preserve"> pacijen</w:t>
      </w:r>
      <w:r w:rsidR="004A3A70" w:rsidRPr="00314858">
        <w:rPr>
          <w:rFonts w:ascii="Times New Roman" w:hAnsi="Times New Roman" w:cs="Times New Roman"/>
          <w:lang w:val="sr-Latn-ME"/>
        </w:rPr>
        <w:t>a</w:t>
      </w:r>
      <w:r w:rsidRPr="00314858">
        <w:rPr>
          <w:rFonts w:ascii="Times New Roman" w:hAnsi="Times New Roman" w:cs="Times New Roman"/>
          <w:lang w:val="sr-Latn-ME"/>
        </w:rPr>
        <w:t>t</w:t>
      </w:r>
      <w:r w:rsidR="004A3A70" w:rsidRPr="00314858">
        <w:rPr>
          <w:rFonts w:ascii="Times New Roman" w:hAnsi="Times New Roman" w:cs="Times New Roman"/>
          <w:lang w:val="sr-Latn-ME"/>
        </w:rPr>
        <w:t>a koji su bili randomizovani</w:t>
      </w:r>
      <w:r w:rsidRPr="00314858">
        <w:rPr>
          <w:rFonts w:ascii="Times New Roman" w:hAnsi="Times New Roman" w:cs="Times New Roman"/>
          <w:lang w:val="sr-Latn-ME"/>
        </w:rPr>
        <w:t xml:space="preserve"> </w:t>
      </w:r>
      <w:r w:rsidR="004A3A70" w:rsidRPr="00314858">
        <w:rPr>
          <w:rFonts w:ascii="Times New Roman" w:hAnsi="Times New Roman" w:cs="Times New Roman"/>
          <w:lang w:val="sr-Latn-ME"/>
        </w:rPr>
        <w:t>da primaju</w:t>
      </w:r>
      <w:r w:rsidRPr="00314858">
        <w:rPr>
          <w:rFonts w:ascii="Times New Roman" w:hAnsi="Times New Roman" w:cs="Times New Roman"/>
          <w:lang w:val="sr-Latn-ME"/>
        </w:rPr>
        <w:t xml:space="preserve"> varfarin, medijana vremena u terapijskom opsegu (INR 2,0-3,0) bila je 64,9 %. </w:t>
      </w:r>
    </w:p>
    <w:p w14:paraId="44E3155C" w14:textId="77777777" w:rsidR="004A3A70" w:rsidRPr="00314858" w:rsidRDefault="004A3A70" w:rsidP="00D67D34">
      <w:pPr>
        <w:spacing w:after="0" w:line="240" w:lineRule="auto"/>
        <w:jc w:val="both"/>
        <w:rPr>
          <w:rFonts w:ascii="Times New Roman" w:hAnsi="Times New Roman" w:cs="Times New Roman"/>
          <w:lang w:val="sr-Latn-ME"/>
        </w:rPr>
      </w:pPr>
    </w:p>
    <w:p w14:paraId="706A294B" w14:textId="75A6F744"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Studija RE-MEDY je pokazala da </w:t>
      </w:r>
      <w:r w:rsidR="00821CEE" w:rsidRPr="00314858">
        <w:rPr>
          <w:rFonts w:ascii="Times New Roman" w:hAnsi="Times New Roman" w:cs="Times New Roman"/>
          <w:lang w:val="sr-Latn-ME"/>
        </w:rPr>
        <w:t>terapija</w:t>
      </w:r>
      <w:r w:rsidRPr="00314858">
        <w:rPr>
          <w:rFonts w:ascii="Times New Roman" w:hAnsi="Times New Roman" w:cs="Times New Roman"/>
          <w:lang w:val="sr-Latn-ME"/>
        </w:rPr>
        <w:t xml:space="preserve"> dabigatraneteksilatom 150 mg dva puta dnevno nije bil</w:t>
      </w:r>
      <w:r w:rsidR="00821CEE" w:rsidRPr="00314858">
        <w:rPr>
          <w:rFonts w:ascii="Times New Roman" w:hAnsi="Times New Roman" w:cs="Times New Roman"/>
          <w:lang w:val="sr-Latn-ME"/>
        </w:rPr>
        <w:t>a</w:t>
      </w:r>
      <w:r w:rsidRPr="00314858">
        <w:rPr>
          <w:rFonts w:ascii="Times New Roman" w:hAnsi="Times New Roman" w:cs="Times New Roman"/>
          <w:lang w:val="sr-Latn-ME"/>
        </w:rPr>
        <w:t xml:space="preserve"> inferiorn</w:t>
      </w:r>
      <w:r w:rsidR="00821CEE" w:rsidRPr="00314858">
        <w:rPr>
          <w:rFonts w:ascii="Times New Roman" w:hAnsi="Times New Roman" w:cs="Times New Roman"/>
          <w:lang w:val="sr-Latn-ME"/>
        </w:rPr>
        <w:t>a</w:t>
      </w:r>
      <w:r w:rsidRPr="00314858">
        <w:rPr>
          <w:rFonts w:ascii="Times New Roman" w:hAnsi="Times New Roman" w:cs="Times New Roman"/>
          <w:lang w:val="sr-Latn-ME"/>
        </w:rPr>
        <w:t xml:space="preserve"> u odnosu na varfarin (granica neinferiornosti: 2,85 za </w:t>
      </w:r>
      <w:r w:rsidR="00821CEE" w:rsidRPr="00314858">
        <w:rPr>
          <w:rFonts w:ascii="Times New Roman" w:hAnsi="Times New Roman" w:cs="Times New Roman"/>
          <w:i/>
          <w:lang w:val="sr-Latn-ME"/>
        </w:rPr>
        <w:t>hazard ratio</w:t>
      </w:r>
      <w:r w:rsidRPr="00314858">
        <w:rPr>
          <w:rFonts w:ascii="Times New Roman" w:hAnsi="Times New Roman" w:cs="Times New Roman"/>
          <w:lang w:val="sr-Latn-ME"/>
        </w:rPr>
        <w:t xml:space="preserve"> i 2,8 za razliku rizika). </w:t>
      </w:r>
    </w:p>
    <w:p w14:paraId="53CEB533" w14:textId="77777777" w:rsidR="00FC549A" w:rsidRPr="00314858" w:rsidRDefault="00FC549A" w:rsidP="00D67D34">
      <w:pPr>
        <w:spacing w:after="0" w:line="240" w:lineRule="auto"/>
        <w:jc w:val="both"/>
        <w:rPr>
          <w:rFonts w:ascii="Times New Roman" w:hAnsi="Times New Roman" w:cs="Times New Roman"/>
          <w:lang w:val="sr-Latn-ME"/>
        </w:rPr>
      </w:pPr>
    </w:p>
    <w:p w14:paraId="46152D79" w14:textId="4FBC25C9"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23</w:t>
      </w:r>
      <w:r w:rsidR="006773A3"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Analiza primarnih i sekundarnih ishoda efikasnosti (VTE je sastavljena od DVT i/ili PE) do kraja perioda </w:t>
      </w:r>
      <w:r w:rsidR="00F96D47" w:rsidRPr="00314858">
        <w:rPr>
          <w:rFonts w:ascii="Times New Roman" w:hAnsi="Times New Roman" w:cs="Times New Roman"/>
          <w:b/>
          <w:bCs/>
          <w:lang w:val="sr-Latn-ME" w:bidi="en-US"/>
        </w:rPr>
        <w:t xml:space="preserve">nakon terapije </w:t>
      </w:r>
      <w:r w:rsidRPr="00314858">
        <w:rPr>
          <w:rFonts w:ascii="Times New Roman" w:hAnsi="Times New Roman" w:cs="Times New Roman"/>
          <w:b/>
          <w:bCs/>
          <w:lang w:val="sr-Latn-ME" w:bidi="en-US"/>
        </w:rPr>
        <w:t>u studiji RE-MEDY</w:t>
      </w:r>
    </w:p>
    <w:p w14:paraId="10C75D29" w14:textId="77777777" w:rsidR="006773A3" w:rsidRPr="00314858" w:rsidRDefault="006773A3" w:rsidP="00D67D34">
      <w:pPr>
        <w:spacing w:after="0" w:line="240" w:lineRule="auto"/>
        <w:jc w:val="both"/>
        <w:rPr>
          <w:rFonts w:ascii="Times New Roman" w:hAnsi="Times New Roman" w:cs="Times New Roman"/>
          <w:b/>
          <w:bCs/>
          <w:lang w:val="sr-Latn-M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4130"/>
        <w:gridCol w:w="2464"/>
        <w:gridCol w:w="2466"/>
      </w:tblGrid>
      <w:tr w:rsidR="004A3A70" w:rsidRPr="00314858" w14:paraId="1892EB25" w14:textId="77777777" w:rsidTr="001F1A28">
        <w:trPr>
          <w:trHeight w:val="20"/>
        </w:trPr>
        <w:tc>
          <w:tcPr>
            <w:tcW w:w="2279" w:type="pct"/>
          </w:tcPr>
          <w:p w14:paraId="53CEC4EA" w14:textId="77777777" w:rsidR="004A3A70" w:rsidRPr="00314858" w:rsidRDefault="004A3A70" w:rsidP="001F1A28">
            <w:pPr>
              <w:tabs>
                <w:tab w:val="left" w:pos="7920"/>
              </w:tabs>
              <w:spacing w:after="0" w:line="240" w:lineRule="auto"/>
              <w:rPr>
                <w:rFonts w:ascii="Times New Roman" w:hAnsi="Times New Roman" w:cs="Times New Roman"/>
                <w:lang w:val="sr-Latn-ME"/>
              </w:rPr>
            </w:pPr>
          </w:p>
        </w:tc>
        <w:tc>
          <w:tcPr>
            <w:tcW w:w="1360" w:type="pct"/>
          </w:tcPr>
          <w:p w14:paraId="3E651A20"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Dabigatrineteksilat 150 mg dva puta dnevno</w:t>
            </w:r>
          </w:p>
        </w:tc>
        <w:tc>
          <w:tcPr>
            <w:tcW w:w="1361" w:type="pct"/>
          </w:tcPr>
          <w:p w14:paraId="47A824A7"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Varfarin</w:t>
            </w:r>
          </w:p>
        </w:tc>
      </w:tr>
      <w:tr w:rsidR="004A3A70" w:rsidRPr="00314858" w:rsidDel="007F2C5D" w14:paraId="156511B6" w14:textId="77777777" w:rsidTr="001F1A28">
        <w:trPr>
          <w:trHeight w:val="20"/>
        </w:trPr>
        <w:tc>
          <w:tcPr>
            <w:tcW w:w="2279" w:type="pct"/>
          </w:tcPr>
          <w:p w14:paraId="5753A110" w14:textId="6C76FB9C"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L</w:t>
            </w:r>
            <w:r w:rsidR="00D842F2" w:rsidRPr="00314858">
              <w:rPr>
                <w:rFonts w:ascii="Times New Roman" w:hAnsi="Times New Roman" w:cs="Times New Roman"/>
                <w:lang w:val="sr-Latn-ME"/>
              </w:rPr>
              <w:t>ij</w:t>
            </w:r>
            <w:r w:rsidRPr="00314858">
              <w:rPr>
                <w:rFonts w:ascii="Times New Roman" w:hAnsi="Times New Roman" w:cs="Times New Roman"/>
                <w:lang w:val="sr-Latn-ME"/>
              </w:rPr>
              <w:t>ečeni pacijenti</w:t>
            </w:r>
          </w:p>
        </w:tc>
        <w:tc>
          <w:tcPr>
            <w:tcW w:w="1360" w:type="pct"/>
            <w:vAlign w:val="center"/>
          </w:tcPr>
          <w:p w14:paraId="3E56CC9D" w14:textId="77777777" w:rsidR="004A3A70" w:rsidRPr="00314858" w:rsidDel="007F2C5D"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1430</w:t>
            </w:r>
          </w:p>
        </w:tc>
        <w:tc>
          <w:tcPr>
            <w:tcW w:w="1361" w:type="pct"/>
            <w:vAlign w:val="center"/>
          </w:tcPr>
          <w:p w14:paraId="22F468CC" w14:textId="77777777" w:rsidR="004A3A70" w:rsidRPr="00314858" w:rsidDel="007F2C5D"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1426</w:t>
            </w:r>
          </w:p>
        </w:tc>
      </w:tr>
      <w:tr w:rsidR="004A3A70" w:rsidRPr="00314858" w14:paraId="3A9A0587" w14:textId="77777777" w:rsidTr="001F1A28">
        <w:trPr>
          <w:trHeight w:val="20"/>
        </w:trPr>
        <w:tc>
          <w:tcPr>
            <w:tcW w:w="2279" w:type="pct"/>
          </w:tcPr>
          <w:p w14:paraId="61651E0D"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Rekurentna simptomatska VTE i smrt povezana sa VTE </w:t>
            </w:r>
          </w:p>
        </w:tc>
        <w:tc>
          <w:tcPr>
            <w:tcW w:w="1360" w:type="pct"/>
            <w:vAlign w:val="center"/>
          </w:tcPr>
          <w:p w14:paraId="7F3EB5A1"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26</w:t>
            </w:r>
            <w:r w:rsidRPr="00314858" w:rsidDel="007F2C5D">
              <w:rPr>
                <w:rFonts w:ascii="Times New Roman" w:hAnsi="Times New Roman" w:cs="Times New Roman"/>
                <w:lang w:val="sr-Latn-ME"/>
              </w:rPr>
              <w:t xml:space="preserve"> </w:t>
            </w:r>
            <w:r w:rsidRPr="00314858">
              <w:rPr>
                <w:rFonts w:ascii="Times New Roman" w:hAnsi="Times New Roman" w:cs="Times New Roman"/>
                <w:lang w:val="sr-Latn-ME"/>
              </w:rPr>
              <w:t>(1,8%)</w:t>
            </w:r>
          </w:p>
        </w:tc>
        <w:tc>
          <w:tcPr>
            <w:tcW w:w="1361" w:type="pct"/>
            <w:vAlign w:val="center"/>
          </w:tcPr>
          <w:p w14:paraId="23CAEAAF"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18 (1,3%)</w:t>
            </w:r>
          </w:p>
        </w:tc>
      </w:tr>
      <w:tr w:rsidR="004A3A70" w:rsidRPr="00314858" w14:paraId="4BCB1602" w14:textId="77777777" w:rsidTr="001F1A28">
        <w:trPr>
          <w:trHeight w:val="20"/>
        </w:trPr>
        <w:tc>
          <w:tcPr>
            <w:tcW w:w="2279" w:type="pct"/>
          </w:tcPr>
          <w:p w14:paraId="41D2F099" w14:textId="000271E1" w:rsidR="004A3A70" w:rsidRPr="00314858" w:rsidRDefault="009103F1" w:rsidP="001F1A28">
            <w:pPr>
              <w:tabs>
                <w:tab w:val="left" w:pos="7920"/>
              </w:tabs>
              <w:spacing w:after="0" w:line="240" w:lineRule="auto"/>
              <w:contextualSpacing/>
              <w:rPr>
                <w:rFonts w:ascii="Times New Roman" w:hAnsi="Times New Roman" w:cs="Times New Roman"/>
                <w:lang w:val="sr-Latn-ME"/>
              </w:rPr>
            </w:pPr>
            <w:r w:rsidRPr="00314858">
              <w:rPr>
                <w:rFonts w:ascii="Times New Roman" w:hAnsi="Times New Roman" w:cs="Times New Roman"/>
                <w:i/>
                <w:lang w:val="sr-Latn-ME"/>
              </w:rPr>
              <w:t>Hazard ratio</w:t>
            </w:r>
            <w:r w:rsidR="004A3A70" w:rsidRPr="00314858">
              <w:rPr>
                <w:rFonts w:ascii="Times New Roman" w:hAnsi="Times New Roman" w:cs="Times New Roman"/>
                <w:lang w:val="sr-Latn-ME"/>
              </w:rPr>
              <w:t xml:space="preserve"> prema varfarinu (interval pouzdanosti 95%)</w:t>
            </w:r>
          </w:p>
        </w:tc>
        <w:tc>
          <w:tcPr>
            <w:tcW w:w="1360" w:type="pct"/>
            <w:vAlign w:val="center"/>
          </w:tcPr>
          <w:p w14:paraId="5464EE47"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1,44 (0,78; 2,64)</w:t>
            </w:r>
          </w:p>
        </w:tc>
        <w:tc>
          <w:tcPr>
            <w:tcW w:w="1361" w:type="pct"/>
            <w:vAlign w:val="center"/>
          </w:tcPr>
          <w:p w14:paraId="3F160BAF"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p>
        </w:tc>
      </w:tr>
      <w:tr w:rsidR="004A3A70" w:rsidRPr="00314858" w14:paraId="65EF5EF2" w14:textId="77777777" w:rsidTr="001F1A28">
        <w:trPr>
          <w:trHeight w:val="20"/>
        </w:trPr>
        <w:tc>
          <w:tcPr>
            <w:tcW w:w="2279" w:type="pct"/>
          </w:tcPr>
          <w:p w14:paraId="491837F9"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Granica neinferiornosti</w:t>
            </w:r>
          </w:p>
        </w:tc>
        <w:tc>
          <w:tcPr>
            <w:tcW w:w="1360" w:type="pct"/>
            <w:vAlign w:val="center"/>
          </w:tcPr>
          <w:p w14:paraId="41281EDA"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2,85</w:t>
            </w:r>
          </w:p>
        </w:tc>
        <w:tc>
          <w:tcPr>
            <w:tcW w:w="1361" w:type="pct"/>
            <w:vAlign w:val="center"/>
          </w:tcPr>
          <w:p w14:paraId="3B347167"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p>
        </w:tc>
      </w:tr>
      <w:tr w:rsidR="004A3A70" w:rsidRPr="00314858" w14:paraId="3E8FDF62" w14:textId="77777777" w:rsidTr="001F1A28">
        <w:trPr>
          <w:trHeight w:val="20"/>
        </w:trPr>
        <w:tc>
          <w:tcPr>
            <w:tcW w:w="2279" w:type="pct"/>
          </w:tcPr>
          <w:p w14:paraId="2B1A64A6" w14:textId="65E19849"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Pacijenti sa događajem nakon 18 m</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eseci </w:t>
            </w:r>
          </w:p>
        </w:tc>
        <w:tc>
          <w:tcPr>
            <w:tcW w:w="1360" w:type="pct"/>
            <w:vAlign w:val="center"/>
          </w:tcPr>
          <w:p w14:paraId="2E93FC03"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22</w:t>
            </w:r>
          </w:p>
        </w:tc>
        <w:tc>
          <w:tcPr>
            <w:tcW w:w="1361" w:type="pct"/>
            <w:vAlign w:val="center"/>
          </w:tcPr>
          <w:p w14:paraId="7E37D268"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17</w:t>
            </w:r>
          </w:p>
        </w:tc>
      </w:tr>
      <w:tr w:rsidR="004A3A70" w:rsidRPr="00314858" w14:paraId="02AE24B0" w14:textId="77777777" w:rsidTr="001F1A28">
        <w:trPr>
          <w:trHeight w:val="20"/>
        </w:trPr>
        <w:tc>
          <w:tcPr>
            <w:tcW w:w="2279" w:type="pct"/>
          </w:tcPr>
          <w:p w14:paraId="30799954" w14:textId="2B9F9366"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Kumulativni rizik nakon 18 m</w:t>
            </w:r>
            <w:r w:rsidR="00D842F2" w:rsidRPr="00314858">
              <w:rPr>
                <w:rFonts w:ascii="Times New Roman" w:hAnsi="Times New Roman" w:cs="Times New Roman"/>
                <w:lang w:val="sr-Latn-ME"/>
              </w:rPr>
              <w:t>j</w:t>
            </w:r>
            <w:r w:rsidRPr="00314858">
              <w:rPr>
                <w:rFonts w:ascii="Times New Roman" w:hAnsi="Times New Roman" w:cs="Times New Roman"/>
                <w:lang w:val="sr-Latn-ME"/>
              </w:rPr>
              <w:t>eseci (%)</w:t>
            </w:r>
          </w:p>
        </w:tc>
        <w:tc>
          <w:tcPr>
            <w:tcW w:w="1360" w:type="pct"/>
            <w:vAlign w:val="center"/>
          </w:tcPr>
          <w:p w14:paraId="43FC067B"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1,7</w:t>
            </w:r>
          </w:p>
        </w:tc>
        <w:tc>
          <w:tcPr>
            <w:tcW w:w="1361" w:type="pct"/>
            <w:vAlign w:val="center"/>
          </w:tcPr>
          <w:p w14:paraId="369163CB"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1,4</w:t>
            </w:r>
          </w:p>
        </w:tc>
      </w:tr>
      <w:tr w:rsidR="004A3A70" w:rsidRPr="00314858" w14:paraId="19BD189F" w14:textId="77777777" w:rsidTr="001F1A28">
        <w:trPr>
          <w:trHeight w:val="20"/>
        </w:trPr>
        <w:tc>
          <w:tcPr>
            <w:tcW w:w="2279" w:type="pct"/>
          </w:tcPr>
          <w:p w14:paraId="6DC2216B"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Razlika rizika u odnosu na varfarin (%)</w:t>
            </w:r>
          </w:p>
        </w:tc>
        <w:tc>
          <w:tcPr>
            <w:tcW w:w="1360" w:type="pct"/>
            <w:vAlign w:val="center"/>
          </w:tcPr>
          <w:p w14:paraId="4B88E987"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0,4</w:t>
            </w:r>
          </w:p>
        </w:tc>
        <w:tc>
          <w:tcPr>
            <w:tcW w:w="1361" w:type="pct"/>
            <w:vAlign w:val="center"/>
          </w:tcPr>
          <w:p w14:paraId="5E73C0EC"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p>
        </w:tc>
      </w:tr>
      <w:tr w:rsidR="004A3A70" w:rsidRPr="00314858" w14:paraId="1A299470" w14:textId="77777777" w:rsidTr="001F1A28">
        <w:trPr>
          <w:trHeight w:val="20"/>
        </w:trPr>
        <w:tc>
          <w:tcPr>
            <w:tcW w:w="2279" w:type="pct"/>
          </w:tcPr>
          <w:p w14:paraId="06663B0C"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Interval pouzdanosti 95% </w:t>
            </w:r>
          </w:p>
        </w:tc>
        <w:tc>
          <w:tcPr>
            <w:tcW w:w="1360" w:type="pct"/>
            <w:vAlign w:val="center"/>
          </w:tcPr>
          <w:p w14:paraId="1AF3E014"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p>
        </w:tc>
        <w:tc>
          <w:tcPr>
            <w:tcW w:w="1361" w:type="pct"/>
            <w:vAlign w:val="center"/>
          </w:tcPr>
          <w:p w14:paraId="18E812E5"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p>
        </w:tc>
      </w:tr>
      <w:tr w:rsidR="004A3A70" w:rsidRPr="00314858" w14:paraId="65E95CB7" w14:textId="77777777" w:rsidTr="001F1A28">
        <w:trPr>
          <w:trHeight w:val="20"/>
        </w:trPr>
        <w:tc>
          <w:tcPr>
            <w:tcW w:w="2279" w:type="pct"/>
          </w:tcPr>
          <w:p w14:paraId="48305DD6"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Granica neinferiornosti</w:t>
            </w:r>
          </w:p>
        </w:tc>
        <w:tc>
          <w:tcPr>
            <w:tcW w:w="1360" w:type="pct"/>
            <w:vAlign w:val="center"/>
          </w:tcPr>
          <w:p w14:paraId="028CA9B8"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2,8</w:t>
            </w:r>
          </w:p>
        </w:tc>
        <w:tc>
          <w:tcPr>
            <w:tcW w:w="1361" w:type="pct"/>
            <w:vAlign w:val="center"/>
          </w:tcPr>
          <w:p w14:paraId="6957BC8D"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p>
        </w:tc>
      </w:tr>
      <w:tr w:rsidR="004A3A70" w:rsidRPr="00314858" w14:paraId="097612A7" w14:textId="77777777" w:rsidTr="001F1A28">
        <w:trPr>
          <w:trHeight w:val="20"/>
        </w:trPr>
        <w:tc>
          <w:tcPr>
            <w:tcW w:w="2279" w:type="pct"/>
          </w:tcPr>
          <w:p w14:paraId="4496D41D"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Sekundarni ishodi efikasnosti</w:t>
            </w:r>
          </w:p>
        </w:tc>
        <w:tc>
          <w:tcPr>
            <w:tcW w:w="1360" w:type="pct"/>
            <w:vAlign w:val="center"/>
          </w:tcPr>
          <w:p w14:paraId="69542B22"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p>
        </w:tc>
        <w:tc>
          <w:tcPr>
            <w:tcW w:w="1361" w:type="pct"/>
            <w:vAlign w:val="center"/>
          </w:tcPr>
          <w:p w14:paraId="5D07A5F2"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p>
        </w:tc>
      </w:tr>
      <w:tr w:rsidR="004A3A70" w:rsidRPr="00314858" w14:paraId="02F1C075" w14:textId="77777777" w:rsidTr="001F1A28">
        <w:trPr>
          <w:trHeight w:val="20"/>
        </w:trPr>
        <w:tc>
          <w:tcPr>
            <w:tcW w:w="2279" w:type="pct"/>
          </w:tcPr>
          <w:p w14:paraId="11B64D10" w14:textId="1A9C0F53"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Rekurentna simptomatska VTE i smrti usl</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ed svih uzroka </w:t>
            </w:r>
          </w:p>
        </w:tc>
        <w:tc>
          <w:tcPr>
            <w:tcW w:w="1360" w:type="pct"/>
            <w:vAlign w:val="center"/>
          </w:tcPr>
          <w:p w14:paraId="19B721BA"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42 (2,9%)</w:t>
            </w:r>
          </w:p>
        </w:tc>
        <w:tc>
          <w:tcPr>
            <w:tcW w:w="1361" w:type="pct"/>
            <w:vAlign w:val="center"/>
          </w:tcPr>
          <w:p w14:paraId="219597EA"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36 (2,5%)</w:t>
            </w:r>
          </w:p>
        </w:tc>
      </w:tr>
      <w:tr w:rsidR="004A3A70" w:rsidRPr="00314858" w14:paraId="742709A9" w14:textId="77777777" w:rsidTr="001F1A28">
        <w:trPr>
          <w:trHeight w:val="20"/>
        </w:trPr>
        <w:tc>
          <w:tcPr>
            <w:tcW w:w="2279" w:type="pct"/>
          </w:tcPr>
          <w:p w14:paraId="0F70F0D2" w14:textId="1B15D20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Interval pouzdanosti 95%</w:t>
            </w:r>
            <w:r w:rsidR="00ED227D" w:rsidRPr="00314858">
              <w:rPr>
                <w:rFonts w:ascii="Times New Roman" w:hAnsi="Times New Roman" w:cs="Times New Roman"/>
                <w:lang w:val="sr-Latn-ME"/>
              </w:rPr>
              <w:t xml:space="preserve"> </w:t>
            </w:r>
          </w:p>
        </w:tc>
        <w:tc>
          <w:tcPr>
            <w:tcW w:w="1360" w:type="pct"/>
            <w:vAlign w:val="center"/>
          </w:tcPr>
          <w:p w14:paraId="7AD35120"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2,12; 3,95</w:t>
            </w:r>
          </w:p>
        </w:tc>
        <w:tc>
          <w:tcPr>
            <w:tcW w:w="1361" w:type="pct"/>
            <w:vAlign w:val="center"/>
          </w:tcPr>
          <w:p w14:paraId="17DC293F"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1,77; 3,48</w:t>
            </w:r>
          </w:p>
        </w:tc>
      </w:tr>
      <w:tr w:rsidR="004A3A70" w:rsidRPr="00314858" w14:paraId="32278FE2" w14:textId="77777777" w:rsidTr="001F1A28">
        <w:trPr>
          <w:trHeight w:val="20"/>
        </w:trPr>
        <w:tc>
          <w:tcPr>
            <w:tcW w:w="2279" w:type="pct"/>
          </w:tcPr>
          <w:p w14:paraId="18AA85F1"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Simptomatska DVT</w:t>
            </w:r>
          </w:p>
        </w:tc>
        <w:tc>
          <w:tcPr>
            <w:tcW w:w="1360" w:type="pct"/>
            <w:vAlign w:val="center"/>
          </w:tcPr>
          <w:p w14:paraId="60E1379B"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17 (1,2%)</w:t>
            </w:r>
          </w:p>
        </w:tc>
        <w:tc>
          <w:tcPr>
            <w:tcW w:w="1361" w:type="pct"/>
            <w:vAlign w:val="center"/>
          </w:tcPr>
          <w:p w14:paraId="3B1F12F8"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13 (0,9%)</w:t>
            </w:r>
          </w:p>
        </w:tc>
      </w:tr>
      <w:tr w:rsidR="004A3A70" w:rsidRPr="00314858" w14:paraId="4670376A" w14:textId="77777777" w:rsidTr="001F1A28">
        <w:trPr>
          <w:trHeight w:val="20"/>
        </w:trPr>
        <w:tc>
          <w:tcPr>
            <w:tcW w:w="2279" w:type="pct"/>
          </w:tcPr>
          <w:p w14:paraId="32C79822"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Interval pouzdanosti 95% </w:t>
            </w:r>
          </w:p>
        </w:tc>
        <w:tc>
          <w:tcPr>
            <w:tcW w:w="1360" w:type="pct"/>
            <w:vAlign w:val="center"/>
          </w:tcPr>
          <w:p w14:paraId="2E2431AF"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0,69; 1,90</w:t>
            </w:r>
          </w:p>
        </w:tc>
        <w:tc>
          <w:tcPr>
            <w:tcW w:w="1361" w:type="pct"/>
            <w:vAlign w:val="center"/>
          </w:tcPr>
          <w:p w14:paraId="3D92DE8A"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0,49; 1,55</w:t>
            </w:r>
          </w:p>
        </w:tc>
      </w:tr>
      <w:tr w:rsidR="004A3A70" w:rsidRPr="00314858" w14:paraId="1B33067B" w14:textId="77777777" w:rsidTr="001F1A28">
        <w:trPr>
          <w:trHeight w:val="20"/>
        </w:trPr>
        <w:tc>
          <w:tcPr>
            <w:tcW w:w="2279" w:type="pct"/>
          </w:tcPr>
          <w:p w14:paraId="5A0AAAD5"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Simptomatska PE</w:t>
            </w:r>
          </w:p>
        </w:tc>
        <w:tc>
          <w:tcPr>
            <w:tcW w:w="1360" w:type="pct"/>
            <w:vAlign w:val="center"/>
          </w:tcPr>
          <w:p w14:paraId="66489899"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10 (0,7%)</w:t>
            </w:r>
          </w:p>
        </w:tc>
        <w:tc>
          <w:tcPr>
            <w:tcW w:w="1361" w:type="pct"/>
            <w:vAlign w:val="center"/>
          </w:tcPr>
          <w:p w14:paraId="0A132304"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5 (0,4%)</w:t>
            </w:r>
          </w:p>
        </w:tc>
      </w:tr>
      <w:tr w:rsidR="004A3A70" w:rsidRPr="00314858" w14:paraId="01ABE08D" w14:textId="77777777" w:rsidTr="001F1A28">
        <w:trPr>
          <w:trHeight w:val="20"/>
        </w:trPr>
        <w:tc>
          <w:tcPr>
            <w:tcW w:w="2279" w:type="pct"/>
          </w:tcPr>
          <w:p w14:paraId="0F8C4EBD"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Interval pouzdanosti 95% </w:t>
            </w:r>
          </w:p>
        </w:tc>
        <w:tc>
          <w:tcPr>
            <w:tcW w:w="1360" w:type="pct"/>
            <w:vAlign w:val="center"/>
          </w:tcPr>
          <w:p w14:paraId="14B56907"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0,34; 1,28</w:t>
            </w:r>
          </w:p>
        </w:tc>
        <w:tc>
          <w:tcPr>
            <w:tcW w:w="1361" w:type="pct"/>
            <w:vAlign w:val="center"/>
          </w:tcPr>
          <w:p w14:paraId="0E8AE625"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0,11; 0,82</w:t>
            </w:r>
          </w:p>
        </w:tc>
      </w:tr>
      <w:tr w:rsidR="004A3A70" w:rsidRPr="00314858" w14:paraId="03F80A88" w14:textId="77777777" w:rsidTr="001F1A28">
        <w:trPr>
          <w:trHeight w:val="20"/>
        </w:trPr>
        <w:tc>
          <w:tcPr>
            <w:tcW w:w="2279" w:type="pct"/>
          </w:tcPr>
          <w:p w14:paraId="39D24329"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Smrti povezane sa VTE</w:t>
            </w:r>
          </w:p>
        </w:tc>
        <w:tc>
          <w:tcPr>
            <w:tcW w:w="1360" w:type="pct"/>
            <w:vAlign w:val="center"/>
          </w:tcPr>
          <w:p w14:paraId="52674FBE"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 (0,1%)</w:t>
            </w:r>
          </w:p>
        </w:tc>
        <w:tc>
          <w:tcPr>
            <w:tcW w:w="1361" w:type="pct"/>
            <w:vAlign w:val="center"/>
          </w:tcPr>
          <w:p w14:paraId="606B0051"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 (0,1%)</w:t>
            </w:r>
          </w:p>
        </w:tc>
      </w:tr>
      <w:tr w:rsidR="004A3A70" w:rsidRPr="00314858" w14:paraId="64655786" w14:textId="77777777" w:rsidTr="001F1A28">
        <w:trPr>
          <w:trHeight w:val="20"/>
        </w:trPr>
        <w:tc>
          <w:tcPr>
            <w:tcW w:w="2279" w:type="pct"/>
          </w:tcPr>
          <w:p w14:paraId="5DB8B47C"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Interval pouzdanosti 95% </w:t>
            </w:r>
          </w:p>
        </w:tc>
        <w:tc>
          <w:tcPr>
            <w:tcW w:w="1360" w:type="pct"/>
            <w:vAlign w:val="center"/>
          </w:tcPr>
          <w:p w14:paraId="11F0D1EA"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0,00; 0,39</w:t>
            </w:r>
          </w:p>
        </w:tc>
        <w:tc>
          <w:tcPr>
            <w:tcW w:w="1361" w:type="pct"/>
            <w:vAlign w:val="center"/>
          </w:tcPr>
          <w:p w14:paraId="5EB1C1D1"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0,00; 0,39</w:t>
            </w:r>
          </w:p>
        </w:tc>
      </w:tr>
      <w:tr w:rsidR="004A3A70" w:rsidRPr="00314858" w14:paraId="4B914E68" w14:textId="77777777" w:rsidTr="001F1A28">
        <w:trPr>
          <w:trHeight w:val="20"/>
        </w:trPr>
        <w:tc>
          <w:tcPr>
            <w:tcW w:w="2279" w:type="pct"/>
          </w:tcPr>
          <w:p w14:paraId="1EDB9F66" w14:textId="70049EB8"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Smrti usl</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ed svih uzroka </w:t>
            </w:r>
          </w:p>
        </w:tc>
        <w:tc>
          <w:tcPr>
            <w:tcW w:w="1360" w:type="pct"/>
            <w:vAlign w:val="center"/>
          </w:tcPr>
          <w:p w14:paraId="6A7EDF39"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17 (1,2%)</w:t>
            </w:r>
          </w:p>
        </w:tc>
        <w:tc>
          <w:tcPr>
            <w:tcW w:w="1361" w:type="pct"/>
            <w:vAlign w:val="center"/>
          </w:tcPr>
          <w:p w14:paraId="20467F60"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19 (1,3%)</w:t>
            </w:r>
          </w:p>
        </w:tc>
      </w:tr>
      <w:tr w:rsidR="004A3A70" w:rsidRPr="00314858" w14:paraId="4EC3BDF0" w14:textId="77777777" w:rsidTr="001F1A28">
        <w:trPr>
          <w:trHeight w:val="20"/>
        </w:trPr>
        <w:tc>
          <w:tcPr>
            <w:tcW w:w="2279" w:type="pct"/>
          </w:tcPr>
          <w:p w14:paraId="2079BF07"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Interval pouzdanosti 95% </w:t>
            </w:r>
          </w:p>
        </w:tc>
        <w:tc>
          <w:tcPr>
            <w:tcW w:w="1360" w:type="pct"/>
            <w:vAlign w:val="center"/>
          </w:tcPr>
          <w:p w14:paraId="79A241D0"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0,69; 1,90</w:t>
            </w:r>
          </w:p>
        </w:tc>
        <w:tc>
          <w:tcPr>
            <w:tcW w:w="1361" w:type="pct"/>
            <w:vAlign w:val="center"/>
          </w:tcPr>
          <w:p w14:paraId="60C3B355"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0,80; 2,07</w:t>
            </w:r>
          </w:p>
        </w:tc>
      </w:tr>
    </w:tbl>
    <w:p w14:paraId="362A9244" w14:textId="77777777" w:rsidR="00D67D34" w:rsidRPr="00314858" w:rsidRDefault="00D67D34" w:rsidP="00D67D34">
      <w:pPr>
        <w:spacing w:after="0" w:line="240" w:lineRule="auto"/>
        <w:jc w:val="both"/>
        <w:rPr>
          <w:rFonts w:ascii="Times New Roman" w:hAnsi="Times New Roman" w:cs="Times New Roman"/>
          <w:b/>
          <w:bCs/>
          <w:lang w:val="sr-Latn-ME" w:bidi="en-US"/>
        </w:rPr>
      </w:pPr>
    </w:p>
    <w:p w14:paraId="17A6DA96" w14:textId="619C9D97" w:rsidR="004A3A70"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Cilj studije RE-SONATE bio je proc</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ena superiornosti dabigatraneteksilata u odnosu na placebo radi prevencije rekurentne simptomatske DVT i/ili PE kod pacijenata koji su već završili </w:t>
      </w:r>
      <w:r w:rsidR="00004CEC" w:rsidRPr="00314858">
        <w:rPr>
          <w:rFonts w:ascii="Times New Roman" w:hAnsi="Times New Roman" w:cs="Times New Roman"/>
          <w:lang w:val="sr-Latn-ME"/>
        </w:rPr>
        <w:t xml:space="preserve">od </w:t>
      </w:r>
      <w:r w:rsidRPr="00314858">
        <w:rPr>
          <w:rFonts w:ascii="Times New Roman" w:hAnsi="Times New Roman" w:cs="Times New Roman"/>
          <w:lang w:val="sr-Latn-ME"/>
        </w:rPr>
        <w:t>6</w:t>
      </w:r>
      <w:r w:rsidR="004A3A70" w:rsidRPr="00314858">
        <w:rPr>
          <w:rFonts w:ascii="Times New Roman" w:hAnsi="Times New Roman" w:cs="Times New Roman"/>
          <w:lang w:val="sr-Latn-ME"/>
        </w:rPr>
        <w:t xml:space="preserve"> do </w:t>
      </w:r>
      <w:r w:rsidRPr="00314858">
        <w:rPr>
          <w:rFonts w:ascii="Times New Roman" w:hAnsi="Times New Roman" w:cs="Times New Roman"/>
          <w:lang w:val="sr-Latn-ME"/>
        </w:rPr>
        <w:t>18 m</w:t>
      </w:r>
      <w:r w:rsidR="00D842F2" w:rsidRPr="00314858">
        <w:rPr>
          <w:rFonts w:ascii="Times New Roman" w:hAnsi="Times New Roman" w:cs="Times New Roman"/>
          <w:lang w:val="sr-Latn-ME"/>
        </w:rPr>
        <w:t>j</w:t>
      </w:r>
      <w:r w:rsidRPr="00314858">
        <w:rPr>
          <w:rFonts w:ascii="Times New Roman" w:hAnsi="Times New Roman" w:cs="Times New Roman"/>
          <w:lang w:val="sr-Latn-ME"/>
        </w:rPr>
        <w:t>eseci l</w:t>
      </w:r>
      <w:r w:rsidR="00D842F2" w:rsidRPr="00314858">
        <w:rPr>
          <w:rFonts w:ascii="Times New Roman" w:hAnsi="Times New Roman" w:cs="Times New Roman"/>
          <w:lang w:val="sr-Latn-ME"/>
        </w:rPr>
        <w:t>ij</w:t>
      </w:r>
      <w:r w:rsidRPr="00314858">
        <w:rPr>
          <w:rFonts w:ascii="Times New Roman" w:hAnsi="Times New Roman" w:cs="Times New Roman"/>
          <w:lang w:val="sr-Latn-ME"/>
        </w:rPr>
        <w:t>ečenja sa VKA.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Predviđena terapija je bila 6 m</w:t>
      </w:r>
      <w:r w:rsidR="00D842F2" w:rsidRPr="00314858">
        <w:rPr>
          <w:rFonts w:ascii="Times New Roman" w:hAnsi="Times New Roman" w:cs="Times New Roman"/>
          <w:lang w:val="sr-Latn-ME"/>
        </w:rPr>
        <w:t>j</w:t>
      </w:r>
      <w:r w:rsidRPr="00314858">
        <w:rPr>
          <w:rFonts w:ascii="Times New Roman" w:hAnsi="Times New Roman" w:cs="Times New Roman"/>
          <w:lang w:val="sr-Latn-ME"/>
        </w:rPr>
        <w:t>eseci prim</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ene dabigatraneteksilata 150 mg dva puta </w:t>
      </w:r>
      <w:r w:rsidR="004A3A70" w:rsidRPr="00314858">
        <w:rPr>
          <w:rFonts w:ascii="Times New Roman" w:hAnsi="Times New Roman" w:cs="Times New Roman"/>
          <w:lang w:val="sr-Latn-ME"/>
        </w:rPr>
        <w:t>dnevno</w:t>
      </w:r>
      <w:r w:rsidRPr="00314858">
        <w:rPr>
          <w:rFonts w:ascii="Times New Roman" w:hAnsi="Times New Roman" w:cs="Times New Roman"/>
          <w:lang w:val="sr-Latn-ME"/>
        </w:rPr>
        <w:t xml:space="preserve"> bez potrebe za praćenjem. </w:t>
      </w:r>
    </w:p>
    <w:p w14:paraId="4A8FA074" w14:textId="77777777" w:rsidR="00004CEC" w:rsidRPr="00314858" w:rsidRDefault="00004CEC" w:rsidP="00D67D34">
      <w:pPr>
        <w:spacing w:after="0" w:line="240" w:lineRule="auto"/>
        <w:jc w:val="both"/>
        <w:rPr>
          <w:rFonts w:ascii="Times New Roman" w:hAnsi="Times New Roman" w:cs="Times New Roman"/>
          <w:lang w:val="sr-Latn-ME"/>
        </w:rPr>
      </w:pPr>
    </w:p>
    <w:p w14:paraId="3D19B95F" w14:textId="415C9FC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Studija RE-SONATE je pokazala da je dabigatraneteksilat bio superioran u odnosu na placebo u prevenciji rekurentnih simptomatskih događaja DVT/PE uključujući neobjašnjene smrti, uz smanjenje </w:t>
      </w:r>
      <w:r w:rsidRPr="00314858">
        <w:rPr>
          <w:rFonts w:ascii="Times New Roman" w:hAnsi="Times New Roman" w:cs="Times New Roman"/>
          <w:lang w:val="sr-Latn-ME"/>
        </w:rPr>
        <w:lastRenderedPageBreak/>
        <w:t xml:space="preserve">rizika sa 5,6% na 0,4% (smanjenje relativnog rizika 92% na osnovu </w:t>
      </w:r>
      <w:r w:rsidR="005853C0" w:rsidRPr="00314858">
        <w:rPr>
          <w:rFonts w:ascii="Times New Roman" w:hAnsi="Times New Roman" w:cs="Times New Roman"/>
          <w:i/>
          <w:lang w:val="sr-Latn-ME"/>
        </w:rPr>
        <w:t>hazard ratio</w:t>
      </w:r>
      <w:r w:rsidRPr="00314858">
        <w:rPr>
          <w:rFonts w:ascii="Times New Roman" w:hAnsi="Times New Roman" w:cs="Times New Roman"/>
          <w:lang w:val="sr-Latn-ME"/>
        </w:rPr>
        <w:t xml:space="preserve"> tokom perioda l</w:t>
      </w:r>
      <w:r w:rsidR="00D842F2" w:rsidRPr="00314858">
        <w:rPr>
          <w:rFonts w:ascii="Times New Roman" w:hAnsi="Times New Roman" w:cs="Times New Roman"/>
          <w:lang w:val="sr-Latn-ME"/>
        </w:rPr>
        <w:t>ij</w:t>
      </w:r>
      <w:r w:rsidRPr="00314858">
        <w:rPr>
          <w:rFonts w:ascii="Times New Roman" w:hAnsi="Times New Roman" w:cs="Times New Roman"/>
          <w:lang w:val="sr-Latn-ME"/>
        </w:rPr>
        <w:t>ečenja (p&lt;</w:t>
      </w:r>
      <w:r w:rsidR="00D2101D" w:rsidRPr="00314858">
        <w:rPr>
          <w:rFonts w:ascii="Times New Roman" w:hAnsi="Times New Roman" w:cs="Times New Roman"/>
          <w:lang w:val="sr-Latn-ME"/>
        </w:rPr>
        <w:t xml:space="preserve"> </w:t>
      </w:r>
      <w:r w:rsidRPr="00314858">
        <w:rPr>
          <w:rFonts w:ascii="Times New Roman" w:hAnsi="Times New Roman" w:cs="Times New Roman"/>
          <w:lang w:val="sr-Latn-ME"/>
        </w:rPr>
        <w:t>0,0001).</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Sve sekundarne i analize os</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etljivosti primarnog ishoda i svih sekundarnih ishoda pokazale su superiornost dabigatraneteksilata u odnosu na placebo. </w:t>
      </w:r>
    </w:p>
    <w:p w14:paraId="6A1F58F1" w14:textId="77777777" w:rsidR="005853C0" w:rsidRPr="00314858" w:rsidRDefault="005853C0" w:rsidP="00D67D34">
      <w:pPr>
        <w:spacing w:after="0" w:line="240" w:lineRule="auto"/>
        <w:jc w:val="both"/>
        <w:rPr>
          <w:rFonts w:ascii="Times New Roman" w:hAnsi="Times New Roman" w:cs="Times New Roman"/>
          <w:lang w:val="sr-Latn-ME"/>
        </w:rPr>
      </w:pPr>
    </w:p>
    <w:p w14:paraId="1EE952EC" w14:textId="2BA7853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Studija je uključivala period opservaci</w:t>
      </w:r>
      <w:r w:rsidR="004A3A70" w:rsidRPr="00314858">
        <w:rPr>
          <w:rFonts w:ascii="Times New Roman" w:hAnsi="Times New Roman" w:cs="Times New Roman"/>
          <w:lang w:val="sr-Latn-ME"/>
        </w:rPr>
        <w:t>onog praćenja</w:t>
      </w:r>
      <w:r w:rsidRPr="00314858">
        <w:rPr>
          <w:rFonts w:ascii="Times New Roman" w:hAnsi="Times New Roman" w:cs="Times New Roman"/>
          <w:lang w:val="sr-Latn-ME"/>
        </w:rPr>
        <w:t xml:space="preserve"> u trajanju 12 m</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eseci nakon </w:t>
      </w:r>
      <w:r w:rsidR="004A3A70" w:rsidRPr="00314858">
        <w:rPr>
          <w:rFonts w:ascii="Times New Roman" w:hAnsi="Times New Roman" w:cs="Times New Roman"/>
          <w:lang w:val="sr-Latn-ME"/>
        </w:rPr>
        <w:t>završetka</w:t>
      </w:r>
      <w:r w:rsidRPr="00314858">
        <w:rPr>
          <w:rFonts w:ascii="Times New Roman" w:hAnsi="Times New Roman" w:cs="Times New Roman"/>
          <w:lang w:val="sr-Latn-ME"/>
        </w:rPr>
        <w:t xml:space="preserve"> </w:t>
      </w:r>
      <w:r w:rsidR="003067EE" w:rsidRPr="00314858">
        <w:rPr>
          <w:rFonts w:ascii="Times New Roman" w:hAnsi="Times New Roman" w:cs="Times New Roman"/>
          <w:lang w:val="sr-Latn-ME"/>
        </w:rPr>
        <w:t>terapije</w:t>
      </w:r>
      <w:r w:rsidRPr="00314858">
        <w:rPr>
          <w:rFonts w:ascii="Times New Roman" w:hAnsi="Times New Roman" w:cs="Times New Roman"/>
          <w:lang w:val="sr-Latn-ME"/>
        </w:rPr>
        <w:t>. Nakon prekida prim</w:t>
      </w:r>
      <w:r w:rsidR="00D842F2" w:rsidRPr="00314858">
        <w:rPr>
          <w:rFonts w:ascii="Times New Roman" w:hAnsi="Times New Roman" w:cs="Times New Roman"/>
          <w:lang w:val="sr-Latn-ME"/>
        </w:rPr>
        <w:t>j</w:t>
      </w:r>
      <w:r w:rsidRPr="00314858">
        <w:rPr>
          <w:rFonts w:ascii="Times New Roman" w:hAnsi="Times New Roman" w:cs="Times New Roman"/>
          <w:lang w:val="sr-Latn-ME"/>
        </w:rPr>
        <w:t>ene ispitivanog l</w:t>
      </w:r>
      <w:r w:rsidR="00D842F2" w:rsidRPr="00314858">
        <w:rPr>
          <w:rFonts w:ascii="Times New Roman" w:hAnsi="Times New Roman" w:cs="Times New Roman"/>
          <w:lang w:val="sr-Latn-ME"/>
        </w:rPr>
        <w:t>ij</w:t>
      </w:r>
      <w:r w:rsidRPr="00314858">
        <w:rPr>
          <w:rFonts w:ascii="Times New Roman" w:hAnsi="Times New Roman" w:cs="Times New Roman"/>
          <w:lang w:val="sr-Latn-ME"/>
        </w:rPr>
        <w:t xml:space="preserve">eka </w:t>
      </w:r>
      <w:r w:rsidR="003067EE" w:rsidRPr="00314858">
        <w:rPr>
          <w:rFonts w:ascii="Times New Roman" w:hAnsi="Times New Roman" w:cs="Times New Roman"/>
          <w:lang w:val="sr-Latn-ME"/>
        </w:rPr>
        <w:t>dejstvo</w:t>
      </w:r>
      <w:r w:rsidRPr="00314858">
        <w:rPr>
          <w:rFonts w:ascii="Times New Roman" w:hAnsi="Times New Roman" w:cs="Times New Roman"/>
          <w:lang w:val="sr-Latn-ME"/>
        </w:rPr>
        <w:t xml:space="preserve"> se održa</w:t>
      </w:r>
      <w:r w:rsidR="003067EE" w:rsidRPr="00314858">
        <w:rPr>
          <w:rFonts w:ascii="Times New Roman" w:hAnsi="Times New Roman" w:cs="Times New Roman"/>
          <w:lang w:val="sr-Latn-ME"/>
        </w:rPr>
        <w:t>l</w:t>
      </w:r>
      <w:r w:rsidRPr="00314858">
        <w:rPr>
          <w:rFonts w:ascii="Times New Roman" w:hAnsi="Times New Roman" w:cs="Times New Roman"/>
          <w:lang w:val="sr-Latn-ME"/>
        </w:rPr>
        <w:t>o do kraja perioda praćenja, što ukazuje da je početn</w:t>
      </w:r>
      <w:r w:rsidR="003067EE" w:rsidRPr="00314858">
        <w:rPr>
          <w:rFonts w:ascii="Times New Roman" w:hAnsi="Times New Roman" w:cs="Times New Roman"/>
          <w:lang w:val="sr-Latn-ME"/>
        </w:rPr>
        <w:t>o terapijsko dejstvo</w:t>
      </w:r>
      <w:r w:rsidRPr="00314858">
        <w:rPr>
          <w:rFonts w:ascii="Times New Roman" w:hAnsi="Times New Roman" w:cs="Times New Roman"/>
          <w:lang w:val="sr-Latn-ME"/>
        </w:rPr>
        <w:t xml:space="preserve"> dabigatraneteksilata bi</w:t>
      </w:r>
      <w:r w:rsidR="003067EE" w:rsidRPr="00314858">
        <w:rPr>
          <w:rFonts w:ascii="Times New Roman" w:hAnsi="Times New Roman" w:cs="Times New Roman"/>
          <w:lang w:val="sr-Latn-ME"/>
        </w:rPr>
        <w:t>l</w:t>
      </w:r>
      <w:r w:rsidRPr="00314858">
        <w:rPr>
          <w:rFonts w:ascii="Times New Roman" w:hAnsi="Times New Roman" w:cs="Times New Roman"/>
          <w:lang w:val="sr-Latn-ME"/>
        </w:rPr>
        <w:t xml:space="preserve">o </w:t>
      </w:r>
      <w:r w:rsidR="004A3A70" w:rsidRPr="00314858">
        <w:rPr>
          <w:rFonts w:ascii="Times New Roman" w:hAnsi="Times New Roman" w:cs="Times New Roman"/>
          <w:lang w:val="sr-Latn-ME"/>
        </w:rPr>
        <w:t>održan</w:t>
      </w:r>
      <w:r w:rsidR="003067EE" w:rsidRPr="00314858">
        <w:rPr>
          <w:rFonts w:ascii="Times New Roman" w:hAnsi="Times New Roman" w:cs="Times New Roman"/>
          <w:lang w:val="sr-Latn-ME"/>
        </w:rPr>
        <w:t>o</w:t>
      </w:r>
      <w:r w:rsidRPr="00314858">
        <w:rPr>
          <w:rFonts w:ascii="Times New Roman" w:hAnsi="Times New Roman" w:cs="Times New Roman"/>
          <w:lang w:val="sr-Latn-ME"/>
        </w:rPr>
        <w:t>.</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Nije bio prim</w:t>
      </w:r>
      <w:r w:rsidR="00D842F2" w:rsidRPr="00314858">
        <w:rPr>
          <w:rFonts w:ascii="Times New Roman" w:hAnsi="Times New Roman" w:cs="Times New Roman"/>
          <w:lang w:val="sr-Latn-ME"/>
        </w:rPr>
        <w:t>ij</w:t>
      </w:r>
      <w:r w:rsidRPr="00314858">
        <w:rPr>
          <w:rFonts w:ascii="Times New Roman" w:hAnsi="Times New Roman" w:cs="Times New Roman"/>
          <w:lang w:val="sr-Latn-ME"/>
        </w:rPr>
        <w:t>ećen povratni (</w:t>
      </w:r>
      <w:r w:rsidR="004A3A70" w:rsidRPr="00314858">
        <w:rPr>
          <w:rFonts w:ascii="Times New Roman" w:hAnsi="Times New Roman" w:cs="Times New Roman"/>
          <w:lang w:val="sr-Latn-ME"/>
        </w:rPr>
        <w:t xml:space="preserve">engl. </w:t>
      </w:r>
      <w:r w:rsidRPr="00314858">
        <w:rPr>
          <w:rFonts w:ascii="Times New Roman" w:hAnsi="Times New Roman" w:cs="Times New Roman"/>
          <w:i/>
          <w:iCs/>
          <w:lang w:val="sr-Latn-ME"/>
        </w:rPr>
        <w:t>rebound</w:t>
      </w:r>
      <w:r w:rsidRPr="00314858">
        <w:rPr>
          <w:rFonts w:ascii="Times New Roman" w:hAnsi="Times New Roman" w:cs="Times New Roman"/>
          <w:lang w:val="sr-Latn-ME"/>
        </w:rPr>
        <w:t>) efekat.</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Na kraju praćenja stopa VTE događaja kod pacijenata l</w:t>
      </w:r>
      <w:r w:rsidR="00D842F2" w:rsidRPr="00314858">
        <w:rPr>
          <w:rFonts w:ascii="Times New Roman" w:hAnsi="Times New Roman" w:cs="Times New Roman"/>
          <w:lang w:val="sr-Latn-ME"/>
        </w:rPr>
        <w:t>ij</w:t>
      </w:r>
      <w:r w:rsidRPr="00314858">
        <w:rPr>
          <w:rFonts w:ascii="Times New Roman" w:hAnsi="Times New Roman" w:cs="Times New Roman"/>
          <w:lang w:val="sr-Latn-ME"/>
        </w:rPr>
        <w:t>ečenih dabigatraneteksilatom bila je 6,9% prema 10,7% u placebo grupi (</w:t>
      </w:r>
      <w:r w:rsidR="003067EE" w:rsidRPr="00314858">
        <w:rPr>
          <w:rFonts w:ascii="Times New Roman" w:hAnsi="Times New Roman" w:cs="Times New Roman"/>
          <w:i/>
          <w:lang w:val="sr-Latn-ME"/>
        </w:rPr>
        <w:t>hazard ratio</w:t>
      </w:r>
      <w:r w:rsidRPr="00314858">
        <w:rPr>
          <w:rFonts w:ascii="Times New Roman" w:hAnsi="Times New Roman" w:cs="Times New Roman"/>
          <w:lang w:val="sr-Latn-ME"/>
        </w:rPr>
        <w:t xml:space="preserve"> 0,61 (95% CI 0,42; 0,88), p=0,0082).</w:t>
      </w:r>
    </w:p>
    <w:p w14:paraId="781EE04D" w14:textId="77777777" w:rsidR="00D67D34" w:rsidRPr="00314858" w:rsidRDefault="00D67D34" w:rsidP="00D67D34">
      <w:pPr>
        <w:spacing w:after="0" w:line="240" w:lineRule="auto"/>
        <w:jc w:val="both"/>
        <w:rPr>
          <w:rFonts w:ascii="Times New Roman" w:hAnsi="Times New Roman" w:cs="Times New Roman"/>
          <w:lang w:val="sr-Latn-ME" w:bidi="en-US"/>
        </w:rPr>
      </w:pPr>
    </w:p>
    <w:p w14:paraId="53E3A8FC" w14:textId="3DF2FBAD"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24</w:t>
      </w:r>
      <w:r w:rsidR="003067EE"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Analiza primarnih i sekundarnih ishoda efikasnosti (VTE je sastavljena od DVT i/ili PE) do kraja perioda </w:t>
      </w:r>
      <w:r w:rsidR="003067EE" w:rsidRPr="00314858">
        <w:rPr>
          <w:rFonts w:ascii="Times New Roman" w:hAnsi="Times New Roman" w:cs="Times New Roman"/>
          <w:b/>
          <w:bCs/>
          <w:lang w:val="sr-Latn-ME" w:bidi="en-US"/>
        </w:rPr>
        <w:t>nakon terapije</w:t>
      </w:r>
      <w:r w:rsidRPr="00314858">
        <w:rPr>
          <w:rFonts w:ascii="Times New Roman" w:hAnsi="Times New Roman" w:cs="Times New Roman"/>
          <w:b/>
          <w:bCs/>
          <w:lang w:val="sr-Latn-ME" w:bidi="en-US"/>
        </w:rPr>
        <w:t xml:space="preserve"> u studiji RE-SONATE</w:t>
      </w:r>
      <w:r w:rsidR="003067EE" w:rsidRPr="00314858">
        <w:rPr>
          <w:rFonts w:ascii="Times New Roman" w:hAnsi="Times New Roman" w:cs="Times New Roman"/>
          <w:b/>
          <w:bCs/>
          <w:lang w:val="sr-Latn-ME" w:bidi="en-US"/>
        </w:rPr>
        <w:t>.</w:t>
      </w:r>
    </w:p>
    <w:p w14:paraId="772D8214" w14:textId="77777777" w:rsidR="003067EE" w:rsidRPr="00314858" w:rsidRDefault="003067EE" w:rsidP="00D67D34">
      <w:pPr>
        <w:spacing w:after="0" w:line="240" w:lineRule="auto"/>
        <w:jc w:val="both"/>
        <w:rPr>
          <w:rFonts w:ascii="Times New Roman" w:hAnsi="Times New Roman" w:cs="Times New Roman"/>
          <w:b/>
          <w:bCs/>
          <w:lang w:val="sr-Latn-M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95"/>
        <w:gridCol w:w="3445"/>
        <w:gridCol w:w="2520"/>
      </w:tblGrid>
      <w:tr w:rsidR="004A3A70" w:rsidRPr="00314858" w14:paraId="1B0F9292" w14:textId="77777777" w:rsidTr="001F1A28">
        <w:trPr>
          <w:trHeight w:val="20"/>
        </w:trPr>
        <w:tc>
          <w:tcPr>
            <w:tcW w:w="1708" w:type="pct"/>
          </w:tcPr>
          <w:p w14:paraId="28ADB863" w14:textId="77777777" w:rsidR="004A3A70" w:rsidRPr="00314858" w:rsidRDefault="004A3A70" w:rsidP="001F1A28">
            <w:pPr>
              <w:tabs>
                <w:tab w:val="left" w:pos="7920"/>
              </w:tabs>
              <w:spacing w:after="0" w:line="240" w:lineRule="auto"/>
              <w:rPr>
                <w:rFonts w:ascii="Times New Roman" w:hAnsi="Times New Roman" w:cs="Times New Roman"/>
                <w:lang w:val="sr-Latn-ME"/>
              </w:rPr>
            </w:pPr>
          </w:p>
        </w:tc>
        <w:tc>
          <w:tcPr>
            <w:tcW w:w="1901" w:type="pct"/>
            <w:vAlign w:val="center"/>
          </w:tcPr>
          <w:p w14:paraId="2B87760C" w14:textId="77777777" w:rsidR="004A3A70" w:rsidRPr="00314858" w:rsidRDefault="004A3A70" w:rsidP="001F1A28">
            <w:pPr>
              <w:tabs>
                <w:tab w:val="left" w:pos="7920"/>
              </w:tabs>
              <w:spacing w:after="0" w:line="240" w:lineRule="auto"/>
              <w:contextualSpacing/>
              <w:jc w:val="center"/>
              <w:rPr>
                <w:rFonts w:ascii="Times New Roman" w:hAnsi="Times New Roman" w:cs="Times New Roman"/>
                <w:lang w:val="sr-Latn-ME"/>
              </w:rPr>
            </w:pPr>
            <w:r w:rsidRPr="00314858">
              <w:rPr>
                <w:rFonts w:ascii="Times New Roman" w:hAnsi="Times New Roman" w:cs="Times New Roman"/>
                <w:lang w:val="sr-Latn-ME"/>
              </w:rPr>
              <w:t>Dabigatraneteksilat</w:t>
            </w:r>
          </w:p>
          <w:p w14:paraId="06C87A29" w14:textId="77777777" w:rsidR="004A3A70" w:rsidRPr="00314858" w:rsidRDefault="004A3A70" w:rsidP="001F1A28">
            <w:pPr>
              <w:tabs>
                <w:tab w:val="left" w:pos="7920"/>
              </w:tabs>
              <w:spacing w:after="0" w:line="240" w:lineRule="auto"/>
              <w:contextualSpacing/>
              <w:jc w:val="center"/>
              <w:rPr>
                <w:rFonts w:ascii="Times New Roman" w:hAnsi="Times New Roman" w:cs="Times New Roman"/>
                <w:lang w:val="sr-Latn-ME"/>
              </w:rPr>
            </w:pPr>
            <w:r w:rsidRPr="00314858">
              <w:rPr>
                <w:rFonts w:ascii="Times New Roman" w:hAnsi="Times New Roman" w:cs="Times New Roman"/>
                <w:lang w:val="sr-Latn-ME"/>
              </w:rPr>
              <w:t>150 mg dva puta dnevno</w:t>
            </w:r>
          </w:p>
        </w:tc>
        <w:tc>
          <w:tcPr>
            <w:tcW w:w="1391" w:type="pct"/>
            <w:vAlign w:val="center"/>
          </w:tcPr>
          <w:p w14:paraId="54033B87"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Placebo</w:t>
            </w:r>
          </w:p>
        </w:tc>
      </w:tr>
      <w:tr w:rsidR="004A3A70" w:rsidRPr="00314858" w14:paraId="2673CC88" w14:textId="77777777" w:rsidTr="001F1A28">
        <w:trPr>
          <w:trHeight w:val="20"/>
        </w:trPr>
        <w:tc>
          <w:tcPr>
            <w:tcW w:w="1708" w:type="pct"/>
          </w:tcPr>
          <w:p w14:paraId="3F76AD6D" w14:textId="632BF38B"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L</w:t>
            </w:r>
            <w:r w:rsidR="00D842F2" w:rsidRPr="00314858">
              <w:rPr>
                <w:rFonts w:ascii="Times New Roman" w:hAnsi="Times New Roman" w:cs="Times New Roman"/>
                <w:lang w:val="sr-Latn-ME"/>
              </w:rPr>
              <w:t>ij</w:t>
            </w:r>
            <w:r w:rsidRPr="00314858">
              <w:rPr>
                <w:rFonts w:ascii="Times New Roman" w:hAnsi="Times New Roman" w:cs="Times New Roman"/>
                <w:lang w:val="sr-Latn-ME"/>
              </w:rPr>
              <w:t>ečeni pacijenti</w:t>
            </w:r>
          </w:p>
        </w:tc>
        <w:tc>
          <w:tcPr>
            <w:tcW w:w="1901" w:type="pct"/>
            <w:vAlign w:val="center"/>
          </w:tcPr>
          <w:p w14:paraId="46E805E4"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681</w:t>
            </w:r>
          </w:p>
        </w:tc>
        <w:tc>
          <w:tcPr>
            <w:tcW w:w="1391" w:type="pct"/>
            <w:vAlign w:val="center"/>
          </w:tcPr>
          <w:p w14:paraId="4E36C6C2"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662</w:t>
            </w:r>
          </w:p>
        </w:tc>
      </w:tr>
      <w:tr w:rsidR="004A3A70" w:rsidRPr="00314858" w14:paraId="68C555EE" w14:textId="77777777" w:rsidTr="001F1A28">
        <w:trPr>
          <w:trHeight w:val="20"/>
        </w:trPr>
        <w:tc>
          <w:tcPr>
            <w:tcW w:w="1708" w:type="pct"/>
          </w:tcPr>
          <w:p w14:paraId="437A3EE5" w14:textId="493F5F82"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Rekurentna simptomatska VTE i</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povezane smrti</w:t>
            </w:r>
          </w:p>
        </w:tc>
        <w:tc>
          <w:tcPr>
            <w:tcW w:w="1901" w:type="pct"/>
            <w:vAlign w:val="center"/>
          </w:tcPr>
          <w:p w14:paraId="43CBA797"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 (0,4%)</w:t>
            </w:r>
          </w:p>
        </w:tc>
        <w:tc>
          <w:tcPr>
            <w:tcW w:w="1391" w:type="pct"/>
            <w:vAlign w:val="center"/>
          </w:tcPr>
          <w:p w14:paraId="76E921DF"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37 (5,6%)</w:t>
            </w:r>
          </w:p>
        </w:tc>
      </w:tr>
      <w:tr w:rsidR="004A3A70" w:rsidRPr="00314858" w14:paraId="12D14E83" w14:textId="77777777" w:rsidTr="001F1A28">
        <w:trPr>
          <w:trHeight w:val="20"/>
        </w:trPr>
        <w:tc>
          <w:tcPr>
            <w:tcW w:w="1708" w:type="pct"/>
          </w:tcPr>
          <w:p w14:paraId="757E7748" w14:textId="077A7E4F" w:rsidR="004A3A70" w:rsidRPr="00314858" w:rsidRDefault="004D7D67"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i/>
                <w:lang w:val="sr-Latn-ME"/>
              </w:rPr>
              <w:t>Hazard ratio</w:t>
            </w:r>
            <w:r w:rsidR="004A3A70" w:rsidRPr="00314858">
              <w:rPr>
                <w:rFonts w:ascii="Times New Roman" w:hAnsi="Times New Roman" w:cs="Times New Roman"/>
                <w:lang w:val="sr-Latn-ME"/>
              </w:rPr>
              <w:t xml:space="preserve"> prema placebu (interval pouzdanosti 95%)</w:t>
            </w:r>
          </w:p>
        </w:tc>
        <w:tc>
          <w:tcPr>
            <w:tcW w:w="1901" w:type="pct"/>
            <w:vAlign w:val="center"/>
          </w:tcPr>
          <w:p w14:paraId="0FB2ED9C"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0,08 (0,02; 0,25)</w:t>
            </w:r>
          </w:p>
        </w:tc>
        <w:tc>
          <w:tcPr>
            <w:tcW w:w="1391" w:type="pct"/>
            <w:vAlign w:val="center"/>
          </w:tcPr>
          <w:p w14:paraId="5E52353D"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p>
        </w:tc>
      </w:tr>
      <w:tr w:rsidR="004A3A70" w:rsidRPr="00314858" w14:paraId="698FFA15" w14:textId="77777777" w:rsidTr="001F1A28">
        <w:trPr>
          <w:trHeight w:val="20"/>
        </w:trPr>
        <w:tc>
          <w:tcPr>
            <w:tcW w:w="1708" w:type="pct"/>
          </w:tcPr>
          <w:p w14:paraId="02BDB9E8" w14:textId="2DA7FA40"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p-vr</w:t>
            </w:r>
            <w:r w:rsidR="00D842F2" w:rsidRPr="00314858">
              <w:rPr>
                <w:rFonts w:ascii="Times New Roman" w:hAnsi="Times New Roman" w:cs="Times New Roman"/>
                <w:lang w:val="sr-Latn-ME"/>
              </w:rPr>
              <w:t>ij</w:t>
            </w:r>
            <w:r w:rsidRPr="00314858">
              <w:rPr>
                <w:rFonts w:ascii="Times New Roman" w:hAnsi="Times New Roman" w:cs="Times New Roman"/>
                <w:lang w:val="sr-Latn-ME"/>
              </w:rPr>
              <w:t xml:space="preserve">ednost za superiornost </w:t>
            </w:r>
          </w:p>
        </w:tc>
        <w:tc>
          <w:tcPr>
            <w:tcW w:w="1901" w:type="pct"/>
            <w:vAlign w:val="center"/>
          </w:tcPr>
          <w:p w14:paraId="4391A33E"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&lt; 0,0001</w:t>
            </w:r>
          </w:p>
        </w:tc>
        <w:tc>
          <w:tcPr>
            <w:tcW w:w="1391" w:type="pct"/>
            <w:vAlign w:val="center"/>
          </w:tcPr>
          <w:p w14:paraId="45305093"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p>
        </w:tc>
      </w:tr>
      <w:tr w:rsidR="004A3A70" w:rsidRPr="00314858" w14:paraId="5DCB79DB" w14:textId="77777777" w:rsidTr="001F1A28">
        <w:trPr>
          <w:trHeight w:val="20"/>
        </w:trPr>
        <w:tc>
          <w:tcPr>
            <w:tcW w:w="1708" w:type="pct"/>
          </w:tcPr>
          <w:p w14:paraId="5379D9EF"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Sekundarni ishodi </w:t>
            </w:r>
            <w:r w:rsidRPr="00314858">
              <w:rPr>
                <w:rFonts w:ascii="Times New Roman" w:hAnsi="Times New Roman" w:cs="Times New Roman"/>
                <w:bCs/>
                <w:lang w:val="sr-Latn-ME"/>
              </w:rPr>
              <w:t>efikasnosti</w:t>
            </w:r>
          </w:p>
        </w:tc>
        <w:tc>
          <w:tcPr>
            <w:tcW w:w="1901" w:type="pct"/>
            <w:vAlign w:val="center"/>
          </w:tcPr>
          <w:p w14:paraId="04AA8BA8"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p>
        </w:tc>
        <w:tc>
          <w:tcPr>
            <w:tcW w:w="1391" w:type="pct"/>
            <w:vAlign w:val="center"/>
          </w:tcPr>
          <w:p w14:paraId="1DBC59BD"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p>
        </w:tc>
      </w:tr>
      <w:tr w:rsidR="004A3A70" w:rsidRPr="00314858" w14:paraId="607DB88F" w14:textId="77777777" w:rsidTr="001F1A28">
        <w:trPr>
          <w:trHeight w:val="20"/>
        </w:trPr>
        <w:tc>
          <w:tcPr>
            <w:tcW w:w="1708" w:type="pct"/>
          </w:tcPr>
          <w:p w14:paraId="620EAA5C" w14:textId="203838AD"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Rekurentna simptomatska VTE i smrti usl</w:t>
            </w:r>
            <w:r w:rsidR="00D842F2" w:rsidRPr="00314858">
              <w:rPr>
                <w:rFonts w:ascii="Times New Roman" w:hAnsi="Times New Roman" w:cs="Times New Roman"/>
                <w:lang w:val="sr-Latn-ME"/>
              </w:rPr>
              <w:t>j</w:t>
            </w:r>
            <w:r w:rsidRPr="00314858">
              <w:rPr>
                <w:rFonts w:ascii="Times New Roman" w:hAnsi="Times New Roman" w:cs="Times New Roman"/>
                <w:lang w:val="sr-Latn-ME"/>
              </w:rPr>
              <w:t>ed svih uzroka</w:t>
            </w:r>
          </w:p>
        </w:tc>
        <w:tc>
          <w:tcPr>
            <w:tcW w:w="1901" w:type="pct"/>
            <w:vAlign w:val="center"/>
          </w:tcPr>
          <w:p w14:paraId="67AA8986"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 (0,4%)</w:t>
            </w:r>
          </w:p>
        </w:tc>
        <w:tc>
          <w:tcPr>
            <w:tcW w:w="1391" w:type="pct"/>
            <w:vAlign w:val="center"/>
          </w:tcPr>
          <w:p w14:paraId="146ACE6C"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37 (5,6%)</w:t>
            </w:r>
          </w:p>
        </w:tc>
      </w:tr>
      <w:tr w:rsidR="004A3A70" w:rsidRPr="00314858" w14:paraId="70C7A6B1" w14:textId="77777777" w:rsidTr="001F1A28">
        <w:trPr>
          <w:trHeight w:val="20"/>
        </w:trPr>
        <w:tc>
          <w:tcPr>
            <w:tcW w:w="1708" w:type="pct"/>
          </w:tcPr>
          <w:p w14:paraId="521E300C" w14:textId="6EE0BAE4"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Interval pouzdanosti 95%</w:t>
            </w:r>
            <w:r w:rsidR="00ED227D" w:rsidRPr="00314858">
              <w:rPr>
                <w:rFonts w:ascii="Times New Roman" w:hAnsi="Times New Roman" w:cs="Times New Roman"/>
                <w:lang w:val="sr-Latn-ME"/>
              </w:rPr>
              <w:t xml:space="preserve"> </w:t>
            </w:r>
          </w:p>
        </w:tc>
        <w:tc>
          <w:tcPr>
            <w:tcW w:w="1901" w:type="pct"/>
            <w:vAlign w:val="center"/>
          </w:tcPr>
          <w:p w14:paraId="6B261DFD"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0,09; 1,28</w:t>
            </w:r>
          </w:p>
        </w:tc>
        <w:tc>
          <w:tcPr>
            <w:tcW w:w="1391" w:type="pct"/>
            <w:vAlign w:val="center"/>
          </w:tcPr>
          <w:p w14:paraId="305966C0"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3,97; 7,62</w:t>
            </w:r>
          </w:p>
        </w:tc>
      </w:tr>
      <w:tr w:rsidR="004A3A70" w:rsidRPr="00314858" w14:paraId="2B5035CF" w14:textId="77777777" w:rsidTr="001F1A28">
        <w:trPr>
          <w:trHeight w:val="20"/>
        </w:trPr>
        <w:tc>
          <w:tcPr>
            <w:tcW w:w="1708" w:type="pct"/>
          </w:tcPr>
          <w:p w14:paraId="3652D76D"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Simptomatska DVT</w:t>
            </w:r>
          </w:p>
        </w:tc>
        <w:tc>
          <w:tcPr>
            <w:tcW w:w="1901" w:type="pct"/>
            <w:vAlign w:val="center"/>
          </w:tcPr>
          <w:p w14:paraId="231F45A5"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 (0,3%)</w:t>
            </w:r>
          </w:p>
        </w:tc>
        <w:tc>
          <w:tcPr>
            <w:tcW w:w="1391" w:type="pct"/>
            <w:vAlign w:val="center"/>
          </w:tcPr>
          <w:p w14:paraId="01BF84A4"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23 (3,5%)</w:t>
            </w:r>
          </w:p>
        </w:tc>
      </w:tr>
      <w:tr w:rsidR="004A3A70" w:rsidRPr="00314858" w14:paraId="6BCD3FBB" w14:textId="77777777" w:rsidTr="001F1A28">
        <w:trPr>
          <w:trHeight w:val="20"/>
        </w:trPr>
        <w:tc>
          <w:tcPr>
            <w:tcW w:w="1708" w:type="pct"/>
          </w:tcPr>
          <w:p w14:paraId="3F2D22D0"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Interval pouzdanosti 95% </w:t>
            </w:r>
          </w:p>
        </w:tc>
        <w:tc>
          <w:tcPr>
            <w:tcW w:w="1901" w:type="pct"/>
            <w:vAlign w:val="center"/>
          </w:tcPr>
          <w:p w14:paraId="419D6386"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0,04; 1,06</w:t>
            </w:r>
          </w:p>
        </w:tc>
        <w:tc>
          <w:tcPr>
            <w:tcW w:w="1391" w:type="pct"/>
            <w:vAlign w:val="center"/>
          </w:tcPr>
          <w:p w14:paraId="4DFFDCFA"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2,21; 5,17</w:t>
            </w:r>
          </w:p>
        </w:tc>
      </w:tr>
      <w:tr w:rsidR="004A3A70" w:rsidRPr="00314858" w14:paraId="75F3BBB0" w14:textId="77777777" w:rsidTr="001F1A28">
        <w:trPr>
          <w:trHeight w:val="20"/>
        </w:trPr>
        <w:tc>
          <w:tcPr>
            <w:tcW w:w="1708" w:type="pct"/>
          </w:tcPr>
          <w:p w14:paraId="3C12CBC4"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Simptomatska PE</w:t>
            </w:r>
          </w:p>
        </w:tc>
        <w:tc>
          <w:tcPr>
            <w:tcW w:w="1901" w:type="pct"/>
            <w:vAlign w:val="center"/>
          </w:tcPr>
          <w:p w14:paraId="381FE828"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 (0,1%)</w:t>
            </w:r>
          </w:p>
        </w:tc>
        <w:tc>
          <w:tcPr>
            <w:tcW w:w="1391" w:type="pct"/>
            <w:vAlign w:val="center"/>
          </w:tcPr>
          <w:p w14:paraId="3B1A2B16"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14 (2,1%)</w:t>
            </w:r>
          </w:p>
        </w:tc>
      </w:tr>
      <w:tr w:rsidR="004A3A70" w:rsidRPr="00314858" w14:paraId="55031093" w14:textId="77777777" w:rsidTr="001F1A28">
        <w:trPr>
          <w:trHeight w:val="20"/>
        </w:trPr>
        <w:tc>
          <w:tcPr>
            <w:tcW w:w="1708" w:type="pct"/>
          </w:tcPr>
          <w:p w14:paraId="227440D5"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Interval pouzdanosti 95% </w:t>
            </w:r>
          </w:p>
        </w:tc>
        <w:tc>
          <w:tcPr>
            <w:tcW w:w="1901" w:type="pct"/>
            <w:vAlign w:val="center"/>
          </w:tcPr>
          <w:p w14:paraId="60E7E273"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0,00; 0,82</w:t>
            </w:r>
          </w:p>
        </w:tc>
        <w:tc>
          <w:tcPr>
            <w:tcW w:w="1391" w:type="pct"/>
            <w:vAlign w:val="center"/>
          </w:tcPr>
          <w:p w14:paraId="3AE74306"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1,16; 3,52</w:t>
            </w:r>
          </w:p>
        </w:tc>
      </w:tr>
      <w:tr w:rsidR="004A3A70" w:rsidRPr="00314858" w14:paraId="6737A2EA" w14:textId="77777777" w:rsidTr="001F1A28">
        <w:trPr>
          <w:trHeight w:val="20"/>
        </w:trPr>
        <w:tc>
          <w:tcPr>
            <w:tcW w:w="1708" w:type="pct"/>
          </w:tcPr>
          <w:p w14:paraId="719FB79C"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Smrti povezane sa VTE </w:t>
            </w:r>
          </w:p>
        </w:tc>
        <w:tc>
          <w:tcPr>
            <w:tcW w:w="1901" w:type="pct"/>
            <w:vAlign w:val="center"/>
          </w:tcPr>
          <w:p w14:paraId="1753BE35"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 (0)</w:t>
            </w:r>
          </w:p>
        </w:tc>
        <w:tc>
          <w:tcPr>
            <w:tcW w:w="1391" w:type="pct"/>
            <w:vAlign w:val="center"/>
          </w:tcPr>
          <w:p w14:paraId="02B4A557"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 (0)</w:t>
            </w:r>
          </w:p>
        </w:tc>
      </w:tr>
      <w:tr w:rsidR="004A3A70" w:rsidRPr="00314858" w14:paraId="73C7834B" w14:textId="77777777" w:rsidTr="001F1A28">
        <w:trPr>
          <w:trHeight w:val="20"/>
        </w:trPr>
        <w:tc>
          <w:tcPr>
            <w:tcW w:w="1708" w:type="pct"/>
          </w:tcPr>
          <w:p w14:paraId="5C71E092"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Inteval pouzdanosti 95% </w:t>
            </w:r>
          </w:p>
        </w:tc>
        <w:tc>
          <w:tcPr>
            <w:tcW w:w="1901" w:type="pct"/>
            <w:vAlign w:val="center"/>
          </w:tcPr>
          <w:p w14:paraId="17C131A9"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0,00; 0,54</w:t>
            </w:r>
          </w:p>
        </w:tc>
        <w:tc>
          <w:tcPr>
            <w:tcW w:w="1391" w:type="pct"/>
            <w:vAlign w:val="center"/>
          </w:tcPr>
          <w:p w14:paraId="699AD418"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0,00; 0,56</w:t>
            </w:r>
          </w:p>
        </w:tc>
      </w:tr>
      <w:tr w:rsidR="004A3A70" w:rsidRPr="00314858" w14:paraId="4F0EA753" w14:textId="77777777" w:rsidTr="001F1A28">
        <w:trPr>
          <w:trHeight w:val="20"/>
        </w:trPr>
        <w:tc>
          <w:tcPr>
            <w:tcW w:w="1708" w:type="pct"/>
          </w:tcPr>
          <w:p w14:paraId="4804C7A3"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Neobjašenjene smrti </w:t>
            </w:r>
          </w:p>
        </w:tc>
        <w:tc>
          <w:tcPr>
            <w:tcW w:w="1901" w:type="pct"/>
            <w:vAlign w:val="center"/>
          </w:tcPr>
          <w:p w14:paraId="7A6B8790"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 (0)</w:t>
            </w:r>
          </w:p>
        </w:tc>
        <w:tc>
          <w:tcPr>
            <w:tcW w:w="1391" w:type="pct"/>
            <w:vAlign w:val="center"/>
          </w:tcPr>
          <w:p w14:paraId="0A3C86DE"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 (0,3%)</w:t>
            </w:r>
          </w:p>
        </w:tc>
      </w:tr>
      <w:tr w:rsidR="004A3A70" w:rsidRPr="00314858" w14:paraId="4E2E531D" w14:textId="77777777" w:rsidTr="001F1A28">
        <w:trPr>
          <w:trHeight w:val="20"/>
        </w:trPr>
        <w:tc>
          <w:tcPr>
            <w:tcW w:w="1708" w:type="pct"/>
          </w:tcPr>
          <w:p w14:paraId="0035E93B"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Interval pouzdanosti 95% </w:t>
            </w:r>
          </w:p>
        </w:tc>
        <w:tc>
          <w:tcPr>
            <w:tcW w:w="1901" w:type="pct"/>
            <w:vAlign w:val="center"/>
          </w:tcPr>
          <w:p w14:paraId="2F413A40"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0,00; 0,54</w:t>
            </w:r>
          </w:p>
        </w:tc>
        <w:tc>
          <w:tcPr>
            <w:tcW w:w="1391" w:type="pct"/>
            <w:vAlign w:val="center"/>
          </w:tcPr>
          <w:p w14:paraId="74647D78"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0,04; 1,09</w:t>
            </w:r>
          </w:p>
        </w:tc>
      </w:tr>
      <w:tr w:rsidR="004A3A70" w:rsidRPr="00314858" w14:paraId="25487271" w14:textId="77777777" w:rsidTr="001F1A28">
        <w:trPr>
          <w:trHeight w:val="20"/>
        </w:trPr>
        <w:tc>
          <w:tcPr>
            <w:tcW w:w="1708" w:type="pct"/>
          </w:tcPr>
          <w:p w14:paraId="62375660" w14:textId="27E30D01"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Smrti usl</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ed svih uzroka </w:t>
            </w:r>
          </w:p>
        </w:tc>
        <w:tc>
          <w:tcPr>
            <w:tcW w:w="1901" w:type="pct"/>
            <w:vAlign w:val="center"/>
          </w:tcPr>
          <w:p w14:paraId="7FF98EB7"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 (0)</w:t>
            </w:r>
          </w:p>
        </w:tc>
        <w:tc>
          <w:tcPr>
            <w:tcW w:w="1391" w:type="pct"/>
            <w:vAlign w:val="center"/>
          </w:tcPr>
          <w:p w14:paraId="23E50DA0"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2 (0,3%)</w:t>
            </w:r>
          </w:p>
        </w:tc>
      </w:tr>
      <w:tr w:rsidR="004A3A70" w:rsidRPr="00314858" w14:paraId="593CF4B9" w14:textId="77777777" w:rsidTr="001F1A28">
        <w:trPr>
          <w:trHeight w:val="20"/>
        </w:trPr>
        <w:tc>
          <w:tcPr>
            <w:tcW w:w="1708" w:type="pct"/>
          </w:tcPr>
          <w:p w14:paraId="675B1F2E" w14:textId="77777777" w:rsidR="004A3A70" w:rsidRPr="00314858" w:rsidRDefault="004A3A70" w:rsidP="001F1A28">
            <w:pPr>
              <w:tabs>
                <w:tab w:val="left" w:pos="7920"/>
              </w:tabs>
              <w:spacing w:after="0" w:line="240" w:lineRule="auto"/>
              <w:rPr>
                <w:rFonts w:ascii="Times New Roman" w:hAnsi="Times New Roman" w:cs="Times New Roman"/>
                <w:lang w:val="sr-Latn-ME"/>
              </w:rPr>
            </w:pPr>
            <w:r w:rsidRPr="00314858">
              <w:rPr>
                <w:rFonts w:ascii="Times New Roman" w:hAnsi="Times New Roman" w:cs="Times New Roman"/>
                <w:lang w:val="sr-Latn-ME"/>
              </w:rPr>
              <w:t xml:space="preserve">Interval pouzdanosti 95% </w:t>
            </w:r>
          </w:p>
        </w:tc>
        <w:tc>
          <w:tcPr>
            <w:tcW w:w="1901" w:type="pct"/>
            <w:vAlign w:val="center"/>
          </w:tcPr>
          <w:p w14:paraId="2DC82884" w14:textId="77777777" w:rsidR="004A3A70" w:rsidRPr="00314858" w:rsidRDefault="004A3A70" w:rsidP="001F1A28">
            <w:pPr>
              <w:tabs>
                <w:tab w:val="left" w:pos="7920"/>
              </w:tabs>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0,00; 0,54</w:t>
            </w:r>
          </w:p>
        </w:tc>
        <w:tc>
          <w:tcPr>
            <w:tcW w:w="1391" w:type="pct"/>
            <w:vAlign w:val="center"/>
          </w:tcPr>
          <w:p w14:paraId="72C70CA4" w14:textId="77777777" w:rsidR="004A3A70" w:rsidRPr="00314858" w:rsidRDefault="004A3A70" w:rsidP="001F1A28">
            <w:pPr>
              <w:autoSpaceDE w:val="0"/>
              <w:autoSpaceDN w:val="0"/>
              <w:adjustRightInd w:val="0"/>
              <w:spacing w:after="0" w:line="240" w:lineRule="auto"/>
              <w:jc w:val="center"/>
              <w:rPr>
                <w:rFonts w:ascii="Times New Roman" w:hAnsi="Times New Roman" w:cs="Times New Roman"/>
                <w:lang w:val="sr-Latn-ME"/>
              </w:rPr>
            </w:pPr>
            <w:r w:rsidRPr="00314858">
              <w:rPr>
                <w:rFonts w:ascii="Times New Roman" w:hAnsi="Times New Roman" w:cs="Times New Roman"/>
                <w:lang w:val="sr-Latn-ME"/>
              </w:rPr>
              <w:t>0,04; 1,09</w:t>
            </w:r>
          </w:p>
        </w:tc>
      </w:tr>
    </w:tbl>
    <w:p w14:paraId="362DE082" w14:textId="77777777" w:rsidR="00D67D34" w:rsidRPr="00314858" w:rsidRDefault="00D67D34" w:rsidP="00D67D34">
      <w:pPr>
        <w:spacing w:after="0" w:line="240" w:lineRule="auto"/>
        <w:jc w:val="both"/>
        <w:rPr>
          <w:rFonts w:ascii="Times New Roman" w:hAnsi="Times New Roman" w:cs="Times New Roman"/>
          <w:b/>
          <w:bCs/>
          <w:lang w:val="sr-Latn-ME" w:bidi="en-US"/>
        </w:rPr>
      </w:pPr>
    </w:p>
    <w:p w14:paraId="190A9B98" w14:textId="7CCADD0F"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Kliničk</w:t>
      </w:r>
      <w:r w:rsidR="004D7D67" w:rsidRPr="00314858">
        <w:rPr>
          <w:rFonts w:ascii="Times New Roman" w:hAnsi="Times New Roman" w:cs="Times New Roman"/>
          <w:i/>
          <w:u w:val="single"/>
          <w:lang w:val="sr-Latn-ME"/>
        </w:rPr>
        <w:t>e studije</w:t>
      </w:r>
      <w:r w:rsidRPr="00314858">
        <w:rPr>
          <w:rFonts w:ascii="Times New Roman" w:hAnsi="Times New Roman" w:cs="Times New Roman"/>
          <w:i/>
          <w:u w:val="single"/>
          <w:lang w:val="sr-Latn-ME"/>
        </w:rPr>
        <w:t xml:space="preserve"> </w:t>
      </w:r>
      <w:r w:rsidR="004D7D67" w:rsidRPr="00314858">
        <w:rPr>
          <w:rFonts w:ascii="Times New Roman" w:hAnsi="Times New Roman" w:cs="Times New Roman"/>
          <w:i/>
          <w:u w:val="single"/>
          <w:lang w:val="sr-Latn-ME"/>
        </w:rPr>
        <w:t>u</w:t>
      </w:r>
      <w:r w:rsidRPr="00314858">
        <w:rPr>
          <w:rFonts w:ascii="Times New Roman" w:hAnsi="Times New Roman" w:cs="Times New Roman"/>
          <w:i/>
          <w:u w:val="single"/>
          <w:lang w:val="sr-Latn-ME"/>
        </w:rPr>
        <w:t xml:space="preserve"> prevencij</w:t>
      </w:r>
      <w:r w:rsidR="004D7D67" w:rsidRPr="00314858">
        <w:rPr>
          <w:rFonts w:ascii="Times New Roman" w:hAnsi="Times New Roman" w:cs="Times New Roman"/>
          <w:i/>
          <w:u w:val="single"/>
          <w:lang w:val="sr-Latn-ME"/>
        </w:rPr>
        <w:t>i</w:t>
      </w:r>
      <w:r w:rsidRPr="00314858">
        <w:rPr>
          <w:rFonts w:ascii="Times New Roman" w:hAnsi="Times New Roman" w:cs="Times New Roman"/>
          <w:i/>
          <w:u w:val="single"/>
          <w:lang w:val="sr-Latn-ME"/>
        </w:rPr>
        <w:t xml:space="preserve"> tromboembolije kod pacijenata sa </w:t>
      </w:r>
      <w:r w:rsidR="004A3A70" w:rsidRPr="00314858">
        <w:rPr>
          <w:rFonts w:ascii="Times New Roman" w:hAnsi="Times New Roman" w:cs="Times New Roman"/>
          <w:i/>
          <w:u w:val="single"/>
          <w:lang w:val="sr-Latn-ME"/>
        </w:rPr>
        <w:t>v</w:t>
      </w:r>
      <w:r w:rsidR="00A92E9B" w:rsidRPr="00314858">
        <w:rPr>
          <w:rFonts w:ascii="Times New Roman" w:hAnsi="Times New Roman" w:cs="Times New Roman"/>
          <w:i/>
          <w:u w:val="single"/>
          <w:lang w:val="sr-Latn-ME"/>
        </w:rPr>
        <w:t>j</w:t>
      </w:r>
      <w:r w:rsidR="004A3A70" w:rsidRPr="00314858">
        <w:rPr>
          <w:rFonts w:ascii="Times New Roman" w:hAnsi="Times New Roman" w:cs="Times New Roman"/>
          <w:i/>
          <w:u w:val="single"/>
          <w:lang w:val="sr-Latn-ME"/>
        </w:rPr>
        <w:t>eštačkim</w:t>
      </w:r>
      <w:r w:rsidRPr="00314858">
        <w:rPr>
          <w:rFonts w:ascii="Times New Roman" w:hAnsi="Times New Roman" w:cs="Times New Roman"/>
          <w:i/>
          <w:u w:val="single"/>
          <w:lang w:val="sr-Latn-ME"/>
        </w:rPr>
        <w:t xml:space="preserve"> srčanim zaliscima</w:t>
      </w:r>
    </w:p>
    <w:p w14:paraId="55CCE279" w14:textId="77777777" w:rsidR="004D7D67" w:rsidRPr="00314858" w:rsidRDefault="004D7D67" w:rsidP="00D67D34">
      <w:pPr>
        <w:spacing w:after="0" w:line="240" w:lineRule="auto"/>
        <w:jc w:val="both"/>
        <w:rPr>
          <w:rFonts w:ascii="Times New Roman" w:hAnsi="Times New Roman" w:cs="Times New Roman"/>
          <w:i/>
          <w:u w:val="single"/>
          <w:lang w:val="sr-Latn-ME"/>
        </w:rPr>
      </w:pPr>
    </w:p>
    <w:p w14:paraId="5E14A165" w14:textId="555ACD5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Klinička studija faze II ispitivala je dabigatraneteksilat i varfarin kod ukupno 252 pacijenta sa nedavno hirurški zam</w:t>
      </w:r>
      <w:r w:rsidR="00D842F2" w:rsidRPr="00314858">
        <w:rPr>
          <w:rFonts w:ascii="Times New Roman" w:hAnsi="Times New Roman" w:cs="Times New Roman"/>
          <w:lang w:val="sr-Latn-ME"/>
        </w:rPr>
        <w:t>ij</w:t>
      </w:r>
      <w:r w:rsidRPr="00314858">
        <w:rPr>
          <w:rFonts w:ascii="Times New Roman" w:hAnsi="Times New Roman" w:cs="Times New Roman"/>
          <w:lang w:val="sr-Latn-ME"/>
        </w:rPr>
        <w:t>enjenim mehaničkim srčanim zaliscima (tj. tokom trenutne hospitalizacije) i kod pacijenata kojima su mehanički srčani zalisci ugrađeni pr</w:t>
      </w:r>
      <w:r w:rsidR="00D842F2" w:rsidRPr="00314858">
        <w:rPr>
          <w:rFonts w:ascii="Times New Roman" w:hAnsi="Times New Roman" w:cs="Times New Roman"/>
          <w:lang w:val="sr-Latn-ME"/>
        </w:rPr>
        <w:t>ij</w:t>
      </w:r>
      <w:r w:rsidRPr="00314858">
        <w:rPr>
          <w:rFonts w:ascii="Times New Roman" w:hAnsi="Times New Roman" w:cs="Times New Roman"/>
          <w:lang w:val="sr-Latn-ME"/>
        </w:rPr>
        <w:t>e više od tri m</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eseca. Više tromboembolijskih događaja (uglavnom moždanih udara i simptomatske/asimptomatske tromboze </w:t>
      </w:r>
      <w:r w:rsidR="004A3A70" w:rsidRPr="00314858">
        <w:rPr>
          <w:rFonts w:ascii="Times New Roman" w:hAnsi="Times New Roman" w:cs="Times New Roman"/>
          <w:lang w:val="sr-Latn-ME"/>
        </w:rPr>
        <w:t>v</w:t>
      </w:r>
      <w:r w:rsidR="00A92E9B" w:rsidRPr="00314858">
        <w:rPr>
          <w:rFonts w:ascii="Times New Roman" w:hAnsi="Times New Roman" w:cs="Times New Roman"/>
          <w:lang w:val="sr-Latn-ME"/>
        </w:rPr>
        <w:t>j</w:t>
      </w:r>
      <w:r w:rsidR="004A3A70" w:rsidRPr="00314858">
        <w:rPr>
          <w:rFonts w:ascii="Times New Roman" w:hAnsi="Times New Roman" w:cs="Times New Roman"/>
          <w:lang w:val="sr-Latn-ME"/>
        </w:rPr>
        <w:t>eštačkog</w:t>
      </w:r>
      <w:r w:rsidRPr="00314858">
        <w:rPr>
          <w:rFonts w:ascii="Times New Roman" w:hAnsi="Times New Roman" w:cs="Times New Roman"/>
          <w:lang w:val="sr-Latn-ME"/>
        </w:rPr>
        <w:t xml:space="preserve"> zaliska) i više događaja krvarenja uočeno je sa dabigatraneteksilatom nego sa varfarinom.</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Kod pacijenata u ranoj postoperativnoj fazi, </w:t>
      </w:r>
      <w:r w:rsidR="00494203" w:rsidRPr="00314858">
        <w:rPr>
          <w:rFonts w:ascii="Times New Roman" w:hAnsi="Times New Roman" w:cs="Times New Roman"/>
          <w:lang w:val="sr-Latn-ME"/>
        </w:rPr>
        <w:t>obilnije</w:t>
      </w:r>
      <w:r w:rsidRPr="00314858">
        <w:rPr>
          <w:rFonts w:ascii="Times New Roman" w:hAnsi="Times New Roman" w:cs="Times New Roman"/>
          <w:lang w:val="sr-Latn-ME"/>
        </w:rPr>
        <w:t xml:space="preserve"> krvarenje se uglavnom manifestovalo kao hemoragijski perikardijalni izlivi, naročito kod pacijenata koji su rano započeli terapiju dabigatraneteksilatom (tj. trećeg dana) nakon hirurške zam</w:t>
      </w:r>
      <w:r w:rsidR="00D842F2" w:rsidRPr="00314858">
        <w:rPr>
          <w:rFonts w:ascii="Times New Roman" w:hAnsi="Times New Roman" w:cs="Times New Roman"/>
          <w:lang w:val="sr-Latn-ME"/>
        </w:rPr>
        <w:t>j</w:t>
      </w:r>
      <w:r w:rsidRPr="00314858">
        <w:rPr>
          <w:rFonts w:ascii="Times New Roman" w:hAnsi="Times New Roman" w:cs="Times New Roman"/>
          <w:lang w:val="sr-Latn-ME"/>
        </w:rPr>
        <w:t>ene srčanog zaliska (vid</w:t>
      </w:r>
      <w:r w:rsidR="00D842F2"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D842F2" w:rsidRPr="00314858">
        <w:rPr>
          <w:rFonts w:ascii="Times New Roman" w:hAnsi="Times New Roman" w:cs="Times New Roman"/>
          <w:lang w:val="sr-Latn-ME"/>
        </w:rPr>
        <w:t>dio</w:t>
      </w:r>
      <w:r w:rsidRPr="00314858">
        <w:rPr>
          <w:rFonts w:ascii="Times New Roman" w:hAnsi="Times New Roman" w:cs="Times New Roman"/>
          <w:lang w:val="sr-Latn-ME"/>
        </w:rPr>
        <w:t xml:space="preserve"> 4.3).</w:t>
      </w:r>
    </w:p>
    <w:p w14:paraId="588087FE" w14:textId="77777777" w:rsidR="00D67D34" w:rsidRPr="00314858" w:rsidRDefault="00D67D34" w:rsidP="00D67D34">
      <w:pPr>
        <w:spacing w:after="0" w:line="240" w:lineRule="auto"/>
        <w:jc w:val="both"/>
        <w:rPr>
          <w:rFonts w:ascii="Times New Roman" w:hAnsi="Times New Roman" w:cs="Times New Roman"/>
          <w:lang w:val="sr-Latn-ME"/>
        </w:rPr>
      </w:pPr>
    </w:p>
    <w:p w14:paraId="55EDEF1E" w14:textId="1564D58E"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 xml:space="preserve">Pedijatrijska populacija </w:t>
      </w:r>
    </w:p>
    <w:p w14:paraId="586156E4" w14:textId="77777777" w:rsidR="00FC549A" w:rsidRPr="00314858" w:rsidRDefault="00FC549A" w:rsidP="00D67D34">
      <w:pPr>
        <w:spacing w:after="0" w:line="240" w:lineRule="auto"/>
        <w:jc w:val="both"/>
        <w:rPr>
          <w:rFonts w:ascii="Times New Roman" w:hAnsi="Times New Roman" w:cs="Times New Roman"/>
          <w:i/>
          <w:iCs/>
          <w:u w:val="single"/>
          <w:lang w:val="sr-Latn-ME"/>
        </w:rPr>
      </w:pPr>
    </w:p>
    <w:p w14:paraId="23FB358E" w14:textId="294F4C69"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Prevencija moždanog udara i sistemske embolije kod odraslih pacijenata sa NVAF sa jednim ili više faktora rizika</w:t>
      </w:r>
    </w:p>
    <w:p w14:paraId="62331AFB" w14:textId="77777777" w:rsidR="00FC549A" w:rsidRPr="00314858" w:rsidRDefault="00FC549A" w:rsidP="00D67D34">
      <w:pPr>
        <w:spacing w:after="0" w:line="240" w:lineRule="auto"/>
        <w:jc w:val="both"/>
        <w:rPr>
          <w:rFonts w:ascii="Times New Roman" w:hAnsi="Times New Roman" w:cs="Times New Roman"/>
          <w:lang w:val="sr-Latn-ME"/>
        </w:rPr>
      </w:pPr>
    </w:p>
    <w:p w14:paraId="77425263" w14:textId="1782F1E6"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Evropska Agencija za l</w:t>
      </w:r>
      <w:r w:rsidR="00D842F2" w:rsidRPr="00314858">
        <w:rPr>
          <w:rFonts w:ascii="Times New Roman" w:hAnsi="Times New Roman" w:cs="Times New Roman"/>
          <w:lang w:val="sr-Latn-ME"/>
        </w:rPr>
        <w:t>ij</w:t>
      </w:r>
      <w:r w:rsidRPr="00314858">
        <w:rPr>
          <w:rFonts w:ascii="Times New Roman" w:hAnsi="Times New Roman" w:cs="Times New Roman"/>
          <w:lang w:val="sr-Latn-ME"/>
        </w:rPr>
        <w:t xml:space="preserve">ekove </w:t>
      </w:r>
      <w:r w:rsidR="004A3A70" w:rsidRPr="00314858">
        <w:rPr>
          <w:rFonts w:ascii="Times New Roman" w:hAnsi="Times New Roman" w:cs="Times New Roman"/>
          <w:lang w:val="sr-Latn-ME"/>
        </w:rPr>
        <w:t>izuzela</w:t>
      </w:r>
      <w:r w:rsidRPr="00314858">
        <w:rPr>
          <w:rFonts w:ascii="Times New Roman" w:hAnsi="Times New Roman" w:cs="Times New Roman"/>
          <w:lang w:val="sr-Latn-ME"/>
        </w:rPr>
        <w:t xml:space="preserve"> </w:t>
      </w:r>
      <w:r w:rsidR="00C00680" w:rsidRPr="00314858">
        <w:rPr>
          <w:rFonts w:ascii="Times New Roman" w:hAnsi="Times New Roman" w:cs="Times New Roman"/>
          <w:lang w:val="sr-Latn-ME"/>
        </w:rPr>
        <w:t xml:space="preserve">je od </w:t>
      </w:r>
      <w:r w:rsidRPr="00314858">
        <w:rPr>
          <w:rFonts w:ascii="Times New Roman" w:hAnsi="Times New Roman" w:cs="Times New Roman"/>
          <w:lang w:val="sr-Latn-ME"/>
        </w:rPr>
        <w:t>obavez</w:t>
      </w:r>
      <w:r w:rsidR="00C00680" w:rsidRPr="00314858">
        <w:rPr>
          <w:rFonts w:ascii="Times New Roman" w:hAnsi="Times New Roman" w:cs="Times New Roman"/>
          <w:lang w:val="sr-Latn-ME"/>
        </w:rPr>
        <w:t>e</w:t>
      </w:r>
      <w:r w:rsidRPr="00314858">
        <w:rPr>
          <w:rFonts w:ascii="Times New Roman" w:hAnsi="Times New Roman" w:cs="Times New Roman"/>
          <w:lang w:val="sr-Latn-ME"/>
        </w:rPr>
        <w:t xml:space="preserve"> podn</w:t>
      </w:r>
      <w:r w:rsidR="004A3A70" w:rsidRPr="00314858">
        <w:rPr>
          <w:rFonts w:ascii="Times New Roman" w:hAnsi="Times New Roman" w:cs="Times New Roman"/>
          <w:lang w:val="sr-Latn-ME"/>
        </w:rPr>
        <w:t>ošenja</w:t>
      </w:r>
      <w:r w:rsidRPr="00314858">
        <w:rPr>
          <w:rFonts w:ascii="Times New Roman" w:hAnsi="Times New Roman" w:cs="Times New Roman"/>
          <w:lang w:val="sr-Latn-ME"/>
        </w:rPr>
        <w:t xml:space="preserve"> rezultat</w:t>
      </w:r>
      <w:r w:rsidR="004A3A70" w:rsidRPr="00314858">
        <w:rPr>
          <w:rFonts w:ascii="Times New Roman" w:hAnsi="Times New Roman" w:cs="Times New Roman"/>
          <w:lang w:val="sr-Latn-ME"/>
        </w:rPr>
        <w:t>a</w:t>
      </w:r>
      <w:r w:rsidRPr="00314858">
        <w:rPr>
          <w:rFonts w:ascii="Times New Roman" w:hAnsi="Times New Roman" w:cs="Times New Roman"/>
          <w:lang w:val="sr-Latn-ME"/>
        </w:rPr>
        <w:t xml:space="preserve"> </w:t>
      </w:r>
      <w:r w:rsidR="00C00680" w:rsidRPr="00314858">
        <w:rPr>
          <w:rFonts w:ascii="Times New Roman" w:hAnsi="Times New Roman" w:cs="Times New Roman"/>
          <w:lang w:val="sr-Latn-ME"/>
        </w:rPr>
        <w:t>ispitivanja</w:t>
      </w:r>
      <w:r w:rsidRPr="00314858">
        <w:rPr>
          <w:rFonts w:ascii="Times New Roman" w:hAnsi="Times New Roman" w:cs="Times New Roman"/>
          <w:lang w:val="sr-Latn-ME"/>
        </w:rPr>
        <w:t xml:space="preserve"> sa referentnim l</w:t>
      </w:r>
      <w:r w:rsidR="005C7365" w:rsidRPr="00314858">
        <w:rPr>
          <w:rFonts w:ascii="Times New Roman" w:hAnsi="Times New Roman" w:cs="Times New Roman"/>
          <w:lang w:val="sr-Latn-ME"/>
        </w:rPr>
        <w:t>ij</w:t>
      </w:r>
      <w:r w:rsidRPr="00314858">
        <w:rPr>
          <w:rFonts w:ascii="Times New Roman" w:hAnsi="Times New Roman" w:cs="Times New Roman"/>
          <w:lang w:val="sr-Latn-ME"/>
        </w:rPr>
        <w:t>ekom koji sadrži dabigatraneteksilat u svim podgrupama pedijatrijske populacije za indikaciju</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lastRenderedPageBreak/>
        <w:t>prevencije moždanog udara i sistemske embolije kod pacijenata sa NVAF (vid</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5C7365" w:rsidRPr="00314858">
        <w:rPr>
          <w:rFonts w:ascii="Times New Roman" w:hAnsi="Times New Roman" w:cs="Times New Roman"/>
          <w:lang w:val="sr-Latn-ME"/>
        </w:rPr>
        <w:t>dio</w:t>
      </w:r>
      <w:r w:rsidRPr="00314858">
        <w:rPr>
          <w:rFonts w:ascii="Times New Roman" w:hAnsi="Times New Roman" w:cs="Times New Roman"/>
          <w:lang w:val="sr-Latn-ME"/>
        </w:rPr>
        <w:t xml:space="preserve"> 4.2 za informacije o </w:t>
      </w:r>
      <w:r w:rsidR="00C00680" w:rsidRPr="00314858">
        <w:rPr>
          <w:rFonts w:ascii="Times New Roman" w:hAnsi="Times New Roman" w:cs="Times New Roman"/>
          <w:lang w:val="sr-Latn-ME"/>
        </w:rPr>
        <w:t xml:space="preserve">upotrebi u </w:t>
      </w:r>
      <w:r w:rsidRPr="00314858">
        <w:rPr>
          <w:rFonts w:ascii="Times New Roman" w:hAnsi="Times New Roman" w:cs="Times New Roman"/>
          <w:lang w:val="sr-Latn-ME"/>
        </w:rPr>
        <w:t xml:space="preserve">pedijatrijskoj </w:t>
      </w:r>
      <w:r w:rsidR="00C00680" w:rsidRPr="00314858">
        <w:rPr>
          <w:rFonts w:ascii="Times New Roman" w:hAnsi="Times New Roman" w:cs="Times New Roman"/>
          <w:lang w:val="sr-Latn-ME"/>
        </w:rPr>
        <w:t>populaciji</w:t>
      </w:r>
      <w:r w:rsidRPr="00314858">
        <w:rPr>
          <w:rFonts w:ascii="Times New Roman" w:hAnsi="Times New Roman" w:cs="Times New Roman"/>
          <w:lang w:val="sr-Latn-ME"/>
        </w:rPr>
        <w:t xml:space="preserve">). </w:t>
      </w:r>
    </w:p>
    <w:p w14:paraId="3480DB4D" w14:textId="77777777" w:rsidR="00FC549A" w:rsidRPr="00314858" w:rsidRDefault="00FC549A" w:rsidP="00D67D34">
      <w:pPr>
        <w:spacing w:after="0" w:line="240" w:lineRule="auto"/>
        <w:jc w:val="both"/>
        <w:rPr>
          <w:rFonts w:ascii="Times New Roman" w:hAnsi="Times New Roman" w:cs="Times New Roman"/>
          <w:lang w:val="sr-Latn-ME"/>
        </w:rPr>
      </w:pPr>
    </w:p>
    <w:p w14:paraId="465F9CF2" w14:textId="4E69E746"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Terapija VTE i prevencija rekurentne VTE kod pedijatrijskih pacijenata</w:t>
      </w:r>
    </w:p>
    <w:p w14:paraId="4FDA3B26" w14:textId="77777777" w:rsidR="00FC549A" w:rsidRPr="00314858" w:rsidRDefault="00FC549A" w:rsidP="00D67D34">
      <w:pPr>
        <w:spacing w:after="0" w:line="240" w:lineRule="auto"/>
        <w:jc w:val="both"/>
        <w:rPr>
          <w:rFonts w:ascii="Times New Roman" w:hAnsi="Times New Roman" w:cs="Times New Roman"/>
          <w:i/>
          <w:iCs/>
          <w:u w:val="single"/>
          <w:lang w:val="sr-Latn-ME"/>
        </w:rPr>
      </w:pPr>
    </w:p>
    <w:p w14:paraId="016A4457" w14:textId="196AE658"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Studija DIVERSITY bila je sprovedena kako bi se pokazala efikasnost i bezb</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ednost dabigatraneteksilata u poređenju sa standardnim zbrinjavanjem (engl. </w:t>
      </w:r>
      <w:r w:rsidRPr="00314858">
        <w:rPr>
          <w:rFonts w:ascii="Times New Roman" w:hAnsi="Times New Roman" w:cs="Times New Roman"/>
          <w:i/>
          <w:iCs/>
          <w:lang w:val="sr-Latn-ME"/>
        </w:rPr>
        <w:t>Standard of Care</w:t>
      </w:r>
      <w:r w:rsidRPr="00314858">
        <w:rPr>
          <w:rFonts w:ascii="Times New Roman" w:hAnsi="Times New Roman" w:cs="Times New Roman"/>
          <w:lang w:val="sr-Latn-ME"/>
        </w:rPr>
        <w:t xml:space="preserve">, SOC) VTE kod pedijatrijskih pacijenata od rođenja do </w:t>
      </w:r>
      <w:r w:rsidR="00C00680" w:rsidRPr="00314858">
        <w:rPr>
          <w:rFonts w:ascii="Times New Roman" w:hAnsi="Times New Roman" w:cs="Times New Roman"/>
          <w:lang w:val="sr-Latn-ME"/>
        </w:rPr>
        <w:t xml:space="preserve">uzrasta </w:t>
      </w:r>
      <w:r w:rsidRPr="00314858">
        <w:rPr>
          <w:rFonts w:ascii="Times New Roman" w:hAnsi="Times New Roman" w:cs="Times New Roman"/>
          <w:lang w:val="sr-Latn-ME"/>
        </w:rPr>
        <w:t>manje od 18 godina. Studija je bila osmišljena kao otvorena, randomizovana studija neinferiornosti sa paralelnim grupama. Uključeni pacijenti su bili randomizovani prema šemi 2:1 u grupu kojoj je prim</w:t>
      </w:r>
      <w:r w:rsidR="005C7365" w:rsidRPr="00314858">
        <w:rPr>
          <w:rFonts w:ascii="Times New Roman" w:hAnsi="Times New Roman" w:cs="Times New Roman"/>
          <w:lang w:val="sr-Latn-ME"/>
        </w:rPr>
        <w:t>j</w:t>
      </w:r>
      <w:r w:rsidRPr="00314858">
        <w:rPr>
          <w:rFonts w:ascii="Times New Roman" w:hAnsi="Times New Roman" w:cs="Times New Roman"/>
          <w:lang w:val="sr-Latn-ME"/>
        </w:rPr>
        <w:t>enjivana formulacija dabigatraneteksilata odgovarajuća za njihov uzrast (kapsule, obložene granule ili oralni rastvor) (doze prilagođene prema uzrastu i t</w:t>
      </w:r>
      <w:r w:rsidR="005C7365" w:rsidRPr="00314858">
        <w:rPr>
          <w:rFonts w:ascii="Times New Roman" w:hAnsi="Times New Roman" w:cs="Times New Roman"/>
          <w:lang w:val="sr-Latn-ME"/>
        </w:rPr>
        <w:t>j</w:t>
      </w:r>
      <w:r w:rsidRPr="00314858">
        <w:rPr>
          <w:rFonts w:ascii="Times New Roman" w:hAnsi="Times New Roman" w:cs="Times New Roman"/>
          <w:lang w:val="sr-Latn-ME"/>
        </w:rPr>
        <w:t>elesnoj masi) ili u SOC grupu koja je obuhvatala prim</w:t>
      </w:r>
      <w:r w:rsidR="005C7365" w:rsidRPr="00314858">
        <w:rPr>
          <w:rFonts w:ascii="Times New Roman" w:hAnsi="Times New Roman" w:cs="Times New Roman"/>
          <w:lang w:val="sr-Latn-ME"/>
        </w:rPr>
        <w:t>j</w:t>
      </w:r>
      <w:r w:rsidRPr="00314858">
        <w:rPr>
          <w:rFonts w:ascii="Times New Roman" w:hAnsi="Times New Roman" w:cs="Times New Roman"/>
          <w:lang w:val="sr-Latn-ME"/>
        </w:rPr>
        <w:t>enu niskomolekularnog heparina (</w:t>
      </w:r>
      <w:r w:rsidR="00600A21" w:rsidRPr="00314858">
        <w:rPr>
          <w:rFonts w:ascii="Times New Roman" w:hAnsi="Times New Roman" w:cs="Times New Roman"/>
          <w:lang w:val="sr-Latn-ME"/>
        </w:rPr>
        <w:t xml:space="preserve">engl. </w:t>
      </w:r>
      <w:r w:rsidR="00600A21" w:rsidRPr="00314858">
        <w:rPr>
          <w:rFonts w:ascii="Times New Roman" w:hAnsi="Times New Roman" w:cs="Times New Roman"/>
          <w:i/>
          <w:lang w:val="sr-Latn-ME"/>
        </w:rPr>
        <w:t xml:space="preserve">low molecular weight heparins, </w:t>
      </w:r>
      <w:r w:rsidR="00600A21" w:rsidRPr="00314858">
        <w:rPr>
          <w:rFonts w:ascii="Times New Roman" w:hAnsi="Times New Roman" w:cs="Times New Roman"/>
          <w:lang w:val="sr-Latn-ME"/>
        </w:rPr>
        <w:t>LMWH</w:t>
      </w:r>
      <w:r w:rsidRPr="00314858">
        <w:rPr>
          <w:rFonts w:ascii="Times New Roman" w:hAnsi="Times New Roman" w:cs="Times New Roman"/>
          <w:lang w:val="sr-Latn-ME"/>
        </w:rPr>
        <w:t>) ili antagonista vitamina K (VKA) ili fondaparinuks</w:t>
      </w:r>
      <w:r w:rsidR="00600A21" w:rsidRPr="00314858">
        <w:rPr>
          <w:rFonts w:ascii="Times New Roman" w:hAnsi="Times New Roman" w:cs="Times New Roman"/>
          <w:lang w:val="sr-Latn-ME"/>
        </w:rPr>
        <w:t>a</w:t>
      </w:r>
      <w:r w:rsidRPr="00314858">
        <w:rPr>
          <w:rFonts w:ascii="Times New Roman" w:hAnsi="Times New Roman" w:cs="Times New Roman"/>
          <w:lang w:val="sr-Latn-ME"/>
        </w:rPr>
        <w:t xml:space="preserve"> (1 pacijent </w:t>
      </w:r>
      <w:r w:rsidR="00600A21" w:rsidRPr="00314858">
        <w:rPr>
          <w:rFonts w:ascii="Times New Roman" w:hAnsi="Times New Roman" w:cs="Times New Roman"/>
          <w:lang w:val="sr-Latn-ME"/>
        </w:rPr>
        <w:t>uzrasta</w:t>
      </w:r>
      <w:r w:rsidRPr="00314858">
        <w:rPr>
          <w:rFonts w:ascii="Times New Roman" w:hAnsi="Times New Roman" w:cs="Times New Roman"/>
          <w:lang w:val="sr-Latn-ME"/>
        </w:rPr>
        <w:t xml:space="preserve"> 12 godina). Primarni ishod bio je </w:t>
      </w:r>
      <w:r w:rsidR="00600A21" w:rsidRPr="00314858">
        <w:rPr>
          <w:rFonts w:ascii="Times New Roman" w:hAnsi="Times New Roman" w:cs="Times New Roman"/>
          <w:lang w:val="sr-Latn-ME"/>
        </w:rPr>
        <w:t xml:space="preserve">kompozitni </w:t>
      </w:r>
      <w:r w:rsidRPr="00314858">
        <w:rPr>
          <w:rFonts w:ascii="Times New Roman" w:hAnsi="Times New Roman" w:cs="Times New Roman"/>
          <w:lang w:val="sr-Latn-ME"/>
        </w:rPr>
        <w:t>ishod koji se sastojao od</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pacijenata sa potpunim razlaganjem tromba, bez rekurentne VTE i bez mortaliteta povezanog sa VTE. Kriterijumi isključenja obuhvatali su aktivni meningitis, encefalitis i intrakranijalni apsces.</w:t>
      </w:r>
    </w:p>
    <w:p w14:paraId="192E4B13" w14:textId="77777777" w:rsidR="00D2101D" w:rsidRPr="00314858" w:rsidRDefault="00D2101D" w:rsidP="00D67D34">
      <w:pPr>
        <w:spacing w:after="0" w:line="240" w:lineRule="auto"/>
        <w:jc w:val="both"/>
        <w:rPr>
          <w:rFonts w:ascii="Times New Roman" w:hAnsi="Times New Roman" w:cs="Times New Roman"/>
          <w:lang w:val="sr-Latn-ME"/>
        </w:rPr>
      </w:pPr>
    </w:p>
    <w:p w14:paraId="729608B0" w14:textId="0E5ADD97" w:rsidR="009D46AE"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Ukupno je 267 pacijenata bilo randomizovano. Od toga je 176 pacijenata bilo l</w:t>
      </w:r>
      <w:r w:rsidR="005C7365" w:rsidRPr="00314858">
        <w:rPr>
          <w:rFonts w:ascii="Times New Roman" w:hAnsi="Times New Roman" w:cs="Times New Roman"/>
          <w:lang w:val="sr-Latn-ME"/>
        </w:rPr>
        <w:t>ij</w:t>
      </w:r>
      <w:r w:rsidRPr="00314858">
        <w:rPr>
          <w:rFonts w:ascii="Times New Roman" w:hAnsi="Times New Roman" w:cs="Times New Roman"/>
          <w:lang w:val="sr-Latn-ME"/>
        </w:rPr>
        <w:t>ečeno dabigatraneteksilatom, a 90 pacijenata prema SOC (1 randomizovani pacijent nije bio l</w:t>
      </w:r>
      <w:r w:rsidR="005C7365" w:rsidRPr="00314858">
        <w:rPr>
          <w:rFonts w:ascii="Times New Roman" w:hAnsi="Times New Roman" w:cs="Times New Roman"/>
          <w:lang w:val="sr-Latn-ME"/>
        </w:rPr>
        <w:t>ij</w:t>
      </w:r>
      <w:r w:rsidRPr="00314858">
        <w:rPr>
          <w:rFonts w:ascii="Times New Roman" w:hAnsi="Times New Roman" w:cs="Times New Roman"/>
          <w:lang w:val="sr-Latn-ME"/>
        </w:rPr>
        <w:t xml:space="preserve">ečen). 168 pacijenata je bilo </w:t>
      </w:r>
      <w:r w:rsidR="009D46AE" w:rsidRPr="00314858">
        <w:rPr>
          <w:rFonts w:ascii="Times New Roman" w:hAnsi="Times New Roman" w:cs="Times New Roman"/>
          <w:lang w:val="sr-Latn-ME"/>
        </w:rPr>
        <w:t>uzrasta</w:t>
      </w:r>
      <w:r w:rsidRPr="00314858">
        <w:rPr>
          <w:rFonts w:ascii="Times New Roman" w:hAnsi="Times New Roman" w:cs="Times New Roman"/>
          <w:lang w:val="sr-Latn-ME"/>
        </w:rPr>
        <w:t xml:space="preserve"> od 12 do manje od 18 godina, 64 pacijenta 2 do manje od 12 godina, a 35 pacijenata je bilo mlađe od 2 godine.</w:t>
      </w:r>
    </w:p>
    <w:p w14:paraId="4EF392C4" w14:textId="77777777" w:rsidR="00D2101D" w:rsidRPr="00314858" w:rsidRDefault="00D2101D" w:rsidP="00D67D34">
      <w:pPr>
        <w:spacing w:after="0" w:line="240" w:lineRule="auto"/>
        <w:jc w:val="both"/>
        <w:rPr>
          <w:rFonts w:ascii="Times New Roman" w:hAnsi="Times New Roman" w:cs="Times New Roman"/>
          <w:lang w:val="sr-Latn-ME"/>
        </w:rPr>
      </w:pPr>
    </w:p>
    <w:p w14:paraId="64CC7BB8" w14:textId="705BC054"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Od 267 randomizovanih pacijenata, 81 pacijent (45,8%) u grupi </w:t>
      </w:r>
      <w:r w:rsidR="00EC4E74" w:rsidRPr="00314858">
        <w:rPr>
          <w:rFonts w:ascii="Times New Roman" w:hAnsi="Times New Roman" w:cs="Times New Roman"/>
          <w:lang w:val="sr-Latn-ME"/>
        </w:rPr>
        <w:t>koja je primala dabigatraneteksilat</w:t>
      </w:r>
      <w:r w:rsidRPr="00314858">
        <w:rPr>
          <w:rFonts w:ascii="Times New Roman" w:hAnsi="Times New Roman" w:cs="Times New Roman"/>
          <w:lang w:val="sr-Latn-ME"/>
        </w:rPr>
        <w:t xml:space="preserve"> i 38 pacijenata (42,2%) u SOC grupi, ispunilo je kriterijume za kompozitni primarni ishod (potpuno razlaganje tromba, bez rekurentne VTE i bez mortaliteta povezanog sa VTE). Odgovarajuća stopa razlike pokazala je neinferiornost dabigatraneteksilata u odnosu na SOC. Dosl</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edni rezultati takođe su generalno bili uočeni u svim podgrupama: nije bilo značajnih razlika u terapijskom </w:t>
      </w:r>
      <w:r w:rsidR="00C53DDB" w:rsidRPr="00314858">
        <w:rPr>
          <w:rFonts w:ascii="Times New Roman" w:hAnsi="Times New Roman" w:cs="Times New Roman"/>
          <w:lang w:val="sr-Latn-ME"/>
        </w:rPr>
        <w:t>dejstvu</w:t>
      </w:r>
      <w:r w:rsidRPr="00314858">
        <w:rPr>
          <w:rFonts w:ascii="Times New Roman" w:hAnsi="Times New Roman" w:cs="Times New Roman"/>
          <w:lang w:val="sr-Latn-ME"/>
        </w:rPr>
        <w:t xml:space="preserve"> kod podgrupa prema </w:t>
      </w:r>
      <w:r w:rsidR="00C53DDB" w:rsidRPr="00314858">
        <w:rPr>
          <w:rFonts w:ascii="Times New Roman" w:hAnsi="Times New Roman" w:cs="Times New Roman"/>
          <w:lang w:val="sr-Latn-ME"/>
        </w:rPr>
        <w:t>uzrastu</w:t>
      </w:r>
      <w:r w:rsidRPr="00314858">
        <w:rPr>
          <w:rFonts w:ascii="Times New Roman" w:hAnsi="Times New Roman" w:cs="Times New Roman"/>
          <w:lang w:val="sr-Latn-ME"/>
        </w:rPr>
        <w:t>, polu, regi</w:t>
      </w:r>
      <w:r w:rsidR="00C53DDB" w:rsidRPr="00314858">
        <w:rPr>
          <w:rFonts w:ascii="Times New Roman" w:hAnsi="Times New Roman" w:cs="Times New Roman"/>
          <w:lang w:val="sr-Latn-ME"/>
        </w:rPr>
        <w:t>ji</w:t>
      </w:r>
      <w:r w:rsidRPr="00314858">
        <w:rPr>
          <w:rFonts w:ascii="Times New Roman" w:hAnsi="Times New Roman" w:cs="Times New Roman"/>
          <w:lang w:val="sr-Latn-ME"/>
        </w:rPr>
        <w:t xml:space="preserve"> i prisutnosti određenih faktora rizika. Kod 3 različite starosne klase, ud</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eli pacijenata koji su ispunili primarni ishod efikasnosti u </w:t>
      </w:r>
      <w:r w:rsidR="00C53DDB" w:rsidRPr="00314858">
        <w:rPr>
          <w:rFonts w:ascii="Times New Roman" w:hAnsi="Times New Roman" w:cs="Times New Roman"/>
          <w:lang w:val="sr-Latn-ME"/>
        </w:rPr>
        <w:t xml:space="preserve">grupi </w:t>
      </w:r>
      <w:r w:rsidRPr="00314858">
        <w:rPr>
          <w:rFonts w:ascii="Times New Roman" w:hAnsi="Times New Roman" w:cs="Times New Roman"/>
          <w:lang w:val="sr-Latn-ME"/>
        </w:rPr>
        <w:t>dabigatraneteksilat</w:t>
      </w:r>
      <w:r w:rsidR="00C53DDB" w:rsidRPr="00314858">
        <w:rPr>
          <w:rFonts w:ascii="Times New Roman" w:hAnsi="Times New Roman" w:cs="Times New Roman"/>
          <w:lang w:val="sr-Latn-ME"/>
        </w:rPr>
        <w:t>a</w:t>
      </w:r>
      <w:r w:rsidRPr="00314858">
        <w:rPr>
          <w:rFonts w:ascii="Times New Roman" w:hAnsi="Times New Roman" w:cs="Times New Roman"/>
          <w:lang w:val="sr-Latn-ME"/>
        </w:rPr>
        <w:t xml:space="preserve"> i SOC grupama bili su</w:t>
      </w:r>
      <w:r w:rsidR="00EC4E74" w:rsidRPr="00314858">
        <w:rPr>
          <w:rFonts w:ascii="Times New Roman" w:hAnsi="Times New Roman" w:cs="Times New Roman"/>
          <w:lang w:val="sr-Latn-ME"/>
        </w:rPr>
        <w:t xml:space="preserve"> </w:t>
      </w:r>
      <w:r w:rsidRPr="00314858">
        <w:rPr>
          <w:rFonts w:ascii="Times New Roman" w:hAnsi="Times New Roman" w:cs="Times New Roman"/>
          <w:lang w:val="sr-Latn-ME"/>
        </w:rPr>
        <w:t>13/22 (59,1%)</w:t>
      </w:r>
      <w:r w:rsidR="00C53DDB" w:rsidRPr="00314858">
        <w:rPr>
          <w:rFonts w:ascii="Times New Roman" w:hAnsi="Times New Roman" w:cs="Times New Roman"/>
          <w:lang w:val="sr-Latn-ME"/>
        </w:rPr>
        <w:t>,</w:t>
      </w:r>
      <w:r w:rsidRPr="00314858">
        <w:rPr>
          <w:rFonts w:ascii="Times New Roman" w:hAnsi="Times New Roman" w:cs="Times New Roman"/>
          <w:lang w:val="sr-Latn-ME"/>
        </w:rPr>
        <w:t xml:space="preserve"> </w:t>
      </w:r>
      <w:r w:rsidR="00EC4E74" w:rsidRPr="00314858">
        <w:rPr>
          <w:rFonts w:ascii="Times New Roman" w:hAnsi="Times New Roman" w:cs="Times New Roman"/>
          <w:lang w:val="sr-Latn-ME"/>
        </w:rPr>
        <w:t>odnosno</w:t>
      </w:r>
      <w:r w:rsidRPr="00314858">
        <w:rPr>
          <w:rFonts w:ascii="Times New Roman" w:hAnsi="Times New Roman" w:cs="Times New Roman"/>
          <w:lang w:val="sr-Latn-ME"/>
        </w:rPr>
        <w:t xml:space="preserve"> 7/13 (53,8%) za pacijente od rođenja do &lt; 2 godine, 21/43 (48,8%)</w:t>
      </w:r>
      <w:r w:rsidR="00C53DDB" w:rsidRPr="00314858">
        <w:rPr>
          <w:rFonts w:ascii="Times New Roman" w:hAnsi="Times New Roman" w:cs="Times New Roman"/>
          <w:lang w:val="sr-Latn-ME"/>
        </w:rPr>
        <w:t>,</w:t>
      </w:r>
      <w:r w:rsidRPr="00314858">
        <w:rPr>
          <w:rFonts w:ascii="Times New Roman" w:hAnsi="Times New Roman" w:cs="Times New Roman"/>
          <w:lang w:val="sr-Latn-ME"/>
        </w:rPr>
        <w:t xml:space="preserve"> </w:t>
      </w:r>
      <w:r w:rsidR="00EC4E74" w:rsidRPr="00314858">
        <w:rPr>
          <w:rFonts w:ascii="Times New Roman" w:hAnsi="Times New Roman" w:cs="Times New Roman"/>
          <w:lang w:val="sr-Latn-ME"/>
        </w:rPr>
        <w:t>odnosno</w:t>
      </w:r>
      <w:r w:rsidRPr="00314858">
        <w:rPr>
          <w:rFonts w:ascii="Times New Roman" w:hAnsi="Times New Roman" w:cs="Times New Roman"/>
          <w:lang w:val="sr-Latn-ME"/>
        </w:rPr>
        <w:t xml:space="preserve"> 12/21 (57,1%) za pacijente </w:t>
      </w:r>
      <w:r w:rsidR="00C53DDB" w:rsidRPr="00314858">
        <w:rPr>
          <w:rFonts w:ascii="Times New Roman" w:hAnsi="Times New Roman" w:cs="Times New Roman"/>
          <w:lang w:val="sr-Latn-ME"/>
        </w:rPr>
        <w:t>uzrasta</w:t>
      </w:r>
      <w:r w:rsidRPr="00314858">
        <w:rPr>
          <w:rFonts w:ascii="Times New Roman" w:hAnsi="Times New Roman" w:cs="Times New Roman"/>
          <w:lang w:val="sr-Latn-ME"/>
        </w:rPr>
        <w:t xml:space="preserve"> od 2 do &lt; 12 godina i 47/112 (42,0%)</w:t>
      </w:r>
      <w:r w:rsidR="00C53DDB" w:rsidRPr="00314858">
        <w:rPr>
          <w:rFonts w:ascii="Times New Roman" w:hAnsi="Times New Roman" w:cs="Times New Roman"/>
          <w:lang w:val="sr-Latn-ME"/>
        </w:rPr>
        <w:t>,</w:t>
      </w:r>
      <w:r w:rsidRPr="00314858">
        <w:rPr>
          <w:rFonts w:ascii="Times New Roman" w:hAnsi="Times New Roman" w:cs="Times New Roman"/>
          <w:lang w:val="sr-Latn-ME"/>
        </w:rPr>
        <w:t xml:space="preserve"> </w:t>
      </w:r>
      <w:r w:rsidR="00EC4E74" w:rsidRPr="00314858">
        <w:rPr>
          <w:rFonts w:ascii="Times New Roman" w:hAnsi="Times New Roman" w:cs="Times New Roman"/>
          <w:lang w:val="sr-Latn-ME"/>
        </w:rPr>
        <w:t>odnosno</w:t>
      </w:r>
      <w:r w:rsidRPr="00314858">
        <w:rPr>
          <w:rFonts w:ascii="Times New Roman" w:hAnsi="Times New Roman" w:cs="Times New Roman"/>
          <w:lang w:val="sr-Latn-ME"/>
        </w:rPr>
        <w:t xml:space="preserve"> 19/56 (33,9%) za pacijente </w:t>
      </w:r>
      <w:r w:rsidR="00C53DDB" w:rsidRPr="00314858">
        <w:rPr>
          <w:rFonts w:ascii="Times New Roman" w:hAnsi="Times New Roman" w:cs="Times New Roman"/>
          <w:lang w:val="sr-Latn-ME"/>
        </w:rPr>
        <w:t>uzrasta</w:t>
      </w:r>
      <w:r w:rsidRPr="00314858">
        <w:rPr>
          <w:rFonts w:ascii="Times New Roman" w:hAnsi="Times New Roman" w:cs="Times New Roman"/>
          <w:lang w:val="sr-Latn-ME"/>
        </w:rPr>
        <w:t xml:space="preserve"> od 12 &lt; 18 godina.</w:t>
      </w:r>
    </w:p>
    <w:p w14:paraId="0AEE3B5F" w14:textId="77777777" w:rsidR="00D2101D" w:rsidRPr="00314858" w:rsidRDefault="00D2101D" w:rsidP="00D67D34">
      <w:pPr>
        <w:spacing w:after="0" w:line="240" w:lineRule="auto"/>
        <w:jc w:val="both"/>
        <w:rPr>
          <w:rFonts w:ascii="Times New Roman" w:hAnsi="Times New Roman" w:cs="Times New Roman"/>
          <w:lang w:val="sr-Latn-ME"/>
        </w:rPr>
      </w:pPr>
    </w:p>
    <w:p w14:paraId="13B331F1" w14:textId="61AD17D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Pojava </w:t>
      </w:r>
      <w:r w:rsidR="00C53DDB" w:rsidRPr="00314858">
        <w:rPr>
          <w:rFonts w:ascii="Times New Roman" w:hAnsi="Times New Roman" w:cs="Times New Roman"/>
          <w:lang w:val="sr-Latn-ME"/>
        </w:rPr>
        <w:t>obilnijih</w:t>
      </w:r>
      <w:r w:rsidRPr="00314858">
        <w:rPr>
          <w:rFonts w:ascii="Times New Roman" w:hAnsi="Times New Roman" w:cs="Times New Roman"/>
          <w:lang w:val="sr-Latn-ME"/>
        </w:rPr>
        <w:t xml:space="preserve"> krvarenja bila je prijavljena kod 4 pacijenta (2,3%) u grupi</w:t>
      </w:r>
      <w:r w:rsidR="00EC4E74" w:rsidRPr="00314858">
        <w:rPr>
          <w:rFonts w:ascii="Times New Roman" w:hAnsi="Times New Roman" w:cs="Times New Roman"/>
          <w:lang w:val="sr-Latn-ME"/>
        </w:rPr>
        <w:t xml:space="preserve"> koja je primala dabigatraneteksilat</w:t>
      </w:r>
      <w:r w:rsidRPr="00314858">
        <w:rPr>
          <w:rFonts w:ascii="Times New Roman" w:hAnsi="Times New Roman" w:cs="Times New Roman"/>
          <w:lang w:val="sr-Latn-ME"/>
        </w:rPr>
        <w:t xml:space="preserve"> i 2 pacijenta (2,2%) u SOC grupi. Nije bilo statistički značajne razlike u vremenu do prvog događaja </w:t>
      </w:r>
      <w:r w:rsidR="00C53DDB" w:rsidRPr="00314858">
        <w:rPr>
          <w:rFonts w:ascii="Times New Roman" w:hAnsi="Times New Roman" w:cs="Times New Roman"/>
          <w:lang w:val="sr-Latn-ME"/>
        </w:rPr>
        <w:t>obilnijeg</w:t>
      </w:r>
      <w:r w:rsidRPr="00314858">
        <w:rPr>
          <w:rFonts w:ascii="Times New Roman" w:hAnsi="Times New Roman" w:cs="Times New Roman"/>
          <w:lang w:val="sr-Latn-ME"/>
        </w:rPr>
        <w:t xml:space="preserve"> krvarenja. Trideset i osam pacijenata (21,6%) u </w:t>
      </w:r>
      <w:r w:rsidR="00EC4E74" w:rsidRPr="00314858">
        <w:rPr>
          <w:rFonts w:ascii="Times New Roman" w:hAnsi="Times New Roman" w:cs="Times New Roman"/>
          <w:lang w:val="sr-Latn-ME"/>
        </w:rPr>
        <w:t xml:space="preserve">grupi koja je primala </w:t>
      </w:r>
      <w:r w:rsidRPr="00314858">
        <w:rPr>
          <w:rFonts w:ascii="Times New Roman" w:hAnsi="Times New Roman" w:cs="Times New Roman"/>
          <w:lang w:val="sr-Latn-ME"/>
        </w:rPr>
        <w:t>dabigatraneteksilat i 22 pacijenta (24,4%) u SOC grupi imalo je neki događaj krvarenja, većina njih je bila kategorisana kao manje krvarenje. Kombinovan</w:t>
      </w:r>
      <w:r w:rsidR="00C53DDB" w:rsidRPr="00314858">
        <w:rPr>
          <w:rFonts w:ascii="Times New Roman" w:hAnsi="Times New Roman" w:cs="Times New Roman"/>
          <w:lang w:val="sr-Latn-ME"/>
        </w:rPr>
        <w:t>i</w:t>
      </w:r>
      <w:r w:rsidRPr="00314858">
        <w:rPr>
          <w:rFonts w:ascii="Times New Roman" w:hAnsi="Times New Roman" w:cs="Times New Roman"/>
          <w:lang w:val="sr-Latn-ME"/>
        </w:rPr>
        <w:t xml:space="preserve"> ishod pojave </w:t>
      </w:r>
      <w:r w:rsidR="00C53DDB" w:rsidRPr="00314858">
        <w:rPr>
          <w:rFonts w:ascii="Times New Roman" w:hAnsi="Times New Roman" w:cs="Times New Roman"/>
          <w:lang w:val="sr-Latn-ME"/>
        </w:rPr>
        <w:t>događaja obilnijeg</w:t>
      </w:r>
      <w:r w:rsidRPr="00314858">
        <w:rPr>
          <w:rFonts w:ascii="Times New Roman" w:hAnsi="Times New Roman" w:cs="Times New Roman"/>
          <w:lang w:val="sr-Latn-ME"/>
        </w:rPr>
        <w:t xml:space="preserve"> krvarenja ili klinički </w:t>
      </w:r>
      <w:r w:rsidR="00C53DDB" w:rsidRPr="00314858">
        <w:rPr>
          <w:rFonts w:ascii="Times New Roman" w:hAnsi="Times New Roman" w:cs="Times New Roman"/>
          <w:lang w:val="sr-Latn-ME"/>
        </w:rPr>
        <w:t>značajnog</w:t>
      </w:r>
      <w:r w:rsidRPr="00314858">
        <w:rPr>
          <w:rFonts w:ascii="Times New Roman" w:hAnsi="Times New Roman" w:cs="Times New Roman"/>
          <w:lang w:val="sr-Latn-ME"/>
        </w:rPr>
        <w:t xml:space="preserve"> krvarenja </w:t>
      </w:r>
      <w:r w:rsidR="00C53DDB" w:rsidRPr="00314858">
        <w:rPr>
          <w:rFonts w:ascii="Times New Roman" w:hAnsi="Times New Roman" w:cs="Times New Roman"/>
          <w:lang w:val="sr-Latn-ME"/>
        </w:rPr>
        <w:t xml:space="preserve">koje nije obilno </w:t>
      </w:r>
      <w:r w:rsidRPr="00314858">
        <w:rPr>
          <w:rFonts w:ascii="Times New Roman" w:hAnsi="Times New Roman" w:cs="Times New Roman"/>
          <w:lang w:val="sr-Latn-ME"/>
        </w:rPr>
        <w:t xml:space="preserve">(tokom </w:t>
      </w:r>
      <w:r w:rsidR="00C53DDB" w:rsidRPr="00314858">
        <w:rPr>
          <w:rFonts w:ascii="Times New Roman" w:hAnsi="Times New Roman" w:cs="Times New Roman"/>
          <w:lang w:val="sr-Latn-ME"/>
        </w:rPr>
        <w:t>terapije</w:t>
      </w:r>
      <w:r w:rsidRPr="00314858">
        <w:rPr>
          <w:rFonts w:ascii="Times New Roman" w:hAnsi="Times New Roman" w:cs="Times New Roman"/>
          <w:lang w:val="sr-Latn-ME"/>
        </w:rPr>
        <w:t>) bio je prijavljen kod 6 (3,4%) pacijenata u grupi</w:t>
      </w:r>
      <w:r w:rsidR="00EC4E74" w:rsidRPr="00314858">
        <w:rPr>
          <w:rFonts w:ascii="Times New Roman" w:hAnsi="Times New Roman" w:cs="Times New Roman"/>
          <w:lang w:val="sr-Latn-ME"/>
        </w:rPr>
        <w:t xml:space="preserve"> koja je primala dabigatraneteksilat</w:t>
      </w:r>
      <w:r w:rsidRPr="00314858">
        <w:rPr>
          <w:rFonts w:ascii="Times New Roman" w:hAnsi="Times New Roman" w:cs="Times New Roman"/>
          <w:lang w:val="sr-Latn-ME"/>
        </w:rPr>
        <w:t xml:space="preserve"> i 3 (3,3%) pacijenta u SOC grupi.</w:t>
      </w:r>
    </w:p>
    <w:p w14:paraId="5C8F9F4D" w14:textId="77777777" w:rsidR="00D67D34" w:rsidRPr="00314858" w:rsidRDefault="00D67D34" w:rsidP="00D67D34">
      <w:pPr>
        <w:spacing w:after="0" w:line="240" w:lineRule="auto"/>
        <w:jc w:val="both"/>
        <w:rPr>
          <w:rFonts w:ascii="Times New Roman" w:hAnsi="Times New Roman" w:cs="Times New Roman"/>
          <w:lang w:val="sr-Latn-ME"/>
        </w:rPr>
      </w:pPr>
    </w:p>
    <w:p w14:paraId="6728D382" w14:textId="34BB00D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Otvorena, multicentrična studija faze III sa jednom grupom prospektivne kohorte (1160.108) sprovedena je radi proc</w:t>
      </w:r>
      <w:r w:rsidR="005C7365" w:rsidRPr="00314858">
        <w:rPr>
          <w:rFonts w:ascii="Times New Roman" w:hAnsi="Times New Roman" w:cs="Times New Roman"/>
          <w:lang w:val="sr-Latn-ME"/>
        </w:rPr>
        <w:t>j</w:t>
      </w:r>
      <w:r w:rsidRPr="00314858">
        <w:rPr>
          <w:rFonts w:ascii="Times New Roman" w:hAnsi="Times New Roman" w:cs="Times New Roman"/>
          <w:lang w:val="sr-Latn-ME"/>
        </w:rPr>
        <w:t>ene bezb</w:t>
      </w:r>
      <w:r w:rsidR="005C7365" w:rsidRPr="00314858">
        <w:rPr>
          <w:rFonts w:ascii="Times New Roman" w:hAnsi="Times New Roman" w:cs="Times New Roman"/>
          <w:lang w:val="sr-Latn-ME"/>
        </w:rPr>
        <w:t>j</w:t>
      </w:r>
      <w:r w:rsidRPr="00314858">
        <w:rPr>
          <w:rFonts w:ascii="Times New Roman" w:hAnsi="Times New Roman" w:cs="Times New Roman"/>
          <w:lang w:val="sr-Latn-ME"/>
        </w:rPr>
        <w:t>ednosti prim</w:t>
      </w:r>
      <w:r w:rsidR="005C7365" w:rsidRPr="00314858">
        <w:rPr>
          <w:rFonts w:ascii="Times New Roman" w:hAnsi="Times New Roman" w:cs="Times New Roman"/>
          <w:lang w:val="sr-Latn-ME"/>
        </w:rPr>
        <w:t>j</w:t>
      </w:r>
      <w:r w:rsidRPr="00314858">
        <w:rPr>
          <w:rFonts w:ascii="Times New Roman" w:hAnsi="Times New Roman" w:cs="Times New Roman"/>
          <w:lang w:val="sr-Latn-ME"/>
        </w:rPr>
        <w:t>ene dabigatraneteksilata za prevenciju rekurentne VTE kod pedijatrijskih pacijenata od rođenja do manje od 18 godina. Pacijentima kojima je bila potrebna dalja antikoagulacija zbog prisutnosti kliničkog faktora rizika nakon završetka početn</w:t>
      </w:r>
      <w:r w:rsidR="00796733" w:rsidRPr="00314858">
        <w:rPr>
          <w:rFonts w:ascii="Times New Roman" w:hAnsi="Times New Roman" w:cs="Times New Roman"/>
          <w:lang w:val="sr-Latn-ME"/>
        </w:rPr>
        <w:t>e terapije</w:t>
      </w:r>
      <w:r w:rsidRPr="00314858">
        <w:rPr>
          <w:rFonts w:ascii="Times New Roman" w:hAnsi="Times New Roman" w:cs="Times New Roman"/>
          <w:lang w:val="sr-Latn-ME"/>
        </w:rPr>
        <w:t xml:space="preserve"> za potvrđenu VTE (u trajanju od najmanje 3 m</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eseca) ili nakon završetka studije DIVERSITY, bilo je dozvoljeno da budu uključeni u studiju. </w:t>
      </w:r>
      <w:r w:rsidR="00EC4E74" w:rsidRPr="00314858">
        <w:rPr>
          <w:rFonts w:ascii="Times New Roman" w:hAnsi="Times New Roman" w:cs="Times New Roman"/>
          <w:lang w:val="sr-Latn-ME"/>
        </w:rPr>
        <w:t xml:space="preserve">Pacijenti pogodni za uključivanje </w:t>
      </w:r>
      <w:r w:rsidRPr="00314858">
        <w:rPr>
          <w:rFonts w:ascii="Times New Roman" w:hAnsi="Times New Roman" w:cs="Times New Roman"/>
          <w:lang w:val="sr-Latn-ME"/>
        </w:rPr>
        <w:t>primali su dabigatraneteksilat u formulaciji prikladnoj za njihov uzrast (kapsule, obložene granule ili oralni rastvor) i u dozi prilagođenoj prema njihovom uzrastu i t</w:t>
      </w:r>
      <w:r w:rsidR="005C7365" w:rsidRPr="00314858">
        <w:rPr>
          <w:rFonts w:ascii="Times New Roman" w:hAnsi="Times New Roman" w:cs="Times New Roman"/>
          <w:lang w:val="sr-Latn-ME"/>
        </w:rPr>
        <w:t>j</w:t>
      </w:r>
      <w:r w:rsidRPr="00314858">
        <w:rPr>
          <w:rFonts w:ascii="Times New Roman" w:hAnsi="Times New Roman" w:cs="Times New Roman"/>
          <w:lang w:val="sr-Latn-ME"/>
        </w:rPr>
        <w:t>elesnoj masi, sve dok se klinički faktor rizika nije povukao, ili do maksimalno 12 m</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eseci. Primarni ishodi studije uključivali su </w:t>
      </w:r>
      <w:r w:rsidR="00EC4E74" w:rsidRPr="00314858">
        <w:rPr>
          <w:rFonts w:ascii="Times New Roman" w:hAnsi="Times New Roman" w:cs="Times New Roman"/>
          <w:lang w:val="sr-Latn-ME"/>
        </w:rPr>
        <w:t>ponovnu pojavu</w:t>
      </w:r>
      <w:r w:rsidRPr="00314858">
        <w:rPr>
          <w:rFonts w:ascii="Times New Roman" w:hAnsi="Times New Roman" w:cs="Times New Roman"/>
          <w:lang w:val="sr-Latn-ME"/>
        </w:rPr>
        <w:t xml:space="preserve"> VTE, događaje </w:t>
      </w:r>
      <w:r w:rsidR="00796733" w:rsidRPr="00314858">
        <w:rPr>
          <w:rFonts w:ascii="Times New Roman" w:hAnsi="Times New Roman" w:cs="Times New Roman"/>
          <w:lang w:val="sr-Latn-ME"/>
        </w:rPr>
        <w:t>obilnijeg</w:t>
      </w:r>
      <w:r w:rsidRPr="00314858">
        <w:rPr>
          <w:rFonts w:ascii="Times New Roman" w:hAnsi="Times New Roman" w:cs="Times New Roman"/>
          <w:lang w:val="sr-Latn-ME"/>
        </w:rPr>
        <w:t xml:space="preserve"> i manje</w:t>
      </w:r>
      <w:r w:rsidR="00796733" w:rsidRPr="00314858">
        <w:rPr>
          <w:rFonts w:ascii="Times New Roman" w:hAnsi="Times New Roman" w:cs="Times New Roman"/>
          <w:lang w:val="sr-Latn-ME"/>
        </w:rPr>
        <w:t xml:space="preserve"> obilnog</w:t>
      </w:r>
      <w:r w:rsidRPr="00314858">
        <w:rPr>
          <w:rFonts w:ascii="Times New Roman" w:hAnsi="Times New Roman" w:cs="Times New Roman"/>
          <w:lang w:val="sr-Latn-ME"/>
        </w:rPr>
        <w:t xml:space="preserve"> krvarenja i mortalitet (ukupni i povezan sa trombotskim ili tromboembolijskim događajima) u 6. i 12. m</w:t>
      </w:r>
      <w:r w:rsidR="005C7365" w:rsidRPr="00314858">
        <w:rPr>
          <w:rFonts w:ascii="Times New Roman" w:hAnsi="Times New Roman" w:cs="Times New Roman"/>
          <w:lang w:val="sr-Latn-ME"/>
        </w:rPr>
        <w:t>j</w:t>
      </w:r>
      <w:r w:rsidRPr="00314858">
        <w:rPr>
          <w:rFonts w:ascii="Times New Roman" w:hAnsi="Times New Roman" w:cs="Times New Roman"/>
          <w:lang w:val="sr-Latn-ME"/>
        </w:rPr>
        <w:t>esecu. O događajima ishoda odlučiva</w:t>
      </w:r>
      <w:r w:rsidR="00796733" w:rsidRPr="00314858">
        <w:rPr>
          <w:rFonts w:ascii="Times New Roman" w:hAnsi="Times New Roman" w:cs="Times New Roman"/>
          <w:lang w:val="sr-Latn-ME"/>
        </w:rPr>
        <w:t>la</w:t>
      </w:r>
      <w:r w:rsidRPr="00314858">
        <w:rPr>
          <w:rFonts w:ascii="Times New Roman" w:hAnsi="Times New Roman" w:cs="Times New Roman"/>
          <w:lang w:val="sr-Latn-ME"/>
        </w:rPr>
        <w:t xml:space="preserve"> je nezavisn</w:t>
      </w:r>
      <w:r w:rsidR="00796733" w:rsidRPr="00314858">
        <w:rPr>
          <w:rFonts w:ascii="Times New Roman" w:hAnsi="Times New Roman" w:cs="Times New Roman"/>
          <w:lang w:val="sr-Latn-ME"/>
        </w:rPr>
        <w:t>a sl</w:t>
      </w:r>
      <w:r w:rsidR="005C7365" w:rsidRPr="00314858">
        <w:rPr>
          <w:rFonts w:ascii="Times New Roman" w:hAnsi="Times New Roman" w:cs="Times New Roman"/>
          <w:lang w:val="sr-Latn-ME"/>
        </w:rPr>
        <w:t>ij</w:t>
      </w:r>
      <w:r w:rsidR="00796733" w:rsidRPr="00314858">
        <w:rPr>
          <w:rFonts w:ascii="Times New Roman" w:hAnsi="Times New Roman" w:cs="Times New Roman"/>
          <w:lang w:val="sr-Latn-ME"/>
        </w:rPr>
        <w:t>epa komisija</w:t>
      </w:r>
      <w:r w:rsidRPr="00314858">
        <w:rPr>
          <w:rFonts w:ascii="Times New Roman" w:hAnsi="Times New Roman" w:cs="Times New Roman"/>
          <w:lang w:val="sr-Latn-ME"/>
        </w:rPr>
        <w:t xml:space="preserve"> za proc</w:t>
      </w:r>
      <w:r w:rsidR="005C7365" w:rsidRPr="00314858">
        <w:rPr>
          <w:rFonts w:ascii="Times New Roman" w:hAnsi="Times New Roman" w:cs="Times New Roman"/>
          <w:lang w:val="sr-Latn-ME"/>
        </w:rPr>
        <w:t>j</w:t>
      </w:r>
      <w:r w:rsidRPr="00314858">
        <w:rPr>
          <w:rFonts w:ascii="Times New Roman" w:hAnsi="Times New Roman" w:cs="Times New Roman"/>
          <w:lang w:val="sr-Latn-ME"/>
        </w:rPr>
        <w:t>enu ishoda.</w:t>
      </w:r>
    </w:p>
    <w:p w14:paraId="051CAC60" w14:textId="77777777" w:rsidR="00E2668D" w:rsidRPr="00314858" w:rsidRDefault="00E2668D" w:rsidP="00D67D34">
      <w:pPr>
        <w:spacing w:after="0" w:line="240" w:lineRule="auto"/>
        <w:jc w:val="both"/>
        <w:rPr>
          <w:rFonts w:ascii="Times New Roman" w:hAnsi="Times New Roman" w:cs="Times New Roman"/>
          <w:lang w:val="sr-Latn-ME"/>
        </w:rPr>
      </w:pPr>
    </w:p>
    <w:p w14:paraId="21291E42" w14:textId="77777777" w:rsidR="00E2668D"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Ukupno je 214 pacijenta ušlo u studiju; od toga 162 pacijenta u </w:t>
      </w:r>
      <w:r w:rsidR="00FD08A4" w:rsidRPr="00314858">
        <w:rPr>
          <w:rFonts w:ascii="Times New Roman" w:hAnsi="Times New Roman" w:cs="Times New Roman"/>
          <w:lang w:val="sr-Latn-ME"/>
        </w:rPr>
        <w:t>uzrasnoj</w:t>
      </w:r>
      <w:r w:rsidRPr="00314858">
        <w:rPr>
          <w:rFonts w:ascii="Times New Roman" w:hAnsi="Times New Roman" w:cs="Times New Roman"/>
          <w:lang w:val="sr-Latn-ME"/>
        </w:rPr>
        <w:t xml:space="preserve"> klasi 1 (</w:t>
      </w:r>
      <w:r w:rsidR="00FD08A4" w:rsidRPr="00314858">
        <w:rPr>
          <w:rFonts w:ascii="Times New Roman" w:hAnsi="Times New Roman" w:cs="Times New Roman"/>
          <w:lang w:val="sr-Latn-ME"/>
        </w:rPr>
        <w:t>uzrasta</w:t>
      </w:r>
      <w:r w:rsidRPr="00314858">
        <w:rPr>
          <w:rFonts w:ascii="Times New Roman" w:hAnsi="Times New Roman" w:cs="Times New Roman"/>
          <w:lang w:val="sr-Latn-ME"/>
        </w:rPr>
        <w:t xml:space="preserve"> od 12 do manje od 18 godina), 43 pacijenta u </w:t>
      </w:r>
      <w:r w:rsidR="00FD08A4" w:rsidRPr="00314858">
        <w:rPr>
          <w:rFonts w:ascii="Times New Roman" w:hAnsi="Times New Roman" w:cs="Times New Roman"/>
          <w:lang w:val="sr-Latn-ME"/>
        </w:rPr>
        <w:t>uzrasnoj</w:t>
      </w:r>
      <w:r w:rsidRPr="00314858">
        <w:rPr>
          <w:rFonts w:ascii="Times New Roman" w:hAnsi="Times New Roman" w:cs="Times New Roman"/>
          <w:lang w:val="sr-Latn-ME"/>
        </w:rPr>
        <w:t xml:space="preserve"> klasi 2 (</w:t>
      </w:r>
      <w:r w:rsidR="00FD08A4" w:rsidRPr="00314858">
        <w:rPr>
          <w:rFonts w:ascii="Times New Roman" w:hAnsi="Times New Roman" w:cs="Times New Roman"/>
          <w:lang w:val="sr-Latn-ME"/>
        </w:rPr>
        <w:t>uzrasta</w:t>
      </w:r>
      <w:r w:rsidRPr="00314858">
        <w:rPr>
          <w:rFonts w:ascii="Times New Roman" w:hAnsi="Times New Roman" w:cs="Times New Roman"/>
          <w:lang w:val="sr-Latn-ME"/>
        </w:rPr>
        <w:t xml:space="preserve"> od 2 do manje od 12 godina) i 9 pacijenata u </w:t>
      </w:r>
      <w:r w:rsidR="00FD08A4" w:rsidRPr="00314858">
        <w:rPr>
          <w:rFonts w:ascii="Times New Roman" w:hAnsi="Times New Roman" w:cs="Times New Roman"/>
          <w:lang w:val="sr-Latn-ME"/>
        </w:rPr>
        <w:lastRenderedPageBreak/>
        <w:t>uzrasnoj</w:t>
      </w:r>
      <w:r w:rsidRPr="00314858">
        <w:rPr>
          <w:rFonts w:ascii="Times New Roman" w:hAnsi="Times New Roman" w:cs="Times New Roman"/>
          <w:lang w:val="sr-Latn-ME"/>
        </w:rPr>
        <w:t xml:space="preserve"> klasi 3 (od rođenja do manje od 2 godine). Tokom perioda </w:t>
      </w:r>
      <w:r w:rsidR="00FD08A4" w:rsidRPr="00314858">
        <w:rPr>
          <w:rFonts w:ascii="Times New Roman" w:hAnsi="Times New Roman" w:cs="Times New Roman"/>
          <w:lang w:val="sr-Latn-ME"/>
        </w:rPr>
        <w:t>terapije</w:t>
      </w:r>
      <w:r w:rsidRPr="00314858">
        <w:rPr>
          <w:rFonts w:ascii="Times New Roman" w:hAnsi="Times New Roman" w:cs="Times New Roman"/>
          <w:lang w:val="sr-Latn-ME"/>
        </w:rPr>
        <w:t>, 3 pacijenta (1,4%) imalo je potvrđenu pojavu rekurente VTE unutar prvih 12 m</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eseci nakon početka </w:t>
      </w:r>
      <w:r w:rsidR="00FD08A4" w:rsidRPr="00314858">
        <w:rPr>
          <w:rFonts w:ascii="Times New Roman" w:hAnsi="Times New Roman" w:cs="Times New Roman"/>
          <w:lang w:val="sr-Latn-ME"/>
        </w:rPr>
        <w:t>terapije</w:t>
      </w:r>
      <w:r w:rsidRPr="00314858">
        <w:rPr>
          <w:rFonts w:ascii="Times New Roman" w:hAnsi="Times New Roman" w:cs="Times New Roman"/>
          <w:lang w:val="sr-Latn-ME"/>
        </w:rPr>
        <w:t xml:space="preserve">. </w:t>
      </w:r>
    </w:p>
    <w:p w14:paraId="67BBA5AE" w14:textId="77777777" w:rsidR="00E2668D" w:rsidRPr="00314858" w:rsidRDefault="00E2668D" w:rsidP="00D67D34">
      <w:pPr>
        <w:spacing w:after="0" w:line="240" w:lineRule="auto"/>
        <w:jc w:val="both"/>
        <w:rPr>
          <w:rFonts w:ascii="Times New Roman" w:hAnsi="Times New Roman" w:cs="Times New Roman"/>
          <w:lang w:val="sr-Latn-ME"/>
        </w:rPr>
      </w:pPr>
    </w:p>
    <w:p w14:paraId="24471D30" w14:textId="5FB617CB"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Potvrđena pojava </w:t>
      </w:r>
      <w:r w:rsidR="00FD08A4" w:rsidRPr="00314858">
        <w:rPr>
          <w:rFonts w:ascii="Times New Roman" w:hAnsi="Times New Roman" w:cs="Times New Roman"/>
          <w:lang w:val="sr-Latn-ME"/>
        </w:rPr>
        <w:t xml:space="preserve">događaja </w:t>
      </w:r>
      <w:r w:rsidRPr="00314858">
        <w:rPr>
          <w:rFonts w:ascii="Times New Roman" w:hAnsi="Times New Roman" w:cs="Times New Roman"/>
          <w:lang w:val="sr-Latn-ME"/>
        </w:rPr>
        <w:t xml:space="preserve">krvarenja tokom perioda </w:t>
      </w:r>
      <w:r w:rsidR="00FD08A4" w:rsidRPr="00314858">
        <w:rPr>
          <w:rFonts w:ascii="Times New Roman" w:hAnsi="Times New Roman" w:cs="Times New Roman"/>
          <w:lang w:val="sr-Latn-ME"/>
        </w:rPr>
        <w:t>terapije</w:t>
      </w:r>
      <w:r w:rsidRPr="00314858">
        <w:rPr>
          <w:rFonts w:ascii="Times New Roman" w:hAnsi="Times New Roman" w:cs="Times New Roman"/>
          <w:lang w:val="sr-Latn-ME"/>
        </w:rPr>
        <w:t xml:space="preserve"> bila je prijavljena kod 48 pacijenata (22,5%) unutar prvih 12 m</w:t>
      </w:r>
      <w:r w:rsidR="005C7365" w:rsidRPr="00314858">
        <w:rPr>
          <w:rFonts w:ascii="Times New Roman" w:hAnsi="Times New Roman" w:cs="Times New Roman"/>
          <w:lang w:val="sr-Latn-ME"/>
        </w:rPr>
        <w:t>j</w:t>
      </w:r>
      <w:r w:rsidRPr="00314858">
        <w:rPr>
          <w:rFonts w:ascii="Times New Roman" w:hAnsi="Times New Roman" w:cs="Times New Roman"/>
          <w:lang w:val="sr-Latn-ME"/>
        </w:rPr>
        <w:t>eseci. Većina događaja</w:t>
      </w:r>
      <w:r w:rsidR="00EC4E74" w:rsidRPr="00314858">
        <w:rPr>
          <w:rFonts w:ascii="Times New Roman" w:hAnsi="Times New Roman" w:cs="Times New Roman"/>
          <w:lang w:val="sr-Latn-ME"/>
        </w:rPr>
        <w:t xml:space="preserve"> krvarenja</w:t>
      </w:r>
      <w:r w:rsidRPr="00314858">
        <w:rPr>
          <w:rFonts w:ascii="Times New Roman" w:hAnsi="Times New Roman" w:cs="Times New Roman"/>
          <w:lang w:val="sr-Latn-ME"/>
        </w:rPr>
        <w:t xml:space="preserve"> </w:t>
      </w:r>
      <w:r w:rsidR="00EC4E74" w:rsidRPr="00314858">
        <w:rPr>
          <w:rFonts w:ascii="Times New Roman" w:hAnsi="Times New Roman" w:cs="Times New Roman"/>
          <w:lang w:val="sr-Latn-ME"/>
        </w:rPr>
        <w:t xml:space="preserve">su </w:t>
      </w:r>
      <w:r w:rsidRPr="00314858">
        <w:rPr>
          <w:rFonts w:ascii="Times New Roman" w:hAnsi="Times New Roman" w:cs="Times New Roman"/>
          <w:lang w:val="sr-Latn-ME"/>
        </w:rPr>
        <w:t>bil</w:t>
      </w:r>
      <w:r w:rsidR="00EC4E74" w:rsidRPr="00314858">
        <w:rPr>
          <w:rFonts w:ascii="Times New Roman" w:hAnsi="Times New Roman" w:cs="Times New Roman"/>
          <w:lang w:val="sr-Latn-ME"/>
        </w:rPr>
        <w:t xml:space="preserve">a </w:t>
      </w:r>
      <w:r w:rsidRPr="00314858">
        <w:rPr>
          <w:rFonts w:ascii="Times New Roman" w:hAnsi="Times New Roman" w:cs="Times New Roman"/>
          <w:lang w:val="sr-Latn-ME"/>
        </w:rPr>
        <w:t>manj</w:t>
      </w:r>
      <w:r w:rsidR="00FD08A4" w:rsidRPr="00314858">
        <w:rPr>
          <w:rFonts w:ascii="Times New Roman" w:hAnsi="Times New Roman" w:cs="Times New Roman"/>
          <w:lang w:val="sr-Latn-ME"/>
        </w:rPr>
        <w:t>e</w:t>
      </w:r>
      <w:r w:rsidRPr="00314858">
        <w:rPr>
          <w:rFonts w:ascii="Times New Roman" w:hAnsi="Times New Roman" w:cs="Times New Roman"/>
          <w:lang w:val="sr-Latn-ME"/>
        </w:rPr>
        <w:t xml:space="preserve"> </w:t>
      </w:r>
      <w:r w:rsidR="00FD08A4" w:rsidRPr="00314858">
        <w:rPr>
          <w:rFonts w:ascii="Times New Roman" w:hAnsi="Times New Roman" w:cs="Times New Roman"/>
          <w:lang w:val="sr-Latn-ME"/>
        </w:rPr>
        <w:t xml:space="preserve">obilna </w:t>
      </w:r>
      <w:r w:rsidRPr="00314858">
        <w:rPr>
          <w:rFonts w:ascii="Times New Roman" w:hAnsi="Times New Roman" w:cs="Times New Roman"/>
          <w:lang w:val="sr-Latn-ME"/>
        </w:rPr>
        <w:t xml:space="preserve">krvarenja. Kod 3 pacijenta (1,4%) bila je prijavljena potvrđena pojava događaja </w:t>
      </w:r>
      <w:r w:rsidR="00FD08A4" w:rsidRPr="00314858">
        <w:rPr>
          <w:rFonts w:ascii="Times New Roman" w:hAnsi="Times New Roman" w:cs="Times New Roman"/>
          <w:lang w:val="sr-Latn-ME"/>
        </w:rPr>
        <w:t>obilnijeg</w:t>
      </w:r>
      <w:r w:rsidRPr="00314858">
        <w:rPr>
          <w:rFonts w:ascii="Times New Roman" w:hAnsi="Times New Roman" w:cs="Times New Roman"/>
          <w:lang w:val="sr-Latn-ME"/>
        </w:rPr>
        <w:t xml:space="preserve"> krvarenja unutar prvih 12 m</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eseci. Za 3 pacijenta (1,4%) prijavljena je potvrđena pojava klinički </w:t>
      </w:r>
      <w:r w:rsidR="00FD08A4" w:rsidRPr="00314858">
        <w:rPr>
          <w:rFonts w:ascii="Times New Roman" w:hAnsi="Times New Roman" w:cs="Times New Roman"/>
          <w:lang w:val="sr-Latn-ME"/>
        </w:rPr>
        <w:t>značajnog</w:t>
      </w:r>
      <w:r w:rsidRPr="00314858">
        <w:rPr>
          <w:rFonts w:ascii="Times New Roman" w:hAnsi="Times New Roman" w:cs="Times New Roman"/>
          <w:lang w:val="sr-Latn-ME"/>
        </w:rPr>
        <w:t xml:space="preserve"> krvarenja </w:t>
      </w:r>
      <w:r w:rsidR="00FD08A4" w:rsidRPr="00314858">
        <w:rPr>
          <w:rFonts w:ascii="Times New Roman" w:hAnsi="Times New Roman" w:cs="Times New Roman"/>
          <w:lang w:val="sr-Latn-ME"/>
        </w:rPr>
        <w:t xml:space="preserve">koje nije bilo obilno </w:t>
      </w:r>
      <w:r w:rsidRPr="00314858">
        <w:rPr>
          <w:rFonts w:ascii="Times New Roman" w:hAnsi="Times New Roman" w:cs="Times New Roman"/>
          <w:lang w:val="sr-Latn-ME"/>
        </w:rPr>
        <w:t>unutar prvih 12 m</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eseci. Tokom </w:t>
      </w:r>
      <w:r w:rsidR="00FD08A4" w:rsidRPr="00314858">
        <w:rPr>
          <w:rFonts w:ascii="Times New Roman" w:hAnsi="Times New Roman" w:cs="Times New Roman"/>
          <w:lang w:val="sr-Latn-ME"/>
        </w:rPr>
        <w:t>terapije</w:t>
      </w:r>
      <w:r w:rsidRPr="00314858">
        <w:rPr>
          <w:rFonts w:ascii="Times New Roman" w:hAnsi="Times New Roman" w:cs="Times New Roman"/>
          <w:lang w:val="sr-Latn-ME"/>
        </w:rPr>
        <w:t xml:space="preserve"> nije bilo smrtnih slučajeva. Tokom perioda </w:t>
      </w:r>
      <w:r w:rsidR="00FD08A4" w:rsidRPr="00314858">
        <w:rPr>
          <w:rFonts w:ascii="Times New Roman" w:hAnsi="Times New Roman" w:cs="Times New Roman"/>
          <w:lang w:val="sr-Latn-ME"/>
        </w:rPr>
        <w:t>terapije</w:t>
      </w:r>
      <w:r w:rsidRPr="00314858">
        <w:rPr>
          <w:rFonts w:ascii="Times New Roman" w:hAnsi="Times New Roman" w:cs="Times New Roman"/>
          <w:lang w:val="sr-Latn-ME"/>
        </w:rPr>
        <w:t>, kod 3 pacijenta (1,4%) razvio se posttrombotski sindrom (PTS) ili pogoršanje PTS unutar prvih 12 m</w:t>
      </w:r>
      <w:r w:rsidR="005C7365" w:rsidRPr="00314858">
        <w:rPr>
          <w:rFonts w:ascii="Times New Roman" w:hAnsi="Times New Roman" w:cs="Times New Roman"/>
          <w:lang w:val="sr-Latn-ME"/>
        </w:rPr>
        <w:t>j</w:t>
      </w:r>
      <w:r w:rsidRPr="00314858">
        <w:rPr>
          <w:rFonts w:ascii="Times New Roman" w:hAnsi="Times New Roman" w:cs="Times New Roman"/>
          <w:lang w:val="sr-Latn-ME"/>
        </w:rPr>
        <w:t>eseci.</w:t>
      </w:r>
    </w:p>
    <w:p w14:paraId="573770AF" w14:textId="77777777" w:rsidR="00D67D34" w:rsidRPr="00314858" w:rsidRDefault="00D67D34" w:rsidP="00D67D34">
      <w:pPr>
        <w:spacing w:after="0" w:line="240" w:lineRule="auto"/>
        <w:jc w:val="both"/>
        <w:rPr>
          <w:rFonts w:ascii="Times New Roman" w:hAnsi="Times New Roman" w:cs="Times New Roman"/>
          <w:i/>
          <w:iCs/>
          <w:u w:val="single"/>
          <w:lang w:val="sr-Latn-ME" w:bidi="en-US"/>
        </w:rPr>
      </w:pPr>
    </w:p>
    <w:p w14:paraId="04EAD6E6" w14:textId="66DCFF3F" w:rsidR="00D67D34" w:rsidRPr="00314858" w:rsidRDefault="001347BD" w:rsidP="001347BD">
      <w:pPr>
        <w:spacing w:after="0" w:line="240" w:lineRule="auto"/>
        <w:ind w:left="-11"/>
        <w:jc w:val="both"/>
        <w:rPr>
          <w:rFonts w:ascii="Times New Roman" w:hAnsi="Times New Roman" w:cs="Times New Roman"/>
          <w:b/>
          <w:bCs/>
          <w:lang w:val="sr-Latn-ME" w:bidi="en-US"/>
        </w:rPr>
      </w:pPr>
      <w:r w:rsidRPr="00314858">
        <w:rPr>
          <w:rFonts w:ascii="Times New Roman" w:hAnsi="Times New Roman" w:cs="Times New Roman"/>
          <w:b/>
          <w:bCs/>
          <w:lang w:val="sr-Latn-ME" w:bidi="en-US"/>
        </w:rPr>
        <w:t xml:space="preserve">5.2. </w:t>
      </w:r>
      <w:r w:rsidR="00D67D34" w:rsidRPr="00314858">
        <w:rPr>
          <w:rFonts w:ascii="Times New Roman" w:hAnsi="Times New Roman" w:cs="Times New Roman"/>
          <w:b/>
          <w:bCs/>
          <w:lang w:val="sr-Latn-ME" w:bidi="en-US"/>
        </w:rPr>
        <w:t>Farmakokinetički podaci</w:t>
      </w:r>
    </w:p>
    <w:p w14:paraId="4042E98E" w14:textId="77777777" w:rsidR="00D67D34" w:rsidRPr="00314858" w:rsidRDefault="00D67D34" w:rsidP="00D67D34">
      <w:pPr>
        <w:spacing w:after="0" w:line="240" w:lineRule="auto"/>
        <w:jc w:val="both"/>
        <w:rPr>
          <w:rFonts w:ascii="Times New Roman" w:hAnsi="Times New Roman" w:cs="Times New Roman"/>
          <w:b/>
          <w:bCs/>
          <w:lang w:val="sr-Latn-ME" w:bidi="en-US"/>
        </w:rPr>
      </w:pPr>
    </w:p>
    <w:p w14:paraId="6206C8AC" w14:textId="2245E008"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Nakon oralne prim</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ene, dabigatraneteksilat se brzo i </w:t>
      </w:r>
      <w:r w:rsidR="00603D51" w:rsidRPr="00314858">
        <w:rPr>
          <w:rFonts w:ascii="Times New Roman" w:hAnsi="Times New Roman" w:cs="Times New Roman"/>
          <w:lang w:val="sr-Latn-ME"/>
        </w:rPr>
        <w:t>potpuno</w:t>
      </w:r>
      <w:r w:rsidRPr="00314858">
        <w:rPr>
          <w:rFonts w:ascii="Times New Roman" w:hAnsi="Times New Roman" w:cs="Times New Roman"/>
          <w:lang w:val="sr-Latn-ME"/>
        </w:rPr>
        <w:t xml:space="preserve"> konvertuje u dabigatran, koji je aktivn</w:t>
      </w:r>
      <w:r w:rsidR="00EC4E74" w:rsidRPr="00314858">
        <w:rPr>
          <w:rFonts w:ascii="Times New Roman" w:hAnsi="Times New Roman" w:cs="Times New Roman"/>
          <w:lang w:val="sr-Latn-ME"/>
        </w:rPr>
        <w:t>i</w:t>
      </w:r>
      <w:r w:rsidRPr="00314858">
        <w:rPr>
          <w:rFonts w:ascii="Times New Roman" w:hAnsi="Times New Roman" w:cs="Times New Roman"/>
          <w:lang w:val="sr-Latn-ME"/>
        </w:rPr>
        <w:t xml:space="preserve"> </w:t>
      </w:r>
      <w:r w:rsidR="00EC4E74" w:rsidRPr="00314858">
        <w:rPr>
          <w:rFonts w:ascii="Times New Roman" w:hAnsi="Times New Roman" w:cs="Times New Roman"/>
          <w:lang w:val="sr-Latn-ME"/>
        </w:rPr>
        <w:t>oblik</w:t>
      </w:r>
      <w:r w:rsidRPr="00314858">
        <w:rPr>
          <w:rFonts w:ascii="Times New Roman" w:hAnsi="Times New Roman" w:cs="Times New Roman"/>
          <w:lang w:val="sr-Latn-ME"/>
        </w:rPr>
        <w:t xml:space="preserve"> l</w:t>
      </w:r>
      <w:r w:rsidR="005C7365" w:rsidRPr="00314858">
        <w:rPr>
          <w:rFonts w:ascii="Times New Roman" w:hAnsi="Times New Roman" w:cs="Times New Roman"/>
          <w:lang w:val="sr-Latn-ME"/>
        </w:rPr>
        <w:t>ij</w:t>
      </w:r>
      <w:r w:rsidRPr="00314858">
        <w:rPr>
          <w:rFonts w:ascii="Times New Roman" w:hAnsi="Times New Roman" w:cs="Times New Roman"/>
          <w:lang w:val="sr-Latn-ME"/>
        </w:rPr>
        <w:t>eka u plazmi.</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Razlaganje prol</w:t>
      </w:r>
      <w:r w:rsidR="005C7365" w:rsidRPr="00314858">
        <w:rPr>
          <w:rFonts w:ascii="Times New Roman" w:hAnsi="Times New Roman" w:cs="Times New Roman"/>
          <w:lang w:val="sr-Latn-ME"/>
        </w:rPr>
        <w:t>ij</w:t>
      </w:r>
      <w:r w:rsidRPr="00314858">
        <w:rPr>
          <w:rFonts w:ascii="Times New Roman" w:hAnsi="Times New Roman" w:cs="Times New Roman"/>
          <w:lang w:val="sr-Latn-ME"/>
        </w:rPr>
        <w:t>eka dabigatraneteksilata hidrolizom katalizovanom esterazom u aktivni princip dabigatran je predominantno metabolička reakcija.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Apsolutna bioraspoloživost dabigatrana nakon oralne prim</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ene dabigatraneteksilata je približno 6,5%. </w:t>
      </w:r>
    </w:p>
    <w:p w14:paraId="6DB04B2D" w14:textId="77777777" w:rsidR="00E2668D" w:rsidRPr="00314858" w:rsidRDefault="00E2668D" w:rsidP="00D67D34">
      <w:pPr>
        <w:spacing w:after="0" w:line="240" w:lineRule="auto"/>
        <w:jc w:val="both"/>
        <w:rPr>
          <w:rFonts w:ascii="Times New Roman" w:hAnsi="Times New Roman" w:cs="Times New Roman"/>
          <w:lang w:val="sr-Latn-ME"/>
        </w:rPr>
      </w:pPr>
    </w:p>
    <w:p w14:paraId="394D5164" w14:textId="345EEF64"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Nakon oralne prim</w:t>
      </w:r>
      <w:r w:rsidR="005C7365" w:rsidRPr="00314858">
        <w:rPr>
          <w:rFonts w:ascii="Times New Roman" w:hAnsi="Times New Roman" w:cs="Times New Roman"/>
          <w:lang w:val="sr-Latn-ME"/>
        </w:rPr>
        <w:t>j</w:t>
      </w:r>
      <w:r w:rsidRPr="00314858">
        <w:rPr>
          <w:rFonts w:ascii="Times New Roman" w:hAnsi="Times New Roman" w:cs="Times New Roman"/>
          <w:lang w:val="sr-Latn-ME"/>
        </w:rPr>
        <w:t>ene dabigatraneteksilata kod zdravih dobrovoljaca, farmakokinetički profil dabigatrana u plazmi se karakteriše brzim povećanjem koncentracija u plazmi sa 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koja se dostiže unutar 0,5 i 2,0 sata nakon prim</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ene. </w:t>
      </w:r>
    </w:p>
    <w:p w14:paraId="66383A2C" w14:textId="77777777" w:rsidR="00D67D34" w:rsidRPr="00314858" w:rsidRDefault="00D67D34" w:rsidP="00D67D34">
      <w:pPr>
        <w:spacing w:after="0" w:line="240" w:lineRule="auto"/>
        <w:jc w:val="both"/>
        <w:rPr>
          <w:rFonts w:ascii="Times New Roman" w:hAnsi="Times New Roman" w:cs="Times New Roman"/>
          <w:lang w:val="sr-Latn-ME"/>
        </w:rPr>
      </w:pPr>
    </w:p>
    <w:p w14:paraId="51DFCEAA" w14:textId="2296B6BA" w:rsidR="00FC549A"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 xml:space="preserve">Resorpcija </w:t>
      </w:r>
    </w:p>
    <w:p w14:paraId="0AECD28B" w14:textId="77777777" w:rsidR="00603D51" w:rsidRPr="00314858" w:rsidRDefault="00603D51" w:rsidP="00D67D34">
      <w:pPr>
        <w:spacing w:after="0" w:line="240" w:lineRule="auto"/>
        <w:jc w:val="both"/>
        <w:rPr>
          <w:rFonts w:ascii="Times New Roman" w:hAnsi="Times New Roman" w:cs="Times New Roman"/>
          <w:u w:val="single"/>
          <w:lang w:val="sr-Latn-ME"/>
        </w:rPr>
      </w:pPr>
    </w:p>
    <w:p w14:paraId="64AB65C1" w14:textId="14D31FCC"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Studija za proc</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enu postoperativne resorpcije dabigatraneteksilata, 1-3 sata nakon hirurškog zahvata, pokazala je relativno sporu resorpciju u poređenju sa onom kod zdravih dobrovoljaca, pokazujući </w:t>
      </w:r>
      <w:r w:rsidR="002779F3" w:rsidRPr="00314858">
        <w:rPr>
          <w:rFonts w:ascii="Times New Roman" w:hAnsi="Times New Roman" w:cs="Times New Roman"/>
          <w:lang w:val="sr-Latn-ME"/>
        </w:rPr>
        <w:t>blagu krivu odnosa</w:t>
      </w:r>
      <w:r w:rsidRPr="00314858">
        <w:rPr>
          <w:rFonts w:ascii="Times New Roman" w:hAnsi="Times New Roman" w:cs="Times New Roman"/>
          <w:lang w:val="sr-Latn-ME"/>
        </w:rPr>
        <w:t xml:space="preserve"> koncentracije </w:t>
      </w:r>
      <w:r w:rsidR="002779F3" w:rsidRPr="00314858">
        <w:rPr>
          <w:rFonts w:ascii="Times New Roman" w:hAnsi="Times New Roman" w:cs="Times New Roman"/>
          <w:lang w:val="sr-Latn-ME"/>
        </w:rPr>
        <w:t>l</w:t>
      </w:r>
      <w:r w:rsidR="00E2668D" w:rsidRPr="00314858">
        <w:rPr>
          <w:rFonts w:ascii="Times New Roman" w:hAnsi="Times New Roman" w:cs="Times New Roman"/>
          <w:lang w:val="sr-Latn-ME"/>
        </w:rPr>
        <w:t>ij</w:t>
      </w:r>
      <w:r w:rsidR="002779F3" w:rsidRPr="00314858">
        <w:rPr>
          <w:rFonts w:ascii="Times New Roman" w:hAnsi="Times New Roman" w:cs="Times New Roman"/>
          <w:lang w:val="sr-Latn-ME"/>
        </w:rPr>
        <w:t xml:space="preserve">eka </w:t>
      </w:r>
      <w:r w:rsidRPr="00314858">
        <w:rPr>
          <w:rFonts w:ascii="Times New Roman" w:hAnsi="Times New Roman" w:cs="Times New Roman"/>
          <w:lang w:val="sr-Latn-ME"/>
        </w:rPr>
        <w:t xml:space="preserve">u plazmi </w:t>
      </w:r>
      <w:r w:rsidR="002779F3" w:rsidRPr="00314858">
        <w:rPr>
          <w:rFonts w:ascii="Times New Roman" w:hAnsi="Times New Roman" w:cs="Times New Roman"/>
          <w:lang w:val="sr-Latn-ME"/>
        </w:rPr>
        <w:t>i</w:t>
      </w:r>
      <w:r w:rsidRPr="00314858">
        <w:rPr>
          <w:rFonts w:ascii="Times New Roman" w:hAnsi="Times New Roman" w:cs="Times New Roman"/>
          <w:lang w:val="sr-Latn-ME"/>
        </w:rPr>
        <w:t xml:space="preserve"> vreme</w:t>
      </w:r>
      <w:r w:rsidR="002779F3" w:rsidRPr="00314858">
        <w:rPr>
          <w:rFonts w:ascii="Times New Roman" w:hAnsi="Times New Roman" w:cs="Times New Roman"/>
          <w:lang w:val="sr-Latn-ME"/>
        </w:rPr>
        <w:t>na</w:t>
      </w:r>
      <w:r w:rsidRPr="00314858">
        <w:rPr>
          <w:rFonts w:ascii="Times New Roman" w:hAnsi="Times New Roman" w:cs="Times New Roman"/>
          <w:lang w:val="sr-Latn-ME"/>
        </w:rPr>
        <w:t xml:space="preserve">, bez </w:t>
      </w:r>
      <w:r w:rsidR="00C96D88" w:rsidRPr="00314858">
        <w:rPr>
          <w:rFonts w:ascii="Times New Roman" w:hAnsi="Times New Roman" w:cs="Times New Roman"/>
          <w:lang w:val="sr-Latn-ME"/>
        </w:rPr>
        <w:t>velikih</w:t>
      </w:r>
      <w:r w:rsidRPr="00314858">
        <w:rPr>
          <w:rFonts w:ascii="Times New Roman" w:hAnsi="Times New Roman" w:cs="Times New Roman"/>
          <w:lang w:val="sr-Latn-ME"/>
        </w:rPr>
        <w:t xml:space="preserve"> maksimalnih koncentracija</w:t>
      </w:r>
      <w:r w:rsidR="00C96D88" w:rsidRPr="00314858">
        <w:rPr>
          <w:rFonts w:ascii="Times New Roman" w:hAnsi="Times New Roman" w:cs="Times New Roman"/>
          <w:lang w:val="sr-Latn-ME"/>
        </w:rPr>
        <w:t xml:space="preserve"> u plazmi</w:t>
      </w:r>
      <w:r w:rsidRPr="00314858">
        <w:rPr>
          <w:rFonts w:ascii="Times New Roman" w:hAnsi="Times New Roman" w:cs="Times New Roman"/>
          <w:lang w:val="sr-Latn-ME"/>
        </w:rPr>
        <w:t>.</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Maksimalne koncentracije u plazmi dostižu se 6 sati posl</w:t>
      </w:r>
      <w:r w:rsidR="005C7365" w:rsidRPr="00314858">
        <w:rPr>
          <w:rFonts w:ascii="Times New Roman" w:hAnsi="Times New Roman" w:cs="Times New Roman"/>
          <w:lang w:val="sr-Latn-ME"/>
        </w:rPr>
        <w:t>ij</w:t>
      </w:r>
      <w:r w:rsidRPr="00314858">
        <w:rPr>
          <w:rFonts w:ascii="Times New Roman" w:hAnsi="Times New Roman" w:cs="Times New Roman"/>
          <w:lang w:val="sr-Latn-ME"/>
        </w:rPr>
        <w:t>e prim</w:t>
      </w:r>
      <w:r w:rsidR="005C7365" w:rsidRPr="00314858">
        <w:rPr>
          <w:rFonts w:ascii="Times New Roman" w:hAnsi="Times New Roman" w:cs="Times New Roman"/>
          <w:lang w:val="sr-Latn-ME"/>
        </w:rPr>
        <w:t>j</w:t>
      </w:r>
      <w:r w:rsidRPr="00314858">
        <w:rPr>
          <w:rFonts w:ascii="Times New Roman" w:hAnsi="Times New Roman" w:cs="Times New Roman"/>
          <w:lang w:val="sr-Latn-ME"/>
        </w:rPr>
        <w:t>ene u postoperativnom periodu usl</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ed faktora koji tome doprinose, kao što su anestezija, GI pareza i </w:t>
      </w:r>
      <w:r w:rsidR="0034004F" w:rsidRPr="00314858">
        <w:rPr>
          <w:rFonts w:ascii="Times New Roman" w:hAnsi="Times New Roman" w:cs="Times New Roman"/>
          <w:lang w:val="sr-Latn-ME"/>
        </w:rPr>
        <w:t>uticaj operacije</w:t>
      </w:r>
      <w:r w:rsidRPr="00314858">
        <w:rPr>
          <w:rFonts w:ascii="Times New Roman" w:hAnsi="Times New Roman" w:cs="Times New Roman"/>
          <w:lang w:val="sr-Latn-ME"/>
        </w:rPr>
        <w:t xml:space="preserve"> nezavisno od formulacije oralno prim</w:t>
      </w:r>
      <w:r w:rsidR="005C7365" w:rsidRPr="00314858">
        <w:rPr>
          <w:rFonts w:ascii="Times New Roman" w:hAnsi="Times New Roman" w:cs="Times New Roman"/>
          <w:lang w:val="sr-Latn-ME"/>
        </w:rPr>
        <w:t>ij</w:t>
      </w:r>
      <w:r w:rsidRPr="00314858">
        <w:rPr>
          <w:rFonts w:ascii="Times New Roman" w:hAnsi="Times New Roman" w:cs="Times New Roman"/>
          <w:lang w:val="sr-Latn-ME"/>
        </w:rPr>
        <w:t>enjenog l</w:t>
      </w:r>
      <w:r w:rsidR="005C7365" w:rsidRPr="00314858">
        <w:rPr>
          <w:rFonts w:ascii="Times New Roman" w:hAnsi="Times New Roman" w:cs="Times New Roman"/>
          <w:lang w:val="sr-Latn-ME"/>
        </w:rPr>
        <w:t>ij</w:t>
      </w:r>
      <w:r w:rsidRPr="00314858">
        <w:rPr>
          <w:rFonts w:ascii="Times New Roman" w:hAnsi="Times New Roman" w:cs="Times New Roman"/>
          <w:lang w:val="sr-Latn-ME"/>
        </w:rPr>
        <w:t>eka. U daljoj studiji je pokazano da je spora i odložena resorpcija l</w:t>
      </w:r>
      <w:r w:rsidR="00BD7161" w:rsidRPr="00314858">
        <w:rPr>
          <w:rFonts w:ascii="Times New Roman" w:hAnsi="Times New Roman" w:cs="Times New Roman"/>
          <w:lang w:val="sr-Latn-ME"/>
        </w:rPr>
        <w:t>ij</w:t>
      </w:r>
      <w:r w:rsidRPr="00314858">
        <w:rPr>
          <w:rFonts w:ascii="Times New Roman" w:hAnsi="Times New Roman" w:cs="Times New Roman"/>
          <w:lang w:val="sr-Latn-ME"/>
        </w:rPr>
        <w:t xml:space="preserve">eka obično prisutna samo na dan hirurškog zahvata. Tokom </w:t>
      </w:r>
      <w:r w:rsidR="0034004F" w:rsidRPr="00314858">
        <w:rPr>
          <w:rFonts w:ascii="Times New Roman" w:hAnsi="Times New Roman" w:cs="Times New Roman"/>
          <w:lang w:val="sr-Latn-ME"/>
        </w:rPr>
        <w:t>narednih</w:t>
      </w:r>
      <w:r w:rsidRPr="00314858">
        <w:rPr>
          <w:rFonts w:ascii="Times New Roman" w:hAnsi="Times New Roman" w:cs="Times New Roman"/>
          <w:lang w:val="sr-Latn-ME"/>
        </w:rPr>
        <w:t xml:space="preserve"> dana</w:t>
      </w:r>
      <w:r w:rsidR="0034004F" w:rsidRPr="00314858">
        <w:rPr>
          <w:rFonts w:ascii="Times New Roman" w:hAnsi="Times New Roman" w:cs="Times New Roman"/>
          <w:lang w:val="sr-Latn-ME"/>
        </w:rPr>
        <w:t>,</w:t>
      </w:r>
      <w:r w:rsidRPr="00314858">
        <w:rPr>
          <w:rFonts w:ascii="Times New Roman" w:hAnsi="Times New Roman" w:cs="Times New Roman"/>
          <w:lang w:val="sr-Latn-ME"/>
        </w:rPr>
        <w:t xml:space="preserve"> resorpcija dabigatrana je brza i sa maksimalnim koncentracijama u plazmi koje se postižu 2 sata nakon prim</w:t>
      </w:r>
      <w:r w:rsidR="005C7365" w:rsidRPr="00314858">
        <w:rPr>
          <w:rFonts w:ascii="Times New Roman" w:hAnsi="Times New Roman" w:cs="Times New Roman"/>
          <w:lang w:val="sr-Latn-ME"/>
        </w:rPr>
        <w:t>j</w:t>
      </w:r>
      <w:r w:rsidRPr="00314858">
        <w:rPr>
          <w:rFonts w:ascii="Times New Roman" w:hAnsi="Times New Roman" w:cs="Times New Roman"/>
          <w:lang w:val="sr-Latn-ME"/>
        </w:rPr>
        <w:t>ene l</w:t>
      </w:r>
      <w:r w:rsidR="005C7365" w:rsidRPr="00314858">
        <w:rPr>
          <w:rFonts w:ascii="Times New Roman" w:hAnsi="Times New Roman" w:cs="Times New Roman"/>
          <w:lang w:val="sr-Latn-ME"/>
        </w:rPr>
        <w:t>ij</w:t>
      </w:r>
      <w:r w:rsidRPr="00314858">
        <w:rPr>
          <w:rFonts w:ascii="Times New Roman" w:hAnsi="Times New Roman" w:cs="Times New Roman"/>
          <w:lang w:val="sr-Latn-ME"/>
        </w:rPr>
        <w:t>eka.</w:t>
      </w:r>
    </w:p>
    <w:p w14:paraId="1E6B8B1C" w14:textId="77777777" w:rsidR="00D67D34" w:rsidRPr="00314858" w:rsidRDefault="00D67D34" w:rsidP="00D67D34">
      <w:pPr>
        <w:spacing w:after="0" w:line="240" w:lineRule="auto"/>
        <w:jc w:val="both"/>
        <w:rPr>
          <w:rFonts w:ascii="Times New Roman" w:hAnsi="Times New Roman" w:cs="Times New Roman"/>
          <w:lang w:val="sr-Latn-ME"/>
        </w:rPr>
      </w:pPr>
    </w:p>
    <w:p w14:paraId="1EC47D87" w14:textId="1DB8ABD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Hrana ne utiče na bioraspoloživost dabigatraneteksilata, ali odlaže vr</w:t>
      </w:r>
      <w:r w:rsidR="00BD7161" w:rsidRPr="00314858">
        <w:rPr>
          <w:rFonts w:ascii="Times New Roman" w:hAnsi="Times New Roman" w:cs="Times New Roman"/>
          <w:lang w:val="sr-Latn-ME"/>
        </w:rPr>
        <w:t>ij</w:t>
      </w:r>
      <w:r w:rsidRPr="00314858">
        <w:rPr>
          <w:rFonts w:ascii="Times New Roman" w:hAnsi="Times New Roman" w:cs="Times New Roman"/>
          <w:lang w:val="sr-Latn-ME"/>
        </w:rPr>
        <w:t>eme do postizanja maksimalnih koncentracija u plazmi za 2 sata.</w:t>
      </w:r>
    </w:p>
    <w:p w14:paraId="5E981F99" w14:textId="77777777" w:rsidR="00FC549A" w:rsidRPr="00314858" w:rsidRDefault="00FC549A" w:rsidP="00D67D34">
      <w:pPr>
        <w:spacing w:after="0" w:line="240" w:lineRule="auto"/>
        <w:jc w:val="both"/>
        <w:rPr>
          <w:rFonts w:ascii="Times New Roman" w:hAnsi="Times New Roman" w:cs="Times New Roman"/>
          <w:lang w:val="sr-Latn-ME"/>
        </w:rPr>
      </w:pPr>
    </w:p>
    <w:p w14:paraId="73105B0A" w14:textId="2480F39D" w:rsidR="00D67D34" w:rsidRPr="00314858" w:rsidRDefault="007716E2"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Vr</w:t>
      </w:r>
      <w:r w:rsidR="005C7365" w:rsidRPr="00314858">
        <w:rPr>
          <w:rFonts w:ascii="Times New Roman" w:hAnsi="Times New Roman" w:cs="Times New Roman"/>
          <w:lang w:val="sr-Latn-ME"/>
        </w:rPr>
        <w:t>ij</w:t>
      </w:r>
      <w:r w:rsidRPr="00314858">
        <w:rPr>
          <w:rFonts w:ascii="Times New Roman" w:hAnsi="Times New Roman" w:cs="Times New Roman"/>
          <w:lang w:val="sr-Latn-ME"/>
        </w:rPr>
        <w:t xml:space="preserve">ednosti </w:t>
      </w:r>
      <w:r w:rsidR="00D67D34" w:rsidRPr="00314858">
        <w:rPr>
          <w:rFonts w:ascii="Times New Roman" w:hAnsi="Times New Roman" w:cs="Times New Roman"/>
          <w:lang w:val="sr-Latn-ME"/>
        </w:rPr>
        <w:t>C</w:t>
      </w:r>
      <w:r w:rsidR="00D67D34" w:rsidRPr="00314858">
        <w:rPr>
          <w:rFonts w:ascii="Times New Roman" w:hAnsi="Times New Roman" w:cs="Times New Roman"/>
          <w:vertAlign w:val="subscript"/>
          <w:lang w:val="sr-Latn-ME"/>
        </w:rPr>
        <w:t xml:space="preserve">max </w:t>
      </w:r>
      <w:r w:rsidR="00D67D34" w:rsidRPr="00314858">
        <w:rPr>
          <w:rFonts w:ascii="Times New Roman" w:hAnsi="Times New Roman" w:cs="Times New Roman"/>
          <w:lang w:val="sr-Latn-ME"/>
        </w:rPr>
        <w:t>i PIK bile su proporcionalne dozi.</w:t>
      </w:r>
    </w:p>
    <w:p w14:paraId="7CABDAE2" w14:textId="77777777" w:rsidR="00FC549A" w:rsidRPr="00314858" w:rsidRDefault="00FC549A" w:rsidP="00D67D34">
      <w:pPr>
        <w:spacing w:after="0" w:line="240" w:lineRule="auto"/>
        <w:jc w:val="both"/>
        <w:rPr>
          <w:rFonts w:ascii="Times New Roman" w:hAnsi="Times New Roman" w:cs="Times New Roman"/>
          <w:lang w:val="sr-Latn-ME"/>
        </w:rPr>
      </w:pPr>
    </w:p>
    <w:p w14:paraId="558174E9" w14:textId="06550C99"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Oralna bioraspoloživost može da bude povećana za 75% nakon pojedinačne doze i za 37% u stanju ravnoteže</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u poređenju sa referentnom formulacijom kapsul</w:t>
      </w:r>
      <w:r w:rsidR="00BA729F" w:rsidRPr="00314858">
        <w:rPr>
          <w:rFonts w:ascii="Times New Roman" w:hAnsi="Times New Roman" w:cs="Times New Roman"/>
          <w:lang w:val="sr-Latn-ME"/>
        </w:rPr>
        <w:t>a</w:t>
      </w:r>
      <w:r w:rsidRPr="00314858">
        <w:rPr>
          <w:rFonts w:ascii="Times New Roman" w:hAnsi="Times New Roman" w:cs="Times New Roman"/>
          <w:lang w:val="sr-Latn-ME"/>
        </w:rPr>
        <w:t xml:space="preserve"> kada se pelete uzimaju bez omotača kapsule napravljenog od hidroksipropilmetilceluloze (HPMC).</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Stoga</w:t>
      </w:r>
      <w:r w:rsidR="00DB267A" w:rsidRPr="00314858">
        <w:rPr>
          <w:rFonts w:ascii="Times New Roman" w:hAnsi="Times New Roman" w:cs="Times New Roman"/>
          <w:lang w:val="sr-Latn-ME"/>
        </w:rPr>
        <w:t>,</w:t>
      </w:r>
      <w:r w:rsidRPr="00314858">
        <w:rPr>
          <w:rFonts w:ascii="Times New Roman" w:hAnsi="Times New Roman" w:cs="Times New Roman"/>
          <w:lang w:val="sr-Latn-ME"/>
        </w:rPr>
        <w:t xml:space="preserve"> integritet HPMC kapsule treba uv</w:t>
      </w:r>
      <w:r w:rsidR="005C7365" w:rsidRPr="00314858">
        <w:rPr>
          <w:rFonts w:ascii="Times New Roman" w:hAnsi="Times New Roman" w:cs="Times New Roman"/>
          <w:lang w:val="sr-Latn-ME"/>
        </w:rPr>
        <w:t>ij</w:t>
      </w:r>
      <w:r w:rsidRPr="00314858">
        <w:rPr>
          <w:rFonts w:ascii="Times New Roman" w:hAnsi="Times New Roman" w:cs="Times New Roman"/>
          <w:lang w:val="sr-Latn-ME"/>
        </w:rPr>
        <w:t>ek da bude očuvan tokom kliničke prim</w:t>
      </w:r>
      <w:r w:rsidR="00E2668D" w:rsidRPr="00314858">
        <w:rPr>
          <w:rFonts w:ascii="Times New Roman" w:hAnsi="Times New Roman" w:cs="Times New Roman"/>
          <w:lang w:val="sr-Latn-ME"/>
        </w:rPr>
        <w:t>j</w:t>
      </w:r>
      <w:r w:rsidRPr="00314858">
        <w:rPr>
          <w:rFonts w:ascii="Times New Roman" w:hAnsi="Times New Roman" w:cs="Times New Roman"/>
          <w:lang w:val="sr-Latn-ME"/>
        </w:rPr>
        <w:t>ene kako bi se izb</w:t>
      </w:r>
      <w:r w:rsidR="005C7365" w:rsidRPr="00314858">
        <w:rPr>
          <w:rFonts w:ascii="Times New Roman" w:hAnsi="Times New Roman" w:cs="Times New Roman"/>
          <w:lang w:val="sr-Latn-ME"/>
        </w:rPr>
        <w:t>j</w:t>
      </w:r>
      <w:r w:rsidRPr="00314858">
        <w:rPr>
          <w:rFonts w:ascii="Times New Roman" w:hAnsi="Times New Roman" w:cs="Times New Roman"/>
          <w:lang w:val="sr-Latn-ME"/>
        </w:rPr>
        <w:t>eglo nenam</w:t>
      </w:r>
      <w:r w:rsidR="005C7365" w:rsidRPr="00314858">
        <w:rPr>
          <w:rFonts w:ascii="Times New Roman" w:hAnsi="Times New Roman" w:cs="Times New Roman"/>
          <w:lang w:val="sr-Latn-ME"/>
        </w:rPr>
        <w:t>j</w:t>
      </w:r>
      <w:r w:rsidRPr="00314858">
        <w:rPr>
          <w:rFonts w:ascii="Times New Roman" w:hAnsi="Times New Roman" w:cs="Times New Roman"/>
          <w:lang w:val="sr-Latn-ME"/>
        </w:rPr>
        <w:t>erno povećanje bioraspoloživosti dabigatraneteksilata (vid</w:t>
      </w:r>
      <w:r w:rsidR="005C7365"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5C7365" w:rsidRPr="00314858">
        <w:rPr>
          <w:rFonts w:ascii="Times New Roman" w:hAnsi="Times New Roman" w:cs="Times New Roman"/>
          <w:lang w:val="sr-Latn-ME"/>
        </w:rPr>
        <w:t>dio</w:t>
      </w:r>
      <w:r w:rsidRPr="00314858">
        <w:rPr>
          <w:rFonts w:ascii="Times New Roman" w:hAnsi="Times New Roman" w:cs="Times New Roman"/>
          <w:lang w:val="sr-Latn-ME"/>
        </w:rPr>
        <w:t xml:space="preserve"> 4.2). </w:t>
      </w:r>
    </w:p>
    <w:p w14:paraId="5AD63C5B" w14:textId="77777777" w:rsidR="00FC549A" w:rsidRPr="00314858" w:rsidRDefault="00FC549A" w:rsidP="00D67D34">
      <w:pPr>
        <w:spacing w:after="0" w:line="240" w:lineRule="auto"/>
        <w:jc w:val="both"/>
        <w:rPr>
          <w:rFonts w:ascii="Times New Roman" w:hAnsi="Times New Roman" w:cs="Times New Roman"/>
          <w:lang w:val="sr-Latn-ME"/>
        </w:rPr>
      </w:pPr>
    </w:p>
    <w:p w14:paraId="626EE63C" w14:textId="02DBA3B0"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Distribucija</w:t>
      </w:r>
    </w:p>
    <w:p w14:paraId="3F2358A6" w14:textId="77777777" w:rsidR="00BA2191" w:rsidRPr="00314858" w:rsidRDefault="00BA2191" w:rsidP="00D67D34">
      <w:pPr>
        <w:spacing w:after="0" w:line="240" w:lineRule="auto"/>
        <w:jc w:val="both"/>
        <w:rPr>
          <w:rFonts w:ascii="Times New Roman" w:hAnsi="Times New Roman" w:cs="Times New Roman"/>
          <w:u w:val="single"/>
          <w:lang w:val="sr-Latn-ME"/>
        </w:rPr>
      </w:pPr>
    </w:p>
    <w:p w14:paraId="53837299" w14:textId="35138F44"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Zapažena je </w:t>
      </w:r>
      <w:r w:rsidR="004B1B73" w:rsidRPr="00314858">
        <w:rPr>
          <w:rFonts w:ascii="Times New Roman" w:hAnsi="Times New Roman" w:cs="Times New Roman"/>
          <w:lang w:val="sr-Latn-ME"/>
        </w:rPr>
        <w:t>mala</w:t>
      </w:r>
      <w:r w:rsidRPr="00314858">
        <w:rPr>
          <w:rFonts w:ascii="Times New Roman" w:hAnsi="Times New Roman" w:cs="Times New Roman"/>
          <w:lang w:val="sr-Latn-ME"/>
        </w:rPr>
        <w:t xml:space="preserve"> (34</w:t>
      </w:r>
      <w:r w:rsidR="00BA2191" w:rsidRPr="00314858">
        <w:rPr>
          <w:rFonts w:ascii="Times New Roman" w:hAnsi="Times New Roman" w:cs="Times New Roman"/>
          <w:lang w:val="sr-Latn-ME"/>
        </w:rPr>
        <w:t xml:space="preserve"> </w:t>
      </w:r>
      <w:r w:rsidRPr="00314858">
        <w:rPr>
          <w:rFonts w:ascii="Times New Roman" w:hAnsi="Times New Roman" w:cs="Times New Roman"/>
          <w:lang w:val="sr-Latn-ME"/>
        </w:rPr>
        <w:t>-</w:t>
      </w:r>
      <w:r w:rsidR="00BA2191" w:rsidRPr="00314858">
        <w:rPr>
          <w:rFonts w:ascii="Times New Roman" w:hAnsi="Times New Roman" w:cs="Times New Roman"/>
          <w:lang w:val="sr-Latn-ME"/>
        </w:rPr>
        <w:t xml:space="preserve"> </w:t>
      </w:r>
      <w:r w:rsidRPr="00314858">
        <w:rPr>
          <w:rFonts w:ascii="Times New Roman" w:hAnsi="Times New Roman" w:cs="Times New Roman"/>
          <w:lang w:val="sr-Latn-ME"/>
        </w:rPr>
        <w:t>35%) koncentracija nezavisnog vezivanja dabigatrana za proteine</w:t>
      </w:r>
      <w:r w:rsidR="00BA729F" w:rsidRPr="00314858">
        <w:rPr>
          <w:rFonts w:ascii="Times New Roman" w:hAnsi="Times New Roman" w:cs="Times New Roman"/>
          <w:lang w:val="sr-Latn-ME"/>
        </w:rPr>
        <w:t xml:space="preserve"> plazme</w:t>
      </w:r>
      <w:r w:rsidR="004B1B73" w:rsidRPr="00314858">
        <w:rPr>
          <w:rFonts w:ascii="Times New Roman" w:hAnsi="Times New Roman" w:cs="Times New Roman"/>
          <w:lang w:val="sr-Latn-ME"/>
        </w:rPr>
        <w:t xml:space="preserve"> kod ljudi</w:t>
      </w:r>
      <w:r w:rsidRPr="00314858">
        <w:rPr>
          <w:rFonts w:ascii="Times New Roman" w:hAnsi="Times New Roman" w:cs="Times New Roman"/>
          <w:lang w:val="sr-Latn-ME"/>
        </w:rPr>
        <w:t>.</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Volumen distribucije dabigatrana od 60</w:t>
      </w:r>
      <w:r w:rsidR="004B1B73" w:rsidRPr="00314858">
        <w:rPr>
          <w:rFonts w:ascii="Times New Roman" w:hAnsi="Times New Roman" w:cs="Times New Roman"/>
          <w:lang w:val="sr-Latn-ME"/>
        </w:rPr>
        <w:t xml:space="preserve"> do </w:t>
      </w:r>
      <w:r w:rsidRPr="00314858">
        <w:rPr>
          <w:rFonts w:ascii="Times New Roman" w:hAnsi="Times New Roman" w:cs="Times New Roman"/>
          <w:lang w:val="sr-Latn-ME"/>
        </w:rPr>
        <w:t xml:space="preserve">70 </w:t>
      </w:r>
      <w:r w:rsidR="00BA2191" w:rsidRPr="00314858">
        <w:rPr>
          <w:rFonts w:ascii="Times New Roman" w:hAnsi="Times New Roman" w:cs="Times New Roman"/>
          <w:lang w:val="sr-Latn-ME"/>
        </w:rPr>
        <w:t>l</w:t>
      </w:r>
      <w:r w:rsidRPr="00314858">
        <w:rPr>
          <w:rFonts w:ascii="Times New Roman" w:hAnsi="Times New Roman" w:cs="Times New Roman"/>
          <w:lang w:val="sr-Latn-ME"/>
        </w:rPr>
        <w:t xml:space="preserve"> je prevazilazio volumen ukupne t</w:t>
      </w:r>
      <w:r w:rsidR="005C7365" w:rsidRPr="00314858">
        <w:rPr>
          <w:rFonts w:ascii="Times New Roman" w:hAnsi="Times New Roman" w:cs="Times New Roman"/>
          <w:lang w:val="sr-Latn-ME"/>
        </w:rPr>
        <w:t>j</w:t>
      </w:r>
      <w:r w:rsidRPr="00314858">
        <w:rPr>
          <w:rFonts w:ascii="Times New Roman" w:hAnsi="Times New Roman" w:cs="Times New Roman"/>
          <w:lang w:val="sr-Latn-ME"/>
        </w:rPr>
        <w:t>elesne vode što ukazuje na um</w:t>
      </w:r>
      <w:r w:rsidR="005C7365" w:rsidRPr="00314858">
        <w:rPr>
          <w:rFonts w:ascii="Times New Roman" w:hAnsi="Times New Roman" w:cs="Times New Roman"/>
          <w:lang w:val="sr-Latn-ME"/>
        </w:rPr>
        <w:t>j</w:t>
      </w:r>
      <w:r w:rsidRPr="00314858">
        <w:rPr>
          <w:rFonts w:ascii="Times New Roman" w:hAnsi="Times New Roman" w:cs="Times New Roman"/>
          <w:lang w:val="sr-Latn-ME"/>
        </w:rPr>
        <w:t>erenu distribuciju dabigatrana</w:t>
      </w:r>
      <w:r w:rsidR="004B1B73" w:rsidRPr="00314858">
        <w:rPr>
          <w:rFonts w:ascii="Times New Roman" w:hAnsi="Times New Roman" w:cs="Times New Roman"/>
          <w:lang w:val="sr-Latn-ME"/>
        </w:rPr>
        <w:t xml:space="preserve"> u tkivu</w:t>
      </w:r>
      <w:r w:rsidRPr="00314858">
        <w:rPr>
          <w:rFonts w:ascii="Times New Roman" w:hAnsi="Times New Roman" w:cs="Times New Roman"/>
          <w:lang w:val="sr-Latn-ME"/>
        </w:rPr>
        <w:t xml:space="preserve">. </w:t>
      </w:r>
    </w:p>
    <w:p w14:paraId="74D03983" w14:textId="77777777" w:rsidR="00D67D34" w:rsidRPr="00314858" w:rsidRDefault="00D67D34" w:rsidP="00D67D34">
      <w:pPr>
        <w:spacing w:after="0" w:line="240" w:lineRule="auto"/>
        <w:jc w:val="both"/>
        <w:rPr>
          <w:rFonts w:ascii="Times New Roman" w:hAnsi="Times New Roman" w:cs="Times New Roman"/>
          <w:u w:val="single"/>
          <w:lang w:val="sr-Latn-ME"/>
        </w:rPr>
      </w:pPr>
    </w:p>
    <w:p w14:paraId="733B3FF0" w14:textId="77777777" w:rsidR="00D67D34" w:rsidRPr="00314858" w:rsidRDefault="00D67D34" w:rsidP="00D67D34">
      <w:pPr>
        <w:spacing w:after="0" w:line="240" w:lineRule="auto"/>
        <w:jc w:val="both"/>
        <w:rPr>
          <w:rFonts w:ascii="Times New Roman" w:hAnsi="Times New Roman" w:cs="Times New Roman"/>
          <w:u w:val="single"/>
          <w:lang w:val="sr-Latn-ME"/>
        </w:rPr>
      </w:pPr>
      <w:r w:rsidRPr="00314858">
        <w:rPr>
          <w:rFonts w:ascii="Times New Roman" w:hAnsi="Times New Roman" w:cs="Times New Roman"/>
          <w:u w:val="single"/>
          <w:lang w:val="sr-Latn-ME"/>
        </w:rPr>
        <w:t>Biotransformacija</w:t>
      </w:r>
    </w:p>
    <w:p w14:paraId="0AB460E5" w14:textId="77777777" w:rsidR="00E307F9" w:rsidRPr="00314858" w:rsidRDefault="00E307F9" w:rsidP="00D67D34">
      <w:pPr>
        <w:spacing w:after="0" w:line="240" w:lineRule="auto"/>
        <w:jc w:val="both"/>
        <w:rPr>
          <w:rFonts w:ascii="Times New Roman" w:hAnsi="Times New Roman" w:cs="Times New Roman"/>
          <w:lang w:val="sr-Latn-ME"/>
        </w:rPr>
      </w:pPr>
    </w:p>
    <w:p w14:paraId="4310C303" w14:textId="4A6C009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Metabolizam i izlučivanje dabigatrana ispitani su na zdravim muškim ispitanicima nakon pojedinačne intravenske doze radioaktivno ob</w:t>
      </w:r>
      <w:r w:rsidR="00BA2191" w:rsidRPr="00314858">
        <w:rPr>
          <w:rFonts w:ascii="Times New Roman" w:hAnsi="Times New Roman" w:cs="Times New Roman"/>
          <w:lang w:val="sr-Latn-ME"/>
        </w:rPr>
        <w:t>i</w:t>
      </w:r>
      <w:r w:rsidRPr="00314858">
        <w:rPr>
          <w:rFonts w:ascii="Times New Roman" w:hAnsi="Times New Roman" w:cs="Times New Roman"/>
          <w:lang w:val="sr-Latn-ME"/>
        </w:rPr>
        <w:t>l</w:t>
      </w:r>
      <w:r w:rsidR="00BA2191" w:rsidRPr="00314858">
        <w:rPr>
          <w:rFonts w:ascii="Times New Roman" w:hAnsi="Times New Roman" w:cs="Times New Roman"/>
          <w:lang w:val="sr-Latn-ME"/>
        </w:rPr>
        <w:t>j</w:t>
      </w:r>
      <w:r w:rsidRPr="00314858">
        <w:rPr>
          <w:rFonts w:ascii="Times New Roman" w:hAnsi="Times New Roman" w:cs="Times New Roman"/>
          <w:lang w:val="sr-Latn-ME"/>
        </w:rPr>
        <w:t>eženog dabigatrana.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Posl</w:t>
      </w:r>
      <w:r w:rsidR="005C7365" w:rsidRPr="00314858">
        <w:rPr>
          <w:rFonts w:ascii="Times New Roman" w:hAnsi="Times New Roman" w:cs="Times New Roman"/>
          <w:lang w:val="sr-Latn-ME"/>
        </w:rPr>
        <w:t>ij</w:t>
      </w:r>
      <w:r w:rsidRPr="00314858">
        <w:rPr>
          <w:rFonts w:ascii="Times New Roman" w:hAnsi="Times New Roman" w:cs="Times New Roman"/>
          <w:lang w:val="sr-Latn-ME"/>
        </w:rPr>
        <w:t xml:space="preserve">e intravenske doze, radioaktivnost koja potiče od dabigatrana primarno se eliminisala </w:t>
      </w:r>
      <w:r w:rsidR="00E307F9" w:rsidRPr="00314858">
        <w:rPr>
          <w:rFonts w:ascii="Times New Roman" w:hAnsi="Times New Roman" w:cs="Times New Roman"/>
          <w:lang w:val="sr-Latn-ME"/>
        </w:rPr>
        <w:t>putem urina</w:t>
      </w:r>
      <w:r w:rsidRPr="00314858">
        <w:rPr>
          <w:rFonts w:ascii="Times New Roman" w:hAnsi="Times New Roman" w:cs="Times New Roman"/>
          <w:lang w:val="sr-Latn-ME"/>
        </w:rPr>
        <w:t xml:space="preserve"> (85%).</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Izračunato je da je 6% od prim</w:t>
      </w:r>
      <w:r w:rsidR="00BD7161" w:rsidRPr="00314858">
        <w:rPr>
          <w:rFonts w:ascii="Times New Roman" w:hAnsi="Times New Roman" w:cs="Times New Roman"/>
          <w:lang w:val="sr-Latn-ME"/>
        </w:rPr>
        <w:t>ij</w:t>
      </w:r>
      <w:r w:rsidRPr="00314858">
        <w:rPr>
          <w:rFonts w:ascii="Times New Roman" w:hAnsi="Times New Roman" w:cs="Times New Roman"/>
          <w:lang w:val="sr-Latn-ME"/>
        </w:rPr>
        <w:t xml:space="preserve">enjene </w:t>
      </w:r>
      <w:r w:rsidRPr="00314858">
        <w:rPr>
          <w:rFonts w:ascii="Times New Roman" w:hAnsi="Times New Roman" w:cs="Times New Roman"/>
          <w:lang w:val="sr-Latn-ME"/>
        </w:rPr>
        <w:lastRenderedPageBreak/>
        <w:t>doze izlučeno putem fecesa. Ukupna pronađena radioaktivnost se kretala od 88-94% od prim</w:t>
      </w:r>
      <w:r w:rsidR="00405146" w:rsidRPr="00314858">
        <w:rPr>
          <w:rFonts w:ascii="Times New Roman" w:hAnsi="Times New Roman" w:cs="Times New Roman"/>
          <w:lang w:val="sr-Latn-ME"/>
        </w:rPr>
        <w:t>ij</w:t>
      </w:r>
      <w:r w:rsidRPr="00314858">
        <w:rPr>
          <w:rFonts w:ascii="Times New Roman" w:hAnsi="Times New Roman" w:cs="Times New Roman"/>
          <w:lang w:val="sr-Latn-ME"/>
        </w:rPr>
        <w:t xml:space="preserve">enjene doze do 168 sati nakon doze. </w:t>
      </w:r>
    </w:p>
    <w:p w14:paraId="78E3DCDE" w14:textId="77777777" w:rsidR="00BA2191" w:rsidRPr="00314858" w:rsidRDefault="00BA2191" w:rsidP="00D67D34">
      <w:pPr>
        <w:spacing w:after="0" w:line="240" w:lineRule="auto"/>
        <w:jc w:val="both"/>
        <w:rPr>
          <w:rFonts w:ascii="Times New Roman" w:hAnsi="Times New Roman" w:cs="Times New Roman"/>
          <w:lang w:val="sr-Latn-ME"/>
        </w:rPr>
      </w:pPr>
    </w:p>
    <w:p w14:paraId="7516286C" w14:textId="2C6069D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Dabigatran podl</w:t>
      </w:r>
      <w:r w:rsidR="00BA2191" w:rsidRPr="00314858">
        <w:rPr>
          <w:rFonts w:ascii="Times New Roman" w:hAnsi="Times New Roman" w:cs="Times New Roman"/>
          <w:lang w:val="sr-Latn-ME"/>
        </w:rPr>
        <w:t>ij</w:t>
      </w:r>
      <w:r w:rsidRPr="00314858">
        <w:rPr>
          <w:rFonts w:ascii="Times New Roman" w:hAnsi="Times New Roman" w:cs="Times New Roman"/>
          <w:lang w:val="sr-Latn-ME"/>
        </w:rPr>
        <w:t>eže konjugaciji pri čemu se formiraju farmakološki aktivni acilglukuronidi.</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Postoje četiri poziciona izomera, 1-O, 2-O, 3-O, 4-O-acilglukuronid, a svaki iznosi manje od 10% od ukupnog dabigatrana u plazmi.</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Tragovi drugih metabolita mogli su se otkriti samo uz pomoć visokoos</w:t>
      </w:r>
      <w:r w:rsidR="00405146" w:rsidRPr="00314858">
        <w:rPr>
          <w:rFonts w:ascii="Times New Roman" w:hAnsi="Times New Roman" w:cs="Times New Roman"/>
          <w:lang w:val="sr-Latn-ME"/>
        </w:rPr>
        <w:t>j</w:t>
      </w:r>
      <w:r w:rsidRPr="00314858">
        <w:rPr>
          <w:rFonts w:ascii="Times New Roman" w:hAnsi="Times New Roman" w:cs="Times New Roman"/>
          <w:lang w:val="sr-Latn-ME"/>
        </w:rPr>
        <w:t>etljivih analitičkih metoda. Dabigatran se eliminiše uglavnom u neizm</w:t>
      </w:r>
      <w:r w:rsidR="00405146" w:rsidRPr="00314858">
        <w:rPr>
          <w:rFonts w:ascii="Times New Roman" w:hAnsi="Times New Roman" w:cs="Times New Roman"/>
          <w:lang w:val="sr-Latn-ME"/>
        </w:rPr>
        <w:t>ij</w:t>
      </w:r>
      <w:r w:rsidRPr="00314858">
        <w:rPr>
          <w:rFonts w:ascii="Times New Roman" w:hAnsi="Times New Roman" w:cs="Times New Roman"/>
          <w:lang w:val="sr-Latn-ME"/>
        </w:rPr>
        <w:t>enjenom obliku u urinu, brzinom od približno 100 m</w:t>
      </w:r>
      <w:r w:rsidR="00BA2191" w:rsidRPr="00314858">
        <w:rPr>
          <w:rFonts w:ascii="Times New Roman" w:hAnsi="Times New Roman" w:cs="Times New Roman"/>
          <w:lang w:val="sr-Latn-ME"/>
        </w:rPr>
        <w:t>l</w:t>
      </w:r>
      <w:r w:rsidRPr="00314858">
        <w:rPr>
          <w:rFonts w:ascii="Times New Roman" w:hAnsi="Times New Roman" w:cs="Times New Roman"/>
          <w:lang w:val="sr-Latn-ME"/>
        </w:rPr>
        <w:t>/min što odgovara brzini glomerularne filtracije.</w:t>
      </w:r>
    </w:p>
    <w:p w14:paraId="6E19AB5F" w14:textId="77777777" w:rsidR="00D67D34" w:rsidRPr="00314858" w:rsidRDefault="00D67D34" w:rsidP="00D67D34">
      <w:pPr>
        <w:spacing w:after="0" w:line="240" w:lineRule="auto"/>
        <w:jc w:val="both"/>
        <w:rPr>
          <w:rFonts w:ascii="Times New Roman" w:hAnsi="Times New Roman" w:cs="Times New Roman"/>
          <w:lang w:val="sr-Latn-ME"/>
        </w:rPr>
      </w:pPr>
    </w:p>
    <w:p w14:paraId="69D04A54" w14:textId="1D563F25" w:rsidR="00D67D34" w:rsidRPr="00314858" w:rsidRDefault="00D67D34" w:rsidP="00D67D34">
      <w:pPr>
        <w:spacing w:after="0" w:line="240" w:lineRule="auto"/>
        <w:jc w:val="both"/>
        <w:rPr>
          <w:rFonts w:ascii="Times New Roman" w:hAnsi="Times New Roman" w:cs="Times New Roman"/>
          <w:bCs/>
          <w:iCs/>
          <w:u w:val="single"/>
          <w:lang w:val="sr-Latn-ME"/>
        </w:rPr>
      </w:pPr>
      <w:r w:rsidRPr="00314858">
        <w:rPr>
          <w:rFonts w:ascii="Times New Roman" w:hAnsi="Times New Roman" w:cs="Times New Roman"/>
          <w:u w:val="single"/>
          <w:lang w:val="sr-Latn-ME"/>
        </w:rPr>
        <w:t>Eliminacija</w:t>
      </w:r>
    </w:p>
    <w:p w14:paraId="309717EB" w14:textId="77777777" w:rsidR="00E307F9" w:rsidRPr="00314858" w:rsidRDefault="00E307F9" w:rsidP="00D67D34">
      <w:pPr>
        <w:spacing w:after="0" w:line="240" w:lineRule="auto"/>
        <w:jc w:val="both"/>
        <w:rPr>
          <w:rFonts w:ascii="Times New Roman" w:hAnsi="Times New Roman" w:cs="Times New Roman"/>
          <w:lang w:val="sr-Latn-ME"/>
        </w:rPr>
      </w:pPr>
    </w:p>
    <w:p w14:paraId="76C06B3A" w14:textId="1C9C8A22"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Koncentracije dabigatrana u plazmi su pokazale bieksponencijalni pad sa srednjom vr</w:t>
      </w:r>
      <w:r w:rsidR="00405146" w:rsidRPr="00314858">
        <w:rPr>
          <w:rFonts w:ascii="Times New Roman" w:hAnsi="Times New Roman" w:cs="Times New Roman"/>
          <w:lang w:val="sr-Latn-ME"/>
        </w:rPr>
        <w:t>ij</w:t>
      </w:r>
      <w:r w:rsidRPr="00314858">
        <w:rPr>
          <w:rFonts w:ascii="Times New Roman" w:hAnsi="Times New Roman" w:cs="Times New Roman"/>
          <w:lang w:val="sr-Latn-ME"/>
        </w:rPr>
        <w:t>ednošću terminalnog poluvremena eliminacije od 11 sati kod zdravih starijih ispitanika. Nakon višestrukih doza zapaženo je terminalno poluvr</w:t>
      </w:r>
      <w:r w:rsidR="00BD7161" w:rsidRPr="00314858">
        <w:rPr>
          <w:rFonts w:ascii="Times New Roman" w:hAnsi="Times New Roman" w:cs="Times New Roman"/>
          <w:lang w:val="sr-Latn-ME"/>
        </w:rPr>
        <w:t>ij</w:t>
      </w:r>
      <w:r w:rsidRPr="00314858">
        <w:rPr>
          <w:rFonts w:ascii="Times New Roman" w:hAnsi="Times New Roman" w:cs="Times New Roman"/>
          <w:lang w:val="sr-Latn-ME"/>
        </w:rPr>
        <w:t>eme eliminacije od oko 12-14 sati. Poluvr</w:t>
      </w:r>
      <w:r w:rsidR="00405146" w:rsidRPr="00314858">
        <w:rPr>
          <w:rFonts w:ascii="Times New Roman" w:hAnsi="Times New Roman" w:cs="Times New Roman"/>
          <w:lang w:val="sr-Latn-ME"/>
        </w:rPr>
        <w:t>ij</w:t>
      </w:r>
      <w:r w:rsidRPr="00314858">
        <w:rPr>
          <w:rFonts w:ascii="Times New Roman" w:hAnsi="Times New Roman" w:cs="Times New Roman"/>
          <w:lang w:val="sr-Latn-ME"/>
        </w:rPr>
        <w:t>eme eliminacije je bilo</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nezavisno od doze. Ukoliko je funkcija </w:t>
      </w:r>
      <w:r w:rsidR="00A117C7" w:rsidRPr="00314858">
        <w:rPr>
          <w:rFonts w:ascii="Times New Roman" w:hAnsi="Times New Roman" w:cs="Times New Roman"/>
          <w:lang w:val="sr-Latn-ME"/>
        </w:rPr>
        <w:t xml:space="preserve">bubrega </w:t>
      </w:r>
      <w:r w:rsidRPr="00314858">
        <w:rPr>
          <w:rFonts w:ascii="Times New Roman" w:hAnsi="Times New Roman" w:cs="Times New Roman"/>
          <w:lang w:val="sr-Latn-ME"/>
        </w:rPr>
        <w:t>oštećena</w:t>
      </w:r>
      <w:r w:rsidR="00A117C7" w:rsidRPr="00314858">
        <w:rPr>
          <w:rFonts w:ascii="Times New Roman" w:hAnsi="Times New Roman" w:cs="Times New Roman"/>
          <w:lang w:val="sr-Latn-ME"/>
        </w:rPr>
        <w:t>,</w:t>
      </w:r>
      <w:r w:rsidRPr="00314858">
        <w:rPr>
          <w:rFonts w:ascii="Times New Roman" w:hAnsi="Times New Roman" w:cs="Times New Roman"/>
          <w:lang w:val="sr-Latn-ME"/>
        </w:rPr>
        <w:t xml:space="preserve"> poluvr</w:t>
      </w:r>
      <w:r w:rsidR="00405146" w:rsidRPr="00314858">
        <w:rPr>
          <w:rFonts w:ascii="Times New Roman" w:hAnsi="Times New Roman" w:cs="Times New Roman"/>
          <w:lang w:val="sr-Latn-ME"/>
        </w:rPr>
        <w:t>ij</w:t>
      </w:r>
      <w:r w:rsidRPr="00314858">
        <w:rPr>
          <w:rFonts w:ascii="Times New Roman" w:hAnsi="Times New Roman" w:cs="Times New Roman"/>
          <w:lang w:val="sr-Latn-ME"/>
        </w:rPr>
        <w:t xml:space="preserve">eme eliminacije je produženo, kao što je prikazano u </w:t>
      </w:r>
      <w:r w:rsidR="00A117C7" w:rsidRPr="00314858">
        <w:rPr>
          <w:rFonts w:ascii="Times New Roman" w:hAnsi="Times New Roman" w:cs="Times New Roman"/>
          <w:lang w:val="sr-Latn-ME"/>
        </w:rPr>
        <w:t>t</w:t>
      </w:r>
      <w:r w:rsidRPr="00314858">
        <w:rPr>
          <w:rFonts w:ascii="Times New Roman" w:hAnsi="Times New Roman" w:cs="Times New Roman"/>
          <w:lang w:val="sr-Latn-ME"/>
        </w:rPr>
        <w:t xml:space="preserve">abeli </w:t>
      </w:r>
      <w:r w:rsidR="00BA729F" w:rsidRPr="00314858">
        <w:rPr>
          <w:rFonts w:ascii="Times New Roman" w:hAnsi="Times New Roman" w:cs="Times New Roman"/>
          <w:lang w:val="sr-Latn-ME"/>
        </w:rPr>
        <w:t>25</w:t>
      </w:r>
      <w:r w:rsidRPr="00314858">
        <w:rPr>
          <w:rFonts w:ascii="Times New Roman" w:hAnsi="Times New Roman" w:cs="Times New Roman"/>
          <w:lang w:val="sr-Latn-ME"/>
        </w:rPr>
        <w:t>.</w:t>
      </w:r>
    </w:p>
    <w:p w14:paraId="4EDE93CB" w14:textId="77777777" w:rsidR="00D67D34" w:rsidRPr="00314858" w:rsidRDefault="00D67D34" w:rsidP="00D67D34">
      <w:pPr>
        <w:spacing w:after="0" w:line="240" w:lineRule="auto"/>
        <w:jc w:val="both"/>
        <w:rPr>
          <w:rFonts w:ascii="Times New Roman" w:hAnsi="Times New Roman" w:cs="Times New Roman"/>
          <w:lang w:val="sr-Latn-ME"/>
        </w:rPr>
      </w:pPr>
    </w:p>
    <w:p w14:paraId="4BD8B92C" w14:textId="236C8915" w:rsidR="00D67D34" w:rsidRPr="00314858" w:rsidRDefault="00D67D34" w:rsidP="00D67D34">
      <w:pPr>
        <w:spacing w:after="0" w:line="240" w:lineRule="auto"/>
        <w:jc w:val="both"/>
        <w:rPr>
          <w:rFonts w:ascii="Times New Roman" w:hAnsi="Times New Roman" w:cs="Times New Roman"/>
          <w:bCs/>
          <w:iCs/>
          <w:u w:val="single"/>
          <w:lang w:val="sr-Latn-ME"/>
        </w:rPr>
      </w:pPr>
      <w:r w:rsidRPr="00314858">
        <w:rPr>
          <w:rFonts w:ascii="Times New Roman" w:hAnsi="Times New Roman" w:cs="Times New Roman"/>
          <w:bCs/>
          <w:iCs/>
          <w:u w:val="single"/>
          <w:lang w:val="sr-Latn-ME"/>
        </w:rPr>
        <w:t xml:space="preserve">Posebne populacije </w:t>
      </w:r>
    </w:p>
    <w:p w14:paraId="15D3A693" w14:textId="77777777" w:rsidR="00FC549A" w:rsidRPr="00314858" w:rsidRDefault="00FC549A" w:rsidP="00D67D34">
      <w:pPr>
        <w:spacing w:after="0" w:line="240" w:lineRule="auto"/>
        <w:jc w:val="both"/>
        <w:rPr>
          <w:rFonts w:ascii="Times New Roman" w:hAnsi="Times New Roman" w:cs="Times New Roman"/>
          <w:bCs/>
          <w:iCs/>
          <w:u w:val="single"/>
          <w:lang w:val="sr-Latn-ME"/>
        </w:rPr>
      </w:pPr>
    </w:p>
    <w:p w14:paraId="5444B270" w14:textId="77777777"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 xml:space="preserve">Bubrežna insuficijencija </w:t>
      </w:r>
    </w:p>
    <w:p w14:paraId="6A7E4A47" w14:textId="09CA3388"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 studijama faze I izloženost (PIK) dabigatrana posl</w:t>
      </w:r>
      <w:r w:rsidR="00BA2191" w:rsidRPr="00314858">
        <w:rPr>
          <w:rFonts w:ascii="Times New Roman" w:hAnsi="Times New Roman" w:cs="Times New Roman"/>
          <w:lang w:val="sr-Latn-ME"/>
        </w:rPr>
        <w:t>ij</w:t>
      </w:r>
      <w:r w:rsidRPr="00314858">
        <w:rPr>
          <w:rFonts w:ascii="Times New Roman" w:hAnsi="Times New Roman" w:cs="Times New Roman"/>
          <w:lang w:val="sr-Latn-ME"/>
        </w:rPr>
        <w:t>e oralne prim</w:t>
      </w:r>
      <w:r w:rsidR="00405146" w:rsidRPr="00314858">
        <w:rPr>
          <w:rFonts w:ascii="Times New Roman" w:hAnsi="Times New Roman" w:cs="Times New Roman"/>
          <w:lang w:val="sr-Latn-ME"/>
        </w:rPr>
        <w:t>j</w:t>
      </w:r>
      <w:r w:rsidRPr="00314858">
        <w:rPr>
          <w:rFonts w:ascii="Times New Roman" w:hAnsi="Times New Roman" w:cs="Times New Roman"/>
          <w:lang w:val="sr-Latn-ME"/>
        </w:rPr>
        <w:t>ene dabigatraneteksilata je približno 2,7 puta veća kod odraslih dobrovoljaca sa um</w:t>
      </w:r>
      <w:r w:rsidR="00405146" w:rsidRPr="00314858">
        <w:rPr>
          <w:rFonts w:ascii="Times New Roman" w:hAnsi="Times New Roman" w:cs="Times New Roman"/>
          <w:lang w:val="sr-Latn-ME"/>
        </w:rPr>
        <w:t>j</w:t>
      </w:r>
      <w:r w:rsidRPr="00314858">
        <w:rPr>
          <w:rFonts w:ascii="Times New Roman" w:hAnsi="Times New Roman" w:cs="Times New Roman"/>
          <w:lang w:val="sr-Latn-ME"/>
        </w:rPr>
        <w:t>erenom bubrežnom insuficijencijom (CrCL između 30</w:t>
      </w:r>
      <w:r w:rsidR="00BA729F" w:rsidRPr="00314858">
        <w:rPr>
          <w:rFonts w:ascii="Times New Roman" w:hAnsi="Times New Roman" w:cs="Times New Roman"/>
          <w:lang w:val="sr-Latn-ME"/>
        </w:rPr>
        <w:t xml:space="preserve"> i </w:t>
      </w:r>
      <w:r w:rsidRPr="00314858">
        <w:rPr>
          <w:rFonts w:ascii="Times New Roman" w:hAnsi="Times New Roman" w:cs="Times New Roman"/>
          <w:lang w:val="sr-Latn-ME"/>
        </w:rPr>
        <w:t>50 m</w:t>
      </w:r>
      <w:r w:rsidR="00BA2191" w:rsidRPr="00314858">
        <w:rPr>
          <w:rFonts w:ascii="Times New Roman" w:hAnsi="Times New Roman" w:cs="Times New Roman"/>
          <w:lang w:val="sr-Latn-ME"/>
        </w:rPr>
        <w:t>l</w:t>
      </w:r>
      <w:r w:rsidRPr="00314858">
        <w:rPr>
          <w:rFonts w:ascii="Times New Roman" w:hAnsi="Times New Roman" w:cs="Times New Roman"/>
          <w:lang w:val="sr-Latn-ME"/>
        </w:rPr>
        <w:t xml:space="preserve">/min) nego kod onih bez bubrežne insuficijencije. </w:t>
      </w:r>
    </w:p>
    <w:p w14:paraId="09F46C99" w14:textId="77777777" w:rsidR="00D67D34" w:rsidRPr="00314858" w:rsidRDefault="00D67D34" w:rsidP="00D67D34">
      <w:pPr>
        <w:spacing w:after="0" w:line="240" w:lineRule="auto"/>
        <w:jc w:val="both"/>
        <w:rPr>
          <w:rFonts w:ascii="Times New Roman" w:hAnsi="Times New Roman" w:cs="Times New Roman"/>
          <w:lang w:val="sr-Latn-ME"/>
        </w:rPr>
      </w:pPr>
    </w:p>
    <w:p w14:paraId="00F6E527" w14:textId="2D279FA1"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Kod malog broja odraslih dobrovoljaca sa teškom bubrežnom insuficijencijom (CrCL 10-30 m</w:t>
      </w:r>
      <w:r w:rsidR="00BA2191" w:rsidRPr="00314858">
        <w:rPr>
          <w:rFonts w:ascii="Times New Roman" w:hAnsi="Times New Roman" w:cs="Times New Roman"/>
          <w:lang w:val="sr-Latn-ME"/>
        </w:rPr>
        <w:t>l</w:t>
      </w:r>
      <w:r w:rsidRPr="00314858">
        <w:rPr>
          <w:rFonts w:ascii="Times New Roman" w:hAnsi="Times New Roman" w:cs="Times New Roman"/>
          <w:lang w:val="sr-Latn-ME"/>
        </w:rPr>
        <w:t>/min), izloženost (PIK) dabigatrana bila je približno 6 puta veća, a poluvr</w:t>
      </w:r>
      <w:r w:rsidR="00405146" w:rsidRPr="00314858">
        <w:rPr>
          <w:rFonts w:ascii="Times New Roman" w:hAnsi="Times New Roman" w:cs="Times New Roman"/>
          <w:lang w:val="sr-Latn-ME"/>
        </w:rPr>
        <w:t>ij</w:t>
      </w:r>
      <w:r w:rsidRPr="00314858">
        <w:rPr>
          <w:rFonts w:ascii="Times New Roman" w:hAnsi="Times New Roman" w:cs="Times New Roman"/>
          <w:lang w:val="sr-Latn-ME"/>
        </w:rPr>
        <w:t>eme eliminacije približno 2 puta duže nego što je prim</w:t>
      </w:r>
      <w:r w:rsidR="00405146" w:rsidRPr="00314858">
        <w:rPr>
          <w:rFonts w:ascii="Times New Roman" w:hAnsi="Times New Roman" w:cs="Times New Roman"/>
          <w:lang w:val="sr-Latn-ME"/>
        </w:rPr>
        <w:t>ij</w:t>
      </w:r>
      <w:r w:rsidRPr="00314858">
        <w:rPr>
          <w:rFonts w:ascii="Times New Roman" w:hAnsi="Times New Roman" w:cs="Times New Roman"/>
          <w:lang w:val="sr-Latn-ME"/>
        </w:rPr>
        <w:t xml:space="preserve">ećeno </w:t>
      </w:r>
      <w:r w:rsidR="00710891" w:rsidRPr="00314858">
        <w:rPr>
          <w:rFonts w:ascii="Times New Roman" w:hAnsi="Times New Roman" w:cs="Times New Roman"/>
          <w:lang w:val="sr-Latn-ME"/>
        </w:rPr>
        <w:t>u populaciji</w:t>
      </w:r>
      <w:r w:rsidRPr="00314858">
        <w:rPr>
          <w:rFonts w:ascii="Times New Roman" w:hAnsi="Times New Roman" w:cs="Times New Roman"/>
          <w:lang w:val="sr-Latn-ME"/>
        </w:rPr>
        <w:t xml:space="preserve"> bez bubrežne insuficijencije (vid</w:t>
      </w:r>
      <w:r w:rsidR="00405146"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405146" w:rsidRPr="00314858">
        <w:rPr>
          <w:rFonts w:ascii="Times New Roman" w:hAnsi="Times New Roman" w:cs="Times New Roman"/>
          <w:lang w:val="sr-Latn-ME"/>
        </w:rPr>
        <w:t>djelove</w:t>
      </w:r>
      <w:r w:rsidRPr="00314858">
        <w:rPr>
          <w:rFonts w:ascii="Times New Roman" w:hAnsi="Times New Roman" w:cs="Times New Roman"/>
          <w:lang w:val="sr-Latn-ME"/>
        </w:rPr>
        <w:t xml:space="preserve"> 4.2, 4.3 i 4.4). </w:t>
      </w:r>
    </w:p>
    <w:p w14:paraId="1AC1CC28" w14:textId="77777777" w:rsidR="00D67D34" w:rsidRPr="00314858" w:rsidRDefault="00D67D34" w:rsidP="00D67D34">
      <w:pPr>
        <w:spacing w:after="0" w:line="240" w:lineRule="auto"/>
        <w:jc w:val="both"/>
        <w:rPr>
          <w:rFonts w:ascii="Times New Roman" w:hAnsi="Times New Roman" w:cs="Times New Roman"/>
          <w:lang w:val="sr-Latn-ME" w:bidi="en-US"/>
        </w:rPr>
      </w:pPr>
    </w:p>
    <w:p w14:paraId="0342264C" w14:textId="53C5B54B" w:rsidR="00D67D34" w:rsidRPr="00314858" w:rsidRDefault="00D67D34" w:rsidP="00BA378B">
      <w:pPr>
        <w:spacing w:after="0" w:line="240" w:lineRule="auto"/>
        <w:jc w:val="center"/>
        <w:rPr>
          <w:rFonts w:ascii="Times New Roman" w:hAnsi="Times New Roman" w:cs="Times New Roman"/>
          <w:b/>
          <w:bCs/>
          <w:lang w:val="sr-Latn-ME" w:bidi="en-US"/>
        </w:rPr>
      </w:pPr>
      <w:r w:rsidRPr="00314858">
        <w:rPr>
          <w:rFonts w:ascii="Times New Roman" w:hAnsi="Times New Roman" w:cs="Times New Roman"/>
          <w:b/>
          <w:bCs/>
          <w:lang w:val="sr-Latn-ME" w:bidi="en-US"/>
        </w:rPr>
        <w:t>Tabela 25</w:t>
      </w:r>
      <w:r w:rsidR="00710891"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Poluvr</w:t>
      </w:r>
      <w:r w:rsidR="00405146" w:rsidRPr="00314858">
        <w:rPr>
          <w:rFonts w:ascii="Times New Roman" w:hAnsi="Times New Roman" w:cs="Times New Roman"/>
          <w:b/>
          <w:bCs/>
          <w:lang w:val="sr-Latn-ME" w:bidi="en-US"/>
        </w:rPr>
        <w:t>ij</w:t>
      </w:r>
      <w:r w:rsidRPr="00314858">
        <w:rPr>
          <w:rFonts w:ascii="Times New Roman" w:hAnsi="Times New Roman" w:cs="Times New Roman"/>
          <w:b/>
          <w:bCs/>
          <w:lang w:val="sr-Latn-ME" w:bidi="en-US"/>
        </w:rPr>
        <w:t xml:space="preserve">eme eliminacije </w:t>
      </w:r>
      <w:r w:rsidR="00710891" w:rsidRPr="00314858">
        <w:rPr>
          <w:rFonts w:ascii="Times New Roman" w:hAnsi="Times New Roman" w:cs="Times New Roman"/>
          <w:b/>
          <w:bCs/>
          <w:lang w:val="sr-Latn-ME" w:bidi="en-US"/>
        </w:rPr>
        <w:t xml:space="preserve">ukupnog </w:t>
      </w:r>
      <w:r w:rsidRPr="00314858">
        <w:rPr>
          <w:rFonts w:ascii="Times New Roman" w:hAnsi="Times New Roman" w:cs="Times New Roman"/>
          <w:b/>
          <w:bCs/>
          <w:lang w:val="sr-Latn-ME" w:bidi="en-US"/>
        </w:rPr>
        <w:t xml:space="preserve">dabigatrana kod zdravih ispitanika i </w:t>
      </w:r>
      <w:r w:rsidR="00710891" w:rsidRPr="00314858">
        <w:rPr>
          <w:rFonts w:ascii="Times New Roman" w:hAnsi="Times New Roman" w:cs="Times New Roman"/>
          <w:b/>
          <w:bCs/>
          <w:lang w:val="sr-Latn-ME" w:bidi="en-US"/>
        </w:rPr>
        <w:t>ispitanika</w:t>
      </w:r>
      <w:r w:rsidRPr="00314858">
        <w:rPr>
          <w:rFonts w:ascii="Times New Roman" w:hAnsi="Times New Roman" w:cs="Times New Roman"/>
          <w:b/>
          <w:bCs/>
          <w:lang w:val="sr-Latn-ME" w:bidi="en-US"/>
        </w:rPr>
        <w:t xml:space="preserve"> sa oštećenom funkcijom bubrega</w:t>
      </w:r>
      <w:r w:rsidR="00710891" w:rsidRPr="00314858">
        <w:rPr>
          <w:rFonts w:ascii="Times New Roman" w:hAnsi="Times New Roman" w:cs="Times New Roman"/>
          <w:b/>
          <w:bCs/>
          <w:lang w:val="sr-Latn-ME" w:bidi="en-US"/>
        </w:rPr>
        <w:t>.</w:t>
      </w:r>
    </w:p>
    <w:p w14:paraId="4D616583" w14:textId="77777777" w:rsidR="00710891" w:rsidRPr="00314858" w:rsidRDefault="00710891" w:rsidP="00D67D34">
      <w:pPr>
        <w:spacing w:after="0" w:line="240" w:lineRule="auto"/>
        <w:jc w:val="both"/>
        <w:rPr>
          <w:rFonts w:ascii="Times New Roman" w:hAnsi="Times New Roman" w:cs="Times New Roman"/>
          <w:b/>
          <w:bCs/>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2736"/>
        <w:gridCol w:w="6324"/>
      </w:tblGrid>
      <w:tr w:rsidR="00BA729F" w:rsidRPr="00314858" w14:paraId="58E7AA4E" w14:textId="77777777" w:rsidTr="001F1A28">
        <w:trPr>
          <w:trHeight w:val="20"/>
          <w:jc w:val="center"/>
        </w:trPr>
        <w:tc>
          <w:tcPr>
            <w:tcW w:w="1510" w:type="pct"/>
            <w:tcBorders>
              <w:top w:val="single" w:sz="4" w:space="0" w:color="auto"/>
              <w:left w:val="single" w:sz="4" w:space="0" w:color="auto"/>
            </w:tcBorders>
            <w:shd w:val="clear" w:color="auto" w:fill="auto"/>
            <w:vAlign w:val="bottom"/>
          </w:tcPr>
          <w:p w14:paraId="312399A4" w14:textId="77777777"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Brzina glomerularne filtracije (CrCL,)</w:t>
            </w:r>
          </w:p>
          <w:p w14:paraId="3DCA00D8" w14:textId="6423B84E"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[m</w:t>
            </w:r>
            <w:r w:rsidR="00BA2191" w:rsidRPr="00314858">
              <w:rPr>
                <w:rFonts w:ascii="Times New Roman" w:eastAsia="Times New Roman" w:hAnsi="Times New Roman" w:cs="Times New Roman"/>
                <w:color w:val="000000" w:themeColor="text1"/>
                <w:lang w:val="sr-Latn-ME" w:bidi="en-US"/>
              </w:rPr>
              <w:t>l</w:t>
            </w:r>
            <w:r w:rsidRPr="00314858">
              <w:rPr>
                <w:rFonts w:ascii="Times New Roman" w:eastAsia="Times New Roman" w:hAnsi="Times New Roman" w:cs="Times New Roman"/>
                <w:color w:val="000000" w:themeColor="text1"/>
                <w:lang w:val="sr-Latn-ME" w:bidi="en-US"/>
              </w:rPr>
              <w:t>/min]</w:t>
            </w:r>
          </w:p>
        </w:tc>
        <w:tc>
          <w:tcPr>
            <w:tcW w:w="3490" w:type="pct"/>
            <w:tcBorders>
              <w:top w:val="single" w:sz="4" w:space="0" w:color="auto"/>
              <w:left w:val="single" w:sz="4" w:space="0" w:color="auto"/>
              <w:right w:val="single" w:sz="4" w:space="0" w:color="auto"/>
            </w:tcBorders>
            <w:shd w:val="clear" w:color="auto" w:fill="auto"/>
            <w:vAlign w:val="bottom"/>
          </w:tcPr>
          <w:p w14:paraId="098F3743" w14:textId="5124727D"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Geometrijska srednja vr</w:t>
            </w:r>
            <w:r w:rsidR="00405146" w:rsidRPr="00314858">
              <w:rPr>
                <w:rFonts w:ascii="Times New Roman" w:eastAsia="Times New Roman" w:hAnsi="Times New Roman" w:cs="Times New Roman"/>
                <w:color w:val="000000" w:themeColor="text1"/>
                <w:lang w:val="sr-Latn-ME" w:bidi="en-US"/>
              </w:rPr>
              <w:t>ij</w:t>
            </w:r>
            <w:r w:rsidRPr="00314858">
              <w:rPr>
                <w:rFonts w:ascii="Times New Roman" w:eastAsia="Times New Roman" w:hAnsi="Times New Roman" w:cs="Times New Roman"/>
                <w:color w:val="000000" w:themeColor="text1"/>
                <w:lang w:val="sr-Latn-ME" w:bidi="en-US"/>
              </w:rPr>
              <w:t>ednost (gCV %; opseg)</w:t>
            </w:r>
          </w:p>
          <w:p w14:paraId="5647C22E" w14:textId="5021DB2E" w:rsidR="00BA729F" w:rsidRPr="00314858" w:rsidRDefault="00BD6A89"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p</w:t>
            </w:r>
            <w:r w:rsidR="00BA729F" w:rsidRPr="00314858">
              <w:rPr>
                <w:rFonts w:ascii="Times New Roman" w:eastAsia="Times New Roman" w:hAnsi="Times New Roman" w:cs="Times New Roman"/>
                <w:color w:val="000000" w:themeColor="text1"/>
                <w:lang w:val="sr-Latn-ME" w:bidi="en-US"/>
              </w:rPr>
              <w:t>oluvr</w:t>
            </w:r>
            <w:r w:rsidR="00405146" w:rsidRPr="00314858">
              <w:rPr>
                <w:rFonts w:ascii="Times New Roman" w:eastAsia="Times New Roman" w:hAnsi="Times New Roman" w:cs="Times New Roman"/>
                <w:color w:val="000000" w:themeColor="text1"/>
                <w:lang w:val="sr-Latn-ME" w:bidi="en-US"/>
              </w:rPr>
              <w:t>ij</w:t>
            </w:r>
            <w:r w:rsidR="00BA729F" w:rsidRPr="00314858">
              <w:rPr>
                <w:rFonts w:ascii="Times New Roman" w:eastAsia="Times New Roman" w:hAnsi="Times New Roman" w:cs="Times New Roman"/>
                <w:color w:val="000000" w:themeColor="text1"/>
                <w:lang w:val="sr-Latn-ME" w:bidi="en-US"/>
              </w:rPr>
              <w:t>eme eliminacije</w:t>
            </w:r>
          </w:p>
          <w:p w14:paraId="19F14B6F" w14:textId="77777777"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[h]</w:t>
            </w:r>
          </w:p>
        </w:tc>
      </w:tr>
      <w:tr w:rsidR="00BA729F" w:rsidRPr="00314858" w14:paraId="727835CC" w14:textId="77777777" w:rsidTr="001F1A28">
        <w:trPr>
          <w:trHeight w:val="20"/>
          <w:jc w:val="center"/>
        </w:trPr>
        <w:tc>
          <w:tcPr>
            <w:tcW w:w="1510" w:type="pct"/>
            <w:tcBorders>
              <w:top w:val="single" w:sz="4" w:space="0" w:color="auto"/>
              <w:left w:val="single" w:sz="4" w:space="0" w:color="auto"/>
            </w:tcBorders>
            <w:shd w:val="clear" w:color="auto" w:fill="auto"/>
            <w:vAlign w:val="bottom"/>
          </w:tcPr>
          <w:p w14:paraId="4A7D4907" w14:textId="5D264672"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w:t>
            </w:r>
            <w:r w:rsidR="00BA2191"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80</w:t>
            </w:r>
          </w:p>
        </w:tc>
        <w:tc>
          <w:tcPr>
            <w:tcW w:w="3490" w:type="pct"/>
            <w:tcBorders>
              <w:top w:val="single" w:sz="4" w:space="0" w:color="auto"/>
              <w:left w:val="single" w:sz="4" w:space="0" w:color="auto"/>
              <w:right w:val="single" w:sz="4" w:space="0" w:color="auto"/>
            </w:tcBorders>
            <w:shd w:val="clear" w:color="auto" w:fill="auto"/>
            <w:vAlign w:val="bottom"/>
          </w:tcPr>
          <w:p w14:paraId="43677174" w14:textId="77777777"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13,4 (25,7%; 11,0-21,6)</w:t>
            </w:r>
          </w:p>
        </w:tc>
      </w:tr>
      <w:tr w:rsidR="00BA729F" w:rsidRPr="00314858" w14:paraId="2A214C56" w14:textId="77777777" w:rsidTr="001F1A28">
        <w:trPr>
          <w:trHeight w:val="20"/>
          <w:jc w:val="center"/>
        </w:trPr>
        <w:tc>
          <w:tcPr>
            <w:tcW w:w="1510" w:type="pct"/>
            <w:tcBorders>
              <w:top w:val="single" w:sz="4" w:space="0" w:color="auto"/>
              <w:left w:val="single" w:sz="4" w:space="0" w:color="auto"/>
            </w:tcBorders>
            <w:shd w:val="clear" w:color="auto" w:fill="auto"/>
            <w:vAlign w:val="bottom"/>
          </w:tcPr>
          <w:p w14:paraId="08B4B7F7" w14:textId="600D97E8"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w:t>
            </w:r>
            <w:r w:rsidR="00BA2191"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50-&lt;</w:t>
            </w:r>
            <w:r w:rsidR="00BA2191"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80</w:t>
            </w:r>
          </w:p>
        </w:tc>
        <w:tc>
          <w:tcPr>
            <w:tcW w:w="3490" w:type="pct"/>
            <w:tcBorders>
              <w:top w:val="single" w:sz="4" w:space="0" w:color="auto"/>
              <w:left w:val="single" w:sz="4" w:space="0" w:color="auto"/>
              <w:right w:val="single" w:sz="4" w:space="0" w:color="auto"/>
            </w:tcBorders>
            <w:shd w:val="clear" w:color="auto" w:fill="auto"/>
            <w:vAlign w:val="bottom"/>
          </w:tcPr>
          <w:p w14:paraId="18024517" w14:textId="77777777"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15,3 (42,7%; 11,7-34,1)</w:t>
            </w:r>
          </w:p>
        </w:tc>
      </w:tr>
      <w:tr w:rsidR="00BA729F" w:rsidRPr="00314858" w14:paraId="7BC69FF3" w14:textId="77777777" w:rsidTr="001F1A28">
        <w:trPr>
          <w:trHeight w:val="20"/>
          <w:jc w:val="center"/>
        </w:trPr>
        <w:tc>
          <w:tcPr>
            <w:tcW w:w="1510" w:type="pct"/>
            <w:tcBorders>
              <w:top w:val="single" w:sz="4" w:space="0" w:color="auto"/>
              <w:left w:val="single" w:sz="4" w:space="0" w:color="auto"/>
            </w:tcBorders>
            <w:shd w:val="clear" w:color="auto" w:fill="auto"/>
            <w:vAlign w:val="bottom"/>
          </w:tcPr>
          <w:p w14:paraId="5A7A55EF" w14:textId="1CC4E03F"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w:t>
            </w:r>
            <w:r w:rsidR="00BA2191"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30-&lt;</w:t>
            </w:r>
            <w:r w:rsidR="00BA2191"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50</w:t>
            </w:r>
          </w:p>
        </w:tc>
        <w:tc>
          <w:tcPr>
            <w:tcW w:w="3490" w:type="pct"/>
            <w:tcBorders>
              <w:top w:val="single" w:sz="4" w:space="0" w:color="auto"/>
              <w:left w:val="single" w:sz="4" w:space="0" w:color="auto"/>
              <w:right w:val="single" w:sz="4" w:space="0" w:color="auto"/>
            </w:tcBorders>
            <w:shd w:val="clear" w:color="auto" w:fill="auto"/>
            <w:vAlign w:val="bottom"/>
          </w:tcPr>
          <w:p w14:paraId="223F91BC" w14:textId="77777777"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18,4 (18,5%; 13,3-23,0)</w:t>
            </w:r>
          </w:p>
        </w:tc>
      </w:tr>
      <w:tr w:rsidR="00BA729F" w:rsidRPr="00314858" w14:paraId="7A909F1D" w14:textId="77777777" w:rsidTr="001F1A28">
        <w:trPr>
          <w:trHeight w:val="20"/>
          <w:jc w:val="center"/>
        </w:trPr>
        <w:tc>
          <w:tcPr>
            <w:tcW w:w="1510" w:type="pct"/>
            <w:tcBorders>
              <w:top w:val="single" w:sz="4" w:space="0" w:color="auto"/>
              <w:left w:val="single" w:sz="4" w:space="0" w:color="auto"/>
              <w:bottom w:val="single" w:sz="4" w:space="0" w:color="auto"/>
            </w:tcBorders>
            <w:shd w:val="clear" w:color="auto" w:fill="auto"/>
            <w:vAlign w:val="bottom"/>
          </w:tcPr>
          <w:p w14:paraId="0DF3387F" w14:textId="32CE5C52"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&lt;</w:t>
            </w:r>
            <w:r w:rsidR="00BA2191" w:rsidRPr="00314858">
              <w:rPr>
                <w:rFonts w:ascii="Times New Roman" w:eastAsia="Times New Roman" w:hAnsi="Times New Roman" w:cs="Times New Roman"/>
                <w:color w:val="000000" w:themeColor="text1"/>
                <w:lang w:val="sr-Latn-ME" w:bidi="en-US"/>
              </w:rPr>
              <w:t xml:space="preserve"> </w:t>
            </w:r>
            <w:r w:rsidRPr="00314858">
              <w:rPr>
                <w:rFonts w:ascii="Times New Roman" w:eastAsia="Times New Roman" w:hAnsi="Times New Roman" w:cs="Times New Roman"/>
                <w:color w:val="000000" w:themeColor="text1"/>
                <w:lang w:val="sr-Latn-ME" w:bidi="en-US"/>
              </w:rPr>
              <w:t>30</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bottom"/>
          </w:tcPr>
          <w:p w14:paraId="46CB267F" w14:textId="77777777" w:rsidR="00BA729F" w:rsidRPr="00314858" w:rsidRDefault="00BA729F" w:rsidP="00A95A46">
            <w:pPr>
              <w:widowControl w:val="0"/>
              <w:spacing w:after="0" w:line="240" w:lineRule="auto"/>
              <w:jc w:val="center"/>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27,2 (15,3%; 21,6-35,0)</w:t>
            </w:r>
          </w:p>
        </w:tc>
      </w:tr>
    </w:tbl>
    <w:p w14:paraId="5B2C7B08" w14:textId="77777777" w:rsidR="00D67D34" w:rsidRPr="00314858" w:rsidRDefault="00D67D34" w:rsidP="00D67D34">
      <w:pPr>
        <w:spacing w:after="0" w:line="240" w:lineRule="auto"/>
        <w:jc w:val="both"/>
        <w:rPr>
          <w:rFonts w:ascii="Times New Roman" w:hAnsi="Times New Roman" w:cs="Times New Roman"/>
          <w:lang w:val="sr-Latn-ME" w:bidi="en-US"/>
        </w:rPr>
      </w:pPr>
    </w:p>
    <w:p w14:paraId="5478CBDB" w14:textId="560C90A8"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Osim toga, izloženost dabigatran</w:t>
      </w:r>
      <w:r w:rsidR="00006E77" w:rsidRPr="00314858">
        <w:rPr>
          <w:rFonts w:ascii="Times New Roman" w:hAnsi="Times New Roman" w:cs="Times New Roman"/>
          <w:lang w:val="sr-Latn-ME"/>
        </w:rPr>
        <w:t>u</w:t>
      </w:r>
      <w:r w:rsidRPr="00314858">
        <w:rPr>
          <w:rFonts w:ascii="Times New Roman" w:hAnsi="Times New Roman" w:cs="Times New Roman"/>
          <w:lang w:val="sr-Latn-ME"/>
        </w:rPr>
        <w:t xml:space="preserve"> (naj</w:t>
      </w:r>
      <w:r w:rsidR="00006E77" w:rsidRPr="00314858">
        <w:rPr>
          <w:rFonts w:ascii="Times New Roman" w:hAnsi="Times New Roman" w:cs="Times New Roman"/>
          <w:lang w:val="sr-Latn-ME"/>
        </w:rPr>
        <w:t>manja</w:t>
      </w:r>
      <w:r w:rsidRPr="00314858">
        <w:rPr>
          <w:rFonts w:ascii="Times New Roman" w:hAnsi="Times New Roman" w:cs="Times New Roman"/>
          <w:lang w:val="sr-Latn-ME"/>
        </w:rPr>
        <w:t xml:space="preserve"> i maksimalna) bila je proc</w:t>
      </w:r>
      <w:r w:rsidR="00405146" w:rsidRPr="00314858">
        <w:rPr>
          <w:rFonts w:ascii="Times New Roman" w:hAnsi="Times New Roman" w:cs="Times New Roman"/>
          <w:lang w:val="sr-Latn-ME"/>
        </w:rPr>
        <w:t>ij</w:t>
      </w:r>
      <w:r w:rsidRPr="00314858">
        <w:rPr>
          <w:rFonts w:ascii="Times New Roman" w:hAnsi="Times New Roman" w:cs="Times New Roman"/>
          <w:lang w:val="sr-Latn-ME"/>
        </w:rPr>
        <w:t>enjena u prospektivnoj, otvorenoj, randomizovanoj farmakokinetičkoj studiji kod pacijenata sa</w:t>
      </w:r>
      <w:r w:rsidRPr="00314858">
        <w:rPr>
          <w:rFonts w:ascii="Times New Roman" w:hAnsi="Times New Roman" w:cs="Times New Roman"/>
          <w:bCs/>
          <w:iCs/>
          <w:lang w:val="sr-Latn-ME"/>
        </w:rPr>
        <w:t xml:space="preserve"> NVAF i teškim oštećenjem funkcije bubrega (definisanim kao klirens kreatinina </w:t>
      </w:r>
      <w:r w:rsidRPr="00314858">
        <w:rPr>
          <w:rFonts w:ascii="Times New Roman" w:hAnsi="Times New Roman" w:cs="Times New Roman"/>
          <w:lang w:val="sr-Latn-ME"/>
        </w:rPr>
        <w:t>[CrC</w:t>
      </w:r>
      <w:r w:rsidR="00BA729F" w:rsidRPr="00314858">
        <w:rPr>
          <w:rFonts w:ascii="Times New Roman" w:hAnsi="Times New Roman" w:cs="Times New Roman"/>
          <w:lang w:val="sr-Latn-ME"/>
        </w:rPr>
        <w:t>L</w:t>
      </w:r>
      <w:r w:rsidRPr="00314858">
        <w:rPr>
          <w:rFonts w:ascii="Times New Roman" w:hAnsi="Times New Roman" w:cs="Times New Roman"/>
          <w:lang w:val="sr-Latn-ME"/>
        </w:rPr>
        <w:t>] 15-30 m</w:t>
      </w:r>
      <w:r w:rsidR="00BA2191" w:rsidRPr="00314858">
        <w:rPr>
          <w:rFonts w:ascii="Times New Roman" w:hAnsi="Times New Roman" w:cs="Times New Roman"/>
          <w:lang w:val="sr-Latn-ME"/>
        </w:rPr>
        <w:t>l</w:t>
      </w:r>
      <w:r w:rsidRPr="00314858">
        <w:rPr>
          <w:rFonts w:ascii="Times New Roman" w:hAnsi="Times New Roman" w:cs="Times New Roman"/>
          <w:lang w:val="sr-Latn-ME"/>
        </w:rPr>
        <w:t>/min) koji su primali 75 mg dabigatraneteksilata dva puta dnevno. Ovaj režim doveo je do geometrijske srednje vr</w:t>
      </w:r>
      <w:r w:rsidR="00405146" w:rsidRPr="00314858">
        <w:rPr>
          <w:rFonts w:ascii="Times New Roman" w:hAnsi="Times New Roman" w:cs="Times New Roman"/>
          <w:lang w:val="sr-Latn-ME"/>
        </w:rPr>
        <w:t>ij</w:t>
      </w:r>
      <w:r w:rsidRPr="00314858">
        <w:rPr>
          <w:rFonts w:ascii="Times New Roman" w:hAnsi="Times New Roman" w:cs="Times New Roman"/>
          <w:lang w:val="sr-Latn-ME"/>
        </w:rPr>
        <w:t>ednosti najmanje koncentracije od 155 n</w:t>
      </w:r>
      <w:r w:rsidR="00BA729F" w:rsidRPr="00314858">
        <w:rPr>
          <w:rFonts w:ascii="Times New Roman" w:hAnsi="Times New Roman" w:cs="Times New Roman"/>
          <w:lang w:val="sr-Latn-ME"/>
        </w:rPr>
        <w:t>anograma</w:t>
      </w:r>
      <w:r w:rsidRPr="00314858">
        <w:rPr>
          <w:rFonts w:ascii="Times New Roman" w:hAnsi="Times New Roman" w:cs="Times New Roman"/>
          <w:lang w:val="sr-Latn-ME"/>
        </w:rPr>
        <w:t>/m</w:t>
      </w:r>
      <w:r w:rsidR="00BA2191" w:rsidRPr="00314858">
        <w:rPr>
          <w:rFonts w:ascii="Times New Roman" w:hAnsi="Times New Roman" w:cs="Times New Roman"/>
          <w:lang w:val="sr-Latn-ME"/>
        </w:rPr>
        <w:t>l</w:t>
      </w:r>
      <w:r w:rsidRPr="00314858">
        <w:rPr>
          <w:rFonts w:ascii="Times New Roman" w:hAnsi="Times New Roman" w:cs="Times New Roman"/>
          <w:lang w:val="sr-Latn-ME"/>
        </w:rPr>
        <w:t xml:space="preserve"> (gCV od 76,9 %), izm</w:t>
      </w:r>
      <w:r w:rsidR="00405146" w:rsidRPr="00314858">
        <w:rPr>
          <w:rFonts w:ascii="Times New Roman" w:hAnsi="Times New Roman" w:cs="Times New Roman"/>
          <w:lang w:val="sr-Latn-ME"/>
        </w:rPr>
        <w:t>j</w:t>
      </w:r>
      <w:r w:rsidRPr="00314858">
        <w:rPr>
          <w:rFonts w:ascii="Times New Roman" w:hAnsi="Times New Roman" w:cs="Times New Roman"/>
          <w:lang w:val="sr-Latn-ME"/>
        </w:rPr>
        <w:t>erene neposredno pr</w:t>
      </w:r>
      <w:r w:rsidR="00405146" w:rsidRPr="00314858">
        <w:rPr>
          <w:rFonts w:ascii="Times New Roman" w:hAnsi="Times New Roman" w:cs="Times New Roman"/>
          <w:lang w:val="sr-Latn-ME"/>
        </w:rPr>
        <w:t>ij</w:t>
      </w:r>
      <w:r w:rsidRPr="00314858">
        <w:rPr>
          <w:rFonts w:ascii="Times New Roman" w:hAnsi="Times New Roman" w:cs="Times New Roman"/>
          <w:lang w:val="sr-Latn-ME"/>
        </w:rPr>
        <w:t>e prim</w:t>
      </w:r>
      <w:r w:rsidR="00405146" w:rsidRPr="00314858">
        <w:rPr>
          <w:rFonts w:ascii="Times New Roman" w:hAnsi="Times New Roman" w:cs="Times New Roman"/>
          <w:lang w:val="sr-Latn-ME"/>
        </w:rPr>
        <w:t>j</w:t>
      </w:r>
      <w:r w:rsidRPr="00314858">
        <w:rPr>
          <w:rFonts w:ascii="Times New Roman" w:hAnsi="Times New Roman" w:cs="Times New Roman"/>
          <w:lang w:val="sr-Latn-ME"/>
        </w:rPr>
        <w:t>ene sl</w:t>
      </w:r>
      <w:r w:rsidR="00405146" w:rsidRPr="00314858">
        <w:rPr>
          <w:rFonts w:ascii="Times New Roman" w:hAnsi="Times New Roman" w:cs="Times New Roman"/>
          <w:lang w:val="sr-Latn-ME"/>
        </w:rPr>
        <w:t>j</w:t>
      </w:r>
      <w:r w:rsidRPr="00314858">
        <w:rPr>
          <w:rFonts w:ascii="Times New Roman" w:hAnsi="Times New Roman" w:cs="Times New Roman"/>
          <w:lang w:val="sr-Latn-ME"/>
        </w:rPr>
        <w:t>edeće doze, i do geometrijske srednje vr</w:t>
      </w:r>
      <w:r w:rsidR="00405146" w:rsidRPr="00314858">
        <w:rPr>
          <w:rFonts w:ascii="Times New Roman" w:hAnsi="Times New Roman" w:cs="Times New Roman"/>
          <w:lang w:val="sr-Latn-ME"/>
        </w:rPr>
        <w:t>ij</w:t>
      </w:r>
      <w:r w:rsidRPr="00314858">
        <w:rPr>
          <w:rFonts w:ascii="Times New Roman" w:hAnsi="Times New Roman" w:cs="Times New Roman"/>
          <w:lang w:val="sr-Latn-ME"/>
        </w:rPr>
        <w:t>ednosti maksimalne koncentracije od 202 nanograma</w:t>
      </w:r>
      <w:r w:rsidRPr="00314858" w:rsidDel="00C71ED3">
        <w:rPr>
          <w:rFonts w:ascii="Times New Roman" w:hAnsi="Times New Roman" w:cs="Times New Roman"/>
          <w:lang w:val="sr-Latn-ME"/>
        </w:rPr>
        <w:t xml:space="preserve"> </w:t>
      </w:r>
      <w:r w:rsidRPr="00314858">
        <w:rPr>
          <w:rFonts w:ascii="Times New Roman" w:hAnsi="Times New Roman" w:cs="Times New Roman"/>
          <w:lang w:val="sr-Latn-ME"/>
        </w:rPr>
        <w:t>/m</w:t>
      </w:r>
      <w:r w:rsidR="00BA2191" w:rsidRPr="00314858">
        <w:rPr>
          <w:rFonts w:ascii="Times New Roman" w:hAnsi="Times New Roman" w:cs="Times New Roman"/>
          <w:lang w:val="sr-Latn-ME"/>
        </w:rPr>
        <w:t>l</w:t>
      </w:r>
      <w:r w:rsidRPr="00314858">
        <w:rPr>
          <w:rFonts w:ascii="Times New Roman" w:hAnsi="Times New Roman" w:cs="Times New Roman"/>
          <w:lang w:val="sr-Latn-ME"/>
        </w:rPr>
        <w:t xml:space="preserve"> (gCV od 70,6</w:t>
      </w:r>
      <w:r w:rsidR="00006E77" w:rsidRPr="00314858">
        <w:rPr>
          <w:rFonts w:ascii="Times New Roman" w:hAnsi="Times New Roman" w:cs="Times New Roman"/>
          <w:lang w:val="sr-Latn-ME"/>
        </w:rPr>
        <w:t>%</w:t>
      </w:r>
      <w:r w:rsidRPr="00314858">
        <w:rPr>
          <w:rFonts w:ascii="Times New Roman" w:hAnsi="Times New Roman" w:cs="Times New Roman"/>
          <w:lang w:val="sr-Latn-ME"/>
        </w:rPr>
        <w:t>) izm</w:t>
      </w:r>
      <w:r w:rsidR="00405146" w:rsidRPr="00314858">
        <w:rPr>
          <w:rFonts w:ascii="Times New Roman" w:hAnsi="Times New Roman" w:cs="Times New Roman"/>
          <w:lang w:val="sr-Latn-ME"/>
        </w:rPr>
        <w:t>j</w:t>
      </w:r>
      <w:r w:rsidRPr="00314858">
        <w:rPr>
          <w:rFonts w:ascii="Times New Roman" w:hAnsi="Times New Roman" w:cs="Times New Roman"/>
          <w:lang w:val="sr-Latn-ME"/>
        </w:rPr>
        <w:t>erene dva sata nakon prim</w:t>
      </w:r>
      <w:r w:rsidR="00405146" w:rsidRPr="00314858">
        <w:rPr>
          <w:rFonts w:ascii="Times New Roman" w:hAnsi="Times New Roman" w:cs="Times New Roman"/>
          <w:lang w:val="sr-Latn-ME"/>
        </w:rPr>
        <w:t>j</w:t>
      </w:r>
      <w:r w:rsidRPr="00314858">
        <w:rPr>
          <w:rFonts w:ascii="Times New Roman" w:hAnsi="Times New Roman" w:cs="Times New Roman"/>
          <w:lang w:val="sr-Latn-ME"/>
        </w:rPr>
        <w:t>ene posl</w:t>
      </w:r>
      <w:r w:rsidR="00BA2191" w:rsidRPr="00314858">
        <w:rPr>
          <w:rFonts w:ascii="Times New Roman" w:hAnsi="Times New Roman" w:cs="Times New Roman"/>
          <w:lang w:val="sr-Latn-ME"/>
        </w:rPr>
        <w:t>j</w:t>
      </w:r>
      <w:r w:rsidRPr="00314858">
        <w:rPr>
          <w:rFonts w:ascii="Times New Roman" w:hAnsi="Times New Roman" w:cs="Times New Roman"/>
          <w:lang w:val="sr-Latn-ME"/>
        </w:rPr>
        <w:t>ednje doze.</w:t>
      </w:r>
    </w:p>
    <w:p w14:paraId="39316441" w14:textId="77777777" w:rsidR="00D67D34" w:rsidRPr="00314858" w:rsidRDefault="00D67D34" w:rsidP="00D67D34">
      <w:pPr>
        <w:spacing w:after="0" w:line="240" w:lineRule="auto"/>
        <w:jc w:val="both"/>
        <w:rPr>
          <w:rFonts w:ascii="Times New Roman" w:hAnsi="Times New Roman" w:cs="Times New Roman"/>
          <w:lang w:val="sr-Latn-ME"/>
        </w:rPr>
      </w:pPr>
    </w:p>
    <w:p w14:paraId="36DFE755" w14:textId="2E2791CD"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Klirens dabigatrana pri hemodijalizi bio je ispitivan kod 7 pacijenata sa terminalnim stadijumom </w:t>
      </w:r>
      <w:r w:rsidR="00156FD1" w:rsidRPr="00314858">
        <w:rPr>
          <w:rFonts w:ascii="Times New Roman" w:hAnsi="Times New Roman" w:cs="Times New Roman"/>
          <w:lang w:val="sr-Latn-ME"/>
        </w:rPr>
        <w:t xml:space="preserve">oboljenja bubrega (engl. </w:t>
      </w:r>
      <w:r w:rsidR="00156FD1" w:rsidRPr="00314858">
        <w:rPr>
          <w:rFonts w:ascii="Times New Roman" w:hAnsi="Times New Roman" w:cs="Times New Roman"/>
          <w:i/>
          <w:lang w:val="sr-Latn-ME"/>
        </w:rPr>
        <w:t xml:space="preserve">end-stage renal disease, </w:t>
      </w:r>
      <w:r w:rsidR="00156FD1" w:rsidRPr="00314858">
        <w:rPr>
          <w:rFonts w:ascii="Times New Roman" w:hAnsi="Times New Roman" w:cs="Times New Roman"/>
          <w:lang w:val="sr-Latn-ME"/>
        </w:rPr>
        <w:t>ESRD)</w:t>
      </w:r>
      <w:r w:rsidRPr="00314858">
        <w:rPr>
          <w:rFonts w:ascii="Times New Roman" w:hAnsi="Times New Roman" w:cs="Times New Roman"/>
          <w:lang w:val="sr-Latn-ME"/>
        </w:rPr>
        <w:t xml:space="preserve"> koji ni</w:t>
      </w:r>
      <w:r w:rsidR="00405146" w:rsidRPr="00314858">
        <w:rPr>
          <w:rFonts w:ascii="Times New Roman" w:hAnsi="Times New Roman" w:cs="Times New Roman"/>
          <w:lang w:val="sr-Latn-ME"/>
        </w:rPr>
        <w:t>je</w:t>
      </w:r>
      <w:r w:rsidRPr="00314858">
        <w:rPr>
          <w:rFonts w:ascii="Times New Roman" w:hAnsi="Times New Roman" w:cs="Times New Roman"/>
          <w:lang w:val="sr-Latn-ME"/>
        </w:rPr>
        <w:t>su imali atrijalnu fibrilaciju.</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Dijaliza je sprov</w:t>
      </w:r>
      <w:r w:rsidR="00156FD1" w:rsidRPr="00314858">
        <w:rPr>
          <w:rFonts w:ascii="Times New Roman" w:hAnsi="Times New Roman" w:cs="Times New Roman"/>
          <w:lang w:val="sr-Latn-ME"/>
        </w:rPr>
        <w:t>edena</w:t>
      </w:r>
      <w:r w:rsidRPr="00314858">
        <w:rPr>
          <w:rFonts w:ascii="Times New Roman" w:hAnsi="Times New Roman" w:cs="Times New Roman"/>
          <w:lang w:val="sr-Latn-ME"/>
        </w:rPr>
        <w:t xml:space="preserve"> sa stopom protoka dijalizata od 700 m</w:t>
      </w:r>
      <w:r w:rsidR="00BA2191" w:rsidRPr="00314858">
        <w:rPr>
          <w:rFonts w:ascii="Times New Roman" w:hAnsi="Times New Roman" w:cs="Times New Roman"/>
          <w:lang w:val="sr-Latn-ME"/>
        </w:rPr>
        <w:t>l</w:t>
      </w:r>
      <w:r w:rsidRPr="00314858">
        <w:rPr>
          <w:rFonts w:ascii="Times New Roman" w:hAnsi="Times New Roman" w:cs="Times New Roman"/>
          <w:lang w:val="sr-Latn-ME"/>
        </w:rPr>
        <w:t xml:space="preserve">/min, u trajanju od </w:t>
      </w:r>
      <w:r w:rsidR="00156FD1" w:rsidRPr="00314858">
        <w:rPr>
          <w:rFonts w:ascii="Times New Roman" w:hAnsi="Times New Roman" w:cs="Times New Roman"/>
          <w:lang w:val="sr-Latn-ME"/>
        </w:rPr>
        <w:t>čestiri</w:t>
      </w:r>
      <w:r w:rsidRPr="00314858">
        <w:rPr>
          <w:rFonts w:ascii="Times New Roman" w:hAnsi="Times New Roman" w:cs="Times New Roman"/>
          <w:lang w:val="sr-Latn-ME"/>
        </w:rPr>
        <w:t xml:space="preserve"> sata, i sa stopom protoka krvi ili od 200 m</w:t>
      </w:r>
      <w:r w:rsidR="00BA2191" w:rsidRPr="00314858">
        <w:rPr>
          <w:rFonts w:ascii="Times New Roman" w:hAnsi="Times New Roman" w:cs="Times New Roman"/>
          <w:lang w:val="sr-Latn-ME"/>
        </w:rPr>
        <w:t>l</w:t>
      </w:r>
      <w:r w:rsidRPr="00314858">
        <w:rPr>
          <w:rFonts w:ascii="Times New Roman" w:hAnsi="Times New Roman" w:cs="Times New Roman"/>
          <w:lang w:val="sr-Latn-ME"/>
        </w:rPr>
        <w:t>/min ili 350-390 m</w:t>
      </w:r>
      <w:r w:rsidR="00BA2191" w:rsidRPr="00314858">
        <w:rPr>
          <w:rFonts w:ascii="Times New Roman" w:hAnsi="Times New Roman" w:cs="Times New Roman"/>
          <w:lang w:val="sr-Latn-ME"/>
        </w:rPr>
        <w:t>l</w:t>
      </w:r>
      <w:r w:rsidRPr="00314858">
        <w:rPr>
          <w:rFonts w:ascii="Times New Roman" w:hAnsi="Times New Roman" w:cs="Times New Roman"/>
          <w:lang w:val="sr-Latn-ME"/>
        </w:rPr>
        <w:t>/min.</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Ovo je imalo za posl</w:t>
      </w:r>
      <w:r w:rsidR="00405146" w:rsidRPr="00314858">
        <w:rPr>
          <w:rFonts w:ascii="Times New Roman" w:hAnsi="Times New Roman" w:cs="Times New Roman"/>
          <w:lang w:val="sr-Latn-ME"/>
        </w:rPr>
        <w:t>j</w:t>
      </w:r>
      <w:r w:rsidRPr="00314858">
        <w:rPr>
          <w:rFonts w:ascii="Times New Roman" w:hAnsi="Times New Roman" w:cs="Times New Roman"/>
          <w:lang w:val="sr-Latn-ME"/>
        </w:rPr>
        <w:t>edicu uklanjanje 50%</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do 60% koncentracij</w:t>
      </w:r>
      <w:r w:rsidR="00156FD1" w:rsidRPr="00314858">
        <w:rPr>
          <w:rFonts w:ascii="Times New Roman" w:hAnsi="Times New Roman" w:cs="Times New Roman"/>
          <w:lang w:val="sr-Latn-ME"/>
        </w:rPr>
        <w:t>a</w:t>
      </w:r>
      <w:r w:rsidRPr="00314858">
        <w:rPr>
          <w:rFonts w:ascii="Times New Roman" w:hAnsi="Times New Roman" w:cs="Times New Roman"/>
          <w:lang w:val="sr-Latn-ME"/>
        </w:rPr>
        <w:t xml:space="preserve"> dabigatrana.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Količina supstance uklonjena dijalizom je bila proporcionalna stopi protoka krvi sve do stope protoka krvi od 300 m</w:t>
      </w:r>
      <w:r w:rsidR="00BA2191" w:rsidRPr="00314858">
        <w:rPr>
          <w:rFonts w:ascii="Times New Roman" w:hAnsi="Times New Roman" w:cs="Times New Roman"/>
          <w:lang w:val="sr-Latn-ME"/>
        </w:rPr>
        <w:t>l</w:t>
      </w:r>
      <w:r w:rsidRPr="00314858">
        <w:rPr>
          <w:rFonts w:ascii="Times New Roman" w:hAnsi="Times New Roman" w:cs="Times New Roman"/>
          <w:lang w:val="sr-Latn-ME"/>
        </w:rPr>
        <w:t>/min. Antikoagulaciona aktivnost dabigatrana se smanjivala sa padom njegove koncentracije u plazmi, ali ovaj postupak nije uticao na</w:t>
      </w:r>
      <w:r w:rsidR="00BA2191" w:rsidRPr="00314858">
        <w:rPr>
          <w:rFonts w:ascii="Times New Roman" w:hAnsi="Times New Roman" w:cs="Times New Roman"/>
          <w:lang w:val="sr-Latn-ME"/>
        </w:rPr>
        <w:t xml:space="preserve"> </w:t>
      </w:r>
      <w:r w:rsidR="00BA729F" w:rsidRPr="00314858">
        <w:rPr>
          <w:rFonts w:ascii="Times New Roman" w:hAnsi="Times New Roman" w:cs="Times New Roman"/>
          <w:lang w:val="sr-Latn-ME"/>
        </w:rPr>
        <w:t>farmakokinetički/</w:t>
      </w:r>
      <w:r w:rsidR="00BA2191" w:rsidRPr="00314858">
        <w:rPr>
          <w:rFonts w:ascii="Times New Roman" w:hAnsi="Times New Roman" w:cs="Times New Roman"/>
          <w:lang w:val="sr-Latn-ME"/>
        </w:rPr>
        <w:t xml:space="preserve"> </w:t>
      </w:r>
      <w:r w:rsidR="00BA729F" w:rsidRPr="00314858">
        <w:rPr>
          <w:rFonts w:ascii="Times New Roman" w:hAnsi="Times New Roman" w:cs="Times New Roman"/>
          <w:lang w:val="sr-Latn-ME"/>
        </w:rPr>
        <w:t>farmakodinamički</w:t>
      </w:r>
      <w:r w:rsidRPr="00314858">
        <w:rPr>
          <w:rFonts w:ascii="Times New Roman" w:hAnsi="Times New Roman" w:cs="Times New Roman"/>
          <w:lang w:val="sr-Latn-ME"/>
        </w:rPr>
        <w:t xml:space="preserve"> </w:t>
      </w:r>
      <w:r w:rsidR="00BA729F" w:rsidRPr="00314858">
        <w:rPr>
          <w:rFonts w:ascii="Times New Roman" w:hAnsi="Times New Roman" w:cs="Times New Roman"/>
          <w:lang w:val="sr-Latn-ME"/>
        </w:rPr>
        <w:t>(</w:t>
      </w:r>
      <w:r w:rsidRPr="00314858">
        <w:rPr>
          <w:rFonts w:ascii="Times New Roman" w:hAnsi="Times New Roman" w:cs="Times New Roman"/>
          <w:lang w:val="sr-Latn-ME"/>
        </w:rPr>
        <w:t>PK/PD</w:t>
      </w:r>
      <w:r w:rsidR="00BA729F" w:rsidRPr="00314858">
        <w:rPr>
          <w:rFonts w:ascii="Times New Roman" w:hAnsi="Times New Roman" w:cs="Times New Roman"/>
          <w:lang w:val="sr-Latn-ME"/>
        </w:rPr>
        <w:t>)</w:t>
      </w:r>
      <w:r w:rsidR="00156FD1" w:rsidRPr="00314858">
        <w:rPr>
          <w:rFonts w:ascii="Times New Roman" w:hAnsi="Times New Roman" w:cs="Times New Roman"/>
          <w:lang w:val="sr-Latn-ME"/>
        </w:rPr>
        <w:t xml:space="preserve"> odnos</w:t>
      </w:r>
      <w:r w:rsidRPr="00314858">
        <w:rPr>
          <w:rFonts w:ascii="Times New Roman" w:hAnsi="Times New Roman" w:cs="Times New Roman"/>
          <w:lang w:val="sr-Latn-ME"/>
        </w:rPr>
        <w:t xml:space="preserve">. </w:t>
      </w:r>
    </w:p>
    <w:p w14:paraId="5C9A102D" w14:textId="77777777" w:rsidR="00FC549A" w:rsidRPr="00314858" w:rsidRDefault="00FC549A" w:rsidP="00D67D34">
      <w:pPr>
        <w:spacing w:after="0" w:line="240" w:lineRule="auto"/>
        <w:jc w:val="both"/>
        <w:rPr>
          <w:rFonts w:ascii="Times New Roman" w:hAnsi="Times New Roman" w:cs="Times New Roman"/>
          <w:lang w:val="sr-Latn-ME"/>
        </w:rPr>
      </w:pPr>
    </w:p>
    <w:p w14:paraId="46BA79ED" w14:textId="4B67019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lastRenderedPageBreak/>
        <w:t>Medijana CrCL u studiji RE-LY bila je 68,4 m</w:t>
      </w:r>
      <w:r w:rsidR="001F00F6" w:rsidRPr="00314858">
        <w:rPr>
          <w:rFonts w:ascii="Times New Roman" w:hAnsi="Times New Roman" w:cs="Times New Roman"/>
          <w:lang w:val="sr-Latn-ME"/>
        </w:rPr>
        <w:t>l</w:t>
      </w:r>
      <w:r w:rsidRPr="00314858">
        <w:rPr>
          <w:rFonts w:ascii="Times New Roman" w:hAnsi="Times New Roman" w:cs="Times New Roman"/>
          <w:lang w:val="sr-Latn-ME"/>
        </w:rPr>
        <w:t>/min. Skoro polovina (45,8%) RE-LY pacijenata imala je CrCL &gt; 50 - &lt; 80 m</w:t>
      </w:r>
      <w:r w:rsidR="001F00F6" w:rsidRPr="00314858">
        <w:rPr>
          <w:rFonts w:ascii="Times New Roman" w:hAnsi="Times New Roman" w:cs="Times New Roman"/>
          <w:lang w:val="sr-Latn-ME"/>
        </w:rPr>
        <w:t>l</w:t>
      </w:r>
      <w:r w:rsidRPr="00314858">
        <w:rPr>
          <w:rFonts w:ascii="Times New Roman" w:hAnsi="Times New Roman" w:cs="Times New Roman"/>
          <w:lang w:val="sr-Latn-ME"/>
        </w:rPr>
        <w:t>/min. Pacijenti sa um</w:t>
      </w:r>
      <w:r w:rsidR="00405146" w:rsidRPr="00314858">
        <w:rPr>
          <w:rFonts w:ascii="Times New Roman" w:hAnsi="Times New Roman" w:cs="Times New Roman"/>
          <w:lang w:val="sr-Latn-ME"/>
        </w:rPr>
        <w:t>j</w:t>
      </w:r>
      <w:r w:rsidRPr="00314858">
        <w:rPr>
          <w:rFonts w:ascii="Times New Roman" w:hAnsi="Times New Roman" w:cs="Times New Roman"/>
          <w:lang w:val="sr-Latn-ME"/>
        </w:rPr>
        <w:t xml:space="preserve">erenim oštećenjem funkcije </w:t>
      </w:r>
      <w:r w:rsidR="005651F3" w:rsidRPr="00314858">
        <w:rPr>
          <w:rFonts w:ascii="Times New Roman" w:hAnsi="Times New Roman" w:cs="Times New Roman"/>
          <w:lang w:val="sr-Latn-ME"/>
        </w:rPr>
        <w:t xml:space="preserve">bubrega </w:t>
      </w:r>
      <w:r w:rsidRPr="00314858">
        <w:rPr>
          <w:rFonts w:ascii="Times New Roman" w:hAnsi="Times New Roman" w:cs="Times New Roman"/>
          <w:lang w:val="sr-Latn-ME"/>
        </w:rPr>
        <w:t>(CrCL između 30 </w:t>
      </w:r>
      <w:r w:rsidR="00BA729F" w:rsidRPr="00314858">
        <w:rPr>
          <w:rFonts w:ascii="Times New Roman" w:hAnsi="Times New Roman" w:cs="Times New Roman"/>
          <w:lang w:val="sr-Latn-ME"/>
        </w:rPr>
        <w:t>i</w:t>
      </w:r>
      <w:r w:rsidRPr="00314858">
        <w:rPr>
          <w:rFonts w:ascii="Times New Roman" w:hAnsi="Times New Roman" w:cs="Times New Roman"/>
          <w:lang w:val="sr-Latn-ME"/>
        </w:rPr>
        <w:t> 50 m</w:t>
      </w:r>
      <w:r w:rsidR="001F00F6" w:rsidRPr="00314858">
        <w:rPr>
          <w:rFonts w:ascii="Times New Roman" w:hAnsi="Times New Roman" w:cs="Times New Roman"/>
          <w:lang w:val="sr-Latn-ME"/>
        </w:rPr>
        <w:t>l</w:t>
      </w:r>
      <w:r w:rsidRPr="00314858">
        <w:rPr>
          <w:rFonts w:ascii="Times New Roman" w:hAnsi="Times New Roman" w:cs="Times New Roman"/>
          <w:lang w:val="sr-Latn-ME"/>
        </w:rPr>
        <w:t>/min) u pros</w:t>
      </w:r>
      <w:r w:rsidR="00405146" w:rsidRPr="00314858">
        <w:rPr>
          <w:rFonts w:ascii="Times New Roman" w:hAnsi="Times New Roman" w:cs="Times New Roman"/>
          <w:lang w:val="sr-Latn-ME"/>
        </w:rPr>
        <w:t>j</w:t>
      </w:r>
      <w:r w:rsidRPr="00314858">
        <w:rPr>
          <w:rFonts w:ascii="Times New Roman" w:hAnsi="Times New Roman" w:cs="Times New Roman"/>
          <w:lang w:val="sr-Latn-ME"/>
        </w:rPr>
        <w:t>eku su imali 2,29 puta</w:t>
      </w:r>
      <w:r w:rsidR="005651F3" w:rsidRPr="00314858">
        <w:rPr>
          <w:rFonts w:ascii="Times New Roman" w:hAnsi="Times New Roman" w:cs="Times New Roman"/>
          <w:lang w:val="sr-Latn-ME"/>
        </w:rPr>
        <w:t>, odnosno</w:t>
      </w:r>
      <w:r w:rsidRPr="00314858">
        <w:rPr>
          <w:rFonts w:ascii="Times New Roman" w:hAnsi="Times New Roman" w:cs="Times New Roman"/>
          <w:lang w:val="sr-Latn-ME"/>
        </w:rPr>
        <w:t xml:space="preserve"> 1,81</w:t>
      </w:r>
      <w:r w:rsidR="00BA729F" w:rsidRPr="00314858">
        <w:rPr>
          <w:rFonts w:ascii="Times New Roman" w:hAnsi="Times New Roman" w:cs="Times New Roman"/>
          <w:lang w:val="sr-Latn-ME"/>
        </w:rPr>
        <w:t xml:space="preserve"> </w:t>
      </w:r>
      <w:r w:rsidRPr="00314858">
        <w:rPr>
          <w:rFonts w:ascii="Times New Roman" w:hAnsi="Times New Roman" w:cs="Times New Roman"/>
          <w:lang w:val="sr-Latn-ME"/>
        </w:rPr>
        <w:t>puta veće koncentracije dabigatrana u plazmi</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pr</w:t>
      </w:r>
      <w:r w:rsidR="00405146" w:rsidRPr="00314858">
        <w:rPr>
          <w:rFonts w:ascii="Times New Roman" w:hAnsi="Times New Roman" w:cs="Times New Roman"/>
          <w:lang w:val="sr-Latn-ME"/>
        </w:rPr>
        <w:t>ij</w:t>
      </w:r>
      <w:r w:rsidRPr="00314858">
        <w:rPr>
          <w:rFonts w:ascii="Times New Roman" w:hAnsi="Times New Roman" w:cs="Times New Roman"/>
          <w:lang w:val="sr-Latn-ME"/>
        </w:rPr>
        <w:t>e i posl</w:t>
      </w:r>
      <w:r w:rsidR="00405146" w:rsidRPr="00314858">
        <w:rPr>
          <w:rFonts w:ascii="Times New Roman" w:hAnsi="Times New Roman" w:cs="Times New Roman"/>
          <w:lang w:val="sr-Latn-ME"/>
        </w:rPr>
        <w:t>ij</w:t>
      </w:r>
      <w:r w:rsidRPr="00314858">
        <w:rPr>
          <w:rFonts w:ascii="Times New Roman" w:hAnsi="Times New Roman" w:cs="Times New Roman"/>
          <w:lang w:val="sr-Latn-ME"/>
        </w:rPr>
        <w:t xml:space="preserve">e doze </w:t>
      </w:r>
      <w:r w:rsidR="001F00F6" w:rsidRPr="00314858">
        <w:rPr>
          <w:rFonts w:ascii="Times New Roman" w:hAnsi="Times New Roman" w:cs="Times New Roman"/>
          <w:lang w:val="sr-Latn-ME"/>
        </w:rPr>
        <w:t>u poređenju</w:t>
      </w:r>
      <w:r w:rsidRPr="00314858">
        <w:rPr>
          <w:rFonts w:ascii="Times New Roman" w:hAnsi="Times New Roman" w:cs="Times New Roman"/>
          <w:lang w:val="sr-Latn-ME"/>
        </w:rPr>
        <w:t xml:space="preserve"> sa pacijentima bez oštećenja funkcije </w:t>
      </w:r>
      <w:r w:rsidR="005651F3" w:rsidRPr="00314858">
        <w:rPr>
          <w:rFonts w:ascii="Times New Roman" w:hAnsi="Times New Roman" w:cs="Times New Roman"/>
          <w:lang w:val="sr-Latn-ME"/>
        </w:rPr>
        <w:t xml:space="preserve">bubrega </w:t>
      </w:r>
      <w:r w:rsidRPr="00314858">
        <w:rPr>
          <w:rFonts w:ascii="Times New Roman" w:hAnsi="Times New Roman" w:cs="Times New Roman"/>
          <w:lang w:val="sr-Latn-ME"/>
        </w:rPr>
        <w:t>(CrCL ≥ 80 m</w:t>
      </w:r>
      <w:r w:rsidR="001F00F6" w:rsidRPr="00314858">
        <w:rPr>
          <w:rFonts w:ascii="Times New Roman" w:hAnsi="Times New Roman" w:cs="Times New Roman"/>
          <w:lang w:val="sr-Latn-ME"/>
        </w:rPr>
        <w:t>l</w:t>
      </w:r>
      <w:r w:rsidRPr="00314858">
        <w:rPr>
          <w:rFonts w:ascii="Times New Roman" w:hAnsi="Times New Roman" w:cs="Times New Roman"/>
          <w:lang w:val="sr-Latn-ME"/>
        </w:rPr>
        <w:t xml:space="preserve">/min). </w:t>
      </w:r>
    </w:p>
    <w:p w14:paraId="40BBDABE" w14:textId="77777777" w:rsidR="00FC549A" w:rsidRPr="00314858" w:rsidRDefault="00FC549A" w:rsidP="00D67D34">
      <w:pPr>
        <w:spacing w:after="0" w:line="240" w:lineRule="auto"/>
        <w:jc w:val="both"/>
        <w:rPr>
          <w:rFonts w:ascii="Times New Roman" w:hAnsi="Times New Roman" w:cs="Times New Roman"/>
          <w:lang w:val="sr-Latn-ME"/>
        </w:rPr>
      </w:pPr>
    </w:p>
    <w:p w14:paraId="7AE44EF6" w14:textId="014E3A16"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Medijana CrCL u studiji RE-COVER bila je 100,4 m</w:t>
      </w:r>
      <w:r w:rsidR="001F00F6" w:rsidRPr="00314858">
        <w:rPr>
          <w:rFonts w:ascii="Times New Roman" w:hAnsi="Times New Roman" w:cs="Times New Roman"/>
          <w:lang w:val="sr-Latn-ME"/>
        </w:rPr>
        <w:t>l</w:t>
      </w:r>
      <w:r w:rsidRPr="00314858">
        <w:rPr>
          <w:rFonts w:ascii="Times New Roman" w:hAnsi="Times New Roman" w:cs="Times New Roman"/>
          <w:lang w:val="sr-Latn-ME"/>
        </w:rPr>
        <w:t>/min. 21,7% pacijenata je imalo blago oštećenje funkcije bubrega (CrCL &gt; 50 - &lt; 80 m</w:t>
      </w:r>
      <w:r w:rsidR="001F00F6" w:rsidRPr="00314858">
        <w:rPr>
          <w:rFonts w:ascii="Times New Roman" w:hAnsi="Times New Roman" w:cs="Times New Roman"/>
          <w:lang w:val="sr-Latn-ME"/>
        </w:rPr>
        <w:t>l</w:t>
      </w:r>
      <w:r w:rsidRPr="00314858">
        <w:rPr>
          <w:rFonts w:ascii="Times New Roman" w:hAnsi="Times New Roman" w:cs="Times New Roman"/>
          <w:lang w:val="sr-Latn-ME"/>
        </w:rPr>
        <w:t>/min) a 4,5% pacijenata imalo je um</w:t>
      </w:r>
      <w:r w:rsidR="00405146" w:rsidRPr="00314858">
        <w:rPr>
          <w:rFonts w:ascii="Times New Roman" w:hAnsi="Times New Roman" w:cs="Times New Roman"/>
          <w:lang w:val="sr-Latn-ME"/>
        </w:rPr>
        <w:t>j</w:t>
      </w:r>
      <w:r w:rsidRPr="00314858">
        <w:rPr>
          <w:rFonts w:ascii="Times New Roman" w:hAnsi="Times New Roman" w:cs="Times New Roman"/>
          <w:lang w:val="sr-Latn-ME"/>
        </w:rPr>
        <w:t>ereno oštećenje funkcije bubrega (CrCL između 30 i 50 m</w:t>
      </w:r>
      <w:r w:rsidR="001F00F6" w:rsidRPr="00314858">
        <w:rPr>
          <w:rFonts w:ascii="Times New Roman" w:hAnsi="Times New Roman" w:cs="Times New Roman"/>
          <w:lang w:val="sr-Latn-ME"/>
        </w:rPr>
        <w:t>l</w:t>
      </w:r>
      <w:r w:rsidRPr="00314858">
        <w:rPr>
          <w:rFonts w:ascii="Times New Roman" w:hAnsi="Times New Roman" w:cs="Times New Roman"/>
          <w:lang w:val="sr-Latn-ME"/>
        </w:rPr>
        <w:t>/min).</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Pacijenti sa blagim i um</w:t>
      </w:r>
      <w:r w:rsidR="00405146" w:rsidRPr="00314858">
        <w:rPr>
          <w:rFonts w:ascii="Times New Roman" w:hAnsi="Times New Roman" w:cs="Times New Roman"/>
          <w:lang w:val="sr-Latn-ME"/>
        </w:rPr>
        <w:t>j</w:t>
      </w:r>
      <w:r w:rsidRPr="00314858">
        <w:rPr>
          <w:rFonts w:ascii="Times New Roman" w:hAnsi="Times New Roman" w:cs="Times New Roman"/>
          <w:lang w:val="sr-Latn-ME"/>
        </w:rPr>
        <w:t xml:space="preserve">erenim oštećenjem funkcije bubrega imali su, </w:t>
      </w:r>
      <w:r w:rsidR="009E3BD0" w:rsidRPr="00314858">
        <w:rPr>
          <w:rFonts w:ascii="Times New Roman" w:hAnsi="Times New Roman" w:cs="Times New Roman"/>
          <w:lang w:val="sr-Latn-ME"/>
        </w:rPr>
        <w:t>u</w:t>
      </w:r>
      <w:r w:rsidRPr="00314858">
        <w:rPr>
          <w:rFonts w:ascii="Times New Roman" w:hAnsi="Times New Roman" w:cs="Times New Roman"/>
          <w:lang w:val="sr-Latn-ME"/>
        </w:rPr>
        <w:t xml:space="preserve"> stanju ravnoteže, pros</w:t>
      </w:r>
      <w:r w:rsidR="001F00F6" w:rsidRPr="00314858">
        <w:rPr>
          <w:rFonts w:ascii="Times New Roman" w:hAnsi="Times New Roman" w:cs="Times New Roman"/>
          <w:lang w:val="sr-Latn-ME"/>
        </w:rPr>
        <w:t>j</w:t>
      </w:r>
      <w:r w:rsidRPr="00314858">
        <w:rPr>
          <w:rFonts w:ascii="Times New Roman" w:hAnsi="Times New Roman" w:cs="Times New Roman"/>
          <w:lang w:val="sr-Latn-ME"/>
        </w:rPr>
        <w:t xml:space="preserve">ečno 1,8 puta odnosno 3,6 puta </w:t>
      </w:r>
      <w:r w:rsidR="009E3BD0" w:rsidRPr="00314858">
        <w:rPr>
          <w:rFonts w:ascii="Times New Roman" w:hAnsi="Times New Roman" w:cs="Times New Roman"/>
          <w:lang w:val="sr-Latn-ME"/>
        </w:rPr>
        <w:t>veće</w:t>
      </w:r>
      <w:r w:rsidRPr="00314858">
        <w:rPr>
          <w:rFonts w:ascii="Times New Roman" w:hAnsi="Times New Roman" w:cs="Times New Roman"/>
          <w:lang w:val="sr-Latn-ME"/>
        </w:rPr>
        <w:t xml:space="preserve"> koncentracije dabigatrana u plazmi pr</w:t>
      </w:r>
      <w:r w:rsidR="00405146" w:rsidRPr="00314858">
        <w:rPr>
          <w:rFonts w:ascii="Times New Roman" w:hAnsi="Times New Roman" w:cs="Times New Roman"/>
          <w:lang w:val="sr-Latn-ME"/>
        </w:rPr>
        <w:t>ij</w:t>
      </w:r>
      <w:r w:rsidRPr="00314858">
        <w:rPr>
          <w:rFonts w:ascii="Times New Roman" w:hAnsi="Times New Roman" w:cs="Times New Roman"/>
          <w:lang w:val="sr-Latn-ME"/>
        </w:rPr>
        <w:t>e doziranja, u poređenju sa pacijentima sa CrCL &gt; 80 m</w:t>
      </w:r>
      <w:r w:rsidR="001F00F6" w:rsidRPr="00314858">
        <w:rPr>
          <w:rFonts w:ascii="Times New Roman" w:hAnsi="Times New Roman" w:cs="Times New Roman"/>
          <w:lang w:val="sr-Latn-ME"/>
        </w:rPr>
        <w:t>l</w:t>
      </w:r>
      <w:r w:rsidRPr="00314858">
        <w:rPr>
          <w:rFonts w:ascii="Times New Roman" w:hAnsi="Times New Roman" w:cs="Times New Roman"/>
          <w:lang w:val="sr-Latn-ME"/>
        </w:rPr>
        <w:t>/min.</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Slične vr</w:t>
      </w:r>
      <w:r w:rsidR="00405146" w:rsidRPr="00314858">
        <w:rPr>
          <w:rFonts w:ascii="Times New Roman" w:hAnsi="Times New Roman" w:cs="Times New Roman"/>
          <w:lang w:val="sr-Latn-ME"/>
        </w:rPr>
        <w:t>ij</w:t>
      </w:r>
      <w:r w:rsidRPr="00314858">
        <w:rPr>
          <w:rFonts w:ascii="Times New Roman" w:hAnsi="Times New Roman" w:cs="Times New Roman"/>
          <w:lang w:val="sr-Latn-ME"/>
        </w:rPr>
        <w:t>ednosti za CrCL pronađene su i u studiji RE-COVER II.</w:t>
      </w:r>
    </w:p>
    <w:p w14:paraId="43B8F05F" w14:textId="77777777" w:rsidR="00FC549A" w:rsidRPr="00314858" w:rsidRDefault="00FC549A" w:rsidP="00D67D34">
      <w:pPr>
        <w:spacing w:after="0" w:line="240" w:lineRule="auto"/>
        <w:jc w:val="both"/>
        <w:rPr>
          <w:rFonts w:ascii="Times New Roman" w:hAnsi="Times New Roman" w:cs="Times New Roman"/>
          <w:lang w:val="sr-Latn-ME"/>
        </w:rPr>
      </w:pPr>
    </w:p>
    <w:p w14:paraId="23B639B7" w14:textId="563B76D5"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Medijane CrCL u studijama RE-MEDY i RE-SONATE bile su 99,0 m</w:t>
      </w:r>
      <w:r w:rsidR="001F00F6" w:rsidRPr="00314858">
        <w:rPr>
          <w:rFonts w:ascii="Times New Roman" w:hAnsi="Times New Roman" w:cs="Times New Roman"/>
          <w:lang w:val="sr-Latn-ME"/>
        </w:rPr>
        <w:t>l</w:t>
      </w:r>
      <w:r w:rsidRPr="00314858">
        <w:rPr>
          <w:rFonts w:ascii="Times New Roman" w:hAnsi="Times New Roman" w:cs="Times New Roman"/>
          <w:lang w:val="sr-Latn-ME"/>
        </w:rPr>
        <w:t>/min, odnosno 99,7 m</w:t>
      </w:r>
      <w:r w:rsidR="001F00F6" w:rsidRPr="00314858">
        <w:rPr>
          <w:rFonts w:ascii="Times New Roman" w:hAnsi="Times New Roman" w:cs="Times New Roman"/>
          <w:lang w:val="sr-Latn-ME"/>
        </w:rPr>
        <w:t>l</w:t>
      </w:r>
      <w:r w:rsidRPr="00314858">
        <w:rPr>
          <w:rFonts w:ascii="Times New Roman" w:hAnsi="Times New Roman" w:cs="Times New Roman"/>
          <w:lang w:val="sr-Latn-ME"/>
        </w:rPr>
        <w:t>/min, 22,9% i 22,5% pacijenata imalo je CrCL &gt; 50-</w:t>
      </w:r>
      <w:r w:rsidR="001F00F6" w:rsidRPr="00314858">
        <w:rPr>
          <w:rFonts w:ascii="Times New Roman" w:hAnsi="Times New Roman" w:cs="Times New Roman"/>
          <w:lang w:val="sr-Latn-ME"/>
        </w:rPr>
        <w:t xml:space="preserve"> </w:t>
      </w:r>
      <w:r w:rsidRPr="00314858">
        <w:rPr>
          <w:rFonts w:ascii="Times New Roman" w:hAnsi="Times New Roman" w:cs="Times New Roman"/>
          <w:lang w:val="sr-Latn-ME"/>
        </w:rPr>
        <w:t>&lt; 80 m</w:t>
      </w:r>
      <w:r w:rsidR="001F00F6" w:rsidRPr="00314858">
        <w:rPr>
          <w:rFonts w:ascii="Times New Roman" w:hAnsi="Times New Roman" w:cs="Times New Roman"/>
          <w:lang w:val="sr-Latn-ME"/>
        </w:rPr>
        <w:t>l</w:t>
      </w:r>
      <w:r w:rsidRPr="00314858">
        <w:rPr>
          <w:rFonts w:ascii="Times New Roman" w:hAnsi="Times New Roman" w:cs="Times New Roman"/>
          <w:lang w:val="sr-Latn-ME"/>
        </w:rPr>
        <w:t>/min, a 4,1% i 4,8% imalo je CrCL između 30 i 50 m</w:t>
      </w:r>
      <w:r w:rsidR="001F00F6" w:rsidRPr="00314858">
        <w:rPr>
          <w:rFonts w:ascii="Times New Roman" w:hAnsi="Times New Roman" w:cs="Times New Roman"/>
          <w:lang w:val="sr-Latn-ME"/>
        </w:rPr>
        <w:t>l</w:t>
      </w:r>
      <w:r w:rsidRPr="00314858">
        <w:rPr>
          <w:rFonts w:ascii="Times New Roman" w:hAnsi="Times New Roman" w:cs="Times New Roman"/>
          <w:lang w:val="sr-Latn-ME"/>
        </w:rPr>
        <w:t>/min u studijama RE-MEDY i RE-SONATE.</w:t>
      </w:r>
    </w:p>
    <w:p w14:paraId="40547F74" w14:textId="77777777" w:rsidR="00FC549A" w:rsidRPr="00314858" w:rsidRDefault="00FC549A" w:rsidP="00D67D34">
      <w:pPr>
        <w:spacing w:after="0" w:line="240" w:lineRule="auto"/>
        <w:jc w:val="both"/>
        <w:rPr>
          <w:rFonts w:ascii="Times New Roman" w:hAnsi="Times New Roman" w:cs="Times New Roman"/>
          <w:lang w:val="sr-Latn-ME"/>
        </w:rPr>
      </w:pPr>
    </w:p>
    <w:p w14:paraId="20D0EF2F" w14:textId="77777777" w:rsidR="00D67D34" w:rsidRPr="00314858" w:rsidRDefault="00D67D34" w:rsidP="00D67D34">
      <w:pPr>
        <w:spacing w:after="0" w:line="240" w:lineRule="auto"/>
        <w:jc w:val="both"/>
        <w:rPr>
          <w:rFonts w:ascii="Times New Roman" w:hAnsi="Times New Roman" w:cs="Times New Roman"/>
          <w:iCs/>
          <w:lang w:val="sr-Latn-ME"/>
        </w:rPr>
      </w:pPr>
      <w:r w:rsidRPr="00314858">
        <w:rPr>
          <w:rFonts w:ascii="Times New Roman" w:hAnsi="Times New Roman" w:cs="Times New Roman"/>
          <w:i/>
          <w:iCs/>
          <w:u w:val="single"/>
          <w:lang w:val="sr-Latn-ME"/>
        </w:rPr>
        <w:t xml:space="preserve">Stariji pacijenti </w:t>
      </w:r>
    </w:p>
    <w:p w14:paraId="13D88108" w14:textId="4F2AD730" w:rsidR="00BA729F"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Specifične farmakokinetičke studije faze I kod starijih ispitanika pokazale su povećanje PIK vr</w:t>
      </w:r>
      <w:r w:rsidR="00405146" w:rsidRPr="00314858">
        <w:rPr>
          <w:rFonts w:ascii="Times New Roman" w:hAnsi="Times New Roman" w:cs="Times New Roman"/>
          <w:lang w:val="sr-Latn-ME"/>
        </w:rPr>
        <w:t>ij</w:t>
      </w:r>
      <w:r w:rsidRPr="00314858">
        <w:rPr>
          <w:rFonts w:ascii="Times New Roman" w:hAnsi="Times New Roman" w:cs="Times New Roman"/>
          <w:lang w:val="sr-Latn-ME"/>
        </w:rPr>
        <w:t>ednosti od 40</w:t>
      </w:r>
      <w:r w:rsidR="001E04D6" w:rsidRPr="00314858">
        <w:rPr>
          <w:rFonts w:ascii="Times New Roman" w:hAnsi="Times New Roman" w:cs="Times New Roman"/>
          <w:lang w:val="sr-Latn-ME"/>
        </w:rPr>
        <w:t xml:space="preserve"> do </w:t>
      </w:r>
      <w:r w:rsidRPr="00314858">
        <w:rPr>
          <w:rFonts w:ascii="Times New Roman" w:hAnsi="Times New Roman" w:cs="Times New Roman"/>
          <w:lang w:val="sr-Latn-ME"/>
        </w:rPr>
        <w:t>60% i povećanje više od 25% za C</w:t>
      </w:r>
      <w:r w:rsidRPr="00314858">
        <w:rPr>
          <w:rFonts w:ascii="Times New Roman" w:hAnsi="Times New Roman" w:cs="Times New Roman"/>
          <w:vertAlign w:val="subscript"/>
          <w:lang w:val="sr-Latn-ME"/>
        </w:rPr>
        <w:t>max</w:t>
      </w:r>
      <w:r w:rsidRPr="00314858">
        <w:rPr>
          <w:rFonts w:ascii="Times New Roman" w:hAnsi="Times New Roman" w:cs="Times New Roman"/>
          <w:lang w:val="sr-Latn-ME"/>
        </w:rPr>
        <w:t xml:space="preserve"> u poređenju sa mla</w:t>
      </w:r>
      <w:r w:rsidR="001E04D6" w:rsidRPr="00314858">
        <w:rPr>
          <w:rFonts w:ascii="Times New Roman" w:hAnsi="Times New Roman" w:cs="Times New Roman"/>
          <w:lang w:val="sr-Latn-ME"/>
        </w:rPr>
        <w:t>đ</w:t>
      </w:r>
      <w:r w:rsidRPr="00314858">
        <w:rPr>
          <w:rFonts w:ascii="Times New Roman" w:hAnsi="Times New Roman" w:cs="Times New Roman"/>
          <w:lang w:val="sr-Latn-ME"/>
        </w:rPr>
        <w:t>im ispitanicima.</w:t>
      </w:r>
      <w:r w:rsidR="00ED227D" w:rsidRPr="00314858">
        <w:rPr>
          <w:rFonts w:ascii="Times New Roman" w:hAnsi="Times New Roman" w:cs="Times New Roman"/>
          <w:lang w:val="sr-Latn-ME"/>
        </w:rPr>
        <w:t xml:space="preserve"> </w:t>
      </w:r>
    </w:p>
    <w:p w14:paraId="0A749F6A" w14:textId="503D767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Uticaj </w:t>
      </w:r>
      <w:r w:rsidR="001E04D6" w:rsidRPr="00314858">
        <w:rPr>
          <w:rFonts w:ascii="Times New Roman" w:hAnsi="Times New Roman" w:cs="Times New Roman"/>
          <w:lang w:val="sr-Latn-ME"/>
        </w:rPr>
        <w:t>životnog doba</w:t>
      </w:r>
      <w:r w:rsidRPr="00314858">
        <w:rPr>
          <w:rFonts w:ascii="Times New Roman" w:hAnsi="Times New Roman" w:cs="Times New Roman"/>
          <w:lang w:val="sr-Latn-ME"/>
        </w:rPr>
        <w:t xml:space="preserve"> na izloženost dabigatranu je bio potvrđen u studiji RE-LY, sa oko 31% već</w:t>
      </w:r>
      <w:r w:rsidR="001E04D6" w:rsidRPr="00314858">
        <w:rPr>
          <w:rFonts w:ascii="Times New Roman" w:hAnsi="Times New Roman" w:cs="Times New Roman"/>
          <w:lang w:val="sr-Latn-ME"/>
        </w:rPr>
        <w:t>om najmanjom</w:t>
      </w:r>
      <w:r w:rsidRPr="00314858">
        <w:rPr>
          <w:rFonts w:ascii="Times New Roman" w:hAnsi="Times New Roman" w:cs="Times New Roman"/>
          <w:lang w:val="sr-Latn-ME"/>
        </w:rPr>
        <w:t xml:space="preserve"> koncentracij</w:t>
      </w:r>
      <w:r w:rsidR="001E04D6" w:rsidRPr="00314858">
        <w:rPr>
          <w:rFonts w:ascii="Times New Roman" w:hAnsi="Times New Roman" w:cs="Times New Roman"/>
          <w:lang w:val="sr-Latn-ME"/>
        </w:rPr>
        <w:t>om</w:t>
      </w:r>
      <w:r w:rsidRPr="00314858">
        <w:rPr>
          <w:rFonts w:ascii="Times New Roman" w:hAnsi="Times New Roman" w:cs="Times New Roman"/>
          <w:lang w:val="sr-Latn-ME"/>
        </w:rPr>
        <w:t xml:space="preserve"> kod ispitanika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 75 godina, a za oko 22% </w:t>
      </w:r>
      <w:r w:rsidR="001E04D6" w:rsidRPr="00314858">
        <w:rPr>
          <w:rFonts w:ascii="Times New Roman" w:hAnsi="Times New Roman" w:cs="Times New Roman"/>
          <w:lang w:val="sr-Latn-ME"/>
        </w:rPr>
        <w:t>manjom najmanjom koncentracijom</w:t>
      </w:r>
      <w:r w:rsidRPr="00314858">
        <w:rPr>
          <w:rFonts w:ascii="Times New Roman" w:hAnsi="Times New Roman" w:cs="Times New Roman"/>
          <w:lang w:val="sr-Latn-ME"/>
        </w:rPr>
        <w:t xml:space="preserve"> kod ispitanika &lt; 65 godina u poređenju sa ispitanicima između 65 i 75 godina starosti (vid</w:t>
      </w:r>
      <w:r w:rsidR="00405146"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405146" w:rsidRPr="00314858">
        <w:rPr>
          <w:rFonts w:ascii="Times New Roman" w:hAnsi="Times New Roman" w:cs="Times New Roman"/>
          <w:lang w:val="sr-Latn-ME"/>
        </w:rPr>
        <w:t>djelove</w:t>
      </w:r>
      <w:r w:rsidRPr="00314858">
        <w:rPr>
          <w:rFonts w:ascii="Times New Roman" w:hAnsi="Times New Roman" w:cs="Times New Roman"/>
          <w:lang w:val="sr-Latn-ME"/>
        </w:rPr>
        <w:t xml:space="preserve"> 4.2 i 4.4).</w:t>
      </w:r>
    </w:p>
    <w:p w14:paraId="371467F8" w14:textId="77777777" w:rsidR="00D67D34" w:rsidRPr="00314858" w:rsidRDefault="00D67D34" w:rsidP="00D67D34">
      <w:pPr>
        <w:spacing w:after="0" w:line="240" w:lineRule="auto"/>
        <w:jc w:val="both"/>
        <w:rPr>
          <w:rFonts w:ascii="Times New Roman" w:hAnsi="Times New Roman" w:cs="Times New Roman"/>
          <w:lang w:val="sr-Latn-ME"/>
        </w:rPr>
      </w:pPr>
    </w:p>
    <w:p w14:paraId="24E5735B" w14:textId="77777777"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Oštećenje funkcije jetre</w:t>
      </w:r>
    </w:p>
    <w:p w14:paraId="118730DE" w14:textId="3359B4BE"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Niije uočena prom</w:t>
      </w:r>
      <w:r w:rsidR="00405146" w:rsidRPr="00314858">
        <w:rPr>
          <w:rFonts w:ascii="Times New Roman" w:hAnsi="Times New Roman" w:cs="Times New Roman"/>
          <w:lang w:val="sr-Latn-ME"/>
        </w:rPr>
        <w:t>j</w:t>
      </w:r>
      <w:r w:rsidRPr="00314858">
        <w:rPr>
          <w:rFonts w:ascii="Times New Roman" w:hAnsi="Times New Roman" w:cs="Times New Roman"/>
          <w:lang w:val="sr-Latn-ME"/>
        </w:rPr>
        <w:t>ena izloženosti dabigatran</w:t>
      </w:r>
      <w:r w:rsidR="00263EF7" w:rsidRPr="00314858">
        <w:rPr>
          <w:rFonts w:ascii="Times New Roman" w:hAnsi="Times New Roman" w:cs="Times New Roman"/>
          <w:lang w:val="sr-Latn-ME"/>
        </w:rPr>
        <w:t>u</w:t>
      </w:r>
      <w:r w:rsidRPr="00314858">
        <w:rPr>
          <w:rFonts w:ascii="Times New Roman" w:hAnsi="Times New Roman" w:cs="Times New Roman"/>
          <w:lang w:val="sr-Latn-ME"/>
        </w:rPr>
        <w:t xml:space="preserve"> kod 12 </w:t>
      </w:r>
      <w:r w:rsidR="00263EF7" w:rsidRPr="00314858">
        <w:rPr>
          <w:rFonts w:ascii="Times New Roman" w:hAnsi="Times New Roman" w:cs="Times New Roman"/>
          <w:lang w:val="sr-Latn-ME"/>
        </w:rPr>
        <w:t xml:space="preserve">odraslih </w:t>
      </w:r>
      <w:r w:rsidRPr="00314858">
        <w:rPr>
          <w:rFonts w:ascii="Times New Roman" w:hAnsi="Times New Roman" w:cs="Times New Roman"/>
          <w:lang w:val="sr-Latn-ME"/>
        </w:rPr>
        <w:t>ispitanika sa um</w:t>
      </w:r>
      <w:r w:rsidR="00405146" w:rsidRPr="00314858">
        <w:rPr>
          <w:rFonts w:ascii="Times New Roman" w:hAnsi="Times New Roman" w:cs="Times New Roman"/>
          <w:lang w:val="sr-Latn-ME"/>
        </w:rPr>
        <w:t>j</w:t>
      </w:r>
      <w:r w:rsidRPr="00314858">
        <w:rPr>
          <w:rFonts w:ascii="Times New Roman" w:hAnsi="Times New Roman" w:cs="Times New Roman"/>
          <w:lang w:val="sr-Latn-ME"/>
        </w:rPr>
        <w:t>erenom insuficijencijom jetre (</w:t>
      </w:r>
      <w:r w:rsidRPr="00314858">
        <w:rPr>
          <w:rFonts w:ascii="Times New Roman" w:hAnsi="Times New Roman" w:cs="Times New Roman"/>
          <w:i/>
          <w:iCs/>
          <w:lang w:val="sr-Latn-ME"/>
        </w:rPr>
        <w:t xml:space="preserve">Child Pugh </w:t>
      </w:r>
      <w:r w:rsidRPr="00314858">
        <w:rPr>
          <w:rFonts w:ascii="Times New Roman" w:hAnsi="Times New Roman" w:cs="Times New Roman"/>
          <w:iCs/>
          <w:lang w:val="sr-Latn-ME"/>
        </w:rPr>
        <w:t>B</w:t>
      </w:r>
      <w:r w:rsidRPr="00314858">
        <w:rPr>
          <w:rFonts w:ascii="Times New Roman" w:hAnsi="Times New Roman" w:cs="Times New Roman"/>
          <w:lang w:val="sr-Latn-ME"/>
        </w:rPr>
        <w:t>) u poređenju sa 12 kontrolnih ispitanika (vid</w:t>
      </w:r>
      <w:r w:rsidR="00405146"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405146" w:rsidRPr="00314858">
        <w:rPr>
          <w:rFonts w:ascii="Times New Roman" w:hAnsi="Times New Roman" w:cs="Times New Roman"/>
          <w:lang w:val="sr-Latn-ME"/>
        </w:rPr>
        <w:t>djelove</w:t>
      </w:r>
      <w:r w:rsidRPr="00314858">
        <w:rPr>
          <w:rFonts w:ascii="Times New Roman" w:hAnsi="Times New Roman" w:cs="Times New Roman"/>
          <w:lang w:val="sr-Latn-ME"/>
        </w:rPr>
        <w:t xml:space="preserve"> 4.2 i 4.4). </w:t>
      </w:r>
    </w:p>
    <w:p w14:paraId="0A6A8114" w14:textId="77777777" w:rsidR="00D67D34" w:rsidRPr="00314858" w:rsidRDefault="00D67D34" w:rsidP="00D67D34">
      <w:pPr>
        <w:spacing w:after="0" w:line="240" w:lineRule="auto"/>
        <w:jc w:val="both"/>
        <w:rPr>
          <w:rFonts w:ascii="Times New Roman" w:hAnsi="Times New Roman" w:cs="Times New Roman"/>
          <w:lang w:val="sr-Latn-ME"/>
        </w:rPr>
      </w:pPr>
    </w:p>
    <w:p w14:paraId="32E69A3C" w14:textId="1377B4B1"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T</w:t>
      </w:r>
      <w:r w:rsidR="00405146" w:rsidRPr="00314858">
        <w:rPr>
          <w:rFonts w:ascii="Times New Roman" w:hAnsi="Times New Roman" w:cs="Times New Roman"/>
          <w:i/>
          <w:iCs/>
          <w:u w:val="single"/>
          <w:lang w:val="sr-Latn-ME"/>
        </w:rPr>
        <w:t>j</w:t>
      </w:r>
      <w:r w:rsidRPr="00314858">
        <w:rPr>
          <w:rFonts w:ascii="Times New Roman" w:hAnsi="Times New Roman" w:cs="Times New Roman"/>
          <w:i/>
          <w:iCs/>
          <w:u w:val="single"/>
          <w:lang w:val="sr-Latn-ME"/>
        </w:rPr>
        <w:t>elesna masa</w:t>
      </w:r>
    </w:p>
    <w:p w14:paraId="7F3F891F" w14:textId="18483CCE" w:rsidR="004C16BE" w:rsidRPr="00314858" w:rsidRDefault="00D67D34" w:rsidP="004C16BE">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Najmanje koncentracije dabigatrana su bile oko 20% manje kod odraslih pacijenata sa t</w:t>
      </w:r>
      <w:r w:rsidR="00405146" w:rsidRPr="00314858">
        <w:rPr>
          <w:rFonts w:ascii="Times New Roman" w:hAnsi="Times New Roman" w:cs="Times New Roman"/>
          <w:lang w:val="sr-Latn-ME"/>
        </w:rPr>
        <w:t>j</w:t>
      </w:r>
      <w:r w:rsidRPr="00314858">
        <w:rPr>
          <w:rFonts w:ascii="Times New Roman" w:hAnsi="Times New Roman" w:cs="Times New Roman"/>
          <w:lang w:val="sr-Latn-ME"/>
        </w:rPr>
        <w:t>elesnom masom &gt; 100 kg u poređenju sa pacijentima sa t</w:t>
      </w:r>
      <w:r w:rsidR="00405146" w:rsidRPr="00314858">
        <w:rPr>
          <w:rFonts w:ascii="Times New Roman" w:hAnsi="Times New Roman" w:cs="Times New Roman"/>
          <w:lang w:val="sr-Latn-ME"/>
        </w:rPr>
        <w:t>j</w:t>
      </w:r>
      <w:r w:rsidRPr="00314858">
        <w:rPr>
          <w:rFonts w:ascii="Times New Roman" w:hAnsi="Times New Roman" w:cs="Times New Roman"/>
          <w:lang w:val="sr-Latn-ME"/>
        </w:rPr>
        <w:t>elesnom masom od 50</w:t>
      </w:r>
      <w:r w:rsidR="004C16BE" w:rsidRPr="00314858">
        <w:rPr>
          <w:rFonts w:ascii="Times New Roman" w:hAnsi="Times New Roman" w:cs="Times New Roman"/>
          <w:lang w:val="sr-Latn-ME"/>
        </w:rPr>
        <w:t xml:space="preserve"> do </w:t>
      </w:r>
      <w:r w:rsidRPr="00314858">
        <w:rPr>
          <w:rFonts w:ascii="Times New Roman" w:hAnsi="Times New Roman" w:cs="Times New Roman"/>
          <w:lang w:val="sr-Latn-ME"/>
        </w:rPr>
        <w:t>100 kg.</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Većina ispitanika (80,8%) je bila u kategoriji t</w:t>
      </w:r>
      <w:r w:rsidR="00405146" w:rsidRPr="00314858">
        <w:rPr>
          <w:rFonts w:ascii="Times New Roman" w:hAnsi="Times New Roman" w:cs="Times New Roman"/>
          <w:lang w:val="sr-Latn-ME"/>
        </w:rPr>
        <w:t>j</w:t>
      </w:r>
      <w:r w:rsidRPr="00314858">
        <w:rPr>
          <w:rFonts w:ascii="Times New Roman" w:hAnsi="Times New Roman" w:cs="Times New Roman"/>
          <w:lang w:val="sr-Latn-ME"/>
        </w:rPr>
        <w:t>elesne mase</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50 kg</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i</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&lt;100 kg, bez jasno vidljivih razlika (vid</w:t>
      </w:r>
      <w:r w:rsidR="00405146" w:rsidRPr="00314858">
        <w:rPr>
          <w:rFonts w:ascii="Times New Roman" w:hAnsi="Times New Roman" w:cs="Times New Roman"/>
          <w:lang w:val="sr-Latn-ME"/>
        </w:rPr>
        <w:t>j</w:t>
      </w:r>
      <w:r w:rsidRPr="00314858">
        <w:rPr>
          <w:rFonts w:ascii="Times New Roman" w:hAnsi="Times New Roman" w:cs="Times New Roman"/>
          <w:lang w:val="sr-Latn-ME"/>
        </w:rPr>
        <w:t xml:space="preserve">eti </w:t>
      </w:r>
      <w:r w:rsidR="00405146" w:rsidRPr="00314858">
        <w:rPr>
          <w:rFonts w:ascii="Times New Roman" w:hAnsi="Times New Roman" w:cs="Times New Roman"/>
          <w:lang w:val="sr-Latn-ME"/>
        </w:rPr>
        <w:t>djelove</w:t>
      </w:r>
      <w:r w:rsidRPr="00314858">
        <w:rPr>
          <w:rFonts w:ascii="Times New Roman" w:hAnsi="Times New Roman" w:cs="Times New Roman"/>
          <w:lang w:val="sr-Latn-ME"/>
        </w:rPr>
        <w:t xml:space="preserve"> 4.2 i 4.4).</w:t>
      </w:r>
      <w:r w:rsidR="00ED227D" w:rsidRPr="00314858">
        <w:rPr>
          <w:rFonts w:ascii="Times New Roman" w:hAnsi="Times New Roman" w:cs="Times New Roman"/>
          <w:lang w:val="sr-Latn-ME"/>
        </w:rPr>
        <w:t xml:space="preserve"> </w:t>
      </w:r>
    </w:p>
    <w:p w14:paraId="6E09AB1B" w14:textId="083487AD" w:rsidR="004C16BE" w:rsidRPr="00314858" w:rsidRDefault="004C16BE"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Kliničko iskustvo sa odraslim pacijentima sa t</w:t>
      </w:r>
      <w:r w:rsidR="00405146" w:rsidRPr="00314858">
        <w:rPr>
          <w:rFonts w:ascii="Times New Roman" w:hAnsi="Times New Roman" w:cs="Times New Roman"/>
          <w:lang w:val="sr-Latn-ME"/>
        </w:rPr>
        <w:t>j</w:t>
      </w:r>
      <w:r w:rsidRPr="00314858">
        <w:rPr>
          <w:rFonts w:ascii="Times New Roman" w:hAnsi="Times New Roman" w:cs="Times New Roman"/>
          <w:lang w:val="sr-Latn-ME"/>
        </w:rPr>
        <w:t>elesnom masom &lt;</w:t>
      </w:r>
      <w:r w:rsidR="00CD6132" w:rsidRPr="00314858">
        <w:rPr>
          <w:rFonts w:ascii="Times New Roman" w:hAnsi="Times New Roman" w:cs="Times New Roman"/>
          <w:lang w:val="sr-Latn-ME"/>
        </w:rPr>
        <w:t xml:space="preserve"> </w:t>
      </w:r>
      <w:r w:rsidRPr="00314858">
        <w:rPr>
          <w:rFonts w:ascii="Times New Roman" w:hAnsi="Times New Roman" w:cs="Times New Roman"/>
          <w:lang w:val="sr-Latn-ME"/>
        </w:rPr>
        <w:t>50 kg je ograničeno.</w:t>
      </w:r>
    </w:p>
    <w:p w14:paraId="483E97BF" w14:textId="77777777" w:rsidR="00D67D34" w:rsidRPr="00314858" w:rsidRDefault="00D67D34" w:rsidP="00D67D34">
      <w:pPr>
        <w:spacing w:after="0" w:line="240" w:lineRule="auto"/>
        <w:jc w:val="both"/>
        <w:rPr>
          <w:rFonts w:ascii="Times New Roman" w:hAnsi="Times New Roman" w:cs="Times New Roman"/>
          <w:lang w:val="sr-Latn-ME"/>
        </w:rPr>
      </w:pPr>
    </w:p>
    <w:p w14:paraId="245056B3" w14:textId="77777777"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Pol</w:t>
      </w:r>
    </w:p>
    <w:p w14:paraId="391AE27A" w14:textId="424ABFD7" w:rsidR="00D67D34" w:rsidRPr="00314858" w:rsidRDefault="004C16BE"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Pacijenti</w:t>
      </w:r>
      <w:r w:rsidR="00D67D34"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ženskog pola </w:t>
      </w:r>
      <w:r w:rsidR="00D67D34" w:rsidRPr="00314858">
        <w:rPr>
          <w:rFonts w:ascii="Times New Roman" w:hAnsi="Times New Roman" w:cs="Times New Roman"/>
          <w:lang w:val="sr-Latn-ME"/>
        </w:rPr>
        <w:t>sa atrijalnom fibrilacijom u pros</w:t>
      </w:r>
      <w:r w:rsidR="00405146"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eku </w:t>
      </w:r>
      <w:r w:rsidRPr="00314858">
        <w:rPr>
          <w:rFonts w:ascii="Times New Roman" w:hAnsi="Times New Roman" w:cs="Times New Roman"/>
          <w:lang w:val="sr-Latn-ME"/>
        </w:rPr>
        <w:t xml:space="preserve">su </w:t>
      </w:r>
      <w:r w:rsidR="00D67D34" w:rsidRPr="00314858">
        <w:rPr>
          <w:rFonts w:ascii="Times New Roman" w:hAnsi="Times New Roman" w:cs="Times New Roman"/>
          <w:lang w:val="sr-Latn-ME"/>
        </w:rPr>
        <w:t>imal</w:t>
      </w:r>
      <w:r w:rsidRPr="00314858">
        <w:rPr>
          <w:rFonts w:ascii="Times New Roman" w:hAnsi="Times New Roman" w:cs="Times New Roman"/>
          <w:lang w:val="sr-Latn-ME"/>
        </w:rPr>
        <w:t>i</w:t>
      </w:r>
      <w:r w:rsidR="00D67D34" w:rsidRPr="00314858">
        <w:rPr>
          <w:rFonts w:ascii="Times New Roman" w:hAnsi="Times New Roman" w:cs="Times New Roman"/>
          <w:lang w:val="sr-Latn-ME"/>
        </w:rPr>
        <w:t xml:space="preserve"> 30% ve</w:t>
      </w:r>
      <w:r w:rsidRPr="00314858">
        <w:rPr>
          <w:rFonts w:ascii="Times New Roman" w:hAnsi="Times New Roman" w:cs="Times New Roman"/>
          <w:lang w:val="sr-Latn-ME"/>
        </w:rPr>
        <w:t>ć</w:t>
      </w:r>
      <w:r w:rsidR="00D67D34" w:rsidRPr="00314858">
        <w:rPr>
          <w:rFonts w:ascii="Times New Roman" w:hAnsi="Times New Roman" w:cs="Times New Roman"/>
          <w:lang w:val="sr-Latn-ME"/>
        </w:rPr>
        <w:t>e</w:t>
      </w:r>
      <w:r w:rsidR="00CD6132" w:rsidRPr="00314858">
        <w:rPr>
          <w:rFonts w:ascii="Times New Roman" w:hAnsi="Times New Roman" w:cs="Times New Roman"/>
          <w:lang w:val="sr-Latn-ME"/>
        </w:rPr>
        <w:t xml:space="preserve"> vrijednosti</w:t>
      </w:r>
      <w:r w:rsidR="00D67D34" w:rsidRPr="00314858">
        <w:rPr>
          <w:rFonts w:ascii="Times New Roman" w:hAnsi="Times New Roman" w:cs="Times New Roman"/>
          <w:lang w:val="sr-Latn-ME"/>
        </w:rPr>
        <w:t xml:space="preserve"> najmanje </w:t>
      </w:r>
      <w:r w:rsidRPr="00314858">
        <w:rPr>
          <w:rFonts w:ascii="Times New Roman" w:hAnsi="Times New Roman" w:cs="Times New Roman"/>
          <w:lang w:val="sr-Latn-ME"/>
        </w:rPr>
        <w:t>koncentracije</w:t>
      </w:r>
      <w:r w:rsidR="00CD6132" w:rsidRPr="00314858">
        <w:rPr>
          <w:rFonts w:ascii="Times New Roman" w:hAnsi="Times New Roman" w:cs="Times New Roman"/>
          <w:lang w:val="sr-Latn-ME"/>
        </w:rPr>
        <w:t xml:space="preserve"> kao</w:t>
      </w:r>
      <w:r w:rsidRPr="00314858">
        <w:rPr>
          <w:rFonts w:ascii="Times New Roman" w:hAnsi="Times New Roman" w:cs="Times New Roman"/>
          <w:lang w:val="sr-Latn-ME"/>
        </w:rPr>
        <w:t xml:space="preserve"> </w:t>
      </w:r>
      <w:r w:rsidR="00D67D34" w:rsidRPr="00314858">
        <w:rPr>
          <w:rFonts w:ascii="Times New Roman" w:hAnsi="Times New Roman" w:cs="Times New Roman"/>
          <w:lang w:val="sr-Latn-ME"/>
        </w:rPr>
        <w:t>i koncentracije</w:t>
      </w:r>
      <w:r w:rsidR="00BA729F" w:rsidRPr="00314858">
        <w:rPr>
          <w:rFonts w:ascii="Times New Roman" w:hAnsi="Times New Roman" w:cs="Times New Roman"/>
          <w:lang w:val="sr-Latn-ME"/>
        </w:rPr>
        <w:t xml:space="preserve"> </w:t>
      </w:r>
      <w:r w:rsidR="00CD6132" w:rsidRPr="00314858">
        <w:rPr>
          <w:rFonts w:ascii="Times New Roman" w:hAnsi="Times New Roman" w:cs="Times New Roman"/>
          <w:lang w:val="sr-Latn-ME"/>
        </w:rPr>
        <w:t xml:space="preserve">nakon </w:t>
      </w:r>
      <w:r w:rsidR="00BA729F" w:rsidRPr="00314858">
        <w:rPr>
          <w:rFonts w:ascii="Times New Roman" w:hAnsi="Times New Roman" w:cs="Times New Roman"/>
          <w:lang w:val="sr-Latn-ME"/>
        </w:rPr>
        <w:t>doze</w:t>
      </w:r>
      <w:r w:rsidR="00D67D34" w:rsidRPr="00314858">
        <w:rPr>
          <w:rFonts w:ascii="Times New Roman" w:hAnsi="Times New Roman" w:cs="Times New Roman"/>
          <w:lang w:val="sr-Latn-ME"/>
        </w:rPr>
        <w:t>. Nije potrebno prilagođavanje doze (vid</w:t>
      </w:r>
      <w:r w:rsidR="00405146" w:rsidRPr="00314858">
        <w:rPr>
          <w:rFonts w:ascii="Times New Roman" w:hAnsi="Times New Roman" w:cs="Times New Roman"/>
          <w:lang w:val="sr-Latn-ME"/>
        </w:rPr>
        <w:t>j</w:t>
      </w:r>
      <w:r w:rsidR="00D67D34" w:rsidRPr="00314858">
        <w:rPr>
          <w:rFonts w:ascii="Times New Roman" w:hAnsi="Times New Roman" w:cs="Times New Roman"/>
          <w:lang w:val="sr-Latn-ME"/>
        </w:rPr>
        <w:t xml:space="preserve">eti </w:t>
      </w:r>
      <w:r w:rsidR="00405146" w:rsidRPr="00314858">
        <w:rPr>
          <w:rFonts w:ascii="Times New Roman" w:hAnsi="Times New Roman" w:cs="Times New Roman"/>
          <w:lang w:val="sr-Latn-ME"/>
        </w:rPr>
        <w:t>dio</w:t>
      </w:r>
      <w:r w:rsidR="00D67D34" w:rsidRPr="00314858">
        <w:rPr>
          <w:rFonts w:ascii="Times New Roman" w:hAnsi="Times New Roman" w:cs="Times New Roman"/>
          <w:lang w:val="sr-Latn-ME"/>
        </w:rPr>
        <w:t xml:space="preserve"> 4.2).</w:t>
      </w:r>
    </w:p>
    <w:p w14:paraId="576F26CE" w14:textId="77777777" w:rsidR="00D67D34" w:rsidRPr="00314858" w:rsidRDefault="00D67D34" w:rsidP="00D67D34">
      <w:pPr>
        <w:spacing w:after="0" w:line="240" w:lineRule="auto"/>
        <w:jc w:val="both"/>
        <w:rPr>
          <w:rFonts w:ascii="Times New Roman" w:hAnsi="Times New Roman" w:cs="Times New Roman"/>
          <w:lang w:val="sr-Latn-ME"/>
        </w:rPr>
      </w:pPr>
    </w:p>
    <w:p w14:paraId="5E30876C" w14:textId="66542987" w:rsidR="00D67D34" w:rsidRPr="00314858" w:rsidRDefault="00D67D34" w:rsidP="00D67D34">
      <w:pPr>
        <w:spacing w:after="0" w:line="240" w:lineRule="auto"/>
        <w:jc w:val="both"/>
        <w:rPr>
          <w:rFonts w:ascii="Times New Roman" w:hAnsi="Times New Roman" w:cs="Times New Roman"/>
          <w:i/>
          <w:iCs/>
          <w:u w:val="single"/>
          <w:lang w:val="sr-Latn-ME"/>
        </w:rPr>
      </w:pPr>
      <w:r w:rsidRPr="00314858">
        <w:rPr>
          <w:rFonts w:ascii="Times New Roman" w:hAnsi="Times New Roman" w:cs="Times New Roman"/>
          <w:i/>
          <w:iCs/>
          <w:u w:val="single"/>
          <w:lang w:val="sr-Latn-ME"/>
        </w:rPr>
        <w:t>Etničko por</w:t>
      </w:r>
      <w:r w:rsidR="00405146" w:rsidRPr="00314858">
        <w:rPr>
          <w:rFonts w:ascii="Times New Roman" w:hAnsi="Times New Roman" w:cs="Times New Roman"/>
          <w:i/>
          <w:iCs/>
          <w:u w:val="single"/>
          <w:lang w:val="sr-Latn-ME"/>
        </w:rPr>
        <w:t>ij</w:t>
      </w:r>
      <w:r w:rsidRPr="00314858">
        <w:rPr>
          <w:rFonts w:ascii="Times New Roman" w:hAnsi="Times New Roman" w:cs="Times New Roman"/>
          <w:i/>
          <w:iCs/>
          <w:u w:val="single"/>
          <w:lang w:val="sr-Latn-ME"/>
        </w:rPr>
        <w:t xml:space="preserve">eklo </w:t>
      </w:r>
    </w:p>
    <w:p w14:paraId="06C82B3B" w14:textId="63C11959" w:rsidR="00D67D34" w:rsidRPr="00314858" w:rsidRDefault="00D67D34" w:rsidP="00D67D34">
      <w:pPr>
        <w:spacing w:after="0" w:line="240" w:lineRule="auto"/>
        <w:jc w:val="both"/>
        <w:rPr>
          <w:rFonts w:ascii="Times New Roman" w:hAnsi="Times New Roman" w:cs="Times New Roman"/>
          <w:iCs/>
          <w:lang w:val="sr-Latn-ME"/>
        </w:rPr>
      </w:pPr>
      <w:r w:rsidRPr="00314858">
        <w:rPr>
          <w:rFonts w:ascii="Times New Roman" w:hAnsi="Times New Roman" w:cs="Times New Roman"/>
          <w:iCs/>
          <w:lang w:val="sr-Latn-ME"/>
        </w:rPr>
        <w:t>Ni</w:t>
      </w:r>
      <w:r w:rsidR="00CD6132" w:rsidRPr="00314858">
        <w:rPr>
          <w:rFonts w:ascii="Times New Roman" w:hAnsi="Times New Roman" w:cs="Times New Roman"/>
          <w:iCs/>
          <w:lang w:val="sr-Latn-ME"/>
        </w:rPr>
        <w:t>je</w:t>
      </w:r>
      <w:r w:rsidRPr="00314858">
        <w:rPr>
          <w:rFonts w:ascii="Times New Roman" w:hAnsi="Times New Roman" w:cs="Times New Roman"/>
          <w:iCs/>
          <w:lang w:val="sr-Latn-ME"/>
        </w:rPr>
        <w:t>su uočene klinički značajne među</w:t>
      </w:r>
      <w:r w:rsidRPr="00314858">
        <w:rPr>
          <w:rFonts w:ascii="Times New Roman" w:hAnsi="Times New Roman" w:cs="Times New Roman"/>
          <w:lang w:val="sr-Latn-ME"/>
        </w:rPr>
        <w:t>etničke</w:t>
      </w:r>
      <w:r w:rsidRPr="00314858">
        <w:rPr>
          <w:rFonts w:ascii="Times New Roman" w:hAnsi="Times New Roman" w:cs="Times New Roman"/>
          <w:iCs/>
          <w:lang w:val="sr-Latn-ME"/>
        </w:rPr>
        <w:t xml:space="preserve"> razlike </w:t>
      </w:r>
      <w:r w:rsidRPr="00314858">
        <w:rPr>
          <w:rFonts w:ascii="Times New Roman" w:hAnsi="Times New Roman" w:cs="Times New Roman"/>
          <w:lang w:val="sr-Latn-ME"/>
        </w:rPr>
        <w:t>među pacijentima b</w:t>
      </w:r>
      <w:r w:rsidR="00E2412D" w:rsidRPr="00314858">
        <w:rPr>
          <w:rFonts w:ascii="Times New Roman" w:hAnsi="Times New Roman" w:cs="Times New Roman"/>
          <w:lang w:val="sr-Latn-ME"/>
        </w:rPr>
        <w:t>ij</w:t>
      </w:r>
      <w:r w:rsidRPr="00314858">
        <w:rPr>
          <w:rFonts w:ascii="Times New Roman" w:hAnsi="Times New Roman" w:cs="Times New Roman"/>
          <w:lang w:val="sr-Latn-ME"/>
        </w:rPr>
        <w:t>ele rase, Afro-Amerikanacima, Hispancima, Japancima ili Kinezima u</w:t>
      </w:r>
      <w:r w:rsidRPr="00314858">
        <w:rPr>
          <w:rFonts w:ascii="Times New Roman" w:hAnsi="Times New Roman" w:cs="Times New Roman"/>
          <w:iCs/>
          <w:lang w:val="sr-Latn-ME"/>
        </w:rPr>
        <w:t xml:space="preserve"> pogledu farmakokinetike i farmakodinamike dabigatrana.</w:t>
      </w:r>
    </w:p>
    <w:p w14:paraId="482F269D" w14:textId="77777777" w:rsidR="00D67D34" w:rsidRPr="00314858" w:rsidRDefault="00D67D34" w:rsidP="00D67D34">
      <w:pPr>
        <w:spacing w:after="0" w:line="240" w:lineRule="auto"/>
        <w:jc w:val="both"/>
        <w:rPr>
          <w:rFonts w:ascii="Times New Roman" w:hAnsi="Times New Roman" w:cs="Times New Roman"/>
          <w:iCs/>
          <w:lang w:val="sr-Latn-ME"/>
        </w:rPr>
      </w:pPr>
    </w:p>
    <w:p w14:paraId="53E92701" w14:textId="77777777" w:rsidR="00D67D34" w:rsidRPr="00314858" w:rsidRDefault="00D67D34" w:rsidP="00D67D34">
      <w:pPr>
        <w:spacing w:after="0" w:line="240" w:lineRule="auto"/>
        <w:jc w:val="both"/>
        <w:rPr>
          <w:rFonts w:ascii="Times New Roman" w:hAnsi="Times New Roman" w:cs="Times New Roman"/>
          <w:i/>
          <w:u w:val="single"/>
          <w:lang w:val="sr-Latn-ME"/>
        </w:rPr>
      </w:pPr>
      <w:r w:rsidRPr="00314858">
        <w:rPr>
          <w:rFonts w:ascii="Times New Roman" w:hAnsi="Times New Roman" w:cs="Times New Roman"/>
          <w:i/>
          <w:u w:val="single"/>
          <w:lang w:val="sr-Latn-ME"/>
        </w:rPr>
        <w:t>Pedijatrijska populacija</w:t>
      </w:r>
    </w:p>
    <w:p w14:paraId="07975DE8" w14:textId="042DD928"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Oralna prim</w:t>
      </w:r>
      <w:r w:rsidR="00E2412D" w:rsidRPr="00314858">
        <w:rPr>
          <w:rFonts w:ascii="Times New Roman" w:hAnsi="Times New Roman" w:cs="Times New Roman"/>
          <w:lang w:val="sr-Latn-ME"/>
        </w:rPr>
        <w:t>j</w:t>
      </w:r>
      <w:r w:rsidRPr="00314858">
        <w:rPr>
          <w:rFonts w:ascii="Times New Roman" w:hAnsi="Times New Roman" w:cs="Times New Roman"/>
          <w:lang w:val="sr-Latn-ME"/>
        </w:rPr>
        <w:t>ena dabigatraneteksilata prema algoritmu doziranja definisanom u protokolu</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rezultovala je</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izloženošću unutar opsega zapaženog kod odraslih sa DVT/PE. Na osnovu objedinjene</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analize farmakokinetičkih podataka iz studija DIVERSITY i 1160.108, zapažene geometrijske</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srednje vr</w:t>
      </w:r>
      <w:r w:rsidR="00E2412D" w:rsidRPr="00314858">
        <w:rPr>
          <w:rFonts w:ascii="Times New Roman" w:hAnsi="Times New Roman" w:cs="Times New Roman"/>
          <w:lang w:val="sr-Latn-ME"/>
        </w:rPr>
        <w:t>ij</w:t>
      </w:r>
      <w:r w:rsidRPr="00314858">
        <w:rPr>
          <w:rFonts w:ascii="Times New Roman" w:hAnsi="Times New Roman" w:cs="Times New Roman"/>
          <w:lang w:val="sr-Latn-ME"/>
        </w:rPr>
        <w:t>ednosti</w:t>
      </w:r>
      <w:r w:rsidR="00FC549A" w:rsidRPr="00314858">
        <w:rPr>
          <w:rFonts w:ascii="Times New Roman" w:hAnsi="Times New Roman" w:cs="Times New Roman"/>
          <w:lang w:val="sr-Latn-ME"/>
        </w:rPr>
        <w:t xml:space="preserve"> </w:t>
      </w:r>
      <w:r w:rsidR="00C4637A" w:rsidRPr="00314858">
        <w:rPr>
          <w:rFonts w:ascii="Times New Roman" w:hAnsi="Times New Roman" w:cs="Times New Roman"/>
          <w:lang w:val="sr-Latn-ME"/>
        </w:rPr>
        <w:t>najmanje</w:t>
      </w:r>
      <w:r w:rsidRPr="00314858">
        <w:rPr>
          <w:rFonts w:ascii="Times New Roman" w:hAnsi="Times New Roman" w:cs="Times New Roman"/>
          <w:lang w:val="sr-Latn-ME"/>
        </w:rPr>
        <w:t xml:space="preserve"> izloženosti bile su 53,9 nanograma/m</w:t>
      </w:r>
      <w:r w:rsidR="00CD6132" w:rsidRPr="00314858">
        <w:rPr>
          <w:rFonts w:ascii="Times New Roman" w:hAnsi="Times New Roman" w:cs="Times New Roman"/>
          <w:lang w:val="sr-Latn-ME"/>
        </w:rPr>
        <w:t>l</w:t>
      </w:r>
      <w:r w:rsidRPr="00314858">
        <w:rPr>
          <w:rFonts w:ascii="Times New Roman" w:hAnsi="Times New Roman" w:cs="Times New Roman"/>
          <w:lang w:val="sr-Latn-ME"/>
        </w:rPr>
        <w:t>, 63,0 nanograma/m</w:t>
      </w:r>
      <w:r w:rsidR="00CD6132" w:rsidRPr="00314858">
        <w:rPr>
          <w:rFonts w:ascii="Times New Roman" w:hAnsi="Times New Roman" w:cs="Times New Roman"/>
          <w:lang w:val="sr-Latn-ME"/>
        </w:rPr>
        <w:t>l</w:t>
      </w:r>
      <w:r w:rsidRPr="00314858">
        <w:rPr>
          <w:rFonts w:ascii="Times New Roman" w:hAnsi="Times New Roman" w:cs="Times New Roman"/>
          <w:lang w:val="sr-Latn-ME"/>
        </w:rPr>
        <w:t>, odnosno 99,1 nanograma/m</w:t>
      </w:r>
      <w:r w:rsidR="00CD6132" w:rsidRPr="00314858">
        <w:rPr>
          <w:rFonts w:ascii="Times New Roman" w:hAnsi="Times New Roman" w:cs="Times New Roman"/>
          <w:lang w:val="sr-Latn-ME"/>
        </w:rPr>
        <w:t>l</w:t>
      </w:r>
      <w:r w:rsidRPr="00314858">
        <w:rPr>
          <w:rFonts w:ascii="Times New Roman" w:hAnsi="Times New Roman" w:cs="Times New Roman"/>
          <w:lang w:val="sr-Latn-ME"/>
        </w:rPr>
        <w:t xml:space="preserve"> u</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grupama pedijatrijskih VTE pacijenata od 0 do &lt; 2 godine, 2 do &lt; 12 godina, odnosno 12 do &lt; 18 godina.</w:t>
      </w:r>
    </w:p>
    <w:p w14:paraId="54FA4926" w14:textId="77777777" w:rsidR="00D67D34" w:rsidRPr="00314858" w:rsidRDefault="00D67D34" w:rsidP="00D67D34">
      <w:pPr>
        <w:spacing w:after="0" w:line="240" w:lineRule="auto"/>
        <w:jc w:val="both"/>
        <w:rPr>
          <w:rFonts w:ascii="Times New Roman" w:hAnsi="Times New Roman" w:cs="Times New Roman"/>
          <w:iCs/>
          <w:lang w:val="sr-Latn-ME"/>
        </w:rPr>
      </w:pPr>
    </w:p>
    <w:p w14:paraId="20D515AB" w14:textId="29D0A046" w:rsidR="00D67D34" w:rsidRPr="00314858" w:rsidRDefault="00D67D34" w:rsidP="00D67D34">
      <w:pPr>
        <w:spacing w:after="0" w:line="240" w:lineRule="auto"/>
        <w:jc w:val="both"/>
        <w:rPr>
          <w:rFonts w:ascii="Times New Roman" w:hAnsi="Times New Roman" w:cs="Times New Roman"/>
          <w:iCs/>
          <w:u w:val="single"/>
          <w:lang w:val="sr-Latn-ME"/>
        </w:rPr>
      </w:pPr>
      <w:r w:rsidRPr="00314858">
        <w:rPr>
          <w:rFonts w:ascii="Times New Roman" w:hAnsi="Times New Roman" w:cs="Times New Roman"/>
          <w:iCs/>
          <w:u w:val="single"/>
          <w:lang w:val="sr-Latn-ME"/>
        </w:rPr>
        <w:t>Farmakokinetičke interakcije</w:t>
      </w:r>
    </w:p>
    <w:p w14:paraId="43A16669" w14:textId="77777777" w:rsidR="0076595D" w:rsidRPr="00314858" w:rsidRDefault="0076595D" w:rsidP="00D67D34">
      <w:pPr>
        <w:spacing w:after="0" w:line="240" w:lineRule="auto"/>
        <w:jc w:val="both"/>
        <w:rPr>
          <w:rFonts w:ascii="Times New Roman" w:hAnsi="Times New Roman" w:cs="Times New Roman"/>
          <w:iCs/>
          <w:u w:val="single"/>
          <w:lang w:val="sr-Latn-ME"/>
        </w:rPr>
      </w:pPr>
    </w:p>
    <w:p w14:paraId="29ACF2F3" w14:textId="6DF0765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Studije interakcij</w:t>
      </w:r>
      <w:r w:rsidR="004C3F4C" w:rsidRPr="00314858">
        <w:rPr>
          <w:rFonts w:ascii="Times New Roman" w:hAnsi="Times New Roman" w:cs="Times New Roman"/>
          <w:lang w:val="sr-Latn-ME"/>
        </w:rPr>
        <w:t>a</w:t>
      </w:r>
      <w:r w:rsidRPr="00314858">
        <w:rPr>
          <w:rFonts w:ascii="Times New Roman" w:hAnsi="Times New Roman" w:cs="Times New Roman"/>
          <w:lang w:val="sr-Latn-ME"/>
        </w:rPr>
        <w:t xml:space="preserve"> </w:t>
      </w:r>
      <w:r w:rsidRPr="00314858">
        <w:rPr>
          <w:rFonts w:ascii="Times New Roman" w:hAnsi="Times New Roman" w:cs="Times New Roman"/>
          <w:i/>
          <w:lang w:val="sr-Latn-ME"/>
        </w:rPr>
        <w:t>in vitro</w:t>
      </w:r>
      <w:r w:rsidRPr="00314858">
        <w:rPr>
          <w:rFonts w:ascii="Times New Roman" w:hAnsi="Times New Roman" w:cs="Times New Roman"/>
          <w:lang w:val="sr-Latn-ME"/>
        </w:rPr>
        <w:t xml:space="preserve"> ni</w:t>
      </w:r>
      <w:r w:rsidR="00CD6132" w:rsidRPr="00314858">
        <w:rPr>
          <w:rFonts w:ascii="Times New Roman" w:hAnsi="Times New Roman" w:cs="Times New Roman"/>
          <w:lang w:val="sr-Latn-ME"/>
        </w:rPr>
        <w:t>je</w:t>
      </w:r>
      <w:r w:rsidRPr="00314858">
        <w:rPr>
          <w:rFonts w:ascii="Times New Roman" w:hAnsi="Times New Roman" w:cs="Times New Roman"/>
          <w:lang w:val="sr-Latn-ME"/>
        </w:rPr>
        <w:t>su pokazale nikakvu inhibiciju ili indukciju glavnih izoenzima citohroma P450.</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To su potvrdile studije </w:t>
      </w:r>
      <w:r w:rsidRPr="00314858">
        <w:rPr>
          <w:rFonts w:ascii="Times New Roman" w:hAnsi="Times New Roman" w:cs="Times New Roman"/>
          <w:i/>
          <w:lang w:val="sr-Latn-ME"/>
        </w:rPr>
        <w:t>in vivo</w:t>
      </w:r>
      <w:r w:rsidRPr="00314858">
        <w:rPr>
          <w:rFonts w:ascii="Times New Roman" w:hAnsi="Times New Roman" w:cs="Times New Roman"/>
          <w:lang w:val="sr-Latn-ME"/>
        </w:rPr>
        <w:t xml:space="preserve"> sa zdravim dobrovoljcima, kod kojih nije bilo nikakve interakcije </w:t>
      </w:r>
      <w:r w:rsidRPr="00314858">
        <w:rPr>
          <w:rFonts w:ascii="Times New Roman" w:hAnsi="Times New Roman" w:cs="Times New Roman"/>
          <w:lang w:val="sr-Latn-ME"/>
        </w:rPr>
        <w:lastRenderedPageBreak/>
        <w:t>između ove terapije i sl</w:t>
      </w:r>
      <w:r w:rsidR="00E2412D" w:rsidRPr="00314858">
        <w:rPr>
          <w:rFonts w:ascii="Times New Roman" w:hAnsi="Times New Roman" w:cs="Times New Roman"/>
          <w:lang w:val="sr-Latn-ME"/>
        </w:rPr>
        <w:t>j</w:t>
      </w:r>
      <w:r w:rsidRPr="00314858">
        <w:rPr>
          <w:rFonts w:ascii="Times New Roman" w:hAnsi="Times New Roman" w:cs="Times New Roman"/>
          <w:lang w:val="sr-Latn-ME"/>
        </w:rPr>
        <w:t>edećih l</w:t>
      </w:r>
      <w:r w:rsidR="00E2412D" w:rsidRPr="00314858">
        <w:rPr>
          <w:rFonts w:ascii="Times New Roman" w:hAnsi="Times New Roman" w:cs="Times New Roman"/>
          <w:lang w:val="sr-Latn-ME"/>
        </w:rPr>
        <w:t>j</w:t>
      </w:r>
      <w:r w:rsidRPr="00314858">
        <w:rPr>
          <w:rFonts w:ascii="Times New Roman" w:hAnsi="Times New Roman" w:cs="Times New Roman"/>
          <w:lang w:val="sr-Latn-ME"/>
        </w:rPr>
        <w:t>ekova: atorvastatina (CYP3A4), digoksina (interakcija sa transportnim P-</w:t>
      </w:r>
      <w:r w:rsidR="00BA729F" w:rsidRPr="00314858">
        <w:rPr>
          <w:rFonts w:ascii="Times New Roman" w:hAnsi="Times New Roman" w:cs="Times New Roman"/>
          <w:lang w:val="sr-Latn-ME"/>
        </w:rPr>
        <w:t>glikoproteinom</w:t>
      </w:r>
      <w:r w:rsidRPr="00314858">
        <w:rPr>
          <w:rFonts w:ascii="Times New Roman" w:hAnsi="Times New Roman" w:cs="Times New Roman"/>
          <w:lang w:val="sr-Latn-ME"/>
        </w:rPr>
        <w:t>)</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i diklofenaka (CYP2C9). </w:t>
      </w:r>
    </w:p>
    <w:p w14:paraId="6AF12619" w14:textId="77777777" w:rsidR="00D67D34" w:rsidRPr="00314858" w:rsidRDefault="00D67D34" w:rsidP="00D67D34">
      <w:pPr>
        <w:spacing w:after="0" w:line="240" w:lineRule="auto"/>
        <w:jc w:val="both"/>
        <w:rPr>
          <w:rFonts w:ascii="Times New Roman" w:hAnsi="Times New Roman" w:cs="Times New Roman"/>
          <w:lang w:val="sr-Latn-ME" w:bidi="en-US"/>
        </w:rPr>
      </w:pPr>
    </w:p>
    <w:p w14:paraId="404F7469" w14:textId="06B1E0DA" w:rsidR="00D67D34" w:rsidRPr="00314858" w:rsidRDefault="00FC549A" w:rsidP="00FC549A">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5.3</w:t>
      </w:r>
      <w:r w:rsidR="001347BD" w:rsidRPr="00314858">
        <w:rPr>
          <w:rFonts w:ascii="Times New Roman" w:hAnsi="Times New Roman" w:cs="Times New Roman"/>
          <w:b/>
          <w:bCs/>
          <w:lang w:val="sr-Latn-ME" w:bidi="en-US"/>
        </w:rPr>
        <w:t>.</w:t>
      </w:r>
      <w:r w:rsidRPr="00314858">
        <w:rPr>
          <w:rFonts w:ascii="Times New Roman" w:hAnsi="Times New Roman" w:cs="Times New Roman"/>
          <w:b/>
          <w:bCs/>
          <w:lang w:val="sr-Latn-ME" w:bidi="en-US"/>
        </w:rPr>
        <w:t xml:space="preserve"> </w:t>
      </w:r>
      <w:r w:rsidR="00D67D34" w:rsidRPr="00314858">
        <w:rPr>
          <w:rFonts w:ascii="Times New Roman" w:hAnsi="Times New Roman" w:cs="Times New Roman"/>
          <w:b/>
          <w:bCs/>
          <w:lang w:val="sr-Latn-ME" w:bidi="en-US"/>
        </w:rPr>
        <w:t>Pretklinički podaci o bezb</w:t>
      </w:r>
      <w:r w:rsidR="00D165D6" w:rsidRPr="00314858">
        <w:rPr>
          <w:rFonts w:ascii="Times New Roman" w:hAnsi="Times New Roman" w:cs="Times New Roman"/>
          <w:b/>
          <w:bCs/>
          <w:lang w:val="sr-Latn-ME" w:bidi="en-US"/>
        </w:rPr>
        <w:t>j</w:t>
      </w:r>
      <w:r w:rsidR="00D67D34" w:rsidRPr="00314858">
        <w:rPr>
          <w:rFonts w:ascii="Times New Roman" w:hAnsi="Times New Roman" w:cs="Times New Roman"/>
          <w:b/>
          <w:bCs/>
          <w:lang w:val="sr-Latn-ME" w:bidi="en-US"/>
        </w:rPr>
        <w:t xml:space="preserve">ednosti </w:t>
      </w:r>
    </w:p>
    <w:p w14:paraId="4331A634" w14:textId="77777777" w:rsidR="00D67D34" w:rsidRPr="00314858" w:rsidRDefault="00D67D34" w:rsidP="00D67D34">
      <w:pPr>
        <w:spacing w:after="0" w:line="240" w:lineRule="auto"/>
        <w:jc w:val="both"/>
        <w:rPr>
          <w:rFonts w:ascii="Times New Roman" w:hAnsi="Times New Roman" w:cs="Times New Roman"/>
          <w:lang w:val="sr-Latn-ME" w:bidi="en-US"/>
        </w:rPr>
      </w:pPr>
    </w:p>
    <w:p w14:paraId="62C1EC5C" w14:textId="4FAEC214" w:rsidR="00D67D34" w:rsidRPr="00314858" w:rsidRDefault="004C3F4C"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Pretklinički podaci dobijeni na osnovu konvencionalnih studija bezb</w:t>
      </w:r>
      <w:r w:rsidR="00E2412D" w:rsidRPr="00314858">
        <w:rPr>
          <w:rFonts w:ascii="Times New Roman" w:hAnsi="Times New Roman" w:cs="Times New Roman"/>
          <w:lang w:val="sr-Latn-ME"/>
        </w:rPr>
        <w:t>j</w:t>
      </w:r>
      <w:r w:rsidRPr="00314858">
        <w:rPr>
          <w:rFonts w:ascii="Times New Roman" w:hAnsi="Times New Roman" w:cs="Times New Roman"/>
          <w:lang w:val="sr-Latn-ME"/>
        </w:rPr>
        <w:t>ednosne farmakologije, toksičnosti ponovljenih doza i genotoksičnosti, ne ukazuju na posebne razlike pri prim</w:t>
      </w:r>
      <w:r w:rsidR="00E2412D" w:rsidRPr="00314858">
        <w:rPr>
          <w:rFonts w:ascii="Times New Roman" w:hAnsi="Times New Roman" w:cs="Times New Roman"/>
          <w:lang w:val="sr-Latn-ME"/>
        </w:rPr>
        <w:t>j</w:t>
      </w:r>
      <w:r w:rsidRPr="00314858">
        <w:rPr>
          <w:rFonts w:ascii="Times New Roman" w:hAnsi="Times New Roman" w:cs="Times New Roman"/>
          <w:lang w:val="sr-Latn-ME"/>
        </w:rPr>
        <w:t>eni l</w:t>
      </w:r>
      <w:r w:rsidR="00E2412D" w:rsidRPr="00314858">
        <w:rPr>
          <w:rFonts w:ascii="Times New Roman" w:hAnsi="Times New Roman" w:cs="Times New Roman"/>
          <w:lang w:val="sr-Latn-ME"/>
        </w:rPr>
        <w:t>ij</w:t>
      </w:r>
      <w:r w:rsidRPr="00314858">
        <w:rPr>
          <w:rFonts w:ascii="Times New Roman" w:hAnsi="Times New Roman" w:cs="Times New Roman"/>
          <w:lang w:val="sr-Latn-ME"/>
        </w:rPr>
        <w:t>eka kod ljudi.</w:t>
      </w:r>
    </w:p>
    <w:p w14:paraId="164A5F87" w14:textId="77777777" w:rsidR="00463E91" w:rsidRPr="00314858" w:rsidRDefault="00463E91" w:rsidP="00D67D34">
      <w:pPr>
        <w:spacing w:after="0" w:line="240" w:lineRule="auto"/>
        <w:jc w:val="both"/>
        <w:rPr>
          <w:rFonts w:ascii="Times New Roman" w:hAnsi="Times New Roman" w:cs="Times New Roman"/>
          <w:lang w:val="sr-Latn-ME"/>
        </w:rPr>
      </w:pPr>
    </w:p>
    <w:p w14:paraId="44956C99" w14:textId="7E586BFA"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Do </w:t>
      </w:r>
      <w:r w:rsidR="004C3F4C" w:rsidRPr="00314858">
        <w:rPr>
          <w:rFonts w:ascii="Times New Roman" w:hAnsi="Times New Roman" w:cs="Times New Roman"/>
          <w:lang w:val="sr-Latn-ME"/>
        </w:rPr>
        <w:t>dejstava</w:t>
      </w:r>
      <w:r w:rsidRPr="00314858">
        <w:rPr>
          <w:rFonts w:ascii="Times New Roman" w:hAnsi="Times New Roman" w:cs="Times New Roman"/>
          <w:lang w:val="sr-Latn-ME"/>
        </w:rPr>
        <w:t xml:space="preserve"> uočenih u studijama toksičnosti ponovljenih doza došlo je zbog pret</w:t>
      </w:r>
      <w:r w:rsidR="00E2412D" w:rsidRPr="00314858">
        <w:rPr>
          <w:rFonts w:ascii="Times New Roman" w:hAnsi="Times New Roman" w:cs="Times New Roman"/>
          <w:lang w:val="sr-Latn-ME"/>
        </w:rPr>
        <w:t>j</w:t>
      </w:r>
      <w:r w:rsidRPr="00314858">
        <w:rPr>
          <w:rFonts w:ascii="Times New Roman" w:hAnsi="Times New Roman" w:cs="Times New Roman"/>
          <w:lang w:val="sr-Latn-ME"/>
        </w:rPr>
        <w:t xml:space="preserve">eranog farmakodinamskog </w:t>
      </w:r>
      <w:r w:rsidR="004C3F4C" w:rsidRPr="00314858">
        <w:rPr>
          <w:rFonts w:ascii="Times New Roman" w:hAnsi="Times New Roman" w:cs="Times New Roman"/>
          <w:lang w:val="sr-Latn-ME"/>
        </w:rPr>
        <w:t>dejstva</w:t>
      </w:r>
      <w:r w:rsidRPr="00314858">
        <w:rPr>
          <w:rFonts w:ascii="Times New Roman" w:hAnsi="Times New Roman" w:cs="Times New Roman"/>
          <w:lang w:val="sr-Latn-ME"/>
        </w:rPr>
        <w:t xml:space="preserve"> dabigatrana. </w:t>
      </w:r>
    </w:p>
    <w:p w14:paraId="337407FE" w14:textId="77777777" w:rsidR="00D67D34" w:rsidRPr="00314858" w:rsidRDefault="00D67D34" w:rsidP="00D67D34">
      <w:pPr>
        <w:spacing w:after="0" w:line="240" w:lineRule="auto"/>
        <w:jc w:val="both"/>
        <w:rPr>
          <w:rFonts w:ascii="Times New Roman" w:hAnsi="Times New Roman" w:cs="Times New Roman"/>
          <w:lang w:val="sr-Latn-ME"/>
        </w:rPr>
      </w:pPr>
    </w:p>
    <w:p w14:paraId="0A198D2E" w14:textId="74BA1E57" w:rsidR="00FC549A"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Uticaj na </w:t>
      </w:r>
      <w:r w:rsidR="00463E91" w:rsidRPr="00314858">
        <w:rPr>
          <w:rFonts w:ascii="Times New Roman" w:hAnsi="Times New Roman" w:cs="Times New Roman"/>
          <w:lang w:val="sr-Latn-ME"/>
        </w:rPr>
        <w:t>plodnost</w:t>
      </w:r>
      <w:r w:rsidRPr="00314858">
        <w:rPr>
          <w:rFonts w:ascii="Times New Roman" w:hAnsi="Times New Roman" w:cs="Times New Roman"/>
          <w:lang w:val="sr-Latn-ME"/>
        </w:rPr>
        <w:t xml:space="preserve"> ženki prim</w:t>
      </w:r>
      <w:r w:rsidR="00E2412D" w:rsidRPr="00314858">
        <w:rPr>
          <w:rFonts w:ascii="Times New Roman" w:hAnsi="Times New Roman" w:cs="Times New Roman"/>
          <w:lang w:val="sr-Latn-ME"/>
        </w:rPr>
        <w:t>ij</w:t>
      </w:r>
      <w:r w:rsidRPr="00314858">
        <w:rPr>
          <w:rFonts w:ascii="Times New Roman" w:hAnsi="Times New Roman" w:cs="Times New Roman"/>
          <w:lang w:val="sr-Latn-ME"/>
        </w:rPr>
        <w:t>ećen je u obliku smanjenja broja implantacija embriona i u povećanju gubitka embriona u preimplantacionom periodu pri dozi od 70 mg/kg (5 puta veći stepen izloženosti nego u plazmi pacijenata).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Pri dozama koje su bile toksične za majke (5-10 puta veća </w:t>
      </w:r>
      <w:r w:rsidR="00463E91" w:rsidRPr="00314858">
        <w:rPr>
          <w:rFonts w:ascii="Times New Roman" w:hAnsi="Times New Roman" w:cs="Times New Roman"/>
          <w:lang w:val="sr-Latn-ME"/>
        </w:rPr>
        <w:t xml:space="preserve">od </w:t>
      </w:r>
      <w:r w:rsidRPr="00314858">
        <w:rPr>
          <w:rFonts w:ascii="Times New Roman" w:hAnsi="Times New Roman" w:cs="Times New Roman"/>
          <w:lang w:val="sr-Latn-ME"/>
        </w:rPr>
        <w:t>izloženost</w:t>
      </w:r>
      <w:r w:rsidR="00463E91" w:rsidRPr="00314858">
        <w:rPr>
          <w:rFonts w:ascii="Times New Roman" w:hAnsi="Times New Roman" w:cs="Times New Roman"/>
          <w:lang w:val="sr-Latn-ME"/>
        </w:rPr>
        <w:t xml:space="preserve">i u plazmi </w:t>
      </w:r>
      <w:r w:rsidRPr="00314858">
        <w:rPr>
          <w:rFonts w:ascii="Times New Roman" w:hAnsi="Times New Roman" w:cs="Times New Roman"/>
          <w:lang w:val="sr-Latn-ME"/>
        </w:rPr>
        <w:t>kod pacijenata), smanjenje t</w:t>
      </w:r>
      <w:r w:rsidR="00E2412D" w:rsidRPr="00314858">
        <w:rPr>
          <w:rFonts w:ascii="Times New Roman" w:hAnsi="Times New Roman" w:cs="Times New Roman"/>
          <w:lang w:val="sr-Latn-ME"/>
        </w:rPr>
        <w:t>j</w:t>
      </w:r>
      <w:r w:rsidRPr="00314858">
        <w:rPr>
          <w:rFonts w:ascii="Times New Roman" w:hAnsi="Times New Roman" w:cs="Times New Roman"/>
          <w:lang w:val="sr-Latn-ME"/>
        </w:rPr>
        <w:t>elesne mase fetusa i vijabilnosti, zajedno sa povećanjem fetalnih varijacija je uočeno kod pacova i kunića.</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U studijama pre-i postnatalne toksičnosti, povećanje mortaliteta fetusa je prim</w:t>
      </w:r>
      <w:r w:rsidR="00E2412D" w:rsidRPr="00314858">
        <w:rPr>
          <w:rFonts w:ascii="Times New Roman" w:hAnsi="Times New Roman" w:cs="Times New Roman"/>
          <w:lang w:val="sr-Latn-ME"/>
        </w:rPr>
        <w:t>ij</w:t>
      </w:r>
      <w:r w:rsidRPr="00314858">
        <w:rPr>
          <w:rFonts w:ascii="Times New Roman" w:hAnsi="Times New Roman" w:cs="Times New Roman"/>
          <w:lang w:val="sr-Latn-ME"/>
        </w:rPr>
        <w:t>ećeno pri dozama koje su bile toksične za ženke (</w:t>
      </w:r>
      <w:r w:rsidR="00463E91" w:rsidRPr="00314858">
        <w:rPr>
          <w:rFonts w:ascii="Times New Roman" w:hAnsi="Times New Roman" w:cs="Times New Roman"/>
          <w:lang w:val="sr-Latn-ME"/>
        </w:rPr>
        <w:t xml:space="preserve">doza koja odgovara </w:t>
      </w:r>
      <w:r w:rsidRPr="00314858">
        <w:rPr>
          <w:rFonts w:ascii="Times New Roman" w:hAnsi="Times New Roman" w:cs="Times New Roman"/>
          <w:lang w:val="sr-Latn-ME"/>
        </w:rPr>
        <w:t>4 puta već</w:t>
      </w:r>
      <w:r w:rsidR="00463E91" w:rsidRPr="00314858">
        <w:rPr>
          <w:rFonts w:ascii="Times New Roman" w:hAnsi="Times New Roman" w:cs="Times New Roman"/>
          <w:lang w:val="sr-Latn-ME"/>
        </w:rPr>
        <w:t>em nivou</w:t>
      </w:r>
      <w:r w:rsidRPr="00314858">
        <w:rPr>
          <w:rFonts w:ascii="Times New Roman" w:hAnsi="Times New Roman" w:cs="Times New Roman"/>
          <w:lang w:val="sr-Latn-ME"/>
        </w:rPr>
        <w:t xml:space="preserve"> izloženost</w:t>
      </w:r>
      <w:r w:rsidR="00463E91" w:rsidRPr="00314858">
        <w:rPr>
          <w:rFonts w:ascii="Times New Roman" w:hAnsi="Times New Roman" w:cs="Times New Roman"/>
          <w:lang w:val="sr-Latn-ME"/>
        </w:rPr>
        <w:t>i</w:t>
      </w:r>
      <w:r w:rsidRPr="00314858">
        <w:rPr>
          <w:rFonts w:ascii="Times New Roman" w:hAnsi="Times New Roman" w:cs="Times New Roman"/>
          <w:lang w:val="sr-Latn-ME"/>
        </w:rPr>
        <w:t xml:space="preserve"> </w:t>
      </w:r>
      <w:r w:rsidR="00463E91" w:rsidRPr="00314858">
        <w:rPr>
          <w:rFonts w:ascii="Times New Roman" w:hAnsi="Times New Roman" w:cs="Times New Roman"/>
          <w:lang w:val="sr-Latn-ME"/>
        </w:rPr>
        <w:t>u plazmi</w:t>
      </w:r>
      <w:r w:rsidRPr="00314858">
        <w:rPr>
          <w:rFonts w:ascii="Times New Roman" w:hAnsi="Times New Roman" w:cs="Times New Roman"/>
          <w:lang w:val="sr-Latn-ME"/>
        </w:rPr>
        <w:t xml:space="preserve"> </w:t>
      </w:r>
      <w:r w:rsidR="00463E91" w:rsidRPr="00314858">
        <w:rPr>
          <w:rFonts w:ascii="Times New Roman" w:hAnsi="Times New Roman" w:cs="Times New Roman"/>
          <w:lang w:val="sr-Latn-ME"/>
        </w:rPr>
        <w:t>od onog</w:t>
      </w:r>
      <w:r w:rsidRPr="00314858">
        <w:rPr>
          <w:rFonts w:ascii="Times New Roman" w:hAnsi="Times New Roman" w:cs="Times New Roman"/>
          <w:lang w:val="sr-Latn-ME"/>
        </w:rPr>
        <w:t xml:space="preserve"> kod pacijenata).</w:t>
      </w:r>
    </w:p>
    <w:p w14:paraId="6A11C1E3" w14:textId="77777777" w:rsidR="004C3F4C" w:rsidRPr="00314858" w:rsidRDefault="004C3F4C" w:rsidP="00D67D34">
      <w:pPr>
        <w:spacing w:after="0" w:line="240" w:lineRule="auto"/>
        <w:jc w:val="both"/>
        <w:rPr>
          <w:rFonts w:ascii="Times New Roman" w:hAnsi="Times New Roman" w:cs="Times New Roman"/>
          <w:lang w:val="sr-Latn-ME"/>
        </w:rPr>
      </w:pPr>
    </w:p>
    <w:p w14:paraId="443EFD93" w14:textId="58B2DBCC"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w:t>
      </w:r>
      <w:r w:rsidR="008869B9" w:rsidRPr="00314858">
        <w:rPr>
          <w:rFonts w:ascii="Times New Roman" w:hAnsi="Times New Roman" w:cs="Times New Roman"/>
          <w:lang w:val="sr-Latn-ME"/>
        </w:rPr>
        <w:t>ispitivanju</w:t>
      </w:r>
      <w:r w:rsidRPr="00314858">
        <w:rPr>
          <w:rFonts w:ascii="Times New Roman" w:hAnsi="Times New Roman" w:cs="Times New Roman"/>
          <w:lang w:val="sr-Latn-ME"/>
        </w:rPr>
        <w:t xml:space="preserve"> juvenilne toksičnosti sproveden</w:t>
      </w:r>
      <w:r w:rsidR="008869B9" w:rsidRPr="00314858">
        <w:rPr>
          <w:rFonts w:ascii="Times New Roman" w:hAnsi="Times New Roman" w:cs="Times New Roman"/>
          <w:lang w:val="sr-Latn-ME"/>
        </w:rPr>
        <w:t>om</w:t>
      </w:r>
      <w:r w:rsidRPr="00314858">
        <w:rPr>
          <w:rFonts w:ascii="Times New Roman" w:hAnsi="Times New Roman" w:cs="Times New Roman"/>
          <w:lang w:val="sr-Latn-ME"/>
        </w:rPr>
        <w:t xml:space="preserve"> na pacovima </w:t>
      </w:r>
      <w:r w:rsidRPr="00314858">
        <w:rPr>
          <w:rFonts w:ascii="Times New Roman" w:hAnsi="Times New Roman" w:cs="Times New Roman"/>
          <w:i/>
          <w:iCs/>
          <w:lang w:val="sr-Latn-ME"/>
        </w:rPr>
        <w:t>Han Wistar</w:t>
      </w:r>
      <w:r w:rsidRPr="00314858">
        <w:rPr>
          <w:rFonts w:ascii="Times New Roman" w:hAnsi="Times New Roman" w:cs="Times New Roman"/>
          <w:lang w:val="sr-Latn-ME"/>
        </w:rPr>
        <w:t>, smrtnost je bila povezana sa</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događajima krvarenja pri sličnim izloženostima kod kojih je bilo zab</w:t>
      </w:r>
      <w:r w:rsidR="00E2412D" w:rsidRPr="00314858">
        <w:rPr>
          <w:rFonts w:ascii="Times New Roman" w:hAnsi="Times New Roman" w:cs="Times New Roman"/>
          <w:lang w:val="sr-Latn-ME"/>
        </w:rPr>
        <w:t>ilježeno</w:t>
      </w:r>
      <w:r w:rsidRPr="00314858">
        <w:rPr>
          <w:rFonts w:ascii="Times New Roman" w:hAnsi="Times New Roman" w:cs="Times New Roman"/>
          <w:lang w:val="sr-Latn-ME"/>
        </w:rPr>
        <w:t xml:space="preserve"> krvarenje na odraslim</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životinjama. I kod odraslih i kod juvenilnih pacova smatra se da je smrtnost bila povezana sa</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pret</w:t>
      </w:r>
      <w:r w:rsidR="00E2412D" w:rsidRPr="00314858">
        <w:rPr>
          <w:rFonts w:ascii="Times New Roman" w:hAnsi="Times New Roman" w:cs="Times New Roman"/>
          <w:lang w:val="sr-Latn-ME"/>
        </w:rPr>
        <w:t>j</w:t>
      </w:r>
      <w:r w:rsidRPr="00314858">
        <w:rPr>
          <w:rFonts w:ascii="Times New Roman" w:hAnsi="Times New Roman" w:cs="Times New Roman"/>
          <w:lang w:val="sr-Latn-ME"/>
        </w:rPr>
        <w:t>eranom farmakološkom aktivnošću dabigatrana u kombinaciji sa d</w:t>
      </w:r>
      <w:r w:rsidR="00CD6132" w:rsidRPr="00314858">
        <w:rPr>
          <w:rFonts w:ascii="Times New Roman" w:hAnsi="Times New Roman" w:cs="Times New Roman"/>
          <w:lang w:val="sr-Latn-ME"/>
        </w:rPr>
        <w:t>j</w:t>
      </w:r>
      <w:r w:rsidRPr="00314858">
        <w:rPr>
          <w:rFonts w:ascii="Times New Roman" w:hAnsi="Times New Roman" w:cs="Times New Roman"/>
          <w:lang w:val="sr-Latn-ME"/>
        </w:rPr>
        <w:t>elovanjem mehaničkih sila</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tokom doziranja i rukovanja. Podaci </w:t>
      </w:r>
      <w:r w:rsidR="008869B9" w:rsidRPr="00314858">
        <w:rPr>
          <w:rFonts w:ascii="Times New Roman" w:hAnsi="Times New Roman" w:cs="Times New Roman"/>
          <w:lang w:val="sr-Latn-ME"/>
        </w:rPr>
        <w:t>ispitivanja</w:t>
      </w:r>
      <w:r w:rsidRPr="00314858">
        <w:rPr>
          <w:rFonts w:ascii="Times New Roman" w:hAnsi="Times New Roman" w:cs="Times New Roman"/>
          <w:lang w:val="sr-Latn-ME"/>
        </w:rPr>
        <w:t xml:space="preserve"> juvenilne toksičnosti ni</w:t>
      </w:r>
      <w:r w:rsidR="00D165D6" w:rsidRPr="00314858">
        <w:rPr>
          <w:rFonts w:ascii="Times New Roman" w:hAnsi="Times New Roman" w:cs="Times New Roman"/>
          <w:lang w:val="sr-Latn-ME"/>
        </w:rPr>
        <w:t>je</w:t>
      </w:r>
      <w:r w:rsidRPr="00314858">
        <w:rPr>
          <w:rFonts w:ascii="Times New Roman" w:hAnsi="Times New Roman" w:cs="Times New Roman"/>
          <w:lang w:val="sr-Latn-ME"/>
        </w:rPr>
        <w:t>su ukazali ni na povećanu</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os</w:t>
      </w:r>
      <w:r w:rsidR="00E2412D" w:rsidRPr="00314858">
        <w:rPr>
          <w:rFonts w:ascii="Times New Roman" w:hAnsi="Times New Roman" w:cs="Times New Roman"/>
          <w:lang w:val="sr-Latn-ME"/>
        </w:rPr>
        <w:t>j</w:t>
      </w:r>
      <w:r w:rsidRPr="00314858">
        <w:rPr>
          <w:rFonts w:ascii="Times New Roman" w:hAnsi="Times New Roman" w:cs="Times New Roman"/>
          <w:lang w:val="sr-Latn-ME"/>
        </w:rPr>
        <w:t xml:space="preserve">etljivost </w:t>
      </w:r>
      <w:r w:rsidR="00463E91" w:rsidRPr="00314858">
        <w:rPr>
          <w:rFonts w:ascii="Times New Roman" w:hAnsi="Times New Roman" w:cs="Times New Roman"/>
          <w:lang w:val="sr-Latn-ME"/>
        </w:rPr>
        <w:t>na</w:t>
      </w:r>
      <w:r w:rsidRPr="00314858">
        <w:rPr>
          <w:rFonts w:ascii="Times New Roman" w:hAnsi="Times New Roman" w:cs="Times New Roman"/>
          <w:lang w:val="sr-Latn-ME"/>
        </w:rPr>
        <w:t xml:space="preserve"> toksičnost</w:t>
      </w:r>
      <w:r w:rsidR="008869B9" w:rsidRPr="00314858">
        <w:rPr>
          <w:rFonts w:ascii="Times New Roman" w:hAnsi="Times New Roman" w:cs="Times New Roman"/>
          <w:lang w:val="sr-Latn-ME"/>
        </w:rPr>
        <w:t>,</w:t>
      </w:r>
      <w:r w:rsidRPr="00314858">
        <w:rPr>
          <w:rFonts w:ascii="Times New Roman" w:hAnsi="Times New Roman" w:cs="Times New Roman"/>
          <w:lang w:val="sr-Latn-ME"/>
        </w:rPr>
        <w:t xml:space="preserve"> niti na bilo koju toksičnost specifičnu za juvenilne životinje.</w:t>
      </w:r>
    </w:p>
    <w:p w14:paraId="6F4D01C2" w14:textId="77777777" w:rsidR="00463E91" w:rsidRPr="00314858" w:rsidRDefault="00463E91" w:rsidP="00D67D34">
      <w:pPr>
        <w:spacing w:after="0" w:line="240" w:lineRule="auto"/>
        <w:jc w:val="both"/>
        <w:rPr>
          <w:rFonts w:ascii="Times New Roman" w:hAnsi="Times New Roman" w:cs="Times New Roman"/>
          <w:lang w:val="sr-Latn-ME"/>
        </w:rPr>
      </w:pPr>
    </w:p>
    <w:p w14:paraId="3F92CD04" w14:textId="207A490F"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 xml:space="preserve">U </w:t>
      </w:r>
      <w:r w:rsidR="008869B9" w:rsidRPr="00314858">
        <w:rPr>
          <w:rFonts w:ascii="Times New Roman" w:hAnsi="Times New Roman" w:cs="Times New Roman"/>
          <w:lang w:val="sr-Latn-ME"/>
        </w:rPr>
        <w:t>ispitivanjima</w:t>
      </w:r>
      <w:r w:rsidRPr="00314858">
        <w:rPr>
          <w:rFonts w:ascii="Times New Roman" w:hAnsi="Times New Roman" w:cs="Times New Roman"/>
          <w:lang w:val="sr-Latn-ME"/>
        </w:rPr>
        <w:t xml:space="preserve"> doživotne toksičnosti na pacovima i miševima nije bilo dokaza tumorogenog potencijala</w:t>
      </w:r>
      <w:r w:rsidR="00FC549A" w:rsidRPr="00314858">
        <w:rPr>
          <w:rFonts w:ascii="Times New Roman" w:hAnsi="Times New Roman" w:cs="Times New Roman"/>
          <w:lang w:val="sr-Latn-ME"/>
        </w:rPr>
        <w:t xml:space="preserve"> </w:t>
      </w:r>
      <w:r w:rsidRPr="00314858">
        <w:rPr>
          <w:rFonts w:ascii="Times New Roman" w:hAnsi="Times New Roman" w:cs="Times New Roman"/>
          <w:lang w:val="sr-Latn-ME"/>
        </w:rPr>
        <w:t xml:space="preserve">dabigatrana pri maksimalnim dozama </w:t>
      </w:r>
      <w:r w:rsidR="008869B9" w:rsidRPr="00314858">
        <w:rPr>
          <w:rFonts w:ascii="Times New Roman" w:hAnsi="Times New Roman" w:cs="Times New Roman"/>
          <w:lang w:val="sr-Latn-ME"/>
        </w:rPr>
        <w:t>od</w:t>
      </w:r>
      <w:r w:rsidRPr="00314858">
        <w:rPr>
          <w:rFonts w:ascii="Times New Roman" w:hAnsi="Times New Roman" w:cs="Times New Roman"/>
          <w:lang w:val="sr-Latn-ME"/>
        </w:rPr>
        <w:t xml:space="preserve"> 200 mg/kg.</w:t>
      </w:r>
    </w:p>
    <w:p w14:paraId="53522570" w14:textId="77777777" w:rsidR="00FC549A" w:rsidRPr="00314858" w:rsidRDefault="00FC549A" w:rsidP="00D67D34">
      <w:pPr>
        <w:spacing w:after="0" w:line="240" w:lineRule="auto"/>
        <w:jc w:val="both"/>
        <w:rPr>
          <w:rFonts w:ascii="Times New Roman" w:hAnsi="Times New Roman" w:cs="Times New Roman"/>
          <w:lang w:val="sr-Latn-ME"/>
        </w:rPr>
      </w:pPr>
    </w:p>
    <w:p w14:paraId="7DCFD968" w14:textId="5EC933B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Dabigatran, aktivni d</w:t>
      </w:r>
      <w:r w:rsidR="00CD6132" w:rsidRPr="00314858">
        <w:rPr>
          <w:rFonts w:ascii="Times New Roman" w:hAnsi="Times New Roman" w:cs="Times New Roman"/>
          <w:lang w:val="sr-Latn-ME"/>
        </w:rPr>
        <w:t>i</w:t>
      </w:r>
      <w:r w:rsidRPr="00314858">
        <w:rPr>
          <w:rFonts w:ascii="Times New Roman" w:hAnsi="Times New Roman" w:cs="Times New Roman"/>
          <w:lang w:val="sr-Latn-ME"/>
        </w:rPr>
        <w:t>o dabigatraneteksilat</w:t>
      </w:r>
      <w:r w:rsidR="00CD6132" w:rsidRPr="00314858">
        <w:rPr>
          <w:rFonts w:ascii="Times New Roman" w:hAnsi="Times New Roman" w:cs="Times New Roman"/>
          <w:lang w:val="sr-Latn-ME"/>
        </w:rPr>
        <w:t xml:space="preserve"> </w:t>
      </w:r>
      <w:r w:rsidRPr="00314858">
        <w:rPr>
          <w:rFonts w:ascii="Times New Roman" w:hAnsi="Times New Roman" w:cs="Times New Roman"/>
          <w:lang w:val="sr-Latn-ME"/>
        </w:rPr>
        <w:t>mesilata, se zadržava u spolj</w:t>
      </w:r>
      <w:r w:rsidR="008869B9" w:rsidRPr="00314858">
        <w:rPr>
          <w:rFonts w:ascii="Times New Roman" w:hAnsi="Times New Roman" w:cs="Times New Roman"/>
          <w:lang w:val="sr-Latn-ME"/>
        </w:rPr>
        <w:t>ašnjoj</w:t>
      </w:r>
      <w:r w:rsidRPr="00314858">
        <w:rPr>
          <w:rFonts w:ascii="Times New Roman" w:hAnsi="Times New Roman" w:cs="Times New Roman"/>
          <w:lang w:val="sr-Latn-ME"/>
        </w:rPr>
        <w:t xml:space="preserve"> sredini.</w:t>
      </w:r>
    </w:p>
    <w:p w14:paraId="29D46B82" w14:textId="00AAAB15" w:rsidR="00D67D34" w:rsidRPr="00314858" w:rsidRDefault="00D67D34" w:rsidP="00D67D34">
      <w:pPr>
        <w:spacing w:after="0" w:line="240" w:lineRule="auto"/>
        <w:jc w:val="both"/>
        <w:rPr>
          <w:rFonts w:ascii="Times New Roman" w:hAnsi="Times New Roman" w:cs="Times New Roman"/>
          <w:lang w:val="sr-Latn-ME" w:bidi="en-US"/>
        </w:rPr>
      </w:pPr>
    </w:p>
    <w:p w14:paraId="2E71ED9E" w14:textId="77777777" w:rsidR="00ED227D" w:rsidRPr="00314858" w:rsidRDefault="00ED227D" w:rsidP="00D67D34">
      <w:pPr>
        <w:spacing w:after="0" w:line="240" w:lineRule="auto"/>
        <w:jc w:val="both"/>
        <w:rPr>
          <w:rFonts w:ascii="Times New Roman" w:hAnsi="Times New Roman" w:cs="Times New Roman"/>
          <w:lang w:val="sr-Latn-ME" w:bidi="en-US"/>
        </w:rPr>
      </w:pPr>
    </w:p>
    <w:p w14:paraId="552D3676" w14:textId="1F2CCACC"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6. </w:t>
      </w:r>
      <w:r w:rsidR="00D165D6" w:rsidRPr="00314858">
        <w:rPr>
          <w:rFonts w:ascii="Times New Roman" w:hAnsi="Times New Roman" w:cs="Times New Roman"/>
          <w:b/>
          <w:bCs/>
          <w:lang w:val="sr-Latn-ME" w:bidi="en-US"/>
        </w:rPr>
        <w:t xml:space="preserve"> </w:t>
      </w:r>
      <w:r w:rsidR="00D67D34" w:rsidRPr="00314858">
        <w:rPr>
          <w:rFonts w:ascii="Times New Roman" w:hAnsi="Times New Roman" w:cs="Times New Roman"/>
          <w:b/>
          <w:bCs/>
          <w:lang w:val="sr-Latn-ME" w:bidi="en-US"/>
        </w:rPr>
        <w:t>FARMACEUTSKI PODACI</w:t>
      </w:r>
    </w:p>
    <w:p w14:paraId="428F3DB6" w14:textId="77777777" w:rsidR="00D67D34" w:rsidRPr="00314858" w:rsidRDefault="00D67D34" w:rsidP="00D67D34">
      <w:pPr>
        <w:spacing w:after="0" w:line="240" w:lineRule="auto"/>
        <w:jc w:val="both"/>
        <w:rPr>
          <w:rFonts w:ascii="Times New Roman" w:hAnsi="Times New Roman" w:cs="Times New Roman"/>
          <w:lang w:val="sr-Latn-ME" w:bidi="en-US"/>
        </w:rPr>
      </w:pPr>
    </w:p>
    <w:p w14:paraId="0C3F37BA" w14:textId="42CC33F8"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6.1. </w:t>
      </w:r>
      <w:r w:rsidR="00D67D34" w:rsidRPr="00314858">
        <w:rPr>
          <w:rFonts w:ascii="Times New Roman" w:hAnsi="Times New Roman" w:cs="Times New Roman"/>
          <w:b/>
          <w:bCs/>
          <w:lang w:val="sr-Latn-ME" w:bidi="en-US"/>
        </w:rPr>
        <w:t>Lista pomoćnih supstanci</w:t>
      </w:r>
      <w:r w:rsidR="00E2412D" w:rsidRPr="00314858">
        <w:rPr>
          <w:rFonts w:ascii="Times New Roman" w:hAnsi="Times New Roman" w:cs="Times New Roman"/>
          <w:b/>
          <w:bCs/>
          <w:lang w:val="sr-Latn-ME" w:bidi="en-US"/>
        </w:rPr>
        <w:t xml:space="preserve"> (ekscipijenasa)</w:t>
      </w:r>
    </w:p>
    <w:p w14:paraId="70498E6B" w14:textId="77777777" w:rsidR="00D67D34" w:rsidRPr="00314858" w:rsidRDefault="00D67D34" w:rsidP="00D67D34">
      <w:pPr>
        <w:spacing w:after="0" w:line="240" w:lineRule="auto"/>
        <w:jc w:val="both"/>
        <w:rPr>
          <w:rFonts w:ascii="Times New Roman" w:hAnsi="Times New Roman" w:cs="Times New Roman"/>
          <w:lang w:val="sr-Latn-ME" w:bidi="en-US"/>
        </w:rPr>
      </w:pPr>
    </w:p>
    <w:p w14:paraId="50E99362"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u w:val="single"/>
          <w:lang w:val="sr-Latn-ME" w:bidi="en-US"/>
        </w:rPr>
        <w:t>Sadržaj kapsule</w:t>
      </w:r>
    </w:p>
    <w:p w14:paraId="2BC801D3" w14:textId="07C06471"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Vinska kiselina</w:t>
      </w:r>
      <w:r w:rsidR="008869B9" w:rsidRPr="00314858">
        <w:rPr>
          <w:rFonts w:ascii="Times New Roman" w:hAnsi="Times New Roman" w:cs="Times New Roman"/>
          <w:lang w:val="sr-Latn-ME" w:bidi="en-US"/>
        </w:rPr>
        <w:t>, pelete</w:t>
      </w:r>
    </w:p>
    <w:p w14:paraId="32FAD2B8" w14:textId="040A5FFA"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Hipromeloza</w:t>
      </w:r>
      <w:r w:rsidR="008869B9" w:rsidRPr="00314858">
        <w:rPr>
          <w:rFonts w:ascii="Times New Roman" w:hAnsi="Times New Roman" w:cs="Times New Roman"/>
          <w:lang w:val="sr-Latn-ME" w:bidi="en-US"/>
        </w:rPr>
        <w:t xml:space="preserve"> 6cP</w:t>
      </w:r>
    </w:p>
    <w:p w14:paraId="5B72B93B"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Dimetikon 350</w:t>
      </w:r>
    </w:p>
    <w:p w14:paraId="5B38E4D9"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Talk</w:t>
      </w:r>
    </w:p>
    <w:p w14:paraId="30B03F8F" w14:textId="633598A0"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Hidroksipropil</w:t>
      </w:r>
      <w:r w:rsidR="00F57530"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celuloza</w:t>
      </w:r>
      <w:r w:rsidR="0004530C" w:rsidRPr="00314858">
        <w:rPr>
          <w:rFonts w:ascii="Times New Roman" w:hAnsi="Times New Roman" w:cs="Times New Roman"/>
          <w:lang w:val="sr-Latn-ME" w:bidi="en-US"/>
        </w:rPr>
        <w:t xml:space="preserve"> (Klucel EXF)</w:t>
      </w:r>
    </w:p>
    <w:p w14:paraId="74832BE9" w14:textId="77777777" w:rsidR="00D67D34" w:rsidRPr="00314858" w:rsidRDefault="00D67D34" w:rsidP="00D67D34">
      <w:pPr>
        <w:spacing w:after="0" w:line="240" w:lineRule="auto"/>
        <w:jc w:val="both"/>
        <w:rPr>
          <w:rFonts w:ascii="Times New Roman" w:hAnsi="Times New Roman" w:cs="Times New Roman"/>
          <w:lang w:val="sr-Latn-ME" w:bidi="en-US"/>
        </w:rPr>
      </w:pPr>
    </w:p>
    <w:p w14:paraId="6738771D"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u w:val="single"/>
          <w:lang w:val="sr-Latn-ME" w:bidi="en-US"/>
        </w:rPr>
        <w:t>Omotač kapsule</w:t>
      </w:r>
    </w:p>
    <w:p w14:paraId="7C3E7BE8"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Karagenin (E407)</w:t>
      </w:r>
    </w:p>
    <w:p w14:paraId="04247476" w14:textId="67D1E19F"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Kalijum</w:t>
      </w:r>
      <w:r w:rsidR="00F57530"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hlorid</w:t>
      </w:r>
    </w:p>
    <w:p w14:paraId="05948C0B" w14:textId="79C99169"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Titan</w:t>
      </w:r>
      <w:r w:rsidR="00F57530"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dioksid (E171)</w:t>
      </w:r>
    </w:p>
    <w:p w14:paraId="2ECD25D0"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Indigotin – FD&amp;C Plavo 2 (E132)</w:t>
      </w:r>
    </w:p>
    <w:p w14:paraId="0F306FA9" w14:textId="77A4BC56"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Hipromeloza</w:t>
      </w:r>
      <w:r w:rsidR="0004530C" w:rsidRPr="00314858">
        <w:rPr>
          <w:rFonts w:ascii="Times New Roman" w:hAnsi="Times New Roman" w:cs="Times New Roman"/>
          <w:lang w:val="sr-Latn-ME" w:bidi="en-US"/>
        </w:rPr>
        <w:t xml:space="preserve"> 2910</w:t>
      </w:r>
    </w:p>
    <w:p w14:paraId="50386ABA" w14:textId="77777777" w:rsidR="00D67D34" w:rsidRPr="00314858" w:rsidRDefault="00D67D34" w:rsidP="00D67D34">
      <w:pPr>
        <w:spacing w:after="0" w:line="240" w:lineRule="auto"/>
        <w:jc w:val="both"/>
        <w:rPr>
          <w:rFonts w:ascii="Times New Roman" w:hAnsi="Times New Roman" w:cs="Times New Roman"/>
          <w:lang w:val="sr-Latn-ME" w:bidi="en-US"/>
        </w:rPr>
      </w:pPr>
    </w:p>
    <w:p w14:paraId="1F635496"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u w:val="single"/>
          <w:lang w:val="sr-Latn-ME" w:bidi="en-US"/>
        </w:rPr>
        <w:t>Crno mastilo za štampu</w:t>
      </w:r>
    </w:p>
    <w:p w14:paraId="40B0D15D"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Šelak (E904)</w:t>
      </w:r>
    </w:p>
    <w:p w14:paraId="5A5CB294" w14:textId="44DC64A0"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Gvožđe</w:t>
      </w:r>
      <w:r w:rsidR="00F57530"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(III)</w:t>
      </w:r>
      <w:r w:rsidR="00F57530"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oksid, crni (E172)</w:t>
      </w:r>
    </w:p>
    <w:p w14:paraId="313BB0C8" w14:textId="384B67E5" w:rsidR="00D67D34" w:rsidRPr="00314858" w:rsidRDefault="00D67D34" w:rsidP="00D67D34">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Propilen</w:t>
      </w:r>
      <w:r w:rsidR="00F57530" w:rsidRPr="00314858">
        <w:rPr>
          <w:rFonts w:ascii="Times New Roman" w:hAnsi="Times New Roman" w:cs="Times New Roman"/>
          <w:lang w:val="sr-Latn-ME"/>
        </w:rPr>
        <w:t xml:space="preserve"> </w:t>
      </w:r>
      <w:r w:rsidRPr="00314858">
        <w:rPr>
          <w:rFonts w:ascii="Times New Roman" w:hAnsi="Times New Roman" w:cs="Times New Roman"/>
          <w:lang w:val="sr-Latn-ME"/>
        </w:rPr>
        <w:t>glikol</w:t>
      </w:r>
      <w:r w:rsidR="00ED227D" w:rsidRPr="00314858">
        <w:rPr>
          <w:rFonts w:ascii="Times New Roman" w:hAnsi="Times New Roman" w:cs="Times New Roman"/>
          <w:lang w:val="sr-Latn-ME"/>
        </w:rPr>
        <w:t xml:space="preserve"> </w:t>
      </w:r>
      <w:r w:rsidRPr="00314858">
        <w:rPr>
          <w:rFonts w:ascii="Times New Roman" w:hAnsi="Times New Roman" w:cs="Times New Roman"/>
          <w:lang w:val="sr-Latn-ME"/>
        </w:rPr>
        <w:t>(E1520)</w:t>
      </w:r>
    </w:p>
    <w:p w14:paraId="59F9BA67" w14:textId="6A94612D" w:rsidR="00D67D34" w:rsidRPr="00314858" w:rsidRDefault="0004530C"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Amonijak</w:t>
      </w:r>
      <w:r w:rsidR="008869B9" w:rsidRPr="00314858">
        <w:rPr>
          <w:rFonts w:ascii="Times New Roman" w:hAnsi="Times New Roman" w:cs="Times New Roman"/>
          <w:lang w:val="sr-Latn-ME"/>
        </w:rPr>
        <w:t>,</w:t>
      </w:r>
      <w:r w:rsidRPr="00314858">
        <w:rPr>
          <w:rFonts w:ascii="Times New Roman" w:hAnsi="Times New Roman" w:cs="Times New Roman"/>
          <w:lang w:val="sr-Latn-ME"/>
        </w:rPr>
        <w:t xml:space="preserve"> rastvor koncentrovani </w:t>
      </w:r>
      <w:r w:rsidR="00D67D34" w:rsidRPr="00314858">
        <w:rPr>
          <w:rFonts w:ascii="Times New Roman" w:hAnsi="Times New Roman" w:cs="Times New Roman"/>
          <w:lang w:val="sr-Latn-ME"/>
        </w:rPr>
        <w:t>(E527)</w:t>
      </w:r>
    </w:p>
    <w:p w14:paraId="5C70E1C6" w14:textId="560D3526"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Kalijum</w:t>
      </w:r>
      <w:r w:rsidR="00F57530" w:rsidRPr="00314858">
        <w:rPr>
          <w:rFonts w:ascii="Times New Roman" w:hAnsi="Times New Roman" w:cs="Times New Roman"/>
          <w:lang w:val="sr-Latn-ME" w:bidi="en-US"/>
        </w:rPr>
        <w:t xml:space="preserve"> </w:t>
      </w:r>
      <w:r w:rsidRPr="00314858">
        <w:rPr>
          <w:rFonts w:ascii="Times New Roman" w:hAnsi="Times New Roman" w:cs="Times New Roman"/>
          <w:lang w:val="sr-Latn-ME" w:bidi="en-US"/>
        </w:rPr>
        <w:t>hidroksid (E525)</w:t>
      </w:r>
    </w:p>
    <w:p w14:paraId="167C6A2F" w14:textId="07033DEE"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lastRenderedPageBreak/>
        <w:t xml:space="preserve">6.2. </w:t>
      </w:r>
      <w:r w:rsidR="00D67D34" w:rsidRPr="00314858">
        <w:rPr>
          <w:rFonts w:ascii="Times New Roman" w:hAnsi="Times New Roman" w:cs="Times New Roman"/>
          <w:b/>
          <w:bCs/>
          <w:lang w:val="sr-Latn-ME" w:bidi="en-US"/>
        </w:rPr>
        <w:t>Inkompatibilnost</w:t>
      </w:r>
      <w:r w:rsidR="00E2412D" w:rsidRPr="00314858">
        <w:rPr>
          <w:rFonts w:ascii="Times New Roman" w:hAnsi="Times New Roman" w:cs="Times New Roman"/>
          <w:b/>
          <w:bCs/>
          <w:lang w:val="sr-Latn-ME" w:bidi="en-US"/>
        </w:rPr>
        <w:t>i</w:t>
      </w:r>
    </w:p>
    <w:p w14:paraId="3E025588" w14:textId="77777777" w:rsidR="00D67D34" w:rsidRPr="00314858" w:rsidRDefault="00D67D34" w:rsidP="00D67D34">
      <w:pPr>
        <w:spacing w:after="0" w:line="240" w:lineRule="auto"/>
        <w:jc w:val="both"/>
        <w:rPr>
          <w:rFonts w:ascii="Times New Roman" w:hAnsi="Times New Roman" w:cs="Times New Roman"/>
          <w:lang w:val="sr-Latn-ME" w:bidi="en-US"/>
        </w:rPr>
      </w:pPr>
    </w:p>
    <w:p w14:paraId="7A980EAE" w14:textId="33F01FDF"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Nije prim</w:t>
      </w:r>
      <w:r w:rsidR="00F57530" w:rsidRPr="00314858">
        <w:rPr>
          <w:rFonts w:ascii="Times New Roman" w:hAnsi="Times New Roman" w:cs="Times New Roman"/>
          <w:lang w:val="sr-Latn-ME" w:bidi="en-US"/>
        </w:rPr>
        <w:t>j</w:t>
      </w:r>
      <w:r w:rsidRPr="00314858">
        <w:rPr>
          <w:rFonts w:ascii="Times New Roman" w:hAnsi="Times New Roman" w:cs="Times New Roman"/>
          <w:lang w:val="sr-Latn-ME" w:bidi="en-US"/>
        </w:rPr>
        <w:t>enljivo.</w:t>
      </w:r>
    </w:p>
    <w:p w14:paraId="367825F8" w14:textId="77777777" w:rsidR="00D67D34" w:rsidRPr="00314858" w:rsidRDefault="00D67D34" w:rsidP="00D67D34">
      <w:pPr>
        <w:spacing w:after="0" w:line="240" w:lineRule="auto"/>
        <w:jc w:val="both"/>
        <w:rPr>
          <w:rFonts w:ascii="Times New Roman" w:hAnsi="Times New Roman" w:cs="Times New Roman"/>
          <w:lang w:val="sr-Latn-ME" w:bidi="en-US"/>
        </w:rPr>
      </w:pPr>
    </w:p>
    <w:p w14:paraId="3A555F34" w14:textId="734DC5EA"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6.3. </w:t>
      </w:r>
      <w:r w:rsidR="00D67D34" w:rsidRPr="00314858">
        <w:rPr>
          <w:rFonts w:ascii="Times New Roman" w:hAnsi="Times New Roman" w:cs="Times New Roman"/>
          <w:b/>
          <w:bCs/>
          <w:lang w:val="sr-Latn-ME" w:bidi="en-US"/>
        </w:rPr>
        <w:t>Rok upotrebe</w:t>
      </w:r>
    </w:p>
    <w:p w14:paraId="15BD618B" w14:textId="77777777" w:rsidR="00D67D34" w:rsidRPr="00314858" w:rsidRDefault="00D67D34" w:rsidP="00D67D34">
      <w:pPr>
        <w:spacing w:after="0" w:line="240" w:lineRule="auto"/>
        <w:jc w:val="both"/>
        <w:rPr>
          <w:rFonts w:ascii="Times New Roman" w:hAnsi="Times New Roman" w:cs="Times New Roman"/>
          <w:lang w:val="sr-Latn-ME" w:bidi="en-US"/>
        </w:rPr>
      </w:pPr>
    </w:p>
    <w:p w14:paraId="1D53D5AF" w14:textId="77777777"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2 godine</w:t>
      </w:r>
    </w:p>
    <w:p w14:paraId="17234700" w14:textId="77777777" w:rsidR="00D67D34" w:rsidRPr="00314858" w:rsidRDefault="00D67D34" w:rsidP="00D67D34">
      <w:pPr>
        <w:spacing w:after="0" w:line="240" w:lineRule="auto"/>
        <w:jc w:val="both"/>
        <w:rPr>
          <w:rFonts w:ascii="Times New Roman" w:hAnsi="Times New Roman" w:cs="Times New Roman"/>
          <w:lang w:val="sr-Latn-ME" w:bidi="en-US"/>
        </w:rPr>
      </w:pPr>
    </w:p>
    <w:p w14:paraId="3F6779AE" w14:textId="1C3C5466"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6.4. </w:t>
      </w:r>
      <w:r w:rsidR="00D67D34" w:rsidRPr="00314858">
        <w:rPr>
          <w:rFonts w:ascii="Times New Roman" w:hAnsi="Times New Roman" w:cs="Times New Roman"/>
          <w:b/>
          <w:bCs/>
          <w:lang w:val="sr-Latn-ME" w:bidi="en-US"/>
        </w:rPr>
        <w:t>Posebne m</w:t>
      </w:r>
      <w:r w:rsidR="00E2412D" w:rsidRPr="00314858">
        <w:rPr>
          <w:rFonts w:ascii="Times New Roman" w:hAnsi="Times New Roman" w:cs="Times New Roman"/>
          <w:b/>
          <w:bCs/>
          <w:lang w:val="sr-Latn-ME" w:bidi="en-US"/>
        </w:rPr>
        <w:t>j</w:t>
      </w:r>
      <w:r w:rsidR="00D67D34" w:rsidRPr="00314858">
        <w:rPr>
          <w:rFonts w:ascii="Times New Roman" w:hAnsi="Times New Roman" w:cs="Times New Roman"/>
          <w:b/>
          <w:bCs/>
          <w:lang w:val="sr-Latn-ME" w:bidi="en-US"/>
        </w:rPr>
        <w:t>ere opreza pri čuvanju</w:t>
      </w:r>
      <w:r w:rsidR="00E2412D" w:rsidRPr="00314858">
        <w:rPr>
          <w:rFonts w:ascii="Times New Roman" w:hAnsi="Times New Roman" w:cs="Times New Roman"/>
          <w:b/>
          <w:bCs/>
          <w:lang w:val="sr-Latn-ME" w:bidi="en-US"/>
        </w:rPr>
        <w:t xml:space="preserve"> lijeka</w:t>
      </w:r>
    </w:p>
    <w:p w14:paraId="7FB3E844" w14:textId="77777777" w:rsidR="00D67D34" w:rsidRPr="00314858" w:rsidRDefault="00D67D34" w:rsidP="00D67D34">
      <w:pPr>
        <w:spacing w:after="0" w:line="240" w:lineRule="auto"/>
        <w:jc w:val="both"/>
        <w:rPr>
          <w:rFonts w:ascii="Times New Roman" w:hAnsi="Times New Roman" w:cs="Times New Roman"/>
          <w:u w:val="single"/>
          <w:lang w:val="sr-Latn-ME" w:bidi="en-US"/>
        </w:rPr>
      </w:pPr>
    </w:p>
    <w:p w14:paraId="117BF716" w14:textId="66F17A4B" w:rsidR="00D67D34" w:rsidRPr="00314858" w:rsidRDefault="00D67D34"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Ovaj l</w:t>
      </w:r>
      <w:r w:rsidR="00E2412D" w:rsidRPr="00314858">
        <w:rPr>
          <w:rFonts w:ascii="Times New Roman" w:hAnsi="Times New Roman" w:cs="Times New Roman"/>
          <w:lang w:val="sr-Latn-ME" w:bidi="en-US"/>
        </w:rPr>
        <w:t>ij</w:t>
      </w:r>
      <w:r w:rsidRPr="00314858">
        <w:rPr>
          <w:rFonts w:ascii="Times New Roman" w:hAnsi="Times New Roman" w:cs="Times New Roman"/>
          <w:lang w:val="sr-Latn-ME" w:bidi="en-US"/>
        </w:rPr>
        <w:t>ek ne zaht</w:t>
      </w:r>
      <w:r w:rsidR="00E2412D" w:rsidRPr="00314858">
        <w:rPr>
          <w:rFonts w:ascii="Times New Roman" w:hAnsi="Times New Roman" w:cs="Times New Roman"/>
          <w:lang w:val="sr-Latn-ME" w:bidi="en-US"/>
        </w:rPr>
        <w:t>ij</w:t>
      </w:r>
      <w:r w:rsidRPr="00314858">
        <w:rPr>
          <w:rFonts w:ascii="Times New Roman" w:hAnsi="Times New Roman" w:cs="Times New Roman"/>
          <w:lang w:val="sr-Latn-ME" w:bidi="en-US"/>
        </w:rPr>
        <w:t xml:space="preserve">eva posebne </w:t>
      </w:r>
      <w:r w:rsidR="00ED319E" w:rsidRPr="00314858">
        <w:rPr>
          <w:rFonts w:ascii="Times New Roman" w:hAnsi="Times New Roman" w:cs="Times New Roman"/>
          <w:lang w:val="sr-Latn-ME" w:bidi="en-US"/>
        </w:rPr>
        <w:t xml:space="preserve">temperaturne </w:t>
      </w:r>
      <w:r w:rsidRPr="00314858">
        <w:rPr>
          <w:rFonts w:ascii="Times New Roman" w:hAnsi="Times New Roman" w:cs="Times New Roman"/>
          <w:lang w:val="sr-Latn-ME" w:bidi="en-US"/>
        </w:rPr>
        <w:t xml:space="preserve">uslove čuvanja. Čuvati u originalnom pakovanju radi zaštite od </w:t>
      </w:r>
      <w:r w:rsidR="0004530C" w:rsidRPr="00314858">
        <w:rPr>
          <w:rFonts w:ascii="Times New Roman" w:hAnsi="Times New Roman" w:cs="Times New Roman"/>
          <w:lang w:val="sr-Latn-ME" w:bidi="en-US"/>
        </w:rPr>
        <w:t>vlage</w:t>
      </w:r>
      <w:r w:rsidRPr="00314858">
        <w:rPr>
          <w:rFonts w:ascii="Times New Roman" w:hAnsi="Times New Roman" w:cs="Times New Roman"/>
          <w:lang w:val="sr-Latn-ME" w:bidi="en-US"/>
        </w:rPr>
        <w:t>.</w:t>
      </w:r>
    </w:p>
    <w:p w14:paraId="106F0F00" w14:textId="77777777" w:rsidR="00D67D34" w:rsidRPr="00314858" w:rsidRDefault="00D67D34" w:rsidP="00D67D34">
      <w:pPr>
        <w:spacing w:after="0" w:line="240" w:lineRule="auto"/>
        <w:jc w:val="both"/>
        <w:rPr>
          <w:rFonts w:ascii="Times New Roman" w:hAnsi="Times New Roman" w:cs="Times New Roman"/>
          <w:lang w:val="sr-Latn-ME" w:bidi="en-US"/>
        </w:rPr>
      </w:pPr>
    </w:p>
    <w:p w14:paraId="0F9F27FA" w14:textId="3A5A8BA6"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6.5. </w:t>
      </w:r>
      <w:r w:rsidR="00E2412D" w:rsidRPr="00314858">
        <w:rPr>
          <w:rFonts w:ascii="Times New Roman" w:hAnsi="Times New Roman" w:cs="Times New Roman"/>
          <w:b/>
          <w:bCs/>
          <w:lang w:val="sr-Latn-ME" w:bidi="en-US"/>
        </w:rPr>
        <w:t>Vrsta</w:t>
      </w:r>
      <w:r w:rsidR="00D67D34" w:rsidRPr="00314858">
        <w:rPr>
          <w:rFonts w:ascii="Times New Roman" w:hAnsi="Times New Roman" w:cs="Times New Roman"/>
          <w:b/>
          <w:bCs/>
          <w:lang w:val="sr-Latn-ME" w:bidi="en-US"/>
        </w:rPr>
        <w:t xml:space="preserve"> i sadržaj pakovanja</w:t>
      </w:r>
    </w:p>
    <w:p w14:paraId="67CD6567" w14:textId="77777777" w:rsidR="00D67D34" w:rsidRPr="00314858" w:rsidRDefault="00D67D34" w:rsidP="00D67D34">
      <w:pPr>
        <w:spacing w:after="0" w:line="240" w:lineRule="auto"/>
        <w:jc w:val="both"/>
        <w:rPr>
          <w:rFonts w:ascii="Times New Roman" w:hAnsi="Times New Roman" w:cs="Times New Roman"/>
          <w:lang w:val="sr-Latn-ME" w:bidi="en-US"/>
        </w:rPr>
      </w:pPr>
    </w:p>
    <w:p w14:paraId="6AB56C69" w14:textId="1947778B" w:rsidR="00ED319E" w:rsidRDefault="00ED319E" w:rsidP="00ED319E">
      <w:pPr>
        <w:spacing w:after="0" w:line="240" w:lineRule="auto"/>
        <w:jc w:val="both"/>
        <w:rPr>
          <w:rFonts w:ascii="Times New Roman" w:hAnsi="Times New Roman" w:cs="Times New Roman"/>
          <w:lang w:val="sr-Latn-ME"/>
        </w:rPr>
      </w:pPr>
      <w:r w:rsidRPr="00314858">
        <w:rPr>
          <w:rFonts w:ascii="Times New Roman" w:hAnsi="Times New Roman" w:cs="Times New Roman"/>
          <w:lang w:val="sr-Latn-ME"/>
        </w:rPr>
        <w:t>Unutrašnje pakovanje l</w:t>
      </w:r>
      <w:r w:rsidR="00E2412D" w:rsidRPr="00314858">
        <w:rPr>
          <w:rFonts w:ascii="Times New Roman" w:hAnsi="Times New Roman" w:cs="Times New Roman"/>
          <w:lang w:val="sr-Latn-ME"/>
        </w:rPr>
        <w:t>ij</w:t>
      </w:r>
      <w:r w:rsidRPr="00314858">
        <w:rPr>
          <w:rFonts w:ascii="Times New Roman" w:hAnsi="Times New Roman" w:cs="Times New Roman"/>
          <w:lang w:val="sr-Latn-ME"/>
        </w:rPr>
        <w:t xml:space="preserve">eka </w:t>
      </w:r>
      <w:r w:rsidR="00F57530" w:rsidRPr="00314858">
        <w:rPr>
          <w:rFonts w:ascii="Times New Roman" w:hAnsi="Times New Roman" w:cs="Times New Roman"/>
          <w:lang w:val="sr-Latn-ME"/>
        </w:rPr>
        <w:t>su</w:t>
      </w:r>
      <w:r w:rsidRPr="00314858">
        <w:rPr>
          <w:rFonts w:ascii="Times New Roman" w:hAnsi="Times New Roman" w:cs="Times New Roman"/>
          <w:lang w:val="sr-Latn-ME"/>
        </w:rPr>
        <w:t xml:space="preserve"> OPA/Al/PE //Al blisteri sa integrisanim desikantom (sredstvo za sušenje) koji sadrže</w:t>
      </w:r>
      <w:r w:rsidR="00F57530" w:rsidRPr="00314858">
        <w:rPr>
          <w:rFonts w:ascii="Times New Roman" w:hAnsi="Times New Roman" w:cs="Times New Roman"/>
          <w:lang w:val="sr-Latn-ME"/>
        </w:rPr>
        <w:t xml:space="preserve"> po</w:t>
      </w:r>
      <w:r w:rsidRPr="00314858">
        <w:rPr>
          <w:rFonts w:ascii="Times New Roman" w:hAnsi="Times New Roman" w:cs="Times New Roman"/>
          <w:lang w:val="sr-Latn-ME"/>
        </w:rPr>
        <w:t xml:space="preserve"> 10 kapsula, tvrdih. </w:t>
      </w:r>
    </w:p>
    <w:p w14:paraId="65C1CECF" w14:textId="77777777" w:rsidR="00314858" w:rsidRPr="00314858" w:rsidRDefault="00314858" w:rsidP="00ED319E">
      <w:pPr>
        <w:spacing w:after="0" w:line="240" w:lineRule="auto"/>
        <w:jc w:val="both"/>
        <w:rPr>
          <w:rFonts w:ascii="Times New Roman" w:hAnsi="Times New Roman" w:cs="Times New Roman"/>
          <w:lang w:val="sr-Latn-ME"/>
        </w:rPr>
      </w:pPr>
    </w:p>
    <w:p w14:paraId="457B5987" w14:textId="1C6D5C1E" w:rsidR="00D67D34" w:rsidRPr="00314858" w:rsidRDefault="00ED319E">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rPr>
        <w:t>Spoljašnje pakovanje l</w:t>
      </w:r>
      <w:r w:rsidR="00E2412D" w:rsidRPr="00314858">
        <w:rPr>
          <w:rFonts w:ascii="Times New Roman" w:hAnsi="Times New Roman" w:cs="Times New Roman"/>
          <w:lang w:val="sr-Latn-ME"/>
        </w:rPr>
        <w:t>ij</w:t>
      </w:r>
      <w:r w:rsidRPr="00314858">
        <w:rPr>
          <w:rFonts w:ascii="Times New Roman" w:hAnsi="Times New Roman" w:cs="Times New Roman"/>
          <w:lang w:val="sr-Latn-ME"/>
        </w:rPr>
        <w:t xml:space="preserve">eka je složiva kartonska kutija u kojoj se nalazi 6 blistera </w:t>
      </w:r>
      <w:r w:rsidR="00F57530" w:rsidRPr="00314858">
        <w:rPr>
          <w:rFonts w:ascii="Times New Roman" w:hAnsi="Times New Roman" w:cs="Times New Roman"/>
          <w:lang w:val="sr-Latn-ME"/>
        </w:rPr>
        <w:t xml:space="preserve">(ukupno 60 kapsula, tvrdih) </w:t>
      </w:r>
      <w:r w:rsidRPr="00314858">
        <w:rPr>
          <w:rFonts w:ascii="Times New Roman" w:hAnsi="Times New Roman" w:cs="Times New Roman"/>
          <w:lang w:val="sr-Latn-ME"/>
        </w:rPr>
        <w:t>i Uputstvo za l</w:t>
      </w:r>
      <w:r w:rsidR="004233D3" w:rsidRPr="00314858">
        <w:rPr>
          <w:rFonts w:ascii="Times New Roman" w:hAnsi="Times New Roman" w:cs="Times New Roman"/>
          <w:lang w:val="sr-Latn-ME"/>
        </w:rPr>
        <w:t>ij</w:t>
      </w:r>
      <w:r w:rsidRPr="00314858">
        <w:rPr>
          <w:rFonts w:ascii="Times New Roman" w:hAnsi="Times New Roman" w:cs="Times New Roman"/>
          <w:lang w:val="sr-Latn-ME"/>
        </w:rPr>
        <w:t xml:space="preserve">ek. </w:t>
      </w:r>
    </w:p>
    <w:p w14:paraId="28267B58" w14:textId="77777777" w:rsidR="00D67D34" w:rsidRPr="00314858" w:rsidRDefault="00D67D34" w:rsidP="00D67D34">
      <w:pPr>
        <w:spacing w:after="0" w:line="240" w:lineRule="auto"/>
        <w:jc w:val="both"/>
        <w:rPr>
          <w:rFonts w:ascii="Times New Roman" w:hAnsi="Times New Roman" w:cs="Times New Roman"/>
          <w:lang w:val="sr-Latn-ME" w:bidi="en-US"/>
        </w:rPr>
      </w:pPr>
    </w:p>
    <w:p w14:paraId="675696A3" w14:textId="2E028613" w:rsidR="00D67D34" w:rsidRPr="00314858" w:rsidRDefault="00FC549A" w:rsidP="00FC549A">
      <w:pPr>
        <w:spacing w:after="0" w:line="240" w:lineRule="auto"/>
        <w:jc w:val="both"/>
        <w:rPr>
          <w:rFonts w:ascii="Times New Roman" w:hAnsi="Times New Roman" w:cs="Times New Roman"/>
          <w:b/>
          <w:bCs/>
          <w:lang w:val="sr-Latn-ME"/>
        </w:rPr>
      </w:pPr>
      <w:r w:rsidRPr="00314858">
        <w:rPr>
          <w:rFonts w:ascii="Times New Roman" w:hAnsi="Times New Roman" w:cs="Times New Roman"/>
          <w:b/>
          <w:bCs/>
          <w:lang w:val="sr-Latn-ME"/>
        </w:rPr>
        <w:t>6.6</w:t>
      </w:r>
      <w:r w:rsidR="001347BD" w:rsidRPr="00314858">
        <w:rPr>
          <w:rFonts w:ascii="Times New Roman" w:hAnsi="Times New Roman" w:cs="Times New Roman"/>
          <w:b/>
          <w:bCs/>
          <w:lang w:val="sr-Latn-ME"/>
        </w:rPr>
        <w:t xml:space="preserve">. </w:t>
      </w:r>
      <w:r w:rsidR="00D67D34" w:rsidRPr="00314858">
        <w:rPr>
          <w:rFonts w:ascii="Times New Roman" w:hAnsi="Times New Roman" w:cs="Times New Roman"/>
          <w:b/>
          <w:bCs/>
          <w:lang w:val="sr-Latn-ME"/>
        </w:rPr>
        <w:t>Posebne m</w:t>
      </w:r>
      <w:r w:rsidR="00E2412D" w:rsidRPr="00314858">
        <w:rPr>
          <w:rFonts w:ascii="Times New Roman" w:hAnsi="Times New Roman" w:cs="Times New Roman"/>
          <w:b/>
          <w:bCs/>
          <w:lang w:val="sr-Latn-ME"/>
        </w:rPr>
        <w:t>j</w:t>
      </w:r>
      <w:r w:rsidR="00D67D34" w:rsidRPr="00314858">
        <w:rPr>
          <w:rFonts w:ascii="Times New Roman" w:hAnsi="Times New Roman" w:cs="Times New Roman"/>
          <w:b/>
          <w:bCs/>
          <w:lang w:val="sr-Latn-ME"/>
        </w:rPr>
        <w:t>ere opreza pri odlaganju materijala koji treba odbaciti nakon prim</w:t>
      </w:r>
      <w:r w:rsidR="00E2412D" w:rsidRPr="00314858">
        <w:rPr>
          <w:rFonts w:ascii="Times New Roman" w:hAnsi="Times New Roman" w:cs="Times New Roman"/>
          <w:b/>
          <w:bCs/>
          <w:lang w:val="sr-Latn-ME"/>
        </w:rPr>
        <w:t>j</w:t>
      </w:r>
      <w:r w:rsidR="00D67D34" w:rsidRPr="00314858">
        <w:rPr>
          <w:rFonts w:ascii="Times New Roman" w:hAnsi="Times New Roman" w:cs="Times New Roman"/>
          <w:b/>
          <w:bCs/>
          <w:lang w:val="sr-Latn-ME"/>
        </w:rPr>
        <w:t>ene l</w:t>
      </w:r>
      <w:r w:rsidR="00E2412D" w:rsidRPr="00314858">
        <w:rPr>
          <w:rFonts w:ascii="Times New Roman" w:hAnsi="Times New Roman" w:cs="Times New Roman"/>
          <w:b/>
          <w:bCs/>
          <w:lang w:val="sr-Latn-ME"/>
        </w:rPr>
        <w:t>ij</w:t>
      </w:r>
      <w:r w:rsidR="00D67D34" w:rsidRPr="00314858">
        <w:rPr>
          <w:rFonts w:ascii="Times New Roman" w:hAnsi="Times New Roman" w:cs="Times New Roman"/>
          <w:b/>
          <w:bCs/>
          <w:lang w:val="sr-Latn-ME"/>
        </w:rPr>
        <w:t>eka (i druga uputstva za rukovanje l</w:t>
      </w:r>
      <w:r w:rsidR="00E2412D" w:rsidRPr="00314858">
        <w:rPr>
          <w:rFonts w:ascii="Times New Roman" w:hAnsi="Times New Roman" w:cs="Times New Roman"/>
          <w:b/>
          <w:bCs/>
          <w:lang w:val="sr-Latn-ME"/>
        </w:rPr>
        <w:t>ij</w:t>
      </w:r>
      <w:r w:rsidR="00D67D34" w:rsidRPr="00314858">
        <w:rPr>
          <w:rFonts w:ascii="Times New Roman" w:hAnsi="Times New Roman" w:cs="Times New Roman"/>
          <w:b/>
          <w:bCs/>
          <w:lang w:val="sr-Latn-ME"/>
        </w:rPr>
        <w:t>ekom)</w:t>
      </w:r>
    </w:p>
    <w:p w14:paraId="5CBA2D7B" w14:textId="77777777" w:rsidR="00FC549A" w:rsidRPr="00314858" w:rsidRDefault="00FC549A" w:rsidP="00A95A46">
      <w:pPr>
        <w:spacing w:after="0" w:line="240" w:lineRule="auto"/>
        <w:rPr>
          <w:rFonts w:ascii="Times New Roman" w:hAnsi="Times New Roman" w:cs="Times New Roman"/>
          <w:lang w:val="sr-Latn-ME" w:bidi="en-US"/>
        </w:rPr>
      </w:pPr>
    </w:p>
    <w:p w14:paraId="7FDDE9D7" w14:textId="6414E912" w:rsidR="00D67D34" w:rsidRPr="00314858" w:rsidRDefault="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 xml:space="preserve">Kada se kapsule </w:t>
      </w:r>
      <w:r w:rsidR="00D41DFF" w:rsidRPr="00314858">
        <w:rPr>
          <w:rFonts w:ascii="Times New Roman" w:hAnsi="Times New Roman" w:cs="Times New Roman"/>
          <w:lang w:val="sr-Latn-ME" w:bidi="en-US"/>
        </w:rPr>
        <w:t>l</w:t>
      </w:r>
      <w:r w:rsidR="00F57530" w:rsidRPr="00314858">
        <w:rPr>
          <w:rFonts w:ascii="Times New Roman" w:hAnsi="Times New Roman" w:cs="Times New Roman"/>
          <w:lang w:val="sr-Latn-ME" w:bidi="en-US"/>
        </w:rPr>
        <w:t>ij</w:t>
      </w:r>
      <w:r w:rsidR="00D41DFF" w:rsidRPr="00314858">
        <w:rPr>
          <w:rFonts w:ascii="Times New Roman" w:hAnsi="Times New Roman" w:cs="Times New Roman"/>
          <w:lang w:val="sr-Latn-ME" w:bidi="en-US"/>
        </w:rPr>
        <w:t xml:space="preserve">eka </w:t>
      </w:r>
      <w:r w:rsidRPr="00314858">
        <w:rPr>
          <w:rFonts w:ascii="Times New Roman" w:hAnsi="Times New Roman" w:cs="Times New Roman"/>
          <w:lang w:val="sr-Latn-ME" w:bidi="en-US"/>
        </w:rPr>
        <w:t>BEREVIN vade van blister pakovanja treba se pridržavati sl</w:t>
      </w:r>
      <w:r w:rsidR="00E2412D" w:rsidRPr="00314858">
        <w:rPr>
          <w:rFonts w:ascii="Times New Roman" w:hAnsi="Times New Roman" w:cs="Times New Roman"/>
          <w:lang w:val="sr-Latn-ME" w:bidi="en-US"/>
        </w:rPr>
        <w:t>j</w:t>
      </w:r>
      <w:r w:rsidRPr="00314858">
        <w:rPr>
          <w:rFonts w:ascii="Times New Roman" w:hAnsi="Times New Roman" w:cs="Times New Roman"/>
          <w:lang w:val="sr-Latn-ME" w:bidi="en-US"/>
        </w:rPr>
        <w:t>edećih uputstava:</w:t>
      </w:r>
    </w:p>
    <w:p w14:paraId="7F60DC41" w14:textId="3A021CE0" w:rsidR="00D67D34" w:rsidRPr="00314858" w:rsidRDefault="00D67D34">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 xml:space="preserve">U slučaju perforirane folije: </w:t>
      </w:r>
      <w:r w:rsidR="00D41DFF" w:rsidRPr="00314858">
        <w:rPr>
          <w:rFonts w:ascii="Times New Roman" w:eastAsia="Times New Roman" w:hAnsi="Times New Roman" w:cs="Times New Roman"/>
          <w:color w:val="000000" w:themeColor="text1"/>
          <w:lang w:val="sr-Latn-ME" w:bidi="en-US"/>
        </w:rPr>
        <w:t>j</w:t>
      </w:r>
      <w:r w:rsidRPr="00314858">
        <w:rPr>
          <w:rFonts w:ascii="Times New Roman" w:eastAsia="Times New Roman" w:hAnsi="Times New Roman" w:cs="Times New Roman"/>
          <w:color w:val="000000" w:themeColor="text1"/>
          <w:lang w:val="sr-Latn-ME" w:bidi="en-US"/>
        </w:rPr>
        <w:t>edan pojedinačni blister je potrebno otkinuti od blister kartice duž perforirane linije.</w:t>
      </w:r>
    </w:p>
    <w:p w14:paraId="7D5FB860" w14:textId="57361EDC" w:rsidR="00D67D34" w:rsidRPr="00314858" w:rsidRDefault="00D67D34">
      <w:pPr>
        <w:pStyle w:val="ListParagraph"/>
        <w:widowControl w:val="0"/>
        <w:numPr>
          <w:ilvl w:val="0"/>
          <w:numId w:val="1"/>
        </w:numPr>
        <w:tabs>
          <w:tab w:val="left" w:pos="562"/>
        </w:tabs>
        <w:spacing w:after="0" w:line="240" w:lineRule="auto"/>
        <w:ind w:left="567" w:hanging="567"/>
        <w:jc w:val="both"/>
        <w:rPr>
          <w:rFonts w:ascii="Times New Roman" w:eastAsia="Times New Roman" w:hAnsi="Times New Roman" w:cs="Times New Roman"/>
          <w:color w:val="000000" w:themeColor="text1"/>
          <w:lang w:val="sr-Latn-ME" w:bidi="en-US"/>
        </w:rPr>
      </w:pPr>
      <w:r w:rsidRPr="00314858">
        <w:rPr>
          <w:rFonts w:ascii="Times New Roman" w:eastAsia="Times New Roman" w:hAnsi="Times New Roman" w:cs="Times New Roman"/>
          <w:color w:val="000000" w:themeColor="text1"/>
          <w:lang w:val="sr-Latn-ME" w:bidi="en-US"/>
        </w:rPr>
        <w:t>Kapsula</w:t>
      </w:r>
      <w:r w:rsidR="00D41DFF" w:rsidRPr="00314858">
        <w:rPr>
          <w:rFonts w:ascii="Times New Roman" w:eastAsia="Times New Roman" w:hAnsi="Times New Roman" w:cs="Times New Roman"/>
          <w:color w:val="000000" w:themeColor="text1"/>
          <w:lang w:val="sr-Latn-ME" w:bidi="en-US"/>
        </w:rPr>
        <w:t>, tvrda</w:t>
      </w:r>
      <w:r w:rsidRPr="00314858">
        <w:rPr>
          <w:rFonts w:ascii="Times New Roman" w:eastAsia="Times New Roman" w:hAnsi="Times New Roman" w:cs="Times New Roman"/>
          <w:color w:val="000000" w:themeColor="text1"/>
          <w:lang w:val="sr-Latn-ME" w:bidi="en-US"/>
        </w:rPr>
        <w:t xml:space="preserve"> treba da se istisne kroz blister foliju.</w:t>
      </w:r>
    </w:p>
    <w:p w14:paraId="52086D13" w14:textId="77777777" w:rsidR="00D67D34" w:rsidRPr="00314858" w:rsidRDefault="00D67D34">
      <w:pPr>
        <w:spacing w:after="0" w:line="240" w:lineRule="auto"/>
        <w:jc w:val="both"/>
        <w:rPr>
          <w:rFonts w:ascii="Times New Roman" w:hAnsi="Times New Roman" w:cs="Times New Roman"/>
          <w:lang w:val="sr-Latn-ME" w:bidi="en-US"/>
        </w:rPr>
      </w:pPr>
    </w:p>
    <w:p w14:paraId="373A56E3" w14:textId="53F993BF" w:rsidR="00D67D34" w:rsidRPr="00314858" w:rsidRDefault="00D41DFF">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Svu neiskorišćenu količinu l</w:t>
      </w:r>
      <w:r w:rsidR="00E2412D" w:rsidRPr="00314858">
        <w:rPr>
          <w:rFonts w:ascii="Times New Roman" w:hAnsi="Times New Roman" w:cs="Times New Roman"/>
          <w:lang w:val="sr-Latn-ME" w:bidi="en-US"/>
        </w:rPr>
        <w:t>ij</w:t>
      </w:r>
      <w:r w:rsidRPr="00314858">
        <w:rPr>
          <w:rFonts w:ascii="Times New Roman" w:hAnsi="Times New Roman" w:cs="Times New Roman"/>
          <w:lang w:val="sr-Latn-ME" w:bidi="en-US"/>
        </w:rPr>
        <w:t>eka ili otpadnog materijala nakon njegove upotrebe treba ukloniti, u skladu sa važećim propisima.</w:t>
      </w:r>
    </w:p>
    <w:p w14:paraId="54241A34" w14:textId="60C45BD6" w:rsidR="00D67D34" w:rsidRPr="00314858" w:rsidRDefault="00D67D34" w:rsidP="00D67D34">
      <w:pPr>
        <w:spacing w:after="0" w:line="240" w:lineRule="auto"/>
        <w:jc w:val="both"/>
        <w:rPr>
          <w:rFonts w:ascii="Times New Roman" w:hAnsi="Times New Roman" w:cs="Times New Roman"/>
          <w:lang w:val="sr-Latn-ME" w:bidi="en-US"/>
        </w:rPr>
      </w:pPr>
    </w:p>
    <w:p w14:paraId="6804000D" w14:textId="77777777" w:rsidR="00F57530" w:rsidRPr="00314858" w:rsidRDefault="00F57530" w:rsidP="00D67D34">
      <w:pPr>
        <w:spacing w:after="0" w:line="240" w:lineRule="auto"/>
        <w:jc w:val="both"/>
        <w:rPr>
          <w:rFonts w:ascii="Times New Roman" w:hAnsi="Times New Roman" w:cs="Times New Roman"/>
          <w:lang w:val="sr-Latn-ME" w:bidi="en-US"/>
        </w:rPr>
      </w:pPr>
    </w:p>
    <w:p w14:paraId="080E31A2" w14:textId="01896B66"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7. </w:t>
      </w:r>
      <w:r w:rsidR="00D67D34" w:rsidRPr="00314858">
        <w:rPr>
          <w:rFonts w:ascii="Times New Roman" w:hAnsi="Times New Roman" w:cs="Times New Roman"/>
          <w:b/>
          <w:bCs/>
          <w:lang w:val="sr-Latn-ME" w:bidi="en-US"/>
        </w:rPr>
        <w:t>NOSILAC DOZVOLE</w:t>
      </w:r>
    </w:p>
    <w:p w14:paraId="2392C72E" w14:textId="77777777" w:rsidR="00D67D34" w:rsidRPr="00314858" w:rsidRDefault="00D67D34" w:rsidP="00D67D34">
      <w:pPr>
        <w:spacing w:after="0" w:line="240" w:lineRule="auto"/>
        <w:jc w:val="both"/>
        <w:rPr>
          <w:rFonts w:ascii="Times New Roman" w:hAnsi="Times New Roman" w:cs="Times New Roman"/>
          <w:lang w:val="sr-Latn-ME" w:bidi="en-US"/>
        </w:rPr>
      </w:pPr>
    </w:p>
    <w:p w14:paraId="608BA1E3" w14:textId="1469F17E" w:rsidR="00E2412D" w:rsidRPr="00314858" w:rsidRDefault="00F57530" w:rsidP="00E2412D">
      <w:pPr>
        <w:tabs>
          <w:tab w:val="left" w:pos="540"/>
          <w:tab w:val="left" w:pos="569"/>
        </w:tabs>
        <w:spacing w:after="0"/>
        <w:rPr>
          <w:rFonts w:ascii="Times New Roman" w:hAnsi="Times New Roman" w:cs="Times New Roman"/>
          <w:bCs/>
          <w:lang w:val="sr-Latn-ME"/>
        </w:rPr>
      </w:pPr>
      <w:r w:rsidRPr="00314858">
        <w:rPr>
          <w:rFonts w:ascii="Times New Roman" w:hAnsi="Times New Roman" w:cs="Times New Roman"/>
          <w:bCs/>
          <w:lang w:val="sr-Latn-ME"/>
        </w:rPr>
        <w:t>Glosarij d.o.o.</w:t>
      </w:r>
    </w:p>
    <w:p w14:paraId="67CE7680" w14:textId="1DA09023" w:rsidR="00E2412D" w:rsidRPr="00314858" w:rsidRDefault="00E2412D" w:rsidP="00E2412D">
      <w:pPr>
        <w:tabs>
          <w:tab w:val="left" w:pos="540"/>
          <w:tab w:val="left" w:pos="569"/>
        </w:tabs>
        <w:spacing w:after="0"/>
        <w:rPr>
          <w:rFonts w:ascii="Times New Roman" w:hAnsi="Times New Roman" w:cs="Times New Roman"/>
          <w:bCs/>
          <w:lang w:val="sr-Latn-ME"/>
        </w:rPr>
      </w:pPr>
      <w:r w:rsidRPr="00314858">
        <w:rPr>
          <w:rFonts w:ascii="Times New Roman" w:hAnsi="Times New Roman" w:cs="Times New Roman"/>
          <w:bCs/>
          <w:lang w:val="sr-Latn-ME"/>
        </w:rPr>
        <w:t>Vojislavljevića 76, 81000 Podgorica, Crna Gora</w:t>
      </w:r>
    </w:p>
    <w:p w14:paraId="01ED77AB" w14:textId="77777777" w:rsidR="00FC549A" w:rsidRPr="00314858" w:rsidRDefault="00FC549A" w:rsidP="00D67D34">
      <w:pPr>
        <w:spacing w:after="0" w:line="240" w:lineRule="auto"/>
        <w:jc w:val="both"/>
        <w:rPr>
          <w:rFonts w:ascii="Times New Roman" w:hAnsi="Times New Roman" w:cs="Times New Roman"/>
          <w:lang w:val="sr-Latn-ME" w:bidi="en-US"/>
        </w:rPr>
      </w:pPr>
    </w:p>
    <w:p w14:paraId="2084F158" w14:textId="77777777" w:rsidR="00F57530" w:rsidRPr="00314858" w:rsidRDefault="00F57530" w:rsidP="001347BD">
      <w:pPr>
        <w:spacing w:after="0" w:line="240" w:lineRule="auto"/>
        <w:jc w:val="both"/>
        <w:rPr>
          <w:rFonts w:ascii="Times New Roman" w:hAnsi="Times New Roman" w:cs="Times New Roman"/>
          <w:b/>
          <w:bCs/>
          <w:lang w:val="sr-Latn-ME" w:bidi="en-US"/>
        </w:rPr>
      </w:pPr>
    </w:p>
    <w:p w14:paraId="6F973F23" w14:textId="64F4DB10" w:rsidR="00D67D34" w:rsidRPr="00314858" w:rsidRDefault="001347BD" w:rsidP="001347BD">
      <w:pPr>
        <w:spacing w:after="0" w:line="240" w:lineRule="auto"/>
        <w:jc w:val="both"/>
        <w:rPr>
          <w:rFonts w:ascii="Times New Roman" w:hAnsi="Times New Roman" w:cs="Times New Roman"/>
          <w:lang w:val="sr-Latn-ME" w:bidi="en-US"/>
        </w:rPr>
      </w:pPr>
      <w:r w:rsidRPr="00314858">
        <w:rPr>
          <w:rFonts w:ascii="Times New Roman" w:hAnsi="Times New Roman" w:cs="Times New Roman"/>
          <w:b/>
          <w:bCs/>
          <w:lang w:val="sr-Latn-ME" w:bidi="en-US"/>
        </w:rPr>
        <w:t xml:space="preserve">8. </w:t>
      </w:r>
      <w:r w:rsidR="00D67D34" w:rsidRPr="00314858">
        <w:rPr>
          <w:rFonts w:ascii="Times New Roman" w:hAnsi="Times New Roman" w:cs="Times New Roman"/>
          <w:b/>
          <w:bCs/>
          <w:lang w:val="sr-Latn-ME" w:bidi="en-US"/>
        </w:rPr>
        <w:t>BROJ DOZVOLE ZA STAVLJANJE L</w:t>
      </w:r>
      <w:r w:rsidR="00E2412D" w:rsidRPr="00314858">
        <w:rPr>
          <w:rFonts w:ascii="Times New Roman" w:hAnsi="Times New Roman" w:cs="Times New Roman"/>
          <w:b/>
          <w:bCs/>
          <w:lang w:val="sr-Latn-ME" w:bidi="en-US"/>
        </w:rPr>
        <w:t>IJ</w:t>
      </w:r>
      <w:r w:rsidR="00D67D34" w:rsidRPr="00314858">
        <w:rPr>
          <w:rFonts w:ascii="Times New Roman" w:hAnsi="Times New Roman" w:cs="Times New Roman"/>
          <w:b/>
          <w:bCs/>
          <w:lang w:val="sr-Latn-ME" w:bidi="en-US"/>
        </w:rPr>
        <w:t>EKA U PROMET</w:t>
      </w:r>
    </w:p>
    <w:p w14:paraId="6D0334CE" w14:textId="66519072" w:rsidR="00D67D34" w:rsidRDefault="00D67D34" w:rsidP="00D67D34">
      <w:pPr>
        <w:spacing w:after="0" w:line="240" w:lineRule="auto"/>
        <w:jc w:val="both"/>
        <w:rPr>
          <w:rFonts w:ascii="Times New Roman" w:hAnsi="Times New Roman" w:cs="Times New Roman"/>
          <w:lang w:val="sr-Latn-ME" w:bidi="en-US"/>
        </w:rPr>
      </w:pPr>
    </w:p>
    <w:p w14:paraId="621F537B" w14:textId="5D1211E7" w:rsidR="00314858" w:rsidRDefault="00314858" w:rsidP="00D67D34">
      <w:pPr>
        <w:spacing w:after="0" w:line="240" w:lineRule="auto"/>
        <w:jc w:val="both"/>
        <w:rPr>
          <w:rFonts w:ascii="Times New Roman" w:hAnsi="Times New Roman" w:cs="Times New Roman"/>
          <w:lang w:val="sr-Latn-ME" w:bidi="en-US"/>
        </w:rPr>
      </w:pPr>
      <w:r w:rsidRPr="00314858">
        <w:rPr>
          <w:rFonts w:ascii="Times New Roman" w:hAnsi="Times New Roman" w:cs="Times New Roman"/>
          <w:lang w:val="sr-Latn-ME" w:bidi="en-US"/>
        </w:rPr>
        <w:t>2030/24/5797 - 1395</w:t>
      </w:r>
    </w:p>
    <w:p w14:paraId="60AFCB96" w14:textId="77777777" w:rsidR="00314858" w:rsidRPr="00314858" w:rsidRDefault="00314858" w:rsidP="00D67D34">
      <w:pPr>
        <w:spacing w:after="0" w:line="240" w:lineRule="auto"/>
        <w:jc w:val="both"/>
        <w:rPr>
          <w:rFonts w:ascii="Times New Roman" w:hAnsi="Times New Roman" w:cs="Times New Roman"/>
          <w:lang w:val="sr-Latn-ME" w:bidi="en-US"/>
        </w:rPr>
      </w:pPr>
    </w:p>
    <w:p w14:paraId="49D2C0A1" w14:textId="77777777" w:rsidR="00E2412D" w:rsidRPr="00314858" w:rsidRDefault="00E2412D" w:rsidP="00D67D34">
      <w:pPr>
        <w:spacing w:after="0" w:line="240" w:lineRule="auto"/>
        <w:jc w:val="both"/>
        <w:rPr>
          <w:rFonts w:ascii="Times New Roman" w:hAnsi="Times New Roman" w:cs="Times New Roman"/>
          <w:lang w:val="sr-Latn-ME" w:bidi="en-US"/>
        </w:rPr>
      </w:pPr>
    </w:p>
    <w:p w14:paraId="2F0DAF7C" w14:textId="12DA5519" w:rsidR="00D67D34" w:rsidRPr="00314858" w:rsidRDefault="001347BD" w:rsidP="001347BD">
      <w:pPr>
        <w:spacing w:after="0" w:line="240" w:lineRule="auto"/>
        <w:jc w:val="both"/>
        <w:rPr>
          <w:rFonts w:ascii="Times New Roman" w:hAnsi="Times New Roman" w:cs="Times New Roman"/>
          <w:b/>
          <w:bCs/>
          <w:lang w:val="sr-Latn-ME" w:bidi="en-US"/>
        </w:rPr>
      </w:pPr>
      <w:r w:rsidRPr="00314858">
        <w:rPr>
          <w:rFonts w:ascii="Times New Roman" w:hAnsi="Times New Roman" w:cs="Times New Roman"/>
          <w:b/>
          <w:bCs/>
          <w:lang w:val="sr-Latn-ME" w:bidi="en-US"/>
        </w:rPr>
        <w:t xml:space="preserve">9. </w:t>
      </w:r>
      <w:r w:rsidR="00D67D34" w:rsidRPr="00314858">
        <w:rPr>
          <w:rFonts w:ascii="Times New Roman" w:hAnsi="Times New Roman" w:cs="Times New Roman"/>
          <w:b/>
          <w:bCs/>
          <w:lang w:val="sr-Latn-ME" w:bidi="en-US"/>
        </w:rPr>
        <w:t>DATUM PRVE DOZVOLE</w:t>
      </w:r>
      <w:r w:rsidR="00E2412D" w:rsidRPr="00314858">
        <w:rPr>
          <w:rFonts w:ascii="Times New Roman" w:hAnsi="Times New Roman" w:cs="Times New Roman"/>
          <w:b/>
          <w:bCs/>
          <w:lang w:val="sr-Latn-ME" w:bidi="en-US"/>
        </w:rPr>
        <w:t>/</w:t>
      </w:r>
      <w:r w:rsidR="00D67D34" w:rsidRPr="00314858">
        <w:rPr>
          <w:rFonts w:ascii="Times New Roman" w:hAnsi="Times New Roman" w:cs="Times New Roman"/>
          <w:b/>
          <w:bCs/>
          <w:lang w:val="sr-Latn-ME" w:bidi="en-US"/>
        </w:rPr>
        <w:t xml:space="preserve">OBNOVE </w:t>
      </w:r>
      <w:r w:rsidR="00E2412D" w:rsidRPr="00314858">
        <w:rPr>
          <w:rFonts w:ascii="Times New Roman" w:hAnsi="Times New Roman" w:cs="Times New Roman"/>
          <w:b/>
          <w:bCs/>
          <w:lang w:val="sr-Latn-ME" w:bidi="en-US"/>
        </w:rPr>
        <w:t xml:space="preserve">DOZVOLE </w:t>
      </w:r>
      <w:r w:rsidR="00D67D34" w:rsidRPr="00314858">
        <w:rPr>
          <w:rFonts w:ascii="Times New Roman" w:hAnsi="Times New Roman" w:cs="Times New Roman"/>
          <w:b/>
          <w:bCs/>
          <w:lang w:val="sr-Latn-ME" w:bidi="en-US"/>
        </w:rPr>
        <w:t>ZA STAVLJANJE L</w:t>
      </w:r>
      <w:r w:rsidR="00E2412D" w:rsidRPr="00314858">
        <w:rPr>
          <w:rFonts w:ascii="Times New Roman" w:hAnsi="Times New Roman" w:cs="Times New Roman"/>
          <w:b/>
          <w:bCs/>
          <w:lang w:val="sr-Latn-ME" w:bidi="en-US"/>
        </w:rPr>
        <w:t>IJ</w:t>
      </w:r>
      <w:r w:rsidR="00D67D34" w:rsidRPr="00314858">
        <w:rPr>
          <w:rFonts w:ascii="Times New Roman" w:hAnsi="Times New Roman" w:cs="Times New Roman"/>
          <w:b/>
          <w:bCs/>
          <w:lang w:val="sr-Latn-ME" w:bidi="en-US"/>
        </w:rPr>
        <w:t>EKA U PROMET</w:t>
      </w:r>
    </w:p>
    <w:p w14:paraId="748C61FD" w14:textId="57EBBAFC" w:rsidR="0037449E" w:rsidRDefault="0037449E" w:rsidP="001347BD">
      <w:pPr>
        <w:spacing w:after="0" w:line="240" w:lineRule="auto"/>
        <w:jc w:val="both"/>
        <w:rPr>
          <w:rFonts w:ascii="Times New Roman" w:hAnsi="Times New Roman" w:cs="Times New Roman"/>
          <w:lang w:val="sr-Latn-ME" w:bidi="en-US"/>
        </w:rPr>
      </w:pPr>
    </w:p>
    <w:p w14:paraId="09713456" w14:textId="1431866F" w:rsidR="00314858" w:rsidRDefault="00314858" w:rsidP="001347BD">
      <w:pPr>
        <w:spacing w:after="0" w:line="240" w:lineRule="auto"/>
        <w:jc w:val="both"/>
        <w:rPr>
          <w:rFonts w:ascii="Times New Roman" w:hAnsi="Times New Roman" w:cs="Times New Roman"/>
          <w:lang w:val="sr-Latn-ME" w:bidi="en-US"/>
        </w:rPr>
      </w:pPr>
      <w:r>
        <w:rPr>
          <w:rFonts w:ascii="Times New Roman" w:hAnsi="Times New Roman" w:cs="Times New Roman"/>
          <w:lang w:val="sr-Latn-ME" w:bidi="en-US"/>
        </w:rPr>
        <w:t>04.11.2024. godine</w:t>
      </w:r>
    </w:p>
    <w:p w14:paraId="4AFF073F" w14:textId="77777777" w:rsidR="00314858" w:rsidRPr="00314858" w:rsidRDefault="00314858" w:rsidP="001347BD">
      <w:pPr>
        <w:spacing w:after="0" w:line="240" w:lineRule="auto"/>
        <w:jc w:val="both"/>
        <w:rPr>
          <w:rFonts w:ascii="Times New Roman" w:hAnsi="Times New Roman" w:cs="Times New Roman"/>
          <w:lang w:val="sr-Latn-ME" w:bidi="en-US"/>
        </w:rPr>
      </w:pPr>
    </w:p>
    <w:p w14:paraId="3B11EA36" w14:textId="2A17EB16" w:rsidR="00D67D34" w:rsidRPr="00314858" w:rsidRDefault="00D67D34" w:rsidP="00D67D34">
      <w:pPr>
        <w:spacing w:after="0" w:line="240" w:lineRule="auto"/>
        <w:jc w:val="both"/>
        <w:rPr>
          <w:rFonts w:ascii="Times New Roman" w:hAnsi="Times New Roman" w:cs="Times New Roman"/>
          <w:lang w:val="sr-Latn-ME" w:bidi="en-US"/>
        </w:rPr>
      </w:pPr>
    </w:p>
    <w:p w14:paraId="14B4FEEB" w14:textId="55FD0B44" w:rsidR="00A84930" w:rsidRPr="00314858" w:rsidRDefault="001347BD" w:rsidP="00372836">
      <w:pPr>
        <w:spacing w:after="0" w:line="240" w:lineRule="auto"/>
        <w:jc w:val="both"/>
        <w:rPr>
          <w:rFonts w:ascii="Times New Roman" w:hAnsi="Times New Roman" w:cs="Times New Roman"/>
          <w:b/>
          <w:bCs/>
          <w:lang w:val="sr-Latn-ME" w:bidi="en-US"/>
        </w:rPr>
      </w:pPr>
      <w:r w:rsidRPr="00314858">
        <w:rPr>
          <w:rFonts w:ascii="Times New Roman" w:hAnsi="Times New Roman" w:cs="Times New Roman"/>
          <w:b/>
          <w:bCs/>
          <w:lang w:val="sr-Latn-ME" w:bidi="en-US"/>
        </w:rPr>
        <w:t xml:space="preserve">10. </w:t>
      </w:r>
      <w:r w:rsidR="00D67D34" w:rsidRPr="00314858">
        <w:rPr>
          <w:rFonts w:ascii="Times New Roman" w:hAnsi="Times New Roman" w:cs="Times New Roman"/>
          <w:b/>
          <w:bCs/>
          <w:lang w:val="sr-Latn-ME" w:bidi="en-US"/>
        </w:rPr>
        <w:t>DATUM REVIZIJE TEKS</w:t>
      </w:r>
      <w:r w:rsidRPr="00314858">
        <w:rPr>
          <w:rFonts w:ascii="Times New Roman" w:hAnsi="Times New Roman" w:cs="Times New Roman"/>
          <w:b/>
          <w:bCs/>
          <w:lang w:val="sr-Latn-ME" w:bidi="en-US"/>
        </w:rPr>
        <w:t>TA</w:t>
      </w:r>
    </w:p>
    <w:p w14:paraId="67A615A4" w14:textId="3EF1B3C8" w:rsidR="00350A18" w:rsidRDefault="00350A18" w:rsidP="00372836">
      <w:pPr>
        <w:spacing w:after="0" w:line="240" w:lineRule="auto"/>
        <w:jc w:val="both"/>
        <w:rPr>
          <w:rFonts w:ascii="Times New Roman" w:hAnsi="Times New Roman" w:cs="Times New Roman"/>
          <w:b/>
          <w:bCs/>
          <w:lang w:val="sr-Latn-ME" w:bidi="en-US"/>
        </w:rPr>
      </w:pPr>
    </w:p>
    <w:p w14:paraId="598AC32A" w14:textId="5517776A" w:rsidR="00314858" w:rsidRPr="00314858" w:rsidRDefault="00314858" w:rsidP="00372836">
      <w:pPr>
        <w:spacing w:after="0" w:line="240" w:lineRule="auto"/>
        <w:jc w:val="both"/>
        <w:rPr>
          <w:rFonts w:ascii="Times New Roman" w:hAnsi="Times New Roman" w:cs="Times New Roman"/>
          <w:bCs/>
          <w:lang w:val="sr-Latn-ME" w:bidi="en-US"/>
        </w:rPr>
      </w:pPr>
      <w:r>
        <w:rPr>
          <w:rFonts w:ascii="Times New Roman" w:hAnsi="Times New Roman" w:cs="Times New Roman"/>
          <w:bCs/>
          <w:lang w:val="sr-Latn-ME" w:bidi="en-US"/>
        </w:rPr>
        <w:t>N</w:t>
      </w:r>
      <w:bookmarkStart w:id="7" w:name="_GoBack"/>
      <w:bookmarkEnd w:id="7"/>
      <w:r w:rsidRPr="00314858">
        <w:rPr>
          <w:rFonts w:ascii="Times New Roman" w:hAnsi="Times New Roman" w:cs="Times New Roman"/>
          <w:bCs/>
          <w:lang w:val="sr-Latn-ME" w:bidi="en-US"/>
        </w:rPr>
        <w:t>ovembar, 2024. godine</w:t>
      </w:r>
    </w:p>
    <w:sectPr w:rsidR="00314858" w:rsidRPr="00314858" w:rsidSect="00BA378B">
      <w:footerReference w:type="default" r:id="rId11"/>
      <w:type w:val="continuous"/>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52E1B" w14:textId="77777777" w:rsidR="008C3309" w:rsidRDefault="008C3309" w:rsidP="00D67D34">
      <w:pPr>
        <w:spacing w:after="0" w:line="240" w:lineRule="auto"/>
      </w:pPr>
      <w:r>
        <w:separator/>
      </w:r>
    </w:p>
  </w:endnote>
  <w:endnote w:type="continuationSeparator" w:id="0">
    <w:p w14:paraId="355BBF11" w14:textId="77777777" w:rsidR="008C3309" w:rsidRDefault="008C3309" w:rsidP="00D6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BOG I+ BI Logo">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95D4" w14:textId="5D165D23" w:rsidR="00D2101D" w:rsidRDefault="00F57530" w:rsidP="00F57530">
    <w:pPr>
      <w:pStyle w:val="Footer"/>
      <w:tabs>
        <w:tab w:val="left" w:pos="5448"/>
      </w:tabs>
      <w:spacing w:before="360"/>
      <w:jc w:val="center"/>
    </w:pPr>
    <w:r w:rsidRPr="00BA378B">
      <w:rPr>
        <w:rFonts w:ascii="Times New Roman" w:hAnsi="Times New Roman" w:cs="Times New Roman"/>
      </w:rPr>
      <w:fldChar w:fldCharType="begin"/>
    </w:r>
    <w:r w:rsidRPr="00BA378B">
      <w:rPr>
        <w:rFonts w:ascii="Times New Roman" w:hAnsi="Times New Roman" w:cs="Times New Roman"/>
      </w:rPr>
      <w:instrText xml:space="preserve"> PAGE </w:instrText>
    </w:r>
    <w:r w:rsidRPr="00BA378B">
      <w:rPr>
        <w:rFonts w:ascii="Times New Roman" w:hAnsi="Times New Roman" w:cs="Times New Roman"/>
      </w:rPr>
      <w:fldChar w:fldCharType="separate"/>
    </w:r>
    <w:r w:rsidR="00314858">
      <w:rPr>
        <w:rFonts w:ascii="Times New Roman" w:hAnsi="Times New Roman" w:cs="Times New Roman"/>
        <w:noProof/>
      </w:rPr>
      <w:t>38</w:t>
    </w:r>
    <w:r w:rsidRPr="00BA378B">
      <w:rPr>
        <w:rFonts w:ascii="Times New Roman" w:hAnsi="Times New Roman" w:cs="Times New Roman"/>
      </w:rPr>
      <w:fldChar w:fldCharType="end"/>
    </w:r>
    <w:r w:rsidRPr="00BA378B">
      <w:rPr>
        <w:rFonts w:ascii="Times New Roman" w:hAnsi="Times New Roman" w:cs="Times New Roman"/>
      </w:rPr>
      <w:t xml:space="preserve"> / </w:t>
    </w:r>
    <w:r w:rsidRPr="00BA378B">
      <w:rPr>
        <w:rFonts w:ascii="Times New Roman" w:hAnsi="Times New Roman" w:cs="Times New Roman"/>
      </w:rPr>
      <w:fldChar w:fldCharType="begin"/>
    </w:r>
    <w:r w:rsidRPr="00BA378B">
      <w:rPr>
        <w:rFonts w:ascii="Times New Roman" w:hAnsi="Times New Roman" w:cs="Times New Roman"/>
      </w:rPr>
      <w:instrText xml:space="preserve"> NUMPAGES </w:instrText>
    </w:r>
    <w:r w:rsidRPr="00BA378B">
      <w:rPr>
        <w:rFonts w:ascii="Times New Roman" w:hAnsi="Times New Roman" w:cs="Times New Roman"/>
      </w:rPr>
      <w:fldChar w:fldCharType="separate"/>
    </w:r>
    <w:r w:rsidR="00314858">
      <w:rPr>
        <w:rFonts w:ascii="Times New Roman" w:hAnsi="Times New Roman" w:cs="Times New Roman"/>
        <w:noProof/>
      </w:rPr>
      <w:t>39</w:t>
    </w:r>
    <w:r w:rsidRPr="00BA378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F6677" w14:textId="77777777" w:rsidR="008C3309" w:rsidRDefault="008C3309" w:rsidP="00D67D34">
      <w:pPr>
        <w:spacing w:after="0" w:line="240" w:lineRule="auto"/>
      </w:pPr>
      <w:r>
        <w:separator/>
      </w:r>
    </w:p>
  </w:footnote>
  <w:footnote w:type="continuationSeparator" w:id="0">
    <w:p w14:paraId="1A532A0E" w14:textId="77777777" w:rsidR="008C3309" w:rsidRDefault="008C3309" w:rsidP="00D67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712A6"/>
    <w:multiLevelType w:val="hybridMultilevel"/>
    <w:tmpl w:val="DBBC60F0"/>
    <w:lvl w:ilvl="0" w:tplc="CC1267E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E6294"/>
    <w:multiLevelType w:val="hybridMultilevel"/>
    <w:tmpl w:val="CB66C5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EC37A0"/>
    <w:multiLevelType w:val="multilevel"/>
    <w:tmpl w:val="8C565C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8454232"/>
    <w:multiLevelType w:val="hybridMultilevel"/>
    <w:tmpl w:val="618EF9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4F036FC"/>
    <w:multiLevelType w:val="hybridMultilevel"/>
    <w:tmpl w:val="7C02DFC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56901C1D"/>
    <w:multiLevelType w:val="multilevel"/>
    <w:tmpl w:val="11C28980"/>
    <w:styleLink w:val="CurrentList1"/>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5"/>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34"/>
    <w:rsid w:val="00004CEC"/>
    <w:rsid w:val="00006E77"/>
    <w:rsid w:val="00014007"/>
    <w:rsid w:val="00016900"/>
    <w:rsid w:val="00033267"/>
    <w:rsid w:val="0004530C"/>
    <w:rsid w:val="00054827"/>
    <w:rsid w:val="00062A82"/>
    <w:rsid w:val="00073369"/>
    <w:rsid w:val="0008684D"/>
    <w:rsid w:val="0009272D"/>
    <w:rsid w:val="000963B8"/>
    <w:rsid w:val="000963CD"/>
    <w:rsid w:val="000A33A8"/>
    <w:rsid w:val="000B6434"/>
    <w:rsid w:val="000C4375"/>
    <w:rsid w:val="000D09B7"/>
    <w:rsid w:val="000D4D8A"/>
    <w:rsid w:val="000F09B3"/>
    <w:rsid w:val="000F5274"/>
    <w:rsid w:val="00116ABE"/>
    <w:rsid w:val="001179DE"/>
    <w:rsid w:val="00122649"/>
    <w:rsid w:val="001347BD"/>
    <w:rsid w:val="00151E79"/>
    <w:rsid w:val="00156FD1"/>
    <w:rsid w:val="00157872"/>
    <w:rsid w:val="00162450"/>
    <w:rsid w:val="00172B83"/>
    <w:rsid w:val="001762B9"/>
    <w:rsid w:val="00184982"/>
    <w:rsid w:val="00186F62"/>
    <w:rsid w:val="001B0482"/>
    <w:rsid w:val="001B44CB"/>
    <w:rsid w:val="001C63B9"/>
    <w:rsid w:val="001D56E5"/>
    <w:rsid w:val="001D6BC8"/>
    <w:rsid w:val="001E04D6"/>
    <w:rsid w:val="001E6607"/>
    <w:rsid w:val="001E7E1D"/>
    <w:rsid w:val="001F00F6"/>
    <w:rsid w:val="001F1A28"/>
    <w:rsid w:val="00210641"/>
    <w:rsid w:val="0022751A"/>
    <w:rsid w:val="002326A2"/>
    <w:rsid w:val="002366DD"/>
    <w:rsid w:val="00236ED5"/>
    <w:rsid w:val="00237B78"/>
    <w:rsid w:val="00252F2B"/>
    <w:rsid w:val="002554FC"/>
    <w:rsid w:val="0026220A"/>
    <w:rsid w:val="00263EF7"/>
    <w:rsid w:val="002646EB"/>
    <w:rsid w:val="00266A6B"/>
    <w:rsid w:val="002778CC"/>
    <w:rsid w:val="002779F3"/>
    <w:rsid w:val="002812A0"/>
    <w:rsid w:val="002A374E"/>
    <w:rsid w:val="002A39E5"/>
    <w:rsid w:val="002A7753"/>
    <w:rsid w:val="002B751A"/>
    <w:rsid w:val="002C012A"/>
    <w:rsid w:val="002C0AE5"/>
    <w:rsid w:val="002D1557"/>
    <w:rsid w:val="002D707E"/>
    <w:rsid w:val="002D7643"/>
    <w:rsid w:val="002E0EC1"/>
    <w:rsid w:val="002E329D"/>
    <w:rsid w:val="002F2FBF"/>
    <w:rsid w:val="00302520"/>
    <w:rsid w:val="003067EE"/>
    <w:rsid w:val="00311BDE"/>
    <w:rsid w:val="00314858"/>
    <w:rsid w:val="003344F5"/>
    <w:rsid w:val="00337AE7"/>
    <w:rsid w:val="0034004F"/>
    <w:rsid w:val="003450A2"/>
    <w:rsid w:val="00350A18"/>
    <w:rsid w:val="00352B14"/>
    <w:rsid w:val="003534C5"/>
    <w:rsid w:val="003717EC"/>
    <w:rsid w:val="00372836"/>
    <w:rsid w:val="0037449E"/>
    <w:rsid w:val="00392ED8"/>
    <w:rsid w:val="003A1EC8"/>
    <w:rsid w:val="003A6E9F"/>
    <w:rsid w:val="003B61D6"/>
    <w:rsid w:val="003C7250"/>
    <w:rsid w:val="003C7B11"/>
    <w:rsid w:val="003D7B9C"/>
    <w:rsid w:val="003E03DA"/>
    <w:rsid w:val="003E1B22"/>
    <w:rsid w:val="003F66E9"/>
    <w:rsid w:val="00403DC5"/>
    <w:rsid w:val="00405146"/>
    <w:rsid w:val="004064FE"/>
    <w:rsid w:val="0041016E"/>
    <w:rsid w:val="0041183D"/>
    <w:rsid w:val="004233D3"/>
    <w:rsid w:val="00424610"/>
    <w:rsid w:val="004257ED"/>
    <w:rsid w:val="004305E9"/>
    <w:rsid w:val="0043134C"/>
    <w:rsid w:val="004552CA"/>
    <w:rsid w:val="00457124"/>
    <w:rsid w:val="00463E91"/>
    <w:rsid w:val="0046754E"/>
    <w:rsid w:val="00471F8D"/>
    <w:rsid w:val="004731E1"/>
    <w:rsid w:val="0047333F"/>
    <w:rsid w:val="00486E4F"/>
    <w:rsid w:val="00491230"/>
    <w:rsid w:val="00494203"/>
    <w:rsid w:val="00496E8B"/>
    <w:rsid w:val="004A3A70"/>
    <w:rsid w:val="004B1B73"/>
    <w:rsid w:val="004B1D33"/>
    <w:rsid w:val="004B6518"/>
    <w:rsid w:val="004C16BE"/>
    <w:rsid w:val="004C3F4C"/>
    <w:rsid w:val="004D4CB9"/>
    <w:rsid w:val="004D7D67"/>
    <w:rsid w:val="004E65D2"/>
    <w:rsid w:val="004E7594"/>
    <w:rsid w:val="004F1289"/>
    <w:rsid w:val="00500921"/>
    <w:rsid w:val="00514774"/>
    <w:rsid w:val="00527703"/>
    <w:rsid w:val="0053352A"/>
    <w:rsid w:val="00536937"/>
    <w:rsid w:val="005372D0"/>
    <w:rsid w:val="00544F30"/>
    <w:rsid w:val="0055728B"/>
    <w:rsid w:val="005606C9"/>
    <w:rsid w:val="005651F3"/>
    <w:rsid w:val="00566A83"/>
    <w:rsid w:val="00567061"/>
    <w:rsid w:val="00576E42"/>
    <w:rsid w:val="005853C0"/>
    <w:rsid w:val="00593B26"/>
    <w:rsid w:val="005A3013"/>
    <w:rsid w:val="005A661F"/>
    <w:rsid w:val="005B1B8F"/>
    <w:rsid w:val="005B5F90"/>
    <w:rsid w:val="005C55CC"/>
    <w:rsid w:val="005C6825"/>
    <w:rsid w:val="005C7365"/>
    <w:rsid w:val="005D14FE"/>
    <w:rsid w:val="005D1FF0"/>
    <w:rsid w:val="005D3B0A"/>
    <w:rsid w:val="005D7E57"/>
    <w:rsid w:val="005E60C0"/>
    <w:rsid w:val="005F1D6F"/>
    <w:rsid w:val="005F6E9E"/>
    <w:rsid w:val="006008F5"/>
    <w:rsid w:val="00600A21"/>
    <w:rsid w:val="006012CF"/>
    <w:rsid w:val="00603D51"/>
    <w:rsid w:val="00605C22"/>
    <w:rsid w:val="00621142"/>
    <w:rsid w:val="006250A0"/>
    <w:rsid w:val="00634E8D"/>
    <w:rsid w:val="0064277A"/>
    <w:rsid w:val="00646F3C"/>
    <w:rsid w:val="0065458B"/>
    <w:rsid w:val="00662A2C"/>
    <w:rsid w:val="00673869"/>
    <w:rsid w:val="006758A9"/>
    <w:rsid w:val="006773A3"/>
    <w:rsid w:val="00695336"/>
    <w:rsid w:val="006A6C49"/>
    <w:rsid w:val="006B04E4"/>
    <w:rsid w:val="006B7B8C"/>
    <w:rsid w:val="006C2AEC"/>
    <w:rsid w:val="006C3D9A"/>
    <w:rsid w:val="006D0472"/>
    <w:rsid w:val="006D41FA"/>
    <w:rsid w:val="006D5242"/>
    <w:rsid w:val="006D53DE"/>
    <w:rsid w:val="006E2F37"/>
    <w:rsid w:val="006E3EE7"/>
    <w:rsid w:val="006E5321"/>
    <w:rsid w:val="006F099F"/>
    <w:rsid w:val="006F37D2"/>
    <w:rsid w:val="006F6A57"/>
    <w:rsid w:val="00710891"/>
    <w:rsid w:val="0071722B"/>
    <w:rsid w:val="00722D1D"/>
    <w:rsid w:val="00724238"/>
    <w:rsid w:val="0073240A"/>
    <w:rsid w:val="00732C12"/>
    <w:rsid w:val="0073729C"/>
    <w:rsid w:val="00737992"/>
    <w:rsid w:val="007413D2"/>
    <w:rsid w:val="00750D39"/>
    <w:rsid w:val="007514A5"/>
    <w:rsid w:val="0076595D"/>
    <w:rsid w:val="007716E2"/>
    <w:rsid w:val="007749D2"/>
    <w:rsid w:val="00777B86"/>
    <w:rsid w:val="00785656"/>
    <w:rsid w:val="00796733"/>
    <w:rsid w:val="00797219"/>
    <w:rsid w:val="007A1FD6"/>
    <w:rsid w:val="007A4011"/>
    <w:rsid w:val="007B03CA"/>
    <w:rsid w:val="007B403A"/>
    <w:rsid w:val="007B44F8"/>
    <w:rsid w:val="007B65A9"/>
    <w:rsid w:val="007D35E0"/>
    <w:rsid w:val="007D62CC"/>
    <w:rsid w:val="007E1F22"/>
    <w:rsid w:val="007E234F"/>
    <w:rsid w:val="007F344B"/>
    <w:rsid w:val="007F47F9"/>
    <w:rsid w:val="00800141"/>
    <w:rsid w:val="00802306"/>
    <w:rsid w:val="00804782"/>
    <w:rsid w:val="0082130A"/>
    <w:rsid w:val="00821CEE"/>
    <w:rsid w:val="00825ABF"/>
    <w:rsid w:val="00825BEB"/>
    <w:rsid w:val="00826C42"/>
    <w:rsid w:val="00831A66"/>
    <w:rsid w:val="00837E4A"/>
    <w:rsid w:val="008405C8"/>
    <w:rsid w:val="008418D4"/>
    <w:rsid w:val="008470B9"/>
    <w:rsid w:val="00855FA6"/>
    <w:rsid w:val="008645CE"/>
    <w:rsid w:val="0086645C"/>
    <w:rsid w:val="00870378"/>
    <w:rsid w:val="00872311"/>
    <w:rsid w:val="00874C49"/>
    <w:rsid w:val="008869B9"/>
    <w:rsid w:val="00886AD4"/>
    <w:rsid w:val="008903D0"/>
    <w:rsid w:val="00891B16"/>
    <w:rsid w:val="008953CB"/>
    <w:rsid w:val="008A550A"/>
    <w:rsid w:val="008B2B30"/>
    <w:rsid w:val="008C2AA0"/>
    <w:rsid w:val="008C3309"/>
    <w:rsid w:val="008E0D72"/>
    <w:rsid w:val="009043A9"/>
    <w:rsid w:val="009057F7"/>
    <w:rsid w:val="009062B4"/>
    <w:rsid w:val="00907F6A"/>
    <w:rsid w:val="009103F1"/>
    <w:rsid w:val="009133B9"/>
    <w:rsid w:val="00913DAC"/>
    <w:rsid w:val="00915752"/>
    <w:rsid w:val="00933452"/>
    <w:rsid w:val="0093617E"/>
    <w:rsid w:val="00940423"/>
    <w:rsid w:val="00946B7A"/>
    <w:rsid w:val="0094778C"/>
    <w:rsid w:val="00970C2F"/>
    <w:rsid w:val="00975CCB"/>
    <w:rsid w:val="0098794E"/>
    <w:rsid w:val="00987E4A"/>
    <w:rsid w:val="009950FB"/>
    <w:rsid w:val="009A11B9"/>
    <w:rsid w:val="009A4228"/>
    <w:rsid w:val="009C2223"/>
    <w:rsid w:val="009C5E43"/>
    <w:rsid w:val="009D46AE"/>
    <w:rsid w:val="009D52E9"/>
    <w:rsid w:val="009D53D6"/>
    <w:rsid w:val="009D7A34"/>
    <w:rsid w:val="009E0824"/>
    <w:rsid w:val="009E3BD0"/>
    <w:rsid w:val="009E7CDC"/>
    <w:rsid w:val="009F0C07"/>
    <w:rsid w:val="009F46C4"/>
    <w:rsid w:val="00A117C7"/>
    <w:rsid w:val="00A137AA"/>
    <w:rsid w:val="00A26BD5"/>
    <w:rsid w:val="00A43AC5"/>
    <w:rsid w:val="00A46808"/>
    <w:rsid w:val="00A53009"/>
    <w:rsid w:val="00A56E0B"/>
    <w:rsid w:val="00A65895"/>
    <w:rsid w:val="00A71DAD"/>
    <w:rsid w:val="00A76BC8"/>
    <w:rsid w:val="00A84930"/>
    <w:rsid w:val="00A92E9B"/>
    <w:rsid w:val="00A95A46"/>
    <w:rsid w:val="00A96EC8"/>
    <w:rsid w:val="00AD209E"/>
    <w:rsid w:val="00AE002A"/>
    <w:rsid w:val="00AE53F4"/>
    <w:rsid w:val="00B2625D"/>
    <w:rsid w:val="00B46133"/>
    <w:rsid w:val="00B519AE"/>
    <w:rsid w:val="00B5681E"/>
    <w:rsid w:val="00B7239A"/>
    <w:rsid w:val="00B73E28"/>
    <w:rsid w:val="00B7703F"/>
    <w:rsid w:val="00B80B75"/>
    <w:rsid w:val="00B824D0"/>
    <w:rsid w:val="00B82F97"/>
    <w:rsid w:val="00B83853"/>
    <w:rsid w:val="00B85E79"/>
    <w:rsid w:val="00B9705E"/>
    <w:rsid w:val="00BA010D"/>
    <w:rsid w:val="00BA2191"/>
    <w:rsid w:val="00BA378B"/>
    <w:rsid w:val="00BA729F"/>
    <w:rsid w:val="00BB244B"/>
    <w:rsid w:val="00BB4FF3"/>
    <w:rsid w:val="00BC5434"/>
    <w:rsid w:val="00BD05E1"/>
    <w:rsid w:val="00BD6A89"/>
    <w:rsid w:val="00BD7161"/>
    <w:rsid w:val="00BE1AD3"/>
    <w:rsid w:val="00C00680"/>
    <w:rsid w:val="00C13164"/>
    <w:rsid w:val="00C14FE4"/>
    <w:rsid w:val="00C202AA"/>
    <w:rsid w:val="00C22431"/>
    <w:rsid w:val="00C27899"/>
    <w:rsid w:val="00C32443"/>
    <w:rsid w:val="00C33464"/>
    <w:rsid w:val="00C34E18"/>
    <w:rsid w:val="00C375CE"/>
    <w:rsid w:val="00C4128F"/>
    <w:rsid w:val="00C4637A"/>
    <w:rsid w:val="00C50113"/>
    <w:rsid w:val="00C521FE"/>
    <w:rsid w:val="00C53DDB"/>
    <w:rsid w:val="00C549ED"/>
    <w:rsid w:val="00C61D79"/>
    <w:rsid w:val="00C67E1A"/>
    <w:rsid w:val="00C724E6"/>
    <w:rsid w:val="00C73D0A"/>
    <w:rsid w:val="00C769F8"/>
    <w:rsid w:val="00C81CB7"/>
    <w:rsid w:val="00C87CBD"/>
    <w:rsid w:val="00C9027B"/>
    <w:rsid w:val="00C94DCF"/>
    <w:rsid w:val="00C96D88"/>
    <w:rsid w:val="00C97F38"/>
    <w:rsid w:val="00CB5BED"/>
    <w:rsid w:val="00CC323A"/>
    <w:rsid w:val="00CC3C80"/>
    <w:rsid w:val="00CC4C7B"/>
    <w:rsid w:val="00CD1131"/>
    <w:rsid w:val="00CD6132"/>
    <w:rsid w:val="00D165D6"/>
    <w:rsid w:val="00D17E05"/>
    <w:rsid w:val="00D2101D"/>
    <w:rsid w:val="00D30F4D"/>
    <w:rsid w:val="00D41DFF"/>
    <w:rsid w:val="00D55491"/>
    <w:rsid w:val="00D57354"/>
    <w:rsid w:val="00D66483"/>
    <w:rsid w:val="00D67D34"/>
    <w:rsid w:val="00D842F2"/>
    <w:rsid w:val="00D85502"/>
    <w:rsid w:val="00DB267A"/>
    <w:rsid w:val="00DB428E"/>
    <w:rsid w:val="00DB44B7"/>
    <w:rsid w:val="00DB7929"/>
    <w:rsid w:val="00DD1806"/>
    <w:rsid w:val="00DE6992"/>
    <w:rsid w:val="00E00FAF"/>
    <w:rsid w:val="00E06BD5"/>
    <w:rsid w:val="00E12BAA"/>
    <w:rsid w:val="00E23C53"/>
    <w:rsid w:val="00E2412D"/>
    <w:rsid w:val="00E2668D"/>
    <w:rsid w:val="00E307F9"/>
    <w:rsid w:val="00E309EC"/>
    <w:rsid w:val="00E36D1C"/>
    <w:rsid w:val="00E37680"/>
    <w:rsid w:val="00E43EC9"/>
    <w:rsid w:val="00E54ED6"/>
    <w:rsid w:val="00E60180"/>
    <w:rsid w:val="00E61BB7"/>
    <w:rsid w:val="00E66FFA"/>
    <w:rsid w:val="00E719FF"/>
    <w:rsid w:val="00E71A62"/>
    <w:rsid w:val="00E7262D"/>
    <w:rsid w:val="00E874A2"/>
    <w:rsid w:val="00E97640"/>
    <w:rsid w:val="00EC0917"/>
    <w:rsid w:val="00EC4E74"/>
    <w:rsid w:val="00EC684B"/>
    <w:rsid w:val="00ED227D"/>
    <w:rsid w:val="00ED319E"/>
    <w:rsid w:val="00ED50A5"/>
    <w:rsid w:val="00ED63E5"/>
    <w:rsid w:val="00EE14C3"/>
    <w:rsid w:val="00EE27CE"/>
    <w:rsid w:val="00EE4497"/>
    <w:rsid w:val="00EF0BD5"/>
    <w:rsid w:val="00F036C7"/>
    <w:rsid w:val="00F11F82"/>
    <w:rsid w:val="00F235F2"/>
    <w:rsid w:val="00F25DA1"/>
    <w:rsid w:val="00F3104E"/>
    <w:rsid w:val="00F34775"/>
    <w:rsid w:val="00F4035C"/>
    <w:rsid w:val="00F5339A"/>
    <w:rsid w:val="00F5483F"/>
    <w:rsid w:val="00F57530"/>
    <w:rsid w:val="00F6303A"/>
    <w:rsid w:val="00F65F8B"/>
    <w:rsid w:val="00F67B70"/>
    <w:rsid w:val="00F75A58"/>
    <w:rsid w:val="00F948D9"/>
    <w:rsid w:val="00F96D47"/>
    <w:rsid w:val="00FA1427"/>
    <w:rsid w:val="00FC4201"/>
    <w:rsid w:val="00FC4466"/>
    <w:rsid w:val="00FC549A"/>
    <w:rsid w:val="00FC5ECE"/>
    <w:rsid w:val="00FD08A4"/>
    <w:rsid w:val="00FD4D7F"/>
    <w:rsid w:val="00FE4B98"/>
    <w:rsid w:val="00FF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6BA16"/>
  <w15:chartTrackingRefBased/>
  <w15:docId w15:val="{2CBF5121-F3B7-4182-BDDA-9AD348A7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D34"/>
  </w:style>
  <w:style w:type="paragraph" w:styleId="Footer">
    <w:name w:val="footer"/>
    <w:basedOn w:val="Normal"/>
    <w:link w:val="FooterChar"/>
    <w:uiPriority w:val="99"/>
    <w:unhideWhenUsed/>
    <w:rsid w:val="00D67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D34"/>
  </w:style>
  <w:style w:type="numbering" w:customStyle="1" w:styleId="Nemlista1">
    <w:name w:val="Nem lista1"/>
    <w:next w:val="NoList"/>
    <w:uiPriority w:val="99"/>
    <w:semiHidden/>
    <w:unhideWhenUsed/>
    <w:rsid w:val="00D67D34"/>
  </w:style>
  <w:style w:type="character" w:customStyle="1" w:styleId="Szvegtrzs">
    <w:name w:val="Szövegtörzs_"/>
    <w:basedOn w:val="DefaultParagraphFont"/>
    <w:link w:val="Szvegtrzs1"/>
    <w:rsid w:val="00D67D34"/>
    <w:rPr>
      <w:rFonts w:ascii="Times New Roman" w:eastAsia="Times New Roman" w:hAnsi="Times New Roman" w:cs="Times New Roman"/>
    </w:rPr>
  </w:style>
  <w:style w:type="character" w:customStyle="1" w:styleId="Kpalrs">
    <w:name w:val="Képaláírás_"/>
    <w:basedOn w:val="DefaultParagraphFont"/>
    <w:link w:val="Kpalrs1"/>
    <w:rsid w:val="00D67D34"/>
    <w:rPr>
      <w:rFonts w:ascii="Times New Roman" w:eastAsia="Times New Roman" w:hAnsi="Times New Roman" w:cs="Times New Roman"/>
    </w:rPr>
  </w:style>
  <w:style w:type="character" w:customStyle="1" w:styleId="Cmsor1">
    <w:name w:val="Címsor #1_"/>
    <w:basedOn w:val="DefaultParagraphFont"/>
    <w:link w:val="Cmsor10"/>
    <w:rsid w:val="00D67D34"/>
    <w:rPr>
      <w:rFonts w:ascii="Times New Roman" w:eastAsia="Times New Roman" w:hAnsi="Times New Roman" w:cs="Times New Roman"/>
      <w:b/>
      <w:bCs/>
    </w:rPr>
  </w:style>
  <w:style w:type="character" w:customStyle="1" w:styleId="Fejlcvagylblc2">
    <w:name w:val="Fejléc vagy lábléc (2)_"/>
    <w:basedOn w:val="DefaultParagraphFont"/>
    <w:link w:val="Fejlcvagylblc20"/>
    <w:rsid w:val="00D67D34"/>
    <w:rPr>
      <w:rFonts w:ascii="Times New Roman" w:eastAsia="Times New Roman" w:hAnsi="Times New Roman" w:cs="Times New Roman"/>
      <w:sz w:val="20"/>
      <w:szCs w:val="20"/>
    </w:rPr>
  </w:style>
  <w:style w:type="character" w:customStyle="1" w:styleId="Tblzatfelirata">
    <w:name w:val="Táblázat felirata_"/>
    <w:basedOn w:val="DefaultParagraphFont"/>
    <w:link w:val="Tblzatfelirata0"/>
    <w:rsid w:val="00D67D34"/>
    <w:rPr>
      <w:rFonts w:ascii="Times New Roman" w:eastAsia="Times New Roman" w:hAnsi="Times New Roman" w:cs="Times New Roman"/>
      <w:b/>
      <w:bCs/>
    </w:rPr>
  </w:style>
  <w:style w:type="character" w:customStyle="1" w:styleId="Egyb">
    <w:name w:val="Egyéb_"/>
    <w:basedOn w:val="DefaultParagraphFont"/>
    <w:link w:val="Egyb0"/>
    <w:rsid w:val="00D67D34"/>
    <w:rPr>
      <w:rFonts w:ascii="Times New Roman" w:eastAsia="Times New Roman" w:hAnsi="Times New Roman" w:cs="Times New Roman"/>
    </w:rPr>
  </w:style>
  <w:style w:type="character" w:customStyle="1" w:styleId="Fejlcvagylblc">
    <w:name w:val="Fejléc vagy lábléc_"/>
    <w:basedOn w:val="DefaultParagraphFont"/>
    <w:link w:val="Fejlcvagylblc0"/>
    <w:rsid w:val="00D67D34"/>
    <w:rPr>
      <w:rFonts w:ascii="Arial" w:eastAsia="Arial" w:hAnsi="Arial" w:cs="Arial"/>
      <w:sz w:val="16"/>
      <w:szCs w:val="16"/>
    </w:rPr>
  </w:style>
  <w:style w:type="character" w:customStyle="1" w:styleId="Szvegtrzs4">
    <w:name w:val="Szövegtörzs (4)_"/>
    <w:basedOn w:val="DefaultParagraphFont"/>
    <w:link w:val="Szvegtrzs40"/>
    <w:rsid w:val="00D67D34"/>
    <w:rPr>
      <w:rFonts w:ascii="Arial" w:eastAsia="Arial" w:hAnsi="Arial" w:cs="Arial"/>
      <w:color w:val="262225"/>
      <w:sz w:val="16"/>
      <w:szCs w:val="16"/>
    </w:rPr>
  </w:style>
  <w:style w:type="paragraph" w:customStyle="1" w:styleId="Szvegtrzs1">
    <w:name w:val="Szövegtörzs1"/>
    <w:basedOn w:val="Normal"/>
    <w:link w:val="Szvegtrzs"/>
    <w:rsid w:val="00D67D34"/>
    <w:pPr>
      <w:widowControl w:val="0"/>
      <w:spacing w:after="220" w:line="240" w:lineRule="auto"/>
    </w:pPr>
    <w:rPr>
      <w:rFonts w:ascii="Times New Roman" w:eastAsia="Times New Roman" w:hAnsi="Times New Roman" w:cs="Times New Roman"/>
    </w:rPr>
  </w:style>
  <w:style w:type="paragraph" w:customStyle="1" w:styleId="Kpalrs1">
    <w:name w:val="Képaláírás1"/>
    <w:basedOn w:val="Normal"/>
    <w:link w:val="Kpalrs"/>
    <w:rsid w:val="00D67D34"/>
    <w:pPr>
      <w:widowControl w:val="0"/>
      <w:spacing w:after="0" w:line="240" w:lineRule="auto"/>
      <w:jc w:val="center"/>
    </w:pPr>
    <w:rPr>
      <w:rFonts w:ascii="Times New Roman" w:eastAsia="Times New Roman" w:hAnsi="Times New Roman" w:cs="Times New Roman"/>
    </w:rPr>
  </w:style>
  <w:style w:type="paragraph" w:customStyle="1" w:styleId="Cmsor10">
    <w:name w:val="Címsor #1"/>
    <w:basedOn w:val="Normal"/>
    <w:link w:val="Cmsor1"/>
    <w:rsid w:val="00D67D34"/>
    <w:pPr>
      <w:widowControl w:val="0"/>
      <w:spacing w:before="5820" w:after="220" w:line="240" w:lineRule="auto"/>
      <w:jc w:val="center"/>
      <w:outlineLvl w:val="0"/>
    </w:pPr>
    <w:rPr>
      <w:rFonts w:ascii="Times New Roman" w:eastAsia="Times New Roman" w:hAnsi="Times New Roman" w:cs="Times New Roman"/>
      <w:b/>
      <w:bCs/>
    </w:rPr>
  </w:style>
  <w:style w:type="paragraph" w:customStyle="1" w:styleId="Fejlcvagylblc20">
    <w:name w:val="Fejléc vagy lábléc (2)"/>
    <w:basedOn w:val="Normal"/>
    <w:link w:val="Fejlcvagylblc2"/>
    <w:rsid w:val="00D67D34"/>
    <w:pPr>
      <w:widowControl w:val="0"/>
      <w:spacing w:after="0" w:line="240" w:lineRule="auto"/>
    </w:pPr>
    <w:rPr>
      <w:rFonts w:ascii="Times New Roman" w:eastAsia="Times New Roman" w:hAnsi="Times New Roman" w:cs="Times New Roman"/>
      <w:sz w:val="20"/>
      <w:szCs w:val="20"/>
    </w:rPr>
  </w:style>
  <w:style w:type="paragraph" w:customStyle="1" w:styleId="Tblzatfelirata0">
    <w:name w:val="Táblázat felirata"/>
    <w:basedOn w:val="Normal"/>
    <w:link w:val="Tblzatfelirata"/>
    <w:rsid w:val="00D67D34"/>
    <w:pPr>
      <w:widowControl w:val="0"/>
      <w:spacing w:after="0" w:line="240" w:lineRule="auto"/>
    </w:pPr>
    <w:rPr>
      <w:rFonts w:ascii="Times New Roman" w:eastAsia="Times New Roman" w:hAnsi="Times New Roman" w:cs="Times New Roman"/>
      <w:b/>
      <w:bCs/>
    </w:rPr>
  </w:style>
  <w:style w:type="paragraph" w:customStyle="1" w:styleId="Egyb0">
    <w:name w:val="Egyéb"/>
    <w:basedOn w:val="Normal"/>
    <w:link w:val="Egyb"/>
    <w:rsid w:val="00D67D34"/>
    <w:pPr>
      <w:widowControl w:val="0"/>
      <w:spacing w:after="220" w:line="240" w:lineRule="auto"/>
    </w:pPr>
    <w:rPr>
      <w:rFonts w:ascii="Times New Roman" w:eastAsia="Times New Roman" w:hAnsi="Times New Roman" w:cs="Times New Roman"/>
    </w:rPr>
  </w:style>
  <w:style w:type="paragraph" w:customStyle="1" w:styleId="Fejlcvagylblc0">
    <w:name w:val="Fejléc vagy lábléc"/>
    <w:basedOn w:val="Normal"/>
    <w:link w:val="Fejlcvagylblc"/>
    <w:rsid w:val="00D67D34"/>
    <w:pPr>
      <w:widowControl w:val="0"/>
      <w:spacing w:after="0" w:line="240" w:lineRule="auto"/>
    </w:pPr>
    <w:rPr>
      <w:rFonts w:ascii="Arial" w:eastAsia="Arial" w:hAnsi="Arial" w:cs="Arial"/>
      <w:sz w:val="16"/>
      <w:szCs w:val="16"/>
    </w:rPr>
  </w:style>
  <w:style w:type="paragraph" w:customStyle="1" w:styleId="Szvegtrzs40">
    <w:name w:val="Szövegtörzs (4)"/>
    <w:basedOn w:val="Normal"/>
    <w:link w:val="Szvegtrzs4"/>
    <w:rsid w:val="00D67D34"/>
    <w:pPr>
      <w:widowControl w:val="0"/>
      <w:spacing w:after="0"/>
      <w:jc w:val="center"/>
    </w:pPr>
    <w:rPr>
      <w:rFonts w:ascii="Arial" w:eastAsia="Arial" w:hAnsi="Arial" w:cs="Arial"/>
      <w:color w:val="262225"/>
      <w:sz w:val="16"/>
      <w:szCs w:val="16"/>
    </w:rPr>
  </w:style>
  <w:style w:type="paragraph" w:styleId="BalloonText">
    <w:name w:val="Balloon Text"/>
    <w:basedOn w:val="Normal"/>
    <w:link w:val="BalloonTextChar"/>
    <w:uiPriority w:val="99"/>
    <w:semiHidden/>
    <w:unhideWhenUsed/>
    <w:rsid w:val="00D67D34"/>
    <w:pPr>
      <w:widowControl w:val="0"/>
      <w:spacing w:after="0" w:line="240" w:lineRule="auto"/>
    </w:pPr>
    <w:rPr>
      <w:rFonts w:ascii="Segoe UI" w:eastAsia="Courier New" w:hAnsi="Segoe UI" w:cs="Segoe UI"/>
      <w:color w:val="000000"/>
      <w:sz w:val="18"/>
      <w:szCs w:val="18"/>
      <w:lang w:bidi="en-US"/>
    </w:rPr>
  </w:style>
  <w:style w:type="character" w:customStyle="1" w:styleId="BalloonTextChar">
    <w:name w:val="Balloon Text Char"/>
    <w:basedOn w:val="DefaultParagraphFont"/>
    <w:link w:val="BalloonText"/>
    <w:uiPriority w:val="99"/>
    <w:semiHidden/>
    <w:rsid w:val="00D67D34"/>
    <w:rPr>
      <w:rFonts w:ascii="Segoe UI" w:eastAsia="Courier New" w:hAnsi="Segoe UI" w:cs="Segoe UI"/>
      <w:color w:val="000000"/>
      <w:sz w:val="18"/>
      <w:szCs w:val="18"/>
      <w:lang w:bidi="en-US"/>
    </w:rPr>
  </w:style>
  <w:style w:type="character" w:styleId="CommentReference">
    <w:name w:val="annotation reference"/>
    <w:basedOn w:val="DefaultParagraphFont"/>
    <w:uiPriority w:val="99"/>
    <w:semiHidden/>
    <w:unhideWhenUsed/>
    <w:rsid w:val="00D67D34"/>
    <w:rPr>
      <w:sz w:val="16"/>
      <w:szCs w:val="16"/>
    </w:rPr>
  </w:style>
  <w:style w:type="paragraph" w:styleId="CommentText">
    <w:name w:val="annotation text"/>
    <w:basedOn w:val="Normal"/>
    <w:link w:val="CommentTextChar"/>
    <w:uiPriority w:val="99"/>
    <w:semiHidden/>
    <w:unhideWhenUsed/>
    <w:rsid w:val="00D67D34"/>
    <w:pPr>
      <w:spacing w:line="240" w:lineRule="auto"/>
    </w:pPr>
    <w:rPr>
      <w:sz w:val="20"/>
      <w:szCs w:val="20"/>
      <w:lang w:val="hu-HU"/>
    </w:rPr>
  </w:style>
  <w:style w:type="character" w:customStyle="1" w:styleId="CommentTextChar">
    <w:name w:val="Comment Text Char"/>
    <w:basedOn w:val="DefaultParagraphFont"/>
    <w:link w:val="CommentText"/>
    <w:uiPriority w:val="99"/>
    <w:semiHidden/>
    <w:rsid w:val="00D67D34"/>
    <w:rPr>
      <w:sz w:val="20"/>
      <w:szCs w:val="20"/>
      <w:lang w:val="hu-HU"/>
    </w:rPr>
  </w:style>
  <w:style w:type="paragraph" w:styleId="CommentSubject">
    <w:name w:val="annotation subject"/>
    <w:basedOn w:val="CommentText"/>
    <w:next w:val="CommentText"/>
    <w:link w:val="CommentSubjectChar"/>
    <w:uiPriority w:val="99"/>
    <w:semiHidden/>
    <w:unhideWhenUsed/>
    <w:rsid w:val="00D67D34"/>
    <w:rPr>
      <w:b/>
      <w:bCs/>
    </w:rPr>
  </w:style>
  <w:style w:type="character" w:customStyle="1" w:styleId="CommentSubjectChar">
    <w:name w:val="Comment Subject Char"/>
    <w:basedOn w:val="CommentTextChar"/>
    <w:link w:val="CommentSubject"/>
    <w:uiPriority w:val="99"/>
    <w:semiHidden/>
    <w:rsid w:val="00D67D34"/>
    <w:rPr>
      <w:b/>
      <w:bCs/>
      <w:sz w:val="20"/>
      <w:szCs w:val="20"/>
      <w:lang w:val="hu-HU"/>
    </w:rPr>
  </w:style>
  <w:style w:type="paragraph" w:styleId="ListParagraph">
    <w:name w:val="List Paragraph"/>
    <w:basedOn w:val="Normal"/>
    <w:uiPriority w:val="34"/>
    <w:qFormat/>
    <w:rsid w:val="00D67D34"/>
    <w:pPr>
      <w:ind w:left="720"/>
      <w:contextualSpacing/>
    </w:pPr>
    <w:rPr>
      <w:lang w:val="hu-HU"/>
    </w:rPr>
  </w:style>
  <w:style w:type="paragraph" w:styleId="Revision">
    <w:name w:val="Revision"/>
    <w:hidden/>
    <w:uiPriority w:val="99"/>
    <w:semiHidden/>
    <w:rsid w:val="00D67D34"/>
    <w:pPr>
      <w:spacing w:after="0" w:line="240" w:lineRule="auto"/>
    </w:pPr>
    <w:rPr>
      <w:lang w:val="hu-HU"/>
    </w:rPr>
  </w:style>
  <w:style w:type="table" w:styleId="TableGrid">
    <w:name w:val="Table Grid"/>
    <w:basedOn w:val="TableNormal"/>
    <w:uiPriority w:val="39"/>
    <w:rsid w:val="00D67D34"/>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7D34"/>
    <w:rPr>
      <w:color w:val="0000FF"/>
      <w:u w:val="single"/>
    </w:rPr>
  </w:style>
  <w:style w:type="paragraph" w:customStyle="1" w:styleId="Default">
    <w:name w:val="Default"/>
    <w:rsid w:val="00D67D34"/>
    <w:pPr>
      <w:widowControl w:val="0"/>
      <w:autoSpaceDE w:val="0"/>
      <w:autoSpaceDN w:val="0"/>
      <w:adjustRightInd w:val="0"/>
      <w:spacing w:after="0" w:line="240" w:lineRule="auto"/>
    </w:pPr>
    <w:rPr>
      <w:rFonts w:ascii="JOBOG I+ BI Logo" w:eastAsia="Times New Roman" w:hAnsi="JOBOG I+ BI Logo" w:cs="JOBOG I+ BI Logo"/>
      <w:color w:val="000000"/>
      <w:sz w:val="24"/>
      <w:szCs w:val="24"/>
      <w:lang w:bidi="ne-NP"/>
    </w:rPr>
  </w:style>
  <w:style w:type="character" w:customStyle="1" w:styleId="UnresolvedMention1">
    <w:name w:val="Unresolved Mention1"/>
    <w:basedOn w:val="DefaultParagraphFont"/>
    <w:uiPriority w:val="99"/>
    <w:semiHidden/>
    <w:unhideWhenUsed/>
    <w:rsid w:val="00D67D34"/>
    <w:rPr>
      <w:color w:val="605E5C"/>
      <w:shd w:val="clear" w:color="auto" w:fill="E1DFDD"/>
    </w:rPr>
  </w:style>
  <w:style w:type="numbering" w:customStyle="1" w:styleId="CurrentList1">
    <w:name w:val="Current List1"/>
    <w:uiPriority w:val="99"/>
    <w:rsid w:val="00FC549A"/>
    <w:pPr>
      <w:numPr>
        <w:numId w:val="4"/>
      </w:numPr>
    </w:pPr>
  </w:style>
  <w:style w:type="paragraph" w:styleId="NoSpacing">
    <w:name w:val="No Spacing"/>
    <w:uiPriority w:val="1"/>
    <w:qFormat/>
    <w:rsid w:val="0080230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39</Pages>
  <Words>17078</Words>
  <Characters>97350</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dc:creator>
  <cp:keywords/>
  <dc:description/>
  <cp:lastModifiedBy>Gordana Boljević</cp:lastModifiedBy>
  <cp:revision>5</cp:revision>
  <dcterms:created xsi:type="dcterms:W3CDTF">2024-10-29T10:46:00Z</dcterms:created>
  <dcterms:modified xsi:type="dcterms:W3CDTF">2024-11-04T08:20:00Z</dcterms:modified>
</cp:coreProperties>
</file>